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E4" w:rsidRPr="009A2018" w:rsidRDefault="003C3AD2" w:rsidP="00EC1790">
      <w:pPr>
        <w:pStyle w:val="Pagedecouverture"/>
        <w:rPr>
          <w:rFonts w:eastAsiaTheme="minorHAnsi"/>
        </w:rPr>
      </w:pPr>
      <w:bookmarkStart w:id="0" w:name="LW_BM_COVERPAGE"/>
      <w:bookmarkStart w:id="1" w:name="_Toc9585283"/>
      <w:r>
        <w:rPr>
          <w:rFonts w:eastAsiaTheme="minorHAnsi"/>
          <w:noProof/>
          <w:lang w:eastAsia="en-GB"/>
        </w:rPr>
        <w:drawing>
          <wp:anchor distT="0" distB="0" distL="114300" distR="114300" simplePos="0" relativeHeight="251665408" behindDoc="1" locked="0" layoutInCell="1" allowOverlap="1" wp14:anchorId="073CC8AA" wp14:editId="41EAE5CB">
            <wp:simplePos x="0" y="0"/>
            <wp:positionH relativeFrom="column">
              <wp:posOffset>19050</wp:posOffset>
            </wp:positionH>
            <wp:positionV relativeFrom="paragraph">
              <wp:posOffset>0</wp:posOffset>
            </wp:positionV>
            <wp:extent cx="1558290" cy="830580"/>
            <wp:effectExtent l="19050" t="0" r="3810" b="0"/>
            <wp:wrapTight wrapText="bothSides">
              <wp:wrapPolygon edited="0">
                <wp:start x="-264" y="0"/>
                <wp:lineTo x="-264" y="21303"/>
                <wp:lineTo x="21653" y="21303"/>
                <wp:lineTo x="21653" y="0"/>
                <wp:lineTo x="-26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58290" cy="830580"/>
                    </a:xfrm>
                    <a:prstGeom prst="rect">
                      <a:avLst/>
                    </a:prstGeom>
                    <a:noFill/>
                    <a:ln w="9525">
                      <a:noFill/>
                      <a:miter lim="800000"/>
                      <a:headEnd/>
                      <a:tailEnd/>
                    </a:ln>
                  </pic:spPr>
                </pic:pic>
              </a:graphicData>
            </a:graphic>
          </wp:anchor>
        </w:drawing>
      </w:r>
    </w:p>
    <w:bookmarkEnd w:id="0"/>
    <w:p w:rsidR="003C3AD2" w:rsidRDefault="003C3AD2" w:rsidP="003C3AD2">
      <w:pPr>
        <w:spacing w:after="0"/>
      </w:pPr>
    </w:p>
    <w:p w:rsidR="003C3AD2" w:rsidRDefault="003C3AD2" w:rsidP="003C3AD2">
      <w:pPr>
        <w:spacing w:after="0"/>
      </w:pPr>
      <w:r>
        <w:t xml:space="preserve">EVROPSKA </w:t>
      </w:r>
    </w:p>
    <w:p w:rsidR="006C55E4" w:rsidRDefault="003C3AD2" w:rsidP="003C3AD2">
      <w:pPr>
        <w:spacing w:after="0"/>
      </w:pPr>
      <w:r>
        <w:t>KOMISIJA</w:t>
      </w:r>
    </w:p>
    <w:p w:rsidR="003C3AD2" w:rsidRDefault="003C3AD2" w:rsidP="003C3AD2">
      <w:pPr>
        <w:spacing w:after="0"/>
      </w:pPr>
    </w:p>
    <w:p w:rsidR="003C3AD2" w:rsidRDefault="003C3AD2" w:rsidP="003C3AD2">
      <w:pPr>
        <w:spacing w:after="0"/>
      </w:pPr>
    </w:p>
    <w:p w:rsidR="003C3AD2" w:rsidRDefault="003C3AD2" w:rsidP="003C3AD2">
      <w:pPr>
        <w:spacing w:after="0"/>
      </w:pPr>
    </w:p>
    <w:p w:rsidR="003C3AD2" w:rsidRDefault="003C3AD2" w:rsidP="003C3AD2">
      <w:pPr>
        <w:spacing w:after="0"/>
      </w:pPr>
      <w:r>
        <w:tab/>
      </w:r>
      <w:r>
        <w:tab/>
      </w:r>
      <w:r>
        <w:tab/>
      </w:r>
      <w:r>
        <w:tab/>
      </w:r>
      <w:r>
        <w:tab/>
      </w:r>
      <w:r>
        <w:tab/>
        <w:t xml:space="preserve">Brisel </w:t>
      </w:r>
      <w:r w:rsidRPr="003C3AD2">
        <w:rPr>
          <w:color w:val="FF0000"/>
        </w:rPr>
        <w:t>xxx</w:t>
      </w:r>
    </w:p>
    <w:p w:rsidR="003C3AD2" w:rsidRDefault="003C3AD2" w:rsidP="003C3AD2">
      <w:pPr>
        <w:spacing w:after="0"/>
      </w:pPr>
      <w:r>
        <w:tab/>
      </w:r>
      <w:r>
        <w:tab/>
      </w:r>
      <w:r>
        <w:tab/>
      </w:r>
      <w:r>
        <w:tab/>
      </w:r>
      <w:r>
        <w:tab/>
      </w:r>
      <w:r>
        <w:tab/>
        <w:t>SWD(2020) 353/2</w:t>
      </w:r>
    </w:p>
    <w:p w:rsidR="003C3AD2" w:rsidRDefault="003C3AD2" w:rsidP="003C3AD2">
      <w:pPr>
        <w:spacing w:after="0"/>
      </w:pPr>
    </w:p>
    <w:p w:rsidR="003C3AD2" w:rsidRPr="00163CB4" w:rsidRDefault="003C3AD2" w:rsidP="00A63CE4">
      <w:pPr>
        <w:spacing w:after="0"/>
        <w:rPr>
          <w:i/>
        </w:rPr>
      </w:pPr>
      <w:r>
        <w:tab/>
      </w:r>
      <w:r>
        <w:tab/>
      </w:r>
      <w:r>
        <w:tab/>
      </w:r>
      <w:r>
        <w:tab/>
      </w:r>
      <w:r>
        <w:tab/>
      </w:r>
    </w:p>
    <w:p w:rsidR="003C3AD2" w:rsidRDefault="003C3AD2" w:rsidP="003C3AD2">
      <w:pPr>
        <w:spacing w:after="0"/>
      </w:pPr>
    </w:p>
    <w:p w:rsidR="00163CB4" w:rsidRDefault="00163CB4" w:rsidP="003C3AD2">
      <w:pPr>
        <w:spacing w:after="0"/>
      </w:pPr>
    </w:p>
    <w:p w:rsidR="003C3AD2" w:rsidRPr="003C3AD2" w:rsidRDefault="003C3AD2" w:rsidP="003C3AD2">
      <w:pPr>
        <w:spacing w:after="0"/>
        <w:jc w:val="center"/>
        <w:rPr>
          <w:b/>
        </w:rPr>
      </w:pPr>
      <w:r w:rsidRPr="003C3AD2">
        <w:rPr>
          <w:b/>
        </w:rPr>
        <w:t>RADNI DOKUMENT KOMISIJE</w:t>
      </w:r>
    </w:p>
    <w:p w:rsidR="003C3AD2" w:rsidRPr="003C3AD2" w:rsidRDefault="003C3AD2" w:rsidP="003C3AD2">
      <w:pPr>
        <w:spacing w:after="0"/>
        <w:jc w:val="center"/>
        <w:rPr>
          <w:b/>
        </w:rPr>
      </w:pPr>
      <w:r w:rsidRPr="003C3AD2">
        <w:rPr>
          <w:b/>
        </w:rPr>
        <w:t xml:space="preserve">Izvještaj za Crnu Goru za </w:t>
      </w:r>
      <w:r w:rsidR="00163CB4">
        <w:rPr>
          <w:b/>
        </w:rPr>
        <w:t>2020</w:t>
      </w:r>
      <w:r w:rsidRPr="003C3AD2">
        <w:rPr>
          <w:b/>
        </w:rPr>
        <w:t>. godinu</w:t>
      </w:r>
    </w:p>
    <w:p w:rsidR="00163CB4" w:rsidRDefault="00163CB4" w:rsidP="003C3AD2">
      <w:pPr>
        <w:spacing w:after="0"/>
        <w:jc w:val="center"/>
        <w:rPr>
          <w:b/>
        </w:rPr>
      </w:pPr>
    </w:p>
    <w:p w:rsidR="003C3AD2" w:rsidRPr="003C3AD2" w:rsidRDefault="003C3AD2" w:rsidP="003C3AD2">
      <w:pPr>
        <w:spacing w:after="0"/>
        <w:jc w:val="center"/>
        <w:rPr>
          <w:b/>
        </w:rPr>
      </w:pPr>
      <w:r w:rsidRPr="003C3AD2">
        <w:rPr>
          <w:b/>
        </w:rPr>
        <w:t>uz</w:t>
      </w:r>
    </w:p>
    <w:p w:rsidR="003C3AD2" w:rsidRPr="003C3AD2" w:rsidRDefault="003C3AD2" w:rsidP="003C3AD2">
      <w:pPr>
        <w:spacing w:after="0"/>
        <w:jc w:val="center"/>
        <w:rPr>
          <w:b/>
        </w:rPr>
      </w:pPr>
    </w:p>
    <w:p w:rsidR="003C3AD2" w:rsidRPr="003C3AD2" w:rsidRDefault="003C3AD2" w:rsidP="003C3AD2">
      <w:pPr>
        <w:spacing w:after="0"/>
        <w:jc w:val="center"/>
        <w:rPr>
          <w:b/>
        </w:rPr>
      </w:pPr>
      <w:r w:rsidRPr="003C3AD2">
        <w:rPr>
          <w:b/>
        </w:rPr>
        <w:t>Saopštenje Komisije Evropskom parlamentu, Savjetu, Evropskom ekonomskom i socijalnom komitetu i Komitetu regiona</w:t>
      </w:r>
    </w:p>
    <w:p w:rsidR="003C3AD2" w:rsidRPr="003C3AD2" w:rsidRDefault="003C3AD2" w:rsidP="003C3AD2">
      <w:pPr>
        <w:spacing w:after="0"/>
        <w:jc w:val="center"/>
        <w:rPr>
          <w:b/>
        </w:rPr>
      </w:pPr>
    </w:p>
    <w:p w:rsidR="003C3AD2" w:rsidRPr="00095948" w:rsidRDefault="003C3AD2" w:rsidP="003C3AD2">
      <w:pPr>
        <w:spacing w:after="0"/>
        <w:jc w:val="center"/>
        <w:rPr>
          <w:b/>
          <w:lang w:val="fr-FR"/>
        </w:rPr>
      </w:pPr>
      <w:r w:rsidRPr="00095948">
        <w:rPr>
          <w:b/>
          <w:lang w:val="fr-FR"/>
        </w:rPr>
        <w:t xml:space="preserve">Saopštenje </w:t>
      </w:r>
      <w:r w:rsidR="00163CB4" w:rsidRPr="00095948">
        <w:rPr>
          <w:b/>
          <w:lang w:val="fr-FR"/>
        </w:rPr>
        <w:t>o politici proširenja EU za 2020</w:t>
      </w:r>
      <w:r w:rsidRPr="00095948">
        <w:rPr>
          <w:b/>
          <w:lang w:val="fr-FR"/>
        </w:rPr>
        <w:t>. godinu</w:t>
      </w:r>
    </w:p>
    <w:p w:rsidR="003C3AD2" w:rsidRPr="00095948" w:rsidRDefault="003C3AD2" w:rsidP="003C3AD2">
      <w:pPr>
        <w:spacing w:after="0"/>
        <w:jc w:val="center"/>
        <w:rPr>
          <w:lang w:val="fr-FR"/>
        </w:rPr>
      </w:pPr>
    </w:p>
    <w:p w:rsidR="003C3AD2" w:rsidRDefault="003C3AD2" w:rsidP="003C3AD2">
      <w:pPr>
        <w:spacing w:after="0"/>
        <w:jc w:val="center"/>
      </w:pPr>
      <w:r>
        <w:rPr>
          <w:rFonts w:cs="Times New Roman"/>
        </w:rPr>
        <w:t>{COM(2020)660}</w:t>
      </w:r>
    </w:p>
    <w:p w:rsidR="003C3AD2" w:rsidRDefault="003C3AD2" w:rsidP="003C3AD2">
      <w:pPr>
        <w:spacing w:after="0"/>
        <w:jc w:val="center"/>
      </w:pPr>
    </w:p>
    <w:p w:rsidR="003C3AD2" w:rsidRPr="003C3AD2" w:rsidRDefault="003C3AD2" w:rsidP="003C3AD2">
      <w:pPr>
        <w:spacing w:after="0"/>
        <w:jc w:val="center"/>
      </w:pPr>
    </w:p>
    <w:p w:rsidR="00163CB4" w:rsidRDefault="003C3AD2" w:rsidP="003C3AD2">
      <w:pPr>
        <w:spacing w:after="0"/>
      </w:pPr>
      <w:r>
        <w:tab/>
      </w:r>
      <w:r>
        <w:tab/>
      </w:r>
      <w:r>
        <w:tab/>
      </w:r>
    </w:p>
    <w:p w:rsidR="00163CB4" w:rsidRDefault="00163CB4" w:rsidP="003C3AD2">
      <w:pPr>
        <w:spacing w:after="0"/>
      </w:pPr>
    </w:p>
    <w:p w:rsidR="00163CB4" w:rsidRDefault="00163CB4" w:rsidP="003C3AD2">
      <w:pPr>
        <w:spacing w:after="0"/>
      </w:pPr>
    </w:p>
    <w:p w:rsidR="00163CB4" w:rsidRDefault="00163CB4" w:rsidP="003C3AD2">
      <w:pPr>
        <w:spacing w:after="0"/>
      </w:pPr>
    </w:p>
    <w:p w:rsidR="00163CB4" w:rsidRDefault="00163CB4" w:rsidP="003C3AD2">
      <w:pPr>
        <w:spacing w:after="0"/>
      </w:pPr>
    </w:p>
    <w:p w:rsidR="00163CB4" w:rsidRDefault="00163CB4" w:rsidP="003C3AD2">
      <w:pPr>
        <w:spacing w:after="0"/>
      </w:pPr>
    </w:p>
    <w:p w:rsidR="00A63CE4" w:rsidRDefault="003C3AD2" w:rsidP="00A63CE4">
      <w:pPr>
        <w:spacing w:after="0"/>
      </w:pPr>
      <w:r>
        <w:tab/>
      </w:r>
      <w:r>
        <w:tab/>
      </w:r>
    </w:p>
    <w:p w:rsidR="00A63CE4" w:rsidRPr="00A63CE4" w:rsidRDefault="00A63CE4" w:rsidP="00A63CE4"/>
    <w:p w:rsidR="00A63CE4" w:rsidRPr="00A63CE4" w:rsidRDefault="00A63CE4" w:rsidP="00A63CE4">
      <w:bookmarkStart w:id="2" w:name="_GoBack"/>
      <w:bookmarkEnd w:id="2"/>
    </w:p>
    <w:p w:rsidR="00A63CE4" w:rsidRPr="00A63CE4" w:rsidRDefault="00A63CE4" w:rsidP="00A63CE4"/>
    <w:p w:rsidR="00A63CE4" w:rsidRPr="00A63CE4" w:rsidRDefault="00A63CE4" w:rsidP="00A63CE4"/>
    <w:p w:rsidR="00A63CE4" w:rsidRPr="00A63CE4" w:rsidRDefault="00A63CE4" w:rsidP="00A63CE4"/>
    <w:p w:rsidR="00A63CE4" w:rsidRDefault="00A63CE4" w:rsidP="00A63CE4"/>
    <w:p w:rsidR="003C3AD2" w:rsidRPr="00A63CE4" w:rsidRDefault="00A63CE4" w:rsidP="00A63CE4">
      <w:pPr>
        <w:tabs>
          <w:tab w:val="center" w:pos="4513"/>
        </w:tabs>
        <w:sectPr w:rsidR="003C3AD2" w:rsidRPr="00A63CE4" w:rsidSect="00A63CE4">
          <w:footerReference w:type="default" r:id="rId9"/>
          <w:type w:val="continuous"/>
          <w:pgSz w:w="11906" w:h="16838"/>
          <w:pgMar w:top="1440" w:right="1440" w:bottom="1440" w:left="1440" w:header="709" w:footer="709" w:gutter="0"/>
          <w:pgNumType w:start="0"/>
          <w:cols w:space="720"/>
          <w:titlePg/>
          <w:docGrid w:linePitch="360"/>
        </w:sectPr>
      </w:pPr>
      <w:r>
        <w:tab/>
      </w:r>
    </w:p>
    <w:sdt>
      <w:sdtPr>
        <w:rPr>
          <w:rFonts w:eastAsiaTheme="minorHAnsi" w:cstheme="minorBidi"/>
          <w:b w:val="0"/>
          <w:sz w:val="24"/>
          <w:szCs w:val="22"/>
        </w:rPr>
        <w:id w:val="-701624568"/>
        <w:docPartObj>
          <w:docPartGallery w:val="Table of Contents"/>
          <w:docPartUnique/>
        </w:docPartObj>
      </w:sdtPr>
      <w:sdtEndPr>
        <w:rPr>
          <w:bCs/>
          <w:noProof/>
        </w:rPr>
      </w:sdtEndPr>
      <w:sdtContent>
        <w:p w:rsidR="00E05C67" w:rsidRPr="009A2018" w:rsidRDefault="00114E75" w:rsidP="00EC1790">
          <w:pPr>
            <w:pStyle w:val="TOCHeading"/>
          </w:pPr>
          <w:r w:rsidRPr="009A2018">
            <w:t>Sadržaj</w:t>
          </w:r>
        </w:p>
        <w:p w:rsidR="00FC243E" w:rsidRDefault="00BE358F">
          <w:pPr>
            <w:pStyle w:val="TOC1"/>
            <w:rPr>
              <w:rFonts w:asciiTheme="minorHAnsi" w:eastAsiaTheme="minorEastAsia" w:hAnsiTheme="minorHAnsi" w:cstheme="minorBidi"/>
              <w:noProof/>
              <w:sz w:val="22"/>
              <w:szCs w:val="22"/>
              <w:lang w:val="en-US"/>
            </w:rPr>
          </w:pPr>
          <w:r w:rsidRPr="009A2018">
            <w:fldChar w:fldCharType="begin"/>
          </w:r>
          <w:r w:rsidR="006F16C6" w:rsidRPr="009A2018">
            <w:instrText xml:space="preserve"> TOC \o "1-3" \h \z \u </w:instrText>
          </w:r>
          <w:r w:rsidRPr="009A2018">
            <w:fldChar w:fldCharType="separate"/>
          </w:r>
          <w:hyperlink w:anchor="_Toc53362426" w:history="1">
            <w:r w:rsidR="00FC243E" w:rsidRPr="005F35A3">
              <w:rPr>
                <w:rStyle w:val="Hyperlink"/>
                <w:noProof/>
              </w:rPr>
              <w:t>1.</w:t>
            </w:r>
            <w:r w:rsidR="00FC243E">
              <w:rPr>
                <w:rFonts w:asciiTheme="minorHAnsi" w:eastAsiaTheme="minorEastAsia" w:hAnsiTheme="minorHAnsi" w:cstheme="minorBidi"/>
                <w:noProof/>
                <w:sz w:val="22"/>
                <w:szCs w:val="22"/>
                <w:lang w:val="en-US"/>
              </w:rPr>
              <w:tab/>
            </w:r>
            <w:r w:rsidR="00FC243E" w:rsidRPr="005F35A3">
              <w:rPr>
                <w:rStyle w:val="Hyperlink"/>
                <w:smallCaps/>
                <w:noProof/>
                <w:lang w:eastAsia="en-GB"/>
              </w:rPr>
              <w:t>Uvod</w:t>
            </w:r>
            <w:r w:rsidR="00FC243E">
              <w:rPr>
                <w:noProof/>
                <w:webHidden/>
              </w:rPr>
              <w:tab/>
            </w:r>
            <w:r>
              <w:rPr>
                <w:noProof/>
                <w:webHidden/>
              </w:rPr>
              <w:fldChar w:fldCharType="begin"/>
            </w:r>
            <w:r w:rsidR="00FC243E">
              <w:rPr>
                <w:noProof/>
                <w:webHidden/>
              </w:rPr>
              <w:instrText xml:space="preserve"> PAGEREF _Toc53362426 \h </w:instrText>
            </w:r>
            <w:r>
              <w:rPr>
                <w:noProof/>
                <w:webHidden/>
              </w:rPr>
            </w:r>
            <w:r>
              <w:rPr>
                <w:noProof/>
                <w:webHidden/>
              </w:rPr>
              <w:fldChar w:fldCharType="separate"/>
            </w:r>
            <w:r w:rsidR="00FC243E">
              <w:rPr>
                <w:noProof/>
                <w:webHidden/>
              </w:rPr>
              <w:t>3</w:t>
            </w:r>
            <w:r>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27" w:history="1">
            <w:r w:rsidR="00FC243E" w:rsidRPr="005F35A3">
              <w:rPr>
                <w:rStyle w:val="Hyperlink"/>
                <w:rFonts w:eastAsia="Calibri"/>
                <w:noProof/>
              </w:rPr>
              <w:t xml:space="preserve">1.1. </w:t>
            </w:r>
            <w:r w:rsidR="00FC243E">
              <w:rPr>
                <w:rFonts w:asciiTheme="minorHAnsi" w:eastAsiaTheme="minorEastAsia" w:hAnsiTheme="minorHAnsi" w:cstheme="minorBidi"/>
                <w:noProof/>
                <w:sz w:val="22"/>
                <w:szCs w:val="22"/>
                <w:lang w:val="en-US"/>
              </w:rPr>
              <w:tab/>
            </w:r>
            <w:r w:rsidR="00FC243E" w:rsidRPr="005F35A3">
              <w:rPr>
                <w:rStyle w:val="Hyperlink"/>
                <w:rFonts w:eastAsia="Calibri"/>
                <w:noProof/>
              </w:rPr>
              <w:t>Kontekst</w:t>
            </w:r>
            <w:r w:rsidR="00FC243E">
              <w:rPr>
                <w:noProof/>
                <w:webHidden/>
              </w:rPr>
              <w:tab/>
            </w:r>
            <w:r w:rsidR="00BE358F">
              <w:rPr>
                <w:noProof/>
                <w:webHidden/>
              </w:rPr>
              <w:fldChar w:fldCharType="begin"/>
            </w:r>
            <w:r w:rsidR="00FC243E">
              <w:rPr>
                <w:noProof/>
                <w:webHidden/>
              </w:rPr>
              <w:instrText xml:space="preserve"> PAGEREF _Toc53362427 \h </w:instrText>
            </w:r>
            <w:r w:rsidR="00BE358F">
              <w:rPr>
                <w:noProof/>
                <w:webHidden/>
              </w:rPr>
            </w:r>
            <w:r w:rsidR="00BE358F">
              <w:rPr>
                <w:noProof/>
                <w:webHidden/>
              </w:rPr>
              <w:fldChar w:fldCharType="separate"/>
            </w:r>
            <w:r w:rsidR="00FC243E">
              <w:rPr>
                <w:noProof/>
                <w:webHidden/>
              </w:rPr>
              <w:t>3</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28" w:history="1">
            <w:r w:rsidR="00FC243E" w:rsidRPr="005F35A3">
              <w:rPr>
                <w:rStyle w:val="Hyperlink"/>
                <w:rFonts w:eastAsia="Calibri"/>
                <w:noProof/>
              </w:rPr>
              <w:t xml:space="preserve">1.2. </w:t>
            </w:r>
            <w:r w:rsidR="00FC243E">
              <w:rPr>
                <w:rFonts w:asciiTheme="minorHAnsi" w:eastAsiaTheme="minorEastAsia" w:hAnsiTheme="minorHAnsi" w:cstheme="minorBidi"/>
                <w:noProof/>
                <w:sz w:val="22"/>
                <w:szCs w:val="22"/>
                <w:lang w:val="en-US"/>
              </w:rPr>
              <w:tab/>
            </w:r>
            <w:r w:rsidR="00FC243E" w:rsidRPr="005F35A3">
              <w:rPr>
                <w:rStyle w:val="Hyperlink"/>
                <w:rFonts w:eastAsia="Calibri"/>
                <w:noProof/>
              </w:rPr>
              <w:t>Sažetak</w:t>
            </w:r>
            <w:r w:rsidR="00FC243E">
              <w:rPr>
                <w:noProof/>
                <w:webHidden/>
              </w:rPr>
              <w:tab/>
            </w:r>
            <w:r w:rsidR="00BE358F">
              <w:rPr>
                <w:noProof/>
                <w:webHidden/>
              </w:rPr>
              <w:fldChar w:fldCharType="begin"/>
            </w:r>
            <w:r w:rsidR="00FC243E">
              <w:rPr>
                <w:noProof/>
                <w:webHidden/>
              </w:rPr>
              <w:instrText xml:space="preserve"> PAGEREF _Toc53362428 \h </w:instrText>
            </w:r>
            <w:r w:rsidR="00BE358F">
              <w:rPr>
                <w:noProof/>
                <w:webHidden/>
              </w:rPr>
            </w:r>
            <w:r w:rsidR="00BE358F">
              <w:rPr>
                <w:noProof/>
                <w:webHidden/>
              </w:rPr>
              <w:fldChar w:fldCharType="separate"/>
            </w:r>
            <w:r w:rsidR="00FC243E">
              <w:rPr>
                <w:noProof/>
                <w:webHidden/>
              </w:rPr>
              <w:t>3</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29" w:history="1">
            <w:r w:rsidR="00FC243E" w:rsidRPr="005F35A3">
              <w:rPr>
                <w:rStyle w:val="Hyperlink"/>
                <w:noProof/>
              </w:rPr>
              <w:t>1.3</w:t>
            </w:r>
            <w:r w:rsidR="00FC243E">
              <w:rPr>
                <w:rFonts w:asciiTheme="minorHAnsi" w:eastAsiaTheme="minorEastAsia" w:hAnsiTheme="minorHAnsi" w:cstheme="minorBidi"/>
                <w:noProof/>
                <w:sz w:val="22"/>
                <w:szCs w:val="22"/>
                <w:lang w:val="en-US"/>
              </w:rPr>
              <w:tab/>
            </w:r>
            <w:r w:rsidR="00FC243E" w:rsidRPr="005F35A3">
              <w:rPr>
                <w:rStyle w:val="Hyperlink"/>
                <w:noProof/>
              </w:rPr>
              <w:t>Presjek stanja pristupnih pregovora</w:t>
            </w:r>
            <w:r w:rsidR="00FC243E">
              <w:rPr>
                <w:noProof/>
                <w:webHidden/>
              </w:rPr>
              <w:tab/>
            </w:r>
            <w:r w:rsidR="00BE358F">
              <w:rPr>
                <w:noProof/>
                <w:webHidden/>
              </w:rPr>
              <w:fldChar w:fldCharType="begin"/>
            </w:r>
            <w:r w:rsidR="00FC243E">
              <w:rPr>
                <w:noProof/>
                <w:webHidden/>
              </w:rPr>
              <w:instrText xml:space="preserve"> PAGEREF _Toc53362429 \h </w:instrText>
            </w:r>
            <w:r w:rsidR="00BE358F">
              <w:rPr>
                <w:noProof/>
                <w:webHidden/>
              </w:rPr>
            </w:r>
            <w:r w:rsidR="00BE358F">
              <w:rPr>
                <w:noProof/>
                <w:webHidden/>
              </w:rPr>
              <w:fldChar w:fldCharType="separate"/>
            </w:r>
            <w:r w:rsidR="00FC243E">
              <w:rPr>
                <w:noProof/>
                <w:webHidden/>
              </w:rPr>
              <w:t>7</w:t>
            </w:r>
            <w:r w:rsidR="00BE358F">
              <w:rPr>
                <w:noProof/>
                <w:webHidden/>
              </w:rPr>
              <w:fldChar w:fldCharType="end"/>
            </w:r>
          </w:hyperlink>
        </w:p>
        <w:p w:rsidR="00FC243E" w:rsidRDefault="006A1F63">
          <w:pPr>
            <w:pStyle w:val="TOC1"/>
            <w:rPr>
              <w:rFonts w:asciiTheme="minorHAnsi" w:eastAsiaTheme="minorEastAsia" w:hAnsiTheme="minorHAnsi" w:cstheme="minorBidi"/>
              <w:noProof/>
              <w:sz w:val="22"/>
              <w:szCs w:val="22"/>
              <w:lang w:val="en-US"/>
            </w:rPr>
          </w:pPr>
          <w:hyperlink w:anchor="_Toc53362430" w:history="1">
            <w:r w:rsidR="00FC243E" w:rsidRPr="005F35A3">
              <w:rPr>
                <w:rStyle w:val="Hyperlink"/>
                <w:noProof/>
              </w:rPr>
              <w:t>2.</w:t>
            </w:r>
            <w:r w:rsidR="00FC243E">
              <w:rPr>
                <w:rFonts w:asciiTheme="minorHAnsi" w:eastAsiaTheme="minorEastAsia" w:hAnsiTheme="minorHAnsi" w:cstheme="minorBidi"/>
                <w:noProof/>
                <w:sz w:val="22"/>
                <w:szCs w:val="22"/>
                <w:lang w:val="en-US"/>
              </w:rPr>
              <w:tab/>
            </w:r>
            <w:r w:rsidR="00FC243E" w:rsidRPr="005F35A3">
              <w:rPr>
                <w:rStyle w:val="Hyperlink"/>
                <w:noProof/>
                <w:lang w:eastAsia="en-GB"/>
              </w:rPr>
              <w:t>Najprije osnovna pitanja: politički kriterijumi i vladavina prava</w:t>
            </w:r>
            <w:r w:rsidR="00FC243E">
              <w:rPr>
                <w:noProof/>
                <w:webHidden/>
              </w:rPr>
              <w:tab/>
            </w:r>
            <w:r w:rsidR="00BE358F">
              <w:rPr>
                <w:noProof/>
                <w:webHidden/>
              </w:rPr>
              <w:fldChar w:fldCharType="begin"/>
            </w:r>
            <w:r w:rsidR="00FC243E">
              <w:rPr>
                <w:noProof/>
                <w:webHidden/>
              </w:rPr>
              <w:instrText xml:space="preserve"> PAGEREF _Toc53362430 \h </w:instrText>
            </w:r>
            <w:r w:rsidR="00BE358F">
              <w:rPr>
                <w:noProof/>
                <w:webHidden/>
              </w:rPr>
            </w:r>
            <w:r w:rsidR="00BE358F">
              <w:rPr>
                <w:noProof/>
                <w:webHidden/>
              </w:rPr>
              <w:fldChar w:fldCharType="separate"/>
            </w:r>
            <w:r w:rsidR="00FC243E">
              <w:rPr>
                <w:noProof/>
                <w:webHidden/>
              </w:rPr>
              <w:t>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1" w:history="1">
            <w:r w:rsidR="00FC243E" w:rsidRPr="005F35A3">
              <w:rPr>
                <w:rStyle w:val="Hyperlink"/>
                <w:noProof/>
              </w:rPr>
              <w:t>2.1</w:t>
            </w:r>
            <w:r w:rsidR="00FC243E">
              <w:rPr>
                <w:rFonts w:asciiTheme="minorHAnsi" w:eastAsiaTheme="minorEastAsia" w:hAnsiTheme="minorHAnsi" w:cstheme="minorBidi"/>
                <w:noProof/>
                <w:sz w:val="22"/>
                <w:szCs w:val="22"/>
                <w:lang w:val="en-US"/>
              </w:rPr>
              <w:tab/>
            </w:r>
            <w:r w:rsidR="00FC243E" w:rsidRPr="005F35A3">
              <w:rPr>
                <w:rStyle w:val="Hyperlink"/>
                <w:noProof/>
                <w:lang w:eastAsia="it-IT"/>
              </w:rPr>
              <w:t>Funkcionisanje demokratskih institucija i reforma javne uprave</w:t>
            </w:r>
            <w:r w:rsidR="00FC243E">
              <w:rPr>
                <w:noProof/>
                <w:webHidden/>
              </w:rPr>
              <w:tab/>
            </w:r>
            <w:r w:rsidR="00BE358F">
              <w:rPr>
                <w:noProof/>
                <w:webHidden/>
              </w:rPr>
              <w:fldChar w:fldCharType="begin"/>
            </w:r>
            <w:r w:rsidR="00FC243E">
              <w:rPr>
                <w:noProof/>
                <w:webHidden/>
              </w:rPr>
              <w:instrText xml:space="preserve"> PAGEREF _Toc53362431 \h </w:instrText>
            </w:r>
            <w:r w:rsidR="00BE358F">
              <w:rPr>
                <w:noProof/>
                <w:webHidden/>
              </w:rPr>
            </w:r>
            <w:r w:rsidR="00BE358F">
              <w:rPr>
                <w:noProof/>
                <w:webHidden/>
              </w:rPr>
              <w:fldChar w:fldCharType="separate"/>
            </w:r>
            <w:r w:rsidR="00FC243E">
              <w:rPr>
                <w:noProof/>
                <w:webHidden/>
              </w:rPr>
              <w:t>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2" w:history="1">
            <w:r w:rsidR="00FC243E" w:rsidRPr="005F35A3">
              <w:rPr>
                <w:rStyle w:val="Hyperlink"/>
                <w:noProof/>
              </w:rPr>
              <w:t>2.1.1</w:t>
            </w:r>
            <w:r w:rsidR="00FC243E">
              <w:rPr>
                <w:rFonts w:asciiTheme="minorHAnsi" w:eastAsiaTheme="minorEastAsia" w:hAnsiTheme="minorHAnsi" w:cstheme="minorBidi"/>
                <w:noProof/>
                <w:sz w:val="22"/>
                <w:szCs w:val="22"/>
                <w:lang w:val="en-US"/>
              </w:rPr>
              <w:tab/>
            </w:r>
            <w:r w:rsidR="00FC243E" w:rsidRPr="005F35A3">
              <w:rPr>
                <w:rStyle w:val="Hyperlink"/>
                <w:noProof/>
              </w:rPr>
              <w:t>Demokratija</w:t>
            </w:r>
            <w:r w:rsidR="00FC243E">
              <w:rPr>
                <w:noProof/>
                <w:webHidden/>
              </w:rPr>
              <w:tab/>
            </w:r>
            <w:r w:rsidR="00BE358F">
              <w:rPr>
                <w:noProof/>
                <w:webHidden/>
              </w:rPr>
              <w:fldChar w:fldCharType="begin"/>
            </w:r>
            <w:r w:rsidR="00FC243E">
              <w:rPr>
                <w:noProof/>
                <w:webHidden/>
              </w:rPr>
              <w:instrText xml:space="preserve"> PAGEREF _Toc53362432 \h </w:instrText>
            </w:r>
            <w:r w:rsidR="00BE358F">
              <w:rPr>
                <w:noProof/>
                <w:webHidden/>
              </w:rPr>
            </w:r>
            <w:r w:rsidR="00BE358F">
              <w:rPr>
                <w:noProof/>
                <w:webHidden/>
              </w:rPr>
              <w:fldChar w:fldCharType="separate"/>
            </w:r>
            <w:r w:rsidR="00FC243E">
              <w:rPr>
                <w:noProof/>
                <w:webHidden/>
              </w:rPr>
              <w:t>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3" w:history="1">
            <w:r w:rsidR="00FC243E" w:rsidRPr="005F35A3">
              <w:rPr>
                <w:rStyle w:val="Hyperlink"/>
                <w:noProof/>
              </w:rPr>
              <w:t>2.1.2.</w:t>
            </w:r>
            <w:r w:rsidR="00FC243E">
              <w:rPr>
                <w:rFonts w:asciiTheme="minorHAnsi" w:eastAsiaTheme="minorEastAsia" w:hAnsiTheme="minorHAnsi" w:cstheme="minorBidi"/>
                <w:noProof/>
                <w:sz w:val="22"/>
                <w:szCs w:val="22"/>
                <w:lang w:val="en-US"/>
              </w:rPr>
              <w:tab/>
            </w:r>
            <w:r w:rsidR="00FC243E" w:rsidRPr="005F35A3">
              <w:rPr>
                <w:rStyle w:val="Hyperlink"/>
                <w:noProof/>
              </w:rPr>
              <w:t>Reforma javne uprave</w:t>
            </w:r>
            <w:r w:rsidR="00FC243E">
              <w:rPr>
                <w:noProof/>
                <w:webHidden/>
              </w:rPr>
              <w:tab/>
            </w:r>
            <w:r w:rsidR="00BE358F">
              <w:rPr>
                <w:noProof/>
                <w:webHidden/>
              </w:rPr>
              <w:fldChar w:fldCharType="begin"/>
            </w:r>
            <w:r w:rsidR="00FC243E">
              <w:rPr>
                <w:noProof/>
                <w:webHidden/>
              </w:rPr>
              <w:instrText xml:space="preserve"> PAGEREF _Toc53362433 \h </w:instrText>
            </w:r>
            <w:r w:rsidR="00BE358F">
              <w:rPr>
                <w:noProof/>
                <w:webHidden/>
              </w:rPr>
            </w:r>
            <w:r w:rsidR="00BE358F">
              <w:rPr>
                <w:noProof/>
                <w:webHidden/>
              </w:rPr>
              <w:fldChar w:fldCharType="separate"/>
            </w:r>
            <w:r w:rsidR="00FC243E">
              <w:rPr>
                <w:noProof/>
                <w:webHidden/>
              </w:rPr>
              <w:t>15</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4" w:history="1">
            <w:r w:rsidR="00FC243E" w:rsidRPr="005F35A3">
              <w:rPr>
                <w:rStyle w:val="Hyperlink"/>
                <w:noProof/>
              </w:rPr>
              <w:t>2.2</w:t>
            </w:r>
            <w:r w:rsidR="00FC243E">
              <w:rPr>
                <w:rFonts w:asciiTheme="minorHAnsi" w:eastAsiaTheme="minorEastAsia" w:hAnsiTheme="minorHAnsi" w:cstheme="minorBidi"/>
                <w:noProof/>
                <w:sz w:val="22"/>
                <w:szCs w:val="22"/>
                <w:lang w:val="en-US"/>
              </w:rPr>
              <w:tab/>
            </w:r>
            <w:r w:rsidR="00FC243E" w:rsidRPr="005F35A3">
              <w:rPr>
                <w:rStyle w:val="Hyperlink"/>
                <w:noProof/>
              </w:rPr>
              <w:t>Vladavina prava i temeljna prava</w:t>
            </w:r>
            <w:r w:rsidR="00FC243E">
              <w:rPr>
                <w:noProof/>
                <w:webHidden/>
              </w:rPr>
              <w:tab/>
            </w:r>
            <w:r w:rsidR="00BE358F">
              <w:rPr>
                <w:noProof/>
                <w:webHidden/>
              </w:rPr>
              <w:fldChar w:fldCharType="begin"/>
            </w:r>
            <w:r w:rsidR="00FC243E">
              <w:rPr>
                <w:noProof/>
                <w:webHidden/>
              </w:rPr>
              <w:instrText xml:space="preserve"> PAGEREF _Toc53362434 \h </w:instrText>
            </w:r>
            <w:r w:rsidR="00BE358F">
              <w:rPr>
                <w:noProof/>
                <w:webHidden/>
              </w:rPr>
            </w:r>
            <w:r w:rsidR="00BE358F">
              <w:rPr>
                <w:noProof/>
                <w:webHidden/>
              </w:rPr>
              <w:fldChar w:fldCharType="separate"/>
            </w:r>
            <w:r w:rsidR="00FC243E">
              <w:rPr>
                <w:noProof/>
                <w:webHidden/>
              </w:rPr>
              <w:t>18</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5" w:history="1">
            <w:r w:rsidR="00FC243E" w:rsidRPr="005F35A3">
              <w:rPr>
                <w:rStyle w:val="Hyperlink"/>
                <w:noProof/>
              </w:rPr>
              <w:t>2.2.1.</w:t>
            </w:r>
            <w:r w:rsidR="00FC243E">
              <w:rPr>
                <w:rFonts w:asciiTheme="minorHAnsi" w:eastAsiaTheme="minorEastAsia" w:hAnsiTheme="minorHAnsi" w:cstheme="minorBidi"/>
                <w:noProof/>
                <w:sz w:val="22"/>
                <w:szCs w:val="22"/>
                <w:lang w:val="en-US"/>
              </w:rPr>
              <w:tab/>
            </w:r>
            <w:r w:rsidR="00FC243E" w:rsidRPr="005F35A3">
              <w:rPr>
                <w:rStyle w:val="Hyperlink"/>
                <w:noProof/>
              </w:rPr>
              <w:t>Poglavlje 23: Pravosuđe i temeljna prava</w:t>
            </w:r>
            <w:r w:rsidR="00FC243E">
              <w:rPr>
                <w:noProof/>
                <w:webHidden/>
              </w:rPr>
              <w:tab/>
            </w:r>
            <w:r w:rsidR="00BE358F">
              <w:rPr>
                <w:noProof/>
                <w:webHidden/>
              </w:rPr>
              <w:fldChar w:fldCharType="begin"/>
            </w:r>
            <w:r w:rsidR="00FC243E">
              <w:rPr>
                <w:noProof/>
                <w:webHidden/>
              </w:rPr>
              <w:instrText xml:space="preserve"> PAGEREF _Toc53362435 \h </w:instrText>
            </w:r>
            <w:r w:rsidR="00BE358F">
              <w:rPr>
                <w:noProof/>
                <w:webHidden/>
              </w:rPr>
            </w:r>
            <w:r w:rsidR="00BE358F">
              <w:rPr>
                <w:noProof/>
                <w:webHidden/>
              </w:rPr>
              <w:fldChar w:fldCharType="separate"/>
            </w:r>
            <w:r w:rsidR="00FC243E">
              <w:rPr>
                <w:noProof/>
                <w:webHidden/>
              </w:rPr>
              <w:t>18</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6" w:history="1">
            <w:r w:rsidR="00FC243E" w:rsidRPr="005F35A3">
              <w:rPr>
                <w:rStyle w:val="Hyperlink"/>
                <w:noProof/>
              </w:rPr>
              <w:t>2.2.2</w:t>
            </w:r>
            <w:r w:rsidR="00FC243E">
              <w:rPr>
                <w:rFonts w:asciiTheme="minorHAnsi" w:eastAsiaTheme="minorEastAsia" w:hAnsiTheme="minorHAnsi" w:cstheme="minorBidi"/>
                <w:noProof/>
                <w:sz w:val="22"/>
                <w:szCs w:val="22"/>
                <w:lang w:val="en-US"/>
              </w:rPr>
              <w:tab/>
            </w:r>
            <w:r w:rsidR="00FC243E" w:rsidRPr="005F35A3">
              <w:rPr>
                <w:rStyle w:val="Hyperlink"/>
                <w:noProof/>
              </w:rPr>
              <w:t>Poglavlje 24: Pravda, sloboda i bezbjednost</w:t>
            </w:r>
            <w:r w:rsidR="00FC243E">
              <w:rPr>
                <w:noProof/>
                <w:webHidden/>
              </w:rPr>
              <w:tab/>
            </w:r>
            <w:r w:rsidR="00BE358F">
              <w:rPr>
                <w:noProof/>
                <w:webHidden/>
              </w:rPr>
              <w:fldChar w:fldCharType="begin"/>
            </w:r>
            <w:r w:rsidR="00FC243E">
              <w:rPr>
                <w:noProof/>
                <w:webHidden/>
              </w:rPr>
              <w:instrText xml:space="preserve"> PAGEREF _Toc53362436 \h </w:instrText>
            </w:r>
            <w:r w:rsidR="00BE358F">
              <w:rPr>
                <w:noProof/>
                <w:webHidden/>
              </w:rPr>
            </w:r>
            <w:r w:rsidR="00BE358F">
              <w:rPr>
                <w:noProof/>
                <w:webHidden/>
              </w:rPr>
              <w:fldChar w:fldCharType="separate"/>
            </w:r>
            <w:r w:rsidR="00FC243E">
              <w:rPr>
                <w:noProof/>
                <w:webHidden/>
              </w:rPr>
              <w:t>40</w:t>
            </w:r>
            <w:r w:rsidR="00BE358F">
              <w:rPr>
                <w:noProof/>
                <w:webHidden/>
              </w:rPr>
              <w:fldChar w:fldCharType="end"/>
            </w:r>
          </w:hyperlink>
        </w:p>
        <w:p w:rsidR="00FC243E" w:rsidRDefault="006A1F63">
          <w:pPr>
            <w:pStyle w:val="TOC1"/>
            <w:rPr>
              <w:rFonts w:asciiTheme="minorHAnsi" w:eastAsiaTheme="minorEastAsia" w:hAnsiTheme="minorHAnsi" w:cstheme="minorBidi"/>
              <w:noProof/>
              <w:sz w:val="22"/>
              <w:szCs w:val="22"/>
              <w:lang w:val="en-US"/>
            </w:rPr>
          </w:pPr>
          <w:hyperlink w:anchor="_Toc53362437" w:history="1">
            <w:r w:rsidR="00FC243E" w:rsidRPr="005F35A3">
              <w:rPr>
                <w:rStyle w:val="Hyperlink"/>
                <w:noProof/>
              </w:rPr>
              <w:t>3.</w:t>
            </w:r>
            <w:r w:rsidR="00FC243E">
              <w:rPr>
                <w:rFonts w:asciiTheme="minorHAnsi" w:eastAsiaTheme="minorEastAsia" w:hAnsiTheme="minorHAnsi" w:cstheme="minorBidi"/>
                <w:noProof/>
                <w:sz w:val="22"/>
                <w:szCs w:val="22"/>
                <w:lang w:val="en-US"/>
              </w:rPr>
              <w:tab/>
            </w:r>
            <w:r w:rsidR="00FC243E" w:rsidRPr="005F35A3">
              <w:rPr>
                <w:rStyle w:val="Hyperlink"/>
                <w:noProof/>
              </w:rPr>
              <w:t>Najprije osnovna pitanja: ekonomski razvoj i konkurentnost</w:t>
            </w:r>
            <w:r w:rsidR="00FC243E">
              <w:rPr>
                <w:noProof/>
                <w:webHidden/>
              </w:rPr>
              <w:tab/>
            </w:r>
            <w:r w:rsidR="00BE358F">
              <w:rPr>
                <w:noProof/>
                <w:webHidden/>
              </w:rPr>
              <w:fldChar w:fldCharType="begin"/>
            </w:r>
            <w:r w:rsidR="00FC243E">
              <w:rPr>
                <w:noProof/>
                <w:webHidden/>
              </w:rPr>
              <w:instrText xml:space="preserve"> PAGEREF _Toc53362437 \h </w:instrText>
            </w:r>
            <w:r w:rsidR="00BE358F">
              <w:rPr>
                <w:noProof/>
                <w:webHidden/>
              </w:rPr>
            </w:r>
            <w:r w:rsidR="00BE358F">
              <w:rPr>
                <w:noProof/>
                <w:webHidden/>
              </w:rPr>
              <w:fldChar w:fldCharType="separate"/>
            </w:r>
            <w:r w:rsidR="00FC243E">
              <w:rPr>
                <w:noProof/>
                <w:webHidden/>
              </w:rPr>
              <w:t>54</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8" w:history="1">
            <w:r w:rsidR="00FC243E" w:rsidRPr="005F35A3">
              <w:rPr>
                <w:rStyle w:val="Hyperlink"/>
                <w:noProof/>
              </w:rPr>
              <w:t>3.1.</w:t>
            </w:r>
            <w:r w:rsidR="00FC243E">
              <w:rPr>
                <w:rFonts w:asciiTheme="minorHAnsi" w:eastAsiaTheme="minorEastAsia" w:hAnsiTheme="minorHAnsi" w:cstheme="minorBidi"/>
                <w:noProof/>
                <w:sz w:val="22"/>
                <w:szCs w:val="22"/>
                <w:lang w:val="en-US"/>
              </w:rPr>
              <w:tab/>
            </w:r>
            <w:r w:rsidR="00FC243E" w:rsidRPr="005F35A3">
              <w:rPr>
                <w:rStyle w:val="Hyperlink"/>
                <w:noProof/>
              </w:rPr>
              <w:t>Postojanje funkcionalne tržišne ekonomije</w:t>
            </w:r>
            <w:r w:rsidR="00FC243E">
              <w:rPr>
                <w:noProof/>
                <w:webHidden/>
              </w:rPr>
              <w:tab/>
            </w:r>
            <w:r w:rsidR="00BE358F">
              <w:rPr>
                <w:noProof/>
                <w:webHidden/>
              </w:rPr>
              <w:fldChar w:fldCharType="begin"/>
            </w:r>
            <w:r w:rsidR="00FC243E">
              <w:rPr>
                <w:noProof/>
                <w:webHidden/>
              </w:rPr>
              <w:instrText xml:space="preserve"> PAGEREF _Toc53362438 \h </w:instrText>
            </w:r>
            <w:r w:rsidR="00BE358F">
              <w:rPr>
                <w:noProof/>
                <w:webHidden/>
              </w:rPr>
            </w:r>
            <w:r w:rsidR="00BE358F">
              <w:rPr>
                <w:noProof/>
                <w:webHidden/>
              </w:rPr>
              <w:fldChar w:fldCharType="separate"/>
            </w:r>
            <w:r w:rsidR="00FC243E">
              <w:rPr>
                <w:noProof/>
                <w:webHidden/>
              </w:rPr>
              <w:t>55</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39" w:history="1">
            <w:r w:rsidR="00FC243E" w:rsidRPr="005F35A3">
              <w:rPr>
                <w:rStyle w:val="Hyperlink"/>
                <w:noProof/>
              </w:rPr>
              <w:t>3.2.</w:t>
            </w:r>
            <w:r w:rsidR="00FC243E">
              <w:rPr>
                <w:rFonts w:asciiTheme="minorHAnsi" w:eastAsiaTheme="minorEastAsia" w:hAnsiTheme="minorHAnsi" w:cstheme="minorBidi"/>
                <w:noProof/>
                <w:sz w:val="22"/>
                <w:szCs w:val="22"/>
                <w:lang w:val="en-US"/>
              </w:rPr>
              <w:tab/>
            </w:r>
            <w:r w:rsidR="00FC243E" w:rsidRPr="005F35A3">
              <w:rPr>
                <w:rStyle w:val="Hyperlink"/>
                <w:noProof/>
              </w:rPr>
              <w:t>Kapacitet Crne Gore da se nosi sa pritiskom konkurencije i tržišnim snagama unutar EU</w:t>
            </w:r>
            <w:r w:rsidR="00FC243E">
              <w:rPr>
                <w:noProof/>
                <w:webHidden/>
              </w:rPr>
              <w:tab/>
            </w:r>
            <w:r w:rsidR="00BE358F">
              <w:rPr>
                <w:noProof/>
                <w:webHidden/>
              </w:rPr>
              <w:fldChar w:fldCharType="begin"/>
            </w:r>
            <w:r w:rsidR="00FC243E">
              <w:rPr>
                <w:noProof/>
                <w:webHidden/>
              </w:rPr>
              <w:instrText xml:space="preserve"> PAGEREF _Toc53362439 \h </w:instrText>
            </w:r>
            <w:r w:rsidR="00BE358F">
              <w:rPr>
                <w:noProof/>
                <w:webHidden/>
              </w:rPr>
            </w:r>
            <w:r w:rsidR="00BE358F">
              <w:rPr>
                <w:noProof/>
                <w:webHidden/>
              </w:rPr>
              <w:fldChar w:fldCharType="separate"/>
            </w:r>
            <w:r w:rsidR="00FC243E">
              <w:rPr>
                <w:noProof/>
                <w:webHidden/>
              </w:rPr>
              <w:t>62</w:t>
            </w:r>
            <w:r w:rsidR="00BE358F">
              <w:rPr>
                <w:noProof/>
                <w:webHidden/>
              </w:rPr>
              <w:fldChar w:fldCharType="end"/>
            </w:r>
          </w:hyperlink>
        </w:p>
        <w:p w:rsidR="00FC243E" w:rsidRDefault="006A1F63">
          <w:pPr>
            <w:pStyle w:val="TOC1"/>
            <w:rPr>
              <w:rFonts w:asciiTheme="minorHAnsi" w:eastAsiaTheme="minorEastAsia" w:hAnsiTheme="minorHAnsi" w:cstheme="minorBidi"/>
              <w:noProof/>
              <w:sz w:val="22"/>
              <w:szCs w:val="22"/>
              <w:lang w:val="en-US"/>
            </w:rPr>
          </w:pPr>
          <w:hyperlink w:anchor="_Toc53362440" w:history="1">
            <w:r w:rsidR="00FC243E" w:rsidRPr="005F35A3">
              <w:rPr>
                <w:rStyle w:val="Hyperlink"/>
                <w:noProof/>
              </w:rPr>
              <w:t>4.</w:t>
            </w:r>
            <w:r w:rsidR="00FC243E">
              <w:rPr>
                <w:rFonts w:asciiTheme="minorHAnsi" w:eastAsiaTheme="minorEastAsia" w:hAnsiTheme="minorHAnsi" w:cstheme="minorBidi"/>
                <w:noProof/>
                <w:sz w:val="22"/>
                <w:szCs w:val="22"/>
                <w:lang w:val="en-US"/>
              </w:rPr>
              <w:tab/>
            </w:r>
            <w:r w:rsidR="00FC243E" w:rsidRPr="005F35A3">
              <w:rPr>
                <w:rStyle w:val="Hyperlink"/>
                <w:noProof/>
              </w:rPr>
              <w:t>Dobrosusjedski odnosi i regionalna saradnja</w:t>
            </w:r>
            <w:r w:rsidR="00FC243E">
              <w:rPr>
                <w:noProof/>
                <w:webHidden/>
              </w:rPr>
              <w:tab/>
            </w:r>
            <w:r w:rsidR="00BE358F">
              <w:rPr>
                <w:noProof/>
                <w:webHidden/>
              </w:rPr>
              <w:fldChar w:fldCharType="begin"/>
            </w:r>
            <w:r w:rsidR="00FC243E">
              <w:rPr>
                <w:noProof/>
                <w:webHidden/>
              </w:rPr>
              <w:instrText xml:space="preserve"> PAGEREF _Toc53362440 \h </w:instrText>
            </w:r>
            <w:r w:rsidR="00BE358F">
              <w:rPr>
                <w:noProof/>
                <w:webHidden/>
              </w:rPr>
            </w:r>
            <w:r w:rsidR="00BE358F">
              <w:rPr>
                <w:noProof/>
                <w:webHidden/>
              </w:rPr>
              <w:fldChar w:fldCharType="separate"/>
            </w:r>
            <w:r w:rsidR="00FC243E">
              <w:rPr>
                <w:noProof/>
                <w:webHidden/>
              </w:rPr>
              <w:t>64</w:t>
            </w:r>
            <w:r w:rsidR="00BE358F">
              <w:rPr>
                <w:noProof/>
                <w:webHidden/>
              </w:rPr>
              <w:fldChar w:fldCharType="end"/>
            </w:r>
          </w:hyperlink>
        </w:p>
        <w:p w:rsidR="00FC243E" w:rsidRDefault="006A1F63">
          <w:pPr>
            <w:pStyle w:val="TOC1"/>
            <w:rPr>
              <w:rFonts w:asciiTheme="minorHAnsi" w:eastAsiaTheme="minorEastAsia" w:hAnsiTheme="minorHAnsi" w:cstheme="minorBidi"/>
              <w:noProof/>
              <w:sz w:val="22"/>
              <w:szCs w:val="22"/>
              <w:lang w:val="en-US"/>
            </w:rPr>
          </w:pPr>
          <w:hyperlink w:anchor="_Toc53362441" w:history="1">
            <w:r w:rsidR="00FC243E" w:rsidRPr="005F35A3">
              <w:rPr>
                <w:rStyle w:val="Hyperlink"/>
                <w:noProof/>
              </w:rPr>
              <w:t xml:space="preserve">5. </w:t>
            </w:r>
            <w:r w:rsidR="00FC243E">
              <w:rPr>
                <w:rFonts w:asciiTheme="minorHAnsi" w:eastAsiaTheme="minorEastAsia" w:hAnsiTheme="minorHAnsi" w:cstheme="minorBidi"/>
                <w:noProof/>
                <w:sz w:val="22"/>
                <w:szCs w:val="22"/>
                <w:lang w:val="en-US"/>
              </w:rPr>
              <w:tab/>
            </w:r>
            <w:r w:rsidR="00FC243E" w:rsidRPr="005F35A3">
              <w:rPr>
                <w:rStyle w:val="Hyperlink"/>
                <w:noProof/>
              </w:rPr>
              <w:t>Sposobnost preuzimanja obaveza iz članstva</w:t>
            </w:r>
            <w:r w:rsidR="00FC243E">
              <w:rPr>
                <w:noProof/>
                <w:webHidden/>
              </w:rPr>
              <w:tab/>
            </w:r>
            <w:r w:rsidR="00BE358F">
              <w:rPr>
                <w:noProof/>
                <w:webHidden/>
              </w:rPr>
              <w:fldChar w:fldCharType="begin"/>
            </w:r>
            <w:r w:rsidR="00FC243E">
              <w:rPr>
                <w:noProof/>
                <w:webHidden/>
              </w:rPr>
              <w:instrText xml:space="preserve"> PAGEREF _Toc53362441 \h </w:instrText>
            </w:r>
            <w:r w:rsidR="00BE358F">
              <w:rPr>
                <w:noProof/>
                <w:webHidden/>
              </w:rPr>
            </w:r>
            <w:r w:rsidR="00BE358F">
              <w:rPr>
                <w:noProof/>
                <w:webHidden/>
              </w:rPr>
              <w:fldChar w:fldCharType="separate"/>
            </w:r>
            <w:r w:rsidR="00FC243E">
              <w:rPr>
                <w:noProof/>
                <w:webHidden/>
              </w:rPr>
              <w:t>67</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2" w:history="1">
            <w:r w:rsidR="00FC243E" w:rsidRPr="005F35A3">
              <w:rPr>
                <w:rStyle w:val="Hyperlink"/>
                <w:noProof/>
              </w:rPr>
              <w:t>5.1</w:t>
            </w:r>
            <w:r w:rsidR="00FC243E">
              <w:rPr>
                <w:rFonts w:asciiTheme="minorHAnsi" w:eastAsiaTheme="minorEastAsia" w:hAnsiTheme="minorHAnsi" w:cstheme="minorBidi"/>
                <w:noProof/>
                <w:sz w:val="22"/>
                <w:szCs w:val="22"/>
                <w:lang w:val="en-US"/>
              </w:rPr>
              <w:tab/>
            </w:r>
            <w:r w:rsidR="00FC243E" w:rsidRPr="005F35A3">
              <w:rPr>
                <w:rStyle w:val="Hyperlink"/>
                <w:noProof/>
              </w:rPr>
              <w:t>Poglavlje 1: Sloboda kretanja robe</w:t>
            </w:r>
            <w:r w:rsidR="00FC243E">
              <w:rPr>
                <w:noProof/>
                <w:webHidden/>
              </w:rPr>
              <w:tab/>
            </w:r>
            <w:r w:rsidR="00BE358F">
              <w:rPr>
                <w:noProof/>
                <w:webHidden/>
              </w:rPr>
              <w:fldChar w:fldCharType="begin"/>
            </w:r>
            <w:r w:rsidR="00FC243E">
              <w:rPr>
                <w:noProof/>
                <w:webHidden/>
              </w:rPr>
              <w:instrText xml:space="preserve"> PAGEREF _Toc53362442 \h </w:instrText>
            </w:r>
            <w:r w:rsidR="00BE358F">
              <w:rPr>
                <w:noProof/>
                <w:webHidden/>
              </w:rPr>
            </w:r>
            <w:r w:rsidR="00BE358F">
              <w:rPr>
                <w:noProof/>
                <w:webHidden/>
              </w:rPr>
              <w:fldChar w:fldCharType="separate"/>
            </w:r>
            <w:r w:rsidR="00FC243E">
              <w:rPr>
                <w:noProof/>
                <w:webHidden/>
              </w:rPr>
              <w:t>67</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3" w:history="1">
            <w:r w:rsidR="00FC243E" w:rsidRPr="005F35A3">
              <w:rPr>
                <w:rStyle w:val="Hyperlink"/>
                <w:noProof/>
                <w:lang w:eastAsia="it-IT"/>
              </w:rPr>
              <w:t>5.2</w:t>
            </w:r>
            <w:r w:rsidR="00FC243E">
              <w:rPr>
                <w:rFonts w:asciiTheme="minorHAnsi" w:eastAsiaTheme="minorEastAsia" w:hAnsiTheme="minorHAnsi" w:cstheme="minorBidi"/>
                <w:noProof/>
                <w:sz w:val="22"/>
                <w:szCs w:val="22"/>
                <w:lang w:val="en-US"/>
              </w:rPr>
              <w:tab/>
            </w:r>
            <w:r w:rsidR="00FC243E" w:rsidRPr="005F35A3">
              <w:rPr>
                <w:rStyle w:val="Hyperlink"/>
                <w:noProof/>
                <w:lang w:eastAsia="it-IT"/>
              </w:rPr>
              <w:t>Poglavlje 2: Sloboda kretanja radnika</w:t>
            </w:r>
            <w:r w:rsidR="00FC243E">
              <w:rPr>
                <w:noProof/>
                <w:webHidden/>
              </w:rPr>
              <w:tab/>
            </w:r>
            <w:r w:rsidR="00BE358F">
              <w:rPr>
                <w:noProof/>
                <w:webHidden/>
              </w:rPr>
              <w:fldChar w:fldCharType="begin"/>
            </w:r>
            <w:r w:rsidR="00FC243E">
              <w:rPr>
                <w:noProof/>
                <w:webHidden/>
              </w:rPr>
              <w:instrText xml:space="preserve"> PAGEREF _Toc53362443 \h </w:instrText>
            </w:r>
            <w:r w:rsidR="00BE358F">
              <w:rPr>
                <w:noProof/>
                <w:webHidden/>
              </w:rPr>
            </w:r>
            <w:r w:rsidR="00BE358F">
              <w:rPr>
                <w:noProof/>
                <w:webHidden/>
              </w:rPr>
              <w:fldChar w:fldCharType="separate"/>
            </w:r>
            <w:r w:rsidR="00FC243E">
              <w:rPr>
                <w:noProof/>
                <w:webHidden/>
              </w:rPr>
              <w:t>69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4" w:history="1">
            <w:r w:rsidR="00FC243E" w:rsidRPr="005F35A3">
              <w:rPr>
                <w:rStyle w:val="Hyperlink"/>
                <w:rFonts w:eastAsia="Calibri"/>
                <w:bCs/>
                <w:noProof/>
              </w:rPr>
              <w:t>5.3</w:t>
            </w:r>
            <w:r w:rsidR="00FC243E">
              <w:rPr>
                <w:rFonts w:asciiTheme="minorHAnsi" w:eastAsiaTheme="minorEastAsia" w:hAnsiTheme="minorHAnsi" w:cstheme="minorBidi"/>
                <w:noProof/>
                <w:sz w:val="22"/>
                <w:szCs w:val="22"/>
                <w:lang w:val="en-US"/>
              </w:rPr>
              <w:tab/>
            </w:r>
            <w:r w:rsidR="00FC243E" w:rsidRPr="005F35A3">
              <w:rPr>
                <w:rStyle w:val="Hyperlink"/>
                <w:noProof/>
              </w:rPr>
              <w:t>Poglavlje 3: Pravo osnivanja preduzeća i sloboda pružanja usluga</w:t>
            </w:r>
            <w:r w:rsidR="00FC243E">
              <w:rPr>
                <w:noProof/>
                <w:webHidden/>
              </w:rPr>
              <w:tab/>
            </w:r>
            <w:r w:rsidR="00BE358F">
              <w:rPr>
                <w:noProof/>
                <w:webHidden/>
              </w:rPr>
              <w:fldChar w:fldCharType="begin"/>
            </w:r>
            <w:r w:rsidR="00FC243E">
              <w:rPr>
                <w:noProof/>
                <w:webHidden/>
              </w:rPr>
              <w:instrText xml:space="preserve"> PAGEREF _Toc53362444 \h </w:instrText>
            </w:r>
            <w:r w:rsidR="00BE358F">
              <w:rPr>
                <w:noProof/>
                <w:webHidden/>
              </w:rPr>
            </w:r>
            <w:r w:rsidR="00BE358F">
              <w:rPr>
                <w:noProof/>
                <w:webHidden/>
              </w:rPr>
              <w:fldChar w:fldCharType="separate"/>
            </w:r>
            <w:r w:rsidR="00FC243E">
              <w:rPr>
                <w:noProof/>
                <w:webHidden/>
              </w:rPr>
              <w:t>70</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5" w:history="1">
            <w:r w:rsidR="00FC243E" w:rsidRPr="005F35A3">
              <w:rPr>
                <w:rStyle w:val="Hyperlink"/>
                <w:noProof/>
              </w:rPr>
              <w:t>5.4</w:t>
            </w:r>
            <w:r w:rsidR="00FC243E">
              <w:rPr>
                <w:rFonts w:asciiTheme="minorHAnsi" w:eastAsiaTheme="minorEastAsia" w:hAnsiTheme="minorHAnsi" w:cstheme="minorBidi"/>
                <w:noProof/>
                <w:sz w:val="22"/>
                <w:szCs w:val="22"/>
                <w:lang w:val="en-US"/>
              </w:rPr>
              <w:tab/>
            </w:r>
            <w:r w:rsidR="00FC243E" w:rsidRPr="005F35A3">
              <w:rPr>
                <w:rStyle w:val="Hyperlink"/>
                <w:noProof/>
              </w:rPr>
              <w:t>Poglavlje 4: Sloboda kretanja kapitala</w:t>
            </w:r>
            <w:r w:rsidR="00FC243E">
              <w:rPr>
                <w:noProof/>
                <w:webHidden/>
              </w:rPr>
              <w:tab/>
            </w:r>
            <w:r w:rsidR="00BE358F">
              <w:rPr>
                <w:noProof/>
                <w:webHidden/>
              </w:rPr>
              <w:fldChar w:fldCharType="begin"/>
            </w:r>
            <w:r w:rsidR="00FC243E">
              <w:rPr>
                <w:noProof/>
                <w:webHidden/>
              </w:rPr>
              <w:instrText xml:space="preserve"> PAGEREF _Toc53362445 \h </w:instrText>
            </w:r>
            <w:r w:rsidR="00BE358F">
              <w:rPr>
                <w:noProof/>
                <w:webHidden/>
              </w:rPr>
            </w:r>
            <w:r w:rsidR="00BE358F">
              <w:rPr>
                <w:noProof/>
                <w:webHidden/>
              </w:rPr>
              <w:fldChar w:fldCharType="separate"/>
            </w:r>
            <w:r w:rsidR="00FC243E">
              <w:rPr>
                <w:noProof/>
                <w:webHidden/>
              </w:rPr>
              <w:t>70</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6" w:history="1">
            <w:r w:rsidR="00FC243E" w:rsidRPr="005F35A3">
              <w:rPr>
                <w:rStyle w:val="Hyperlink"/>
                <w:noProof/>
              </w:rPr>
              <w:t>5.5</w:t>
            </w:r>
            <w:r w:rsidR="00FC243E">
              <w:rPr>
                <w:rFonts w:asciiTheme="minorHAnsi" w:eastAsiaTheme="minorEastAsia" w:hAnsiTheme="minorHAnsi" w:cstheme="minorBidi"/>
                <w:noProof/>
                <w:sz w:val="22"/>
                <w:szCs w:val="22"/>
                <w:lang w:val="en-US"/>
              </w:rPr>
              <w:tab/>
            </w:r>
            <w:r w:rsidR="00FC243E" w:rsidRPr="005F35A3">
              <w:rPr>
                <w:rStyle w:val="Hyperlink"/>
                <w:noProof/>
              </w:rPr>
              <w:t>Poglavlje 5: Javne nabavke</w:t>
            </w:r>
            <w:r w:rsidR="00FC243E">
              <w:rPr>
                <w:noProof/>
                <w:webHidden/>
              </w:rPr>
              <w:tab/>
            </w:r>
            <w:r w:rsidR="00BE358F">
              <w:rPr>
                <w:noProof/>
                <w:webHidden/>
              </w:rPr>
              <w:fldChar w:fldCharType="begin"/>
            </w:r>
            <w:r w:rsidR="00FC243E">
              <w:rPr>
                <w:noProof/>
                <w:webHidden/>
              </w:rPr>
              <w:instrText xml:space="preserve"> PAGEREF _Toc53362446 \h </w:instrText>
            </w:r>
            <w:r w:rsidR="00BE358F">
              <w:rPr>
                <w:noProof/>
                <w:webHidden/>
              </w:rPr>
            </w:r>
            <w:r w:rsidR="00BE358F">
              <w:rPr>
                <w:noProof/>
                <w:webHidden/>
              </w:rPr>
              <w:fldChar w:fldCharType="separate"/>
            </w:r>
            <w:r w:rsidR="00FC243E">
              <w:rPr>
                <w:noProof/>
                <w:webHidden/>
              </w:rPr>
              <w:t>72</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7" w:history="1">
            <w:r w:rsidR="00FC243E" w:rsidRPr="005F35A3">
              <w:rPr>
                <w:rStyle w:val="Hyperlink"/>
                <w:noProof/>
              </w:rPr>
              <w:t>5.6</w:t>
            </w:r>
            <w:r w:rsidR="00FC243E">
              <w:rPr>
                <w:rFonts w:asciiTheme="minorHAnsi" w:eastAsiaTheme="minorEastAsia" w:hAnsiTheme="minorHAnsi" w:cstheme="minorBidi"/>
                <w:noProof/>
                <w:sz w:val="22"/>
                <w:szCs w:val="22"/>
                <w:lang w:val="en-US"/>
              </w:rPr>
              <w:tab/>
            </w:r>
            <w:r w:rsidR="00FC243E" w:rsidRPr="005F35A3">
              <w:rPr>
                <w:rStyle w:val="Hyperlink"/>
                <w:noProof/>
              </w:rPr>
              <w:t>Poglavlje 6: Privredno pravo</w:t>
            </w:r>
            <w:r w:rsidR="00FC243E">
              <w:rPr>
                <w:noProof/>
                <w:webHidden/>
              </w:rPr>
              <w:tab/>
            </w:r>
            <w:r w:rsidR="00BE358F">
              <w:rPr>
                <w:noProof/>
                <w:webHidden/>
              </w:rPr>
              <w:fldChar w:fldCharType="begin"/>
            </w:r>
            <w:r w:rsidR="00FC243E">
              <w:rPr>
                <w:noProof/>
                <w:webHidden/>
              </w:rPr>
              <w:instrText xml:space="preserve"> PAGEREF _Toc53362447 \h </w:instrText>
            </w:r>
            <w:r w:rsidR="00BE358F">
              <w:rPr>
                <w:noProof/>
                <w:webHidden/>
              </w:rPr>
            </w:r>
            <w:r w:rsidR="00BE358F">
              <w:rPr>
                <w:noProof/>
                <w:webHidden/>
              </w:rPr>
              <w:fldChar w:fldCharType="separate"/>
            </w:r>
            <w:r w:rsidR="00FC243E">
              <w:rPr>
                <w:noProof/>
                <w:webHidden/>
              </w:rPr>
              <w:t>74</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8" w:history="1">
            <w:r w:rsidR="00FC243E" w:rsidRPr="005F35A3">
              <w:rPr>
                <w:rStyle w:val="Hyperlink"/>
                <w:noProof/>
              </w:rPr>
              <w:t>5.7</w:t>
            </w:r>
            <w:r w:rsidR="00FC243E">
              <w:rPr>
                <w:rFonts w:asciiTheme="minorHAnsi" w:eastAsiaTheme="minorEastAsia" w:hAnsiTheme="minorHAnsi" w:cstheme="minorBidi"/>
                <w:noProof/>
                <w:sz w:val="22"/>
                <w:szCs w:val="22"/>
                <w:lang w:val="en-US"/>
              </w:rPr>
              <w:tab/>
            </w:r>
            <w:r w:rsidR="00FC243E" w:rsidRPr="005F35A3">
              <w:rPr>
                <w:rStyle w:val="Hyperlink"/>
                <w:noProof/>
              </w:rPr>
              <w:t>Poglavlje 7: Pravo intelektualne svojine</w:t>
            </w:r>
            <w:r w:rsidR="00FC243E">
              <w:rPr>
                <w:noProof/>
                <w:webHidden/>
              </w:rPr>
              <w:tab/>
            </w:r>
            <w:r w:rsidR="00BE358F">
              <w:rPr>
                <w:noProof/>
                <w:webHidden/>
              </w:rPr>
              <w:fldChar w:fldCharType="begin"/>
            </w:r>
            <w:r w:rsidR="00FC243E">
              <w:rPr>
                <w:noProof/>
                <w:webHidden/>
              </w:rPr>
              <w:instrText xml:space="preserve"> PAGEREF _Toc53362448 \h </w:instrText>
            </w:r>
            <w:r w:rsidR="00BE358F">
              <w:rPr>
                <w:noProof/>
                <w:webHidden/>
              </w:rPr>
            </w:r>
            <w:r w:rsidR="00BE358F">
              <w:rPr>
                <w:noProof/>
                <w:webHidden/>
              </w:rPr>
              <w:fldChar w:fldCharType="separate"/>
            </w:r>
            <w:r w:rsidR="00FC243E">
              <w:rPr>
                <w:noProof/>
                <w:webHidden/>
              </w:rPr>
              <w:t>75</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49" w:history="1">
            <w:r w:rsidR="00FC243E" w:rsidRPr="005F35A3">
              <w:rPr>
                <w:rStyle w:val="Hyperlink"/>
                <w:noProof/>
              </w:rPr>
              <w:t>5.8</w:t>
            </w:r>
            <w:r w:rsidR="00FC243E">
              <w:rPr>
                <w:rFonts w:asciiTheme="minorHAnsi" w:eastAsiaTheme="minorEastAsia" w:hAnsiTheme="minorHAnsi" w:cstheme="minorBidi"/>
                <w:noProof/>
                <w:sz w:val="22"/>
                <w:szCs w:val="22"/>
                <w:lang w:val="en-US"/>
              </w:rPr>
              <w:tab/>
            </w:r>
            <w:r w:rsidR="00FC243E" w:rsidRPr="005F35A3">
              <w:rPr>
                <w:rStyle w:val="Hyperlink"/>
                <w:noProof/>
              </w:rPr>
              <w:t>Poglavlje 8: Politika konkurencije</w:t>
            </w:r>
            <w:r w:rsidR="00FC243E">
              <w:rPr>
                <w:noProof/>
                <w:webHidden/>
              </w:rPr>
              <w:tab/>
            </w:r>
            <w:r w:rsidR="00BE358F">
              <w:rPr>
                <w:noProof/>
                <w:webHidden/>
              </w:rPr>
              <w:fldChar w:fldCharType="begin"/>
            </w:r>
            <w:r w:rsidR="00FC243E">
              <w:rPr>
                <w:noProof/>
                <w:webHidden/>
              </w:rPr>
              <w:instrText xml:space="preserve"> PAGEREF _Toc53362449 \h </w:instrText>
            </w:r>
            <w:r w:rsidR="00BE358F">
              <w:rPr>
                <w:noProof/>
                <w:webHidden/>
              </w:rPr>
            </w:r>
            <w:r w:rsidR="00BE358F">
              <w:rPr>
                <w:noProof/>
                <w:webHidden/>
              </w:rPr>
              <w:fldChar w:fldCharType="separate"/>
            </w:r>
            <w:r w:rsidR="00FC243E">
              <w:rPr>
                <w:noProof/>
                <w:webHidden/>
              </w:rPr>
              <w:t>76</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0" w:history="1">
            <w:r w:rsidR="00FC243E" w:rsidRPr="005F35A3">
              <w:rPr>
                <w:rStyle w:val="Hyperlink"/>
                <w:noProof/>
              </w:rPr>
              <w:t>5.9</w:t>
            </w:r>
            <w:r w:rsidR="00FC243E">
              <w:rPr>
                <w:rFonts w:asciiTheme="minorHAnsi" w:eastAsiaTheme="minorEastAsia" w:hAnsiTheme="minorHAnsi" w:cstheme="minorBidi"/>
                <w:noProof/>
                <w:sz w:val="22"/>
                <w:szCs w:val="22"/>
                <w:lang w:val="en-US"/>
              </w:rPr>
              <w:tab/>
            </w:r>
            <w:r w:rsidR="00FC243E" w:rsidRPr="005F35A3">
              <w:rPr>
                <w:rStyle w:val="Hyperlink"/>
                <w:noProof/>
              </w:rPr>
              <w:t>Poglavlje 9: Finansijske usluge</w:t>
            </w:r>
            <w:r w:rsidR="00FC243E">
              <w:rPr>
                <w:noProof/>
                <w:webHidden/>
              </w:rPr>
              <w:tab/>
            </w:r>
            <w:r w:rsidR="00BE358F">
              <w:rPr>
                <w:noProof/>
                <w:webHidden/>
              </w:rPr>
              <w:fldChar w:fldCharType="begin"/>
            </w:r>
            <w:r w:rsidR="00FC243E">
              <w:rPr>
                <w:noProof/>
                <w:webHidden/>
              </w:rPr>
              <w:instrText xml:space="preserve"> PAGEREF _Toc53362450 \h </w:instrText>
            </w:r>
            <w:r w:rsidR="00BE358F">
              <w:rPr>
                <w:noProof/>
                <w:webHidden/>
              </w:rPr>
            </w:r>
            <w:r w:rsidR="00BE358F">
              <w:rPr>
                <w:noProof/>
                <w:webHidden/>
              </w:rPr>
              <w:fldChar w:fldCharType="separate"/>
            </w:r>
            <w:r w:rsidR="00FC243E">
              <w:rPr>
                <w:noProof/>
                <w:webHidden/>
              </w:rPr>
              <w:t>79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1" w:history="1">
            <w:r w:rsidR="00FC243E" w:rsidRPr="005F35A3">
              <w:rPr>
                <w:rStyle w:val="Hyperlink"/>
                <w:noProof/>
              </w:rPr>
              <w:t>5.10</w:t>
            </w:r>
            <w:r w:rsidR="00FC243E">
              <w:rPr>
                <w:rFonts w:asciiTheme="minorHAnsi" w:eastAsiaTheme="minorEastAsia" w:hAnsiTheme="minorHAnsi" w:cstheme="minorBidi"/>
                <w:noProof/>
                <w:sz w:val="22"/>
                <w:szCs w:val="22"/>
                <w:lang w:val="en-US"/>
              </w:rPr>
              <w:tab/>
            </w:r>
            <w:r w:rsidR="00FC243E" w:rsidRPr="005F35A3">
              <w:rPr>
                <w:rStyle w:val="Hyperlink"/>
                <w:noProof/>
              </w:rPr>
              <w:t>Poglavlje 10: Informatičko društvo i mediji</w:t>
            </w:r>
            <w:r w:rsidR="00FC243E">
              <w:rPr>
                <w:noProof/>
                <w:webHidden/>
              </w:rPr>
              <w:tab/>
            </w:r>
            <w:r w:rsidR="00BE358F">
              <w:rPr>
                <w:noProof/>
                <w:webHidden/>
              </w:rPr>
              <w:fldChar w:fldCharType="begin"/>
            </w:r>
            <w:r w:rsidR="00FC243E">
              <w:rPr>
                <w:noProof/>
                <w:webHidden/>
              </w:rPr>
              <w:instrText xml:space="preserve"> PAGEREF _Toc53362451 \h </w:instrText>
            </w:r>
            <w:r w:rsidR="00BE358F">
              <w:rPr>
                <w:noProof/>
                <w:webHidden/>
              </w:rPr>
            </w:r>
            <w:r w:rsidR="00BE358F">
              <w:rPr>
                <w:noProof/>
                <w:webHidden/>
              </w:rPr>
              <w:fldChar w:fldCharType="separate"/>
            </w:r>
            <w:r w:rsidR="00FC243E">
              <w:rPr>
                <w:noProof/>
                <w:webHidden/>
              </w:rPr>
              <w:t>80</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2" w:history="1">
            <w:r w:rsidR="00FC243E" w:rsidRPr="005F35A3">
              <w:rPr>
                <w:rStyle w:val="Hyperlink"/>
                <w:noProof/>
              </w:rPr>
              <w:t>5. 11</w:t>
            </w:r>
            <w:r w:rsidR="00FC243E">
              <w:rPr>
                <w:rFonts w:asciiTheme="minorHAnsi" w:eastAsiaTheme="minorEastAsia" w:hAnsiTheme="minorHAnsi" w:cstheme="minorBidi"/>
                <w:noProof/>
                <w:sz w:val="22"/>
                <w:szCs w:val="22"/>
                <w:lang w:val="en-US"/>
              </w:rPr>
              <w:tab/>
            </w:r>
            <w:r w:rsidR="00FC243E" w:rsidRPr="005F35A3">
              <w:rPr>
                <w:rStyle w:val="Hyperlink"/>
                <w:noProof/>
              </w:rPr>
              <w:t>Poglavlje 11: Poljoprivreda i ruralni razvoj</w:t>
            </w:r>
            <w:r w:rsidR="00FC243E">
              <w:rPr>
                <w:noProof/>
                <w:webHidden/>
              </w:rPr>
              <w:tab/>
            </w:r>
            <w:r w:rsidR="00BE358F">
              <w:rPr>
                <w:noProof/>
                <w:webHidden/>
              </w:rPr>
              <w:fldChar w:fldCharType="begin"/>
            </w:r>
            <w:r w:rsidR="00FC243E">
              <w:rPr>
                <w:noProof/>
                <w:webHidden/>
              </w:rPr>
              <w:instrText xml:space="preserve"> PAGEREF _Toc53362452 \h </w:instrText>
            </w:r>
            <w:r w:rsidR="00BE358F">
              <w:rPr>
                <w:noProof/>
                <w:webHidden/>
              </w:rPr>
            </w:r>
            <w:r w:rsidR="00BE358F">
              <w:rPr>
                <w:noProof/>
                <w:webHidden/>
              </w:rPr>
              <w:fldChar w:fldCharType="separate"/>
            </w:r>
            <w:r w:rsidR="00FC243E">
              <w:rPr>
                <w:noProof/>
                <w:webHidden/>
              </w:rPr>
              <w:t>81</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3" w:history="1">
            <w:r w:rsidR="00FC243E" w:rsidRPr="005F35A3">
              <w:rPr>
                <w:rStyle w:val="Hyperlink"/>
                <w:noProof/>
              </w:rPr>
              <w:t>5. 12</w:t>
            </w:r>
            <w:r w:rsidR="00FC243E">
              <w:rPr>
                <w:rFonts w:asciiTheme="minorHAnsi" w:eastAsiaTheme="minorEastAsia" w:hAnsiTheme="minorHAnsi" w:cstheme="minorBidi"/>
                <w:noProof/>
                <w:sz w:val="22"/>
                <w:szCs w:val="22"/>
                <w:lang w:val="en-US"/>
              </w:rPr>
              <w:tab/>
            </w:r>
            <w:r w:rsidR="00FC243E" w:rsidRPr="005F35A3">
              <w:rPr>
                <w:rStyle w:val="Hyperlink"/>
                <w:noProof/>
              </w:rPr>
              <w:t>Poglavlje 12: Bezbjednost hrane, veterinarstvo i fitosanitarna politika</w:t>
            </w:r>
            <w:r w:rsidR="00FC243E">
              <w:rPr>
                <w:noProof/>
                <w:webHidden/>
              </w:rPr>
              <w:tab/>
            </w:r>
            <w:r w:rsidR="00BE358F">
              <w:rPr>
                <w:noProof/>
                <w:webHidden/>
              </w:rPr>
              <w:fldChar w:fldCharType="begin"/>
            </w:r>
            <w:r w:rsidR="00FC243E">
              <w:rPr>
                <w:noProof/>
                <w:webHidden/>
              </w:rPr>
              <w:instrText xml:space="preserve"> PAGEREF _Toc53362453 \h </w:instrText>
            </w:r>
            <w:r w:rsidR="00BE358F">
              <w:rPr>
                <w:noProof/>
                <w:webHidden/>
              </w:rPr>
            </w:r>
            <w:r w:rsidR="00BE358F">
              <w:rPr>
                <w:noProof/>
                <w:webHidden/>
              </w:rPr>
              <w:fldChar w:fldCharType="separate"/>
            </w:r>
            <w:r w:rsidR="00FC243E">
              <w:rPr>
                <w:noProof/>
                <w:webHidden/>
              </w:rPr>
              <w:t>82</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4" w:history="1">
            <w:r w:rsidR="00FC243E" w:rsidRPr="005F35A3">
              <w:rPr>
                <w:rStyle w:val="Hyperlink"/>
                <w:noProof/>
              </w:rPr>
              <w:t>5.13</w:t>
            </w:r>
            <w:r w:rsidR="00FC243E">
              <w:rPr>
                <w:rFonts w:asciiTheme="minorHAnsi" w:eastAsiaTheme="minorEastAsia" w:hAnsiTheme="minorHAnsi" w:cstheme="minorBidi"/>
                <w:noProof/>
                <w:sz w:val="22"/>
                <w:szCs w:val="22"/>
                <w:lang w:val="en-US"/>
              </w:rPr>
              <w:tab/>
            </w:r>
            <w:r w:rsidR="00FC243E" w:rsidRPr="005F35A3">
              <w:rPr>
                <w:rStyle w:val="Hyperlink"/>
                <w:noProof/>
              </w:rPr>
              <w:t>Poglavlje 13: Ribarstvo</w:t>
            </w:r>
            <w:r w:rsidR="00FC243E">
              <w:rPr>
                <w:noProof/>
                <w:webHidden/>
              </w:rPr>
              <w:tab/>
            </w:r>
            <w:r w:rsidR="00BE358F">
              <w:rPr>
                <w:noProof/>
                <w:webHidden/>
              </w:rPr>
              <w:fldChar w:fldCharType="begin"/>
            </w:r>
            <w:r w:rsidR="00FC243E">
              <w:rPr>
                <w:noProof/>
                <w:webHidden/>
              </w:rPr>
              <w:instrText xml:space="preserve"> PAGEREF _Toc53362454 \h </w:instrText>
            </w:r>
            <w:r w:rsidR="00BE358F">
              <w:rPr>
                <w:noProof/>
                <w:webHidden/>
              </w:rPr>
            </w:r>
            <w:r w:rsidR="00BE358F">
              <w:rPr>
                <w:noProof/>
                <w:webHidden/>
              </w:rPr>
              <w:fldChar w:fldCharType="separate"/>
            </w:r>
            <w:r w:rsidR="00FC243E">
              <w:rPr>
                <w:noProof/>
                <w:webHidden/>
              </w:rPr>
              <w:t>83</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5" w:history="1">
            <w:r w:rsidR="00FC243E" w:rsidRPr="005F35A3">
              <w:rPr>
                <w:rStyle w:val="Hyperlink"/>
                <w:noProof/>
              </w:rPr>
              <w:t>5.14</w:t>
            </w:r>
            <w:r w:rsidR="00FC243E">
              <w:rPr>
                <w:rFonts w:asciiTheme="minorHAnsi" w:eastAsiaTheme="minorEastAsia" w:hAnsiTheme="minorHAnsi" w:cstheme="minorBidi"/>
                <w:noProof/>
                <w:sz w:val="22"/>
                <w:szCs w:val="22"/>
                <w:lang w:val="en-US"/>
              </w:rPr>
              <w:tab/>
            </w:r>
            <w:r w:rsidR="00FC243E" w:rsidRPr="005F35A3">
              <w:rPr>
                <w:rStyle w:val="Hyperlink"/>
                <w:noProof/>
              </w:rPr>
              <w:t>Poglavlje 14: Saobraćajna politika</w:t>
            </w:r>
            <w:r w:rsidR="00FC243E">
              <w:rPr>
                <w:noProof/>
                <w:webHidden/>
              </w:rPr>
              <w:tab/>
            </w:r>
            <w:r w:rsidR="00BE358F">
              <w:rPr>
                <w:noProof/>
                <w:webHidden/>
              </w:rPr>
              <w:fldChar w:fldCharType="begin"/>
            </w:r>
            <w:r w:rsidR="00FC243E">
              <w:rPr>
                <w:noProof/>
                <w:webHidden/>
              </w:rPr>
              <w:instrText xml:space="preserve"> PAGEREF _Toc53362455 \h </w:instrText>
            </w:r>
            <w:r w:rsidR="00BE358F">
              <w:rPr>
                <w:noProof/>
                <w:webHidden/>
              </w:rPr>
            </w:r>
            <w:r w:rsidR="00BE358F">
              <w:rPr>
                <w:noProof/>
                <w:webHidden/>
              </w:rPr>
              <w:fldChar w:fldCharType="separate"/>
            </w:r>
            <w:r w:rsidR="00FC243E">
              <w:rPr>
                <w:noProof/>
                <w:webHidden/>
              </w:rPr>
              <w:t>84</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6" w:history="1">
            <w:r w:rsidR="00FC243E" w:rsidRPr="005F35A3">
              <w:rPr>
                <w:rStyle w:val="Hyperlink"/>
                <w:noProof/>
              </w:rPr>
              <w:t>5.15</w:t>
            </w:r>
            <w:r w:rsidR="00FC243E">
              <w:rPr>
                <w:rFonts w:asciiTheme="minorHAnsi" w:eastAsiaTheme="minorEastAsia" w:hAnsiTheme="minorHAnsi" w:cstheme="minorBidi"/>
                <w:noProof/>
                <w:sz w:val="22"/>
                <w:szCs w:val="22"/>
                <w:lang w:val="en-US"/>
              </w:rPr>
              <w:tab/>
            </w:r>
            <w:r w:rsidR="00FC243E" w:rsidRPr="005F35A3">
              <w:rPr>
                <w:rStyle w:val="Hyperlink"/>
                <w:noProof/>
              </w:rPr>
              <w:t>Poglavlje 15: Energetika</w:t>
            </w:r>
            <w:r w:rsidR="00FC243E">
              <w:rPr>
                <w:noProof/>
                <w:webHidden/>
              </w:rPr>
              <w:tab/>
            </w:r>
            <w:r w:rsidR="00BE358F">
              <w:rPr>
                <w:noProof/>
                <w:webHidden/>
              </w:rPr>
              <w:fldChar w:fldCharType="begin"/>
            </w:r>
            <w:r w:rsidR="00FC243E">
              <w:rPr>
                <w:noProof/>
                <w:webHidden/>
              </w:rPr>
              <w:instrText xml:space="preserve"> PAGEREF _Toc53362456 \h </w:instrText>
            </w:r>
            <w:r w:rsidR="00BE358F">
              <w:rPr>
                <w:noProof/>
                <w:webHidden/>
              </w:rPr>
            </w:r>
            <w:r w:rsidR="00BE358F">
              <w:rPr>
                <w:noProof/>
                <w:webHidden/>
              </w:rPr>
              <w:fldChar w:fldCharType="separate"/>
            </w:r>
            <w:r w:rsidR="00FC243E">
              <w:rPr>
                <w:noProof/>
                <w:webHidden/>
              </w:rPr>
              <w:t>86</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7" w:history="1">
            <w:r w:rsidR="00FC243E" w:rsidRPr="005F35A3">
              <w:rPr>
                <w:rStyle w:val="Hyperlink"/>
                <w:noProof/>
              </w:rPr>
              <w:t>5.16</w:t>
            </w:r>
            <w:r w:rsidR="00FC243E">
              <w:rPr>
                <w:rFonts w:asciiTheme="minorHAnsi" w:eastAsiaTheme="minorEastAsia" w:hAnsiTheme="minorHAnsi" w:cstheme="minorBidi"/>
                <w:noProof/>
                <w:sz w:val="22"/>
                <w:szCs w:val="22"/>
                <w:lang w:val="en-US"/>
              </w:rPr>
              <w:tab/>
            </w:r>
            <w:r w:rsidR="00FC243E" w:rsidRPr="005F35A3">
              <w:rPr>
                <w:rStyle w:val="Hyperlink"/>
                <w:noProof/>
              </w:rPr>
              <w:t>Poglavlje 16: Porezi</w:t>
            </w:r>
            <w:r w:rsidR="00FC243E">
              <w:rPr>
                <w:noProof/>
                <w:webHidden/>
              </w:rPr>
              <w:tab/>
            </w:r>
            <w:r w:rsidR="00BE358F">
              <w:rPr>
                <w:noProof/>
                <w:webHidden/>
              </w:rPr>
              <w:fldChar w:fldCharType="begin"/>
            </w:r>
            <w:r w:rsidR="00FC243E">
              <w:rPr>
                <w:noProof/>
                <w:webHidden/>
              </w:rPr>
              <w:instrText xml:space="preserve"> PAGEREF _Toc53362457 \h </w:instrText>
            </w:r>
            <w:r w:rsidR="00BE358F">
              <w:rPr>
                <w:noProof/>
                <w:webHidden/>
              </w:rPr>
            </w:r>
            <w:r w:rsidR="00BE358F">
              <w:rPr>
                <w:noProof/>
                <w:webHidden/>
              </w:rPr>
              <w:fldChar w:fldCharType="separate"/>
            </w:r>
            <w:r w:rsidR="00FC243E">
              <w:rPr>
                <w:noProof/>
                <w:webHidden/>
              </w:rPr>
              <w:t>89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8" w:history="1">
            <w:r w:rsidR="00FC243E" w:rsidRPr="005F35A3">
              <w:rPr>
                <w:rStyle w:val="Hyperlink"/>
                <w:noProof/>
              </w:rPr>
              <w:t>5.17</w:t>
            </w:r>
            <w:r w:rsidR="00FC243E">
              <w:rPr>
                <w:rFonts w:asciiTheme="minorHAnsi" w:eastAsiaTheme="minorEastAsia" w:hAnsiTheme="minorHAnsi" w:cstheme="minorBidi"/>
                <w:noProof/>
                <w:sz w:val="22"/>
                <w:szCs w:val="22"/>
                <w:lang w:val="en-US"/>
              </w:rPr>
              <w:tab/>
            </w:r>
            <w:r w:rsidR="00FC243E" w:rsidRPr="005F35A3">
              <w:rPr>
                <w:rStyle w:val="Hyperlink"/>
                <w:noProof/>
              </w:rPr>
              <w:t>Poglavlje 17: Ekonomska i monetarna politika</w:t>
            </w:r>
            <w:r w:rsidR="00FC243E">
              <w:rPr>
                <w:noProof/>
                <w:webHidden/>
              </w:rPr>
              <w:tab/>
            </w:r>
            <w:r w:rsidR="00BE358F">
              <w:rPr>
                <w:noProof/>
                <w:webHidden/>
              </w:rPr>
              <w:fldChar w:fldCharType="begin"/>
            </w:r>
            <w:r w:rsidR="00FC243E">
              <w:rPr>
                <w:noProof/>
                <w:webHidden/>
              </w:rPr>
              <w:instrText xml:space="preserve"> PAGEREF _Toc53362458 \h </w:instrText>
            </w:r>
            <w:r w:rsidR="00BE358F">
              <w:rPr>
                <w:noProof/>
                <w:webHidden/>
              </w:rPr>
            </w:r>
            <w:r w:rsidR="00BE358F">
              <w:rPr>
                <w:noProof/>
                <w:webHidden/>
              </w:rPr>
              <w:fldChar w:fldCharType="separate"/>
            </w:r>
            <w:r w:rsidR="00FC243E">
              <w:rPr>
                <w:noProof/>
                <w:webHidden/>
              </w:rPr>
              <w:t>90</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59" w:history="1">
            <w:r w:rsidR="00FC243E" w:rsidRPr="005F35A3">
              <w:rPr>
                <w:rStyle w:val="Hyperlink"/>
                <w:noProof/>
              </w:rPr>
              <w:t>5.18</w:t>
            </w:r>
            <w:r w:rsidR="00FC243E">
              <w:rPr>
                <w:rFonts w:asciiTheme="minorHAnsi" w:eastAsiaTheme="minorEastAsia" w:hAnsiTheme="minorHAnsi" w:cstheme="minorBidi"/>
                <w:noProof/>
                <w:sz w:val="22"/>
                <w:szCs w:val="22"/>
                <w:lang w:val="en-US"/>
              </w:rPr>
              <w:tab/>
            </w:r>
            <w:r w:rsidR="00FC243E" w:rsidRPr="005F35A3">
              <w:rPr>
                <w:rStyle w:val="Hyperlink"/>
                <w:noProof/>
              </w:rPr>
              <w:t>Poglavlje 18: Statistika</w:t>
            </w:r>
            <w:r w:rsidR="00FC243E">
              <w:rPr>
                <w:noProof/>
                <w:webHidden/>
              </w:rPr>
              <w:tab/>
            </w:r>
            <w:r w:rsidR="00BE358F">
              <w:rPr>
                <w:noProof/>
                <w:webHidden/>
              </w:rPr>
              <w:fldChar w:fldCharType="begin"/>
            </w:r>
            <w:r w:rsidR="00FC243E">
              <w:rPr>
                <w:noProof/>
                <w:webHidden/>
              </w:rPr>
              <w:instrText xml:space="preserve"> PAGEREF _Toc53362459 \h </w:instrText>
            </w:r>
            <w:r w:rsidR="00BE358F">
              <w:rPr>
                <w:noProof/>
                <w:webHidden/>
              </w:rPr>
            </w:r>
            <w:r w:rsidR="00BE358F">
              <w:rPr>
                <w:noProof/>
                <w:webHidden/>
              </w:rPr>
              <w:fldChar w:fldCharType="separate"/>
            </w:r>
            <w:r w:rsidR="00FC243E">
              <w:rPr>
                <w:noProof/>
                <w:webHidden/>
              </w:rPr>
              <w:t>91</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0" w:history="1">
            <w:r w:rsidR="00FC243E" w:rsidRPr="005F35A3">
              <w:rPr>
                <w:rStyle w:val="Hyperlink"/>
                <w:noProof/>
              </w:rPr>
              <w:t>5.19</w:t>
            </w:r>
            <w:r w:rsidR="00FC243E">
              <w:rPr>
                <w:rFonts w:asciiTheme="minorHAnsi" w:eastAsiaTheme="minorEastAsia" w:hAnsiTheme="minorHAnsi" w:cstheme="minorBidi"/>
                <w:noProof/>
                <w:sz w:val="22"/>
                <w:szCs w:val="22"/>
                <w:lang w:val="en-US"/>
              </w:rPr>
              <w:tab/>
            </w:r>
            <w:r w:rsidR="00FC243E" w:rsidRPr="005F35A3">
              <w:rPr>
                <w:rStyle w:val="Hyperlink"/>
                <w:noProof/>
              </w:rPr>
              <w:t>Poglavlje 19: Socijalna politika i zapošljavanje</w:t>
            </w:r>
            <w:r w:rsidR="00FC243E">
              <w:rPr>
                <w:noProof/>
                <w:webHidden/>
              </w:rPr>
              <w:tab/>
            </w:r>
            <w:r w:rsidR="00BE358F">
              <w:rPr>
                <w:noProof/>
                <w:webHidden/>
              </w:rPr>
              <w:fldChar w:fldCharType="begin"/>
            </w:r>
            <w:r w:rsidR="00FC243E">
              <w:rPr>
                <w:noProof/>
                <w:webHidden/>
              </w:rPr>
              <w:instrText xml:space="preserve"> PAGEREF _Toc53362460 \h </w:instrText>
            </w:r>
            <w:r w:rsidR="00BE358F">
              <w:rPr>
                <w:noProof/>
                <w:webHidden/>
              </w:rPr>
            </w:r>
            <w:r w:rsidR="00BE358F">
              <w:rPr>
                <w:noProof/>
                <w:webHidden/>
              </w:rPr>
              <w:fldChar w:fldCharType="separate"/>
            </w:r>
            <w:r w:rsidR="00FC243E">
              <w:rPr>
                <w:noProof/>
                <w:webHidden/>
              </w:rPr>
              <w:t>94</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1" w:history="1">
            <w:r w:rsidR="00FC243E" w:rsidRPr="005F35A3">
              <w:rPr>
                <w:rStyle w:val="Hyperlink"/>
                <w:noProof/>
              </w:rPr>
              <w:t>5.20</w:t>
            </w:r>
            <w:r w:rsidR="00FC243E">
              <w:rPr>
                <w:rFonts w:asciiTheme="minorHAnsi" w:eastAsiaTheme="minorEastAsia" w:hAnsiTheme="minorHAnsi" w:cstheme="minorBidi"/>
                <w:noProof/>
                <w:sz w:val="22"/>
                <w:szCs w:val="22"/>
                <w:lang w:val="en-US"/>
              </w:rPr>
              <w:tab/>
            </w:r>
            <w:r w:rsidR="00FC243E" w:rsidRPr="005F35A3">
              <w:rPr>
                <w:rStyle w:val="Hyperlink"/>
                <w:noProof/>
              </w:rPr>
              <w:t>Poglavlje 20: Preduzetništvo i industrijska politika</w:t>
            </w:r>
            <w:r w:rsidR="00FC243E">
              <w:rPr>
                <w:noProof/>
                <w:webHidden/>
              </w:rPr>
              <w:tab/>
            </w:r>
            <w:r w:rsidR="00BE358F">
              <w:rPr>
                <w:noProof/>
                <w:webHidden/>
              </w:rPr>
              <w:fldChar w:fldCharType="begin"/>
            </w:r>
            <w:r w:rsidR="00FC243E">
              <w:rPr>
                <w:noProof/>
                <w:webHidden/>
              </w:rPr>
              <w:instrText xml:space="preserve"> PAGEREF _Toc53362461 \h </w:instrText>
            </w:r>
            <w:r w:rsidR="00BE358F">
              <w:rPr>
                <w:noProof/>
                <w:webHidden/>
              </w:rPr>
            </w:r>
            <w:r w:rsidR="00BE358F">
              <w:rPr>
                <w:noProof/>
                <w:webHidden/>
              </w:rPr>
              <w:fldChar w:fldCharType="separate"/>
            </w:r>
            <w:r w:rsidR="00FC243E">
              <w:rPr>
                <w:noProof/>
                <w:webHidden/>
              </w:rPr>
              <w:t>96</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2" w:history="1">
            <w:r w:rsidR="00FC243E" w:rsidRPr="005F35A3">
              <w:rPr>
                <w:rStyle w:val="Hyperlink"/>
                <w:noProof/>
              </w:rPr>
              <w:t>5.21</w:t>
            </w:r>
            <w:r w:rsidR="00FC243E">
              <w:rPr>
                <w:rFonts w:asciiTheme="minorHAnsi" w:eastAsiaTheme="minorEastAsia" w:hAnsiTheme="minorHAnsi" w:cstheme="minorBidi"/>
                <w:noProof/>
                <w:sz w:val="22"/>
                <w:szCs w:val="22"/>
                <w:lang w:val="en-US"/>
              </w:rPr>
              <w:tab/>
            </w:r>
            <w:r w:rsidR="00FC243E" w:rsidRPr="005F35A3">
              <w:rPr>
                <w:rStyle w:val="Hyperlink"/>
                <w:noProof/>
              </w:rPr>
              <w:t>Poglavlje 21: Transevropske mreže</w:t>
            </w:r>
            <w:r w:rsidR="00FC243E">
              <w:rPr>
                <w:noProof/>
                <w:webHidden/>
              </w:rPr>
              <w:tab/>
            </w:r>
            <w:r w:rsidR="00BE358F">
              <w:rPr>
                <w:noProof/>
                <w:webHidden/>
              </w:rPr>
              <w:fldChar w:fldCharType="begin"/>
            </w:r>
            <w:r w:rsidR="00FC243E">
              <w:rPr>
                <w:noProof/>
                <w:webHidden/>
              </w:rPr>
              <w:instrText xml:space="preserve"> PAGEREF _Toc53362462 \h </w:instrText>
            </w:r>
            <w:r w:rsidR="00BE358F">
              <w:rPr>
                <w:noProof/>
                <w:webHidden/>
              </w:rPr>
            </w:r>
            <w:r w:rsidR="00BE358F">
              <w:rPr>
                <w:noProof/>
                <w:webHidden/>
              </w:rPr>
              <w:fldChar w:fldCharType="separate"/>
            </w:r>
            <w:r w:rsidR="00FC243E">
              <w:rPr>
                <w:noProof/>
                <w:webHidden/>
              </w:rPr>
              <w:t>97</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3" w:history="1">
            <w:r w:rsidR="00FC243E" w:rsidRPr="005F35A3">
              <w:rPr>
                <w:rStyle w:val="Hyperlink"/>
                <w:noProof/>
              </w:rPr>
              <w:t>5.22</w:t>
            </w:r>
            <w:r w:rsidR="00FC243E">
              <w:rPr>
                <w:rFonts w:asciiTheme="minorHAnsi" w:eastAsiaTheme="minorEastAsia" w:hAnsiTheme="minorHAnsi" w:cstheme="minorBidi"/>
                <w:noProof/>
                <w:sz w:val="22"/>
                <w:szCs w:val="22"/>
                <w:lang w:val="en-US"/>
              </w:rPr>
              <w:tab/>
            </w:r>
            <w:r w:rsidR="00FC243E" w:rsidRPr="005F35A3">
              <w:rPr>
                <w:rStyle w:val="Hyperlink"/>
                <w:noProof/>
              </w:rPr>
              <w:t>Poglavlje 22: Regionalna politika i koordinacija strukturnih instrumenata</w:t>
            </w:r>
            <w:r w:rsidR="00FC243E">
              <w:rPr>
                <w:noProof/>
                <w:webHidden/>
              </w:rPr>
              <w:tab/>
            </w:r>
            <w:r w:rsidR="00BE358F">
              <w:rPr>
                <w:noProof/>
                <w:webHidden/>
              </w:rPr>
              <w:fldChar w:fldCharType="begin"/>
            </w:r>
            <w:r w:rsidR="00FC243E">
              <w:rPr>
                <w:noProof/>
                <w:webHidden/>
              </w:rPr>
              <w:instrText xml:space="preserve"> PAGEREF _Toc53362463 \h </w:instrText>
            </w:r>
            <w:r w:rsidR="00BE358F">
              <w:rPr>
                <w:noProof/>
                <w:webHidden/>
              </w:rPr>
            </w:r>
            <w:r w:rsidR="00BE358F">
              <w:rPr>
                <w:noProof/>
                <w:webHidden/>
              </w:rPr>
              <w:fldChar w:fldCharType="separate"/>
            </w:r>
            <w:r w:rsidR="00FC243E">
              <w:rPr>
                <w:noProof/>
                <w:webHidden/>
              </w:rPr>
              <w:t>99</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4" w:history="1">
            <w:r w:rsidR="00FC243E" w:rsidRPr="005F35A3">
              <w:rPr>
                <w:rStyle w:val="Hyperlink"/>
                <w:noProof/>
              </w:rPr>
              <w:t>5.25</w:t>
            </w:r>
            <w:r w:rsidR="00FC243E">
              <w:rPr>
                <w:rFonts w:asciiTheme="minorHAnsi" w:eastAsiaTheme="minorEastAsia" w:hAnsiTheme="minorHAnsi" w:cstheme="minorBidi"/>
                <w:noProof/>
                <w:sz w:val="22"/>
                <w:szCs w:val="22"/>
                <w:lang w:val="en-US"/>
              </w:rPr>
              <w:tab/>
            </w:r>
            <w:r w:rsidR="00FC243E" w:rsidRPr="005F35A3">
              <w:rPr>
                <w:rStyle w:val="Hyperlink"/>
                <w:noProof/>
              </w:rPr>
              <w:t>Poglavlje 25: Nauka i istraživanje</w:t>
            </w:r>
            <w:r w:rsidR="00FC243E">
              <w:rPr>
                <w:noProof/>
                <w:webHidden/>
              </w:rPr>
              <w:tab/>
            </w:r>
            <w:r w:rsidR="00BE358F">
              <w:rPr>
                <w:noProof/>
                <w:webHidden/>
              </w:rPr>
              <w:fldChar w:fldCharType="begin"/>
            </w:r>
            <w:r w:rsidR="00FC243E">
              <w:rPr>
                <w:noProof/>
                <w:webHidden/>
              </w:rPr>
              <w:instrText xml:space="preserve"> PAGEREF _Toc53362464 \h </w:instrText>
            </w:r>
            <w:r w:rsidR="00BE358F">
              <w:rPr>
                <w:noProof/>
                <w:webHidden/>
              </w:rPr>
            </w:r>
            <w:r w:rsidR="00BE358F">
              <w:rPr>
                <w:noProof/>
                <w:webHidden/>
              </w:rPr>
              <w:fldChar w:fldCharType="separate"/>
            </w:r>
            <w:r w:rsidR="00FC243E">
              <w:rPr>
                <w:noProof/>
                <w:webHidden/>
              </w:rPr>
              <w:t>100</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5" w:history="1">
            <w:r w:rsidR="00FC243E" w:rsidRPr="005F35A3">
              <w:rPr>
                <w:rStyle w:val="Hyperlink"/>
                <w:noProof/>
              </w:rPr>
              <w:t>5.26</w:t>
            </w:r>
            <w:r w:rsidR="00FC243E">
              <w:rPr>
                <w:rFonts w:asciiTheme="minorHAnsi" w:eastAsiaTheme="minorEastAsia" w:hAnsiTheme="minorHAnsi" w:cstheme="minorBidi"/>
                <w:noProof/>
                <w:sz w:val="22"/>
                <w:szCs w:val="22"/>
                <w:lang w:val="en-US"/>
              </w:rPr>
              <w:tab/>
            </w:r>
            <w:r w:rsidR="00FC243E" w:rsidRPr="005F35A3">
              <w:rPr>
                <w:rStyle w:val="Hyperlink"/>
                <w:noProof/>
              </w:rPr>
              <w:t>Poglavlje 26: Obrazovanje i kultura</w:t>
            </w:r>
            <w:r w:rsidR="00FC243E">
              <w:rPr>
                <w:noProof/>
                <w:webHidden/>
              </w:rPr>
              <w:tab/>
            </w:r>
            <w:r w:rsidR="00BE358F">
              <w:rPr>
                <w:noProof/>
                <w:webHidden/>
              </w:rPr>
              <w:fldChar w:fldCharType="begin"/>
            </w:r>
            <w:r w:rsidR="00FC243E">
              <w:rPr>
                <w:noProof/>
                <w:webHidden/>
              </w:rPr>
              <w:instrText xml:space="preserve"> PAGEREF _Toc53362465 \h </w:instrText>
            </w:r>
            <w:r w:rsidR="00BE358F">
              <w:rPr>
                <w:noProof/>
                <w:webHidden/>
              </w:rPr>
            </w:r>
            <w:r w:rsidR="00BE358F">
              <w:rPr>
                <w:noProof/>
                <w:webHidden/>
              </w:rPr>
              <w:fldChar w:fldCharType="separate"/>
            </w:r>
            <w:r w:rsidR="00FC243E">
              <w:rPr>
                <w:noProof/>
                <w:webHidden/>
              </w:rPr>
              <w:t>102</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6" w:history="1">
            <w:r w:rsidR="00FC243E" w:rsidRPr="005F35A3">
              <w:rPr>
                <w:rStyle w:val="Hyperlink"/>
                <w:noProof/>
              </w:rPr>
              <w:t>5.27</w:t>
            </w:r>
            <w:r w:rsidR="00FC243E">
              <w:rPr>
                <w:rFonts w:asciiTheme="minorHAnsi" w:eastAsiaTheme="minorEastAsia" w:hAnsiTheme="minorHAnsi" w:cstheme="minorBidi"/>
                <w:noProof/>
                <w:sz w:val="22"/>
                <w:szCs w:val="22"/>
                <w:lang w:val="en-US"/>
              </w:rPr>
              <w:tab/>
            </w:r>
            <w:r w:rsidR="00FC243E" w:rsidRPr="005F35A3">
              <w:rPr>
                <w:rStyle w:val="Hyperlink"/>
                <w:noProof/>
              </w:rPr>
              <w:t>Poglavlje 27: Životna sredina i klimatske promjene</w:t>
            </w:r>
            <w:r w:rsidR="00FC243E">
              <w:rPr>
                <w:noProof/>
                <w:webHidden/>
              </w:rPr>
              <w:tab/>
            </w:r>
            <w:r w:rsidR="00BE358F">
              <w:rPr>
                <w:noProof/>
                <w:webHidden/>
              </w:rPr>
              <w:fldChar w:fldCharType="begin"/>
            </w:r>
            <w:r w:rsidR="00FC243E">
              <w:rPr>
                <w:noProof/>
                <w:webHidden/>
              </w:rPr>
              <w:instrText xml:space="preserve"> PAGEREF _Toc53362466 \h </w:instrText>
            </w:r>
            <w:r w:rsidR="00BE358F">
              <w:rPr>
                <w:noProof/>
                <w:webHidden/>
              </w:rPr>
            </w:r>
            <w:r w:rsidR="00BE358F">
              <w:rPr>
                <w:noProof/>
                <w:webHidden/>
              </w:rPr>
              <w:fldChar w:fldCharType="separate"/>
            </w:r>
            <w:r w:rsidR="00FC243E">
              <w:rPr>
                <w:noProof/>
                <w:webHidden/>
              </w:rPr>
              <w:t>104</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7" w:history="1">
            <w:r w:rsidR="00FC243E" w:rsidRPr="005F35A3">
              <w:rPr>
                <w:rStyle w:val="Hyperlink"/>
                <w:noProof/>
              </w:rPr>
              <w:t>5.28</w:t>
            </w:r>
            <w:r w:rsidR="00FC243E">
              <w:rPr>
                <w:rFonts w:asciiTheme="minorHAnsi" w:eastAsiaTheme="minorEastAsia" w:hAnsiTheme="minorHAnsi" w:cstheme="minorBidi"/>
                <w:noProof/>
                <w:sz w:val="22"/>
                <w:szCs w:val="22"/>
                <w:lang w:val="en-US"/>
              </w:rPr>
              <w:tab/>
            </w:r>
            <w:r w:rsidR="00FC243E" w:rsidRPr="005F35A3">
              <w:rPr>
                <w:rStyle w:val="Hyperlink"/>
                <w:noProof/>
              </w:rPr>
              <w:t>Poglavlje 28: Zaštita potrošača i zdravlja</w:t>
            </w:r>
            <w:r w:rsidR="00FC243E">
              <w:rPr>
                <w:noProof/>
                <w:webHidden/>
              </w:rPr>
              <w:tab/>
            </w:r>
            <w:r w:rsidR="00BE358F">
              <w:rPr>
                <w:noProof/>
                <w:webHidden/>
              </w:rPr>
              <w:fldChar w:fldCharType="begin"/>
            </w:r>
            <w:r w:rsidR="00FC243E">
              <w:rPr>
                <w:noProof/>
                <w:webHidden/>
              </w:rPr>
              <w:instrText xml:space="preserve"> PAGEREF _Toc53362467 \h </w:instrText>
            </w:r>
            <w:r w:rsidR="00BE358F">
              <w:rPr>
                <w:noProof/>
                <w:webHidden/>
              </w:rPr>
            </w:r>
            <w:r w:rsidR="00BE358F">
              <w:rPr>
                <w:noProof/>
                <w:webHidden/>
              </w:rPr>
              <w:fldChar w:fldCharType="separate"/>
            </w:r>
            <w:r w:rsidR="00FC243E">
              <w:rPr>
                <w:noProof/>
                <w:webHidden/>
              </w:rPr>
              <w:t>107</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8" w:history="1">
            <w:r w:rsidR="00FC243E" w:rsidRPr="005F35A3">
              <w:rPr>
                <w:rStyle w:val="Hyperlink"/>
                <w:noProof/>
              </w:rPr>
              <w:t>5.29</w:t>
            </w:r>
            <w:r w:rsidR="00FC243E">
              <w:rPr>
                <w:rFonts w:asciiTheme="minorHAnsi" w:eastAsiaTheme="minorEastAsia" w:hAnsiTheme="minorHAnsi" w:cstheme="minorBidi"/>
                <w:noProof/>
                <w:sz w:val="22"/>
                <w:szCs w:val="22"/>
                <w:lang w:val="en-US"/>
              </w:rPr>
              <w:tab/>
            </w:r>
            <w:r w:rsidR="00FC243E" w:rsidRPr="005F35A3">
              <w:rPr>
                <w:rStyle w:val="Hyperlink"/>
                <w:noProof/>
              </w:rPr>
              <w:t>Poglavlje 29: Carinska unija</w:t>
            </w:r>
            <w:r w:rsidR="00FC243E">
              <w:rPr>
                <w:noProof/>
                <w:webHidden/>
              </w:rPr>
              <w:tab/>
            </w:r>
            <w:r w:rsidR="00BE358F">
              <w:rPr>
                <w:noProof/>
                <w:webHidden/>
              </w:rPr>
              <w:fldChar w:fldCharType="begin"/>
            </w:r>
            <w:r w:rsidR="00FC243E">
              <w:rPr>
                <w:noProof/>
                <w:webHidden/>
              </w:rPr>
              <w:instrText xml:space="preserve"> PAGEREF _Toc53362468 \h </w:instrText>
            </w:r>
            <w:r w:rsidR="00BE358F">
              <w:rPr>
                <w:noProof/>
                <w:webHidden/>
              </w:rPr>
            </w:r>
            <w:r w:rsidR="00BE358F">
              <w:rPr>
                <w:noProof/>
                <w:webHidden/>
              </w:rPr>
              <w:fldChar w:fldCharType="separate"/>
            </w:r>
            <w:r w:rsidR="00FC243E">
              <w:rPr>
                <w:noProof/>
                <w:webHidden/>
              </w:rPr>
              <w:t>110</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69" w:history="1">
            <w:r w:rsidR="00FC243E" w:rsidRPr="005F35A3">
              <w:rPr>
                <w:rStyle w:val="Hyperlink"/>
                <w:noProof/>
              </w:rPr>
              <w:t>5.30</w:t>
            </w:r>
            <w:r w:rsidR="00FC243E">
              <w:rPr>
                <w:rFonts w:asciiTheme="minorHAnsi" w:eastAsiaTheme="minorEastAsia" w:hAnsiTheme="minorHAnsi" w:cstheme="minorBidi"/>
                <w:noProof/>
                <w:sz w:val="22"/>
                <w:szCs w:val="22"/>
                <w:lang w:val="en-US"/>
              </w:rPr>
              <w:tab/>
            </w:r>
            <w:r w:rsidR="00FC243E" w:rsidRPr="005F35A3">
              <w:rPr>
                <w:rStyle w:val="Hyperlink"/>
                <w:noProof/>
              </w:rPr>
              <w:t>Poglavlje 30: Vanjski odnosi</w:t>
            </w:r>
            <w:r w:rsidR="00FC243E">
              <w:rPr>
                <w:noProof/>
                <w:webHidden/>
              </w:rPr>
              <w:tab/>
            </w:r>
            <w:r w:rsidR="00BE358F">
              <w:rPr>
                <w:noProof/>
                <w:webHidden/>
              </w:rPr>
              <w:fldChar w:fldCharType="begin"/>
            </w:r>
            <w:r w:rsidR="00FC243E">
              <w:rPr>
                <w:noProof/>
                <w:webHidden/>
              </w:rPr>
              <w:instrText xml:space="preserve"> PAGEREF _Toc53362469 \h </w:instrText>
            </w:r>
            <w:r w:rsidR="00BE358F">
              <w:rPr>
                <w:noProof/>
                <w:webHidden/>
              </w:rPr>
            </w:r>
            <w:r w:rsidR="00BE358F">
              <w:rPr>
                <w:noProof/>
                <w:webHidden/>
              </w:rPr>
              <w:fldChar w:fldCharType="separate"/>
            </w:r>
            <w:r w:rsidR="00FC243E">
              <w:rPr>
                <w:noProof/>
                <w:webHidden/>
              </w:rPr>
              <w:t>111</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70" w:history="1">
            <w:r w:rsidR="00FC243E" w:rsidRPr="005F35A3">
              <w:rPr>
                <w:rStyle w:val="Hyperlink"/>
                <w:noProof/>
              </w:rPr>
              <w:t>5.31</w:t>
            </w:r>
            <w:r w:rsidR="00FC243E">
              <w:rPr>
                <w:rFonts w:asciiTheme="minorHAnsi" w:eastAsiaTheme="minorEastAsia" w:hAnsiTheme="minorHAnsi" w:cstheme="minorBidi"/>
                <w:noProof/>
                <w:sz w:val="22"/>
                <w:szCs w:val="22"/>
                <w:lang w:val="en-US"/>
              </w:rPr>
              <w:tab/>
            </w:r>
            <w:r w:rsidR="00FC243E" w:rsidRPr="005F35A3">
              <w:rPr>
                <w:rStyle w:val="Hyperlink"/>
                <w:noProof/>
              </w:rPr>
              <w:t>Poglavlje 31: Vanjska, bezbjednosna i odbrambena politika</w:t>
            </w:r>
            <w:r w:rsidR="00FC243E">
              <w:rPr>
                <w:noProof/>
                <w:webHidden/>
              </w:rPr>
              <w:tab/>
            </w:r>
            <w:r w:rsidR="00BE358F">
              <w:rPr>
                <w:noProof/>
                <w:webHidden/>
              </w:rPr>
              <w:fldChar w:fldCharType="begin"/>
            </w:r>
            <w:r w:rsidR="00FC243E">
              <w:rPr>
                <w:noProof/>
                <w:webHidden/>
              </w:rPr>
              <w:instrText xml:space="preserve"> PAGEREF _Toc53362470 \h </w:instrText>
            </w:r>
            <w:r w:rsidR="00BE358F">
              <w:rPr>
                <w:noProof/>
                <w:webHidden/>
              </w:rPr>
            </w:r>
            <w:r w:rsidR="00BE358F">
              <w:rPr>
                <w:noProof/>
                <w:webHidden/>
              </w:rPr>
              <w:fldChar w:fldCharType="separate"/>
            </w:r>
            <w:r w:rsidR="00FC243E">
              <w:rPr>
                <w:noProof/>
                <w:webHidden/>
              </w:rPr>
              <w:t>113</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71" w:history="1">
            <w:r w:rsidR="00FC243E" w:rsidRPr="005F35A3">
              <w:rPr>
                <w:rStyle w:val="Hyperlink"/>
                <w:noProof/>
              </w:rPr>
              <w:t>5.32</w:t>
            </w:r>
            <w:r w:rsidR="00FC243E">
              <w:rPr>
                <w:rFonts w:asciiTheme="minorHAnsi" w:eastAsiaTheme="minorEastAsia" w:hAnsiTheme="minorHAnsi" w:cstheme="minorBidi"/>
                <w:noProof/>
                <w:sz w:val="22"/>
                <w:szCs w:val="22"/>
                <w:lang w:val="en-US"/>
              </w:rPr>
              <w:tab/>
            </w:r>
            <w:r w:rsidR="00FC243E" w:rsidRPr="005F35A3">
              <w:rPr>
                <w:rStyle w:val="Hyperlink"/>
                <w:noProof/>
              </w:rPr>
              <w:t>Poglavlje 32: Finansijska kontrola</w:t>
            </w:r>
            <w:r w:rsidR="00FC243E">
              <w:rPr>
                <w:noProof/>
                <w:webHidden/>
              </w:rPr>
              <w:tab/>
            </w:r>
            <w:r w:rsidR="00BE358F">
              <w:rPr>
                <w:noProof/>
                <w:webHidden/>
              </w:rPr>
              <w:fldChar w:fldCharType="begin"/>
            </w:r>
            <w:r w:rsidR="00FC243E">
              <w:rPr>
                <w:noProof/>
                <w:webHidden/>
              </w:rPr>
              <w:instrText xml:space="preserve"> PAGEREF _Toc53362471 \h </w:instrText>
            </w:r>
            <w:r w:rsidR="00BE358F">
              <w:rPr>
                <w:noProof/>
                <w:webHidden/>
              </w:rPr>
            </w:r>
            <w:r w:rsidR="00BE358F">
              <w:rPr>
                <w:noProof/>
                <w:webHidden/>
              </w:rPr>
              <w:fldChar w:fldCharType="separate"/>
            </w:r>
            <w:r w:rsidR="00FC243E">
              <w:rPr>
                <w:noProof/>
                <w:webHidden/>
              </w:rPr>
              <w:t>114</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72" w:history="1">
            <w:r w:rsidR="00FC243E" w:rsidRPr="005F35A3">
              <w:rPr>
                <w:rStyle w:val="Hyperlink"/>
                <w:noProof/>
              </w:rPr>
              <w:t>5.33</w:t>
            </w:r>
            <w:r w:rsidR="00FC243E">
              <w:rPr>
                <w:rFonts w:asciiTheme="minorHAnsi" w:eastAsiaTheme="minorEastAsia" w:hAnsiTheme="minorHAnsi" w:cstheme="minorBidi"/>
                <w:noProof/>
                <w:sz w:val="22"/>
                <w:szCs w:val="22"/>
                <w:lang w:val="en-US"/>
              </w:rPr>
              <w:tab/>
            </w:r>
            <w:r w:rsidR="00FC243E" w:rsidRPr="005F35A3">
              <w:rPr>
                <w:rStyle w:val="Hyperlink"/>
                <w:noProof/>
              </w:rPr>
              <w:t>Poglavlje 33: Finansijske i budžetske odredbe</w:t>
            </w:r>
            <w:r w:rsidR="00FC243E">
              <w:rPr>
                <w:noProof/>
                <w:webHidden/>
              </w:rPr>
              <w:tab/>
            </w:r>
            <w:r w:rsidR="00BE358F">
              <w:rPr>
                <w:noProof/>
                <w:webHidden/>
              </w:rPr>
              <w:fldChar w:fldCharType="begin"/>
            </w:r>
            <w:r w:rsidR="00FC243E">
              <w:rPr>
                <w:noProof/>
                <w:webHidden/>
              </w:rPr>
              <w:instrText xml:space="preserve"> PAGEREF _Toc53362472 \h </w:instrText>
            </w:r>
            <w:r w:rsidR="00BE358F">
              <w:rPr>
                <w:noProof/>
                <w:webHidden/>
              </w:rPr>
            </w:r>
            <w:r w:rsidR="00BE358F">
              <w:rPr>
                <w:noProof/>
                <w:webHidden/>
              </w:rPr>
              <w:fldChar w:fldCharType="separate"/>
            </w:r>
            <w:r w:rsidR="00FC243E">
              <w:rPr>
                <w:noProof/>
                <w:webHidden/>
              </w:rPr>
              <w:t>116</w:t>
            </w:r>
            <w:r w:rsidR="00BE358F">
              <w:rPr>
                <w:noProof/>
                <w:webHidden/>
              </w:rPr>
              <w:fldChar w:fldCharType="end"/>
            </w:r>
          </w:hyperlink>
        </w:p>
        <w:p w:rsidR="00FC243E" w:rsidRDefault="006A1F63">
          <w:pPr>
            <w:pStyle w:val="TOC2"/>
            <w:rPr>
              <w:rFonts w:asciiTheme="minorHAnsi" w:eastAsiaTheme="minorEastAsia" w:hAnsiTheme="minorHAnsi" w:cstheme="minorBidi"/>
              <w:noProof/>
              <w:sz w:val="22"/>
              <w:szCs w:val="22"/>
              <w:lang w:val="en-US"/>
            </w:rPr>
          </w:pPr>
          <w:hyperlink w:anchor="_Toc53362473" w:history="1">
            <w:r w:rsidR="00FC243E" w:rsidRPr="005F35A3">
              <w:rPr>
                <w:rStyle w:val="Hyperlink"/>
                <w:noProof/>
              </w:rPr>
              <w:t>Aneks I – Odnosi između EU i Crne Gore</w:t>
            </w:r>
            <w:r w:rsidR="00FC243E">
              <w:rPr>
                <w:noProof/>
                <w:webHidden/>
              </w:rPr>
              <w:tab/>
            </w:r>
            <w:r w:rsidR="00BE358F">
              <w:rPr>
                <w:noProof/>
                <w:webHidden/>
              </w:rPr>
              <w:fldChar w:fldCharType="begin"/>
            </w:r>
            <w:r w:rsidR="00FC243E">
              <w:rPr>
                <w:noProof/>
                <w:webHidden/>
              </w:rPr>
              <w:instrText xml:space="preserve"> PAGEREF _Toc53362473 \h </w:instrText>
            </w:r>
            <w:r w:rsidR="00BE358F">
              <w:rPr>
                <w:noProof/>
                <w:webHidden/>
              </w:rPr>
            </w:r>
            <w:r w:rsidR="00BE358F">
              <w:rPr>
                <w:noProof/>
                <w:webHidden/>
              </w:rPr>
              <w:fldChar w:fldCharType="separate"/>
            </w:r>
            <w:r w:rsidR="00FC243E">
              <w:rPr>
                <w:noProof/>
                <w:webHidden/>
              </w:rPr>
              <w:t>118</w:t>
            </w:r>
            <w:r w:rsidR="00BE358F">
              <w:rPr>
                <w:noProof/>
                <w:webHidden/>
              </w:rPr>
              <w:fldChar w:fldCharType="end"/>
            </w:r>
          </w:hyperlink>
        </w:p>
        <w:p w:rsidR="00E05C67" w:rsidRPr="009A2018" w:rsidRDefault="00BE358F" w:rsidP="00EC1790">
          <w:r w:rsidRPr="009A2018">
            <w:rPr>
              <w:b/>
              <w:bCs/>
              <w:noProof/>
            </w:rPr>
            <w:fldChar w:fldCharType="end"/>
          </w:r>
        </w:p>
      </w:sdtContent>
    </w:sdt>
    <w:p w:rsidR="00751D6A" w:rsidRPr="009A2018" w:rsidRDefault="006F16C6" w:rsidP="00EC1790">
      <w:pPr>
        <w:spacing w:after="160" w:line="259" w:lineRule="auto"/>
        <w:rPr>
          <w:rFonts w:eastAsiaTheme="majorEastAsia" w:cs="Times New Roman"/>
          <w:b/>
          <w:noProof/>
          <w:szCs w:val="24"/>
          <w:lang w:eastAsia="it-IT"/>
        </w:rPr>
      </w:pPr>
      <w:r w:rsidRPr="009A2018">
        <w:rPr>
          <w:rFonts w:cs="Times New Roman"/>
          <w:noProof/>
          <w:szCs w:val="24"/>
        </w:rPr>
        <w:br w:type="page"/>
      </w:r>
    </w:p>
    <w:p w:rsidR="001D2979" w:rsidRPr="009A2018" w:rsidRDefault="006F16C6" w:rsidP="00EC1790">
      <w:pPr>
        <w:pStyle w:val="Heading1"/>
        <w:spacing w:before="0"/>
        <w:rPr>
          <w:rFonts w:cs="Times New Roman"/>
          <w:b w:val="0"/>
          <w:noProof/>
          <w:color w:val="auto"/>
          <w:szCs w:val="24"/>
        </w:rPr>
      </w:pPr>
      <w:bookmarkStart w:id="3" w:name="_Toc53362426"/>
      <w:r w:rsidRPr="009A2018">
        <w:rPr>
          <w:rFonts w:cs="Times New Roman"/>
          <w:noProof/>
          <w:color w:val="auto"/>
          <w:szCs w:val="24"/>
        </w:rPr>
        <w:lastRenderedPageBreak/>
        <w:t>1.</w:t>
      </w:r>
      <w:r w:rsidRPr="009A2018">
        <w:rPr>
          <w:rFonts w:cs="Times New Roman"/>
          <w:noProof/>
          <w:color w:val="auto"/>
          <w:szCs w:val="24"/>
        </w:rPr>
        <w:tab/>
      </w:r>
      <w:r w:rsidR="00114E75" w:rsidRPr="009A2018">
        <w:rPr>
          <w:rFonts w:eastAsiaTheme="minorEastAsia" w:cs="Times New Roman"/>
          <w:smallCaps/>
          <w:noProof/>
          <w:color w:val="auto"/>
          <w:szCs w:val="24"/>
          <w:lang w:eastAsia="en-GB"/>
        </w:rPr>
        <w:t>Uvod</w:t>
      </w:r>
      <w:bookmarkEnd w:id="1"/>
      <w:bookmarkEnd w:id="3"/>
    </w:p>
    <w:p w:rsidR="001D2979" w:rsidRPr="009A2018" w:rsidRDefault="006F16C6" w:rsidP="00EC1790">
      <w:pPr>
        <w:pStyle w:val="Heading2"/>
        <w:spacing w:before="0" w:line="240" w:lineRule="auto"/>
        <w:rPr>
          <w:rFonts w:eastAsia="Calibri" w:cs="Times New Roman"/>
          <w:b w:val="0"/>
          <w:noProof/>
          <w:szCs w:val="24"/>
        </w:rPr>
      </w:pPr>
      <w:bookmarkStart w:id="4" w:name="_Toc465318855"/>
      <w:bookmarkStart w:id="5" w:name="_Toc9585284"/>
      <w:bookmarkStart w:id="6" w:name="_Toc53362427"/>
      <w:bookmarkStart w:id="7" w:name="_Toc465318856"/>
      <w:r w:rsidRPr="009A2018">
        <w:rPr>
          <w:rFonts w:eastAsia="Calibri" w:cs="Times New Roman"/>
          <w:noProof/>
          <w:szCs w:val="24"/>
        </w:rPr>
        <w:t xml:space="preserve">1.1. </w:t>
      </w:r>
      <w:r w:rsidRPr="009A2018">
        <w:rPr>
          <w:rFonts w:eastAsia="Calibri" w:cs="Times New Roman"/>
          <w:noProof/>
          <w:szCs w:val="24"/>
        </w:rPr>
        <w:tab/>
      </w:r>
      <w:bookmarkEnd w:id="4"/>
      <w:bookmarkEnd w:id="5"/>
      <w:r w:rsidRPr="009A2018">
        <w:rPr>
          <w:rFonts w:eastAsia="Calibri" w:cs="Times New Roman"/>
          <w:noProof/>
          <w:szCs w:val="24"/>
        </w:rPr>
        <w:t>Kontekst</w:t>
      </w:r>
      <w:bookmarkEnd w:id="6"/>
    </w:p>
    <w:p w:rsidR="00557FD2" w:rsidRPr="009A2018" w:rsidRDefault="00557FD2" w:rsidP="00EC1790">
      <w:pPr>
        <w:spacing w:after="120" w:line="240" w:lineRule="auto"/>
        <w:jc w:val="both"/>
        <w:rPr>
          <w:rFonts w:eastAsia="Calibri" w:cs="Times New Roman"/>
          <w:noProof/>
          <w:szCs w:val="24"/>
        </w:rPr>
      </w:pPr>
      <w:r w:rsidRPr="009A2018">
        <w:rPr>
          <w:rFonts w:eastAsia="Calibri" w:cs="Times New Roman"/>
          <w:noProof/>
          <w:szCs w:val="24"/>
        </w:rPr>
        <w:t>Pristupni pregovori s Crnom Gorom otvoreni su u junu 2012. godine. Do da</w:t>
      </w:r>
      <w:r w:rsidR="003060AE" w:rsidRPr="009A2018">
        <w:rPr>
          <w:rFonts w:eastAsia="Calibri" w:cs="Times New Roman"/>
          <w:noProof/>
          <w:szCs w:val="24"/>
        </w:rPr>
        <w:t xml:space="preserve">nas su otvorena sva 33 </w:t>
      </w:r>
      <w:r w:rsidRPr="009A2018">
        <w:rPr>
          <w:rFonts w:eastAsia="Calibri" w:cs="Times New Roman"/>
          <w:noProof/>
          <w:szCs w:val="24"/>
        </w:rPr>
        <w:t xml:space="preserve">pregovaračka poglavlja, od kojih su tri privremeno zatvorena. Crna Gora je nastavila </w:t>
      </w:r>
      <w:r w:rsidR="00924B79" w:rsidRPr="009A2018">
        <w:rPr>
          <w:rFonts w:eastAsia="Calibri" w:cs="Times New Roman"/>
          <w:noProof/>
          <w:szCs w:val="24"/>
        </w:rPr>
        <w:t xml:space="preserve">da </w:t>
      </w:r>
      <w:r w:rsidR="0025291D" w:rsidRPr="009A2018">
        <w:rPr>
          <w:rFonts w:eastAsia="Calibri" w:cs="Times New Roman"/>
          <w:noProof/>
          <w:szCs w:val="24"/>
        </w:rPr>
        <w:t>opsežno</w:t>
      </w:r>
      <w:r w:rsidR="00AB2F16">
        <w:rPr>
          <w:rFonts w:eastAsia="Calibri" w:cs="Times New Roman"/>
          <w:noProof/>
          <w:szCs w:val="24"/>
        </w:rPr>
        <w:t xml:space="preserve"> </w:t>
      </w:r>
      <w:r w:rsidR="00924B79" w:rsidRPr="009A2018">
        <w:rPr>
          <w:rFonts w:eastAsia="Calibri" w:cs="Times New Roman"/>
          <w:noProof/>
          <w:szCs w:val="24"/>
        </w:rPr>
        <w:t>prim</w:t>
      </w:r>
      <w:r w:rsidR="002E6397" w:rsidRPr="009A2018">
        <w:rPr>
          <w:rFonts w:eastAsia="Calibri" w:cs="Times New Roman"/>
          <w:noProof/>
          <w:szCs w:val="24"/>
        </w:rPr>
        <w:t>j</w:t>
      </w:r>
      <w:r w:rsidR="00924B79" w:rsidRPr="009A2018">
        <w:rPr>
          <w:rFonts w:eastAsia="Calibri" w:cs="Times New Roman"/>
          <w:noProof/>
          <w:szCs w:val="24"/>
        </w:rPr>
        <w:t>enjuje</w:t>
      </w:r>
      <w:r w:rsidRPr="009A2018">
        <w:rPr>
          <w:rFonts w:eastAsia="Calibri" w:cs="Times New Roman"/>
          <w:noProof/>
          <w:szCs w:val="24"/>
        </w:rPr>
        <w:t xml:space="preserve"> Sporazum o stabilizaciji i pridruživanju (</w:t>
      </w:r>
      <w:r w:rsidR="00924B79" w:rsidRPr="009A2018">
        <w:rPr>
          <w:rFonts w:eastAsia="Calibri" w:cs="Times New Roman"/>
          <w:noProof/>
          <w:szCs w:val="24"/>
        </w:rPr>
        <w:t>SSP), a sastanci zajedničkih t</w:t>
      </w:r>
      <w:r w:rsidR="00CD5F2B" w:rsidRPr="009A2018">
        <w:rPr>
          <w:rFonts w:eastAsia="Calibri" w:cs="Times New Roman"/>
          <w:noProof/>
          <w:szCs w:val="24"/>
        </w:rPr>
        <w:t>ij</w:t>
      </w:r>
      <w:r w:rsidRPr="009A2018">
        <w:rPr>
          <w:rFonts w:eastAsia="Calibri" w:cs="Times New Roman"/>
          <w:noProof/>
          <w:szCs w:val="24"/>
        </w:rPr>
        <w:t>ela u okviru sporazuma odvijali su se u redovnim intervalima.</w:t>
      </w:r>
    </w:p>
    <w:p w:rsidR="00924B79" w:rsidRPr="009A2018" w:rsidRDefault="00924B79" w:rsidP="00EC1790">
      <w:pPr>
        <w:spacing w:after="120" w:line="240" w:lineRule="auto"/>
        <w:jc w:val="both"/>
        <w:rPr>
          <w:rFonts w:eastAsia="Calibri" w:cs="Times New Roman"/>
          <w:noProof/>
          <w:szCs w:val="24"/>
        </w:rPr>
      </w:pPr>
      <w:r w:rsidRPr="009A2018">
        <w:rPr>
          <w:rFonts w:eastAsia="Calibri" w:cs="Times New Roman"/>
          <w:noProof/>
          <w:szCs w:val="24"/>
        </w:rPr>
        <w:t>Poglavlje 8 (Konkurencija), poslednje pregovaračko poglavlje za Crnu Goru</w:t>
      </w:r>
      <w:r w:rsidR="004E061A" w:rsidRPr="009A2018">
        <w:rPr>
          <w:rFonts w:eastAsia="Calibri" w:cs="Times New Roman"/>
          <w:noProof/>
          <w:szCs w:val="24"/>
        </w:rPr>
        <w:t>,</w:t>
      </w:r>
      <w:r w:rsidRPr="009A2018">
        <w:rPr>
          <w:rFonts w:eastAsia="Calibri" w:cs="Times New Roman"/>
          <w:noProof/>
          <w:szCs w:val="24"/>
        </w:rPr>
        <w:t xml:space="preserve"> otvoreno je u junu 2020. godine. Ukupni napredak u pristupnim pregovorima zavisiće od napretka u oblasti vladavine prava, u skladu sa zaht</w:t>
      </w:r>
      <w:r w:rsidR="00CD5F2B" w:rsidRPr="009A2018">
        <w:rPr>
          <w:rFonts w:eastAsia="Calibri" w:cs="Times New Roman"/>
          <w:noProof/>
          <w:szCs w:val="24"/>
        </w:rPr>
        <w:t>j</w:t>
      </w:r>
      <w:r w:rsidRPr="009A2018">
        <w:rPr>
          <w:rFonts w:eastAsia="Calibri" w:cs="Times New Roman"/>
          <w:noProof/>
          <w:szCs w:val="24"/>
        </w:rPr>
        <w:t>evima iz Pregovaračkog okvira. Napred</w:t>
      </w:r>
      <w:r w:rsidR="0066424A" w:rsidRPr="009A2018">
        <w:rPr>
          <w:rFonts w:eastAsia="Calibri" w:cs="Times New Roman"/>
          <w:noProof/>
          <w:szCs w:val="24"/>
        </w:rPr>
        <w:t>ak u ispunjavanju pr</w:t>
      </w:r>
      <w:r w:rsidR="00FA13E2">
        <w:rPr>
          <w:rFonts w:eastAsia="Calibri" w:cs="Times New Roman"/>
          <w:noProof/>
          <w:szCs w:val="24"/>
        </w:rPr>
        <w:t>ivremenih</w:t>
      </w:r>
      <w:r w:rsidRPr="009A2018">
        <w:rPr>
          <w:rFonts w:eastAsia="Calibri" w:cs="Times New Roman"/>
          <w:noProof/>
          <w:szCs w:val="24"/>
        </w:rPr>
        <w:t xml:space="preserve"> m</w:t>
      </w:r>
      <w:r w:rsidR="00CD5F2B" w:rsidRPr="009A2018">
        <w:rPr>
          <w:rFonts w:eastAsia="Calibri" w:cs="Times New Roman"/>
          <w:noProof/>
          <w:szCs w:val="24"/>
        </w:rPr>
        <w:t>j</w:t>
      </w:r>
      <w:r w:rsidRPr="009A2018">
        <w:rPr>
          <w:rFonts w:eastAsia="Calibri" w:cs="Times New Roman"/>
          <w:noProof/>
          <w:szCs w:val="24"/>
        </w:rPr>
        <w:t>erila utvrđenih u poglavljima</w:t>
      </w:r>
      <w:r w:rsidR="0066424A" w:rsidRPr="009A2018">
        <w:rPr>
          <w:rFonts w:eastAsia="Calibri" w:cs="Times New Roman"/>
          <w:noProof/>
          <w:szCs w:val="24"/>
        </w:rPr>
        <w:t xml:space="preserve"> </w:t>
      </w:r>
      <w:r w:rsidR="00591BFC" w:rsidRPr="009A2018">
        <w:rPr>
          <w:rFonts w:eastAsia="Calibri" w:cs="Times New Roman"/>
          <w:noProof/>
          <w:szCs w:val="24"/>
        </w:rPr>
        <w:t xml:space="preserve">23 i 24 </w:t>
      </w:r>
      <w:r w:rsidR="00FA13E2">
        <w:rPr>
          <w:rFonts w:eastAsia="Calibri" w:cs="Times New Roman"/>
          <w:noProof/>
          <w:szCs w:val="24"/>
        </w:rPr>
        <w:t xml:space="preserve">posvećenim </w:t>
      </w:r>
      <w:r w:rsidR="00FA13E2" w:rsidRPr="009A2018">
        <w:rPr>
          <w:rFonts w:eastAsia="Calibri" w:cs="Times New Roman"/>
          <w:noProof/>
          <w:szCs w:val="24"/>
        </w:rPr>
        <w:t xml:space="preserve">vladavini prava </w:t>
      </w:r>
      <w:r w:rsidR="004E683C" w:rsidRPr="009A2018">
        <w:rPr>
          <w:rFonts w:eastAsia="Calibri" w:cs="Times New Roman"/>
          <w:noProof/>
          <w:szCs w:val="24"/>
        </w:rPr>
        <w:t xml:space="preserve">biće ključan za dalji </w:t>
      </w:r>
      <w:r w:rsidR="00FA13E2">
        <w:rPr>
          <w:rFonts w:eastAsia="Calibri" w:cs="Times New Roman"/>
          <w:noProof/>
          <w:szCs w:val="24"/>
        </w:rPr>
        <w:t>napredak</w:t>
      </w:r>
      <w:r w:rsidRPr="009A2018">
        <w:rPr>
          <w:rFonts w:eastAsia="Calibri" w:cs="Times New Roman"/>
          <w:noProof/>
          <w:szCs w:val="24"/>
        </w:rPr>
        <w:t xml:space="preserve"> ukupnih pregovora.</w:t>
      </w:r>
    </w:p>
    <w:p w:rsidR="0066424A" w:rsidRPr="009A2018" w:rsidRDefault="00337EF4" w:rsidP="00EC1790">
      <w:pPr>
        <w:pStyle w:val="ListParagraph"/>
        <w:spacing w:after="120" w:line="240" w:lineRule="auto"/>
        <w:ind w:left="0"/>
        <w:contextualSpacing w:val="0"/>
        <w:jc w:val="both"/>
        <w:rPr>
          <w:rFonts w:ascii="Times New Roman" w:hAnsi="Times New Roman" w:cs="Times New Roman"/>
          <w:sz w:val="24"/>
          <w:szCs w:val="24"/>
        </w:rPr>
      </w:pPr>
      <w:r w:rsidRPr="009A2018">
        <w:rPr>
          <w:rFonts w:ascii="Times New Roman" w:hAnsi="Times New Roman" w:cs="Times New Roman"/>
          <w:sz w:val="24"/>
          <w:szCs w:val="24"/>
        </w:rPr>
        <w:t>Javno političko opred</w:t>
      </w:r>
      <w:r w:rsidR="00CD5F2B" w:rsidRPr="009A2018">
        <w:rPr>
          <w:rFonts w:ascii="Times New Roman" w:hAnsi="Times New Roman" w:cs="Times New Roman"/>
          <w:sz w:val="24"/>
          <w:szCs w:val="24"/>
        </w:rPr>
        <w:t>j</w:t>
      </w:r>
      <w:r w:rsidR="0066424A" w:rsidRPr="009A2018">
        <w:rPr>
          <w:rFonts w:ascii="Times New Roman" w:hAnsi="Times New Roman" w:cs="Times New Roman"/>
          <w:sz w:val="24"/>
          <w:szCs w:val="24"/>
        </w:rPr>
        <w:t xml:space="preserve">eljenje crnogorskih vlasti </w:t>
      </w:r>
      <w:r w:rsidRPr="009A2018">
        <w:rPr>
          <w:rFonts w:ascii="Times New Roman" w:hAnsi="Times New Roman" w:cs="Times New Roman"/>
          <w:sz w:val="24"/>
          <w:szCs w:val="24"/>
        </w:rPr>
        <w:t xml:space="preserve">ka </w:t>
      </w:r>
      <w:r w:rsidR="0066424A" w:rsidRPr="009A2018">
        <w:rPr>
          <w:rFonts w:ascii="Times New Roman" w:hAnsi="Times New Roman" w:cs="Times New Roman"/>
          <w:sz w:val="24"/>
          <w:szCs w:val="24"/>
        </w:rPr>
        <w:t>strateškom cilju evropskih integracija redovno se i dosl</w:t>
      </w:r>
      <w:r w:rsidR="00CD5F2B" w:rsidRPr="009A2018">
        <w:rPr>
          <w:rFonts w:ascii="Times New Roman" w:hAnsi="Times New Roman" w:cs="Times New Roman"/>
          <w:sz w:val="24"/>
          <w:szCs w:val="24"/>
        </w:rPr>
        <w:t>j</w:t>
      </w:r>
      <w:r w:rsidR="0066424A" w:rsidRPr="009A2018">
        <w:rPr>
          <w:rFonts w:ascii="Times New Roman" w:hAnsi="Times New Roman" w:cs="Times New Roman"/>
          <w:sz w:val="24"/>
          <w:szCs w:val="24"/>
        </w:rPr>
        <w:t xml:space="preserve">edno navodi kao ključni prioritet za </w:t>
      </w:r>
      <w:r w:rsidRPr="009A2018">
        <w:rPr>
          <w:rFonts w:ascii="Times New Roman" w:hAnsi="Times New Roman" w:cs="Times New Roman"/>
          <w:sz w:val="24"/>
          <w:szCs w:val="24"/>
        </w:rPr>
        <w:t xml:space="preserve">ovu </w:t>
      </w:r>
      <w:r w:rsidR="00A902EA" w:rsidRPr="009A2018">
        <w:rPr>
          <w:rFonts w:ascii="Times New Roman" w:hAnsi="Times New Roman" w:cs="Times New Roman"/>
          <w:sz w:val="24"/>
          <w:szCs w:val="24"/>
        </w:rPr>
        <w:t>zemlju, a</w:t>
      </w:r>
      <w:r w:rsidR="0066424A" w:rsidRPr="009A2018">
        <w:rPr>
          <w:rFonts w:ascii="Times New Roman" w:hAnsi="Times New Roman" w:cs="Times New Roman"/>
          <w:sz w:val="24"/>
          <w:szCs w:val="24"/>
        </w:rPr>
        <w:t xml:space="preserve"> uglavnom se</w:t>
      </w:r>
      <w:r w:rsidR="00AB2F16">
        <w:rPr>
          <w:rFonts w:ascii="Times New Roman" w:hAnsi="Times New Roman" w:cs="Times New Roman"/>
          <w:sz w:val="24"/>
          <w:szCs w:val="24"/>
        </w:rPr>
        <w:t xml:space="preserve"> </w:t>
      </w:r>
      <w:r w:rsidRPr="009A2018">
        <w:rPr>
          <w:rFonts w:ascii="Times New Roman" w:hAnsi="Times New Roman" w:cs="Times New Roman"/>
          <w:sz w:val="24"/>
          <w:szCs w:val="24"/>
        </w:rPr>
        <w:t>prenosi</w:t>
      </w:r>
      <w:r w:rsidR="00AB2F16">
        <w:rPr>
          <w:rFonts w:ascii="Times New Roman" w:hAnsi="Times New Roman" w:cs="Times New Roman"/>
          <w:sz w:val="24"/>
          <w:szCs w:val="24"/>
        </w:rPr>
        <w:t xml:space="preserve"> </w:t>
      </w:r>
      <w:r w:rsidR="007F5E72" w:rsidRPr="009A2018">
        <w:rPr>
          <w:rFonts w:ascii="Times New Roman" w:hAnsi="Times New Roman" w:cs="Times New Roman"/>
          <w:sz w:val="24"/>
          <w:szCs w:val="24"/>
        </w:rPr>
        <w:t xml:space="preserve">i </w:t>
      </w:r>
      <w:r w:rsidR="00246E87" w:rsidRPr="009A2018">
        <w:rPr>
          <w:rFonts w:ascii="Times New Roman" w:hAnsi="Times New Roman" w:cs="Times New Roman"/>
          <w:sz w:val="24"/>
          <w:szCs w:val="24"/>
        </w:rPr>
        <w:t>na političke odluke</w:t>
      </w:r>
      <w:r w:rsidR="0066424A" w:rsidRPr="009A2018">
        <w:rPr>
          <w:rFonts w:ascii="Times New Roman" w:hAnsi="Times New Roman" w:cs="Times New Roman"/>
          <w:sz w:val="24"/>
          <w:szCs w:val="24"/>
        </w:rPr>
        <w:t>.</w:t>
      </w:r>
    </w:p>
    <w:p w:rsidR="00246E87" w:rsidRPr="009A2018" w:rsidRDefault="00246E87" w:rsidP="00EC1790">
      <w:pPr>
        <w:autoSpaceDE w:val="0"/>
        <w:autoSpaceDN w:val="0"/>
        <w:adjustRightInd w:val="0"/>
        <w:spacing w:after="120" w:line="240" w:lineRule="auto"/>
        <w:jc w:val="both"/>
        <w:rPr>
          <w:rFonts w:cs="Times New Roman"/>
          <w:szCs w:val="24"/>
        </w:rPr>
      </w:pPr>
      <w:r w:rsidRPr="009A2018">
        <w:rPr>
          <w:rFonts w:cs="Times New Roman"/>
          <w:szCs w:val="24"/>
        </w:rPr>
        <w:t>Pandemija</w:t>
      </w:r>
      <w:r w:rsidR="00A902EA" w:rsidRPr="009A2018">
        <w:rPr>
          <w:rFonts w:cs="Times New Roman"/>
          <w:szCs w:val="24"/>
        </w:rPr>
        <w:t xml:space="preserve"> virusa</w:t>
      </w:r>
      <w:r w:rsidRPr="009A2018">
        <w:rPr>
          <w:rFonts w:cs="Times New Roman"/>
          <w:szCs w:val="24"/>
        </w:rPr>
        <w:t xml:space="preserve"> COVID-19 g</w:t>
      </w:r>
      <w:r w:rsidR="00CD5F2B" w:rsidRPr="009A2018">
        <w:rPr>
          <w:rFonts w:cs="Times New Roman"/>
          <w:szCs w:val="24"/>
        </w:rPr>
        <w:t>lobalni je šok koji nije poštedi</w:t>
      </w:r>
      <w:r w:rsidR="0025291D" w:rsidRPr="009A2018">
        <w:rPr>
          <w:rFonts w:cs="Times New Roman"/>
          <w:szCs w:val="24"/>
        </w:rPr>
        <w:t>o Z</w:t>
      </w:r>
      <w:r w:rsidRPr="009A2018">
        <w:rPr>
          <w:rFonts w:cs="Times New Roman"/>
          <w:szCs w:val="24"/>
        </w:rPr>
        <w:t xml:space="preserve">apadni Balkan. </w:t>
      </w:r>
      <w:r w:rsidR="00CD3B4E" w:rsidRPr="009A2018">
        <w:rPr>
          <w:rFonts w:cs="Times New Roman"/>
          <w:szCs w:val="24"/>
        </w:rPr>
        <w:t>Još uv</w:t>
      </w:r>
      <w:r w:rsidR="00CD5F2B" w:rsidRPr="009A2018">
        <w:rPr>
          <w:rFonts w:cs="Times New Roman"/>
          <w:szCs w:val="24"/>
        </w:rPr>
        <w:t>ij</w:t>
      </w:r>
      <w:r w:rsidR="00CD3B4E" w:rsidRPr="009A2018">
        <w:rPr>
          <w:rFonts w:cs="Times New Roman"/>
          <w:szCs w:val="24"/>
        </w:rPr>
        <w:t>ek je te</w:t>
      </w:r>
      <w:r w:rsidRPr="009A2018">
        <w:rPr>
          <w:rFonts w:cs="Times New Roman"/>
          <w:szCs w:val="24"/>
        </w:rPr>
        <w:t>ško proc</w:t>
      </w:r>
      <w:r w:rsidR="00CD5F2B" w:rsidRPr="009A2018">
        <w:rPr>
          <w:rFonts w:cs="Times New Roman"/>
          <w:szCs w:val="24"/>
        </w:rPr>
        <w:t>ij</w:t>
      </w:r>
      <w:r w:rsidRPr="009A2018">
        <w:rPr>
          <w:rFonts w:cs="Times New Roman"/>
          <w:szCs w:val="24"/>
        </w:rPr>
        <w:t>eniti konačane razm</w:t>
      </w:r>
      <w:r w:rsidR="00CD5F2B" w:rsidRPr="009A2018">
        <w:rPr>
          <w:rFonts w:cs="Times New Roman"/>
          <w:szCs w:val="24"/>
        </w:rPr>
        <w:t>j</w:t>
      </w:r>
      <w:r w:rsidRPr="009A2018">
        <w:rPr>
          <w:rFonts w:cs="Times New Roman"/>
          <w:szCs w:val="24"/>
        </w:rPr>
        <w:t>ere posl</w:t>
      </w:r>
      <w:r w:rsidR="00CD5F2B" w:rsidRPr="009A2018">
        <w:rPr>
          <w:rFonts w:cs="Times New Roman"/>
          <w:szCs w:val="24"/>
        </w:rPr>
        <w:t>j</w:t>
      </w:r>
      <w:r w:rsidRPr="009A2018">
        <w:rPr>
          <w:rFonts w:cs="Times New Roman"/>
          <w:szCs w:val="24"/>
        </w:rPr>
        <w:t>edica</w:t>
      </w:r>
      <w:r w:rsidR="0025291D" w:rsidRPr="009A2018">
        <w:rPr>
          <w:rFonts w:cs="Times New Roman"/>
          <w:szCs w:val="24"/>
        </w:rPr>
        <w:t xml:space="preserve"> koje je ovaj virus proizveo u</w:t>
      </w:r>
      <w:r w:rsidR="00AB2F16">
        <w:rPr>
          <w:rFonts w:cs="Times New Roman"/>
          <w:szCs w:val="24"/>
        </w:rPr>
        <w:t xml:space="preserve"> </w:t>
      </w:r>
      <w:r w:rsidR="0025291D" w:rsidRPr="009A2018">
        <w:rPr>
          <w:rFonts w:cs="Times New Roman"/>
          <w:szCs w:val="24"/>
        </w:rPr>
        <w:t>ljudskim</w:t>
      </w:r>
      <w:r w:rsidR="00AB2F16">
        <w:rPr>
          <w:rFonts w:cs="Times New Roman"/>
          <w:szCs w:val="24"/>
        </w:rPr>
        <w:t xml:space="preserve"> </w:t>
      </w:r>
      <w:r w:rsidR="0025291D" w:rsidRPr="009A2018">
        <w:rPr>
          <w:rFonts w:cs="Times New Roman"/>
          <w:szCs w:val="24"/>
        </w:rPr>
        <w:t>gubicima</w:t>
      </w:r>
      <w:r w:rsidR="00AB2F16">
        <w:rPr>
          <w:rFonts w:cs="Times New Roman"/>
          <w:szCs w:val="24"/>
        </w:rPr>
        <w:t xml:space="preserve"> </w:t>
      </w:r>
      <w:r w:rsidR="0025291D" w:rsidRPr="009A2018">
        <w:rPr>
          <w:rFonts w:cs="Times New Roman"/>
          <w:szCs w:val="24"/>
        </w:rPr>
        <w:t>i ekonomskoj šteti</w:t>
      </w:r>
      <w:r w:rsidRPr="009A2018">
        <w:rPr>
          <w:rFonts w:cs="Times New Roman"/>
          <w:szCs w:val="24"/>
        </w:rPr>
        <w:t xml:space="preserve">, ali </w:t>
      </w:r>
      <w:r w:rsidR="00CD3B4E" w:rsidRPr="009A2018">
        <w:rPr>
          <w:rFonts w:cs="Times New Roman"/>
          <w:szCs w:val="24"/>
        </w:rPr>
        <w:t>prema prvim</w:t>
      </w:r>
      <w:r w:rsidRPr="009A2018">
        <w:rPr>
          <w:rFonts w:cs="Times New Roman"/>
          <w:szCs w:val="24"/>
        </w:rPr>
        <w:t xml:space="preserve"> proc</w:t>
      </w:r>
      <w:r w:rsidR="00CD5F2B" w:rsidRPr="009A2018">
        <w:rPr>
          <w:rFonts w:cs="Times New Roman"/>
          <w:szCs w:val="24"/>
        </w:rPr>
        <w:t>j</w:t>
      </w:r>
      <w:r w:rsidR="00AB2F16">
        <w:rPr>
          <w:rFonts w:cs="Times New Roman"/>
          <w:szCs w:val="24"/>
        </w:rPr>
        <w:t>enama, region će se suočiti s</w:t>
      </w:r>
      <w:r w:rsidRPr="009A2018">
        <w:rPr>
          <w:rFonts w:cs="Times New Roman"/>
          <w:szCs w:val="24"/>
        </w:rPr>
        <w:t xml:space="preserve"> pad</w:t>
      </w:r>
      <w:r w:rsidR="00CD3B4E" w:rsidRPr="009A2018">
        <w:rPr>
          <w:rFonts w:cs="Times New Roman"/>
          <w:szCs w:val="24"/>
        </w:rPr>
        <w:t>om</w:t>
      </w:r>
      <w:r w:rsidRPr="009A2018">
        <w:rPr>
          <w:rFonts w:cs="Times New Roman"/>
          <w:szCs w:val="24"/>
        </w:rPr>
        <w:t xml:space="preserve"> bruto domaćeg proizvoda između 4 i 6%</w:t>
      </w:r>
      <w:r w:rsidR="0025291D" w:rsidRPr="009A2018">
        <w:rPr>
          <w:rFonts w:cs="Times New Roman"/>
          <w:szCs w:val="24"/>
        </w:rPr>
        <w:t>. H</w:t>
      </w:r>
      <w:r w:rsidRPr="009A2018">
        <w:rPr>
          <w:rFonts w:cs="Times New Roman"/>
          <w:szCs w:val="24"/>
        </w:rPr>
        <w:t>i</w:t>
      </w:r>
      <w:r w:rsidR="00AB2F16">
        <w:rPr>
          <w:rFonts w:cs="Times New Roman"/>
          <w:szCs w:val="24"/>
        </w:rPr>
        <w:t>ljade građana suočavaju se s</w:t>
      </w:r>
      <w:r w:rsidR="0025291D" w:rsidRPr="009A2018">
        <w:rPr>
          <w:rFonts w:cs="Times New Roman"/>
          <w:szCs w:val="24"/>
        </w:rPr>
        <w:t xml:space="preserve"> mogućim gubitkom zaposlenja</w:t>
      </w:r>
      <w:r w:rsidR="00CD3B4E" w:rsidRPr="009A2018">
        <w:rPr>
          <w:rFonts w:cs="Times New Roman"/>
          <w:szCs w:val="24"/>
        </w:rPr>
        <w:t>, a m</w:t>
      </w:r>
      <w:r w:rsidR="00CD5F2B" w:rsidRPr="009A2018">
        <w:rPr>
          <w:rFonts w:cs="Times New Roman"/>
          <w:szCs w:val="24"/>
        </w:rPr>
        <w:t>j</w:t>
      </w:r>
      <w:r w:rsidRPr="009A2018">
        <w:rPr>
          <w:rFonts w:cs="Times New Roman"/>
          <w:szCs w:val="24"/>
        </w:rPr>
        <w:t>ere</w:t>
      </w:r>
      <w:r w:rsidR="00CD3B4E" w:rsidRPr="009A2018">
        <w:rPr>
          <w:rFonts w:cs="Times New Roman"/>
          <w:szCs w:val="24"/>
        </w:rPr>
        <w:t xml:space="preserve"> privremene</w:t>
      </w:r>
      <w:r w:rsidRPr="009A2018">
        <w:rPr>
          <w:rFonts w:cs="Times New Roman"/>
          <w:szCs w:val="24"/>
        </w:rPr>
        <w:t xml:space="preserve"> državne po</w:t>
      </w:r>
      <w:r w:rsidR="00CD3B4E" w:rsidRPr="009A2018">
        <w:rPr>
          <w:rFonts w:cs="Times New Roman"/>
          <w:szCs w:val="24"/>
        </w:rPr>
        <w:t>moći</w:t>
      </w:r>
      <w:r w:rsidRPr="009A2018">
        <w:rPr>
          <w:rFonts w:cs="Times New Roman"/>
          <w:szCs w:val="24"/>
        </w:rPr>
        <w:t xml:space="preserve"> (naknade za neza</w:t>
      </w:r>
      <w:r w:rsidR="00CD3B4E" w:rsidRPr="009A2018">
        <w:rPr>
          <w:rFonts w:cs="Times New Roman"/>
          <w:szCs w:val="24"/>
        </w:rPr>
        <w:t xml:space="preserve">poslenost, </w:t>
      </w:r>
      <w:r w:rsidR="004E683C" w:rsidRPr="009A2018">
        <w:rPr>
          <w:rFonts w:cs="Times New Roman"/>
          <w:szCs w:val="24"/>
        </w:rPr>
        <w:t>odlaganja/</w:t>
      </w:r>
      <w:r w:rsidR="00CD3B4E" w:rsidRPr="009A2018">
        <w:rPr>
          <w:rFonts w:cs="Times New Roman"/>
          <w:szCs w:val="24"/>
        </w:rPr>
        <w:t>oslobađanja</w:t>
      </w:r>
      <w:r w:rsidRPr="009A2018">
        <w:rPr>
          <w:rFonts w:cs="Times New Roman"/>
          <w:szCs w:val="24"/>
        </w:rPr>
        <w:t xml:space="preserve"> od poreza i doprinosa </w:t>
      </w:r>
      <w:r w:rsidR="00CD3B4E" w:rsidRPr="009A2018">
        <w:rPr>
          <w:rFonts w:cs="Times New Roman"/>
          <w:szCs w:val="24"/>
        </w:rPr>
        <w:t>za socijalno osiguranje, itd.) imaju važan fiskalni uti</w:t>
      </w:r>
      <w:r w:rsidRPr="009A2018">
        <w:rPr>
          <w:rFonts w:cs="Times New Roman"/>
          <w:szCs w:val="24"/>
        </w:rPr>
        <w:t>caj.</w:t>
      </w:r>
    </w:p>
    <w:p w:rsidR="00BE5A64" w:rsidRPr="009A2018" w:rsidRDefault="005F6735" w:rsidP="00EC1790">
      <w:pPr>
        <w:pStyle w:val="ListParagraph"/>
        <w:spacing w:after="120" w:line="240" w:lineRule="auto"/>
        <w:ind w:left="0"/>
        <w:contextualSpacing w:val="0"/>
        <w:jc w:val="both"/>
        <w:rPr>
          <w:rFonts w:ascii="Times New Roman" w:hAnsi="Times New Roman" w:cs="Times New Roman"/>
          <w:sz w:val="24"/>
          <w:szCs w:val="24"/>
        </w:rPr>
      </w:pPr>
      <w:r w:rsidRPr="009A2018">
        <w:rPr>
          <w:rFonts w:ascii="Times New Roman" w:hAnsi="Times New Roman" w:cs="Times New Roman"/>
          <w:sz w:val="24"/>
          <w:szCs w:val="24"/>
        </w:rPr>
        <w:t>Iako je sama Evropska unija ozbiljno pogođena pandemijom, nije šted</w:t>
      </w:r>
      <w:r w:rsidR="00CD5F2B" w:rsidRPr="009A2018">
        <w:rPr>
          <w:rFonts w:ascii="Times New Roman" w:hAnsi="Times New Roman" w:cs="Times New Roman"/>
          <w:sz w:val="24"/>
          <w:szCs w:val="24"/>
        </w:rPr>
        <w:t>j</w:t>
      </w:r>
      <w:r w:rsidR="007F5E72" w:rsidRPr="009A2018">
        <w:rPr>
          <w:rFonts w:ascii="Times New Roman" w:hAnsi="Times New Roman" w:cs="Times New Roman"/>
          <w:sz w:val="24"/>
          <w:szCs w:val="24"/>
        </w:rPr>
        <w:t>ela vr</w:t>
      </w:r>
      <w:r w:rsidR="00CD5F2B" w:rsidRPr="009A2018">
        <w:rPr>
          <w:rFonts w:ascii="Times New Roman" w:hAnsi="Times New Roman" w:cs="Times New Roman"/>
          <w:sz w:val="24"/>
          <w:szCs w:val="24"/>
        </w:rPr>
        <w:t>ij</w:t>
      </w:r>
      <w:r w:rsidRPr="009A2018">
        <w:rPr>
          <w:rFonts w:ascii="Times New Roman" w:hAnsi="Times New Roman" w:cs="Times New Roman"/>
          <w:sz w:val="24"/>
          <w:szCs w:val="24"/>
        </w:rPr>
        <w:t xml:space="preserve">eme i trud da pruži neophodnu i </w:t>
      </w:r>
      <w:r w:rsidR="007F5E72" w:rsidRPr="009A2018">
        <w:rPr>
          <w:rFonts w:ascii="Times New Roman" w:hAnsi="Times New Roman" w:cs="Times New Roman"/>
          <w:sz w:val="24"/>
          <w:szCs w:val="24"/>
        </w:rPr>
        <w:t xml:space="preserve">nezapamćenu </w:t>
      </w:r>
      <w:r w:rsidR="0025291D" w:rsidRPr="009A2018">
        <w:rPr>
          <w:rFonts w:ascii="Times New Roman" w:hAnsi="Times New Roman" w:cs="Times New Roman"/>
          <w:sz w:val="24"/>
          <w:szCs w:val="24"/>
        </w:rPr>
        <w:t>podršku Z</w:t>
      </w:r>
      <w:r w:rsidRPr="009A2018">
        <w:rPr>
          <w:rFonts w:ascii="Times New Roman" w:hAnsi="Times New Roman" w:cs="Times New Roman"/>
          <w:sz w:val="24"/>
          <w:szCs w:val="24"/>
        </w:rPr>
        <w:t>apadnom Balkanu. Ovo podrazum</w:t>
      </w:r>
      <w:r w:rsidR="00E36936" w:rsidRPr="009A2018">
        <w:rPr>
          <w:rFonts w:ascii="Times New Roman" w:hAnsi="Times New Roman" w:cs="Times New Roman"/>
          <w:sz w:val="24"/>
          <w:szCs w:val="24"/>
        </w:rPr>
        <w:t>ij</w:t>
      </w:r>
      <w:r w:rsidRPr="009A2018">
        <w:rPr>
          <w:rFonts w:ascii="Times New Roman" w:hAnsi="Times New Roman" w:cs="Times New Roman"/>
          <w:sz w:val="24"/>
          <w:szCs w:val="24"/>
        </w:rPr>
        <w:t>eva i finansijsku pomoć u iznosu od preko 3,</w:t>
      </w:r>
      <w:r w:rsidR="00E36936" w:rsidRPr="009A2018">
        <w:rPr>
          <w:rFonts w:ascii="Times New Roman" w:hAnsi="Times New Roman" w:cs="Times New Roman"/>
          <w:sz w:val="24"/>
          <w:szCs w:val="24"/>
        </w:rPr>
        <w:t>3 milijarde eu</w:t>
      </w:r>
      <w:r w:rsidR="0025291D" w:rsidRPr="009A2018">
        <w:rPr>
          <w:rFonts w:ascii="Times New Roman" w:hAnsi="Times New Roman" w:cs="Times New Roman"/>
          <w:sz w:val="24"/>
          <w:szCs w:val="24"/>
        </w:rPr>
        <w:t>ra</w:t>
      </w:r>
      <w:r w:rsidR="00AE6392" w:rsidRPr="009A2018">
        <w:rPr>
          <w:rFonts w:ascii="Times New Roman" w:hAnsi="Times New Roman" w:cs="Times New Roman"/>
          <w:sz w:val="24"/>
          <w:szCs w:val="24"/>
        </w:rPr>
        <w:t xml:space="preserve"> kako bi</w:t>
      </w:r>
      <w:r w:rsidRPr="009A2018">
        <w:rPr>
          <w:rFonts w:ascii="Times New Roman" w:hAnsi="Times New Roman" w:cs="Times New Roman"/>
          <w:sz w:val="24"/>
          <w:szCs w:val="24"/>
        </w:rPr>
        <w:t xml:space="preserve"> zemlje u r</w:t>
      </w:r>
      <w:r w:rsidR="00AE6392" w:rsidRPr="009A2018">
        <w:rPr>
          <w:rFonts w:ascii="Times New Roman" w:hAnsi="Times New Roman" w:cs="Times New Roman"/>
          <w:sz w:val="24"/>
          <w:szCs w:val="24"/>
        </w:rPr>
        <w:t>egionu mogle da r</w:t>
      </w:r>
      <w:r w:rsidR="00E36936" w:rsidRPr="009A2018">
        <w:rPr>
          <w:rFonts w:ascii="Times New Roman" w:hAnsi="Times New Roman" w:cs="Times New Roman"/>
          <w:sz w:val="24"/>
          <w:szCs w:val="24"/>
        </w:rPr>
        <w:t>j</w:t>
      </w:r>
      <w:r w:rsidR="00AE6392" w:rsidRPr="009A2018">
        <w:rPr>
          <w:rFonts w:ascii="Times New Roman" w:hAnsi="Times New Roman" w:cs="Times New Roman"/>
          <w:sz w:val="24"/>
          <w:szCs w:val="24"/>
        </w:rPr>
        <w:t>ešavaju</w:t>
      </w:r>
      <w:r w:rsidR="00AB2F16">
        <w:rPr>
          <w:rFonts w:ascii="Times New Roman" w:hAnsi="Times New Roman" w:cs="Times New Roman"/>
          <w:sz w:val="24"/>
          <w:szCs w:val="24"/>
        </w:rPr>
        <w:t xml:space="preserve"> </w:t>
      </w:r>
      <w:r w:rsidR="007F5E72" w:rsidRPr="009A2018">
        <w:rPr>
          <w:rFonts w:ascii="Times New Roman" w:hAnsi="Times New Roman" w:cs="Times New Roman"/>
          <w:sz w:val="24"/>
          <w:szCs w:val="24"/>
        </w:rPr>
        <w:t xml:space="preserve">goruću </w:t>
      </w:r>
      <w:r w:rsidR="00AE6392" w:rsidRPr="009A2018">
        <w:rPr>
          <w:rFonts w:ascii="Times New Roman" w:hAnsi="Times New Roman" w:cs="Times New Roman"/>
          <w:sz w:val="24"/>
          <w:szCs w:val="24"/>
        </w:rPr>
        <w:t>zdravstvenu krizu i humanitarne potrebe</w:t>
      </w:r>
      <w:r w:rsidR="007F5E72" w:rsidRPr="009A2018">
        <w:rPr>
          <w:rFonts w:ascii="Times New Roman" w:hAnsi="Times New Roman" w:cs="Times New Roman"/>
          <w:sz w:val="24"/>
          <w:szCs w:val="24"/>
        </w:rPr>
        <w:t xml:space="preserve"> koje je ova kriza </w:t>
      </w:r>
      <w:r w:rsidR="0025291D" w:rsidRPr="009A2018">
        <w:rPr>
          <w:rFonts w:ascii="Times New Roman" w:hAnsi="Times New Roman" w:cs="Times New Roman"/>
          <w:sz w:val="24"/>
          <w:szCs w:val="24"/>
        </w:rPr>
        <w:t>proizvela</w:t>
      </w:r>
      <w:r w:rsidRPr="009A2018">
        <w:rPr>
          <w:rFonts w:ascii="Times New Roman" w:hAnsi="Times New Roman" w:cs="Times New Roman"/>
          <w:sz w:val="24"/>
          <w:szCs w:val="24"/>
        </w:rPr>
        <w:t xml:space="preserve">, </w:t>
      </w:r>
      <w:r w:rsidR="00AE6392" w:rsidRPr="009A2018">
        <w:rPr>
          <w:rFonts w:ascii="Times New Roman" w:hAnsi="Times New Roman" w:cs="Times New Roman"/>
          <w:sz w:val="24"/>
          <w:szCs w:val="24"/>
        </w:rPr>
        <w:t>kao i  da iz</w:t>
      </w:r>
      <w:r w:rsidR="007F5E72" w:rsidRPr="009A2018">
        <w:rPr>
          <w:rFonts w:ascii="Times New Roman" w:hAnsi="Times New Roman" w:cs="Times New Roman"/>
          <w:sz w:val="24"/>
          <w:szCs w:val="24"/>
        </w:rPr>
        <w:t>vrše dugoročniji strukturni uti</w:t>
      </w:r>
      <w:r w:rsidR="00AE6392" w:rsidRPr="009A2018">
        <w:rPr>
          <w:rFonts w:ascii="Times New Roman" w:hAnsi="Times New Roman" w:cs="Times New Roman"/>
          <w:sz w:val="24"/>
          <w:szCs w:val="24"/>
        </w:rPr>
        <w:t>caj na svoje društvo i privredu</w:t>
      </w:r>
      <w:r w:rsidRPr="009A2018">
        <w:rPr>
          <w:rFonts w:ascii="Times New Roman" w:hAnsi="Times New Roman" w:cs="Times New Roman"/>
          <w:sz w:val="24"/>
          <w:szCs w:val="24"/>
        </w:rPr>
        <w:t xml:space="preserve">. S obzirom na evropsku </w:t>
      </w:r>
      <w:r w:rsidR="0097635D" w:rsidRPr="009A2018">
        <w:rPr>
          <w:rFonts w:ascii="Times New Roman" w:hAnsi="Times New Roman" w:cs="Times New Roman"/>
          <w:sz w:val="24"/>
          <w:szCs w:val="24"/>
        </w:rPr>
        <w:t>orijentaciju Z</w:t>
      </w:r>
      <w:r w:rsidR="007F5E72" w:rsidRPr="009A2018">
        <w:rPr>
          <w:rFonts w:ascii="Times New Roman" w:hAnsi="Times New Roman" w:cs="Times New Roman"/>
          <w:sz w:val="24"/>
          <w:szCs w:val="24"/>
        </w:rPr>
        <w:t>apadnog Balkana, Evropska unija</w:t>
      </w:r>
      <w:r w:rsidR="00AB2F16">
        <w:rPr>
          <w:rFonts w:ascii="Times New Roman" w:hAnsi="Times New Roman" w:cs="Times New Roman"/>
          <w:sz w:val="24"/>
          <w:szCs w:val="24"/>
        </w:rPr>
        <w:t xml:space="preserve"> </w:t>
      </w:r>
      <w:r w:rsidR="007F5E72" w:rsidRPr="009A2018">
        <w:rPr>
          <w:rFonts w:ascii="Times New Roman" w:hAnsi="Times New Roman" w:cs="Times New Roman"/>
          <w:sz w:val="24"/>
          <w:szCs w:val="24"/>
        </w:rPr>
        <w:t>ovaj</w:t>
      </w:r>
      <w:r w:rsidRPr="009A2018">
        <w:rPr>
          <w:rFonts w:ascii="Times New Roman" w:hAnsi="Times New Roman" w:cs="Times New Roman"/>
          <w:sz w:val="24"/>
          <w:szCs w:val="24"/>
        </w:rPr>
        <w:t xml:space="preserve"> region </w:t>
      </w:r>
      <w:r w:rsidR="007F5E72" w:rsidRPr="009A2018">
        <w:rPr>
          <w:rFonts w:ascii="Times New Roman" w:hAnsi="Times New Roman" w:cs="Times New Roman"/>
          <w:sz w:val="24"/>
          <w:szCs w:val="24"/>
        </w:rPr>
        <w:t xml:space="preserve">tretira i </w:t>
      </w:r>
      <w:r w:rsidRPr="009A2018">
        <w:rPr>
          <w:rFonts w:ascii="Times New Roman" w:hAnsi="Times New Roman" w:cs="Times New Roman"/>
          <w:sz w:val="24"/>
          <w:szCs w:val="24"/>
        </w:rPr>
        <w:t xml:space="preserve">kao privilegovane partnere </w:t>
      </w:r>
      <w:r w:rsidR="00A808B2" w:rsidRPr="009A2018">
        <w:rPr>
          <w:rFonts w:ascii="Times New Roman" w:hAnsi="Times New Roman" w:cs="Times New Roman"/>
          <w:sz w:val="24"/>
          <w:szCs w:val="24"/>
        </w:rPr>
        <w:t>koj</w:t>
      </w:r>
      <w:r w:rsidR="00A808B2">
        <w:rPr>
          <w:rFonts w:ascii="Times New Roman" w:hAnsi="Times New Roman" w:cs="Times New Roman"/>
          <w:sz w:val="24"/>
          <w:szCs w:val="24"/>
        </w:rPr>
        <w:t>i se</w:t>
      </w:r>
      <w:r w:rsidR="00A808B2" w:rsidRPr="009A2018">
        <w:rPr>
          <w:rFonts w:ascii="Times New Roman" w:hAnsi="Times New Roman" w:cs="Times New Roman"/>
          <w:sz w:val="24"/>
          <w:szCs w:val="24"/>
        </w:rPr>
        <w:t xml:space="preserve"> pridružuj</w:t>
      </w:r>
      <w:r w:rsidR="00A808B2">
        <w:rPr>
          <w:rFonts w:ascii="Times New Roman" w:hAnsi="Times New Roman" w:cs="Times New Roman"/>
          <w:sz w:val="24"/>
          <w:szCs w:val="24"/>
        </w:rPr>
        <w:t>u</w:t>
      </w:r>
      <w:r w:rsidR="00A808B2" w:rsidRPr="009A2018">
        <w:rPr>
          <w:rFonts w:ascii="Times New Roman" w:hAnsi="Times New Roman" w:cs="Times New Roman"/>
          <w:sz w:val="24"/>
          <w:szCs w:val="24"/>
        </w:rPr>
        <w:t xml:space="preserve"> </w:t>
      </w:r>
      <w:r w:rsidRPr="009A2018">
        <w:rPr>
          <w:rFonts w:ascii="Times New Roman" w:hAnsi="Times New Roman" w:cs="Times New Roman"/>
          <w:sz w:val="24"/>
          <w:szCs w:val="24"/>
        </w:rPr>
        <w:t>mehanizmima i instrumentima Unije.</w:t>
      </w:r>
      <w:r w:rsidR="00AB2F16">
        <w:rPr>
          <w:rFonts w:ascii="Times New Roman" w:hAnsi="Times New Roman" w:cs="Times New Roman"/>
          <w:sz w:val="24"/>
          <w:szCs w:val="24"/>
        </w:rPr>
        <w:t xml:space="preserve"> </w:t>
      </w:r>
      <w:r w:rsidR="00E36936" w:rsidRPr="009A2018">
        <w:rPr>
          <w:rFonts w:ascii="Times New Roman" w:hAnsi="Times New Roman" w:cs="Times New Roman"/>
          <w:sz w:val="24"/>
          <w:szCs w:val="24"/>
        </w:rPr>
        <w:t>Između ostalih, tu</w:t>
      </w:r>
      <w:r w:rsidR="0097635D" w:rsidRPr="009A2018">
        <w:rPr>
          <w:rFonts w:ascii="Times New Roman" w:hAnsi="Times New Roman" w:cs="Times New Roman"/>
          <w:sz w:val="24"/>
          <w:szCs w:val="24"/>
        </w:rPr>
        <w:t xml:space="preserve"> spadaju i</w:t>
      </w:r>
      <w:r w:rsidR="00AE6392" w:rsidRPr="009A2018">
        <w:rPr>
          <w:rFonts w:ascii="Times New Roman" w:hAnsi="Times New Roman" w:cs="Times New Roman"/>
          <w:sz w:val="24"/>
          <w:szCs w:val="24"/>
        </w:rPr>
        <w:t xml:space="preserve"> Odbor za zdravstvenu sigurnost, Sporazumi o zajedničkim nabavkama, Mehanizam civilne zaštite Unije, Fond solidarnosti, konzularna pomoć u repatrijaciji ili izuzeće od privremenih ograničenja izvoza medici</w:t>
      </w:r>
      <w:r w:rsidR="00EA3E26" w:rsidRPr="009A2018">
        <w:rPr>
          <w:rFonts w:ascii="Times New Roman" w:hAnsi="Times New Roman" w:cs="Times New Roman"/>
          <w:sz w:val="24"/>
          <w:szCs w:val="24"/>
        </w:rPr>
        <w:t xml:space="preserve">nske opreme </w:t>
      </w:r>
      <w:r w:rsidR="00BC5697" w:rsidRPr="009A2018">
        <w:rPr>
          <w:rFonts w:ascii="Times New Roman" w:hAnsi="Times New Roman" w:cs="Times New Roman"/>
          <w:sz w:val="24"/>
          <w:szCs w:val="24"/>
        </w:rPr>
        <w:t>van</w:t>
      </w:r>
      <w:r w:rsidR="00EA3E26" w:rsidRPr="009A2018">
        <w:rPr>
          <w:rFonts w:ascii="Times New Roman" w:hAnsi="Times New Roman" w:cs="Times New Roman"/>
          <w:sz w:val="24"/>
          <w:szCs w:val="24"/>
        </w:rPr>
        <w:t xml:space="preserve"> E</w:t>
      </w:r>
      <w:r w:rsidR="00BC5697" w:rsidRPr="009A2018">
        <w:rPr>
          <w:rFonts w:ascii="Times New Roman" w:hAnsi="Times New Roman" w:cs="Times New Roman"/>
          <w:sz w:val="24"/>
          <w:szCs w:val="24"/>
        </w:rPr>
        <w:t>vropske unije</w:t>
      </w:r>
      <w:r w:rsidR="00EA3E26" w:rsidRPr="009A2018">
        <w:rPr>
          <w:rFonts w:ascii="Times New Roman" w:hAnsi="Times New Roman" w:cs="Times New Roman"/>
          <w:sz w:val="24"/>
          <w:szCs w:val="24"/>
        </w:rPr>
        <w:t>. Ove i druge m</w:t>
      </w:r>
      <w:r w:rsidR="00E36936" w:rsidRPr="009A2018">
        <w:rPr>
          <w:rFonts w:ascii="Times New Roman" w:hAnsi="Times New Roman" w:cs="Times New Roman"/>
          <w:sz w:val="24"/>
          <w:szCs w:val="24"/>
        </w:rPr>
        <w:t>j</w:t>
      </w:r>
      <w:r w:rsidR="00AE6392" w:rsidRPr="009A2018">
        <w:rPr>
          <w:rFonts w:ascii="Times New Roman" w:hAnsi="Times New Roman" w:cs="Times New Roman"/>
          <w:sz w:val="24"/>
          <w:szCs w:val="24"/>
        </w:rPr>
        <w:t xml:space="preserve">ere </w:t>
      </w:r>
      <w:r w:rsidR="00EA3E26" w:rsidRPr="009A2018">
        <w:rPr>
          <w:rFonts w:ascii="Times New Roman" w:hAnsi="Times New Roman" w:cs="Times New Roman"/>
          <w:sz w:val="24"/>
          <w:szCs w:val="24"/>
        </w:rPr>
        <w:t>proizvele su</w:t>
      </w:r>
      <w:r w:rsidR="00AE6392" w:rsidRPr="009A2018">
        <w:rPr>
          <w:rFonts w:ascii="Times New Roman" w:hAnsi="Times New Roman" w:cs="Times New Roman"/>
          <w:sz w:val="24"/>
          <w:szCs w:val="24"/>
        </w:rPr>
        <w:t xml:space="preserve"> trenutno olakšanje i jasna su poruka političk</w:t>
      </w:r>
      <w:r w:rsidR="00BC5697" w:rsidRPr="009A2018">
        <w:rPr>
          <w:rFonts w:ascii="Times New Roman" w:hAnsi="Times New Roman" w:cs="Times New Roman"/>
          <w:sz w:val="24"/>
          <w:szCs w:val="24"/>
        </w:rPr>
        <w:t>og opred</w:t>
      </w:r>
      <w:r w:rsidR="00E36936" w:rsidRPr="009A2018">
        <w:rPr>
          <w:rFonts w:ascii="Times New Roman" w:hAnsi="Times New Roman" w:cs="Times New Roman"/>
          <w:sz w:val="24"/>
          <w:szCs w:val="24"/>
        </w:rPr>
        <w:t>j</w:t>
      </w:r>
      <w:r w:rsidR="00EA3E26" w:rsidRPr="009A2018">
        <w:rPr>
          <w:rFonts w:ascii="Times New Roman" w:hAnsi="Times New Roman" w:cs="Times New Roman"/>
          <w:sz w:val="24"/>
          <w:szCs w:val="24"/>
        </w:rPr>
        <w:t>eljenja Evropske unije prema regionu</w:t>
      </w:r>
      <w:r w:rsidR="00AE6392" w:rsidRPr="009A2018">
        <w:rPr>
          <w:rFonts w:ascii="Times New Roman" w:hAnsi="Times New Roman" w:cs="Times New Roman"/>
          <w:sz w:val="24"/>
          <w:szCs w:val="24"/>
        </w:rPr>
        <w:t xml:space="preserve">. </w:t>
      </w:r>
      <w:r w:rsidR="009A0C03" w:rsidRPr="009A2018">
        <w:rPr>
          <w:rFonts w:ascii="Times New Roman" w:hAnsi="Times New Roman" w:cs="Times New Roman"/>
          <w:sz w:val="24"/>
          <w:szCs w:val="24"/>
        </w:rPr>
        <w:t>E</w:t>
      </w:r>
      <w:r w:rsidR="009A0C03">
        <w:rPr>
          <w:rFonts w:ascii="Times New Roman" w:hAnsi="Times New Roman" w:cs="Times New Roman"/>
          <w:sz w:val="24"/>
          <w:szCs w:val="24"/>
        </w:rPr>
        <w:t>v</w:t>
      </w:r>
      <w:r w:rsidR="009A0C03" w:rsidRPr="009A2018">
        <w:rPr>
          <w:rFonts w:ascii="Times New Roman" w:hAnsi="Times New Roman" w:cs="Times New Roman"/>
          <w:sz w:val="24"/>
          <w:szCs w:val="24"/>
        </w:rPr>
        <w:t xml:space="preserve">ropska </w:t>
      </w:r>
      <w:r w:rsidR="00AE6392" w:rsidRPr="009A2018">
        <w:rPr>
          <w:rFonts w:ascii="Times New Roman" w:hAnsi="Times New Roman" w:cs="Times New Roman"/>
          <w:sz w:val="24"/>
          <w:szCs w:val="24"/>
        </w:rPr>
        <w:t>kom</w:t>
      </w:r>
      <w:r w:rsidR="00EA3E26" w:rsidRPr="009A2018">
        <w:rPr>
          <w:rFonts w:ascii="Times New Roman" w:hAnsi="Times New Roman" w:cs="Times New Roman"/>
          <w:sz w:val="24"/>
          <w:szCs w:val="24"/>
        </w:rPr>
        <w:t>isija preporučila je da hitne m</w:t>
      </w:r>
      <w:r w:rsidR="00E36936" w:rsidRPr="009A2018">
        <w:rPr>
          <w:rFonts w:ascii="Times New Roman" w:hAnsi="Times New Roman" w:cs="Times New Roman"/>
          <w:sz w:val="24"/>
          <w:szCs w:val="24"/>
        </w:rPr>
        <w:t>j</w:t>
      </w:r>
      <w:r w:rsidR="00AE6392" w:rsidRPr="009A2018">
        <w:rPr>
          <w:rFonts w:ascii="Times New Roman" w:hAnsi="Times New Roman" w:cs="Times New Roman"/>
          <w:sz w:val="24"/>
          <w:szCs w:val="24"/>
        </w:rPr>
        <w:t>ere</w:t>
      </w:r>
      <w:r w:rsidR="0097635D" w:rsidRPr="009A2018">
        <w:rPr>
          <w:rFonts w:ascii="Times New Roman" w:hAnsi="Times New Roman" w:cs="Times New Roman"/>
          <w:sz w:val="24"/>
          <w:szCs w:val="24"/>
        </w:rPr>
        <w:t>, koje su pre</w:t>
      </w:r>
      <w:r w:rsidR="00AE6392" w:rsidRPr="009A2018">
        <w:rPr>
          <w:rFonts w:ascii="Times New Roman" w:hAnsi="Times New Roman" w:cs="Times New Roman"/>
          <w:sz w:val="24"/>
          <w:szCs w:val="24"/>
        </w:rPr>
        <w:t xml:space="preserve">duzete u kontekstu pandemije </w:t>
      </w:r>
      <w:r w:rsidR="00BC5697" w:rsidRPr="009A2018">
        <w:rPr>
          <w:rFonts w:ascii="Times New Roman" w:hAnsi="Times New Roman" w:cs="Times New Roman"/>
          <w:sz w:val="24"/>
          <w:szCs w:val="24"/>
        </w:rPr>
        <w:t>virusa COVID-19</w:t>
      </w:r>
      <w:r w:rsidR="0097635D" w:rsidRPr="009A2018">
        <w:rPr>
          <w:rFonts w:ascii="Times New Roman" w:hAnsi="Times New Roman" w:cs="Times New Roman"/>
          <w:sz w:val="24"/>
          <w:szCs w:val="24"/>
        </w:rPr>
        <w:t>,</w:t>
      </w:r>
      <w:r w:rsidR="00BC5697" w:rsidRPr="009A2018">
        <w:rPr>
          <w:rFonts w:ascii="Times New Roman" w:hAnsi="Times New Roman" w:cs="Times New Roman"/>
          <w:sz w:val="24"/>
          <w:szCs w:val="24"/>
        </w:rPr>
        <w:t xml:space="preserve"> budu proporcionalne, krajnje racionalne</w:t>
      </w:r>
      <w:r w:rsidR="00AE6392" w:rsidRPr="009A2018">
        <w:rPr>
          <w:rFonts w:ascii="Times New Roman" w:hAnsi="Times New Roman" w:cs="Times New Roman"/>
          <w:sz w:val="24"/>
          <w:szCs w:val="24"/>
        </w:rPr>
        <w:t xml:space="preserve"> i vremenski ograničene kako </w:t>
      </w:r>
      <w:r w:rsidR="00EA3E26" w:rsidRPr="009A2018">
        <w:rPr>
          <w:rFonts w:ascii="Times New Roman" w:hAnsi="Times New Roman" w:cs="Times New Roman"/>
          <w:sz w:val="24"/>
          <w:szCs w:val="24"/>
        </w:rPr>
        <w:t>bi se poštovala vladavina prava, demokratske norme i norme ljudskih</w:t>
      </w:r>
      <w:r w:rsidR="00AE6392" w:rsidRPr="009A2018">
        <w:rPr>
          <w:rFonts w:ascii="Times New Roman" w:hAnsi="Times New Roman" w:cs="Times New Roman"/>
          <w:sz w:val="24"/>
          <w:szCs w:val="24"/>
        </w:rPr>
        <w:t xml:space="preserve"> prava.</w:t>
      </w:r>
    </w:p>
    <w:p w:rsidR="004C4328" w:rsidRPr="009A2018" w:rsidRDefault="006F16C6" w:rsidP="00EC1790">
      <w:pPr>
        <w:pStyle w:val="Heading2"/>
        <w:spacing w:before="0" w:line="240" w:lineRule="auto"/>
        <w:rPr>
          <w:rFonts w:eastAsia="Calibri" w:cs="Times New Roman"/>
          <w:noProof/>
          <w:szCs w:val="24"/>
        </w:rPr>
      </w:pPr>
      <w:bookmarkStart w:id="8" w:name="_Toc9585285"/>
      <w:bookmarkStart w:id="9" w:name="_Toc53362428"/>
      <w:r w:rsidRPr="009A2018">
        <w:rPr>
          <w:rFonts w:eastAsia="Calibri"/>
        </w:rPr>
        <w:t>1.2</w:t>
      </w:r>
      <w:r w:rsidRPr="009A2018">
        <w:rPr>
          <w:rFonts w:eastAsia="Calibri" w:cs="Times New Roman"/>
          <w:noProof/>
          <w:szCs w:val="24"/>
        </w:rPr>
        <w:t xml:space="preserve">. </w:t>
      </w:r>
      <w:r w:rsidRPr="009A2018">
        <w:rPr>
          <w:rFonts w:eastAsia="Calibri" w:cs="Times New Roman"/>
          <w:noProof/>
          <w:szCs w:val="24"/>
        </w:rPr>
        <w:tab/>
      </w:r>
      <w:r w:rsidRPr="009A2018">
        <w:rPr>
          <w:rFonts w:eastAsia="Calibri"/>
        </w:rPr>
        <w:t>S</w:t>
      </w:r>
      <w:bookmarkEnd w:id="8"/>
      <w:r w:rsidR="00D71D79" w:rsidRPr="009A2018">
        <w:rPr>
          <w:rFonts w:eastAsia="Calibri"/>
        </w:rPr>
        <w:t>ažetak</w:t>
      </w:r>
      <w:bookmarkEnd w:id="9"/>
    </w:p>
    <w:p w:rsidR="00D71D79" w:rsidRPr="009A2018" w:rsidRDefault="00D71D79" w:rsidP="00EC1790">
      <w:pPr>
        <w:spacing w:after="120" w:line="240" w:lineRule="auto"/>
        <w:jc w:val="both"/>
        <w:rPr>
          <w:rFonts w:cs="Times New Roman"/>
          <w:noProof/>
          <w:szCs w:val="24"/>
        </w:rPr>
      </w:pPr>
      <w:r w:rsidRPr="009A2018">
        <w:rPr>
          <w:rFonts w:cs="Times New Roman"/>
          <w:noProof/>
          <w:szCs w:val="24"/>
        </w:rPr>
        <w:t xml:space="preserve">Što se tiče </w:t>
      </w:r>
      <w:r w:rsidRPr="009A2018">
        <w:rPr>
          <w:rFonts w:cs="Times New Roman"/>
          <w:b/>
          <w:noProof/>
          <w:szCs w:val="24"/>
        </w:rPr>
        <w:t>političkih kriterijuma</w:t>
      </w:r>
      <w:r w:rsidR="00BC5697" w:rsidRPr="009A2018">
        <w:rPr>
          <w:rFonts w:cs="Times New Roman"/>
          <w:noProof/>
          <w:szCs w:val="24"/>
        </w:rPr>
        <w:t xml:space="preserve">, </w:t>
      </w:r>
      <w:r w:rsidRPr="009A2018">
        <w:rPr>
          <w:rFonts w:cs="Times New Roman"/>
          <w:noProof/>
          <w:szCs w:val="24"/>
        </w:rPr>
        <w:t>izv</w:t>
      </w:r>
      <w:r w:rsidR="00E36936" w:rsidRPr="009A2018">
        <w:rPr>
          <w:rFonts w:cs="Times New Roman"/>
          <w:noProof/>
          <w:szCs w:val="24"/>
        </w:rPr>
        <w:t>j</w:t>
      </w:r>
      <w:r w:rsidRPr="009A2018">
        <w:rPr>
          <w:rFonts w:cs="Times New Roman"/>
          <w:noProof/>
          <w:szCs w:val="24"/>
        </w:rPr>
        <w:t xml:space="preserve">eštajni period </w:t>
      </w:r>
      <w:r w:rsidR="0097635D" w:rsidRPr="009A2018">
        <w:rPr>
          <w:rFonts w:cs="Times New Roman"/>
          <w:noProof/>
          <w:szCs w:val="24"/>
        </w:rPr>
        <w:t xml:space="preserve">je </w:t>
      </w:r>
      <w:r w:rsidR="00E36936" w:rsidRPr="009A2018">
        <w:rPr>
          <w:rFonts w:cs="Times New Roman"/>
          <w:noProof/>
          <w:szCs w:val="24"/>
        </w:rPr>
        <w:t>i dalje obilj</w:t>
      </w:r>
      <w:r w:rsidR="0097635D" w:rsidRPr="009A2018">
        <w:rPr>
          <w:rFonts w:cs="Times New Roman"/>
          <w:noProof/>
          <w:szCs w:val="24"/>
        </w:rPr>
        <w:t>ežen</w:t>
      </w:r>
      <w:r w:rsidR="00AB2F16">
        <w:rPr>
          <w:rFonts w:cs="Times New Roman"/>
          <w:noProof/>
          <w:szCs w:val="24"/>
        </w:rPr>
        <w:t xml:space="preserve"> </w:t>
      </w:r>
      <w:r w:rsidR="00E36936" w:rsidRPr="009A2018">
        <w:rPr>
          <w:rFonts w:cs="Times New Roman"/>
          <w:noProof/>
          <w:szCs w:val="24"/>
        </w:rPr>
        <w:t xml:space="preserve">tenzijama i nepovjerenjem </w:t>
      </w:r>
      <w:r w:rsidR="00B11038" w:rsidRPr="009A2018">
        <w:rPr>
          <w:rFonts w:cs="Times New Roman"/>
          <w:noProof/>
          <w:szCs w:val="24"/>
        </w:rPr>
        <w:t>među</w:t>
      </w:r>
      <w:r w:rsidR="00AB2F16">
        <w:rPr>
          <w:rFonts w:cs="Times New Roman"/>
          <w:noProof/>
          <w:szCs w:val="24"/>
        </w:rPr>
        <w:t xml:space="preserve"> </w:t>
      </w:r>
      <w:r w:rsidR="00B11038" w:rsidRPr="009A2018">
        <w:rPr>
          <w:rFonts w:cs="Times New Roman"/>
          <w:noProof/>
          <w:szCs w:val="24"/>
        </w:rPr>
        <w:t>političkim akterima i slabim</w:t>
      </w:r>
      <w:r w:rsidR="0097635D" w:rsidRPr="009A2018">
        <w:rPr>
          <w:rFonts w:cs="Times New Roman"/>
          <w:noProof/>
          <w:szCs w:val="24"/>
        </w:rPr>
        <w:t xml:space="preserve"> pov</w:t>
      </w:r>
      <w:r w:rsidR="00E36936" w:rsidRPr="009A2018">
        <w:rPr>
          <w:rFonts w:cs="Times New Roman"/>
          <w:noProof/>
          <w:szCs w:val="24"/>
        </w:rPr>
        <w:t>jerenj</w:t>
      </w:r>
      <w:r w:rsidR="00AB2F16">
        <w:rPr>
          <w:rFonts w:cs="Times New Roman"/>
          <w:noProof/>
          <w:szCs w:val="24"/>
        </w:rPr>
        <w:t>em</w:t>
      </w:r>
      <w:r w:rsidRPr="009A2018">
        <w:rPr>
          <w:rFonts w:cs="Times New Roman"/>
          <w:noProof/>
          <w:szCs w:val="24"/>
        </w:rPr>
        <w:t xml:space="preserve"> u izborni okvir.</w:t>
      </w:r>
      <w:r w:rsidR="00AB2F16">
        <w:rPr>
          <w:rFonts w:cs="Times New Roman"/>
          <w:noProof/>
          <w:szCs w:val="24"/>
        </w:rPr>
        <w:t xml:space="preserve"> </w:t>
      </w:r>
      <w:r w:rsidRPr="009A2018">
        <w:rPr>
          <w:rFonts w:cs="Times New Roman"/>
          <w:noProof/>
          <w:szCs w:val="24"/>
        </w:rPr>
        <w:t xml:space="preserve">Zbog pandemije virusa COVID-19 </w:t>
      </w:r>
      <w:r w:rsidR="004E683C" w:rsidRPr="009A2018">
        <w:rPr>
          <w:rFonts w:cs="Times New Roman"/>
          <w:noProof/>
          <w:szCs w:val="24"/>
        </w:rPr>
        <w:t>Skupština nije bila aktiv</w:t>
      </w:r>
      <w:r w:rsidRPr="009A2018">
        <w:rPr>
          <w:rFonts w:cs="Times New Roman"/>
          <w:noProof/>
          <w:szCs w:val="24"/>
        </w:rPr>
        <w:t>n</w:t>
      </w:r>
      <w:r w:rsidR="004E683C" w:rsidRPr="009A2018">
        <w:rPr>
          <w:rFonts w:cs="Times New Roman"/>
          <w:noProof/>
          <w:szCs w:val="24"/>
        </w:rPr>
        <w:t>a</w:t>
      </w:r>
      <w:r w:rsidRPr="009A2018">
        <w:rPr>
          <w:rFonts w:cs="Times New Roman"/>
          <w:noProof/>
          <w:szCs w:val="24"/>
        </w:rPr>
        <w:t xml:space="preserve"> u prvim m</w:t>
      </w:r>
      <w:r w:rsidR="00E36936" w:rsidRPr="009A2018">
        <w:rPr>
          <w:rFonts w:cs="Times New Roman"/>
          <w:noProof/>
          <w:szCs w:val="24"/>
        </w:rPr>
        <w:t>j</w:t>
      </w:r>
      <w:r w:rsidRPr="009A2018">
        <w:rPr>
          <w:rFonts w:cs="Times New Roman"/>
          <w:noProof/>
          <w:szCs w:val="24"/>
        </w:rPr>
        <w:t>esecima 2020. godine, a nakon toga je raspušten</w:t>
      </w:r>
      <w:r w:rsidR="004E683C" w:rsidRPr="009A2018">
        <w:rPr>
          <w:rFonts w:cs="Times New Roman"/>
          <w:noProof/>
          <w:szCs w:val="24"/>
        </w:rPr>
        <w:t>a</w:t>
      </w:r>
      <w:r w:rsidRPr="009A2018">
        <w:rPr>
          <w:rFonts w:cs="Times New Roman"/>
          <w:noProof/>
          <w:szCs w:val="24"/>
        </w:rPr>
        <w:t xml:space="preserve"> zbog parlamentarnih izbora 30. avgusta.</w:t>
      </w:r>
    </w:p>
    <w:p w:rsidR="001A1CAC" w:rsidRPr="009A2018" w:rsidRDefault="00D71D79" w:rsidP="00EC1790">
      <w:pPr>
        <w:spacing w:after="120" w:line="240" w:lineRule="auto"/>
        <w:jc w:val="both"/>
        <w:rPr>
          <w:rFonts w:cs="Times New Roman"/>
          <w:szCs w:val="24"/>
        </w:rPr>
      </w:pPr>
      <w:r w:rsidRPr="009A2018">
        <w:rPr>
          <w:rFonts w:cs="Times New Roman"/>
          <w:noProof/>
          <w:szCs w:val="24"/>
        </w:rPr>
        <w:t>Nijedna politička stranka nije bojkotovala izbore na kojima</w:t>
      </w:r>
      <w:r w:rsidR="0097635D" w:rsidRPr="009A2018">
        <w:rPr>
          <w:rFonts w:cs="Times New Roman"/>
          <w:noProof/>
          <w:szCs w:val="24"/>
        </w:rPr>
        <w:t xml:space="preserve"> je</w:t>
      </w:r>
      <w:r w:rsidRPr="009A2018">
        <w:rPr>
          <w:rFonts w:cs="Times New Roman"/>
          <w:noProof/>
          <w:szCs w:val="24"/>
        </w:rPr>
        <w:t xml:space="preserve"> učestvovalo 11 lista kandidata.</w:t>
      </w:r>
    </w:p>
    <w:p w:rsidR="005F62F4" w:rsidRPr="009A2018" w:rsidRDefault="00E10F10" w:rsidP="00EC1790">
      <w:pPr>
        <w:spacing w:after="120" w:line="240" w:lineRule="auto"/>
        <w:jc w:val="both"/>
        <w:rPr>
          <w:rFonts w:cs="Times New Roman"/>
          <w:szCs w:val="24"/>
        </w:rPr>
      </w:pPr>
      <w:r w:rsidRPr="009A2018">
        <w:rPr>
          <w:rFonts w:cs="Times New Roman"/>
          <w:szCs w:val="24"/>
        </w:rPr>
        <w:t>Prema preliminarnim nalazima Kancelarije za demokratske institucije i ljudska prava Organiz</w:t>
      </w:r>
      <w:r w:rsidR="00433BEC" w:rsidRPr="009A2018">
        <w:rPr>
          <w:rFonts w:cs="Times New Roman"/>
          <w:szCs w:val="24"/>
        </w:rPr>
        <w:t>acije za evropsku bezb</w:t>
      </w:r>
      <w:r w:rsidR="00E36936" w:rsidRPr="009A2018">
        <w:rPr>
          <w:rFonts w:cs="Times New Roman"/>
          <w:szCs w:val="24"/>
        </w:rPr>
        <w:t>j</w:t>
      </w:r>
      <w:r w:rsidR="00433BEC" w:rsidRPr="009A2018">
        <w:rPr>
          <w:rFonts w:cs="Times New Roman"/>
          <w:szCs w:val="24"/>
        </w:rPr>
        <w:t>ednost i saradnju (O</w:t>
      </w:r>
      <w:r w:rsidRPr="009A2018">
        <w:rPr>
          <w:rFonts w:cs="Times New Roman"/>
          <w:szCs w:val="24"/>
        </w:rPr>
        <w:t>E</w:t>
      </w:r>
      <w:r w:rsidR="00433BEC" w:rsidRPr="009A2018">
        <w:rPr>
          <w:rFonts w:cs="Times New Roman"/>
          <w:szCs w:val="24"/>
        </w:rPr>
        <w:t>BS</w:t>
      </w:r>
      <w:r w:rsidRPr="009A2018">
        <w:rPr>
          <w:rFonts w:cs="Times New Roman"/>
          <w:szCs w:val="24"/>
        </w:rPr>
        <w:t xml:space="preserve"> / ODIHR), izbori su bili </w:t>
      </w:r>
      <w:r w:rsidR="00A50F99" w:rsidRPr="009A2018">
        <w:rPr>
          <w:rFonts w:cs="Times New Roman"/>
          <w:szCs w:val="24"/>
        </w:rPr>
        <w:t>takmičarski</w:t>
      </w:r>
      <w:r w:rsidRPr="009A2018">
        <w:rPr>
          <w:rFonts w:cs="Times New Roman"/>
          <w:szCs w:val="24"/>
        </w:rPr>
        <w:t xml:space="preserve"> i </w:t>
      </w:r>
      <w:r w:rsidR="0097635D" w:rsidRPr="009A2018">
        <w:rPr>
          <w:rFonts w:cs="Times New Roman"/>
          <w:szCs w:val="24"/>
        </w:rPr>
        <w:t>vođeni su</w:t>
      </w:r>
      <w:r w:rsidRPr="009A2018">
        <w:rPr>
          <w:rFonts w:cs="Times New Roman"/>
          <w:szCs w:val="24"/>
        </w:rPr>
        <w:t xml:space="preserve"> transparentno i efikasno, </w:t>
      </w:r>
      <w:r w:rsidR="00433BEC" w:rsidRPr="009A2018">
        <w:rPr>
          <w:rFonts w:cs="Times New Roman"/>
          <w:szCs w:val="24"/>
        </w:rPr>
        <w:t>ali</w:t>
      </w:r>
      <w:r w:rsidR="00A50F99" w:rsidRPr="009A2018">
        <w:rPr>
          <w:rFonts w:cs="Times New Roman"/>
          <w:szCs w:val="24"/>
        </w:rPr>
        <w:t xml:space="preserve"> je okruženje u kome su se odvijali bilo</w:t>
      </w:r>
      <w:r w:rsidR="00AB2F16">
        <w:rPr>
          <w:rFonts w:cs="Times New Roman"/>
          <w:szCs w:val="24"/>
        </w:rPr>
        <w:t xml:space="preserve"> </w:t>
      </w:r>
      <w:r w:rsidR="00A50F99" w:rsidRPr="009A2018">
        <w:rPr>
          <w:rFonts w:cs="Times New Roman"/>
          <w:szCs w:val="24"/>
        </w:rPr>
        <w:t>duboko polarizovano</w:t>
      </w:r>
      <w:r w:rsidR="00AB2F16">
        <w:rPr>
          <w:rFonts w:cs="Times New Roman"/>
          <w:szCs w:val="24"/>
        </w:rPr>
        <w:t xml:space="preserve"> </w:t>
      </w:r>
      <w:r w:rsidR="00DD15A5" w:rsidRPr="009A2018">
        <w:rPr>
          <w:rFonts w:cs="Times New Roman"/>
          <w:szCs w:val="24"/>
        </w:rPr>
        <w:t xml:space="preserve">po </w:t>
      </w:r>
      <w:r w:rsidR="00433BEC" w:rsidRPr="009A2018">
        <w:rPr>
          <w:rFonts w:cs="Times New Roman"/>
          <w:szCs w:val="24"/>
        </w:rPr>
        <w:t>pitanjima crkve i nacionalnog</w:t>
      </w:r>
      <w:r w:rsidRPr="009A2018">
        <w:rPr>
          <w:rFonts w:cs="Times New Roman"/>
          <w:szCs w:val="24"/>
        </w:rPr>
        <w:t xml:space="preserve"> identitet</w:t>
      </w:r>
      <w:r w:rsidR="00433BEC" w:rsidRPr="009A2018">
        <w:rPr>
          <w:rFonts w:cs="Times New Roman"/>
          <w:szCs w:val="24"/>
        </w:rPr>
        <w:t>a</w:t>
      </w:r>
      <w:r w:rsidRPr="009A2018">
        <w:rPr>
          <w:rFonts w:cs="Times New Roman"/>
          <w:szCs w:val="24"/>
        </w:rPr>
        <w:t>.</w:t>
      </w:r>
      <w:r w:rsidR="00AB2F16">
        <w:rPr>
          <w:rFonts w:cs="Times New Roman"/>
          <w:szCs w:val="24"/>
        </w:rPr>
        <w:t xml:space="preserve"> </w:t>
      </w:r>
      <w:r w:rsidR="00433BEC" w:rsidRPr="009A2018">
        <w:rPr>
          <w:rFonts w:eastAsiaTheme="minorEastAsia" w:cs="Times New Roman"/>
          <w:szCs w:val="24"/>
          <w:lang w:eastAsia="it-IT"/>
        </w:rPr>
        <w:t xml:space="preserve">Kampanja je protekla mirno, uprkos često sukobljenim tonovima. </w:t>
      </w:r>
      <w:r w:rsidR="00E36936" w:rsidRPr="009A2018">
        <w:rPr>
          <w:rFonts w:eastAsiaTheme="minorEastAsia" w:cs="Times New Roman"/>
          <w:szCs w:val="24"/>
          <w:lang w:eastAsia="it-IT"/>
        </w:rPr>
        <w:t>Kandidati</w:t>
      </w:r>
      <w:r w:rsidR="00433BEC" w:rsidRPr="009A2018">
        <w:rPr>
          <w:rFonts w:eastAsiaTheme="minorEastAsia" w:cs="Times New Roman"/>
          <w:szCs w:val="24"/>
          <w:lang w:eastAsia="it-IT"/>
        </w:rPr>
        <w:t xml:space="preserve"> su mogli da pr</w:t>
      </w:r>
      <w:r w:rsidR="00AB2F16">
        <w:rPr>
          <w:rFonts w:eastAsiaTheme="minorEastAsia" w:cs="Times New Roman"/>
          <w:szCs w:val="24"/>
          <w:lang w:eastAsia="it-IT"/>
        </w:rPr>
        <w:t>enose svoje poruke, ali je OEBS</w:t>
      </w:r>
      <w:r w:rsidR="00433BEC" w:rsidRPr="009A2018">
        <w:rPr>
          <w:rFonts w:eastAsiaTheme="minorEastAsia" w:cs="Times New Roman"/>
          <w:szCs w:val="24"/>
          <w:lang w:eastAsia="it-IT"/>
        </w:rPr>
        <w:t xml:space="preserve">/ODIHR </w:t>
      </w:r>
      <w:r w:rsidR="00433BEC" w:rsidRPr="009A2018">
        <w:rPr>
          <w:rFonts w:eastAsiaTheme="minorEastAsia" w:cs="Times New Roman"/>
          <w:szCs w:val="24"/>
          <w:lang w:eastAsia="it-IT"/>
        </w:rPr>
        <w:lastRenderedPageBreak/>
        <w:t>izrazio</w:t>
      </w:r>
      <w:r w:rsidR="00A50F99" w:rsidRPr="009A2018">
        <w:rPr>
          <w:rFonts w:eastAsiaTheme="minorEastAsia" w:cs="Times New Roman"/>
          <w:szCs w:val="24"/>
          <w:lang w:eastAsia="it-IT"/>
        </w:rPr>
        <w:t xml:space="preserve"> priličnu</w:t>
      </w:r>
      <w:r w:rsidR="00DD15A5" w:rsidRPr="009A2018">
        <w:rPr>
          <w:rFonts w:eastAsiaTheme="minorEastAsia" w:cs="Times New Roman"/>
          <w:szCs w:val="24"/>
          <w:lang w:eastAsia="it-IT"/>
        </w:rPr>
        <w:t xml:space="preserve"> zabrinutost</w:t>
      </w:r>
      <w:r w:rsidR="00433BEC" w:rsidRPr="009A2018">
        <w:rPr>
          <w:rFonts w:eastAsiaTheme="minorEastAsia" w:cs="Times New Roman"/>
          <w:szCs w:val="24"/>
          <w:lang w:eastAsia="it-IT"/>
        </w:rPr>
        <w:t xml:space="preserve"> u vezi s neprim</w:t>
      </w:r>
      <w:r w:rsidR="00E36936" w:rsidRPr="009A2018">
        <w:rPr>
          <w:rFonts w:eastAsiaTheme="minorEastAsia" w:cs="Times New Roman"/>
          <w:szCs w:val="24"/>
          <w:lang w:eastAsia="it-IT"/>
        </w:rPr>
        <w:t>j</w:t>
      </w:r>
      <w:r w:rsidR="00433BEC" w:rsidRPr="009A2018">
        <w:rPr>
          <w:rFonts w:eastAsiaTheme="minorEastAsia" w:cs="Times New Roman"/>
          <w:szCs w:val="24"/>
          <w:lang w:eastAsia="it-IT"/>
        </w:rPr>
        <w:t xml:space="preserve">erenom prednošću </w:t>
      </w:r>
      <w:r w:rsidR="00DD15A5" w:rsidRPr="009A2018">
        <w:rPr>
          <w:rFonts w:eastAsiaTheme="minorEastAsia" w:cs="Times New Roman"/>
          <w:szCs w:val="24"/>
          <w:lang w:eastAsia="it-IT"/>
        </w:rPr>
        <w:t>vladajuće stranke</w:t>
      </w:r>
      <w:r w:rsidR="00FF457C" w:rsidRPr="009A2018">
        <w:rPr>
          <w:rFonts w:eastAsiaTheme="minorEastAsia" w:cs="Times New Roman"/>
          <w:szCs w:val="24"/>
          <w:lang w:eastAsia="it-IT"/>
        </w:rPr>
        <w:t xml:space="preserve"> i neizbalansiranim medijski</w:t>
      </w:r>
      <w:r w:rsidR="00433BEC" w:rsidRPr="009A2018">
        <w:rPr>
          <w:rFonts w:eastAsiaTheme="minorEastAsia" w:cs="Times New Roman"/>
          <w:szCs w:val="24"/>
          <w:lang w:eastAsia="it-IT"/>
        </w:rPr>
        <w:t xml:space="preserve">m </w:t>
      </w:r>
      <w:r w:rsidR="00FF457C" w:rsidRPr="009A2018">
        <w:rPr>
          <w:rFonts w:eastAsiaTheme="minorEastAsia" w:cs="Times New Roman"/>
          <w:szCs w:val="24"/>
          <w:lang w:eastAsia="it-IT"/>
        </w:rPr>
        <w:t>izv</w:t>
      </w:r>
      <w:r w:rsidR="00E36936" w:rsidRPr="009A2018">
        <w:rPr>
          <w:rFonts w:eastAsiaTheme="minorEastAsia" w:cs="Times New Roman"/>
          <w:szCs w:val="24"/>
          <w:lang w:eastAsia="it-IT"/>
        </w:rPr>
        <w:t>j</w:t>
      </w:r>
      <w:r w:rsidR="00FF457C" w:rsidRPr="009A2018">
        <w:rPr>
          <w:rFonts w:eastAsiaTheme="minorEastAsia" w:cs="Times New Roman"/>
          <w:szCs w:val="24"/>
          <w:lang w:eastAsia="it-IT"/>
        </w:rPr>
        <w:t>eštavanjem</w:t>
      </w:r>
      <w:r w:rsidR="00A01872" w:rsidRPr="009A2018">
        <w:rPr>
          <w:rFonts w:cs="Times New Roman"/>
          <w:szCs w:val="24"/>
        </w:rPr>
        <w:t>.</w:t>
      </w:r>
    </w:p>
    <w:p w:rsidR="00FF457C" w:rsidRPr="009A2018" w:rsidRDefault="00FF457C" w:rsidP="00EC1790">
      <w:pPr>
        <w:spacing w:after="120" w:line="240" w:lineRule="auto"/>
        <w:jc w:val="both"/>
        <w:rPr>
          <w:rFonts w:cs="Times New Roman"/>
          <w:szCs w:val="24"/>
        </w:rPr>
      </w:pPr>
      <w:r w:rsidRPr="009A2018">
        <w:rPr>
          <w:rFonts w:cs="Times New Roman"/>
          <w:szCs w:val="24"/>
        </w:rPr>
        <w:t>Izbor</w:t>
      </w:r>
      <w:r w:rsidR="00DD15A5" w:rsidRPr="009A2018">
        <w:rPr>
          <w:rFonts w:cs="Times New Roman"/>
          <w:szCs w:val="24"/>
        </w:rPr>
        <w:t>i su rezultirali do tada neviđenom</w:t>
      </w:r>
      <w:r w:rsidRPr="009A2018">
        <w:rPr>
          <w:rFonts w:cs="Times New Roman"/>
          <w:szCs w:val="24"/>
        </w:rPr>
        <w:t xml:space="preserve"> prom</w:t>
      </w:r>
      <w:r w:rsidR="00E36936" w:rsidRPr="009A2018">
        <w:rPr>
          <w:rFonts w:cs="Times New Roman"/>
          <w:szCs w:val="24"/>
        </w:rPr>
        <w:t>j</w:t>
      </w:r>
      <w:r w:rsidRPr="009A2018">
        <w:rPr>
          <w:rFonts w:cs="Times New Roman"/>
          <w:szCs w:val="24"/>
        </w:rPr>
        <w:t>enom sastava vladajuće većine. Novi parlament bi treba</w:t>
      </w:r>
      <w:r w:rsidR="00DD15A5" w:rsidRPr="009A2018">
        <w:rPr>
          <w:rFonts w:cs="Times New Roman"/>
          <w:szCs w:val="24"/>
        </w:rPr>
        <w:t>l</w:t>
      </w:r>
      <w:r w:rsidRPr="009A2018">
        <w:rPr>
          <w:rFonts w:cs="Times New Roman"/>
          <w:szCs w:val="24"/>
        </w:rPr>
        <w:t xml:space="preserve">o </w:t>
      </w:r>
      <w:r w:rsidR="00EB1EA4" w:rsidRPr="009A2018">
        <w:rPr>
          <w:rFonts w:cs="Times New Roman"/>
          <w:szCs w:val="24"/>
        </w:rPr>
        <w:t>da pokuša da ostvari širi</w:t>
      </w:r>
      <w:r w:rsidRPr="009A2018">
        <w:rPr>
          <w:rFonts w:cs="Times New Roman"/>
          <w:szCs w:val="24"/>
        </w:rPr>
        <w:t xml:space="preserve"> međustran</w:t>
      </w:r>
      <w:r w:rsidR="00A50F99" w:rsidRPr="009A2018">
        <w:rPr>
          <w:rFonts w:cs="Times New Roman"/>
          <w:szCs w:val="24"/>
        </w:rPr>
        <w:t>ački i društveni konsenzus i da</w:t>
      </w:r>
      <w:r w:rsidRPr="009A2018">
        <w:rPr>
          <w:rFonts w:cs="Times New Roman"/>
          <w:szCs w:val="24"/>
        </w:rPr>
        <w:t xml:space="preserve"> u praksi pokaže svoju </w:t>
      </w:r>
      <w:r w:rsidR="00EB1EA4" w:rsidRPr="009A2018">
        <w:rPr>
          <w:rFonts w:cs="Times New Roman"/>
          <w:szCs w:val="24"/>
        </w:rPr>
        <w:t>posvećenost reformskoj agendi</w:t>
      </w:r>
      <w:r w:rsidRPr="009A2018">
        <w:rPr>
          <w:rFonts w:cs="Times New Roman"/>
          <w:szCs w:val="24"/>
        </w:rPr>
        <w:t xml:space="preserve"> Evropske unije</w:t>
      </w:r>
      <w:r w:rsidR="00E36936" w:rsidRPr="009A2018">
        <w:rPr>
          <w:rFonts w:cs="Times New Roman"/>
          <w:szCs w:val="24"/>
        </w:rPr>
        <w:t xml:space="preserve"> u Crnoj Gori</w:t>
      </w:r>
      <w:r w:rsidRPr="009A2018">
        <w:rPr>
          <w:rFonts w:cs="Times New Roman"/>
          <w:szCs w:val="24"/>
        </w:rPr>
        <w:t>, što je od vitalnog</w:t>
      </w:r>
      <w:r w:rsidR="00A50F99" w:rsidRPr="009A2018">
        <w:rPr>
          <w:rFonts w:cs="Times New Roman"/>
          <w:szCs w:val="24"/>
        </w:rPr>
        <w:t xml:space="preserve"> značaja za napredak zemlje na </w:t>
      </w:r>
      <w:r w:rsidRPr="009A2018">
        <w:rPr>
          <w:rFonts w:cs="Times New Roman"/>
          <w:szCs w:val="24"/>
        </w:rPr>
        <w:t xml:space="preserve"> putu ka E</w:t>
      </w:r>
      <w:r w:rsidR="00A50F99" w:rsidRPr="009A2018">
        <w:rPr>
          <w:rFonts w:cs="Times New Roman"/>
          <w:szCs w:val="24"/>
        </w:rPr>
        <w:t>vropskoj uniji</w:t>
      </w:r>
      <w:r w:rsidRPr="009A2018">
        <w:rPr>
          <w:rFonts w:cs="Times New Roman"/>
          <w:szCs w:val="24"/>
        </w:rPr>
        <w:t>; kao i da se uključi u transparentan, odlučan i inkluzivan</w:t>
      </w:r>
      <w:r w:rsidR="00440414" w:rsidRPr="009A2018">
        <w:rPr>
          <w:rFonts w:cs="Times New Roman"/>
          <w:szCs w:val="24"/>
        </w:rPr>
        <w:t xml:space="preserve"> dijalog o sprovođenju preostalih</w:t>
      </w:r>
      <w:r w:rsidR="00AB2F16">
        <w:rPr>
          <w:rFonts w:cs="Times New Roman"/>
          <w:szCs w:val="24"/>
        </w:rPr>
        <w:t xml:space="preserve"> </w:t>
      </w:r>
      <w:r w:rsidR="00440414" w:rsidRPr="009A2018">
        <w:rPr>
          <w:rFonts w:cs="Times New Roman"/>
          <w:szCs w:val="24"/>
        </w:rPr>
        <w:t>preporuka OEBS</w:t>
      </w:r>
      <w:r w:rsidR="00AB2F16">
        <w:rPr>
          <w:rFonts w:cs="Times New Roman"/>
          <w:szCs w:val="24"/>
        </w:rPr>
        <w:t>-a/</w:t>
      </w:r>
      <w:r w:rsidRPr="009A2018">
        <w:rPr>
          <w:rFonts w:cs="Times New Roman"/>
          <w:szCs w:val="24"/>
        </w:rPr>
        <w:t>ODIHR-a.</w:t>
      </w:r>
    </w:p>
    <w:p w:rsidR="00440414" w:rsidRPr="009A2018" w:rsidRDefault="00440414" w:rsidP="00EC1790">
      <w:pPr>
        <w:spacing w:after="120" w:line="240" w:lineRule="auto"/>
        <w:jc w:val="both"/>
        <w:rPr>
          <w:rFonts w:cs="Times New Roman"/>
          <w:szCs w:val="24"/>
        </w:rPr>
      </w:pPr>
      <w:r w:rsidRPr="009A2018">
        <w:rPr>
          <w:rFonts w:cs="Times New Roman"/>
          <w:szCs w:val="24"/>
        </w:rPr>
        <w:t>U decembru 2019. godine, zbog nedostatka kvorum</w:t>
      </w:r>
      <w:r w:rsidR="00F51A4B" w:rsidRPr="009A2018">
        <w:rPr>
          <w:rFonts w:cs="Times New Roman"/>
          <w:szCs w:val="24"/>
        </w:rPr>
        <w:t xml:space="preserve">a, </w:t>
      </w:r>
      <w:r w:rsidR="000E63F4">
        <w:rPr>
          <w:rFonts w:cs="Times New Roman"/>
          <w:szCs w:val="24"/>
        </w:rPr>
        <w:t>S</w:t>
      </w:r>
      <w:r w:rsidR="000E63F4" w:rsidRPr="009A2018">
        <w:rPr>
          <w:rFonts w:cs="Times New Roman"/>
          <w:szCs w:val="24"/>
        </w:rPr>
        <w:t xml:space="preserve">kupština </w:t>
      </w:r>
      <w:r w:rsidRPr="009A2018">
        <w:rPr>
          <w:rFonts w:cs="Times New Roman"/>
          <w:szCs w:val="24"/>
        </w:rPr>
        <w:t xml:space="preserve">je </w:t>
      </w:r>
      <w:r w:rsidR="000278F5" w:rsidRPr="009A2018">
        <w:rPr>
          <w:rFonts w:cs="Times New Roman"/>
          <w:szCs w:val="24"/>
        </w:rPr>
        <w:t>u cilju d</w:t>
      </w:r>
      <w:r w:rsidR="00E36936" w:rsidRPr="009A2018">
        <w:rPr>
          <w:rFonts w:cs="Times New Roman"/>
          <w:szCs w:val="24"/>
        </w:rPr>
        <w:t>j</w:t>
      </w:r>
      <w:r w:rsidR="000278F5" w:rsidRPr="009A2018">
        <w:rPr>
          <w:rFonts w:cs="Times New Roman"/>
          <w:szCs w:val="24"/>
        </w:rPr>
        <w:t>elimične</w:t>
      </w:r>
      <w:r w:rsidR="00AB2F16">
        <w:rPr>
          <w:rFonts w:cs="Times New Roman"/>
          <w:szCs w:val="24"/>
        </w:rPr>
        <w:t xml:space="preserve"> realizacije preporuka OEBS-a/</w:t>
      </w:r>
      <w:r w:rsidR="000278F5" w:rsidRPr="009A2018">
        <w:rPr>
          <w:rFonts w:cs="Times New Roman"/>
          <w:szCs w:val="24"/>
        </w:rPr>
        <w:t xml:space="preserve">ODIHR-a </w:t>
      </w:r>
      <w:r w:rsidR="00F51A4B" w:rsidRPr="009A2018">
        <w:rPr>
          <w:rFonts w:cs="Times New Roman"/>
          <w:szCs w:val="24"/>
        </w:rPr>
        <w:t>usvojila</w:t>
      </w:r>
      <w:r w:rsidR="00AB2F16">
        <w:rPr>
          <w:rFonts w:cs="Times New Roman"/>
          <w:szCs w:val="24"/>
        </w:rPr>
        <w:t xml:space="preserve"> </w:t>
      </w:r>
      <w:r w:rsidRPr="009A2018">
        <w:rPr>
          <w:rFonts w:cs="Times New Roman"/>
          <w:szCs w:val="24"/>
        </w:rPr>
        <w:t>izv</w:t>
      </w:r>
      <w:r w:rsidR="00E36936" w:rsidRPr="009A2018">
        <w:rPr>
          <w:rFonts w:cs="Times New Roman"/>
          <w:szCs w:val="24"/>
        </w:rPr>
        <w:t>j</w:t>
      </w:r>
      <w:r w:rsidRPr="009A2018">
        <w:rPr>
          <w:rFonts w:cs="Times New Roman"/>
          <w:szCs w:val="24"/>
        </w:rPr>
        <w:t>esna zakonska r</w:t>
      </w:r>
      <w:r w:rsidR="00E36936" w:rsidRPr="009A2018">
        <w:rPr>
          <w:rFonts w:cs="Times New Roman"/>
          <w:szCs w:val="24"/>
        </w:rPr>
        <w:t>j</w:t>
      </w:r>
      <w:r w:rsidRPr="009A2018">
        <w:rPr>
          <w:rFonts w:cs="Times New Roman"/>
          <w:szCs w:val="24"/>
        </w:rPr>
        <w:t>ešenja samo glasovima tadašnje vladajuće većine. Usvojene prom</w:t>
      </w:r>
      <w:r w:rsidR="00E36936" w:rsidRPr="009A2018">
        <w:rPr>
          <w:rFonts w:cs="Times New Roman"/>
          <w:szCs w:val="24"/>
        </w:rPr>
        <w:t>j</w:t>
      </w:r>
      <w:r w:rsidRPr="009A2018">
        <w:rPr>
          <w:rFonts w:cs="Times New Roman"/>
          <w:szCs w:val="24"/>
        </w:rPr>
        <w:t>ene ni</w:t>
      </w:r>
      <w:r w:rsidR="00AB2F16">
        <w:rPr>
          <w:rFonts w:cs="Times New Roman"/>
          <w:szCs w:val="24"/>
        </w:rPr>
        <w:t>je</w:t>
      </w:r>
      <w:r w:rsidRPr="009A2018">
        <w:rPr>
          <w:rFonts w:cs="Times New Roman"/>
          <w:szCs w:val="24"/>
        </w:rPr>
        <w:t>su bitno uticale na postojeći izborni okvir, osim kada je u pitanju finansiranje</w:t>
      </w:r>
      <w:r w:rsidR="00742E1F" w:rsidRPr="009A2018">
        <w:rPr>
          <w:rFonts w:cs="Times New Roman"/>
          <w:szCs w:val="24"/>
        </w:rPr>
        <w:t xml:space="preserve"> kampanje. Preostale</w:t>
      </w:r>
      <w:r w:rsidR="00CF1F70" w:rsidRPr="009A2018">
        <w:rPr>
          <w:rFonts w:cs="Times New Roman"/>
          <w:szCs w:val="24"/>
        </w:rPr>
        <w:t xml:space="preserve"> prioritetne preporuke O</w:t>
      </w:r>
      <w:r w:rsidR="000E63F4">
        <w:rPr>
          <w:rFonts w:cs="Times New Roman"/>
          <w:szCs w:val="24"/>
        </w:rPr>
        <w:t>EBS</w:t>
      </w:r>
      <w:r w:rsidR="00CF1F70" w:rsidRPr="009A2018">
        <w:rPr>
          <w:rFonts w:cs="Times New Roman"/>
          <w:szCs w:val="24"/>
        </w:rPr>
        <w:t>-a/</w:t>
      </w:r>
      <w:r w:rsidRPr="009A2018">
        <w:rPr>
          <w:rFonts w:cs="Times New Roman"/>
          <w:szCs w:val="24"/>
        </w:rPr>
        <w:t>ODIHR-a, poput profesionalnosti, nepristra</w:t>
      </w:r>
      <w:r w:rsidR="00AB2F16">
        <w:rPr>
          <w:rFonts w:cs="Times New Roman"/>
          <w:szCs w:val="24"/>
        </w:rPr>
        <w:t>s</w:t>
      </w:r>
      <w:r w:rsidRPr="009A2018">
        <w:rPr>
          <w:rFonts w:cs="Times New Roman"/>
          <w:szCs w:val="24"/>
        </w:rPr>
        <w:t xml:space="preserve">nosti i transparentnosti izborne administracije; </w:t>
      </w:r>
      <w:r w:rsidR="00CF1F70" w:rsidRPr="009A2018">
        <w:rPr>
          <w:rFonts w:cs="Times New Roman"/>
          <w:szCs w:val="24"/>
        </w:rPr>
        <w:t>registracije</w:t>
      </w:r>
      <w:r w:rsidR="00742E1F" w:rsidRPr="009A2018">
        <w:rPr>
          <w:rFonts w:cs="Times New Roman"/>
          <w:szCs w:val="24"/>
        </w:rPr>
        <w:t xml:space="preserve"> kandidata i mehaniz</w:t>
      </w:r>
      <w:r w:rsidR="00CF1F70" w:rsidRPr="009A2018">
        <w:rPr>
          <w:rFonts w:cs="Times New Roman"/>
          <w:szCs w:val="24"/>
        </w:rPr>
        <w:t>ama</w:t>
      </w:r>
      <w:r w:rsidR="00742E1F" w:rsidRPr="009A2018">
        <w:rPr>
          <w:rFonts w:cs="Times New Roman"/>
          <w:szCs w:val="24"/>
        </w:rPr>
        <w:t xml:space="preserve"> za prov</w:t>
      </w:r>
      <w:r w:rsidR="00E36936" w:rsidRPr="009A2018">
        <w:rPr>
          <w:rFonts w:cs="Times New Roman"/>
          <w:szCs w:val="24"/>
        </w:rPr>
        <w:t>j</w:t>
      </w:r>
      <w:r w:rsidR="00EB1EA4" w:rsidRPr="009A2018">
        <w:rPr>
          <w:rFonts w:cs="Times New Roman"/>
          <w:szCs w:val="24"/>
        </w:rPr>
        <w:t>eru v</w:t>
      </w:r>
      <w:r w:rsidR="00E36936" w:rsidRPr="009A2018">
        <w:rPr>
          <w:rFonts w:cs="Times New Roman"/>
          <w:szCs w:val="24"/>
        </w:rPr>
        <w:t>je</w:t>
      </w:r>
      <w:r w:rsidRPr="009A2018">
        <w:rPr>
          <w:rFonts w:cs="Times New Roman"/>
          <w:szCs w:val="24"/>
        </w:rPr>
        <w:t>rodostojnosti potpisa birača; nadzor</w:t>
      </w:r>
      <w:r w:rsidR="00CF1F70" w:rsidRPr="009A2018">
        <w:rPr>
          <w:rFonts w:cs="Times New Roman"/>
          <w:szCs w:val="24"/>
        </w:rPr>
        <w:t>a</w:t>
      </w:r>
      <w:r w:rsidRPr="009A2018">
        <w:rPr>
          <w:rFonts w:cs="Times New Roman"/>
          <w:szCs w:val="24"/>
        </w:rPr>
        <w:t xml:space="preserve"> medija tokom izborne kampanje, </w:t>
      </w:r>
      <w:r w:rsidR="000278F5" w:rsidRPr="009A2018">
        <w:rPr>
          <w:rFonts w:cs="Times New Roman"/>
          <w:szCs w:val="24"/>
        </w:rPr>
        <w:t>kontro</w:t>
      </w:r>
      <w:r w:rsidR="00CF1F70" w:rsidRPr="009A2018">
        <w:rPr>
          <w:rFonts w:cs="Times New Roman"/>
          <w:szCs w:val="24"/>
        </w:rPr>
        <w:t>le</w:t>
      </w:r>
      <w:r w:rsidRPr="009A2018">
        <w:rPr>
          <w:rFonts w:cs="Times New Roman"/>
          <w:szCs w:val="24"/>
        </w:rPr>
        <w:t xml:space="preserve"> biračkog spiska</w:t>
      </w:r>
      <w:r w:rsidR="00EB1EA4" w:rsidRPr="009A2018">
        <w:rPr>
          <w:rFonts w:cs="Times New Roman"/>
          <w:szCs w:val="24"/>
        </w:rPr>
        <w:t>; m</w:t>
      </w:r>
      <w:r w:rsidR="00B11038" w:rsidRPr="009A2018">
        <w:rPr>
          <w:rFonts w:cs="Times New Roman"/>
          <w:szCs w:val="24"/>
        </w:rPr>
        <w:t>j</w:t>
      </w:r>
      <w:r w:rsidR="00CF1F70" w:rsidRPr="009A2018">
        <w:rPr>
          <w:rFonts w:cs="Times New Roman"/>
          <w:szCs w:val="24"/>
        </w:rPr>
        <w:t>era</w:t>
      </w:r>
      <w:r w:rsidRPr="009A2018">
        <w:rPr>
          <w:rFonts w:cs="Times New Roman"/>
          <w:szCs w:val="24"/>
        </w:rPr>
        <w:t xml:space="preserve"> protiv zloupotrebe državnih resursa i rodno uravnotežene političke zastupljenosti na izborima, i</w:t>
      </w:r>
      <w:r w:rsidR="00742E1F" w:rsidRPr="009A2018">
        <w:rPr>
          <w:rFonts w:cs="Times New Roman"/>
          <w:szCs w:val="24"/>
        </w:rPr>
        <w:t xml:space="preserve"> dalje</w:t>
      </w:r>
      <w:r w:rsidR="00EB1EA4" w:rsidRPr="009A2018">
        <w:rPr>
          <w:rFonts w:cs="Times New Roman"/>
          <w:szCs w:val="24"/>
        </w:rPr>
        <w:t xml:space="preserve"> čekaju na sprovođenje</w:t>
      </w:r>
      <w:r w:rsidR="00742E1F" w:rsidRPr="009A2018">
        <w:rPr>
          <w:rFonts w:cs="Times New Roman"/>
          <w:szCs w:val="24"/>
        </w:rPr>
        <w:t>. Stoga</w:t>
      </w:r>
      <w:r w:rsidR="00AB2F16">
        <w:rPr>
          <w:rFonts w:cs="Times New Roman"/>
          <w:szCs w:val="24"/>
        </w:rPr>
        <w:t xml:space="preserve"> </w:t>
      </w:r>
      <w:r w:rsidR="000278F5" w:rsidRPr="009A2018">
        <w:rPr>
          <w:rFonts w:cs="Times New Roman"/>
          <w:szCs w:val="24"/>
        </w:rPr>
        <w:t>se još uv</w:t>
      </w:r>
      <w:r w:rsidR="00B11038" w:rsidRPr="009A2018">
        <w:rPr>
          <w:rFonts w:cs="Times New Roman"/>
          <w:szCs w:val="24"/>
        </w:rPr>
        <w:t>ij</w:t>
      </w:r>
      <w:r w:rsidR="000278F5" w:rsidRPr="009A2018">
        <w:rPr>
          <w:rFonts w:cs="Times New Roman"/>
          <w:szCs w:val="24"/>
        </w:rPr>
        <w:t>ek očekuje</w:t>
      </w:r>
      <w:r w:rsidR="00AB2F16">
        <w:rPr>
          <w:rFonts w:cs="Times New Roman"/>
          <w:szCs w:val="24"/>
        </w:rPr>
        <w:t xml:space="preserve"> </w:t>
      </w:r>
      <w:r w:rsidR="000278F5" w:rsidRPr="009A2018">
        <w:rPr>
          <w:rFonts w:cs="Times New Roman"/>
          <w:szCs w:val="24"/>
        </w:rPr>
        <w:t xml:space="preserve">sveobuhvatna i inkluzivna </w:t>
      </w:r>
      <w:r w:rsidRPr="009A2018">
        <w:rPr>
          <w:rFonts w:cs="Times New Roman"/>
          <w:szCs w:val="24"/>
        </w:rPr>
        <w:t>revizija izbornog okvira.</w:t>
      </w:r>
    </w:p>
    <w:p w:rsidR="00742E1F" w:rsidRPr="00095948" w:rsidRDefault="00742E1F" w:rsidP="00EC1790">
      <w:pPr>
        <w:spacing w:after="120" w:line="240" w:lineRule="auto"/>
        <w:jc w:val="both"/>
        <w:rPr>
          <w:rFonts w:cs="Times New Roman"/>
          <w:szCs w:val="24"/>
          <w:lang w:val="fr-FR"/>
        </w:rPr>
      </w:pPr>
      <w:r w:rsidRPr="009A2018">
        <w:rPr>
          <w:rFonts w:cs="Times New Roman"/>
          <w:szCs w:val="24"/>
        </w:rPr>
        <w:t>Novi preds</w:t>
      </w:r>
      <w:r w:rsidR="00B11038" w:rsidRPr="009A2018">
        <w:rPr>
          <w:rFonts w:cs="Times New Roman"/>
          <w:szCs w:val="24"/>
        </w:rPr>
        <w:t>j</w:t>
      </w:r>
      <w:r w:rsidR="000278F5" w:rsidRPr="009A2018">
        <w:rPr>
          <w:rFonts w:cs="Times New Roman"/>
          <w:szCs w:val="24"/>
        </w:rPr>
        <w:t>ednik Državne izborne komisije (DIK</w:t>
      </w:r>
      <w:r w:rsidRPr="009A2018">
        <w:rPr>
          <w:rFonts w:cs="Times New Roman"/>
          <w:szCs w:val="24"/>
        </w:rPr>
        <w:t>) imenovan</w:t>
      </w:r>
      <w:r w:rsidR="00E20A10" w:rsidRPr="009A2018">
        <w:rPr>
          <w:rFonts w:cs="Times New Roman"/>
          <w:szCs w:val="24"/>
        </w:rPr>
        <w:t xml:space="preserve"> je u martu 2020. godine. </w:t>
      </w:r>
      <w:r w:rsidR="00AB2F16" w:rsidRPr="00095948">
        <w:rPr>
          <w:rFonts w:cs="Times New Roman"/>
          <w:szCs w:val="24"/>
          <w:lang w:val="fr-FR"/>
        </w:rPr>
        <w:t>Potrebno je nastaviti s</w:t>
      </w:r>
      <w:r w:rsidR="00540D53" w:rsidRPr="00095948">
        <w:rPr>
          <w:rFonts w:cs="Times New Roman"/>
          <w:szCs w:val="24"/>
          <w:lang w:val="fr-FR"/>
        </w:rPr>
        <w:t xml:space="preserve"> nastojanjima da se uveća</w:t>
      </w:r>
      <w:r w:rsidR="000278F5" w:rsidRPr="00095948">
        <w:rPr>
          <w:rFonts w:cs="Times New Roman"/>
          <w:szCs w:val="24"/>
          <w:lang w:val="fr-FR"/>
        </w:rPr>
        <w:t xml:space="preserve"> transparentnost</w:t>
      </w:r>
      <w:r w:rsidRPr="00095948">
        <w:rPr>
          <w:rFonts w:cs="Times New Roman"/>
          <w:szCs w:val="24"/>
          <w:lang w:val="fr-FR"/>
        </w:rPr>
        <w:t xml:space="preserve"> i odgovornos</w:t>
      </w:r>
      <w:r w:rsidR="000278F5" w:rsidRPr="00095948">
        <w:rPr>
          <w:rFonts w:cs="Times New Roman"/>
          <w:szCs w:val="24"/>
          <w:lang w:val="fr-FR"/>
        </w:rPr>
        <w:t>t</w:t>
      </w:r>
      <w:r w:rsidR="00E20A10" w:rsidRPr="00095948">
        <w:rPr>
          <w:rFonts w:cs="Times New Roman"/>
          <w:szCs w:val="24"/>
          <w:lang w:val="fr-FR"/>
        </w:rPr>
        <w:t xml:space="preserve"> u</w:t>
      </w:r>
      <w:r w:rsidR="000278F5" w:rsidRPr="00095948">
        <w:rPr>
          <w:rFonts w:cs="Times New Roman"/>
          <w:szCs w:val="24"/>
          <w:lang w:val="fr-FR"/>
        </w:rPr>
        <w:t xml:space="preserve"> radu DIK</w:t>
      </w:r>
      <w:r w:rsidR="00E20A10" w:rsidRPr="00095948">
        <w:rPr>
          <w:rFonts w:cs="Times New Roman"/>
          <w:szCs w:val="24"/>
          <w:lang w:val="fr-FR"/>
        </w:rPr>
        <w:t>-a</w:t>
      </w:r>
      <w:r w:rsidRPr="00095948">
        <w:rPr>
          <w:rFonts w:cs="Times New Roman"/>
          <w:szCs w:val="24"/>
          <w:lang w:val="fr-FR"/>
        </w:rPr>
        <w:t xml:space="preserve">. </w:t>
      </w:r>
      <w:r w:rsidRPr="00C35FD0">
        <w:rPr>
          <w:rFonts w:cs="Times New Roman"/>
          <w:szCs w:val="24"/>
          <w:lang w:val="fr-FR"/>
        </w:rPr>
        <w:t xml:space="preserve">Uprkos međustranačkom dogovoru da se lokalni izbori održe istog dana, zakonski okvir i dalje predviđa njihovo </w:t>
      </w:r>
      <w:r w:rsidR="00CF1F70" w:rsidRPr="00C35FD0">
        <w:rPr>
          <w:rFonts w:cs="Times New Roman"/>
          <w:szCs w:val="24"/>
          <w:lang w:val="fr-FR"/>
        </w:rPr>
        <w:t xml:space="preserve">redovno, naknadno </w:t>
      </w:r>
      <w:r w:rsidR="00E20A10" w:rsidRPr="00C35FD0">
        <w:rPr>
          <w:rFonts w:cs="Times New Roman"/>
          <w:szCs w:val="24"/>
          <w:lang w:val="fr-FR"/>
        </w:rPr>
        <w:t>održavanje</w:t>
      </w:r>
      <w:r w:rsidRPr="00C35FD0">
        <w:rPr>
          <w:rFonts w:cs="Times New Roman"/>
          <w:szCs w:val="24"/>
          <w:lang w:val="fr-FR"/>
        </w:rPr>
        <w:t xml:space="preserve">. </w:t>
      </w:r>
      <w:r w:rsidRPr="00095948">
        <w:rPr>
          <w:rFonts w:cs="Times New Roman"/>
          <w:szCs w:val="24"/>
          <w:lang w:val="fr-FR"/>
        </w:rPr>
        <w:t>Ostaje da se odluči kada će novi sistem biti implementiran.</w:t>
      </w:r>
    </w:p>
    <w:p w:rsidR="00B94AB6" w:rsidRPr="00095948" w:rsidRDefault="00B94AB6" w:rsidP="00EC1790">
      <w:pPr>
        <w:spacing w:after="120" w:line="240" w:lineRule="auto"/>
        <w:jc w:val="both"/>
        <w:rPr>
          <w:rFonts w:cs="Times New Roman"/>
          <w:noProof/>
          <w:szCs w:val="24"/>
          <w:lang w:val="fr-FR"/>
        </w:rPr>
      </w:pPr>
      <w:r w:rsidRPr="00095948">
        <w:rPr>
          <w:rFonts w:cs="Times New Roman"/>
          <w:noProof/>
          <w:szCs w:val="24"/>
          <w:lang w:val="fr-FR"/>
        </w:rPr>
        <w:t>Politička scena pr</w:t>
      </w:r>
      <w:r w:rsidR="00B11038" w:rsidRPr="00095948">
        <w:rPr>
          <w:rFonts w:cs="Times New Roman"/>
          <w:noProof/>
          <w:szCs w:val="24"/>
          <w:lang w:val="fr-FR"/>
        </w:rPr>
        <w:t>ij</w:t>
      </w:r>
      <w:r w:rsidRPr="00095948">
        <w:rPr>
          <w:rFonts w:cs="Times New Roman"/>
          <w:noProof/>
          <w:szCs w:val="24"/>
          <w:lang w:val="fr-FR"/>
        </w:rPr>
        <w:t>e izbora u avgustu 2020.</w:t>
      </w:r>
      <w:r w:rsidR="00E20A10" w:rsidRPr="00095948">
        <w:rPr>
          <w:rFonts w:cs="Times New Roman"/>
          <w:noProof/>
          <w:szCs w:val="24"/>
          <w:lang w:val="fr-FR"/>
        </w:rPr>
        <w:t xml:space="preserve"> godine</w:t>
      </w:r>
      <w:r w:rsidRPr="00095948">
        <w:rPr>
          <w:rFonts w:cs="Times New Roman"/>
          <w:noProof/>
          <w:szCs w:val="24"/>
          <w:lang w:val="fr-FR"/>
        </w:rPr>
        <w:t xml:space="preserve"> bil</w:t>
      </w:r>
      <w:r w:rsidR="00E20A10" w:rsidRPr="00095948">
        <w:rPr>
          <w:rFonts w:cs="Times New Roman"/>
          <w:noProof/>
          <w:szCs w:val="24"/>
          <w:lang w:val="fr-FR"/>
        </w:rPr>
        <w:t xml:space="preserve">a je </w:t>
      </w:r>
      <w:r w:rsidR="000E63F4">
        <w:rPr>
          <w:rFonts w:cs="Times New Roman"/>
          <w:noProof/>
          <w:szCs w:val="24"/>
          <w:lang w:val="fr-FR"/>
        </w:rPr>
        <w:t>fragmentirana</w:t>
      </w:r>
      <w:r w:rsidR="00B11038" w:rsidRPr="00095948">
        <w:rPr>
          <w:rFonts w:cs="Times New Roman"/>
          <w:noProof/>
          <w:szCs w:val="24"/>
          <w:lang w:val="fr-FR"/>
        </w:rPr>
        <w:t>, polarizovana i obilj</w:t>
      </w:r>
      <w:r w:rsidRPr="00095948">
        <w:rPr>
          <w:rFonts w:cs="Times New Roman"/>
          <w:noProof/>
          <w:szCs w:val="24"/>
          <w:lang w:val="fr-FR"/>
        </w:rPr>
        <w:t>ežena nedostatkom istinskog političkog dijaloga. U toku 2019. godine preduzeti su neki početni koraci ka ponovnom uspostavljanju politi</w:t>
      </w:r>
      <w:r w:rsidR="00F51A4B" w:rsidRPr="00095948">
        <w:rPr>
          <w:rFonts w:cs="Times New Roman"/>
          <w:noProof/>
          <w:szCs w:val="24"/>
          <w:lang w:val="fr-FR"/>
        </w:rPr>
        <w:t>čkog dijaloga u Skupštini</w:t>
      </w:r>
      <w:r w:rsidR="00540D53" w:rsidRPr="00095948">
        <w:rPr>
          <w:rFonts w:cs="Times New Roman"/>
          <w:noProof/>
          <w:szCs w:val="24"/>
          <w:lang w:val="fr-FR"/>
        </w:rPr>
        <w:t>,</w:t>
      </w:r>
      <w:r w:rsidRPr="00095948">
        <w:rPr>
          <w:rFonts w:cs="Times New Roman"/>
          <w:noProof/>
          <w:szCs w:val="24"/>
          <w:lang w:val="fr-FR"/>
        </w:rPr>
        <w:t xml:space="preserve"> uz d</w:t>
      </w:r>
      <w:r w:rsidR="00B11038" w:rsidRPr="00095948">
        <w:rPr>
          <w:rFonts w:cs="Times New Roman"/>
          <w:noProof/>
          <w:szCs w:val="24"/>
          <w:lang w:val="fr-FR"/>
        </w:rPr>
        <w:t>j</w:t>
      </w:r>
      <w:r w:rsidRPr="00095948">
        <w:rPr>
          <w:rFonts w:cs="Times New Roman"/>
          <w:noProof/>
          <w:szCs w:val="24"/>
          <w:lang w:val="fr-FR"/>
        </w:rPr>
        <w:t xml:space="preserve">elimično učešće opozicionih stranaka u radu privremenog </w:t>
      </w:r>
      <w:r w:rsidR="000E63F4">
        <w:rPr>
          <w:rFonts w:cs="Times New Roman"/>
          <w:noProof/>
          <w:szCs w:val="24"/>
          <w:lang w:val="fr-FR"/>
        </w:rPr>
        <w:t>skupštinskog</w:t>
      </w:r>
      <w:r w:rsidR="000E63F4" w:rsidRPr="00095948">
        <w:rPr>
          <w:rFonts w:cs="Times New Roman"/>
          <w:noProof/>
          <w:szCs w:val="24"/>
          <w:lang w:val="fr-FR"/>
        </w:rPr>
        <w:t xml:space="preserve"> </w:t>
      </w:r>
      <w:r w:rsidRPr="00095948">
        <w:rPr>
          <w:rFonts w:cs="Times New Roman"/>
          <w:noProof/>
          <w:szCs w:val="24"/>
          <w:lang w:val="fr-FR"/>
        </w:rPr>
        <w:t xml:space="preserve">odbora. Međutim, članovi opozicije </w:t>
      </w:r>
      <w:r w:rsidR="00E20A10" w:rsidRPr="00095948">
        <w:rPr>
          <w:rFonts w:cs="Times New Roman"/>
          <w:noProof/>
          <w:szCs w:val="24"/>
          <w:lang w:val="fr-FR"/>
        </w:rPr>
        <w:t>obustavili</w:t>
      </w:r>
      <w:r w:rsidRPr="00095948">
        <w:rPr>
          <w:rFonts w:cs="Times New Roman"/>
          <w:noProof/>
          <w:szCs w:val="24"/>
          <w:lang w:val="fr-FR"/>
        </w:rPr>
        <w:t xml:space="preserve"> su svoje učešće nakon što je vlada </w:t>
      </w:r>
      <w:r w:rsidR="0055672D" w:rsidRPr="00095948">
        <w:rPr>
          <w:rFonts w:cs="Times New Roman"/>
          <w:noProof/>
          <w:szCs w:val="24"/>
          <w:lang w:val="fr-FR"/>
        </w:rPr>
        <w:t>na plenarnoj s</w:t>
      </w:r>
      <w:r w:rsidR="00B11038" w:rsidRPr="00095948">
        <w:rPr>
          <w:rFonts w:cs="Times New Roman"/>
          <w:noProof/>
          <w:szCs w:val="24"/>
          <w:lang w:val="fr-FR"/>
        </w:rPr>
        <w:t>j</w:t>
      </w:r>
      <w:r w:rsidR="0055672D" w:rsidRPr="00095948">
        <w:rPr>
          <w:rFonts w:cs="Times New Roman"/>
          <w:noProof/>
          <w:szCs w:val="24"/>
          <w:lang w:val="fr-FR"/>
        </w:rPr>
        <w:t xml:space="preserve">ednici </w:t>
      </w:r>
      <w:r w:rsidRPr="00095948">
        <w:rPr>
          <w:rFonts w:cs="Times New Roman"/>
          <w:noProof/>
          <w:szCs w:val="24"/>
          <w:lang w:val="fr-FR"/>
        </w:rPr>
        <w:t>podn</w:t>
      </w:r>
      <w:r w:rsidR="00B11038" w:rsidRPr="00095948">
        <w:rPr>
          <w:rFonts w:cs="Times New Roman"/>
          <w:noProof/>
          <w:szCs w:val="24"/>
          <w:lang w:val="fr-FR"/>
        </w:rPr>
        <w:t>ij</w:t>
      </w:r>
      <w:r w:rsidRPr="00095948">
        <w:rPr>
          <w:rFonts w:cs="Times New Roman"/>
          <w:noProof/>
          <w:szCs w:val="24"/>
          <w:lang w:val="fr-FR"/>
        </w:rPr>
        <w:t>ela nacrt</w:t>
      </w:r>
      <w:r w:rsidR="009E0C8F" w:rsidRPr="00095948">
        <w:rPr>
          <w:rFonts w:cs="Times New Roman"/>
          <w:noProof/>
          <w:szCs w:val="24"/>
          <w:lang w:val="fr-FR"/>
        </w:rPr>
        <w:t xml:space="preserve"> Z</w:t>
      </w:r>
      <w:r w:rsidRPr="00095948">
        <w:rPr>
          <w:rFonts w:cs="Times New Roman"/>
          <w:noProof/>
          <w:szCs w:val="24"/>
          <w:lang w:val="fr-FR"/>
        </w:rPr>
        <w:t xml:space="preserve">akona o </w:t>
      </w:r>
      <w:r w:rsidR="009E0C8F" w:rsidRPr="00095948">
        <w:rPr>
          <w:rFonts w:cs="Times New Roman"/>
          <w:noProof/>
          <w:szCs w:val="24"/>
          <w:lang w:val="fr-FR"/>
        </w:rPr>
        <w:t>slobodi v</w:t>
      </w:r>
      <w:r w:rsidR="00B11038" w:rsidRPr="00095948">
        <w:rPr>
          <w:rFonts w:cs="Times New Roman"/>
          <w:noProof/>
          <w:szCs w:val="24"/>
          <w:lang w:val="fr-FR"/>
        </w:rPr>
        <w:t>j</w:t>
      </w:r>
      <w:r w:rsidR="009E0C8F" w:rsidRPr="00095948">
        <w:rPr>
          <w:rFonts w:cs="Times New Roman"/>
          <w:noProof/>
          <w:szCs w:val="24"/>
          <w:lang w:val="fr-FR"/>
        </w:rPr>
        <w:t>eroispov</w:t>
      </w:r>
      <w:r w:rsidR="00B11038" w:rsidRPr="00095948">
        <w:rPr>
          <w:rFonts w:cs="Times New Roman"/>
          <w:noProof/>
          <w:szCs w:val="24"/>
          <w:lang w:val="fr-FR"/>
        </w:rPr>
        <w:t>j</w:t>
      </w:r>
      <w:r w:rsidR="009E0C8F" w:rsidRPr="00095948">
        <w:rPr>
          <w:rFonts w:cs="Times New Roman"/>
          <w:noProof/>
          <w:szCs w:val="24"/>
          <w:lang w:val="fr-FR"/>
        </w:rPr>
        <w:t>esti</w:t>
      </w:r>
      <w:r w:rsidR="0055672D" w:rsidRPr="00095948">
        <w:rPr>
          <w:rFonts w:cs="Times New Roman"/>
          <w:noProof/>
          <w:szCs w:val="24"/>
          <w:lang w:val="fr-FR"/>
        </w:rPr>
        <w:t xml:space="preserve"> na usvajanje</w:t>
      </w:r>
      <w:r w:rsidR="009E0C8F" w:rsidRPr="00095948">
        <w:rPr>
          <w:rFonts w:cs="Times New Roman"/>
          <w:noProof/>
          <w:szCs w:val="24"/>
          <w:lang w:val="fr-FR"/>
        </w:rPr>
        <w:t xml:space="preserve">. Ovo potonje je </w:t>
      </w:r>
      <w:r w:rsidR="00F65CAF" w:rsidRPr="00095948">
        <w:rPr>
          <w:rFonts w:cs="Times New Roman"/>
          <w:noProof/>
          <w:szCs w:val="24"/>
          <w:lang w:val="fr-FR"/>
        </w:rPr>
        <w:t xml:space="preserve">decembra 2019. godine </w:t>
      </w:r>
      <w:r w:rsidR="009E0C8F" w:rsidRPr="00095948">
        <w:rPr>
          <w:rFonts w:cs="Times New Roman"/>
          <w:noProof/>
          <w:szCs w:val="24"/>
          <w:lang w:val="fr-FR"/>
        </w:rPr>
        <w:t>rezultiralo velikim v</w:t>
      </w:r>
      <w:r w:rsidR="00B11038" w:rsidRPr="00095948">
        <w:rPr>
          <w:rFonts w:cs="Times New Roman"/>
          <w:noProof/>
          <w:szCs w:val="24"/>
          <w:lang w:val="fr-FR"/>
        </w:rPr>
        <w:t>j</w:t>
      </w:r>
      <w:r w:rsidR="00F65CAF" w:rsidRPr="00095948">
        <w:rPr>
          <w:rFonts w:cs="Times New Roman"/>
          <w:noProof/>
          <w:szCs w:val="24"/>
          <w:lang w:val="fr-FR"/>
        </w:rPr>
        <w:t xml:space="preserve">erskim protestima </w:t>
      </w:r>
      <w:r w:rsidRPr="00095948">
        <w:rPr>
          <w:rFonts w:cs="Times New Roman"/>
          <w:noProof/>
          <w:szCs w:val="24"/>
          <w:lang w:val="fr-FR"/>
        </w:rPr>
        <w:t>koji su</w:t>
      </w:r>
      <w:r w:rsidR="00AB2F16" w:rsidRPr="00095948">
        <w:rPr>
          <w:rFonts w:cs="Times New Roman"/>
          <w:noProof/>
          <w:szCs w:val="24"/>
          <w:lang w:val="fr-FR"/>
        </w:rPr>
        <w:t xml:space="preserve"> </w:t>
      </w:r>
      <w:r w:rsidR="0055672D" w:rsidRPr="00095948">
        <w:rPr>
          <w:rFonts w:cs="Times New Roman"/>
          <w:noProof/>
          <w:szCs w:val="24"/>
          <w:lang w:val="fr-FR"/>
        </w:rPr>
        <w:t>zbog krize izazvane korona virusom privremeno prekinuti</w:t>
      </w:r>
      <w:r w:rsidR="00F65CAF" w:rsidRPr="00095948">
        <w:rPr>
          <w:rFonts w:cs="Times New Roman"/>
          <w:noProof/>
          <w:szCs w:val="24"/>
          <w:lang w:val="fr-FR"/>
        </w:rPr>
        <w:t xml:space="preserve"> u prol</w:t>
      </w:r>
      <w:r w:rsidR="00B11038" w:rsidRPr="00095948">
        <w:rPr>
          <w:rFonts w:cs="Times New Roman"/>
          <w:noProof/>
          <w:szCs w:val="24"/>
          <w:lang w:val="fr-FR"/>
        </w:rPr>
        <w:t>j</w:t>
      </w:r>
      <w:r w:rsidR="00E20A10" w:rsidRPr="00095948">
        <w:rPr>
          <w:rFonts w:cs="Times New Roman"/>
          <w:noProof/>
          <w:szCs w:val="24"/>
          <w:lang w:val="fr-FR"/>
        </w:rPr>
        <w:t>eće 2020. godine</w:t>
      </w:r>
      <w:r w:rsidRPr="00095948">
        <w:rPr>
          <w:rFonts w:cs="Times New Roman"/>
          <w:noProof/>
          <w:szCs w:val="24"/>
          <w:lang w:val="fr-FR"/>
        </w:rPr>
        <w:t>.</w:t>
      </w:r>
    </w:p>
    <w:p w:rsidR="00F65CAF" w:rsidRPr="00095948" w:rsidRDefault="00BD6920" w:rsidP="00EC1790">
      <w:pPr>
        <w:spacing w:after="120" w:line="240" w:lineRule="auto"/>
        <w:jc w:val="both"/>
        <w:rPr>
          <w:rFonts w:cs="Times New Roman"/>
          <w:noProof/>
          <w:szCs w:val="24"/>
          <w:lang w:val="fr-FR"/>
        </w:rPr>
      </w:pPr>
      <w:r w:rsidRPr="00095948">
        <w:rPr>
          <w:rFonts w:cs="Times New Roman"/>
          <w:noProof/>
          <w:szCs w:val="24"/>
          <w:lang w:val="fr-FR"/>
        </w:rPr>
        <w:t>Rezultati</w:t>
      </w:r>
      <w:r w:rsidR="00F65CAF" w:rsidRPr="00095948">
        <w:rPr>
          <w:rFonts w:cs="Times New Roman"/>
          <w:noProof/>
          <w:szCs w:val="24"/>
          <w:lang w:val="fr-FR"/>
        </w:rPr>
        <w:t xml:space="preserve"> parlamentarnih izbora otvara</w:t>
      </w:r>
      <w:r w:rsidRPr="00095948">
        <w:rPr>
          <w:rFonts w:cs="Times New Roman"/>
          <w:noProof/>
          <w:szCs w:val="24"/>
          <w:lang w:val="fr-FR"/>
        </w:rPr>
        <w:t>ju put d</w:t>
      </w:r>
      <w:r w:rsidR="00F65CAF" w:rsidRPr="00095948">
        <w:rPr>
          <w:rFonts w:cs="Times New Roman"/>
          <w:noProof/>
          <w:szCs w:val="24"/>
          <w:lang w:val="fr-FR"/>
        </w:rPr>
        <w:t xml:space="preserve">a </w:t>
      </w:r>
      <w:r w:rsidRPr="00095948">
        <w:rPr>
          <w:rFonts w:cs="Times New Roman"/>
          <w:noProof/>
          <w:szCs w:val="24"/>
          <w:lang w:val="fr-FR"/>
        </w:rPr>
        <w:t xml:space="preserve">se politička debata vrati u </w:t>
      </w:r>
      <w:r w:rsidR="0055672D" w:rsidRPr="00095948">
        <w:rPr>
          <w:rFonts w:cs="Times New Roman"/>
          <w:noProof/>
          <w:szCs w:val="24"/>
          <w:lang w:val="fr-FR"/>
        </w:rPr>
        <w:t>Skupštinu</w:t>
      </w:r>
      <w:r w:rsidR="00F65CAF" w:rsidRPr="00095948">
        <w:rPr>
          <w:rFonts w:cs="Times New Roman"/>
          <w:noProof/>
          <w:szCs w:val="24"/>
          <w:lang w:val="fr-FR"/>
        </w:rPr>
        <w:t xml:space="preserve">. Aktivno i konstruktivno učešće svih strana potrebno je </w:t>
      </w:r>
      <w:r w:rsidRPr="00095948">
        <w:rPr>
          <w:rFonts w:cs="Times New Roman"/>
          <w:noProof/>
          <w:szCs w:val="24"/>
          <w:lang w:val="fr-FR"/>
        </w:rPr>
        <w:t>kako bi se unapr</w:t>
      </w:r>
      <w:r w:rsidR="00B11038" w:rsidRPr="00095948">
        <w:rPr>
          <w:rFonts w:cs="Times New Roman"/>
          <w:noProof/>
          <w:szCs w:val="24"/>
          <w:lang w:val="fr-FR"/>
        </w:rPr>
        <w:t>ij</w:t>
      </w:r>
      <w:r w:rsidRPr="00095948">
        <w:rPr>
          <w:rFonts w:cs="Times New Roman"/>
          <w:noProof/>
          <w:szCs w:val="24"/>
          <w:lang w:val="fr-FR"/>
        </w:rPr>
        <w:t>edila parlamentarna</w:t>
      </w:r>
      <w:r w:rsidR="00F65CAF" w:rsidRPr="00095948">
        <w:rPr>
          <w:rFonts w:cs="Times New Roman"/>
          <w:noProof/>
          <w:szCs w:val="24"/>
          <w:lang w:val="fr-FR"/>
        </w:rPr>
        <w:t xml:space="preserve"> odgovornost</w:t>
      </w:r>
      <w:r w:rsidR="00025839" w:rsidRPr="00095948">
        <w:rPr>
          <w:rFonts w:cs="Times New Roman"/>
          <w:noProof/>
          <w:szCs w:val="24"/>
          <w:lang w:val="fr-FR"/>
        </w:rPr>
        <w:t>,</w:t>
      </w:r>
      <w:r w:rsidR="00F65CAF" w:rsidRPr="00095948">
        <w:rPr>
          <w:rFonts w:cs="Times New Roman"/>
          <w:noProof/>
          <w:szCs w:val="24"/>
          <w:lang w:val="fr-FR"/>
        </w:rPr>
        <w:t xml:space="preserve"> nadzor izvršne</w:t>
      </w:r>
      <w:r w:rsidR="00025839" w:rsidRPr="00095948">
        <w:rPr>
          <w:rFonts w:cs="Times New Roman"/>
          <w:noProof/>
          <w:szCs w:val="24"/>
          <w:lang w:val="fr-FR"/>
        </w:rPr>
        <w:t xml:space="preserve"> vlasti, demokratska kontrola</w:t>
      </w:r>
      <w:r w:rsidRPr="00095948">
        <w:rPr>
          <w:rFonts w:cs="Times New Roman"/>
          <w:noProof/>
          <w:szCs w:val="24"/>
          <w:lang w:val="fr-FR"/>
        </w:rPr>
        <w:t>, poboljšao</w:t>
      </w:r>
      <w:r w:rsidR="00F65CAF" w:rsidRPr="00095948">
        <w:rPr>
          <w:rFonts w:cs="Times New Roman"/>
          <w:noProof/>
          <w:szCs w:val="24"/>
          <w:lang w:val="fr-FR"/>
        </w:rPr>
        <w:t xml:space="preserve"> kvalitet zakonodavstva i omogućila ključna </w:t>
      </w:r>
      <w:r w:rsidRPr="00095948">
        <w:rPr>
          <w:rFonts w:cs="Times New Roman"/>
          <w:noProof/>
          <w:szCs w:val="24"/>
          <w:lang w:val="fr-FR"/>
        </w:rPr>
        <w:t>na</w:t>
      </w:r>
      <w:r w:rsidR="00F65CAF" w:rsidRPr="00095948">
        <w:rPr>
          <w:rFonts w:cs="Times New Roman"/>
          <w:noProof/>
          <w:szCs w:val="24"/>
          <w:lang w:val="fr-FR"/>
        </w:rPr>
        <w:t xml:space="preserve">imenovanja. U 2019. i prvoj polovini 2020. godine </w:t>
      </w:r>
      <w:r w:rsidR="0055672D" w:rsidRPr="00095948">
        <w:rPr>
          <w:rFonts w:cs="Times New Roman"/>
          <w:noProof/>
          <w:szCs w:val="24"/>
          <w:lang w:val="fr-FR"/>
        </w:rPr>
        <w:t>Skupština nije mogla</w:t>
      </w:r>
      <w:r w:rsidR="00F65CAF" w:rsidRPr="00095948">
        <w:rPr>
          <w:rFonts w:cs="Times New Roman"/>
          <w:noProof/>
          <w:szCs w:val="24"/>
          <w:lang w:val="fr-FR"/>
        </w:rPr>
        <w:t xml:space="preserve"> da obezb</w:t>
      </w:r>
      <w:r w:rsidR="00B11038" w:rsidRPr="00095948">
        <w:rPr>
          <w:rFonts w:cs="Times New Roman"/>
          <w:noProof/>
          <w:szCs w:val="24"/>
          <w:lang w:val="fr-FR"/>
        </w:rPr>
        <w:t>ij</w:t>
      </w:r>
      <w:r w:rsidR="00F65CAF" w:rsidRPr="00095948">
        <w:rPr>
          <w:rFonts w:cs="Times New Roman"/>
          <w:noProof/>
          <w:szCs w:val="24"/>
          <w:lang w:val="fr-FR"/>
        </w:rPr>
        <w:t>edi potrebnu dvotrećinsku većinu za važna imenovanja</w:t>
      </w:r>
      <w:r w:rsidR="00E20A10" w:rsidRPr="00095948">
        <w:rPr>
          <w:rFonts w:cs="Times New Roman"/>
          <w:noProof/>
          <w:szCs w:val="24"/>
          <w:lang w:val="fr-FR"/>
        </w:rPr>
        <w:t xml:space="preserve"> u pravosuđu</w:t>
      </w:r>
      <w:r w:rsidR="00F65CAF" w:rsidRPr="00095948">
        <w:rPr>
          <w:rFonts w:cs="Times New Roman"/>
          <w:noProof/>
          <w:szCs w:val="24"/>
          <w:lang w:val="fr-FR"/>
        </w:rPr>
        <w:t xml:space="preserve"> i stoga ključne</w:t>
      </w:r>
      <w:r w:rsidR="00025839" w:rsidRPr="00095948">
        <w:rPr>
          <w:rFonts w:cs="Times New Roman"/>
          <w:noProof/>
          <w:szCs w:val="24"/>
          <w:lang w:val="fr-FR"/>
        </w:rPr>
        <w:t xml:space="preserve"> funkcije pravosudnog sistema obavljaju</w:t>
      </w:r>
      <w:r w:rsidR="008E1FAF" w:rsidRPr="00095948">
        <w:rPr>
          <w:rFonts w:cs="Times New Roman"/>
          <w:noProof/>
          <w:szCs w:val="24"/>
          <w:lang w:val="fr-FR"/>
        </w:rPr>
        <w:t xml:space="preserve"> vršioci dužnosti</w:t>
      </w:r>
      <w:r w:rsidR="00F65CAF" w:rsidRPr="00095948">
        <w:rPr>
          <w:rFonts w:cs="Times New Roman"/>
          <w:noProof/>
          <w:szCs w:val="24"/>
          <w:lang w:val="fr-FR"/>
        </w:rPr>
        <w:t>. Mandat vrhovnog državnog tužioca istekao je u oktobru 2019. godine i o</w:t>
      </w:r>
      <w:r w:rsidR="005B6712" w:rsidRPr="00095948">
        <w:rPr>
          <w:rFonts w:cs="Times New Roman"/>
          <w:noProof/>
          <w:szCs w:val="24"/>
          <w:lang w:val="fr-FR"/>
        </w:rPr>
        <w:t>staje da se imenuje njegov nasl</w:t>
      </w:r>
      <w:r w:rsidR="00B11038" w:rsidRPr="00095948">
        <w:rPr>
          <w:rFonts w:cs="Times New Roman"/>
          <w:noProof/>
          <w:szCs w:val="24"/>
          <w:lang w:val="fr-FR"/>
        </w:rPr>
        <w:t>j</w:t>
      </w:r>
      <w:r w:rsidR="00F65CAF" w:rsidRPr="00095948">
        <w:rPr>
          <w:rFonts w:cs="Times New Roman"/>
          <w:noProof/>
          <w:szCs w:val="24"/>
          <w:lang w:val="fr-FR"/>
        </w:rPr>
        <w:t>ednik.</w:t>
      </w:r>
    </w:p>
    <w:p w:rsidR="005B6712" w:rsidRPr="00095948" w:rsidRDefault="004C3071" w:rsidP="00EC1790">
      <w:pPr>
        <w:widowControl w:val="0"/>
        <w:spacing w:after="120" w:line="240" w:lineRule="auto"/>
        <w:jc w:val="both"/>
        <w:rPr>
          <w:rFonts w:cs="Times New Roman"/>
          <w:szCs w:val="24"/>
          <w:lang w:val="fr-FR"/>
        </w:rPr>
      </w:pPr>
      <w:r w:rsidRPr="00095948">
        <w:rPr>
          <w:rFonts w:cs="Times New Roman"/>
          <w:szCs w:val="24"/>
          <w:lang w:val="fr-FR"/>
        </w:rPr>
        <w:t>Nije bilo novih pomaka u</w:t>
      </w:r>
      <w:r w:rsidR="00AB2F16" w:rsidRPr="00095948">
        <w:rPr>
          <w:rFonts w:cs="Times New Roman"/>
          <w:szCs w:val="24"/>
          <w:lang w:val="fr-FR"/>
        </w:rPr>
        <w:t xml:space="preserve"> </w:t>
      </w:r>
      <w:r w:rsidR="005B6712" w:rsidRPr="00095948">
        <w:rPr>
          <w:rFonts w:cs="Times New Roman"/>
          <w:szCs w:val="24"/>
          <w:lang w:val="fr-FR"/>
        </w:rPr>
        <w:t>političkom i sudskom epilogu navodne</w:t>
      </w:r>
      <w:r w:rsidR="008E1FAF" w:rsidRPr="00095948">
        <w:rPr>
          <w:rFonts w:cs="Times New Roman"/>
          <w:szCs w:val="24"/>
          <w:lang w:val="fr-FR"/>
        </w:rPr>
        <w:t xml:space="preserve"> zloupotrebe javnih sredstava u</w:t>
      </w:r>
      <w:r w:rsidR="005B6712" w:rsidRPr="00095948">
        <w:rPr>
          <w:rFonts w:cs="Times New Roman"/>
          <w:szCs w:val="24"/>
          <w:lang w:val="fr-FR"/>
        </w:rPr>
        <w:t xml:space="preserve"> partijske svrhe </w:t>
      </w:r>
      <w:r w:rsidRPr="00095948">
        <w:rPr>
          <w:rFonts w:cs="Times New Roman"/>
          <w:szCs w:val="24"/>
          <w:lang w:val="fr-FR"/>
        </w:rPr>
        <w:t>koja se dogodila</w:t>
      </w:r>
      <w:r w:rsidR="00B11038" w:rsidRPr="00095948">
        <w:rPr>
          <w:rFonts w:cs="Times New Roman"/>
          <w:szCs w:val="24"/>
          <w:lang w:val="fr-FR"/>
        </w:rPr>
        <w:t xml:space="preserve"> 2012. godine (afera „</w:t>
      </w:r>
      <w:r w:rsidR="000E63F4">
        <w:rPr>
          <w:rFonts w:cs="Times New Roman"/>
          <w:szCs w:val="24"/>
          <w:lang w:val="fr-FR"/>
        </w:rPr>
        <w:t>S</w:t>
      </w:r>
      <w:r w:rsidR="000E63F4" w:rsidRPr="00095948">
        <w:rPr>
          <w:rFonts w:cs="Times New Roman"/>
          <w:szCs w:val="24"/>
          <w:lang w:val="fr-FR"/>
        </w:rPr>
        <w:t>nimak</w:t>
      </w:r>
      <w:r w:rsidR="005B6712" w:rsidRPr="00095948">
        <w:rPr>
          <w:rFonts w:cs="Times New Roman"/>
          <w:szCs w:val="24"/>
          <w:lang w:val="fr-FR"/>
        </w:rPr>
        <w:t xml:space="preserve">”). </w:t>
      </w:r>
      <w:r w:rsidR="00B11038" w:rsidRPr="00095948">
        <w:rPr>
          <w:rFonts w:cs="Times New Roman"/>
          <w:noProof/>
          <w:szCs w:val="24"/>
          <w:lang w:val="fr-FR"/>
        </w:rPr>
        <w:t>U vezi sa „</w:t>
      </w:r>
      <w:r w:rsidR="00F51A1B" w:rsidRPr="00095948">
        <w:rPr>
          <w:rFonts w:cs="Times New Roman"/>
          <w:noProof/>
          <w:szCs w:val="24"/>
          <w:lang w:val="fr-FR"/>
        </w:rPr>
        <w:t xml:space="preserve">aferom </w:t>
      </w:r>
      <w:r w:rsidR="000E63F4">
        <w:rPr>
          <w:rFonts w:cs="Times New Roman"/>
          <w:noProof/>
          <w:szCs w:val="24"/>
          <w:lang w:val="fr-FR"/>
        </w:rPr>
        <w:t>K</w:t>
      </w:r>
      <w:r w:rsidR="000E63F4" w:rsidRPr="00095948">
        <w:rPr>
          <w:rFonts w:cs="Times New Roman"/>
          <w:noProof/>
          <w:szCs w:val="24"/>
          <w:lang w:val="fr-FR"/>
        </w:rPr>
        <w:t>overat</w:t>
      </w:r>
      <w:r w:rsidR="00F51A1B" w:rsidRPr="00095948">
        <w:rPr>
          <w:rFonts w:cs="Times New Roman"/>
          <w:noProof/>
          <w:szCs w:val="24"/>
          <w:lang w:val="fr-FR"/>
        </w:rPr>
        <w:t>" iz januara 2019. godine, podignute su optužnice za pranje</w:t>
      </w:r>
      <w:r w:rsidR="00B11038" w:rsidRPr="00095948">
        <w:rPr>
          <w:rFonts w:cs="Times New Roman"/>
          <w:noProof/>
          <w:szCs w:val="24"/>
          <w:lang w:val="fr-FR"/>
        </w:rPr>
        <w:t xml:space="preserve"> novca protiv dva lica. Ovi slu</w:t>
      </w:r>
      <w:r w:rsidR="00F51A1B" w:rsidRPr="00095948">
        <w:rPr>
          <w:rFonts w:cs="Times New Roman"/>
          <w:noProof/>
          <w:szCs w:val="24"/>
          <w:lang w:val="fr-FR"/>
        </w:rPr>
        <w:t>čajevi zaht</w:t>
      </w:r>
      <w:r w:rsidR="00B11038" w:rsidRPr="00095948">
        <w:rPr>
          <w:rFonts w:cs="Times New Roman"/>
          <w:noProof/>
          <w:szCs w:val="24"/>
          <w:lang w:val="fr-FR"/>
        </w:rPr>
        <w:t>ij</w:t>
      </w:r>
      <w:r w:rsidR="00F51A1B" w:rsidRPr="00095948">
        <w:rPr>
          <w:rFonts w:cs="Times New Roman"/>
          <w:noProof/>
          <w:szCs w:val="24"/>
          <w:lang w:val="fr-FR"/>
        </w:rPr>
        <w:t xml:space="preserve">evaju </w:t>
      </w:r>
      <w:r w:rsidR="00F51A1B" w:rsidRPr="00095948">
        <w:rPr>
          <w:rFonts w:cs="Times New Roman"/>
          <w:szCs w:val="24"/>
          <w:lang w:val="fr-FR"/>
        </w:rPr>
        <w:t>brz, kredibilan i d</w:t>
      </w:r>
      <w:r w:rsidR="00B11038" w:rsidRPr="00095948">
        <w:rPr>
          <w:rFonts w:cs="Times New Roman"/>
          <w:szCs w:val="24"/>
          <w:lang w:val="fr-FR"/>
        </w:rPr>
        <w:t>j</w:t>
      </w:r>
      <w:r w:rsidR="005B6712" w:rsidRPr="00095948">
        <w:rPr>
          <w:rFonts w:cs="Times New Roman"/>
          <w:szCs w:val="24"/>
          <w:lang w:val="fr-FR"/>
        </w:rPr>
        <w:t>elotvoran odgovor institucija.</w:t>
      </w:r>
    </w:p>
    <w:p w:rsidR="002133E7" w:rsidRPr="009A2018" w:rsidRDefault="00AB2F16" w:rsidP="00EC1790">
      <w:pPr>
        <w:spacing w:after="120" w:line="240" w:lineRule="auto"/>
        <w:jc w:val="both"/>
        <w:rPr>
          <w:rFonts w:cs="Times New Roman"/>
          <w:noProof/>
          <w:szCs w:val="24"/>
        </w:rPr>
      </w:pPr>
      <w:r w:rsidRPr="00095948">
        <w:rPr>
          <w:rFonts w:cs="Times New Roman"/>
          <w:noProof/>
          <w:szCs w:val="24"/>
          <w:lang w:val="fr-FR"/>
        </w:rPr>
        <w:t>Kad</w:t>
      </w:r>
      <w:r w:rsidR="00F51A1B" w:rsidRPr="00095948">
        <w:rPr>
          <w:rFonts w:cs="Times New Roman"/>
          <w:noProof/>
          <w:szCs w:val="24"/>
          <w:lang w:val="fr-FR"/>
        </w:rPr>
        <w:t xml:space="preserve"> je u pitanju </w:t>
      </w:r>
      <w:r w:rsidR="00F51A1B" w:rsidRPr="00095948">
        <w:rPr>
          <w:rFonts w:cs="Times New Roman"/>
          <w:b/>
          <w:noProof/>
          <w:szCs w:val="24"/>
          <w:lang w:val="fr-FR"/>
        </w:rPr>
        <w:t>upravljanje</w:t>
      </w:r>
      <w:r w:rsidR="00D528C6" w:rsidRPr="00095948">
        <w:rPr>
          <w:rFonts w:cs="Times New Roman"/>
          <w:noProof/>
          <w:szCs w:val="24"/>
          <w:lang w:val="fr-FR"/>
        </w:rPr>
        <w:t>, postoji potreba da se ojača transparentnost</w:t>
      </w:r>
      <w:r w:rsidR="00F51A1B" w:rsidRPr="00095948">
        <w:rPr>
          <w:rFonts w:cs="Times New Roman"/>
          <w:noProof/>
          <w:szCs w:val="24"/>
          <w:lang w:val="fr-FR"/>
        </w:rPr>
        <w:t xml:space="preserve">, </w:t>
      </w:r>
      <w:r w:rsidR="00D528C6" w:rsidRPr="00095948">
        <w:rPr>
          <w:rFonts w:cs="Times New Roman"/>
          <w:noProof/>
          <w:szCs w:val="24"/>
          <w:lang w:val="fr-FR"/>
        </w:rPr>
        <w:t>učešće</w:t>
      </w:r>
      <w:r w:rsidR="00F51A1B" w:rsidRPr="00095948">
        <w:rPr>
          <w:rFonts w:cs="Times New Roman"/>
          <w:noProof/>
          <w:szCs w:val="24"/>
          <w:lang w:val="fr-FR"/>
        </w:rPr>
        <w:t xml:space="preserve"> aktera i </w:t>
      </w:r>
      <w:r w:rsidR="00D528C6" w:rsidRPr="00095948">
        <w:rPr>
          <w:rFonts w:cs="Times New Roman"/>
          <w:noProof/>
          <w:szCs w:val="24"/>
          <w:lang w:val="fr-FR"/>
        </w:rPr>
        <w:t>kapacitet vlade za sprovođenje reformi</w:t>
      </w:r>
      <w:r w:rsidR="00F51A1B" w:rsidRPr="00095948">
        <w:rPr>
          <w:rFonts w:cs="Times New Roman"/>
          <w:noProof/>
          <w:szCs w:val="24"/>
          <w:lang w:val="fr-FR"/>
        </w:rPr>
        <w:t>. Praćenje kvaliteta strateških dokumenata od strane Vladinog generalnog sekretarijata postal</w:t>
      </w:r>
      <w:r w:rsidR="00B11038" w:rsidRPr="00095948">
        <w:rPr>
          <w:rFonts w:cs="Times New Roman"/>
          <w:noProof/>
          <w:szCs w:val="24"/>
          <w:lang w:val="fr-FR"/>
        </w:rPr>
        <w:t xml:space="preserve">o je strukturirano i sistemsko. </w:t>
      </w:r>
      <w:r w:rsidR="008E1FAF" w:rsidRPr="00095948">
        <w:rPr>
          <w:rFonts w:cs="Times New Roman"/>
          <w:szCs w:val="24"/>
          <w:lang w:val="fr-FR"/>
        </w:rPr>
        <w:t>Vladina</w:t>
      </w:r>
      <w:r w:rsidR="00F51A1B" w:rsidRPr="00095948">
        <w:rPr>
          <w:rFonts w:cs="Times New Roman"/>
          <w:szCs w:val="24"/>
          <w:lang w:val="fr-FR"/>
        </w:rPr>
        <w:t xml:space="preserve"> politika prema </w:t>
      </w:r>
      <w:r w:rsidR="002133E7" w:rsidRPr="00095948">
        <w:rPr>
          <w:rFonts w:cs="Times New Roman"/>
          <w:szCs w:val="24"/>
          <w:lang w:val="fr-FR"/>
        </w:rPr>
        <w:t xml:space="preserve">državno finansiranim </w:t>
      </w:r>
      <w:r w:rsidR="00F51A1B" w:rsidRPr="00095948">
        <w:rPr>
          <w:rFonts w:cs="Times New Roman"/>
          <w:szCs w:val="24"/>
          <w:lang w:val="fr-FR"/>
        </w:rPr>
        <w:t xml:space="preserve">stanovima ili </w:t>
      </w:r>
      <w:r w:rsidR="008E1FAF" w:rsidRPr="00095948">
        <w:rPr>
          <w:rFonts w:cs="Times New Roman"/>
          <w:szCs w:val="24"/>
          <w:lang w:val="fr-FR"/>
        </w:rPr>
        <w:t>kreditima</w:t>
      </w:r>
      <w:r w:rsidR="00F51A1B" w:rsidRPr="00095948">
        <w:rPr>
          <w:rFonts w:cs="Times New Roman"/>
          <w:szCs w:val="24"/>
          <w:lang w:val="fr-FR"/>
        </w:rPr>
        <w:t xml:space="preserve"> pod </w:t>
      </w:r>
      <w:r w:rsidR="002133E7" w:rsidRPr="00095948">
        <w:rPr>
          <w:rFonts w:cs="Times New Roman"/>
          <w:szCs w:val="24"/>
          <w:lang w:val="fr-FR"/>
        </w:rPr>
        <w:t>povoljnim uslovima</w:t>
      </w:r>
      <w:r w:rsidR="00F51A1B" w:rsidRPr="00095948">
        <w:rPr>
          <w:rFonts w:cs="Times New Roman"/>
          <w:szCs w:val="24"/>
          <w:lang w:val="fr-FR"/>
        </w:rPr>
        <w:t xml:space="preserve"> izazvala je zabrinutost </w:t>
      </w:r>
      <w:r w:rsidR="0055672D" w:rsidRPr="00095948">
        <w:rPr>
          <w:rFonts w:cs="Times New Roman"/>
          <w:szCs w:val="24"/>
          <w:lang w:val="fr-FR"/>
        </w:rPr>
        <w:t>u pogledu</w:t>
      </w:r>
      <w:r w:rsidR="00F51A1B" w:rsidRPr="00095948">
        <w:rPr>
          <w:rFonts w:cs="Times New Roman"/>
          <w:szCs w:val="24"/>
          <w:lang w:val="fr-FR"/>
        </w:rPr>
        <w:t xml:space="preserve"> efika</w:t>
      </w:r>
      <w:r w:rsidR="0055672D" w:rsidRPr="00095948">
        <w:rPr>
          <w:rFonts w:cs="Times New Roman"/>
          <w:szCs w:val="24"/>
          <w:lang w:val="fr-FR"/>
        </w:rPr>
        <w:t>snog funkcionisanja</w:t>
      </w:r>
      <w:r w:rsidR="002133E7" w:rsidRPr="00095948">
        <w:rPr>
          <w:rFonts w:cs="Times New Roman"/>
          <w:szCs w:val="24"/>
          <w:lang w:val="fr-FR"/>
        </w:rPr>
        <w:t xml:space="preserve"> nacionalnog sistema </w:t>
      </w:r>
      <w:r w:rsidR="00D528C6" w:rsidRPr="00095948">
        <w:rPr>
          <w:rFonts w:cs="Times New Roman"/>
          <w:szCs w:val="24"/>
          <w:lang w:val="fr-FR"/>
        </w:rPr>
        <w:t>prov</w:t>
      </w:r>
      <w:r w:rsidR="00B11038" w:rsidRPr="00095948">
        <w:rPr>
          <w:rFonts w:cs="Times New Roman"/>
          <w:szCs w:val="24"/>
          <w:lang w:val="fr-FR"/>
        </w:rPr>
        <w:t>j</w:t>
      </w:r>
      <w:r w:rsidR="00D528C6" w:rsidRPr="00095948">
        <w:rPr>
          <w:rFonts w:cs="Times New Roman"/>
          <w:szCs w:val="24"/>
          <w:lang w:val="fr-FR"/>
        </w:rPr>
        <w:t>ere</w:t>
      </w:r>
      <w:r w:rsidR="008E1FAF" w:rsidRPr="00095948">
        <w:rPr>
          <w:rFonts w:cs="Times New Roman"/>
          <w:szCs w:val="24"/>
          <w:lang w:val="fr-FR"/>
        </w:rPr>
        <w:t xml:space="preserve"> i ravno</w:t>
      </w:r>
      <w:r w:rsidR="00F51A1B" w:rsidRPr="00095948">
        <w:rPr>
          <w:rFonts w:cs="Times New Roman"/>
          <w:szCs w:val="24"/>
          <w:lang w:val="fr-FR"/>
        </w:rPr>
        <w:t xml:space="preserve">teže. </w:t>
      </w:r>
      <w:r w:rsidR="00F51A1B" w:rsidRPr="009A2018">
        <w:rPr>
          <w:rFonts w:cs="Times New Roman"/>
          <w:szCs w:val="24"/>
        </w:rPr>
        <w:t>Učešće za</w:t>
      </w:r>
      <w:r w:rsidR="00D528C6" w:rsidRPr="009A2018">
        <w:rPr>
          <w:rFonts w:cs="Times New Roman"/>
          <w:szCs w:val="24"/>
        </w:rPr>
        <w:t>interesovanih</w:t>
      </w:r>
      <w:r w:rsidR="005B09EA" w:rsidRPr="009A2018">
        <w:rPr>
          <w:rFonts w:cs="Times New Roman"/>
          <w:szCs w:val="24"/>
        </w:rPr>
        <w:t xml:space="preserve"> strana u pristupnim i zakonodavnim procesima</w:t>
      </w:r>
      <w:r w:rsidR="00F51A1B" w:rsidRPr="009A2018">
        <w:rPr>
          <w:rFonts w:cs="Times New Roman"/>
          <w:szCs w:val="24"/>
        </w:rPr>
        <w:t xml:space="preserve"> i dalje treba poboljšati.</w:t>
      </w:r>
    </w:p>
    <w:p w:rsidR="000075D0" w:rsidRPr="009A2018" w:rsidRDefault="000075D0" w:rsidP="00EC1790">
      <w:pPr>
        <w:spacing w:after="120" w:line="240" w:lineRule="auto"/>
        <w:jc w:val="both"/>
        <w:rPr>
          <w:rFonts w:cs="Times New Roman"/>
          <w:noProof/>
          <w:szCs w:val="24"/>
        </w:rPr>
      </w:pPr>
      <w:r w:rsidRPr="009A2018">
        <w:rPr>
          <w:rFonts w:cs="Times New Roman"/>
          <w:noProof/>
          <w:szCs w:val="24"/>
        </w:rPr>
        <w:lastRenderedPageBreak/>
        <w:t>Crna Gora je um</w:t>
      </w:r>
      <w:r w:rsidR="00B11038" w:rsidRPr="009A2018">
        <w:rPr>
          <w:rFonts w:cs="Times New Roman"/>
          <w:noProof/>
          <w:szCs w:val="24"/>
        </w:rPr>
        <w:t>j</w:t>
      </w:r>
      <w:r w:rsidRPr="009A2018">
        <w:rPr>
          <w:rFonts w:cs="Times New Roman"/>
          <w:noProof/>
          <w:szCs w:val="24"/>
        </w:rPr>
        <w:t xml:space="preserve">ereno </w:t>
      </w:r>
      <w:r w:rsidR="000E63F4">
        <w:rPr>
          <w:rFonts w:cs="Times New Roman"/>
          <w:noProof/>
          <w:szCs w:val="24"/>
        </w:rPr>
        <w:t>spremna</w:t>
      </w:r>
      <w:r w:rsidR="000E63F4" w:rsidRPr="009A2018">
        <w:rPr>
          <w:rFonts w:cs="Times New Roman"/>
          <w:noProof/>
          <w:szCs w:val="24"/>
        </w:rPr>
        <w:t xml:space="preserve"> </w:t>
      </w:r>
      <w:r w:rsidRPr="009A2018">
        <w:rPr>
          <w:rFonts w:cs="Times New Roman"/>
          <w:noProof/>
          <w:szCs w:val="24"/>
        </w:rPr>
        <w:t xml:space="preserve">za reformu </w:t>
      </w:r>
      <w:r w:rsidRPr="009A2018">
        <w:rPr>
          <w:rFonts w:cs="Times New Roman"/>
          <w:b/>
          <w:noProof/>
          <w:szCs w:val="24"/>
        </w:rPr>
        <w:t>javne uprave</w:t>
      </w:r>
      <w:r w:rsidRPr="009A2018">
        <w:rPr>
          <w:rFonts w:cs="Times New Roman"/>
          <w:noProof/>
          <w:szCs w:val="24"/>
        </w:rPr>
        <w:t xml:space="preserve">. Sveukupno, </w:t>
      </w:r>
      <w:r w:rsidR="002472DD" w:rsidRPr="009A2018">
        <w:rPr>
          <w:rFonts w:cs="Times New Roman"/>
          <w:noProof/>
          <w:szCs w:val="24"/>
        </w:rPr>
        <w:t>tokom izv</w:t>
      </w:r>
      <w:r w:rsidR="00B11038" w:rsidRPr="009A2018">
        <w:rPr>
          <w:rFonts w:cs="Times New Roman"/>
          <w:noProof/>
          <w:szCs w:val="24"/>
        </w:rPr>
        <w:t>j</w:t>
      </w:r>
      <w:r w:rsidR="002472DD" w:rsidRPr="009A2018">
        <w:rPr>
          <w:rFonts w:cs="Times New Roman"/>
          <w:noProof/>
          <w:szCs w:val="24"/>
        </w:rPr>
        <w:t xml:space="preserve">eštajnog perioda </w:t>
      </w:r>
      <w:r w:rsidRPr="009A2018">
        <w:rPr>
          <w:rFonts w:cs="Times New Roman"/>
          <w:noProof/>
          <w:szCs w:val="24"/>
        </w:rPr>
        <w:t>postignut je određeni napredak. Crna Gora je započela prim</w:t>
      </w:r>
      <w:r w:rsidR="00B11038" w:rsidRPr="009A2018">
        <w:rPr>
          <w:rFonts w:cs="Times New Roman"/>
          <w:noProof/>
          <w:szCs w:val="24"/>
        </w:rPr>
        <w:t>j</w:t>
      </w:r>
      <w:r w:rsidRPr="009A2018">
        <w:rPr>
          <w:rFonts w:cs="Times New Roman"/>
          <w:noProof/>
          <w:szCs w:val="24"/>
        </w:rPr>
        <w:t xml:space="preserve">enu zakona o državnim službenicima. Srednjeročni okvir za planiranje politike, zapošljavanje </w:t>
      </w:r>
      <w:r w:rsidR="00310945" w:rsidRPr="009A2018">
        <w:rPr>
          <w:rFonts w:cs="Times New Roman"/>
          <w:noProof/>
          <w:szCs w:val="24"/>
        </w:rPr>
        <w:t>na osnovu radnih rezultata</w:t>
      </w:r>
      <w:r w:rsidRPr="009A2018">
        <w:rPr>
          <w:rFonts w:cs="Times New Roman"/>
          <w:noProof/>
          <w:szCs w:val="24"/>
        </w:rPr>
        <w:t xml:space="preserve">, upravljanje ljudskim resursima i racionalizacija organizacije državne uprave nastavili su da </w:t>
      </w:r>
      <w:r w:rsidR="00EB2A25" w:rsidRPr="009A2018">
        <w:rPr>
          <w:rFonts w:cs="Times New Roman"/>
          <w:noProof/>
          <w:szCs w:val="24"/>
        </w:rPr>
        <w:t xml:space="preserve">ostvaruju </w:t>
      </w:r>
      <w:r w:rsidRPr="009A2018">
        <w:rPr>
          <w:rFonts w:cs="Times New Roman"/>
          <w:noProof/>
          <w:szCs w:val="24"/>
        </w:rPr>
        <w:t>dob</w:t>
      </w:r>
      <w:r w:rsidR="00EB2A25" w:rsidRPr="009A2018">
        <w:rPr>
          <w:rFonts w:cs="Times New Roman"/>
          <w:noProof/>
          <w:szCs w:val="24"/>
        </w:rPr>
        <w:t>ar napredak</w:t>
      </w:r>
      <w:r w:rsidRPr="009A2018">
        <w:rPr>
          <w:rFonts w:cs="Times New Roman"/>
          <w:noProof/>
          <w:szCs w:val="24"/>
        </w:rPr>
        <w:t>.</w:t>
      </w:r>
      <w:r w:rsidR="00EB2A25" w:rsidRPr="009A2018">
        <w:rPr>
          <w:rFonts w:cs="Times New Roman"/>
          <w:noProof/>
          <w:szCs w:val="24"/>
        </w:rPr>
        <w:t xml:space="preserve"> I dalje je potrebna j</w:t>
      </w:r>
      <w:r w:rsidR="002472DD" w:rsidRPr="009A2018">
        <w:rPr>
          <w:rFonts w:cs="Times New Roman"/>
          <w:noProof/>
          <w:szCs w:val="24"/>
        </w:rPr>
        <w:t>aka politička volja kako</w:t>
      </w:r>
      <w:r w:rsidRPr="009A2018">
        <w:rPr>
          <w:rFonts w:cs="Times New Roman"/>
          <w:noProof/>
          <w:szCs w:val="24"/>
        </w:rPr>
        <w:t xml:space="preserve"> bi se efikasno </w:t>
      </w:r>
      <w:r w:rsidR="002472DD" w:rsidRPr="009A2018">
        <w:rPr>
          <w:rFonts w:cs="Times New Roman"/>
          <w:noProof/>
          <w:szCs w:val="24"/>
        </w:rPr>
        <w:t>obezb</w:t>
      </w:r>
      <w:r w:rsidR="00B11038" w:rsidRPr="009A2018">
        <w:rPr>
          <w:rFonts w:cs="Times New Roman"/>
          <w:noProof/>
          <w:szCs w:val="24"/>
        </w:rPr>
        <w:t>ij</w:t>
      </w:r>
      <w:r w:rsidR="002472DD" w:rsidRPr="009A2018">
        <w:rPr>
          <w:rFonts w:cs="Times New Roman"/>
          <w:noProof/>
          <w:szCs w:val="24"/>
        </w:rPr>
        <w:t xml:space="preserve">edila </w:t>
      </w:r>
      <w:r w:rsidRPr="009A2018">
        <w:rPr>
          <w:rFonts w:cs="Times New Roman"/>
          <w:noProof/>
          <w:szCs w:val="24"/>
        </w:rPr>
        <w:t>depolitizacija javne službe, optimizacija državne uprave i prim</w:t>
      </w:r>
      <w:r w:rsidR="00B11038" w:rsidRPr="009A2018">
        <w:rPr>
          <w:rFonts w:cs="Times New Roman"/>
          <w:noProof/>
          <w:szCs w:val="24"/>
        </w:rPr>
        <w:t>j</w:t>
      </w:r>
      <w:r w:rsidRPr="009A2018">
        <w:rPr>
          <w:rFonts w:cs="Times New Roman"/>
          <w:noProof/>
          <w:szCs w:val="24"/>
        </w:rPr>
        <w:t>ena upravljačke odgovornosti.</w:t>
      </w:r>
    </w:p>
    <w:p w:rsidR="005D18BA" w:rsidRPr="009A2018" w:rsidRDefault="000075D0" w:rsidP="00EC1790">
      <w:pPr>
        <w:spacing w:after="120" w:line="240" w:lineRule="auto"/>
        <w:jc w:val="both"/>
        <w:rPr>
          <w:rFonts w:cs="Times New Roman"/>
          <w:noProof/>
          <w:szCs w:val="24"/>
        </w:rPr>
      </w:pPr>
      <w:r w:rsidRPr="009A2018">
        <w:rPr>
          <w:rFonts w:cs="Times New Roman"/>
          <w:noProof/>
          <w:szCs w:val="24"/>
        </w:rPr>
        <w:t xml:space="preserve">Crna </w:t>
      </w:r>
      <w:r w:rsidR="00ED2979" w:rsidRPr="009A2018">
        <w:rPr>
          <w:rFonts w:cs="Times New Roman"/>
          <w:noProof/>
          <w:szCs w:val="24"/>
        </w:rPr>
        <w:t>Gora je još uv</w:t>
      </w:r>
      <w:r w:rsidR="00197F63" w:rsidRPr="009A2018">
        <w:rPr>
          <w:rFonts w:cs="Times New Roman"/>
          <w:noProof/>
          <w:szCs w:val="24"/>
        </w:rPr>
        <w:t>ij</w:t>
      </w:r>
      <w:r w:rsidR="00ED2979" w:rsidRPr="009A2018">
        <w:rPr>
          <w:rFonts w:cs="Times New Roman"/>
          <w:noProof/>
          <w:szCs w:val="24"/>
        </w:rPr>
        <w:t>ek um</w:t>
      </w:r>
      <w:r w:rsidR="00B11038" w:rsidRPr="009A2018">
        <w:rPr>
          <w:rFonts w:cs="Times New Roman"/>
          <w:noProof/>
          <w:szCs w:val="24"/>
        </w:rPr>
        <w:t>j</w:t>
      </w:r>
      <w:r w:rsidR="00ED2979" w:rsidRPr="009A2018">
        <w:rPr>
          <w:rFonts w:cs="Times New Roman"/>
          <w:noProof/>
          <w:szCs w:val="24"/>
        </w:rPr>
        <w:t xml:space="preserve">ereno </w:t>
      </w:r>
      <w:r w:rsidR="000E63F4">
        <w:rPr>
          <w:rFonts w:cs="Times New Roman"/>
          <w:noProof/>
          <w:szCs w:val="24"/>
        </w:rPr>
        <w:t>spremn</w:t>
      </w:r>
      <w:r w:rsidR="000E63F4" w:rsidRPr="009A2018">
        <w:rPr>
          <w:rFonts w:cs="Times New Roman"/>
          <w:noProof/>
          <w:szCs w:val="24"/>
        </w:rPr>
        <w:t xml:space="preserve">a </w:t>
      </w:r>
      <w:r w:rsidR="00ED2979" w:rsidRPr="009A2018">
        <w:rPr>
          <w:rFonts w:cs="Times New Roman"/>
          <w:noProof/>
          <w:szCs w:val="24"/>
        </w:rPr>
        <w:t>za prim</w:t>
      </w:r>
      <w:r w:rsidR="00B11038" w:rsidRPr="009A2018">
        <w:rPr>
          <w:rFonts w:cs="Times New Roman"/>
          <w:noProof/>
          <w:szCs w:val="24"/>
        </w:rPr>
        <w:t>j</w:t>
      </w:r>
      <w:r w:rsidR="00ED2979" w:rsidRPr="009A2018">
        <w:rPr>
          <w:rFonts w:cs="Times New Roman"/>
          <w:noProof/>
          <w:szCs w:val="24"/>
        </w:rPr>
        <w:t xml:space="preserve">enu </w:t>
      </w:r>
      <w:r w:rsidR="00AB2F16">
        <w:rPr>
          <w:rFonts w:cs="Times New Roman"/>
          <w:noProof/>
          <w:szCs w:val="24"/>
        </w:rPr>
        <w:t>pravne tekovine</w:t>
      </w:r>
      <w:r w:rsidR="00ED2979" w:rsidRPr="009A2018">
        <w:rPr>
          <w:rFonts w:cs="Times New Roman"/>
          <w:noProof/>
          <w:szCs w:val="24"/>
        </w:rPr>
        <w:t xml:space="preserve"> Evropske unije i evropskih standarda u oblasti</w:t>
      </w:r>
      <w:r w:rsidR="00AB2F16">
        <w:rPr>
          <w:rFonts w:cs="Times New Roman"/>
          <w:noProof/>
          <w:szCs w:val="24"/>
        </w:rPr>
        <w:t xml:space="preserve"> </w:t>
      </w:r>
      <w:r w:rsidR="00ED2979" w:rsidRPr="009A2018">
        <w:rPr>
          <w:rFonts w:cs="Times New Roman"/>
          <w:b/>
          <w:noProof/>
          <w:szCs w:val="24"/>
        </w:rPr>
        <w:t xml:space="preserve">pravosuđa, </w:t>
      </w:r>
      <w:r w:rsidR="00D65F35" w:rsidRPr="009A2018">
        <w:rPr>
          <w:rFonts w:cs="Times New Roman"/>
          <w:noProof/>
          <w:szCs w:val="24"/>
        </w:rPr>
        <w:t>a</w:t>
      </w:r>
      <w:r w:rsidR="00AB2F16">
        <w:rPr>
          <w:rFonts w:cs="Times New Roman"/>
          <w:noProof/>
          <w:szCs w:val="24"/>
        </w:rPr>
        <w:t xml:space="preserve"> </w:t>
      </w:r>
      <w:r w:rsidR="00EB2A25" w:rsidRPr="009A2018">
        <w:rPr>
          <w:rFonts w:cs="Times New Roman"/>
          <w:noProof/>
          <w:szCs w:val="24"/>
        </w:rPr>
        <w:t>u c</w:t>
      </w:r>
      <w:r w:rsidR="008A1D3F" w:rsidRPr="009A2018">
        <w:rPr>
          <w:rFonts w:cs="Times New Roman"/>
          <w:noProof/>
          <w:szCs w:val="24"/>
        </w:rPr>
        <w:t>j</w:t>
      </w:r>
      <w:r w:rsidR="00EB2A25" w:rsidRPr="009A2018">
        <w:rPr>
          <w:rFonts w:cs="Times New Roman"/>
          <w:noProof/>
          <w:szCs w:val="24"/>
        </w:rPr>
        <w:t>elini</w:t>
      </w:r>
      <w:r w:rsidR="00ED2979" w:rsidRPr="009A2018">
        <w:rPr>
          <w:rFonts w:cs="Times New Roman"/>
          <w:noProof/>
          <w:szCs w:val="24"/>
        </w:rPr>
        <w:t xml:space="preserve"> je ostvarila ograničen napredak, uglavnom </w:t>
      </w:r>
      <w:r w:rsidR="005D18BA" w:rsidRPr="009A2018">
        <w:rPr>
          <w:rFonts w:cs="Times New Roman"/>
          <w:noProof/>
          <w:szCs w:val="24"/>
        </w:rPr>
        <w:t xml:space="preserve">putem </w:t>
      </w:r>
      <w:r w:rsidR="000E63F4">
        <w:rPr>
          <w:rFonts w:cs="Times New Roman"/>
          <w:noProof/>
          <w:szCs w:val="24"/>
        </w:rPr>
        <w:t xml:space="preserve">kontinuirane relizacije </w:t>
      </w:r>
      <w:r w:rsidR="005D18BA" w:rsidRPr="009A2018">
        <w:rPr>
          <w:rFonts w:cs="Times New Roman"/>
          <w:noProof/>
          <w:szCs w:val="24"/>
        </w:rPr>
        <w:t>Strategije informaciono-komunikacionih tehnologija u pravosuđu</w:t>
      </w:r>
      <w:r w:rsidR="00F92545" w:rsidRPr="009A2018">
        <w:rPr>
          <w:rFonts w:cs="Times New Roman"/>
          <w:szCs w:val="24"/>
        </w:rPr>
        <w:t>.</w:t>
      </w:r>
      <w:r w:rsidR="00AB2F16">
        <w:rPr>
          <w:rFonts w:cs="Times New Roman"/>
          <w:szCs w:val="24"/>
        </w:rPr>
        <w:t xml:space="preserve"> </w:t>
      </w:r>
      <w:r w:rsidR="005D18BA" w:rsidRPr="009A2018">
        <w:rPr>
          <w:rFonts w:cs="Times New Roman"/>
          <w:noProof/>
          <w:szCs w:val="24"/>
        </w:rPr>
        <w:t>Pr</w:t>
      </w:r>
      <w:r w:rsidR="00AB2F16">
        <w:rPr>
          <w:rFonts w:cs="Times New Roman"/>
          <w:noProof/>
          <w:szCs w:val="24"/>
        </w:rPr>
        <w:t>ošlogodišnje preporuke u vezi s</w:t>
      </w:r>
      <w:r w:rsidR="005D18BA" w:rsidRPr="009A2018">
        <w:rPr>
          <w:rFonts w:cs="Times New Roman"/>
          <w:noProof/>
          <w:szCs w:val="24"/>
        </w:rPr>
        <w:t xml:space="preserve"> pravosuđem </w:t>
      </w:r>
      <w:r w:rsidR="00EB2A25" w:rsidRPr="009A2018">
        <w:rPr>
          <w:rFonts w:cs="Times New Roman"/>
          <w:noProof/>
          <w:szCs w:val="24"/>
        </w:rPr>
        <w:t>realizovane</w:t>
      </w:r>
      <w:r w:rsidR="005D18BA" w:rsidRPr="009A2018">
        <w:rPr>
          <w:rFonts w:cs="Times New Roman"/>
          <w:noProof/>
          <w:szCs w:val="24"/>
        </w:rPr>
        <w:t xml:space="preserve"> su samo d</w:t>
      </w:r>
      <w:r w:rsidR="008A1D3F" w:rsidRPr="009A2018">
        <w:rPr>
          <w:rFonts w:cs="Times New Roman"/>
          <w:noProof/>
          <w:szCs w:val="24"/>
        </w:rPr>
        <w:t>j</w:t>
      </w:r>
      <w:r w:rsidR="005D18BA" w:rsidRPr="009A2018">
        <w:rPr>
          <w:rFonts w:cs="Times New Roman"/>
          <w:noProof/>
          <w:szCs w:val="24"/>
        </w:rPr>
        <w:t xml:space="preserve">elimično. Izazovi i dalje postoje, </w:t>
      </w:r>
      <w:r w:rsidR="00AB2F16">
        <w:rPr>
          <w:rFonts w:cs="Times New Roman"/>
          <w:noProof/>
          <w:szCs w:val="24"/>
        </w:rPr>
        <w:t>naročito</w:t>
      </w:r>
      <w:r w:rsidR="005D18BA" w:rsidRPr="009A2018">
        <w:rPr>
          <w:rFonts w:cs="Times New Roman"/>
          <w:noProof/>
          <w:szCs w:val="24"/>
        </w:rPr>
        <w:t xml:space="preserve"> u pogledu nezavisnosti, profesionalnosti, efikasnosti i odgovornosti pravosuđa. Odluka Sudskog sav</w:t>
      </w:r>
      <w:r w:rsidR="008A1D3F" w:rsidRPr="009A2018">
        <w:rPr>
          <w:rFonts w:cs="Times New Roman"/>
          <w:noProof/>
          <w:szCs w:val="24"/>
        </w:rPr>
        <w:t>j</w:t>
      </w:r>
      <w:r w:rsidR="005D18BA" w:rsidRPr="009A2018">
        <w:rPr>
          <w:rFonts w:cs="Times New Roman"/>
          <w:noProof/>
          <w:szCs w:val="24"/>
        </w:rPr>
        <w:t>eta o ponovnom imenovanju sedam preds</w:t>
      </w:r>
      <w:r w:rsidR="008A1D3F" w:rsidRPr="009A2018">
        <w:rPr>
          <w:rFonts w:cs="Times New Roman"/>
          <w:noProof/>
          <w:szCs w:val="24"/>
        </w:rPr>
        <w:t>j</w:t>
      </w:r>
      <w:r w:rsidR="00B403D9" w:rsidRPr="009A2018">
        <w:rPr>
          <w:rFonts w:cs="Times New Roman"/>
          <w:noProof/>
          <w:szCs w:val="24"/>
        </w:rPr>
        <w:t>ednika sudova</w:t>
      </w:r>
      <w:r w:rsidR="005D18BA" w:rsidRPr="009A2018">
        <w:rPr>
          <w:rFonts w:cs="Times New Roman"/>
          <w:noProof/>
          <w:szCs w:val="24"/>
        </w:rPr>
        <w:t>, uključujući preds</w:t>
      </w:r>
      <w:r w:rsidR="008A1D3F" w:rsidRPr="009A2018">
        <w:rPr>
          <w:rFonts w:cs="Times New Roman"/>
          <w:noProof/>
          <w:szCs w:val="24"/>
        </w:rPr>
        <w:t>j</w:t>
      </w:r>
      <w:r w:rsidR="005D18BA" w:rsidRPr="009A2018">
        <w:rPr>
          <w:rFonts w:cs="Times New Roman"/>
          <w:noProof/>
          <w:szCs w:val="24"/>
        </w:rPr>
        <w:t>ednika Vrhovnog suda, na najmanje treći mandat, izaziva ozbiljnu zabrinutost zbog tumačenja slova i duha ustavnog i zakonskog okvira</w:t>
      </w:r>
      <w:r w:rsidR="00E11F6A" w:rsidRPr="009A2018">
        <w:rPr>
          <w:rFonts w:cs="Times New Roman"/>
          <w:noProof/>
          <w:szCs w:val="24"/>
        </w:rPr>
        <w:t xml:space="preserve"> od strane Sudskog sav</w:t>
      </w:r>
      <w:r w:rsidR="008A1D3F" w:rsidRPr="009A2018">
        <w:rPr>
          <w:rFonts w:cs="Times New Roman"/>
          <w:noProof/>
          <w:szCs w:val="24"/>
        </w:rPr>
        <w:t>j</w:t>
      </w:r>
      <w:r w:rsidR="00E11F6A" w:rsidRPr="009A2018">
        <w:rPr>
          <w:rFonts w:cs="Times New Roman"/>
          <w:noProof/>
          <w:szCs w:val="24"/>
        </w:rPr>
        <w:t>eta</w:t>
      </w:r>
      <w:r w:rsidR="005D18BA" w:rsidRPr="009A2018">
        <w:rPr>
          <w:rFonts w:cs="Times New Roman"/>
          <w:noProof/>
          <w:szCs w:val="24"/>
        </w:rPr>
        <w:t xml:space="preserve">, </w:t>
      </w:r>
      <w:r w:rsidR="00E11F6A" w:rsidRPr="009A2018">
        <w:rPr>
          <w:rFonts w:cs="Times New Roman"/>
          <w:noProof/>
          <w:szCs w:val="24"/>
        </w:rPr>
        <w:t>a koje tumačenje ova</w:t>
      </w:r>
      <w:r w:rsidR="005D18BA" w:rsidRPr="009A2018">
        <w:rPr>
          <w:rFonts w:cs="Times New Roman"/>
          <w:noProof/>
          <w:szCs w:val="24"/>
        </w:rPr>
        <w:t xml:space="preserve"> imenovanja </w:t>
      </w:r>
      <w:r w:rsidR="00E11F6A" w:rsidRPr="009A2018">
        <w:rPr>
          <w:rFonts w:cs="Times New Roman"/>
          <w:noProof/>
          <w:szCs w:val="24"/>
        </w:rPr>
        <w:t xml:space="preserve">ograničava </w:t>
      </w:r>
      <w:r w:rsidR="005D18BA" w:rsidRPr="009A2018">
        <w:rPr>
          <w:rFonts w:cs="Times New Roman"/>
          <w:noProof/>
          <w:szCs w:val="24"/>
        </w:rPr>
        <w:t>na najv</w:t>
      </w:r>
      <w:r w:rsidR="00E11F6A" w:rsidRPr="009A2018">
        <w:rPr>
          <w:rFonts w:cs="Times New Roman"/>
          <w:noProof/>
          <w:szCs w:val="24"/>
        </w:rPr>
        <w:t>iše dva mandata kako bi se spr</w:t>
      </w:r>
      <w:r w:rsidR="008A1D3F" w:rsidRPr="009A2018">
        <w:rPr>
          <w:rFonts w:cs="Times New Roman"/>
          <w:noProof/>
          <w:szCs w:val="24"/>
        </w:rPr>
        <w:t>ij</w:t>
      </w:r>
      <w:r w:rsidR="005D18BA" w:rsidRPr="009A2018">
        <w:rPr>
          <w:rFonts w:cs="Times New Roman"/>
          <w:noProof/>
          <w:szCs w:val="24"/>
        </w:rPr>
        <w:t xml:space="preserve">ečila prevelika koncentracija </w:t>
      </w:r>
      <w:r w:rsidR="000E63F4">
        <w:rPr>
          <w:rFonts w:cs="Times New Roman"/>
          <w:noProof/>
          <w:szCs w:val="24"/>
        </w:rPr>
        <w:t>moći</w:t>
      </w:r>
      <w:r w:rsidR="000E63F4" w:rsidRPr="009A2018">
        <w:rPr>
          <w:rFonts w:cs="Times New Roman"/>
          <w:noProof/>
          <w:szCs w:val="24"/>
        </w:rPr>
        <w:t xml:space="preserve"> </w:t>
      </w:r>
      <w:r w:rsidR="005D18BA" w:rsidRPr="009A2018">
        <w:rPr>
          <w:rFonts w:cs="Times New Roman"/>
          <w:noProof/>
          <w:szCs w:val="24"/>
        </w:rPr>
        <w:t>u pravosuđu. To nije u sk</w:t>
      </w:r>
      <w:r w:rsidR="00E11F6A" w:rsidRPr="009A2018">
        <w:rPr>
          <w:rFonts w:cs="Times New Roman"/>
          <w:noProof/>
          <w:szCs w:val="24"/>
        </w:rPr>
        <w:t>ladu s preporukama GRECO-a o neza</w:t>
      </w:r>
      <w:r w:rsidR="005D18BA" w:rsidRPr="009A2018">
        <w:rPr>
          <w:rFonts w:cs="Times New Roman"/>
          <w:noProof/>
          <w:szCs w:val="24"/>
        </w:rPr>
        <w:t xml:space="preserve">visnosti </w:t>
      </w:r>
      <w:r w:rsidR="00EB2A25" w:rsidRPr="009A2018">
        <w:rPr>
          <w:rFonts w:cs="Times New Roman"/>
          <w:noProof/>
          <w:szCs w:val="24"/>
        </w:rPr>
        <w:t>sudstva</w:t>
      </w:r>
      <w:r w:rsidR="005D18BA" w:rsidRPr="009A2018">
        <w:rPr>
          <w:rFonts w:cs="Times New Roman"/>
          <w:noProof/>
          <w:szCs w:val="24"/>
        </w:rPr>
        <w:t>,</w:t>
      </w:r>
      <w:r w:rsidR="00E11F6A" w:rsidRPr="009A2018">
        <w:rPr>
          <w:rFonts w:cs="Times New Roman"/>
          <w:noProof/>
          <w:szCs w:val="24"/>
        </w:rPr>
        <w:t xml:space="preserve"> čije se poštovanje očekuje od Crne Gore </w:t>
      </w:r>
      <w:r w:rsidR="000E63F4" w:rsidRPr="000E63F4">
        <w:rPr>
          <w:rFonts w:cs="Times New Roman"/>
          <w:noProof/>
          <w:szCs w:val="24"/>
        </w:rPr>
        <w:t>kako ne bi nazadovala u odnosu na ranija dostignuća</w:t>
      </w:r>
      <w:r w:rsidR="000E63F4">
        <w:rPr>
          <w:rFonts w:cs="Times New Roman"/>
          <w:noProof/>
          <w:szCs w:val="24"/>
        </w:rPr>
        <w:t xml:space="preserve"> </w:t>
      </w:r>
      <w:r w:rsidR="000E63F4" w:rsidRPr="000E63F4">
        <w:rPr>
          <w:rFonts w:cs="Times New Roman"/>
          <w:noProof/>
          <w:szCs w:val="24"/>
        </w:rPr>
        <w:t xml:space="preserve">ostvarena na planu </w:t>
      </w:r>
      <w:r w:rsidR="00B403D9" w:rsidRPr="009A2018">
        <w:rPr>
          <w:rFonts w:cs="Times New Roman"/>
          <w:noProof/>
          <w:szCs w:val="24"/>
        </w:rPr>
        <w:t>pravosudnih</w:t>
      </w:r>
      <w:r w:rsidR="005D18BA" w:rsidRPr="009A2018">
        <w:rPr>
          <w:rFonts w:cs="Times New Roman"/>
          <w:noProof/>
          <w:szCs w:val="24"/>
        </w:rPr>
        <w:t xml:space="preserve"> reformi.</w:t>
      </w:r>
    </w:p>
    <w:p w:rsidR="003E0F5F" w:rsidRPr="00095948" w:rsidRDefault="00EB2A25" w:rsidP="00EC1790">
      <w:pPr>
        <w:spacing w:after="120" w:line="240" w:lineRule="auto"/>
        <w:jc w:val="both"/>
        <w:rPr>
          <w:rFonts w:cs="Times New Roman"/>
          <w:noProof/>
          <w:szCs w:val="24"/>
          <w:lang w:val="fr-FR"/>
        </w:rPr>
      </w:pPr>
      <w:r w:rsidRPr="00095948">
        <w:rPr>
          <w:rFonts w:cs="Times New Roman"/>
          <w:noProof/>
          <w:szCs w:val="24"/>
          <w:lang w:val="fr-FR"/>
        </w:rPr>
        <w:t>Crna Gora je postigla određen</w:t>
      </w:r>
      <w:r w:rsidR="0004470D" w:rsidRPr="00095948">
        <w:rPr>
          <w:rFonts w:cs="Times New Roman"/>
          <w:noProof/>
          <w:szCs w:val="24"/>
          <w:lang w:val="fr-FR"/>
        </w:rPr>
        <w:t xml:space="preserve"> nivo spremnosti u </w:t>
      </w:r>
      <w:r w:rsidR="0004470D" w:rsidRPr="00095948">
        <w:rPr>
          <w:rFonts w:cs="Times New Roman"/>
          <w:b/>
          <w:bCs/>
          <w:noProof/>
          <w:szCs w:val="24"/>
          <w:lang w:val="fr-FR"/>
        </w:rPr>
        <w:t xml:space="preserve">borbi protiv korupcije. </w:t>
      </w:r>
      <w:r w:rsidR="0004470D" w:rsidRPr="00095948">
        <w:rPr>
          <w:rFonts w:cs="Times New Roman"/>
          <w:noProof/>
          <w:szCs w:val="24"/>
          <w:lang w:val="fr-FR"/>
        </w:rPr>
        <w:t>Ostvaren je ograničeni napreda</w:t>
      </w:r>
      <w:r w:rsidR="00AB2F16" w:rsidRPr="00095948">
        <w:rPr>
          <w:rFonts w:cs="Times New Roman"/>
          <w:noProof/>
          <w:szCs w:val="24"/>
          <w:lang w:val="fr-FR"/>
        </w:rPr>
        <w:t>k u vezi s</w:t>
      </w:r>
      <w:r w:rsidR="0004470D" w:rsidRPr="00095948">
        <w:rPr>
          <w:rFonts w:cs="Times New Roman"/>
          <w:noProof/>
          <w:szCs w:val="24"/>
          <w:lang w:val="fr-FR"/>
        </w:rPr>
        <w:t xml:space="preserve"> prošlogodišnjim preporukama</w:t>
      </w:r>
      <w:r w:rsidR="00905F5D" w:rsidRPr="00095948">
        <w:rPr>
          <w:rFonts w:cs="Times New Roman"/>
          <w:noProof/>
          <w:szCs w:val="24"/>
          <w:lang w:val="fr-FR"/>
        </w:rPr>
        <w:t xml:space="preserve"> koje su samo d</w:t>
      </w:r>
      <w:r w:rsidR="008A1D3F" w:rsidRPr="00095948">
        <w:rPr>
          <w:rFonts w:cs="Times New Roman"/>
          <w:noProof/>
          <w:szCs w:val="24"/>
          <w:lang w:val="fr-FR"/>
        </w:rPr>
        <w:t>j</w:t>
      </w:r>
      <w:r w:rsidR="00905F5D" w:rsidRPr="00095948">
        <w:rPr>
          <w:rFonts w:cs="Times New Roman"/>
          <w:noProof/>
          <w:szCs w:val="24"/>
          <w:lang w:val="fr-FR"/>
        </w:rPr>
        <w:t>elimično realizovane po pitanju</w:t>
      </w:r>
      <w:r w:rsidR="00AB2F16" w:rsidRPr="00095948">
        <w:rPr>
          <w:rFonts w:cs="Times New Roman"/>
          <w:noProof/>
          <w:szCs w:val="24"/>
          <w:lang w:val="fr-FR"/>
        </w:rPr>
        <w:t xml:space="preserve"> </w:t>
      </w:r>
      <w:r w:rsidR="006452DB" w:rsidRPr="00095948">
        <w:rPr>
          <w:rFonts w:cs="Times New Roman"/>
          <w:noProof/>
          <w:szCs w:val="24"/>
          <w:lang w:val="fr-FR"/>
        </w:rPr>
        <w:t xml:space="preserve">dosadašnjih rezultata u pogledu represije i sprečavanja korupcije i novog institucionalnog okvira za Kancelariju za povraćaj imovine. Agencija za </w:t>
      </w:r>
      <w:r w:rsidR="000E63F4">
        <w:rPr>
          <w:rFonts w:cs="Times New Roman"/>
          <w:noProof/>
          <w:szCs w:val="24"/>
          <w:lang w:val="fr-FR"/>
        </w:rPr>
        <w:t xml:space="preserve">sprječavanje </w:t>
      </w:r>
      <w:r w:rsidR="006452DB" w:rsidRPr="00095948">
        <w:rPr>
          <w:rFonts w:cs="Times New Roman"/>
          <w:noProof/>
          <w:szCs w:val="24"/>
          <w:lang w:val="fr-FR"/>
        </w:rPr>
        <w:t>korupcije, koja rad obavlja vođena novoizabranim rukovodstvom, nastavila je</w:t>
      </w:r>
      <w:r w:rsidR="003F5623" w:rsidRPr="00095948">
        <w:rPr>
          <w:rFonts w:cs="Times New Roman"/>
          <w:noProof/>
          <w:szCs w:val="24"/>
          <w:lang w:val="fr-FR"/>
        </w:rPr>
        <w:t xml:space="preserve"> da jača kroz</w:t>
      </w:r>
      <w:r w:rsidR="006452DB" w:rsidRPr="00095948">
        <w:rPr>
          <w:rFonts w:cs="Times New Roman"/>
          <w:noProof/>
          <w:szCs w:val="24"/>
          <w:lang w:val="fr-FR"/>
        </w:rPr>
        <w:t xml:space="preserve"> aktivnosti </w:t>
      </w:r>
      <w:r w:rsidR="003F5623" w:rsidRPr="00095948">
        <w:rPr>
          <w:rFonts w:cs="Times New Roman"/>
          <w:noProof/>
          <w:szCs w:val="24"/>
          <w:lang w:val="fr-FR"/>
        </w:rPr>
        <w:t>na izgradnji</w:t>
      </w:r>
      <w:r w:rsidR="006452DB" w:rsidRPr="00095948">
        <w:rPr>
          <w:rFonts w:cs="Times New Roman"/>
          <w:noProof/>
          <w:szCs w:val="24"/>
          <w:lang w:val="fr-FR"/>
        </w:rPr>
        <w:t xml:space="preserve"> kapaciteta i tehnič</w:t>
      </w:r>
      <w:r w:rsidR="003F5623" w:rsidRPr="00095948">
        <w:rPr>
          <w:rFonts w:cs="Times New Roman"/>
          <w:noProof/>
          <w:szCs w:val="24"/>
          <w:lang w:val="fr-FR"/>
        </w:rPr>
        <w:t>ku pomoć</w:t>
      </w:r>
      <w:r w:rsidR="002472DD" w:rsidRPr="00095948">
        <w:rPr>
          <w:rFonts w:cs="Times New Roman"/>
          <w:noProof/>
          <w:szCs w:val="24"/>
          <w:lang w:val="fr-FR"/>
        </w:rPr>
        <w:t>. Međutim, i dalje postoje</w:t>
      </w:r>
      <w:r w:rsidR="006452DB" w:rsidRPr="00095948">
        <w:rPr>
          <w:rFonts w:cs="Times New Roman"/>
          <w:noProof/>
          <w:szCs w:val="24"/>
          <w:lang w:val="fr-FR"/>
        </w:rPr>
        <w:t xml:space="preserve"> izazovi vezani za njenu nezavisnost, utvrđivanje prioriteta, selektivan pristup i kvalitet odluka. Agencija tek treba</w:t>
      </w:r>
      <w:r w:rsidR="00804EA5" w:rsidRPr="00095948">
        <w:rPr>
          <w:rFonts w:cs="Times New Roman"/>
          <w:noProof/>
          <w:szCs w:val="24"/>
          <w:lang w:val="fr-FR"/>
        </w:rPr>
        <w:t xml:space="preserve"> da pokaže</w:t>
      </w:r>
      <w:r w:rsidR="006452DB" w:rsidRPr="00095948">
        <w:rPr>
          <w:rFonts w:cs="Times New Roman"/>
          <w:noProof/>
          <w:szCs w:val="24"/>
          <w:lang w:val="fr-FR"/>
        </w:rPr>
        <w:t xml:space="preserve"> proaktiv</w:t>
      </w:r>
      <w:r w:rsidR="00804EA5" w:rsidRPr="00095948">
        <w:rPr>
          <w:rFonts w:cs="Times New Roman"/>
          <w:noProof/>
          <w:szCs w:val="24"/>
          <w:lang w:val="fr-FR"/>
        </w:rPr>
        <w:t>an</w:t>
      </w:r>
      <w:r w:rsidR="006452DB" w:rsidRPr="00095948">
        <w:rPr>
          <w:rFonts w:cs="Times New Roman"/>
          <w:noProof/>
          <w:szCs w:val="24"/>
          <w:lang w:val="fr-FR"/>
        </w:rPr>
        <w:t xml:space="preserve"> pristup u svim oblastima koje potpadaju pod njen</w:t>
      </w:r>
      <w:r w:rsidR="00804EA5" w:rsidRPr="00095948">
        <w:rPr>
          <w:rFonts w:cs="Times New Roman"/>
          <w:noProof/>
          <w:szCs w:val="24"/>
          <w:lang w:val="fr-FR"/>
        </w:rPr>
        <w:t>u nadležnost</w:t>
      </w:r>
      <w:r w:rsidR="006452DB" w:rsidRPr="00095948">
        <w:rPr>
          <w:rFonts w:cs="Times New Roman"/>
          <w:noProof/>
          <w:szCs w:val="24"/>
          <w:lang w:val="fr-FR"/>
        </w:rPr>
        <w:t xml:space="preserve">, uključujući zaštitu </w:t>
      </w:r>
      <w:r w:rsidR="000E63F4">
        <w:rPr>
          <w:rFonts w:cs="Times New Roman"/>
          <w:noProof/>
          <w:szCs w:val="24"/>
          <w:lang w:val="fr-FR"/>
        </w:rPr>
        <w:t>zviždača</w:t>
      </w:r>
      <w:r w:rsidR="006452DB" w:rsidRPr="00095948">
        <w:rPr>
          <w:rFonts w:cs="Times New Roman"/>
          <w:noProof/>
          <w:szCs w:val="24"/>
          <w:lang w:val="fr-FR"/>
        </w:rPr>
        <w:t>, kontrolu finansiranja političkih stranaka i izborne kampanje i nad</w:t>
      </w:r>
      <w:r w:rsidR="00804EA5" w:rsidRPr="00095948">
        <w:rPr>
          <w:rFonts w:cs="Times New Roman"/>
          <w:noProof/>
          <w:szCs w:val="24"/>
          <w:lang w:val="fr-FR"/>
        </w:rPr>
        <w:t xml:space="preserve">zor lobiranja. Potrebno je </w:t>
      </w:r>
      <w:r w:rsidR="006452DB" w:rsidRPr="00095948">
        <w:rPr>
          <w:rFonts w:cs="Times New Roman"/>
          <w:noProof/>
          <w:szCs w:val="24"/>
          <w:lang w:val="fr-FR"/>
        </w:rPr>
        <w:t xml:space="preserve">poboljšati </w:t>
      </w:r>
      <w:r w:rsidR="000E63F4">
        <w:rPr>
          <w:rFonts w:cs="Times New Roman"/>
          <w:noProof/>
          <w:szCs w:val="24"/>
          <w:lang w:val="fr-FR"/>
        </w:rPr>
        <w:t xml:space="preserve">bilans </w:t>
      </w:r>
      <w:r w:rsidR="00AB2F16" w:rsidRPr="00095948">
        <w:rPr>
          <w:rFonts w:cs="Times New Roman"/>
          <w:noProof/>
          <w:szCs w:val="24"/>
          <w:lang w:val="fr-FR"/>
        </w:rPr>
        <w:t>rezultat</w:t>
      </w:r>
      <w:r w:rsidR="000E63F4">
        <w:rPr>
          <w:rFonts w:cs="Times New Roman"/>
          <w:noProof/>
          <w:szCs w:val="24"/>
          <w:lang w:val="fr-FR"/>
        </w:rPr>
        <w:t>a</w:t>
      </w:r>
      <w:r w:rsidR="00AB2F16" w:rsidRPr="00095948">
        <w:rPr>
          <w:rFonts w:cs="Times New Roman"/>
          <w:noProof/>
          <w:szCs w:val="24"/>
          <w:lang w:val="fr-FR"/>
        </w:rPr>
        <w:t xml:space="preserve"> u vezi s</w:t>
      </w:r>
      <w:r w:rsidR="00804EA5" w:rsidRPr="00095948">
        <w:rPr>
          <w:rFonts w:cs="Times New Roman"/>
          <w:noProof/>
          <w:szCs w:val="24"/>
          <w:lang w:val="fr-FR"/>
        </w:rPr>
        <w:t xml:space="preserve"> p</w:t>
      </w:r>
      <w:r w:rsidR="000E63F4">
        <w:rPr>
          <w:rFonts w:cs="Times New Roman"/>
          <w:noProof/>
          <w:szCs w:val="24"/>
          <w:lang w:val="fr-FR"/>
        </w:rPr>
        <w:t>rivremenim</w:t>
      </w:r>
      <w:r w:rsidR="00804EA5" w:rsidRPr="00095948">
        <w:rPr>
          <w:rFonts w:cs="Times New Roman"/>
          <w:noProof/>
          <w:szCs w:val="24"/>
          <w:lang w:val="fr-FR"/>
        </w:rPr>
        <w:t xml:space="preserve"> i </w:t>
      </w:r>
      <w:r w:rsidR="000E63F4">
        <w:rPr>
          <w:rFonts w:cs="Times New Roman"/>
          <w:noProof/>
          <w:szCs w:val="24"/>
          <w:lang w:val="fr-FR"/>
        </w:rPr>
        <w:t xml:space="preserve">trajnim </w:t>
      </w:r>
      <w:r w:rsidR="00804EA5" w:rsidRPr="00095948">
        <w:rPr>
          <w:rFonts w:cs="Times New Roman"/>
          <w:noProof/>
          <w:szCs w:val="24"/>
          <w:lang w:val="fr-FR"/>
        </w:rPr>
        <w:t>oduzimanjem nezakonito stečene</w:t>
      </w:r>
      <w:r w:rsidR="006452DB" w:rsidRPr="00095948">
        <w:rPr>
          <w:rFonts w:cs="Times New Roman"/>
          <w:noProof/>
          <w:szCs w:val="24"/>
          <w:lang w:val="fr-FR"/>
        </w:rPr>
        <w:t xml:space="preserve"> imovine. Korupcija je i dalje prisutna u mnogim oblastima i predstavlja</w:t>
      </w:r>
      <w:r w:rsidR="00804EA5" w:rsidRPr="00095948">
        <w:rPr>
          <w:rFonts w:cs="Times New Roman"/>
          <w:noProof/>
          <w:szCs w:val="24"/>
          <w:lang w:val="fr-FR"/>
        </w:rPr>
        <w:t xml:space="preserve"> razlog za</w:t>
      </w:r>
      <w:r w:rsidR="006452DB" w:rsidRPr="00095948">
        <w:rPr>
          <w:rFonts w:cs="Times New Roman"/>
          <w:noProof/>
          <w:szCs w:val="24"/>
          <w:lang w:val="fr-FR"/>
        </w:rPr>
        <w:t xml:space="preserve"> ozbiljnu zabrinutost. Potrebna je snažna po</w:t>
      </w:r>
      <w:r w:rsidR="00804EA5" w:rsidRPr="00095948">
        <w:rPr>
          <w:rFonts w:cs="Times New Roman"/>
          <w:noProof/>
          <w:szCs w:val="24"/>
          <w:lang w:val="fr-FR"/>
        </w:rPr>
        <w:t xml:space="preserve">litička volja da se </w:t>
      </w:r>
      <w:r w:rsidR="006452DB" w:rsidRPr="00095948">
        <w:rPr>
          <w:rFonts w:cs="Times New Roman"/>
          <w:noProof/>
          <w:szCs w:val="24"/>
          <w:lang w:val="fr-FR"/>
        </w:rPr>
        <w:t>ovo pitanje</w:t>
      </w:r>
      <w:r w:rsidR="000E63F4">
        <w:rPr>
          <w:rFonts w:cs="Times New Roman"/>
          <w:noProof/>
          <w:szCs w:val="24"/>
          <w:lang w:val="fr-FR"/>
        </w:rPr>
        <w:t xml:space="preserve"> koje izaziva zabrinutost</w:t>
      </w:r>
      <w:r w:rsidR="00CC3C37" w:rsidRPr="00095948">
        <w:rPr>
          <w:rFonts w:cs="Times New Roman"/>
          <w:noProof/>
          <w:szCs w:val="24"/>
          <w:lang w:val="fr-FR"/>
        </w:rPr>
        <w:t xml:space="preserve"> efikasno r</w:t>
      </w:r>
      <w:r w:rsidR="0095684A" w:rsidRPr="00095948">
        <w:rPr>
          <w:rFonts w:cs="Times New Roman"/>
          <w:noProof/>
          <w:szCs w:val="24"/>
          <w:lang w:val="fr-FR"/>
        </w:rPr>
        <w:t>ij</w:t>
      </w:r>
      <w:r w:rsidR="00CC3C37" w:rsidRPr="00095948">
        <w:rPr>
          <w:rFonts w:cs="Times New Roman"/>
          <w:noProof/>
          <w:szCs w:val="24"/>
          <w:lang w:val="fr-FR"/>
        </w:rPr>
        <w:t>eši</w:t>
      </w:r>
      <w:r w:rsidR="006452DB" w:rsidRPr="00095948">
        <w:rPr>
          <w:rFonts w:cs="Times New Roman"/>
          <w:noProof/>
          <w:szCs w:val="24"/>
          <w:lang w:val="fr-FR"/>
        </w:rPr>
        <w:t>, kao i snažan odgovor krivičnog pravosuđa na korupciju na visokom nivou.</w:t>
      </w:r>
    </w:p>
    <w:p w:rsidR="00CB5D2C" w:rsidRPr="00095948" w:rsidRDefault="003E0F5F" w:rsidP="00EC1790">
      <w:pPr>
        <w:spacing w:after="120" w:line="240" w:lineRule="auto"/>
        <w:jc w:val="both"/>
        <w:rPr>
          <w:rFonts w:cs="Times New Roman"/>
          <w:noProof/>
          <w:szCs w:val="24"/>
          <w:highlight w:val="yellow"/>
          <w:lang w:val="fr-FR"/>
        </w:rPr>
      </w:pPr>
      <w:r w:rsidRPr="00095948">
        <w:rPr>
          <w:rFonts w:cs="Times New Roman"/>
          <w:noProof/>
          <w:szCs w:val="24"/>
          <w:lang w:val="fr-FR"/>
        </w:rPr>
        <w:t xml:space="preserve">U </w:t>
      </w:r>
      <w:r w:rsidR="00CC3C37" w:rsidRPr="00095948">
        <w:rPr>
          <w:rFonts w:cs="Times New Roman"/>
          <w:b/>
          <w:noProof/>
          <w:szCs w:val="24"/>
          <w:lang w:val="fr-FR"/>
        </w:rPr>
        <w:t>temeljnim</w:t>
      </w:r>
      <w:r w:rsidRPr="00095948">
        <w:rPr>
          <w:rFonts w:cs="Times New Roman"/>
          <w:b/>
          <w:noProof/>
          <w:szCs w:val="24"/>
          <w:lang w:val="fr-FR"/>
        </w:rPr>
        <w:t xml:space="preserve"> pravima</w:t>
      </w:r>
      <w:r w:rsidRPr="00095948">
        <w:rPr>
          <w:rFonts w:cs="Times New Roman"/>
          <w:noProof/>
          <w:szCs w:val="24"/>
          <w:lang w:val="fr-FR"/>
        </w:rPr>
        <w:t>, Crna Gora je postigla određeni napredak. Zakonodavni i instituc</w:t>
      </w:r>
      <w:r w:rsidR="008A035E" w:rsidRPr="00095948">
        <w:rPr>
          <w:rFonts w:cs="Times New Roman"/>
          <w:noProof/>
          <w:szCs w:val="24"/>
          <w:lang w:val="fr-FR"/>
        </w:rPr>
        <w:t>ionalni okvir u oblasti temeljnih</w:t>
      </w:r>
      <w:r w:rsidRPr="00095948">
        <w:rPr>
          <w:rFonts w:cs="Times New Roman"/>
          <w:noProof/>
          <w:szCs w:val="24"/>
          <w:lang w:val="fr-FR"/>
        </w:rPr>
        <w:t xml:space="preserve"> prava sada je većim d</w:t>
      </w:r>
      <w:r w:rsidR="0095684A" w:rsidRPr="00095948">
        <w:rPr>
          <w:rFonts w:cs="Times New Roman"/>
          <w:noProof/>
          <w:szCs w:val="24"/>
          <w:lang w:val="fr-FR"/>
        </w:rPr>
        <w:t>ij</w:t>
      </w:r>
      <w:r w:rsidRPr="00095948">
        <w:rPr>
          <w:rFonts w:cs="Times New Roman"/>
          <w:noProof/>
          <w:szCs w:val="24"/>
          <w:lang w:val="fr-FR"/>
        </w:rPr>
        <w:t xml:space="preserve">elom uspostavljen. U julu 2020. godine </w:t>
      </w:r>
      <w:r w:rsidR="0035351A" w:rsidRPr="00095948">
        <w:rPr>
          <w:rFonts w:cs="Times New Roman"/>
          <w:noProof/>
          <w:szCs w:val="24"/>
          <w:lang w:val="fr-FR"/>
        </w:rPr>
        <w:t>Skupština</w:t>
      </w:r>
      <w:r w:rsidRPr="00095948">
        <w:rPr>
          <w:rFonts w:cs="Times New Roman"/>
          <w:noProof/>
          <w:szCs w:val="24"/>
          <w:lang w:val="fr-FR"/>
        </w:rPr>
        <w:t xml:space="preserve"> je don</w:t>
      </w:r>
      <w:r w:rsidR="0095684A" w:rsidRPr="00095948">
        <w:rPr>
          <w:rFonts w:cs="Times New Roman"/>
          <w:noProof/>
          <w:szCs w:val="24"/>
          <w:lang w:val="fr-FR"/>
        </w:rPr>
        <w:t>ij</w:t>
      </w:r>
      <w:r w:rsidRPr="00095948">
        <w:rPr>
          <w:rFonts w:cs="Times New Roman"/>
          <w:noProof/>
          <w:szCs w:val="24"/>
          <w:lang w:val="fr-FR"/>
        </w:rPr>
        <w:t>e</w:t>
      </w:r>
      <w:r w:rsidR="0035351A" w:rsidRPr="00095948">
        <w:rPr>
          <w:rFonts w:cs="Times New Roman"/>
          <w:noProof/>
          <w:szCs w:val="24"/>
          <w:lang w:val="fr-FR"/>
        </w:rPr>
        <w:t>la</w:t>
      </w:r>
      <w:r w:rsidRPr="00095948">
        <w:rPr>
          <w:rFonts w:cs="Times New Roman"/>
          <w:noProof/>
          <w:szCs w:val="24"/>
          <w:lang w:val="fr-FR"/>
        </w:rPr>
        <w:t xml:space="preserve"> zakon o životnom partnerstvu </w:t>
      </w:r>
      <w:r w:rsidR="000E63F4">
        <w:rPr>
          <w:rFonts w:cs="Times New Roman"/>
          <w:noProof/>
          <w:szCs w:val="24"/>
          <w:lang w:val="fr-FR"/>
        </w:rPr>
        <w:t xml:space="preserve">lica istog pola </w:t>
      </w:r>
      <w:r w:rsidRPr="00095948">
        <w:rPr>
          <w:rFonts w:cs="Times New Roman"/>
          <w:noProof/>
          <w:szCs w:val="24"/>
          <w:lang w:val="fr-FR"/>
        </w:rPr>
        <w:t>, čime je Crna Gora postala prva zemlja u regionu koja je regulisala status istopolnih parova. Osnaženi su kapaciteti institucija za ljudska prava i Ministarstva za ljudska i manjinska prava, a pov</w:t>
      </w:r>
      <w:r w:rsidR="0095684A" w:rsidRPr="00095948">
        <w:rPr>
          <w:rFonts w:cs="Times New Roman"/>
          <w:noProof/>
          <w:szCs w:val="24"/>
          <w:lang w:val="fr-FR"/>
        </w:rPr>
        <w:t>j</w:t>
      </w:r>
      <w:r w:rsidRPr="00095948">
        <w:rPr>
          <w:rFonts w:cs="Times New Roman"/>
          <w:noProof/>
          <w:szCs w:val="24"/>
          <w:lang w:val="fr-FR"/>
        </w:rPr>
        <w:t xml:space="preserve">erenje u kancelariju Zaštitnika ljudskih prava i sloboda je sve veće. Međutim, ostaju važni izazovi </w:t>
      </w:r>
      <w:r w:rsidR="00CB5D2C" w:rsidRPr="00095948">
        <w:rPr>
          <w:rFonts w:cs="Times New Roman"/>
          <w:noProof/>
          <w:szCs w:val="24"/>
          <w:lang w:val="fr-FR"/>
        </w:rPr>
        <w:t xml:space="preserve">u </w:t>
      </w:r>
      <w:r w:rsidRPr="00095948">
        <w:rPr>
          <w:rFonts w:cs="Times New Roman"/>
          <w:noProof/>
          <w:szCs w:val="24"/>
          <w:lang w:val="fr-FR"/>
        </w:rPr>
        <w:t>obezb</w:t>
      </w:r>
      <w:r w:rsidR="0095684A" w:rsidRPr="00095948">
        <w:rPr>
          <w:rFonts w:cs="Times New Roman"/>
          <w:noProof/>
          <w:szCs w:val="24"/>
          <w:lang w:val="fr-FR"/>
        </w:rPr>
        <w:t>j</w:t>
      </w:r>
      <w:r w:rsidRPr="00095948">
        <w:rPr>
          <w:rFonts w:cs="Times New Roman"/>
          <w:noProof/>
          <w:szCs w:val="24"/>
          <w:lang w:val="fr-FR"/>
        </w:rPr>
        <w:t>eđivanju efikasne prim</w:t>
      </w:r>
      <w:r w:rsidR="0095684A" w:rsidRPr="00095948">
        <w:rPr>
          <w:rFonts w:cs="Times New Roman"/>
          <w:noProof/>
          <w:szCs w:val="24"/>
          <w:lang w:val="fr-FR"/>
        </w:rPr>
        <w:t>j</w:t>
      </w:r>
      <w:r w:rsidRPr="00095948">
        <w:rPr>
          <w:rFonts w:cs="Times New Roman"/>
          <w:noProof/>
          <w:szCs w:val="24"/>
          <w:lang w:val="fr-FR"/>
        </w:rPr>
        <w:t>ene nacionalnog zakonodavstva o ljudskim pravima. Izveštaji o prekom</w:t>
      </w:r>
      <w:r w:rsidR="0095684A" w:rsidRPr="00095948">
        <w:rPr>
          <w:rFonts w:cs="Times New Roman"/>
          <w:noProof/>
          <w:szCs w:val="24"/>
          <w:lang w:val="fr-FR"/>
        </w:rPr>
        <w:t>j</w:t>
      </w:r>
      <w:r w:rsidRPr="00095948">
        <w:rPr>
          <w:rFonts w:cs="Times New Roman"/>
          <w:noProof/>
          <w:szCs w:val="24"/>
          <w:lang w:val="fr-FR"/>
        </w:rPr>
        <w:t>ernoj upotrebi sile u policiji i navodi o mučenju zaht</w:t>
      </w:r>
      <w:r w:rsidR="0095684A" w:rsidRPr="00095948">
        <w:rPr>
          <w:rFonts w:cs="Times New Roman"/>
          <w:noProof/>
          <w:szCs w:val="24"/>
          <w:lang w:val="fr-FR"/>
        </w:rPr>
        <w:t>ij</w:t>
      </w:r>
      <w:r w:rsidRPr="00095948">
        <w:rPr>
          <w:rFonts w:cs="Times New Roman"/>
          <w:noProof/>
          <w:szCs w:val="24"/>
          <w:lang w:val="fr-FR"/>
        </w:rPr>
        <w:t>evaju brze i efikasne istrage. Etnički i v</w:t>
      </w:r>
      <w:r w:rsidR="0095684A" w:rsidRPr="00095948">
        <w:rPr>
          <w:rFonts w:cs="Times New Roman"/>
          <w:noProof/>
          <w:szCs w:val="24"/>
          <w:lang w:val="fr-FR"/>
        </w:rPr>
        <w:t>j</w:t>
      </w:r>
      <w:r w:rsidRPr="00095948">
        <w:rPr>
          <w:rFonts w:cs="Times New Roman"/>
          <w:noProof/>
          <w:szCs w:val="24"/>
          <w:lang w:val="fr-FR"/>
        </w:rPr>
        <w:t xml:space="preserve">erski motivisani napadi u kontekstu izbora u avgustu 2020. godine ozbiljno zabrinjavaju. Potrebni su dalji napori da se ljudska prava integrišu u sva područja rada, javne politike i sektore. </w:t>
      </w:r>
      <w:r w:rsidR="00CB5D2C" w:rsidRPr="00095948">
        <w:rPr>
          <w:rFonts w:cs="Times New Roman"/>
          <w:noProof/>
          <w:szCs w:val="24"/>
          <w:lang w:val="fr-FR"/>
        </w:rPr>
        <w:t>Ugrožene g</w:t>
      </w:r>
      <w:r w:rsidRPr="00095948">
        <w:rPr>
          <w:rFonts w:cs="Times New Roman"/>
          <w:noProof/>
          <w:szCs w:val="24"/>
          <w:lang w:val="fr-FR"/>
        </w:rPr>
        <w:t>rupe, uključujući Rome</w:t>
      </w:r>
      <w:r w:rsidR="00CB5D2C" w:rsidRPr="00095948">
        <w:rPr>
          <w:rFonts w:cs="Times New Roman"/>
          <w:noProof/>
          <w:szCs w:val="24"/>
          <w:lang w:val="fr-FR"/>
        </w:rPr>
        <w:t xml:space="preserve"> i Egipćane</w:t>
      </w:r>
      <w:r w:rsidR="00CB5D2C" w:rsidRPr="009A2018">
        <w:rPr>
          <w:rStyle w:val="FootnoteReference"/>
          <w:rFonts w:cs="Times New Roman"/>
          <w:noProof/>
          <w:szCs w:val="24"/>
        </w:rPr>
        <w:footnoteReference w:id="1"/>
      </w:r>
      <w:r w:rsidR="00AB2F16" w:rsidRPr="00095948">
        <w:rPr>
          <w:rFonts w:cs="Times New Roman"/>
          <w:noProof/>
          <w:szCs w:val="24"/>
          <w:lang w:val="fr-FR"/>
        </w:rPr>
        <w:t>, kao i osobe s</w:t>
      </w:r>
      <w:r w:rsidR="00CB5D2C" w:rsidRPr="00095948">
        <w:rPr>
          <w:rFonts w:cs="Times New Roman"/>
          <w:noProof/>
          <w:szCs w:val="24"/>
          <w:lang w:val="fr-FR"/>
        </w:rPr>
        <w:t xml:space="preserve"> inval</w:t>
      </w:r>
      <w:r w:rsidR="00AB2F16" w:rsidRPr="00095948">
        <w:rPr>
          <w:rFonts w:cs="Times New Roman"/>
          <w:noProof/>
          <w:szCs w:val="24"/>
          <w:lang w:val="fr-FR"/>
        </w:rPr>
        <w:t>iditetom i dalje se suočavaju s</w:t>
      </w:r>
      <w:r w:rsidR="00CB5D2C" w:rsidRPr="00095948">
        <w:rPr>
          <w:rFonts w:cs="Times New Roman"/>
          <w:noProof/>
          <w:szCs w:val="24"/>
          <w:lang w:val="fr-FR"/>
        </w:rPr>
        <w:t xml:space="preserve"> višestrukom diskriminacijom i poteškoćama da </w:t>
      </w:r>
      <w:r w:rsidR="00CB5D2C" w:rsidRPr="00095948">
        <w:rPr>
          <w:rFonts w:cs="Times New Roman"/>
          <w:noProof/>
          <w:szCs w:val="24"/>
          <w:lang w:val="fr-FR"/>
        </w:rPr>
        <w:lastRenderedPageBreak/>
        <w:t>ostvare svoja prava u upravnim i sudskim postupcima. Rodno zasnovano nasilje i nasilje nad d</w:t>
      </w:r>
      <w:r w:rsidR="0095684A" w:rsidRPr="00095948">
        <w:rPr>
          <w:rFonts w:cs="Times New Roman"/>
          <w:noProof/>
          <w:szCs w:val="24"/>
          <w:lang w:val="fr-FR"/>
        </w:rPr>
        <w:t>j</w:t>
      </w:r>
      <w:r w:rsidR="00CB5D2C" w:rsidRPr="00095948">
        <w:rPr>
          <w:rFonts w:cs="Times New Roman"/>
          <w:noProof/>
          <w:szCs w:val="24"/>
          <w:lang w:val="fr-FR"/>
        </w:rPr>
        <w:t xml:space="preserve">ecom i dalje </w:t>
      </w:r>
      <w:r w:rsidR="0035351A" w:rsidRPr="00095948">
        <w:rPr>
          <w:rFonts w:cs="Times New Roman"/>
          <w:noProof/>
          <w:szCs w:val="24"/>
          <w:lang w:val="fr-FR"/>
        </w:rPr>
        <w:t xml:space="preserve">su </w:t>
      </w:r>
      <w:r w:rsidR="00CB5D2C" w:rsidRPr="00095948">
        <w:rPr>
          <w:rFonts w:cs="Times New Roman"/>
          <w:noProof/>
          <w:szCs w:val="24"/>
          <w:lang w:val="fr-FR"/>
        </w:rPr>
        <w:t xml:space="preserve">pitanja koja ozbiljno zabrinjavaju. </w:t>
      </w:r>
    </w:p>
    <w:p w:rsidR="00F72254" w:rsidRPr="00095948" w:rsidRDefault="00CB5D2C" w:rsidP="00EC1790">
      <w:pPr>
        <w:spacing w:after="120" w:line="240" w:lineRule="auto"/>
        <w:jc w:val="both"/>
        <w:rPr>
          <w:rFonts w:cs="Times New Roman"/>
          <w:noProof/>
          <w:szCs w:val="24"/>
          <w:lang w:val="fr-FR"/>
        </w:rPr>
      </w:pPr>
      <w:r w:rsidRPr="00095948">
        <w:rPr>
          <w:rFonts w:cs="Times New Roman"/>
          <w:noProof/>
          <w:szCs w:val="24"/>
          <w:lang w:val="fr-FR"/>
        </w:rPr>
        <w:t>Crna Gora ima određeni nivo spremnosti/um</w:t>
      </w:r>
      <w:r w:rsidR="0095684A" w:rsidRPr="00095948">
        <w:rPr>
          <w:rFonts w:cs="Times New Roman"/>
          <w:noProof/>
          <w:szCs w:val="24"/>
          <w:lang w:val="fr-FR"/>
        </w:rPr>
        <w:t>j</w:t>
      </w:r>
      <w:r w:rsidR="00AB2F16" w:rsidRPr="00095948">
        <w:rPr>
          <w:rFonts w:cs="Times New Roman"/>
          <w:noProof/>
          <w:szCs w:val="24"/>
          <w:lang w:val="fr-FR"/>
        </w:rPr>
        <w:t xml:space="preserve">ereno je </w:t>
      </w:r>
      <w:r w:rsidR="000E63F4">
        <w:rPr>
          <w:rFonts w:cs="Times New Roman"/>
          <w:noProof/>
          <w:szCs w:val="24"/>
          <w:lang w:val="fr-FR"/>
        </w:rPr>
        <w:t>spremna</w:t>
      </w:r>
      <w:r w:rsidR="000E63F4" w:rsidRPr="00095948">
        <w:rPr>
          <w:rFonts w:cs="Times New Roman"/>
          <w:noProof/>
          <w:szCs w:val="24"/>
          <w:lang w:val="fr-FR"/>
        </w:rPr>
        <w:t xml:space="preserve"> </w:t>
      </w:r>
      <w:r w:rsidR="00AB2F16" w:rsidRPr="00095948">
        <w:rPr>
          <w:rFonts w:cs="Times New Roman"/>
          <w:noProof/>
          <w:szCs w:val="24"/>
          <w:lang w:val="fr-FR"/>
        </w:rPr>
        <w:t>za</w:t>
      </w:r>
      <w:r w:rsidRPr="00095948">
        <w:rPr>
          <w:rFonts w:cs="Times New Roman"/>
          <w:noProof/>
          <w:szCs w:val="24"/>
          <w:lang w:val="fr-FR"/>
        </w:rPr>
        <w:t xml:space="preserve"> </w:t>
      </w:r>
      <w:r w:rsidRPr="00095948">
        <w:rPr>
          <w:rFonts w:cs="Times New Roman"/>
          <w:b/>
          <w:noProof/>
          <w:szCs w:val="24"/>
          <w:lang w:val="fr-FR"/>
        </w:rPr>
        <w:t>borbu protiv organizovanog kriminala</w:t>
      </w:r>
      <w:r w:rsidRPr="00095948">
        <w:rPr>
          <w:rFonts w:cs="Times New Roman"/>
          <w:noProof/>
          <w:szCs w:val="24"/>
          <w:lang w:val="fr-FR"/>
        </w:rPr>
        <w:t xml:space="preserve">. Postignut je određeni napredak, uključujući i realizaciju prošlogodišnjih preporuka, </w:t>
      </w:r>
      <w:r w:rsidR="00AB2F16" w:rsidRPr="00095948">
        <w:rPr>
          <w:rFonts w:cs="Times New Roman"/>
          <w:noProof/>
          <w:szCs w:val="24"/>
          <w:lang w:val="fr-FR"/>
        </w:rPr>
        <w:t>naročito</w:t>
      </w:r>
      <w:r w:rsidRPr="00095948">
        <w:rPr>
          <w:rFonts w:cs="Times New Roman"/>
          <w:noProof/>
          <w:szCs w:val="24"/>
          <w:lang w:val="fr-FR"/>
        </w:rPr>
        <w:t xml:space="preserve"> u pogledu formiranja centralizovanog registra bankovnih računa, jačih kapaciteta i profesionalnosti policije</w:t>
      </w:r>
      <w:r w:rsidR="007C014D" w:rsidRPr="00095948">
        <w:rPr>
          <w:rFonts w:cs="Times New Roman"/>
          <w:noProof/>
          <w:szCs w:val="24"/>
          <w:lang w:val="fr-FR"/>
        </w:rPr>
        <w:t>, kao i veće</w:t>
      </w:r>
      <w:r w:rsidRPr="00095948">
        <w:rPr>
          <w:rFonts w:cs="Times New Roman"/>
          <w:noProof/>
          <w:szCs w:val="24"/>
          <w:lang w:val="fr-FR"/>
        </w:rPr>
        <w:t xml:space="preserve">g broja </w:t>
      </w:r>
      <w:r w:rsidR="007C014D" w:rsidRPr="00095948">
        <w:rPr>
          <w:rFonts w:cs="Times New Roman"/>
          <w:noProof/>
          <w:szCs w:val="24"/>
          <w:lang w:val="fr-FR"/>
        </w:rPr>
        <w:t>aktuelnih</w:t>
      </w:r>
      <w:r w:rsidRPr="00095948">
        <w:rPr>
          <w:rFonts w:cs="Times New Roman"/>
          <w:noProof/>
          <w:szCs w:val="24"/>
          <w:lang w:val="fr-FR"/>
        </w:rPr>
        <w:t xml:space="preserve"> postupaka o oduzimanju imovine. </w:t>
      </w:r>
      <w:r w:rsidR="000E63F4" w:rsidRPr="00095948">
        <w:rPr>
          <w:rFonts w:cs="Times New Roman"/>
          <w:noProof/>
          <w:szCs w:val="24"/>
          <w:lang w:val="fr-FR"/>
        </w:rPr>
        <w:t>U</w:t>
      </w:r>
      <w:r w:rsidR="000E63F4">
        <w:rPr>
          <w:rFonts w:cs="Times New Roman"/>
          <w:noProof/>
          <w:szCs w:val="24"/>
          <w:lang w:val="fr-FR"/>
        </w:rPr>
        <w:t>spostavljeni</w:t>
      </w:r>
      <w:r w:rsidR="000E63F4" w:rsidRPr="00095948">
        <w:rPr>
          <w:rFonts w:cs="Times New Roman"/>
          <w:noProof/>
          <w:szCs w:val="24"/>
          <w:lang w:val="fr-FR"/>
        </w:rPr>
        <w:t xml:space="preserve"> </w:t>
      </w:r>
      <w:r w:rsidRPr="00095948">
        <w:rPr>
          <w:rFonts w:cs="Times New Roman"/>
          <w:noProof/>
          <w:szCs w:val="24"/>
          <w:lang w:val="fr-FR"/>
        </w:rPr>
        <w:t xml:space="preserve">su početni </w:t>
      </w:r>
      <w:r w:rsidR="000E63F4">
        <w:rPr>
          <w:rFonts w:cs="Times New Roman"/>
          <w:noProof/>
          <w:szCs w:val="24"/>
          <w:lang w:val="fr-FR"/>
        </w:rPr>
        <w:t xml:space="preserve">bilansi rezultata u oblasti </w:t>
      </w:r>
      <w:r w:rsidRPr="00095948">
        <w:rPr>
          <w:rFonts w:cs="Times New Roman"/>
          <w:noProof/>
          <w:szCs w:val="24"/>
          <w:lang w:val="fr-FR"/>
        </w:rPr>
        <w:t>trgovine ljudi</w:t>
      </w:r>
      <w:r w:rsidR="005E5FCE" w:rsidRPr="00095948">
        <w:rPr>
          <w:rFonts w:cs="Times New Roman"/>
          <w:noProof/>
          <w:szCs w:val="24"/>
          <w:lang w:val="fr-FR"/>
        </w:rPr>
        <w:t>ma i pranja novca. Unapr</w:t>
      </w:r>
      <w:r w:rsidR="0095684A" w:rsidRPr="00095948">
        <w:rPr>
          <w:rFonts w:cs="Times New Roman"/>
          <w:noProof/>
          <w:szCs w:val="24"/>
          <w:lang w:val="fr-FR"/>
        </w:rPr>
        <w:t>ij</w:t>
      </w:r>
      <w:r w:rsidR="005E5FCE" w:rsidRPr="00095948">
        <w:rPr>
          <w:rFonts w:cs="Times New Roman"/>
          <w:noProof/>
          <w:szCs w:val="24"/>
          <w:lang w:val="fr-FR"/>
        </w:rPr>
        <w:t>eđena</w:t>
      </w:r>
      <w:r w:rsidRPr="00095948">
        <w:rPr>
          <w:rFonts w:cs="Times New Roman"/>
          <w:noProof/>
          <w:szCs w:val="24"/>
          <w:lang w:val="fr-FR"/>
        </w:rPr>
        <w:t xml:space="preserve"> je unutrašnja organizacija i koordinacija agencija za sprovođenje zakona, što se odrazilo na sve veći </w:t>
      </w:r>
      <w:r w:rsidR="005E5FCE" w:rsidRPr="00095948">
        <w:rPr>
          <w:rFonts w:cs="Times New Roman"/>
          <w:noProof/>
          <w:szCs w:val="24"/>
          <w:lang w:val="fr-FR"/>
        </w:rPr>
        <w:t>broj istraga, hapšenja i zapl</w:t>
      </w:r>
      <w:r w:rsidR="0095684A" w:rsidRPr="00095948">
        <w:rPr>
          <w:rFonts w:cs="Times New Roman"/>
          <w:noProof/>
          <w:szCs w:val="24"/>
          <w:lang w:val="fr-FR"/>
        </w:rPr>
        <w:t>j</w:t>
      </w:r>
      <w:r w:rsidR="005E5FCE" w:rsidRPr="00095948">
        <w:rPr>
          <w:rFonts w:cs="Times New Roman"/>
          <w:noProof/>
          <w:szCs w:val="24"/>
          <w:lang w:val="fr-FR"/>
        </w:rPr>
        <w:t>ena</w:t>
      </w:r>
      <w:r w:rsidRPr="00095948">
        <w:rPr>
          <w:rFonts w:cs="Times New Roman"/>
          <w:noProof/>
          <w:szCs w:val="24"/>
          <w:lang w:val="fr-FR"/>
        </w:rPr>
        <w:t>. Međutim, Crna Gora i dalje treba da se pozabavi nekim osnovnim i sistemskim nedostacima u svom krivičnopravnom sistemu, uključujući način na koji se predmeti organizovanog kriminala vode na sudovima.</w:t>
      </w:r>
      <w:r w:rsidR="007C014D" w:rsidRPr="00095948">
        <w:rPr>
          <w:rFonts w:cs="Times New Roman"/>
          <w:noProof/>
          <w:szCs w:val="24"/>
          <w:lang w:val="fr-FR"/>
        </w:rPr>
        <w:t xml:space="preserve"> Ostvaren je izv</w:t>
      </w:r>
      <w:r w:rsidR="007E6A97" w:rsidRPr="00095948">
        <w:rPr>
          <w:rFonts w:cs="Times New Roman"/>
          <w:noProof/>
          <w:szCs w:val="24"/>
          <w:lang w:val="fr-FR"/>
        </w:rPr>
        <w:t>j</w:t>
      </w:r>
      <w:r w:rsidR="007C014D" w:rsidRPr="00095948">
        <w:rPr>
          <w:rFonts w:cs="Times New Roman"/>
          <w:noProof/>
          <w:szCs w:val="24"/>
          <w:lang w:val="fr-FR"/>
        </w:rPr>
        <w:t xml:space="preserve">estan napredak u borbi protiv terorizma i sprečavanju/suzbijanju </w:t>
      </w:r>
      <w:r w:rsidR="0041628A" w:rsidRPr="00095948">
        <w:rPr>
          <w:rFonts w:cs="Times New Roman"/>
          <w:noProof/>
          <w:szCs w:val="24"/>
          <w:lang w:val="fr-FR"/>
        </w:rPr>
        <w:t>nasilnog ekstremizma u skladu s</w:t>
      </w:r>
      <w:r w:rsidR="007C014D" w:rsidRPr="00095948">
        <w:rPr>
          <w:rFonts w:cs="Times New Roman"/>
          <w:noProof/>
          <w:szCs w:val="24"/>
          <w:lang w:val="fr-FR"/>
        </w:rPr>
        <w:t xml:space="preserve"> ciljevima utvrđenim u Zajedničkom akcionom planu za borbu protiv terorizma na Zapadnom Balkanu i bilateralnom </w:t>
      </w:r>
      <w:r w:rsidR="000E63F4">
        <w:rPr>
          <w:rFonts w:cs="Times New Roman"/>
          <w:noProof/>
          <w:szCs w:val="24"/>
          <w:lang w:val="fr-FR"/>
        </w:rPr>
        <w:t>implementacionom</w:t>
      </w:r>
      <w:r w:rsidR="000E63F4" w:rsidRPr="00095948">
        <w:rPr>
          <w:rFonts w:cs="Times New Roman"/>
          <w:noProof/>
          <w:szCs w:val="24"/>
          <w:lang w:val="fr-FR"/>
        </w:rPr>
        <w:t xml:space="preserve"> </w:t>
      </w:r>
      <w:r w:rsidR="007C014D" w:rsidRPr="00095948">
        <w:rPr>
          <w:rFonts w:cs="Times New Roman"/>
          <w:noProof/>
          <w:szCs w:val="24"/>
          <w:lang w:val="fr-FR"/>
        </w:rPr>
        <w:t>aranžmanu</w:t>
      </w:r>
      <w:r w:rsidR="006F16C6" w:rsidRPr="00095948">
        <w:rPr>
          <w:rFonts w:cs="Times New Roman"/>
          <w:noProof/>
          <w:szCs w:val="24"/>
          <w:lang w:val="fr-FR"/>
        </w:rPr>
        <w:t>.</w:t>
      </w:r>
    </w:p>
    <w:p w:rsidR="00B467AC" w:rsidRPr="009A2018" w:rsidRDefault="00B467AC" w:rsidP="00EC1790">
      <w:pPr>
        <w:spacing w:after="120" w:line="240" w:lineRule="auto"/>
        <w:jc w:val="both"/>
        <w:rPr>
          <w:rFonts w:cs="Times New Roman"/>
          <w:noProof/>
          <w:szCs w:val="24"/>
        </w:rPr>
      </w:pPr>
      <w:r w:rsidRPr="00095948">
        <w:rPr>
          <w:rFonts w:cs="Times New Roman"/>
          <w:noProof/>
          <w:szCs w:val="24"/>
          <w:lang w:val="fr-FR"/>
        </w:rPr>
        <w:t>Tokom izv</w:t>
      </w:r>
      <w:r w:rsidR="007E6A97" w:rsidRPr="00095948">
        <w:rPr>
          <w:rFonts w:cs="Times New Roman"/>
          <w:noProof/>
          <w:szCs w:val="24"/>
          <w:lang w:val="fr-FR"/>
        </w:rPr>
        <w:t>j</w:t>
      </w:r>
      <w:r w:rsidRPr="00095948">
        <w:rPr>
          <w:rFonts w:cs="Times New Roman"/>
          <w:noProof/>
          <w:szCs w:val="24"/>
          <w:lang w:val="fr-FR"/>
        </w:rPr>
        <w:t>eštajnog perioda Crna Gora ni</w:t>
      </w:r>
      <w:r w:rsidR="007E6A97" w:rsidRPr="00095948">
        <w:rPr>
          <w:rFonts w:cs="Times New Roman"/>
          <w:noProof/>
          <w:szCs w:val="24"/>
          <w:lang w:val="fr-FR"/>
        </w:rPr>
        <w:t xml:space="preserve">je postigla napredak u pogledu </w:t>
      </w:r>
      <w:r w:rsidRPr="00095948">
        <w:rPr>
          <w:rFonts w:cs="Times New Roman"/>
          <w:b/>
          <w:noProof/>
          <w:szCs w:val="24"/>
          <w:lang w:val="fr-FR"/>
        </w:rPr>
        <w:t>slobode izražavanja</w:t>
      </w:r>
      <w:r w:rsidRPr="00095948">
        <w:rPr>
          <w:rFonts w:cs="Times New Roman"/>
          <w:noProof/>
          <w:szCs w:val="24"/>
          <w:lang w:val="fr-FR"/>
        </w:rPr>
        <w:t xml:space="preserve">. Na napredak postignut u </w:t>
      </w:r>
      <w:r w:rsidR="000E63F4">
        <w:rPr>
          <w:rFonts w:cs="Times New Roman"/>
          <w:noProof/>
          <w:szCs w:val="24"/>
          <w:lang w:val="fr-FR"/>
        </w:rPr>
        <w:t>medijskom zakonodavstvu</w:t>
      </w:r>
      <w:r w:rsidRPr="00095948">
        <w:rPr>
          <w:rFonts w:cs="Times New Roman"/>
          <w:noProof/>
          <w:szCs w:val="24"/>
          <w:lang w:val="fr-FR"/>
        </w:rPr>
        <w:t xml:space="preserve"> s</w:t>
      </w:r>
      <w:r w:rsidR="007E6A97" w:rsidRPr="00095948">
        <w:rPr>
          <w:rFonts w:cs="Times New Roman"/>
          <w:noProof/>
          <w:szCs w:val="24"/>
          <w:lang w:val="fr-FR"/>
        </w:rPr>
        <w:t>j</w:t>
      </w:r>
      <w:r w:rsidRPr="00095948">
        <w:rPr>
          <w:rFonts w:cs="Times New Roman"/>
          <w:noProof/>
          <w:szCs w:val="24"/>
          <w:lang w:val="fr-FR"/>
        </w:rPr>
        <w:t>enku su bacila hapšenja i postupci pokrenuti</w:t>
      </w:r>
      <w:r w:rsidR="000D5EE1" w:rsidRPr="00095948">
        <w:rPr>
          <w:rFonts w:cs="Times New Roman"/>
          <w:noProof/>
          <w:szCs w:val="24"/>
          <w:lang w:val="fr-FR"/>
        </w:rPr>
        <w:t xml:space="preserve"> protiv urednika internet</w:t>
      </w:r>
      <w:r w:rsidRPr="00095948">
        <w:rPr>
          <w:rFonts w:cs="Times New Roman"/>
          <w:noProof/>
          <w:szCs w:val="24"/>
          <w:lang w:val="fr-FR"/>
        </w:rPr>
        <w:t xml:space="preserve"> portala i građana zbog sadržaja koje</w:t>
      </w:r>
      <w:r w:rsidR="000D5EE1" w:rsidRPr="00095948">
        <w:rPr>
          <w:rFonts w:cs="Times New Roman"/>
          <w:noProof/>
          <w:szCs w:val="24"/>
          <w:lang w:val="fr-FR"/>
        </w:rPr>
        <w:t xml:space="preserve"> su postavljali</w:t>
      </w:r>
      <w:r w:rsidRPr="00095948">
        <w:rPr>
          <w:rFonts w:cs="Times New Roman"/>
          <w:noProof/>
          <w:szCs w:val="24"/>
          <w:lang w:val="fr-FR"/>
        </w:rPr>
        <w:t xml:space="preserve"> ili d</w:t>
      </w:r>
      <w:r w:rsidR="007E6A97" w:rsidRPr="00095948">
        <w:rPr>
          <w:rFonts w:cs="Times New Roman"/>
          <w:noProof/>
          <w:szCs w:val="24"/>
          <w:lang w:val="fr-FR"/>
        </w:rPr>
        <w:t>ij</w:t>
      </w:r>
      <w:r w:rsidRPr="00095948">
        <w:rPr>
          <w:rFonts w:cs="Times New Roman"/>
          <w:noProof/>
          <w:szCs w:val="24"/>
          <w:lang w:val="fr-FR"/>
        </w:rPr>
        <w:t xml:space="preserve">elili </w:t>
      </w:r>
      <w:r w:rsidR="005E5FCE" w:rsidRPr="00095948">
        <w:rPr>
          <w:rFonts w:cs="Times New Roman"/>
          <w:noProof/>
          <w:szCs w:val="24"/>
          <w:lang w:val="fr-FR"/>
        </w:rPr>
        <w:t>putem interneta</w:t>
      </w:r>
      <w:r w:rsidRPr="00095948">
        <w:rPr>
          <w:rFonts w:cs="Times New Roman"/>
          <w:noProof/>
          <w:szCs w:val="24"/>
          <w:lang w:val="fr-FR"/>
        </w:rPr>
        <w:t xml:space="preserve"> tokom 2020. godine. Važni slučajevi</w:t>
      </w:r>
      <w:r w:rsidR="007F4869" w:rsidRPr="00095948">
        <w:rPr>
          <w:rFonts w:cs="Times New Roman"/>
          <w:noProof/>
          <w:szCs w:val="24"/>
          <w:lang w:val="fr-FR"/>
        </w:rPr>
        <w:t xml:space="preserve"> ranijih</w:t>
      </w:r>
      <w:r w:rsidRPr="00095948">
        <w:rPr>
          <w:rFonts w:cs="Times New Roman"/>
          <w:noProof/>
          <w:szCs w:val="24"/>
          <w:lang w:val="fr-FR"/>
        </w:rPr>
        <w:t xml:space="preserve"> napada ostaju ner</w:t>
      </w:r>
      <w:r w:rsidR="007E6A97" w:rsidRPr="00095948">
        <w:rPr>
          <w:rFonts w:cs="Times New Roman"/>
          <w:noProof/>
          <w:szCs w:val="24"/>
          <w:lang w:val="fr-FR"/>
        </w:rPr>
        <w:t>ij</w:t>
      </w:r>
      <w:r w:rsidRPr="00095948">
        <w:rPr>
          <w:rFonts w:cs="Times New Roman"/>
          <w:noProof/>
          <w:szCs w:val="24"/>
          <w:lang w:val="fr-FR"/>
        </w:rPr>
        <w:t xml:space="preserve">ešeni, uključujući ubistvo glavnog i odgovornog urednika dnevnih novina </w:t>
      </w:r>
      <w:r w:rsidRPr="00095948">
        <w:rPr>
          <w:rFonts w:cs="Times New Roman"/>
          <w:i/>
          <w:noProof/>
          <w:szCs w:val="24"/>
          <w:lang w:val="fr-FR"/>
        </w:rPr>
        <w:t>Dan</w:t>
      </w:r>
      <w:r w:rsidRPr="00095948">
        <w:rPr>
          <w:rFonts w:cs="Times New Roman"/>
          <w:noProof/>
          <w:szCs w:val="24"/>
          <w:lang w:val="fr-FR"/>
        </w:rPr>
        <w:t xml:space="preserve"> i ranjavanje istraživačkog novinara 2018. godine. I dalje postoje zabrinutosti oko uređivačke nezavisnosti i profesionalnih standarda nacionalnog javnog emitera RTCG. </w:t>
      </w:r>
      <w:r w:rsidRPr="009A2018">
        <w:rPr>
          <w:rFonts w:cs="Times New Roman"/>
          <w:noProof/>
          <w:szCs w:val="24"/>
        </w:rPr>
        <w:t xml:space="preserve">Medijska </w:t>
      </w:r>
      <w:r w:rsidR="000D5EE1" w:rsidRPr="009A2018">
        <w:rPr>
          <w:rFonts w:cs="Times New Roman"/>
          <w:noProof/>
          <w:szCs w:val="24"/>
        </w:rPr>
        <w:t>scena je još uv</w:t>
      </w:r>
      <w:r w:rsidR="007E6A97" w:rsidRPr="009A2018">
        <w:rPr>
          <w:rFonts w:cs="Times New Roman"/>
          <w:noProof/>
          <w:szCs w:val="24"/>
        </w:rPr>
        <w:t>ij</w:t>
      </w:r>
      <w:r w:rsidR="000D5EE1" w:rsidRPr="009A2018">
        <w:rPr>
          <w:rFonts w:cs="Times New Roman"/>
          <w:noProof/>
          <w:szCs w:val="24"/>
        </w:rPr>
        <w:t>ek</w:t>
      </w:r>
      <w:r w:rsidR="005D210A" w:rsidRPr="009A2018">
        <w:rPr>
          <w:rFonts w:cs="Times New Roman"/>
          <w:noProof/>
          <w:szCs w:val="24"/>
        </w:rPr>
        <w:t xml:space="preserve"> oštro</w:t>
      </w:r>
      <w:r w:rsidRPr="009A2018">
        <w:rPr>
          <w:rFonts w:cs="Times New Roman"/>
          <w:noProof/>
          <w:szCs w:val="24"/>
        </w:rPr>
        <w:t xml:space="preserve"> polarizovana, a </w:t>
      </w:r>
      <w:r w:rsidR="005D210A" w:rsidRPr="009A2018">
        <w:rPr>
          <w:rFonts w:cs="Times New Roman"/>
          <w:noProof/>
          <w:szCs w:val="24"/>
        </w:rPr>
        <w:t xml:space="preserve">mehanizmi samoregulacije </w:t>
      </w:r>
      <w:r w:rsidR="007F4869" w:rsidRPr="009A2018">
        <w:rPr>
          <w:rFonts w:cs="Times New Roman"/>
          <w:noProof/>
          <w:szCs w:val="24"/>
        </w:rPr>
        <w:t>slabi. Sve veći broj</w:t>
      </w:r>
      <w:r w:rsidR="0041628A">
        <w:rPr>
          <w:rFonts w:cs="Times New Roman"/>
          <w:noProof/>
          <w:szCs w:val="24"/>
        </w:rPr>
        <w:t xml:space="preserve"> </w:t>
      </w:r>
      <w:r w:rsidRPr="009A2018">
        <w:rPr>
          <w:rFonts w:cs="Times New Roman"/>
          <w:noProof/>
          <w:szCs w:val="24"/>
        </w:rPr>
        <w:t xml:space="preserve">dezinformacija širom regiona </w:t>
      </w:r>
      <w:r w:rsidR="007F4869" w:rsidRPr="009A2018">
        <w:rPr>
          <w:rFonts w:cs="Times New Roman"/>
          <w:noProof/>
          <w:szCs w:val="24"/>
        </w:rPr>
        <w:t>je još više</w:t>
      </w:r>
      <w:r w:rsidRPr="009A2018">
        <w:rPr>
          <w:rFonts w:cs="Times New Roman"/>
          <w:noProof/>
          <w:szCs w:val="24"/>
        </w:rPr>
        <w:t xml:space="preserve"> polarizovao društvo nakon usvajanja Zakona o slobodi v</w:t>
      </w:r>
      <w:r w:rsidR="007E6A97" w:rsidRPr="009A2018">
        <w:rPr>
          <w:rFonts w:cs="Times New Roman"/>
          <w:noProof/>
          <w:szCs w:val="24"/>
        </w:rPr>
        <w:t>j</w:t>
      </w:r>
      <w:r w:rsidRPr="009A2018">
        <w:rPr>
          <w:rFonts w:cs="Times New Roman"/>
          <w:noProof/>
          <w:szCs w:val="24"/>
        </w:rPr>
        <w:t>eroispov</w:t>
      </w:r>
      <w:r w:rsidR="007E6A97" w:rsidRPr="009A2018">
        <w:rPr>
          <w:rFonts w:cs="Times New Roman"/>
          <w:noProof/>
          <w:szCs w:val="24"/>
        </w:rPr>
        <w:t>j</w:t>
      </w:r>
      <w:r w:rsidRPr="009A2018">
        <w:rPr>
          <w:rFonts w:cs="Times New Roman"/>
          <w:noProof/>
          <w:szCs w:val="24"/>
        </w:rPr>
        <w:t xml:space="preserve">esti i tokom izborne kampanje. </w:t>
      </w:r>
    </w:p>
    <w:p w:rsidR="000415A6" w:rsidRPr="00095948" w:rsidRDefault="007E6A97" w:rsidP="00EC1790">
      <w:pPr>
        <w:spacing w:after="120" w:line="240" w:lineRule="auto"/>
        <w:jc w:val="both"/>
        <w:rPr>
          <w:rFonts w:cs="Times New Roman"/>
          <w:noProof/>
          <w:szCs w:val="24"/>
          <w:lang w:val="fr-FR"/>
        </w:rPr>
      </w:pPr>
      <w:r w:rsidRPr="009A2018">
        <w:rPr>
          <w:rFonts w:cs="Times New Roman"/>
          <w:noProof/>
          <w:szCs w:val="24"/>
        </w:rPr>
        <w:t xml:space="preserve">Što se tiče </w:t>
      </w:r>
      <w:r w:rsidR="0009556A" w:rsidRPr="009A2018">
        <w:rPr>
          <w:rFonts w:cs="Times New Roman"/>
          <w:b/>
          <w:noProof/>
          <w:szCs w:val="24"/>
        </w:rPr>
        <w:t>ekonomskih kriterijuma</w:t>
      </w:r>
      <w:r w:rsidR="0009556A" w:rsidRPr="009A2018">
        <w:rPr>
          <w:rFonts w:cs="Times New Roman"/>
          <w:noProof/>
          <w:szCs w:val="24"/>
        </w:rPr>
        <w:t>, Crna Gora je postigla određeni napredak i um</w:t>
      </w:r>
      <w:r w:rsidRPr="009A2018">
        <w:rPr>
          <w:rFonts w:cs="Times New Roman"/>
          <w:noProof/>
          <w:szCs w:val="24"/>
        </w:rPr>
        <w:t>j</w:t>
      </w:r>
      <w:r w:rsidR="0009556A" w:rsidRPr="009A2018">
        <w:rPr>
          <w:rFonts w:cs="Times New Roman"/>
          <w:noProof/>
          <w:szCs w:val="24"/>
        </w:rPr>
        <w:t xml:space="preserve">ereno se pripremila za razvoj funkcionalne tržišne ekonomije. </w:t>
      </w:r>
      <w:r w:rsidR="0009556A" w:rsidRPr="00095948">
        <w:rPr>
          <w:rFonts w:cs="Times New Roman"/>
          <w:noProof/>
          <w:szCs w:val="24"/>
          <w:lang w:val="fr-FR"/>
        </w:rPr>
        <w:t>Zbog smanjenog rasta invest</w:t>
      </w:r>
      <w:r w:rsidR="000D5EE1" w:rsidRPr="00095948">
        <w:rPr>
          <w:rFonts w:cs="Times New Roman"/>
          <w:noProof/>
          <w:szCs w:val="24"/>
          <w:lang w:val="fr-FR"/>
        </w:rPr>
        <w:t>icija, privreda j</w:t>
      </w:r>
      <w:r w:rsidR="0009556A" w:rsidRPr="00095948">
        <w:rPr>
          <w:rFonts w:cs="Times New Roman"/>
          <w:noProof/>
          <w:szCs w:val="24"/>
          <w:lang w:val="fr-FR"/>
        </w:rPr>
        <w:t>e u 2019.</w:t>
      </w:r>
      <w:r w:rsidR="000D5EE1" w:rsidRPr="00095948">
        <w:rPr>
          <w:rFonts w:cs="Times New Roman"/>
          <w:noProof/>
          <w:szCs w:val="24"/>
          <w:lang w:val="fr-FR"/>
        </w:rPr>
        <w:t xml:space="preserve"> godini usporena</w:t>
      </w:r>
      <w:r w:rsidR="0009556A" w:rsidRPr="00095948">
        <w:rPr>
          <w:rFonts w:cs="Times New Roman"/>
          <w:noProof/>
          <w:szCs w:val="24"/>
          <w:lang w:val="fr-FR"/>
        </w:rPr>
        <w:t xml:space="preserve"> na održiviji tempo. Izvoz, </w:t>
      </w:r>
      <w:r w:rsidR="0041628A" w:rsidRPr="00095948">
        <w:rPr>
          <w:rFonts w:cs="Times New Roman"/>
          <w:noProof/>
          <w:szCs w:val="24"/>
          <w:lang w:val="fr-FR"/>
        </w:rPr>
        <w:t>naročito</w:t>
      </w:r>
      <w:r w:rsidR="0009556A" w:rsidRPr="00095948">
        <w:rPr>
          <w:rFonts w:cs="Times New Roman"/>
          <w:noProof/>
          <w:szCs w:val="24"/>
          <w:lang w:val="fr-FR"/>
        </w:rPr>
        <w:t xml:space="preserve"> usluga, rastao je, ali nedovoljno da obuzda veliki deficit tekućeg računa. Stabilnost finansijskog sektora ojačana je nakon bankrota i prestanka rada dv</w:t>
      </w:r>
      <w:r w:rsidRPr="00095948">
        <w:rPr>
          <w:rFonts w:cs="Times New Roman"/>
          <w:noProof/>
          <w:szCs w:val="24"/>
          <w:lang w:val="fr-FR"/>
        </w:rPr>
        <w:t>ij</w:t>
      </w:r>
      <w:r w:rsidR="0009556A" w:rsidRPr="00095948">
        <w:rPr>
          <w:rFonts w:cs="Times New Roman"/>
          <w:noProof/>
          <w:szCs w:val="24"/>
          <w:lang w:val="fr-FR"/>
        </w:rPr>
        <w:t xml:space="preserve">e lokalne banke i jačanja </w:t>
      </w:r>
      <w:r w:rsidR="00344A9F" w:rsidRPr="00095948">
        <w:rPr>
          <w:rFonts w:cs="Times New Roman"/>
          <w:noProof/>
          <w:szCs w:val="24"/>
          <w:lang w:val="fr-FR"/>
        </w:rPr>
        <w:t>nadzornog okvira</w:t>
      </w:r>
      <w:r w:rsidR="0009556A" w:rsidRPr="00095948">
        <w:rPr>
          <w:rFonts w:cs="Times New Roman"/>
          <w:noProof/>
          <w:szCs w:val="24"/>
          <w:lang w:val="fr-FR"/>
        </w:rPr>
        <w:t xml:space="preserve"> nad bankama. Uslovi na tržištu rada su se poboljšali, ali stopa nezaposlenosti je još uv</w:t>
      </w:r>
      <w:r w:rsidRPr="00095948">
        <w:rPr>
          <w:rFonts w:cs="Times New Roman"/>
          <w:noProof/>
          <w:szCs w:val="24"/>
          <w:lang w:val="fr-FR"/>
        </w:rPr>
        <w:t>ij</w:t>
      </w:r>
      <w:r w:rsidR="0009556A" w:rsidRPr="00095948">
        <w:rPr>
          <w:rFonts w:cs="Times New Roman"/>
          <w:noProof/>
          <w:szCs w:val="24"/>
          <w:lang w:val="fr-FR"/>
        </w:rPr>
        <w:t xml:space="preserve">ek visoka, </w:t>
      </w:r>
      <w:r w:rsidR="0041628A" w:rsidRPr="00095948">
        <w:rPr>
          <w:rFonts w:cs="Times New Roman"/>
          <w:noProof/>
          <w:szCs w:val="24"/>
          <w:lang w:val="fr-FR"/>
        </w:rPr>
        <w:t>naročito</w:t>
      </w:r>
      <w:r w:rsidR="0009556A" w:rsidRPr="00095948">
        <w:rPr>
          <w:rFonts w:cs="Times New Roman"/>
          <w:noProof/>
          <w:szCs w:val="24"/>
          <w:lang w:val="fr-FR"/>
        </w:rPr>
        <w:t xml:space="preserve"> među ženama, mladima, Romima i niskokvalifikovanim </w:t>
      </w:r>
      <w:r w:rsidR="00344A9F" w:rsidRPr="00095948">
        <w:rPr>
          <w:rFonts w:cs="Times New Roman"/>
          <w:noProof/>
          <w:szCs w:val="24"/>
          <w:lang w:val="fr-FR"/>
        </w:rPr>
        <w:t>licima</w:t>
      </w:r>
      <w:r w:rsidR="006D6612" w:rsidRPr="00095948">
        <w:rPr>
          <w:rFonts w:cs="Times New Roman"/>
          <w:noProof/>
          <w:szCs w:val="24"/>
          <w:lang w:val="fr-FR"/>
        </w:rPr>
        <w:t>. Aktivne m</w:t>
      </w:r>
      <w:r w:rsidRPr="00095948">
        <w:rPr>
          <w:rFonts w:cs="Times New Roman"/>
          <w:noProof/>
          <w:szCs w:val="24"/>
          <w:lang w:val="fr-FR"/>
        </w:rPr>
        <w:t>j</w:t>
      </w:r>
      <w:r w:rsidR="006D6612" w:rsidRPr="00095948">
        <w:rPr>
          <w:rFonts w:cs="Times New Roman"/>
          <w:noProof/>
          <w:szCs w:val="24"/>
          <w:lang w:val="fr-FR"/>
        </w:rPr>
        <w:t>ere n</w:t>
      </w:r>
      <w:r w:rsidR="0009556A" w:rsidRPr="00095948">
        <w:rPr>
          <w:rFonts w:cs="Times New Roman"/>
          <w:noProof/>
          <w:szCs w:val="24"/>
          <w:lang w:val="fr-FR"/>
        </w:rPr>
        <w:t>a</w:t>
      </w:r>
      <w:r w:rsidR="006D6612" w:rsidRPr="00095948">
        <w:rPr>
          <w:rFonts w:cs="Times New Roman"/>
          <w:noProof/>
          <w:szCs w:val="24"/>
          <w:lang w:val="fr-FR"/>
        </w:rPr>
        <w:t xml:space="preserve"> tržištu</w:t>
      </w:r>
      <w:r w:rsidR="0009556A" w:rsidRPr="00095948">
        <w:rPr>
          <w:rFonts w:cs="Times New Roman"/>
          <w:noProof/>
          <w:szCs w:val="24"/>
          <w:lang w:val="fr-FR"/>
        </w:rPr>
        <w:t xml:space="preserve"> rada</w:t>
      </w:r>
      <w:r w:rsidR="006D6612" w:rsidRPr="00095948">
        <w:rPr>
          <w:rFonts w:cs="Times New Roman"/>
          <w:noProof/>
          <w:szCs w:val="24"/>
          <w:lang w:val="fr-FR"/>
        </w:rPr>
        <w:t xml:space="preserve"> potrebno je pojačati</w:t>
      </w:r>
      <w:r w:rsidR="0009556A" w:rsidRPr="00095948">
        <w:rPr>
          <w:rFonts w:cs="Times New Roman"/>
          <w:noProof/>
          <w:szCs w:val="24"/>
          <w:lang w:val="fr-FR"/>
        </w:rPr>
        <w:t xml:space="preserve"> i </w:t>
      </w:r>
      <w:r w:rsidR="006D6612" w:rsidRPr="00095948">
        <w:rPr>
          <w:rFonts w:cs="Times New Roman"/>
          <w:noProof/>
          <w:szCs w:val="24"/>
          <w:lang w:val="fr-FR"/>
        </w:rPr>
        <w:t xml:space="preserve">više ih fokusirati na prekvalifikaciju i </w:t>
      </w:r>
      <w:r w:rsidR="000415A6" w:rsidRPr="00095948">
        <w:rPr>
          <w:rFonts w:cs="Times New Roman"/>
          <w:noProof/>
          <w:szCs w:val="24"/>
          <w:lang w:val="fr-FR"/>
        </w:rPr>
        <w:t>podizanje nivoa v</w:t>
      </w:r>
      <w:r w:rsidRPr="00095948">
        <w:rPr>
          <w:rFonts w:cs="Times New Roman"/>
          <w:noProof/>
          <w:szCs w:val="24"/>
          <w:lang w:val="fr-FR"/>
        </w:rPr>
        <w:t>j</w:t>
      </w:r>
      <w:r w:rsidR="000415A6" w:rsidRPr="00095948">
        <w:rPr>
          <w:rFonts w:cs="Times New Roman"/>
          <w:noProof/>
          <w:szCs w:val="24"/>
          <w:lang w:val="fr-FR"/>
        </w:rPr>
        <w:t>eština kao i na jačanje i koordinaciju</w:t>
      </w:r>
      <w:r w:rsidR="0009556A" w:rsidRPr="00095948">
        <w:rPr>
          <w:rFonts w:cs="Times New Roman"/>
          <w:noProof/>
          <w:szCs w:val="24"/>
          <w:lang w:val="fr-FR"/>
        </w:rPr>
        <w:t xml:space="preserve"> između </w:t>
      </w:r>
      <w:r w:rsidR="000415A6" w:rsidRPr="00095948">
        <w:rPr>
          <w:rFonts w:cs="Times New Roman"/>
          <w:noProof/>
          <w:szCs w:val="24"/>
          <w:lang w:val="fr-FR"/>
        </w:rPr>
        <w:t xml:space="preserve">službi za </w:t>
      </w:r>
      <w:r w:rsidR="0009556A" w:rsidRPr="00095948">
        <w:rPr>
          <w:rFonts w:cs="Times New Roman"/>
          <w:noProof/>
          <w:szCs w:val="24"/>
          <w:lang w:val="fr-FR"/>
        </w:rPr>
        <w:t>zap</w:t>
      </w:r>
      <w:r w:rsidR="000415A6" w:rsidRPr="00095948">
        <w:rPr>
          <w:rFonts w:cs="Times New Roman"/>
          <w:noProof/>
          <w:szCs w:val="24"/>
          <w:lang w:val="fr-FR"/>
        </w:rPr>
        <w:t>ošljavanje</w:t>
      </w:r>
      <w:r w:rsidR="0009556A" w:rsidRPr="00095948">
        <w:rPr>
          <w:rFonts w:cs="Times New Roman"/>
          <w:noProof/>
          <w:szCs w:val="24"/>
          <w:lang w:val="fr-FR"/>
        </w:rPr>
        <w:t xml:space="preserve"> i socijalnih službi. Ekonomsk</w:t>
      </w:r>
      <w:r w:rsidR="000415A6" w:rsidRPr="00095948">
        <w:rPr>
          <w:rFonts w:cs="Times New Roman"/>
          <w:noProof/>
          <w:szCs w:val="24"/>
          <w:lang w:val="fr-FR"/>
        </w:rPr>
        <w:t>i izgledi Crne Gore znatno su opali</w:t>
      </w:r>
      <w:r w:rsidR="0009556A" w:rsidRPr="00095948">
        <w:rPr>
          <w:rFonts w:cs="Times New Roman"/>
          <w:noProof/>
          <w:szCs w:val="24"/>
          <w:lang w:val="fr-FR"/>
        </w:rPr>
        <w:t xml:space="preserve"> od drugog kvartala 2020</w:t>
      </w:r>
      <w:r w:rsidR="000415A6" w:rsidRPr="00095948">
        <w:rPr>
          <w:rFonts w:cs="Times New Roman"/>
          <w:noProof/>
          <w:szCs w:val="24"/>
          <w:lang w:val="fr-FR"/>
        </w:rPr>
        <w:t>. godine</w:t>
      </w:r>
      <w:r w:rsidR="00344A9F" w:rsidRPr="00095948">
        <w:rPr>
          <w:rFonts w:cs="Times New Roman"/>
          <w:noProof/>
          <w:szCs w:val="24"/>
          <w:lang w:val="fr-FR"/>
        </w:rPr>
        <w:t>, pošto su m</w:t>
      </w:r>
      <w:r w:rsidRPr="00095948">
        <w:rPr>
          <w:rFonts w:cs="Times New Roman"/>
          <w:noProof/>
          <w:szCs w:val="24"/>
          <w:lang w:val="fr-FR"/>
        </w:rPr>
        <w:t>j</w:t>
      </w:r>
      <w:r w:rsidR="00344A9F" w:rsidRPr="00095948">
        <w:rPr>
          <w:rFonts w:cs="Times New Roman"/>
          <w:noProof/>
          <w:szCs w:val="24"/>
          <w:lang w:val="fr-FR"/>
        </w:rPr>
        <w:t>ere karantina, koje su</w:t>
      </w:r>
      <w:r w:rsidR="000415A6" w:rsidRPr="00095948">
        <w:rPr>
          <w:rFonts w:cs="Times New Roman"/>
          <w:noProof/>
          <w:szCs w:val="24"/>
          <w:lang w:val="fr-FR"/>
        </w:rPr>
        <w:t xml:space="preserve"> uvedene u aprilu zbog korona virusa</w:t>
      </w:r>
      <w:r w:rsidR="00344A9F" w:rsidRPr="00095948">
        <w:rPr>
          <w:rFonts w:cs="Times New Roman"/>
          <w:noProof/>
          <w:szCs w:val="24"/>
          <w:lang w:val="fr-FR"/>
        </w:rPr>
        <w:t>,</w:t>
      </w:r>
      <w:r w:rsidR="0041628A" w:rsidRPr="00095948">
        <w:rPr>
          <w:rFonts w:cs="Times New Roman"/>
          <w:noProof/>
          <w:szCs w:val="24"/>
          <w:lang w:val="fr-FR"/>
        </w:rPr>
        <w:t xml:space="preserve"> </w:t>
      </w:r>
      <w:r w:rsidRPr="00095948">
        <w:rPr>
          <w:rFonts w:cs="Times New Roman"/>
          <w:noProof/>
          <w:szCs w:val="24"/>
          <w:lang w:val="fr-FR"/>
        </w:rPr>
        <w:t>zaustavile veliki di</w:t>
      </w:r>
      <w:r w:rsidR="000415A6" w:rsidRPr="00095948">
        <w:rPr>
          <w:rFonts w:cs="Times New Roman"/>
          <w:noProof/>
          <w:szCs w:val="24"/>
          <w:lang w:val="fr-FR"/>
        </w:rPr>
        <w:t>o</w:t>
      </w:r>
      <w:r w:rsidR="0009556A" w:rsidRPr="00095948">
        <w:rPr>
          <w:rFonts w:cs="Times New Roman"/>
          <w:noProof/>
          <w:szCs w:val="24"/>
          <w:lang w:val="fr-FR"/>
        </w:rPr>
        <w:t xml:space="preserve"> privrede. </w:t>
      </w:r>
      <w:r w:rsidR="000415A6" w:rsidRPr="00095948">
        <w:rPr>
          <w:rFonts w:cs="Times New Roman"/>
          <w:noProof/>
          <w:szCs w:val="24"/>
          <w:lang w:val="fr-FR"/>
        </w:rPr>
        <w:t xml:space="preserve">Javne finansije, koje su se </w:t>
      </w:r>
      <w:r w:rsidR="00344A9F" w:rsidRPr="00095948">
        <w:rPr>
          <w:rFonts w:cs="Times New Roman"/>
          <w:noProof/>
          <w:szCs w:val="24"/>
          <w:lang w:val="fr-FR"/>
        </w:rPr>
        <w:t xml:space="preserve">u </w:t>
      </w:r>
      <w:r w:rsidR="000415A6" w:rsidRPr="00095948">
        <w:rPr>
          <w:rFonts w:cs="Times New Roman"/>
          <w:noProof/>
          <w:szCs w:val="24"/>
          <w:lang w:val="fr-FR"/>
        </w:rPr>
        <w:t>2019. g</w:t>
      </w:r>
      <w:r w:rsidR="00344A9F" w:rsidRPr="00095948">
        <w:rPr>
          <w:rFonts w:cs="Times New Roman"/>
          <w:noProof/>
          <w:szCs w:val="24"/>
          <w:lang w:val="fr-FR"/>
        </w:rPr>
        <w:t>odini</w:t>
      </w:r>
      <w:r w:rsidR="000415A6" w:rsidRPr="00095948">
        <w:rPr>
          <w:rFonts w:cs="Times New Roman"/>
          <w:noProof/>
          <w:szCs w:val="24"/>
          <w:lang w:val="fr-FR"/>
        </w:rPr>
        <w:t xml:space="preserve"> po</w:t>
      </w:r>
      <w:r w:rsidR="00344A9F" w:rsidRPr="00095948">
        <w:rPr>
          <w:rFonts w:cs="Times New Roman"/>
          <w:noProof/>
          <w:szCs w:val="24"/>
          <w:lang w:val="fr-FR"/>
        </w:rPr>
        <w:t>pravile</w:t>
      </w:r>
      <w:r w:rsidR="000415A6" w:rsidRPr="00095948">
        <w:rPr>
          <w:rFonts w:cs="Times New Roman"/>
          <w:noProof/>
          <w:szCs w:val="24"/>
          <w:lang w:val="fr-FR"/>
        </w:rPr>
        <w:t xml:space="preserve">, </w:t>
      </w:r>
      <w:r w:rsidR="00344A9F" w:rsidRPr="00095948">
        <w:rPr>
          <w:rFonts w:cs="Times New Roman"/>
          <w:noProof/>
          <w:szCs w:val="24"/>
          <w:lang w:val="fr-FR"/>
        </w:rPr>
        <w:t>u 2020. godini</w:t>
      </w:r>
      <w:r w:rsidR="000415A6" w:rsidRPr="00095948">
        <w:rPr>
          <w:rFonts w:cs="Times New Roman"/>
          <w:noProof/>
          <w:szCs w:val="24"/>
          <w:lang w:val="fr-FR"/>
        </w:rPr>
        <w:t xml:space="preserve"> su </w:t>
      </w:r>
      <w:r w:rsidR="00344A9F" w:rsidRPr="00095948">
        <w:rPr>
          <w:rFonts w:cs="Times New Roman"/>
          <w:noProof/>
          <w:szCs w:val="24"/>
          <w:lang w:val="fr-FR"/>
        </w:rPr>
        <w:t>pod velikim</w:t>
      </w:r>
      <w:r w:rsidR="000415A6" w:rsidRPr="00095948">
        <w:rPr>
          <w:rFonts w:cs="Times New Roman"/>
          <w:noProof/>
          <w:szCs w:val="24"/>
          <w:lang w:val="fr-FR"/>
        </w:rPr>
        <w:t xml:space="preserve"> pritiskom zbog narastajućih troškova </w:t>
      </w:r>
      <w:r w:rsidR="00344A9F" w:rsidRPr="00095948">
        <w:rPr>
          <w:rFonts w:cs="Times New Roman"/>
          <w:noProof/>
          <w:szCs w:val="24"/>
          <w:lang w:val="fr-FR"/>
        </w:rPr>
        <w:t>držav</w:t>
      </w:r>
      <w:r w:rsidR="000415A6" w:rsidRPr="00095948">
        <w:rPr>
          <w:rFonts w:cs="Times New Roman"/>
          <w:noProof/>
          <w:szCs w:val="24"/>
          <w:lang w:val="fr-FR"/>
        </w:rPr>
        <w:t>e</w:t>
      </w:r>
      <w:r w:rsidR="00344A9F" w:rsidRPr="00095948">
        <w:rPr>
          <w:rFonts w:cs="Times New Roman"/>
          <w:noProof/>
          <w:szCs w:val="24"/>
          <w:lang w:val="fr-FR"/>
        </w:rPr>
        <w:t xml:space="preserve"> u finansiranju borbe</w:t>
      </w:r>
      <w:r w:rsidR="0041628A" w:rsidRPr="00095948">
        <w:rPr>
          <w:rFonts w:cs="Times New Roman"/>
          <w:noProof/>
          <w:szCs w:val="24"/>
          <w:lang w:val="fr-FR"/>
        </w:rPr>
        <w:t xml:space="preserve"> </w:t>
      </w:r>
      <w:r w:rsidR="00C21469" w:rsidRPr="00095948">
        <w:rPr>
          <w:rFonts w:cs="Times New Roman"/>
          <w:noProof/>
          <w:szCs w:val="24"/>
          <w:lang w:val="fr-FR"/>
        </w:rPr>
        <w:t>protiv pandemije i naglog</w:t>
      </w:r>
      <w:r w:rsidR="000415A6" w:rsidRPr="00095948">
        <w:rPr>
          <w:rFonts w:cs="Times New Roman"/>
          <w:noProof/>
          <w:szCs w:val="24"/>
          <w:lang w:val="fr-FR"/>
        </w:rPr>
        <w:t xml:space="preserve"> pa</w:t>
      </w:r>
      <w:r w:rsidR="00344A9F" w:rsidRPr="00095948">
        <w:rPr>
          <w:rFonts w:cs="Times New Roman"/>
          <w:noProof/>
          <w:szCs w:val="24"/>
          <w:lang w:val="fr-FR"/>
        </w:rPr>
        <w:t>d</w:t>
      </w:r>
      <w:r w:rsidR="00C21469" w:rsidRPr="00095948">
        <w:rPr>
          <w:rFonts w:cs="Times New Roman"/>
          <w:noProof/>
          <w:szCs w:val="24"/>
          <w:lang w:val="fr-FR"/>
        </w:rPr>
        <w:t>a</w:t>
      </w:r>
      <w:r w:rsidR="000415A6" w:rsidRPr="00095948">
        <w:rPr>
          <w:rFonts w:cs="Times New Roman"/>
          <w:noProof/>
          <w:szCs w:val="24"/>
          <w:lang w:val="fr-FR"/>
        </w:rPr>
        <w:t xml:space="preserve"> budžetskih prihoda zbog smanjene privredne aktivnosti. U međuvremenu, uprkos izv</w:t>
      </w:r>
      <w:r w:rsidRPr="00095948">
        <w:rPr>
          <w:rFonts w:cs="Times New Roman"/>
          <w:noProof/>
          <w:szCs w:val="24"/>
          <w:lang w:val="fr-FR"/>
        </w:rPr>
        <w:t>j</w:t>
      </w:r>
      <w:r w:rsidR="000415A6" w:rsidRPr="00095948">
        <w:rPr>
          <w:rFonts w:cs="Times New Roman"/>
          <w:noProof/>
          <w:szCs w:val="24"/>
          <w:lang w:val="fr-FR"/>
        </w:rPr>
        <w:t xml:space="preserve">esnim </w:t>
      </w:r>
      <w:r w:rsidR="00C21469" w:rsidRPr="00095948">
        <w:rPr>
          <w:rFonts w:cs="Times New Roman"/>
          <w:noProof/>
          <w:szCs w:val="24"/>
          <w:lang w:val="fr-FR"/>
        </w:rPr>
        <w:t>naznakama poboljšanja</w:t>
      </w:r>
      <w:r w:rsidR="000415A6" w:rsidRPr="00095948">
        <w:rPr>
          <w:rFonts w:cs="Times New Roman"/>
          <w:noProof/>
          <w:szCs w:val="24"/>
          <w:lang w:val="fr-FR"/>
        </w:rPr>
        <w:t xml:space="preserve"> poslovno</w:t>
      </w:r>
      <w:r w:rsidR="00C21469" w:rsidRPr="00095948">
        <w:rPr>
          <w:rFonts w:cs="Times New Roman"/>
          <w:noProof/>
          <w:szCs w:val="24"/>
          <w:lang w:val="fr-FR"/>
        </w:rPr>
        <w:t>g okruženja</w:t>
      </w:r>
      <w:r w:rsidR="000415A6" w:rsidRPr="00095948">
        <w:rPr>
          <w:rFonts w:cs="Times New Roman"/>
          <w:noProof/>
          <w:szCs w:val="24"/>
          <w:lang w:val="fr-FR"/>
        </w:rPr>
        <w:t>, m</w:t>
      </w:r>
      <w:r w:rsidRPr="00095948">
        <w:rPr>
          <w:rFonts w:cs="Times New Roman"/>
          <w:noProof/>
          <w:szCs w:val="24"/>
          <w:lang w:val="fr-FR"/>
        </w:rPr>
        <w:t>j</w:t>
      </w:r>
      <w:r w:rsidR="009038EF" w:rsidRPr="00095948">
        <w:rPr>
          <w:rFonts w:cs="Times New Roman"/>
          <w:noProof/>
          <w:szCs w:val="24"/>
          <w:lang w:val="fr-FR"/>
        </w:rPr>
        <w:t xml:space="preserve">ere za borbu protiv sive ekonomije su odložene, a postoji </w:t>
      </w:r>
      <w:r w:rsidR="00C21469" w:rsidRPr="00095948">
        <w:rPr>
          <w:rFonts w:cs="Times New Roman"/>
          <w:noProof/>
          <w:szCs w:val="24"/>
          <w:lang w:val="fr-FR"/>
        </w:rPr>
        <w:t xml:space="preserve">i </w:t>
      </w:r>
      <w:r w:rsidR="009038EF" w:rsidRPr="00095948">
        <w:rPr>
          <w:rFonts w:cs="Times New Roman"/>
          <w:noProof/>
          <w:szCs w:val="24"/>
          <w:lang w:val="fr-FR"/>
        </w:rPr>
        <w:t>v</w:t>
      </w:r>
      <w:r w:rsidR="00C21469" w:rsidRPr="00095948">
        <w:rPr>
          <w:rFonts w:cs="Times New Roman"/>
          <w:noProof/>
          <w:szCs w:val="24"/>
          <w:lang w:val="fr-FR"/>
        </w:rPr>
        <w:t>rlo</w:t>
      </w:r>
      <w:r w:rsidR="000415A6" w:rsidRPr="00095948">
        <w:rPr>
          <w:rFonts w:cs="Times New Roman"/>
          <w:noProof/>
          <w:szCs w:val="24"/>
          <w:lang w:val="fr-FR"/>
        </w:rPr>
        <w:t xml:space="preserve"> velik</w:t>
      </w:r>
      <w:r w:rsidR="009038EF" w:rsidRPr="00095948">
        <w:rPr>
          <w:rFonts w:cs="Times New Roman"/>
          <w:noProof/>
          <w:szCs w:val="24"/>
          <w:lang w:val="fr-FR"/>
        </w:rPr>
        <w:t>i</w:t>
      </w:r>
      <w:r w:rsidR="00C21469" w:rsidRPr="00095948">
        <w:rPr>
          <w:rFonts w:cs="Times New Roman"/>
          <w:noProof/>
          <w:szCs w:val="24"/>
          <w:lang w:val="fr-FR"/>
        </w:rPr>
        <w:t>, konstantan</w:t>
      </w:r>
      <w:r w:rsidR="000415A6" w:rsidRPr="00095948">
        <w:rPr>
          <w:rFonts w:cs="Times New Roman"/>
          <w:noProof/>
          <w:szCs w:val="24"/>
          <w:lang w:val="fr-FR"/>
        </w:rPr>
        <w:t xml:space="preserve"> broj kompanija sa zamrznutim bankovnim računima. Državne </w:t>
      </w:r>
      <w:r w:rsidR="00B241F7">
        <w:rPr>
          <w:rFonts w:cs="Times New Roman"/>
          <w:noProof/>
          <w:szCs w:val="24"/>
          <w:lang w:val="fr-FR"/>
        </w:rPr>
        <w:t>saobraćajne</w:t>
      </w:r>
      <w:r w:rsidR="00B241F7" w:rsidRPr="00095948">
        <w:rPr>
          <w:rFonts w:cs="Times New Roman"/>
          <w:noProof/>
          <w:szCs w:val="24"/>
          <w:lang w:val="fr-FR"/>
        </w:rPr>
        <w:t xml:space="preserve"> </w:t>
      </w:r>
      <w:r w:rsidR="000415A6" w:rsidRPr="00095948">
        <w:rPr>
          <w:rFonts w:cs="Times New Roman"/>
          <w:noProof/>
          <w:szCs w:val="24"/>
          <w:lang w:val="fr-FR"/>
        </w:rPr>
        <w:t>kompanije ni</w:t>
      </w:r>
      <w:r w:rsidR="0041628A" w:rsidRPr="00095948">
        <w:rPr>
          <w:rFonts w:cs="Times New Roman"/>
          <w:noProof/>
          <w:szCs w:val="24"/>
          <w:lang w:val="fr-FR"/>
        </w:rPr>
        <w:t>je</w:t>
      </w:r>
      <w:r w:rsidR="000415A6" w:rsidRPr="00095948">
        <w:rPr>
          <w:rFonts w:cs="Times New Roman"/>
          <w:noProof/>
          <w:szCs w:val="24"/>
          <w:lang w:val="fr-FR"/>
        </w:rPr>
        <w:t xml:space="preserve">su konkurentne i njihovi gubici se prenose na državu. Institucionalni kapaciteti </w:t>
      </w:r>
      <w:r w:rsidR="00B241F7">
        <w:rPr>
          <w:rFonts w:cs="Times New Roman"/>
          <w:noProof/>
          <w:szCs w:val="24"/>
          <w:lang w:val="fr-FR"/>
        </w:rPr>
        <w:t>A</w:t>
      </w:r>
      <w:r w:rsidR="00B241F7" w:rsidRPr="00095948">
        <w:rPr>
          <w:rFonts w:cs="Times New Roman"/>
          <w:noProof/>
          <w:szCs w:val="24"/>
          <w:lang w:val="fr-FR"/>
        </w:rPr>
        <w:t>gencij</w:t>
      </w:r>
      <w:r w:rsidR="00B241F7">
        <w:rPr>
          <w:rFonts w:cs="Times New Roman"/>
          <w:noProof/>
          <w:szCs w:val="24"/>
          <w:lang w:val="fr-FR"/>
        </w:rPr>
        <w:t>e</w:t>
      </w:r>
      <w:r w:rsidR="00B241F7" w:rsidRPr="00095948">
        <w:rPr>
          <w:rFonts w:cs="Times New Roman"/>
          <w:noProof/>
          <w:szCs w:val="24"/>
          <w:lang w:val="fr-FR"/>
        </w:rPr>
        <w:t xml:space="preserve"> </w:t>
      </w:r>
      <w:r w:rsidR="000415A6" w:rsidRPr="00095948">
        <w:rPr>
          <w:rFonts w:cs="Times New Roman"/>
          <w:noProof/>
          <w:szCs w:val="24"/>
          <w:lang w:val="fr-FR"/>
        </w:rPr>
        <w:t xml:space="preserve">za zaštitu konkurencije i </w:t>
      </w:r>
      <w:r w:rsidR="00B241F7">
        <w:rPr>
          <w:rFonts w:cs="Times New Roman"/>
          <w:noProof/>
          <w:szCs w:val="24"/>
          <w:lang w:val="fr-FR"/>
        </w:rPr>
        <w:t xml:space="preserve">Agencije za sprječavanje </w:t>
      </w:r>
      <w:r w:rsidR="000415A6" w:rsidRPr="00095948">
        <w:rPr>
          <w:rFonts w:cs="Times New Roman"/>
          <w:noProof/>
          <w:szCs w:val="24"/>
          <w:lang w:val="fr-FR"/>
        </w:rPr>
        <w:t>korupcije i dalje su slabi.</w:t>
      </w:r>
    </w:p>
    <w:p w:rsidR="009038EF" w:rsidRPr="00095948" w:rsidRDefault="009038EF" w:rsidP="00EC1790">
      <w:pPr>
        <w:spacing w:after="120" w:line="240" w:lineRule="auto"/>
        <w:jc w:val="both"/>
        <w:rPr>
          <w:rFonts w:eastAsiaTheme="minorEastAsia" w:cs="Times New Roman"/>
          <w:szCs w:val="24"/>
          <w:lang w:val="fr-FR"/>
        </w:rPr>
      </w:pPr>
      <w:r w:rsidRPr="00095948">
        <w:rPr>
          <w:rFonts w:eastAsiaTheme="minorEastAsia" w:cs="Times New Roman"/>
          <w:szCs w:val="24"/>
          <w:lang w:val="fr-FR"/>
        </w:rPr>
        <w:t>Crna Gora je postigla određeni napredak i ostaje um</w:t>
      </w:r>
      <w:r w:rsidR="007E6A97" w:rsidRPr="00095948">
        <w:rPr>
          <w:rFonts w:eastAsiaTheme="minorEastAsia" w:cs="Times New Roman"/>
          <w:szCs w:val="24"/>
          <w:lang w:val="fr-FR"/>
        </w:rPr>
        <w:t>j</w:t>
      </w:r>
      <w:r w:rsidRPr="00095948">
        <w:rPr>
          <w:rFonts w:eastAsiaTheme="minorEastAsia" w:cs="Times New Roman"/>
          <w:szCs w:val="24"/>
          <w:lang w:val="fr-FR"/>
        </w:rPr>
        <w:t>ereno pripremljena u pogle</w:t>
      </w:r>
      <w:r w:rsidR="0041628A" w:rsidRPr="00095948">
        <w:rPr>
          <w:rFonts w:eastAsiaTheme="minorEastAsia" w:cs="Times New Roman"/>
          <w:szCs w:val="24"/>
          <w:lang w:val="fr-FR"/>
        </w:rPr>
        <w:t>du svog kapaciteta da se nosi s</w:t>
      </w:r>
      <w:r w:rsidRPr="00095948">
        <w:rPr>
          <w:rFonts w:eastAsiaTheme="minorEastAsia" w:cs="Times New Roman"/>
          <w:szCs w:val="24"/>
          <w:lang w:val="fr-FR"/>
        </w:rPr>
        <w:t xml:space="preserve"> pritiskom </w:t>
      </w:r>
      <w:r w:rsidR="00E10707" w:rsidRPr="00095948">
        <w:rPr>
          <w:rFonts w:eastAsiaTheme="minorEastAsia" w:cs="Times New Roman"/>
          <w:szCs w:val="24"/>
          <w:lang w:val="fr-FR"/>
        </w:rPr>
        <w:t>konkurencije i tržišnim silama</w:t>
      </w:r>
      <w:r w:rsidRPr="00095948">
        <w:rPr>
          <w:rFonts w:eastAsiaTheme="minorEastAsia" w:cs="Times New Roman"/>
          <w:szCs w:val="24"/>
          <w:lang w:val="fr-FR"/>
        </w:rPr>
        <w:t xml:space="preserve"> u</w:t>
      </w:r>
      <w:r w:rsidR="00E10707" w:rsidRPr="00095948">
        <w:rPr>
          <w:rFonts w:eastAsiaTheme="minorEastAsia" w:cs="Times New Roman"/>
          <w:szCs w:val="24"/>
          <w:lang w:val="fr-FR"/>
        </w:rPr>
        <w:t>nutar Evropske unije</w:t>
      </w:r>
      <w:r w:rsidRPr="00095948">
        <w:rPr>
          <w:rFonts w:eastAsiaTheme="minorEastAsia" w:cs="Times New Roman"/>
          <w:szCs w:val="24"/>
          <w:lang w:val="fr-FR"/>
        </w:rPr>
        <w:t>. Ulaganje u znanje i ljudski kapital je vrlo skromno, što za posl</w:t>
      </w:r>
      <w:r w:rsidR="007E6A97" w:rsidRPr="00095948">
        <w:rPr>
          <w:rFonts w:eastAsiaTheme="minorEastAsia" w:cs="Times New Roman"/>
          <w:szCs w:val="24"/>
          <w:lang w:val="fr-FR"/>
        </w:rPr>
        <w:t>j</w:t>
      </w:r>
      <w:r w:rsidRPr="00095948">
        <w:rPr>
          <w:rFonts w:eastAsiaTheme="minorEastAsia" w:cs="Times New Roman"/>
          <w:szCs w:val="24"/>
          <w:lang w:val="fr-FR"/>
        </w:rPr>
        <w:t xml:space="preserve">edicu ima nizak nivo inovacija i </w:t>
      </w:r>
      <w:r w:rsidR="00C21469" w:rsidRPr="00095948">
        <w:rPr>
          <w:rFonts w:eastAsiaTheme="minorEastAsia" w:cs="Times New Roman"/>
          <w:szCs w:val="24"/>
          <w:lang w:val="fr-FR"/>
        </w:rPr>
        <w:t>malu produktivnost</w:t>
      </w:r>
      <w:r w:rsidRPr="00095948">
        <w:rPr>
          <w:rFonts w:eastAsiaTheme="minorEastAsia" w:cs="Times New Roman"/>
          <w:szCs w:val="24"/>
          <w:lang w:val="fr-FR"/>
        </w:rPr>
        <w:t xml:space="preserve"> lokalnih kompanija.</w:t>
      </w:r>
      <w:r w:rsidR="0041628A" w:rsidRPr="00095948">
        <w:rPr>
          <w:rFonts w:eastAsiaTheme="minorEastAsia" w:cs="Times New Roman"/>
          <w:szCs w:val="24"/>
          <w:lang w:val="fr-FR"/>
        </w:rPr>
        <w:t xml:space="preserve"> </w:t>
      </w:r>
      <w:r w:rsidR="00C21469" w:rsidRPr="00095948">
        <w:rPr>
          <w:rFonts w:eastAsiaTheme="minorEastAsia" w:cs="Times New Roman"/>
          <w:szCs w:val="24"/>
          <w:lang w:val="fr-FR"/>
        </w:rPr>
        <w:t>Potrebno je poboljšati obrazovne rezultate</w:t>
      </w:r>
      <w:r w:rsidRPr="00095948">
        <w:rPr>
          <w:rFonts w:eastAsiaTheme="minorEastAsia" w:cs="Times New Roman"/>
          <w:szCs w:val="24"/>
          <w:lang w:val="fr-FR"/>
        </w:rPr>
        <w:t xml:space="preserve"> u svim segmentima </w:t>
      </w:r>
      <w:r w:rsidR="001406E1" w:rsidRPr="00095948">
        <w:rPr>
          <w:rFonts w:eastAsiaTheme="minorEastAsia" w:cs="Times New Roman"/>
          <w:szCs w:val="24"/>
          <w:lang w:val="fr-FR"/>
        </w:rPr>
        <w:t xml:space="preserve">i </w:t>
      </w:r>
      <w:r w:rsidR="001271B5" w:rsidRPr="00095948">
        <w:rPr>
          <w:rFonts w:eastAsiaTheme="minorEastAsia" w:cs="Times New Roman"/>
          <w:szCs w:val="24"/>
          <w:lang w:val="fr-FR"/>
        </w:rPr>
        <w:t>obezb</w:t>
      </w:r>
      <w:r w:rsidR="007E6A97" w:rsidRPr="00095948">
        <w:rPr>
          <w:rFonts w:eastAsiaTheme="minorEastAsia" w:cs="Times New Roman"/>
          <w:szCs w:val="24"/>
          <w:lang w:val="fr-FR"/>
        </w:rPr>
        <w:t>ij</w:t>
      </w:r>
      <w:r w:rsidR="001271B5" w:rsidRPr="00095948">
        <w:rPr>
          <w:rFonts w:eastAsiaTheme="minorEastAsia" w:cs="Times New Roman"/>
          <w:szCs w:val="24"/>
          <w:lang w:val="fr-FR"/>
        </w:rPr>
        <w:t>editi</w:t>
      </w:r>
      <w:r w:rsidR="001406E1" w:rsidRPr="00095948">
        <w:rPr>
          <w:rFonts w:eastAsiaTheme="minorEastAsia" w:cs="Times New Roman"/>
          <w:szCs w:val="24"/>
          <w:lang w:val="fr-FR"/>
        </w:rPr>
        <w:t xml:space="preserve"> m</w:t>
      </w:r>
      <w:r w:rsidR="007E6A97" w:rsidRPr="00095948">
        <w:rPr>
          <w:rFonts w:eastAsiaTheme="minorEastAsia" w:cs="Times New Roman"/>
          <w:szCs w:val="24"/>
          <w:lang w:val="fr-FR"/>
        </w:rPr>
        <w:t>j</w:t>
      </w:r>
      <w:r w:rsidR="001406E1" w:rsidRPr="00095948">
        <w:rPr>
          <w:rFonts w:eastAsiaTheme="minorEastAsia" w:cs="Times New Roman"/>
          <w:szCs w:val="24"/>
          <w:lang w:val="fr-FR"/>
        </w:rPr>
        <w:t>ere</w:t>
      </w:r>
      <w:r w:rsidRPr="00095948">
        <w:rPr>
          <w:rFonts w:eastAsiaTheme="minorEastAsia" w:cs="Times New Roman"/>
          <w:szCs w:val="24"/>
          <w:lang w:val="fr-FR"/>
        </w:rPr>
        <w:t xml:space="preserve"> za usavršavanje i prekvalifikaciju. Realizuje se nekoliko </w:t>
      </w:r>
      <w:r w:rsidRPr="00095948">
        <w:rPr>
          <w:rFonts w:eastAsiaTheme="minorEastAsia" w:cs="Times New Roman"/>
          <w:szCs w:val="24"/>
          <w:lang w:val="fr-FR"/>
        </w:rPr>
        <w:lastRenderedPageBreak/>
        <w:t xml:space="preserve">važnih infrastrukturnih projekata čime se </w:t>
      </w:r>
      <w:r w:rsidR="001406E1" w:rsidRPr="00095948">
        <w:rPr>
          <w:rFonts w:eastAsiaTheme="minorEastAsia" w:cs="Times New Roman"/>
          <w:szCs w:val="24"/>
          <w:lang w:val="fr-FR"/>
        </w:rPr>
        <w:t xml:space="preserve">razvija </w:t>
      </w:r>
      <w:r w:rsidR="00B241F7">
        <w:rPr>
          <w:rFonts w:eastAsiaTheme="minorEastAsia" w:cs="Times New Roman"/>
          <w:szCs w:val="24"/>
          <w:lang w:val="fr-FR"/>
        </w:rPr>
        <w:t>saobraćajna</w:t>
      </w:r>
      <w:r w:rsidR="00B241F7" w:rsidRPr="00095948">
        <w:rPr>
          <w:rFonts w:eastAsiaTheme="minorEastAsia" w:cs="Times New Roman"/>
          <w:szCs w:val="24"/>
          <w:lang w:val="fr-FR"/>
        </w:rPr>
        <w:t xml:space="preserve"> </w:t>
      </w:r>
      <w:r w:rsidR="001406E1" w:rsidRPr="00095948">
        <w:rPr>
          <w:rFonts w:eastAsiaTheme="minorEastAsia" w:cs="Times New Roman"/>
          <w:szCs w:val="24"/>
          <w:lang w:val="fr-FR"/>
        </w:rPr>
        <w:t xml:space="preserve">mreža, a </w:t>
      </w:r>
      <w:r w:rsidRPr="00095948">
        <w:rPr>
          <w:rFonts w:eastAsiaTheme="minorEastAsia" w:cs="Times New Roman"/>
          <w:szCs w:val="24"/>
          <w:lang w:val="fr-FR"/>
        </w:rPr>
        <w:t xml:space="preserve">Crna Gora </w:t>
      </w:r>
      <w:r w:rsidR="001406E1" w:rsidRPr="00095948">
        <w:rPr>
          <w:rFonts w:eastAsiaTheme="minorEastAsia" w:cs="Times New Roman"/>
          <w:szCs w:val="24"/>
          <w:lang w:val="fr-FR"/>
        </w:rPr>
        <w:t xml:space="preserve">se </w:t>
      </w:r>
      <w:r w:rsidRPr="00095948">
        <w:rPr>
          <w:rFonts w:eastAsiaTheme="minorEastAsia" w:cs="Times New Roman"/>
          <w:szCs w:val="24"/>
          <w:lang w:val="fr-FR"/>
        </w:rPr>
        <w:t>postepeno transformiše u neto izvoznika e</w:t>
      </w:r>
      <w:r w:rsidR="001406E1" w:rsidRPr="00095948">
        <w:rPr>
          <w:rFonts w:eastAsiaTheme="minorEastAsia" w:cs="Times New Roman"/>
          <w:szCs w:val="24"/>
          <w:lang w:val="fr-FR"/>
        </w:rPr>
        <w:t>lektrične energije</w:t>
      </w:r>
      <w:r w:rsidRPr="00095948">
        <w:rPr>
          <w:rFonts w:eastAsiaTheme="minorEastAsia" w:cs="Times New Roman"/>
          <w:szCs w:val="24"/>
          <w:lang w:val="fr-FR"/>
        </w:rPr>
        <w:t xml:space="preserve">. </w:t>
      </w:r>
      <w:r w:rsidR="00246951" w:rsidRPr="00095948">
        <w:rPr>
          <w:rFonts w:eastAsiaTheme="minorEastAsia" w:cs="Times New Roman"/>
          <w:szCs w:val="24"/>
          <w:lang w:val="fr-FR"/>
        </w:rPr>
        <w:t>Privatni sektor razvija f</w:t>
      </w:r>
      <w:r w:rsidR="001406E1" w:rsidRPr="00095948">
        <w:rPr>
          <w:rFonts w:eastAsiaTheme="minorEastAsia" w:cs="Times New Roman"/>
          <w:szCs w:val="24"/>
          <w:lang w:val="fr-FR"/>
        </w:rPr>
        <w:t>izičku infrastrukturu</w:t>
      </w:r>
      <w:r w:rsidR="0041628A" w:rsidRPr="00095948">
        <w:rPr>
          <w:rFonts w:eastAsiaTheme="minorEastAsia" w:cs="Times New Roman"/>
          <w:szCs w:val="24"/>
          <w:lang w:val="fr-FR"/>
        </w:rPr>
        <w:t xml:space="preserve"> </w:t>
      </w:r>
      <w:r w:rsidR="001271B5" w:rsidRPr="00095948">
        <w:rPr>
          <w:rFonts w:eastAsiaTheme="minorEastAsia" w:cs="Times New Roman"/>
          <w:szCs w:val="24"/>
          <w:lang w:val="fr-FR"/>
        </w:rPr>
        <w:t xml:space="preserve">za </w:t>
      </w:r>
      <w:r w:rsidRPr="00095948">
        <w:rPr>
          <w:rFonts w:eastAsiaTheme="minorEastAsia" w:cs="Times New Roman"/>
          <w:szCs w:val="24"/>
          <w:lang w:val="fr-FR"/>
        </w:rPr>
        <w:t>širokopojasne mreže</w:t>
      </w:r>
      <w:r w:rsidR="00246951" w:rsidRPr="00095948">
        <w:rPr>
          <w:rFonts w:eastAsiaTheme="minorEastAsia" w:cs="Times New Roman"/>
          <w:szCs w:val="24"/>
          <w:lang w:val="fr-FR"/>
        </w:rPr>
        <w:t>, a vlasti</w:t>
      </w:r>
      <w:r w:rsidR="001406E1" w:rsidRPr="00095948">
        <w:rPr>
          <w:rFonts w:eastAsiaTheme="minorEastAsia" w:cs="Times New Roman"/>
          <w:szCs w:val="24"/>
          <w:lang w:val="fr-FR"/>
        </w:rPr>
        <w:t xml:space="preserve"> su učvrstile</w:t>
      </w:r>
      <w:r w:rsidRPr="00095948">
        <w:rPr>
          <w:rFonts w:eastAsiaTheme="minorEastAsia" w:cs="Times New Roman"/>
          <w:szCs w:val="24"/>
          <w:lang w:val="fr-FR"/>
        </w:rPr>
        <w:t xml:space="preserve"> zakonodavni okvir. Međutim, </w:t>
      </w:r>
      <w:r w:rsidR="00572EB5" w:rsidRPr="00095948">
        <w:rPr>
          <w:rFonts w:eastAsiaTheme="minorEastAsia" w:cs="Times New Roman"/>
          <w:szCs w:val="24"/>
          <w:lang w:val="fr-FR"/>
        </w:rPr>
        <w:t>sama proizvodna baza privrede je slaba</w:t>
      </w:r>
      <w:r w:rsidR="001271B5" w:rsidRPr="00095948">
        <w:rPr>
          <w:rFonts w:eastAsiaTheme="minorEastAsia" w:cs="Times New Roman"/>
          <w:szCs w:val="24"/>
          <w:lang w:val="fr-FR"/>
        </w:rPr>
        <w:t>,</w:t>
      </w:r>
      <w:r w:rsidR="0041628A" w:rsidRPr="00095948">
        <w:rPr>
          <w:rFonts w:eastAsiaTheme="minorEastAsia" w:cs="Times New Roman"/>
          <w:szCs w:val="24"/>
          <w:lang w:val="fr-FR"/>
        </w:rPr>
        <w:t xml:space="preserve"> s</w:t>
      </w:r>
      <w:r w:rsidR="00572EB5" w:rsidRPr="00095948">
        <w:rPr>
          <w:rFonts w:eastAsiaTheme="minorEastAsia" w:cs="Times New Roman"/>
          <w:szCs w:val="24"/>
          <w:lang w:val="fr-FR"/>
        </w:rPr>
        <w:t xml:space="preserve"> poslovanjem koje proizvodi</w:t>
      </w:r>
      <w:r w:rsidR="0041628A" w:rsidRPr="00095948">
        <w:rPr>
          <w:rFonts w:eastAsiaTheme="minorEastAsia" w:cs="Times New Roman"/>
          <w:szCs w:val="24"/>
          <w:lang w:val="fr-FR"/>
        </w:rPr>
        <w:t xml:space="preserve"> malu dodat</w:t>
      </w:r>
      <w:r w:rsidR="00246951" w:rsidRPr="00095948">
        <w:rPr>
          <w:rFonts w:eastAsiaTheme="minorEastAsia" w:cs="Times New Roman"/>
          <w:szCs w:val="24"/>
          <w:lang w:val="fr-FR"/>
        </w:rPr>
        <w:t>u vr</w:t>
      </w:r>
      <w:r w:rsidR="007E6A97" w:rsidRPr="00095948">
        <w:rPr>
          <w:rFonts w:eastAsiaTheme="minorEastAsia" w:cs="Times New Roman"/>
          <w:szCs w:val="24"/>
          <w:lang w:val="fr-FR"/>
        </w:rPr>
        <w:t>ij</w:t>
      </w:r>
      <w:r w:rsidR="00246951" w:rsidRPr="00095948">
        <w:rPr>
          <w:rFonts w:eastAsiaTheme="minorEastAsia" w:cs="Times New Roman"/>
          <w:szCs w:val="24"/>
          <w:lang w:val="fr-FR"/>
        </w:rPr>
        <w:t>ednost</w:t>
      </w:r>
      <w:r w:rsidRPr="00095948">
        <w:rPr>
          <w:rFonts w:eastAsiaTheme="minorEastAsia" w:cs="Times New Roman"/>
          <w:szCs w:val="24"/>
          <w:lang w:val="fr-FR"/>
        </w:rPr>
        <w:t>,</w:t>
      </w:r>
      <w:r w:rsidR="00246951" w:rsidRPr="00095948">
        <w:rPr>
          <w:rFonts w:eastAsiaTheme="minorEastAsia" w:cs="Times New Roman"/>
          <w:szCs w:val="24"/>
          <w:lang w:val="fr-FR"/>
        </w:rPr>
        <w:t xml:space="preserve"> a</w:t>
      </w:r>
      <w:r w:rsidR="00572EB5" w:rsidRPr="00095948">
        <w:rPr>
          <w:rFonts w:eastAsiaTheme="minorEastAsia" w:cs="Times New Roman"/>
          <w:szCs w:val="24"/>
          <w:lang w:val="fr-FR"/>
        </w:rPr>
        <w:t xml:space="preserve"> ograničeno je i</w:t>
      </w:r>
      <w:r w:rsidR="00246951" w:rsidRPr="00095948">
        <w:rPr>
          <w:rFonts w:eastAsiaTheme="minorEastAsia" w:cs="Times New Roman"/>
          <w:szCs w:val="24"/>
          <w:lang w:val="fr-FR"/>
        </w:rPr>
        <w:t xml:space="preserve"> malim tržištem</w:t>
      </w:r>
      <w:r w:rsidRPr="00095948">
        <w:rPr>
          <w:rFonts w:eastAsiaTheme="minorEastAsia" w:cs="Times New Roman"/>
          <w:szCs w:val="24"/>
          <w:lang w:val="fr-FR"/>
        </w:rPr>
        <w:t xml:space="preserve"> i </w:t>
      </w:r>
      <w:r w:rsidR="00246951" w:rsidRPr="00095948">
        <w:rPr>
          <w:rFonts w:eastAsiaTheme="minorEastAsia" w:cs="Times New Roman"/>
          <w:szCs w:val="24"/>
          <w:lang w:val="fr-FR"/>
        </w:rPr>
        <w:t>slabom</w:t>
      </w:r>
      <w:r w:rsidRPr="00095948">
        <w:rPr>
          <w:rFonts w:eastAsiaTheme="minorEastAsia" w:cs="Times New Roman"/>
          <w:szCs w:val="24"/>
          <w:lang w:val="fr-FR"/>
        </w:rPr>
        <w:t xml:space="preserve"> tehnološkom </w:t>
      </w:r>
      <w:r w:rsidR="00246951" w:rsidRPr="00095948">
        <w:rPr>
          <w:rFonts w:eastAsiaTheme="minorEastAsia" w:cs="Times New Roman"/>
          <w:szCs w:val="24"/>
          <w:lang w:val="fr-FR"/>
        </w:rPr>
        <w:t>potkovanošću</w:t>
      </w:r>
      <w:r w:rsidRPr="00095948">
        <w:rPr>
          <w:rFonts w:eastAsiaTheme="minorEastAsia" w:cs="Times New Roman"/>
          <w:szCs w:val="24"/>
          <w:lang w:val="fr-FR"/>
        </w:rPr>
        <w:t xml:space="preserve"> većine lokalnih kompanija.</w:t>
      </w:r>
    </w:p>
    <w:p w:rsidR="001D2979" w:rsidRPr="00095948" w:rsidRDefault="0041628A" w:rsidP="00EC1790">
      <w:pPr>
        <w:spacing w:after="120" w:line="240" w:lineRule="auto"/>
        <w:jc w:val="both"/>
        <w:rPr>
          <w:rFonts w:cs="Times New Roman"/>
          <w:noProof/>
          <w:szCs w:val="24"/>
          <w:lang w:val="fr-FR"/>
        </w:rPr>
      </w:pPr>
      <w:r w:rsidRPr="00095948">
        <w:rPr>
          <w:rFonts w:cs="Times New Roman"/>
          <w:noProof/>
          <w:szCs w:val="24"/>
          <w:lang w:val="fr-FR"/>
        </w:rPr>
        <w:t>Kad</w:t>
      </w:r>
      <w:r w:rsidR="00246951" w:rsidRPr="00095948">
        <w:rPr>
          <w:rFonts w:cs="Times New Roman"/>
          <w:noProof/>
          <w:szCs w:val="24"/>
          <w:lang w:val="fr-FR"/>
        </w:rPr>
        <w:t xml:space="preserve"> je r</w:t>
      </w:r>
      <w:r w:rsidR="007E6A97" w:rsidRPr="00095948">
        <w:rPr>
          <w:rFonts w:cs="Times New Roman"/>
          <w:noProof/>
          <w:szCs w:val="24"/>
          <w:lang w:val="fr-FR"/>
        </w:rPr>
        <w:t>ij</w:t>
      </w:r>
      <w:r w:rsidR="00246951" w:rsidRPr="00095948">
        <w:rPr>
          <w:rFonts w:cs="Times New Roman"/>
          <w:noProof/>
          <w:szCs w:val="24"/>
          <w:lang w:val="fr-FR"/>
        </w:rPr>
        <w:t xml:space="preserve">eč o </w:t>
      </w:r>
      <w:r w:rsidR="007E6A97" w:rsidRPr="00095948">
        <w:rPr>
          <w:rFonts w:cs="Times New Roman"/>
          <w:b/>
          <w:noProof/>
          <w:szCs w:val="24"/>
          <w:lang w:val="fr-FR"/>
        </w:rPr>
        <w:t>dobrosusjed</w:t>
      </w:r>
      <w:r w:rsidR="000E63F4">
        <w:rPr>
          <w:rFonts w:cs="Times New Roman"/>
          <w:b/>
          <w:noProof/>
          <w:szCs w:val="24"/>
          <w:lang w:val="fr-FR"/>
        </w:rPr>
        <w:t>skim</w:t>
      </w:r>
      <w:r w:rsidR="00246951" w:rsidRPr="00095948">
        <w:rPr>
          <w:rFonts w:cs="Times New Roman"/>
          <w:b/>
          <w:noProof/>
          <w:szCs w:val="24"/>
          <w:lang w:val="fr-FR"/>
        </w:rPr>
        <w:t xml:space="preserve"> odnosima i regionalnoj saradnji</w:t>
      </w:r>
      <w:r w:rsidR="00246951" w:rsidRPr="00095948">
        <w:rPr>
          <w:rFonts w:cs="Times New Roman"/>
          <w:noProof/>
          <w:szCs w:val="24"/>
          <w:lang w:val="fr-FR"/>
        </w:rPr>
        <w:t>, Crna Gora je ostala konstruktivno posveć</w:t>
      </w:r>
      <w:r w:rsidRPr="00095948">
        <w:rPr>
          <w:rFonts w:cs="Times New Roman"/>
          <w:noProof/>
          <w:szCs w:val="24"/>
          <w:lang w:val="fr-FR"/>
        </w:rPr>
        <w:t>ena bilateralnim odnosima s</w:t>
      </w:r>
      <w:r w:rsidR="00246951" w:rsidRPr="00095948">
        <w:rPr>
          <w:rFonts w:cs="Times New Roman"/>
          <w:noProof/>
          <w:szCs w:val="24"/>
          <w:lang w:val="fr-FR"/>
        </w:rPr>
        <w:t xml:space="preserve"> drugim zemljama u procesu proširenja i sus</w:t>
      </w:r>
      <w:r w:rsidR="007E6A97" w:rsidRPr="00095948">
        <w:rPr>
          <w:rFonts w:cs="Times New Roman"/>
          <w:noProof/>
          <w:szCs w:val="24"/>
          <w:lang w:val="fr-FR"/>
        </w:rPr>
        <w:t>j</w:t>
      </w:r>
      <w:r w:rsidR="00246951" w:rsidRPr="00095948">
        <w:rPr>
          <w:rFonts w:cs="Times New Roman"/>
          <w:noProof/>
          <w:szCs w:val="24"/>
          <w:lang w:val="fr-FR"/>
        </w:rPr>
        <w:t>ednim d</w:t>
      </w:r>
      <w:r w:rsidR="00E10707" w:rsidRPr="00095948">
        <w:rPr>
          <w:rFonts w:cs="Times New Roman"/>
          <w:noProof/>
          <w:szCs w:val="24"/>
          <w:lang w:val="fr-FR"/>
        </w:rPr>
        <w:t>ržavama članicama Evropske unije</w:t>
      </w:r>
      <w:r w:rsidR="00572EB5" w:rsidRPr="00095948">
        <w:rPr>
          <w:rFonts w:cs="Times New Roman"/>
          <w:noProof/>
          <w:szCs w:val="24"/>
          <w:lang w:val="fr-FR"/>
        </w:rPr>
        <w:t>, iako</w:t>
      </w:r>
      <w:r w:rsidR="00246951" w:rsidRPr="00095948">
        <w:rPr>
          <w:rFonts w:cs="Times New Roman"/>
          <w:noProof/>
          <w:szCs w:val="24"/>
          <w:lang w:val="fr-FR"/>
        </w:rPr>
        <w:t xml:space="preserve"> su b</w:t>
      </w:r>
      <w:r w:rsidR="00E10707" w:rsidRPr="00095948">
        <w:rPr>
          <w:rFonts w:cs="Times New Roman"/>
          <w:noProof/>
          <w:szCs w:val="24"/>
          <w:lang w:val="fr-FR"/>
        </w:rPr>
        <w:t>ilat</w:t>
      </w:r>
      <w:r w:rsidR="007E6A97" w:rsidRPr="00095948">
        <w:rPr>
          <w:rFonts w:cs="Times New Roman"/>
          <w:noProof/>
          <w:szCs w:val="24"/>
          <w:lang w:val="fr-FR"/>
        </w:rPr>
        <w:t>eralni odnosi sa Srbijom obilj</w:t>
      </w:r>
      <w:r w:rsidR="00E10707" w:rsidRPr="00095948">
        <w:rPr>
          <w:rFonts w:cs="Times New Roman"/>
          <w:noProof/>
          <w:szCs w:val="24"/>
          <w:lang w:val="fr-FR"/>
        </w:rPr>
        <w:t>ež</w:t>
      </w:r>
      <w:r w:rsidR="00246951" w:rsidRPr="00095948">
        <w:rPr>
          <w:rFonts w:cs="Times New Roman"/>
          <w:noProof/>
          <w:szCs w:val="24"/>
          <w:lang w:val="fr-FR"/>
        </w:rPr>
        <w:t>e</w:t>
      </w:r>
      <w:r w:rsidR="00E10707" w:rsidRPr="00095948">
        <w:rPr>
          <w:rFonts w:cs="Times New Roman"/>
          <w:noProof/>
          <w:szCs w:val="24"/>
          <w:lang w:val="fr-FR"/>
        </w:rPr>
        <w:t>ni tenzijama</w:t>
      </w:r>
      <w:r w:rsidR="00246951" w:rsidRPr="00095948">
        <w:rPr>
          <w:rFonts w:cs="Times New Roman"/>
          <w:noProof/>
          <w:szCs w:val="24"/>
          <w:lang w:val="fr-FR"/>
        </w:rPr>
        <w:t>. Crna Gora je generalno aktivni učesnik u regionalnoj saradnji</w:t>
      </w:r>
      <w:r w:rsidR="006F16C6" w:rsidRPr="00095948">
        <w:rPr>
          <w:rFonts w:cs="Times New Roman"/>
          <w:noProof/>
          <w:szCs w:val="24"/>
          <w:lang w:val="fr-FR"/>
        </w:rPr>
        <w:t xml:space="preserve">. </w:t>
      </w:r>
    </w:p>
    <w:p w:rsidR="00246951" w:rsidRPr="00095948" w:rsidRDefault="00246951" w:rsidP="00EC1790">
      <w:pPr>
        <w:spacing w:after="120" w:line="240" w:lineRule="auto"/>
        <w:jc w:val="both"/>
        <w:rPr>
          <w:rFonts w:cs="Times New Roman"/>
          <w:noProof/>
          <w:szCs w:val="24"/>
          <w:lang w:val="fr-FR"/>
        </w:rPr>
      </w:pPr>
      <w:r w:rsidRPr="00095948">
        <w:rPr>
          <w:rFonts w:cs="Times New Roman"/>
          <w:noProof/>
          <w:szCs w:val="24"/>
          <w:lang w:val="fr-FR"/>
        </w:rPr>
        <w:t xml:space="preserve">Po pitanju </w:t>
      </w:r>
      <w:r w:rsidRPr="00095948">
        <w:rPr>
          <w:rFonts w:cs="Times New Roman"/>
          <w:b/>
          <w:noProof/>
          <w:szCs w:val="24"/>
          <w:lang w:val="fr-FR"/>
        </w:rPr>
        <w:t xml:space="preserve">sposobnosti </w:t>
      </w:r>
      <w:r w:rsidRPr="00095948">
        <w:rPr>
          <w:rFonts w:cs="Times New Roman"/>
          <w:noProof/>
          <w:szCs w:val="24"/>
          <w:lang w:val="fr-FR"/>
        </w:rPr>
        <w:t xml:space="preserve">Crne Gore </w:t>
      </w:r>
      <w:r w:rsidRPr="00095948">
        <w:rPr>
          <w:rFonts w:cs="Times New Roman"/>
          <w:b/>
          <w:noProof/>
          <w:szCs w:val="24"/>
          <w:lang w:val="fr-FR"/>
        </w:rPr>
        <w:t>da preuzme obaveze iz članstva</w:t>
      </w:r>
      <w:r w:rsidRPr="00095948">
        <w:rPr>
          <w:rFonts w:cs="Times New Roman"/>
          <w:noProof/>
          <w:szCs w:val="24"/>
          <w:lang w:val="fr-FR"/>
        </w:rPr>
        <w:t>, važan posao na usklađivanju i pripremi za i</w:t>
      </w:r>
      <w:r w:rsidR="00E10707" w:rsidRPr="00095948">
        <w:rPr>
          <w:rFonts w:cs="Times New Roman"/>
          <w:noProof/>
          <w:szCs w:val="24"/>
          <w:lang w:val="fr-FR"/>
        </w:rPr>
        <w:t>mplementaciju pravne tekovine Evropske unije</w:t>
      </w:r>
      <w:r w:rsidRPr="00095948">
        <w:rPr>
          <w:rFonts w:cs="Times New Roman"/>
          <w:noProof/>
          <w:szCs w:val="24"/>
          <w:lang w:val="fr-FR"/>
        </w:rPr>
        <w:t xml:space="preserve"> je obavljen u mnogim oblastima. Crna Gora je postigla dobar nivo spremnosti u oblastima kao što su pravo privrednih društava, pravo intelektualne svojine, energet</w:t>
      </w:r>
      <w:r w:rsidR="00CC7314" w:rsidRPr="00095948">
        <w:rPr>
          <w:rFonts w:cs="Times New Roman"/>
          <w:noProof/>
          <w:szCs w:val="24"/>
          <w:lang w:val="fr-FR"/>
        </w:rPr>
        <w:t xml:space="preserve">ika i </w:t>
      </w:r>
      <w:r w:rsidR="002D5C10">
        <w:rPr>
          <w:rFonts w:cs="Times New Roman"/>
          <w:noProof/>
          <w:szCs w:val="24"/>
          <w:lang w:val="fr-FR"/>
        </w:rPr>
        <w:t>vanjska</w:t>
      </w:r>
      <w:r w:rsidR="00CC7314" w:rsidRPr="00095948">
        <w:rPr>
          <w:rFonts w:cs="Times New Roman"/>
          <w:noProof/>
          <w:szCs w:val="24"/>
          <w:lang w:val="fr-FR"/>
        </w:rPr>
        <w:t>, bezb</w:t>
      </w:r>
      <w:r w:rsidR="007E6A97" w:rsidRPr="00095948">
        <w:rPr>
          <w:rFonts w:cs="Times New Roman"/>
          <w:noProof/>
          <w:szCs w:val="24"/>
          <w:lang w:val="fr-FR"/>
        </w:rPr>
        <w:t>j</w:t>
      </w:r>
      <w:r w:rsidRPr="00095948">
        <w:rPr>
          <w:rFonts w:cs="Times New Roman"/>
          <w:noProof/>
          <w:szCs w:val="24"/>
          <w:lang w:val="fr-FR"/>
        </w:rPr>
        <w:t>ednosna i odbrambena politika.</w:t>
      </w:r>
      <w:r w:rsidR="0041628A" w:rsidRPr="00095948">
        <w:rPr>
          <w:rFonts w:cs="Times New Roman"/>
          <w:noProof/>
          <w:szCs w:val="24"/>
          <w:lang w:val="fr-FR"/>
        </w:rPr>
        <w:t xml:space="preserve"> </w:t>
      </w:r>
      <w:r w:rsidR="00CC7314" w:rsidRPr="00095948">
        <w:rPr>
          <w:rFonts w:cs="Times New Roman"/>
          <w:noProof/>
          <w:szCs w:val="24"/>
          <w:lang w:val="fr-FR"/>
        </w:rPr>
        <w:t>Crna Gora je um</w:t>
      </w:r>
      <w:r w:rsidR="007E6A97" w:rsidRPr="00095948">
        <w:rPr>
          <w:rFonts w:cs="Times New Roman"/>
          <w:noProof/>
          <w:szCs w:val="24"/>
          <w:lang w:val="fr-FR"/>
        </w:rPr>
        <w:t>j</w:t>
      </w:r>
      <w:r w:rsidR="00CC7314" w:rsidRPr="00095948">
        <w:rPr>
          <w:rFonts w:cs="Times New Roman"/>
          <w:noProof/>
          <w:szCs w:val="24"/>
          <w:lang w:val="fr-FR"/>
        </w:rPr>
        <w:t xml:space="preserve">ereno spremna u mnogim poglavljima, </w:t>
      </w:r>
      <w:r w:rsidR="00FD5BD6" w:rsidRPr="00095948">
        <w:rPr>
          <w:rFonts w:cs="Times New Roman"/>
          <w:noProof/>
          <w:szCs w:val="24"/>
          <w:lang w:val="fr-FR"/>
        </w:rPr>
        <w:t>kao što su slobodno kretanje robe</w:t>
      </w:r>
      <w:r w:rsidR="00CC7314" w:rsidRPr="00095948">
        <w:rPr>
          <w:rFonts w:cs="Times New Roman"/>
          <w:noProof/>
          <w:szCs w:val="24"/>
          <w:lang w:val="fr-FR"/>
        </w:rPr>
        <w:t xml:space="preserve">, poljoprivreda i ruralni razvoj, </w:t>
      </w:r>
      <w:r w:rsidR="00BA0EFA" w:rsidRPr="00095948">
        <w:rPr>
          <w:rFonts w:cs="Times New Roman"/>
          <w:noProof/>
          <w:szCs w:val="24"/>
          <w:lang w:val="fr-FR"/>
        </w:rPr>
        <w:t>bezb</w:t>
      </w:r>
      <w:r w:rsidR="007E6A97" w:rsidRPr="00095948">
        <w:rPr>
          <w:rFonts w:cs="Times New Roman"/>
          <w:noProof/>
          <w:szCs w:val="24"/>
          <w:lang w:val="fr-FR"/>
        </w:rPr>
        <w:t>j</w:t>
      </w:r>
      <w:r w:rsidR="00BA0EFA" w:rsidRPr="00095948">
        <w:rPr>
          <w:rFonts w:cs="Times New Roman"/>
          <w:noProof/>
          <w:szCs w:val="24"/>
          <w:lang w:val="fr-FR"/>
        </w:rPr>
        <w:t>ednost</w:t>
      </w:r>
      <w:r w:rsidR="00CC7314" w:rsidRPr="00095948">
        <w:rPr>
          <w:rFonts w:cs="Times New Roman"/>
          <w:noProof/>
          <w:szCs w:val="24"/>
          <w:lang w:val="fr-FR"/>
        </w:rPr>
        <w:t xml:space="preserve"> hrane, veterinarska i fitosanitarna politika.</w:t>
      </w:r>
      <w:r w:rsidR="0041628A" w:rsidRPr="00095948">
        <w:rPr>
          <w:rFonts w:cs="Times New Roman"/>
          <w:noProof/>
          <w:szCs w:val="24"/>
          <w:lang w:val="fr-FR"/>
        </w:rPr>
        <w:t xml:space="preserve"> </w:t>
      </w:r>
      <w:r w:rsidR="00CC7314" w:rsidRPr="00095948">
        <w:rPr>
          <w:rFonts w:cs="Times New Roman"/>
          <w:noProof/>
          <w:szCs w:val="24"/>
          <w:lang w:val="fr-FR"/>
        </w:rPr>
        <w:t>Crna Gora je postigla određeni nivo spremnosti u oblastima kao što su životna sredina i klimatske prom</w:t>
      </w:r>
      <w:r w:rsidR="007E6A97" w:rsidRPr="00095948">
        <w:rPr>
          <w:rFonts w:cs="Times New Roman"/>
          <w:noProof/>
          <w:szCs w:val="24"/>
          <w:lang w:val="fr-FR"/>
        </w:rPr>
        <w:t>j</w:t>
      </w:r>
      <w:r w:rsidR="00CC7314" w:rsidRPr="00095948">
        <w:rPr>
          <w:rFonts w:cs="Times New Roman"/>
          <w:noProof/>
          <w:szCs w:val="24"/>
          <w:lang w:val="fr-FR"/>
        </w:rPr>
        <w:t>ene, te socijalna politika i zapošljavanje.</w:t>
      </w:r>
      <w:r w:rsidR="0041628A" w:rsidRPr="00095948">
        <w:rPr>
          <w:rFonts w:cs="Times New Roman"/>
          <w:noProof/>
          <w:szCs w:val="24"/>
          <w:lang w:val="fr-FR"/>
        </w:rPr>
        <w:t xml:space="preserve"> </w:t>
      </w:r>
      <w:r w:rsidR="00CC7314" w:rsidRPr="00095948">
        <w:rPr>
          <w:rFonts w:cs="Times New Roman"/>
          <w:noProof/>
          <w:szCs w:val="24"/>
          <w:lang w:val="fr-FR"/>
        </w:rPr>
        <w:t xml:space="preserve">Dobar je napredak ostvaren u oblastima socijalne politike i zapošljavanja, finansijskih usluga, poljoprivrede i ruralnog razvoja, </w:t>
      </w:r>
      <w:r w:rsidR="00BA0EFA" w:rsidRPr="00095948">
        <w:rPr>
          <w:rFonts w:cs="Times New Roman"/>
          <w:noProof/>
          <w:szCs w:val="24"/>
          <w:lang w:val="fr-FR"/>
        </w:rPr>
        <w:t>bezb</w:t>
      </w:r>
      <w:r w:rsidR="007E6A97" w:rsidRPr="00095948">
        <w:rPr>
          <w:rFonts w:cs="Times New Roman"/>
          <w:noProof/>
          <w:szCs w:val="24"/>
          <w:lang w:val="fr-FR"/>
        </w:rPr>
        <w:t>j</w:t>
      </w:r>
      <w:r w:rsidR="00BA0EFA" w:rsidRPr="00095948">
        <w:rPr>
          <w:rFonts w:cs="Times New Roman"/>
          <w:noProof/>
          <w:szCs w:val="24"/>
          <w:lang w:val="fr-FR"/>
        </w:rPr>
        <w:t>ednosti</w:t>
      </w:r>
      <w:r w:rsidR="00CC7314" w:rsidRPr="00095948">
        <w:rPr>
          <w:rFonts w:cs="Times New Roman"/>
          <w:noProof/>
          <w:szCs w:val="24"/>
          <w:lang w:val="fr-FR"/>
        </w:rPr>
        <w:t xml:space="preserve"> hrane, veterinarske i fitosanitarne politike i nauke i istraživanja.</w:t>
      </w:r>
    </w:p>
    <w:p w:rsidR="00CC7314" w:rsidRPr="00095948" w:rsidRDefault="00CC7314" w:rsidP="00EC1790">
      <w:pPr>
        <w:spacing w:after="120" w:line="240" w:lineRule="auto"/>
        <w:jc w:val="both"/>
        <w:rPr>
          <w:rFonts w:cs="Times New Roman"/>
          <w:noProof/>
          <w:szCs w:val="24"/>
          <w:lang w:val="fr-FR"/>
        </w:rPr>
      </w:pPr>
      <w:r w:rsidRPr="00095948">
        <w:rPr>
          <w:rFonts w:cs="Times New Roman"/>
          <w:noProof/>
          <w:szCs w:val="24"/>
          <w:lang w:val="fr-FR"/>
        </w:rPr>
        <w:t xml:space="preserve">U predstojećem periodu </w:t>
      </w:r>
      <w:r w:rsidR="00FD5BD6" w:rsidRPr="00095948">
        <w:rPr>
          <w:rFonts w:cs="Times New Roman"/>
          <w:noProof/>
          <w:szCs w:val="24"/>
          <w:lang w:val="fr-FR"/>
        </w:rPr>
        <w:t xml:space="preserve">potrebno je da se </w:t>
      </w:r>
      <w:r w:rsidRPr="00095948">
        <w:rPr>
          <w:rFonts w:cs="Times New Roman"/>
          <w:noProof/>
          <w:szCs w:val="24"/>
          <w:lang w:val="fr-FR"/>
        </w:rPr>
        <w:t xml:space="preserve">Crna Gora </w:t>
      </w:r>
      <w:r w:rsidR="00FD5BD6" w:rsidRPr="00095948">
        <w:rPr>
          <w:rFonts w:cs="Times New Roman"/>
          <w:noProof/>
          <w:szCs w:val="24"/>
          <w:lang w:val="fr-FR"/>
        </w:rPr>
        <w:t>posebno</w:t>
      </w:r>
      <w:r w:rsidRPr="00095948">
        <w:rPr>
          <w:rFonts w:cs="Times New Roman"/>
          <w:noProof/>
          <w:szCs w:val="24"/>
          <w:lang w:val="fr-FR"/>
        </w:rPr>
        <w:t xml:space="preserve"> fokusira na politiku zaštite konkurencije, ekonomsku i monetarnu politiku, statistiku i finansijsku kontrolu, a naročito na funkcionisanje pravosuđa i slobodu izražavanja. Jačanje administrativnih ka</w:t>
      </w:r>
      <w:r w:rsidR="00FD5BD6" w:rsidRPr="00095948">
        <w:rPr>
          <w:rFonts w:cs="Times New Roman"/>
          <w:noProof/>
          <w:szCs w:val="24"/>
          <w:lang w:val="fr-FR"/>
        </w:rPr>
        <w:t>paciteta za obezb</w:t>
      </w:r>
      <w:r w:rsidR="007E6A97" w:rsidRPr="00095948">
        <w:rPr>
          <w:rFonts w:cs="Times New Roman"/>
          <w:noProof/>
          <w:szCs w:val="24"/>
          <w:lang w:val="fr-FR"/>
        </w:rPr>
        <w:t>j</w:t>
      </w:r>
      <w:r w:rsidRPr="00095948">
        <w:rPr>
          <w:rFonts w:cs="Times New Roman"/>
          <w:noProof/>
          <w:szCs w:val="24"/>
          <w:lang w:val="fr-FR"/>
        </w:rPr>
        <w:t>eđivanje prim</w:t>
      </w:r>
      <w:r w:rsidR="007E6A97" w:rsidRPr="00095948">
        <w:rPr>
          <w:rFonts w:cs="Times New Roman"/>
          <w:noProof/>
          <w:szCs w:val="24"/>
          <w:lang w:val="fr-FR"/>
        </w:rPr>
        <w:t>j</w:t>
      </w:r>
      <w:r w:rsidR="007163A4" w:rsidRPr="00095948">
        <w:rPr>
          <w:rFonts w:cs="Times New Roman"/>
          <w:noProof/>
          <w:szCs w:val="24"/>
          <w:lang w:val="fr-FR"/>
        </w:rPr>
        <w:t>ene pravne tekovine Evropske unije</w:t>
      </w:r>
      <w:r w:rsidRPr="00095948">
        <w:rPr>
          <w:rFonts w:cs="Times New Roman"/>
          <w:noProof/>
          <w:szCs w:val="24"/>
          <w:lang w:val="fr-FR"/>
        </w:rPr>
        <w:t xml:space="preserve"> ostaje važan izazov za Crnu Goru. Crna Gora nastavlja da se usklađuje sa zajedničkim stavovima i deklaracijama </w:t>
      </w:r>
      <w:r w:rsidR="002D5C10">
        <w:rPr>
          <w:rFonts w:cs="Times New Roman"/>
          <w:noProof/>
          <w:szCs w:val="24"/>
          <w:lang w:val="fr-FR"/>
        </w:rPr>
        <w:t>vanjske</w:t>
      </w:r>
      <w:r w:rsidRPr="00095948">
        <w:rPr>
          <w:rFonts w:cs="Times New Roman"/>
          <w:noProof/>
          <w:szCs w:val="24"/>
          <w:lang w:val="fr-FR"/>
        </w:rPr>
        <w:t xml:space="preserve"> i bezb</w:t>
      </w:r>
      <w:r w:rsidR="007E6A97" w:rsidRPr="00095948">
        <w:rPr>
          <w:rFonts w:cs="Times New Roman"/>
          <w:noProof/>
          <w:szCs w:val="24"/>
          <w:lang w:val="fr-FR"/>
        </w:rPr>
        <w:t>j</w:t>
      </w:r>
      <w:r w:rsidRPr="00095948">
        <w:rPr>
          <w:rFonts w:cs="Times New Roman"/>
          <w:noProof/>
          <w:szCs w:val="24"/>
          <w:lang w:val="fr-FR"/>
        </w:rPr>
        <w:t>ednosne politike Evropske unije.</w:t>
      </w:r>
    </w:p>
    <w:bookmarkEnd w:id="7"/>
    <w:p w:rsidR="001D2979" w:rsidRPr="00095948" w:rsidRDefault="00CC7314" w:rsidP="00EC1790">
      <w:pPr>
        <w:spacing w:after="120" w:line="240" w:lineRule="auto"/>
        <w:jc w:val="both"/>
        <w:rPr>
          <w:rFonts w:eastAsia="Times New Roman" w:cs="Times New Roman"/>
          <w:szCs w:val="24"/>
          <w:lang w:val="fr-FR"/>
        </w:rPr>
      </w:pPr>
      <w:r w:rsidRPr="00095948">
        <w:rPr>
          <w:rFonts w:eastAsia="Calibri" w:cs="Times New Roman"/>
          <w:noProof/>
          <w:szCs w:val="24"/>
          <w:lang w:val="fr-FR"/>
        </w:rPr>
        <w:t xml:space="preserve">U oblasti </w:t>
      </w:r>
      <w:r w:rsidRPr="00095948">
        <w:rPr>
          <w:rFonts w:eastAsia="Calibri" w:cs="Times New Roman"/>
          <w:b/>
          <w:noProof/>
          <w:szCs w:val="24"/>
          <w:lang w:val="fr-FR"/>
        </w:rPr>
        <w:t>migracija</w:t>
      </w:r>
      <w:r w:rsidR="0041628A" w:rsidRPr="00095948">
        <w:rPr>
          <w:rFonts w:eastAsia="Calibri" w:cs="Times New Roman"/>
          <w:noProof/>
          <w:szCs w:val="24"/>
          <w:lang w:val="fr-FR"/>
        </w:rPr>
        <w:t>, porast nezakonitih migranata</w:t>
      </w:r>
      <w:r w:rsidRPr="00095948">
        <w:rPr>
          <w:rFonts w:eastAsia="Calibri" w:cs="Times New Roman"/>
          <w:noProof/>
          <w:szCs w:val="24"/>
          <w:lang w:val="fr-FR"/>
        </w:rPr>
        <w:t xml:space="preserve"> u 2018. godini potvrđen je i u 2019. </w:t>
      </w:r>
      <w:r w:rsidR="002E3C30" w:rsidRPr="00095948">
        <w:rPr>
          <w:rFonts w:eastAsia="Times New Roman" w:cs="Times New Roman"/>
          <w:szCs w:val="24"/>
          <w:lang w:val="fr-FR"/>
        </w:rPr>
        <w:t xml:space="preserve">Godine 2019. privedeno je </w:t>
      </w:r>
      <w:r w:rsidR="006F16C6" w:rsidRPr="00095948">
        <w:rPr>
          <w:rFonts w:eastAsia="Times New Roman" w:cs="Times New Roman"/>
          <w:szCs w:val="24"/>
          <w:lang w:val="fr-FR"/>
        </w:rPr>
        <w:t>7</w:t>
      </w:r>
      <w:r w:rsidR="00F0640F" w:rsidRPr="00095948">
        <w:rPr>
          <w:rFonts w:eastAsia="Times New Roman" w:cs="Times New Roman"/>
          <w:szCs w:val="24"/>
          <w:lang w:val="fr-FR"/>
        </w:rPr>
        <w:t>.</w:t>
      </w:r>
      <w:r w:rsidR="002E3C30" w:rsidRPr="00095948">
        <w:rPr>
          <w:rFonts w:eastAsia="Times New Roman" w:cs="Times New Roman"/>
          <w:szCs w:val="24"/>
          <w:lang w:val="fr-FR"/>
        </w:rPr>
        <w:t>978 nezakonitih migranata, što u odnosu na 2018. godinu predstavlja porast od</w:t>
      </w:r>
      <w:r w:rsidR="006F16C6" w:rsidRPr="00095948">
        <w:rPr>
          <w:rFonts w:eastAsia="Times New Roman" w:cs="Times New Roman"/>
          <w:szCs w:val="24"/>
          <w:lang w:val="fr-FR"/>
        </w:rPr>
        <w:t xml:space="preserve"> 6</w:t>
      </w:r>
      <w:r w:rsidR="00D95D37" w:rsidRPr="00095948">
        <w:rPr>
          <w:rFonts w:eastAsia="Times New Roman" w:cs="Times New Roman"/>
          <w:szCs w:val="24"/>
          <w:lang w:val="fr-FR"/>
        </w:rPr>
        <w:t>0</w:t>
      </w:r>
      <w:r w:rsidR="006F16C6" w:rsidRPr="00095948">
        <w:rPr>
          <w:rFonts w:eastAsia="Times New Roman" w:cs="Times New Roman"/>
          <w:szCs w:val="24"/>
          <w:lang w:val="fr-FR"/>
        </w:rPr>
        <w:t xml:space="preserve">%. </w:t>
      </w:r>
      <w:r w:rsidR="002E3C30" w:rsidRPr="00095948">
        <w:rPr>
          <w:rFonts w:eastAsia="Times New Roman" w:cs="Times New Roman"/>
          <w:szCs w:val="24"/>
          <w:lang w:val="fr-FR"/>
        </w:rPr>
        <w:t>Svi privedeni migranti izrazili su nam</w:t>
      </w:r>
      <w:r w:rsidR="00F0640F" w:rsidRPr="00095948">
        <w:rPr>
          <w:rFonts w:eastAsia="Times New Roman" w:cs="Times New Roman"/>
          <w:szCs w:val="24"/>
          <w:lang w:val="fr-FR"/>
        </w:rPr>
        <w:t>j</w:t>
      </w:r>
      <w:r w:rsidR="002E3C30" w:rsidRPr="00095948">
        <w:rPr>
          <w:rFonts w:eastAsia="Times New Roman" w:cs="Times New Roman"/>
          <w:szCs w:val="24"/>
          <w:lang w:val="fr-FR"/>
        </w:rPr>
        <w:t>eru da zatraže azil, te se tako n</w:t>
      </w:r>
      <w:r w:rsidR="00FD5BD6" w:rsidRPr="00095948">
        <w:rPr>
          <w:rFonts w:eastAsia="Times New Roman" w:cs="Times New Roman"/>
          <w:szCs w:val="24"/>
          <w:lang w:val="fr-FR"/>
        </w:rPr>
        <w:t>a</w:t>
      </w:r>
      <w:r w:rsidR="002E3C30" w:rsidRPr="00095948">
        <w:rPr>
          <w:rFonts w:eastAsia="Times New Roman" w:cs="Times New Roman"/>
          <w:szCs w:val="24"/>
          <w:lang w:val="fr-FR"/>
        </w:rPr>
        <w:t>stavio pritisak na prihvatne objekte u zemlji. Crnogorske vlasti spr</w:t>
      </w:r>
      <w:r w:rsidR="00F0640F" w:rsidRPr="00095948">
        <w:rPr>
          <w:rFonts w:eastAsia="Times New Roman" w:cs="Times New Roman"/>
          <w:szCs w:val="24"/>
          <w:lang w:val="fr-FR"/>
        </w:rPr>
        <w:t>ij</w:t>
      </w:r>
      <w:r w:rsidR="00FD5BD6" w:rsidRPr="00095948">
        <w:rPr>
          <w:rFonts w:eastAsia="Times New Roman" w:cs="Times New Roman"/>
          <w:szCs w:val="24"/>
          <w:lang w:val="fr-FR"/>
        </w:rPr>
        <w:t>ečile su 516 ilegalnih ulaza</w:t>
      </w:r>
      <w:r w:rsidR="002E3C30" w:rsidRPr="00095948">
        <w:rPr>
          <w:rFonts w:eastAsia="Times New Roman" w:cs="Times New Roman"/>
          <w:szCs w:val="24"/>
          <w:lang w:val="fr-FR"/>
        </w:rPr>
        <w:t xml:space="preserve">ka </w:t>
      </w:r>
      <w:r w:rsidR="00FD5BD6" w:rsidRPr="00095948">
        <w:rPr>
          <w:rFonts w:eastAsia="Times New Roman" w:cs="Times New Roman"/>
          <w:szCs w:val="24"/>
          <w:lang w:val="fr-FR"/>
        </w:rPr>
        <w:t>u zemlju i 1514 ilegalnih izlazaka</w:t>
      </w:r>
      <w:r w:rsidR="002E3C30" w:rsidRPr="00095948">
        <w:rPr>
          <w:rFonts w:eastAsia="Times New Roman" w:cs="Times New Roman"/>
          <w:szCs w:val="24"/>
          <w:lang w:val="fr-FR"/>
        </w:rPr>
        <w:t xml:space="preserve"> iz zemlje. Specijalno </w:t>
      </w:r>
      <w:r w:rsidR="000E63F4">
        <w:rPr>
          <w:rFonts w:eastAsia="Times New Roman" w:cs="Times New Roman"/>
          <w:szCs w:val="24"/>
          <w:lang w:val="fr-FR"/>
        </w:rPr>
        <w:t xml:space="preserve">državno </w:t>
      </w:r>
      <w:r w:rsidR="002E3C30" w:rsidRPr="00095948">
        <w:rPr>
          <w:rFonts w:eastAsia="Times New Roman" w:cs="Times New Roman"/>
          <w:szCs w:val="24"/>
          <w:lang w:val="fr-FR"/>
        </w:rPr>
        <w:t>tužilaštvo sprovelo je tri istrage o krijumčarenju migranata, u kojima je učestvovalo više od 40 ljudi.</w:t>
      </w:r>
      <w:r w:rsidR="0041628A" w:rsidRPr="00095948">
        <w:rPr>
          <w:rFonts w:eastAsia="Times New Roman" w:cs="Times New Roman"/>
          <w:szCs w:val="24"/>
          <w:lang w:val="fr-FR"/>
        </w:rPr>
        <w:t xml:space="preserve"> </w:t>
      </w:r>
      <w:r w:rsidR="002E3C30" w:rsidRPr="00095948">
        <w:rPr>
          <w:rFonts w:eastAsia="Times New Roman" w:cs="Times New Roman"/>
          <w:szCs w:val="24"/>
          <w:lang w:val="fr-FR"/>
        </w:rPr>
        <w:t>Sporazum</w:t>
      </w:r>
      <w:r w:rsidR="007163A4" w:rsidRPr="00095948">
        <w:rPr>
          <w:rFonts w:eastAsia="Times New Roman" w:cs="Times New Roman"/>
          <w:szCs w:val="24"/>
          <w:lang w:val="fr-FR"/>
        </w:rPr>
        <w:t xml:space="preserve"> o statusu između Crne Gore i Evropske unije</w:t>
      </w:r>
      <w:r w:rsidR="002E3C30" w:rsidRPr="00095948">
        <w:rPr>
          <w:rFonts w:eastAsia="Times New Roman" w:cs="Times New Roman"/>
          <w:szCs w:val="24"/>
          <w:lang w:val="fr-FR"/>
        </w:rPr>
        <w:t xml:space="preserve"> o </w:t>
      </w:r>
      <w:r w:rsidR="000E63F4">
        <w:rPr>
          <w:rFonts w:eastAsia="Times New Roman" w:cs="Times New Roman"/>
          <w:szCs w:val="24"/>
          <w:lang w:val="fr-FR"/>
        </w:rPr>
        <w:t>aktivnostima koje sprovodi Evropska agencija za graničnu i obalsku stražu</w:t>
      </w:r>
      <w:r w:rsidR="002E3C30" w:rsidRPr="00095948">
        <w:rPr>
          <w:rFonts w:eastAsia="Calibri" w:cs="Times New Roman"/>
          <w:bCs/>
          <w:noProof/>
          <w:szCs w:val="24"/>
          <w:lang w:val="fr-FR"/>
        </w:rPr>
        <w:t>, potpisan oktobra</w:t>
      </w:r>
      <w:r w:rsidR="00F72254" w:rsidRPr="00095948">
        <w:rPr>
          <w:rFonts w:eastAsia="Calibri" w:cs="Times New Roman"/>
          <w:bCs/>
          <w:noProof/>
          <w:szCs w:val="24"/>
          <w:lang w:val="fr-FR"/>
        </w:rPr>
        <w:t xml:space="preserve"> 2019</w:t>
      </w:r>
      <w:r w:rsidR="002E3C30" w:rsidRPr="00095948">
        <w:rPr>
          <w:rFonts w:eastAsia="Calibri" w:cs="Times New Roman"/>
          <w:bCs/>
          <w:noProof/>
          <w:szCs w:val="24"/>
          <w:lang w:val="fr-FR"/>
        </w:rPr>
        <w:t>. godine</w:t>
      </w:r>
      <w:r w:rsidR="00F72254" w:rsidRPr="00095948">
        <w:rPr>
          <w:rFonts w:eastAsia="Calibri" w:cs="Times New Roman"/>
          <w:bCs/>
          <w:noProof/>
          <w:szCs w:val="24"/>
          <w:lang w:val="fr-FR"/>
        </w:rPr>
        <w:t xml:space="preserve">, </w:t>
      </w:r>
      <w:r w:rsidR="002E3C30" w:rsidRPr="00095948">
        <w:rPr>
          <w:rFonts w:eastAsia="Calibri" w:cs="Times New Roman"/>
          <w:bCs/>
          <w:noProof/>
          <w:szCs w:val="24"/>
          <w:lang w:val="fr-FR"/>
        </w:rPr>
        <w:t>stupio je na snagu</w:t>
      </w:r>
      <w:r w:rsidR="00F72254" w:rsidRPr="00095948">
        <w:rPr>
          <w:rFonts w:eastAsia="Calibri" w:cs="Times New Roman"/>
          <w:bCs/>
          <w:noProof/>
          <w:szCs w:val="24"/>
          <w:lang w:val="fr-FR"/>
        </w:rPr>
        <w:t xml:space="preserve"> 1</w:t>
      </w:r>
      <w:r w:rsidR="002E3C30" w:rsidRPr="00095948">
        <w:rPr>
          <w:rFonts w:eastAsia="Calibri" w:cs="Times New Roman"/>
          <w:bCs/>
          <w:noProof/>
          <w:szCs w:val="24"/>
          <w:lang w:val="fr-FR"/>
        </w:rPr>
        <w:t>. jula</w:t>
      </w:r>
      <w:r w:rsidR="00F72254" w:rsidRPr="00095948">
        <w:rPr>
          <w:rFonts w:eastAsia="Calibri" w:cs="Times New Roman"/>
          <w:bCs/>
          <w:noProof/>
          <w:szCs w:val="24"/>
          <w:lang w:val="fr-FR"/>
        </w:rPr>
        <w:t xml:space="preserve"> 2020.</w:t>
      </w:r>
      <w:r w:rsidR="002E3C30" w:rsidRPr="00095948">
        <w:rPr>
          <w:rFonts w:eastAsia="Calibri" w:cs="Times New Roman"/>
          <w:bCs/>
          <w:noProof/>
          <w:szCs w:val="24"/>
          <w:lang w:val="fr-FR"/>
        </w:rPr>
        <w:t xml:space="preserve"> godine.</w:t>
      </w:r>
      <w:r w:rsidR="0041628A" w:rsidRPr="00095948">
        <w:rPr>
          <w:rFonts w:eastAsia="Calibri" w:cs="Times New Roman"/>
          <w:bCs/>
          <w:noProof/>
          <w:szCs w:val="24"/>
          <w:lang w:val="fr-FR"/>
        </w:rPr>
        <w:t xml:space="preserve"> </w:t>
      </w:r>
      <w:r w:rsidR="002E3C30" w:rsidRPr="00095948">
        <w:rPr>
          <w:rFonts w:eastAsia="Calibri" w:cs="Times New Roman"/>
          <w:bCs/>
          <w:noProof/>
          <w:szCs w:val="24"/>
          <w:lang w:val="fr-FR"/>
        </w:rPr>
        <w:t>Sprovođenje prve zajedničke operacije po Sporazumu započeto je 15. jula. Crna Gora mora da nastavi</w:t>
      </w:r>
      <w:r w:rsidR="001E56BE" w:rsidRPr="00095948">
        <w:rPr>
          <w:rFonts w:eastAsia="Calibri" w:cs="Times New Roman"/>
          <w:bCs/>
          <w:noProof/>
          <w:szCs w:val="24"/>
          <w:lang w:val="fr-FR"/>
        </w:rPr>
        <w:t xml:space="preserve"> da ulaže napore na r</w:t>
      </w:r>
      <w:r w:rsidR="00F0640F" w:rsidRPr="00095948">
        <w:rPr>
          <w:rFonts w:eastAsia="Calibri" w:cs="Times New Roman"/>
          <w:bCs/>
          <w:noProof/>
          <w:szCs w:val="24"/>
          <w:lang w:val="fr-FR"/>
        </w:rPr>
        <w:t>j</w:t>
      </w:r>
      <w:r w:rsidR="001E56BE" w:rsidRPr="00095948">
        <w:rPr>
          <w:rFonts w:eastAsia="Calibri" w:cs="Times New Roman"/>
          <w:bCs/>
          <w:noProof/>
          <w:szCs w:val="24"/>
          <w:lang w:val="fr-FR"/>
        </w:rPr>
        <w:t>ešavanju</w:t>
      </w:r>
      <w:r w:rsidR="002E3C30" w:rsidRPr="00095948">
        <w:rPr>
          <w:rFonts w:eastAsia="Calibri" w:cs="Times New Roman"/>
          <w:bCs/>
          <w:noProof/>
          <w:szCs w:val="24"/>
          <w:lang w:val="fr-FR"/>
        </w:rPr>
        <w:t xml:space="preserve"> migra</w:t>
      </w:r>
      <w:r w:rsidR="000E63F4">
        <w:rPr>
          <w:rFonts w:eastAsia="Calibri" w:cs="Times New Roman"/>
          <w:bCs/>
          <w:noProof/>
          <w:szCs w:val="24"/>
          <w:lang w:val="fr-FR"/>
        </w:rPr>
        <w:t>cionog</w:t>
      </w:r>
      <w:r w:rsidR="001E56BE" w:rsidRPr="00095948">
        <w:rPr>
          <w:rFonts w:eastAsia="Calibri" w:cs="Times New Roman"/>
          <w:bCs/>
          <w:noProof/>
          <w:szCs w:val="24"/>
          <w:lang w:val="fr-FR"/>
        </w:rPr>
        <w:t xml:space="preserve"> pritiska</w:t>
      </w:r>
      <w:r w:rsidR="002E3C30" w:rsidRPr="00095948">
        <w:rPr>
          <w:rFonts w:eastAsia="Calibri" w:cs="Times New Roman"/>
          <w:bCs/>
          <w:noProof/>
          <w:szCs w:val="24"/>
          <w:lang w:val="fr-FR"/>
        </w:rPr>
        <w:t xml:space="preserve"> kroz dalji razvoj međunarodne saradnje</w:t>
      </w:r>
      <w:r w:rsidR="007163A4" w:rsidRPr="00095948">
        <w:rPr>
          <w:rFonts w:eastAsia="Calibri" w:cs="Times New Roman"/>
          <w:bCs/>
          <w:noProof/>
          <w:szCs w:val="24"/>
          <w:lang w:val="fr-FR"/>
        </w:rPr>
        <w:t xml:space="preserve"> u oblasti readmisije, podizanje</w:t>
      </w:r>
      <w:r w:rsidR="001E56BE" w:rsidRPr="00095948">
        <w:rPr>
          <w:rFonts w:eastAsia="Calibri" w:cs="Times New Roman"/>
          <w:bCs/>
          <w:noProof/>
          <w:szCs w:val="24"/>
          <w:lang w:val="fr-FR"/>
        </w:rPr>
        <w:t xml:space="preserve"> kapac</w:t>
      </w:r>
      <w:r w:rsidR="00F0640F" w:rsidRPr="00095948">
        <w:rPr>
          <w:rFonts w:eastAsia="Calibri" w:cs="Times New Roman"/>
          <w:bCs/>
          <w:noProof/>
          <w:szCs w:val="24"/>
          <w:lang w:val="fr-FR"/>
        </w:rPr>
        <w:t>iteta za krivično procesuiranje</w:t>
      </w:r>
      <w:r w:rsidR="0041628A" w:rsidRPr="00095948">
        <w:rPr>
          <w:rFonts w:eastAsia="Calibri" w:cs="Times New Roman"/>
          <w:bCs/>
          <w:noProof/>
          <w:szCs w:val="24"/>
          <w:lang w:val="fr-FR"/>
        </w:rPr>
        <w:t xml:space="preserve"> </w:t>
      </w:r>
      <w:r w:rsidR="001E56BE" w:rsidRPr="00095948">
        <w:rPr>
          <w:rFonts w:eastAsia="Calibri" w:cs="Times New Roman"/>
          <w:bCs/>
          <w:noProof/>
          <w:szCs w:val="24"/>
          <w:lang w:val="fr-FR"/>
        </w:rPr>
        <w:t xml:space="preserve">krijumčarskih </w:t>
      </w:r>
      <w:r w:rsidR="00AC74F6" w:rsidRPr="00095948">
        <w:rPr>
          <w:rFonts w:eastAsia="Calibri" w:cs="Times New Roman"/>
          <w:bCs/>
          <w:noProof/>
          <w:szCs w:val="24"/>
          <w:lang w:val="fr-FR"/>
        </w:rPr>
        <w:t xml:space="preserve">mreža </w:t>
      </w:r>
      <w:r w:rsidR="0041628A" w:rsidRPr="00095948">
        <w:rPr>
          <w:rFonts w:eastAsia="Calibri" w:cs="Times New Roman"/>
          <w:bCs/>
          <w:noProof/>
          <w:szCs w:val="24"/>
          <w:lang w:val="fr-FR"/>
        </w:rPr>
        <w:t xml:space="preserve">i </w:t>
      </w:r>
      <w:r w:rsidR="007163A4" w:rsidRPr="00095948">
        <w:rPr>
          <w:rFonts w:eastAsia="Calibri" w:cs="Times New Roman"/>
          <w:bCs/>
          <w:noProof/>
          <w:szCs w:val="24"/>
          <w:lang w:val="fr-FR"/>
        </w:rPr>
        <w:t>proširenje</w:t>
      </w:r>
      <w:r w:rsidR="002E3C30" w:rsidRPr="00095948">
        <w:rPr>
          <w:rFonts w:eastAsia="Calibri" w:cs="Times New Roman"/>
          <w:bCs/>
          <w:noProof/>
          <w:szCs w:val="24"/>
          <w:lang w:val="fr-FR"/>
        </w:rPr>
        <w:t xml:space="preserve"> kapaciteta za prihvat i poboljšanje sistema za prikupljanje podataka o migrantima. </w:t>
      </w:r>
    </w:p>
    <w:p w:rsidR="00C91FB0" w:rsidRPr="009A2018" w:rsidRDefault="006F16C6" w:rsidP="00EC1790">
      <w:pPr>
        <w:pStyle w:val="Heading2"/>
        <w:rPr>
          <w:rFonts w:eastAsia="Times New Roman"/>
          <w:noProof/>
        </w:rPr>
      </w:pPr>
      <w:bookmarkStart w:id="10" w:name="_Toc53362429"/>
      <w:r w:rsidRPr="009A2018">
        <w:rPr>
          <w:rFonts w:eastAsia="Times New Roman"/>
          <w:noProof/>
        </w:rPr>
        <w:t>1.3</w:t>
      </w:r>
      <w:r w:rsidRPr="009A2018">
        <w:rPr>
          <w:rFonts w:eastAsia="Times New Roman"/>
          <w:noProof/>
        </w:rPr>
        <w:tab/>
      </w:r>
      <w:r w:rsidR="001E56BE" w:rsidRPr="009A2018">
        <w:rPr>
          <w:rFonts w:eastAsia="Times New Roman"/>
          <w:noProof/>
        </w:rPr>
        <w:t>Pres</w:t>
      </w:r>
      <w:r w:rsidR="00F0640F" w:rsidRPr="009A2018">
        <w:rPr>
          <w:rFonts w:eastAsia="Times New Roman"/>
          <w:noProof/>
        </w:rPr>
        <w:t>j</w:t>
      </w:r>
      <w:r w:rsidR="001E56BE" w:rsidRPr="009A2018">
        <w:rPr>
          <w:rFonts w:eastAsia="Times New Roman"/>
          <w:noProof/>
        </w:rPr>
        <w:t>ek stanja pristupnih pregovora</w:t>
      </w:r>
      <w:bookmarkEnd w:id="10"/>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1"/>
        <w:gridCol w:w="7466"/>
        <w:gridCol w:w="20"/>
      </w:tblGrid>
      <w:tr w:rsidR="00BC3825" w:rsidRPr="009A2018" w:rsidTr="009872E8">
        <w:trPr>
          <w:jc w:val="center"/>
        </w:trPr>
        <w:tc>
          <w:tcPr>
            <w:tcW w:w="9607" w:type="dxa"/>
            <w:gridSpan w:val="3"/>
            <w:tcBorders>
              <w:top w:val="single" w:sz="4" w:space="0" w:color="auto"/>
              <w:bottom w:val="nil"/>
            </w:tcBorders>
            <w:shd w:val="clear" w:color="auto" w:fill="auto"/>
          </w:tcPr>
          <w:p w:rsidR="002555D7" w:rsidRPr="009A2018" w:rsidRDefault="006F16C6" w:rsidP="00EC1790">
            <w:pPr>
              <w:spacing w:after="120" w:line="240" w:lineRule="auto"/>
              <w:rPr>
                <w:rFonts w:cs="Times New Roman"/>
                <w:szCs w:val="24"/>
              </w:rPr>
            </w:pPr>
            <w:r w:rsidRPr="009A2018">
              <w:rPr>
                <w:rFonts w:cs="Times New Roman"/>
                <w:b/>
                <w:szCs w:val="24"/>
              </w:rPr>
              <w:t>30</w:t>
            </w:r>
            <w:r w:rsidR="009A2018" w:rsidRPr="009A2018">
              <w:rPr>
                <w:rFonts w:cs="Times New Roman"/>
                <w:b/>
                <w:szCs w:val="24"/>
              </w:rPr>
              <w:t xml:space="preserve"> </w:t>
            </w:r>
            <w:r w:rsidR="001E56BE" w:rsidRPr="009A2018">
              <w:rPr>
                <w:rFonts w:cs="Times New Roman"/>
                <w:b/>
                <w:szCs w:val="24"/>
              </w:rPr>
              <w:t>otvorenih poglavlja (sa prelaznim ili završnim m</w:t>
            </w:r>
            <w:r w:rsidR="00F0640F" w:rsidRPr="009A2018">
              <w:rPr>
                <w:rFonts w:cs="Times New Roman"/>
                <w:b/>
                <w:szCs w:val="24"/>
              </w:rPr>
              <w:t>j</w:t>
            </w:r>
            <w:r w:rsidR="001E56BE" w:rsidRPr="009A2018">
              <w:rPr>
                <w:rFonts w:cs="Times New Roman"/>
                <w:b/>
                <w:szCs w:val="24"/>
              </w:rPr>
              <w:t>erilima; datum</w:t>
            </w:r>
            <w:r w:rsidR="005835BB" w:rsidRPr="009A2018">
              <w:rPr>
                <w:rFonts w:cs="Times New Roman"/>
                <w:b/>
                <w:szCs w:val="24"/>
              </w:rPr>
              <w:t>)</w:t>
            </w:r>
          </w:p>
        </w:tc>
      </w:tr>
      <w:tr w:rsidR="00BC3825" w:rsidRPr="009A2018" w:rsidTr="009872E8">
        <w:trPr>
          <w:gridAfter w:val="1"/>
          <w:wAfter w:w="20" w:type="dxa"/>
          <w:jc w:val="center"/>
        </w:trPr>
        <w:tc>
          <w:tcPr>
            <w:tcW w:w="2121" w:type="dxa"/>
            <w:tcBorders>
              <w:top w:val="single" w:sz="4" w:space="0" w:color="auto"/>
              <w:bottom w:val="nil"/>
            </w:tcBorders>
            <w:shd w:val="clear" w:color="auto" w:fill="auto"/>
          </w:tcPr>
          <w:p w:rsidR="002555D7" w:rsidRPr="009A2018" w:rsidRDefault="001E56BE" w:rsidP="00EC1790">
            <w:pPr>
              <w:spacing w:after="120" w:line="240" w:lineRule="auto"/>
              <w:rPr>
                <w:rFonts w:cs="Times New Roman"/>
                <w:szCs w:val="24"/>
              </w:rPr>
            </w:pPr>
            <w:r w:rsidRPr="009A2018">
              <w:rPr>
                <w:rFonts w:cs="Times New Roman"/>
                <w:szCs w:val="24"/>
              </w:rPr>
              <w:t>Crna Gora radi na ispunjenju prelaznih ili  završnih m</w:t>
            </w:r>
            <w:r w:rsidR="0041628A">
              <w:rPr>
                <w:rFonts w:cs="Times New Roman"/>
                <w:szCs w:val="24"/>
              </w:rPr>
              <w:t>j</w:t>
            </w:r>
            <w:r w:rsidRPr="009A2018">
              <w:rPr>
                <w:rFonts w:cs="Times New Roman"/>
                <w:szCs w:val="24"/>
              </w:rPr>
              <w:t>erila</w:t>
            </w:r>
          </w:p>
        </w:tc>
        <w:tc>
          <w:tcPr>
            <w:tcW w:w="7466" w:type="dxa"/>
            <w:tcBorders>
              <w:bottom w:val="single" w:sz="4" w:space="0" w:color="auto"/>
            </w:tcBorders>
            <w:shd w:val="clear" w:color="auto" w:fill="auto"/>
          </w:tcPr>
          <w:p w:rsidR="002555D7" w:rsidRPr="009A2018" w:rsidRDefault="006F16C6" w:rsidP="00EC1790">
            <w:pPr>
              <w:spacing w:after="120" w:line="240" w:lineRule="auto"/>
              <w:ind w:right="-1950"/>
              <w:rPr>
                <w:rFonts w:cs="Times New Roman"/>
                <w:szCs w:val="24"/>
              </w:rPr>
            </w:pPr>
            <w:r w:rsidRPr="009A2018">
              <w:rPr>
                <w:rFonts w:cs="Times New Roman"/>
                <w:szCs w:val="24"/>
              </w:rPr>
              <w:t>1</w:t>
            </w:r>
            <w:r w:rsidR="00BA0EFA" w:rsidRPr="009A2018">
              <w:rPr>
                <w:rFonts w:cs="Times New Roman"/>
                <w:szCs w:val="24"/>
              </w:rPr>
              <w:t xml:space="preserve"> – Sloboda kretanja robe</w:t>
            </w:r>
            <w:r w:rsidR="009A2018" w:rsidRPr="009A2018">
              <w:rPr>
                <w:rFonts w:cs="Times New Roman"/>
                <w:szCs w:val="24"/>
              </w:rPr>
              <w:t xml:space="preserve"> </w:t>
            </w:r>
            <w:r w:rsidR="005835BB" w:rsidRPr="009A2018">
              <w:rPr>
                <w:rFonts w:cs="Times New Roman"/>
                <w:szCs w:val="24"/>
              </w:rPr>
              <w:t>-</w:t>
            </w:r>
            <w:r w:rsidRPr="009A2018">
              <w:rPr>
                <w:rFonts w:cs="Times New Roman"/>
                <w:szCs w:val="24"/>
              </w:rPr>
              <w:t xml:space="preserve"> 20/06/17</w:t>
            </w:r>
          </w:p>
          <w:p w:rsidR="009872E8" w:rsidRPr="009A2018" w:rsidRDefault="00BA0EFA" w:rsidP="00EC1790">
            <w:pPr>
              <w:spacing w:after="120" w:line="240" w:lineRule="auto"/>
              <w:ind w:right="-1950"/>
              <w:rPr>
                <w:rFonts w:cs="Times New Roman"/>
                <w:szCs w:val="24"/>
              </w:rPr>
            </w:pPr>
            <w:r w:rsidRPr="009A2018">
              <w:rPr>
                <w:rFonts w:cs="Times New Roman"/>
                <w:szCs w:val="24"/>
              </w:rPr>
              <w:t>2 – Sloboda kretanja radnika</w:t>
            </w:r>
            <w:r w:rsidR="009A2018" w:rsidRPr="009A2018">
              <w:rPr>
                <w:rFonts w:cs="Times New Roman"/>
                <w:szCs w:val="24"/>
              </w:rPr>
              <w:t xml:space="preserve"> -</w:t>
            </w:r>
            <w:r w:rsidR="006F16C6" w:rsidRPr="009A2018">
              <w:rPr>
                <w:rFonts w:cs="Times New Roman"/>
                <w:szCs w:val="24"/>
              </w:rPr>
              <w:t>11/12/17</w:t>
            </w:r>
          </w:p>
          <w:p w:rsidR="002555D7" w:rsidRPr="009A2018" w:rsidRDefault="00BA0EFA" w:rsidP="00EC1790">
            <w:pPr>
              <w:spacing w:after="120" w:line="240" w:lineRule="auto"/>
              <w:ind w:right="-1950"/>
              <w:rPr>
                <w:rFonts w:cs="Times New Roman"/>
                <w:szCs w:val="24"/>
              </w:rPr>
            </w:pPr>
            <w:r w:rsidRPr="009A2018">
              <w:rPr>
                <w:rFonts w:cs="Times New Roman"/>
                <w:szCs w:val="24"/>
              </w:rPr>
              <w:t>3 – Pravo osnivanja preduzeća i sloboda pružanja usluga</w:t>
            </w:r>
            <w:r w:rsidR="009A2018" w:rsidRPr="009A2018">
              <w:rPr>
                <w:rFonts w:cs="Times New Roman"/>
                <w:szCs w:val="24"/>
              </w:rPr>
              <w:t xml:space="preserve"> -</w:t>
            </w:r>
            <w:r w:rsidR="006F16C6" w:rsidRPr="009A2018">
              <w:rPr>
                <w:rFonts w:cs="Times New Roman"/>
                <w:szCs w:val="24"/>
              </w:rPr>
              <w:t xml:space="preserve"> 11/12/17  </w:t>
            </w:r>
          </w:p>
          <w:p w:rsidR="002555D7" w:rsidRPr="009A2018" w:rsidRDefault="006F16C6" w:rsidP="00EC1790">
            <w:pPr>
              <w:spacing w:after="120" w:line="240" w:lineRule="auto"/>
              <w:ind w:right="-1950"/>
              <w:rPr>
                <w:rFonts w:cs="Times New Roman"/>
                <w:szCs w:val="24"/>
              </w:rPr>
            </w:pPr>
            <w:r w:rsidRPr="009A2018">
              <w:rPr>
                <w:rFonts w:cs="Times New Roman"/>
                <w:szCs w:val="24"/>
              </w:rPr>
              <w:lastRenderedPageBreak/>
              <w:t xml:space="preserve">4 – </w:t>
            </w:r>
            <w:r w:rsidR="00AC74F6" w:rsidRPr="009A2018">
              <w:rPr>
                <w:rFonts w:cs="Times New Roman"/>
                <w:szCs w:val="24"/>
              </w:rPr>
              <w:t>Sloboda</w:t>
            </w:r>
            <w:r w:rsidR="00BA0EFA" w:rsidRPr="009A2018">
              <w:rPr>
                <w:rFonts w:cs="Times New Roman"/>
                <w:szCs w:val="24"/>
              </w:rPr>
              <w:t xml:space="preserve"> kretanja kapitala</w:t>
            </w:r>
            <w:r w:rsidRPr="009A2018">
              <w:rPr>
                <w:rFonts w:cs="Times New Roman"/>
                <w:szCs w:val="24"/>
              </w:rPr>
              <w:t xml:space="preserve"> - 24/06/14 </w:t>
            </w:r>
          </w:p>
          <w:p w:rsidR="002555D7" w:rsidRPr="009A2018" w:rsidRDefault="00BA0EFA" w:rsidP="00EC1790">
            <w:pPr>
              <w:spacing w:after="120" w:line="240" w:lineRule="auto"/>
              <w:rPr>
                <w:rFonts w:cs="Times New Roman"/>
                <w:szCs w:val="24"/>
              </w:rPr>
            </w:pPr>
            <w:r w:rsidRPr="009A2018">
              <w:rPr>
                <w:rFonts w:cs="Times New Roman"/>
                <w:szCs w:val="24"/>
              </w:rPr>
              <w:t>5 – Javne nabavke</w:t>
            </w:r>
            <w:r w:rsidR="009A2018" w:rsidRPr="009A2018">
              <w:rPr>
                <w:rFonts w:cs="Times New Roman"/>
                <w:szCs w:val="24"/>
              </w:rPr>
              <w:t xml:space="preserve"> </w:t>
            </w:r>
            <w:r w:rsidR="006F16C6" w:rsidRPr="009A2018">
              <w:rPr>
                <w:rFonts w:cs="Times New Roman"/>
                <w:b/>
                <w:szCs w:val="24"/>
              </w:rPr>
              <w:t xml:space="preserve">- </w:t>
            </w:r>
            <w:r w:rsidR="006F16C6" w:rsidRPr="009A2018">
              <w:rPr>
                <w:rFonts w:cs="Times New Roman"/>
                <w:szCs w:val="24"/>
              </w:rPr>
              <w:t>18/12/13</w:t>
            </w:r>
          </w:p>
          <w:p w:rsidR="002555D7" w:rsidRPr="009A2018" w:rsidRDefault="009A2018" w:rsidP="00EC1790">
            <w:pPr>
              <w:spacing w:after="120" w:line="240" w:lineRule="auto"/>
              <w:rPr>
                <w:rFonts w:cs="Times New Roman"/>
                <w:szCs w:val="24"/>
              </w:rPr>
            </w:pPr>
            <w:r w:rsidRPr="009A2018">
              <w:rPr>
                <w:rFonts w:cs="Times New Roman"/>
                <w:szCs w:val="24"/>
              </w:rPr>
              <w:t xml:space="preserve"> </w:t>
            </w:r>
            <w:r w:rsidR="00BA0EFA" w:rsidRPr="009A2018">
              <w:rPr>
                <w:rFonts w:cs="Times New Roman"/>
                <w:szCs w:val="24"/>
              </w:rPr>
              <w:t>6 – Privredn</w:t>
            </w:r>
            <w:r w:rsidR="00D83E53">
              <w:rPr>
                <w:rFonts w:cs="Times New Roman"/>
                <w:szCs w:val="24"/>
              </w:rPr>
              <w:t>o</w:t>
            </w:r>
            <w:r w:rsidR="00BA0EFA" w:rsidRPr="009A2018">
              <w:rPr>
                <w:rFonts w:cs="Times New Roman"/>
                <w:szCs w:val="24"/>
              </w:rPr>
              <w:t xml:space="preserve"> </w:t>
            </w:r>
            <w:r w:rsidR="00D83E53">
              <w:rPr>
                <w:rFonts w:cs="Times New Roman"/>
                <w:szCs w:val="24"/>
              </w:rPr>
              <w:t>pravo</w:t>
            </w:r>
            <w:r w:rsidR="006F16C6" w:rsidRPr="009A2018">
              <w:rPr>
                <w:rFonts w:cs="Times New Roman"/>
                <w:szCs w:val="24"/>
              </w:rPr>
              <w:t xml:space="preserve"> - 18/12/13</w:t>
            </w:r>
          </w:p>
          <w:p w:rsidR="002555D7" w:rsidRPr="009A2018" w:rsidRDefault="006F16C6" w:rsidP="00EC1790">
            <w:pPr>
              <w:spacing w:after="120" w:line="240" w:lineRule="auto"/>
              <w:rPr>
                <w:rFonts w:cs="Times New Roman"/>
                <w:szCs w:val="24"/>
              </w:rPr>
            </w:pPr>
            <w:r w:rsidRPr="009A2018">
              <w:rPr>
                <w:rFonts w:cs="Times New Roman"/>
                <w:szCs w:val="24"/>
              </w:rPr>
              <w:t xml:space="preserve">7 – </w:t>
            </w:r>
            <w:r w:rsidR="00BA0EFA" w:rsidRPr="009A2018">
              <w:rPr>
                <w:rFonts w:cs="Times New Roman"/>
                <w:szCs w:val="24"/>
              </w:rPr>
              <w:t>Pravo intelektualne svojine</w:t>
            </w:r>
            <w:r w:rsidRPr="009A2018">
              <w:rPr>
                <w:rFonts w:cs="Times New Roman"/>
                <w:szCs w:val="24"/>
              </w:rPr>
              <w:t xml:space="preserve"> - 31/03/14   </w:t>
            </w:r>
          </w:p>
          <w:p w:rsidR="00294EA9" w:rsidRPr="009A2018" w:rsidRDefault="00BA0EFA" w:rsidP="00EC1790">
            <w:pPr>
              <w:spacing w:after="120" w:line="240" w:lineRule="auto"/>
              <w:rPr>
                <w:rFonts w:cs="Times New Roman"/>
                <w:szCs w:val="24"/>
              </w:rPr>
            </w:pPr>
            <w:r w:rsidRPr="009A2018">
              <w:rPr>
                <w:rFonts w:cs="Times New Roman"/>
                <w:szCs w:val="24"/>
              </w:rPr>
              <w:t>8 – Konkurencija</w:t>
            </w:r>
            <w:r w:rsidR="006F16C6" w:rsidRPr="009A2018">
              <w:rPr>
                <w:rFonts w:cs="Times New Roman"/>
                <w:szCs w:val="24"/>
              </w:rPr>
              <w:t xml:space="preserve"> – 30/06/20</w:t>
            </w:r>
          </w:p>
          <w:p w:rsidR="009872E8" w:rsidRPr="009A2018" w:rsidRDefault="006F16C6" w:rsidP="00EC1790">
            <w:pPr>
              <w:spacing w:after="120" w:line="240" w:lineRule="auto"/>
              <w:rPr>
                <w:rFonts w:cs="Times New Roman"/>
                <w:szCs w:val="24"/>
              </w:rPr>
            </w:pPr>
            <w:r w:rsidRPr="009A2018">
              <w:rPr>
                <w:rFonts w:cs="Times New Roman"/>
                <w:szCs w:val="24"/>
              </w:rPr>
              <w:t>9 – Finan</w:t>
            </w:r>
            <w:r w:rsidR="00BA0EFA" w:rsidRPr="009A2018">
              <w:rPr>
                <w:rFonts w:cs="Times New Roman"/>
                <w:szCs w:val="24"/>
              </w:rPr>
              <w:t>sijske usluge</w:t>
            </w:r>
            <w:r w:rsidRPr="009A2018">
              <w:rPr>
                <w:rFonts w:cs="Times New Roman"/>
                <w:b/>
                <w:szCs w:val="24"/>
              </w:rPr>
              <w:t xml:space="preserve"> - </w:t>
            </w:r>
            <w:r w:rsidRPr="009A2018">
              <w:rPr>
                <w:rFonts w:cs="Times New Roman"/>
                <w:szCs w:val="24"/>
              </w:rPr>
              <w:t xml:space="preserve">22/06/15 </w:t>
            </w:r>
          </w:p>
          <w:p w:rsidR="002555D7" w:rsidRPr="009A2018" w:rsidRDefault="006F16C6" w:rsidP="00EC1790">
            <w:pPr>
              <w:spacing w:after="120" w:line="240" w:lineRule="auto"/>
              <w:rPr>
                <w:rFonts w:cs="Times New Roman"/>
                <w:szCs w:val="24"/>
              </w:rPr>
            </w:pPr>
            <w:r w:rsidRPr="009A2018">
              <w:rPr>
                <w:rFonts w:cs="Times New Roman"/>
                <w:szCs w:val="24"/>
              </w:rPr>
              <w:t>10 – Informa</w:t>
            </w:r>
            <w:r w:rsidR="00D83E53">
              <w:rPr>
                <w:rFonts w:cs="Times New Roman"/>
                <w:szCs w:val="24"/>
              </w:rPr>
              <w:t>tičko</w:t>
            </w:r>
            <w:r w:rsidR="00BA0EFA" w:rsidRPr="009A2018">
              <w:rPr>
                <w:rFonts w:cs="Times New Roman"/>
                <w:szCs w:val="24"/>
              </w:rPr>
              <w:t xml:space="preserve"> društvo i mediji</w:t>
            </w:r>
            <w:r w:rsidRPr="009A2018">
              <w:rPr>
                <w:rFonts w:cs="Times New Roman"/>
                <w:szCs w:val="24"/>
              </w:rPr>
              <w:t xml:space="preserve"> - 31/03/14  </w:t>
            </w:r>
          </w:p>
          <w:p w:rsidR="002555D7" w:rsidRPr="009A2018" w:rsidRDefault="00BA0EFA" w:rsidP="00EC1790">
            <w:pPr>
              <w:spacing w:after="120" w:line="240" w:lineRule="auto"/>
              <w:rPr>
                <w:rFonts w:cs="Times New Roman"/>
                <w:szCs w:val="24"/>
              </w:rPr>
            </w:pPr>
            <w:r w:rsidRPr="009A2018">
              <w:rPr>
                <w:rFonts w:cs="Times New Roman"/>
                <w:szCs w:val="24"/>
              </w:rPr>
              <w:t>11 – Poljoprivreda i ruralni razvoj</w:t>
            </w:r>
            <w:r w:rsidR="006F16C6" w:rsidRPr="009A2018">
              <w:rPr>
                <w:rFonts w:cs="Times New Roman"/>
                <w:szCs w:val="24"/>
              </w:rPr>
              <w:t xml:space="preserve"> - 13/12/16  </w:t>
            </w:r>
          </w:p>
          <w:p w:rsidR="002555D7" w:rsidRPr="009A2018" w:rsidRDefault="006F16C6" w:rsidP="00EC1790">
            <w:pPr>
              <w:spacing w:after="120" w:line="240" w:lineRule="auto"/>
              <w:rPr>
                <w:rFonts w:cs="Times New Roman"/>
                <w:szCs w:val="24"/>
              </w:rPr>
            </w:pPr>
            <w:r w:rsidRPr="009A2018">
              <w:rPr>
                <w:rFonts w:cs="Times New Roman"/>
                <w:szCs w:val="24"/>
              </w:rPr>
              <w:t xml:space="preserve">12 – </w:t>
            </w:r>
            <w:r w:rsidR="00BA0EFA" w:rsidRPr="009A2018">
              <w:rPr>
                <w:rFonts w:cs="Times New Roman"/>
                <w:szCs w:val="24"/>
              </w:rPr>
              <w:t>Bezb</w:t>
            </w:r>
            <w:r w:rsidR="00F0640F" w:rsidRPr="009A2018">
              <w:rPr>
                <w:rFonts w:cs="Times New Roman"/>
                <w:szCs w:val="24"/>
              </w:rPr>
              <w:t>j</w:t>
            </w:r>
            <w:r w:rsidR="00BA0EFA" w:rsidRPr="009A2018">
              <w:rPr>
                <w:rFonts w:cs="Times New Roman"/>
                <w:szCs w:val="24"/>
              </w:rPr>
              <w:t>ednost hrane, veterinarska i fitosanita</w:t>
            </w:r>
            <w:r w:rsidR="00D83E53">
              <w:rPr>
                <w:rFonts w:cs="Times New Roman"/>
                <w:szCs w:val="24"/>
              </w:rPr>
              <w:t>rni nadzor</w:t>
            </w:r>
            <w:r w:rsidRPr="009A2018">
              <w:rPr>
                <w:rFonts w:cs="Times New Roman"/>
                <w:szCs w:val="24"/>
              </w:rPr>
              <w:t xml:space="preserve"> - 30/06/16           </w:t>
            </w:r>
          </w:p>
          <w:p w:rsidR="002555D7" w:rsidRPr="009A2018" w:rsidRDefault="00BA0EFA" w:rsidP="00EC1790">
            <w:pPr>
              <w:spacing w:after="120" w:line="240" w:lineRule="auto"/>
              <w:rPr>
                <w:rFonts w:cs="Times New Roman"/>
                <w:b/>
                <w:szCs w:val="24"/>
              </w:rPr>
            </w:pPr>
            <w:r w:rsidRPr="009A2018">
              <w:rPr>
                <w:rFonts w:cs="Times New Roman"/>
                <w:szCs w:val="24"/>
              </w:rPr>
              <w:t>13 – Ribarstvo</w:t>
            </w:r>
            <w:r w:rsidR="006F16C6" w:rsidRPr="009A2018">
              <w:rPr>
                <w:rFonts w:cs="Times New Roman"/>
                <w:szCs w:val="24"/>
              </w:rPr>
              <w:t xml:space="preserve"> - 30/06/16</w:t>
            </w:r>
          </w:p>
          <w:p w:rsidR="002555D7" w:rsidRPr="009A2018" w:rsidRDefault="006F16C6" w:rsidP="00EC1790">
            <w:pPr>
              <w:spacing w:after="120" w:line="240" w:lineRule="auto"/>
              <w:rPr>
                <w:rFonts w:cs="Times New Roman"/>
                <w:szCs w:val="24"/>
              </w:rPr>
            </w:pPr>
            <w:r w:rsidRPr="009A2018">
              <w:rPr>
                <w:rFonts w:cs="Times New Roman"/>
                <w:szCs w:val="24"/>
              </w:rPr>
              <w:t xml:space="preserve">14 – </w:t>
            </w:r>
            <w:r w:rsidR="003B6C93">
              <w:rPr>
                <w:rFonts w:cs="Times New Roman"/>
                <w:szCs w:val="24"/>
              </w:rPr>
              <w:t>Saobraćajna politika</w:t>
            </w:r>
            <w:r w:rsidRPr="009A2018">
              <w:rPr>
                <w:rFonts w:cs="Times New Roman"/>
                <w:szCs w:val="24"/>
              </w:rPr>
              <w:t xml:space="preserve"> - 21/12/15 </w:t>
            </w:r>
          </w:p>
          <w:p w:rsidR="002555D7" w:rsidRPr="009A2018" w:rsidRDefault="00BA0EFA" w:rsidP="00EC1790">
            <w:pPr>
              <w:spacing w:after="120" w:line="240" w:lineRule="auto"/>
              <w:rPr>
                <w:rFonts w:cs="Times New Roman"/>
                <w:szCs w:val="24"/>
              </w:rPr>
            </w:pPr>
            <w:r w:rsidRPr="009A2018">
              <w:rPr>
                <w:rFonts w:cs="Times New Roman"/>
                <w:szCs w:val="24"/>
              </w:rPr>
              <w:t>15 – Energetika</w:t>
            </w:r>
            <w:r w:rsidR="006F16C6" w:rsidRPr="009A2018">
              <w:rPr>
                <w:rFonts w:cs="Times New Roman"/>
                <w:szCs w:val="24"/>
              </w:rPr>
              <w:t>- 21/12/15</w:t>
            </w:r>
          </w:p>
          <w:p w:rsidR="002555D7" w:rsidRPr="009A2018" w:rsidRDefault="00BA0EFA" w:rsidP="00EC1790">
            <w:pPr>
              <w:spacing w:after="120" w:line="240" w:lineRule="auto"/>
              <w:rPr>
                <w:rFonts w:cs="Times New Roman"/>
                <w:szCs w:val="24"/>
              </w:rPr>
            </w:pPr>
            <w:r w:rsidRPr="009A2018">
              <w:rPr>
                <w:rFonts w:cs="Times New Roman"/>
                <w:szCs w:val="24"/>
              </w:rPr>
              <w:t>16 – Porezi</w:t>
            </w:r>
            <w:r w:rsidR="006F16C6" w:rsidRPr="009A2018">
              <w:rPr>
                <w:rFonts w:cs="Times New Roman"/>
                <w:b/>
                <w:szCs w:val="24"/>
              </w:rPr>
              <w:t xml:space="preserve"> - </w:t>
            </w:r>
            <w:r w:rsidR="006F16C6" w:rsidRPr="009A2018">
              <w:rPr>
                <w:rFonts w:cs="Times New Roman"/>
                <w:szCs w:val="24"/>
              </w:rPr>
              <w:t>30/03/15</w:t>
            </w:r>
          </w:p>
          <w:p w:rsidR="002555D7" w:rsidRPr="009A2018" w:rsidRDefault="00BA0EFA" w:rsidP="00EC1790">
            <w:pPr>
              <w:spacing w:after="120" w:line="240" w:lineRule="auto"/>
              <w:rPr>
                <w:rFonts w:cs="Times New Roman"/>
                <w:szCs w:val="24"/>
              </w:rPr>
            </w:pPr>
            <w:r w:rsidRPr="009A2018">
              <w:rPr>
                <w:rFonts w:cs="Times New Roman"/>
                <w:szCs w:val="24"/>
              </w:rPr>
              <w:t>17 – Ekonomska i monetarna politika</w:t>
            </w:r>
            <w:r w:rsidR="009A2018" w:rsidRPr="009A2018">
              <w:rPr>
                <w:rFonts w:cs="Times New Roman"/>
                <w:szCs w:val="24"/>
              </w:rPr>
              <w:t xml:space="preserve"> </w:t>
            </w:r>
            <w:r w:rsidR="005835BB" w:rsidRPr="009A2018">
              <w:rPr>
                <w:rFonts w:cs="Times New Roman"/>
                <w:szCs w:val="24"/>
              </w:rPr>
              <w:t>-</w:t>
            </w:r>
            <w:r w:rsidR="006F16C6" w:rsidRPr="009A2018">
              <w:rPr>
                <w:rFonts w:cs="Times New Roman"/>
                <w:szCs w:val="24"/>
              </w:rPr>
              <w:t xml:space="preserve"> 25/06/18</w:t>
            </w:r>
          </w:p>
          <w:p w:rsidR="002555D7" w:rsidRPr="009A2018" w:rsidRDefault="00BA0EFA" w:rsidP="00EC1790">
            <w:pPr>
              <w:spacing w:after="120" w:line="240" w:lineRule="auto"/>
              <w:rPr>
                <w:rFonts w:cs="Times New Roman"/>
                <w:szCs w:val="24"/>
              </w:rPr>
            </w:pPr>
            <w:r w:rsidRPr="009A2018">
              <w:rPr>
                <w:rFonts w:cs="Times New Roman"/>
                <w:szCs w:val="24"/>
              </w:rPr>
              <w:t>18 – Statistika</w:t>
            </w:r>
            <w:r w:rsidR="006F16C6" w:rsidRPr="009A2018">
              <w:rPr>
                <w:rFonts w:cs="Times New Roman"/>
                <w:szCs w:val="24"/>
              </w:rPr>
              <w:t xml:space="preserve"> - 16/12/14</w:t>
            </w:r>
          </w:p>
          <w:p w:rsidR="002555D7" w:rsidRPr="009A2018" w:rsidRDefault="002D7298" w:rsidP="00EC1790">
            <w:pPr>
              <w:spacing w:after="120" w:line="240" w:lineRule="auto"/>
              <w:rPr>
                <w:rFonts w:cs="Times New Roman"/>
                <w:szCs w:val="24"/>
              </w:rPr>
            </w:pPr>
            <w:r w:rsidRPr="009A2018">
              <w:rPr>
                <w:rFonts w:cs="Times New Roman"/>
                <w:szCs w:val="24"/>
              </w:rPr>
              <w:t>19 – Socijalna politika i zapošljavanje</w:t>
            </w:r>
            <w:r w:rsidR="006F16C6" w:rsidRPr="009A2018">
              <w:rPr>
                <w:rFonts w:cs="Times New Roman"/>
                <w:szCs w:val="24"/>
              </w:rPr>
              <w:t xml:space="preserve"> - 13/12/16  </w:t>
            </w:r>
          </w:p>
          <w:p w:rsidR="002555D7" w:rsidRPr="009A2018" w:rsidRDefault="006F16C6" w:rsidP="00EC1790">
            <w:pPr>
              <w:spacing w:after="120" w:line="240" w:lineRule="auto"/>
              <w:rPr>
                <w:rFonts w:cs="Times New Roman"/>
                <w:szCs w:val="24"/>
              </w:rPr>
            </w:pPr>
            <w:r w:rsidRPr="009A2018">
              <w:rPr>
                <w:rFonts w:cs="Times New Roman"/>
                <w:szCs w:val="24"/>
              </w:rPr>
              <w:t xml:space="preserve">20 – </w:t>
            </w:r>
            <w:r w:rsidR="002D7298" w:rsidRPr="009A2018">
              <w:rPr>
                <w:rFonts w:cs="Times New Roman"/>
                <w:szCs w:val="24"/>
              </w:rPr>
              <w:t>Preduzetništvo i industrijska politika</w:t>
            </w:r>
            <w:r w:rsidR="009A2018" w:rsidRPr="009A2018">
              <w:rPr>
                <w:rFonts w:cs="Times New Roman"/>
                <w:szCs w:val="24"/>
              </w:rPr>
              <w:t xml:space="preserve"> -</w:t>
            </w:r>
            <w:r w:rsidRPr="009A2018">
              <w:rPr>
                <w:rFonts w:cs="Times New Roman"/>
                <w:szCs w:val="24"/>
              </w:rPr>
              <w:t xml:space="preserve"> 18/12/13</w:t>
            </w:r>
          </w:p>
          <w:p w:rsidR="002555D7" w:rsidRPr="009A2018" w:rsidRDefault="006F16C6" w:rsidP="00EC1790">
            <w:pPr>
              <w:spacing w:after="120" w:line="240" w:lineRule="auto"/>
              <w:rPr>
                <w:rFonts w:cs="Times New Roman"/>
                <w:b/>
                <w:szCs w:val="24"/>
              </w:rPr>
            </w:pPr>
            <w:r w:rsidRPr="009A2018">
              <w:rPr>
                <w:rFonts w:cs="Times New Roman"/>
                <w:szCs w:val="24"/>
              </w:rPr>
              <w:t xml:space="preserve">21 – </w:t>
            </w:r>
            <w:r w:rsidR="005835BB" w:rsidRPr="009A2018">
              <w:rPr>
                <w:rFonts w:cs="Times New Roman"/>
                <w:color w:val="000000" w:themeColor="text1"/>
                <w:szCs w:val="24"/>
                <w:lang w:eastAsia="en-GB"/>
              </w:rPr>
              <w:t>Trans</w:t>
            </w:r>
            <w:r w:rsidR="002D7298" w:rsidRPr="009A2018">
              <w:rPr>
                <w:rFonts w:cs="Times New Roman"/>
                <w:color w:val="000000" w:themeColor="text1"/>
                <w:szCs w:val="24"/>
                <w:lang w:eastAsia="en-GB"/>
              </w:rPr>
              <w:t>evropske mreže</w:t>
            </w:r>
            <w:r w:rsidR="009A2018" w:rsidRPr="009A2018">
              <w:rPr>
                <w:rFonts w:cs="Times New Roman"/>
                <w:color w:val="000000" w:themeColor="text1"/>
                <w:szCs w:val="24"/>
                <w:lang w:eastAsia="en-GB"/>
              </w:rPr>
              <w:t xml:space="preserve"> </w:t>
            </w:r>
            <w:r w:rsidRPr="009A2018">
              <w:rPr>
                <w:rFonts w:cs="Times New Roman"/>
                <w:szCs w:val="24"/>
              </w:rPr>
              <w:t xml:space="preserve">- 22/06/15 </w:t>
            </w:r>
          </w:p>
          <w:p w:rsidR="002555D7" w:rsidRPr="009A2018" w:rsidRDefault="006F16C6" w:rsidP="00EC1790">
            <w:pPr>
              <w:spacing w:after="120" w:line="240" w:lineRule="auto"/>
              <w:rPr>
                <w:rFonts w:cs="Times New Roman"/>
                <w:szCs w:val="24"/>
              </w:rPr>
            </w:pPr>
            <w:r w:rsidRPr="009A2018">
              <w:rPr>
                <w:rFonts w:cs="Times New Roman"/>
                <w:szCs w:val="24"/>
              </w:rPr>
              <w:t>22 – Regional</w:t>
            </w:r>
            <w:r w:rsidR="002D7298" w:rsidRPr="009A2018">
              <w:rPr>
                <w:rFonts w:cs="Times New Roman"/>
                <w:szCs w:val="24"/>
              </w:rPr>
              <w:t>na politika</w:t>
            </w:r>
            <w:r w:rsidR="00D83E53">
              <w:rPr>
                <w:rFonts w:cs="Times New Roman"/>
                <w:szCs w:val="24"/>
              </w:rPr>
              <w:t xml:space="preserve"> i</w:t>
            </w:r>
            <w:r w:rsidR="002D7298" w:rsidRPr="009A2018">
              <w:rPr>
                <w:rFonts w:cs="Times New Roman"/>
                <w:szCs w:val="24"/>
              </w:rPr>
              <w:t xml:space="preserve"> koordinacija strukturalnih instrumenata</w:t>
            </w:r>
            <w:r w:rsidRPr="009A2018">
              <w:rPr>
                <w:rFonts w:cs="Times New Roman"/>
                <w:szCs w:val="24"/>
              </w:rPr>
              <w:t xml:space="preserve"> - 20/06/17</w:t>
            </w:r>
          </w:p>
          <w:p w:rsidR="002555D7" w:rsidRPr="009A2018" w:rsidRDefault="008A035E" w:rsidP="00EC1790">
            <w:pPr>
              <w:spacing w:after="120" w:line="240" w:lineRule="auto"/>
              <w:rPr>
                <w:rFonts w:cs="Times New Roman"/>
                <w:szCs w:val="24"/>
              </w:rPr>
            </w:pPr>
            <w:r w:rsidRPr="009A2018">
              <w:rPr>
                <w:rFonts w:cs="Times New Roman"/>
                <w:szCs w:val="24"/>
              </w:rPr>
              <w:t>23 – Pravosuđe i temeljna</w:t>
            </w:r>
            <w:r w:rsidR="002D7298" w:rsidRPr="009A2018">
              <w:rPr>
                <w:rFonts w:cs="Times New Roman"/>
                <w:szCs w:val="24"/>
              </w:rPr>
              <w:t xml:space="preserve"> prava</w:t>
            </w:r>
            <w:r w:rsidR="005835BB" w:rsidRPr="009A2018">
              <w:rPr>
                <w:rFonts w:cs="Times New Roman"/>
                <w:szCs w:val="24"/>
              </w:rPr>
              <w:t xml:space="preserve"> -</w:t>
            </w:r>
            <w:r w:rsidR="006F16C6" w:rsidRPr="009A2018">
              <w:rPr>
                <w:rFonts w:cs="Times New Roman"/>
                <w:szCs w:val="24"/>
              </w:rPr>
              <w:t xml:space="preserve"> 18/12/13</w:t>
            </w:r>
          </w:p>
          <w:p w:rsidR="002555D7" w:rsidRPr="009A2018" w:rsidRDefault="002D7298" w:rsidP="00EC1790">
            <w:pPr>
              <w:spacing w:after="120" w:line="240" w:lineRule="auto"/>
              <w:rPr>
                <w:rFonts w:cs="Times New Roman"/>
                <w:szCs w:val="24"/>
              </w:rPr>
            </w:pPr>
            <w:r w:rsidRPr="009A2018">
              <w:rPr>
                <w:rFonts w:cs="Times New Roman"/>
                <w:szCs w:val="24"/>
              </w:rPr>
              <w:t>24 – P</w:t>
            </w:r>
            <w:r w:rsidR="00D83E53">
              <w:rPr>
                <w:rFonts w:cs="Times New Roman"/>
                <w:szCs w:val="24"/>
              </w:rPr>
              <w:t>ravda</w:t>
            </w:r>
            <w:r w:rsidRPr="009A2018">
              <w:rPr>
                <w:rFonts w:cs="Times New Roman"/>
                <w:szCs w:val="24"/>
              </w:rPr>
              <w:t xml:space="preserve">, </w:t>
            </w:r>
            <w:r w:rsidR="00D83E53">
              <w:rPr>
                <w:rFonts w:cs="Times New Roman"/>
                <w:szCs w:val="24"/>
              </w:rPr>
              <w:t>sloboda</w:t>
            </w:r>
            <w:r w:rsidRPr="009A2018">
              <w:rPr>
                <w:rFonts w:cs="Times New Roman"/>
                <w:szCs w:val="24"/>
              </w:rPr>
              <w:t xml:space="preserve"> i bezb</w:t>
            </w:r>
            <w:r w:rsidR="00F0640F" w:rsidRPr="009A2018">
              <w:rPr>
                <w:rFonts w:cs="Times New Roman"/>
                <w:szCs w:val="24"/>
              </w:rPr>
              <w:t>j</w:t>
            </w:r>
            <w:r w:rsidRPr="009A2018">
              <w:rPr>
                <w:rFonts w:cs="Times New Roman"/>
                <w:szCs w:val="24"/>
              </w:rPr>
              <w:t>ednost</w:t>
            </w:r>
            <w:r w:rsidR="006F16C6" w:rsidRPr="009A2018">
              <w:rPr>
                <w:rFonts w:cs="Times New Roman"/>
                <w:szCs w:val="24"/>
              </w:rPr>
              <w:t xml:space="preserve"> - 18/12/13</w:t>
            </w:r>
          </w:p>
          <w:p w:rsidR="002555D7" w:rsidRPr="009A2018" w:rsidRDefault="002D7298" w:rsidP="00EC1790">
            <w:pPr>
              <w:spacing w:after="120" w:line="240" w:lineRule="auto"/>
              <w:rPr>
                <w:rFonts w:cs="Times New Roman"/>
                <w:szCs w:val="24"/>
              </w:rPr>
            </w:pPr>
            <w:r w:rsidRPr="009A2018">
              <w:rPr>
                <w:rFonts w:cs="Times New Roman"/>
                <w:szCs w:val="24"/>
              </w:rPr>
              <w:t>27 – Životna sredina</w:t>
            </w:r>
            <w:r w:rsidR="009A2018" w:rsidRPr="009A2018">
              <w:rPr>
                <w:rFonts w:cs="Times New Roman"/>
                <w:szCs w:val="24"/>
              </w:rPr>
              <w:t xml:space="preserve"> </w:t>
            </w:r>
            <w:r w:rsidR="00D83E53">
              <w:rPr>
                <w:rFonts w:cs="Times New Roman"/>
                <w:szCs w:val="24"/>
              </w:rPr>
              <w:t>i</w:t>
            </w:r>
            <w:r w:rsidR="003B6C93">
              <w:rPr>
                <w:rFonts w:cs="Times New Roman"/>
                <w:szCs w:val="24"/>
              </w:rPr>
              <w:t xml:space="preserve"> klimatske promjene</w:t>
            </w:r>
            <w:r w:rsidR="005835BB" w:rsidRPr="009A2018">
              <w:rPr>
                <w:rFonts w:cs="Times New Roman"/>
                <w:szCs w:val="24"/>
              </w:rPr>
              <w:t>-</w:t>
            </w:r>
            <w:r w:rsidR="006F16C6" w:rsidRPr="009A2018">
              <w:rPr>
                <w:rFonts w:cs="Times New Roman"/>
                <w:szCs w:val="24"/>
              </w:rPr>
              <w:t xml:space="preserve"> 10/12/18</w:t>
            </w:r>
          </w:p>
          <w:p w:rsidR="002555D7" w:rsidRPr="009A2018" w:rsidRDefault="006F16C6" w:rsidP="00EC1790">
            <w:pPr>
              <w:spacing w:after="120" w:line="240" w:lineRule="auto"/>
              <w:rPr>
                <w:rFonts w:cs="Times New Roman"/>
                <w:b/>
                <w:szCs w:val="24"/>
              </w:rPr>
            </w:pPr>
            <w:r w:rsidRPr="009A2018">
              <w:rPr>
                <w:rFonts w:cs="Times New Roman"/>
                <w:szCs w:val="24"/>
              </w:rPr>
              <w:t xml:space="preserve">28 – </w:t>
            </w:r>
            <w:r w:rsidR="002D7298" w:rsidRPr="009A2018">
              <w:rPr>
                <w:rFonts w:cs="Times New Roman"/>
                <w:szCs w:val="24"/>
              </w:rPr>
              <w:t>Zaštita potrošača i zdravlja</w:t>
            </w:r>
            <w:r w:rsidRPr="009A2018">
              <w:rPr>
                <w:rFonts w:cs="Times New Roman"/>
                <w:szCs w:val="24"/>
              </w:rPr>
              <w:t xml:space="preserve"> - 16/12/14</w:t>
            </w:r>
          </w:p>
          <w:p w:rsidR="002555D7" w:rsidRPr="009A2018" w:rsidRDefault="006F16C6" w:rsidP="00EC1790">
            <w:pPr>
              <w:spacing w:after="120" w:line="240" w:lineRule="auto"/>
              <w:rPr>
                <w:rFonts w:cs="Times New Roman"/>
                <w:b/>
                <w:szCs w:val="24"/>
              </w:rPr>
            </w:pPr>
            <w:r w:rsidRPr="009A2018">
              <w:rPr>
                <w:rFonts w:cs="Times New Roman"/>
                <w:szCs w:val="24"/>
              </w:rPr>
              <w:t>29 – C</w:t>
            </w:r>
            <w:r w:rsidR="002D7298" w:rsidRPr="009A2018">
              <w:rPr>
                <w:rFonts w:cs="Times New Roman"/>
                <w:szCs w:val="24"/>
              </w:rPr>
              <w:t>arinska unija</w:t>
            </w:r>
            <w:r w:rsidRPr="009A2018">
              <w:rPr>
                <w:rFonts w:cs="Times New Roman"/>
                <w:szCs w:val="24"/>
              </w:rPr>
              <w:t xml:space="preserve"> - 16/12/14</w:t>
            </w:r>
          </w:p>
          <w:p w:rsidR="002555D7" w:rsidRPr="009A2018" w:rsidRDefault="002D7298" w:rsidP="00EC1790">
            <w:pPr>
              <w:spacing w:after="120" w:line="240" w:lineRule="auto"/>
              <w:ind w:right="-1950"/>
              <w:rPr>
                <w:rFonts w:cs="Times New Roman"/>
                <w:szCs w:val="24"/>
              </w:rPr>
            </w:pPr>
            <w:r w:rsidRPr="009A2018">
              <w:rPr>
                <w:rFonts w:cs="Times New Roman"/>
                <w:szCs w:val="24"/>
              </w:rPr>
              <w:t xml:space="preserve">31 – </w:t>
            </w:r>
            <w:r w:rsidR="00D83E53">
              <w:rPr>
                <w:rFonts w:cs="Times New Roman"/>
                <w:szCs w:val="24"/>
              </w:rPr>
              <w:t>Vanjska</w:t>
            </w:r>
            <w:r w:rsidRPr="009A2018">
              <w:rPr>
                <w:rFonts w:cs="Times New Roman"/>
                <w:szCs w:val="24"/>
              </w:rPr>
              <w:t>, bezb</w:t>
            </w:r>
            <w:r w:rsidR="00F0640F" w:rsidRPr="009A2018">
              <w:rPr>
                <w:rFonts w:cs="Times New Roman"/>
                <w:szCs w:val="24"/>
              </w:rPr>
              <w:t>j</w:t>
            </w:r>
            <w:r w:rsidRPr="009A2018">
              <w:rPr>
                <w:rFonts w:cs="Times New Roman"/>
                <w:szCs w:val="24"/>
              </w:rPr>
              <w:t>ednosna i odbrambena politika</w:t>
            </w:r>
            <w:r w:rsidR="006F16C6" w:rsidRPr="009A2018">
              <w:rPr>
                <w:rFonts w:cs="Times New Roman"/>
                <w:szCs w:val="24"/>
              </w:rPr>
              <w:t xml:space="preserve"> - 24/06/14</w:t>
            </w:r>
          </w:p>
          <w:p w:rsidR="002555D7" w:rsidRPr="009A2018" w:rsidRDefault="002D7298" w:rsidP="00EC1790">
            <w:pPr>
              <w:spacing w:after="120" w:line="240" w:lineRule="auto"/>
              <w:rPr>
                <w:rFonts w:cs="Times New Roman"/>
                <w:szCs w:val="24"/>
              </w:rPr>
            </w:pPr>
            <w:r w:rsidRPr="009A2018">
              <w:rPr>
                <w:rFonts w:cs="Times New Roman"/>
                <w:szCs w:val="24"/>
              </w:rPr>
              <w:t>32 – Finansijsk</w:t>
            </w:r>
            <w:r w:rsidR="00D83E53">
              <w:rPr>
                <w:rFonts w:cs="Times New Roman"/>
                <w:szCs w:val="24"/>
              </w:rPr>
              <w:t>i nadzor</w:t>
            </w:r>
            <w:r w:rsidR="006F16C6" w:rsidRPr="009A2018">
              <w:rPr>
                <w:rFonts w:cs="Times New Roman"/>
                <w:szCs w:val="24"/>
              </w:rPr>
              <w:t xml:space="preserve"> - 24/06/14</w:t>
            </w:r>
          </w:p>
          <w:p w:rsidR="002555D7" w:rsidRPr="009A2018" w:rsidRDefault="002D7298" w:rsidP="00EC1790">
            <w:pPr>
              <w:spacing w:after="120" w:line="240" w:lineRule="auto"/>
              <w:rPr>
                <w:rFonts w:cs="Times New Roman"/>
                <w:szCs w:val="24"/>
              </w:rPr>
            </w:pPr>
            <w:r w:rsidRPr="009A2018">
              <w:rPr>
                <w:rFonts w:cs="Times New Roman"/>
                <w:szCs w:val="24"/>
              </w:rPr>
              <w:t>33 – Finansijske i budžetske odredbe</w:t>
            </w:r>
            <w:r w:rsidR="009A2018" w:rsidRPr="009A2018">
              <w:rPr>
                <w:rFonts w:cs="Times New Roman"/>
                <w:szCs w:val="24"/>
              </w:rPr>
              <w:t xml:space="preserve"> </w:t>
            </w:r>
            <w:r w:rsidR="005835BB" w:rsidRPr="009A2018">
              <w:rPr>
                <w:rFonts w:cs="Times New Roman"/>
                <w:szCs w:val="24"/>
              </w:rPr>
              <w:t xml:space="preserve">- </w:t>
            </w:r>
            <w:r w:rsidR="006F16C6" w:rsidRPr="009A2018">
              <w:rPr>
                <w:rFonts w:cs="Times New Roman"/>
                <w:szCs w:val="24"/>
              </w:rPr>
              <w:t>16/12/14</w:t>
            </w:r>
          </w:p>
        </w:tc>
      </w:tr>
      <w:tr w:rsidR="00BC3825" w:rsidRPr="009A2018" w:rsidTr="009872E8">
        <w:trPr>
          <w:jc w:val="center"/>
        </w:trPr>
        <w:tc>
          <w:tcPr>
            <w:tcW w:w="9607" w:type="dxa"/>
            <w:gridSpan w:val="3"/>
            <w:tcBorders>
              <w:bottom w:val="single" w:sz="4" w:space="0" w:color="auto"/>
            </w:tcBorders>
            <w:shd w:val="clear" w:color="auto" w:fill="auto"/>
          </w:tcPr>
          <w:p w:rsidR="002555D7" w:rsidRPr="009A2018" w:rsidRDefault="002D7298" w:rsidP="00EC1790">
            <w:pPr>
              <w:spacing w:after="120" w:line="240" w:lineRule="auto"/>
              <w:rPr>
                <w:rFonts w:cs="Times New Roman"/>
                <w:b/>
                <w:szCs w:val="24"/>
              </w:rPr>
            </w:pPr>
            <w:r w:rsidRPr="009A2018">
              <w:rPr>
                <w:rFonts w:cs="Times New Roman"/>
                <w:b/>
                <w:szCs w:val="24"/>
              </w:rPr>
              <w:lastRenderedPageBreak/>
              <w:t>3 Poglavlja privremeno zatvorena</w:t>
            </w:r>
          </w:p>
        </w:tc>
      </w:tr>
      <w:tr w:rsidR="00BC3825" w:rsidRPr="009A2018" w:rsidTr="009872E8">
        <w:trPr>
          <w:jc w:val="center"/>
        </w:trPr>
        <w:tc>
          <w:tcPr>
            <w:tcW w:w="9607" w:type="dxa"/>
            <w:gridSpan w:val="3"/>
            <w:shd w:val="clear" w:color="auto" w:fill="auto"/>
          </w:tcPr>
          <w:p w:rsidR="002555D7" w:rsidRPr="009A2018" w:rsidRDefault="002D7298" w:rsidP="00EC1790">
            <w:pPr>
              <w:spacing w:after="120" w:line="240" w:lineRule="auto"/>
              <w:rPr>
                <w:rFonts w:cs="Times New Roman"/>
                <w:szCs w:val="24"/>
              </w:rPr>
            </w:pPr>
            <w:r w:rsidRPr="009A2018">
              <w:rPr>
                <w:rFonts w:cs="Times New Roman"/>
                <w:szCs w:val="24"/>
              </w:rPr>
              <w:t>25 – Nauka i istraživanje</w:t>
            </w:r>
            <w:r w:rsidR="006F16C6" w:rsidRPr="009A2018">
              <w:rPr>
                <w:rFonts w:cs="Times New Roman"/>
                <w:szCs w:val="24"/>
              </w:rPr>
              <w:t xml:space="preserve"> (o</w:t>
            </w:r>
            <w:r w:rsidRPr="009A2018">
              <w:rPr>
                <w:rFonts w:cs="Times New Roman"/>
                <w:szCs w:val="24"/>
              </w:rPr>
              <w:t>tvoreno i zatvoreno</w:t>
            </w:r>
            <w:r w:rsidR="006F16C6" w:rsidRPr="009A2018">
              <w:rPr>
                <w:rFonts w:cs="Times New Roman"/>
                <w:szCs w:val="24"/>
              </w:rPr>
              <w:t xml:space="preserve"> 18/12/12) </w:t>
            </w:r>
          </w:p>
          <w:p w:rsidR="002555D7" w:rsidRPr="009A2018" w:rsidRDefault="006F16C6" w:rsidP="00EC1790">
            <w:pPr>
              <w:spacing w:after="120" w:line="240" w:lineRule="auto"/>
              <w:rPr>
                <w:rFonts w:cs="Times New Roman"/>
                <w:szCs w:val="24"/>
              </w:rPr>
            </w:pPr>
            <w:r w:rsidRPr="009A2018">
              <w:rPr>
                <w:rFonts w:cs="Times New Roman"/>
                <w:szCs w:val="24"/>
              </w:rPr>
              <w:t xml:space="preserve">26 – </w:t>
            </w:r>
            <w:r w:rsidR="002D7298" w:rsidRPr="009A2018">
              <w:rPr>
                <w:rFonts w:cs="Times New Roman"/>
                <w:szCs w:val="24"/>
              </w:rPr>
              <w:t>Obrazovanje i kultura</w:t>
            </w:r>
            <w:r w:rsidRPr="009A2018">
              <w:rPr>
                <w:rFonts w:cs="Times New Roman"/>
                <w:szCs w:val="24"/>
              </w:rPr>
              <w:t xml:space="preserve"> (o</w:t>
            </w:r>
            <w:r w:rsidR="002D7298" w:rsidRPr="009A2018">
              <w:rPr>
                <w:rFonts w:cs="Times New Roman"/>
                <w:szCs w:val="24"/>
              </w:rPr>
              <w:t>tvoreno i zatvoreno</w:t>
            </w:r>
            <w:r w:rsidRPr="009A2018">
              <w:rPr>
                <w:rFonts w:cs="Times New Roman"/>
                <w:szCs w:val="24"/>
              </w:rPr>
              <w:t xml:space="preserve"> 15/04/13) </w:t>
            </w:r>
          </w:p>
          <w:p w:rsidR="002555D7" w:rsidRPr="009A2018" w:rsidRDefault="006F16C6" w:rsidP="00D83E53">
            <w:pPr>
              <w:spacing w:after="120" w:line="240" w:lineRule="auto"/>
              <w:rPr>
                <w:rFonts w:eastAsia="Times New Roman" w:cs="Times New Roman"/>
                <w:i/>
                <w:szCs w:val="24"/>
              </w:rPr>
            </w:pPr>
            <w:r w:rsidRPr="009A2018">
              <w:rPr>
                <w:rFonts w:cs="Times New Roman"/>
                <w:szCs w:val="24"/>
              </w:rPr>
              <w:t xml:space="preserve">30 – </w:t>
            </w:r>
            <w:r w:rsidR="003B6C93">
              <w:rPr>
                <w:rFonts w:cs="Times New Roman"/>
                <w:szCs w:val="24"/>
              </w:rPr>
              <w:t xml:space="preserve">Vanjski </w:t>
            </w:r>
            <w:r w:rsidR="0041628A">
              <w:rPr>
                <w:rFonts w:cs="Times New Roman"/>
                <w:szCs w:val="24"/>
              </w:rPr>
              <w:t>odnosi</w:t>
            </w:r>
            <w:r w:rsidR="002D7298" w:rsidRPr="009A2018">
              <w:rPr>
                <w:rFonts w:cs="Times New Roman"/>
                <w:szCs w:val="24"/>
              </w:rPr>
              <w:t xml:space="preserve"> (otvoreno</w:t>
            </w:r>
            <w:r w:rsidRPr="009A2018">
              <w:rPr>
                <w:rFonts w:cs="Times New Roman"/>
                <w:szCs w:val="24"/>
              </w:rPr>
              <w:t xml:space="preserve"> 30/03/15; pr</w:t>
            </w:r>
            <w:r w:rsidR="002D7298" w:rsidRPr="009A2018">
              <w:rPr>
                <w:rFonts w:cs="Times New Roman"/>
                <w:szCs w:val="24"/>
              </w:rPr>
              <w:t>ivremeno zatvoreno</w:t>
            </w:r>
            <w:r w:rsidRPr="009A2018">
              <w:rPr>
                <w:rFonts w:cs="Times New Roman"/>
                <w:szCs w:val="24"/>
              </w:rPr>
              <w:t xml:space="preserve"> 20/06/17)</w:t>
            </w:r>
          </w:p>
        </w:tc>
      </w:tr>
      <w:tr w:rsidR="00BC3825" w:rsidRPr="009A2018" w:rsidTr="009872E8">
        <w:trPr>
          <w:jc w:val="center"/>
        </w:trPr>
        <w:tc>
          <w:tcPr>
            <w:tcW w:w="9607" w:type="dxa"/>
            <w:gridSpan w:val="3"/>
            <w:tcBorders>
              <w:top w:val="single" w:sz="4" w:space="0" w:color="auto"/>
              <w:left w:val="single" w:sz="4" w:space="0" w:color="auto"/>
              <w:bottom w:val="nil"/>
              <w:right w:val="single" w:sz="4" w:space="0" w:color="auto"/>
            </w:tcBorders>
            <w:shd w:val="clear" w:color="auto" w:fill="auto"/>
          </w:tcPr>
          <w:p w:rsidR="002555D7" w:rsidRPr="009A2018" w:rsidRDefault="002D7298" w:rsidP="00EC1790">
            <w:pPr>
              <w:spacing w:after="120" w:line="240" w:lineRule="auto"/>
              <w:rPr>
                <w:rFonts w:cs="Times New Roman"/>
                <w:b/>
                <w:szCs w:val="24"/>
              </w:rPr>
            </w:pPr>
            <w:r w:rsidRPr="009A2018">
              <w:rPr>
                <w:rFonts w:cs="Times New Roman"/>
                <w:b/>
                <w:szCs w:val="24"/>
              </w:rPr>
              <w:t>2 Poglavlja</w:t>
            </w:r>
            <w:r w:rsidR="00AC74F6" w:rsidRPr="009A2018">
              <w:rPr>
                <w:rFonts w:cs="Times New Roman"/>
                <w:b/>
                <w:szCs w:val="24"/>
              </w:rPr>
              <w:t xml:space="preserve"> koja</w:t>
            </w:r>
            <w:r w:rsidRPr="009A2018">
              <w:rPr>
                <w:rFonts w:cs="Times New Roman"/>
                <w:b/>
                <w:szCs w:val="24"/>
              </w:rPr>
              <w:t xml:space="preserve"> trenutno ni</w:t>
            </w:r>
            <w:r w:rsidR="009A2018" w:rsidRPr="009A2018">
              <w:rPr>
                <w:rFonts w:cs="Times New Roman"/>
                <w:b/>
                <w:szCs w:val="24"/>
              </w:rPr>
              <w:t>je</w:t>
            </w:r>
            <w:r w:rsidRPr="009A2018">
              <w:rPr>
                <w:rFonts w:cs="Times New Roman"/>
                <w:b/>
                <w:szCs w:val="24"/>
              </w:rPr>
              <w:t>su prim</w:t>
            </w:r>
            <w:r w:rsidR="00F0640F" w:rsidRPr="009A2018">
              <w:rPr>
                <w:rFonts w:cs="Times New Roman"/>
                <w:b/>
                <w:szCs w:val="24"/>
              </w:rPr>
              <w:t>j</w:t>
            </w:r>
            <w:r w:rsidRPr="009A2018">
              <w:rPr>
                <w:rFonts w:cs="Times New Roman"/>
                <w:b/>
                <w:szCs w:val="24"/>
              </w:rPr>
              <w:t>en</w:t>
            </w:r>
            <w:r w:rsidR="0041628A">
              <w:rPr>
                <w:rFonts w:cs="Times New Roman"/>
                <w:b/>
                <w:szCs w:val="24"/>
              </w:rPr>
              <w:t>l</w:t>
            </w:r>
            <w:r w:rsidRPr="009A2018">
              <w:rPr>
                <w:rFonts w:cs="Times New Roman"/>
                <w:b/>
                <w:szCs w:val="24"/>
              </w:rPr>
              <w:t>jiva za Crnu Goru</w:t>
            </w:r>
          </w:p>
        </w:tc>
      </w:tr>
      <w:tr w:rsidR="00BC3825" w:rsidRPr="009A2018" w:rsidTr="009872E8">
        <w:trPr>
          <w:jc w:val="center"/>
        </w:trPr>
        <w:tc>
          <w:tcPr>
            <w:tcW w:w="9607" w:type="dxa"/>
            <w:gridSpan w:val="3"/>
            <w:shd w:val="clear" w:color="auto" w:fill="auto"/>
          </w:tcPr>
          <w:p w:rsidR="002555D7" w:rsidRPr="009A2018" w:rsidRDefault="002D7298" w:rsidP="00EC1790">
            <w:pPr>
              <w:spacing w:after="120" w:line="240" w:lineRule="auto"/>
              <w:rPr>
                <w:rFonts w:cs="Times New Roman"/>
                <w:szCs w:val="24"/>
              </w:rPr>
            </w:pPr>
            <w:r w:rsidRPr="009A2018">
              <w:rPr>
                <w:rFonts w:cs="Times New Roman"/>
                <w:szCs w:val="24"/>
              </w:rPr>
              <w:t>34 – Institucije</w:t>
            </w:r>
          </w:p>
          <w:p w:rsidR="002555D7" w:rsidRPr="009A2018" w:rsidRDefault="002D7298" w:rsidP="00EC1790">
            <w:pPr>
              <w:spacing w:after="120" w:line="240" w:lineRule="auto"/>
              <w:rPr>
                <w:rFonts w:cs="Times New Roman"/>
                <w:i/>
                <w:szCs w:val="24"/>
              </w:rPr>
            </w:pPr>
            <w:r w:rsidRPr="009A2018">
              <w:rPr>
                <w:rFonts w:cs="Times New Roman"/>
                <w:szCs w:val="24"/>
              </w:rPr>
              <w:t>35 – Ostala pitanja</w:t>
            </w:r>
          </w:p>
        </w:tc>
      </w:tr>
    </w:tbl>
    <w:p w:rsidR="00751D6A" w:rsidRPr="009A2018" w:rsidRDefault="006F16C6" w:rsidP="00EC1790">
      <w:pPr>
        <w:pStyle w:val="ManualHeading1"/>
        <w:spacing w:before="120"/>
        <w:ind w:left="0" w:firstLine="0"/>
        <w:rPr>
          <w:rFonts w:eastAsiaTheme="minorEastAsia"/>
          <w:lang w:eastAsia="en-GB"/>
        </w:rPr>
      </w:pPr>
      <w:bookmarkStart w:id="11" w:name="_Toc53362430"/>
      <w:r w:rsidRPr="009A2018">
        <w:rPr>
          <w:rFonts w:eastAsiaTheme="minorEastAsia"/>
        </w:rPr>
        <w:lastRenderedPageBreak/>
        <w:t>2.</w:t>
      </w:r>
      <w:r w:rsidRPr="009A2018">
        <w:rPr>
          <w:rFonts w:eastAsiaTheme="minorEastAsia"/>
        </w:rPr>
        <w:tab/>
      </w:r>
      <w:r w:rsidR="00B67697" w:rsidRPr="009A2018">
        <w:rPr>
          <w:rFonts w:eastAsiaTheme="minorEastAsia"/>
          <w:lang w:eastAsia="en-GB"/>
        </w:rPr>
        <w:t>Najpr</w:t>
      </w:r>
      <w:r w:rsidR="00F0640F" w:rsidRPr="009A2018">
        <w:rPr>
          <w:rFonts w:eastAsiaTheme="minorEastAsia"/>
          <w:lang w:eastAsia="en-GB"/>
        </w:rPr>
        <w:t>ij</w:t>
      </w:r>
      <w:r w:rsidR="00B67697" w:rsidRPr="009A2018">
        <w:rPr>
          <w:rFonts w:eastAsiaTheme="minorEastAsia"/>
          <w:lang w:eastAsia="en-GB"/>
        </w:rPr>
        <w:t>e osnovna pitanja</w:t>
      </w:r>
      <w:r w:rsidRPr="009A2018">
        <w:rPr>
          <w:rFonts w:eastAsiaTheme="minorEastAsia"/>
          <w:lang w:eastAsia="en-GB"/>
        </w:rPr>
        <w:t>: politi</w:t>
      </w:r>
      <w:r w:rsidR="00B67697" w:rsidRPr="009A2018">
        <w:rPr>
          <w:rFonts w:eastAsiaTheme="minorEastAsia"/>
          <w:lang w:eastAsia="en-GB"/>
        </w:rPr>
        <w:t>čki kriterijumi i vladavina prava</w:t>
      </w:r>
      <w:bookmarkEnd w:id="11"/>
    </w:p>
    <w:p w:rsidR="00751D6A" w:rsidRPr="009A2018" w:rsidRDefault="006F16C6" w:rsidP="00EC1790">
      <w:pPr>
        <w:pStyle w:val="Heading2"/>
        <w:rPr>
          <w:lang w:eastAsia="it-IT"/>
        </w:rPr>
      </w:pPr>
      <w:bookmarkStart w:id="12" w:name="_Toc510690708"/>
      <w:bookmarkStart w:id="13" w:name="_Toc510805369"/>
      <w:bookmarkStart w:id="14" w:name="_Toc9585287"/>
      <w:bookmarkStart w:id="15" w:name="_Toc30073803"/>
      <w:bookmarkStart w:id="16" w:name="_Toc30074116"/>
      <w:bookmarkStart w:id="17" w:name="_Toc30080555"/>
      <w:bookmarkStart w:id="18" w:name="_Toc53362431"/>
      <w:r w:rsidRPr="009A2018">
        <w:t>2.1</w:t>
      </w:r>
      <w:r w:rsidRPr="009A2018">
        <w:tab/>
      </w:r>
      <w:r w:rsidRPr="009A2018">
        <w:rPr>
          <w:lang w:eastAsia="it-IT"/>
        </w:rPr>
        <w:t>Fun</w:t>
      </w:r>
      <w:r w:rsidR="00B67697" w:rsidRPr="009A2018">
        <w:rPr>
          <w:lang w:eastAsia="it-IT"/>
        </w:rPr>
        <w:t>kcionisanje demokratskih institucija i reforma javne uprave</w:t>
      </w:r>
      <w:bookmarkEnd w:id="12"/>
      <w:bookmarkEnd w:id="13"/>
      <w:bookmarkEnd w:id="14"/>
      <w:bookmarkEnd w:id="15"/>
      <w:bookmarkEnd w:id="16"/>
      <w:bookmarkEnd w:id="17"/>
      <w:bookmarkEnd w:id="18"/>
    </w:p>
    <w:p w:rsidR="00751D6A" w:rsidRPr="009A2018" w:rsidRDefault="006F16C6" w:rsidP="00EC1790">
      <w:pPr>
        <w:pStyle w:val="Heading2"/>
        <w:spacing w:before="0" w:line="240" w:lineRule="auto"/>
        <w:rPr>
          <w:rFonts w:cs="Times New Roman"/>
          <w:szCs w:val="24"/>
        </w:rPr>
      </w:pPr>
      <w:bookmarkStart w:id="19" w:name="_Toc9585288"/>
      <w:bookmarkStart w:id="20" w:name="_Toc30073804"/>
      <w:bookmarkStart w:id="21" w:name="_Toc30074117"/>
      <w:bookmarkStart w:id="22" w:name="_Toc30080556"/>
      <w:bookmarkStart w:id="23" w:name="_Toc53362432"/>
      <w:r w:rsidRPr="009A2018">
        <w:rPr>
          <w:rFonts w:cs="Times New Roman"/>
          <w:szCs w:val="24"/>
        </w:rPr>
        <w:t>2.1.1</w:t>
      </w:r>
      <w:r w:rsidRPr="009A2018">
        <w:rPr>
          <w:rFonts w:cs="Times New Roman"/>
          <w:szCs w:val="24"/>
        </w:rPr>
        <w:tab/>
      </w:r>
      <w:bookmarkStart w:id="24" w:name="_Toc510805370"/>
      <w:r w:rsidRPr="009A2018">
        <w:rPr>
          <w:rFonts w:cs="Times New Roman"/>
          <w:szCs w:val="24"/>
        </w:rPr>
        <w:t>Demo</w:t>
      </w:r>
      <w:bookmarkEnd w:id="19"/>
      <w:bookmarkEnd w:id="20"/>
      <w:bookmarkEnd w:id="21"/>
      <w:bookmarkEnd w:id="22"/>
      <w:bookmarkEnd w:id="24"/>
      <w:r w:rsidR="00B67697" w:rsidRPr="009A2018">
        <w:rPr>
          <w:rFonts w:cs="Times New Roman"/>
          <w:szCs w:val="24"/>
        </w:rPr>
        <w:t>kratija</w:t>
      </w:r>
      <w:bookmarkEnd w:id="23"/>
    </w:p>
    <w:p w:rsidR="005F62F4" w:rsidRPr="009A2018" w:rsidRDefault="00B67697" w:rsidP="00EC1790">
      <w:pPr>
        <w:spacing w:after="120" w:line="240" w:lineRule="auto"/>
        <w:jc w:val="both"/>
        <w:rPr>
          <w:rFonts w:cs="Times New Roman"/>
          <w:b/>
          <w:szCs w:val="24"/>
        </w:rPr>
      </w:pPr>
      <w:r w:rsidRPr="009A2018">
        <w:rPr>
          <w:rFonts w:cs="Times New Roman"/>
          <w:b/>
          <w:szCs w:val="24"/>
        </w:rPr>
        <w:t>Izbori</w:t>
      </w:r>
    </w:p>
    <w:tbl>
      <w:tblPr>
        <w:tblStyle w:val="TableGrid"/>
        <w:tblW w:w="0" w:type="auto"/>
        <w:tblLook w:val="04A0" w:firstRow="1" w:lastRow="0" w:firstColumn="1" w:lastColumn="0" w:noHBand="0" w:noVBand="1"/>
      </w:tblPr>
      <w:tblGrid>
        <w:gridCol w:w="9243"/>
      </w:tblGrid>
      <w:tr w:rsidR="00BC3825" w:rsidRPr="009A2018" w:rsidTr="005835BB">
        <w:trPr>
          <w:trHeight w:val="274"/>
        </w:trPr>
        <w:tc>
          <w:tcPr>
            <w:tcW w:w="9464" w:type="dxa"/>
            <w:shd w:val="clear" w:color="auto" w:fill="D9D9D9" w:themeFill="background1" w:themeFillShade="D9"/>
          </w:tcPr>
          <w:p w:rsidR="005F62F4" w:rsidRPr="009A2018" w:rsidRDefault="00B67697" w:rsidP="00EC1790">
            <w:pPr>
              <w:spacing w:after="120" w:line="240" w:lineRule="auto"/>
              <w:jc w:val="both"/>
              <w:rPr>
                <w:rFonts w:cs="Times New Roman"/>
                <w:szCs w:val="24"/>
              </w:rPr>
            </w:pPr>
            <w:r w:rsidRPr="009A2018">
              <w:rPr>
                <w:rFonts w:cs="Times New Roman"/>
                <w:szCs w:val="24"/>
              </w:rPr>
              <w:t>Crna Gora je 30. avgusta 2020. godine održala parlamentarne i lokalne izbore u pet opština, prema izbornom zakonskom okviru za koji se pro</w:t>
            </w:r>
            <w:r w:rsidR="00AC74F6" w:rsidRPr="009A2018">
              <w:rPr>
                <w:rFonts w:cs="Times New Roman"/>
                <w:szCs w:val="24"/>
              </w:rPr>
              <w:t>c</w:t>
            </w:r>
            <w:r w:rsidR="002C3D0D" w:rsidRPr="009A2018">
              <w:rPr>
                <w:rFonts w:cs="Times New Roman"/>
                <w:szCs w:val="24"/>
              </w:rPr>
              <w:t>j</w:t>
            </w:r>
            <w:r w:rsidRPr="009A2018">
              <w:rPr>
                <w:rFonts w:cs="Times New Roman"/>
                <w:szCs w:val="24"/>
              </w:rPr>
              <w:t xml:space="preserve">enjuje da je </w:t>
            </w:r>
            <w:r w:rsidR="007163A4" w:rsidRPr="009A2018">
              <w:rPr>
                <w:rFonts w:cs="Times New Roman"/>
                <w:szCs w:val="24"/>
              </w:rPr>
              <w:t>od posl</w:t>
            </w:r>
            <w:r w:rsidR="009A2018" w:rsidRPr="009A2018">
              <w:rPr>
                <w:rFonts w:cs="Times New Roman"/>
                <w:szCs w:val="24"/>
              </w:rPr>
              <w:t>j</w:t>
            </w:r>
            <w:r w:rsidR="007163A4" w:rsidRPr="009A2018">
              <w:rPr>
                <w:rFonts w:cs="Times New Roman"/>
                <w:szCs w:val="24"/>
              </w:rPr>
              <w:t xml:space="preserve">ednjih izbora </w:t>
            </w:r>
            <w:r w:rsidRPr="009A2018">
              <w:rPr>
                <w:rFonts w:cs="Times New Roman"/>
                <w:szCs w:val="24"/>
              </w:rPr>
              <w:t xml:space="preserve">uglavnom </w:t>
            </w:r>
            <w:r w:rsidR="007163A4" w:rsidRPr="009A2018">
              <w:rPr>
                <w:rFonts w:cs="Times New Roman"/>
                <w:szCs w:val="24"/>
              </w:rPr>
              <w:t xml:space="preserve">ostao </w:t>
            </w:r>
            <w:r w:rsidRPr="009A2018">
              <w:rPr>
                <w:rFonts w:cs="Times New Roman"/>
                <w:szCs w:val="24"/>
              </w:rPr>
              <w:t>neprom</w:t>
            </w:r>
            <w:r w:rsidR="002C3D0D" w:rsidRPr="009A2018">
              <w:rPr>
                <w:rFonts w:cs="Times New Roman"/>
                <w:szCs w:val="24"/>
              </w:rPr>
              <w:t>ij</w:t>
            </w:r>
            <w:r w:rsidRPr="009A2018">
              <w:rPr>
                <w:rFonts w:cs="Times New Roman"/>
                <w:szCs w:val="24"/>
              </w:rPr>
              <w:t>enjen</w:t>
            </w:r>
            <w:r w:rsidR="005723E1" w:rsidRPr="009A2018">
              <w:rPr>
                <w:rFonts w:cs="Times New Roman"/>
                <w:szCs w:val="24"/>
              </w:rPr>
              <w:t xml:space="preserve">, </w:t>
            </w:r>
            <w:r w:rsidR="00AC74F6" w:rsidRPr="009A2018">
              <w:rPr>
                <w:rFonts w:cs="Times New Roman"/>
                <w:szCs w:val="24"/>
              </w:rPr>
              <w:t xml:space="preserve">a </w:t>
            </w:r>
            <w:r w:rsidR="005723E1" w:rsidRPr="009A2018">
              <w:rPr>
                <w:rFonts w:cs="Times New Roman"/>
                <w:szCs w:val="24"/>
              </w:rPr>
              <w:t>u</w:t>
            </w:r>
            <w:r w:rsidRPr="009A2018">
              <w:rPr>
                <w:rFonts w:cs="Times New Roman"/>
                <w:szCs w:val="24"/>
              </w:rPr>
              <w:t xml:space="preserve"> kontekstu</w:t>
            </w:r>
            <w:r w:rsidR="009A2018" w:rsidRPr="009A2018">
              <w:rPr>
                <w:rFonts w:cs="Times New Roman"/>
                <w:szCs w:val="24"/>
              </w:rPr>
              <w:t xml:space="preserve"> </w:t>
            </w:r>
            <w:r w:rsidR="00AC74F6" w:rsidRPr="009A2018">
              <w:rPr>
                <w:rFonts w:cs="Times New Roman"/>
                <w:szCs w:val="24"/>
              </w:rPr>
              <w:t>koji je otežala pandemija</w:t>
            </w:r>
            <w:r w:rsidRPr="009A2018">
              <w:rPr>
                <w:rFonts w:cs="Times New Roman"/>
                <w:szCs w:val="24"/>
              </w:rPr>
              <w:t xml:space="preserve"> virusa COVID-19. Međunarodni posmatrači iz OEBS-ove Kancelarije za demokratske institucije i ljudska prava (ODIHR) i Parlamentarna</w:t>
            </w:r>
            <w:r w:rsidR="005723E1" w:rsidRPr="009A2018">
              <w:rPr>
                <w:rFonts w:cs="Times New Roman"/>
                <w:szCs w:val="24"/>
              </w:rPr>
              <w:t xml:space="preserve"> skupština</w:t>
            </w:r>
            <w:r w:rsidRPr="009A2018">
              <w:rPr>
                <w:rFonts w:cs="Times New Roman"/>
                <w:szCs w:val="24"/>
              </w:rPr>
              <w:t xml:space="preserve"> OEBS</w:t>
            </w:r>
            <w:r w:rsidR="005723E1" w:rsidRPr="009A2018">
              <w:rPr>
                <w:rFonts w:cs="Times New Roman"/>
                <w:szCs w:val="24"/>
              </w:rPr>
              <w:t>-a navode</w:t>
            </w:r>
            <w:r w:rsidRPr="009A2018">
              <w:rPr>
                <w:rFonts w:cs="Times New Roman"/>
                <w:szCs w:val="24"/>
              </w:rPr>
              <w:t xml:space="preserve"> da su izbori </w:t>
            </w:r>
            <w:r w:rsidR="005723E1" w:rsidRPr="009A2018">
              <w:rPr>
                <w:rFonts w:cs="Times New Roman"/>
                <w:szCs w:val="24"/>
              </w:rPr>
              <w:t>protekli mirno, u</w:t>
            </w:r>
            <w:r w:rsidR="009A2018" w:rsidRPr="009A2018">
              <w:rPr>
                <w:rFonts w:cs="Times New Roman"/>
                <w:szCs w:val="24"/>
              </w:rPr>
              <w:t xml:space="preserve"> </w:t>
            </w:r>
            <w:r w:rsidR="005723E1" w:rsidRPr="009A2018">
              <w:rPr>
                <w:rFonts w:cs="Times New Roman"/>
                <w:szCs w:val="24"/>
              </w:rPr>
              <w:t>takmičarskom duhu</w:t>
            </w:r>
            <w:r w:rsidRPr="009A2018">
              <w:rPr>
                <w:rFonts w:cs="Times New Roman"/>
                <w:szCs w:val="24"/>
              </w:rPr>
              <w:t xml:space="preserve">; </w:t>
            </w:r>
            <w:r w:rsidR="005723E1" w:rsidRPr="009A2018">
              <w:rPr>
                <w:rFonts w:cs="Times New Roman"/>
                <w:szCs w:val="24"/>
              </w:rPr>
              <w:t xml:space="preserve">te da su se </w:t>
            </w:r>
            <w:r w:rsidRPr="009A2018">
              <w:rPr>
                <w:rFonts w:cs="Times New Roman"/>
                <w:szCs w:val="24"/>
              </w:rPr>
              <w:t xml:space="preserve">uglavnom odvijali na transparentan i efikasan način. Okruženje u kojem se odvijala kampanja bilo </w:t>
            </w:r>
            <w:r w:rsidR="009A2018" w:rsidRPr="009A2018">
              <w:rPr>
                <w:rFonts w:cs="Times New Roman"/>
                <w:szCs w:val="24"/>
              </w:rPr>
              <w:t>je duboko polarizovano u vezi s</w:t>
            </w:r>
            <w:r w:rsidRPr="009A2018">
              <w:rPr>
                <w:rFonts w:cs="Times New Roman"/>
                <w:szCs w:val="24"/>
              </w:rPr>
              <w:t xml:space="preserve"> pitanjima crkve </w:t>
            </w:r>
            <w:r w:rsidR="002C3D0D" w:rsidRPr="009A2018">
              <w:rPr>
                <w:rFonts w:cs="Times New Roman"/>
                <w:szCs w:val="24"/>
              </w:rPr>
              <w:t>i nacionalnog identiteta, a obilj</w:t>
            </w:r>
            <w:r w:rsidRPr="009A2018">
              <w:rPr>
                <w:rFonts w:cs="Times New Roman"/>
                <w:szCs w:val="24"/>
              </w:rPr>
              <w:t>eženo je neprim</w:t>
            </w:r>
            <w:r w:rsidR="002C3D0D" w:rsidRPr="009A2018">
              <w:rPr>
                <w:rFonts w:cs="Times New Roman"/>
                <w:szCs w:val="24"/>
              </w:rPr>
              <w:t>j</w:t>
            </w:r>
            <w:r w:rsidRPr="009A2018">
              <w:rPr>
                <w:rFonts w:cs="Times New Roman"/>
                <w:szCs w:val="24"/>
              </w:rPr>
              <w:t>erenom prednošću za vladajuću stranku i neizbalansiranim medijskim izv</w:t>
            </w:r>
            <w:r w:rsidR="002C3D0D" w:rsidRPr="009A2018">
              <w:rPr>
                <w:rFonts w:cs="Times New Roman"/>
                <w:szCs w:val="24"/>
              </w:rPr>
              <w:t>j</w:t>
            </w:r>
            <w:r w:rsidRPr="009A2018">
              <w:rPr>
                <w:rFonts w:cs="Times New Roman"/>
                <w:szCs w:val="24"/>
              </w:rPr>
              <w:t>eštavanjem. Brojne prepo</w:t>
            </w:r>
            <w:r w:rsidR="00E11986" w:rsidRPr="009A2018">
              <w:rPr>
                <w:rFonts w:cs="Times New Roman"/>
                <w:szCs w:val="24"/>
              </w:rPr>
              <w:t>ruke koje je prethodno dao OEBS/</w:t>
            </w:r>
            <w:r w:rsidRPr="009A2018">
              <w:rPr>
                <w:rFonts w:cs="Times New Roman"/>
                <w:szCs w:val="24"/>
              </w:rPr>
              <w:t>ODIHR i dalje su nerealizovane, stoga politički akteri i relevantne institucije sada moraju da se uključe u transparentan, odlučan i inkluzivan dijalog o prim</w:t>
            </w:r>
            <w:r w:rsidR="002C3D0D" w:rsidRPr="009A2018">
              <w:rPr>
                <w:rFonts w:cs="Times New Roman"/>
                <w:szCs w:val="24"/>
              </w:rPr>
              <w:t>j</w:t>
            </w:r>
            <w:r w:rsidRPr="009A2018">
              <w:rPr>
                <w:rFonts w:cs="Times New Roman"/>
                <w:szCs w:val="24"/>
              </w:rPr>
              <w:t>eni ovih preporuka kako bi se</w:t>
            </w:r>
            <w:r w:rsidR="005723E1" w:rsidRPr="009A2018">
              <w:rPr>
                <w:rFonts w:cs="Times New Roman"/>
                <w:szCs w:val="24"/>
              </w:rPr>
              <w:t xml:space="preserve"> pr</w:t>
            </w:r>
            <w:r w:rsidR="002C3D0D" w:rsidRPr="009A2018">
              <w:rPr>
                <w:rFonts w:cs="Times New Roman"/>
                <w:szCs w:val="24"/>
              </w:rPr>
              <w:t>ij</w:t>
            </w:r>
            <w:r w:rsidR="005723E1" w:rsidRPr="009A2018">
              <w:rPr>
                <w:rFonts w:cs="Times New Roman"/>
                <w:szCs w:val="24"/>
              </w:rPr>
              <w:t>e narednih izbora,</w:t>
            </w:r>
            <w:r w:rsidRPr="009A2018">
              <w:rPr>
                <w:rFonts w:cs="Times New Roman"/>
                <w:szCs w:val="24"/>
              </w:rPr>
              <w:t xml:space="preserve"> na vr</w:t>
            </w:r>
            <w:r w:rsidR="002C3D0D" w:rsidRPr="009A2018">
              <w:rPr>
                <w:rFonts w:cs="Times New Roman"/>
                <w:szCs w:val="24"/>
              </w:rPr>
              <w:t>ij</w:t>
            </w:r>
            <w:r w:rsidRPr="009A2018">
              <w:rPr>
                <w:rFonts w:cs="Times New Roman"/>
                <w:szCs w:val="24"/>
              </w:rPr>
              <w:t>eme r</w:t>
            </w:r>
            <w:r w:rsidR="0041628A">
              <w:rPr>
                <w:rFonts w:cs="Times New Roman"/>
                <w:szCs w:val="24"/>
              </w:rPr>
              <w:t>ij</w:t>
            </w:r>
            <w:r w:rsidRPr="009A2018">
              <w:rPr>
                <w:rFonts w:cs="Times New Roman"/>
                <w:szCs w:val="24"/>
              </w:rPr>
              <w:t>ešili dugogodišnji izborni nedostaci.</w:t>
            </w:r>
          </w:p>
        </w:tc>
      </w:tr>
    </w:tbl>
    <w:p w:rsidR="00EA4204" w:rsidRPr="009A2018" w:rsidRDefault="005723E1" w:rsidP="00EC1790">
      <w:pPr>
        <w:spacing w:after="120" w:line="240" w:lineRule="auto"/>
        <w:jc w:val="both"/>
        <w:rPr>
          <w:rFonts w:cs="Times New Roman"/>
          <w:szCs w:val="24"/>
        </w:rPr>
      </w:pPr>
      <w:r w:rsidRPr="009A2018">
        <w:rPr>
          <w:rFonts w:cs="Times New Roman"/>
          <w:szCs w:val="24"/>
        </w:rPr>
        <w:t>Na poziv crnogorskih vlasti, ODIHR i Parlamentarna skupština OEBS-a poslali su ograničen b</w:t>
      </w:r>
      <w:r w:rsidR="0041628A">
        <w:rPr>
          <w:rFonts w:cs="Times New Roman"/>
          <w:szCs w:val="24"/>
        </w:rPr>
        <w:t>roj posmatrača zbog situacije s</w:t>
      </w:r>
      <w:r w:rsidRPr="009A2018">
        <w:rPr>
          <w:rFonts w:cs="Times New Roman"/>
          <w:szCs w:val="24"/>
        </w:rPr>
        <w:t xml:space="preserve"> pandemijom virusa</w:t>
      </w:r>
      <w:r w:rsidR="006F16C6" w:rsidRPr="009A2018">
        <w:rPr>
          <w:rFonts w:cs="Times New Roman"/>
          <w:szCs w:val="24"/>
        </w:rPr>
        <w:t xml:space="preserve"> COVID-19.</w:t>
      </w:r>
    </w:p>
    <w:p w:rsidR="00EA4204" w:rsidRPr="009A2018" w:rsidRDefault="005723E1" w:rsidP="00EC1790">
      <w:pPr>
        <w:spacing w:after="120" w:line="240" w:lineRule="auto"/>
        <w:jc w:val="both"/>
        <w:rPr>
          <w:rFonts w:cs="Times New Roman"/>
          <w:szCs w:val="24"/>
        </w:rPr>
      </w:pPr>
      <w:r w:rsidRPr="009A2018">
        <w:rPr>
          <w:rFonts w:cs="Times New Roman"/>
          <w:szCs w:val="24"/>
        </w:rPr>
        <w:t>Prema njihovim preliminarnim zaključcima, izbori su bili takmičarski i odvijali su se u sredini koja je duboko polarizovana po pitanju nacionalnog identiteta i crkve, gd</w:t>
      </w:r>
      <w:r w:rsidR="002C3D0D" w:rsidRPr="009A2018">
        <w:rPr>
          <w:rFonts w:cs="Times New Roman"/>
          <w:szCs w:val="24"/>
        </w:rPr>
        <w:t>j</w:t>
      </w:r>
      <w:r w:rsidRPr="009A2018">
        <w:rPr>
          <w:rFonts w:cs="Times New Roman"/>
          <w:szCs w:val="24"/>
        </w:rPr>
        <w:t xml:space="preserve">e je tokom izbornog perioda, </w:t>
      </w:r>
      <w:r w:rsidR="001452E2">
        <w:rPr>
          <w:rFonts w:cs="Times New Roman"/>
          <w:szCs w:val="24"/>
        </w:rPr>
        <w:t>S</w:t>
      </w:r>
      <w:r w:rsidR="001452E2" w:rsidRPr="009A2018">
        <w:rPr>
          <w:rFonts w:cs="Times New Roman"/>
          <w:szCs w:val="24"/>
        </w:rPr>
        <w:t xml:space="preserve">rpska </w:t>
      </w:r>
      <w:r w:rsidRPr="009A2018">
        <w:rPr>
          <w:rFonts w:cs="Times New Roman"/>
          <w:szCs w:val="24"/>
        </w:rPr>
        <w:t>pravoslavna crkva (SPC) zauzimala aktivan stav. Kamp</w:t>
      </w:r>
      <w:r w:rsidR="00FC23A3" w:rsidRPr="009A2018">
        <w:rPr>
          <w:rFonts w:cs="Times New Roman"/>
          <w:szCs w:val="24"/>
        </w:rPr>
        <w:t>anja je bila mirna uprkos često</w:t>
      </w:r>
      <w:r w:rsidRPr="009A2018">
        <w:rPr>
          <w:rFonts w:cs="Times New Roman"/>
          <w:szCs w:val="24"/>
        </w:rPr>
        <w:t xml:space="preserve"> suprotstavljenim tonovima</w:t>
      </w:r>
      <w:r w:rsidR="005F62F4" w:rsidRPr="009A2018">
        <w:rPr>
          <w:rFonts w:cs="Times New Roman"/>
          <w:szCs w:val="24"/>
        </w:rPr>
        <w:t xml:space="preserve">. </w:t>
      </w:r>
    </w:p>
    <w:p w:rsidR="00936C45" w:rsidRPr="009A2018" w:rsidRDefault="005723E1" w:rsidP="00EC1790">
      <w:pPr>
        <w:autoSpaceDE w:val="0"/>
        <w:autoSpaceDN w:val="0"/>
        <w:adjustRightInd w:val="0"/>
        <w:spacing w:after="120" w:line="240" w:lineRule="auto"/>
        <w:jc w:val="both"/>
        <w:rPr>
          <w:rFonts w:cs="Times New Roman"/>
          <w:szCs w:val="24"/>
        </w:rPr>
      </w:pPr>
      <w:r w:rsidRPr="009A2018">
        <w:rPr>
          <w:rFonts w:cs="Times New Roman"/>
          <w:szCs w:val="24"/>
        </w:rPr>
        <w:t>OEBS/ODIHR i Parlamentarna skupština OEBS-a su prim</w:t>
      </w:r>
      <w:r w:rsidR="002C3D0D" w:rsidRPr="009A2018">
        <w:rPr>
          <w:rFonts w:cs="Times New Roman"/>
          <w:szCs w:val="24"/>
        </w:rPr>
        <w:t>ij</w:t>
      </w:r>
      <w:r w:rsidRPr="009A2018">
        <w:rPr>
          <w:rFonts w:cs="Times New Roman"/>
          <w:szCs w:val="24"/>
        </w:rPr>
        <w:t>et</w:t>
      </w:r>
      <w:r w:rsidR="008A035E" w:rsidRPr="009A2018">
        <w:rPr>
          <w:rFonts w:cs="Times New Roman"/>
          <w:szCs w:val="24"/>
        </w:rPr>
        <w:t xml:space="preserve">ili </w:t>
      </w:r>
      <w:r w:rsidRPr="009A2018">
        <w:rPr>
          <w:rFonts w:cs="Times New Roman"/>
          <w:szCs w:val="24"/>
        </w:rPr>
        <w:t xml:space="preserve">da su </w:t>
      </w:r>
      <w:r w:rsidR="002C3D0D" w:rsidRPr="009A2018">
        <w:rPr>
          <w:rFonts w:cs="Times New Roman"/>
          <w:szCs w:val="24"/>
        </w:rPr>
        <w:t>kandidati</w:t>
      </w:r>
      <w:r w:rsidRPr="009A2018">
        <w:rPr>
          <w:rFonts w:cs="Times New Roman"/>
          <w:szCs w:val="24"/>
        </w:rPr>
        <w:t xml:space="preserve"> tokom kampanje mogli da</w:t>
      </w:r>
      <w:r w:rsidR="0041628A">
        <w:rPr>
          <w:rFonts w:cs="Times New Roman"/>
          <w:szCs w:val="24"/>
        </w:rPr>
        <w:t xml:space="preserve"> </w:t>
      </w:r>
      <w:r w:rsidRPr="009A2018">
        <w:rPr>
          <w:rFonts w:cs="Times New Roman"/>
          <w:szCs w:val="24"/>
        </w:rPr>
        <w:t>prenose svoje poruke, ali i da je vladajuća stranka stekla neprim</w:t>
      </w:r>
      <w:r w:rsidR="002C3D0D" w:rsidRPr="009A2018">
        <w:rPr>
          <w:rFonts w:cs="Times New Roman"/>
          <w:szCs w:val="24"/>
        </w:rPr>
        <w:t>j</w:t>
      </w:r>
      <w:r w:rsidRPr="009A2018">
        <w:rPr>
          <w:rFonts w:cs="Times New Roman"/>
          <w:szCs w:val="24"/>
        </w:rPr>
        <w:t>erenu prednost zloupotrebom položaja i državnih resursa kao i dominantnim m</w:t>
      </w:r>
      <w:r w:rsidR="002C3D0D" w:rsidRPr="009A2018">
        <w:rPr>
          <w:rFonts w:cs="Times New Roman"/>
          <w:szCs w:val="24"/>
        </w:rPr>
        <w:t>j</w:t>
      </w:r>
      <w:r w:rsidRPr="009A2018">
        <w:rPr>
          <w:rFonts w:cs="Times New Roman"/>
          <w:szCs w:val="24"/>
        </w:rPr>
        <w:t>estom koje je zauzimala u medijskom izv</w:t>
      </w:r>
      <w:r w:rsidR="002C3D0D" w:rsidRPr="009A2018">
        <w:rPr>
          <w:rFonts w:cs="Times New Roman"/>
          <w:szCs w:val="24"/>
        </w:rPr>
        <w:t>j</w:t>
      </w:r>
      <w:r w:rsidRPr="009A2018">
        <w:rPr>
          <w:rFonts w:cs="Times New Roman"/>
          <w:szCs w:val="24"/>
        </w:rPr>
        <w:t>eštavanju</w:t>
      </w:r>
      <w:r w:rsidR="00331CB5" w:rsidRPr="009A2018">
        <w:rPr>
          <w:rFonts w:cs="Times New Roman"/>
          <w:szCs w:val="24"/>
        </w:rPr>
        <w:t>, što je još više pokvarilo kvalitet informacija koje su bile dostupne glasačima</w:t>
      </w:r>
      <w:r w:rsidR="005F62F4" w:rsidRPr="009A2018">
        <w:rPr>
          <w:rFonts w:cs="Times New Roman"/>
          <w:szCs w:val="24"/>
        </w:rPr>
        <w:t>.</w:t>
      </w:r>
      <w:r w:rsidR="00331CB5" w:rsidRPr="009A2018">
        <w:rPr>
          <w:rFonts w:cs="Times New Roman"/>
          <w:szCs w:val="24"/>
        </w:rPr>
        <w:t xml:space="preserve"> Sve u svemu, izbori su sprovođeni na transparentan i efikasan način</w:t>
      </w:r>
      <w:r w:rsidR="00FC23A3" w:rsidRPr="009A2018">
        <w:rPr>
          <w:rFonts w:cs="Times New Roman"/>
          <w:szCs w:val="24"/>
        </w:rPr>
        <w:t>,</w:t>
      </w:r>
      <w:r w:rsidR="00331CB5" w:rsidRPr="009A2018">
        <w:rPr>
          <w:rFonts w:cs="Times New Roman"/>
          <w:szCs w:val="24"/>
        </w:rPr>
        <w:t xml:space="preserve"> te iako su restrikcije vezane za korona virus fiz</w:t>
      </w:r>
      <w:r w:rsidR="00E11986" w:rsidRPr="009A2018">
        <w:rPr>
          <w:rFonts w:cs="Times New Roman"/>
          <w:szCs w:val="24"/>
        </w:rPr>
        <w:t>ički ograničile mogućnosti vođenja</w:t>
      </w:r>
      <w:r w:rsidR="00331CB5" w:rsidRPr="009A2018">
        <w:rPr>
          <w:rFonts w:cs="Times New Roman"/>
          <w:szCs w:val="24"/>
        </w:rPr>
        <w:t xml:space="preserve"> kampanje i povećale </w:t>
      </w:r>
      <w:r w:rsidR="00E11986" w:rsidRPr="009A2018">
        <w:rPr>
          <w:rFonts w:cs="Times New Roman"/>
          <w:szCs w:val="24"/>
        </w:rPr>
        <w:t>kontakte putem interneta</w:t>
      </w:r>
      <w:r w:rsidR="00331CB5" w:rsidRPr="009A2018">
        <w:rPr>
          <w:rFonts w:cs="Times New Roman"/>
          <w:szCs w:val="24"/>
        </w:rPr>
        <w:t>, to nije spr</w:t>
      </w:r>
      <w:r w:rsidR="002C3D0D" w:rsidRPr="009A2018">
        <w:rPr>
          <w:rFonts w:cs="Times New Roman"/>
          <w:szCs w:val="24"/>
        </w:rPr>
        <w:t>ij</w:t>
      </w:r>
      <w:r w:rsidR="00331CB5" w:rsidRPr="009A2018">
        <w:rPr>
          <w:rFonts w:cs="Times New Roman"/>
          <w:szCs w:val="24"/>
        </w:rPr>
        <w:t>ečilo veliku izlaznost glasača</w:t>
      </w:r>
      <w:r w:rsidR="005F62F4" w:rsidRPr="009A2018">
        <w:rPr>
          <w:rFonts w:cs="Times New Roman"/>
          <w:szCs w:val="24"/>
        </w:rPr>
        <w:t xml:space="preserve">. </w:t>
      </w:r>
      <w:r w:rsidR="00331CB5" w:rsidRPr="009A2018">
        <w:rPr>
          <w:rFonts w:cs="Times New Roman"/>
          <w:szCs w:val="24"/>
        </w:rPr>
        <w:t>Izlaznost je iznosila rekordnih</w:t>
      </w:r>
      <w:r w:rsidR="005F62F4" w:rsidRPr="009A2018">
        <w:rPr>
          <w:rFonts w:cs="Times New Roman"/>
          <w:szCs w:val="24"/>
        </w:rPr>
        <w:t xml:space="preserve"> 76</w:t>
      </w:r>
      <w:r w:rsidR="002C3D0D" w:rsidRPr="009A2018">
        <w:rPr>
          <w:rFonts w:cs="Times New Roman"/>
          <w:szCs w:val="24"/>
        </w:rPr>
        <w:t>,</w:t>
      </w:r>
      <w:r w:rsidR="00461CDC" w:rsidRPr="009A2018">
        <w:rPr>
          <w:rFonts w:cs="Times New Roman"/>
          <w:szCs w:val="24"/>
        </w:rPr>
        <w:t>6</w:t>
      </w:r>
      <w:r w:rsidR="005F62F4" w:rsidRPr="009A2018">
        <w:rPr>
          <w:rFonts w:cs="Times New Roman"/>
          <w:szCs w:val="24"/>
        </w:rPr>
        <w:t>%</w:t>
      </w:r>
      <w:r w:rsidR="00331CB5" w:rsidRPr="009A2018">
        <w:rPr>
          <w:rFonts w:cs="Times New Roman"/>
          <w:szCs w:val="24"/>
        </w:rPr>
        <w:t>, a nadmašena je samo</w:t>
      </w:r>
      <w:r w:rsidR="005F62F4" w:rsidRPr="009A2018">
        <w:rPr>
          <w:rFonts w:cs="Times New Roman"/>
          <w:bCs/>
          <w:iCs/>
          <w:szCs w:val="24"/>
        </w:rPr>
        <w:t xml:space="preserve"> 2006</w:t>
      </w:r>
      <w:r w:rsidR="00331CB5" w:rsidRPr="009A2018">
        <w:rPr>
          <w:rFonts w:cs="Times New Roman"/>
          <w:bCs/>
          <w:iCs/>
          <w:szCs w:val="24"/>
        </w:rPr>
        <w:t>. godine kada je održan referendum o nezavisnosti. Sam dan izbora protekao je uredno</w:t>
      </w:r>
      <w:r w:rsidR="00E11986" w:rsidRPr="009A2018">
        <w:rPr>
          <w:rFonts w:cs="Times New Roman"/>
          <w:bCs/>
          <w:iCs/>
          <w:szCs w:val="24"/>
        </w:rPr>
        <w:t xml:space="preserve">, </w:t>
      </w:r>
      <w:r w:rsidR="00331CB5" w:rsidRPr="009A2018">
        <w:rPr>
          <w:rFonts w:cs="Times New Roman"/>
          <w:bCs/>
          <w:iCs/>
          <w:szCs w:val="24"/>
        </w:rPr>
        <w:t>postupak je uglavnom bio transparentan i dobro vođen, ali se zdravstveni protokoli ni</w:t>
      </w:r>
      <w:r w:rsidR="0041628A">
        <w:rPr>
          <w:rFonts w:cs="Times New Roman"/>
          <w:bCs/>
          <w:iCs/>
          <w:szCs w:val="24"/>
        </w:rPr>
        <w:t>je</w:t>
      </w:r>
      <w:r w:rsidR="00331CB5" w:rsidRPr="009A2018">
        <w:rPr>
          <w:rFonts w:cs="Times New Roman"/>
          <w:bCs/>
          <w:iCs/>
          <w:szCs w:val="24"/>
        </w:rPr>
        <w:t>su dosl</w:t>
      </w:r>
      <w:r w:rsidR="002C3D0D" w:rsidRPr="009A2018">
        <w:rPr>
          <w:rFonts w:cs="Times New Roman"/>
          <w:bCs/>
          <w:iCs/>
          <w:szCs w:val="24"/>
        </w:rPr>
        <w:t>j</w:t>
      </w:r>
      <w:r w:rsidR="00331CB5" w:rsidRPr="009A2018">
        <w:rPr>
          <w:rFonts w:cs="Times New Roman"/>
          <w:bCs/>
          <w:iCs/>
          <w:szCs w:val="24"/>
        </w:rPr>
        <w:t>edno sprovodili. Izborna administracija poštovala je zakonske rokove i ug</w:t>
      </w:r>
      <w:r w:rsidR="00FC23A3" w:rsidRPr="009A2018">
        <w:rPr>
          <w:rFonts w:cs="Times New Roman"/>
          <w:bCs/>
          <w:iCs/>
          <w:szCs w:val="24"/>
        </w:rPr>
        <w:t>lavnom je radila transparentno, efikasno upravljajući</w:t>
      </w:r>
      <w:r w:rsidR="00331CB5" w:rsidRPr="009A2018">
        <w:rPr>
          <w:rFonts w:cs="Times New Roman"/>
          <w:bCs/>
          <w:iCs/>
          <w:szCs w:val="24"/>
        </w:rPr>
        <w:t xml:space="preserve"> tehničkim aspektima izbornih priprema. DIK je održavala redovne s</w:t>
      </w:r>
      <w:r w:rsidR="002C3D0D" w:rsidRPr="009A2018">
        <w:rPr>
          <w:rFonts w:cs="Times New Roman"/>
          <w:bCs/>
          <w:iCs/>
          <w:szCs w:val="24"/>
        </w:rPr>
        <w:t>j</w:t>
      </w:r>
      <w:r w:rsidR="00331CB5" w:rsidRPr="009A2018">
        <w:rPr>
          <w:rFonts w:cs="Times New Roman"/>
          <w:bCs/>
          <w:iCs/>
          <w:szCs w:val="24"/>
        </w:rPr>
        <w:t>ednice koje su bile otvorene za posmatrače, ali ne i za medije.</w:t>
      </w:r>
    </w:p>
    <w:p w:rsidR="00331CB5" w:rsidRPr="009A2018" w:rsidRDefault="00331CB5" w:rsidP="00EC1790">
      <w:pPr>
        <w:spacing w:after="120" w:line="240" w:lineRule="auto"/>
        <w:jc w:val="both"/>
        <w:rPr>
          <w:rFonts w:cs="Times New Roman"/>
          <w:bCs/>
          <w:iCs/>
          <w:szCs w:val="24"/>
        </w:rPr>
      </w:pPr>
      <w:r w:rsidRPr="009A2018">
        <w:rPr>
          <w:rFonts w:cs="Times New Roman"/>
          <w:bCs/>
          <w:iCs/>
          <w:szCs w:val="24"/>
        </w:rPr>
        <w:t xml:space="preserve">Na osnovu konačnih rezultata Državne izborne komisije (DIK), tri koalicije predvođene opozicijom osvojile su zajedno 41 mandat, što </w:t>
      </w:r>
      <w:r w:rsidR="00F51A4B" w:rsidRPr="009A2018">
        <w:rPr>
          <w:rFonts w:cs="Times New Roman"/>
          <w:bCs/>
          <w:iCs/>
          <w:szCs w:val="24"/>
        </w:rPr>
        <w:t xml:space="preserve">u </w:t>
      </w:r>
      <w:r w:rsidR="001452E2">
        <w:rPr>
          <w:rFonts w:cs="Times New Roman"/>
          <w:bCs/>
          <w:iCs/>
          <w:szCs w:val="24"/>
        </w:rPr>
        <w:t>S</w:t>
      </w:r>
      <w:r w:rsidR="001452E2" w:rsidRPr="009A2018">
        <w:rPr>
          <w:rFonts w:cs="Times New Roman"/>
          <w:bCs/>
          <w:iCs/>
          <w:szCs w:val="24"/>
        </w:rPr>
        <w:t xml:space="preserve">kupštini </w:t>
      </w:r>
      <w:r w:rsidR="00FC23A3" w:rsidRPr="009A2018">
        <w:rPr>
          <w:rFonts w:cs="Times New Roman"/>
          <w:bCs/>
          <w:iCs/>
          <w:szCs w:val="24"/>
        </w:rPr>
        <w:t>od 81 poslanika</w:t>
      </w:r>
      <w:r w:rsidRPr="009A2018">
        <w:rPr>
          <w:rFonts w:cs="Times New Roman"/>
          <w:bCs/>
          <w:iCs/>
          <w:szCs w:val="24"/>
        </w:rPr>
        <w:t xml:space="preserve"> predstavlja osnov za</w:t>
      </w:r>
      <w:r w:rsidR="00FC23A3" w:rsidRPr="009A2018">
        <w:rPr>
          <w:rFonts w:cs="Times New Roman"/>
          <w:bCs/>
          <w:iCs/>
          <w:szCs w:val="24"/>
        </w:rPr>
        <w:t xml:space="preserve"> formiranje nove vlasti</w:t>
      </w:r>
      <w:r w:rsidRPr="009A2018">
        <w:rPr>
          <w:rFonts w:cs="Times New Roman"/>
          <w:bCs/>
          <w:iCs/>
          <w:szCs w:val="24"/>
        </w:rPr>
        <w:t>. Do tada vladajuća stranka, Demokratska partija socijalista i njeni mlađi koalicioni pa</w:t>
      </w:r>
      <w:r w:rsidR="0089680E" w:rsidRPr="009A2018">
        <w:rPr>
          <w:rFonts w:cs="Times New Roman"/>
          <w:bCs/>
          <w:iCs/>
          <w:szCs w:val="24"/>
        </w:rPr>
        <w:t>rtneri iz prethodne vlasti</w:t>
      </w:r>
      <w:r w:rsidRPr="009A2018">
        <w:rPr>
          <w:rFonts w:cs="Times New Roman"/>
          <w:bCs/>
          <w:iCs/>
          <w:szCs w:val="24"/>
        </w:rPr>
        <w:t xml:space="preserve"> (SD, Bošnjačka stranka i albanske liste)</w:t>
      </w:r>
      <w:r w:rsidR="0089680E" w:rsidRPr="009A2018">
        <w:rPr>
          <w:rFonts w:cs="Times New Roman"/>
          <w:bCs/>
          <w:iCs/>
          <w:szCs w:val="24"/>
        </w:rPr>
        <w:t>, dobili su zajedno 38 mandata</w:t>
      </w:r>
      <w:r w:rsidRPr="009A2018">
        <w:rPr>
          <w:rFonts w:cs="Times New Roman"/>
          <w:bCs/>
          <w:iCs/>
          <w:szCs w:val="24"/>
        </w:rPr>
        <w:t>, osim stranke hrvatske</w:t>
      </w:r>
      <w:r w:rsidR="009264A3" w:rsidRPr="009A2018">
        <w:rPr>
          <w:rFonts w:cs="Times New Roman"/>
          <w:bCs/>
          <w:iCs/>
          <w:szCs w:val="24"/>
        </w:rPr>
        <w:t xml:space="preserve"> nacionalne</w:t>
      </w:r>
      <w:r w:rsidRPr="009A2018">
        <w:rPr>
          <w:rFonts w:cs="Times New Roman"/>
          <w:bCs/>
          <w:iCs/>
          <w:szCs w:val="24"/>
        </w:rPr>
        <w:t xml:space="preserve"> manjine, koja prvi put neće biti zastupljena </w:t>
      </w:r>
      <w:r w:rsidR="00F51A4B" w:rsidRPr="009A2018">
        <w:rPr>
          <w:rFonts w:cs="Times New Roman"/>
          <w:bCs/>
          <w:iCs/>
          <w:szCs w:val="24"/>
        </w:rPr>
        <w:t>u Skupštini</w:t>
      </w:r>
      <w:r w:rsidR="0089680E" w:rsidRPr="009A2018">
        <w:rPr>
          <w:rFonts w:cs="Times New Roman"/>
          <w:bCs/>
          <w:iCs/>
          <w:szCs w:val="24"/>
        </w:rPr>
        <w:t>. SDP je prešao cenzus</w:t>
      </w:r>
      <w:r w:rsidRPr="009A2018">
        <w:rPr>
          <w:rFonts w:cs="Times New Roman"/>
          <w:bCs/>
          <w:iCs/>
          <w:szCs w:val="24"/>
        </w:rPr>
        <w:t>, osvojivši dva mandata.</w:t>
      </w:r>
    </w:p>
    <w:p w:rsidR="009264A3" w:rsidRPr="009A2018" w:rsidRDefault="009264A3" w:rsidP="00EC1790">
      <w:pPr>
        <w:spacing w:after="120" w:line="240" w:lineRule="auto"/>
        <w:jc w:val="both"/>
        <w:rPr>
          <w:rFonts w:cs="Times New Roman"/>
          <w:szCs w:val="24"/>
        </w:rPr>
      </w:pPr>
      <w:r w:rsidRPr="009A2018">
        <w:rPr>
          <w:rFonts w:cs="Times New Roman"/>
          <w:szCs w:val="24"/>
        </w:rPr>
        <w:t>U skladu sa zakonskim okvirom, birači i kandidati mogu podn</w:t>
      </w:r>
      <w:r w:rsidR="002C3D0D" w:rsidRPr="009A2018">
        <w:rPr>
          <w:rFonts w:cs="Times New Roman"/>
          <w:szCs w:val="24"/>
        </w:rPr>
        <w:t>ij</w:t>
      </w:r>
      <w:r w:rsidRPr="009A2018">
        <w:rPr>
          <w:rFonts w:cs="Times New Roman"/>
          <w:szCs w:val="24"/>
        </w:rPr>
        <w:t>eti žalbe izbornim komisijama i sudovima, uključujući žalbe koje se na odluke DIK-a mogu podn</w:t>
      </w:r>
      <w:r w:rsidR="002C3D0D" w:rsidRPr="009A2018">
        <w:rPr>
          <w:rFonts w:cs="Times New Roman"/>
          <w:szCs w:val="24"/>
        </w:rPr>
        <w:t>ij</w:t>
      </w:r>
      <w:r w:rsidR="0041628A">
        <w:rPr>
          <w:rFonts w:cs="Times New Roman"/>
          <w:szCs w:val="24"/>
        </w:rPr>
        <w:t>eti Ustavnom sudu. Prema O</w:t>
      </w:r>
      <w:r w:rsidR="001452E2">
        <w:rPr>
          <w:rFonts w:cs="Times New Roman"/>
          <w:szCs w:val="24"/>
        </w:rPr>
        <w:t>EBS</w:t>
      </w:r>
      <w:r w:rsidR="0041628A">
        <w:rPr>
          <w:rFonts w:cs="Times New Roman"/>
          <w:szCs w:val="24"/>
        </w:rPr>
        <w:t>/</w:t>
      </w:r>
      <w:r w:rsidRPr="009A2018">
        <w:rPr>
          <w:rFonts w:cs="Times New Roman"/>
          <w:szCs w:val="24"/>
        </w:rPr>
        <w:t xml:space="preserve">ODIHR-u, </w:t>
      </w:r>
      <w:r w:rsidR="00976180" w:rsidRPr="009A2018">
        <w:rPr>
          <w:rFonts w:cs="Times New Roman"/>
          <w:szCs w:val="24"/>
        </w:rPr>
        <w:t xml:space="preserve">zbog nedostatka transparentnosti i kratkih rokova </w:t>
      </w:r>
      <w:r w:rsidRPr="009A2018">
        <w:rPr>
          <w:rFonts w:cs="Times New Roman"/>
          <w:szCs w:val="24"/>
        </w:rPr>
        <w:t>sistem r</w:t>
      </w:r>
      <w:r w:rsidR="002C3D0D" w:rsidRPr="009A2018">
        <w:rPr>
          <w:rFonts w:cs="Times New Roman"/>
          <w:szCs w:val="24"/>
        </w:rPr>
        <w:t>j</w:t>
      </w:r>
      <w:r w:rsidRPr="009A2018">
        <w:rPr>
          <w:rFonts w:cs="Times New Roman"/>
          <w:szCs w:val="24"/>
        </w:rPr>
        <w:t>ešavanja izborni</w:t>
      </w:r>
      <w:r w:rsidR="00976180" w:rsidRPr="009A2018">
        <w:rPr>
          <w:rFonts w:cs="Times New Roman"/>
          <w:szCs w:val="24"/>
        </w:rPr>
        <w:t>h sporova ne obezb</w:t>
      </w:r>
      <w:r w:rsidR="002C3D0D" w:rsidRPr="009A2018">
        <w:rPr>
          <w:rFonts w:cs="Times New Roman"/>
          <w:szCs w:val="24"/>
        </w:rPr>
        <w:t>j</w:t>
      </w:r>
      <w:r w:rsidR="00976180" w:rsidRPr="009A2018">
        <w:rPr>
          <w:rFonts w:cs="Times New Roman"/>
          <w:szCs w:val="24"/>
        </w:rPr>
        <w:t>eđuje efikasno pravno sredstvo</w:t>
      </w:r>
      <w:r w:rsidRPr="009A2018">
        <w:rPr>
          <w:rFonts w:cs="Times New Roman"/>
          <w:szCs w:val="24"/>
        </w:rPr>
        <w:t>.</w:t>
      </w:r>
    </w:p>
    <w:p w:rsidR="00493A09" w:rsidRPr="009A2018" w:rsidRDefault="00EF7016" w:rsidP="00EC1790">
      <w:pPr>
        <w:spacing w:after="120" w:line="240" w:lineRule="auto"/>
        <w:jc w:val="both"/>
        <w:rPr>
          <w:rFonts w:cs="Times New Roman"/>
          <w:szCs w:val="24"/>
        </w:rPr>
      </w:pPr>
      <w:r w:rsidRPr="009A2018">
        <w:rPr>
          <w:rFonts w:cs="Times New Roman"/>
          <w:szCs w:val="24"/>
        </w:rPr>
        <w:t>Pr</w:t>
      </w:r>
      <w:r w:rsidR="002C3D0D" w:rsidRPr="009A2018">
        <w:rPr>
          <w:rFonts w:cs="Times New Roman"/>
          <w:szCs w:val="24"/>
        </w:rPr>
        <w:t>ij</w:t>
      </w:r>
      <w:r w:rsidR="00976180" w:rsidRPr="009A2018">
        <w:rPr>
          <w:rFonts w:cs="Times New Roman"/>
          <w:szCs w:val="24"/>
        </w:rPr>
        <w:t>e dana održavanja izbora, šest žalbi je podn</w:t>
      </w:r>
      <w:r w:rsidR="0041628A">
        <w:rPr>
          <w:rFonts w:cs="Times New Roman"/>
          <w:szCs w:val="24"/>
        </w:rPr>
        <w:t>ij</w:t>
      </w:r>
      <w:r w:rsidR="00976180" w:rsidRPr="009A2018">
        <w:rPr>
          <w:rFonts w:cs="Times New Roman"/>
          <w:szCs w:val="24"/>
        </w:rPr>
        <w:t>eto DIK-u, a pet Ustavnom sudu koji je o njima raspravljao na zatvorenim s</w:t>
      </w:r>
      <w:r w:rsidR="002C3D0D" w:rsidRPr="009A2018">
        <w:rPr>
          <w:rFonts w:cs="Times New Roman"/>
          <w:szCs w:val="24"/>
        </w:rPr>
        <w:t>j</w:t>
      </w:r>
      <w:r w:rsidR="00976180" w:rsidRPr="009A2018">
        <w:rPr>
          <w:rFonts w:cs="Times New Roman"/>
          <w:szCs w:val="24"/>
        </w:rPr>
        <w:t xml:space="preserve">ednicama i nije objavio svoje odluke, te je tako narušena </w:t>
      </w:r>
      <w:r w:rsidR="00976180" w:rsidRPr="009A2018">
        <w:rPr>
          <w:rFonts w:cs="Times New Roman"/>
          <w:szCs w:val="24"/>
        </w:rPr>
        <w:lastRenderedPageBreak/>
        <w:t>transparentnost postupka r</w:t>
      </w:r>
      <w:r w:rsidR="002C3D0D" w:rsidRPr="009A2018">
        <w:rPr>
          <w:rFonts w:cs="Times New Roman"/>
          <w:szCs w:val="24"/>
        </w:rPr>
        <w:t>j</w:t>
      </w:r>
      <w:r w:rsidR="00976180" w:rsidRPr="009A2018">
        <w:rPr>
          <w:rFonts w:cs="Times New Roman"/>
          <w:szCs w:val="24"/>
        </w:rPr>
        <w:t xml:space="preserve">ešavanja izbornih sporova. Državni tužilac pokrenuo je po službenoj dužnosti dva predmeta koja su se odnosila na pritisak na birače uoči parlamentarnih izbora u avgustu 2020. godine. Nakon dana </w:t>
      </w:r>
      <w:r w:rsidRPr="009A2018">
        <w:rPr>
          <w:rFonts w:cs="Times New Roman"/>
          <w:szCs w:val="24"/>
        </w:rPr>
        <w:t xml:space="preserve">održavanja </w:t>
      </w:r>
      <w:r w:rsidR="00976180" w:rsidRPr="009A2018">
        <w:rPr>
          <w:rFonts w:cs="Times New Roman"/>
          <w:szCs w:val="24"/>
        </w:rPr>
        <w:t>izbora, tužilaštva</w:t>
      </w:r>
      <w:r w:rsidR="00D24495" w:rsidRPr="009A2018">
        <w:rPr>
          <w:rFonts w:cs="Times New Roman"/>
          <w:szCs w:val="24"/>
        </w:rPr>
        <w:t xml:space="preserve"> su pokrenula istrage</w:t>
      </w:r>
      <w:r w:rsidR="00976180" w:rsidRPr="009A2018">
        <w:rPr>
          <w:rFonts w:cs="Times New Roman"/>
          <w:szCs w:val="24"/>
        </w:rPr>
        <w:t xml:space="preserve"> po pitanju devet navodnih </w:t>
      </w:r>
      <w:r w:rsidR="00493A09" w:rsidRPr="009A2018">
        <w:rPr>
          <w:rFonts w:cs="Times New Roman"/>
          <w:szCs w:val="24"/>
        </w:rPr>
        <w:t>prekršaja</w:t>
      </w:r>
      <w:r w:rsidR="00976180" w:rsidRPr="009A2018">
        <w:rPr>
          <w:rFonts w:cs="Times New Roman"/>
          <w:szCs w:val="24"/>
        </w:rPr>
        <w:t xml:space="preserve"> u izbornom</w:t>
      </w:r>
      <w:r w:rsidR="00493A09" w:rsidRPr="009A2018">
        <w:rPr>
          <w:rFonts w:cs="Times New Roman"/>
          <w:szCs w:val="24"/>
        </w:rPr>
        <w:t xml:space="preserve"> danu, uključujući kupovinu ličnih isprava</w:t>
      </w:r>
      <w:r w:rsidR="00976180" w:rsidRPr="009A2018">
        <w:rPr>
          <w:rFonts w:cs="Times New Roman"/>
          <w:szCs w:val="24"/>
        </w:rPr>
        <w:t xml:space="preserve">, kupovinu glasova, pritisak na birače i </w:t>
      </w:r>
      <w:r w:rsidR="00D370B6" w:rsidRPr="009A2018">
        <w:rPr>
          <w:rFonts w:cs="Times New Roman"/>
          <w:szCs w:val="24"/>
        </w:rPr>
        <w:t>povredu</w:t>
      </w:r>
      <w:r w:rsidRPr="009A2018">
        <w:rPr>
          <w:rFonts w:cs="Times New Roman"/>
          <w:szCs w:val="24"/>
        </w:rPr>
        <w:t xml:space="preserve"> tajnosti glasanja. Posl</w:t>
      </w:r>
      <w:r w:rsidR="0041628A">
        <w:rPr>
          <w:rFonts w:cs="Times New Roman"/>
          <w:szCs w:val="24"/>
        </w:rPr>
        <w:t>ij</w:t>
      </w:r>
      <w:r w:rsidRPr="009A2018">
        <w:rPr>
          <w:rFonts w:cs="Times New Roman"/>
          <w:szCs w:val="24"/>
        </w:rPr>
        <w:t>e</w:t>
      </w:r>
      <w:r w:rsidR="00976180" w:rsidRPr="009A2018">
        <w:rPr>
          <w:rFonts w:cs="Times New Roman"/>
          <w:szCs w:val="24"/>
        </w:rPr>
        <w:t xml:space="preserve"> izbornog dana, Osnovno tužilaštvo u Podgorici p</w:t>
      </w:r>
      <w:r w:rsidR="00493A09" w:rsidRPr="009A2018">
        <w:rPr>
          <w:rFonts w:cs="Times New Roman"/>
          <w:szCs w:val="24"/>
        </w:rPr>
        <w:t xml:space="preserve">odiglo je optužnice protiv dva lica zbog sumnje da su </w:t>
      </w:r>
      <w:r w:rsidR="00D370B6" w:rsidRPr="009A2018">
        <w:rPr>
          <w:rFonts w:cs="Times New Roman"/>
          <w:szCs w:val="24"/>
        </w:rPr>
        <w:t xml:space="preserve">tokom glasanja </w:t>
      </w:r>
      <w:r w:rsidR="00493A09" w:rsidRPr="009A2018">
        <w:rPr>
          <w:rFonts w:cs="Times New Roman"/>
          <w:szCs w:val="24"/>
        </w:rPr>
        <w:t>povr</w:t>
      </w:r>
      <w:r w:rsidR="002C3D0D" w:rsidRPr="009A2018">
        <w:rPr>
          <w:rFonts w:cs="Times New Roman"/>
          <w:szCs w:val="24"/>
        </w:rPr>
        <w:t>ij</w:t>
      </w:r>
      <w:r w:rsidR="00493A09" w:rsidRPr="009A2018">
        <w:rPr>
          <w:rFonts w:cs="Times New Roman"/>
          <w:szCs w:val="24"/>
        </w:rPr>
        <w:t>edila</w:t>
      </w:r>
      <w:r w:rsidR="00976180" w:rsidRPr="009A2018">
        <w:rPr>
          <w:rFonts w:cs="Times New Roman"/>
          <w:szCs w:val="24"/>
        </w:rPr>
        <w:t xml:space="preserve"> slobodnu volju bir</w:t>
      </w:r>
      <w:r w:rsidR="00493A09" w:rsidRPr="009A2018">
        <w:rPr>
          <w:rFonts w:cs="Times New Roman"/>
          <w:szCs w:val="24"/>
        </w:rPr>
        <w:t>ača i uništil</w:t>
      </w:r>
      <w:r w:rsidRPr="009A2018">
        <w:rPr>
          <w:rFonts w:cs="Times New Roman"/>
          <w:szCs w:val="24"/>
        </w:rPr>
        <w:t>a</w:t>
      </w:r>
      <w:r w:rsidR="00976180" w:rsidRPr="009A2018">
        <w:rPr>
          <w:rFonts w:cs="Times New Roman"/>
          <w:szCs w:val="24"/>
        </w:rPr>
        <w:t xml:space="preserve"> glasačku dokumentaciju. Parlamentarni izbori pon</w:t>
      </w:r>
      <w:r w:rsidR="00493A09" w:rsidRPr="009A2018">
        <w:rPr>
          <w:rFonts w:cs="Times New Roman"/>
          <w:szCs w:val="24"/>
        </w:rPr>
        <w:t>ovljeni su na jednom biračkom m</w:t>
      </w:r>
      <w:r w:rsidR="00976180" w:rsidRPr="009A2018">
        <w:rPr>
          <w:rFonts w:cs="Times New Roman"/>
          <w:szCs w:val="24"/>
        </w:rPr>
        <w:t>estu</w:t>
      </w:r>
      <w:r w:rsidR="002C3D0D" w:rsidRPr="009A2018">
        <w:rPr>
          <w:rFonts w:cs="Times New Roman"/>
          <w:szCs w:val="24"/>
        </w:rPr>
        <w:t>.</w:t>
      </w:r>
    </w:p>
    <w:p w:rsidR="00493A09" w:rsidRPr="009A2018" w:rsidRDefault="00493A09" w:rsidP="00EC1790">
      <w:pPr>
        <w:spacing w:after="120" w:line="240" w:lineRule="auto"/>
        <w:jc w:val="both"/>
        <w:rPr>
          <w:rFonts w:cs="Times New Roman"/>
          <w:szCs w:val="24"/>
        </w:rPr>
      </w:pPr>
      <w:r w:rsidRPr="009A2018">
        <w:rPr>
          <w:rFonts w:cs="Times New Roman"/>
          <w:szCs w:val="24"/>
        </w:rPr>
        <w:t>Pravni okvir ostao je uglavnom neprom</w:t>
      </w:r>
      <w:r w:rsidR="002C3D0D" w:rsidRPr="009A2018">
        <w:rPr>
          <w:rFonts w:cs="Times New Roman"/>
          <w:szCs w:val="24"/>
        </w:rPr>
        <w:t>ij</w:t>
      </w:r>
      <w:r w:rsidR="00D24495" w:rsidRPr="009A2018">
        <w:rPr>
          <w:rFonts w:cs="Times New Roman"/>
          <w:szCs w:val="24"/>
        </w:rPr>
        <w:t>enjen od posl</w:t>
      </w:r>
      <w:r w:rsidR="002C3D0D" w:rsidRPr="009A2018">
        <w:rPr>
          <w:rFonts w:cs="Times New Roman"/>
          <w:szCs w:val="24"/>
        </w:rPr>
        <w:t>j</w:t>
      </w:r>
      <w:r w:rsidRPr="009A2018">
        <w:rPr>
          <w:rFonts w:cs="Times New Roman"/>
          <w:szCs w:val="24"/>
        </w:rPr>
        <w:t xml:space="preserve">ednjih parlamentarnih izbora, s izuzetkom finansiranja kampanje. Iako </w:t>
      </w:r>
      <w:r w:rsidR="00D24495" w:rsidRPr="009A2018">
        <w:rPr>
          <w:rFonts w:cs="Times New Roman"/>
          <w:szCs w:val="24"/>
        </w:rPr>
        <w:t xml:space="preserve">ovaj okvir </w:t>
      </w:r>
      <w:r w:rsidRPr="009A2018">
        <w:rPr>
          <w:rFonts w:cs="Times New Roman"/>
          <w:szCs w:val="24"/>
        </w:rPr>
        <w:t>obezb</w:t>
      </w:r>
      <w:r w:rsidR="002C3D0D" w:rsidRPr="009A2018">
        <w:rPr>
          <w:rFonts w:cs="Times New Roman"/>
          <w:szCs w:val="24"/>
        </w:rPr>
        <w:t>j</w:t>
      </w:r>
      <w:r w:rsidRPr="009A2018">
        <w:rPr>
          <w:rFonts w:cs="Times New Roman"/>
          <w:szCs w:val="24"/>
        </w:rPr>
        <w:t xml:space="preserve">eđuje osnovne propise za sprovođenje demokratskih izbora, </w:t>
      </w:r>
      <w:r w:rsidR="00D24495" w:rsidRPr="009A2018">
        <w:rPr>
          <w:rFonts w:cs="Times New Roman"/>
          <w:szCs w:val="24"/>
        </w:rPr>
        <w:t>zakonske praznine</w:t>
      </w:r>
      <w:r w:rsidRPr="009A2018">
        <w:rPr>
          <w:rFonts w:cs="Times New Roman"/>
          <w:szCs w:val="24"/>
        </w:rPr>
        <w:t xml:space="preserve"> i nejasnoće</w:t>
      </w:r>
      <w:r w:rsidR="005F1FF7" w:rsidRPr="009A2018">
        <w:rPr>
          <w:rFonts w:cs="Times New Roman"/>
          <w:szCs w:val="24"/>
        </w:rPr>
        <w:t xml:space="preserve"> koje sadrži</w:t>
      </w:r>
      <w:r w:rsidRPr="009A2018">
        <w:rPr>
          <w:rFonts w:cs="Times New Roman"/>
          <w:szCs w:val="24"/>
        </w:rPr>
        <w:t xml:space="preserve"> omogućavaju</w:t>
      </w:r>
      <w:r w:rsidR="005F1FF7" w:rsidRPr="009A2018">
        <w:rPr>
          <w:rFonts w:cs="Times New Roman"/>
          <w:szCs w:val="24"/>
        </w:rPr>
        <w:t xml:space="preserve"> njegovo zaobilaženje, posebno kada je u pitanju finansiranje</w:t>
      </w:r>
      <w:r w:rsidRPr="009A2018">
        <w:rPr>
          <w:rFonts w:cs="Times New Roman"/>
          <w:szCs w:val="24"/>
        </w:rPr>
        <w:t xml:space="preserve"> kampan</w:t>
      </w:r>
      <w:r w:rsidR="00EF7016" w:rsidRPr="009A2018">
        <w:rPr>
          <w:rFonts w:cs="Times New Roman"/>
          <w:szCs w:val="24"/>
        </w:rPr>
        <w:t>je. Određeni</w:t>
      </w:r>
      <w:r w:rsidR="005F1FF7" w:rsidRPr="009A2018">
        <w:rPr>
          <w:rFonts w:cs="Times New Roman"/>
          <w:szCs w:val="24"/>
        </w:rPr>
        <w:t xml:space="preserve"> broj preporuka ODIHR-a i dalje je</w:t>
      </w:r>
      <w:r w:rsidRPr="009A2018">
        <w:rPr>
          <w:rFonts w:cs="Times New Roman"/>
          <w:szCs w:val="24"/>
        </w:rPr>
        <w:t xml:space="preserve"> ne</w:t>
      </w:r>
      <w:r w:rsidR="005F1FF7" w:rsidRPr="009A2018">
        <w:rPr>
          <w:rFonts w:cs="Times New Roman"/>
          <w:szCs w:val="24"/>
        </w:rPr>
        <w:t xml:space="preserve">realizovan, a ove preporuke se odnose na </w:t>
      </w:r>
      <w:r w:rsidRPr="009A2018">
        <w:rPr>
          <w:rFonts w:cs="Times New Roman"/>
          <w:szCs w:val="24"/>
        </w:rPr>
        <w:t xml:space="preserve">profesionalnost, nepristrasnost i transparentnost </w:t>
      </w:r>
      <w:r w:rsidR="005F1FF7" w:rsidRPr="009A2018">
        <w:rPr>
          <w:rFonts w:cs="Times New Roman"/>
          <w:szCs w:val="24"/>
        </w:rPr>
        <w:t>izborne administracije; kontrolu biračkog spiska i m</w:t>
      </w:r>
      <w:r w:rsidR="002C3D0D" w:rsidRPr="009A2018">
        <w:rPr>
          <w:rFonts w:cs="Times New Roman"/>
          <w:szCs w:val="24"/>
        </w:rPr>
        <w:t>j</w:t>
      </w:r>
      <w:r w:rsidRPr="009A2018">
        <w:rPr>
          <w:rFonts w:cs="Times New Roman"/>
          <w:szCs w:val="24"/>
        </w:rPr>
        <w:t>ere protiv zloupotrebe državnih resurs</w:t>
      </w:r>
      <w:r w:rsidR="005F1FF7" w:rsidRPr="009A2018">
        <w:rPr>
          <w:rFonts w:cs="Times New Roman"/>
          <w:szCs w:val="24"/>
        </w:rPr>
        <w:t>a; određena ograničenja biračkih</w:t>
      </w:r>
      <w:r w:rsidRPr="009A2018">
        <w:rPr>
          <w:rFonts w:cs="Times New Roman"/>
          <w:szCs w:val="24"/>
        </w:rPr>
        <w:t xml:space="preserve"> prava; registr</w:t>
      </w:r>
      <w:r w:rsidR="005F1FF7" w:rsidRPr="009A2018">
        <w:rPr>
          <w:rFonts w:cs="Times New Roman"/>
          <w:szCs w:val="24"/>
        </w:rPr>
        <w:t>aciju kandidata i mehanizme za potvrđivanje v</w:t>
      </w:r>
      <w:r w:rsidR="002C3D0D" w:rsidRPr="009A2018">
        <w:rPr>
          <w:rFonts w:cs="Times New Roman"/>
          <w:szCs w:val="24"/>
        </w:rPr>
        <w:t>j</w:t>
      </w:r>
      <w:r w:rsidRPr="009A2018">
        <w:rPr>
          <w:rFonts w:cs="Times New Roman"/>
          <w:szCs w:val="24"/>
        </w:rPr>
        <w:t xml:space="preserve">erodostojnosti potpisa birača; </w:t>
      </w:r>
      <w:r w:rsidR="00D24495" w:rsidRPr="009A2018">
        <w:rPr>
          <w:rFonts w:cs="Times New Roman"/>
          <w:szCs w:val="24"/>
        </w:rPr>
        <w:t xml:space="preserve">zakonsku </w:t>
      </w:r>
      <w:r w:rsidRPr="009A2018">
        <w:rPr>
          <w:rFonts w:cs="Times New Roman"/>
          <w:szCs w:val="24"/>
        </w:rPr>
        <w:t>usklađenost medija tokom izborni</w:t>
      </w:r>
      <w:r w:rsidR="00D24495" w:rsidRPr="009A2018">
        <w:rPr>
          <w:rFonts w:cs="Times New Roman"/>
          <w:szCs w:val="24"/>
        </w:rPr>
        <w:t>h kampanja; i rodno uravnoteženu političku</w:t>
      </w:r>
      <w:r w:rsidR="002C3D0D" w:rsidRPr="009A2018">
        <w:rPr>
          <w:rFonts w:cs="Times New Roman"/>
          <w:szCs w:val="24"/>
        </w:rPr>
        <w:t xml:space="preserve"> zastupljenost na izborima.</w:t>
      </w:r>
    </w:p>
    <w:p w:rsidR="004427FF" w:rsidRPr="009A2018" w:rsidRDefault="004427FF" w:rsidP="00EC1790">
      <w:pPr>
        <w:spacing w:after="120" w:line="240" w:lineRule="auto"/>
        <w:jc w:val="both"/>
        <w:rPr>
          <w:rFonts w:eastAsia="Times New Roman" w:cs="Times New Roman"/>
          <w:szCs w:val="24"/>
        </w:rPr>
      </w:pPr>
      <w:r w:rsidRPr="009A2018">
        <w:rPr>
          <w:rFonts w:eastAsia="Times New Roman" w:cs="Times New Roman"/>
          <w:b/>
          <w:szCs w:val="24"/>
        </w:rPr>
        <w:t>Privremeni parlamentarni odbor</w:t>
      </w:r>
      <w:r w:rsidRPr="009A2018">
        <w:rPr>
          <w:rFonts w:eastAsia="Times New Roman" w:cs="Times New Roman"/>
          <w:szCs w:val="24"/>
        </w:rPr>
        <w:t xml:space="preserve"> za sveobuhvatnu reformu izbornog i drugog zakonodavstva uspostavljen je u jesen 2018. </w:t>
      </w:r>
      <w:r w:rsidR="00C455E0" w:rsidRPr="009A2018">
        <w:rPr>
          <w:rFonts w:eastAsia="Times New Roman" w:cs="Times New Roman"/>
          <w:szCs w:val="24"/>
        </w:rPr>
        <w:t xml:space="preserve">godine </w:t>
      </w:r>
      <w:r w:rsidR="00EF7016" w:rsidRPr="009A2018">
        <w:rPr>
          <w:rFonts w:eastAsia="Times New Roman" w:cs="Times New Roman"/>
          <w:szCs w:val="24"/>
        </w:rPr>
        <w:t>sa specijalnom nam</w:t>
      </w:r>
      <w:r w:rsidR="00717399" w:rsidRPr="009A2018">
        <w:rPr>
          <w:rFonts w:eastAsia="Times New Roman" w:cs="Times New Roman"/>
          <w:szCs w:val="24"/>
        </w:rPr>
        <w:t>j</w:t>
      </w:r>
      <w:r w:rsidR="00EF7016" w:rsidRPr="009A2018">
        <w:rPr>
          <w:rFonts w:eastAsia="Times New Roman" w:cs="Times New Roman"/>
          <w:szCs w:val="24"/>
        </w:rPr>
        <w:t>enom</w:t>
      </w:r>
      <w:r w:rsidR="00C455E0" w:rsidRPr="009A2018">
        <w:rPr>
          <w:rFonts w:eastAsia="Times New Roman" w:cs="Times New Roman"/>
          <w:szCs w:val="24"/>
        </w:rPr>
        <w:t xml:space="preserve"> da omogući međustranački politički dijalog</w:t>
      </w:r>
      <w:r w:rsidRPr="009A2018">
        <w:rPr>
          <w:rFonts w:eastAsia="Times New Roman" w:cs="Times New Roman"/>
          <w:szCs w:val="24"/>
        </w:rPr>
        <w:t>. Odbor je</w:t>
      </w:r>
      <w:r w:rsidR="00C455E0" w:rsidRPr="009A2018">
        <w:rPr>
          <w:rFonts w:eastAsia="Times New Roman" w:cs="Times New Roman"/>
          <w:szCs w:val="24"/>
        </w:rPr>
        <w:t xml:space="preserve"> </w:t>
      </w:r>
      <w:r w:rsidR="0041628A">
        <w:rPr>
          <w:rFonts w:eastAsia="Times New Roman" w:cs="Times New Roman"/>
          <w:szCs w:val="24"/>
        </w:rPr>
        <w:t>nastavio s</w:t>
      </w:r>
      <w:r w:rsidR="00C455E0" w:rsidRPr="009A2018">
        <w:rPr>
          <w:rFonts w:eastAsia="Times New Roman" w:cs="Times New Roman"/>
          <w:szCs w:val="24"/>
        </w:rPr>
        <w:t xml:space="preserve"> radom nakon desetom</w:t>
      </w:r>
      <w:r w:rsidR="00717399" w:rsidRPr="009A2018">
        <w:rPr>
          <w:rFonts w:eastAsia="Times New Roman" w:cs="Times New Roman"/>
          <w:szCs w:val="24"/>
        </w:rPr>
        <w:t>j</w:t>
      </w:r>
      <w:r w:rsidRPr="009A2018">
        <w:rPr>
          <w:rFonts w:eastAsia="Times New Roman" w:cs="Times New Roman"/>
          <w:szCs w:val="24"/>
        </w:rPr>
        <w:t>esečnog zas</w:t>
      </w:r>
      <w:r w:rsidR="00C455E0" w:rsidRPr="009A2018">
        <w:rPr>
          <w:rFonts w:eastAsia="Times New Roman" w:cs="Times New Roman"/>
          <w:szCs w:val="24"/>
        </w:rPr>
        <w:t xml:space="preserve">toja </w:t>
      </w:r>
      <w:r w:rsidRPr="009A2018">
        <w:rPr>
          <w:rFonts w:eastAsia="Times New Roman" w:cs="Times New Roman"/>
          <w:szCs w:val="24"/>
        </w:rPr>
        <w:t>u oktobru 2019.</w:t>
      </w:r>
      <w:r w:rsidR="00C455E0" w:rsidRPr="009A2018">
        <w:rPr>
          <w:rFonts w:eastAsia="Times New Roman" w:cs="Times New Roman"/>
          <w:szCs w:val="24"/>
        </w:rPr>
        <w:t xml:space="preserve"> godine.</w:t>
      </w:r>
      <w:r w:rsidR="009A2018" w:rsidRPr="009A2018">
        <w:rPr>
          <w:rFonts w:eastAsia="Times New Roman" w:cs="Times New Roman"/>
          <w:szCs w:val="24"/>
        </w:rPr>
        <w:t xml:space="preserve"> </w:t>
      </w:r>
      <w:r w:rsidR="00C455E0" w:rsidRPr="009A2018">
        <w:rPr>
          <w:rFonts w:eastAsia="Times New Roman" w:cs="Times New Roman"/>
          <w:szCs w:val="24"/>
        </w:rPr>
        <w:t>Decembra</w:t>
      </w:r>
      <w:r w:rsidRPr="009A2018">
        <w:rPr>
          <w:rFonts w:eastAsia="Times New Roman" w:cs="Times New Roman"/>
          <w:szCs w:val="24"/>
        </w:rPr>
        <w:t xml:space="preserve"> 2019.</w:t>
      </w:r>
      <w:r w:rsidR="00C455E0" w:rsidRPr="009A2018">
        <w:rPr>
          <w:rFonts w:eastAsia="Times New Roman" w:cs="Times New Roman"/>
          <w:szCs w:val="24"/>
        </w:rPr>
        <w:t xml:space="preserve"> godine</w:t>
      </w:r>
      <w:r w:rsidRPr="009A2018">
        <w:rPr>
          <w:rFonts w:eastAsia="Times New Roman" w:cs="Times New Roman"/>
          <w:szCs w:val="24"/>
        </w:rPr>
        <w:t xml:space="preserve">, članovi opozicije obustavili su svoje </w:t>
      </w:r>
      <w:r w:rsidR="00C455E0" w:rsidRPr="009A2018">
        <w:rPr>
          <w:rFonts w:eastAsia="Times New Roman" w:cs="Times New Roman"/>
          <w:szCs w:val="24"/>
        </w:rPr>
        <w:t>učešće</w:t>
      </w:r>
      <w:r w:rsidRPr="009A2018">
        <w:rPr>
          <w:rFonts w:eastAsia="Times New Roman" w:cs="Times New Roman"/>
          <w:szCs w:val="24"/>
        </w:rPr>
        <w:t xml:space="preserve"> u </w:t>
      </w:r>
      <w:r w:rsidR="00D370B6" w:rsidRPr="009A2018">
        <w:rPr>
          <w:rFonts w:eastAsia="Times New Roman" w:cs="Times New Roman"/>
          <w:szCs w:val="24"/>
        </w:rPr>
        <w:t>O</w:t>
      </w:r>
      <w:r w:rsidR="00C455E0" w:rsidRPr="009A2018">
        <w:rPr>
          <w:rFonts w:eastAsia="Times New Roman" w:cs="Times New Roman"/>
          <w:szCs w:val="24"/>
        </w:rPr>
        <w:t xml:space="preserve">dboru nakon što je </w:t>
      </w:r>
      <w:r w:rsidR="001452E2">
        <w:rPr>
          <w:rFonts w:eastAsia="Times New Roman" w:cs="Times New Roman"/>
          <w:szCs w:val="24"/>
        </w:rPr>
        <w:t>V</w:t>
      </w:r>
      <w:r w:rsidR="001452E2" w:rsidRPr="009A2018">
        <w:rPr>
          <w:rFonts w:eastAsia="Times New Roman" w:cs="Times New Roman"/>
          <w:szCs w:val="24"/>
        </w:rPr>
        <w:t xml:space="preserve">lada </w:t>
      </w:r>
      <w:r w:rsidR="00D370B6" w:rsidRPr="009A2018">
        <w:rPr>
          <w:rFonts w:eastAsia="Times New Roman" w:cs="Times New Roman"/>
          <w:szCs w:val="24"/>
        </w:rPr>
        <w:t>na plenarnoj s</w:t>
      </w:r>
      <w:r w:rsidR="001452E2">
        <w:rPr>
          <w:rFonts w:eastAsia="Times New Roman" w:cs="Times New Roman"/>
          <w:szCs w:val="24"/>
        </w:rPr>
        <w:t>j</w:t>
      </w:r>
      <w:r w:rsidR="00D370B6" w:rsidRPr="009A2018">
        <w:rPr>
          <w:rFonts w:eastAsia="Times New Roman" w:cs="Times New Roman"/>
          <w:szCs w:val="24"/>
        </w:rPr>
        <w:t>ednici</w:t>
      </w:r>
      <w:r w:rsidR="00C455E0" w:rsidRPr="009A2018">
        <w:rPr>
          <w:rFonts w:eastAsia="Times New Roman" w:cs="Times New Roman"/>
          <w:szCs w:val="24"/>
        </w:rPr>
        <w:t xml:space="preserve"> podn</w:t>
      </w:r>
      <w:r w:rsidR="00717399" w:rsidRPr="009A2018">
        <w:rPr>
          <w:rFonts w:eastAsia="Times New Roman" w:cs="Times New Roman"/>
          <w:szCs w:val="24"/>
        </w:rPr>
        <w:t>ij</w:t>
      </w:r>
      <w:r w:rsidR="00EF7016" w:rsidRPr="009A2018">
        <w:rPr>
          <w:rFonts w:eastAsia="Times New Roman" w:cs="Times New Roman"/>
          <w:szCs w:val="24"/>
        </w:rPr>
        <w:t>ela nacrt Z</w:t>
      </w:r>
      <w:r w:rsidRPr="009A2018">
        <w:rPr>
          <w:rFonts w:eastAsia="Times New Roman" w:cs="Times New Roman"/>
          <w:szCs w:val="24"/>
        </w:rPr>
        <w:t xml:space="preserve">akona o </w:t>
      </w:r>
      <w:r w:rsidR="002D5ADB" w:rsidRPr="009A2018">
        <w:rPr>
          <w:rFonts w:eastAsia="Times New Roman" w:cs="Times New Roman"/>
          <w:szCs w:val="24"/>
        </w:rPr>
        <w:t xml:space="preserve">slobodi </w:t>
      </w:r>
      <w:r w:rsidR="00C455E0" w:rsidRPr="009A2018">
        <w:rPr>
          <w:rFonts w:eastAsia="Times New Roman" w:cs="Times New Roman"/>
          <w:szCs w:val="24"/>
        </w:rPr>
        <w:t>v</w:t>
      </w:r>
      <w:r w:rsidR="00717399" w:rsidRPr="009A2018">
        <w:rPr>
          <w:rFonts w:eastAsia="Times New Roman" w:cs="Times New Roman"/>
          <w:szCs w:val="24"/>
        </w:rPr>
        <w:t>j</w:t>
      </w:r>
      <w:r w:rsidR="00C455E0" w:rsidRPr="009A2018">
        <w:rPr>
          <w:rFonts w:eastAsia="Times New Roman" w:cs="Times New Roman"/>
          <w:szCs w:val="24"/>
        </w:rPr>
        <w:t>eroispov</w:t>
      </w:r>
      <w:r w:rsidR="00717399" w:rsidRPr="009A2018">
        <w:rPr>
          <w:rFonts w:eastAsia="Times New Roman" w:cs="Times New Roman"/>
          <w:szCs w:val="24"/>
        </w:rPr>
        <w:t>j</w:t>
      </w:r>
      <w:r w:rsidR="00C455E0" w:rsidRPr="009A2018">
        <w:rPr>
          <w:rFonts w:eastAsia="Times New Roman" w:cs="Times New Roman"/>
          <w:szCs w:val="24"/>
        </w:rPr>
        <w:t>esti</w:t>
      </w:r>
      <w:r w:rsidR="002D5ADB" w:rsidRPr="009A2018">
        <w:rPr>
          <w:rFonts w:eastAsia="Times New Roman" w:cs="Times New Roman"/>
          <w:szCs w:val="24"/>
        </w:rPr>
        <w:t xml:space="preserve"> na usvajanje. Usl</w:t>
      </w:r>
      <w:r w:rsidR="00717399" w:rsidRPr="009A2018">
        <w:rPr>
          <w:rFonts w:eastAsia="Times New Roman" w:cs="Times New Roman"/>
          <w:szCs w:val="24"/>
        </w:rPr>
        <w:t>j</w:t>
      </w:r>
      <w:r w:rsidR="002D5ADB" w:rsidRPr="009A2018">
        <w:rPr>
          <w:rFonts w:eastAsia="Times New Roman" w:cs="Times New Roman"/>
          <w:szCs w:val="24"/>
        </w:rPr>
        <w:t xml:space="preserve">ed ovoga, </w:t>
      </w:r>
      <w:r w:rsidR="00EF7016" w:rsidRPr="009A2018">
        <w:rPr>
          <w:rFonts w:eastAsia="Times New Roman" w:cs="Times New Roman"/>
          <w:szCs w:val="24"/>
        </w:rPr>
        <w:t>došlo je do nedostatka kvoruma pa O</w:t>
      </w:r>
      <w:r w:rsidR="002D5ADB" w:rsidRPr="009A2018">
        <w:rPr>
          <w:rFonts w:eastAsia="Times New Roman" w:cs="Times New Roman"/>
          <w:szCs w:val="24"/>
        </w:rPr>
        <w:t>dbo</w:t>
      </w:r>
      <w:r w:rsidR="0041628A">
        <w:rPr>
          <w:rFonts w:eastAsia="Times New Roman" w:cs="Times New Roman"/>
          <w:szCs w:val="24"/>
        </w:rPr>
        <w:t>r nije bio u stanju da završi s</w:t>
      </w:r>
      <w:r w:rsidR="002D5ADB" w:rsidRPr="009A2018">
        <w:rPr>
          <w:rFonts w:eastAsia="Times New Roman" w:cs="Times New Roman"/>
          <w:szCs w:val="24"/>
        </w:rPr>
        <w:t xml:space="preserve"> radom</w:t>
      </w:r>
      <w:r w:rsidR="002C3D0D" w:rsidRPr="009A2018">
        <w:rPr>
          <w:rFonts w:eastAsia="Times New Roman" w:cs="Times New Roman"/>
          <w:szCs w:val="24"/>
        </w:rPr>
        <w:t>.</w:t>
      </w:r>
      <w:r w:rsidRPr="009A2018">
        <w:rPr>
          <w:rFonts w:eastAsia="Times New Roman" w:cs="Times New Roman"/>
          <w:vanish/>
          <w:szCs w:val="24"/>
        </w:rPr>
        <w:t>Show moreShow less</w:t>
      </w:r>
    </w:p>
    <w:p w:rsidR="002D5ADB" w:rsidRPr="009A2018" w:rsidRDefault="002D5ADB" w:rsidP="00EC1790">
      <w:pPr>
        <w:spacing w:after="120" w:line="240" w:lineRule="auto"/>
        <w:jc w:val="both"/>
        <w:rPr>
          <w:rFonts w:cs="Times New Roman"/>
          <w:szCs w:val="24"/>
        </w:rPr>
      </w:pPr>
      <w:r w:rsidRPr="009A2018">
        <w:rPr>
          <w:rFonts w:cs="Times New Roman"/>
          <w:szCs w:val="24"/>
        </w:rPr>
        <w:t>U de</w:t>
      </w:r>
      <w:r w:rsidR="00D370B6" w:rsidRPr="009A2018">
        <w:rPr>
          <w:rFonts w:cs="Times New Roman"/>
          <w:szCs w:val="24"/>
        </w:rPr>
        <w:t>cembru 2019. godine, Skupština</w:t>
      </w:r>
      <w:r w:rsidRPr="009A2018">
        <w:rPr>
          <w:rFonts w:cs="Times New Roman"/>
          <w:szCs w:val="24"/>
        </w:rPr>
        <w:t xml:space="preserve"> je samo glasovima vladajuće većine </w:t>
      </w:r>
      <w:r w:rsidR="00EF7016" w:rsidRPr="009A2018">
        <w:rPr>
          <w:rFonts w:cs="Times New Roman"/>
          <w:szCs w:val="24"/>
        </w:rPr>
        <w:t xml:space="preserve">u četiri zakona </w:t>
      </w:r>
      <w:r w:rsidR="000751CA" w:rsidRPr="009A2018">
        <w:rPr>
          <w:rFonts w:cs="Times New Roman"/>
          <w:szCs w:val="24"/>
        </w:rPr>
        <w:t>usvojila</w:t>
      </w:r>
      <w:r w:rsidRPr="009A2018">
        <w:rPr>
          <w:rFonts w:cs="Times New Roman"/>
          <w:szCs w:val="24"/>
        </w:rPr>
        <w:t xml:space="preserve"> izm</w:t>
      </w:r>
      <w:r w:rsidR="00717399" w:rsidRPr="009A2018">
        <w:rPr>
          <w:rFonts w:cs="Times New Roman"/>
          <w:szCs w:val="24"/>
        </w:rPr>
        <w:t>j</w:t>
      </w:r>
      <w:r w:rsidRPr="009A2018">
        <w:rPr>
          <w:rFonts w:cs="Times New Roman"/>
          <w:szCs w:val="24"/>
        </w:rPr>
        <w:t>ene odred</w:t>
      </w:r>
      <w:r w:rsidR="0041628A">
        <w:rPr>
          <w:rFonts w:cs="Times New Roman"/>
          <w:szCs w:val="24"/>
        </w:rPr>
        <w:t>a</w:t>
      </w:r>
      <w:r w:rsidRPr="009A2018">
        <w:rPr>
          <w:rFonts w:cs="Times New Roman"/>
          <w:szCs w:val="24"/>
        </w:rPr>
        <w:t>b</w:t>
      </w:r>
      <w:r w:rsidR="0041628A">
        <w:rPr>
          <w:rFonts w:cs="Times New Roman"/>
          <w:szCs w:val="24"/>
        </w:rPr>
        <w:t>a</w:t>
      </w:r>
      <w:r w:rsidRPr="009A2018">
        <w:rPr>
          <w:rFonts w:cs="Times New Roman"/>
          <w:szCs w:val="24"/>
        </w:rPr>
        <w:t xml:space="preserve"> koje su se odnosile na izbore. Usvojene izm</w:t>
      </w:r>
      <w:r w:rsidR="00717399" w:rsidRPr="009A2018">
        <w:rPr>
          <w:rFonts w:cs="Times New Roman"/>
          <w:szCs w:val="24"/>
        </w:rPr>
        <w:t>j</w:t>
      </w:r>
      <w:r w:rsidRPr="009A2018">
        <w:rPr>
          <w:rFonts w:cs="Times New Roman"/>
          <w:szCs w:val="24"/>
        </w:rPr>
        <w:t>ene ne utiču značajno na postojeći izborni okvir. U maju 2020. godine, vladajuća većina podn</w:t>
      </w:r>
      <w:r w:rsidR="00717399" w:rsidRPr="009A2018">
        <w:rPr>
          <w:rFonts w:cs="Times New Roman"/>
          <w:szCs w:val="24"/>
        </w:rPr>
        <w:t>ij</w:t>
      </w:r>
      <w:r w:rsidRPr="009A2018">
        <w:rPr>
          <w:rFonts w:cs="Times New Roman"/>
          <w:szCs w:val="24"/>
        </w:rPr>
        <w:t xml:space="preserve">ela je </w:t>
      </w:r>
      <w:r w:rsidR="008A741B" w:rsidRPr="009A2018">
        <w:rPr>
          <w:rFonts w:cs="Times New Roman"/>
          <w:szCs w:val="24"/>
        </w:rPr>
        <w:t xml:space="preserve">na usvajanje </w:t>
      </w:r>
      <w:r w:rsidRPr="009A2018">
        <w:rPr>
          <w:rFonts w:cs="Times New Roman"/>
          <w:szCs w:val="24"/>
        </w:rPr>
        <w:t xml:space="preserve">nacrt Zakona o izboru </w:t>
      </w:r>
      <w:r w:rsidR="008A741B" w:rsidRPr="009A2018">
        <w:rPr>
          <w:rFonts w:cs="Times New Roman"/>
          <w:szCs w:val="24"/>
        </w:rPr>
        <w:t>odbornika</w:t>
      </w:r>
      <w:r w:rsidRPr="009A2018">
        <w:rPr>
          <w:rFonts w:cs="Times New Roman"/>
          <w:szCs w:val="24"/>
        </w:rPr>
        <w:t xml:space="preserve"> i poslanika</w:t>
      </w:r>
      <w:r w:rsidR="008A741B" w:rsidRPr="009A2018">
        <w:rPr>
          <w:rFonts w:cs="Times New Roman"/>
          <w:szCs w:val="24"/>
        </w:rPr>
        <w:t xml:space="preserve">, </w:t>
      </w:r>
      <w:r w:rsidRPr="009A2018">
        <w:rPr>
          <w:rFonts w:cs="Times New Roman"/>
          <w:szCs w:val="24"/>
        </w:rPr>
        <w:t>istovremeno</w:t>
      </w:r>
      <w:r w:rsidR="008A741B" w:rsidRPr="009A2018">
        <w:rPr>
          <w:rFonts w:cs="Times New Roman"/>
          <w:szCs w:val="24"/>
        </w:rPr>
        <w:t xml:space="preserve"> zatraživši mišljenje od</w:t>
      </w:r>
      <w:r w:rsidR="0041628A">
        <w:rPr>
          <w:rFonts w:cs="Times New Roman"/>
          <w:szCs w:val="24"/>
        </w:rPr>
        <w:t xml:space="preserve"> Venecijanske komisije i O</w:t>
      </w:r>
      <w:r w:rsidR="001452E2">
        <w:rPr>
          <w:rFonts w:cs="Times New Roman"/>
          <w:szCs w:val="24"/>
        </w:rPr>
        <w:t>EBS</w:t>
      </w:r>
      <w:r w:rsidR="0041628A">
        <w:rPr>
          <w:rFonts w:cs="Times New Roman"/>
          <w:szCs w:val="24"/>
        </w:rPr>
        <w:t>/</w:t>
      </w:r>
      <w:r w:rsidR="008A741B" w:rsidRPr="009A2018">
        <w:rPr>
          <w:rFonts w:cs="Times New Roman"/>
          <w:szCs w:val="24"/>
        </w:rPr>
        <w:t>ODIHR-a</w:t>
      </w:r>
      <w:r w:rsidRPr="009A2018">
        <w:rPr>
          <w:rFonts w:cs="Times New Roman"/>
          <w:szCs w:val="24"/>
        </w:rPr>
        <w:t>. Nacrt zakona podn</w:t>
      </w:r>
      <w:r w:rsidR="00717399" w:rsidRPr="009A2018">
        <w:rPr>
          <w:rFonts w:cs="Times New Roman"/>
          <w:szCs w:val="24"/>
        </w:rPr>
        <w:t>ij</w:t>
      </w:r>
      <w:r w:rsidRPr="009A2018">
        <w:rPr>
          <w:rFonts w:cs="Times New Roman"/>
          <w:szCs w:val="24"/>
        </w:rPr>
        <w:t>et je bez preth</w:t>
      </w:r>
      <w:r w:rsidR="008A741B" w:rsidRPr="009A2018">
        <w:rPr>
          <w:rFonts w:cs="Times New Roman"/>
          <w:szCs w:val="24"/>
        </w:rPr>
        <w:t>odnog međustranačkog dogovora, a nekoliko ned</w:t>
      </w:r>
      <w:r w:rsidR="00717399" w:rsidRPr="009A2018">
        <w:rPr>
          <w:rFonts w:cs="Times New Roman"/>
          <w:szCs w:val="24"/>
        </w:rPr>
        <w:t>j</w:t>
      </w:r>
      <w:r w:rsidR="008A741B" w:rsidRPr="009A2018">
        <w:rPr>
          <w:rFonts w:cs="Times New Roman"/>
          <w:szCs w:val="24"/>
        </w:rPr>
        <w:t>elja pr</w:t>
      </w:r>
      <w:r w:rsidR="00717399" w:rsidRPr="009A2018">
        <w:rPr>
          <w:rFonts w:cs="Times New Roman"/>
          <w:szCs w:val="24"/>
        </w:rPr>
        <w:t>ij</w:t>
      </w:r>
      <w:r w:rsidRPr="009A2018">
        <w:rPr>
          <w:rFonts w:cs="Times New Roman"/>
          <w:szCs w:val="24"/>
        </w:rPr>
        <w:t>e raspisivanja parlamentarnih izbora. U svo</w:t>
      </w:r>
      <w:r w:rsidR="0041628A">
        <w:rPr>
          <w:rFonts w:cs="Times New Roman"/>
          <w:szCs w:val="24"/>
        </w:rPr>
        <w:t>m zajedničkom mišljenju, O</w:t>
      </w:r>
      <w:r w:rsidR="001452E2">
        <w:rPr>
          <w:rFonts w:cs="Times New Roman"/>
          <w:szCs w:val="24"/>
        </w:rPr>
        <w:t>EBS</w:t>
      </w:r>
      <w:r w:rsidR="0041628A">
        <w:rPr>
          <w:rFonts w:cs="Times New Roman"/>
          <w:szCs w:val="24"/>
        </w:rPr>
        <w:t>/</w:t>
      </w:r>
      <w:r w:rsidRPr="009A2018">
        <w:rPr>
          <w:rFonts w:cs="Times New Roman"/>
          <w:szCs w:val="24"/>
        </w:rPr>
        <w:t>OD</w:t>
      </w:r>
      <w:r w:rsidR="008A741B" w:rsidRPr="009A2018">
        <w:rPr>
          <w:rFonts w:cs="Times New Roman"/>
          <w:szCs w:val="24"/>
        </w:rPr>
        <w:t>IHR i Venecijanska komisija oc</w:t>
      </w:r>
      <w:r w:rsidR="00717399" w:rsidRPr="009A2018">
        <w:rPr>
          <w:rFonts w:cs="Times New Roman"/>
          <w:szCs w:val="24"/>
        </w:rPr>
        <w:t>ij</w:t>
      </w:r>
      <w:r w:rsidRPr="009A2018">
        <w:rPr>
          <w:rFonts w:cs="Times New Roman"/>
          <w:szCs w:val="24"/>
        </w:rPr>
        <w:t>enili su</w:t>
      </w:r>
      <w:r w:rsidR="008A741B" w:rsidRPr="009A2018">
        <w:rPr>
          <w:rFonts w:cs="Times New Roman"/>
          <w:szCs w:val="24"/>
        </w:rPr>
        <w:t xml:space="preserve"> da nacrt zakona predst</w:t>
      </w:r>
      <w:r w:rsidR="000751CA" w:rsidRPr="009A2018">
        <w:rPr>
          <w:rFonts w:cs="Times New Roman"/>
          <w:szCs w:val="24"/>
        </w:rPr>
        <w:t>a</w:t>
      </w:r>
      <w:r w:rsidR="008A741B" w:rsidRPr="009A2018">
        <w:rPr>
          <w:rFonts w:cs="Times New Roman"/>
          <w:szCs w:val="24"/>
        </w:rPr>
        <w:t>vlja ukupno poboljšanje</w:t>
      </w:r>
      <w:r w:rsidRPr="009A2018">
        <w:rPr>
          <w:rFonts w:cs="Times New Roman"/>
          <w:szCs w:val="24"/>
        </w:rPr>
        <w:t xml:space="preserve"> pravnog okvira, </w:t>
      </w:r>
      <w:r w:rsidR="008A741B" w:rsidRPr="009A2018">
        <w:rPr>
          <w:rFonts w:cs="Times New Roman"/>
          <w:szCs w:val="24"/>
        </w:rPr>
        <w:t>ali su naglasili</w:t>
      </w:r>
      <w:r w:rsidR="00D12D64" w:rsidRPr="009A2018">
        <w:rPr>
          <w:rFonts w:cs="Times New Roman"/>
          <w:szCs w:val="24"/>
        </w:rPr>
        <w:t xml:space="preserve"> i da postoji potreba</w:t>
      </w:r>
      <w:r w:rsidRPr="009A2018">
        <w:rPr>
          <w:rFonts w:cs="Times New Roman"/>
          <w:szCs w:val="24"/>
        </w:rPr>
        <w:t xml:space="preserve"> za otvorenim i transparentnim po</w:t>
      </w:r>
      <w:r w:rsidR="00D12D64" w:rsidRPr="009A2018">
        <w:rPr>
          <w:rFonts w:cs="Times New Roman"/>
          <w:szCs w:val="24"/>
        </w:rPr>
        <w:t>stupkom donošenja zakona i izv</w:t>
      </w:r>
      <w:r w:rsidR="00717399" w:rsidRPr="009A2018">
        <w:rPr>
          <w:rFonts w:cs="Times New Roman"/>
          <w:szCs w:val="24"/>
        </w:rPr>
        <w:t>j</w:t>
      </w:r>
      <w:r w:rsidR="00D12D64" w:rsidRPr="009A2018">
        <w:rPr>
          <w:rFonts w:cs="Times New Roman"/>
          <w:szCs w:val="24"/>
        </w:rPr>
        <w:t>esnim brojem</w:t>
      </w:r>
      <w:r w:rsidRPr="009A2018">
        <w:rPr>
          <w:rFonts w:cs="Times New Roman"/>
          <w:szCs w:val="24"/>
        </w:rPr>
        <w:t xml:space="preserve"> ključnih preporuka.</w:t>
      </w:r>
    </w:p>
    <w:p w:rsidR="00D12D64" w:rsidRPr="009A2018" w:rsidRDefault="00D12D64" w:rsidP="00EC1790">
      <w:pPr>
        <w:spacing w:after="120" w:line="240" w:lineRule="auto"/>
        <w:jc w:val="both"/>
        <w:rPr>
          <w:rFonts w:cs="Times New Roman"/>
          <w:szCs w:val="24"/>
        </w:rPr>
      </w:pPr>
      <w:r w:rsidRPr="009A2018">
        <w:rPr>
          <w:rFonts w:cs="Times New Roman"/>
          <w:szCs w:val="24"/>
        </w:rPr>
        <w:t>Izbori u pet opština (Andrijevica, Budva, Gusinje, Kotor i Tivat) održani su 30. avgusta, zajedno s parlamentarnim izborima. Uprkos međustranačkom dogovoru da se svi lokalni izbori održe istog dana, zakonski okvir i dalje predviđa njihovo sprovođenje na redovnoj osn</w:t>
      </w:r>
      <w:r w:rsidR="0041628A">
        <w:rPr>
          <w:rFonts w:cs="Times New Roman"/>
          <w:szCs w:val="24"/>
        </w:rPr>
        <w:t>ovi. Tek treba da se odluči kad</w:t>
      </w:r>
      <w:r w:rsidRPr="009A2018">
        <w:rPr>
          <w:rFonts w:cs="Times New Roman"/>
          <w:szCs w:val="24"/>
        </w:rPr>
        <w:t xml:space="preserve"> će novi sistem biti implementiran. Lokalni izbori u Tivtu, prvobitno zakazani za april 2020. godine, odloženi su zbog izbijanja pandemije korona virusa. Ova je odluka bila moguća jer su izm</w:t>
      </w:r>
      <w:r w:rsidR="00717399" w:rsidRPr="009A2018">
        <w:rPr>
          <w:rFonts w:cs="Times New Roman"/>
          <w:szCs w:val="24"/>
        </w:rPr>
        <w:t>j</w:t>
      </w:r>
      <w:r w:rsidRPr="009A2018">
        <w:rPr>
          <w:rFonts w:cs="Times New Roman"/>
          <w:szCs w:val="24"/>
        </w:rPr>
        <w:t>ene i dopune Zakona o lokalnoj samoupravi iz aprila 2020. godine uvele mogućnost produženja mandata lokalnih skupština</w:t>
      </w:r>
      <w:r w:rsidR="008A5699" w:rsidRPr="009A2018">
        <w:rPr>
          <w:rFonts w:cs="Times New Roman"/>
          <w:szCs w:val="24"/>
        </w:rPr>
        <w:t xml:space="preserve"> na</w:t>
      </w:r>
      <w:r w:rsidRPr="009A2018">
        <w:rPr>
          <w:rFonts w:cs="Times New Roman"/>
          <w:szCs w:val="24"/>
        </w:rPr>
        <w:t xml:space="preserve"> do 90 dan</w:t>
      </w:r>
      <w:r w:rsidR="008A5699" w:rsidRPr="009A2018">
        <w:rPr>
          <w:rFonts w:cs="Times New Roman"/>
          <w:szCs w:val="24"/>
        </w:rPr>
        <w:t>a u „vanrednim</w:t>
      </w:r>
      <w:r w:rsidRPr="009A2018">
        <w:rPr>
          <w:rFonts w:cs="Times New Roman"/>
          <w:szCs w:val="24"/>
        </w:rPr>
        <w:t>“</w:t>
      </w:r>
      <w:r w:rsidR="008A5699" w:rsidRPr="009A2018">
        <w:rPr>
          <w:rFonts w:cs="Times New Roman"/>
          <w:szCs w:val="24"/>
        </w:rPr>
        <w:t xml:space="preserve"> slučajevima</w:t>
      </w:r>
      <w:r w:rsidRPr="009A2018">
        <w:rPr>
          <w:rFonts w:cs="Times New Roman"/>
          <w:szCs w:val="24"/>
        </w:rPr>
        <w:t>, pored</w:t>
      </w:r>
      <w:r w:rsidR="000751CA" w:rsidRPr="009A2018">
        <w:rPr>
          <w:rFonts w:cs="Times New Roman"/>
          <w:szCs w:val="24"/>
        </w:rPr>
        <w:t xml:space="preserve"> produženja za „vanredno stanje</w:t>
      </w:r>
      <w:r w:rsidRPr="009A2018">
        <w:rPr>
          <w:rFonts w:cs="Times New Roman"/>
          <w:szCs w:val="24"/>
        </w:rPr>
        <w:t>“.</w:t>
      </w:r>
    </w:p>
    <w:p w:rsidR="008A5699" w:rsidRPr="009A2018" w:rsidRDefault="008A5699" w:rsidP="00EC1790">
      <w:pPr>
        <w:spacing w:after="120" w:line="240" w:lineRule="auto"/>
        <w:jc w:val="both"/>
        <w:rPr>
          <w:rFonts w:cs="Times New Roman"/>
          <w:szCs w:val="24"/>
        </w:rPr>
      </w:pPr>
      <w:r w:rsidRPr="009A2018">
        <w:rPr>
          <w:rFonts w:cs="Times New Roman"/>
          <w:szCs w:val="24"/>
        </w:rPr>
        <w:t>Po raspisivanju javnog konkursa, novi preds</w:t>
      </w:r>
      <w:r w:rsidR="00717399" w:rsidRPr="009A2018">
        <w:rPr>
          <w:rFonts w:cs="Times New Roman"/>
          <w:szCs w:val="24"/>
        </w:rPr>
        <w:t>j</w:t>
      </w:r>
      <w:r w:rsidRPr="009A2018">
        <w:rPr>
          <w:rFonts w:cs="Times New Roman"/>
          <w:szCs w:val="24"/>
        </w:rPr>
        <w:t xml:space="preserve">ednik DIK-a imenovan je u martu 2020. godine, isključivo glasovima dotadašnje vladajuće većine. Izgradnja kapaciteta DIK-a je u toku, ali </w:t>
      </w:r>
      <w:r w:rsidR="0099581A" w:rsidRPr="009A2018">
        <w:rPr>
          <w:rFonts w:cs="Times New Roman"/>
          <w:szCs w:val="24"/>
        </w:rPr>
        <w:t xml:space="preserve">je potrebno </w:t>
      </w:r>
      <w:r w:rsidR="00EF7016" w:rsidRPr="009A2018">
        <w:rPr>
          <w:rFonts w:cs="Times New Roman"/>
          <w:szCs w:val="24"/>
        </w:rPr>
        <w:t>i dalje raditi</w:t>
      </w:r>
      <w:r w:rsidRPr="009A2018">
        <w:rPr>
          <w:rFonts w:cs="Times New Roman"/>
          <w:szCs w:val="24"/>
        </w:rPr>
        <w:t xml:space="preserve"> na povećanju transparen</w:t>
      </w:r>
      <w:r w:rsidR="0099581A" w:rsidRPr="009A2018">
        <w:rPr>
          <w:rFonts w:cs="Times New Roman"/>
          <w:szCs w:val="24"/>
        </w:rPr>
        <w:t>tnosti i odgovornosti u radu DIK</w:t>
      </w:r>
      <w:r w:rsidRPr="009A2018">
        <w:rPr>
          <w:rFonts w:cs="Times New Roman"/>
          <w:szCs w:val="24"/>
        </w:rPr>
        <w:t>-a. U svojim</w:t>
      </w:r>
      <w:r w:rsidR="00B5606F">
        <w:rPr>
          <w:rFonts w:cs="Times New Roman"/>
          <w:szCs w:val="24"/>
        </w:rPr>
        <w:t xml:space="preserve"> preliminarnim nalazima, O</w:t>
      </w:r>
      <w:r w:rsidR="001452E2">
        <w:rPr>
          <w:rFonts w:cs="Times New Roman"/>
          <w:szCs w:val="24"/>
        </w:rPr>
        <w:t>EBS</w:t>
      </w:r>
      <w:r w:rsidR="00B5606F">
        <w:rPr>
          <w:rFonts w:cs="Times New Roman"/>
          <w:szCs w:val="24"/>
        </w:rPr>
        <w:t>/</w:t>
      </w:r>
      <w:r w:rsidRPr="009A2018">
        <w:rPr>
          <w:rFonts w:cs="Times New Roman"/>
          <w:szCs w:val="24"/>
        </w:rPr>
        <w:t>ODIHR i Parlamentarna skupš</w:t>
      </w:r>
      <w:r w:rsidR="0099581A" w:rsidRPr="009A2018">
        <w:rPr>
          <w:rFonts w:cs="Times New Roman"/>
          <w:szCs w:val="24"/>
        </w:rPr>
        <w:t xml:space="preserve">tina </w:t>
      </w:r>
      <w:r w:rsidR="001452E2">
        <w:rPr>
          <w:rFonts w:cs="Times New Roman"/>
          <w:szCs w:val="24"/>
        </w:rPr>
        <w:t>OEBS</w:t>
      </w:r>
      <w:r w:rsidR="0099581A" w:rsidRPr="009A2018">
        <w:rPr>
          <w:rFonts w:cs="Times New Roman"/>
          <w:szCs w:val="24"/>
        </w:rPr>
        <w:t>-a zaključili su da tokom parlamentarnih izbora DIK</w:t>
      </w:r>
      <w:r w:rsidRPr="009A2018">
        <w:rPr>
          <w:rFonts w:cs="Times New Roman"/>
          <w:szCs w:val="24"/>
        </w:rPr>
        <w:t xml:space="preserve"> nije u potpunosti ispunila svoju regulatornu ulogu, </w:t>
      </w:r>
      <w:r w:rsidR="009A2018" w:rsidRPr="009A2018">
        <w:rPr>
          <w:rFonts w:cs="Times New Roman"/>
          <w:szCs w:val="24"/>
        </w:rPr>
        <w:t>te se nije pozabavila s</w:t>
      </w:r>
      <w:r w:rsidR="0099581A" w:rsidRPr="009A2018">
        <w:rPr>
          <w:rFonts w:cs="Times New Roman"/>
          <w:szCs w:val="24"/>
        </w:rPr>
        <w:t xml:space="preserve"> nekoliko važnih aspekata kao što su prov</w:t>
      </w:r>
      <w:r w:rsidR="00717399" w:rsidRPr="009A2018">
        <w:rPr>
          <w:rFonts w:cs="Times New Roman"/>
          <w:szCs w:val="24"/>
        </w:rPr>
        <w:t>j</w:t>
      </w:r>
      <w:r w:rsidR="0099581A" w:rsidRPr="009A2018">
        <w:rPr>
          <w:rFonts w:cs="Times New Roman"/>
          <w:szCs w:val="24"/>
        </w:rPr>
        <w:t xml:space="preserve">era </w:t>
      </w:r>
      <w:r w:rsidRPr="009A2018">
        <w:rPr>
          <w:rFonts w:cs="Times New Roman"/>
          <w:szCs w:val="24"/>
        </w:rPr>
        <w:t>potpisa</w:t>
      </w:r>
      <w:r w:rsidR="0099581A" w:rsidRPr="009A2018">
        <w:rPr>
          <w:rFonts w:cs="Times New Roman"/>
          <w:szCs w:val="24"/>
        </w:rPr>
        <w:t xml:space="preserve"> podrške</w:t>
      </w:r>
      <w:r w:rsidRPr="009A2018">
        <w:rPr>
          <w:rFonts w:cs="Times New Roman"/>
          <w:szCs w:val="24"/>
        </w:rPr>
        <w:t xml:space="preserve"> za registraciju </w:t>
      </w:r>
      <w:r w:rsidR="00717399" w:rsidRPr="009A2018">
        <w:rPr>
          <w:rFonts w:cs="Times New Roman"/>
          <w:szCs w:val="24"/>
        </w:rPr>
        <w:lastRenderedPageBreak/>
        <w:t>izbornih listova</w:t>
      </w:r>
      <w:r w:rsidR="0099581A" w:rsidRPr="009A2018">
        <w:rPr>
          <w:rFonts w:cs="Times New Roman"/>
          <w:szCs w:val="24"/>
        </w:rPr>
        <w:t>, kriterijumi</w:t>
      </w:r>
      <w:r w:rsidRPr="009A2018">
        <w:rPr>
          <w:rFonts w:cs="Times New Roman"/>
          <w:szCs w:val="24"/>
        </w:rPr>
        <w:t xml:space="preserve"> za registraciju</w:t>
      </w:r>
      <w:r w:rsidR="0099581A" w:rsidRPr="009A2018">
        <w:rPr>
          <w:rFonts w:cs="Times New Roman"/>
          <w:szCs w:val="24"/>
        </w:rPr>
        <w:t xml:space="preserve"> izbornih</w:t>
      </w:r>
      <w:r w:rsidRPr="009A2018">
        <w:rPr>
          <w:rFonts w:cs="Times New Roman"/>
          <w:szCs w:val="24"/>
        </w:rPr>
        <w:t xml:space="preserve"> list</w:t>
      </w:r>
      <w:r w:rsidR="00717399" w:rsidRPr="009A2018">
        <w:rPr>
          <w:rFonts w:cs="Times New Roman"/>
          <w:szCs w:val="24"/>
        </w:rPr>
        <w:t>ov</w:t>
      </w:r>
      <w:r w:rsidRPr="009A2018">
        <w:rPr>
          <w:rFonts w:cs="Times New Roman"/>
          <w:szCs w:val="24"/>
        </w:rPr>
        <w:t xml:space="preserve">a </w:t>
      </w:r>
      <w:r w:rsidR="000751CA" w:rsidRPr="009A2018">
        <w:rPr>
          <w:rFonts w:cs="Times New Roman"/>
          <w:szCs w:val="24"/>
        </w:rPr>
        <w:t>nacionalnih manjina</w:t>
      </w:r>
      <w:r w:rsidRPr="009A2018">
        <w:rPr>
          <w:rFonts w:cs="Times New Roman"/>
          <w:szCs w:val="24"/>
        </w:rPr>
        <w:t xml:space="preserve"> i prebrojavanje rezulta</w:t>
      </w:r>
      <w:r w:rsidR="0099581A" w:rsidRPr="009A2018">
        <w:rPr>
          <w:rFonts w:cs="Times New Roman"/>
          <w:szCs w:val="24"/>
        </w:rPr>
        <w:t>ta</w:t>
      </w:r>
      <w:r w:rsidRPr="009A2018">
        <w:rPr>
          <w:rFonts w:cs="Times New Roman"/>
          <w:szCs w:val="24"/>
        </w:rPr>
        <w:t>. Takođe je oc</w:t>
      </w:r>
      <w:r w:rsidR="00717399" w:rsidRPr="009A2018">
        <w:rPr>
          <w:rFonts w:cs="Times New Roman"/>
          <w:szCs w:val="24"/>
        </w:rPr>
        <w:t>ij</w:t>
      </w:r>
      <w:r w:rsidRPr="009A2018">
        <w:rPr>
          <w:rFonts w:cs="Times New Roman"/>
          <w:szCs w:val="24"/>
        </w:rPr>
        <w:t>enjeno da je</w:t>
      </w:r>
      <w:r w:rsidR="0099581A" w:rsidRPr="009A2018">
        <w:rPr>
          <w:rFonts w:cs="Times New Roman"/>
          <w:szCs w:val="24"/>
        </w:rPr>
        <w:t xml:space="preserve"> DIK,</w:t>
      </w:r>
      <w:r w:rsidRPr="009A2018">
        <w:rPr>
          <w:rFonts w:cs="Times New Roman"/>
          <w:szCs w:val="24"/>
        </w:rPr>
        <w:t xml:space="preserve"> u nekim od svojih odluka</w:t>
      </w:r>
      <w:r w:rsidR="0099581A" w:rsidRPr="009A2018">
        <w:rPr>
          <w:rFonts w:cs="Times New Roman"/>
          <w:szCs w:val="24"/>
        </w:rPr>
        <w:t>,</w:t>
      </w:r>
      <w:r w:rsidRPr="009A2018">
        <w:rPr>
          <w:rFonts w:cs="Times New Roman"/>
          <w:szCs w:val="24"/>
        </w:rPr>
        <w:t xml:space="preserve"> koristila široka diskreciona ovlašćenja za tumačenje i prim</w:t>
      </w:r>
      <w:r w:rsidR="00717399" w:rsidRPr="009A2018">
        <w:rPr>
          <w:rFonts w:cs="Times New Roman"/>
          <w:szCs w:val="24"/>
        </w:rPr>
        <w:t>j</w:t>
      </w:r>
      <w:r w:rsidRPr="009A2018">
        <w:rPr>
          <w:rFonts w:cs="Times New Roman"/>
          <w:szCs w:val="24"/>
        </w:rPr>
        <w:t>enu zakona. Preporuke</w:t>
      </w:r>
      <w:r w:rsidR="00C56E09" w:rsidRPr="009A2018">
        <w:rPr>
          <w:rFonts w:cs="Times New Roman"/>
          <w:szCs w:val="24"/>
        </w:rPr>
        <w:t xml:space="preserve"> o epidemiološkoj zaštiti glasača bile su nejasne i teško ih je bilo sprovesti</w:t>
      </w:r>
      <w:r w:rsidRPr="009A2018">
        <w:rPr>
          <w:rFonts w:cs="Times New Roman"/>
          <w:szCs w:val="24"/>
        </w:rPr>
        <w:t>.</w:t>
      </w:r>
    </w:p>
    <w:p w:rsidR="00C56E09" w:rsidRPr="009A2018" w:rsidRDefault="00C56E09" w:rsidP="00EC1790">
      <w:pPr>
        <w:keepNext/>
        <w:spacing w:after="120" w:line="240" w:lineRule="auto"/>
        <w:jc w:val="both"/>
        <w:rPr>
          <w:rFonts w:cs="Times New Roman"/>
          <w:bCs/>
          <w:iCs/>
          <w:szCs w:val="24"/>
        </w:rPr>
      </w:pPr>
      <w:r w:rsidRPr="009A2018">
        <w:rPr>
          <w:rFonts w:cs="Times New Roman"/>
          <w:bCs/>
          <w:iCs/>
          <w:szCs w:val="24"/>
        </w:rPr>
        <w:t>Državno tužilaštvo prikupilo</w:t>
      </w:r>
      <w:r w:rsidR="00717399" w:rsidRPr="009A2018">
        <w:rPr>
          <w:rFonts w:cs="Times New Roman"/>
          <w:bCs/>
          <w:iCs/>
          <w:szCs w:val="24"/>
        </w:rPr>
        <w:t xml:space="preserve"> je 1.</w:t>
      </w:r>
      <w:r w:rsidRPr="009A2018">
        <w:rPr>
          <w:rFonts w:cs="Times New Roman"/>
          <w:bCs/>
          <w:iCs/>
          <w:szCs w:val="24"/>
        </w:rPr>
        <w:t>142 predmeta posl</w:t>
      </w:r>
      <w:r w:rsidR="00B5606F">
        <w:rPr>
          <w:rFonts w:cs="Times New Roman"/>
          <w:bCs/>
          <w:iCs/>
          <w:szCs w:val="24"/>
        </w:rPr>
        <w:t>ij</w:t>
      </w:r>
      <w:r w:rsidRPr="009A2018">
        <w:rPr>
          <w:rFonts w:cs="Times New Roman"/>
          <w:bCs/>
          <w:iCs/>
          <w:szCs w:val="24"/>
        </w:rPr>
        <w:t>e preds</w:t>
      </w:r>
      <w:r w:rsidR="00717399" w:rsidRPr="009A2018">
        <w:rPr>
          <w:rFonts w:cs="Times New Roman"/>
          <w:bCs/>
          <w:iCs/>
          <w:szCs w:val="24"/>
        </w:rPr>
        <w:t>j</w:t>
      </w:r>
      <w:r w:rsidRPr="009A2018">
        <w:rPr>
          <w:rFonts w:cs="Times New Roman"/>
          <w:bCs/>
          <w:iCs/>
          <w:szCs w:val="24"/>
        </w:rPr>
        <w:t xml:space="preserve">edničkih izbora u aprilu 2018. godine, </w:t>
      </w:r>
      <w:r w:rsidR="006D3550" w:rsidRPr="009A2018">
        <w:rPr>
          <w:rFonts w:cs="Times New Roman"/>
          <w:bCs/>
          <w:iCs/>
          <w:szCs w:val="24"/>
        </w:rPr>
        <w:t>koji su se uglavnom odnosili na</w:t>
      </w:r>
      <w:r w:rsidRPr="009A2018">
        <w:rPr>
          <w:rFonts w:cs="Times New Roman"/>
          <w:bCs/>
          <w:iCs/>
          <w:szCs w:val="24"/>
        </w:rPr>
        <w:t xml:space="preserve"> navodno falsifikovanje ličnih dokumenata i/ili po</w:t>
      </w:r>
      <w:r w:rsidR="009C523F" w:rsidRPr="009A2018">
        <w:rPr>
          <w:rFonts w:cs="Times New Roman"/>
          <w:bCs/>
          <w:iCs/>
          <w:szCs w:val="24"/>
        </w:rPr>
        <w:t>tpisa. Od toga je 1.</w:t>
      </w:r>
      <w:r w:rsidRPr="009A2018">
        <w:rPr>
          <w:rFonts w:cs="Times New Roman"/>
          <w:bCs/>
          <w:iCs/>
          <w:szCs w:val="24"/>
        </w:rPr>
        <w:t>134 još uv</w:t>
      </w:r>
      <w:r w:rsidR="009C523F" w:rsidRPr="009A2018">
        <w:rPr>
          <w:rFonts w:cs="Times New Roman"/>
          <w:bCs/>
          <w:iCs/>
          <w:szCs w:val="24"/>
        </w:rPr>
        <w:t>ij</w:t>
      </w:r>
      <w:r w:rsidRPr="009A2018">
        <w:rPr>
          <w:rFonts w:cs="Times New Roman"/>
          <w:bCs/>
          <w:iCs/>
          <w:szCs w:val="24"/>
        </w:rPr>
        <w:t>ek u fazi preliminarne istrage. U prol</w:t>
      </w:r>
      <w:r w:rsidR="009C523F" w:rsidRPr="009A2018">
        <w:rPr>
          <w:rFonts w:cs="Times New Roman"/>
          <w:bCs/>
          <w:iCs/>
          <w:szCs w:val="24"/>
        </w:rPr>
        <w:t>j</w:t>
      </w:r>
      <w:r w:rsidRPr="009A2018">
        <w:rPr>
          <w:rFonts w:cs="Times New Roman"/>
          <w:bCs/>
          <w:iCs/>
          <w:szCs w:val="24"/>
        </w:rPr>
        <w:t xml:space="preserve">eće 2019. godine, Ustavni sud presudio je da je blokiranje besplatnih programa i usluga </w:t>
      </w:r>
      <w:r w:rsidR="00B837FB" w:rsidRPr="009A2018">
        <w:rPr>
          <w:rFonts w:cs="Times New Roman"/>
          <w:bCs/>
          <w:iCs/>
          <w:szCs w:val="24"/>
        </w:rPr>
        <w:t>trenutne razm</w:t>
      </w:r>
      <w:r w:rsidR="009C523F" w:rsidRPr="009A2018">
        <w:rPr>
          <w:rFonts w:cs="Times New Roman"/>
          <w:bCs/>
          <w:iCs/>
          <w:szCs w:val="24"/>
        </w:rPr>
        <w:t>j</w:t>
      </w:r>
      <w:r w:rsidR="00B837FB" w:rsidRPr="009A2018">
        <w:rPr>
          <w:rFonts w:cs="Times New Roman"/>
          <w:bCs/>
          <w:iCs/>
          <w:szCs w:val="24"/>
        </w:rPr>
        <w:t>ene</w:t>
      </w:r>
      <w:r w:rsidRPr="009A2018">
        <w:rPr>
          <w:rFonts w:cs="Times New Roman"/>
          <w:bCs/>
          <w:iCs/>
          <w:szCs w:val="24"/>
        </w:rPr>
        <w:t xml:space="preserve"> poruka na dan izbora u oktobru 2016. godine neustavno i poništio je odgovarajuću odredbu zakona o elektronskoj komunikaciji.</w:t>
      </w:r>
    </w:p>
    <w:p w:rsidR="00B837FB" w:rsidRPr="009A2018" w:rsidRDefault="00B837FB" w:rsidP="00EC1790">
      <w:pPr>
        <w:keepNext/>
        <w:spacing w:after="120" w:line="240" w:lineRule="auto"/>
        <w:jc w:val="both"/>
        <w:rPr>
          <w:rFonts w:cs="Times New Roman"/>
          <w:szCs w:val="24"/>
        </w:rPr>
      </w:pPr>
      <w:r w:rsidRPr="009A2018">
        <w:rPr>
          <w:rFonts w:cs="Times New Roman"/>
          <w:szCs w:val="24"/>
        </w:rPr>
        <w:t xml:space="preserve">Nije bilo novih pomaka u političkom i pravosudnom epilogu </w:t>
      </w:r>
      <w:r w:rsidR="00C004D6" w:rsidRPr="009A2018">
        <w:rPr>
          <w:rFonts w:cs="Times New Roman"/>
          <w:szCs w:val="24"/>
        </w:rPr>
        <w:t>iz 2012. godine o navodnoj</w:t>
      </w:r>
      <w:r w:rsidRPr="009A2018">
        <w:rPr>
          <w:rFonts w:cs="Times New Roman"/>
          <w:szCs w:val="24"/>
        </w:rPr>
        <w:t xml:space="preserve"> zloupotr</w:t>
      </w:r>
      <w:r w:rsidR="00C004D6" w:rsidRPr="009A2018">
        <w:rPr>
          <w:rFonts w:cs="Times New Roman"/>
          <w:szCs w:val="24"/>
        </w:rPr>
        <w:t>ebi</w:t>
      </w:r>
      <w:r w:rsidRPr="009A2018">
        <w:rPr>
          <w:rFonts w:cs="Times New Roman"/>
          <w:szCs w:val="24"/>
        </w:rPr>
        <w:t xml:space="preserve"> javnih sredstava u stranačko političke svrhe („afera </w:t>
      </w:r>
      <w:r w:rsidR="001452E2">
        <w:rPr>
          <w:rFonts w:cs="Times New Roman"/>
          <w:szCs w:val="24"/>
        </w:rPr>
        <w:t>S</w:t>
      </w:r>
      <w:r w:rsidR="001452E2" w:rsidRPr="009A2018">
        <w:rPr>
          <w:rFonts w:cs="Times New Roman"/>
          <w:szCs w:val="24"/>
        </w:rPr>
        <w:t>nimak</w:t>
      </w:r>
      <w:r w:rsidRPr="009A2018">
        <w:rPr>
          <w:rFonts w:cs="Times New Roman"/>
          <w:szCs w:val="24"/>
        </w:rPr>
        <w:t>“). U decembru 2019. godine, Specijalno državno tužilaštvo podiglo je optužnicu protiv visokog zvan</w:t>
      </w:r>
      <w:r w:rsidR="009C523F" w:rsidRPr="009A2018">
        <w:rPr>
          <w:rFonts w:cs="Times New Roman"/>
          <w:szCs w:val="24"/>
        </w:rPr>
        <w:t>ičnika DPS-a za pranje novca u „</w:t>
      </w:r>
      <w:r w:rsidRPr="009A2018">
        <w:rPr>
          <w:rFonts w:cs="Times New Roman"/>
          <w:szCs w:val="24"/>
        </w:rPr>
        <w:t xml:space="preserve">aferi </w:t>
      </w:r>
      <w:r w:rsidR="001452E2">
        <w:rPr>
          <w:rFonts w:cs="Times New Roman"/>
          <w:szCs w:val="24"/>
        </w:rPr>
        <w:t>K</w:t>
      </w:r>
      <w:r w:rsidR="001452E2" w:rsidRPr="009A2018">
        <w:rPr>
          <w:rFonts w:cs="Times New Roman"/>
          <w:szCs w:val="24"/>
        </w:rPr>
        <w:t>overta</w:t>
      </w:r>
      <w:r w:rsidRPr="009A2018">
        <w:rPr>
          <w:rFonts w:cs="Times New Roman"/>
          <w:szCs w:val="24"/>
        </w:rPr>
        <w:t xml:space="preserve">". Optužnica uključuje još šest osoba osumnjičenih za stvaranje </w:t>
      </w:r>
      <w:r w:rsidR="001452E2">
        <w:rPr>
          <w:rFonts w:cs="Times New Roman"/>
          <w:szCs w:val="24"/>
        </w:rPr>
        <w:t>kriminalne</w:t>
      </w:r>
      <w:r w:rsidR="001452E2" w:rsidRPr="009A2018">
        <w:rPr>
          <w:rFonts w:cs="Times New Roman"/>
          <w:szCs w:val="24"/>
        </w:rPr>
        <w:t xml:space="preserve"> </w:t>
      </w:r>
      <w:r w:rsidRPr="009A2018">
        <w:rPr>
          <w:rFonts w:cs="Times New Roman"/>
          <w:szCs w:val="24"/>
        </w:rPr>
        <w:t>organi</w:t>
      </w:r>
      <w:r w:rsidR="00C004D6" w:rsidRPr="009A2018">
        <w:rPr>
          <w:rFonts w:cs="Times New Roman"/>
          <w:szCs w:val="24"/>
        </w:rPr>
        <w:t>zacije i pranje novca. Politički i pravosudni epilog se još uv</w:t>
      </w:r>
      <w:r w:rsidR="009C523F" w:rsidRPr="009A2018">
        <w:rPr>
          <w:rFonts w:cs="Times New Roman"/>
          <w:szCs w:val="24"/>
        </w:rPr>
        <w:t>ij</w:t>
      </w:r>
      <w:r w:rsidR="00C004D6" w:rsidRPr="009A2018">
        <w:rPr>
          <w:rFonts w:cs="Times New Roman"/>
          <w:szCs w:val="24"/>
        </w:rPr>
        <w:t>ek očekuje</w:t>
      </w:r>
      <w:r w:rsidRPr="009A2018">
        <w:rPr>
          <w:rFonts w:cs="Times New Roman"/>
          <w:szCs w:val="24"/>
        </w:rPr>
        <w:t>.</w:t>
      </w:r>
    </w:p>
    <w:p w:rsidR="005F62F4" w:rsidRPr="009A2018" w:rsidRDefault="00F51A4B" w:rsidP="00EC1790">
      <w:pPr>
        <w:autoSpaceDE w:val="0"/>
        <w:autoSpaceDN w:val="0"/>
        <w:adjustRightInd w:val="0"/>
        <w:spacing w:after="120" w:line="240" w:lineRule="auto"/>
        <w:rPr>
          <w:rFonts w:cs="Times New Roman"/>
          <w:b/>
          <w:bCs/>
          <w:szCs w:val="24"/>
        </w:rPr>
      </w:pPr>
      <w:r w:rsidRPr="009A2018">
        <w:rPr>
          <w:rFonts w:cs="Times New Roman"/>
          <w:b/>
          <w:bCs/>
          <w:szCs w:val="24"/>
        </w:rPr>
        <w:t>Skupština</w:t>
      </w:r>
    </w:p>
    <w:tbl>
      <w:tblPr>
        <w:tblStyle w:val="TableGrid"/>
        <w:tblW w:w="9606" w:type="dxa"/>
        <w:tblLook w:val="04A0" w:firstRow="1" w:lastRow="0" w:firstColumn="1" w:lastColumn="0" w:noHBand="0" w:noVBand="1"/>
      </w:tblPr>
      <w:tblGrid>
        <w:gridCol w:w="9606"/>
      </w:tblGrid>
      <w:tr w:rsidR="00BC3825" w:rsidRPr="009A2018" w:rsidTr="003A582A">
        <w:trPr>
          <w:trHeight w:val="416"/>
        </w:trPr>
        <w:tc>
          <w:tcPr>
            <w:tcW w:w="9606" w:type="dxa"/>
            <w:shd w:val="clear" w:color="auto" w:fill="D9D9D9" w:themeFill="background1" w:themeFillShade="D9"/>
          </w:tcPr>
          <w:p w:rsidR="005F62F4" w:rsidRPr="009A2018" w:rsidRDefault="00C004D6" w:rsidP="00EC1790">
            <w:pPr>
              <w:spacing w:after="120" w:line="240" w:lineRule="auto"/>
              <w:jc w:val="both"/>
              <w:rPr>
                <w:rFonts w:eastAsia="Calibri" w:cs="Times New Roman"/>
                <w:szCs w:val="24"/>
              </w:rPr>
            </w:pPr>
            <w:r w:rsidRPr="009A2018">
              <w:rPr>
                <w:rFonts w:cs="Times New Roman"/>
                <w:szCs w:val="24"/>
              </w:rPr>
              <w:t>Uprkos izv</w:t>
            </w:r>
            <w:r w:rsidR="009C523F" w:rsidRPr="009A2018">
              <w:rPr>
                <w:rFonts w:cs="Times New Roman"/>
                <w:szCs w:val="24"/>
              </w:rPr>
              <w:t>j</w:t>
            </w:r>
            <w:r w:rsidRPr="009A2018">
              <w:rPr>
                <w:rFonts w:cs="Times New Roman"/>
                <w:szCs w:val="24"/>
              </w:rPr>
              <w:t>esnim</w:t>
            </w:r>
            <w:r w:rsidR="00FE6FB4" w:rsidRPr="009A2018">
              <w:rPr>
                <w:rFonts w:cs="Times New Roman"/>
                <w:szCs w:val="24"/>
              </w:rPr>
              <w:t xml:space="preserve"> pozitivnim pomacima da se politički dijalog vrati u </w:t>
            </w:r>
            <w:r w:rsidR="00F51A4B" w:rsidRPr="009A2018">
              <w:rPr>
                <w:rFonts w:cs="Times New Roman"/>
                <w:szCs w:val="24"/>
              </w:rPr>
              <w:t>Skupštinu,</w:t>
            </w:r>
            <w:r w:rsidRPr="009A2018">
              <w:rPr>
                <w:rFonts w:cs="Times New Roman"/>
                <w:szCs w:val="24"/>
              </w:rPr>
              <w:t xml:space="preserve"> neke opozicione stranke su tokom 2019. godine većinom bojkotovale</w:t>
            </w:r>
            <w:r w:rsidR="00FE6FB4" w:rsidRPr="009A2018">
              <w:rPr>
                <w:rFonts w:cs="Times New Roman"/>
                <w:szCs w:val="24"/>
              </w:rPr>
              <w:t xml:space="preserve"> njegov</w:t>
            </w:r>
            <w:r w:rsidRPr="009A2018">
              <w:rPr>
                <w:rFonts w:cs="Times New Roman"/>
                <w:szCs w:val="24"/>
              </w:rPr>
              <w:t xml:space="preserve"> rad. Ostvaren je </w:t>
            </w:r>
            <w:r w:rsidR="0033399E" w:rsidRPr="009A2018">
              <w:rPr>
                <w:rFonts w:cs="Times New Roman"/>
                <w:szCs w:val="24"/>
              </w:rPr>
              <w:t>ograničen napredak u unapređenju</w:t>
            </w:r>
            <w:r w:rsidRPr="009A2018">
              <w:rPr>
                <w:rFonts w:cs="Times New Roman"/>
                <w:szCs w:val="24"/>
              </w:rPr>
              <w:t xml:space="preserve"> parlamentarne odgovornosti, nadzoru izvršne</w:t>
            </w:r>
            <w:r w:rsidR="0033399E" w:rsidRPr="009A2018">
              <w:rPr>
                <w:rFonts w:cs="Times New Roman"/>
                <w:szCs w:val="24"/>
              </w:rPr>
              <w:t xml:space="preserve"> vlasti, demokratskoj</w:t>
            </w:r>
            <w:r w:rsidR="00FA051B" w:rsidRPr="009A2018">
              <w:rPr>
                <w:rFonts w:cs="Times New Roman"/>
                <w:szCs w:val="24"/>
              </w:rPr>
              <w:t xml:space="preserve"> kontroli</w:t>
            </w:r>
            <w:r w:rsidRPr="009A2018">
              <w:rPr>
                <w:rFonts w:cs="Times New Roman"/>
                <w:szCs w:val="24"/>
              </w:rPr>
              <w:t xml:space="preserve"> i </w:t>
            </w:r>
            <w:r w:rsidR="0033399E" w:rsidRPr="009A2018">
              <w:rPr>
                <w:rFonts w:cs="Times New Roman"/>
                <w:szCs w:val="24"/>
              </w:rPr>
              <w:t>zakonodavstvu</w:t>
            </w:r>
            <w:r w:rsidRPr="009A2018">
              <w:rPr>
                <w:rFonts w:cs="Times New Roman"/>
                <w:szCs w:val="24"/>
              </w:rPr>
              <w:t xml:space="preserve">. </w:t>
            </w:r>
            <w:r w:rsidR="00F51A4B" w:rsidRPr="009A2018">
              <w:rPr>
                <w:rFonts w:cs="Times New Roman"/>
                <w:szCs w:val="24"/>
              </w:rPr>
              <w:t>Uloga Skupštine</w:t>
            </w:r>
            <w:r w:rsidR="00B5606F">
              <w:rPr>
                <w:rFonts w:cs="Times New Roman"/>
                <w:szCs w:val="24"/>
              </w:rPr>
              <w:t xml:space="preserve"> </w:t>
            </w:r>
            <w:r w:rsidR="00BF1FCF" w:rsidRPr="009A2018">
              <w:rPr>
                <w:rFonts w:cs="Times New Roman"/>
                <w:szCs w:val="24"/>
              </w:rPr>
              <w:t>u nadziranju</w:t>
            </w:r>
            <w:r w:rsidR="00FE6FB4" w:rsidRPr="009A2018">
              <w:rPr>
                <w:rFonts w:cs="Times New Roman"/>
                <w:szCs w:val="24"/>
              </w:rPr>
              <w:t xml:space="preserve"> vladin</w:t>
            </w:r>
            <w:r w:rsidR="00FA051B" w:rsidRPr="009A2018">
              <w:rPr>
                <w:rFonts w:cs="Times New Roman"/>
                <w:szCs w:val="24"/>
              </w:rPr>
              <w:t>og</w:t>
            </w:r>
            <w:r w:rsidR="00FE6FB4" w:rsidRPr="009A2018">
              <w:rPr>
                <w:rFonts w:cs="Times New Roman"/>
                <w:szCs w:val="24"/>
              </w:rPr>
              <w:t xml:space="preserve"> odgovor</w:t>
            </w:r>
            <w:r w:rsidR="00BF1FCF" w:rsidRPr="009A2018">
              <w:rPr>
                <w:rFonts w:cs="Times New Roman"/>
                <w:szCs w:val="24"/>
              </w:rPr>
              <w:t>a</w:t>
            </w:r>
            <w:r w:rsidRPr="009A2018">
              <w:rPr>
                <w:rFonts w:cs="Times New Roman"/>
                <w:szCs w:val="24"/>
              </w:rPr>
              <w:t xml:space="preserve"> na pandemiju koronavirusa bila je marginalna. Izbori 30. avgusta rezultirali su</w:t>
            </w:r>
            <w:r w:rsidR="0033399E" w:rsidRPr="009A2018">
              <w:rPr>
                <w:rFonts w:cs="Times New Roman"/>
                <w:szCs w:val="24"/>
              </w:rPr>
              <w:t xml:space="preserve"> do tada neviđenom prom</w:t>
            </w:r>
            <w:r w:rsidR="009C523F" w:rsidRPr="009A2018">
              <w:rPr>
                <w:rFonts w:cs="Times New Roman"/>
                <w:szCs w:val="24"/>
              </w:rPr>
              <w:t>j</w:t>
            </w:r>
            <w:r w:rsidR="0033399E" w:rsidRPr="009A2018">
              <w:rPr>
                <w:rFonts w:cs="Times New Roman"/>
                <w:szCs w:val="24"/>
              </w:rPr>
              <w:t>enom sastava</w:t>
            </w:r>
            <w:r w:rsidR="00F51A4B" w:rsidRPr="009A2018">
              <w:rPr>
                <w:rFonts w:cs="Times New Roman"/>
                <w:szCs w:val="24"/>
              </w:rPr>
              <w:t xml:space="preserve"> vladajuće većine. Nova Skupština</w:t>
            </w:r>
            <w:r w:rsidRPr="009A2018">
              <w:rPr>
                <w:rFonts w:cs="Times New Roman"/>
                <w:szCs w:val="24"/>
              </w:rPr>
              <w:t xml:space="preserve"> bi </w:t>
            </w:r>
            <w:r w:rsidR="0033399E" w:rsidRPr="009A2018">
              <w:rPr>
                <w:rFonts w:cs="Times New Roman"/>
                <w:szCs w:val="24"/>
              </w:rPr>
              <w:t xml:space="preserve">trebalo da </w:t>
            </w:r>
            <w:r w:rsidRPr="009A2018">
              <w:rPr>
                <w:rFonts w:cs="Times New Roman"/>
                <w:szCs w:val="24"/>
              </w:rPr>
              <w:t xml:space="preserve">u praksi </w:t>
            </w:r>
            <w:r w:rsidR="0033399E" w:rsidRPr="009A2018">
              <w:rPr>
                <w:rFonts w:cs="Times New Roman"/>
                <w:szCs w:val="24"/>
              </w:rPr>
              <w:t>pokaže svoju opred</w:t>
            </w:r>
            <w:r w:rsidR="009C523F" w:rsidRPr="009A2018">
              <w:rPr>
                <w:rFonts w:cs="Times New Roman"/>
                <w:szCs w:val="24"/>
              </w:rPr>
              <w:t>ij</w:t>
            </w:r>
            <w:r w:rsidR="0033399E" w:rsidRPr="009A2018">
              <w:rPr>
                <w:rFonts w:cs="Times New Roman"/>
                <w:szCs w:val="24"/>
              </w:rPr>
              <w:t>eljenost za</w:t>
            </w:r>
            <w:r w:rsidR="00BF1FCF" w:rsidRPr="009A2018">
              <w:rPr>
                <w:rFonts w:cs="Times New Roman"/>
                <w:szCs w:val="24"/>
              </w:rPr>
              <w:t xml:space="preserve"> program reformi Evropske</w:t>
            </w:r>
            <w:r w:rsidR="006D3550" w:rsidRPr="009A2018">
              <w:rPr>
                <w:rFonts w:cs="Times New Roman"/>
                <w:szCs w:val="24"/>
              </w:rPr>
              <w:t xml:space="preserve"> unije, pojača</w:t>
            </w:r>
            <w:r w:rsidRPr="009A2018">
              <w:rPr>
                <w:rFonts w:cs="Times New Roman"/>
                <w:szCs w:val="24"/>
              </w:rPr>
              <w:t xml:space="preserve"> svoju zakonodavnu </w:t>
            </w:r>
            <w:r w:rsidR="006D3550" w:rsidRPr="009A2018">
              <w:rPr>
                <w:rFonts w:cs="Times New Roman"/>
                <w:szCs w:val="24"/>
              </w:rPr>
              <w:t>i nadzornu ulogu i uključi</w:t>
            </w:r>
            <w:r w:rsidRPr="009A2018">
              <w:rPr>
                <w:rFonts w:cs="Times New Roman"/>
                <w:szCs w:val="24"/>
              </w:rPr>
              <w:t xml:space="preserve"> se u transparentan, odlučan i inkluzivan dijalog o </w:t>
            </w:r>
            <w:r w:rsidR="006D3550" w:rsidRPr="009A2018">
              <w:rPr>
                <w:rFonts w:cs="Times New Roman"/>
                <w:szCs w:val="24"/>
              </w:rPr>
              <w:t>sprovođenju preostalih</w:t>
            </w:r>
            <w:r w:rsidRPr="009A2018">
              <w:rPr>
                <w:rFonts w:cs="Times New Roman"/>
                <w:szCs w:val="24"/>
              </w:rPr>
              <w:t xml:space="preserve"> preporuka OEBS</w:t>
            </w:r>
            <w:r w:rsidR="006D3550" w:rsidRPr="009A2018">
              <w:rPr>
                <w:rFonts w:cs="Times New Roman"/>
                <w:szCs w:val="24"/>
              </w:rPr>
              <w:t>-a</w:t>
            </w:r>
            <w:r w:rsidR="00B5606F">
              <w:rPr>
                <w:rFonts w:cs="Times New Roman"/>
                <w:szCs w:val="24"/>
              </w:rPr>
              <w:t>/</w:t>
            </w:r>
            <w:r w:rsidRPr="009A2018">
              <w:rPr>
                <w:rFonts w:cs="Times New Roman"/>
                <w:szCs w:val="24"/>
              </w:rPr>
              <w:t>ODIHR-a.</w:t>
            </w:r>
          </w:p>
        </w:tc>
      </w:tr>
    </w:tbl>
    <w:p w:rsidR="00FA051B" w:rsidRPr="00095948" w:rsidRDefault="00FA051B" w:rsidP="00EC1790">
      <w:pPr>
        <w:spacing w:after="120" w:line="240" w:lineRule="auto"/>
        <w:jc w:val="both"/>
        <w:rPr>
          <w:rFonts w:eastAsia="Calibri" w:cs="Times New Roman"/>
          <w:noProof/>
          <w:color w:val="000000" w:themeColor="text1"/>
          <w:szCs w:val="24"/>
          <w:lang w:val="fr-FR"/>
        </w:rPr>
      </w:pPr>
      <w:r w:rsidRPr="00095948">
        <w:rPr>
          <w:rFonts w:eastAsia="Calibri" w:cs="Times New Roman"/>
          <w:noProof/>
          <w:color w:val="000000" w:themeColor="text1"/>
          <w:szCs w:val="24"/>
          <w:lang w:val="fr-FR"/>
        </w:rPr>
        <w:t>Posl</w:t>
      </w:r>
      <w:r w:rsidR="009A2018" w:rsidRPr="00095948">
        <w:rPr>
          <w:rFonts w:eastAsia="Calibri" w:cs="Times New Roman"/>
          <w:noProof/>
          <w:color w:val="000000" w:themeColor="text1"/>
          <w:szCs w:val="24"/>
          <w:lang w:val="fr-FR"/>
        </w:rPr>
        <w:t>ij</w:t>
      </w:r>
      <w:r w:rsidRPr="00095948">
        <w:rPr>
          <w:rFonts w:eastAsia="Calibri" w:cs="Times New Roman"/>
          <w:noProof/>
          <w:color w:val="000000" w:themeColor="text1"/>
          <w:szCs w:val="24"/>
          <w:lang w:val="fr-FR"/>
        </w:rPr>
        <w:t>e parlamentarnih izbor</w:t>
      </w:r>
      <w:r w:rsidR="008C03F1" w:rsidRPr="00095948">
        <w:rPr>
          <w:rFonts w:eastAsia="Calibri" w:cs="Times New Roman"/>
          <w:noProof/>
          <w:color w:val="000000" w:themeColor="text1"/>
          <w:szCs w:val="24"/>
          <w:lang w:val="fr-FR"/>
        </w:rPr>
        <w:t>a u avgustu 2020. godine, nova Skupština</w:t>
      </w:r>
      <w:r w:rsidRPr="00095948">
        <w:rPr>
          <w:rFonts w:eastAsia="Calibri" w:cs="Times New Roman"/>
          <w:noProof/>
          <w:color w:val="000000" w:themeColor="text1"/>
          <w:szCs w:val="24"/>
          <w:lang w:val="fr-FR"/>
        </w:rPr>
        <w:t xml:space="preserve"> je konstituisan</w:t>
      </w:r>
      <w:r w:rsidR="008C03F1" w:rsidRPr="00095948">
        <w:rPr>
          <w:rFonts w:eastAsia="Calibri" w:cs="Times New Roman"/>
          <w:noProof/>
          <w:color w:val="000000" w:themeColor="text1"/>
          <w:szCs w:val="24"/>
          <w:lang w:val="fr-FR"/>
        </w:rPr>
        <w:t>a</w:t>
      </w:r>
      <w:r w:rsidRPr="00095948">
        <w:rPr>
          <w:rFonts w:eastAsia="Calibri" w:cs="Times New Roman"/>
          <w:noProof/>
          <w:color w:val="000000" w:themeColor="text1"/>
          <w:szCs w:val="24"/>
          <w:lang w:val="fr-FR"/>
        </w:rPr>
        <w:t xml:space="preserve"> 23. septembra. Broj žena odbornika sm</w:t>
      </w:r>
      <w:r w:rsidR="00364F42" w:rsidRPr="00095948">
        <w:rPr>
          <w:rFonts w:eastAsia="Calibri" w:cs="Times New Roman"/>
          <w:noProof/>
          <w:color w:val="000000" w:themeColor="text1"/>
          <w:szCs w:val="24"/>
          <w:lang w:val="fr-FR"/>
        </w:rPr>
        <w:t>anjio se na 18 odnosno</w:t>
      </w:r>
      <w:r w:rsidRPr="00095948">
        <w:rPr>
          <w:rFonts w:eastAsia="Calibri" w:cs="Times New Roman"/>
          <w:noProof/>
          <w:color w:val="000000" w:themeColor="text1"/>
          <w:szCs w:val="24"/>
          <w:lang w:val="fr-FR"/>
        </w:rPr>
        <w:t xml:space="preserve"> 22%.</w:t>
      </w:r>
    </w:p>
    <w:p w:rsidR="00BF1316" w:rsidRPr="009A2018" w:rsidRDefault="00FA051B" w:rsidP="00EC1790">
      <w:pPr>
        <w:spacing w:after="120" w:line="240" w:lineRule="auto"/>
        <w:jc w:val="both"/>
        <w:rPr>
          <w:rFonts w:eastAsia="Calibri" w:cs="Times New Roman"/>
          <w:szCs w:val="24"/>
        </w:rPr>
      </w:pPr>
      <w:r w:rsidRPr="00095948">
        <w:rPr>
          <w:rFonts w:eastAsia="Calibri" w:cs="Times New Roman"/>
          <w:szCs w:val="24"/>
          <w:lang w:val="fr-FR"/>
        </w:rPr>
        <w:t>Oštra politička polarizacija između opozicije i vladajućih stranaka, kao i među samim opozi</w:t>
      </w:r>
      <w:r w:rsidR="00BF1FCF" w:rsidRPr="00095948">
        <w:rPr>
          <w:rFonts w:eastAsia="Calibri" w:cs="Times New Roman"/>
          <w:szCs w:val="24"/>
          <w:lang w:val="fr-FR"/>
        </w:rPr>
        <w:t>ci</w:t>
      </w:r>
      <w:r w:rsidRPr="00095948">
        <w:rPr>
          <w:rFonts w:eastAsia="Calibri" w:cs="Times New Roman"/>
          <w:szCs w:val="24"/>
          <w:lang w:val="fr-FR"/>
        </w:rPr>
        <w:t xml:space="preserve">onim strankama, nastavila se i </w:t>
      </w:r>
      <w:r w:rsidR="009830B3" w:rsidRPr="00095948">
        <w:rPr>
          <w:rFonts w:eastAsia="Calibri" w:cs="Times New Roman"/>
          <w:szCs w:val="24"/>
          <w:lang w:val="fr-FR"/>
        </w:rPr>
        <w:t xml:space="preserve">u </w:t>
      </w:r>
      <w:r w:rsidRPr="00095948">
        <w:rPr>
          <w:rFonts w:eastAsia="Calibri" w:cs="Times New Roman"/>
          <w:szCs w:val="24"/>
          <w:lang w:val="fr-FR"/>
        </w:rPr>
        <w:t>2019.</w:t>
      </w:r>
      <w:r w:rsidR="009830B3" w:rsidRPr="00095948">
        <w:rPr>
          <w:rFonts w:eastAsia="Calibri" w:cs="Times New Roman"/>
          <w:szCs w:val="24"/>
          <w:lang w:val="fr-FR"/>
        </w:rPr>
        <w:t xml:space="preserve"> godini</w:t>
      </w:r>
      <w:r w:rsidRPr="00095948">
        <w:rPr>
          <w:rFonts w:eastAsia="Calibri" w:cs="Times New Roman"/>
          <w:szCs w:val="24"/>
          <w:lang w:val="fr-FR"/>
        </w:rPr>
        <w:t>. Pr</w:t>
      </w:r>
      <w:r w:rsidR="009C523F" w:rsidRPr="00095948">
        <w:rPr>
          <w:rFonts w:eastAsia="Calibri" w:cs="Times New Roman"/>
          <w:szCs w:val="24"/>
          <w:lang w:val="fr-FR"/>
        </w:rPr>
        <w:t>ij</w:t>
      </w:r>
      <w:r w:rsidRPr="00095948">
        <w:rPr>
          <w:rFonts w:eastAsia="Calibri" w:cs="Times New Roman"/>
          <w:szCs w:val="24"/>
          <w:lang w:val="fr-FR"/>
        </w:rPr>
        <w:t>e izbora 2020. godine</w:t>
      </w:r>
      <w:r w:rsidR="00BF1FCF" w:rsidRPr="00095948">
        <w:rPr>
          <w:rFonts w:eastAsia="Calibri" w:cs="Times New Roman"/>
          <w:szCs w:val="24"/>
          <w:lang w:val="fr-FR"/>
        </w:rPr>
        <w:t xml:space="preserve"> u </w:t>
      </w:r>
      <w:r w:rsidR="008C03F1" w:rsidRPr="00095948">
        <w:rPr>
          <w:rFonts w:eastAsia="Calibri" w:cs="Times New Roman"/>
          <w:szCs w:val="24"/>
          <w:lang w:val="fr-FR"/>
        </w:rPr>
        <w:t>Skupštini</w:t>
      </w:r>
      <w:r w:rsidRPr="00095948">
        <w:rPr>
          <w:rFonts w:eastAsia="Calibri" w:cs="Times New Roman"/>
          <w:szCs w:val="24"/>
          <w:lang w:val="fr-FR"/>
        </w:rPr>
        <w:t xml:space="preserve"> je bilo zastupljeno 16 političkih partija. Od 81 poslanika, bilo je četiri predstavnika etničkih manjina, dok su tri d</w:t>
      </w:r>
      <w:r w:rsidR="009C523F" w:rsidRPr="00095948">
        <w:rPr>
          <w:rFonts w:eastAsia="Calibri" w:cs="Times New Roman"/>
          <w:szCs w:val="24"/>
          <w:lang w:val="fr-FR"/>
        </w:rPr>
        <w:t>j</w:t>
      </w:r>
      <w:r w:rsidRPr="00095948">
        <w:rPr>
          <w:rFonts w:eastAsia="Calibri" w:cs="Times New Roman"/>
          <w:szCs w:val="24"/>
          <w:lang w:val="fr-FR"/>
        </w:rPr>
        <w:t xml:space="preserve">elovala kao nezavisni poslanici. </w:t>
      </w:r>
      <w:r w:rsidRPr="009A2018">
        <w:rPr>
          <w:rFonts w:eastAsia="Calibri" w:cs="Times New Roman"/>
          <w:szCs w:val="24"/>
        </w:rPr>
        <w:t>Novi saziv</w:t>
      </w:r>
      <w:r w:rsidR="00364F42" w:rsidRPr="009A2018">
        <w:rPr>
          <w:rFonts w:eastAsia="Calibri" w:cs="Times New Roman"/>
          <w:szCs w:val="24"/>
        </w:rPr>
        <w:t xml:space="preserve"> S</w:t>
      </w:r>
      <w:r w:rsidR="008C03F1" w:rsidRPr="009A2018">
        <w:rPr>
          <w:rFonts w:eastAsia="Calibri" w:cs="Times New Roman"/>
          <w:szCs w:val="24"/>
        </w:rPr>
        <w:t>kupštine</w:t>
      </w:r>
      <w:r w:rsidRPr="009A2018">
        <w:rPr>
          <w:rFonts w:eastAsia="Calibri" w:cs="Times New Roman"/>
          <w:szCs w:val="24"/>
        </w:rPr>
        <w:t xml:space="preserve"> sadrži pet koalicija i četiri političke stranke. Od 81 poslanika, pet </w:t>
      </w:r>
      <w:r w:rsidR="00BA1125" w:rsidRPr="009A2018">
        <w:rPr>
          <w:rFonts w:eastAsia="Calibri" w:cs="Times New Roman"/>
          <w:szCs w:val="24"/>
        </w:rPr>
        <w:t>su predstavnici etničkih manjina.</w:t>
      </w:r>
    </w:p>
    <w:p w:rsidR="00BA1125" w:rsidRPr="009A2018" w:rsidRDefault="001271B5" w:rsidP="00EC1790">
      <w:pPr>
        <w:spacing w:after="120" w:line="240" w:lineRule="auto"/>
        <w:jc w:val="both"/>
        <w:rPr>
          <w:rFonts w:cs="Times New Roman"/>
          <w:szCs w:val="24"/>
        </w:rPr>
      </w:pPr>
      <w:r w:rsidRPr="009A2018">
        <w:rPr>
          <w:rFonts w:cs="Times New Roman"/>
          <w:szCs w:val="24"/>
        </w:rPr>
        <w:t>D</w:t>
      </w:r>
      <w:r w:rsidR="00C44A28" w:rsidRPr="009A2018">
        <w:rPr>
          <w:rFonts w:cs="Times New Roman"/>
          <w:szCs w:val="24"/>
        </w:rPr>
        <w:t>j</w:t>
      </w:r>
      <w:r w:rsidRPr="009A2018">
        <w:rPr>
          <w:rFonts w:cs="Times New Roman"/>
          <w:szCs w:val="24"/>
        </w:rPr>
        <w:t>elimičnim vraćanjem većeg broja</w:t>
      </w:r>
      <w:r w:rsidR="00BA1125" w:rsidRPr="009A2018">
        <w:rPr>
          <w:rFonts w:cs="Times New Roman"/>
          <w:szCs w:val="24"/>
        </w:rPr>
        <w:t xml:space="preserve"> opozicionih poslanika nije se ostvarila većina koja je </w:t>
      </w:r>
      <w:r w:rsidR="00BF1FCF" w:rsidRPr="009A2018">
        <w:rPr>
          <w:rFonts w:cs="Times New Roman"/>
          <w:szCs w:val="24"/>
        </w:rPr>
        <w:t xml:space="preserve">tokom prethodnog zakonskog mandata </w:t>
      </w:r>
      <w:r w:rsidR="00BA1125" w:rsidRPr="009A2018">
        <w:rPr>
          <w:rFonts w:cs="Times New Roman"/>
          <w:szCs w:val="24"/>
        </w:rPr>
        <w:t>bila potrebna kako bi se</w:t>
      </w:r>
      <w:r w:rsidR="00C44A28" w:rsidRPr="009A2018">
        <w:rPr>
          <w:rFonts w:cs="Times New Roman"/>
          <w:szCs w:val="24"/>
        </w:rPr>
        <w:t xml:space="preserve"> izvršilo zakašnj</w:t>
      </w:r>
      <w:r w:rsidR="005F24A2" w:rsidRPr="009A2018">
        <w:rPr>
          <w:rFonts w:cs="Times New Roman"/>
          <w:szCs w:val="24"/>
        </w:rPr>
        <w:t>elo imenovanje članova</w:t>
      </w:r>
      <w:r w:rsidR="00BA1125" w:rsidRPr="009A2018">
        <w:rPr>
          <w:rFonts w:cs="Times New Roman"/>
          <w:szCs w:val="24"/>
        </w:rPr>
        <w:t xml:space="preserve"> Sudskog sav</w:t>
      </w:r>
      <w:r w:rsidR="00B5606F">
        <w:rPr>
          <w:rFonts w:cs="Times New Roman"/>
          <w:szCs w:val="24"/>
        </w:rPr>
        <w:t>j</w:t>
      </w:r>
      <w:r w:rsidR="00BA1125" w:rsidRPr="009A2018">
        <w:rPr>
          <w:rFonts w:cs="Times New Roman"/>
          <w:szCs w:val="24"/>
        </w:rPr>
        <w:t>eta</w:t>
      </w:r>
      <w:r w:rsidR="005F24A2" w:rsidRPr="009A2018">
        <w:rPr>
          <w:rFonts w:cs="Times New Roman"/>
          <w:szCs w:val="24"/>
        </w:rPr>
        <w:t xml:space="preserve"> van reda sudija</w:t>
      </w:r>
      <w:r w:rsidR="00BA1125" w:rsidRPr="009A2018">
        <w:rPr>
          <w:rFonts w:cs="Times New Roman"/>
          <w:szCs w:val="24"/>
        </w:rPr>
        <w:t xml:space="preserve"> i novog vrhovnog državnog tužioca. U junu 2019. godine, Vrhovni sud usvojio je neob</w:t>
      </w:r>
      <w:r w:rsidR="005F24A2" w:rsidRPr="009A2018">
        <w:rPr>
          <w:rFonts w:cs="Times New Roman"/>
          <w:szCs w:val="24"/>
        </w:rPr>
        <w:t>a</w:t>
      </w:r>
      <w:r w:rsidR="00BA1125" w:rsidRPr="009A2018">
        <w:rPr>
          <w:rFonts w:cs="Times New Roman"/>
          <w:szCs w:val="24"/>
        </w:rPr>
        <w:t>vezujuće pravno mišljen</w:t>
      </w:r>
      <w:r w:rsidR="009830B3" w:rsidRPr="009A2018">
        <w:rPr>
          <w:rFonts w:cs="Times New Roman"/>
          <w:szCs w:val="24"/>
        </w:rPr>
        <w:t>je u ko</w:t>
      </w:r>
      <w:r w:rsidR="00BA1125" w:rsidRPr="009A2018">
        <w:rPr>
          <w:rFonts w:cs="Times New Roman"/>
          <w:szCs w:val="24"/>
        </w:rPr>
        <w:t>m</w:t>
      </w:r>
      <w:r w:rsidR="009830B3" w:rsidRPr="009A2018">
        <w:rPr>
          <w:rFonts w:cs="Times New Roman"/>
          <w:szCs w:val="24"/>
        </w:rPr>
        <w:t>e</w:t>
      </w:r>
      <w:r w:rsidR="00BA1125" w:rsidRPr="009A2018">
        <w:rPr>
          <w:rFonts w:cs="Times New Roman"/>
          <w:szCs w:val="24"/>
        </w:rPr>
        <w:t xml:space="preserve"> se navodi da se odluke </w:t>
      </w:r>
      <w:r w:rsidR="008C03F1" w:rsidRPr="009A2018">
        <w:rPr>
          <w:rFonts w:cs="Times New Roman"/>
          <w:szCs w:val="24"/>
        </w:rPr>
        <w:t>Skupštine</w:t>
      </w:r>
      <w:r w:rsidR="00BA1125" w:rsidRPr="009A2018">
        <w:rPr>
          <w:rFonts w:cs="Times New Roman"/>
          <w:szCs w:val="24"/>
        </w:rPr>
        <w:t xml:space="preserve"> o izboru, imenova</w:t>
      </w:r>
      <w:r w:rsidR="00364F42" w:rsidRPr="009A2018">
        <w:rPr>
          <w:rFonts w:cs="Times New Roman"/>
          <w:szCs w:val="24"/>
        </w:rPr>
        <w:t>nju ili razr</w:t>
      </w:r>
      <w:r w:rsidR="00C44A28" w:rsidRPr="009A2018">
        <w:rPr>
          <w:rFonts w:cs="Times New Roman"/>
          <w:szCs w:val="24"/>
        </w:rPr>
        <w:t>j</w:t>
      </w:r>
      <w:r w:rsidR="00BA1125" w:rsidRPr="009A2018">
        <w:rPr>
          <w:rFonts w:cs="Times New Roman"/>
          <w:szCs w:val="24"/>
        </w:rPr>
        <w:t xml:space="preserve">ešenju javnih službenika ne mogu </w:t>
      </w:r>
      <w:r w:rsidR="009830B3" w:rsidRPr="009A2018">
        <w:rPr>
          <w:rFonts w:cs="Times New Roman"/>
          <w:szCs w:val="24"/>
        </w:rPr>
        <w:t>osporavati u</w:t>
      </w:r>
      <w:r w:rsidR="00852177" w:rsidRPr="009A2018">
        <w:rPr>
          <w:rFonts w:cs="Times New Roman"/>
          <w:szCs w:val="24"/>
        </w:rPr>
        <w:t xml:space="preserve"> upravnim ili parničnim</w:t>
      </w:r>
      <w:r w:rsidR="00BA1125" w:rsidRPr="009A2018">
        <w:rPr>
          <w:rFonts w:cs="Times New Roman"/>
          <w:szCs w:val="24"/>
        </w:rPr>
        <w:t xml:space="preserve"> postupcima. Na osnovu ovog mišljenja i suprotno svojoj prvoj presudi kojom se priznaje nadležnost redovnog suda, osnovni sud</w:t>
      </w:r>
      <w:r w:rsidR="00852177" w:rsidRPr="009A2018">
        <w:rPr>
          <w:rFonts w:cs="Times New Roman"/>
          <w:szCs w:val="24"/>
        </w:rPr>
        <w:t xml:space="preserve"> je</w:t>
      </w:r>
      <w:r w:rsidR="00BA1125" w:rsidRPr="009A2018">
        <w:rPr>
          <w:rFonts w:cs="Times New Roman"/>
          <w:szCs w:val="24"/>
        </w:rPr>
        <w:t xml:space="preserve"> u parničnom postupku</w:t>
      </w:r>
      <w:r w:rsidR="00364F42" w:rsidRPr="009A2018">
        <w:rPr>
          <w:rFonts w:cs="Times New Roman"/>
          <w:szCs w:val="24"/>
        </w:rPr>
        <w:t>,</w:t>
      </w:r>
      <w:r w:rsidR="00BA1125" w:rsidRPr="009A2018">
        <w:rPr>
          <w:rFonts w:cs="Times New Roman"/>
          <w:szCs w:val="24"/>
        </w:rPr>
        <w:t xml:space="preserve"> u</w:t>
      </w:r>
      <w:r w:rsidR="00852177" w:rsidRPr="009A2018">
        <w:rPr>
          <w:rFonts w:cs="Times New Roman"/>
          <w:szCs w:val="24"/>
        </w:rPr>
        <w:t xml:space="preserve"> ponovljenom suđenju</w:t>
      </w:r>
      <w:r w:rsidR="00364F42" w:rsidRPr="009A2018">
        <w:rPr>
          <w:rFonts w:cs="Times New Roman"/>
          <w:szCs w:val="24"/>
        </w:rPr>
        <w:t>,</w:t>
      </w:r>
      <w:r w:rsidR="00852177" w:rsidRPr="009A2018">
        <w:rPr>
          <w:rFonts w:cs="Times New Roman"/>
          <w:szCs w:val="24"/>
        </w:rPr>
        <w:t xml:space="preserve"> odlučio da nije nadležan da</w:t>
      </w:r>
      <w:r w:rsidR="00B5606F">
        <w:rPr>
          <w:rFonts w:cs="Times New Roman"/>
          <w:szCs w:val="24"/>
        </w:rPr>
        <w:t xml:space="preserve"> </w:t>
      </w:r>
      <w:r w:rsidR="00852177" w:rsidRPr="009A2018">
        <w:rPr>
          <w:rFonts w:cs="Times New Roman"/>
          <w:szCs w:val="24"/>
        </w:rPr>
        <w:t>preispituje zakonitost</w:t>
      </w:r>
      <w:r w:rsidR="00BA1125" w:rsidRPr="009A2018">
        <w:rPr>
          <w:rFonts w:cs="Times New Roman"/>
          <w:szCs w:val="24"/>
        </w:rPr>
        <w:t xml:space="preserve"> odluke </w:t>
      </w:r>
      <w:r w:rsidR="008C03F1" w:rsidRPr="009A2018">
        <w:rPr>
          <w:rFonts w:cs="Times New Roman"/>
          <w:szCs w:val="24"/>
        </w:rPr>
        <w:t xml:space="preserve">Skupštine </w:t>
      </w:r>
      <w:r w:rsidR="00BA1125" w:rsidRPr="009A2018">
        <w:rPr>
          <w:rFonts w:cs="Times New Roman"/>
          <w:szCs w:val="24"/>
        </w:rPr>
        <w:t xml:space="preserve">u slučaju </w:t>
      </w:r>
      <w:r w:rsidR="00852177" w:rsidRPr="009A2018">
        <w:rPr>
          <w:rFonts w:cs="Times New Roman"/>
          <w:szCs w:val="24"/>
        </w:rPr>
        <w:t>člana V</w:t>
      </w:r>
      <w:r w:rsidR="00B5606F">
        <w:rPr>
          <w:rFonts w:cs="Times New Roman"/>
          <w:szCs w:val="24"/>
        </w:rPr>
        <w:t>ij</w:t>
      </w:r>
      <w:r w:rsidR="00852177" w:rsidRPr="009A2018">
        <w:rPr>
          <w:rFonts w:cs="Times New Roman"/>
          <w:szCs w:val="24"/>
        </w:rPr>
        <w:t xml:space="preserve">eća iz redova </w:t>
      </w:r>
      <w:r w:rsidR="00BA1125" w:rsidRPr="009A2018">
        <w:rPr>
          <w:rFonts w:cs="Times New Roman"/>
          <w:szCs w:val="24"/>
        </w:rPr>
        <w:t xml:space="preserve">bivše Radio-televizije </w:t>
      </w:r>
      <w:r w:rsidR="00852177" w:rsidRPr="009A2018">
        <w:rPr>
          <w:rFonts w:cs="Times New Roman"/>
          <w:szCs w:val="24"/>
        </w:rPr>
        <w:t>Crne Gore (RTCG). Ovo izaziva zabrinutost u pogledu nedovoljne</w:t>
      </w:r>
      <w:r w:rsidR="00BA1125" w:rsidRPr="009A2018">
        <w:rPr>
          <w:rFonts w:cs="Times New Roman"/>
          <w:szCs w:val="24"/>
        </w:rPr>
        <w:t xml:space="preserve"> pravne z</w:t>
      </w:r>
      <w:r w:rsidR="00852177" w:rsidRPr="009A2018">
        <w:rPr>
          <w:rFonts w:cs="Times New Roman"/>
          <w:szCs w:val="24"/>
        </w:rPr>
        <w:t xml:space="preserve">aštite protiv odluka </w:t>
      </w:r>
      <w:r w:rsidR="008C03F1" w:rsidRPr="009A2018">
        <w:rPr>
          <w:rFonts w:cs="Times New Roman"/>
          <w:szCs w:val="24"/>
        </w:rPr>
        <w:t>Skupštine</w:t>
      </w:r>
      <w:r w:rsidR="00852177" w:rsidRPr="009A2018">
        <w:rPr>
          <w:rFonts w:cs="Times New Roman"/>
          <w:szCs w:val="24"/>
        </w:rPr>
        <w:t xml:space="preserve"> i ugrožava pravo na efikasan pravni l</w:t>
      </w:r>
      <w:r w:rsidR="00C44A28" w:rsidRPr="009A2018">
        <w:rPr>
          <w:rFonts w:cs="Times New Roman"/>
          <w:szCs w:val="24"/>
        </w:rPr>
        <w:t>ij</w:t>
      </w:r>
      <w:r w:rsidR="00BA1125" w:rsidRPr="009A2018">
        <w:rPr>
          <w:rFonts w:cs="Times New Roman"/>
          <w:szCs w:val="24"/>
        </w:rPr>
        <w:t>ek.</w:t>
      </w:r>
    </w:p>
    <w:p w:rsidR="008C03F1" w:rsidRPr="009A2018" w:rsidRDefault="008C03F1" w:rsidP="00EC1790">
      <w:pPr>
        <w:spacing w:after="120" w:line="240" w:lineRule="auto"/>
        <w:jc w:val="both"/>
        <w:rPr>
          <w:rFonts w:cs="Times New Roman"/>
          <w:szCs w:val="24"/>
        </w:rPr>
      </w:pPr>
      <w:r w:rsidRPr="009A2018">
        <w:rPr>
          <w:rFonts w:cs="Times New Roman"/>
          <w:szCs w:val="24"/>
        </w:rPr>
        <w:t xml:space="preserve">Što se tiče </w:t>
      </w:r>
      <w:r w:rsidRPr="009A2018">
        <w:rPr>
          <w:rFonts w:cs="Times New Roman"/>
          <w:b/>
          <w:szCs w:val="24"/>
        </w:rPr>
        <w:t>zakonodavne uloge</w:t>
      </w:r>
      <w:r w:rsidR="009A2018" w:rsidRPr="009A2018">
        <w:rPr>
          <w:rFonts w:cs="Times New Roman"/>
          <w:b/>
          <w:szCs w:val="24"/>
        </w:rPr>
        <w:t xml:space="preserve"> </w:t>
      </w:r>
      <w:r w:rsidR="00364F42" w:rsidRPr="009A2018">
        <w:rPr>
          <w:rFonts w:cs="Times New Roman"/>
          <w:szCs w:val="24"/>
        </w:rPr>
        <w:t>Skupštine</w:t>
      </w:r>
      <w:r w:rsidRPr="009A2018">
        <w:rPr>
          <w:rFonts w:cs="Times New Roman"/>
          <w:szCs w:val="24"/>
        </w:rPr>
        <w:t xml:space="preserve">, učešće opozicionih poslanika </w:t>
      </w:r>
      <w:r w:rsidR="00E41D8F" w:rsidRPr="009A2018">
        <w:rPr>
          <w:rFonts w:cs="Times New Roman"/>
          <w:szCs w:val="24"/>
        </w:rPr>
        <w:t>na plenarnim s</w:t>
      </w:r>
      <w:r w:rsidR="00C44A28" w:rsidRPr="009A2018">
        <w:rPr>
          <w:rFonts w:cs="Times New Roman"/>
          <w:szCs w:val="24"/>
        </w:rPr>
        <w:t>j</w:t>
      </w:r>
      <w:r w:rsidRPr="009A2018">
        <w:rPr>
          <w:rFonts w:cs="Times New Roman"/>
          <w:szCs w:val="24"/>
        </w:rPr>
        <w:t>ednicama doprin</w:t>
      </w:r>
      <w:r w:rsidR="00B5606F">
        <w:rPr>
          <w:rFonts w:cs="Times New Roman"/>
          <w:szCs w:val="24"/>
        </w:rPr>
        <w:t>i</w:t>
      </w:r>
      <w:r w:rsidR="00C44A28" w:rsidRPr="009A2018">
        <w:rPr>
          <w:rFonts w:cs="Times New Roman"/>
          <w:szCs w:val="24"/>
        </w:rPr>
        <w:t>j</w:t>
      </w:r>
      <w:r w:rsidRPr="009A2018">
        <w:rPr>
          <w:rFonts w:cs="Times New Roman"/>
          <w:szCs w:val="24"/>
        </w:rPr>
        <w:t xml:space="preserve">elo je da </w:t>
      </w:r>
      <w:r w:rsidR="00E41D8F" w:rsidRPr="009A2018">
        <w:rPr>
          <w:rFonts w:cs="Times New Roman"/>
          <w:szCs w:val="24"/>
        </w:rPr>
        <w:t xml:space="preserve">se </w:t>
      </w:r>
      <w:r w:rsidRPr="009A2018">
        <w:rPr>
          <w:rFonts w:cs="Times New Roman"/>
          <w:szCs w:val="24"/>
        </w:rPr>
        <w:t>poboljša kvalitet rasprave u c</w:t>
      </w:r>
      <w:r w:rsidR="00C44A28" w:rsidRPr="009A2018">
        <w:rPr>
          <w:rFonts w:cs="Times New Roman"/>
          <w:szCs w:val="24"/>
        </w:rPr>
        <w:t>j</w:t>
      </w:r>
      <w:r w:rsidRPr="009A2018">
        <w:rPr>
          <w:rFonts w:cs="Times New Roman"/>
          <w:szCs w:val="24"/>
        </w:rPr>
        <w:t xml:space="preserve">elini. Međutim, određeni broj zakona usvojen je i u odsustvu opozicije, bez odgovarajuće rasprave. Kapacitet </w:t>
      </w:r>
      <w:r w:rsidR="00E41D8F" w:rsidRPr="009A2018">
        <w:rPr>
          <w:rFonts w:cs="Times New Roman"/>
          <w:szCs w:val="24"/>
        </w:rPr>
        <w:t>Skupštine</w:t>
      </w:r>
      <w:r w:rsidRPr="009A2018">
        <w:rPr>
          <w:rFonts w:cs="Times New Roman"/>
          <w:szCs w:val="24"/>
        </w:rPr>
        <w:t xml:space="preserve"> da detaljno analizira</w:t>
      </w:r>
      <w:r w:rsidR="00E41D8F" w:rsidRPr="009A2018">
        <w:rPr>
          <w:rFonts w:cs="Times New Roman"/>
          <w:szCs w:val="24"/>
        </w:rPr>
        <w:t xml:space="preserve"> predložene propise</w:t>
      </w:r>
      <w:r w:rsidR="009A2018" w:rsidRPr="009A2018">
        <w:rPr>
          <w:rFonts w:cs="Times New Roman"/>
          <w:szCs w:val="24"/>
        </w:rPr>
        <w:t xml:space="preserve"> s aspekta usklađenosti s</w:t>
      </w:r>
      <w:r w:rsidR="009830B3" w:rsidRPr="009A2018">
        <w:rPr>
          <w:rFonts w:cs="Times New Roman"/>
          <w:szCs w:val="24"/>
        </w:rPr>
        <w:t xml:space="preserve"> pravnom tekovinom Evropske </w:t>
      </w:r>
      <w:r w:rsidR="009830B3" w:rsidRPr="009A2018">
        <w:rPr>
          <w:rFonts w:cs="Times New Roman"/>
          <w:szCs w:val="24"/>
        </w:rPr>
        <w:lastRenderedPageBreak/>
        <w:t>unije</w:t>
      </w:r>
      <w:r w:rsidRPr="009A2018">
        <w:rPr>
          <w:rFonts w:cs="Times New Roman"/>
          <w:szCs w:val="24"/>
        </w:rPr>
        <w:t xml:space="preserve"> još uv</w:t>
      </w:r>
      <w:r w:rsidR="00C44A28" w:rsidRPr="009A2018">
        <w:rPr>
          <w:rFonts w:cs="Times New Roman"/>
          <w:szCs w:val="24"/>
        </w:rPr>
        <w:t>ij</w:t>
      </w:r>
      <w:r w:rsidR="00E41D8F" w:rsidRPr="009A2018">
        <w:rPr>
          <w:rFonts w:cs="Times New Roman"/>
          <w:szCs w:val="24"/>
        </w:rPr>
        <w:t>ek je ograničen. Skupštinska kancelarija</w:t>
      </w:r>
      <w:r w:rsidRPr="009A2018">
        <w:rPr>
          <w:rFonts w:cs="Times New Roman"/>
          <w:szCs w:val="24"/>
        </w:rPr>
        <w:t xml:space="preserve"> za budžet osnovan</w:t>
      </w:r>
      <w:r w:rsidR="00E41D8F" w:rsidRPr="009A2018">
        <w:rPr>
          <w:rFonts w:cs="Times New Roman"/>
          <w:szCs w:val="24"/>
        </w:rPr>
        <w:t>a</w:t>
      </w:r>
      <w:r w:rsidRPr="009A2018">
        <w:rPr>
          <w:rFonts w:cs="Times New Roman"/>
          <w:szCs w:val="24"/>
        </w:rPr>
        <w:t xml:space="preserve"> je 2019. godine </w:t>
      </w:r>
      <w:r w:rsidR="00E41D8F" w:rsidRPr="009A2018">
        <w:rPr>
          <w:rFonts w:cs="Times New Roman"/>
          <w:szCs w:val="24"/>
        </w:rPr>
        <w:t>ra</w:t>
      </w:r>
      <w:r w:rsidR="00364F42" w:rsidRPr="009A2018">
        <w:rPr>
          <w:rFonts w:cs="Times New Roman"/>
          <w:szCs w:val="24"/>
        </w:rPr>
        <w:t>di pružanja stručne</w:t>
      </w:r>
      <w:r w:rsidR="00E41D8F" w:rsidRPr="009A2018">
        <w:rPr>
          <w:rFonts w:cs="Times New Roman"/>
          <w:szCs w:val="24"/>
        </w:rPr>
        <w:t xml:space="preserve"> pomoći</w:t>
      </w:r>
      <w:r w:rsidRPr="009A2018">
        <w:rPr>
          <w:rFonts w:cs="Times New Roman"/>
          <w:szCs w:val="24"/>
        </w:rPr>
        <w:t xml:space="preserve"> poslanicima </w:t>
      </w:r>
      <w:r w:rsidR="00E41D8F" w:rsidRPr="009A2018">
        <w:rPr>
          <w:rFonts w:cs="Times New Roman"/>
          <w:szCs w:val="24"/>
        </w:rPr>
        <w:t>po pitanjima budžetiranja</w:t>
      </w:r>
      <w:r w:rsidRPr="009A2018">
        <w:rPr>
          <w:rFonts w:cs="Times New Roman"/>
          <w:szCs w:val="24"/>
        </w:rPr>
        <w:t xml:space="preserve">. U 2019. godini došlo je do smanjenja broja zakona </w:t>
      </w:r>
      <w:r w:rsidR="00E41D8F" w:rsidRPr="009A2018">
        <w:rPr>
          <w:rFonts w:cs="Times New Roman"/>
          <w:szCs w:val="24"/>
        </w:rPr>
        <w:t>koji su usvojeni preko vanrednih m</w:t>
      </w:r>
      <w:r w:rsidR="00C44A28" w:rsidRPr="009A2018">
        <w:rPr>
          <w:rFonts w:cs="Times New Roman"/>
          <w:szCs w:val="24"/>
        </w:rPr>
        <w:t>j</w:t>
      </w:r>
      <w:r w:rsidR="00E41D8F" w:rsidRPr="009A2018">
        <w:rPr>
          <w:rFonts w:cs="Times New Roman"/>
          <w:szCs w:val="24"/>
        </w:rPr>
        <w:t>era</w:t>
      </w:r>
      <w:r w:rsidRPr="009A2018">
        <w:rPr>
          <w:rFonts w:cs="Times New Roman"/>
          <w:szCs w:val="24"/>
        </w:rPr>
        <w:t xml:space="preserve">, </w:t>
      </w:r>
      <w:r w:rsidR="00364F42" w:rsidRPr="009A2018">
        <w:rPr>
          <w:rFonts w:cs="Times New Roman"/>
          <w:szCs w:val="24"/>
        </w:rPr>
        <w:t xml:space="preserve">naime usvojeno je </w:t>
      </w:r>
      <w:r w:rsidRPr="009A2018">
        <w:rPr>
          <w:rFonts w:cs="Times New Roman"/>
          <w:szCs w:val="24"/>
        </w:rPr>
        <w:t xml:space="preserve">3 </w:t>
      </w:r>
      <w:r w:rsidR="00364F42" w:rsidRPr="009A2018">
        <w:rPr>
          <w:rFonts w:cs="Times New Roman"/>
          <w:szCs w:val="24"/>
        </w:rPr>
        <w:t>od 97 zakonskih</w:t>
      </w:r>
      <w:r w:rsidRPr="009A2018">
        <w:rPr>
          <w:rFonts w:cs="Times New Roman"/>
          <w:szCs w:val="24"/>
        </w:rPr>
        <w:t xml:space="preserve"> ak</w:t>
      </w:r>
      <w:r w:rsidR="00364F42" w:rsidRPr="009A2018">
        <w:rPr>
          <w:rFonts w:cs="Times New Roman"/>
          <w:szCs w:val="24"/>
        </w:rPr>
        <w:t>a</w:t>
      </w:r>
      <w:r w:rsidRPr="009A2018">
        <w:rPr>
          <w:rFonts w:cs="Times New Roman"/>
          <w:szCs w:val="24"/>
        </w:rPr>
        <w:t xml:space="preserve">ta (3% od ukupnog broja), u odnosu na 13,6% u 2018. godini, što je uglavnom rezultat bojkota </w:t>
      </w:r>
      <w:r w:rsidR="00E41D8F" w:rsidRPr="009A2018">
        <w:rPr>
          <w:rFonts w:cs="Times New Roman"/>
          <w:szCs w:val="24"/>
        </w:rPr>
        <w:t>Skupštine od strane</w:t>
      </w:r>
      <w:r w:rsidRPr="009A2018">
        <w:rPr>
          <w:rFonts w:cs="Times New Roman"/>
          <w:szCs w:val="24"/>
        </w:rPr>
        <w:t xml:space="preserve"> opozicije.</w:t>
      </w:r>
    </w:p>
    <w:p w:rsidR="005F62F4" w:rsidRPr="009A2018" w:rsidRDefault="00E41D8F" w:rsidP="00EC1790">
      <w:pPr>
        <w:spacing w:after="120" w:line="240" w:lineRule="auto"/>
        <w:jc w:val="both"/>
        <w:rPr>
          <w:rFonts w:cs="Times New Roman"/>
          <w:szCs w:val="24"/>
        </w:rPr>
      </w:pPr>
      <w:r w:rsidRPr="009A2018">
        <w:rPr>
          <w:rFonts w:cs="Times New Roman"/>
          <w:szCs w:val="24"/>
        </w:rPr>
        <w:t>Potrebno je uložiti dalje napore kako bi se</w:t>
      </w:r>
      <w:r w:rsidR="009830B3" w:rsidRPr="009A2018">
        <w:rPr>
          <w:rFonts w:cs="Times New Roman"/>
          <w:szCs w:val="24"/>
        </w:rPr>
        <w:t xml:space="preserve"> obezb</w:t>
      </w:r>
      <w:r w:rsidR="00C44A28" w:rsidRPr="009A2018">
        <w:rPr>
          <w:rFonts w:cs="Times New Roman"/>
          <w:szCs w:val="24"/>
        </w:rPr>
        <w:t>ij</w:t>
      </w:r>
      <w:r w:rsidR="009830B3" w:rsidRPr="009A2018">
        <w:rPr>
          <w:rFonts w:cs="Times New Roman"/>
          <w:szCs w:val="24"/>
        </w:rPr>
        <w:t>edila</w:t>
      </w:r>
      <w:r w:rsidR="00091DC5" w:rsidRPr="009A2018">
        <w:rPr>
          <w:rFonts w:cs="Times New Roman"/>
          <w:szCs w:val="24"/>
        </w:rPr>
        <w:t xml:space="preserve"> efikasna kontrola i </w:t>
      </w:r>
      <w:r w:rsidR="00091DC5" w:rsidRPr="009A2018">
        <w:rPr>
          <w:rFonts w:cs="Times New Roman"/>
          <w:b/>
          <w:szCs w:val="24"/>
        </w:rPr>
        <w:t>skupštinski</w:t>
      </w:r>
      <w:r w:rsidRPr="009A2018">
        <w:rPr>
          <w:rFonts w:cs="Times New Roman"/>
          <w:b/>
          <w:szCs w:val="24"/>
        </w:rPr>
        <w:t xml:space="preserve"> nadzor</w:t>
      </w:r>
      <w:r w:rsidRPr="009A2018">
        <w:rPr>
          <w:rFonts w:cs="Times New Roman"/>
          <w:szCs w:val="24"/>
        </w:rPr>
        <w:t xml:space="preserve"> nad svim </w:t>
      </w:r>
      <w:r w:rsidR="00091DC5" w:rsidRPr="009A2018">
        <w:rPr>
          <w:rFonts w:cs="Times New Roman"/>
          <w:szCs w:val="24"/>
        </w:rPr>
        <w:t>izvršnim granama vlasti</w:t>
      </w:r>
      <w:r w:rsidRPr="009A2018">
        <w:rPr>
          <w:rFonts w:cs="Times New Roman"/>
          <w:szCs w:val="24"/>
        </w:rPr>
        <w:t>,</w:t>
      </w:r>
      <w:r w:rsidR="00091DC5" w:rsidRPr="009A2018">
        <w:rPr>
          <w:rFonts w:cs="Times New Roman"/>
          <w:szCs w:val="24"/>
        </w:rPr>
        <w:t xml:space="preserve"> kao i</w:t>
      </w:r>
      <w:r w:rsidRPr="009A2018">
        <w:rPr>
          <w:rFonts w:cs="Times New Roman"/>
          <w:szCs w:val="24"/>
        </w:rPr>
        <w:t xml:space="preserve"> na nivou </w:t>
      </w:r>
      <w:r w:rsidR="00091DC5" w:rsidRPr="009A2018">
        <w:rPr>
          <w:rFonts w:cs="Times New Roman"/>
          <w:szCs w:val="24"/>
        </w:rPr>
        <w:t>skupštinskih</w:t>
      </w:r>
      <w:r w:rsidRPr="009A2018">
        <w:rPr>
          <w:rFonts w:cs="Times New Roman"/>
          <w:szCs w:val="24"/>
        </w:rPr>
        <w:t xml:space="preserve"> odbora. Konkretno, uloga </w:t>
      </w:r>
      <w:r w:rsidR="00091DC5" w:rsidRPr="009A2018">
        <w:rPr>
          <w:rFonts w:cs="Times New Roman"/>
          <w:szCs w:val="24"/>
        </w:rPr>
        <w:t xml:space="preserve">Skupštine </w:t>
      </w:r>
      <w:r w:rsidRPr="009A2018">
        <w:rPr>
          <w:rFonts w:cs="Times New Roman"/>
          <w:szCs w:val="24"/>
        </w:rPr>
        <w:t>u nad</w:t>
      </w:r>
      <w:r w:rsidR="00091DC5" w:rsidRPr="009A2018">
        <w:rPr>
          <w:rFonts w:cs="Times New Roman"/>
          <w:szCs w:val="24"/>
        </w:rPr>
        <w:t>zoru vladinih m</w:t>
      </w:r>
      <w:r w:rsidR="00C44A28" w:rsidRPr="009A2018">
        <w:rPr>
          <w:rFonts w:cs="Times New Roman"/>
          <w:szCs w:val="24"/>
        </w:rPr>
        <w:t>j</w:t>
      </w:r>
      <w:r w:rsidR="00091DC5" w:rsidRPr="009A2018">
        <w:rPr>
          <w:rFonts w:cs="Times New Roman"/>
          <w:szCs w:val="24"/>
        </w:rPr>
        <w:t>era za borbu protiv pandemije</w:t>
      </w:r>
      <w:r w:rsidRPr="009A2018">
        <w:rPr>
          <w:rFonts w:cs="Times New Roman"/>
          <w:szCs w:val="24"/>
        </w:rPr>
        <w:t xml:space="preserve"> koronavirusa bila je ograničena.</w:t>
      </w:r>
      <w:r w:rsidR="00B5606F">
        <w:rPr>
          <w:rFonts w:cs="Times New Roman"/>
          <w:szCs w:val="24"/>
        </w:rPr>
        <w:t xml:space="preserve"> </w:t>
      </w:r>
      <w:r w:rsidRPr="009A2018">
        <w:rPr>
          <w:rFonts w:cs="Times New Roman"/>
          <w:szCs w:val="24"/>
        </w:rPr>
        <w:t>Tokom</w:t>
      </w:r>
      <w:r w:rsidR="006F16C6" w:rsidRPr="009A2018">
        <w:rPr>
          <w:rFonts w:cs="Times New Roman"/>
          <w:szCs w:val="24"/>
        </w:rPr>
        <w:t xml:space="preserve"> 2019</w:t>
      </w:r>
      <w:r w:rsidR="009830B3" w:rsidRPr="009A2018">
        <w:rPr>
          <w:rFonts w:cs="Times New Roman"/>
          <w:szCs w:val="24"/>
        </w:rPr>
        <w:t>. godine</w:t>
      </w:r>
      <w:r w:rsidR="006F16C6" w:rsidRPr="009A2018">
        <w:rPr>
          <w:rFonts w:cs="Times New Roman"/>
          <w:szCs w:val="24"/>
        </w:rPr>
        <w:t xml:space="preserve">, </w:t>
      </w:r>
      <w:r w:rsidR="00091DC5" w:rsidRPr="009A2018">
        <w:rPr>
          <w:rFonts w:cs="Times New Roman"/>
          <w:szCs w:val="24"/>
        </w:rPr>
        <w:t xml:space="preserve">održano je </w:t>
      </w:r>
      <w:r w:rsidR="00461CDC" w:rsidRPr="009A2018">
        <w:rPr>
          <w:rFonts w:cs="Times New Roman"/>
          <w:szCs w:val="24"/>
        </w:rPr>
        <w:t>7</w:t>
      </w:r>
      <w:r w:rsidR="00091DC5" w:rsidRPr="009A2018">
        <w:rPr>
          <w:rFonts w:cs="Times New Roman"/>
          <w:szCs w:val="24"/>
        </w:rPr>
        <w:t xml:space="preserve"> kontrolnih i 37 konsultativnih saslušanja (u poređenju sa 30 u</w:t>
      </w:r>
      <w:r w:rsidR="006F16C6" w:rsidRPr="009A2018">
        <w:rPr>
          <w:rFonts w:cs="Times New Roman"/>
          <w:szCs w:val="24"/>
        </w:rPr>
        <w:t xml:space="preserve"> 2018</w:t>
      </w:r>
      <w:r w:rsidR="00091DC5" w:rsidRPr="009A2018">
        <w:rPr>
          <w:rFonts w:cs="Times New Roman"/>
          <w:szCs w:val="24"/>
        </w:rPr>
        <w:t>. i 43 u</w:t>
      </w:r>
      <w:r w:rsidR="006F16C6" w:rsidRPr="009A2018">
        <w:rPr>
          <w:rFonts w:cs="Times New Roman"/>
          <w:szCs w:val="24"/>
        </w:rPr>
        <w:t xml:space="preserve"> 2017</w:t>
      </w:r>
      <w:r w:rsidR="00091DC5" w:rsidRPr="009A2018">
        <w:rPr>
          <w:rFonts w:cs="Times New Roman"/>
          <w:szCs w:val="24"/>
        </w:rPr>
        <w:t>. godini</w:t>
      </w:r>
      <w:r w:rsidR="006F16C6" w:rsidRPr="009A2018">
        <w:rPr>
          <w:rFonts w:cs="Times New Roman"/>
          <w:szCs w:val="24"/>
        </w:rPr>
        <w:t xml:space="preserve">). </w:t>
      </w:r>
      <w:r w:rsidR="00091DC5" w:rsidRPr="009A2018">
        <w:rPr>
          <w:rFonts w:cs="Times New Roman"/>
          <w:szCs w:val="24"/>
        </w:rPr>
        <w:t>Jednoobrazni i d</w:t>
      </w:r>
      <w:r w:rsidR="00C44A28" w:rsidRPr="009A2018">
        <w:rPr>
          <w:rFonts w:cs="Times New Roman"/>
          <w:szCs w:val="24"/>
        </w:rPr>
        <w:t>j</w:t>
      </w:r>
      <w:r w:rsidR="00091DC5" w:rsidRPr="009A2018">
        <w:rPr>
          <w:rFonts w:cs="Times New Roman"/>
          <w:szCs w:val="24"/>
        </w:rPr>
        <w:t>elotvoran sistem za praćenje implementacije zaključaka i preporuka usvojenih na saslušanjima sprovedenim u okviru skupštinskog nadzora tek treba da se razvije. Na nalazima Državne revizorske institucije i dalje se radi ograničeno, a još uv</w:t>
      </w:r>
      <w:r w:rsidR="00C44A28" w:rsidRPr="009A2018">
        <w:rPr>
          <w:rFonts w:cs="Times New Roman"/>
          <w:szCs w:val="24"/>
        </w:rPr>
        <w:t>ij</w:t>
      </w:r>
      <w:r w:rsidR="00091DC5" w:rsidRPr="009A2018">
        <w:rPr>
          <w:rFonts w:cs="Times New Roman"/>
          <w:szCs w:val="24"/>
        </w:rPr>
        <w:t>ek nema rasprave niti izv</w:t>
      </w:r>
      <w:r w:rsidR="00C44A28" w:rsidRPr="009A2018">
        <w:rPr>
          <w:rFonts w:cs="Times New Roman"/>
          <w:szCs w:val="24"/>
        </w:rPr>
        <w:t>j</w:t>
      </w:r>
      <w:r w:rsidR="00091DC5" w:rsidRPr="009A2018">
        <w:rPr>
          <w:rFonts w:cs="Times New Roman"/>
          <w:szCs w:val="24"/>
        </w:rPr>
        <w:t>eštavanja o sprovođenju značajnih politika i zakonodavnih akata.</w:t>
      </w:r>
    </w:p>
    <w:p w:rsidR="00091DC5" w:rsidRPr="00095948" w:rsidRDefault="00091DC5" w:rsidP="00EC1790">
      <w:pPr>
        <w:spacing w:after="120" w:line="240" w:lineRule="auto"/>
        <w:jc w:val="both"/>
        <w:rPr>
          <w:rFonts w:cs="Times New Roman"/>
          <w:szCs w:val="24"/>
          <w:lang w:val="fr-FR"/>
        </w:rPr>
      </w:pPr>
      <w:r w:rsidRPr="00095948">
        <w:rPr>
          <w:rFonts w:cs="Times New Roman"/>
          <w:szCs w:val="24"/>
          <w:lang w:val="fr-FR"/>
        </w:rPr>
        <w:t>Skupština je zadržala visok nivo transparentnosti na administrativnom nivou. Međutim, potrebno je usm</w:t>
      </w:r>
      <w:r w:rsidR="00C44A28" w:rsidRPr="00095948">
        <w:rPr>
          <w:rFonts w:cs="Times New Roman"/>
          <w:szCs w:val="24"/>
          <w:lang w:val="fr-FR"/>
        </w:rPr>
        <w:t>j</w:t>
      </w:r>
      <w:r w:rsidRPr="00095948">
        <w:rPr>
          <w:rFonts w:cs="Times New Roman"/>
          <w:szCs w:val="24"/>
          <w:lang w:val="fr-FR"/>
        </w:rPr>
        <w:t>eriti značajne napore na pobolj</w:t>
      </w:r>
      <w:r w:rsidR="00B5606F" w:rsidRPr="00095948">
        <w:rPr>
          <w:rFonts w:cs="Times New Roman"/>
          <w:szCs w:val="24"/>
          <w:lang w:val="fr-FR"/>
        </w:rPr>
        <w:t>šanje komunikacije i saradnje s</w:t>
      </w:r>
      <w:r w:rsidR="006926AF" w:rsidRPr="00095948">
        <w:rPr>
          <w:rFonts w:cs="Times New Roman"/>
          <w:szCs w:val="24"/>
          <w:lang w:val="fr-FR"/>
        </w:rPr>
        <w:t xml:space="preserve"> javnošću, te</w:t>
      </w:r>
      <w:r w:rsidRPr="00095948">
        <w:rPr>
          <w:rFonts w:cs="Times New Roman"/>
          <w:szCs w:val="24"/>
          <w:lang w:val="fr-FR"/>
        </w:rPr>
        <w:t xml:space="preserve"> posebno uspostavi</w:t>
      </w:r>
      <w:r w:rsidR="006926AF" w:rsidRPr="00095948">
        <w:rPr>
          <w:rFonts w:cs="Times New Roman"/>
          <w:szCs w:val="24"/>
          <w:lang w:val="fr-FR"/>
        </w:rPr>
        <w:t>ti proceduru za r</w:t>
      </w:r>
      <w:r w:rsidR="00C44A28" w:rsidRPr="00095948">
        <w:rPr>
          <w:rFonts w:cs="Times New Roman"/>
          <w:szCs w:val="24"/>
          <w:lang w:val="fr-FR"/>
        </w:rPr>
        <w:t>j</w:t>
      </w:r>
      <w:r w:rsidRPr="00095948">
        <w:rPr>
          <w:rFonts w:cs="Times New Roman"/>
          <w:szCs w:val="24"/>
          <w:lang w:val="fr-FR"/>
        </w:rPr>
        <w:t xml:space="preserve">ešavanje žalbi i predstavki građana. </w:t>
      </w:r>
      <w:r w:rsidR="006926AF" w:rsidRPr="00095948">
        <w:rPr>
          <w:rFonts w:cs="Times New Roman"/>
          <w:szCs w:val="24"/>
          <w:lang w:val="fr-FR"/>
        </w:rPr>
        <w:t>Nastavila se p</w:t>
      </w:r>
      <w:r w:rsidRPr="00095948">
        <w:rPr>
          <w:rFonts w:cs="Times New Roman"/>
          <w:szCs w:val="24"/>
          <w:lang w:val="fr-FR"/>
        </w:rPr>
        <w:t>raksa poslanika</w:t>
      </w:r>
      <w:r w:rsidR="006926AF" w:rsidRPr="00095948">
        <w:rPr>
          <w:rFonts w:cs="Times New Roman"/>
          <w:szCs w:val="24"/>
          <w:lang w:val="fr-FR"/>
        </w:rPr>
        <w:t xml:space="preserve"> da podnose amandmane na zakone, </w:t>
      </w:r>
      <w:r w:rsidRPr="00095948">
        <w:rPr>
          <w:rFonts w:cs="Times New Roman"/>
          <w:szCs w:val="24"/>
          <w:lang w:val="fr-FR"/>
        </w:rPr>
        <w:t>zaobilaze</w:t>
      </w:r>
      <w:r w:rsidR="006926AF" w:rsidRPr="00095948">
        <w:rPr>
          <w:rFonts w:cs="Times New Roman"/>
          <w:szCs w:val="24"/>
          <w:lang w:val="fr-FR"/>
        </w:rPr>
        <w:t>ći</w:t>
      </w:r>
      <w:r w:rsidRPr="00095948">
        <w:rPr>
          <w:rFonts w:cs="Times New Roman"/>
          <w:szCs w:val="24"/>
          <w:lang w:val="fr-FR"/>
        </w:rPr>
        <w:t xml:space="preserve"> javne konsultacije</w:t>
      </w:r>
      <w:r w:rsidR="006926AF" w:rsidRPr="00095948">
        <w:rPr>
          <w:rFonts w:cs="Times New Roman"/>
          <w:szCs w:val="24"/>
          <w:lang w:val="fr-FR"/>
        </w:rPr>
        <w:t>. Tako je bilo, između ostalog,</w:t>
      </w:r>
      <w:r w:rsidR="00B5606F" w:rsidRPr="00095948">
        <w:rPr>
          <w:rFonts w:cs="Times New Roman"/>
          <w:szCs w:val="24"/>
          <w:lang w:val="fr-FR"/>
        </w:rPr>
        <w:t xml:space="preserve"> i s</w:t>
      </w:r>
      <w:r w:rsidR="006926AF" w:rsidRPr="00095948">
        <w:rPr>
          <w:rFonts w:cs="Times New Roman"/>
          <w:szCs w:val="24"/>
          <w:lang w:val="fr-FR"/>
        </w:rPr>
        <w:t xml:space="preserve"> </w:t>
      </w:r>
      <w:r w:rsidRPr="00095948">
        <w:rPr>
          <w:rFonts w:cs="Times New Roman"/>
          <w:szCs w:val="24"/>
          <w:lang w:val="fr-FR"/>
        </w:rPr>
        <w:t>iz</w:t>
      </w:r>
      <w:r w:rsidR="006926AF" w:rsidRPr="00095948">
        <w:rPr>
          <w:rFonts w:cs="Times New Roman"/>
          <w:szCs w:val="24"/>
          <w:lang w:val="fr-FR"/>
        </w:rPr>
        <w:t>m</w:t>
      </w:r>
      <w:r w:rsidR="00C44A28" w:rsidRPr="00095948">
        <w:rPr>
          <w:rFonts w:cs="Times New Roman"/>
          <w:szCs w:val="24"/>
          <w:lang w:val="fr-FR"/>
        </w:rPr>
        <w:t>j</w:t>
      </w:r>
      <w:r w:rsidR="006926AF" w:rsidRPr="00095948">
        <w:rPr>
          <w:rFonts w:cs="Times New Roman"/>
          <w:szCs w:val="24"/>
          <w:lang w:val="fr-FR"/>
        </w:rPr>
        <w:t>enama i dopunama z</w:t>
      </w:r>
      <w:r w:rsidRPr="00095948">
        <w:rPr>
          <w:rFonts w:cs="Times New Roman"/>
          <w:szCs w:val="24"/>
          <w:lang w:val="fr-FR"/>
        </w:rPr>
        <w:t>akona o lokalnoj samoupra</w:t>
      </w:r>
      <w:r w:rsidR="006926AF" w:rsidRPr="00095948">
        <w:rPr>
          <w:rFonts w:cs="Times New Roman"/>
          <w:szCs w:val="24"/>
          <w:lang w:val="fr-FR"/>
        </w:rPr>
        <w:t>vi, državnim službenicima i nam</w:t>
      </w:r>
      <w:r w:rsidR="00C44A28" w:rsidRPr="00095948">
        <w:rPr>
          <w:rFonts w:cs="Times New Roman"/>
          <w:szCs w:val="24"/>
          <w:lang w:val="fr-FR"/>
        </w:rPr>
        <w:t>j</w:t>
      </w:r>
      <w:r w:rsidR="006926AF" w:rsidRPr="00095948">
        <w:rPr>
          <w:rFonts w:cs="Times New Roman"/>
          <w:szCs w:val="24"/>
          <w:lang w:val="fr-FR"/>
        </w:rPr>
        <w:t>eštenicima i poreskoj upravi. Tokom izv</w:t>
      </w:r>
      <w:r w:rsidR="00C44A28" w:rsidRPr="00095948">
        <w:rPr>
          <w:rFonts w:cs="Times New Roman"/>
          <w:szCs w:val="24"/>
          <w:lang w:val="fr-FR"/>
        </w:rPr>
        <w:t>j</w:t>
      </w:r>
      <w:r w:rsidRPr="00095948">
        <w:rPr>
          <w:rFonts w:cs="Times New Roman"/>
          <w:szCs w:val="24"/>
          <w:lang w:val="fr-FR"/>
        </w:rPr>
        <w:t xml:space="preserve">eštajnog </w:t>
      </w:r>
      <w:r w:rsidR="006926AF" w:rsidRPr="00095948">
        <w:rPr>
          <w:rFonts w:cs="Times New Roman"/>
          <w:szCs w:val="24"/>
          <w:lang w:val="fr-FR"/>
        </w:rPr>
        <w:t>perioda Skupštini nije podn</w:t>
      </w:r>
      <w:r w:rsidR="00C44A28" w:rsidRPr="00095948">
        <w:rPr>
          <w:rFonts w:cs="Times New Roman"/>
          <w:szCs w:val="24"/>
          <w:lang w:val="fr-FR"/>
        </w:rPr>
        <w:t>ij</w:t>
      </w:r>
      <w:r w:rsidR="006926AF" w:rsidRPr="00095948">
        <w:rPr>
          <w:rFonts w:cs="Times New Roman"/>
          <w:szCs w:val="24"/>
          <w:lang w:val="fr-FR"/>
        </w:rPr>
        <w:t>et</w:t>
      </w:r>
      <w:r w:rsidRPr="00095948">
        <w:rPr>
          <w:rFonts w:cs="Times New Roman"/>
          <w:szCs w:val="24"/>
          <w:lang w:val="fr-FR"/>
        </w:rPr>
        <w:t>a nijedna peticija</w:t>
      </w:r>
      <w:r w:rsidR="006926AF" w:rsidRPr="00095948">
        <w:rPr>
          <w:rFonts w:cs="Times New Roman"/>
          <w:szCs w:val="24"/>
          <w:lang w:val="fr-FR"/>
        </w:rPr>
        <w:t xml:space="preserve"> građana.</w:t>
      </w:r>
    </w:p>
    <w:p w:rsidR="006926AF" w:rsidRPr="00095948" w:rsidRDefault="006926AF" w:rsidP="00EC1790">
      <w:pPr>
        <w:spacing w:after="120" w:line="240" w:lineRule="auto"/>
        <w:jc w:val="both"/>
        <w:rPr>
          <w:rFonts w:cs="Times New Roman"/>
          <w:szCs w:val="24"/>
          <w:lang w:val="fr-FR"/>
        </w:rPr>
      </w:pPr>
      <w:r w:rsidRPr="00095948">
        <w:rPr>
          <w:rFonts w:cs="Times New Roman"/>
          <w:szCs w:val="24"/>
          <w:lang w:val="fr-FR"/>
        </w:rPr>
        <w:t xml:space="preserve">Novi </w:t>
      </w:r>
      <w:r w:rsidRPr="00095948">
        <w:rPr>
          <w:rFonts w:cs="Times New Roman"/>
          <w:b/>
          <w:szCs w:val="24"/>
          <w:lang w:val="fr-FR"/>
        </w:rPr>
        <w:t>etički kodeks</w:t>
      </w:r>
      <w:r w:rsidRPr="00095948">
        <w:rPr>
          <w:rFonts w:cs="Times New Roman"/>
          <w:szCs w:val="24"/>
          <w:lang w:val="fr-FR"/>
        </w:rPr>
        <w:t xml:space="preserve"> poslanika Skupština je usvojila u julu 2019. godine većinom glasova poslanika iz tadašnjih stranaka na vlasti.</w:t>
      </w:r>
      <w:r w:rsidR="009A2018" w:rsidRPr="00095948">
        <w:rPr>
          <w:rFonts w:cs="Times New Roman"/>
          <w:szCs w:val="24"/>
          <w:lang w:val="fr-FR"/>
        </w:rPr>
        <w:t xml:space="preserve"> </w:t>
      </w:r>
      <w:r w:rsidRPr="00095948">
        <w:rPr>
          <w:rFonts w:cs="Times New Roman"/>
          <w:szCs w:val="24"/>
          <w:lang w:val="fr-FR"/>
        </w:rPr>
        <w:t>Odboru za ljudska prava nije predata nijedna pritužba građana, medija ili zainteresovanih strana u kojoj bi se navodilo da je došlo do povrede etičkog kodeksa.</w:t>
      </w:r>
      <w:r w:rsidR="00B5606F" w:rsidRPr="00095948">
        <w:rPr>
          <w:rFonts w:cs="Times New Roman"/>
          <w:szCs w:val="24"/>
          <w:lang w:val="fr-FR"/>
        </w:rPr>
        <w:t xml:space="preserve"> </w:t>
      </w:r>
      <w:r w:rsidRPr="00095948">
        <w:rPr>
          <w:rFonts w:cs="Times New Roman"/>
          <w:szCs w:val="24"/>
          <w:lang w:val="fr-FR"/>
        </w:rPr>
        <w:t>Takođe u julu 2019. godine, Skupština je izm</w:t>
      </w:r>
      <w:r w:rsidR="00C44A28" w:rsidRPr="00095948">
        <w:rPr>
          <w:rFonts w:cs="Times New Roman"/>
          <w:szCs w:val="24"/>
          <w:lang w:val="fr-FR"/>
        </w:rPr>
        <w:t>ij</w:t>
      </w:r>
      <w:r w:rsidRPr="00095948">
        <w:rPr>
          <w:rFonts w:cs="Times New Roman"/>
          <w:szCs w:val="24"/>
          <w:lang w:val="fr-FR"/>
        </w:rPr>
        <w:t xml:space="preserve">enila svoj poslovnik, uvodeći novčane kazne za poslanike koji </w:t>
      </w:r>
      <w:r w:rsidR="0051284F" w:rsidRPr="00095948">
        <w:rPr>
          <w:rFonts w:cs="Times New Roman"/>
          <w:szCs w:val="24"/>
          <w:lang w:val="fr-FR"/>
        </w:rPr>
        <w:t>u radu skupštine ni</w:t>
      </w:r>
      <w:r w:rsidR="00B5606F" w:rsidRPr="00095948">
        <w:rPr>
          <w:rFonts w:cs="Times New Roman"/>
          <w:szCs w:val="24"/>
          <w:lang w:val="fr-FR"/>
        </w:rPr>
        <w:t>je</w:t>
      </w:r>
      <w:r w:rsidR="0051284F" w:rsidRPr="00095948">
        <w:rPr>
          <w:rFonts w:cs="Times New Roman"/>
          <w:szCs w:val="24"/>
          <w:lang w:val="fr-FR"/>
        </w:rPr>
        <w:t>su učestvovali</w:t>
      </w:r>
      <w:r w:rsidRPr="00095948">
        <w:rPr>
          <w:rFonts w:cs="Times New Roman"/>
          <w:szCs w:val="24"/>
          <w:lang w:val="fr-FR"/>
        </w:rPr>
        <w:t xml:space="preserve"> duže od 30 dana. O</w:t>
      </w:r>
      <w:r w:rsidR="0051284F" w:rsidRPr="00095948">
        <w:rPr>
          <w:rFonts w:cs="Times New Roman"/>
          <w:szCs w:val="24"/>
          <w:lang w:val="fr-FR"/>
        </w:rPr>
        <w:t>ve o</w:t>
      </w:r>
      <w:r w:rsidRPr="00095948">
        <w:rPr>
          <w:rFonts w:cs="Times New Roman"/>
          <w:szCs w:val="24"/>
          <w:lang w:val="fr-FR"/>
        </w:rPr>
        <w:t>dredbe još</w:t>
      </w:r>
      <w:r w:rsidR="0051284F" w:rsidRPr="00095948">
        <w:rPr>
          <w:rFonts w:cs="Times New Roman"/>
          <w:szCs w:val="24"/>
          <w:lang w:val="fr-FR"/>
        </w:rPr>
        <w:t xml:space="preserve"> uv</w:t>
      </w:r>
      <w:r w:rsidR="00C44A28" w:rsidRPr="00095948">
        <w:rPr>
          <w:rFonts w:cs="Times New Roman"/>
          <w:szCs w:val="24"/>
          <w:lang w:val="fr-FR"/>
        </w:rPr>
        <w:t>ij</w:t>
      </w:r>
      <w:r w:rsidR="0051284F" w:rsidRPr="00095948">
        <w:rPr>
          <w:rFonts w:cs="Times New Roman"/>
          <w:szCs w:val="24"/>
          <w:lang w:val="fr-FR"/>
        </w:rPr>
        <w:t>ek</w:t>
      </w:r>
      <w:r w:rsidRPr="00095948">
        <w:rPr>
          <w:rFonts w:cs="Times New Roman"/>
          <w:szCs w:val="24"/>
          <w:lang w:val="fr-FR"/>
        </w:rPr>
        <w:t xml:space="preserve"> ni</w:t>
      </w:r>
      <w:r w:rsidR="00B5606F" w:rsidRPr="00095948">
        <w:rPr>
          <w:rFonts w:cs="Times New Roman"/>
          <w:szCs w:val="24"/>
          <w:lang w:val="fr-FR"/>
        </w:rPr>
        <w:t>je</w:t>
      </w:r>
      <w:r w:rsidRPr="00095948">
        <w:rPr>
          <w:rFonts w:cs="Times New Roman"/>
          <w:szCs w:val="24"/>
          <w:lang w:val="fr-FR"/>
        </w:rPr>
        <w:t xml:space="preserve">su </w:t>
      </w:r>
      <w:r w:rsidR="0043324A" w:rsidRPr="00095948">
        <w:rPr>
          <w:rFonts w:cs="Times New Roman"/>
          <w:szCs w:val="24"/>
          <w:lang w:val="fr-FR"/>
        </w:rPr>
        <w:t>s</w:t>
      </w:r>
      <w:r w:rsidRPr="00095948">
        <w:rPr>
          <w:rFonts w:cs="Times New Roman"/>
          <w:szCs w:val="24"/>
          <w:lang w:val="fr-FR"/>
        </w:rPr>
        <w:t>provedene. U januaru 2020.</w:t>
      </w:r>
      <w:r w:rsidR="0051284F" w:rsidRPr="00095948">
        <w:rPr>
          <w:rFonts w:cs="Times New Roman"/>
          <w:szCs w:val="24"/>
          <w:lang w:val="fr-FR"/>
        </w:rPr>
        <w:t xml:space="preserve"> godine, skupštinski</w:t>
      </w:r>
      <w:r w:rsidRPr="00095948">
        <w:rPr>
          <w:rFonts w:cs="Times New Roman"/>
          <w:szCs w:val="24"/>
          <w:lang w:val="fr-FR"/>
        </w:rPr>
        <w:t xml:space="preserve"> upravni odbor usvojio je od</w:t>
      </w:r>
      <w:r w:rsidR="0051284F" w:rsidRPr="00095948">
        <w:rPr>
          <w:rFonts w:cs="Times New Roman"/>
          <w:szCs w:val="24"/>
          <w:lang w:val="fr-FR"/>
        </w:rPr>
        <w:t>luku kojom se utvrđuju kriterijumi</w:t>
      </w:r>
      <w:r w:rsidRPr="00095948">
        <w:rPr>
          <w:rFonts w:cs="Times New Roman"/>
          <w:szCs w:val="24"/>
          <w:lang w:val="fr-FR"/>
        </w:rPr>
        <w:t xml:space="preserve"> za opravdano odsustvo poslanika s</w:t>
      </w:r>
      <w:r w:rsidR="0051284F" w:rsidRPr="00095948">
        <w:rPr>
          <w:rFonts w:cs="Times New Roman"/>
          <w:szCs w:val="24"/>
          <w:lang w:val="fr-FR"/>
        </w:rPr>
        <w:t xml:space="preserve"> plenarnih s</w:t>
      </w:r>
      <w:r w:rsidR="00C44A28" w:rsidRPr="00095948">
        <w:rPr>
          <w:rFonts w:cs="Times New Roman"/>
          <w:szCs w:val="24"/>
          <w:lang w:val="fr-FR"/>
        </w:rPr>
        <w:t>j</w:t>
      </w:r>
      <w:r w:rsidR="0051284F" w:rsidRPr="00095948">
        <w:rPr>
          <w:rFonts w:cs="Times New Roman"/>
          <w:szCs w:val="24"/>
          <w:lang w:val="fr-FR"/>
        </w:rPr>
        <w:t>ednica i s</w:t>
      </w:r>
      <w:r w:rsidR="00C44A28" w:rsidRPr="00095948">
        <w:rPr>
          <w:rFonts w:cs="Times New Roman"/>
          <w:szCs w:val="24"/>
          <w:lang w:val="fr-FR"/>
        </w:rPr>
        <w:t>j</w:t>
      </w:r>
      <w:r w:rsidRPr="00095948">
        <w:rPr>
          <w:rFonts w:cs="Times New Roman"/>
          <w:szCs w:val="24"/>
          <w:lang w:val="fr-FR"/>
        </w:rPr>
        <w:t>ednica odbora. Nedostatak raspoloživog prostora z</w:t>
      </w:r>
      <w:r w:rsidR="003672B4" w:rsidRPr="00095948">
        <w:rPr>
          <w:rFonts w:cs="Times New Roman"/>
          <w:szCs w:val="24"/>
          <w:lang w:val="fr-FR"/>
        </w:rPr>
        <w:t xml:space="preserve">a uslužno osoblje i </w:t>
      </w:r>
      <w:r w:rsidRPr="00095948">
        <w:rPr>
          <w:rFonts w:cs="Times New Roman"/>
          <w:szCs w:val="24"/>
          <w:lang w:val="fr-FR"/>
        </w:rPr>
        <w:t xml:space="preserve">poslanike </w:t>
      </w:r>
      <w:r w:rsidR="003672B4" w:rsidRPr="00095948">
        <w:rPr>
          <w:rFonts w:cs="Times New Roman"/>
          <w:szCs w:val="24"/>
          <w:lang w:val="fr-FR"/>
        </w:rPr>
        <w:t xml:space="preserve">u Skupštini </w:t>
      </w:r>
      <w:r w:rsidRPr="00095948">
        <w:rPr>
          <w:rFonts w:cs="Times New Roman"/>
          <w:szCs w:val="24"/>
          <w:lang w:val="fr-FR"/>
        </w:rPr>
        <w:t>i dalje ostaje problem</w:t>
      </w:r>
      <w:r w:rsidR="0051284F" w:rsidRPr="00095948">
        <w:rPr>
          <w:rFonts w:cs="Times New Roman"/>
          <w:szCs w:val="24"/>
          <w:lang w:val="fr-FR"/>
        </w:rPr>
        <w:t xml:space="preserve"> koji treba r</w:t>
      </w:r>
      <w:r w:rsidR="00C44A28" w:rsidRPr="00095948">
        <w:rPr>
          <w:rFonts w:cs="Times New Roman"/>
          <w:szCs w:val="24"/>
          <w:lang w:val="fr-FR"/>
        </w:rPr>
        <w:t>ij</w:t>
      </w:r>
      <w:r w:rsidR="0051284F" w:rsidRPr="00095948">
        <w:rPr>
          <w:rFonts w:cs="Times New Roman"/>
          <w:szCs w:val="24"/>
          <w:lang w:val="fr-FR"/>
        </w:rPr>
        <w:t>ešiti</w:t>
      </w:r>
      <w:r w:rsidRPr="00095948">
        <w:rPr>
          <w:rFonts w:cs="Times New Roman"/>
          <w:szCs w:val="24"/>
          <w:lang w:val="fr-FR"/>
        </w:rPr>
        <w:t>.</w:t>
      </w:r>
    </w:p>
    <w:p w:rsidR="003B7508" w:rsidRPr="00095948" w:rsidRDefault="003B7508" w:rsidP="00EC1790">
      <w:pPr>
        <w:spacing w:after="120" w:line="240" w:lineRule="auto"/>
        <w:jc w:val="both"/>
        <w:rPr>
          <w:rFonts w:cs="Times New Roman"/>
          <w:szCs w:val="24"/>
          <w:lang w:val="fr-FR"/>
        </w:rPr>
      </w:pPr>
      <w:r w:rsidRPr="00095948">
        <w:rPr>
          <w:rFonts w:cs="Times New Roman"/>
          <w:szCs w:val="24"/>
          <w:lang w:val="fr-FR"/>
        </w:rPr>
        <w:t>U izv</w:t>
      </w:r>
      <w:r w:rsidR="00C44A28" w:rsidRPr="00095948">
        <w:rPr>
          <w:rFonts w:cs="Times New Roman"/>
          <w:szCs w:val="24"/>
          <w:lang w:val="fr-FR"/>
        </w:rPr>
        <w:t>j</w:t>
      </w:r>
      <w:r w:rsidRPr="00095948">
        <w:rPr>
          <w:rFonts w:cs="Times New Roman"/>
          <w:szCs w:val="24"/>
          <w:lang w:val="fr-FR"/>
        </w:rPr>
        <w:t>eštajnom period</w:t>
      </w:r>
      <w:r w:rsidR="00B5606F" w:rsidRPr="00095948">
        <w:rPr>
          <w:rFonts w:cs="Times New Roman"/>
          <w:szCs w:val="24"/>
          <w:lang w:val="fr-FR"/>
        </w:rPr>
        <w:t>u Skupština se nije saglasila s</w:t>
      </w:r>
      <w:r w:rsidRPr="00095948">
        <w:rPr>
          <w:rFonts w:cs="Times New Roman"/>
          <w:szCs w:val="24"/>
          <w:lang w:val="fr-FR"/>
        </w:rPr>
        <w:t xml:space="preserve"> ukidanjem imuniteta poslanika; zaht</w:t>
      </w:r>
      <w:r w:rsidR="00C44A28" w:rsidRPr="00095948">
        <w:rPr>
          <w:rFonts w:cs="Times New Roman"/>
          <w:szCs w:val="24"/>
          <w:lang w:val="fr-FR"/>
        </w:rPr>
        <w:t>j</w:t>
      </w:r>
      <w:r w:rsidR="003672B4" w:rsidRPr="00095948">
        <w:rPr>
          <w:rFonts w:cs="Times New Roman"/>
          <w:szCs w:val="24"/>
          <w:lang w:val="fr-FR"/>
        </w:rPr>
        <w:t>ev za ukidanje</w:t>
      </w:r>
      <w:r w:rsidRPr="00095948">
        <w:rPr>
          <w:rFonts w:cs="Times New Roman"/>
          <w:szCs w:val="24"/>
          <w:lang w:val="fr-FR"/>
        </w:rPr>
        <w:t xml:space="preserve"> imuniteta poslaniku iz najvećeg opozicionog saveza Skupština je odbila u decembru 2019. godine. Istog m</w:t>
      </w:r>
      <w:r w:rsidR="00C44A28" w:rsidRPr="00095948">
        <w:rPr>
          <w:rFonts w:cs="Times New Roman"/>
          <w:szCs w:val="24"/>
          <w:lang w:val="fr-FR"/>
        </w:rPr>
        <w:t>j</w:t>
      </w:r>
      <w:r w:rsidRPr="00095948">
        <w:rPr>
          <w:rFonts w:cs="Times New Roman"/>
          <w:szCs w:val="24"/>
          <w:lang w:val="fr-FR"/>
        </w:rPr>
        <w:t xml:space="preserve">eseca, poslanici istog saveza privremeno su privedeni i </w:t>
      </w:r>
      <w:r w:rsidR="00B5606F" w:rsidRPr="00095948">
        <w:rPr>
          <w:rFonts w:cs="Times New Roman"/>
          <w:szCs w:val="24"/>
          <w:lang w:val="fr-FR"/>
        </w:rPr>
        <w:t>udaljeni s</w:t>
      </w:r>
      <w:r w:rsidR="001266FA" w:rsidRPr="00095948">
        <w:rPr>
          <w:rFonts w:cs="Times New Roman"/>
          <w:szCs w:val="24"/>
          <w:lang w:val="fr-FR"/>
        </w:rPr>
        <w:t xml:space="preserve"> rada Skupštine</w:t>
      </w:r>
      <w:r w:rsidRPr="00095948">
        <w:rPr>
          <w:rFonts w:cs="Times New Roman"/>
          <w:szCs w:val="24"/>
          <w:lang w:val="fr-FR"/>
        </w:rPr>
        <w:t xml:space="preserve"> na 15 dana, nakon što su izazvali incident u Skupštini</w:t>
      </w:r>
      <w:r w:rsidR="003672B4" w:rsidRPr="00095948">
        <w:rPr>
          <w:rFonts w:cs="Times New Roman"/>
          <w:szCs w:val="24"/>
          <w:lang w:val="fr-FR"/>
        </w:rPr>
        <w:t>. Preliminarna istraga tužioca na</w:t>
      </w:r>
      <w:r w:rsidRPr="00095948">
        <w:rPr>
          <w:rFonts w:cs="Times New Roman"/>
          <w:szCs w:val="24"/>
          <w:lang w:val="fr-FR"/>
        </w:rPr>
        <w:t xml:space="preserve"> ovom slučaju je u toku. U septembru 2019. godine, Ustavni</w:t>
      </w:r>
      <w:r w:rsidR="001266FA" w:rsidRPr="00095948">
        <w:rPr>
          <w:rFonts w:cs="Times New Roman"/>
          <w:szCs w:val="24"/>
          <w:lang w:val="fr-FR"/>
        </w:rPr>
        <w:t xml:space="preserve"> sud poništio je odredbu Zakonika</w:t>
      </w:r>
      <w:r w:rsidRPr="00095948">
        <w:rPr>
          <w:rFonts w:cs="Times New Roman"/>
          <w:szCs w:val="24"/>
          <w:lang w:val="fr-FR"/>
        </w:rPr>
        <w:t xml:space="preserve"> o k</w:t>
      </w:r>
      <w:r w:rsidR="001266FA" w:rsidRPr="00095948">
        <w:rPr>
          <w:rFonts w:cs="Times New Roman"/>
          <w:szCs w:val="24"/>
          <w:lang w:val="fr-FR"/>
        </w:rPr>
        <w:t>rivičnom postupku koja je prim</w:t>
      </w:r>
      <w:r w:rsidR="00C44A28" w:rsidRPr="00095948">
        <w:rPr>
          <w:rFonts w:cs="Times New Roman"/>
          <w:szCs w:val="24"/>
          <w:lang w:val="fr-FR"/>
        </w:rPr>
        <w:t>ij</w:t>
      </w:r>
      <w:r w:rsidR="001266FA" w:rsidRPr="00095948">
        <w:rPr>
          <w:rFonts w:cs="Times New Roman"/>
          <w:szCs w:val="24"/>
          <w:lang w:val="fr-FR"/>
        </w:rPr>
        <w:t>enjena 2018. godine kako</w:t>
      </w:r>
      <w:r w:rsidR="00B5606F" w:rsidRPr="00095948">
        <w:rPr>
          <w:rFonts w:cs="Times New Roman"/>
          <w:szCs w:val="24"/>
          <w:lang w:val="fr-FR"/>
        </w:rPr>
        <w:t xml:space="preserve"> </w:t>
      </w:r>
      <w:r w:rsidR="001266FA" w:rsidRPr="00095948">
        <w:rPr>
          <w:rFonts w:cs="Times New Roman"/>
          <w:szCs w:val="24"/>
          <w:lang w:val="fr-FR"/>
        </w:rPr>
        <w:t>bi se bez prethodnog ukidanja imuniteta izdao nalog</w:t>
      </w:r>
      <w:r w:rsidRPr="00095948">
        <w:rPr>
          <w:rFonts w:cs="Times New Roman"/>
          <w:szCs w:val="24"/>
          <w:lang w:val="fr-FR"/>
        </w:rPr>
        <w:t xml:space="preserve"> za pritvor dvojici poslanika. U prvostepenom postupku, u maju 2019. godine, dvojica čelnika najvećeg opozicionog saveza osuđena su na p</w:t>
      </w:r>
      <w:r w:rsidR="00C44A28" w:rsidRPr="00095948">
        <w:rPr>
          <w:rFonts w:cs="Times New Roman"/>
          <w:szCs w:val="24"/>
          <w:lang w:val="fr-FR"/>
        </w:rPr>
        <w:t>o pet godina zatvora u slučaju „državni udar“</w:t>
      </w:r>
      <w:r w:rsidR="001266FA" w:rsidRPr="00095948">
        <w:rPr>
          <w:rFonts w:cs="Times New Roman"/>
          <w:szCs w:val="24"/>
          <w:lang w:val="fr-FR"/>
        </w:rPr>
        <w:t>, a pošto im je ukinut imunitet</w:t>
      </w:r>
      <w:r w:rsidRPr="00095948">
        <w:rPr>
          <w:rFonts w:cs="Times New Roman"/>
          <w:szCs w:val="24"/>
          <w:lang w:val="fr-FR"/>
        </w:rPr>
        <w:t xml:space="preserve">. U oktobru 2019. godine jedan od lidera </w:t>
      </w:r>
      <w:r w:rsidR="001266FA" w:rsidRPr="00095948">
        <w:rPr>
          <w:rFonts w:cs="Times New Roman"/>
          <w:szCs w:val="24"/>
          <w:lang w:val="fr-FR"/>
        </w:rPr>
        <w:t>opozicije osuđen je na četiri m</w:t>
      </w:r>
      <w:r w:rsidR="00C44A28" w:rsidRPr="00095948">
        <w:rPr>
          <w:rFonts w:cs="Times New Roman"/>
          <w:szCs w:val="24"/>
          <w:lang w:val="fr-FR"/>
        </w:rPr>
        <w:t>j</w:t>
      </w:r>
      <w:r w:rsidRPr="00095948">
        <w:rPr>
          <w:rFonts w:cs="Times New Roman"/>
          <w:szCs w:val="24"/>
          <w:lang w:val="fr-FR"/>
        </w:rPr>
        <w:t xml:space="preserve">eseca kućnog pritvora zbog nasilničkog ponašanja u </w:t>
      </w:r>
      <w:r w:rsidR="001266FA" w:rsidRPr="00095948">
        <w:rPr>
          <w:rFonts w:cs="Times New Roman"/>
          <w:szCs w:val="24"/>
          <w:lang w:val="fr-FR"/>
        </w:rPr>
        <w:t>Skupštini</w:t>
      </w:r>
      <w:r w:rsidRPr="00095948">
        <w:rPr>
          <w:rFonts w:cs="Times New Roman"/>
          <w:szCs w:val="24"/>
          <w:lang w:val="fr-FR"/>
        </w:rPr>
        <w:t>. Na sudu je trenutno u toku krivični postupak protiv opozicionog poslanika iz istog saveza.</w:t>
      </w:r>
    </w:p>
    <w:p w:rsidR="005F62F4" w:rsidRPr="00095948" w:rsidRDefault="001266FA" w:rsidP="00EC1790">
      <w:pPr>
        <w:spacing w:after="120" w:line="240" w:lineRule="auto"/>
        <w:jc w:val="both"/>
        <w:rPr>
          <w:rFonts w:cs="Times New Roman"/>
          <w:szCs w:val="24"/>
          <w:lang w:val="fr-FR"/>
        </w:rPr>
      </w:pPr>
      <w:r w:rsidRPr="00095948">
        <w:rPr>
          <w:rFonts w:cs="Times New Roman"/>
          <w:szCs w:val="24"/>
          <w:lang w:val="fr-FR"/>
        </w:rPr>
        <w:t>Broj žena poslanika porastao je na</w:t>
      </w:r>
      <w:r w:rsidR="006F16C6" w:rsidRPr="00095948">
        <w:rPr>
          <w:rFonts w:cs="Times New Roman"/>
          <w:szCs w:val="24"/>
          <w:lang w:val="fr-FR"/>
        </w:rPr>
        <w:t xml:space="preserve"> 2</w:t>
      </w:r>
      <w:r w:rsidR="00C44A28" w:rsidRPr="00095948">
        <w:rPr>
          <w:rFonts w:cs="Times New Roman"/>
          <w:szCs w:val="24"/>
          <w:lang w:val="fr-FR"/>
        </w:rPr>
        <w:t>4 (29,</w:t>
      </w:r>
      <w:r w:rsidRPr="00095948">
        <w:rPr>
          <w:rFonts w:cs="Times New Roman"/>
          <w:szCs w:val="24"/>
          <w:lang w:val="fr-FR"/>
        </w:rPr>
        <w:t>63%) s</w:t>
      </w:r>
      <w:r w:rsidR="00C44A28" w:rsidRPr="00095948">
        <w:rPr>
          <w:rFonts w:cs="Times New Roman"/>
          <w:szCs w:val="24"/>
          <w:lang w:val="fr-FR"/>
        </w:rPr>
        <w:t>a 19 (23,</w:t>
      </w:r>
      <w:r w:rsidRPr="00095948">
        <w:rPr>
          <w:rFonts w:cs="Times New Roman"/>
          <w:szCs w:val="24"/>
          <w:lang w:val="fr-FR"/>
        </w:rPr>
        <w:t>5%) koliko je iznosio u</w:t>
      </w:r>
      <w:r w:rsidR="006F16C6" w:rsidRPr="00095948">
        <w:rPr>
          <w:rFonts w:cs="Times New Roman"/>
          <w:szCs w:val="24"/>
          <w:lang w:val="fr-FR"/>
        </w:rPr>
        <w:t xml:space="preserve"> 2018</w:t>
      </w:r>
      <w:r w:rsidRPr="00095948">
        <w:rPr>
          <w:rFonts w:cs="Times New Roman"/>
          <w:szCs w:val="24"/>
          <w:lang w:val="fr-FR"/>
        </w:rPr>
        <w:t>. godini</w:t>
      </w:r>
      <w:r w:rsidR="00BF1316" w:rsidRPr="00095948">
        <w:rPr>
          <w:rFonts w:cs="Times New Roman"/>
          <w:szCs w:val="24"/>
          <w:lang w:val="fr-FR"/>
        </w:rPr>
        <w:t>,</w:t>
      </w:r>
      <w:r w:rsidRPr="00095948">
        <w:rPr>
          <w:rFonts w:cs="Times New Roman"/>
          <w:szCs w:val="24"/>
          <w:lang w:val="fr-FR"/>
        </w:rPr>
        <w:t xml:space="preserve"> ali je posle izbora</w:t>
      </w:r>
      <w:r w:rsidR="00BF1316" w:rsidRPr="00095948">
        <w:rPr>
          <w:rFonts w:cs="Times New Roman"/>
          <w:szCs w:val="24"/>
          <w:lang w:val="fr-FR"/>
        </w:rPr>
        <w:t xml:space="preserve"> 2020</w:t>
      </w:r>
      <w:r w:rsidRPr="00095948">
        <w:rPr>
          <w:rFonts w:cs="Times New Roman"/>
          <w:szCs w:val="24"/>
          <w:lang w:val="fr-FR"/>
        </w:rPr>
        <w:t>. godine opao na</w:t>
      </w:r>
      <w:r w:rsidR="00BF1316" w:rsidRPr="00095948">
        <w:rPr>
          <w:rFonts w:cs="Times New Roman"/>
          <w:szCs w:val="24"/>
          <w:lang w:val="fr-FR"/>
        </w:rPr>
        <w:t xml:space="preserve"> 18</w:t>
      </w:r>
      <w:r w:rsidRPr="00095948">
        <w:rPr>
          <w:rFonts w:cs="Times New Roman"/>
          <w:szCs w:val="24"/>
          <w:lang w:val="fr-FR"/>
        </w:rPr>
        <w:t xml:space="preserve"> poslanica</w:t>
      </w:r>
      <w:r w:rsidR="00BF1316" w:rsidRPr="00095948">
        <w:rPr>
          <w:rFonts w:cs="Times New Roman"/>
          <w:szCs w:val="24"/>
          <w:lang w:val="fr-FR"/>
        </w:rPr>
        <w:t>.</w:t>
      </w:r>
      <w:r w:rsidR="00B5606F" w:rsidRPr="00095948">
        <w:rPr>
          <w:rFonts w:cs="Times New Roman"/>
          <w:szCs w:val="24"/>
          <w:lang w:val="fr-FR"/>
        </w:rPr>
        <w:t xml:space="preserve"> </w:t>
      </w:r>
      <w:r w:rsidR="003672B4" w:rsidRPr="00095948">
        <w:rPr>
          <w:rFonts w:cs="Times New Roman"/>
          <w:szCs w:val="24"/>
          <w:lang w:val="fr-FR"/>
        </w:rPr>
        <w:t>Žene su još uv</w:t>
      </w:r>
      <w:r w:rsidR="00C44A28" w:rsidRPr="00095948">
        <w:rPr>
          <w:rFonts w:cs="Times New Roman"/>
          <w:szCs w:val="24"/>
          <w:lang w:val="fr-FR"/>
        </w:rPr>
        <w:t>ij</w:t>
      </w:r>
      <w:r w:rsidR="003672B4" w:rsidRPr="00095948">
        <w:rPr>
          <w:rFonts w:cs="Times New Roman"/>
          <w:szCs w:val="24"/>
          <w:lang w:val="fr-FR"/>
        </w:rPr>
        <w:t>ek nedovo</w:t>
      </w:r>
      <w:r w:rsidRPr="00095948">
        <w:rPr>
          <w:rFonts w:cs="Times New Roman"/>
          <w:szCs w:val="24"/>
          <w:lang w:val="fr-FR"/>
        </w:rPr>
        <w:t xml:space="preserve">ljno zastupljene na visokim </w:t>
      </w:r>
      <w:r w:rsidR="003672B4" w:rsidRPr="00095948">
        <w:rPr>
          <w:rFonts w:cs="Times New Roman"/>
          <w:szCs w:val="24"/>
          <w:lang w:val="fr-FR"/>
        </w:rPr>
        <w:t>funkcijama</w:t>
      </w:r>
      <w:r w:rsidRPr="00095948">
        <w:rPr>
          <w:rFonts w:cs="Times New Roman"/>
          <w:szCs w:val="24"/>
          <w:lang w:val="fr-FR"/>
        </w:rPr>
        <w:t xml:space="preserve"> u Sk</w:t>
      </w:r>
      <w:r w:rsidR="003672B4" w:rsidRPr="00095948">
        <w:rPr>
          <w:rFonts w:cs="Times New Roman"/>
          <w:szCs w:val="24"/>
          <w:lang w:val="fr-FR"/>
        </w:rPr>
        <w:t>u</w:t>
      </w:r>
      <w:r w:rsidRPr="00095948">
        <w:rPr>
          <w:rFonts w:cs="Times New Roman"/>
          <w:szCs w:val="24"/>
          <w:lang w:val="fr-FR"/>
        </w:rPr>
        <w:t>pštini i čelnim m</w:t>
      </w:r>
      <w:r w:rsidR="00C44A28" w:rsidRPr="00095948">
        <w:rPr>
          <w:rFonts w:cs="Times New Roman"/>
          <w:szCs w:val="24"/>
          <w:lang w:val="fr-FR"/>
        </w:rPr>
        <w:t>j</w:t>
      </w:r>
      <w:r w:rsidRPr="00095948">
        <w:rPr>
          <w:rFonts w:cs="Times New Roman"/>
          <w:szCs w:val="24"/>
          <w:lang w:val="fr-FR"/>
        </w:rPr>
        <w:t>estima u strankama</w:t>
      </w:r>
      <w:r w:rsidR="00BF1316" w:rsidRPr="00095948">
        <w:rPr>
          <w:rFonts w:cs="Times New Roman"/>
          <w:szCs w:val="24"/>
          <w:lang w:val="fr-FR"/>
        </w:rPr>
        <w:t>.</w:t>
      </w:r>
    </w:p>
    <w:p w:rsidR="005F62F4" w:rsidRPr="00095948" w:rsidRDefault="00F91F61" w:rsidP="00EC1790">
      <w:pPr>
        <w:spacing w:after="120" w:line="240" w:lineRule="auto"/>
        <w:jc w:val="both"/>
        <w:rPr>
          <w:rFonts w:cs="Times New Roman"/>
          <w:szCs w:val="24"/>
          <w:lang w:val="fr-FR"/>
        </w:rPr>
      </w:pPr>
      <w:r w:rsidRPr="00095948">
        <w:rPr>
          <w:rFonts w:cs="Times New Roman"/>
          <w:szCs w:val="24"/>
          <w:lang w:val="fr-FR"/>
        </w:rPr>
        <w:t>Ženska politička mreža, koja se sastoji od poslanica iz 16 političkih partija</w:t>
      </w:r>
      <w:r w:rsidR="006F16C6" w:rsidRPr="00095948">
        <w:rPr>
          <w:rFonts w:cs="Times New Roman"/>
          <w:szCs w:val="24"/>
          <w:lang w:val="fr-FR"/>
        </w:rPr>
        <w:t>, pre</w:t>
      </w:r>
      <w:r w:rsidRPr="00095948">
        <w:rPr>
          <w:rFonts w:cs="Times New Roman"/>
          <w:szCs w:val="24"/>
          <w:lang w:val="fr-FR"/>
        </w:rPr>
        <w:t>zentovala je amandmane usm</w:t>
      </w:r>
      <w:r w:rsidR="00C44A28" w:rsidRPr="00095948">
        <w:rPr>
          <w:rFonts w:cs="Times New Roman"/>
          <w:szCs w:val="24"/>
          <w:lang w:val="fr-FR"/>
        </w:rPr>
        <w:t>j</w:t>
      </w:r>
      <w:r w:rsidRPr="00095948">
        <w:rPr>
          <w:rFonts w:cs="Times New Roman"/>
          <w:szCs w:val="24"/>
          <w:lang w:val="fr-FR"/>
        </w:rPr>
        <w:t>erene na jačanje političkog učešća žena i ekonomsko osnaživanje</w:t>
      </w:r>
      <w:r w:rsidR="003672B4" w:rsidRPr="00095948">
        <w:rPr>
          <w:rFonts w:cs="Times New Roman"/>
          <w:szCs w:val="24"/>
          <w:lang w:val="fr-FR"/>
        </w:rPr>
        <w:t>,</w:t>
      </w:r>
      <w:r w:rsidRPr="00095948">
        <w:rPr>
          <w:rFonts w:cs="Times New Roman"/>
          <w:szCs w:val="24"/>
          <w:lang w:val="fr-FR"/>
        </w:rPr>
        <w:t xml:space="preserve"> te sada u </w:t>
      </w:r>
      <w:r w:rsidRPr="00095948">
        <w:rPr>
          <w:rFonts w:cs="Times New Roman"/>
          <w:szCs w:val="24"/>
          <w:lang w:val="fr-FR"/>
        </w:rPr>
        <w:lastRenderedPageBreak/>
        <w:t>sklad</w:t>
      </w:r>
      <w:r w:rsidR="00B5606F" w:rsidRPr="00095948">
        <w:rPr>
          <w:rFonts w:cs="Times New Roman"/>
          <w:szCs w:val="24"/>
          <w:lang w:val="fr-FR"/>
        </w:rPr>
        <w:t>u s</w:t>
      </w:r>
      <w:r w:rsidRPr="00095948">
        <w:rPr>
          <w:rFonts w:cs="Times New Roman"/>
          <w:szCs w:val="24"/>
          <w:lang w:val="fr-FR"/>
        </w:rPr>
        <w:t xml:space="preserve"> njihovim predlogom, novi </w:t>
      </w:r>
      <w:r w:rsidR="001452E2">
        <w:rPr>
          <w:rFonts w:cs="Times New Roman"/>
          <w:szCs w:val="24"/>
          <w:lang w:val="fr-FR"/>
        </w:rPr>
        <w:t>Z</w:t>
      </w:r>
      <w:r w:rsidR="001452E2" w:rsidRPr="00095948">
        <w:rPr>
          <w:rFonts w:cs="Times New Roman"/>
          <w:szCs w:val="24"/>
          <w:lang w:val="fr-FR"/>
        </w:rPr>
        <w:t xml:space="preserve">akon </w:t>
      </w:r>
      <w:r w:rsidRPr="00095948">
        <w:rPr>
          <w:rFonts w:cs="Times New Roman"/>
          <w:szCs w:val="24"/>
          <w:lang w:val="fr-FR"/>
        </w:rPr>
        <w:t>o finansiranju političkih subjekata i izbornih kampanja predviđa da</w:t>
      </w:r>
      <w:r w:rsidR="006F16C6" w:rsidRPr="00095948">
        <w:rPr>
          <w:rFonts w:cs="Times New Roman"/>
          <w:szCs w:val="24"/>
          <w:lang w:val="fr-FR"/>
        </w:rPr>
        <w:t xml:space="preserve"> 20% </w:t>
      </w:r>
      <w:r w:rsidRPr="00095948">
        <w:rPr>
          <w:rFonts w:cs="Times New Roman"/>
          <w:szCs w:val="24"/>
          <w:lang w:val="fr-FR"/>
        </w:rPr>
        <w:t>budžetskih sredstava izdvojenih za redovan rad stranaka</w:t>
      </w:r>
      <w:r w:rsidR="003672B4" w:rsidRPr="00095948">
        <w:rPr>
          <w:rFonts w:cs="Times New Roman"/>
          <w:szCs w:val="24"/>
          <w:lang w:val="fr-FR"/>
        </w:rPr>
        <w:t xml:space="preserve"> u Skupštini</w:t>
      </w:r>
      <w:r w:rsidRPr="00095948">
        <w:rPr>
          <w:rFonts w:cs="Times New Roman"/>
          <w:szCs w:val="24"/>
          <w:lang w:val="fr-FR"/>
        </w:rPr>
        <w:t xml:space="preserve"> bude raspoređen srazm</w:t>
      </w:r>
      <w:r w:rsidR="00C44A28" w:rsidRPr="00095948">
        <w:rPr>
          <w:rFonts w:cs="Times New Roman"/>
          <w:szCs w:val="24"/>
          <w:lang w:val="fr-FR"/>
        </w:rPr>
        <w:t>j</w:t>
      </w:r>
      <w:r w:rsidRPr="00095948">
        <w:rPr>
          <w:rFonts w:cs="Times New Roman"/>
          <w:szCs w:val="24"/>
          <w:lang w:val="fr-FR"/>
        </w:rPr>
        <w:t>erno broju izabranih pre</w:t>
      </w:r>
      <w:r w:rsidR="003672B4" w:rsidRPr="00095948">
        <w:rPr>
          <w:rFonts w:cs="Times New Roman"/>
          <w:szCs w:val="24"/>
          <w:lang w:val="fr-FR"/>
        </w:rPr>
        <w:t>d</w:t>
      </w:r>
      <w:r w:rsidRPr="00095948">
        <w:rPr>
          <w:rFonts w:cs="Times New Roman"/>
          <w:szCs w:val="24"/>
          <w:lang w:val="fr-FR"/>
        </w:rPr>
        <w:t>stavnika manje zastupljenog pola</w:t>
      </w:r>
      <w:r w:rsidR="006F16C6" w:rsidRPr="00095948">
        <w:rPr>
          <w:rFonts w:cs="Times New Roman"/>
          <w:szCs w:val="24"/>
          <w:lang w:val="fr-FR"/>
        </w:rPr>
        <w:t xml:space="preserve">. </w:t>
      </w:r>
    </w:p>
    <w:p w:rsidR="00BE593F" w:rsidRPr="00095948" w:rsidRDefault="00F91F61" w:rsidP="00EC1790">
      <w:pPr>
        <w:spacing w:after="120" w:line="240" w:lineRule="auto"/>
        <w:jc w:val="both"/>
        <w:rPr>
          <w:rFonts w:cs="Times New Roman"/>
          <w:szCs w:val="24"/>
          <w:lang w:val="fr-FR"/>
        </w:rPr>
      </w:pPr>
      <w:r w:rsidRPr="00095948">
        <w:rPr>
          <w:rFonts w:cs="Times New Roman"/>
          <w:szCs w:val="24"/>
          <w:lang w:val="fr-FR"/>
        </w:rPr>
        <w:t>Nedo</w:t>
      </w:r>
      <w:r w:rsidR="003672B4" w:rsidRPr="00095948">
        <w:rPr>
          <w:rFonts w:cs="Times New Roman"/>
          <w:szCs w:val="24"/>
          <w:lang w:val="fr-FR"/>
        </w:rPr>
        <w:t>staci u pravnom okviru koji reguliše</w:t>
      </w:r>
      <w:r w:rsidR="00B5606F" w:rsidRPr="00095948">
        <w:rPr>
          <w:rFonts w:cs="Times New Roman"/>
          <w:szCs w:val="24"/>
          <w:lang w:val="fr-FR"/>
        </w:rPr>
        <w:t xml:space="preserve"> </w:t>
      </w:r>
      <w:r w:rsidRPr="00095948">
        <w:rPr>
          <w:rFonts w:cs="Times New Roman"/>
          <w:b/>
          <w:szCs w:val="24"/>
          <w:lang w:val="fr-FR"/>
        </w:rPr>
        <w:t>političke partije</w:t>
      </w:r>
      <w:r w:rsidRPr="00095948">
        <w:rPr>
          <w:rFonts w:cs="Times New Roman"/>
          <w:szCs w:val="24"/>
          <w:lang w:val="fr-FR"/>
        </w:rPr>
        <w:t xml:space="preserve"> i njihovo</w:t>
      </w:r>
      <w:r w:rsidR="003672B4" w:rsidRPr="00095948">
        <w:rPr>
          <w:rFonts w:cs="Times New Roman"/>
          <w:szCs w:val="24"/>
          <w:lang w:val="fr-FR"/>
        </w:rPr>
        <w:t xml:space="preserve"> finansiranje, uključujući i nedostatke</w:t>
      </w:r>
      <w:r w:rsidRPr="00095948">
        <w:rPr>
          <w:rFonts w:cs="Times New Roman"/>
          <w:szCs w:val="24"/>
          <w:lang w:val="fr-FR"/>
        </w:rPr>
        <w:t xml:space="preserve"> koje je utvrdio OEBS/ODIHR</w:t>
      </w:r>
      <w:r w:rsidR="003672B4" w:rsidRPr="00095948">
        <w:rPr>
          <w:rFonts w:cs="Times New Roman"/>
          <w:szCs w:val="24"/>
          <w:lang w:val="fr-FR"/>
        </w:rPr>
        <w:t>,</w:t>
      </w:r>
      <w:r w:rsidRPr="00095948">
        <w:rPr>
          <w:rFonts w:cs="Times New Roman"/>
          <w:szCs w:val="24"/>
          <w:lang w:val="fr-FR"/>
        </w:rPr>
        <w:t xml:space="preserve"> nastavljaju </w:t>
      </w:r>
      <w:r w:rsidR="00BE593F" w:rsidRPr="00095948">
        <w:rPr>
          <w:rFonts w:cs="Times New Roman"/>
          <w:szCs w:val="24"/>
          <w:lang w:val="fr-FR"/>
        </w:rPr>
        <w:t xml:space="preserve">da </w:t>
      </w:r>
      <w:r w:rsidRPr="00095948">
        <w:rPr>
          <w:rFonts w:cs="Times New Roman"/>
          <w:szCs w:val="24"/>
          <w:lang w:val="fr-FR"/>
        </w:rPr>
        <w:t>postoje čak i posle usvajanja Zakona o finansiranju političkih subjekata i izbornih kampanja u decembru</w:t>
      </w:r>
      <w:r w:rsidR="006F16C6" w:rsidRPr="00095948">
        <w:rPr>
          <w:rFonts w:cs="Times New Roman"/>
          <w:szCs w:val="24"/>
          <w:lang w:val="fr-FR"/>
        </w:rPr>
        <w:t xml:space="preserve"> 2019</w:t>
      </w:r>
      <w:r w:rsidRPr="00095948">
        <w:rPr>
          <w:rFonts w:cs="Times New Roman"/>
          <w:szCs w:val="24"/>
          <w:lang w:val="fr-FR"/>
        </w:rPr>
        <w:t>. godine i njegovih naknadnih izm</w:t>
      </w:r>
      <w:r w:rsidR="00C44A28" w:rsidRPr="00095948">
        <w:rPr>
          <w:rFonts w:cs="Times New Roman"/>
          <w:szCs w:val="24"/>
          <w:lang w:val="fr-FR"/>
        </w:rPr>
        <w:t>j</w:t>
      </w:r>
      <w:r w:rsidRPr="00095948">
        <w:rPr>
          <w:rFonts w:cs="Times New Roman"/>
          <w:szCs w:val="24"/>
          <w:lang w:val="fr-FR"/>
        </w:rPr>
        <w:t>ena i dopuna u apr</w:t>
      </w:r>
      <w:r w:rsidR="00C44A28" w:rsidRPr="00095948">
        <w:rPr>
          <w:rFonts w:cs="Times New Roman"/>
          <w:szCs w:val="24"/>
          <w:lang w:val="fr-FR"/>
        </w:rPr>
        <w:t>i</w:t>
      </w:r>
      <w:r w:rsidRPr="00095948">
        <w:rPr>
          <w:rFonts w:cs="Times New Roman"/>
          <w:szCs w:val="24"/>
          <w:lang w:val="fr-FR"/>
        </w:rPr>
        <w:t>lu</w:t>
      </w:r>
      <w:r w:rsidR="006F16C6" w:rsidRPr="00095948">
        <w:rPr>
          <w:rFonts w:cs="Times New Roman"/>
          <w:szCs w:val="24"/>
          <w:lang w:val="fr-FR"/>
        </w:rPr>
        <w:t xml:space="preserve"> 2020.</w:t>
      </w:r>
      <w:r w:rsidRPr="00095948">
        <w:rPr>
          <w:rFonts w:cs="Times New Roman"/>
          <w:szCs w:val="24"/>
          <w:lang w:val="fr-FR"/>
        </w:rPr>
        <w:t xml:space="preserve"> godine. Ovo potonje</w:t>
      </w:r>
      <w:r w:rsidR="00BE593F" w:rsidRPr="00095948">
        <w:rPr>
          <w:rFonts w:cs="Times New Roman"/>
          <w:szCs w:val="24"/>
          <w:lang w:val="fr-FR"/>
        </w:rPr>
        <w:t xml:space="preserve"> uzima u obzir socijalna davanja u </w:t>
      </w:r>
      <w:r w:rsidR="00093838" w:rsidRPr="00095948">
        <w:rPr>
          <w:rFonts w:cs="Times New Roman"/>
          <w:szCs w:val="24"/>
          <w:lang w:val="fr-FR"/>
        </w:rPr>
        <w:t xml:space="preserve">izbornoj </w:t>
      </w:r>
      <w:r w:rsidR="00BE593F" w:rsidRPr="00095948">
        <w:rPr>
          <w:rFonts w:cs="Times New Roman"/>
          <w:szCs w:val="24"/>
          <w:lang w:val="fr-FR"/>
        </w:rPr>
        <w:t>godini u slučaj</w:t>
      </w:r>
      <w:r w:rsidR="00093838" w:rsidRPr="00095948">
        <w:rPr>
          <w:rFonts w:cs="Times New Roman"/>
          <w:szCs w:val="24"/>
          <w:lang w:val="fr-FR"/>
        </w:rPr>
        <w:t>u rata, vanrednog stanja, epidem</w:t>
      </w:r>
      <w:r w:rsidR="00BE593F" w:rsidRPr="00095948">
        <w:rPr>
          <w:rFonts w:cs="Times New Roman"/>
          <w:szCs w:val="24"/>
          <w:lang w:val="fr-FR"/>
        </w:rPr>
        <w:t>ije ili pandemije zaraznih bolesti</w:t>
      </w:r>
      <w:r w:rsidR="006F16C6" w:rsidRPr="00095948">
        <w:rPr>
          <w:rFonts w:eastAsia="Calibri" w:cs="Times New Roman"/>
          <w:szCs w:val="24"/>
          <w:lang w:val="fr-FR"/>
        </w:rPr>
        <w:t>.</w:t>
      </w:r>
      <w:r w:rsidR="00B5606F" w:rsidRPr="00095948">
        <w:rPr>
          <w:rFonts w:eastAsia="Calibri" w:cs="Times New Roman"/>
          <w:szCs w:val="24"/>
          <w:lang w:val="fr-FR"/>
        </w:rPr>
        <w:t xml:space="preserve"> </w:t>
      </w:r>
      <w:r w:rsidR="00BE593F" w:rsidRPr="00095948">
        <w:rPr>
          <w:rFonts w:cs="Times New Roman"/>
          <w:szCs w:val="24"/>
          <w:lang w:val="fr-FR"/>
        </w:rPr>
        <w:t>Nivo finansiranja političkih stranaka iz budžeta i dalje je znatno iznad evropskog pros</w:t>
      </w:r>
      <w:r w:rsidR="00C44A28" w:rsidRPr="00095948">
        <w:rPr>
          <w:rFonts w:cs="Times New Roman"/>
          <w:szCs w:val="24"/>
          <w:lang w:val="fr-FR"/>
        </w:rPr>
        <w:t>j</w:t>
      </w:r>
      <w:r w:rsidR="00BE593F" w:rsidRPr="00095948">
        <w:rPr>
          <w:rFonts w:cs="Times New Roman"/>
          <w:szCs w:val="24"/>
          <w:lang w:val="fr-FR"/>
        </w:rPr>
        <w:t>eka. Povećanje limita za privatne donacije do 5.000 EUR za fizička lica i 20.000 EUR za pravna lica zaht</w:t>
      </w:r>
      <w:r w:rsidR="00C44A28" w:rsidRPr="00095948">
        <w:rPr>
          <w:rFonts w:cs="Times New Roman"/>
          <w:szCs w:val="24"/>
          <w:lang w:val="fr-FR"/>
        </w:rPr>
        <w:t>ij</w:t>
      </w:r>
      <w:r w:rsidR="00BE593F" w:rsidRPr="00095948">
        <w:rPr>
          <w:rFonts w:cs="Times New Roman"/>
          <w:szCs w:val="24"/>
          <w:lang w:val="fr-FR"/>
        </w:rPr>
        <w:t xml:space="preserve">eva efikasniju kontrolu finansiranja političkih partija iz privatnih izvora. Agencija </w:t>
      </w:r>
      <w:r w:rsidR="001452E2">
        <w:rPr>
          <w:rFonts w:cs="Times New Roman"/>
          <w:szCs w:val="24"/>
          <w:lang w:val="fr-FR"/>
        </w:rPr>
        <w:t xml:space="preserve">sprječavanje </w:t>
      </w:r>
      <w:r w:rsidR="00BE593F" w:rsidRPr="00095948">
        <w:rPr>
          <w:rFonts w:cs="Times New Roman"/>
          <w:szCs w:val="24"/>
          <w:lang w:val="fr-FR"/>
        </w:rPr>
        <w:t>korupcije i DRI prate fina</w:t>
      </w:r>
      <w:r w:rsidR="00B5606F" w:rsidRPr="00095948">
        <w:rPr>
          <w:rFonts w:cs="Times New Roman"/>
          <w:szCs w:val="24"/>
          <w:lang w:val="fr-FR"/>
        </w:rPr>
        <w:t>nsiranje političkih stranaka, s</w:t>
      </w:r>
      <w:r w:rsidR="00BE593F" w:rsidRPr="00095948">
        <w:rPr>
          <w:rFonts w:cs="Times New Roman"/>
          <w:szCs w:val="24"/>
          <w:lang w:val="fr-FR"/>
        </w:rPr>
        <w:t xml:space="preserve"> ograničenim rezultatima. Skupštinski nadzor u toj oblasti otežan je odbijanjem</w:t>
      </w:r>
      <w:r w:rsidR="00050BA4" w:rsidRPr="00095948">
        <w:rPr>
          <w:rFonts w:cs="Times New Roman"/>
          <w:szCs w:val="24"/>
          <w:lang w:val="fr-FR"/>
        </w:rPr>
        <w:t xml:space="preserve"> tužilaštva da podnese izv</w:t>
      </w:r>
      <w:r w:rsidR="00C44A28" w:rsidRPr="00095948">
        <w:rPr>
          <w:rFonts w:cs="Times New Roman"/>
          <w:szCs w:val="24"/>
          <w:lang w:val="fr-FR"/>
        </w:rPr>
        <w:t>j</w:t>
      </w:r>
      <w:r w:rsidR="00BE593F" w:rsidRPr="00095948">
        <w:rPr>
          <w:rFonts w:cs="Times New Roman"/>
          <w:szCs w:val="24"/>
          <w:lang w:val="fr-FR"/>
        </w:rPr>
        <w:t xml:space="preserve">eštaj skupštinskom odboru za borbu protiv korupcije i prisustvuje </w:t>
      </w:r>
      <w:r w:rsidR="00050BA4" w:rsidRPr="00095948">
        <w:rPr>
          <w:rFonts w:cs="Times New Roman"/>
          <w:szCs w:val="24"/>
          <w:lang w:val="fr-FR"/>
        </w:rPr>
        <w:t>na</w:t>
      </w:r>
      <w:r w:rsidR="00BE593F" w:rsidRPr="00095948">
        <w:rPr>
          <w:rFonts w:cs="Times New Roman"/>
          <w:szCs w:val="24"/>
          <w:lang w:val="fr-FR"/>
        </w:rPr>
        <w:t xml:space="preserve"> specijalnoj s</w:t>
      </w:r>
      <w:r w:rsidR="00620E1E" w:rsidRPr="00095948">
        <w:rPr>
          <w:rFonts w:cs="Times New Roman"/>
          <w:szCs w:val="24"/>
          <w:lang w:val="fr-FR"/>
        </w:rPr>
        <w:t>jednici o „</w:t>
      </w:r>
      <w:r w:rsidR="009A2018" w:rsidRPr="00095948">
        <w:rPr>
          <w:rFonts w:cs="Times New Roman"/>
          <w:szCs w:val="24"/>
          <w:lang w:val="fr-FR"/>
        </w:rPr>
        <w:t xml:space="preserve">aferi </w:t>
      </w:r>
      <w:r w:rsidR="001452E2">
        <w:rPr>
          <w:rFonts w:cs="Times New Roman"/>
          <w:szCs w:val="24"/>
          <w:lang w:val="fr-FR"/>
        </w:rPr>
        <w:t>K</w:t>
      </w:r>
      <w:r w:rsidR="001452E2" w:rsidRPr="00095948">
        <w:rPr>
          <w:rFonts w:cs="Times New Roman"/>
          <w:szCs w:val="24"/>
          <w:lang w:val="fr-FR"/>
        </w:rPr>
        <w:t>overat</w:t>
      </w:r>
      <w:r w:rsidR="009A2018" w:rsidRPr="00095948">
        <w:rPr>
          <w:rFonts w:cs="Times New Roman"/>
          <w:szCs w:val="24"/>
          <w:lang w:val="fr-FR"/>
        </w:rPr>
        <w:t>“.</w:t>
      </w:r>
    </w:p>
    <w:p w:rsidR="00751D6A" w:rsidRPr="00095948" w:rsidRDefault="00BE593F" w:rsidP="00EC1790">
      <w:pPr>
        <w:keepNext/>
        <w:spacing w:after="120" w:line="240" w:lineRule="auto"/>
        <w:jc w:val="both"/>
        <w:rPr>
          <w:rFonts w:cs="Times New Roman"/>
          <w:b/>
          <w:bCs/>
          <w:szCs w:val="24"/>
          <w:lang w:val="fr-FR"/>
        </w:rPr>
      </w:pPr>
      <w:r w:rsidRPr="00095948">
        <w:rPr>
          <w:rFonts w:cs="Times New Roman"/>
          <w:b/>
          <w:bCs/>
          <w:szCs w:val="24"/>
          <w:lang w:val="fr-FR"/>
        </w:rPr>
        <w:t>Upravljanje</w:t>
      </w:r>
    </w:p>
    <w:p w:rsidR="00AE693E" w:rsidRPr="00095948" w:rsidRDefault="00AE693E" w:rsidP="00EC1790">
      <w:pPr>
        <w:keepNext/>
        <w:autoSpaceDE w:val="0"/>
        <w:autoSpaceDN w:val="0"/>
        <w:adjustRightInd w:val="0"/>
        <w:spacing w:after="120" w:line="240" w:lineRule="auto"/>
        <w:jc w:val="both"/>
        <w:rPr>
          <w:rFonts w:cs="Times New Roman"/>
          <w:szCs w:val="24"/>
          <w:lang w:val="fr-FR"/>
        </w:rPr>
      </w:pPr>
      <w:r w:rsidRPr="00095948">
        <w:rPr>
          <w:rFonts w:cs="Times New Roman"/>
          <w:szCs w:val="24"/>
          <w:lang w:val="fr-FR"/>
        </w:rPr>
        <w:t>Crna Gora je je nastavila da sprovodi nacionalni program pristupanja Evropskoj uniji. U novembru 2019. godine, kada je premijer preuzeo koordinaciju Ministarstva za održivi razvoj i turizam, broj ministara se smanjio za dva</w:t>
      </w:r>
      <w:r w:rsidR="00050BA4" w:rsidRPr="00095948">
        <w:rPr>
          <w:rFonts w:cs="Times New Roman"/>
          <w:szCs w:val="24"/>
          <w:lang w:val="fr-FR"/>
        </w:rPr>
        <w:t xml:space="preserve"> ministra</w:t>
      </w:r>
      <w:r w:rsidRPr="00095948">
        <w:rPr>
          <w:rFonts w:cs="Times New Roman"/>
          <w:szCs w:val="24"/>
          <w:lang w:val="fr-FR"/>
        </w:rPr>
        <w:t>, na sedamnaest (u okviru čega su samo četiri žene)</w:t>
      </w:r>
      <w:r w:rsidR="006F16C6" w:rsidRPr="00095948">
        <w:rPr>
          <w:rFonts w:cs="Times New Roman"/>
          <w:szCs w:val="24"/>
          <w:lang w:val="fr-FR"/>
        </w:rPr>
        <w:t xml:space="preserve">. </w:t>
      </w:r>
      <w:r w:rsidRPr="00095948">
        <w:rPr>
          <w:rFonts w:cs="Times New Roman"/>
          <w:szCs w:val="24"/>
          <w:lang w:val="fr-FR"/>
        </w:rPr>
        <w:t>Ovo je usl</w:t>
      </w:r>
      <w:r w:rsidR="00C44A28" w:rsidRPr="00095948">
        <w:rPr>
          <w:rFonts w:cs="Times New Roman"/>
          <w:szCs w:val="24"/>
          <w:lang w:val="fr-FR"/>
        </w:rPr>
        <w:t>ij</w:t>
      </w:r>
      <w:r w:rsidRPr="00095948">
        <w:rPr>
          <w:rFonts w:cs="Times New Roman"/>
          <w:szCs w:val="24"/>
          <w:lang w:val="fr-FR"/>
        </w:rPr>
        <w:t>edilo posle ostavke ministra</w:t>
      </w:r>
      <w:r w:rsidR="00050BA4" w:rsidRPr="00095948">
        <w:rPr>
          <w:rFonts w:cs="Times New Roman"/>
          <w:szCs w:val="24"/>
          <w:lang w:val="fr-FR"/>
        </w:rPr>
        <w:t xml:space="preserve"> koja je podn</w:t>
      </w:r>
      <w:r w:rsidR="00C44A28" w:rsidRPr="00095948">
        <w:rPr>
          <w:rFonts w:cs="Times New Roman"/>
          <w:szCs w:val="24"/>
          <w:lang w:val="fr-FR"/>
        </w:rPr>
        <w:t>ij</w:t>
      </w:r>
      <w:r w:rsidR="00050BA4" w:rsidRPr="00095948">
        <w:rPr>
          <w:rFonts w:cs="Times New Roman"/>
          <w:szCs w:val="24"/>
          <w:lang w:val="fr-FR"/>
        </w:rPr>
        <w:t>eta pošto</w:t>
      </w:r>
      <w:r w:rsidRPr="00095948">
        <w:rPr>
          <w:rFonts w:cs="Times New Roman"/>
          <w:szCs w:val="24"/>
          <w:lang w:val="fr-FR"/>
        </w:rPr>
        <w:t xml:space="preserve"> je procur</w:t>
      </w:r>
      <w:r w:rsidR="00C44A28" w:rsidRPr="00095948">
        <w:rPr>
          <w:rFonts w:cs="Times New Roman"/>
          <w:szCs w:val="24"/>
          <w:lang w:val="fr-FR"/>
        </w:rPr>
        <w:t>i</w:t>
      </w:r>
      <w:r w:rsidRPr="00095948">
        <w:rPr>
          <w:rFonts w:cs="Times New Roman"/>
          <w:szCs w:val="24"/>
          <w:lang w:val="fr-FR"/>
        </w:rPr>
        <w:t xml:space="preserve">o video snimak građevinskih inspektora kako od investitora primaju mito. U junu 2019. </w:t>
      </w:r>
      <w:r w:rsidR="00050BA4" w:rsidRPr="00095948">
        <w:rPr>
          <w:rFonts w:cs="Times New Roman"/>
          <w:szCs w:val="24"/>
          <w:lang w:val="fr-FR"/>
        </w:rPr>
        <w:t xml:space="preserve">godine </w:t>
      </w:r>
      <w:r w:rsidRPr="00095948">
        <w:rPr>
          <w:rFonts w:cs="Times New Roman"/>
          <w:szCs w:val="24"/>
          <w:lang w:val="fr-FR"/>
        </w:rPr>
        <w:t>vlada je usvojila odluku o Sav</w:t>
      </w:r>
      <w:r w:rsidR="00C44A28" w:rsidRPr="00095948">
        <w:rPr>
          <w:rFonts w:cs="Times New Roman"/>
          <w:szCs w:val="24"/>
          <w:lang w:val="fr-FR"/>
        </w:rPr>
        <w:t>j</w:t>
      </w:r>
      <w:r w:rsidRPr="00095948">
        <w:rPr>
          <w:rFonts w:cs="Times New Roman"/>
          <w:szCs w:val="24"/>
          <w:lang w:val="fr-FR"/>
        </w:rPr>
        <w:t>etu za vladavinu prava, privremenom vladinom t</w:t>
      </w:r>
      <w:r w:rsidR="00904EDD" w:rsidRPr="00095948">
        <w:rPr>
          <w:rFonts w:cs="Times New Roman"/>
          <w:szCs w:val="24"/>
          <w:lang w:val="fr-FR"/>
        </w:rPr>
        <w:t>ij</w:t>
      </w:r>
      <w:r w:rsidRPr="00095948">
        <w:rPr>
          <w:rFonts w:cs="Times New Roman"/>
          <w:szCs w:val="24"/>
          <w:lang w:val="fr-FR"/>
        </w:rPr>
        <w:t>elu kojim je preds</w:t>
      </w:r>
      <w:r w:rsidR="00904EDD" w:rsidRPr="00095948">
        <w:rPr>
          <w:rFonts w:cs="Times New Roman"/>
          <w:szCs w:val="24"/>
          <w:lang w:val="fr-FR"/>
        </w:rPr>
        <w:t>j</w:t>
      </w:r>
      <w:r w:rsidRPr="00095948">
        <w:rPr>
          <w:rFonts w:cs="Times New Roman"/>
          <w:szCs w:val="24"/>
          <w:lang w:val="fr-FR"/>
        </w:rPr>
        <w:t xml:space="preserve">edavao premijer, a čiji je zadatak bio </w:t>
      </w:r>
      <w:r w:rsidR="00050BA4" w:rsidRPr="00095948">
        <w:rPr>
          <w:rFonts w:cs="Times New Roman"/>
          <w:szCs w:val="24"/>
          <w:lang w:val="fr-FR"/>
        </w:rPr>
        <w:t>da nadgleda ispunjenje</w:t>
      </w:r>
      <w:r w:rsidRPr="00095948">
        <w:rPr>
          <w:rFonts w:cs="Times New Roman"/>
          <w:szCs w:val="24"/>
          <w:lang w:val="fr-FR"/>
        </w:rPr>
        <w:t xml:space="preserve"> obaveza iz poglavlja 23 i 24. Odluka precizira sastav i poslovnik Sav</w:t>
      </w:r>
      <w:r w:rsidR="00904EDD" w:rsidRPr="00095948">
        <w:rPr>
          <w:rFonts w:cs="Times New Roman"/>
          <w:szCs w:val="24"/>
          <w:lang w:val="fr-FR"/>
        </w:rPr>
        <w:t>j</w:t>
      </w:r>
      <w:r w:rsidRPr="00095948">
        <w:rPr>
          <w:rFonts w:cs="Times New Roman"/>
          <w:szCs w:val="24"/>
          <w:lang w:val="fr-FR"/>
        </w:rPr>
        <w:t>eta. Sav</w:t>
      </w:r>
      <w:r w:rsidR="00904EDD" w:rsidRPr="00095948">
        <w:rPr>
          <w:rFonts w:cs="Times New Roman"/>
          <w:szCs w:val="24"/>
          <w:lang w:val="fr-FR"/>
        </w:rPr>
        <w:t>j</w:t>
      </w:r>
      <w:r w:rsidRPr="00095948">
        <w:rPr>
          <w:rFonts w:cs="Times New Roman"/>
          <w:szCs w:val="24"/>
          <w:lang w:val="fr-FR"/>
        </w:rPr>
        <w:t>et je u decembru 2019. i u junu 2020. godine održao s</w:t>
      </w:r>
      <w:r w:rsidR="00904EDD" w:rsidRPr="00095948">
        <w:rPr>
          <w:rFonts w:cs="Times New Roman"/>
          <w:szCs w:val="24"/>
          <w:lang w:val="fr-FR"/>
        </w:rPr>
        <w:t>j</w:t>
      </w:r>
      <w:r w:rsidRPr="00095948">
        <w:rPr>
          <w:rFonts w:cs="Times New Roman"/>
          <w:szCs w:val="24"/>
          <w:lang w:val="fr-FR"/>
        </w:rPr>
        <w:t xml:space="preserve">ednicu posvećenu </w:t>
      </w:r>
      <w:r w:rsidR="00FD5E2B" w:rsidRPr="00095948">
        <w:rPr>
          <w:rFonts w:cs="Times New Roman"/>
          <w:szCs w:val="24"/>
          <w:lang w:val="fr-FR"/>
        </w:rPr>
        <w:t>radnom dokumentu</w:t>
      </w:r>
      <w:r w:rsidR="00B5606F" w:rsidRPr="00095948">
        <w:rPr>
          <w:rFonts w:cs="Times New Roman"/>
          <w:szCs w:val="24"/>
          <w:lang w:val="fr-FR"/>
        </w:rPr>
        <w:t xml:space="preserve">  </w:t>
      </w:r>
      <w:r w:rsidR="00FD5E2B" w:rsidRPr="00095948">
        <w:rPr>
          <w:rFonts w:cs="Times New Roman"/>
          <w:szCs w:val="24"/>
          <w:lang w:val="fr-FR"/>
        </w:rPr>
        <w:t xml:space="preserve">Evropske komisije </w:t>
      </w:r>
      <w:r w:rsidRPr="00095948">
        <w:rPr>
          <w:rFonts w:cs="Times New Roman"/>
          <w:szCs w:val="24"/>
          <w:lang w:val="fr-FR"/>
        </w:rPr>
        <w:t>o vladavini prava. U oktobru 2019. godine vlada je osnovala komisiju za pripremu crnogo</w:t>
      </w:r>
      <w:r w:rsidR="00050BA4" w:rsidRPr="00095948">
        <w:rPr>
          <w:rFonts w:cs="Times New Roman"/>
          <w:szCs w:val="24"/>
          <w:lang w:val="fr-FR"/>
        </w:rPr>
        <w:t>rske verzije pravn</w:t>
      </w:r>
      <w:r w:rsidR="00B5606F" w:rsidRPr="00095948">
        <w:rPr>
          <w:rFonts w:cs="Times New Roman"/>
          <w:szCs w:val="24"/>
          <w:lang w:val="fr-FR"/>
        </w:rPr>
        <w:t>e tekovine</w:t>
      </w:r>
      <w:r w:rsidR="00050BA4" w:rsidRPr="00095948">
        <w:rPr>
          <w:rFonts w:cs="Times New Roman"/>
          <w:szCs w:val="24"/>
          <w:lang w:val="fr-FR"/>
        </w:rPr>
        <w:t xml:space="preserve"> Evropske unije</w:t>
      </w:r>
      <w:r w:rsidRPr="00095948">
        <w:rPr>
          <w:rFonts w:cs="Times New Roman"/>
          <w:szCs w:val="24"/>
          <w:lang w:val="fr-FR"/>
        </w:rPr>
        <w:t>.</w:t>
      </w:r>
    </w:p>
    <w:p w:rsidR="00751D6A" w:rsidRPr="00095948" w:rsidRDefault="00FD5E2B"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Vladina odluka o uspostavljanju Nacionalnog koordinacionog t</w:t>
      </w:r>
      <w:r w:rsidR="00904EDD" w:rsidRPr="00095948">
        <w:rPr>
          <w:rFonts w:eastAsia="Calibri" w:cs="Times New Roman"/>
          <w:szCs w:val="24"/>
          <w:lang w:val="fr-FR"/>
        </w:rPr>
        <w:t>ij</w:t>
      </w:r>
      <w:r w:rsidRPr="00095948">
        <w:rPr>
          <w:rFonts w:eastAsia="Calibri" w:cs="Times New Roman"/>
          <w:szCs w:val="24"/>
          <w:lang w:val="fr-FR"/>
        </w:rPr>
        <w:t>ela za zarazne bolesti u cilju koordinacije nacionalnog odgovora na pandemiju korona virusa naišla je na kritike organizacija civilnog društva, koje su osporile ustavnost i zakonitost njenih odluka, posebno onu o javnom otkrivanju identiteta i adresa osoba u samoizolaciji</w:t>
      </w:r>
      <w:r w:rsidR="006F16C6" w:rsidRPr="00095948">
        <w:rPr>
          <w:rFonts w:eastAsia="Calibri" w:cs="Times New Roman"/>
          <w:szCs w:val="24"/>
          <w:lang w:val="fr-FR"/>
        </w:rPr>
        <w:t>.</w:t>
      </w:r>
    </w:p>
    <w:p w:rsidR="00FD5E2B" w:rsidRPr="00095948" w:rsidRDefault="00FD5E2B" w:rsidP="00EC1790">
      <w:pPr>
        <w:autoSpaceDE w:val="0"/>
        <w:autoSpaceDN w:val="0"/>
        <w:adjustRightInd w:val="0"/>
        <w:spacing w:after="120" w:line="240" w:lineRule="auto"/>
        <w:jc w:val="both"/>
        <w:rPr>
          <w:rFonts w:cs="Times New Roman"/>
          <w:szCs w:val="24"/>
          <w:lang w:val="fr-FR"/>
        </w:rPr>
      </w:pPr>
      <w:r w:rsidRPr="00095948">
        <w:rPr>
          <w:rFonts w:cs="Times New Roman"/>
          <w:szCs w:val="24"/>
          <w:lang w:val="fr-FR"/>
        </w:rPr>
        <w:t xml:space="preserve">Što se tiče </w:t>
      </w:r>
      <w:r w:rsidR="00EF3056" w:rsidRPr="00095948">
        <w:rPr>
          <w:rFonts w:cs="Times New Roman"/>
          <w:b/>
          <w:szCs w:val="24"/>
          <w:lang w:val="fr-FR"/>
        </w:rPr>
        <w:t>organa centralne vlade</w:t>
      </w:r>
      <w:r w:rsidRPr="00095948">
        <w:rPr>
          <w:rFonts w:cs="Times New Roman"/>
          <w:szCs w:val="24"/>
          <w:lang w:val="fr-FR"/>
        </w:rPr>
        <w:t>, Generalni sekretarijat je</w:t>
      </w:r>
      <w:r w:rsidR="00EF3056" w:rsidRPr="00095948">
        <w:rPr>
          <w:rFonts w:cs="Times New Roman"/>
          <w:szCs w:val="24"/>
          <w:lang w:val="fr-FR"/>
        </w:rPr>
        <w:t xml:space="preserve"> intenzivirao svoj rad</w:t>
      </w:r>
      <w:r w:rsidRPr="00095948">
        <w:rPr>
          <w:rFonts w:cs="Times New Roman"/>
          <w:szCs w:val="24"/>
          <w:lang w:val="fr-FR"/>
        </w:rPr>
        <w:t xml:space="preserve"> na praćenju kvalit</w:t>
      </w:r>
      <w:r w:rsidR="00EF3056" w:rsidRPr="00095948">
        <w:rPr>
          <w:rFonts w:cs="Times New Roman"/>
          <w:szCs w:val="24"/>
          <w:lang w:val="fr-FR"/>
        </w:rPr>
        <w:t>eta strateških dokumenata i izv</w:t>
      </w:r>
      <w:r w:rsidR="00904EDD" w:rsidRPr="00095948">
        <w:rPr>
          <w:rFonts w:cs="Times New Roman"/>
          <w:szCs w:val="24"/>
          <w:lang w:val="fr-FR"/>
        </w:rPr>
        <w:t>j</w:t>
      </w:r>
      <w:r w:rsidRPr="00095948">
        <w:rPr>
          <w:rFonts w:cs="Times New Roman"/>
          <w:szCs w:val="24"/>
          <w:lang w:val="fr-FR"/>
        </w:rPr>
        <w:t xml:space="preserve">eštaja o </w:t>
      </w:r>
      <w:r w:rsidR="00EF3056" w:rsidRPr="00095948">
        <w:rPr>
          <w:rFonts w:cs="Times New Roman"/>
          <w:szCs w:val="24"/>
          <w:lang w:val="fr-FR"/>
        </w:rPr>
        <w:t>implementaciji</w:t>
      </w:r>
      <w:r w:rsidRPr="00095948">
        <w:rPr>
          <w:rFonts w:cs="Times New Roman"/>
          <w:szCs w:val="24"/>
          <w:lang w:val="fr-FR"/>
        </w:rPr>
        <w:t xml:space="preserve">. </w:t>
      </w:r>
      <w:r w:rsidR="00EF3056" w:rsidRPr="00095948">
        <w:rPr>
          <w:rFonts w:cs="Times New Roman"/>
          <w:szCs w:val="24"/>
          <w:lang w:val="fr-FR"/>
        </w:rPr>
        <w:t>Ovaj Sekretarijat d</w:t>
      </w:r>
      <w:r w:rsidRPr="00095948">
        <w:rPr>
          <w:rFonts w:cs="Times New Roman"/>
          <w:szCs w:val="24"/>
          <w:lang w:val="fr-FR"/>
        </w:rPr>
        <w:t xml:space="preserve">ao je mišljenja za njihovo </w:t>
      </w:r>
      <w:r w:rsidR="00EF3056" w:rsidRPr="00095948">
        <w:rPr>
          <w:rFonts w:cs="Times New Roman"/>
          <w:szCs w:val="24"/>
          <w:lang w:val="fr-FR"/>
        </w:rPr>
        <w:t>unapređenje</w:t>
      </w:r>
      <w:r w:rsidRPr="00095948">
        <w:rPr>
          <w:rFonts w:cs="Times New Roman"/>
          <w:szCs w:val="24"/>
          <w:lang w:val="fr-FR"/>
        </w:rPr>
        <w:t xml:space="preserve"> u skladu s uredbom iz 2018.</w:t>
      </w:r>
      <w:r w:rsidR="00EF3056" w:rsidRPr="00095948">
        <w:rPr>
          <w:rFonts w:cs="Times New Roman"/>
          <w:szCs w:val="24"/>
          <w:lang w:val="fr-FR"/>
        </w:rPr>
        <w:t xml:space="preserve"> godine o načinu i postupku izrade, usklađivanja</w:t>
      </w:r>
      <w:r w:rsidR="00050BA4" w:rsidRPr="00095948">
        <w:rPr>
          <w:rFonts w:cs="Times New Roman"/>
          <w:szCs w:val="24"/>
          <w:lang w:val="fr-FR"/>
        </w:rPr>
        <w:t xml:space="preserve"> i praćenja</w:t>
      </w:r>
      <w:r w:rsidR="00B5606F" w:rsidRPr="00095948">
        <w:rPr>
          <w:rFonts w:cs="Times New Roman"/>
          <w:szCs w:val="24"/>
          <w:lang w:val="fr-FR"/>
        </w:rPr>
        <w:t xml:space="preserve"> </w:t>
      </w:r>
      <w:r w:rsidR="00EF3056" w:rsidRPr="00095948">
        <w:rPr>
          <w:rFonts w:cs="Times New Roman"/>
          <w:szCs w:val="24"/>
          <w:lang w:val="fr-FR"/>
        </w:rPr>
        <w:t xml:space="preserve">sprovođenja </w:t>
      </w:r>
      <w:r w:rsidRPr="00095948">
        <w:rPr>
          <w:rFonts w:cs="Times New Roman"/>
          <w:szCs w:val="24"/>
          <w:lang w:val="fr-FR"/>
        </w:rPr>
        <w:t xml:space="preserve">strateških dokumenata i </w:t>
      </w:r>
      <w:r w:rsidR="00EF3056" w:rsidRPr="00095948">
        <w:rPr>
          <w:rFonts w:cs="Times New Roman"/>
          <w:szCs w:val="24"/>
          <w:lang w:val="fr-FR"/>
        </w:rPr>
        <w:t>uz nju pripremljene</w:t>
      </w:r>
      <w:r w:rsidRPr="00095948">
        <w:rPr>
          <w:rFonts w:cs="Times New Roman"/>
          <w:szCs w:val="24"/>
          <w:lang w:val="fr-FR"/>
        </w:rPr>
        <w:t xml:space="preserve"> metodologije za </w:t>
      </w:r>
      <w:r w:rsidR="00EF3056" w:rsidRPr="00095948">
        <w:rPr>
          <w:rFonts w:cs="Times New Roman"/>
          <w:szCs w:val="24"/>
          <w:lang w:val="fr-FR"/>
        </w:rPr>
        <w:t>izradu</w:t>
      </w:r>
      <w:r w:rsidRPr="00095948">
        <w:rPr>
          <w:rFonts w:cs="Times New Roman"/>
          <w:szCs w:val="24"/>
          <w:lang w:val="fr-FR"/>
        </w:rPr>
        <w:t xml:space="preserve"> i </w:t>
      </w:r>
      <w:r w:rsidR="00EF3056" w:rsidRPr="00095948">
        <w:rPr>
          <w:rFonts w:cs="Times New Roman"/>
          <w:szCs w:val="24"/>
          <w:lang w:val="fr-FR"/>
        </w:rPr>
        <w:t xml:space="preserve">implementaciju </w:t>
      </w:r>
      <w:r w:rsidR="00050BA4" w:rsidRPr="00095948">
        <w:rPr>
          <w:rFonts w:cs="Times New Roman"/>
          <w:szCs w:val="24"/>
          <w:lang w:val="fr-FR"/>
        </w:rPr>
        <w:t>politika. Potrebno je nastaviti jačanje koordinacije</w:t>
      </w:r>
      <w:r w:rsidRPr="00095948">
        <w:rPr>
          <w:rFonts w:cs="Times New Roman"/>
          <w:szCs w:val="24"/>
          <w:lang w:val="fr-FR"/>
        </w:rPr>
        <w:t xml:space="preserve"> s </w:t>
      </w:r>
      <w:r w:rsidR="00EF3056" w:rsidRPr="00095948">
        <w:rPr>
          <w:rFonts w:cs="Times New Roman"/>
          <w:szCs w:val="24"/>
          <w:lang w:val="fr-FR"/>
        </w:rPr>
        <w:t>akterima</w:t>
      </w:r>
      <w:r w:rsidRPr="00095948">
        <w:rPr>
          <w:rFonts w:cs="Times New Roman"/>
          <w:szCs w:val="24"/>
          <w:lang w:val="fr-FR"/>
        </w:rPr>
        <w:t xml:space="preserve"> u razvoju politika</w:t>
      </w:r>
      <w:r w:rsidR="00EF3056" w:rsidRPr="00095948">
        <w:rPr>
          <w:rFonts w:cs="Times New Roman"/>
          <w:szCs w:val="24"/>
          <w:lang w:val="fr-FR"/>
        </w:rPr>
        <w:t>.</w:t>
      </w:r>
    </w:p>
    <w:p w:rsidR="00EF3056" w:rsidRPr="00095948" w:rsidRDefault="00EF3056" w:rsidP="00EC1790">
      <w:pPr>
        <w:autoSpaceDE w:val="0"/>
        <w:autoSpaceDN w:val="0"/>
        <w:adjustRightInd w:val="0"/>
        <w:spacing w:after="120" w:line="240" w:lineRule="auto"/>
        <w:jc w:val="both"/>
        <w:rPr>
          <w:rFonts w:cs="Times New Roman"/>
          <w:szCs w:val="24"/>
          <w:lang w:val="fr-FR"/>
        </w:rPr>
      </w:pPr>
      <w:r w:rsidRPr="00095948">
        <w:rPr>
          <w:rFonts w:cs="Times New Roman"/>
          <w:szCs w:val="24"/>
          <w:lang w:val="fr-FR"/>
        </w:rPr>
        <w:t xml:space="preserve">Avgusta 2019. godine, vlada je objavila spisak od 96 funkcionera, uključujući čelnike u pravosuđu i nezavisnim institucijama, kojima je tadašnja vlada </w:t>
      </w:r>
      <w:r w:rsidR="00995014" w:rsidRPr="00095948">
        <w:rPr>
          <w:rFonts w:cs="Times New Roman"/>
          <w:szCs w:val="24"/>
          <w:lang w:val="fr-FR"/>
        </w:rPr>
        <w:t>dod</w:t>
      </w:r>
      <w:r w:rsidR="00904EDD" w:rsidRPr="00095948">
        <w:rPr>
          <w:rFonts w:cs="Times New Roman"/>
          <w:szCs w:val="24"/>
          <w:lang w:val="fr-FR"/>
        </w:rPr>
        <w:t>ij</w:t>
      </w:r>
      <w:r w:rsidR="00995014" w:rsidRPr="00095948">
        <w:rPr>
          <w:rFonts w:cs="Times New Roman"/>
          <w:szCs w:val="24"/>
          <w:lang w:val="fr-FR"/>
        </w:rPr>
        <w:t>elila</w:t>
      </w:r>
      <w:r w:rsidRPr="00095948">
        <w:rPr>
          <w:rFonts w:cs="Times New Roman"/>
          <w:szCs w:val="24"/>
          <w:lang w:val="fr-FR"/>
        </w:rPr>
        <w:t xml:space="preserve"> stanove ili </w:t>
      </w:r>
      <w:r w:rsidR="00995014" w:rsidRPr="00095948">
        <w:rPr>
          <w:rFonts w:cs="Times New Roman"/>
          <w:szCs w:val="24"/>
          <w:lang w:val="fr-FR"/>
        </w:rPr>
        <w:t xml:space="preserve">odobrila </w:t>
      </w:r>
      <w:r w:rsidRPr="00095948">
        <w:rPr>
          <w:rFonts w:cs="Times New Roman"/>
          <w:szCs w:val="24"/>
          <w:lang w:val="fr-FR"/>
        </w:rPr>
        <w:t xml:space="preserve">kredite pod povoljnim uslovima, </w:t>
      </w:r>
      <w:r w:rsidR="00995014" w:rsidRPr="00095948">
        <w:rPr>
          <w:rFonts w:cs="Times New Roman"/>
          <w:szCs w:val="24"/>
          <w:lang w:val="fr-FR"/>
        </w:rPr>
        <w:t>bez postojanja</w:t>
      </w:r>
      <w:r w:rsidRPr="00095948">
        <w:rPr>
          <w:rFonts w:cs="Times New Roman"/>
          <w:szCs w:val="24"/>
          <w:lang w:val="fr-FR"/>
        </w:rPr>
        <w:t xml:space="preserve"> jasnih, transparentnih i objektivnih kriterij</w:t>
      </w:r>
      <w:r w:rsidR="00995014" w:rsidRPr="00095948">
        <w:rPr>
          <w:rFonts w:cs="Times New Roman"/>
          <w:szCs w:val="24"/>
          <w:lang w:val="fr-FR"/>
        </w:rPr>
        <w:t>uma za njihovu dod</w:t>
      </w:r>
      <w:r w:rsidR="00904EDD" w:rsidRPr="00095948">
        <w:rPr>
          <w:rFonts w:cs="Times New Roman"/>
          <w:szCs w:val="24"/>
          <w:lang w:val="fr-FR"/>
        </w:rPr>
        <w:t>j</w:t>
      </w:r>
      <w:r w:rsidR="00995014" w:rsidRPr="00095948">
        <w:rPr>
          <w:rFonts w:cs="Times New Roman"/>
          <w:szCs w:val="24"/>
          <w:lang w:val="fr-FR"/>
        </w:rPr>
        <w:t>elu. Takođe je objavila i</w:t>
      </w:r>
      <w:r w:rsidRPr="00095948">
        <w:rPr>
          <w:rFonts w:cs="Times New Roman"/>
          <w:szCs w:val="24"/>
          <w:lang w:val="fr-FR"/>
        </w:rPr>
        <w:t xml:space="preserve"> svoje obrazloženje za takve odluke. Drugu takvu listu objavila je </w:t>
      </w:r>
      <w:r w:rsidR="00995014" w:rsidRPr="00095948">
        <w:rPr>
          <w:rFonts w:cs="Times New Roman"/>
          <w:szCs w:val="24"/>
          <w:lang w:val="fr-FR"/>
        </w:rPr>
        <w:t xml:space="preserve">jedna </w:t>
      </w:r>
      <w:r w:rsidRPr="00095948">
        <w:rPr>
          <w:rFonts w:cs="Times New Roman"/>
          <w:szCs w:val="24"/>
          <w:lang w:val="fr-FR"/>
        </w:rPr>
        <w:t>nevladina organizacija</w:t>
      </w:r>
      <w:r w:rsidR="00995014" w:rsidRPr="00095948">
        <w:rPr>
          <w:rFonts w:cs="Times New Roman"/>
          <w:szCs w:val="24"/>
          <w:lang w:val="fr-FR"/>
        </w:rPr>
        <w:t>, a ista</w:t>
      </w:r>
      <w:r w:rsidRPr="00095948">
        <w:rPr>
          <w:rFonts w:cs="Times New Roman"/>
          <w:szCs w:val="24"/>
          <w:lang w:val="fr-FR"/>
        </w:rPr>
        <w:t xml:space="preserve"> sadrži informacije o </w:t>
      </w:r>
      <w:r w:rsidR="00995014" w:rsidRPr="00095948">
        <w:rPr>
          <w:rFonts w:cs="Times New Roman"/>
          <w:szCs w:val="24"/>
          <w:lang w:val="fr-FR"/>
        </w:rPr>
        <w:t>stanovima</w:t>
      </w:r>
      <w:r w:rsidRPr="00095948">
        <w:rPr>
          <w:rFonts w:cs="Times New Roman"/>
          <w:szCs w:val="24"/>
          <w:lang w:val="fr-FR"/>
        </w:rPr>
        <w:t xml:space="preserve"> i </w:t>
      </w:r>
      <w:r w:rsidR="00995014" w:rsidRPr="00095948">
        <w:rPr>
          <w:rFonts w:cs="Times New Roman"/>
          <w:szCs w:val="24"/>
          <w:lang w:val="fr-FR"/>
        </w:rPr>
        <w:t>kreditima</w:t>
      </w:r>
      <w:r w:rsidRPr="00095948">
        <w:rPr>
          <w:rFonts w:cs="Times New Roman"/>
          <w:szCs w:val="24"/>
          <w:lang w:val="fr-FR"/>
        </w:rPr>
        <w:t xml:space="preserve"> odobrenim tokom prethodnog mandata vlade. Nakon objavljivanj</w:t>
      </w:r>
      <w:r w:rsidR="00995014" w:rsidRPr="00095948">
        <w:rPr>
          <w:rFonts w:cs="Times New Roman"/>
          <w:szCs w:val="24"/>
          <w:lang w:val="fr-FR"/>
        </w:rPr>
        <w:t>a informacija i preporuke Sav</w:t>
      </w:r>
      <w:r w:rsidR="00904EDD" w:rsidRPr="00095948">
        <w:rPr>
          <w:rFonts w:cs="Times New Roman"/>
          <w:szCs w:val="24"/>
          <w:lang w:val="fr-FR"/>
        </w:rPr>
        <w:t>j</w:t>
      </w:r>
      <w:r w:rsidR="00995014" w:rsidRPr="00095948">
        <w:rPr>
          <w:rFonts w:cs="Times New Roman"/>
          <w:szCs w:val="24"/>
          <w:lang w:val="fr-FR"/>
        </w:rPr>
        <w:t>eta</w:t>
      </w:r>
      <w:r w:rsidRPr="00095948">
        <w:rPr>
          <w:rFonts w:cs="Times New Roman"/>
          <w:szCs w:val="24"/>
          <w:lang w:val="fr-FR"/>
        </w:rPr>
        <w:t xml:space="preserve"> Agencije za </w:t>
      </w:r>
      <w:r w:rsidR="00C771E2">
        <w:rPr>
          <w:rFonts w:cs="Times New Roman"/>
          <w:szCs w:val="24"/>
          <w:lang w:val="fr-FR"/>
        </w:rPr>
        <w:t>sprječavanje</w:t>
      </w:r>
      <w:r w:rsidRPr="00095948">
        <w:rPr>
          <w:rFonts w:cs="Times New Roman"/>
          <w:szCs w:val="24"/>
          <w:lang w:val="fr-FR"/>
        </w:rPr>
        <w:t xml:space="preserve"> korupcije, </w:t>
      </w:r>
      <w:r w:rsidR="00C771E2">
        <w:rPr>
          <w:rFonts w:cs="Times New Roman"/>
          <w:szCs w:val="24"/>
          <w:lang w:val="fr-FR"/>
        </w:rPr>
        <w:t>V</w:t>
      </w:r>
      <w:r w:rsidR="00C771E2" w:rsidRPr="00095948">
        <w:rPr>
          <w:rFonts w:cs="Times New Roman"/>
          <w:szCs w:val="24"/>
          <w:lang w:val="fr-FR"/>
        </w:rPr>
        <w:t xml:space="preserve">lada </w:t>
      </w:r>
      <w:r w:rsidRPr="00095948">
        <w:rPr>
          <w:rFonts w:cs="Times New Roman"/>
          <w:szCs w:val="24"/>
          <w:lang w:val="fr-FR"/>
        </w:rPr>
        <w:t xml:space="preserve">je formirala radnu grupu za </w:t>
      </w:r>
      <w:r w:rsidR="00995014" w:rsidRPr="00095948">
        <w:rPr>
          <w:rFonts w:cs="Times New Roman"/>
          <w:szCs w:val="24"/>
          <w:lang w:val="fr-FR"/>
        </w:rPr>
        <w:t>preispitivanje</w:t>
      </w:r>
      <w:r w:rsidRPr="00095948">
        <w:rPr>
          <w:rFonts w:cs="Times New Roman"/>
          <w:szCs w:val="24"/>
          <w:lang w:val="fr-FR"/>
        </w:rPr>
        <w:t xml:space="preserve"> svoje stambene politike.</w:t>
      </w:r>
    </w:p>
    <w:p w:rsidR="00995014" w:rsidRPr="00095948" w:rsidRDefault="00995014" w:rsidP="00EC1790">
      <w:pPr>
        <w:autoSpaceDE w:val="0"/>
        <w:autoSpaceDN w:val="0"/>
        <w:adjustRightInd w:val="0"/>
        <w:spacing w:after="120" w:line="240" w:lineRule="auto"/>
        <w:jc w:val="both"/>
        <w:rPr>
          <w:rFonts w:cs="Times New Roman"/>
          <w:szCs w:val="24"/>
          <w:lang w:val="fr-FR"/>
        </w:rPr>
      </w:pPr>
      <w:r w:rsidRPr="00095948">
        <w:rPr>
          <w:rFonts w:cs="Times New Roman"/>
          <w:szCs w:val="24"/>
          <w:lang w:val="fr-FR"/>
        </w:rPr>
        <w:t xml:space="preserve">Vlada je nastavila da </w:t>
      </w:r>
      <w:r w:rsidR="00307D81" w:rsidRPr="00095948">
        <w:rPr>
          <w:rFonts w:cs="Times New Roman"/>
          <w:szCs w:val="24"/>
          <w:lang w:val="fr-FR"/>
        </w:rPr>
        <w:t>informiše</w:t>
      </w:r>
      <w:r w:rsidR="0040187E" w:rsidRPr="00095948">
        <w:rPr>
          <w:rFonts w:cs="Times New Roman"/>
          <w:szCs w:val="24"/>
          <w:lang w:val="fr-FR"/>
        </w:rPr>
        <w:t xml:space="preserve"> o procesu pristupanja Evropskoj uniji</w:t>
      </w:r>
      <w:r w:rsidR="008A750C" w:rsidRPr="00095948">
        <w:rPr>
          <w:rFonts w:cs="Times New Roman"/>
          <w:szCs w:val="24"/>
          <w:lang w:val="fr-FR"/>
        </w:rPr>
        <w:t xml:space="preserve">u skladu sa svojom strategijom </w:t>
      </w:r>
      <w:r w:rsidRPr="00095948">
        <w:rPr>
          <w:rFonts w:cs="Times New Roman"/>
          <w:szCs w:val="24"/>
          <w:lang w:val="fr-FR"/>
        </w:rPr>
        <w:t xml:space="preserve"> informisanja</w:t>
      </w:r>
      <w:r w:rsidR="008A750C" w:rsidRPr="00095948">
        <w:rPr>
          <w:rFonts w:cs="Times New Roman"/>
          <w:szCs w:val="24"/>
          <w:lang w:val="fr-FR"/>
        </w:rPr>
        <w:t xml:space="preserve"> javnosti</w:t>
      </w:r>
      <w:r w:rsidRPr="00095948">
        <w:rPr>
          <w:rFonts w:cs="Times New Roman"/>
          <w:szCs w:val="24"/>
          <w:lang w:val="fr-FR"/>
        </w:rPr>
        <w:t xml:space="preserve">, sprovodeći niz aktivnosti u nekoliko crnogorskih gradova. </w:t>
      </w:r>
      <w:r w:rsidRPr="00095948">
        <w:rPr>
          <w:rFonts w:cs="Times New Roman"/>
          <w:szCs w:val="24"/>
          <w:lang w:val="fr-FR"/>
        </w:rPr>
        <w:lastRenderedPageBreak/>
        <w:t>U julu je vlada uspostavila privremeno t</w:t>
      </w:r>
      <w:r w:rsidR="00904EDD" w:rsidRPr="00095948">
        <w:rPr>
          <w:rFonts w:cs="Times New Roman"/>
          <w:szCs w:val="24"/>
          <w:lang w:val="fr-FR"/>
        </w:rPr>
        <w:t>ij</w:t>
      </w:r>
      <w:r w:rsidRPr="00095948">
        <w:rPr>
          <w:rFonts w:cs="Times New Roman"/>
          <w:szCs w:val="24"/>
          <w:lang w:val="fr-FR"/>
        </w:rPr>
        <w:t xml:space="preserve">elo za sprovođenje strategije </w:t>
      </w:r>
      <w:r w:rsidR="008A750C" w:rsidRPr="00095948">
        <w:rPr>
          <w:rFonts w:cs="Times New Roman"/>
          <w:szCs w:val="24"/>
          <w:lang w:val="fr-FR"/>
        </w:rPr>
        <w:t>informisanja javnosti</w:t>
      </w:r>
      <w:r w:rsidRPr="00095948">
        <w:rPr>
          <w:rFonts w:cs="Times New Roman"/>
          <w:szCs w:val="24"/>
          <w:lang w:val="fr-FR"/>
        </w:rPr>
        <w:t>. Implementacija</w:t>
      </w:r>
      <w:r w:rsidR="008A750C" w:rsidRPr="00095948">
        <w:rPr>
          <w:rFonts w:cs="Times New Roman"/>
          <w:szCs w:val="24"/>
          <w:lang w:val="fr-FR"/>
        </w:rPr>
        <w:t xml:space="preserve"> A</w:t>
      </w:r>
      <w:r w:rsidRPr="00095948">
        <w:rPr>
          <w:rFonts w:cs="Times New Roman"/>
          <w:szCs w:val="24"/>
          <w:lang w:val="fr-FR"/>
        </w:rPr>
        <w:t xml:space="preserve">kcionog plana </w:t>
      </w:r>
      <w:r w:rsidR="008A750C" w:rsidRPr="00095948">
        <w:rPr>
          <w:rFonts w:cs="Times New Roman"/>
          <w:szCs w:val="24"/>
          <w:lang w:val="fr-FR"/>
        </w:rPr>
        <w:t>za sprovođenje Inicijative partnerstvo za otvorenu upravu</w:t>
      </w:r>
      <w:r w:rsidRPr="00095948">
        <w:rPr>
          <w:rFonts w:cs="Times New Roman"/>
          <w:szCs w:val="24"/>
          <w:lang w:val="fr-FR"/>
        </w:rPr>
        <w:t xml:space="preserve"> 2018-2020 je u toku.</w:t>
      </w:r>
    </w:p>
    <w:p w:rsidR="00307D81" w:rsidRPr="00095948" w:rsidRDefault="008A750C" w:rsidP="00EC1790">
      <w:pPr>
        <w:spacing w:after="120" w:line="240" w:lineRule="auto"/>
        <w:jc w:val="both"/>
        <w:rPr>
          <w:rFonts w:cs="Times New Roman"/>
          <w:szCs w:val="24"/>
          <w:lang w:val="fr-FR"/>
        </w:rPr>
      </w:pPr>
      <w:r w:rsidRPr="00095948">
        <w:rPr>
          <w:rFonts w:cs="Times New Roman"/>
          <w:szCs w:val="24"/>
          <w:lang w:val="fr-FR"/>
        </w:rPr>
        <w:t>U decembru 2019. godine, Skupština je usvojila Zakon o elektronskoj upravi, kao i izm</w:t>
      </w:r>
      <w:r w:rsidR="00904EDD" w:rsidRPr="00095948">
        <w:rPr>
          <w:rFonts w:cs="Times New Roman"/>
          <w:szCs w:val="24"/>
          <w:lang w:val="fr-FR"/>
        </w:rPr>
        <w:t>j</w:t>
      </w:r>
      <w:r w:rsidRPr="00095948">
        <w:rPr>
          <w:rFonts w:cs="Times New Roman"/>
          <w:szCs w:val="24"/>
          <w:lang w:val="fr-FR"/>
        </w:rPr>
        <w:t>ene Zakona o elektronskoj identifikaciji i elektronskom potpisu</w:t>
      </w:r>
      <w:r w:rsidR="00307D81" w:rsidRPr="00095948">
        <w:rPr>
          <w:rFonts w:cs="Times New Roman"/>
          <w:szCs w:val="24"/>
          <w:lang w:val="fr-FR"/>
        </w:rPr>
        <w:t>. Vlada redovno analizira stanje</w:t>
      </w:r>
      <w:r w:rsidRPr="00095948">
        <w:rPr>
          <w:rFonts w:cs="Times New Roman"/>
          <w:szCs w:val="24"/>
          <w:lang w:val="fr-FR"/>
        </w:rPr>
        <w:t xml:space="preserve"> elektronskih usluga u Crn</w:t>
      </w:r>
      <w:r w:rsidR="00307D81" w:rsidRPr="00095948">
        <w:rPr>
          <w:rFonts w:cs="Times New Roman"/>
          <w:szCs w:val="24"/>
          <w:lang w:val="fr-FR"/>
        </w:rPr>
        <w:t>oj Gori i predlaže konkretne m</w:t>
      </w:r>
      <w:r w:rsidR="00904EDD" w:rsidRPr="00095948">
        <w:rPr>
          <w:rFonts w:cs="Times New Roman"/>
          <w:szCs w:val="24"/>
          <w:lang w:val="fr-FR"/>
        </w:rPr>
        <w:t>j</w:t>
      </w:r>
      <w:r w:rsidRPr="00095948">
        <w:rPr>
          <w:rFonts w:cs="Times New Roman"/>
          <w:szCs w:val="24"/>
          <w:lang w:val="fr-FR"/>
        </w:rPr>
        <w:t>e</w:t>
      </w:r>
      <w:r w:rsidR="00307D81" w:rsidRPr="00095948">
        <w:rPr>
          <w:rFonts w:cs="Times New Roman"/>
          <w:szCs w:val="24"/>
          <w:lang w:val="fr-FR"/>
        </w:rPr>
        <w:t>re za njihovo unapređenje. Preko</w:t>
      </w:r>
      <w:r w:rsidR="00B5606F" w:rsidRPr="00095948">
        <w:rPr>
          <w:rFonts w:cs="Times New Roman"/>
          <w:szCs w:val="24"/>
          <w:lang w:val="fr-FR"/>
        </w:rPr>
        <w:t xml:space="preserve"> </w:t>
      </w:r>
      <w:r w:rsidR="00307D81" w:rsidRPr="00095948">
        <w:rPr>
          <w:rFonts w:cs="Times New Roman"/>
          <w:szCs w:val="24"/>
          <w:lang w:val="fr-FR"/>
        </w:rPr>
        <w:t>onlajn</w:t>
      </w:r>
      <w:r w:rsidRPr="00095948">
        <w:rPr>
          <w:rFonts w:cs="Times New Roman"/>
          <w:szCs w:val="24"/>
          <w:lang w:val="fr-FR"/>
        </w:rPr>
        <w:t xml:space="preserve"> platforme za e-peticije</w:t>
      </w:r>
      <w:r w:rsidR="0040187E" w:rsidRPr="00095948">
        <w:rPr>
          <w:rFonts w:cs="Times New Roman"/>
          <w:szCs w:val="24"/>
          <w:lang w:val="fr-FR"/>
        </w:rPr>
        <w:t>, koja je uspostavljena</w:t>
      </w:r>
      <w:r w:rsidR="00307D81" w:rsidRPr="00095948">
        <w:rPr>
          <w:rFonts w:cs="Times New Roman"/>
          <w:szCs w:val="24"/>
          <w:lang w:val="fr-FR"/>
        </w:rPr>
        <w:t xml:space="preserve"> u aprilu 2018. godine, podn</w:t>
      </w:r>
      <w:r w:rsidR="00904EDD" w:rsidRPr="00095948">
        <w:rPr>
          <w:rFonts w:cs="Times New Roman"/>
          <w:szCs w:val="24"/>
          <w:lang w:val="fr-FR"/>
        </w:rPr>
        <w:t>ij</w:t>
      </w:r>
      <w:r w:rsidR="00307D81" w:rsidRPr="00095948">
        <w:rPr>
          <w:rFonts w:cs="Times New Roman"/>
          <w:szCs w:val="24"/>
          <w:lang w:val="fr-FR"/>
        </w:rPr>
        <w:t>et</w:t>
      </w:r>
      <w:r w:rsidRPr="00095948">
        <w:rPr>
          <w:rFonts w:cs="Times New Roman"/>
          <w:szCs w:val="24"/>
          <w:lang w:val="fr-FR"/>
        </w:rPr>
        <w:t>o je pet javnih peticija, od kojih nijedna nije prihvaćena.</w:t>
      </w:r>
      <w:r w:rsidR="00B5606F" w:rsidRPr="00095948">
        <w:rPr>
          <w:rFonts w:cs="Times New Roman"/>
          <w:szCs w:val="24"/>
          <w:lang w:val="fr-FR"/>
        </w:rPr>
        <w:t xml:space="preserve"> </w:t>
      </w:r>
      <w:r w:rsidR="00307D81" w:rsidRPr="00095948">
        <w:rPr>
          <w:rFonts w:cs="Times New Roman"/>
          <w:szCs w:val="24"/>
          <w:lang w:val="fr-FR"/>
        </w:rPr>
        <w:t>Nakon niza lokalnih protesta u oktobru protiv izgradnje hidroelektrana, vlada je pokrenula pregovore o sporazumnom raskidu ugovora za izgradnju sedam malih hidroelektrana u četiri opštine na s</w:t>
      </w:r>
      <w:r w:rsidR="00904EDD" w:rsidRPr="00095948">
        <w:rPr>
          <w:rFonts w:cs="Times New Roman"/>
          <w:szCs w:val="24"/>
          <w:lang w:val="fr-FR"/>
        </w:rPr>
        <w:t>j</w:t>
      </w:r>
      <w:r w:rsidR="00307D81" w:rsidRPr="00095948">
        <w:rPr>
          <w:rFonts w:cs="Times New Roman"/>
          <w:szCs w:val="24"/>
          <w:lang w:val="fr-FR"/>
        </w:rPr>
        <w:t>everu zemlje. Suprotno zakonu o državnoj upravi, vlada nastavlja da usvaja brojne zakone koji utiču na prava građana, a ne obezb</w:t>
      </w:r>
      <w:r w:rsidR="00904EDD" w:rsidRPr="00095948">
        <w:rPr>
          <w:rFonts w:cs="Times New Roman"/>
          <w:szCs w:val="24"/>
          <w:lang w:val="fr-FR"/>
        </w:rPr>
        <w:t>j</w:t>
      </w:r>
      <w:r w:rsidR="00307D81" w:rsidRPr="00095948">
        <w:rPr>
          <w:rFonts w:cs="Times New Roman"/>
          <w:szCs w:val="24"/>
          <w:lang w:val="fr-FR"/>
        </w:rPr>
        <w:t xml:space="preserve">eđuje odgovarajuće uključivanje i učešće javnosti. Javnim konsultacijama u zakonodavnom procesu i procesu donošenja politika još uvijek nedostaje </w:t>
      </w:r>
      <w:r w:rsidR="00F72C90" w:rsidRPr="00095948">
        <w:rPr>
          <w:rFonts w:cs="Times New Roman"/>
          <w:szCs w:val="24"/>
          <w:lang w:val="fr-FR"/>
        </w:rPr>
        <w:t>pravo</w:t>
      </w:r>
      <w:r w:rsidR="00307D81" w:rsidRPr="00095948">
        <w:rPr>
          <w:rFonts w:cs="Times New Roman"/>
          <w:szCs w:val="24"/>
          <w:lang w:val="fr-FR"/>
        </w:rPr>
        <w:t xml:space="preserve"> i siste</w:t>
      </w:r>
      <w:r w:rsidR="00F72C90" w:rsidRPr="00095948">
        <w:rPr>
          <w:rFonts w:cs="Times New Roman"/>
          <w:szCs w:val="24"/>
          <w:lang w:val="fr-FR"/>
        </w:rPr>
        <w:t>matsko uključivanje relevantnih aktera</w:t>
      </w:r>
      <w:r w:rsidR="00307D81" w:rsidRPr="00095948">
        <w:rPr>
          <w:rFonts w:cs="Times New Roman"/>
          <w:szCs w:val="24"/>
          <w:lang w:val="fr-FR"/>
        </w:rPr>
        <w:t>.</w:t>
      </w:r>
    </w:p>
    <w:p w:rsidR="00F72C90" w:rsidRPr="00095948" w:rsidRDefault="00620E1E" w:rsidP="00EC1790">
      <w:pPr>
        <w:autoSpaceDE w:val="0"/>
        <w:autoSpaceDN w:val="0"/>
        <w:adjustRightInd w:val="0"/>
        <w:spacing w:after="120" w:line="240" w:lineRule="auto"/>
        <w:jc w:val="both"/>
        <w:rPr>
          <w:rFonts w:cs="Times New Roman"/>
          <w:szCs w:val="24"/>
          <w:lang w:val="fr-FR"/>
        </w:rPr>
      </w:pPr>
      <w:r w:rsidRPr="00095948">
        <w:rPr>
          <w:rFonts w:cs="Times New Roman"/>
          <w:szCs w:val="24"/>
          <w:lang w:val="fr-FR"/>
        </w:rPr>
        <w:t>Kad</w:t>
      </w:r>
      <w:r w:rsidR="00F72C90" w:rsidRPr="00095948">
        <w:rPr>
          <w:rFonts w:cs="Times New Roman"/>
          <w:szCs w:val="24"/>
          <w:lang w:val="fr-FR"/>
        </w:rPr>
        <w:t xml:space="preserve"> je u pitanju </w:t>
      </w:r>
      <w:r w:rsidR="00F72C90" w:rsidRPr="00095948">
        <w:rPr>
          <w:rFonts w:cs="Times New Roman"/>
          <w:b/>
          <w:szCs w:val="24"/>
          <w:lang w:val="fr-FR"/>
        </w:rPr>
        <w:t>lokalna samouprava</w:t>
      </w:r>
      <w:r w:rsidR="006F16C6" w:rsidRPr="00095948">
        <w:rPr>
          <w:rFonts w:cs="Times New Roman"/>
          <w:szCs w:val="24"/>
          <w:lang w:val="fr-FR"/>
        </w:rPr>
        <w:t xml:space="preserve">, </w:t>
      </w:r>
      <w:r w:rsidR="00F72C90" w:rsidRPr="00095948">
        <w:rPr>
          <w:rFonts w:cs="Times New Roman"/>
          <w:szCs w:val="24"/>
          <w:lang w:val="fr-FR"/>
        </w:rPr>
        <w:t>u maju 2019. godine Skupština  je don</w:t>
      </w:r>
      <w:r w:rsidR="00904EDD" w:rsidRPr="00095948">
        <w:rPr>
          <w:rFonts w:cs="Times New Roman"/>
          <w:szCs w:val="24"/>
          <w:lang w:val="fr-FR"/>
        </w:rPr>
        <w:t>ij</w:t>
      </w:r>
      <w:r w:rsidR="00F72C90" w:rsidRPr="00095948">
        <w:rPr>
          <w:rFonts w:cs="Times New Roman"/>
          <w:szCs w:val="24"/>
          <w:lang w:val="fr-FR"/>
        </w:rPr>
        <w:t>ela izm</w:t>
      </w:r>
      <w:r w:rsidR="00904EDD" w:rsidRPr="00095948">
        <w:rPr>
          <w:rFonts w:cs="Times New Roman"/>
          <w:szCs w:val="24"/>
          <w:lang w:val="fr-FR"/>
        </w:rPr>
        <w:t>j</w:t>
      </w:r>
      <w:r w:rsidR="00F72C90" w:rsidRPr="00095948">
        <w:rPr>
          <w:rFonts w:cs="Times New Roman"/>
          <w:szCs w:val="24"/>
          <w:lang w:val="fr-FR"/>
        </w:rPr>
        <w:t xml:space="preserve">ene zakona o lokalnoj samoupravi i </w:t>
      </w:r>
      <w:r w:rsidR="00310945" w:rsidRPr="00095948">
        <w:rPr>
          <w:rFonts w:cs="Times New Roman"/>
          <w:szCs w:val="24"/>
          <w:lang w:val="fr-FR"/>
        </w:rPr>
        <w:t>komunalnoj</w:t>
      </w:r>
      <w:r w:rsidR="00F72C90" w:rsidRPr="00095948">
        <w:rPr>
          <w:rFonts w:cs="Times New Roman"/>
          <w:szCs w:val="24"/>
          <w:lang w:val="fr-FR"/>
        </w:rPr>
        <w:t xml:space="preserve"> policiji, kao i prateće podzakonsk</w:t>
      </w:r>
      <w:r w:rsidR="00310945" w:rsidRPr="00095948">
        <w:rPr>
          <w:rFonts w:cs="Times New Roman"/>
          <w:szCs w:val="24"/>
          <w:lang w:val="fr-FR"/>
        </w:rPr>
        <w:t>e akte. Ovi propisi</w:t>
      </w:r>
      <w:r w:rsidR="00F72042" w:rsidRPr="00095948">
        <w:rPr>
          <w:rFonts w:cs="Times New Roman"/>
          <w:szCs w:val="24"/>
          <w:lang w:val="fr-FR"/>
        </w:rPr>
        <w:t xml:space="preserve"> predviđaju da bi zapošljavanje u lokalnim samoupravama</w:t>
      </w:r>
      <w:r w:rsidR="00F72C90" w:rsidRPr="00095948">
        <w:rPr>
          <w:rFonts w:cs="Times New Roman"/>
          <w:szCs w:val="24"/>
          <w:lang w:val="fr-FR"/>
        </w:rPr>
        <w:t xml:space="preserve"> trebalo </w:t>
      </w:r>
      <w:r w:rsidR="00F72042" w:rsidRPr="00095948">
        <w:rPr>
          <w:rFonts w:cs="Times New Roman"/>
          <w:szCs w:val="24"/>
          <w:lang w:val="fr-FR"/>
        </w:rPr>
        <w:t>da se odvija</w:t>
      </w:r>
      <w:r w:rsidR="00B5606F" w:rsidRPr="00095948">
        <w:rPr>
          <w:rFonts w:cs="Times New Roman"/>
          <w:szCs w:val="24"/>
          <w:lang w:val="fr-FR"/>
        </w:rPr>
        <w:t xml:space="preserve"> u skladu s</w:t>
      </w:r>
      <w:r w:rsidR="00F72C90" w:rsidRPr="00095948">
        <w:rPr>
          <w:rFonts w:cs="Times New Roman"/>
          <w:szCs w:val="24"/>
          <w:lang w:val="fr-FR"/>
        </w:rPr>
        <w:t xml:space="preserve"> nacionalnim sistemom zapošljavanja</w:t>
      </w:r>
      <w:r w:rsidR="00F72042" w:rsidRPr="00095948">
        <w:rPr>
          <w:rFonts w:cs="Times New Roman"/>
          <w:szCs w:val="24"/>
          <w:lang w:val="fr-FR"/>
        </w:rPr>
        <w:t xml:space="preserve"> koji je zasnovan</w:t>
      </w:r>
      <w:r w:rsidR="00F72C90" w:rsidRPr="00095948">
        <w:rPr>
          <w:rFonts w:cs="Times New Roman"/>
          <w:szCs w:val="24"/>
          <w:lang w:val="fr-FR"/>
        </w:rPr>
        <w:t xml:space="preserve"> na </w:t>
      </w:r>
      <w:r w:rsidR="00310945" w:rsidRPr="00095948">
        <w:rPr>
          <w:rFonts w:cs="Times New Roman"/>
          <w:szCs w:val="24"/>
          <w:lang w:val="fr-FR"/>
        </w:rPr>
        <w:t>rezultatima</w:t>
      </w:r>
      <w:r w:rsidR="00F72C90" w:rsidRPr="00095948">
        <w:rPr>
          <w:rFonts w:cs="Times New Roman"/>
          <w:szCs w:val="24"/>
          <w:lang w:val="fr-FR"/>
        </w:rPr>
        <w:t xml:space="preserve"> i </w:t>
      </w:r>
      <w:r w:rsidR="00310945" w:rsidRPr="00095948">
        <w:rPr>
          <w:rFonts w:cs="Times New Roman"/>
          <w:szCs w:val="24"/>
          <w:lang w:val="fr-FR"/>
        </w:rPr>
        <w:t>koji za polaganje stručnog ispita za rad u javnoj upravi koristi</w:t>
      </w:r>
      <w:r w:rsidR="00B5606F" w:rsidRPr="00095948">
        <w:rPr>
          <w:rFonts w:cs="Times New Roman"/>
          <w:szCs w:val="24"/>
          <w:lang w:val="fr-FR"/>
        </w:rPr>
        <w:t xml:space="preserve"> </w:t>
      </w:r>
      <w:r w:rsidR="00310945" w:rsidRPr="00095948">
        <w:rPr>
          <w:rFonts w:cs="Times New Roman"/>
          <w:szCs w:val="24"/>
          <w:lang w:val="fr-FR"/>
        </w:rPr>
        <w:t xml:space="preserve">elektronski </w:t>
      </w:r>
      <w:r w:rsidR="00F72C90" w:rsidRPr="00095948">
        <w:rPr>
          <w:rFonts w:cs="Times New Roman"/>
          <w:szCs w:val="24"/>
          <w:lang w:val="fr-FR"/>
        </w:rPr>
        <w:t>sistem.</w:t>
      </w:r>
    </w:p>
    <w:p w:rsidR="00310945" w:rsidRPr="00095948" w:rsidRDefault="00F72042" w:rsidP="00EC1790">
      <w:pPr>
        <w:autoSpaceDE w:val="0"/>
        <w:autoSpaceDN w:val="0"/>
        <w:adjustRightInd w:val="0"/>
        <w:spacing w:after="120" w:line="240" w:lineRule="auto"/>
        <w:jc w:val="both"/>
        <w:rPr>
          <w:rFonts w:cs="Times New Roman"/>
          <w:szCs w:val="24"/>
          <w:lang w:val="fr-FR"/>
        </w:rPr>
      </w:pPr>
      <w:r w:rsidRPr="00095948">
        <w:rPr>
          <w:rFonts w:cs="Times New Roman"/>
          <w:szCs w:val="24"/>
          <w:lang w:val="fr-FR"/>
        </w:rPr>
        <w:t xml:space="preserve">Sprovođenje zakona o lokalnoj samoupravi inicijalno je proizvelo pozitivne efekte u oblasti finansiranja lokalne samouprave. </w:t>
      </w:r>
      <w:r w:rsidR="00310945" w:rsidRPr="00095948">
        <w:rPr>
          <w:rFonts w:cs="Times New Roman"/>
          <w:szCs w:val="24"/>
          <w:lang w:val="fr-FR"/>
        </w:rPr>
        <w:t xml:space="preserve">Ovim su se uvećali prihodi opština kako od poreza na lični dohodak tako i od transfera iz egalizacionog fonda. Ovaj zakon je pred Ustavnim sudom osporavala skupštinska opoziciona stranka. Ustavni sud odbio je zahtev. </w:t>
      </w:r>
    </w:p>
    <w:p w:rsidR="00310945" w:rsidRPr="00095948" w:rsidRDefault="00310945" w:rsidP="00EC1790">
      <w:pPr>
        <w:autoSpaceDE w:val="0"/>
        <w:autoSpaceDN w:val="0"/>
        <w:adjustRightInd w:val="0"/>
        <w:spacing w:after="120" w:line="240" w:lineRule="auto"/>
        <w:jc w:val="both"/>
        <w:rPr>
          <w:rFonts w:cs="Times New Roman"/>
          <w:szCs w:val="24"/>
          <w:lang w:val="fr-FR"/>
        </w:rPr>
      </w:pPr>
      <w:r w:rsidRPr="00095948">
        <w:rPr>
          <w:rFonts w:cs="Times New Roman"/>
          <w:szCs w:val="24"/>
          <w:lang w:val="fr-FR"/>
        </w:rPr>
        <w:t xml:space="preserve">Gradonačelnika Kotora, </w:t>
      </w:r>
      <w:r w:rsidR="004263A0" w:rsidRPr="00095948">
        <w:rPr>
          <w:rFonts w:cs="Times New Roman"/>
          <w:szCs w:val="24"/>
          <w:lang w:val="fr-FR"/>
        </w:rPr>
        <w:t>koji je član</w:t>
      </w:r>
      <w:r w:rsidRPr="00095948">
        <w:rPr>
          <w:rFonts w:cs="Times New Roman"/>
          <w:szCs w:val="24"/>
          <w:lang w:val="fr-FR"/>
        </w:rPr>
        <w:t xml:space="preserve"> opozicije, u julu</w:t>
      </w:r>
      <w:r w:rsidR="004263A0" w:rsidRPr="00095948">
        <w:rPr>
          <w:rFonts w:cs="Times New Roman"/>
          <w:szCs w:val="24"/>
          <w:lang w:val="fr-FR"/>
        </w:rPr>
        <w:t xml:space="preserve"> je zam</w:t>
      </w:r>
      <w:r w:rsidR="00904EDD" w:rsidRPr="00095948">
        <w:rPr>
          <w:rFonts w:cs="Times New Roman"/>
          <w:szCs w:val="24"/>
          <w:lang w:val="fr-FR"/>
        </w:rPr>
        <w:t>ij</w:t>
      </w:r>
      <w:r w:rsidRPr="00095948">
        <w:rPr>
          <w:rFonts w:cs="Times New Roman"/>
          <w:szCs w:val="24"/>
          <w:lang w:val="fr-FR"/>
        </w:rPr>
        <w:t>enio predstavnik vladajuće stranke, nakon raskola</w:t>
      </w:r>
      <w:r w:rsidR="00B5606F" w:rsidRPr="00095948">
        <w:rPr>
          <w:rFonts w:cs="Times New Roman"/>
          <w:szCs w:val="24"/>
          <w:lang w:val="fr-FR"/>
        </w:rPr>
        <w:t xml:space="preserve"> </w:t>
      </w:r>
      <w:r w:rsidRPr="00095948">
        <w:rPr>
          <w:rFonts w:cs="Times New Roman"/>
          <w:szCs w:val="24"/>
          <w:lang w:val="fr-FR"/>
        </w:rPr>
        <w:t>u lokalnoj opozicionoj koaliciji. U junu 2019. godine, lokalna skupština</w:t>
      </w:r>
      <w:r w:rsidR="00F02045" w:rsidRPr="00095948">
        <w:rPr>
          <w:rFonts w:cs="Times New Roman"/>
          <w:szCs w:val="24"/>
          <w:lang w:val="fr-FR"/>
        </w:rPr>
        <w:t xml:space="preserve"> opštine Pljev</w:t>
      </w:r>
      <w:r w:rsidRPr="00095948">
        <w:rPr>
          <w:rFonts w:cs="Times New Roman"/>
          <w:szCs w:val="24"/>
          <w:lang w:val="fr-FR"/>
        </w:rPr>
        <w:t>lja izabra</w:t>
      </w:r>
      <w:r w:rsidR="00B220AB" w:rsidRPr="00095948">
        <w:rPr>
          <w:rFonts w:cs="Times New Roman"/>
          <w:szCs w:val="24"/>
          <w:lang w:val="fr-FR"/>
        </w:rPr>
        <w:t>la je novog preds</w:t>
      </w:r>
      <w:r w:rsidR="00904EDD" w:rsidRPr="00095948">
        <w:rPr>
          <w:rFonts w:cs="Times New Roman"/>
          <w:szCs w:val="24"/>
          <w:lang w:val="fr-FR"/>
        </w:rPr>
        <w:t>j</w:t>
      </w:r>
      <w:r w:rsidR="00B220AB" w:rsidRPr="00095948">
        <w:rPr>
          <w:rFonts w:cs="Times New Roman"/>
          <w:szCs w:val="24"/>
          <w:lang w:val="fr-FR"/>
        </w:rPr>
        <w:t>ednika opštine, a posle</w:t>
      </w:r>
      <w:r w:rsidRPr="00095948">
        <w:rPr>
          <w:rFonts w:cs="Times New Roman"/>
          <w:szCs w:val="24"/>
          <w:lang w:val="fr-FR"/>
        </w:rPr>
        <w:t xml:space="preserve"> ostavke pret</w:t>
      </w:r>
      <w:r w:rsidR="00B220AB" w:rsidRPr="00095948">
        <w:rPr>
          <w:rFonts w:cs="Times New Roman"/>
          <w:szCs w:val="24"/>
          <w:lang w:val="fr-FR"/>
        </w:rPr>
        <w:t>hodnog. Učešće žena u politici ostaje slabo i u lokalu, sa samo jednom opštinom na čijem se čelu nalazi gradonačelnica</w:t>
      </w:r>
      <w:r w:rsidRPr="00095948">
        <w:rPr>
          <w:rFonts w:cs="Times New Roman"/>
          <w:szCs w:val="24"/>
          <w:lang w:val="fr-FR"/>
        </w:rPr>
        <w:t xml:space="preserve"> od 24 </w:t>
      </w:r>
      <w:r w:rsidR="00B220AB" w:rsidRPr="00095948">
        <w:rPr>
          <w:rFonts w:cs="Times New Roman"/>
          <w:szCs w:val="24"/>
          <w:lang w:val="fr-FR"/>
        </w:rPr>
        <w:t>koliko ih ima ukupno</w:t>
      </w:r>
      <w:r w:rsidRPr="00095948">
        <w:rPr>
          <w:rFonts w:cs="Times New Roman"/>
          <w:szCs w:val="24"/>
          <w:lang w:val="fr-FR"/>
        </w:rPr>
        <w:t>.</w:t>
      </w:r>
    </w:p>
    <w:p w:rsidR="00751D6A" w:rsidRPr="009A2018" w:rsidRDefault="00310945" w:rsidP="00EC1790">
      <w:pPr>
        <w:autoSpaceDE w:val="0"/>
        <w:autoSpaceDN w:val="0"/>
        <w:adjustRightInd w:val="0"/>
        <w:spacing w:after="120" w:line="240" w:lineRule="auto"/>
        <w:jc w:val="both"/>
        <w:rPr>
          <w:rFonts w:cs="Times New Roman"/>
          <w:b/>
          <w:szCs w:val="24"/>
        </w:rPr>
      </w:pPr>
      <w:r w:rsidRPr="009A2018">
        <w:rPr>
          <w:rFonts w:cs="Times New Roman"/>
          <w:b/>
          <w:szCs w:val="24"/>
        </w:rPr>
        <w:t>Civilno društvo</w:t>
      </w:r>
    </w:p>
    <w:tbl>
      <w:tblPr>
        <w:tblStyle w:val="TableGrid311"/>
        <w:tblW w:w="0" w:type="auto"/>
        <w:shd w:val="clear" w:color="auto" w:fill="D9D9D9" w:themeFill="background1" w:themeFillShade="D9"/>
        <w:tblLook w:val="04A0" w:firstRow="1" w:lastRow="0" w:firstColumn="1" w:lastColumn="0" w:noHBand="0" w:noVBand="1"/>
      </w:tblPr>
      <w:tblGrid>
        <w:gridCol w:w="9243"/>
      </w:tblGrid>
      <w:tr w:rsidR="00BC3825" w:rsidRPr="009A2018" w:rsidTr="00AB4F9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51D6A" w:rsidRPr="009A2018" w:rsidRDefault="00B220AB" w:rsidP="00EC1790">
            <w:pPr>
              <w:spacing w:after="120" w:line="240" w:lineRule="auto"/>
              <w:jc w:val="both"/>
              <w:rPr>
                <w:rFonts w:cs="Times New Roman"/>
                <w:szCs w:val="24"/>
              </w:rPr>
            </w:pPr>
            <w:r w:rsidRPr="009A2018">
              <w:rPr>
                <w:rFonts w:cs="Times New Roman"/>
                <w:szCs w:val="24"/>
              </w:rPr>
              <w:t>Pravno, institucionalno i finansijsko okruženje u kome funkcionišu organizacije civilnog društva još više je poboljšano, naroč</w:t>
            </w:r>
            <w:r w:rsidR="00321B98" w:rsidRPr="009A2018">
              <w:rPr>
                <w:rFonts w:cs="Times New Roman"/>
                <w:szCs w:val="24"/>
              </w:rPr>
              <w:t>ito kada se radi o pravilniku za finansiranje</w:t>
            </w:r>
            <w:r w:rsidRPr="009A2018">
              <w:rPr>
                <w:rFonts w:cs="Times New Roman"/>
                <w:szCs w:val="24"/>
              </w:rPr>
              <w:t xml:space="preserve"> nevladinih organizacija (NVO). Uloga civilnog društva u kreiranju, sprovođenju i praćenju javnih politika je prepoznata i promoviše se. Međutim, u praksi nije ostvarena dovoljna i prava uključenost organizacija civilnog društva u proces kreiranja politike. Pitanje koje još uv</w:t>
            </w:r>
            <w:r w:rsidR="00197F63" w:rsidRPr="009A2018">
              <w:rPr>
                <w:rFonts w:cs="Times New Roman"/>
                <w:szCs w:val="24"/>
              </w:rPr>
              <w:t>ij</w:t>
            </w:r>
            <w:r w:rsidRPr="009A2018">
              <w:rPr>
                <w:rFonts w:cs="Times New Roman"/>
                <w:szCs w:val="24"/>
              </w:rPr>
              <w:t xml:space="preserve">ek </w:t>
            </w:r>
            <w:r w:rsidR="000B7D22" w:rsidRPr="009A2018">
              <w:rPr>
                <w:rFonts w:cs="Times New Roman"/>
                <w:szCs w:val="24"/>
              </w:rPr>
              <w:t>izaziva</w:t>
            </w:r>
            <w:r w:rsidRPr="009A2018">
              <w:rPr>
                <w:rFonts w:cs="Times New Roman"/>
                <w:szCs w:val="24"/>
              </w:rPr>
              <w:t xml:space="preserve"> zabrinutost je sve restriktivniji pristup javnim informacijama. </w:t>
            </w:r>
          </w:p>
        </w:tc>
      </w:tr>
    </w:tbl>
    <w:p w:rsidR="00321B98" w:rsidRPr="009A2018" w:rsidRDefault="00321B98" w:rsidP="00EC1790">
      <w:pPr>
        <w:spacing w:after="120" w:line="240" w:lineRule="auto"/>
        <w:jc w:val="both"/>
        <w:rPr>
          <w:rFonts w:cs="Times New Roman"/>
          <w:szCs w:val="24"/>
          <w:lang w:eastAsia="en-GB"/>
        </w:rPr>
      </w:pPr>
      <w:bookmarkStart w:id="25" w:name="_Toc30080557"/>
      <w:bookmarkStart w:id="26" w:name="_Toc30074118"/>
      <w:bookmarkStart w:id="27" w:name="_Toc30073805"/>
      <w:bookmarkStart w:id="28" w:name="_Toc9585289"/>
      <w:r w:rsidRPr="009A2018">
        <w:rPr>
          <w:rFonts w:cs="Times New Roman"/>
          <w:szCs w:val="24"/>
          <w:lang w:eastAsia="en-GB"/>
        </w:rPr>
        <w:t>Osnaženo civilno društvo ključna je komponenta svakog demokratskog sistema te bi ga državne institucije trebale kao takvo prepoznati i tretirati.</w:t>
      </w:r>
    </w:p>
    <w:p w:rsidR="00751D6A" w:rsidRPr="00095948" w:rsidRDefault="00321B98" w:rsidP="00EC1790">
      <w:pPr>
        <w:spacing w:after="120" w:line="240" w:lineRule="auto"/>
        <w:jc w:val="both"/>
        <w:rPr>
          <w:rFonts w:cs="Times New Roman"/>
          <w:szCs w:val="24"/>
          <w:lang w:val="fr-FR"/>
        </w:rPr>
      </w:pPr>
      <w:r w:rsidRPr="009A2018">
        <w:rPr>
          <w:rFonts w:cs="Times New Roman"/>
          <w:szCs w:val="24"/>
          <w:lang w:eastAsia="en-GB"/>
        </w:rPr>
        <w:t xml:space="preserve">Sveukupni pravni i institucionalni okvir za slobodu izražavanja, udruživanja i </w:t>
      </w:r>
      <w:r w:rsidR="00BB62A0" w:rsidRPr="009A2018">
        <w:rPr>
          <w:rFonts w:cs="Times New Roman"/>
          <w:szCs w:val="24"/>
          <w:lang w:eastAsia="en-GB"/>
        </w:rPr>
        <w:t xml:space="preserve">mirnog </w:t>
      </w:r>
      <w:r w:rsidRPr="009A2018">
        <w:rPr>
          <w:rFonts w:cs="Times New Roman"/>
          <w:szCs w:val="24"/>
          <w:lang w:eastAsia="en-GB"/>
        </w:rPr>
        <w:t>okupljanja je uspostavljen. Zakon o nevladinim organizacijama, izm</w:t>
      </w:r>
      <w:r w:rsidR="00F7644B" w:rsidRPr="009A2018">
        <w:rPr>
          <w:rFonts w:cs="Times New Roman"/>
          <w:szCs w:val="24"/>
          <w:lang w:eastAsia="en-GB"/>
        </w:rPr>
        <w:t>ij</w:t>
      </w:r>
      <w:r w:rsidRPr="009A2018">
        <w:rPr>
          <w:rFonts w:cs="Times New Roman"/>
          <w:szCs w:val="24"/>
          <w:lang w:eastAsia="en-GB"/>
        </w:rPr>
        <w:t>enjen i dopunjen 2017. godine, i njegovi p</w:t>
      </w:r>
      <w:r w:rsidR="00E56B44" w:rsidRPr="009A2018">
        <w:rPr>
          <w:rFonts w:cs="Times New Roman"/>
          <w:szCs w:val="24"/>
          <w:lang w:eastAsia="en-GB"/>
        </w:rPr>
        <w:t>odzakonski akti, koji definišu standardizovane</w:t>
      </w:r>
      <w:r w:rsidRPr="009A2018">
        <w:rPr>
          <w:rFonts w:cs="Times New Roman"/>
          <w:szCs w:val="24"/>
          <w:lang w:eastAsia="en-GB"/>
        </w:rPr>
        <w:t xml:space="preserve"> i transparentnije mehanizme državnog finansiranja, počeli su </w:t>
      </w:r>
      <w:r w:rsidR="00E56B44" w:rsidRPr="009A2018">
        <w:rPr>
          <w:rFonts w:cs="Times New Roman"/>
          <w:szCs w:val="24"/>
          <w:lang w:eastAsia="en-GB"/>
        </w:rPr>
        <w:t>da se primjenjuju</w:t>
      </w:r>
      <w:r w:rsidRPr="009A2018">
        <w:rPr>
          <w:rFonts w:cs="Times New Roman"/>
          <w:szCs w:val="24"/>
          <w:lang w:eastAsia="en-GB"/>
        </w:rPr>
        <w:t xml:space="preserve">. Međutim, </w:t>
      </w:r>
      <w:r w:rsidR="00E56B44" w:rsidRPr="009A2018">
        <w:rPr>
          <w:rFonts w:cs="Times New Roman"/>
          <w:szCs w:val="24"/>
          <w:lang w:eastAsia="en-GB"/>
        </w:rPr>
        <w:t xml:space="preserve">kapacitet pokretanja i </w:t>
      </w:r>
      <w:r w:rsidR="00A87CFC" w:rsidRPr="009A2018">
        <w:rPr>
          <w:rFonts w:cs="Times New Roman"/>
          <w:szCs w:val="24"/>
          <w:lang w:eastAsia="en-GB"/>
        </w:rPr>
        <w:t>sprovođenja</w:t>
      </w:r>
      <w:r w:rsidR="00252149">
        <w:rPr>
          <w:rFonts w:cs="Times New Roman"/>
          <w:szCs w:val="24"/>
          <w:lang w:eastAsia="en-GB"/>
        </w:rPr>
        <w:t xml:space="preserve"> </w:t>
      </w:r>
      <w:r w:rsidR="00A87CFC" w:rsidRPr="009A2018">
        <w:rPr>
          <w:rFonts w:cs="Times New Roman"/>
          <w:szCs w:val="24"/>
          <w:lang w:eastAsia="en-GB"/>
        </w:rPr>
        <w:t>program</w:t>
      </w:r>
      <w:r w:rsidRPr="009A2018">
        <w:rPr>
          <w:rFonts w:cs="Times New Roman"/>
          <w:szCs w:val="24"/>
          <w:lang w:eastAsia="en-GB"/>
        </w:rPr>
        <w:t xml:space="preserve">a </w:t>
      </w:r>
      <w:r w:rsidR="00E56B44" w:rsidRPr="009A2018">
        <w:rPr>
          <w:rFonts w:cs="Times New Roman"/>
          <w:szCs w:val="24"/>
          <w:lang w:eastAsia="en-GB"/>
        </w:rPr>
        <w:t>za odobrenje</w:t>
      </w:r>
      <w:r w:rsidRPr="009A2018">
        <w:rPr>
          <w:rFonts w:cs="Times New Roman"/>
          <w:szCs w:val="24"/>
          <w:lang w:eastAsia="en-GB"/>
        </w:rPr>
        <w:t xml:space="preserve"> bespovratnih sredstava i dalje treba poboljšati, a</w:t>
      </w:r>
      <w:r w:rsidR="00A87CFC" w:rsidRPr="009A2018">
        <w:rPr>
          <w:rFonts w:cs="Times New Roman"/>
          <w:szCs w:val="24"/>
          <w:lang w:eastAsia="en-GB"/>
        </w:rPr>
        <w:t xml:space="preserve"> među ministarstvima</w:t>
      </w:r>
      <w:r w:rsidR="00252149">
        <w:rPr>
          <w:rFonts w:cs="Times New Roman"/>
          <w:szCs w:val="24"/>
          <w:lang w:eastAsia="en-GB"/>
        </w:rPr>
        <w:t xml:space="preserve"> </w:t>
      </w:r>
      <w:r w:rsidR="00F7644B" w:rsidRPr="009A2018">
        <w:rPr>
          <w:rFonts w:cs="Times New Roman"/>
          <w:szCs w:val="24"/>
          <w:lang w:eastAsia="en-GB"/>
        </w:rPr>
        <w:t>kapaciteti se ra</w:t>
      </w:r>
      <w:r w:rsidR="00A87CFC" w:rsidRPr="009A2018">
        <w:rPr>
          <w:rFonts w:cs="Times New Roman"/>
          <w:szCs w:val="24"/>
          <w:lang w:eastAsia="en-GB"/>
        </w:rPr>
        <w:t>zlikuju</w:t>
      </w:r>
      <w:r w:rsidRPr="009A2018">
        <w:rPr>
          <w:rFonts w:cs="Times New Roman"/>
          <w:szCs w:val="24"/>
          <w:lang w:eastAsia="en-GB"/>
        </w:rPr>
        <w:t xml:space="preserve">. U aprilu 2020. godine, Ministarstvo javne uprave pokrenulo je </w:t>
      </w:r>
      <w:r w:rsidR="00EF2E14" w:rsidRPr="009A2018">
        <w:rPr>
          <w:rFonts w:cs="Times New Roman"/>
          <w:szCs w:val="24"/>
          <w:lang w:eastAsia="en-GB"/>
        </w:rPr>
        <w:t>javne konsultacije za oc</w:t>
      </w:r>
      <w:r w:rsidR="00F7644B" w:rsidRPr="009A2018">
        <w:rPr>
          <w:rFonts w:cs="Times New Roman"/>
          <w:szCs w:val="24"/>
          <w:lang w:eastAsia="en-GB"/>
        </w:rPr>
        <w:t>j</w:t>
      </w:r>
      <w:r w:rsidR="00EF2E14" w:rsidRPr="009A2018">
        <w:rPr>
          <w:rFonts w:cs="Times New Roman"/>
          <w:szCs w:val="24"/>
          <w:lang w:eastAsia="en-GB"/>
        </w:rPr>
        <w:t>enu sprovođenja</w:t>
      </w:r>
      <w:r w:rsidRPr="009A2018">
        <w:rPr>
          <w:rFonts w:cs="Times New Roman"/>
          <w:szCs w:val="24"/>
          <w:lang w:eastAsia="en-GB"/>
        </w:rPr>
        <w:t xml:space="preserve"> zakona i uspostavilo radnu grupu </w:t>
      </w:r>
      <w:r w:rsidR="00EF2E14" w:rsidRPr="009A2018">
        <w:rPr>
          <w:rFonts w:cs="Times New Roman"/>
          <w:szCs w:val="24"/>
          <w:lang w:eastAsia="en-GB"/>
        </w:rPr>
        <w:t>u kojoj su predstavnici nevladinih organizacija činili trećinu</w:t>
      </w:r>
      <w:r w:rsidRPr="009A2018">
        <w:rPr>
          <w:rFonts w:cs="Times New Roman"/>
          <w:szCs w:val="24"/>
          <w:lang w:eastAsia="en-GB"/>
        </w:rPr>
        <w:t xml:space="preserve"> članova</w:t>
      </w:r>
      <w:r w:rsidR="006F16C6" w:rsidRPr="009A2018">
        <w:rPr>
          <w:rFonts w:cs="Times New Roman"/>
          <w:szCs w:val="24"/>
        </w:rPr>
        <w:t>.</w:t>
      </w:r>
      <w:r w:rsidR="00EF2E14" w:rsidRPr="009A2018">
        <w:rPr>
          <w:rFonts w:cs="Times New Roman"/>
          <w:szCs w:val="24"/>
        </w:rPr>
        <w:t xml:space="preserve"> Još uv</w:t>
      </w:r>
      <w:r w:rsidR="00F7644B" w:rsidRPr="009A2018">
        <w:rPr>
          <w:rFonts w:cs="Times New Roman"/>
          <w:szCs w:val="24"/>
        </w:rPr>
        <w:t>ij</w:t>
      </w:r>
      <w:r w:rsidR="00EF2E14" w:rsidRPr="009A2018">
        <w:rPr>
          <w:rFonts w:cs="Times New Roman"/>
          <w:szCs w:val="24"/>
        </w:rPr>
        <w:t xml:space="preserve">ek nije usvojen </w:t>
      </w:r>
      <w:r w:rsidR="00C771E2">
        <w:rPr>
          <w:rFonts w:cs="Times New Roman"/>
          <w:szCs w:val="24"/>
        </w:rPr>
        <w:t>Z</w:t>
      </w:r>
      <w:r w:rsidR="00C771E2" w:rsidRPr="009A2018">
        <w:rPr>
          <w:rFonts w:cs="Times New Roman"/>
          <w:szCs w:val="24"/>
        </w:rPr>
        <w:t xml:space="preserve">akon </w:t>
      </w:r>
      <w:r w:rsidR="00EF2E14" w:rsidRPr="009A2018">
        <w:rPr>
          <w:rFonts w:cs="Times New Roman"/>
          <w:szCs w:val="24"/>
        </w:rPr>
        <w:t>o volontiranju. P</w:t>
      </w:r>
      <w:r w:rsidR="00A87CFC" w:rsidRPr="009A2018">
        <w:rPr>
          <w:rFonts w:cs="Times New Roman"/>
          <w:szCs w:val="24"/>
        </w:rPr>
        <w:t>reduzeti su dalji koraci ka unap</w:t>
      </w:r>
      <w:r w:rsidR="00EF2E14" w:rsidRPr="009A2018">
        <w:rPr>
          <w:rFonts w:cs="Times New Roman"/>
          <w:szCs w:val="24"/>
        </w:rPr>
        <w:t>ređenju dijaloga o saradnji između javnih institucija i civilnog društva. Sav</w:t>
      </w:r>
      <w:r w:rsidR="00F7644B" w:rsidRPr="009A2018">
        <w:rPr>
          <w:rFonts w:cs="Times New Roman"/>
          <w:szCs w:val="24"/>
        </w:rPr>
        <w:t>j</w:t>
      </w:r>
      <w:r w:rsidR="00EF2E14" w:rsidRPr="009A2018">
        <w:rPr>
          <w:rFonts w:cs="Times New Roman"/>
          <w:szCs w:val="24"/>
        </w:rPr>
        <w:t>et za razvoj nevladinih organizac</w:t>
      </w:r>
      <w:r w:rsidR="00A87CFC" w:rsidRPr="009A2018">
        <w:rPr>
          <w:rFonts w:cs="Times New Roman"/>
          <w:szCs w:val="24"/>
        </w:rPr>
        <w:t>ija, t</w:t>
      </w:r>
      <w:r w:rsidR="00F7644B" w:rsidRPr="009A2018">
        <w:rPr>
          <w:rFonts w:cs="Times New Roman"/>
          <w:szCs w:val="24"/>
        </w:rPr>
        <w:t>ij</w:t>
      </w:r>
      <w:r w:rsidR="00A87CFC" w:rsidRPr="009A2018">
        <w:rPr>
          <w:rFonts w:cs="Times New Roman"/>
          <w:szCs w:val="24"/>
        </w:rPr>
        <w:t xml:space="preserve">elo koje čini </w:t>
      </w:r>
      <w:r w:rsidR="00A87CFC" w:rsidRPr="009A2018">
        <w:rPr>
          <w:rFonts w:cs="Times New Roman"/>
          <w:szCs w:val="24"/>
        </w:rPr>
        <w:lastRenderedPageBreak/>
        <w:t>jednak</w:t>
      </w:r>
      <w:r w:rsidR="00EF2E14" w:rsidRPr="009A2018">
        <w:rPr>
          <w:rFonts w:cs="Times New Roman"/>
          <w:szCs w:val="24"/>
        </w:rPr>
        <w:t xml:space="preserve"> broj državnih funkcionera i predstavnik</w:t>
      </w:r>
      <w:r w:rsidR="00A87CFC" w:rsidRPr="009A2018">
        <w:rPr>
          <w:rFonts w:cs="Times New Roman"/>
          <w:szCs w:val="24"/>
        </w:rPr>
        <w:t>a civilnog društva, intenzivira</w:t>
      </w:r>
      <w:r w:rsidR="00EF2E14" w:rsidRPr="009A2018">
        <w:rPr>
          <w:rFonts w:cs="Times New Roman"/>
          <w:szCs w:val="24"/>
        </w:rPr>
        <w:t>o je svoj rad u 2019. godini. Međutim, još uv</w:t>
      </w:r>
      <w:r w:rsidR="00F7644B" w:rsidRPr="009A2018">
        <w:rPr>
          <w:rFonts w:cs="Times New Roman"/>
          <w:szCs w:val="24"/>
        </w:rPr>
        <w:t>ij</w:t>
      </w:r>
      <w:r w:rsidR="00EF2E14" w:rsidRPr="009A2018">
        <w:rPr>
          <w:rFonts w:cs="Times New Roman"/>
          <w:szCs w:val="24"/>
        </w:rPr>
        <w:t xml:space="preserve">ek </w:t>
      </w:r>
      <w:r w:rsidR="00BB62A0" w:rsidRPr="009A2018">
        <w:rPr>
          <w:rFonts w:cs="Times New Roman"/>
          <w:szCs w:val="24"/>
        </w:rPr>
        <w:t xml:space="preserve">mu </w:t>
      </w:r>
      <w:r w:rsidR="00EF2E14" w:rsidRPr="009A2018">
        <w:rPr>
          <w:rFonts w:cs="Times New Roman"/>
          <w:szCs w:val="24"/>
        </w:rPr>
        <w:t>nedostaje vidljivost i uključenje lokalni</w:t>
      </w:r>
      <w:r w:rsidR="00A87CFC" w:rsidRPr="009A2018">
        <w:rPr>
          <w:rFonts w:cs="Times New Roman"/>
          <w:szCs w:val="24"/>
        </w:rPr>
        <w:t xml:space="preserve">h organizacija civilnog društva </w:t>
      </w:r>
      <w:r w:rsidR="00EF2E14" w:rsidRPr="009A2018">
        <w:rPr>
          <w:rFonts w:cs="Times New Roman"/>
          <w:szCs w:val="24"/>
        </w:rPr>
        <w:t xml:space="preserve">koje se nalaze u zabačenijim područjima. </w:t>
      </w:r>
      <w:r w:rsidR="00EF2E14" w:rsidRPr="00095948">
        <w:rPr>
          <w:rFonts w:cs="Times New Roman"/>
          <w:szCs w:val="24"/>
          <w:lang w:val="fr-FR"/>
        </w:rPr>
        <w:t xml:space="preserve">Strategija </w:t>
      </w:r>
      <w:r w:rsidR="00A87CFC" w:rsidRPr="00095948">
        <w:rPr>
          <w:rFonts w:cs="Times New Roman"/>
          <w:szCs w:val="24"/>
          <w:lang w:val="fr-FR"/>
        </w:rPr>
        <w:t xml:space="preserve">razvoja </w:t>
      </w:r>
      <w:r w:rsidR="00EF2E14" w:rsidRPr="00095948">
        <w:rPr>
          <w:rFonts w:cs="Times New Roman"/>
          <w:szCs w:val="24"/>
          <w:lang w:val="fr-FR"/>
        </w:rPr>
        <w:t xml:space="preserve">nevladinih organizacija nastavila </w:t>
      </w:r>
      <w:r w:rsidR="00BB62A0" w:rsidRPr="00095948">
        <w:rPr>
          <w:rFonts w:cs="Times New Roman"/>
          <w:szCs w:val="24"/>
          <w:lang w:val="fr-FR"/>
        </w:rPr>
        <w:t xml:space="preserve">je </w:t>
      </w:r>
      <w:r w:rsidR="00EF2E14" w:rsidRPr="00095948">
        <w:rPr>
          <w:rFonts w:cs="Times New Roman"/>
          <w:szCs w:val="24"/>
          <w:lang w:val="fr-FR"/>
        </w:rPr>
        <w:t xml:space="preserve">da se implementira. </w:t>
      </w:r>
      <w:r w:rsidR="00A87CFC" w:rsidRPr="00095948">
        <w:rPr>
          <w:rFonts w:cs="Times New Roman"/>
          <w:szCs w:val="24"/>
          <w:lang w:val="fr-FR"/>
        </w:rPr>
        <w:t xml:space="preserve">U pripremi je finalna </w:t>
      </w:r>
      <w:r w:rsidR="00C771E2" w:rsidRPr="00095948">
        <w:rPr>
          <w:rFonts w:cs="Times New Roman"/>
          <w:szCs w:val="24"/>
          <w:lang w:val="fr-FR"/>
        </w:rPr>
        <w:t>evaluacij</w:t>
      </w:r>
      <w:r w:rsidR="00C771E2">
        <w:rPr>
          <w:rFonts w:cs="Times New Roman"/>
          <w:szCs w:val="24"/>
          <w:lang w:val="fr-FR"/>
        </w:rPr>
        <w:t>a</w:t>
      </w:r>
      <w:r w:rsidR="00C771E2" w:rsidRPr="00095948">
        <w:rPr>
          <w:rFonts w:cs="Times New Roman"/>
          <w:szCs w:val="24"/>
          <w:lang w:val="fr-FR"/>
        </w:rPr>
        <w:t xml:space="preserve"> </w:t>
      </w:r>
      <w:r w:rsidR="00C771E2">
        <w:rPr>
          <w:rFonts w:cs="Times New Roman"/>
          <w:szCs w:val="24"/>
          <w:lang w:val="fr-FR"/>
        </w:rPr>
        <w:t>S</w:t>
      </w:r>
      <w:r w:rsidR="00C771E2" w:rsidRPr="00095948">
        <w:rPr>
          <w:rFonts w:cs="Times New Roman"/>
          <w:szCs w:val="24"/>
          <w:lang w:val="fr-FR"/>
        </w:rPr>
        <w:t xml:space="preserve">trategije </w:t>
      </w:r>
      <w:r w:rsidR="00A87CFC" w:rsidRPr="00095948">
        <w:rPr>
          <w:rFonts w:cs="Times New Roman"/>
          <w:szCs w:val="24"/>
          <w:lang w:val="fr-FR"/>
        </w:rPr>
        <w:t>za period</w:t>
      </w:r>
      <w:r w:rsidR="006F16C6" w:rsidRPr="00095948">
        <w:rPr>
          <w:rFonts w:cs="Times New Roman"/>
          <w:szCs w:val="24"/>
          <w:lang w:val="fr-FR"/>
        </w:rPr>
        <w:t xml:space="preserve"> 2018-2020</w:t>
      </w:r>
      <w:r w:rsidR="00A87CFC" w:rsidRPr="00095948">
        <w:rPr>
          <w:rFonts w:cs="Times New Roman"/>
          <w:szCs w:val="24"/>
          <w:lang w:val="fr-FR"/>
        </w:rPr>
        <w:t>. Proces sačinjavanja no</w:t>
      </w:r>
      <w:r w:rsidR="00F7644B" w:rsidRPr="00095948">
        <w:rPr>
          <w:rFonts w:cs="Times New Roman"/>
          <w:szCs w:val="24"/>
          <w:lang w:val="fr-FR"/>
        </w:rPr>
        <w:t>ve Strategije za nevladine or</w:t>
      </w:r>
      <w:r w:rsidR="00A87CFC" w:rsidRPr="00095948">
        <w:rPr>
          <w:rFonts w:cs="Times New Roman"/>
          <w:szCs w:val="24"/>
          <w:lang w:val="fr-FR"/>
        </w:rPr>
        <w:t>ganizacije za period 2021-2023 je započet uz učešće predstavnika civilnog društva u radu relevantne radne grupe</w:t>
      </w:r>
      <w:r w:rsidR="006F16C6" w:rsidRPr="00095948">
        <w:rPr>
          <w:rFonts w:cs="Times New Roman"/>
          <w:szCs w:val="24"/>
          <w:lang w:val="fr-FR"/>
        </w:rPr>
        <w:t xml:space="preserve">.  </w:t>
      </w:r>
    </w:p>
    <w:p w:rsidR="002D6A0F" w:rsidRPr="00095948" w:rsidRDefault="002D6A0F" w:rsidP="00EC1790">
      <w:pPr>
        <w:spacing w:after="120" w:line="240" w:lineRule="auto"/>
        <w:jc w:val="both"/>
        <w:rPr>
          <w:rFonts w:cs="Times New Roman"/>
          <w:szCs w:val="24"/>
          <w:lang w:val="fr-FR"/>
        </w:rPr>
      </w:pPr>
      <w:r w:rsidRPr="00095948">
        <w:rPr>
          <w:rFonts w:cs="Times New Roman"/>
          <w:szCs w:val="24"/>
          <w:lang w:val="fr-FR"/>
        </w:rPr>
        <w:t xml:space="preserve">Civilno društvo je i dalje aktivno uključeno u proces pristupanja, kao i u različite radne grupe za pregovaračka poglavlja. Njegova uloga u procesu pristupanja je prepoznata i promoviše se na političkom nivou. Međutim, u mnogim slučajevima, učestvovanje NVO-a u radnim grupama ostaje formalnost; </w:t>
      </w:r>
      <w:r w:rsidR="000923BD" w:rsidRPr="00095948">
        <w:rPr>
          <w:rFonts w:cs="Times New Roman"/>
          <w:szCs w:val="24"/>
          <w:lang w:val="fr-FR"/>
        </w:rPr>
        <w:t>zbog nepravovremenog dobijanja</w:t>
      </w:r>
      <w:r w:rsidRPr="00095948">
        <w:rPr>
          <w:rFonts w:cs="Times New Roman"/>
          <w:szCs w:val="24"/>
          <w:lang w:val="fr-FR"/>
        </w:rPr>
        <w:t xml:space="preserve"> informacija, uključivanja i nepostojanja otvorenosti za njihove preporuke</w:t>
      </w:r>
      <w:r w:rsidR="000923BD" w:rsidRPr="00095948">
        <w:rPr>
          <w:rFonts w:cs="Times New Roman"/>
          <w:szCs w:val="24"/>
          <w:lang w:val="fr-FR"/>
        </w:rPr>
        <w:t>, oni</w:t>
      </w:r>
      <w:r w:rsidRPr="00095948">
        <w:rPr>
          <w:rFonts w:cs="Times New Roman"/>
          <w:szCs w:val="24"/>
          <w:lang w:val="fr-FR"/>
        </w:rPr>
        <w:t xml:space="preserve"> ni</w:t>
      </w:r>
      <w:r w:rsidR="00252149" w:rsidRPr="00095948">
        <w:rPr>
          <w:rFonts w:cs="Times New Roman"/>
          <w:szCs w:val="24"/>
          <w:lang w:val="fr-FR"/>
        </w:rPr>
        <w:t>je</w:t>
      </w:r>
      <w:r w:rsidRPr="00095948">
        <w:rPr>
          <w:rFonts w:cs="Times New Roman"/>
          <w:szCs w:val="24"/>
          <w:lang w:val="fr-FR"/>
        </w:rPr>
        <w:t>su u mogućnosti da utiču na proces donošenja odluka. U februaru 2020. godine, premijer</w:t>
      </w:r>
      <w:r w:rsidR="00252149" w:rsidRPr="00095948">
        <w:rPr>
          <w:rFonts w:cs="Times New Roman"/>
          <w:szCs w:val="24"/>
          <w:lang w:val="fr-FR"/>
        </w:rPr>
        <w:t xml:space="preserve"> je pokrenuo niz konsultacija s</w:t>
      </w:r>
      <w:r w:rsidRPr="00095948">
        <w:rPr>
          <w:rFonts w:cs="Times New Roman"/>
          <w:szCs w:val="24"/>
          <w:lang w:val="fr-FR"/>
        </w:rPr>
        <w:t xml:space="preserve"> civilnim društvom, medijima i političkim akterima o pitanjima koja su od ključnog značaja za proces pristupanja Crne Gore. Ova inicijativa je nastavljena u maju 2020. godine, pošto je </w:t>
      </w:r>
      <w:r w:rsidR="000923BD" w:rsidRPr="00095948">
        <w:rPr>
          <w:rFonts w:cs="Times New Roman"/>
          <w:szCs w:val="24"/>
          <w:lang w:val="fr-FR"/>
        </w:rPr>
        <w:t xml:space="preserve">zbog pojave korona virusa </w:t>
      </w:r>
      <w:r w:rsidRPr="00095948">
        <w:rPr>
          <w:rFonts w:cs="Times New Roman"/>
          <w:szCs w:val="24"/>
          <w:lang w:val="fr-FR"/>
        </w:rPr>
        <w:t>privremeno zamrznuta u martu 2020. godine.</w:t>
      </w:r>
    </w:p>
    <w:p w:rsidR="002D6A0F" w:rsidRPr="00095948" w:rsidRDefault="002D6A0F" w:rsidP="00EC1790">
      <w:pPr>
        <w:spacing w:after="120" w:line="240" w:lineRule="auto"/>
        <w:jc w:val="both"/>
        <w:rPr>
          <w:rFonts w:cs="Times New Roman"/>
          <w:szCs w:val="24"/>
          <w:lang w:val="fr-FR"/>
        </w:rPr>
      </w:pPr>
      <w:r w:rsidRPr="00095948">
        <w:rPr>
          <w:rFonts w:cs="Times New Roman"/>
          <w:szCs w:val="24"/>
          <w:lang w:val="fr-FR"/>
        </w:rPr>
        <w:t>Sve je veći broj</w:t>
      </w:r>
      <w:r w:rsidR="00620E1E" w:rsidRPr="00095948">
        <w:rPr>
          <w:rFonts w:cs="Times New Roman"/>
          <w:szCs w:val="24"/>
          <w:lang w:val="fr-FR"/>
        </w:rPr>
        <w:t xml:space="preserve"> </w:t>
      </w:r>
      <w:r w:rsidRPr="00095948">
        <w:rPr>
          <w:rFonts w:cs="Times New Roman"/>
          <w:szCs w:val="24"/>
          <w:lang w:val="fr-FR"/>
        </w:rPr>
        <w:t>informacija na koje javne ustanove stavljaju oznaku tajnosti i koje čuvaju od javnosti,</w:t>
      </w:r>
      <w:r w:rsidR="00C57E24" w:rsidRPr="00095948">
        <w:rPr>
          <w:rFonts w:cs="Times New Roman"/>
          <w:szCs w:val="24"/>
          <w:lang w:val="fr-FR"/>
        </w:rPr>
        <w:t xml:space="preserve"> te tako u praksi ograničavaju organizacijama civilnog društva</w:t>
      </w:r>
      <w:r w:rsidRPr="00095948">
        <w:rPr>
          <w:rFonts w:cs="Times New Roman"/>
          <w:szCs w:val="24"/>
          <w:lang w:val="fr-FR"/>
        </w:rPr>
        <w:t xml:space="preserve"> i </w:t>
      </w:r>
      <w:r w:rsidR="00C57E24" w:rsidRPr="00095948">
        <w:rPr>
          <w:rFonts w:cs="Times New Roman"/>
          <w:szCs w:val="24"/>
          <w:lang w:val="fr-FR"/>
        </w:rPr>
        <w:t>građanstvu</w:t>
      </w:r>
      <w:r w:rsidR="00461815" w:rsidRPr="00095948">
        <w:rPr>
          <w:rFonts w:cs="Times New Roman"/>
          <w:szCs w:val="24"/>
          <w:lang w:val="fr-FR"/>
        </w:rPr>
        <w:t xml:space="preserve"> </w:t>
      </w:r>
      <w:r w:rsidR="00C57E24" w:rsidRPr="00095948">
        <w:rPr>
          <w:rFonts w:cs="Times New Roman"/>
          <w:szCs w:val="24"/>
          <w:lang w:val="fr-FR"/>
        </w:rPr>
        <w:t xml:space="preserve">pristup </w:t>
      </w:r>
      <w:r w:rsidRPr="00095948">
        <w:rPr>
          <w:rFonts w:cs="Times New Roman"/>
          <w:szCs w:val="24"/>
          <w:lang w:val="fr-FR"/>
        </w:rPr>
        <w:t>k</w:t>
      </w:r>
      <w:r w:rsidR="00C57E24" w:rsidRPr="00095948">
        <w:rPr>
          <w:rFonts w:cs="Times New Roman"/>
          <w:szCs w:val="24"/>
          <w:lang w:val="fr-FR"/>
        </w:rPr>
        <w:t xml:space="preserve">ljučnim političkim odlukama. Ovim problematičnim pitanjem </w:t>
      </w:r>
      <w:r w:rsidRPr="00095948">
        <w:rPr>
          <w:rFonts w:cs="Times New Roman"/>
          <w:szCs w:val="24"/>
          <w:lang w:val="fr-FR"/>
        </w:rPr>
        <w:t>treba se</w:t>
      </w:r>
      <w:r w:rsidR="00C57E24" w:rsidRPr="00095948">
        <w:rPr>
          <w:rFonts w:cs="Times New Roman"/>
          <w:szCs w:val="24"/>
          <w:lang w:val="fr-FR"/>
        </w:rPr>
        <w:t xml:space="preserve"> prioritetno</w:t>
      </w:r>
      <w:r w:rsidRPr="00095948">
        <w:rPr>
          <w:rFonts w:cs="Times New Roman"/>
          <w:szCs w:val="24"/>
          <w:lang w:val="fr-FR"/>
        </w:rPr>
        <w:t xml:space="preserve"> pozabaviti,</w:t>
      </w:r>
      <w:r w:rsidR="00C57E24" w:rsidRPr="00095948">
        <w:rPr>
          <w:rFonts w:cs="Times New Roman"/>
          <w:szCs w:val="24"/>
          <w:lang w:val="fr-FR"/>
        </w:rPr>
        <w:t xml:space="preserve"> što treba da uključ</w:t>
      </w:r>
      <w:r w:rsidRPr="00095948">
        <w:rPr>
          <w:rFonts w:cs="Times New Roman"/>
          <w:szCs w:val="24"/>
          <w:lang w:val="fr-FR"/>
        </w:rPr>
        <w:t xml:space="preserve">i </w:t>
      </w:r>
      <w:r w:rsidR="00C57E24" w:rsidRPr="00095948">
        <w:rPr>
          <w:rFonts w:cs="Times New Roman"/>
          <w:szCs w:val="24"/>
          <w:lang w:val="fr-FR"/>
        </w:rPr>
        <w:t>i revidiranje</w:t>
      </w:r>
      <w:r w:rsidRPr="00095948">
        <w:rPr>
          <w:rFonts w:cs="Times New Roman"/>
          <w:szCs w:val="24"/>
          <w:lang w:val="fr-FR"/>
        </w:rPr>
        <w:t xml:space="preserve"> pravnog okvira, kako bi se osiguralo da civilno društvo ima </w:t>
      </w:r>
      <w:r w:rsidR="00C57E24" w:rsidRPr="00095948">
        <w:rPr>
          <w:rFonts w:cs="Times New Roman"/>
          <w:szCs w:val="24"/>
          <w:lang w:val="fr-FR"/>
        </w:rPr>
        <w:t xml:space="preserve">pravi </w:t>
      </w:r>
      <w:r w:rsidRPr="00095948">
        <w:rPr>
          <w:rFonts w:cs="Times New Roman"/>
          <w:szCs w:val="24"/>
          <w:lang w:val="fr-FR"/>
        </w:rPr>
        <w:t xml:space="preserve">nadzor u ključnim oblastima politike. Konsultacije o </w:t>
      </w:r>
      <w:r w:rsidR="00C771E2">
        <w:rPr>
          <w:rFonts w:cs="Times New Roman"/>
          <w:szCs w:val="24"/>
          <w:lang w:val="fr-FR"/>
        </w:rPr>
        <w:t>N</w:t>
      </w:r>
      <w:r w:rsidR="00C771E2" w:rsidRPr="00095948">
        <w:rPr>
          <w:rFonts w:cs="Times New Roman"/>
          <w:szCs w:val="24"/>
          <w:lang w:val="fr-FR"/>
        </w:rPr>
        <w:t xml:space="preserve">acrtu </w:t>
      </w:r>
      <w:r w:rsidRPr="00095948">
        <w:rPr>
          <w:rFonts w:cs="Times New Roman"/>
          <w:szCs w:val="24"/>
          <w:lang w:val="fr-FR"/>
        </w:rPr>
        <w:t xml:space="preserve">zakona o slobodnom pristupu informacijama </w:t>
      </w:r>
      <w:r w:rsidR="00C57E24" w:rsidRPr="00095948">
        <w:rPr>
          <w:rFonts w:cs="Times New Roman"/>
          <w:szCs w:val="24"/>
          <w:lang w:val="fr-FR"/>
        </w:rPr>
        <w:t>su na zaht</w:t>
      </w:r>
      <w:r w:rsidR="00F7644B" w:rsidRPr="00095948">
        <w:rPr>
          <w:rFonts w:cs="Times New Roman"/>
          <w:szCs w:val="24"/>
          <w:lang w:val="fr-FR"/>
        </w:rPr>
        <w:t>j</w:t>
      </w:r>
      <w:r w:rsidR="00C57E24" w:rsidRPr="00095948">
        <w:rPr>
          <w:rFonts w:cs="Times New Roman"/>
          <w:szCs w:val="24"/>
          <w:lang w:val="fr-FR"/>
        </w:rPr>
        <w:t xml:space="preserve">ev civilnog društva privremeno </w:t>
      </w:r>
      <w:r w:rsidR="000923BD" w:rsidRPr="00095948">
        <w:rPr>
          <w:rFonts w:cs="Times New Roman"/>
          <w:szCs w:val="24"/>
          <w:lang w:val="fr-FR"/>
        </w:rPr>
        <w:t>o</w:t>
      </w:r>
      <w:r w:rsidR="00C57E24" w:rsidRPr="00095948">
        <w:rPr>
          <w:rFonts w:cs="Times New Roman"/>
          <w:szCs w:val="24"/>
          <w:lang w:val="fr-FR"/>
        </w:rPr>
        <w:t xml:space="preserve">bustavljene </w:t>
      </w:r>
      <w:r w:rsidRPr="00095948">
        <w:rPr>
          <w:rFonts w:cs="Times New Roman"/>
          <w:szCs w:val="24"/>
          <w:lang w:val="fr-FR"/>
        </w:rPr>
        <w:t>tokom pandemije koronavirusa.</w:t>
      </w:r>
    </w:p>
    <w:p w:rsidR="00C57E24" w:rsidRPr="00095948" w:rsidRDefault="00C57E24" w:rsidP="00EC1790">
      <w:pPr>
        <w:spacing w:after="120" w:line="240" w:lineRule="auto"/>
        <w:jc w:val="both"/>
        <w:rPr>
          <w:rFonts w:cs="Times New Roman"/>
          <w:szCs w:val="24"/>
          <w:lang w:val="fr-FR"/>
        </w:rPr>
      </w:pPr>
      <w:r w:rsidRPr="00095948">
        <w:rPr>
          <w:rFonts w:cs="Times New Roman"/>
          <w:szCs w:val="24"/>
          <w:lang w:val="fr-FR"/>
        </w:rPr>
        <w:t>Sudskim odlukama, koje su don</w:t>
      </w:r>
      <w:r w:rsidR="00F7644B" w:rsidRPr="00095948">
        <w:rPr>
          <w:rFonts w:cs="Times New Roman"/>
          <w:szCs w:val="24"/>
          <w:lang w:val="fr-FR"/>
        </w:rPr>
        <w:t>ij</w:t>
      </w:r>
      <w:r w:rsidRPr="00095948">
        <w:rPr>
          <w:rFonts w:cs="Times New Roman"/>
          <w:szCs w:val="24"/>
          <w:lang w:val="fr-FR"/>
        </w:rPr>
        <w:t>ete tokom 2019. godine, kontroverzna otpuštanja istaknutih predstavnika nevladinih organizacija iz ključnih državnih institucija i regulatornih t</w:t>
      </w:r>
      <w:r w:rsidR="00F7644B" w:rsidRPr="00095948">
        <w:rPr>
          <w:rFonts w:cs="Times New Roman"/>
          <w:szCs w:val="24"/>
          <w:lang w:val="fr-FR"/>
        </w:rPr>
        <w:t>ij</w:t>
      </w:r>
      <w:r w:rsidRPr="00095948">
        <w:rPr>
          <w:rFonts w:cs="Times New Roman"/>
          <w:szCs w:val="24"/>
          <w:lang w:val="fr-FR"/>
        </w:rPr>
        <w:t>ela 2018. godine proglašena su nezakonitim. Bez obzira na ove sudske odluke, od kojih su neke pravosnažne, članstvo predstavnika NVO u predmetnim t</w:t>
      </w:r>
      <w:r w:rsidR="00F7644B" w:rsidRPr="00095948">
        <w:rPr>
          <w:rFonts w:cs="Times New Roman"/>
          <w:szCs w:val="24"/>
          <w:lang w:val="fr-FR"/>
        </w:rPr>
        <w:t>ij</w:t>
      </w:r>
      <w:r w:rsidRPr="00095948">
        <w:rPr>
          <w:rFonts w:cs="Times New Roman"/>
          <w:szCs w:val="24"/>
          <w:lang w:val="fr-FR"/>
        </w:rPr>
        <w:t>elima nije obnovljeno.</w:t>
      </w:r>
    </w:p>
    <w:p w:rsidR="00751D6A" w:rsidRPr="00095948" w:rsidRDefault="00C57E24" w:rsidP="00EC1790">
      <w:pPr>
        <w:spacing w:after="120" w:line="240" w:lineRule="auto"/>
        <w:jc w:val="both"/>
        <w:rPr>
          <w:rFonts w:cs="Times New Roman"/>
          <w:szCs w:val="24"/>
          <w:lang w:val="fr-FR"/>
        </w:rPr>
      </w:pPr>
      <w:r w:rsidRPr="00095948">
        <w:rPr>
          <w:rFonts w:cs="Times New Roman"/>
          <w:szCs w:val="24"/>
          <w:lang w:val="fr-FR"/>
        </w:rPr>
        <w:t xml:space="preserve">Pravilnik za javno finansiranje </w:t>
      </w:r>
      <w:r w:rsidR="00FE2B3C" w:rsidRPr="00095948">
        <w:rPr>
          <w:rFonts w:cs="Times New Roman"/>
          <w:szCs w:val="24"/>
          <w:lang w:val="fr-FR"/>
        </w:rPr>
        <w:t>organizacija civil</w:t>
      </w:r>
      <w:r w:rsidRPr="00095948">
        <w:rPr>
          <w:rFonts w:cs="Times New Roman"/>
          <w:szCs w:val="24"/>
          <w:lang w:val="fr-FR"/>
        </w:rPr>
        <w:t>nog društva obezb</w:t>
      </w:r>
      <w:r w:rsidR="00F7644B" w:rsidRPr="00095948">
        <w:rPr>
          <w:rFonts w:cs="Times New Roman"/>
          <w:szCs w:val="24"/>
          <w:lang w:val="fr-FR"/>
        </w:rPr>
        <w:t>j</w:t>
      </w:r>
      <w:r w:rsidRPr="00095948">
        <w:rPr>
          <w:rFonts w:cs="Times New Roman"/>
          <w:szCs w:val="24"/>
          <w:lang w:val="fr-FR"/>
        </w:rPr>
        <w:t xml:space="preserve">eđuje da najmanje 0,5% državnog budžeta bude </w:t>
      </w:r>
      <w:r w:rsidR="00FE2B3C" w:rsidRPr="00095948">
        <w:rPr>
          <w:rFonts w:cs="Times New Roman"/>
          <w:szCs w:val="24"/>
          <w:lang w:val="fr-FR"/>
        </w:rPr>
        <w:t>raspoređeno na civilno društvo</w:t>
      </w:r>
      <w:r w:rsidRPr="00095948">
        <w:rPr>
          <w:rFonts w:cs="Times New Roman"/>
          <w:szCs w:val="24"/>
          <w:lang w:val="fr-FR"/>
        </w:rPr>
        <w:t>. U 2019. godini ovaj budžet iznosio je 3,7 miliona EUR (u poređenju sa 4 miliona</w:t>
      </w:r>
      <w:r w:rsidR="00FE2B3C" w:rsidRPr="00095948">
        <w:rPr>
          <w:rFonts w:cs="Times New Roman"/>
          <w:szCs w:val="24"/>
          <w:lang w:val="fr-FR"/>
        </w:rPr>
        <w:t xml:space="preserve"> EUR u 2020. godini). Iako je angažovanjem eksternih </w:t>
      </w:r>
      <w:r w:rsidR="003D7EB3" w:rsidRPr="00095948">
        <w:rPr>
          <w:rFonts w:cs="Times New Roman"/>
          <w:szCs w:val="24"/>
          <w:lang w:val="fr-FR"/>
        </w:rPr>
        <w:t>proc</w:t>
      </w:r>
      <w:r w:rsidR="00F7644B" w:rsidRPr="00095948">
        <w:rPr>
          <w:rFonts w:cs="Times New Roman"/>
          <w:szCs w:val="24"/>
          <w:lang w:val="fr-FR"/>
        </w:rPr>
        <w:t>j</w:t>
      </w:r>
      <w:r w:rsidR="00FE2B3C" w:rsidRPr="00095948">
        <w:rPr>
          <w:rFonts w:cs="Times New Roman"/>
          <w:szCs w:val="24"/>
          <w:lang w:val="fr-FR"/>
        </w:rPr>
        <w:t>enitelja c</w:t>
      </w:r>
      <w:r w:rsidR="00F7644B" w:rsidRPr="00095948">
        <w:rPr>
          <w:rFonts w:cs="Times New Roman"/>
          <w:szCs w:val="24"/>
          <w:lang w:val="fr-FR"/>
        </w:rPr>
        <w:t>j</w:t>
      </w:r>
      <w:r w:rsidRPr="00095948">
        <w:rPr>
          <w:rFonts w:cs="Times New Roman"/>
          <w:szCs w:val="24"/>
          <w:lang w:val="fr-FR"/>
        </w:rPr>
        <w:t>elokup</w:t>
      </w:r>
      <w:r w:rsidR="00FE2B3C" w:rsidRPr="00095948">
        <w:rPr>
          <w:rFonts w:cs="Times New Roman"/>
          <w:szCs w:val="24"/>
          <w:lang w:val="fr-FR"/>
        </w:rPr>
        <w:t>an</w:t>
      </w:r>
      <w:r w:rsidRPr="00095948">
        <w:rPr>
          <w:rFonts w:cs="Times New Roman"/>
          <w:szCs w:val="24"/>
          <w:lang w:val="fr-FR"/>
        </w:rPr>
        <w:t xml:space="preserve"> proces postao transparentniji</w:t>
      </w:r>
      <w:r w:rsidR="00FE2B3C" w:rsidRPr="00095948">
        <w:rPr>
          <w:rFonts w:cs="Times New Roman"/>
          <w:szCs w:val="24"/>
          <w:lang w:val="fr-FR"/>
        </w:rPr>
        <w:t xml:space="preserve"> posl</w:t>
      </w:r>
      <w:r w:rsidR="00F7644B" w:rsidRPr="00095948">
        <w:rPr>
          <w:rFonts w:cs="Times New Roman"/>
          <w:szCs w:val="24"/>
          <w:lang w:val="fr-FR"/>
        </w:rPr>
        <w:t>j</w:t>
      </w:r>
      <w:r w:rsidR="00FE2B3C" w:rsidRPr="00095948">
        <w:rPr>
          <w:rFonts w:cs="Times New Roman"/>
          <w:szCs w:val="24"/>
          <w:lang w:val="fr-FR"/>
        </w:rPr>
        <w:t>ednjih godina</w:t>
      </w:r>
      <w:r w:rsidRPr="00095948">
        <w:rPr>
          <w:rFonts w:cs="Times New Roman"/>
          <w:szCs w:val="24"/>
          <w:lang w:val="fr-FR"/>
        </w:rPr>
        <w:t xml:space="preserve">, zabrinutost </w:t>
      </w:r>
      <w:r w:rsidR="00252149" w:rsidRPr="00095948">
        <w:rPr>
          <w:rFonts w:cs="Times New Roman"/>
          <w:szCs w:val="24"/>
          <w:lang w:val="fr-FR"/>
        </w:rPr>
        <w:t>u vezi s</w:t>
      </w:r>
      <w:r w:rsidR="00FE2B3C" w:rsidRPr="00095948">
        <w:rPr>
          <w:rFonts w:cs="Times New Roman"/>
          <w:szCs w:val="24"/>
          <w:lang w:val="fr-FR"/>
        </w:rPr>
        <w:t xml:space="preserve"> procesom evaluacije</w:t>
      </w:r>
      <w:r w:rsidRPr="00095948">
        <w:rPr>
          <w:rFonts w:cs="Times New Roman"/>
          <w:szCs w:val="24"/>
          <w:lang w:val="fr-FR"/>
        </w:rPr>
        <w:t xml:space="preserve"> i dalje postoji.</w:t>
      </w:r>
    </w:p>
    <w:p w:rsidR="00FE2B3C" w:rsidRPr="00095948" w:rsidRDefault="00FE2B3C" w:rsidP="00EC1790">
      <w:pPr>
        <w:spacing w:after="120" w:line="240" w:lineRule="auto"/>
        <w:jc w:val="both"/>
        <w:rPr>
          <w:rFonts w:cs="Times New Roman"/>
          <w:szCs w:val="24"/>
          <w:lang w:val="fr-FR"/>
        </w:rPr>
      </w:pPr>
      <w:r w:rsidRPr="00095948">
        <w:rPr>
          <w:rFonts w:cs="Times New Roman"/>
          <w:szCs w:val="24"/>
          <w:lang w:val="fr-FR"/>
        </w:rPr>
        <w:t>Transparentnost državnog finansiranja unapr</w:t>
      </w:r>
      <w:r w:rsidR="00F7644B" w:rsidRPr="00095948">
        <w:rPr>
          <w:rFonts w:cs="Times New Roman"/>
          <w:szCs w:val="24"/>
          <w:lang w:val="fr-FR"/>
        </w:rPr>
        <w:t>ij</w:t>
      </w:r>
      <w:r w:rsidRPr="00095948">
        <w:rPr>
          <w:rFonts w:cs="Times New Roman"/>
          <w:szCs w:val="24"/>
          <w:lang w:val="fr-FR"/>
        </w:rPr>
        <w:t xml:space="preserve">eđena je uspostavljanjem onlajn baze podataka o projektima organizacija civilnog društva koje su primile državna sredstva </w:t>
      </w:r>
      <w:r w:rsidR="003D7EB3" w:rsidRPr="00095948">
        <w:rPr>
          <w:rFonts w:cs="Times New Roman"/>
          <w:szCs w:val="24"/>
          <w:lang w:val="fr-FR"/>
        </w:rPr>
        <w:t xml:space="preserve">s početkom </w:t>
      </w:r>
      <w:r w:rsidRPr="00095948">
        <w:rPr>
          <w:rFonts w:cs="Times New Roman"/>
          <w:szCs w:val="24"/>
          <w:lang w:val="fr-FR"/>
        </w:rPr>
        <w:t>od 2009. godine.</w:t>
      </w:r>
    </w:p>
    <w:p w:rsidR="00FE2B3C" w:rsidRPr="00095948" w:rsidRDefault="003D7EB3" w:rsidP="00EC1790">
      <w:pPr>
        <w:spacing w:after="120" w:line="240" w:lineRule="auto"/>
        <w:jc w:val="both"/>
        <w:rPr>
          <w:rFonts w:cs="Times New Roman"/>
          <w:szCs w:val="24"/>
          <w:lang w:val="fr-FR"/>
        </w:rPr>
      </w:pPr>
      <w:r w:rsidRPr="00095948">
        <w:rPr>
          <w:rFonts w:cs="Times New Roman"/>
          <w:szCs w:val="24"/>
          <w:lang w:val="fr-FR"/>
        </w:rPr>
        <w:t>Prema zakonu o lokalnim samoupravama, o</w:t>
      </w:r>
      <w:r w:rsidR="00FE2B3C" w:rsidRPr="00095948">
        <w:rPr>
          <w:rFonts w:cs="Times New Roman"/>
          <w:szCs w:val="24"/>
          <w:lang w:val="fr-FR"/>
        </w:rPr>
        <w:t>rganizacije civilnog društva takođe mogu da pristupe fondovima na lokalnom nivou</w:t>
      </w:r>
      <w:r w:rsidRPr="00095948">
        <w:rPr>
          <w:rFonts w:cs="Times New Roman"/>
          <w:szCs w:val="24"/>
          <w:lang w:val="fr-FR"/>
        </w:rPr>
        <w:t>, ali većina opština nema</w:t>
      </w:r>
      <w:r w:rsidR="00FE2B3C" w:rsidRPr="00095948">
        <w:rPr>
          <w:rFonts w:cs="Times New Roman"/>
          <w:szCs w:val="24"/>
          <w:lang w:val="fr-FR"/>
        </w:rPr>
        <w:t xml:space="preserve"> transparentne procedure.</w:t>
      </w:r>
    </w:p>
    <w:p w:rsidR="00751D6A" w:rsidRPr="00C35FD0" w:rsidRDefault="00FE2B3C" w:rsidP="00EC1790">
      <w:pPr>
        <w:pStyle w:val="Heading2"/>
        <w:spacing w:before="0" w:line="240" w:lineRule="auto"/>
        <w:rPr>
          <w:rFonts w:cs="Times New Roman"/>
          <w:szCs w:val="24"/>
          <w:lang w:val="fr-FR"/>
        </w:rPr>
      </w:pPr>
      <w:bookmarkStart w:id="29" w:name="_Toc53362433"/>
      <w:bookmarkEnd w:id="25"/>
      <w:bookmarkEnd w:id="26"/>
      <w:bookmarkEnd w:id="27"/>
      <w:bookmarkEnd w:id="28"/>
      <w:r w:rsidRPr="00C35FD0">
        <w:rPr>
          <w:rFonts w:cs="Times New Roman"/>
          <w:szCs w:val="24"/>
          <w:lang w:val="fr-FR"/>
        </w:rPr>
        <w:t>2.1.2.</w:t>
      </w:r>
      <w:r w:rsidRPr="00C35FD0">
        <w:rPr>
          <w:rFonts w:cs="Times New Roman"/>
          <w:szCs w:val="24"/>
          <w:lang w:val="fr-FR"/>
        </w:rPr>
        <w:tab/>
        <w:t>Reforma javne uprave</w:t>
      </w:r>
      <w:bookmarkEnd w:id="29"/>
    </w:p>
    <w:p w:rsidR="00257AF3" w:rsidRPr="00C35FD0" w:rsidRDefault="00FE2B3C"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szCs w:val="24"/>
          <w:lang w:val="fr-FR" w:bidi="en-US"/>
        </w:rPr>
      </w:pPr>
      <w:r w:rsidRPr="00C35FD0">
        <w:rPr>
          <w:rFonts w:eastAsia="Times New Roman" w:cs="Times New Roman"/>
          <w:szCs w:val="24"/>
          <w:lang w:val="fr-FR" w:bidi="en-US"/>
        </w:rPr>
        <w:t xml:space="preserve">Crna Gora je </w:t>
      </w:r>
      <w:r w:rsidRPr="00C35FD0">
        <w:rPr>
          <w:rFonts w:eastAsia="Times New Roman" w:cs="Times New Roman"/>
          <w:b/>
          <w:szCs w:val="24"/>
          <w:lang w:val="fr-FR" w:bidi="en-US"/>
        </w:rPr>
        <w:t>um</w:t>
      </w:r>
      <w:r w:rsidR="00F7644B" w:rsidRPr="00C35FD0">
        <w:rPr>
          <w:rFonts w:eastAsia="Times New Roman" w:cs="Times New Roman"/>
          <w:b/>
          <w:szCs w:val="24"/>
          <w:lang w:val="fr-FR" w:bidi="en-US"/>
        </w:rPr>
        <w:t>j</w:t>
      </w:r>
      <w:r w:rsidRPr="00C35FD0">
        <w:rPr>
          <w:rFonts w:eastAsia="Times New Roman" w:cs="Times New Roman"/>
          <w:b/>
          <w:szCs w:val="24"/>
          <w:lang w:val="fr-FR" w:bidi="en-US"/>
        </w:rPr>
        <w:t>ereno spremna</w:t>
      </w:r>
      <w:r w:rsidR="003D7EB3" w:rsidRPr="00C35FD0">
        <w:rPr>
          <w:rFonts w:eastAsia="Times New Roman" w:cs="Times New Roman"/>
          <w:szCs w:val="24"/>
          <w:lang w:val="fr-FR" w:bidi="en-US"/>
        </w:rPr>
        <w:t xml:space="preserve"> kada je r</w:t>
      </w:r>
      <w:r w:rsidR="00F7644B" w:rsidRPr="00C35FD0">
        <w:rPr>
          <w:rFonts w:eastAsia="Times New Roman" w:cs="Times New Roman"/>
          <w:szCs w:val="24"/>
          <w:lang w:val="fr-FR" w:bidi="en-US"/>
        </w:rPr>
        <w:t>ij</w:t>
      </w:r>
      <w:r w:rsidRPr="00C35FD0">
        <w:rPr>
          <w:rFonts w:eastAsia="Times New Roman" w:cs="Times New Roman"/>
          <w:szCs w:val="24"/>
          <w:lang w:val="fr-FR" w:bidi="en-US"/>
        </w:rPr>
        <w:t xml:space="preserve">eč o reformi njene javne uprave. </w:t>
      </w:r>
      <w:r w:rsidR="00F7644B" w:rsidRPr="00C35FD0">
        <w:rPr>
          <w:rFonts w:eastAsia="Times New Roman" w:cs="Times New Roman"/>
          <w:szCs w:val="24"/>
          <w:lang w:val="fr-FR" w:bidi="en-US"/>
        </w:rPr>
        <w:t>G</w:t>
      </w:r>
      <w:r w:rsidR="003D7EB3" w:rsidRPr="00C35FD0">
        <w:rPr>
          <w:rFonts w:eastAsia="Times New Roman" w:cs="Times New Roman"/>
          <w:szCs w:val="24"/>
          <w:lang w:val="fr-FR" w:bidi="en-US"/>
        </w:rPr>
        <w:t>eneralno posmatrano, o</w:t>
      </w:r>
      <w:r w:rsidRPr="00C35FD0">
        <w:rPr>
          <w:rFonts w:eastAsia="Times New Roman" w:cs="Times New Roman"/>
          <w:szCs w:val="24"/>
          <w:lang w:val="fr-FR" w:bidi="en-US"/>
        </w:rPr>
        <w:t xml:space="preserve">stvaren je </w:t>
      </w:r>
      <w:r w:rsidRPr="00C35FD0">
        <w:rPr>
          <w:rFonts w:eastAsia="Times New Roman" w:cs="Times New Roman"/>
          <w:b/>
          <w:szCs w:val="24"/>
          <w:lang w:val="fr-FR" w:bidi="en-US"/>
        </w:rPr>
        <w:t>određeni napredak</w:t>
      </w:r>
      <w:r w:rsidRPr="00C35FD0">
        <w:rPr>
          <w:rFonts w:eastAsia="Times New Roman" w:cs="Times New Roman"/>
          <w:szCs w:val="24"/>
          <w:lang w:val="fr-FR" w:bidi="en-US"/>
        </w:rPr>
        <w:t>,</w:t>
      </w:r>
      <w:r w:rsidR="003D7EB3" w:rsidRPr="00C35FD0">
        <w:rPr>
          <w:rFonts w:eastAsia="Times New Roman" w:cs="Times New Roman"/>
          <w:szCs w:val="24"/>
          <w:lang w:val="fr-FR" w:bidi="en-US"/>
        </w:rPr>
        <w:t xml:space="preserve"> s obzi</w:t>
      </w:r>
      <w:r w:rsidR="00257AF3" w:rsidRPr="00C35FD0">
        <w:rPr>
          <w:rFonts w:eastAsia="Times New Roman" w:cs="Times New Roman"/>
          <w:szCs w:val="24"/>
          <w:lang w:val="fr-FR" w:bidi="en-US"/>
        </w:rPr>
        <w:t>rom</w:t>
      </w:r>
      <w:r w:rsidR="00252149" w:rsidRPr="00C35FD0">
        <w:rPr>
          <w:rFonts w:eastAsia="Times New Roman" w:cs="Times New Roman"/>
          <w:szCs w:val="24"/>
          <w:lang w:val="fr-FR" w:bidi="en-US"/>
        </w:rPr>
        <w:t xml:space="preserve"> na to</w:t>
      </w:r>
      <w:r w:rsidR="00257AF3" w:rsidRPr="00C35FD0">
        <w:rPr>
          <w:rFonts w:eastAsia="Times New Roman" w:cs="Times New Roman"/>
          <w:szCs w:val="24"/>
          <w:lang w:val="fr-FR" w:bidi="en-US"/>
        </w:rPr>
        <w:t xml:space="preserve"> da je realizovana jedna od prošlogodišnjih preporuka (početak sprovođenja zakona o državnim službenicima). Pored toga,</w:t>
      </w:r>
      <w:r w:rsidR="00252149" w:rsidRPr="00C35FD0">
        <w:rPr>
          <w:rFonts w:eastAsia="Times New Roman" w:cs="Times New Roman"/>
          <w:szCs w:val="24"/>
          <w:lang w:val="fr-FR" w:bidi="en-US"/>
        </w:rPr>
        <w:t xml:space="preserve"> </w:t>
      </w:r>
      <w:r w:rsidR="00257AF3" w:rsidRPr="00C35FD0">
        <w:rPr>
          <w:rFonts w:eastAsia="Times New Roman" w:cs="Times New Roman"/>
          <w:szCs w:val="24"/>
          <w:lang w:val="fr-FR" w:bidi="en-US"/>
        </w:rPr>
        <w:t>okvir</w:t>
      </w:r>
      <w:r w:rsidR="003D7EB3" w:rsidRPr="00C35FD0">
        <w:rPr>
          <w:rFonts w:eastAsia="Times New Roman" w:cs="Times New Roman"/>
          <w:szCs w:val="24"/>
          <w:lang w:val="fr-FR" w:bidi="en-US"/>
        </w:rPr>
        <w:t xml:space="preserve"> za srednje</w:t>
      </w:r>
      <w:r w:rsidRPr="00C35FD0">
        <w:rPr>
          <w:rFonts w:eastAsia="Times New Roman" w:cs="Times New Roman"/>
          <w:szCs w:val="24"/>
          <w:lang w:val="fr-FR" w:bidi="en-US"/>
        </w:rPr>
        <w:t>ročno pl</w:t>
      </w:r>
      <w:r w:rsidR="00257AF3" w:rsidRPr="00C35FD0">
        <w:rPr>
          <w:rFonts w:eastAsia="Times New Roman" w:cs="Times New Roman"/>
          <w:szCs w:val="24"/>
          <w:lang w:val="fr-FR" w:bidi="en-US"/>
        </w:rPr>
        <w:t>aniranje politike, zap</w:t>
      </w:r>
      <w:r w:rsidR="003D7EB3" w:rsidRPr="00C35FD0">
        <w:rPr>
          <w:rFonts w:eastAsia="Times New Roman" w:cs="Times New Roman"/>
          <w:szCs w:val="24"/>
          <w:lang w:val="fr-FR" w:bidi="en-US"/>
        </w:rPr>
        <w:t>ošljavanje na osnovu rezultata i</w:t>
      </w:r>
      <w:r w:rsidR="00257AF3" w:rsidRPr="00C35FD0">
        <w:rPr>
          <w:rFonts w:eastAsia="Times New Roman" w:cs="Times New Roman"/>
          <w:szCs w:val="24"/>
          <w:lang w:val="fr-FR" w:bidi="en-US"/>
        </w:rPr>
        <w:t xml:space="preserve"> racionalizacija</w:t>
      </w:r>
      <w:r w:rsidRPr="00C35FD0">
        <w:rPr>
          <w:rFonts w:eastAsia="Times New Roman" w:cs="Times New Roman"/>
          <w:szCs w:val="24"/>
          <w:lang w:val="fr-FR" w:bidi="en-US"/>
        </w:rPr>
        <w:t xml:space="preserve"> organizacije državne uprave</w:t>
      </w:r>
      <w:r w:rsidR="00257AF3" w:rsidRPr="00C35FD0">
        <w:rPr>
          <w:rFonts w:eastAsia="Times New Roman" w:cs="Times New Roman"/>
          <w:szCs w:val="24"/>
          <w:lang w:val="fr-FR" w:bidi="en-US"/>
        </w:rPr>
        <w:t xml:space="preserve"> i dalje dobro napreduju</w:t>
      </w:r>
      <w:r w:rsidRPr="00C35FD0">
        <w:rPr>
          <w:rFonts w:eastAsia="Times New Roman" w:cs="Times New Roman"/>
          <w:szCs w:val="24"/>
          <w:lang w:val="fr-FR" w:bidi="en-US"/>
        </w:rPr>
        <w:t>. Međutim, i dalje je potrebna</w:t>
      </w:r>
      <w:r w:rsidR="003D7EB3" w:rsidRPr="00C35FD0">
        <w:rPr>
          <w:rFonts w:eastAsia="Times New Roman" w:cs="Times New Roman"/>
          <w:szCs w:val="24"/>
          <w:lang w:val="fr-FR" w:bidi="en-US"/>
        </w:rPr>
        <w:t xml:space="preserve"> snažna politička volja za</w:t>
      </w:r>
      <w:r w:rsidR="00257AF3" w:rsidRPr="00C35FD0">
        <w:rPr>
          <w:rFonts w:eastAsia="Times New Roman" w:cs="Times New Roman"/>
          <w:szCs w:val="24"/>
          <w:lang w:val="fr-FR" w:bidi="en-US"/>
        </w:rPr>
        <w:t xml:space="preserve"> d</w:t>
      </w:r>
      <w:r w:rsidR="00F7644B" w:rsidRPr="00C35FD0">
        <w:rPr>
          <w:rFonts w:eastAsia="Times New Roman" w:cs="Times New Roman"/>
          <w:szCs w:val="24"/>
          <w:lang w:val="fr-FR" w:bidi="en-US"/>
        </w:rPr>
        <w:t>j</w:t>
      </w:r>
      <w:r w:rsidRPr="00C35FD0">
        <w:rPr>
          <w:rFonts w:eastAsia="Times New Roman" w:cs="Times New Roman"/>
          <w:szCs w:val="24"/>
          <w:lang w:val="fr-FR" w:bidi="en-US"/>
        </w:rPr>
        <w:t>elotvor</w:t>
      </w:r>
      <w:r w:rsidR="003D7EB3" w:rsidRPr="00C35FD0">
        <w:rPr>
          <w:rFonts w:eastAsia="Times New Roman" w:cs="Times New Roman"/>
          <w:szCs w:val="24"/>
          <w:lang w:val="fr-FR" w:bidi="en-US"/>
        </w:rPr>
        <w:t>an rad</w:t>
      </w:r>
      <w:r w:rsidRPr="00C35FD0">
        <w:rPr>
          <w:rFonts w:eastAsia="Times New Roman" w:cs="Times New Roman"/>
          <w:szCs w:val="24"/>
          <w:lang w:val="fr-FR" w:bidi="en-US"/>
        </w:rPr>
        <w:t xml:space="preserve"> na depolitizaciji javne službe, </w:t>
      </w:r>
      <w:r w:rsidR="003D7EB3" w:rsidRPr="00C35FD0">
        <w:rPr>
          <w:rFonts w:eastAsia="Times New Roman" w:cs="Times New Roman"/>
          <w:szCs w:val="24"/>
          <w:lang w:val="fr-FR" w:bidi="en-US"/>
        </w:rPr>
        <w:t>optimizaciji državne uprave i učinkovitoj</w:t>
      </w:r>
      <w:r w:rsidRPr="00C35FD0">
        <w:rPr>
          <w:rFonts w:eastAsia="Times New Roman" w:cs="Times New Roman"/>
          <w:szCs w:val="24"/>
          <w:lang w:val="fr-FR" w:bidi="en-US"/>
        </w:rPr>
        <w:t xml:space="preserve"> implementaciji rukovodne odgovornosti, uključujući i delegiranje donošenja odluka. </w:t>
      </w:r>
      <w:r w:rsidR="004F6CD8" w:rsidRPr="00C35FD0">
        <w:rPr>
          <w:rFonts w:eastAsia="Times New Roman" w:cs="Times New Roman"/>
          <w:szCs w:val="24"/>
          <w:lang w:val="fr-FR" w:bidi="en-US"/>
        </w:rPr>
        <w:t>Dv</w:t>
      </w:r>
      <w:r w:rsidR="00F7644B" w:rsidRPr="00C35FD0">
        <w:rPr>
          <w:rFonts w:eastAsia="Times New Roman" w:cs="Times New Roman"/>
          <w:szCs w:val="24"/>
          <w:lang w:val="fr-FR" w:bidi="en-US"/>
        </w:rPr>
        <w:t>ij</w:t>
      </w:r>
      <w:r w:rsidR="004F6CD8" w:rsidRPr="00C35FD0">
        <w:rPr>
          <w:rFonts w:eastAsia="Times New Roman" w:cs="Times New Roman"/>
          <w:szCs w:val="24"/>
          <w:lang w:val="fr-FR" w:bidi="en-US"/>
        </w:rPr>
        <w:t xml:space="preserve">e </w:t>
      </w:r>
      <w:r w:rsidR="00257AF3" w:rsidRPr="00C35FD0">
        <w:rPr>
          <w:rFonts w:eastAsia="Times New Roman" w:cs="Times New Roman"/>
          <w:szCs w:val="24"/>
          <w:lang w:val="fr-FR" w:bidi="en-US"/>
        </w:rPr>
        <w:t>preporuke Komisije iz 2019</w:t>
      </w:r>
      <w:r w:rsidRPr="00C35FD0">
        <w:rPr>
          <w:rFonts w:eastAsia="Times New Roman" w:cs="Times New Roman"/>
          <w:szCs w:val="24"/>
          <w:lang w:val="fr-FR" w:bidi="en-US"/>
        </w:rPr>
        <w:t>. godine i dalje važe.</w:t>
      </w:r>
    </w:p>
    <w:p w:rsidR="00FE2B3C" w:rsidRPr="00C35FD0" w:rsidRDefault="00FE2B3C"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szCs w:val="24"/>
          <w:lang w:val="fr-FR" w:bidi="en-US"/>
        </w:rPr>
      </w:pPr>
      <w:r w:rsidRPr="00C35FD0">
        <w:rPr>
          <w:rFonts w:eastAsia="Times New Roman" w:cs="Times New Roman"/>
          <w:szCs w:val="24"/>
          <w:lang w:val="fr-FR" w:bidi="en-US"/>
        </w:rPr>
        <w:t>U predstojećoj godini Crna Gora naročito treba da:</w:t>
      </w:r>
    </w:p>
    <w:p w:rsidR="00751D6A" w:rsidRPr="00C35FD0" w:rsidRDefault="00257AF3" w:rsidP="00EC1790">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sz w:val="24"/>
          <w:szCs w:val="24"/>
          <w:lang w:val="fr-FR" w:bidi="en-US"/>
        </w:rPr>
      </w:pPr>
      <w:r w:rsidRPr="00C35FD0">
        <w:rPr>
          <w:rFonts w:ascii="Times New Roman" w:eastAsia="Times New Roman" w:hAnsi="Times New Roman" w:cs="Times New Roman"/>
          <w:sz w:val="24"/>
          <w:szCs w:val="24"/>
          <w:lang w:val="fr-FR" w:bidi="en-US"/>
        </w:rPr>
        <w:lastRenderedPageBreak/>
        <w:t>sačini i usvoji nove strategije za Reformu javne uprave</w:t>
      </w:r>
      <w:r w:rsidR="00361C33" w:rsidRPr="00C35FD0">
        <w:rPr>
          <w:rFonts w:ascii="Times New Roman" w:eastAsia="Times New Roman" w:hAnsi="Times New Roman" w:cs="Times New Roman"/>
          <w:sz w:val="24"/>
          <w:szCs w:val="24"/>
          <w:lang w:val="fr-FR" w:bidi="en-US"/>
        </w:rPr>
        <w:t xml:space="preserve"> (PAR)</w:t>
      </w:r>
      <w:r w:rsidRPr="00C35FD0">
        <w:rPr>
          <w:rFonts w:ascii="Times New Roman" w:eastAsia="Times New Roman" w:hAnsi="Times New Roman" w:cs="Times New Roman"/>
          <w:sz w:val="24"/>
          <w:szCs w:val="24"/>
          <w:lang w:val="fr-FR" w:bidi="en-US"/>
        </w:rPr>
        <w:t xml:space="preserve"> i upravljanje javnim finansijama</w:t>
      </w:r>
      <w:r w:rsidR="00361C33" w:rsidRPr="00C35FD0">
        <w:rPr>
          <w:rFonts w:ascii="Times New Roman" w:eastAsia="Times New Roman" w:hAnsi="Times New Roman" w:cs="Times New Roman"/>
          <w:sz w:val="24"/>
          <w:szCs w:val="24"/>
          <w:lang w:val="fr-FR" w:bidi="en-US"/>
        </w:rPr>
        <w:t xml:space="preserve"> (PFM)</w:t>
      </w:r>
      <w:r w:rsidRPr="00C35FD0">
        <w:rPr>
          <w:rFonts w:ascii="Times New Roman" w:eastAsia="Times New Roman" w:hAnsi="Times New Roman" w:cs="Times New Roman"/>
          <w:sz w:val="24"/>
          <w:szCs w:val="24"/>
          <w:lang w:val="fr-FR" w:bidi="en-US"/>
        </w:rPr>
        <w:t xml:space="preserve"> koja će imati realne ciljeve, biti zasnovana na rezultatima oc</w:t>
      </w:r>
      <w:r w:rsidR="00F7644B" w:rsidRPr="00C35FD0">
        <w:rPr>
          <w:rFonts w:ascii="Times New Roman" w:eastAsia="Times New Roman" w:hAnsi="Times New Roman" w:cs="Times New Roman"/>
          <w:sz w:val="24"/>
          <w:szCs w:val="24"/>
          <w:lang w:val="fr-FR" w:bidi="en-US"/>
        </w:rPr>
        <w:t>j</w:t>
      </w:r>
      <w:r w:rsidRPr="00C35FD0">
        <w:rPr>
          <w:rFonts w:ascii="Times New Roman" w:eastAsia="Times New Roman" w:hAnsi="Times New Roman" w:cs="Times New Roman"/>
          <w:sz w:val="24"/>
          <w:szCs w:val="24"/>
          <w:lang w:val="fr-FR" w:bidi="en-US"/>
        </w:rPr>
        <w:t>ene prethodne strategije i proc</w:t>
      </w:r>
      <w:r w:rsidR="00F7644B" w:rsidRPr="00C35FD0">
        <w:rPr>
          <w:rFonts w:ascii="Times New Roman" w:eastAsia="Times New Roman" w:hAnsi="Times New Roman" w:cs="Times New Roman"/>
          <w:sz w:val="24"/>
          <w:szCs w:val="24"/>
          <w:lang w:val="fr-FR" w:bidi="en-US"/>
        </w:rPr>
        <w:t>j</w:t>
      </w:r>
      <w:r w:rsidRPr="00C35FD0">
        <w:rPr>
          <w:rFonts w:ascii="Times New Roman" w:eastAsia="Times New Roman" w:hAnsi="Times New Roman" w:cs="Times New Roman"/>
          <w:sz w:val="24"/>
          <w:szCs w:val="24"/>
          <w:lang w:val="fr-FR" w:bidi="en-US"/>
        </w:rPr>
        <w:t>eni 2019 PEFA</w:t>
      </w:r>
      <w:r w:rsidR="005835BB" w:rsidRPr="00C35FD0">
        <w:rPr>
          <w:rFonts w:ascii="Times New Roman" w:eastAsia="Times New Roman" w:hAnsi="Times New Roman" w:cs="Times New Roman"/>
          <w:sz w:val="24"/>
          <w:szCs w:val="24"/>
          <w:lang w:val="fr-FR" w:bidi="en-US"/>
        </w:rPr>
        <w:t>;</w:t>
      </w:r>
    </w:p>
    <w:p w:rsidR="00751D6A" w:rsidRPr="009A2018" w:rsidRDefault="00257AF3" w:rsidP="00EC1790">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sz w:val="24"/>
          <w:szCs w:val="24"/>
          <w:lang w:bidi="en-US"/>
        </w:rPr>
      </w:pPr>
      <w:r w:rsidRPr="009A2018">
        <w:rPr>
          <w:rFonts w:ascii="Times New Roman" w:eastAsia="Times New Roman" w:hAnsi="Times New Roman" w:cs="Times New Roman"/>
          <w:sz w:val="24"/>
          <w:szCs w:val="24"/>
          <w:lang w:bidi="en-US"/>
        </w:rPr>
        <w:t>nastavi da d</w:t>
      </w:r>
      <w:r w:rsidR="00F7644B" w:rsidRPr="009A2018">
        <w:rPr>
          <w:rFonts w:ascii="Times New Roman" w:eastAsia="Times New Roman" w:hAnsi="Times New Roman" w:cs="Times New Roman"/>
          <w:sz w:val="24"/>
          <w:szCs w:val="24"/>
          <w:lang w:bidi="en-US"/>
        </w:rPr>
        <w:t>j</w:t>
      </w:r>
      <w:r w:rsidRPr="009A2018">
        <w:rPr>
          <w:rFonts w:ascii="Times New Roman" w:eastAsia="Times New Roman" w:hAnsi="Times New Roman" w:cs="Times New Roman"/>
          <w:sz w:val="24"/>
          <w:szCs w:val="24"/>
          <w:lang w:bidi="en-US"/>
        </w:rPr>
        <w:t>elotvorno implementira plan optimizacije javne uprave</w:t>
      </w:r>
      <w:r w:rsidR="005835BB" w:rsidRPr="009A2018">
        <w:rPr>
          <w:rFonts w:ascii="Times New Roman" w:eastAsia="Times New Roman" w:hAnsi="Times New Roman" w:cs="Times New Roman"/>
          <w:sz w:val="24"/>
          <w:szCs w:val="24"/>
          <w:lang w:bidi="en-US"/>
        </w:rPr>
        <w:t>;</w:t>
      </w:r>
    </w:p>
    <w:p w:rsidR="00751D6A" w:rsidRPr="009A2018" w:rsidRDefault="00257AF3" w:rsidP="00EC1790">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sz w:val="24"/>
          <w:szCs w:val="24"/>
          <w:lang w:bidi="en-US"/>
        </w:rPr>
      </w:pPr>
      <w:r w:rsidRPr="009A2018">
        <w:rPr>
          <w:rFonts w:ascii="Times New Roman" w:eastAsia="Times New Roman" w:hAnsi="Times New Roman" w:cs="Times New Roman"/>
          <w:sz w:val="24"/>
          <w:szCs w:val="24"/>
          <w:lang w:bidi="en-US"/>
        </w:rPr>
        <w:t>poboljša pristup građana informacijama</w:t>
      </w:r>
      <w:r w:rsidR="004F6CD8" w:rsidRPr="009A2018">
        <w:rPr>
          <w:rFonts w:ascii="Times New Roman" w:eastAsia="Times New Roman" w:hAnsi="Times New Roman" w:cs="Times New Roman"/>
          <w:sz w:val="24"/>
          <w:szCs w:val="24"/>
          <w:lang w:bidi="en-US"/>
        </w:rPr>
        <w:t xml:space="preserve"> od javnog značaja</w:t>
      </w:r>
      <w:r w:rsidR="00461815">
        <w:rPr>
          <w:rFonts w:ascii="Times New Roman" w:eastAsia="Times New Roman" w:hAnsi="Times New Roman" w:cs="Times New Roman"/>
          <w:sz w:val="24"/>
          <w:szCs w:val="24"/>
          <w:lang w:bidi="en-US"/>
        </w:rPr>
        <w:t xml:space="preserve"> </w:t>
      </w:r>
      <w:r w:rsidR="00361C33" w:rsidRPr="009A2018">
        <w:rPr>
          <w:rFonts w:ascii="Times New Roman" w:eastAsia="Times New Roman" w:hAnsi="Times New Roman" w:cs="Times New Roman"/>
          <w:sz w:val="24"/>
          <w:szCs w:val="24"/>
          <w:lang w:bidi="en-US"/>
        </w:rPr>
        <w:t xml:space="preserve">finalizacijom Zakona o slobodnom pristupu informacijama od javnog značaja u skladu s </w:t>
      </w:r>
      <w:r w:rsidR="00317B08" w:rsidRPr="009A2018">
        <w:rPr>
          <w:rFonts w:ascii="Times New Roman" w:eastAsia="Times New Roman" w:hAnsi="Times New Roman" w:cs="Times New Roman"/>
          <w:sz w:val="24"/>
          <w:szCs w:val="24"/>
          <w:lang w:bidi="en-US"/>
        </w:rPr>
        <w:t xml:space="preserve">principima </w:t>
      </w:r>
      <w:r w:rsidR="00361C33" w:rsidRPr="009A2018">
        <w:rPr>
          <w:rFonts w:ascii="Times New Roman" w:eastAsia="Times New Roman" w:hAnsi="Times New Roman" w:cs="Times New Roman"/>
          <w:sz w:val="24"/>
          <w:szCs w:val="24"/>
          <w:lang w:bidi="en-US"/>
        </w:rPr>
        <w:t>javne uprave</w:t>
      </w:r>
      <w:r w:rsidR="00317B08" w:rsidRPr="009A2018">
        <w:rPr>
          <w:rFonts w:ascii="Times New Roman" w:eastAsia="Times New Roman" w:hAnsi="Times New Roman" w:cs="Times New Roman"/>
          <w:sz w:val="24"/>
          <w:szCs w:val="24"/>
          <w:lang w:bidi="en-US"/>
        </w:rPr>
        <w:t xml:space="preserve"> koje je razvila SIGMA.</w:t>
      </w:r>
    </w:p>
    <w:p w:rsidR="00751D6A" w:rsidRPr="009A2018" w:rsidRDefault="00361C33" w:rsidP="00EC1790">
      <w:pPr>
        <w:spacing w:after="120" w:line="240" w:lineRule="auto"/>
        <w:jc w:val="both"/>
        <w:rPr>
          <w:rFonts w:eastAsia="Times New Roman" w:cs="Times New Roman"/>
          <w:szCs w:val="24"/>
          <w:u w:val="single"/>
          <w:lang w:eastAsia="en-GB"/>
        </w:rPr>
      </w:pPr>
      <w:r w:rsidRPr="009A2018">
        <w:rPr>
          <w:rFonts w:eastAsia="Times New Roman" w:cs="Times New Roman"/>
          <w:szCs w:val="24"/>
          <w:u w:val="single"/>
          <w:lang w:eastAsia="en-GB"/>
        </w:rPr>
        <w:t>Reforma javne uprave</w:t>
      </w:r>
    </w:p>
    <w:p w:rsidR="00751D6A" w:rsidRPr="009A2018" w:rsidRDefault="00361C33" w:rsidP="00EC1790">
      <w:pPr>
        <w:spacing w:after="120" w:line="240" w:lineRule="auto"/>
        <w:jc w:val="both"/>
        <w:rPr>
          <w:rFonts w:eastAsia="Times New Roman" w:cs="Times New Roman"/>
          <w:szCs w:val="24"/>
          <w:lang w:eastAsia="en-GB"/>
        </w:rPr>
      </w:pPr>
      <w:r w:rsidRPr="009A2018">
        <w:rPr>
          <w:rFonts w:cs="Times New Roman"/>
          <w:szCs w:val="24"/>
        </w:rPr>
        <w:t>Godišnji izv</w:t>
      </w:r>
      <w:r w:rsidR="00F7644B" w:rsidRPr="009A2018">
        <w:rPr>
          <w:rFonts w:cs="Times New Roman"/>
          <w:szCs w:val="24"/>
        </w:rPr>
        <w:t>j</w:t>
      </w:r>
      <w:r w:rsidRPr="009A2018">
        <w:rPr>
          <w:rFonts w:cs="Times New Roman"/>
          <w:szCs w:val="24"/>
        </w:rPr>
        <w:t>eštaj za</w:t>
      </w:r>
      <w:r w:rsidR="006F16C6" w:rsidRPr="009A2018">
        <w:rPr>
          <w:rFonts w:cs="Times New Roman"/>
          <w:szCs w:val="24"/>
        </w:rPr>
        <w:t xml:space="preserve"> 2018</w:t>
      </w:r>
      <w:r w:rsidR="004F6CD8" w:rsidRPr="009A2018">
        <w:rPr>
          <w:rFonts w:cs="Times New Roman"/>
          <w:szCs w:val="24"/>
        </w:rPr>
        <w:t>. g</w:t>
      </w:r>
      <w:r w:rsidR="00317B08" w:rsidRPr="009A2018">
        <w:rPr>
          <w:rFonts w:cs="Times New Roman"/>
          <w:szCs w:val="24"/>
        </w:rPr>
        <w:t>odinu s</w:t>
      </w:r>
      <w:r w:rsidRPr="009A2018">
        <w:rPr>
          <w:rFonts w:cs="Times New Roman"/>
          <w:szCs w:val="24"/>
        </w:rPr>
        <w:t xml:space="preserve">trategije </w:t>
      </w:r>
      <w:r w:rsidRPr="009A2018">
        <w:rPr>
          <w:rFonts w:cs="Times New Roman"/>
          <w:b/>
          <w:szCs w:val="24"/>
        </w:rPr>
        <w:t>reforme javne uprave za period</w:t>
      </w:r>
      <w:r w:rsidR="00461815">
        <w:rPr>
          <w:rFonts w:cs="Times New Roman"/>
          <w:b/>
          <w:szCs w:val="24"/>
        </w:rPr>
        <w:t xml:space="preserve"> </w:t>
      </w:r>
      <w:r w:rsidR="006F16C6" w:rsidRPr="009A2018">
        <w:rPr>
          <w:rFonts w:cs="Times New Roman"/>
          <w:b/>
          <w:szCs w:val="24"/>
        </w:rPr>
        <w:t xml:space="preserve">2016-2020 </w:t>
      </w:r>
      <w:r w:rsidR="006F16C6" w:rsidRPr="009A2018">
        <w:rPr>
          <w:rFonts w:cs="Times New Roman"/>
          <w:szCs w:val="24"/>
        </w:rPr>
        <w:t xml:space="preserve">(PAR) </w:t>
      </w:r>
      <w:r w:rsidRPr="009A2018">
        <w:rPr>
          <w:rFonts w:cs="Times New Roman"/>
          <w:szCs w:val="24"/>
        </w:rPr>
        <w:t>usvojen je u maju</w:t>
      </w:r>
      <w:r w:rsidR="006F16C6" w:rsidRPr="009A2018">
        <w:rPr>
          <w:rFonts w:cs="Times New Roman"/>
          <w:szCs w:val="24"/>
        </w:rPr>
        <w:t xml:space="preserve"> 2019</w:t>
      </w:r>
      <w:r w:rsidRPr="009A2018">
        <w:rPr>
          <w:rFonts w:cs="Times New Roman"/>
          <w:szCs w:val="24"/>
        </w:rPr>
        <w:t>. godine, u skladu sa stan</w:t>
      </w:r>
      <w:r w:rsidR="00F7644B" w:rsidRPr="009A2018">
        <w:rPr>
          <w:rFonts w:cs="Times New Roman"/>
          <w:szCs w:val="24"/>
        </w:rPr>
        <w:t>d</w:t>
      </w:r>
      <w:r w:rsidRPr="009A2018">
        <w:rPr>
          <w:rFonts w:cs="Times New Roman"/>
          <w:szCs w:val="24"/>
        </w:rPr>
        <w:t>ardima utvrđenim uredbom i metodologijom strateškog planiranja. Civilno društvo i dalje aktivno učestvuje u praćenju vl</w:t>
      </w:r>
      <w:r w:rsidR="00252149">
        <w:rPr>
          <w:rFonts w:cs="Times New Roman"/>
          <w:szCs w:val="24"/>
        </w:rPr>
        <w:t>adinih reformi, pa je zajedno s</w:t>
      </w:r>
      <w:r w:rsidRPr="009A2018">
        <w:rPr>
          <w:rFonts w:cs="Times New Roman"/>
          <w:szCs w:val="24"/>
        </w:rPr>
        <w:t xml:space="preserve"> ostalim učesnicima pozvano da</w:t>
      </w:r>
      <w:r w:rsidR="00773B27" w:rsidRPr="009A2018">
        <w:rPr>
          <w:rFonts w:cs="Times New Roman"/>
          <w:szCs w:val="24"/>
        </w:rPr>
        <w:t xml:space="preserve"> do 1. maja</w:t>
      </w:r>
      <w:r w:rsidRPr="009A2018">
        <w:rPr>
          <w:rFonts w:cs="Times New Roman"/>
          <w:szCs w:val="24"/>
        </w:rPr>
        <w:t xml:space="preserve"> dostavi inicijalne predloge za nacrt planirane Strategije za reformu javne uprave</w:t>
      </w:r>
      <w:r w:rsidR="006F16C6" w:rsidRPr="009A2018">
        <w:rPr>
          <w:rFonts w:eastAsia="Calibri" w:cs="Times New Roman"/>
          <w:szCs w:val="24"/>
        </w:rPr>
        <w:t xml:space="preserve"> 2021-2025</w:t>
      </w:r>
      <w:r w:rsidR="006F16C6" w:rsidRPr="009A2018">
        <w:rPr>
          <w:rFonts w:cs="Times New Roman"/>
          <w:szCs w:val="24"/>
        </w:rPr>
        <w:t xml:space="preserve">. </w:t>
      </w:r>
      <w:r w:rsidR="00773B27" w:rsidRPr="009A2018">
        <w:rPr>
          <w:rFonts w:cs="Times New Roman"/>
          <w:b/>
          <w:szCs w:val="24"/>
        </w:rPr>
        <w:t>Politička podrška</w:t>
      </w:r>
      <w:r w:rsidR="00773B27" w:rsidRPr="009A2018">
        <w:rPr>
          <w:rFonts w:cs="Times New Roman"/>
          <w:szCs w:val="24"/>
        </w:rPr>
        <w:t xml:space="preserve"> reformama obezb</w:t>
      </w:r>
      <w:r w:rsidR="00F7644B" w:rsidRPr="009A2018">
        <w:rPr>
          <w:rFonts w:cs="Times New Roman"/>
          <w:szCs w:val="24"/>
        </w:rPr>
        <w:t>ij</w:t>
      </w:r>
      <w:r w:rsidR="00773B27" w:rsidRPr="009A2018">
        <w:rPr>
          <w:rFonts w:cs="Times New Roman"/>
          <w:szCs w:val="24"/>
        </w:rPr>
        <w:t>eđena je radom Sav</w:t>
      </w:r>
      <w:r w:rsidR="00F7644B" w:rsidRPr="009A2018">
        <w:rPr>
          <w:rFonts w:cs="Times New Roman"/>
          <w:szCs w:val="24"/>
        </w:rPr>
        <w:t>j</w:t>
      </w:r>
      <w:r w:rsidR="00773B27" w:rsidRPr="009A2018">
        <w:rPr>
          <w:rFonts w:cs="Times New Roman"/>
          <w:szCs w:val="24"/>
        </w:rPr>
        <w:t>eta za reformu javne uprave koji je u izv</w:t>
      </w:r>
      <w:r w:rsidR="00F7644B" w:rsidRPr="009A2018">
        <w:rPr>
          <w:rFonts w:cs="Times New Roman"/>
          <w:szCs w:val="24"/>
        </w:rPr>
        <w:t>j</w:t>
      </w:r>
      <w:r w:rsidR="00773B27" w:rsidRPr="009A2018">
        <w:rPr>
          <w:rFonts w:cs="Times New Roman"/>
          <w:szCs w:val="24"/>
        </w:rPr>
        <w:t>eštajnom periodu održao dv</w:t>
      </w:r>
      <w:r w:rsidR="00F7644B" w:rsidRPr="009A2018">
        <w:rPr>
          <w:rFonts w:cs="Times New Roman"/>
          <w:szCs w:val="24"/>
        </w:rPr>
        <w:t>ij</w:t>
      </w:r>
      <w:r w:rsidR="00773B27" w:rsidRPr="009A2018">
        <w:rPr>
          <w:rFonts w:cs="Times New Roman"/>
          <w:szCs w:val="24"/>
        </w:rPr>
        <w:t>e s</w:t>
      </w:r>
      <w:r w:rsidR="00F7644B" w:rsidRPr="009A2018">
        <w:rPr>
          <w:rFonts w:cs="Times New Roman"/>
          <w:szCs w:val="24"/>
        </w:rPr>
        <w:t>j</w:t>
      </w:r>
      <w:r w:rsidR="00773B27" w:rsidRPr="009A2018">
        <w:rPr>
          <w:rFonts w:cs="Times New Roman"/>
          <w:szCs w:val="24"/>
        </w:rPr>
        <w:t>ednice. U pogledu</w:t>
      </w:r>
      <w:r w:rsidR="00461815">
        <w:rPr>
          <w:rFonts w:cs="Times New Roman"/>
          <w:szCs w:val="24"/>
        </w:rPr>
        <w:t xml:space="preserve"> </w:t>
      </w:r>
      <w:r w:rsidR="00773B27" w:rsidRPr="009A2018">
        <w:rPr>
          <w:rFonts w:cs="Times New Roman"/>
          <w:b/>
          <w:szCs w:val="24"/>
        </w:rPr>
        <w:t>finansijske održivosti</w:t>
      </w:r>
      <w:r w:rsidR="00773B27" w:rsidRPr="009A2018">
        <w:rPr>
          <w:rFonts w:cs="Times New Roman"/>
          <w:szCs w:val="24"/>
        </w:rPr>
        <w:t>, reforme i dalje zavise od finansiranja donatora</w:t>
      </w:r>
      <w:r w:rsidR="006F16C6" w:rsidRPr="009A2018">
        <w:rPr>
          <w:rFonts w:cs="Times New Roman"/>
          <w:szCs w:val="24"/>
        </w:rPr>
        <w:t xml:space="preserve">. </w:t>
      </w:r>
    </w:p>
    <w:p w:rsidR="00751D6A" w:rsidRPr="009A2018" w:rsidRDefault="00773B27" w:rsidP="00EC1790">
      <w:pPr>
        <w:spacing w:after="120" w:line="240" w:lineRule="auto"/>
        <w:jc w:val="both"/>
        <w:rPr>
          <w:rFonts w:eastAsia="Times New Roman" w:cs="Times New Roman"/>
          <w:szCs w:val="24"/>
          <w:u w:val="single"/>
          <w:lang w:eastAsia="en-GB"/>
        </w:rPr>
      </w:pPr>
      <w:r w:rsidRPr="009A2018">
        <w:rPr>
          <w:rFonts w:eastAsia="Times New Roman" w:cs="Times New Roman"/>
          <w:szCs w:val="24"/>
          <w:u w:val="single"/>
          <w:lang w:eastAsia="en-GB"/>
        </w:rPr>
        <w:t>Srednjeročno planiranje politika i sistem izv</w:t>
      </w:r>
      <w:r w:rsidR="00F7644B" w:rsidRPr="009A2018">
        <w:rPr>
          <w:rFonts w:eastAsia="Times New Roman" w:cs="Times New Roman"/>
          <w:szCs w:val="24"/>
          <w:u w:val="single"/>
          <w:lang w:eastAsia="en-GB"/>
        </w:rPr>
        <w:t>j</w:t>
      </w:r>
      <w:r w:rsidRPr="009A2018">
        <w:rPr>
          <w:rFonts w:eastAsia="Times New Roman" w:cs="Times New Roman"/>
          <w:szCs w:val="24"/>
          <w:u w:val="single"/>
          <w:lang w:eastAsia="en-GB"/>
        </w:rPr>
        <w:t>eštavanja</w:t>
      </w:r>
    </w:p>
    <w:p w:rsidR="00773B27" w:rsidRPr="009A2018" w:rsidRDefault="00773B27" w:rsidP="00EC1790">
      <w:pPr>
        <w:spacing w:after="120" w:line="240" w:lineRule="auto"/>
        <w:jc w:val="both"/>
        <w:rPr>
          <w:rFonts w:cs="Times New Roman"/>
          <w:szCs w:val="24"/>
        </w:rPr>
      </w:pPr>
      <w:r w:rsidRPr="009A2018">
        <w:rPr>
          <w:rFonts w:cs="Times New Roman"/>
          <w:szCs w:val="24"/>
        </w:rPr>
        <w:t xml:space="preserve">Srednjoročni </w:t>
      </w:r>
      <w:r w:rsidRPr="009A2018">
        <w:rPr>
          <w:rFonts w:cs="Times New Roman"/>
          <w:b/>
          <w:szCs w:val="24"/>
        </w:rPr>
        <w:t>sistem planiranja i izv</w:t>
      </w:r>
      <w:r w:rsidR="00F7644B" w:rsidRPr="009A2018">
        <w:rPr>
          <w:rFonts w:cs="Times New Roman"/>
          <w:b/>
          <w:szCs w:val="24"/>
        </w:rPr>
        <w:t>j</w:t>
      </w:r>
      <w:r w:rsidRPr="009A2018">
        <w:rPr>
          <w:rFonts w:cs="Times New Roman"/>
          <w:b/>
          <w:szCs w:val="24"/>
        </w:rPr>
        <w:t xml:space="preserve">eštavanja o politikama </w:t>
      </w:r>
      <w:r w:rsidRPr="009A2018">
        <w:rPr>
          <w:rFonts w:cs="Times New Roman"/>
          <w:szCs w:val="24"/>
        </w:rPr>
        <w:t>Crne Gore dodatno je ojačan prim</w:t>
      </w:r>
      <w:r w:rsidR="00F7644B" w:rsidRPr="009A2018">
        <w:rPr>
          <w:rFonts w:cs="Times New Roman"/>
          <w:szCs w:val="24"/>
        </w:rPr>
        <w:t>j</w:t>
      </w:r>
      <w:r w:rsidRPr="009A2018">
        <w:rPr>
          <w:rFonts w:cs="Times New Roman"/>
          <w:szCs w:val="24"/>
        </w:rPr>
        <w:t>enom uredbe o načinu i postupku za izradu, usklađivanje i praćenje sprovođenja strateških dokumenata. Posebno se proširila mreža za strateško planiranje i obuku relevantnih zaposlenih u ministarstvima. Generalni sekretarijat vlade ima aktivnu ulogu u praćenju sprovođenja uredbe i obezb</w:t>
      </w:r>
      <w:r w:rsidR="00F7644B" w:rsidRPr="009A2018">
        <w:rPr>
          <w:rFonts w:cs="Times New Roman"/>
          <w:szCs w:val="24"/>
        </w:rPr>
        <w:t>j</w:t>
      </w:r>
      <w:r w:rsidRPr="009A2018">
        <w:rPr>
          <w:rFonts w:cs="Times New Roman"/>
          <w:szCs w:val="24"/>
        </w:rPr>
        <w:t>eđenju kontrole kvaliteta putem davanja mišljenja o</w:t>
      </w:r>
      <w:r w:rsidR="000657B3" w:rsidRPr="009A2018">
        <w:rPr>
          <w:rFonts w:cs="Times New Roman"/>
          <w:szCs w:val="24"/>
        </w:rPr>
        <w:t xml:space="preserve"> nacrtima strateških dokumenata koja</w:t>
      </w:r>
      <w:r w:rsidR="00252149">
        <w:rPr>
          <w:rFonts w:cs="Times New Roman"/>
          <w:szCs w:val="24"/>
        </w:rPr>
        <w:t xml:space="preserve"> </w:t>
      </w:r>
      <w:r w:rsidR="000657B3" w:rsidRPr="009A2018">
        <w:rPr>
          <w:rFonts w:cs="Times New Roman"/>
          <w:szCs w:val="24"/>
        </w:rPr>
        <w:t>se propratno daju uz</w:t>
      </w:r>
      <w:r w:rsidRPr="009A2018">
        <w:rPr>
          <w:rFonts w:cs="Times New Roman"/>
          <w:szCs w:val="24"/>
        </w:rPr>
        <w:t xml:space="preserve"> tekstove prilikom prezentovanja vladi radi usvajanja. Cilj</w:t>
      </w:r>
      <w:r w:rsidR="000657B3" w:rsidRPr="009A2018">
        <w:rPr>
          <w:rFonts w:cs="Times New Roman"/>
          <w:szCs w:val="24"/>
        </w:rPr>
        <w:t xml:space="preserve"> ove</w:t>
      </w:r>
      <w:r w:rsidRPr="009A2018">
        <w:rPr>
          <w:rFonts w:cs="Times New Roman"/>
          <w:szCs w:val="24"/>
        </w:rPr>
        <w:t xml:space="preserve"> metodologije je i rac</w:t>
      </w:r>
      <w:r w:rsidR="000657B3" w:rsidRPr="009A2018">
        <w:rPr>
          <w:rFonts w:cs="Times New Roman"/>
          <w:szCs w:val="24"/>
        </w:rPr>
        <w:t>ionalizacija takvih dokumenata pa je postignuto</w:t>
      </w:r>
      <w:r w:rsidRPr="009A2018">
        <w:rPr>
          <w:rFonts w:cs="Times New Roman"/>
          <w:szCs w:val="24"/>
        </w:rPr>
        <w:t xml:space="preserve"> i</w:t>
      </w:r>
      <w:r w:rsidR="000657B3" w:rsidRPr="009A2018">
        <w:rPr>
          <w:rFonts w:cs="Times New Roman"/>
          <w:szCs w:val="24"/>
        </w:rPr>
        <w:t xml:space="preserve"> smanjenje</w:t>
      </w:r>
      <w:r w:rsidRPr="009A2018">
        <w:rPr>
          <w:rFonts w:cs="Times New Roman"/>
          <w:szCs w:val="24"/>
        </w:rPr>
        <w:t xml:space="preserve"> njihovog broja.</w:t>
      </w:r>
    </w:p>
    <w:p w:rsidR="00801E0A" w:rsidRPr="009A2018" w:rsidRDefault="00801E0A" w:rsidP="00EC1790">
      <w:pPr>
        <w:spacing w:after="120" w:line="240" w:lineRule="auto"/>
        <w:jc w:val="both"/>
        <w:rPr>
          <w:rFonts w:cs="Times New Roman"/>
          <w:szCs w:val="24"/>
        </w:rPr>
      </w:pPr>
      <w:r w:rsidRPr="009A2018">
        <w:rPr>
          <w:rFonts w:cs="Times New Roman"/>
          <w:b/>
          <w:szCs w:val="24"/>
        </w:rPr>
        <w:t>Srednjoročni fiskalni plan</w:t>
      </w:r>
      <w:r w:rsidR="00252149">
        <w:rPr>
          <w:rFonts w:cs="Times New Roman"/>
          <w:szCs w:val="24"/>
        </w:rPr>
        <w:t xml:space="preserve"> tek treba da se poveže s</w:t>
      </w:r>
      <w:r w:rsidRPr="009A2018">
        <w:rPr>
          <w:rFonts w:cs="Times New Roman"/>
          <w:szCs w:val="24"/>
        </w:rPr>
        <w:t xml:space="preserve"> planiranjem politika. Međutim, Generalni sekretarijat vlade inicirao je uvođenje sistema srednjoročnog planiranja na</w:t>
      </w:r>
      <w:r w:rsidR="00252149">
        <w:rPr>
          <w:rFonts w:cs="Times New Roman"/>
          <w:szCs w:val="24"/>
        </w:rPr>
        <w:t xml:space="preserve"> nivou ministarstava u skladu s</w:t>
      </w:r>
      <w:r w:rsidRPr="009A2018">
        <w:rPr>
          <w:rFonts w:cs="Times New Roman"/>
          <w:szCs w:val="24"/>
        </w:rPr>
        <w:t xml:space="preserve"> novom metodologijom. Kao pilot projekat, ministarstva ekonomije, održivog razvoja i turizma i poljoprivrede i ruralnog razvoja takođe su po prvi put usvojila srednjoročne programe rada koji pokrivaju period 2019-2021. U aprilu 2020. godine vlada je usvojila prve izvještaje o implementaciji srednjoročnog programa rada ministarstava za 2019. godinu.</w:t>
      </w:r>
    </w:p>
    <w:p w:rsidR="00801E0A" w:rsidRPr="009A2018" w:rsidRDefault="00801E0A" w:rsidP="00EC1790">
      <w:pPr>
        <w:spacing w:after="120" w:line="240" w:lineRule="auto"/>
        <w:jc w:val="both"/>
        <w:rPr>
          <w:rFonts w:eastAsia="Times New Roman" w:cs="Times New Roman"/>
          <w:szCs w:val="24"/>
          <w:u w:val="single"/>
          <w:lang w:eastAsia="en-GB"/>
        </w:rPr>
      </w:pPr>
      <w:r w:rsidRPr="009A2018">
        <w:rPr>
          <w:rFonts w:eastAsia="Times New Roman" w:cs="Times New Roman"/>
          <w:szCs w:val="24"/>
          <w:u w:val="single"/>
          <w:lang w:eastAsia="en-GB"/>
        </w:rPr>
        <w:t>Upravljanje javnim finansijama</w:t>
      </w:r>
    </w:p>
    <w:p w:rsidR="00801E0A" w:rsidRPr="009A2018" w:rsidRDefault="00801E0A" w:rsidP="00EC1790">
      <w:pPr>
        <w:autoSpaceDE w:val="0"/>
        <w:autoSpaceDN w:val="0"/>
        <w:adjustRightInd w:val="0"/>
        <w:spacing w:after="120" w:line="240" w:lineRule="auto"/>
        <w:jc w:val="both"/>
        <w:rPr>
          <w:rFonts w:eastAsia="Times New Roman" w:cs="Times New Roman"/>
          <w:szCs w:val="24"/>
          <w:lang w:eastAsia="en-GB"/>
        </w:rPr>
      </w:pPr>
      <w:r w:rsidRPr="009A2018">
        <w:rPr>
          <w:rFonts w:eastAsia="Times New Roman" w:cs="Times New Roman"/>
          <w:szCs w:val="24"/>
          <w:lang w:eastAsia="en-GB"/>
        </w:rPr>
        <w:t xml:space="preserve">Tekuća implementacija programa reforme </w:t>
      </w:r>
      <w:r w:rsidRPr="009A2018">
        <w:rPr>
          <w:rFonts w:eastAsia="Times New Roman" w:cs="Times New Roman"/>
          <w:b/>
          <w:szCs w:val="24"/>
          <w:lang w:eastAsia="en-GB"/>
        </w:rPr>
        <w:t>upravljanja javnim finansijama (PFM)</w:t>
      </w:r>
      <w:r w:rsidRPr="009A2018">
        <w:rPr>
          <w:rFonts w:eastAsia="Times New Roman" w:cs="Times New Roman"/>
          <w:szCs w:val="24"/>
          <w:lang w:eastAsia="en-GB"/>
        </w:rPr>
        <w:t xml:space="preserve"> 2016-2020 bavi se izvjesnim ključnim slabostima PFM sistema. Program uključuje usklađivanje </w:t>
      </w:r>
      <w:r w:rsidR="00252149">
        <w:rPr>
          <w:rFonts w:eastAsia="Times New Roman" w:cs="Times New Roman"/>
          <w:szCs w:val="24"/>
          <w:lang w:eastAsia="en-GB"/>
        </w:rPr>
        <w:t>pravnog i regulatornog okvira s</w:t>
      </w:r>
      <w:r w:rsidRPr="009A2018">
        <w:rPr>
          <w:rFonts w:eastAsia="Times New Roman" w:cs="Times New Roman"/>
          <w:szCs w:val="24"/>
          <w:lang w:eastAsia="en-GB"/>
        </w:rPr>
        <w:t xml:space="preserve"> pravnom tekovinom Evropske unije i ažuriranje postojećeg informacionog sistema za upravljanje cjelokupnim budžetskim ciklusom. Međutim, od samog usvajanja, nekoliko ključnih reformi nije uključeno ili je izbačeno iz program</w:t>
      </w:r>
      <w:r w:rsidR="00252149">
        <w:rPr>
          <w:rFonts w:eastAsia="Times New Roman" w:cs="Times New Roman"/>
          <w:szCs w:val="24"/>
          <w:lang w:eastAsia="en-GB"/>
        </w:rPr>
        <w:t>a. One uključuju usklađivanje s</w:t>
      </w:r>
      <w:r w:rsidRPr="009A2018">
        <w:rPr>
          <w:rFonts w:eastAsia="Times New Roman" w:cs="Times New Roman"/>
          <w:szCs w:val="24"/>
          <w:lang w:eastAsia="en-GB"/>
        </w:rPr>
        <w:t xml:space="preserve"> metodologijom ESA 2010, obračunsko računovodstvo, unapređenje izvještavanja o izvršenju budžeta, upravljanje preuzetim obavezama, planiranje novčanih tokova i upravljanje dugovanjima. Za pomenuto se očekuju konkretni akcioni planovi. Sprovođenje reforme upravljanja javnim finansijama intenziviralo se 2019. godine odvijanjem nekoliko važnih aktivnosti, uključujući pripremu srednjoročnog budžetskog okvira, programsko budžetiranje i kapitalno budžetiranje. </w:t>
      </w:r>
    </w:p>
    <w:p w:rsidR="00801E0A" w:rsidRPr="009A2018" w:rsidRDefault="00801E0A" w:rsidP="00EC1790">
      <w:pPr>
        <w:autoSpaceDE w:val="0"/>
        <w:autoSpaceDN w:val="0"/>
        <w:adjustRightInd w:val="0"/>
        <w:spacing w:after="120" w:line="240" w:lineRule="auto"/>
        <w:jc w:val="both"/>
        <w:rPr>
          <w:rFonts w:eastAsia="Times New Roman" w:cs="Times New Roman"/>
          <w:szCs w:val="24"/>
          <w:lang w:eastAsia="en-GB"/>
        </w:rPr>
      </w:pPr>
      <w:r w:rsidRPr="009A2018">
        <w:rPr>
          <w:rFonts w:eastAsia="Times New Roman" w:cs="Times New Roman"/>
          <w:szCs w:val="24"/>
          <w:lang w:eastAsia="en-GB"/>
        </w:rPr>
        <w:lastRenderedPageBreak/>
        <w:t>Ocjena javne potrošnje i finansijske odgovornosti (PEFA) sprovedena je 2019. godine. Rezultati oc</w:t>
      </w:r>
      <w:r w:rsidR="00C22CE7" w:rsidRPr="009A2018">
        <w:rPr>
          <w:rFonts w:eastAsia="Times New Roman" w:cs="Times New Roman"/>
          <w:szCs w:val="24"/>
          <w:lang w:eastAsia="en-GB"/>
        </w:rPr>
        <w:t>j</w:t>
      </w:r>
      <w:r w:rsidRPr="009A2018">
        <w:rPr>
          <w:rFonts w:eastAsia="Times New Roman" w:cs="Times New Roman"/>
          <w:szCs w:val="24"/>
          <w:lang w:eastAsia="en-GB"/>
        </w:rPr>
        <w:t>ene bili su prilično pozitivni, ali je identifikovano i nekoliko oblasti kojima treba da se pozabavi naredna strategija upravljanja javnim finansijama. Zakon o računovodstvu u javnom sektoru usvojen je u novembru 2019. godine, a početak njegove prim</w:t>
      </w:r>
      <w:r w:rsidR="00C22CE7" w:rsidRPr="009A2018">
        <w:rPr>
          <w:rFonts w:eastAsia="Times New Roman" w:cs="Times New Roman"/>
          <w:szCs w:val="24"/>
          <w:lang w:eastAsia="en-GB"/>
        </w:rPr>
        <w:t>j</w:t>
      </w:r>
      <w:r w:rsidRPr="009A2018">
        <w:rPr>
          <w:rFonts w:eastAsia="Times New Roman" w:cs="Times New Roman"/>
          <w:szCs w:val="24"/>
          <w:lang w:eastAsia="en-GB"/>
        </w:rPr>
        <w:t xml:space="preserve">ene planiran je za 2022. godinu, pošto se usvoje </w:t>
      </w:r>
      <w:r w:rsidR="00C22CE7" w:rsidRPr="009A2018">
        <w:rPr>
          <w:rFonts w:eastAsia="Times New Roman" w:cs="Times New Roman"/>
          <w:szCs w:val="24"/>
          <w:lang w:eastAsia="en-GB"/>
        </w:rPr>
        <w:t>neophodni podzakonski</w:t>
      </w:r>
      <w:r w:rsidRPr="009A2018">
        <w:rPr>
          <w:rFonts w:eastAsia="Times New Roman" w:cs="Times New Roman"/>
          <w:szCs w:val="24"/>
          <w:lang w:eastAsia="en-GB"/>
        </w:rPr>
        <w:t xml:space="preserve"> ak</w:t>
      </w:r>
      <w:r w:rsidR="00C22CE7" w:rsidRPr="009A2018">
        <w:rPr>
          <w:rFonts w:eastAsia="Times New Roman" w:cs="Times New Roman"/>
          <w:szCs w:val="24"/>
          <w:lang w:eastAsia="en-GB"/>
        </w:rPr>
        <w:t>ti</w:t>
      </w:r>
      <w:r w:rsidRPr="009A2018">
        <w:rPr>
          <w:rFonts w:eastAsia="Times New Roman" w:cs="Times New Roman"/>
          <w:szCs w:val="24"/>
          <w:lang w:eastAsia="en-GB"/>
        </w:rPr>
        <w:t xml:space="preserve">. </w:t>
      </w:r>
    </w:p>
    <w:p w:rsidR="00801E0A" w:rsidRPr="009A2018" w:rsidRDefault="00801E0A" w:rsidP="00EC1790">
      <w:pPr>
        <w:autoSpaceDE w:val="0"/>
        <w:autoSpaceDN w:val="0"/>
        <w:adjustRightInd w:val="0"/>
        <w:spacing w:after="120" w:line="240" w:lineRule="auto"/>
        <w:jc w:val="both"/>
        <w:rPr>
          <w:rFonts w:eastAsia="Times New Roman" w:cs="Times New Roman"/>
          <w:szCs w:val="24"/>
          <w:lang w:eastAsia="en-GB"/>
        </w:rPr>
      </w:pPr>
      <w:r w:rsidRPr="009A2018">
        <w:rPr>
          <w:rFonts w:eastAsia="Times New Roman" w:cs="Times New Roman"/>
          <w:szCs w:val="24"/>
          <w:lang w:eastAsia="en-GB"/>
        </w:rPr>
        <w:t>Ka</w:t>
      </w:r>
      <w:r w:rsidR="00461815">
        <w:rPr>
          <w:rFonts w:eastAsia="Times New Roman" w:cs="Times New Roman"/>
          <w:szCs w:val="24"/>
          <w:lang w:eastAsia="en-GB"/>
        </w:rPr>
        <w:t>d</w:t>
      </w:r>
      <w:r w:rsidRPr="009A2018">
        <w:rPr>
          <w:rFonts w:eastAsia="Times New Roman" w:cs="Times New Roman"/>
          <w:szCs w:val="24"/>
          <w:lang w:eastAsia="en-GB"/>
        </w:rPr>
        <w:t xml:space="preserve"> je u pitanju </w:t>
      </w:r>
      <w:r w:rsidRPr="009A2018">
        <w:rPr>
          <w:rFonts w:eastAsia="Times New Roman" w:cs="Times New Roman"/>
          <w:b/>
          <w:szCs w:val="24"/>
          <w:lang w:eastAsia="en-GB"/>
        </w:rPr>
        <w:t>transparentnost budžeta</w:t>
      </w:r>
      <w:r w:rsidRPr="009A2018">
        <w:rPr>
          <w:rFonts w:eastAsia="Times New Roman" w:cs="Times New Roman"/>
          <w:szCs w:val="24"/>
          <w:lang w:eastAsia="en-GB"/>
        </w:rPr>
        <w:t>, vlada i dalje sistematski objavljuje ​​predlog budžeta i usvojeni budžet, kao i izv</w:t>
      </w:r>
      <w:r w:rsidR="00C22CE7" w:rsidRPr="009A2018">
        <w:rPr>
          <w:rFonts w:eastAsia="Times New Roman" w:cs="Times New Roman"/>
          <w:szCs w:val="24"/>
          <w:lang w:eastAsia="en-GB"/>
        </w:rPr>
        <w:t>j</w:t>
      </w:r>
      <w:r w:rsidRPr="009A2018">
        <w:rPr>
          <w:rFonts w:eastAsia="Times New Roman" w:cs="Times New Roman"/>
          <w:szCs w:val="24"/>
          <w:lang w:eastAsia="en-GB"/>
        </w:rPr>
        <w:t>eštaje o izvršenju budžeta. Međutim, ne postoji mehanizam koji bi osigurao kvalitet, sveobuhvatnost i čitljivost objavljenih podataka. Potrebno je da se civilno društvo sistematičnije uključi u praćenje sprovođenja programa reforme upravljanja javnim finansijama.</w:t>
      </w:r>
    </w:p>
    <w:p w:rsidR="00801E0A" w:rsidRPr="009A2018" w:rsidRDefault="00801E0A" w:rsidP="00EC1790">
      <w:pPr>
        <w:tabs>
          <w:tab w:val="left" w:pos="5475"/>
        </w:tabs>
        <w:spacing w:after="120" w:line="240" w:lineRule="auto"/>
        <w:jc w:val="both"/>
        <w:rPr>
          <w:rFonts w:eastAsia="Times New Roman" w:cs="Times New Roman"/>
          <w:szCs w:val="24"/>
          <w:u w:val="single"/>
          <w:lang w:eastAsia="en-GB"/>
        </w:rPr>
      </w:pPr>
      <w:r w:rsidRPr="009A2018">
        <w:rPr>
          <w:rFonts w:eastAsia="Times New Roman" w:cs="Times New Roman"/>
          <w:szCs w:val="24"/>
          <w:u w:val="single"/>
          <w:lang w:eastAsia="en-GB"/>
        </w:rPr>
        <w:t xml:space="preserve">Javne službe </w:t>
      </w:r>
      <w:r w:rsidR="00C22CE7" w:rsidRPr="009A2018">
        <w:rPr>
          <w:rFonts w:eastAsia="Times New Roman" w:cs="Times New Roman"/>
          <w:szCs w:val="24"/>
          <w:u w:val="single"/>
          <w:lang w:eastAsia="en-GB"/>
        </w:rPr>
        <w:t>i upravljanje ljudskim resursima</w:t>
      </w:r>
    </w:p>
    <w:p w:rsidR="00801E0A" w:rsidRPr="009A2018" w:rsidRDefault="00801E0A" w:rsidP="00EC1790">
      <w:pPr>
        <w:spacing w:after="120" w:line="240" w:lineRule="auto"/>
        <w:jc w:val="both"/>
        <w:rPr>
          <w:rFonts w:eastAsia="Times New Roman" w:cs="Times New Roman"/>
          <w:iCs/>
          <w:szCs w:val="24"/>
          <w:lang w:eastAsia="en-GB"/>
        </w:rPr>
      </w:pPr>
      <w:r w:rsidRPr="009A2018">
        <w:rPr>
          <w:rFonts w:eastAsia="Times New Roman" w:cs="Times New Roman"/>
          <w:iCs/>
          <w:szCs w:val="24"/>
          <w:lang w:eastAsia="en-GB"/>
        </w:rPr>
        <w:t>Zastupljenost žena na višim pozicijama državnih službi u Crnoj Gori je dobra u oblastima reforme javne uprave i donekle u upravljanju javnim finansijama. Na poziciji ministra javne uprave nalazi se žena. Mnoge funkcije obavljaju žene, od generalnih direktora i direktora u ministarstvima, načelnika Uprave za kadrove, generalnog sekretara i oba zam</w:t>
      </w:r>
      <w:r w:rsidR="00C22CE7" w:rsidRPr="009A2018">
        <w:rPr>
          <w:rFonts w:eastAsia="Times New Roman" w:cs="Times New Roman"/>
          <w:iCs/>
          <w:szCs w:val="24"/>
          <w:lang w:eastAsia="en-GB"/>
        </w:rPr>
        <w:t>j</w:t>
      </w:r>
      <w:r w:rsidRPr="009A2018">
        <w:rPr>
          <w:rFonts w:eastAsia="Times New Roman" w:cs="Times New Roman"/>
          <w:iCs/>
          <w:szCs w:val="24"/>
          <w:lang w:eastAsia="en-GB"/>
        </w:rPr>
        <w:t>enika do direktorke CFCU-a.</w:t>
      </w:r>
    </w:p>
    <w:p w:rsidR="00801E0A" w:rsidRPr="009A2018" w:rsidRDefault="00801E0A" w:rsidP="00EC1790">
      <w:pPr>
        <w:spacing w:after="120" w:line="240" w:lineRule="auto"/>
        <w:jc w:val="both"/>
        <w:rPr>
          <w:rFonts w:eastAsia="Times New Roman" w:cs="Times New Roman"/>
          <w:iCs/>
          <w:szCs w:val="24"/>
          <w:lang w:eastAsia="en-GB"/>
        </w:rPr>
      </w:pPr>
      <w:r w:rsidRPr="009A2018">
        <w:rPr>
          <w:rFonts w:eastAsia="Times New Roman" w:cs="Times New Roman"/>
          <w:iCs/>
          <w:szCs w:val="24"/>
          <w:lang w:eastAsia="en-GB"/>
        </w:rPr>
        <w:t>Usvajanjem nekoliko implementirajućih zakonskih akata tokom izv</w:t>
      </w:r>
      <w:r w:rsidR="00C22CE7" w:rsidRPr="009A2018">
        <w:rPr>
          <w:rFonts w:eastAsia="Times New Roman" w:cs="Times New Roman"/>
          <w:iCs/>
          <w:szCs w:val="24"/>
          <w:lang w:eastAsia="en-GB"/>
        </w:rPr>
        <w:t>j</w:t>
      </w:r>
      <w:r w:rsidRPr="009A2018">
        <w:rPr>
          <w:rFonts w:eastAsia="Times New Roman" w:cs="Times New Roman"/>
          <w:iCs/>
          <w:szCs w:val="24"/>
          <w:lang w:eastAsia="en-GB"/>
        </w:rPr>
        <w:t>eštajnog perioda omogućena je puna prim</w:t>
      </w:r>
      <w:r w:rsidR="00C22CE7" w:rsidRPr="009A2018">
        <w:rPr>
          <w:rFonts w:eastAsia="Times New Roman" w:cs="Times New Roman"/>
          <w:iCs/>
          <w:szCs w:val="24"/>
          <w:lang w:eastAsia="en-GB"/>
        </w:rPr>
        <w:t>j</w:t>
      </w:r>
      <w:r w:rsidRPr="009A2018">
        <w:rPr>
          <w:rFonts w:eastAsia="Times New Roman" w:cs="Times New Roman"/>
          <w:iCs/>
          <w:szCs w:val="24"/>
          <w:lang w:eastAsia="en-GB"/>
        </w:rPr>
        <w:t>ena zakona o državnim službenicima i nam</w:t>
      </w:r>
      <w:r w:rsidR="00C22CE7" w:rsidRPr="009A2018">
        <w:rPr>
          <w:rFonts w:eastAsia="Times New Roman" w:cs="Times New Roman"/>
          <w:iCs/>
          <w:szCs w:val="24"/>
          <w:lang w:eastAsia="en-GB"/>
        </w:rPr>
        <w:t>j</w:t>
      </w:r>
      <w:r w:rsidRPr="009A2018">
        <w:rPr>
          <w:rFonts w:eastAsia="Times New Roman" w:cs="Times New Roman"/>
          <w:iCs/>
          <w:szCs w:val="24"/>
          <w:lang w:eastAsia="en-GB"/>
        </w:rPr>
        <w:t>eštenicima. Kadrovski plan za 2020. godinu za organe državne uprave i kabinet premijera usvojen je u februaru 2020. godine. Uspostavljen je okvir kompetencija kako bi se obezb</w:t>
      </w:r>
      <w:r w:rsidR="00C22CE7" w:rsidRPr="009A2018">
        <w:rPr>
          <w:rFonts w:eastAsia="Times New Roman" w:cs="Times New Roman"/>
          <w:iCs/>
          <w:szCs w:val="24"/>
          <w:lang w:eastAsia="en-GB"/>
        </w:rPr>
        <w:t>ij</w:t>
      </w:r>
      <w:r w:rsidRPr="009A2018">
        <w:rPr>
          <w:rFonts w:eastAsia="Times New Roman" w:cs="Times New Roman"/>
          <w:iCs/>
          <w:szCs w:val="24"/>
          <w:lang w:eastAsia="en-GB"/>
        </w:rPr>
        <w:t>edile odgovarajuće procedure zapošljavanja na više činovničke pozicije. Uveden je elektronski sistem polaganja stručnog prijemnog ispita za rad u javnoj upravi, uključujući i na lokalnom nivou.</w:t>
      </w:r>
    </w:p>
    <w:p w:rsidR="00801E0A" w:rsidRPr="00095948" w:rsidRDefault="00801E0A" w:rsidP="00EC1790">
      <w:pPr>
        <w:spacing w:after="120" w:line="240" w:lineRule="auto"/>
        <w:jc w:val="both"/>
        <w:rPr>
          <w:rFonts w:eastAsia="Times New Roman" w:cs="Times New Roman"/>
          <w:iCs/>
          <w:szCs w:val="24"/>
          <w:lang w:val="fr-FR" w:eastAsia="en-GB"/>
        </w:rPr>
      </w:pPr>
      <w:r w:rsidRPr="009A2018">
        <w:rPr>
          <w:rFonts w:eastAsia="Times New Roman" w:cs="Times New Roman"/>
          <w:iCs/>
          <w:szCs w:val="24"/>
          <w:lang w:eastAsia="en-GB"/>
        </w:rPr>
        <w:t>Što se tiče realizacije Plana optimizacije javne uprave za period 2018</w:t>
      </w:r>
      <w:r w:rsidR="00461815">
        <w:rPr>
          <w:rFonts w:eastAsia="Times New Roman" w:cs="Times New Roman"/>
          <w:iCs/>
          <w:szCs w:val="24"/>
          <w:lang w:eastAsia="en-GB"/>
        </w:rPr>
        <w:t>-2020</w:t>
      </w:r>
      <w:r w:rsidRPr="009A2018">
        <w:rPr>
          <w:rFonts w:eastAsia="Times New Roman" w:cs="Times New Roman"/>
          <w:iCs/>
          <w:szCs w:val="24"/>
          <w:lang w:eastAsia="en-GB"/>
        </w:rPr>
        <w:t>, nacionalni organi su tokom izv</w:t>
      </w:r>
      <w:r w:rsidR="00C22CE7" w:rsidRPr="009A2018">
        <w:rPr>
          <w:rFonts w:eastAsia="Times New Roman" w:cs="Times New Roman"/>
          <w:iCs/>
          <w:szCs w:val="24"/>
          <w:lang w:eastAsia="en-GB"/>
        </w:rPr>
        <w:t>j</w:t>
      </w:r>
      <w:r w:rsidRPr="009A2018">
        <w:rPr>
          <w:rFonts w:eastAsia="Times New Roman" w:cs="Times New Roman"/>
          <w:iCs/>
          <w:szCs w:val="24"/>
          <w:lang w:eastAsia="en-GB"/>
        </w:rPr>
        <w:t>eštajnog perioda prijavili pad broja zaposlenih za 105 lica na lokalnom nivou i povećanje ovog broja za 49 na centralnom nivou. U maju 2019. godine izm</w:t>
      </w:r>
      <w:r w:rsidR="00C22CE7" w:rsidRPr="009A2018">
        <w:rPr>
          <w:rFonts w:eastAsia="Times New Roman" w:cs="Times New Roman"/>
          <w:iCs/>
          <w:szCs w:val="24"/>
          <w:lang w:eastAsia="en-GB"/>
        </w:rPr>
        <w:t>ij</w:t>
      </w:r>
      <w:r w:rsidRPr="009A2018">
        <w:rPr>
          <w:rFonts w:eastAsia="Times New Roman" w:cs="Times New Roman"/>
          <w:iCs/>
          <w:szCs w:val="24"/>
          <w:lang w:eastAsia="en-GB"/>
        </w:rPr>
        <w:t>enjen je zakon o zaradama zaposlenih u javnom sektoru, čime je kreiran pravni osnov za sporazumni raskid radnog odnosa u javnoj</w:t>
      </w:r>
      <w:r w:rsidR="00252149">
        <w:rPr>
          <w:rFonts w:eastAsia="Times New Roman" w:cs="Times New Roman"/>
          <w:iCs/>
          <w:szCs w:val="24"/>
          <w:lang w:eastAsia="en-GB"/>
        </w:rPr>
        <w:t xml:space="preserve"> upravi. U oktobru je vlada izm</w:t>
      </w:r>
      <w:r w:rsidR="00C22CE7" w:rsidRPr="009A2018">
        <w:rPr>
          <w:rFonts w:eastAsia="Times New Roman" w:cs="Times New Roman"/>
          <w:iCs/>
          <w:szCs w:val="24"/>
          <w:lang w:eastAsia="en-GB"/>
        </w:rPr>
        <w:t>ij</w:t>
      </w:r>
      <w:r w:rsidR="00252149">
        <w:rPr>
          <w:rFonts w:eastAsia="Times New Roman" w:cs="Times New Roman"/>
          <w:iCs/>
          <w:szCs w:val="24"/>
          <w:lang w:eastAsia="en-GB"/>
        </w:rPr>
        <w:t>e</w:t>
      </w:r>
      <w:r w:rsidRPr="009A2018">
        <w:rPr>
          <w:rFonts w:eastAsia="Times New Roman" w:cs="Times New Roman"/>
          <w:iCs/>
          <w:szCs w:val="24"/>
          <w:lang w:eastAsia="en-GB"/>
        </w:rPr>
        <w:t xml:space="preserve">nila odluku o otpremninama u slučaju sporazumnog prekida radnog odnosa zaposlenih u javnom sektoru i ponudila atraktivne uslove za one koji su tražili ovaj raskid, kao podsticaj za napuštanje uprave. Za sada se za otpremnine prijavilo 1.579 javnih službenika na centralnom i 322 na lokalnom nivou. </w:t>
      </w:r>
      <w:r w:rsidRPr="00095948">
        <w:rPr>
          <w:rFonts w:eastAsia="Times New Roman" w:cs="Times New Roman"/>
          <w:iCs/>
          <w:szCs w:val="24"/>
          <w:lang w:val="fr-FR" w:eastAsia="en-GB"/>
        </w:rPr>
        <w:t>Do sada je na centralnom nivou odobreno 282 otpremnine, a na lokalnom 128.</w:t>
      </w:r>
    </w:p>
    <w:p w:rsidR="00801E0A" w:rsidRPr="00095948" w:rsidRDefault="00801E0A" w:rsidP="00EC1790">
      <w:pPr>
        <w:spacing w:after="120" w:line="240" w:lineRule="auto"/>
        <w:jc w:val="both"/>
        <w:rPr>
          <w:rFonts w:eastAsia="Times New Roman" w:cs="Times New Roman"/>
          <w:iCs/>
          <w:szCs w:val="24"/>
          <w:lang w:val="fr-FR" w:eastAsia="en-GB"/>
        </w:rPr>
      </w:pPr>
      <w:r w:rsidRPr="00095948">
        <w:rPr>
          <w:rFonts w:eastAsia="Times New Roman" w:cs="Times New Roman"/>
          <w:iCs/>
          <w:szCs w:val="24"/>
          <w:lang w:val="fr-FR" w:eastAsia="en-GB"/>
        </w:rPr>
        <w:t xml:space="preserve">Platni razredi su javno dostupni, dok su plate u javnom sektoru i dalje skromne. Ostalo je da Crna Gora uvede adekvatan i atraktivan </w:t>
      </w:r>
      <w:r w:rsidRPr="00095948">
        <w:rPr>
          <w:rFonts w:eastAsia="Times New Roman" w:cs="Times New Roman"/>
          <w:b/>
          <w:iCs/>
          <w:szCs w:val="24"/>
          <w:lang w:val="fr-FR" w:eastAsia="en-GB"/>
        </w:rPr>
        <w:t>sistem nagrađivanja</w:t>
      </w:r>
      <w:r w:rsidRPr="00095948">
        <w:rPr>
          <w:rFonts w:eastAsia="Times New Roman" w:cs="Times New Roman"/>
          <w:iCs/>
          <w:szCs w:val="24"/>
          <w:lang w:val="fr-FR" w:eastAsia="en-GB"/>
        </w:rPr>
        <w:t xml:space="preserve"> državnih službenika i nam</w:t>
      </w:r>
      <w:r w:rsidR="00C22CE7" w:rsidRPr="00095948">
        <w:rPr>
          <w:rFonts w:eastAsia="Times New Roman" w:cs="Times New Roman"/>
          <w:iCs/>
          <w:szCs w:val="24"/>
          <w:lang w:val="fr-FR" w:eastAsia="en-GB"/>
        </w:rPr>
        <w:t>j</w:t>
      </w:r>
      <w:r w:rsidRPr="00095948">
        <w:rPr>
          <w:rFonts w:eastAsia="Times New Roman" w:cs="Times New Roman"/>
          <w:iCs/>
          <w:szCs w:val="24"/>
          <w:lang w:val="fr-FR" w:eastAsia="en-GB"/>
        </w:rPr>
        <w:t xml:space="preserve">eštenika koji je zasnovan na jasnim, pravičnim i transparentnim kriterijumima. Uprava za kadrove i dalje je odgovorna da državnim službenicima i nameštenicima omogući </w:t>
      </w:r>
      <w:r w:rsidRPr="00095948">
        <w:rPr>
          <w:rFonts w:eastAsia="Times New Roman" w:cs="Times New Roman"/>
          <w:b/>
          <w:iCs/>
          <w:szCs w:val="24"/>
          <w:lang w:val="fr-FR" w:eastAsia="en-GB"/>
        </w:rPr>
        <w:t>stručno usavršavanje</w:t>
      </w:r>
      <w:r w:rsidRPr="00095948">
        <w:rPr>
          <w:rFonts w:eastAsia="Times New Roman" w:cs="Times New Roman"/>
          <w:iCs/>
          <w:szCs w:val="24"/>
          <w:lang w:val="fr-FR" w:eastAsia="en-GB"/>
        </w:rPr>
        <w:t xml:space="preserve"> i potrebnu obuku. Takođe je odgovorna i za nacionalno akreditovanu obuku o ljudskim resursima, strateškom planiranju, etici i integritetu.</w:t>
      </w:r>
    </w:p>
    <w:p w:rsidR="00801E0A" w:rsidRPr="00095948" w:rsidRDefault="00801E0A" w:rsidP="00EC1790">
      <w:pPr>
        <w:spacing w:after="120" w:line="240" w:lineRule="auto"/>
        <w:jc w:val="both"/>
        <w:rPr>
          <w:rFonts w:eastAsia="Times New Roman" w:cs="Times New Roman"/>
          <w:iCs/>
          <w:szCs w:val="24"/>
          <w:u w:val="single"/>
          <w:lang w:val="fr-FR" w:eastAsia="en-GB"/>
        </w:rPr>
      </w:pPr>
      <w:r w:rsidRPr="00095948">
        <w:rPr>
          <w:rFonts w:eastAsia="Times New Roman" w:cs="Times New Roman"/>
          <w:iCs/>
          <w:szCs w:val="24"/>
          <w:u w:val="single"/>
          <w:lang w:val="fr-FR" w:eastAsia="en-GB"/>
        </w:rPr>
        <w:t>Odgovornost uprave</w:t>
      </w:r>
    </w:p>
    <w:p w:rsidR="00801E0A" w:rsidRPr="00095948" w:rsidRDefault="00801E0A" w:rsidP="00EC1790">
      <w:pPr>
        <w:spacing w:after="120" w:line="240" w:lineRule="auto"/>
        <w:jc w:val="both"/>
        <w:rPr>
          <w:rFonts w:eastAsia="Times New Roman" w:cs="Times New Roman"/>
          <w:iCs/>
          <w:szCs w:val="24"/>
          <w:lang w:val="fr-FR" w:eastAsia="en-GB"/>
        </w:rPr>
      </w:pPr>
      <w:r w:rsidRPr="00095948">
        <w:rPr>
          <w:rFonts w:eastAsia="Times New Roman" w:cs="Times New Roman"/>
          <w:iCs/>
          <w:szCs w:val="24"/>
          <w:lang w:val="fr-FR" w:eastAsia="en-GB"/>
        </w:rPr>
        <w:t>Izv</w:t>
      </w:r>
      <w:r w:rsidR="00C22CE7" w:rsidRPr="00095948">
        <w:rPr>
          <w:rFonts w:eastAsia="Times New Roman" w:cs="Times New Roman"/>
          <w:iCs/>
          <w:szCs w:val="24"/>
          <w:lang w:val="fr-FR" w:eastAsia="en-GB"/>
        </w:rPr>
        <w:t>j</w:t>
      </w:r>
      <w:r w:rsidRPr="00095948">
        <w:rPr>
          <w:rFonts w:eastAsia="Times New Roman" w:cs="Times New Roman"/>
          <w:iCs/>
          <w:szCs w:val="24"/>
          <w:lang w:val="fr-FR" w:eastAsia="en-GB"/>
        </w:rPr>
        <w:t xml:space="preserve">eštaj o </w:t>
      </w:r>
      <w:r w:rsidRPr="00095948">
        <w:rPr>
          <w:rFonts w:eastAsia="Times New Roman" w:cs="Times New Roman"/>
          <w:b/>
          <w:iCs/>
          <w:szCs w:val="24"/>
          <w:lang w:val="fr-FR" w:eastAsia="en-GB"/>
        </w:rPr>
        <w:t>upravnom postupku</w:t>
      </w:r>
      <w:r w:rsidR="00461815" w:rsidRPr="00095948">
        <w:rPr>
          <w:rFonts w:eastAsia="Times New Roman" w:cs="Times New Roman"/>
          <w:iCs/>
          <w:szCs w:val="24"/>
          <w:lang w:val="fr-FR" w:eastAsia="en-GB"/>
        </w:rPr>
        <w:t xml:space="preserve"> za</w:t>
      </w:r>
      <w:r w:rsidR="00252149" w:rsidRPr="00095948">
        <w:rPr>
          <w:rFonts w:eastAsia="Times New Roman" w:cs="Times New Roman"/>
          <w:iCs/>
          <w:szCs w:val="24"/>
          <w:lang w:val="fr-FR" w:eastAsia="en-GB"/>
        </w:rPr>
        <w:t xml:space="preserve"> period</w:t>
      </w:r>
      <w:r w:rsidR="00461815" w:rsidRPr="00095948">
        <w:rPr>
          <w:rFonts w:eastAsia="Times New Roman" w:cs="Times New Roman"/>
          <w:iCs/>
          <w:szCs w:val="24"/>
          <w:lang w:val="fr-FR" w:eastAsia="en-GB"/>
        </w:rPr>
        <w:t xml:space="preserve"> jul 2017</w:t>
      </w:r>
      <w:r w:rsidRPr="00095948">
        <w:rPr>
          <w:rFonts w:eastAsia="Times New Roman" w:cs="Times New Roman"/>
          <w:iCs/>
          <w:szCs w:val="24"/>
          <w:lang w:val="fr-FR" w:eastAsia="en-GB"/>
        </w:rPr>
        <w:t xml:space="preserve"> - decembar 2018. godine sačinjen je prim</w:t>
      </w:r>
      <w:r w:rsidR="00C22CE7" w:rsidRPr="00095948">
        <w:rPr>
          <w:rFonts w:eastAsia="Times New Roman" w:cs="Times New Roman"/>
          <w:iCs/>
          <w:szCs w:val="24"/>
          <w:lang w:val="fr-FR" w:eastAsia="en-GB"/>
        </w:rPr>
        <w:t>j</w:t>
      </w:r>
      <w:r w:rsidRPr="00095948">
        <w:rPr>
          <w:rFonts w:eastAsia="Times New Roman" w:cs="Times New Roman"/>
          <w:iCs/>
          <w:szCs w:val="24"/>
          <w:lang w:val="fr-FR" w:eastAsia="en-GB"/>
        </w:rPr>
        <w:t>enom nove nacionalne metodologije. Po prvi put pokriva upravne postupke na lokalnom nivou. To pokazuje da je 98% sporova na centralnom i 91% na lokalnom nivou r</w:t>
      </w:r>
      <w:r w:rsidR="00C22CE7" w:rsidRPr="00095948">
        <w:rPr>
          <w:rFonts w:eastAsia="Times New Roman" w:cs="Times New Roman"/>
          <w:iCs/>
          <w:szCs w:val="24"/>
          <w:lang w:val="fr-FR" w:eastAsia="en-GB"/>
        </w:rPr>
        <w:t>ij</w:t>
      </w:r>
      <w:r w:rsidRPr="00095948">
        <w:rPr>
          <w:rFonts w:eastAsia="Times New Roman" w:cs="Times New Roman"/>
          <w:iCs/>
          <w:szCs w:val="24"/>
          <w:lang w:val="fr-FR" w:eastAsia="en-GB"/>
        </w:rPr>
        <w:t xml:space="preserve">ešeno u roku. Usvojeni su implementirajući propisi neophodni za sprovođenje zakona o opštem upravnom postupku. Nakon analize zakonodavnog okvira o </w:t>
      </w:r>
      <w:r w:rsidRPr="00095948">
        <w:rPr>
          <w:rFonts w:eastAsia="Times New Roman" w:cs="Times New Roman"/>
          <w:b/>
          <w:iCs/>
          <w:szCs w:val="24"/>
          <w:lang w:val="fr-FR" w:eastAsia="en-GB"/>
        </w:rPr>
        <w:t>slobodnom pristupu informacijama</w:t>
      </w:r>
      <w:r w:rsidRPr="00095948">
        <w:rPr>
          <w:rFonts w:eastAsia="Times New Roman" w:cs="Times New Roman"/>
          <w:iCs/>
          <w:szCs w:val="24"/>
          <w:lang w:val="fr-FR" w:eastAsia="en-GB"/>
        </w:rPr>
        <w:t>, započet je rad na novom zakonu, a javne konsultacije s tim u vezi odložene su tokom trajanja pandemije virusa COVID-19.</w:t>
      </w:r>
    </w:p>
    <w:p w:rsidR="00801E0A" w:rsidRPr="009A2018" w:rsidRDefault="00801E0A" w:rsidP="00EC1790">
      <w:pPr>
        <w:keepNext/>
        <w:spacing w:after="120" w:line="240" w:lineRule="auto"/>
        <w:jc w:val="both"/>
        <w:rPr>
          <w:rFonts w:eastAsia="Times New Roman" w:cs="Times New Roman"/>
          <w:iCs/>
          <w:szCs w:val="24"/>
          <w:u w:val="single"/>
          <w:lang w:eastAsia="en-GB"/>
        </w:rPr>
      </w:pPr>
      <w:r w:rsidRPr="009A2018">
        <w:rPr>
          <w:rFonts w:eastAsia="Times New Roman" w:cs="Times New Roman"/>
          <w:szCs w:val="24"/>
          <w:u w:val="single"/>
          <w:lang w:eastAsia="en-GB"/>
        </w:rPr>
        <w:lastRenderedPageBreak/>
        <w:t>Pružanje usluga građanima i poslovnim subjektima</w:t>
      </w:r>
    </w:p>
    <w:p w:rsidR="00801E0A" w:rsidRPr="009A2018" w:rsidRDefault="00801E0A" w:rsidP="00EC1790">
      <w:pPr>
        <w:keepNext/>
        <w:spacing w:after="120" w:line="240" w:lineRule="auto"/>
        <w:jc w:val="both"/>
        <w:rPr>
          <w:rFonts w:cs="Times New Roman"/>
          <w:szCs w:val="24"/>
        </w:rPr>
      </w:pPr>
      <w:r w:rsidRPr="009A2018">
        <w:rPr>
          <w:rFonts w:cs="Times New Roman"/>
          <w:szCs w:val="24"/>
        </w:rPr>
        <w:t xml:space="preserve">Crna Gora je usvojila </w:t>
      </w:r>
      <w:r w:rsidRPr="009A2018">
        <w:rPr>
          <w:rFonts w:cs="Times New Roman"/>
          <w:b/>
          <w:szCs w:val="24"/>
        </w:rPr>
        <w:t>Nacionalni okvir interoperabilnosti</w:t>
      </w:r>
      <w:r w:rsidR="00252149">
        <w:rPr>
          <w:rFonts w:cs="Times New Roman"/>
          <w:szCs w:val="24"/>
        </w:rPr>
        <w:t xml:space="preserve"> koji je usklađen s</w:t>
      </w:r>
      <w:r w:rsidRPr="009A2018">
        <w:rPr>
          <w:rFonts w:cs="Times New Roman"/>
          <w:szCs w:val="24"/>
        </w:rPr>
        <w:t xml:space="preserve"> Evropskim okvirom interoperabilnosti. Jedanaest institucija već je povezano na jedinstveni informacioni sistem za elektronsku razm</w:t>
      </w:r>
      <w:r w:rsidR="00C22CE7" w:rsidRPr="009A2018">
        <w:rPr>
          <w:rFonts w:cs="Times New Roman"/>
          <w:szCs w:val="24"/>
        </w:rPr>
        <w:t>j</w:t>
      </w:r>
      <w:r w:rsidRPr="009A2018">
        <w:rPr>
          <w:rFonts w:cs="Times New Roman"/>
          <w:szCs w:val="24"/>
        </w:rPr>
        <w:t>enu podataka. Zakon o elektronskoj upravi i izm</w:t>
      </w:r>
      <w:r w:rsidR="00C22CE7" w:rsidRPr="009A2018">
        <w:rPr>
          <w:rFonts w:cs="Times New Roman"/>
          <w:szCs w:val="24"/>
        </w:rPr>
        <w:t>j</w:t>
      </w:r>
      <w:r w:rsidRPr="009A2018">
        <w:rPr>
          <w:rFonts w:cs="Times New Roman"/>
          <w:szCs w:val="24"/>
        </w:rPr>
        <w:t>ene zakona o elektronskoj identifikaciji i elektronskom potpisu takođe su usvojeni tokom izv</w:t>
      </w:r>
      <w:r w:rsidR="00C22CE7" w:rsidRPr="009A2018">
        <w:rPr>
          <w:rFonts w:cs="Times New Roman"/>
          <w:szCs w:val="24"/>
        </w:rPr>
        <w:t>j</w:t>
      </w:r>
      <w:r w:rsidRPr="009A2018">
        <w:rPr>
          <w:rFonts w:cs="Times New Roman"/>
          <w:szCs w:val="24"/>
        </w:rPr>
        <w:t>eštajnog perioda.</w:t>
      </w:r>
    </w:p>
    <w:p w:rsidR="00CC1811" w:rsidRPr="00CC1811" w:rsidRDefault="00801E0A" w:rsidP="00CC1811">
      <w:pPr>
        <w:pStyle w:val="Heading2"/>
        <w:spacing w:before="0" w:line="240" w:lineRule="auto"/>
        <w:rPr>
          <w:rFonts w:eastAsia="Times New Roman" w:cs="Times New Roman"/>
          <w:szCs w:val="24"/>
        </w:rPr>
      </w:pPr>
      <w:bookmarkStart w:id="30" w:name="_Toc30073806"/>
      <w:bookmarkStart w:id="31" w:name="_Toc30074119"/>
      <w:bookmarkStart w:id="32" w:name="_Toc30080558"/>
      <w:bookmarkStart w:id="33" w:name="_Toc52744926"/>
      <w:bookmarkStart w:id="34" w:name="_Toc53362434"/>
      <w:r w:rsidRPr="009A2018">
        <w:rPr>
          <w:rFonts w:eastAsia="Times New Roman" w:cs="Times New Roman"/>
          <w:szCs w:val="24"/>
        </w:rPr>
        <w:t>2.2</w:t>
      </w:r>
      <w:r w:rsidRPr="009A2018">
        <w:rPr>
          <w:rFonts w:eastAsia="Times New Roman" w:cs="Times New Roman"/>
          <w:szCs w:val="24"/>
        </w:rPr>
        <w:tab/>
      </w:r>
      <w:r w:rsidR="00CC1811" w:rsidRPr="00CC1811">
        <w:rPr>
          <w:rFonts w:eastAsia="Times New Roman" w:cs="Times New Roman"/>
          <w:szCs w:val="24"/>
        </w:rPr>
        <w:t>Vladavina prava i temeljna prava</w:t>
      </w:r>
    </w:p>
    <w:p w:rsidR="00CC1811" w:rsidRPr="00CC1811" w:rsidRDefault="00CC1811" w:rsidP="00CC1811">
      <w:pPr>
        <w:keepNext/>
        <w:keepLines/>
        <w:spacing w:after="120" w:line="240" w:lineRule="auto"/>
        <w:outlineLvl w:val="1"/>
        <w:rPr>
          <w:rFonts w:eastAsia="Times New Roman" w:cs="Times New Roman"/>
          <w:b/>
          <w:szCs w:val="24"/>
        </w:rPr>
      </w:pPr>
      <w:r w:rsidRPr="00CC1811">
        <w:rPr>
          <w:rFonts w:eastAsia="Times New Roman" w:cs="Times New Roman"/>
          <w:b/>
          <w:szCs w:val="24"/>
        </w:rPr>
        <w:t>2.2.1.</w:t>
      </w:r>
      <w:r w:rsidRPr="00CC1811">
        <w:rPr>
          <w:rFonts w:eastAsia="Times New Roman" w:cs="Times New Roman"/>
          <w:b/>
          <w:szCs w:val="24"/>
        </w:rPr>
        <w:tab/>
        <w:t>Poglavlje 23: Pravosuđe i temeljna prava</w:t>
      </w:r>
    </w:p>
    <w:p w:rsidR="00CC1811" w:rsidRPr="00CC1811" w:rsidRDefault="00CC1811" w:rsidP="00CC1811">
      <w:pPr>
        <w:spacing w:after="120" w:line="240" w:lineRule="auto"/>
        <w:jc w:val="both"/>
        <w:rPr>
          <w:rFonts w:eastAsia="Calibri" w:cs="Times New Roman"/>
          <w:i/>
          <w:szCs w:val="24"/>
          <w:lang w:eastAsia="zh-TW"/>
        </w:rPr>
      </w:pPr>
      <w:r w:rsidRPr="00CC1811">
        <w:rPr>
          <w:rFonts w:eastAsia="Calibri" w:cs="Times New Roman"/>
          <w:i/>
          <w:iCs/>
          <w:szCs w:val="24"/>
          <w:lang w:eastAsia="zh-TW"/>
        </w:rPr>
        <w:t xml:space="preserve">Temeljne vrijednosti EU uključuju vladavinu prava i poštovanje ljudskih prava. Pravilno funkcionisanje (nezavisnog, kvalitetnog i efikasnog) sudskog sistema i djelotvorna borba protiv korupcije od najvećeg su značaja, kao i poštovanje temeljnih prava u pravu i praksi. </w:t>
      </w:r>
    </w:p>
    <w:tbl>
      <w:tblPr>
        <w:tblStyle w:val="TableGrid21"/>
        <w:tblW w:w="0" w:type="auto"/>
        <w:shd w:val="clear" w:color="auto" w:fill="D9D9D9" w:themeFill="background1" w:themeFillShade="D9"/>
        <w:tblLook w:val="04A0" w:firstRow="1" w:lastRow="0" w:firstColumn="1" w:lastColumn="0" w:noHBand="0" w:noVBand="1"/>
      </w:tblPr>
      <w:tblGrid>
        <w:gridCol w:w="9243"/>
      </w:tblGrid>
      <w:tr w:rsidR="00CC1811" w:rsidRPr="00D83E53" w:rsidTr="00A11119">
        <w:trPr>
          <w:trHeight w:val="833"/>
        </w:trP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tbl>
            <w:tblPr>
              <w:tblW w:w="0" w:type="auto"/>
              <w:tblLook w:val="04A0" w:firstRow="1" w:lastRow="0" w:firstColumn="1" w:lastColumn="0" w:noHBand="0" w:noVBand="1"/>
            </w:tblPr>
            <w:tblGrid>
              <w:gridCol w:w="9027"/>
            </w:tblGrid>
            <w:tr w:rsidR="00CC1811" w:rsidRPr="00D83E53" w:rsidTr="00A11119">
              <w:trPr>
                <w:trHeight w:val="666"/>
              </w:trPr>
              <w:tc>
                <w:tcPr>
                  <w:tcW w:w="0" w:type="auto"/>
                  <w:tcBorders>
                    <w:top w:val="nil"/>
                    <w:left w:val="nil"/>
                    <w:bottom w:val="nil"/>
                    <w:right w:val="nil"/>
                  </w:tcBorders>
                  <w:hideMark/>
                </w:tcPr>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rPr>
                    <w:t xml:space="preserve">Crna Gora ostaje </w:t>
                  </w:r>
                  <w:r w:rsidRPr="00CC1811">
                    <w:rPr>
                      <w:rFonts w:eastAsia="Calibri" w:cs="Times New Roman"/>
                      <w:b/>
                      <w:szCs w:val="24"/>
                    </w:rPr>
                    <w:t>umjereno spremna</w:t>
                  </w:r>
                  <w:r w:rsidRPr="00CC1811">
                    <w:rPr>
                      <w:rFonts w:eastAsia="Calibri" w:cs="Times New Roman"/>
                      <w:szCs w:val="24"/>
                    </w:rPr>
                    <w:t xml:space="preserve"> za primjenu pravne tekovine i evropskih standarda u ovoj oblasti, te je ostvarila </w:t>
                  </w:r>
                  <w:r w:rsidRPr="00CC1811">
                    <w:rPr>
                      <w:rFonts w:eastAsia="Calibri" w:cs="Times New Roman"/>
                      <w:b/>
                      <w:szCs w:val="24"/>
                    </w:rPr>
                    <w:t>ograničen napredak</w:t>
                  </w:r>
                  <w:r w:rsidRPr="00CC1811">
                    <w:rPr>
                      <w:rFonts w:eastAsia="Calibri" w:cs="Times New Roman"/>
                      <w:szCs w:val="24"/>
                    </w:rPr>
                    <w:t xml:space="preserve"> ukupno gledano. Prošlogodišnje preporuke u vezi s pravosuđem samo su djelimično ispunjene. Izazovi ostaju, naročito u pogledu nezavisnosti, profesionalnosti, efikasnosti i odgovornosti pravosuđa. Od presudnog je značaja da Crna Gora ne nazaduje u odnosu na ranija dostignuća koja je postigla u reformi pravosuđa. Korupcija je još uvijek pitanje koje izaziva zabrinutost, te je potrebno da Crna Gora proaktivno pristupi obezbjeđivanju maksimalnog integriteta, nepristrasnosti i odgovornosti Agencije za borbu protiv korupcije. </w:t>
                  </w:r>
                  <w:r w:rsidRPr="00CC1811">
                    <w:rPr>
                      <w:rFonts w:eastAsia="Calibri" w:cs="Times New Roman"/>
                      <w:szCs w:val="24"/>
                      <w:lang w:val="fr-FR"/>
                    </w:rPr>
                    <w:t xml:space="preserve">Što se tiče temeljnih prava, Crna Gora je postigla određeni napredak. Iako sada ima većinu zakonskih i institucionalnih okvira, potrebno je da uloži dalje napore kako bi obezbijedila efikasnu primjenu i zaštitu ljudskih prava i usklađivanje s pravnom tekovinom Evropske unije. Sloboda izražavanja i dalje izaziva ozbiljnu zabrinutost. U sprovođenju prošlogodišnjih preporuka nije bilo napretka. </w:t>
                  </w:r>
                </w:p>
              </w:tc>
            </w:tr>
          </w:tbl>
          <w:p w:rsidR="00CC1811" w:rsidRPr="00CC1811" w:rsidRDefault="00CC1811" w:rsidP="00CC1811">
            <w:pPr>
              <w:spacing w:after="120" w:line="240" w:lineRule="auto"/>
              <w:jc w:val="both"/>
              <w:rPr>
                <w:szCs w:val="24"/>
                <w:lang w:val="fr-FR"/>
              </w:rPr>
            </w:pPr>
          </w:p>
        </w:tc>
      </w:tr>
    </w:tbl>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Crna Gora nastavlja s implementacijom detaljnog akcionog plana koji je 2013. godine usvojen prije otvaranja pristupnih pregovora u ovom poglavlju, a naknadno je ažuriran u februaru 2015. godine.</w:t>
      </w:r>
    </w:p>
    <w:p w:rsidR="00CC1811" w:rsidRPr="00CC1811" w:rsidRDefault="00CC1811" w:rsidP="00CC1811">
      <w:pPr>
        <w:keepNext/>
        <w:keepLines/>
        <w:spacing w:after="120" w:line="240" w:lineRule="auto"/>
        <w:jc w:val="both"/>
        <w:rPr>
          <w:rFonts w:eastAsia="Calibri" w:cs="Times New Roman"/>
          <w:b/>
          <w:szCs w:val="24"/>
        </w:rPr>
      </w:pPr>
      <w:r w:rsidRPr="00CC1811">
        <w:rPr>
          <w:rFonts w:eastAsia="Calibri" w:cs="Times New Roman"/>
          <w:b/>
          <w:szCs w:val="24"/>
        </w:rPr>
        <w:lastRenderedPageBreak/>
        <w:t>Funkcionisanje pravosuđa</w:t>
      </w:r>
    </w:p>
    <w:tbl>
      <w:tblPr>
        <w:tblStyle w:val="TableGrid21"/>
        <w:tblW w:w="0" w:type="auto"/>
        <w:shd w:val="clear" w:color="auto" w:fill="D9D9D9" w:themeFill="background1" w:themeFillShade="D9"/>
        <w:tblLook w:val="04A0" w:firstRow="1" w:lastRow="0" w:firstColumn="1" w:lastColumn="0" w:noHBand="0" w:noVBand="1"/>
      </w:tblPr>
      <w:tblGrid>
        <w:gridCol w:w="9242"/>
      </w:tblGrid>
      <w:tr w:rsidR="00CC1811" w:rsidRPr="00CC1811" w:rsidTr="00A11119">
        <w:trPr>
          <w:trHeight w:val="5086"/>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1811" w:rsidRPr="00CC1811" w:rsidRDefault="00CC1811" w:rsidP="00CC1811">
            <w:pPr>
              <w:keepNext/>
              <w:keepLines/>
              <w:spacing w:after="120" w:line="240" w:lineRule="auto"/>
              <w:jc w:val="both"/>
              <w:rPr>
                <w:szCs w:val="24"/>
              </w:rPr>
            </w:pPr>
            <w:r w:rsidRPr="00CC1811">
              <w:rPr>
                <w:szCs w:val="24"/>
              </w:rPr>
              <w:t xml:space="preserve">Pravosudni sistem Crne Gore </w:t>
            </w:r>
            <w:r w:rsidRPr="00CC1811">
              <w:rPr>
                <w:b/>
                <w:szCs w:val="24"/>
              </w:rPr>
              <w:t>umjereno je spreman</w:t>
            </w:r>
            <w:r w:rsidRPr="00CC1811">
              <w:rPr>
                <w:szCs w:val="24"/>
              </w:rPr>
              <w:t xml:space="preserve">, s obzirom na to da je u ovoj oblasti generalno ostvaren </w:t>
            </w:r>
            <w:r w:rsidRPr="00CC1811">
              <w:rPr>
                <w:b/>
                <w:szCs w:val="24"/>
              </w:rPr>
              <w:t>ograničen napredak</w:t>
            </w:r>
            <w:r w:rsidRPr="00CC1811">
              <w:rPr>
                <w:szCs w:val="24"/>
              </w:rPr>
              <w:t xml:space="preserve">. Prošlogodišnje preporuke ispunjene su samo djelimično, kroz kontinuiranu implementaciju IKT strategije  pravosuđa. Pored toga, Crna Gora nastavlja da ulaže napore na planu razvoja i promocije alternativnog rješavanja sporova. Međutim, rezultati reformi, a naročito bilans rezultata u pogledu odgovornosti u pravosuđu, ostaju ograničeni. Potrebno je dodatno konsolidovati rezultate koji su postignuti po pitanju nezavisnosti i profesionalnosti pravosuđa. Upravljanje kadrovima, finansijama i infrastrukturom se nije popravilo. </w:t>
            </w:r>
          </w:p>
          <w:p w:rsidR="00CC1811" w:rsidRPr="00CC1811" w:rsidRDefault="00CC1811" w:rsidP="00CC1811">
            <w:pPr>
              <w:keepNext/>
              <w:keepLines/>
              <w:spacing w:after="120" w:line="240" w:lineRule="auto"/>
              <w:jc w:val="both"/>
              <w:rPr>
                <w:szCs w:val="24"/>
              </w:rPr>
            </w:pPr>
            <w:r w:rsidRPr="00CC1811">
              <w:rPr>
                <w:szCs w:val="24"/>
              </w:rPr>
              <w:t xml:space="preserve">U predstojećoj godini, Crna Gora naročito treba:  </w:t>
            </w:r>
          </w:p>
          <w:p w:rsidR="00CC1811" w:rsidRPr="00CC1811" w:rsidRDefault="00CC1811" w:rsidP="00CC1811">
            <w:pPr>
              <w:keepNext/>
              <w:keepLines/>
              <w:numPr>
                <w:ilvl w:val="0"/>
                <w:numId w:val="3"/>
              </w:numPr>
              <w:spacing w:after="120" w:line="240" w:lineRule="auto"/>
              <w:ind w:left="0" w:firstLine="0"/>
              <w:jc w:val="both"/>
              <w:rPr>
                <w:szCs w:val="24"/>
              </w:rPr>
            </w:pPr>
            <w:r w:rsidRPr="00CC1811">
              <w:rPr>
                <w:szCs w:val="24"/>
              </w:rPr>
              <w:t xml:space="preserve">da obezbijedi djelotvornu nezavisnost i profesionalnost pravosuđa potpunim i nedvosmislenim sprovođenjem relevantnih ustavnih i zakonskih odredaba, u skladu s preporukama GRECO-a, a posebno da efikasno ograniči imenovanja predsjednika sudova na najviše dva mandata, te da preduzme mjere za jačanje nezavisnosti pravosuđa, uključujući i ukidanjem učešća ministra pravde u Sudskom savjetu po službenoj dužnosti; </w:t>
            </w:r>
          </w:p>
          <w:p w:rsidR="00CC1811" w:rsidRPr="00CC1811" w:rsidRDefault="00CC1811" w:rsidP="00CC1811">
            <w:pPr>
              <w:keepNext/>
              <w:keepLines/>
              <w:numPr>
                <w:ilvl w:val="0"/>
                <w:numId w:val="3"/>
              </w:numPr>
              <w:spacing w:after="120" w:line="240" w:lineRule="auto"/>
              <w:ind w:left="0" w:firstLine="0"/>
              <w:jc w:val="both"/>
              <w:rPr>
                <w:szCs w:val="24"/>
              </w:rPr>
            </w:pPr>
            <w:r w:rsidRPr="00CC1811">
              <w:rPr>
                <w:szCs w:val="24"/>
              </w:rPr>
              <w:t xml:space="preserve">da preispita disciplinski i etički okvir za sudije i tužioce kako bi učvrstila objektivnost, proporcionalnost i efikasnost i osigurala djelotvorno sprovođenje ovog okvira; </w:t>
            </w:r>
          </w:p>
          <w:p w:rsidR="00CC1811" w:rsidRPr="00CC1811" w:rsidRDefault="00CC1811" w:rsidP="00CC1811">
            <w:pPr>
              <w:keepNext/>
              <w:keepLines/>
              <w:numPr>
                <w:ilvl w:val="0"/>
                <w:numId w:val="3"/>
              </w:numPr>
              <w:spacing w:after="120" w:line="240" w:lineRule="auto"/>
              <w:ind w:left="0" w:firstLine="0"/>
              <w:jc w:val="both"/>
              <w:rPr>
                <w:szCs w:val="24"/>
              </w:rPr>
            </w:pPr>
            <w:r w:rsidRPr="00CC1811">
              <w:rPr>
                <w:szCs w:val="24"/>
              </w:rPr>
              <w:t>da pripremi i usvoji novu strategijuracionalizacije pravosudne mreže, koja bi utvrdila konkretne naredne korake ka zatvaranju neodrživih malih sudova.</w:t>
            </w:r>
          </w:p>
        </w:tc>
      </w:tr>
    </w:tbl>
    <w:p w:rsidR="00CC1811" w:rsidRPr="00CC1811" w:rsidRDefault="00CC1811" w:rsidP="00CC1811">
      <w:pPr>
        <w:spacing w:after="120" w:line="240" w:lineRule="auto"/>
        <w:jc w:val="both"/>
        <w:rPr>
          <w:rFonts w:eastAsia="Calibri" w:cs="Times New Roman"/>
          <w:szCs w:val="24"/>
          <w:u w:val="single"/>
        </w:rPr>
      </w:pPr>
    </w:p>
    <w:p w:rsidR="00CC1811" w:rsidRPr="00CC1811" w:rsidRDefault="00CC1811" w:rsidP="00CC1811">
      <w:pPr>
        <w:spacing w:after="120" w:line="240" w:lineRule="auto"/>
        <w:jc w:val="both"/>
        <w:rPr>
          <w:rFonts w:eastAsia="Calibri" w:cs="Times New Roman"/>
          <w:szCs w:val="24"/>
          <w:u w:val="single"/>
        </w:rPr>
      </w:pPr>
      <w:r w:rsidRPr="00CC1811">
        <w:rPr>
          <w:rFonts w:eastAsia="Calibri" w:cs="Times New Roman"/>
          <w:szCs w:val="24"/>
          <w:u w:val="single"/>
        </w:rPr>
        <w:t>Strateški dokumenti</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rPr>
        <w:t xml:space="preserve">U septembru 2019. godine vlada je usvojila strategiju reforme pravosuđa za period 2019-2022 i prateći akcioni plan 2019-2020, s analizom efekata prethodne strategije koja se, međutim, svela na činjeničnu analizu aktivnosti bez bilo kakve procjene uticaja. Oktobra 2019. godine, osnovan je Savjet za praćenje sprovođenja strategije sačinjen od glavnih pravosudnih institucija i profesionalnih udruženja sudija i tužilaca. </w:t>
      </w:r>
      <w:r w:rsidRPr="00CC1811">
        <w:rPr>
          <w:rFonts w:eastAsia="Calibri" w:cs="Times New Roman"/>
          <w:szCs w:val="24"/>
          <w:lang w:val="fr-FR"/>
        </w:rPr>
        <w:t xml:space="preserve">Organizacije civilnog društva nijesu bile pozvane da učestvuju u radu Savjeta. Nema značajnijih kašnjenja u implementaciji ove strategije. </w:t>
      </w:r>
    </w:p>
    <w:p w:rsidR="00CC1811" w:rsidRPr="00CC1811" w:rsidRDefault="00CC1811" w:rsidP="00CC1811">
      <w:pPr>
        <w:spacing w:after="120" w:line="240" w:lineRule="auto"/>
        <w:jc w:val="both"/>
        <w:rPr>
          <w:rFonts w:eastAsia="Calibri" w:cs="Times New Roman"/>
          <w:szCs w:val="24"/>
          <w:u w:val="single"/>
          <w:lang w:val="fr-FR"/>
        </w:rPr>
      </w:pPr>
      <w:r w:rsidRPr="00CC1811">
        <w:rPr>
          <w:rFonts w:eastAsia="Calibri" w:cs="Times New Roman"/>
          <w:szCs w:val="24"/>
          <w:u w:val="single"/>
          <w:lang w:val="fr-FR"/>
        </w:rPr>
        <w:t>Organi upravljanja</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lang w:val="fr-FR"/>
        </w:rPr>
        <w:t xml:space="preserve">Sudski savjet i Tužilački savjet ostaju ključna tijela zadužena za upravljanje pravosudnim sistemom i karijerama sudija i tužilaca. </w:t>
      </w:r>
      <w:r w:rsidRPr="00CC1811">
        <w:rPr>
          <w:rFonts w:eastAsia="Calibri" w:cs="Times New Roman"/>
          <w:szCs w:val="24"/>
        </w:rPr>
        <w:t xml:space="preserve">Njihov sastav i postupci za imenovanje članova su generalno u skladu s evropskim standardima. Međutim, Grupa država protiv korupcije Savjeta Evrope (GRECO) smatra da su ostala neriješena pitanja u vezi s jačanjem nezavisnosti Sudskog savjeta od neprimjerenog političkog uticaja kao što je, na primjer, učešće ministra pravde po službenoj dužnosti. Mehanizam protiv zastoja, koji je uveden izmjenama i dopunama zakona o Sudskom savjetu iz 2018. godine, i dalje se primjenjuje, što omogućava produženje mandata članova koji nijesu iz reda sudija do izbora novih članova. Nakon ostavke predsjednika Sudskog savjeta u decembru 2019. godine, Savjet je nastavio s radom u nepotpunom sastavu. Nakon što je u januaru 2020. godine objavljen novi konkurs za kandidate, u julu 2020. godine, Skupština ponovo nije uspjela da za četiri člana koji nijesu nosioci sudijske funkcije obezbijedi dovoljnu većinu za izbor nekog od kandidata Sudskog savjeta. </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 xml:space="preserve">Mandat vrhovnog državnog tužioca istekao je u oktobru 2019. godine i još uvijek se očekuje imenovanje njegovog nasljednika. Nakon prvog neuspješnog konkursa za prijavu kandidata, Tužilački savjet imenovao je odlazećeg Vrhovnog državnog tužioca za vršioca dužnosti. U </w:t>
      </w:r>
      <w:r w:rsidRPr="00CC1811">
        <w:rPr>
          <w:rFonts w:eastAsia="Calibri" w:cs="Times New Roman"/>
          <w:szCs w:val="24"/>
        </w:rPr>
        <w:lastRenderedPageBreak/>
        <w:t>drugom postupku prijave kandidata, Skupština nije obezbijedila kvalifikovanu većinu za izbor kandidata koje je predložio Tužilački savjet. Tužilački savjet još nije okončao postupak imenovanja 11 rukovodilaca državnih tužilaštava, koji je pokrenut 2019. godine. U junu 2020. godine, Tužilački savjet je jednoglasno potvrdio drugi mandat glavnog specijalnog tužioca.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rPr>
        <w:t xml:space="preserve">Budžet Sudskog savjeta za 2020. godinu povećao se za 20% tj. na 1,65 miliona EUR sa 1,37 miliona EUR koliko je bilo opredijeljeno u 2019. godini. </w:t>
      </w:r>
      <w:r w:rsidRPr="00CC1811">
        <w:rPr>
          <w:rFonts w:eastAsia="Calibri" w:cs="Times New Roman"/>
          <w:szCs w:val="24"/>
          <w:lang w:val="fr-FR"/>
        </w:rPr>
        <w:t xml:space="preserve">Budžet Tužilačkog savjeta za 2020. godinu uvećan je za 16% ili 670.000 EUR (2019: 561.000 EUR). Operativni kapacitet oba sekretarijata Savjeta nastavlja da se unapređuje, ali ga je potrebno još više učvrstiti. Takođe je </w:t>
      </w:r>
      <w:r w:rsidRPr="00CC1811">
        <w:rPr>
          <w:rFonts w:eastAsia="Calibri" w:cs="Times New Roman"/>
          <w:sz w:val="23"/>
          <w:szCs w:val="23"/>
          <w:lang w:val="fr-FR"/>
        </w:rPr>
        <w:t>potrebno da ova dva Savjeta preuzmu funkcije budžetskog i finansijskog upravljanja kako na centralnom, tako i na nivou sudova i tužilaštva</w:t>
      </w:r>
      <w:r w:rsidRPr="00CC1811">
        <w:rPr>
          <w:rFonts w:eastAsia="Calibri" w:cs="Times New Roman"/>
          <w:szCs w:val="24"/>
          <w:lang w:val="fr-FR"/>
        </w:rPr>
        <w:t>. Potrebno je okončati tehničke pripreme za postepeno prenošenje budžetskog planiranja i izvršenja na sudove i tužilaštva tokom 2020. godine, a Ministarstvo finansija tek treba da ih prepozna kao budžetske jedinice. Dva Savjeta treba da pojačaju napore na poboljšanju transparentnosti svog rada, posebno putem objavljivanja kompletno obrazloženih odluka o unapređenjima, imenovanjima i disciplinskim postupcima. I dalje su problematični profesionalni kapaciteti članova oba Savjeta, posebno Sudskog savjeta, kao i njihova posvećenost i vrijeme koje izdvajaju za obavljanje svojih funkcija.</w:t>
      </w:r>
    </w:p>
    <w:p w:rsidR="00CC1811" w:rsidRPr="00CC1811" w:rsidRDefault="00CC1811" w:rsidP="00CC1811">
      <w:pPr>
        <w:spacing w:after="120" w:line="240" w:lineRule="auto"/>
        <w:jc w:val="both"/>
        <w:rPr>
          <w:rFonts w:eastAsia="Calibri" w:cs="Times New Roman"/>
          <w:szCs w:val="24"/>
          <w:u w:val="single"/>
          <w:lang w:val="fr-FR"/>
        </w:rPr>
      </w:pPr>
      <w:r w:rsidRPr="00CC1811">
        <w:rPr>
          <w:rFonts w:eastAsia="Calibri" w:cs="Times New Roman"/>
          <w:szCs w:val="24"/>
          <w:u w:val="single"/>
          <w:lang w:val="fr-FR"/>
        </w:rPr>
        <w:t>Nezavisnost i nepristrasnost</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Postoji zakonski okvir koji garantuje nezavisnost sudstva, ali sudstvo i tužilaštvo se još uvijek smatraju osjetljivim na političko uplitanje. U tom smislu, dodatna pitanja mogu se postaviti u vezi s izvještajima da je Vlada dodijelila stanove finansirane od strane države ili kredite pod povoljnim uslovima nekim predstavnicima pravosuđa i tužilaštva, uključujući i one na visokim funkcijama. Odluka Sudskog savjeta o ponovnom imenovanju sedam predsjednika sudova, uključujući predsjednika Vrhovnog suda, na najmanje treći mandat, izaziva ozbiljnu zabrinutost zbog tumačenja slova i duha ustavnog i zakonskog okvira od strane Sudskog savjeta koje ova imenovanja ograničava na najviše dva mandata kako bi se spriječila prevelika koncentracija ovlašćenja unutar pravosuđa. Ovo takođe nije u skladu s preporukama GRECO-a o nezavisnosti sudstva, za koje se očekuje da će Crna Gora poštovati. U junu 2020. godine, potpredsjednik vlade i ministar pravde, nakon sastanka Savjeta za vladavinu prava, dao je izjavu za javnost sugerišući predsjednicima sudova koji su se zadržali na svojim pozicijama više od dva mandata da podnesu ostavke. Navodi o korupciji u Vrhovnom državnom tužilaštvu i prijavljeno neovlašćeno miješanje u rad Specijalnog državnog tužilaštva zahtijevaju nezavisan i efikasan institucionalni odgovor. U aprilu 2020. godine, u okviru mjera štednje koje su uvedene zbog pandemije virusa COVID-19, Vlada je odlučila da za maj i jun smanji plate funkcionera i državnih službenika s najvišim zaradama za 50%, što se odnosi i na preko 200 sudija i tužilaca. Potrebna je čvrsta politička posvećenost kako bi se zajamčila puna nezavisnost pravosuđa.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U januaru 2020. godine, Ustavni sud je, nakon neuspješnog izbora novog predsjednika, u međuvremenu izabrao svog bivšeg predsjednika za 'predsjedavajućeg sudiju', iako takva kategorija nije predviđena zakonskim okvirom. Postupak imenovanja novog predsjednika Ustavnog suda treba sprovesti bez daljeg odlaganja.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Nasumična dodjela predmeta u rad osigurana je Zakonom o sudovima i automatski implementirana kroz pravosudni informacioni sistem PRIS. Postoje određena ograničenja u nasumičnoj dodjeli predmeta u veoma malim sudovima, a PRIS nije uveden u prekršajne sudove. U nedostatku jasnih kriterijuma, nastavlja se praksa preraspodjele velikog broja predmeta među sudovima u cilju smanjenja zaostalih predmeta (1451 predmet u 2019. godini), čime se ugrožava pravo na nadležnog sudiju.</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lastRenderedPageBreak/>
        <w:t>U decembru 2019. godine Vlada je usvojila izmjene Zakona o sudovima i Zakona o državnom tužilaštvu kako bi oba zakona uskladila sa Zakonom o pravosudnoj saradnji u krivičnim stvarima iz 2018. godine; oba zakona čekaju na usvajanje u Skupštini.</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Dato je jedno predsjedničko pomilovanje 2019. godine (postojalo je jedno 2018. i jedno 2017. godine). U junu 2020. godine, Skupština je donijela Zakon o amnestiji za skraćenje kazni zatvora određenih zatvorenika za 5-15%, kako bi se u kontekstu pojave korona virusa smanjila preopterećenost zatvora. Iako na amnestiju neće imati pravo oni koji služe zatvorske kazne za neke od najtežih krivičnih djela, uključujući ratne zločine, teška ubistva, terorizam i trgovinu ljudima, te korupciju i krivična djela protiv polne slobode, pomenuti zakon se može primijeniti na krivična djela povezana s organizovanim kriminalom.</w:t>
      </w:r>
    </w:p>
    <w:p w:rsidR="00CC1811" w:rsidRPr="00CC1811" w:rsidRDefault="00CC1811" w:rsidP="00CC1811">
      <w:pPr>
        <w:spacing w:after="120" w:line="240" w:lineRule="auto"/>
        <w:jc w:val="both"/>
        <w:rPr>
          <w:rFonts w:eastAsia="Calibri" w:cs="Times New Roman"/>
          <w:szCs w:val="24"/>
          <w:u w:val="single"/>
          <w:lang w:val="fr-FR"/>
        </w:rPr>
      </w:pPr>
      <w:r w:rsidRPr="00CC1811">
        <w:rPr>
          <w:rFonts w:eastAsia="Calibri" w:cs="Times New Roman"/>
          <w:szCs w:val="24"/>
          <w:u w:val="single"/>
          <w:lang w:val="fr-FR"/>
        </w:rPr>
        <w:t xml:space="preserve">Odgovornost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Bilans rezultata primjene etičkih kodeksa i disciplinske odgovornosti sudija i tužilaca i dalje je loš. Godine 2019, pred disciplinskom komisijom Sudskog savjeta pokrenut je i okončan </w:t>
      </w:r>
      <w:r w:rsidRPr="00CC1811">
        <w:rPr>
          <w:rFonts w:eastAsia="Calibri" w:cs="Times New Roman"/>
          <w:b/>
          <w:szCs w:val="24"/>
          <w:lang w:val="fr-FR"/>
        </w:rPr>
        <w:t>disciplinski postupak</w:t>
      </w:r>
      <w:r w:rsidRPr="00CC1811">
        <w:rPr>
          <w:rFonts w:eastAsia="Calibri" w:cs="Times New Roman"/>
          <w:szCs w:val="24"/>
          <w:lang w:val="fr-FR"/>
        </w:rPr>
        <w:t xml:space="preserve"> (2018: pokrenut jedan postupak). U ovom postupku utvrđena je povreda koja je sankcionisana smanjenjem zarade od 20%, na period od 3 meseca. Nije bilo novih disciplinskih postupaka protiv tužilaca (2018: ukupno četiri predmeta). U istom periodu bilo je 14 prijava navodne povrede </w:t>
      </w:r>
      <w:r w:rsidRPr="00CC1811">
        <w:rPr>
          <w:rFonts w:eastAsia="Calibri" w:cs="Times New Roman"/>
          <w:b/>
          <w:szCs w:val="24"/>
          <w:lang w:val="fr-FR"/>
        </w:rPr>
        <w:t>etičkog kodeksa</w:t>
      </w:r>
      <w:r w:rsidRPr="00CC1811">
        <w:rPr>
          <w:rFonts w:eastAsia="Calibri" w:cs="Times New Roman"/>
          <w:szCs w:val="24"/>
          <w:lang w:val="fr-FR"/>
        </w:rPr>
        <w:t xml:space="preserve"> sudija; 12 je dovršeno, a u dva slučaja povredu je ustanovila etička komisija (2018: 15 predmeta ukupno, povreda ustanovljena u jednom predmetu). U jednom od pomenuta dva predmeta, Sudski savjet je ukinuo odluku o povredi na osnovu žalbe koju je podnio sudija. Od 12 slučaja navodne povrede etičkog kodeksa tužilaca utvrđena je povreda u 3 slučaja (2018: ukupno 4 slučaja, nije bilo utvrđenih povreda). U prvoj polovini 2020. godine bile su dvije prijave navodnog kršenja etičkog kodeksa sudija i dvije prijave navodnog kršenja etičkog kodeksa tužilaca. Protiv jednog sudije pokrenut je disciplinski postupak.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Sistem za otkrivanje povreda pravila integriteta treba da postane djelotvorniji, a svi slučajevi kod kojih postoji osnov za disciplinsku odgovornost treba da budu odgovarajuće propraćeni. Objektivnost, proporcionalnost i djelotvornost disciplinskog okvira za sudije treba da se ojača. Pristup rješavanju predmeta u obje Komisije koje nadgledaju primjenu etičkih kodeksa još uvijek je nedosljedan. Pravni lijek protiv odluka etičkih komisija oba Savjeta još uvijek nije predviđen zakonom. Relevantne odluke Tužilačkog i Sudskog savjeta nijesu dovoljno obrazložene, a sudska praksa tek treba da se razvije. Iako je savjetodavna funkcija etičkih komisija u pravosuđu i tužilaštvu učvršćena, potrebno je više promovisati etiku i profesionalno ponašanje u pravosuđu, kao i informacije o postojećim žalbenim mehanizmima.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Tokom 2019. godine, redovna pravosudna inspekcija Ministarstva pravde utvrdila je nepravilnosti u sistemu evidencije i arhiviranja sudova za prekršaje, dok u tužilaštvima nijesu utvrđene nepravilnosti. Kapacitet ministarstva za sprovođenje pravosudnih inspekcija i dalje je ograničen, a na nadzoru sudova, tužilaštava, notara i javnih izvršitelja rade samo dva pravosudna inspektora. Potrebno je djelotvorno sprovođenje sistema pravosudne inspekcije, uključujući i putem većeg broja nenajavljenih inspekcija.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U martu 2019. godine usvojene su izmjene i dopune Zakona o javnim izvršiteljima kojima je uvedena obaveza da izvršitelji prijavljuju imovinu Agenciji za sprječavanje korupcije. U decembru 2019. godine usvojen je revidirani etički kodeks javnih izvršitelja i formirana je nova komisija za etičko postupanje javnih izvršitelja. Ministarstvo pravde i Komora javnih izvršitelja započeli su zajedničke inspekcije 18 kancelarija izvršitelja. Ukupno je u tri kancelarije utvrđeno šest nepravilnosti. U 2019. godini pokrenuta su četiri disciplinska postupka protiv javnih izvršitelja, i još jedan do sada tokom 2020. godine. U dva slučaja </w:t>
      </w:r>
      <w:r w:rsidRPr="00CC1811">
        <w:rPr>
          <w:rFonts w:eastAsia="Calibri" w:cs="Times New Roman"/>
          <w:szCs w:val="24"/>
          <w:lang w:val="fr-FR"/>
        </w:rPr>
        <w:lastRenderedPageBreak/>
        <w:t>ustanovljena je disciplinska odgovornost i u skladu s tim izrečene su novčane kazne. U jednom slučaju, javni izvršitelj je privremeno suspendovan do okončanja krivičnog postupka. Potrebno je preduzeti dodatne korake ka promovisanju profesionalnih i etičkih standarda među izvršiteljima, što uključuje i odgovarajuću obuku.</w:t>
      </w:r>
    </w:p>
    <w:p w:rsidR="00CC1811" w:rsidRPr="00CC1811" w:rsidRDefault="00CC1811" w:rsidP="00CC1811">
      <w:pPr>
        <w:spacing w:after="120" w:line="240" w:lineRule="auto"/>
        <w:jc w:val="both"/>
        <w:rPr>
          <w:rFonts w:eastAsia="Calibri" w:cs="Times New Roman"/>
          <w:szCs w:val="24"/>
          <w:u w:val="single"/>
          <w:lang w:val="fr-FR"/>
        </w:rPr>
      </w:pPr>
      <w:r w:rsidRPr="00CC1811">
        <w:rPr>
          <w:rFonts w:eastAsia="Calibri" w:cs="Times New Roman"/>
          <w:szCs w:val="24"/>
          <w:u w:val="single"/>
          <w:lang w:val="fr-FR"/>
        </w:rPr>
        <w:t>Profesionalizam i stručnost</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Crna Gora nastavlja da organizuje jedinstvene konkurse za cijelu državu za sudije i tužioce. Tokom 2019. godine je </w:t>
      </w:r>
      <w:r w:rsidRPr="00CC1811">
        <w:rPr>
          <w:rFonts w:eastAsia="Times New Roman" w:cs="Times New Roman"/>
          <w:szCs w:val="24"/>
          <w:lang w:val="fr-FR"/>
        </w:rPr>
        <w:t>9 sudija unaprijeđeno na sudske pozicije višeg nivoa i 2 tužioca su imenovana u tužilaštva višeg stepena. Optužbe o sukobu interesa protiv nekih članova Sudskog savjeta vezano za određene kandidate na konkursu iz 2019</w:t>
      </w:r>
      <w:r w:rsidRPr="00CC1811">
        <w:rPr>
          <w:rFonts w:eastAsia="Calibri" w:cs="Times New Roman"/>
          <w:szCs w:val="24"/>
          <w:lang w:val="fr-FR"/>
        </w:rPr>
        <w:t xml:space="preserve">, način na koji su obavljani intervjui s kandidatima; i povrede integriteta od strane kandidata tokom konkursa 2020, ukazuju na neriješene izazove u transparentnom i na zaslugama zasnovanom angažovanju sudija, profesionalizam komisije za ispitivanje Sudskog savjeta; i tehničke preduslove za organizovanje ispitivanja. </w:t>
      </w:r>
    </w:p>
    <w:p w:rsidR="00CC1811" w:rsidRPr="00CC1811" w:rsidRDefault="00CC1811" w:rsidP="00CC1811">
      <w:pPr>
        <w:spacing w:after="120" w:line="240" w:lineRule="auto"/>
        <w:jc w:val="both"/>
        <w:rPr>
          <w:rFonts w:eastAsia="Calibri" w:cs="Times New Roman"/>
          <w:szCs w:val="24"/>
          <w:highlight w:val="yellow"/>
          <w:lang w:val="fr-FR"/>
        </w:rPr>
      </w:pPr>
      <w:r w:rsidRPr="00CC1811">
        <w:rPr>
          <w:rFonts w:eastAsia="Calibri" w:cs="Times New Roman"/>
          <w:szCs w:val="24"/>
          <w:lang w:val="fr-FR"/>
        </w:rPr>
        <w:t>Oba Savjeta sada vrše redovnu ocjenu sudija i tužilaca po novom sistemu redovne ocjene rada. Tokom 2019. godine, ocijenjeno je 55 sudija i 53 tužioca u redovnom postupku ocjenjivanja. Činjenica da su svi ocjenjivani tužioci dobili odličnu ocjenu dovodi u pitanje objektivnost i opštu svrhu procesa ocjenjivanja. Ocjena treba da bude temeljitija, u skladu s kriterijumima ocjenjivanja koji su revidirani 2017. godine.</w:t>
      </w:r>
    </w:p>
    <w:p w:rsidR="00CC1811" w:rsidRPr="00CC1811" w:rsidRDefault="00CC1811" w:rsidP="00CC1811">
      <w:pPr>
        <w:spacing w:after="120" w:line="240" w:lineRule="auto"/>
        <w:jc w:val="both"/>
        <w:rPr>
          <w:rFonts w:eastAsia="Calibri" w:cs="Times New Roman"/>
          <w:szCs w:val="24"/>
          <w:u w:val="single"/>
          <w:lang w:val="fr-FR"/>
        </w:rPr>
      </w:pPr>
      <w:r w:rsidRPr="00CC1811">
        <w:rPr>
          <w:rFonts w:eastAsia="Calibri" w:cs="Times New Roman"/>
          <w:szCs w:val="24"/>
          <w:u w:val="single"/>
          <w:lang w:val="fr-FR"/>
        </w:rPr>
        <w:t>Kvalitet pravde</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Akcioni plan za period 2019-2020. koji prati strategiju reforme pravosuđa obuhvata mjere za sprovođenje strategije Centra za obuku u sudstvu i državnom tužilaštvu. Tokom 2020. godine, Centru za obuku u sudstvu i državnom tužilaštvu dodijeljen je budžet od 615.593 eura (2019: 619.000 eura) što je i dalje ispod zakonskog minimuma. Autonomno i samoodrživo funkcionisanje Centra prema tome još uvijek nije zagarantovano. Međutim, finansiranje Centra iz državnog budžeta trenutno je dovoljno s obzirom da veliki dio njegovih aktivnosti i dalje ima podršku od EU i drugih međunarodnih donatora.</w:t>
      </w:r>
      <w:r w:rsidRPr="00CC1811">
        <w:rPr>
          <w:rFonts w:eastAsia="Calibri" w:cs="Times New Roman"/>
          <w:iCs/>
          <w:szCs w:val="24"/>
          <w:lang w:val="fr-FR"/>
        </w:rPr>
        <w:t xml:space="preserve"> Njegov Sekretarijat i dalje zapošljava 14 od 19 planiranih radnih mjesta, dok se broj njegovih realizovanih aktivnosti stalno povećava. Aktivnosti Centra na obuci prekinute su u periodu </w:t>
      </w:r>
      <w:r w:rsidRPr="00CC1811">
        <w:rPr>
          <w:rFonts w:eastAsia="Calibri" w:cs="Times New Roman"/>
          <w:szCs w:val="24"/>
          <w:lang w:val="fr-FR"/>
        </w:rPr>
        <w:t xml:space="preserve">COVID-19 ograničenja. Kapacitete Centra za upravljanje, strateško planiranje i administrativne kapacitete treba dalje poboljšavati, naročito nakon promjena u upravi u decembru 2019. godine. Tek treba uspostaviti njegovu redovnu saradnju sa Sudskim i Tužilačkim savjetom, naročito oko organizovanja ciklusa početne obuke. Uloga Savjeta za programiranje u Centru mora se u značajnoj mjeri poboljšati u pogledu procjene potreba za obukom i ocjenjivanja. Centar učestvuje kao posmatrač u aktivnostima koje nudi Evropska mreža za obuku u pravosuđu (EJTN) ali ne iskorišćava stručnost u okviru mreže na proaktivan način.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Aktivnostima u pravosuđu nastavlja da se usklađuje sudska praksa, uključujući i usklađivanje sa sudskom praksom Evropskog suda za ljudska prava. Međutim, ostaje zabrinutost vezano za institucionalne sporove i različito razumijevanje i tumačenje standarda ljudskih prava između Vrhovnog suda i Ustavnog suda, čime se ugrožava pravna sigurnost i pravo na pravosnažnu presudu i efikasan pravni lijek.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Nije bilo napretka u punoj realizaciji uputstava za prikupljanje statističkih podataka u skladu sa smjernicama Evropske komisije za efikasnost pravosuđa (CEPEJ). Takođe ostaju i pitanja vezana za pouzdanost i dostupnost stratističkih podataka za pravosuđe u nedostatku naprednog sistema upravljanja predmetima. Podaci o ukupnoj dužini postupka još uvijek nijesu dostupni. </w:t>
      </w:r>
      <w:r w:rsidRPr="00CC1811">
        <w:rPr>
          <w:rFonts w:eastAsia="Calibri" w:cs="Times New Roman"/>
          <w:iCs/>
          <w:szCs w:val="24"/>
          <w:lang w:val="fr-FR"/>
        </w:rPr>
        <w:t xml:space="preserve">Statističke informacije o rezultatima sudskog sistema nijesu sistematski analizirane niti se koriste za svrhe upravljanja i kreiranja politike. </w:t>
      </w:r>
    </w:p>
    <w:p w:rsidR="00CC1811" w:rsidRPr="00CC1811" w:rsidRDefault="00CC1811" w:rsidP="00CC1811">
      <w:pPr>
        <w:spacing w:after="120" w:line="240" w:lineRule="auto"/>
        <w:jc w:val="both"/>
        <w:rPr>
          <w:rFonts w:eastAsia="Calibri" w:cs="Times New Roman"/>
          <w:iCs/>
          <w:szCs w:val="24"/>
          <w:lang w:val="fr-FR"/>
        </w:rPr>
      </w:pPr>
      <w:r w:rsidRPr="00CC1811">
        <w:rPr>
          <w:rFonts w:eastAsia="Calibri" w:cs="Times New Roman"/>
          <w:iCs/>
          <w:szCs w:val="24"/>
          <w:lang w:val="fr-FR"/>
        </w:rPr>
        <w:lastRenderedPageBreak/>
        <w:t xml:space="preserve">U septembru 2019. godine, Vlada je usvojila ažurirani Akcioni plan za period 2016-2020. za sprovođenje ICT strategije za sudstvo, uz neke korekcije ciljnih datuma zbog određenih kašnjenja u realizaciji i detaljno razloženog budžeta. Novi IKT podsistem za sudove nabavljen je u junu 2019. godine. Sve dok novi sistem ne bude postavljen, sadašnji pravosudni informacioni sistem, PRIS, koriste svi sudovi za praćenje predmeta, određene aspekte upravljanja predmetima i interakciju sa strankama. Sistem i dalje ima nedostataka vezanih za bezbjednost i ne funkcioniše jednako van Podgorice, dok je informacioni sistem tužilaštva i dalje nedovoljno napredan. </w:t>
      </w:r>
    </w:p>
    <w:p w:rsidR="00CC1811" w:rsidRPr="00CC1811" w:rsidRDefault="00CC1811" w:rsidP="00CC1811">
      <w:pPr>
        <w:spacing w:after="120" w:line="240" w:lineRule="auto"/>
        <w:jc w:val="both"/>
        <w:rPr>
          <w:rFonts w:eastAsia="Calibri" w:cs="Times New Roman"/>
          <w:iCs/>
          <w:szCs w:val="24"/>
          <w:lang w:val="fr-FR"/>
        </w:rPr>
      </w:pPr>
      <w:r w:rsidRPr="00CC1811">
        <w:rPr>
          <w:rFonts w:eastAsia="Calibri" w:cs="Times New Roman"/>
          <w:iCs/>
          <w:szCs w:val="24"/>
          <w:lang w:val="fr-FR"/>
        </w:rPr>
        <w:t xml:space="preserve">Budžet za 2020. godinu za pravosuđe iznosi 39,1 milion eura, slično kao i 2019. Crna Gora ima 51 sudiju (od kojih su 58% žene) i 17 tužilaca (od kojih su preko 65% žene) na 100.000 stanovnika, daleko iznad evropskog prosjeka od 21 sudije i 11 tužilaca (izvor: CEPEJ), kao i tri puta više zaposlenih u sudstvu po broju stanovnika od evropskog prosjeka. Crna Gora se ističe u poređenju s regionom u pogledu mnogo niže naplate sudskih taksi.  </w:t>
      </w:r>
    </w:p>
    <w:p w:rsidR="00CC1811" w:rsidRPr="00CC1811" w:rsidRDefault="00CC1811" w:rsidP="00CC1811">
      <w:pPr>
        <w:spacing w:after="120" w:line="240" w:lineRule="auto"/>
        <w:jc w:val="both"/>
        <w:rPr>
          <w:rFonts w:eastAsia="Calibri" w:cs="Times New Roman"/>
          <w:iCs/>
          <w:szCs w:val="24"/>
          <w:lang w:val="fr-FR"/>
        </w:rPr>
      </w:pPr>
      <w:r w:rsidRPr="00CC1811">
        <w:rPr>
          <w:rFonts w:eastAsia="Calibri" w:cs="Times New Roman"/>
          <w:iCs/>
          <w:szCs w:val="24"/>
          <w:lang w:val="fr-FR"/>
        </w:rPr>
        <w:t xml:space="preserve">Nastavio se pozitivan trend u oblasti </w:t>
      </w:r>
      <w:r w:rsidRPr="00CC1811">
        <w:rPr>
          <w:rFonts w:eastAsia="Calibri" w:cs="Times New Roman"/>
          <w:b/>
          <w:iCs/>
          <w:szCs w:val="24"/>
          <w:lang w:val="fr-FR"/>
        </w:rPr>
        <w:t>alternativnog rješavanja sporova</w:t>
      </w:r>
      <w:r w:rsidRPr="00CC1811">
        <w:rPr>
          <w:rFonts w:eastAsia="Calibri" w:cs="Times New Roman"/>
          <w:iCs/>
          <w:szCs w:val="24"/>
          <w:lang w:val="fr-FR"/>
        </w:rPr>
        <w:t>, gdje je Crna Gora preduzela određene mjere na jačanju i promovisanju njegovog korišćenja. Vlada je usvojila Zakon o alternativnom rješavanju sporova u novembru 2019. godine; on omogućava, između ostalog, obavezno pribjegavanje alternativnom rješavanju sporova u određenim predmetima. Zakon tek treba da zvanično donese Skupština. 2019. godine, 917 predmeta upućeno je Centru za posredovanje (2018: 629 ukupno)</w:t>
      </w:r>
      <w:r w:rsidRPr="00CC1811">
        <w:rPr>
          <w:rFonts w:eastAsia="Times New Roman" w:cs="Times New Roman"/>
          <w:szCs w:val="24"/>
          <w:lang w:val="fr-FR"/>
        </w:rPr>
        <w:t>, a 403 predmeta je riješeno kroz medijaciju (2018: 107). U istom periodu</w:t>
      </w:r>
      <w:r w:rsidRPr="00CC1811">
        <w:rPr>
          <w:rFonts w:eastAsia="Calibri" w:cs="Times New Roman"/>
          <w:iCs/>
          <w:szCs w:val="24"/>
          <w:lang w:val="fr-FR"/>
        </w:rPr>
        <w:t xml:space="preserve">, 2.743 predmeta (2018: </w:t>
      </w:r>
      <w:r w:rsidRPr="00CC1811">
        <w:rPr>
          <w:rFonts w:eastAsia="Calibri" w:cs="Times New Roman"/>
          <w:szCs w:val="24"/>
          <w:lang w:val="fr-FR"/>
        </w:rPr>
        <w:t>3.450</w:t>
      </w:r>
      <w:r w:rsidRPr="00CC1811">
        <w:rPr>
          <w:rFonts w:eastAsia="Calibri" w:cs="Times New Roman"/>
          <w:iCs/>
          <w:szCs w:val="24"/>
          <w:lang w:val="fr-FR"/>
        </w:rPr>
        <w:t xml:space="preserve">) predato je Agenciji za mirno rješavanje radnih sporova, od čega je </w:t>
      </w:r>
      <w:r w:rsidRPr="00CC1811">
        <w:rPr>
          <w:rFonts w:eastAsia="Times New Roman" w:cs="Times New Roman"/>
          <w:szCs w:val="24"/>
          <w:lang w:val="fr-FR"/>
        </w:rPr>
        <w:t>1.258 riješeno</w:t>
      </w:r>
      <w:r w:rsidRPr="00CC1811">
        <w:rPr>
          <w:rFonts w:eastAsia="Calibri" w:cs="Times New Roman"/>
          <w:iCs/>
          <w:szCs w:val="24"/>
          <w:lang w:val="fr-FR"/>
        </w:rPr>
        <w:t xml:space="preserve"> (2018: 3.041). Međutim, ovaj metod tek treba da se koristi sistematično kako bi njegov opšti uticaj bio maksimalan.  </w:t>
      </w:r>
    </w:p>
    <w:p w:rsidR="00CC1811" w:rsidRPr="00CC1811" w:rsidRDefault="00CC1811" w:rsidP="00CC1811">
      <w:pPr>
        <w:spacing w:after="120" w:line="240" w:lineRule="auto"/>
        <w:jc w:val="both"/>
        <w:rPr>
          <w:rFonts w:eastAsia="Calibri" w:cs="Times New Roman"/>
          <w:szCs w:val="24"/>
          <w:u w:val="single"/>
          <w:lang w:val="fr-FR"/>
        </w:rPr>
      </w:pPr>
    </w:p>
    <w:p w:rsidR="00CC1811" w:rsidRPr="00CC1811" w:rsidRDefault="00CC1811" w:rsidP="00CC1811">
      <w:pPr>
        <w:spacing w:after="120" w:line="240" w:lineRule="auto"/>
        <w:jc w:val="both"/>
        <w:rPr>
          <w:rFonts w:eastAsia="Calibri" w:cs="Times New Roman"/>
          <w:szCs w:val="24"/>
          <w:u w:val="single"/>
          <w:lang w:val="fr-FR"/>
        </w:rPr>
      </w:pPr>
      <w:r w:rsidRPr="00CC1811">
        <w:rPr>
          <w:rFonts w:eastAsia="Calibri" w:cs="Times New Roman"/>
          <w:szCs w:val="24"/>
          <w:u w:val="single"/>
          <w:lang w:val="fr-FR"/>
        </w:rPr>
        <w:t>Efikasnost</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Tokom 2019. godine, 131.956 predmeta bilo je neriješeno na crnogorskim sudovima, od kojih su 92 bili novi predmeti (6,9 % manje nego 2018). Nekih 92.305 predmeta je riješeno (5,5 % manje nego 2018), dok je opšti zaostatak u predmetima opao za 2 % na 38.190. Crna Gora je nastavila da preduzima konkretne mjere na smanjenju zaostatka starih slučajeva, kojima je dat status prioriteta. Broj predmeta starijih od 3 godine pao je za 5,5 %, na 2.912. Vrijeme upravljanja, tj. prosječno vrijeme od predaje do donošenja odluke, bilo je 143 dana kod predmeta na osnovnim sudovima (2018: 142 dana) i 116 kod privrednih predmeta (2018: 107 dana). Vrijeme upravljanja na Upravnom sudu (534 dana) razlog je za zabrinutost.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U aprilu 2019. godine usvojene su izmjene i dopune Zakona o izvršenju i obezbjeđenju potraživanja, s ciljem usklađivanja s pravnom tekovinom EU i bavljenja nekim izazovima u praksi izvršnih postupaka.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Što se tiče izvršenja, stope klirensa i naplate se povećavaju, a zaostatak predmeta izvršenja pred sudovima smanjen je sa 150.000 u 2016. godini na svega oko 2.500 na kraju 2019. godine. U 2019, 61.127 predmeta je predato kancelarijama javnih izvršitelja, uz 40.019 predmeta neriješenih na kraju godine. Centralizovani sistem za upravljanje predmetima za javne izvršitelje i dalje se dosljedno koristi, garantujući pouzdanost podataka. Sprovođenje sudskih odluka ostaje izazov. </w:t>
      </w:r>
    </w:p>
    <w:p w:rsidR="00CC1811" w:rsidRPr="00CC1811" w:rsidRDefault="00CC1811" w:rsidP="00CC1811">
      <w:pPr>
        <w:spacing w:after="120" w:line="240" w:lineRule="auto"/>
        <w:jc w:val="both"/>
        <w:rPr>
          <w:rFonts w:eastAsia="Calibri" w:cs="Times New Roman"/>
          <w:szCs w:val="24"/>
          <w:highlight w:val="yellow"/>
          <w:lang w:val="fr-FR"/>
        </w:rPr>
      </w:pPr>
      <w:r w:rsidRPr="00CC1811">
        <w:rPr>
          <w:rFonts w:eastAsia="Calibri" w:cs="Times New Roman"/>
          <w:szCs w:val="24"/>
          <w:lang w:val="fr-FR"/>
        </w:rPr>
        <w:t xml:space="preserve">Tokom 2019. godine, Ustavni sud Crne Gore je primio 2.320 predmeta (2018: 2.291), dok je riješio njih 1.436 (2018: 1.203). Trend povećanja zaostalih predmeta nastavlja se u 2020.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Srednjoročna strategija za racionalizaciju sudske mreže za period 2017-2019. ne predviđa bilo kakve opipljive i konkretne mjere racionalizacije. Akcionim planom za implementaciju Strategije reforme pravosuđa za period 2019-2020, Vlada se obavezala za pripremu osnovne </w:t>
      </w:r>
      <w:r w:rsidRPr="00CC1811">
        <w:rPr>
          <w:rFonts w:eastAsia="Calibri" w:cs="Times New Roman"/>
          <w:szCs w:val="24"/>
          <w:lang w:val="fr-FR"/>
        </w:rPr>
        <w:lastRenderedPageBreak/>
        <w:t xml:space="preserve">analize za racionalizaciju sudske mreže, koja je u toku, i treba da bude završena na jesen. Reforme u ovoj oblasti treba da se nadograđuju na dostupne podatke, zaključke iz odrađenih studija i analiza troškova i koristi, osiguravajući bolje opšte upravljanje ljudskim resursima i pravosudnom infrastrukturom, i konačno treba da vode ka optimizaciji pravosudne mreže i zatvaranju malih neodrživih sudova. </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u w:val="single"/>
          <w:lang w:val="fr-FR"/>
        </w:rPr>
        <w:t xml:space="preserve">Rješavanje predmeta ratnih zločina na domaćem nivou </w:t>
      </w:r>
    </w:p>
    <w:p w:rsidR="00CC1811" w:rsidRPr="00CC1811" w:rsidRDefault="00CC1811" w:rsidP="00CC1811">
      <w:pPr>
        <w:autoSpaceDE w:val="0"/>
        <w:autoSpaceDN w:val="0"/>
        <w:adjustRightInd w:val="0"/>
        <w:spacing w:after="120" w:line="240" w:lineRule="auto"/>
        <w:jc w:val="both"/>
        <w:rPr>
          <w:rFonts w:eastAsia="Calibri" w:cs="Times New Roman"/>
          <w:iCs/>
          <w:szCs w:val="24"/>
          <w:lang w:val="fr-FR"/>
        </w:rPr>
      </w:pPr>
      <w:r w:rsidRPr="00CC1811">
        <w:rPr>
          <w:rFonts w:eastAsia="Calibri" w:cs="Times New Roman"/>
          <w:iCs/>
          <w:szCs w:val="24"/>
          <w:lang w:val="fr-FR"/>
        </w:rPr>
        <w:t>Nastavljeno je sprovođenje Strategije za istraživanje ratnih zločina. U junu 2019. godine, prvostepeni sud je donio odluku kojom osuđuje optuženog na 14 godina zatvora za zločine protiv civilnog stanovništva na Kosovu</w:t>
      </w:r>
      <w:r w:rsidRPr="00CC1811">
        <w:rPr>
          <w:rFonts w:eastAsia="Calibri" w:cs="Times New Roman"/>
          <w:iCs/>
          <w:szCs w:val="24"/>
          <w:vertAlign w:val="superscript"/>
        </w:rPr>
        <w:footnoteReference w:customMarkFollows="1" w:id="2"/>
        <w:sym w:font="Symbol" w:char="F02A"/>
      </w:r>
      <w:r w:rsidRPr="00CC1811">
        <w:rPr>
          <w:rFonts w:eastAsia="Calibri" w:cs="Times New Roman"/>
          <w:iCs/>
          <w:szCs w:val="24"/>
          <w:lang w:val="fr-FR"/>
        </w:rPr>
        <w:t xml:space="preserve">. Kaznu je potvrdio drugostepeni sud svojim odlukom iz novembra 2019. godine. Dok odluka ne postane pravosnažna, u toku su postupci po predlogu optuženog za zaštitu zakonitosti. U okviru nadležnosti Specijalnog tužilaštva (SPO), četiri predmeta ostaju u izviđaju a tiču se ratnih zločina počinjenih na teritoriji Bosne i Hercegovine i Hrvatske. Nakon potpisivanja Memoranduma o razumijevanju s Međunarodnim rezidualnim mehanizmom za krivične sudove (IRMCT) početkom 2019. godine, pripremljene su smjernice za razmjenu informacija i dokaza s IRMCT-om. Vrhovni državni tužilac Crne Gore potpisao je ugovore o regionalnoj saradnji na predmetima ratnih zločina s Hrvatskom (2006), Srbijom (2007) i Bosnom i Hercegovinom (2014). U 2019. godini i prvoj polovini 2020. godine, Crna Gora je postupala u sedam zamolnica iz Bosne i Hercegovine, tri zamolnice iz Hrvatske i jedne iz kancelarije Specijalnog tužilaštva Kosova. Takođe su u toku aktivnosti na preispitivanju starih slučajeva kako bi se obezbijedila revizija pravosnažnih presuda. Tužilaštvo redovno učestvuje na regionalnim radnim sastancima. </w:t>
      </w:r>
    </w:p>
    <w:p w:rsidR="00CC1811" w:rsidRPr="00CC1811" w:rsidRDefault="00CC1811" w:rsidP="00CC1811">
      <w:pPr>
        <w:autoSpaceDE w:val="0"/>
        <w:autoSpaceDN w:val="0"/>
        <w:adjustRightInd w:val="0"/>
        <w:spacing w:after="120" w:line="240" w:lineRule="auto"/>
        <w:jc w:val="both"/>
        <w:rPr>
          <w:rFonts w:eastAsia="Calibri" w:cs="Times New Roman"/>
          <w:iCs/>
          <w:szCs w:val="24"/>
          <w:lang w:val="fr-FR"/>
        </w:rPr>
      </w:pPr>
      <w:r w:rsidRPr="00CC1811">
        <w:rPr>
          <w:rFonts w:eastAsia="Calibri" w:cs="Times New Roman"/>
          <w:iCs/>
          <w:szCs w:val="24"/>
          <w:lang w:val="fr-FR"/>
        </w:rPr>
        <w:t>Važno je osigurati da žrtve ratnih zločina imaju jednak pristup pravdi, u skladu s evropskim i međunarodnim standardima, i da je obeštećenje u skladu s obavezama koje je preuzela Crna Gora. Tokom 2019. godine bilo je 19 zahtjeva za naknadom (obeštećenjem) koji su bili neriješeni na Osnovnom sudu u Podgorici: 17 za štetu nastalu zbog smanjenja opšte životne aktivnosti, straha i duševnih bolova, i 2 za štete nastale zbog nezakonitog lišavanja slobode. Sud je svim tim zahtjevima dao prioritet. Do juna 2020. godine, četiri zahtjeva za naknadom su djelimično potvrđena, dodjeljujući nematerijalne štete u iznosima između 4.500 eura i 6.000 eura.</w:t>
      </w:r>
    </w:p>
    <w:p w:rsidR="00CC1811" w:rsidRPr="00CC1811" w:rsidRDefault="00CC1811" w:rsidP="00CC1811">
      <w:pPr>
        <w:autoSpaceDE w:val="0"/>
        <w:autoSpaceDN w:val="0"/>
        <w:adjustRightInd w:val="0"/>
        <w:spacing w:after="120" w:line="240" w:lineRule="auto"/>
        <w:jc w:val="both"/>
        <w:rPr>
          <w:rFonts w:eastAsia="Calibri" w:cs="Times New Roman"/>
          <w:iCs/>
          <w:szCs w:val="24"/>
          <w:lang w:val="fr-FR"/>
        </w:rPr>
      </w:pPr>
      <w:r w:rsidRPr="00CC1811">
        <w:rPr>
          <w:rFonts w:eastAsia="Calibri" w:cs="Times New Roman"/>
          <w:iCs/>
          <w:szCs w:val="24"/>
          <w:lang w:val="fr-FR"/>
        </w:rPr>
        <w:t>Treba primijeniti proaktivan pristup kako bi se ratni zločini efikasno istražili, gonili, sudili i kaznili u skladu s međunarodnim standardima. Sudske odluke donesene u prošlosti sadržale su pravne greške i nedostatke u primjeni međunarodnog humanitarnog prava. Optužnice za komandnu odgovornost, saučesništvo i pomaganje i podsticanje do sada nijesu podizane.</w:t>
      </w:r>
      <w:r w:rsidRPr="00CC1811">
        <w:rPr>
          <w:rFonts w:eastAsia="Calibri" w:cs="Times New Roman"/>
          <w:szCs w:val="24"/>
          <w:lang w:val="fr-FR"/>
        </w:rPr>
        <w:t xml:space="preserve"> </w:t>
      </w:r>
    </w:p>
    <w:p w:rsidR="00CC1811" w:rsidRPr="00CC1811" w:rsidRDefault="00CC1811" w:rsidP="00CC1811">
      <w:pPr>
        <w:spacing w:after="120" w:line="240" w:lineRule="auto"/>
        <w:jc w:val="both"/>
        <w:rPr>
          <w:rFonts w:eastAsia="Calibri" w:cs="Times New Roman"/>
          <w:b/>
          <w:bCs/>
          <w:szCs w:val="24"/>
        </w:rPr>
      </w:pPr>
      <w:r w:rsidRPr="00CC1811">
        <w:rPr>
          <w:rFonts w:eastAsia="Calibri" w:cs="Times New Roman"/>
          <w:b/>
          <w:bCs/>
          <w:szCs w:val="24"/>
        </w:rPr>
        <w:t>Borba protiv korupcije</w:t>
      </w:r>
    </w:p>
    <w:tbl>
      <w:tblPr>
        <w:tblW w:w="0" w:type="auto"/>
        <w:shd w:val="clear" w:color="auto" w:fill="D9D9D9" w:themeFill="background1" w:themeFillShade="D9"/>
        <w:tblLook w:val="04A0" w:firstRow="1" w:lastRow="0" w:firstColumn="1" w:lastColumn="0" w:noHBand="0" w:noVBand="1"/>
      </w:tblPr>
      <w:tblGrid>
        <w:gridCol w:w="9243"/>
      </w:tblGrid>
      <w:tr w:rsidR="00CC1811" w:rsidRPr="00CC1811" w:rsidTr="00A11119">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1811" w:rsidRPr="00CC1811" w:rsidRDefault="00CC1811" w:rsidP="00CC1811">
            <w:pPr>
              <w:spacing w:after="120" w:line="240" w:lineRule="auto"/>
              <w:jc w:val="both"/>
              <w:rPr>
                <w:rFonts w:eastAsia="Calibri" w:cs="Times New Roman"/>
                <w:szCs w:val="24"/>
              </w:rPr>
            </w:pPr>
            <w:r w:rsidRPr="00CC1811">
              <w:rPr>
                <w:rFonts w:eastAsia="Calibri" w:cs="Times New Roman"/>
                <w:bCs/>
                <w:szCs w:val="24"/>
              </w:rPr>
              <w:t xml:space="preserve">Crna Gora ima </w:t>
            </w:r>
            <w:r w:rsidRPr="00CC1811">
              <w:rPr>
                <w:rFonts w:eastAsia="Calibri" w:cs="Times New Roman"/>
                <w:b/>
                <w:bCs/>
                <w:szCs w:val="24"/>
              </w:rPr>
              <w:t>određeni nivo spremnosti</w:t>
            </w:r>
            <w:r w:rsidRPr="00CC1811">
              <w:rPr>
                <w:rFonts w:eastAsia="Calibri" w:cs="Times New Roman"/>
                <w:bCs/>
                <w:szCs w:val="24"/>
              </w:rPr>
              <w:t xml:space="preserve">. Ostvarila je </w:t>
            </w:r>
            <w:r w:rsidRPr="00CC1811">
              <w:rPr>
                <w:rFonts w:eastAsia="Calibri" w:cs="Times New Roman"/>
                <w:b/>
                <w:bCs/>
                <w:szCs w:val="24"/>
              </w:rPr>
              <w:t xml:space="preserve">ograničeni napredak </w:t>
            </w:r>
            <w:r w:rsidRPr="00CC1811">
              <w:rPr>
                <w:rFonts w:eastAsia="Calibri" w:cs="Times New Roman"/>
                <w:bCs/>
                <w:szCs w:val="24"/>
              </w:rPr>
              <w:t>u borbi protiv korupcije, a prošlogodišnje preporuke su djelimično ispunjene što se tiče bilansa ostvarenih rezultata u suzbijanju i sprječavanju korupcije i novog institucionalnog okvira za Kancelariju za povraćaj imovine (ARO). Agencija za sprječavanje korupcije</w:t>
            </w:r>
            <w:r w:rsidRPr="00CC1811">
              <w:rPr>
                <w:rFonts w:eastAsia="Calibri" w:cs="Times New Roman"/>
                <w:szCs w:val="24"/>
              </w:rPr>
              <w:t xml:space="preserve"> (ASK) nastavila je svoje jačanje kroz aktivnosti izgradnje kapaciteta i tehničku pomoć. Međutim, izazovi vezano za njenu nezavisnost, postavljanje prioriteta, selektivan pristup i kvalitet njenih odluka ostaju. Agencija tek treba da pokaže svoj proaktivan pristup u svim oblastima koje spadaju u njen mandat, uključujući zaštitu zviždača, kontrolu finansiranja političkih partija i izborne kampanje, i nadgledanje lobiranja. Ostvarene rezultate zapljene i oduzimanja imovine stečene kriminalom treba dalje poboljšavati. Korupcija preovladava u mnogim oblastima. Postoji potreba za snažnom političkom voljom da se djelotvorno riješi ovo pitanje</w:t>
            </w:r>
            <w:r w:rsidRPr="00CC1811">
              <w:rPr>
                <w:rFonts w:eastAsia="Calibri" w:cs="Times New Roman"/>
                <w:bCs/>
                <w:szCs w:val="24"/>
                <w:lang w:eastAsia="en-GB"/>
              </w:rPr>
              <w:t xml:space="preserve">, kao i za čvrstom </w:t>
            </w:r>
            <w:r w:rsidRPr="00CC1811">
              <w:rPr>
                <w:rFonts w:eastAsia="Calibri" w:cs="Times New Roman"/>
                <w:bCs/>
                <w:szCs w:val="24"/>
                <w:lang w:eastAsia="en-GB"/>
              </w:rPr>
              <w:lastRenderedPageBreak/>
              <w:t>reakcijom krivičnog pravosuđa na korupciju na visokom nivou.</w:t>
            </w:r>
          </w:p>
          <w:p w:rsidR="00CC1811" w:rsidRPr="00CC1811" w:rsidRDefault="00CC1811" w:rsidP="00CC1811">
            <w:pPr>
              <w:spacing w:after="120" w:line="240" w:lineRule="auto"/>
              <w:jc w:val="both"/>
              <w:rPr>
                <w:rFonts w:eastAsia="Calibri" w:cs="Times New Roman"/>
                <w:bCs/>
                <w:szCs w:val="24"/>
              </w:rPr>
            </w:pPr>
            <w:r w:rsidRPr="00CC1811">
              <w:rPr>
                <w:rFonts w:eastAsia="Calibri" w:cs="Times New Roman"/>
                <w:bCs/>
                <w:szCs w:val="24"/>
              </w:rPr>
              <w:t xml:space="preserve">Crna Gora u predstojećoj godini naročito treba da: </w:t>
            </w:r>
          </w:p>
          <w:p w:rsidR="00CC1811" w:rsidRPr="00CC1811" w:rsidRDefault="00CC1811" w:rsidP="00CC1811">
            <w:pPr>
              <w:numPr>
                <w:ilvl w:val="0"/>
                <w:numId w:val="1"/>
              </w:numPr>
              <w:spacing w:after="120" w:line="240" w:lineRule="auto"/>
              <w:ind w:left="0" w:firstLine="0"/>
              <w:jc w:val="both"/>
              <w:rPr>
                <w:rFonts w:eastAsia="Calibri" w:cs="Times New Roman"/>
                <w:bCs/>
                <w:szCs w:val="24"/>
              </w:rPr>
            </w:pPr>
            <w:r w:rsidRPr="00CC1811">
              <w:rPr>
                <w:rFonts w:eastAsia="Calibri" w:cs="Times New Roman"/>
                <w:bCs/>
                <w:szCs w:val="24"/>
              </w:rPr>
              <w:t xml:space="preserve">obezbijedi maksimum integriteta, nepristrasnosti i odgovornosti ASK-a i ispravi nedostatke u donošenju odluka, utvrđene od strane domaćih sudova; </w:t>
            </w:r>
          </w:p>
          <w:p w:rsidR="00CC1811" w:rsidRPr="00CC1811" w:rsidRDefault="00CC1811" w:rsidP="00CC1811">
            <w:pPr>
              <w:numPr>
                <w:ilvl w:val="0"/>
                <w:numId w:val="1"/>
              </w:numPr>
              <w:spacing w:after="120" w:line="240" w:lineRule="auto"/>
              <w:ind w:left="0" w:firstLine="0"/>
              <w:jc w:val="both"/>
              <w:rPr>
                <w:rFonts w:eastAsia="Calibri" w:cs="Times New Roman"/>
                <w:bCs/>
                <w:szCs w:val="24"/>
              </w:rPr>
            </w:pPr>
            <w:r w:rsidRPr="00CC1811">
              <w:rPr>
                <w:rFonts w:eastAsia="Calibri" w:cs="Times New Roman"/>
                <w:bCs/>
                <w:szCs w:val="24"/>
              </w:rPr>
              <w:t>poboljša ostvarene rezultate na suzbijanju i sprječavanju korupcije, uključujući i nametanje djelotvornih sankcija i preduzimanje konkretnih mjera da se priznanje krivice ograniči na izuzetne slučajeve</w:t>
            </w:r>
            <w:r w:rsidRPr="00CC1811">
              <w:rPr>
                <w:rFonts w:eastAsia="Calibri" w:cs="Times New Roman"/>
                <w:iCs/>
                <w:szCs w:val="24"/>
                <w:lang w:bidi="en-US"/>
              </w:rPr>
              <w:t>, kako bi se poboljšala transparentnost i kredibilitet odgovora pravosuđa na korupciju kroz više odvraćajuću i dosljedniju kaznenu politiku</w:t>
            </w:r>
            <w:r w:rsidRPr="00CC1811">
              <w:rPr>
                <w:rFonts w:eastAsia="Calibri" w:cs="Times New Roman"/>
                <w:bCs/>
                <w:szCs w:val="24"/>
              </w:rPr>
              <w:t>;</w:t>
            </w:r>
          </w:p>
          <w:p w:rsidR="00CC1811" w:rsidRPr="00CC1811" w:rsidRDefault="00CC1811" w:rsidP="00CC1811">
            <w:pPr>
              <w:numPr>
                <w:ilvl w:val="0"/>
                <w:numId w:val="1"/>
              </w:numPr>
              <w:spacing w:after="120" w:line="240" w:lineRule="auto"/>
              <w:ind w:left="0" w:firstLine="0"/>
              <w:jc w:val="both"/>
              <w:rPr>
                <w:rFonts w:eastAsia="Calibri" w:cs="Times New Roman"/>
                <w:b/>
                <w:bCs/>
                <w:szCs w:val="24"/>
              </w:rPr>
            </w:pPr>
            <w:r w:rsidRPr="00CC1811">
              <w:rPr>
                <w:rFonts w:eastAsia="Calibri" w:cs="Times New Roman"/>
                <w:bCs/>
                <w:szCs w:val="24"/>
              </w:rPr>
              <w:t>analizira pravni pristup finansijskim istragama, i povraćaju imovine, da ih uskladi s međunarodnim standardima i modernim EU praksama; uspostavi integrisani pristup između svih uključenih tijela i obezbijedi im potrebne pravne i operativne alate za stvaranje uslova za uspostavljanje održivog bilansa ostvarenih rezultata u ovoj oblasti.</w:t>
            </w:r>
          </w:p>
        </w:tc>
      </w:tr>
    </w:tbl>
    <w:p w:rsidR="00CC1811" w:rsidRPr="00CC1811" w:rsidRDefault="00CC1811" w:rsidP="00CC1811">
      <w:pPr>
        <w:spacing w:after="120" w:line="240" w:lineRule="auto"/>
        <w:rPr>
          <w:rFonts w:eastAsia="Calibri" w:cs="Times New Roman"/>
          <w:szCs w:val="24"/>
          <w:u w:val="single"/>
        </w:rPr>
      </w:pPr>
      <w:r w:rsidRPr="00CC1811">
        <w:rPr>
          <w:rFonts w:eastAsia="Calibri" w:cs="Times New Roman"/>
          <w:szCs w:val="24"/>
          <w:u w:val="single"/>
        </w:rPr>
        <w:lastRenderedPageBreak/>
        <w:t>Bilans ostvarenih rezultata</w:t>
      </w:r>
      <w:r w:rsidRPr="00CC1811">
        <w:rPr>
          <w:rFonts w:eastAsia="Calibri" w:cs="Times New Roman"/>
          <w:szCs w:val="24"/>
        </w:rPr>
        <w:t xml:space="preserve"> </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 xml:space="preserve">Uspostavljen je početni bilans ostvarenih rezultata u istragama, krivičnom gonjenju i pravosnažnim osuđujućim presudama u predmetima korupcije na visokom nivou, ali mu je potrebna dalja konsolidacija. </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 xml:space="preserve">Tokom 2019. godine, Specijalno tužilaštvo je pokrenulo istrage za krivična djela korupcije na visokom nivou u 6 predmeta, protiv 15 pojedinaca, uključujući većinskog vlasnika poslovne banke i Glavnog izvršnog direktora banke (‘afera Atlas banke’), direktora državnog preduzeća i opštinske funkcionere; i 1 pravnog lica. Pokrenute su još 4 istrage u prvoj polovini 2020. godine. Tokom 2019. godine je predato 5 optužnica (2018: 12 predmeta) za krivično djelo korupcije na visokom nivou protiv 38 fizičkih i 3 pravna lica, a finansijske istrage su pokrenute u 4 predmeta protiv 29 fizičkih lica, za predmete korupcije na visokom nivou. U slučaju ‘afere koverta’ tužilaštvo je optužilo bivšeg gradonačelnika Podgorice i sadašnjeg savjetnika Predsjednika Crne Gore za pranje novca. U prvoj polovini 2020. godine nijesu podignute dodatne optužnice. U julu 2020. godine, Interpol je otkazao crvenu potjernicu za odbjeglim biznismenom pod istragom u slučajevima ‘Atlas banka’ i ‘koverta’. U 2019. godini donijete su četiri pravosnažne i izvršne presude (2018: 4) za korupciju na visokom nivou i još jedna protiv 3 fizička lica do sredine juna 2020. godine. Protiv javnih službenika nijesu donijete pravosnažne presude. </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Crna Gora je u aprilu 2019. godine poslala službeni zahtjev Srbiji za izručenje bivšeg Predsjednika Državne zajednice Srbija i Crna Gora, koji je osuđen za korupciju na visokom nivou. Zahtjev se i dalje nalazi kod srpskih organa vlasti.</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 xml:space="preserve">Bilans ostvarenih rezultata u oblasti </w:t>
      </w:r>
      <w:r w:rsidRPr="00CC1811">
        <w:rPr>
          <w:rFonts w:eastAsia="Calibri" w:cs="Times New Roman"/>
          <w:b/>
          <w:szCs w:val="24"/>
        </w:rPr>
        <w:t>oduzimanja imovine</w:t>
      </w:r>
      <w:r w:rsidRPr="00CC1811">
        <w:rPr>
          <w:rFonts w:eastAsia="Calibri" w:cs="Times New Roman"/>
          <w:szCs w:val="24"/>
        </w:rPr>
        <w:t xml:space="preserve"> i dalje treba značajno da se poboljša. Tokom 2019. godine, Viši sud u Podgorici naložio je privremeno oduzimanje imovine ukupne vrijednosti od 3.477.880 eura u tri predmeta. Jedna stambena jedinica od 193m</w:t>
      </w:r>
      <w:r w:rsidRPr="00CC1811">
        <w:rPr>
          <w:rFonts w:eastAsia="Calibri" w:cs="Times New Roman"/>
          <w:szCs w:val="24"/>
          <w:vertAlign w:val="superscript"/>
        </w:rPr>
        <w:t>2</w:t>
      </w:r>
      <w:r w:rsidRPr="00CC1811">
        <w:rPr>
          <w:rFonts w:eastAsia="Calibri" w:cs="Times New Roman"/>
          <w:szCs w:val="24"/>
        </w:rPr>
        <w:t xml:space="preserve"> trajno je oduzeta u februaru 2020. godine.</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 xml:space="preserve">Crna Gora je ostvarila određeni napredak u uspostavljanju </w:t>
      </w:r>
      <w:r w:rsidRPr="00CC1811">
        <w:rPr>
          <w:rFonts w:eastAsia="Calibri" w:cs="Times New Roman"/>
          <w:b/>
          <w:szCs w:val="24"/>
        </w:rPr>
        <w:t xml:space="preserve">bilansa ostvarenih rezultata </w:t>
      </w:r>
      <w:r w:rsidRPr="00CC1811">
        <w:rPr>
          <w:rFonts w:eastAsia="Calibri" w:cs="Times New Roman"/>
          <w:szCs w:val="24"/>
        </w:rPr>
        <w:t xml:space="preserve">u oblasti sprječavanja korupcije. Agencija za sprječavanje korupcije (ASK) je 2019. godine pokrenula 387 postupaka pred Prekršajnim sudom (380 za navodnu povredu Zakona o sprječavanju korupcije i 7 za navodnu povredu Zakona o finansiranju političkih subjekata i izborne kampanje). Završeno je ukupno 371 postupaka, uključujući dva iz prethodne godine, a novčane kazne su izrečene u 90% njih. One su iznosile 75.380 eura za povredu Zakona o sprječavanju korupcije i 19.900 eura za povredu odredaba Zakona o finansiranju političkih subjekata i izborne kampanje. ASK je dalje izdala 40 direktnih prekršajnih naloga, 35 za </w:t>
      </w:r>
      <w:r w:rsidRPr="00CC1811">
        <w:rPr>
          <w:rFonts w:eastAsia="Calibri" w:cs="Times New Roman"/>
          <w:szCs w:val="24"/>
        </w:rPr>
        <w:lastRenderedPageBreak/>
        <w:t xml:space="preserve">povredu Zakona o sprječavanju korupcije i 5 za povredu Zakona o finansiranju političkih subjekata i izborne kampanje (2019: 19) određujući novčane kazne u iznosu od 21.997 eura. U 13 predmeta, ASK je tražila oduzimanje imovinske koristi pred nadležnim sudovima, što je dovelo do zapljene u 7 predmeta, ukupnog iznosa od 22.966 eura. </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 xml:space="preserve">Na osnovu 158 mišljenja (2018: 185) Agencije i 72 odluke (2018: 60) u 2019. godini o </w:t>
      </w:r>
      <w:r w:rsidRPr="00CC1811">
        <w:rPr>
          <w:rFonts w:eastAsia="Calibri" w:cs="Times New Roman"/>
          <w:b/>
          <w:szCs w:val="24"/>
        </w:rPr>
        <w:t>nespojivosti funkcije i konflikta interesa</w:t>
      </w:r>
      <w:r w:rsidRPr="00CC1811">
        <w:rPr>
          <w:rFonts w:eastAsia="Calibri" w:cs="Times New Roman"/>
          <w:szCs w:val="24"/>
        </w:rPr>
        <w:t xml:space="preserve">, 57 javnih funkcionera (2019: 77) povuklo se s mandata i 59 s funkcija, a 4 su razriješena. U avgustu 2020. godine, Upravni sud je poništio odluku Agencije koja nije pronašla konflikt interesa u tome što je bivši Premijer, a sada Predsjednik, u oktobru 2016. godine potpisao odluku o dodjeli koncesije za izgradnju male hidroelektrane kompaniji u vlasništvu njegovog sina.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rPr>
        <w:t xml:space="preserve">Tokom 2019. godine, Agenciji je predato 8.149 </w:t>
      </w:r>
      <w:r w:rsidRPr="00CC1811">
        <w:rPr>
          <w:rFonts w:eastAsia="Calibri" w:cs="Times New Roman"/>
          <w:b/>
          <w:szCs w:val="24"/>
        </w:rPr>
        <w:t>izvještaja o prihodima i imovini</w:t>
      </w:r>
      <w:r w:rsidRPr="00CC1811">
        <w:rPr>
          <w:rFonts w:eastAsia="Calibri" w:cs="Times New Roman"/>
          <w:szCs w:val="24"/>
        </w:rPr>
        <w:t xml:space="preserve"> (2018: 8.004). Neobavezna saglasnost za pristup bankovnim računima za potrebe potvrde podataka dostavljenih u izvještajima u 2019. godini je opala sa 60% na 57% javnih funkcionera i sa 69% na 65% državnih namještenika. ASK je potvrdila 911 takav izvještaj, blago premašivši svoj godišnji plan. Ona je pokrenula 119 upravnih postupaka i utvrdila povrede i nepravilnosti kod 54 odluke. </w:t>
      </w:r>
      <w:r w:rsidRPr="00CC1811">
        <w:rPr>
          <w:rFonts w:eastAsia="Calibri" w:cs="Times New Roman"/>
          <w:szCs w:val="24"/>
          <w:lang w:val="fr-FR"/>
        </w:rPr>
        <w:t xml:space="preserve">Sankcije su nametnute u 17 predmeta, 15 je u formi upozorenja, 1 je otpuštanje, a 1 u formi umanjenja plate.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Agencija je istraživala 31 slučaj neobjašnjivog bogaćenja u 2019. godini, ali nije naišla na nepravilnosti. ASK je obavila planirane kontrole i potvrde kod 839 javnih funkcionera, od kojih su 20 visoko pozicionirani službenici. U tom pogledu, izdato je 7 prekršajnih naloga, ukupnog iznosa 2.252 eura.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ASK je nastavila da prati ukupnu usklađenost relevantnih subjekata u ispunjavanju zakonskih obaveza u oblasti </w:t>
      </w:r>
      <w:r w:rsidRPr="00CC1811">
        <w:rPr>
          <w:rFonts w:eastAsia="Calibri" w:cs="Times New Roman"/>
          <w:b/>
          <w:bCs/>
          <w:szCs w:val="24"/>
          <w:lang w:val="fr-FR"/>
        </w:rPr>
        <w:t>finansiranja političkih partija i izbornih kampanja</w:t>
      </w:r>
      <w:r w:rsidRPr="00CC1811">
        <w:rPr>
          <w:rFonts w:eastAsia="Calibri" w:cs="Times New Roman"/>
          <w:szCs w:val="24"/>
          <w:lang w:val="fr-FR"/>
        </w:rPr>
        <w:t xml:space="preserve">. U maju 2019. godine, Agencija je objavila svoj izvještaj o lokalnim izborima u opštini Tuzi iz marta 2019. godine. Iako je pokrenula jedan prekršajni postupak protiv jedne političke partije za prekomjerno trošenje, nije pronašla veće nepravilnosti i zloupotrebu državnih resursa za potrebe izborne kampanje. Četrdeset osam (od 59) političkih partija predalo je svoje godišnje finansijske izvještaje, dok je njih 44 predalo odluke koje se odnose na članarine za 2019. godinu. Svi predati izvještaji bili su objavljeni na internet stranici Agencije. ASK je pokrenula 5 prekršajnih postupaka za nedostavljanje godišnjih finansijskih izvještaja. Agencija je 2019. godine potvrdila 6 izvještaja najvećih političkih partija i izvršila 41 potvrdu usklađenosti sa zakonom. Početkom 2020. godine, ASK je započela pripreme svojih aktivnosti vezano za parlamentarne i lokalne izbore 2020. U pripremi za izbore, ASK je izvršila svoje aktivnosti praćenja. Pokrenula je, između ostalog, provjeru nekih 700 donatora političkih partija. Dalje je pokrenula preko 400 postupaka koji se tiču zloupotrebe javnih resursa za izborne kampanje i pokrenula 25 prekršajnih postupaka. ASK nije uvela nikakve direktne sankcije u pogledu izvještaja o izdacima koje su predali učesnici izborne trke i nije objavila nikakve zaključke, uprkos činjenici da oni nijesu odgovarali nalazima ASK-a. </w:t>
      </w:r>
    </w:p>
    <w:p w:rsidR="00CC1811" w:rsidRPr="00CC1811" w:rsidRDefault="00CC1811" w:rsidP="00CC1811">
      <w:pPr>
        <w:spacing w:after="120" w:line="240" w:lineRule="auto"/>
        <w:jc w:val="both"/>
        <w:rPr>
          <w:rFonts w:eastAsia="Calibri" w:cs="Times New Roman"/>
          <w:i/>
          <w:szCs w:val="24"/>
          <w:lang w:val="fr-FR"/>
        </w:rPr>
      </w:pPr>
      <w:r w:rsidRPr="00CC1811">
        <w:rPr>
          <w:rFonts w:eastAsia="Calibri" w:cs="Times New Roman"/>
          <w:szCs w:val="24"/>
          <w:lang w:val="fr-FR"/>
        </w:rPr>
        <w:t>Državna revizorska institucija objavila je pozitivne revizorske izvještaje o godišnjim finansijskim iskazima za 2018. godinu za 18 političkih subjekata, 6 uslovnih izvještaja i jedan negativan izvještaj, dok su redovne revizije dovele do 3 pozitivna, 10 negativnih i 12 uslovnih izvještaja.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U kontekstu 'afere koverta', ASK je objavila odluku o prekršajnom nalogu od 20.000 eura protiv vladajuće partije i zahtjev za plaćanjem 47.000 eura državnom budžetu u decembru 2019. godine, 10 mjeseci nakon izdavanja.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Tokom 2019. godine, podnijeta su 3 zahtjeva za zaštitu </w:t>
      </w:r>
      <w:r w:rsidRPr="00CC1811">
        <w:rPr>
          <w:rFonts w:eastAsia="Calibri" w:cs="Times New Roman"/>
          <w:b/>
          <w:szCs w:val="24"/>
          <w:lang w:val="fr-FR"/>
        </w:rPr>
        <w:t>zviždača</w:t>
      </w:r>
      <w:r w:rsidRPr="00CC1811">
        <w:rPr>
          <w:rFonts w:eastAsia="Calibri" w:cs="Times New Roman"/>
          <w:szCs w:val="24"/>
          <w:lang w:val="fr-FR"/>
        </w:rPr>
        <w:t xml:space="preserve"> ASK-u (2018: 1). Do sada, ASK je objavila negativnu odluku u jednom od tih slučajeva, a preostala dva su i dalje pod </w:t>
      </w:r>
      <w:r w:rsidRPr="00CC1811">
        <w:rPr>
          <w:rFonts w:eastAsia="Calibri" w:cs="Times New Roman"/>
          <w:szCs w:val="24"/>
          <w:lang w:val="fr-FR"/>
        </w:rPr>
        <w:lastRenderedPageBreak/>
        <w:t xml:space="preserve">istragom. Agencija je dalje primila 110 izvještaja o ugrožavanju javnog interesa (isti broj kao 2018). U 49 završenih ispitivanja ovih izvještaja, ugrožavanje javnih interesa je utvrđena u 9 slučajeva u odnosu na 9. Agencija je dalje pokrenula 3 postupka po službenoj dužnosti (još uvijek u toku) za određivanje postojanja ugroženosti javnog interesa i nastavila je da radi na 4 koja je pokrenula 2018. godine.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 xml:space="preserve">ASK je nastavila da pruža podršku državnim organima vezano za </w:t>
      </w:r>
      <w:r w:rsidRPr="00CC1811">
        <w:rPr>
          <w:rFonts w:eastAsia="Calibri" w:cs="Times New Roman"/>
          <w:b/>
          <w:szCs w:val="24"/>
          <w:lang w:val="fr-FR"/>
        </w:rPr>
        <w:t>planove integriteta</w:t>
      </w:r>
      <w:r w:rsidRPr="00CC1811">
        <w:rPr>
          <w:rFonts w:eastAsia="Calibri" w:cs="Times New Roman"/>
          <w:szCs w:val="24"/>
          <w:lang w:val="fr-FR"/>
        </w:rPr>
        <w:t xml:space="preserve">. Agenciji je 2019. godine dostavljeno 671 izvještaja o realizaciji planova integriteta. Praktičan uticaj planova integriteta tek treba da se procijeni. </w:t>
      </w:r>
    </w:p>
    <w:p w:rsidR="00CC1811" w:rsidRPr="00CC1811" w:rsidRDefault="00CC1811" w:rsidP="00CC1811">
      <w:pPr>
        <w:widowControl w:val="0"/>
        <w:spacing w:after="120" w:line="240" w:lineRule="auto"/>
        <w:jc w:val="both"/>
        <w:rPr>
          <w:rFonts w:eastAsia="Calibri" w:cs="Times New Roman"/>
          <w:szCs w:val="24"/>
        </w:rPr>
      </w:pPr>
      <w:r w:rsidRPr="00CC1811">
        <w:rPr>
          <w:rFonts w:eastAsia="Calibri" w:cs="Times New Roman"/>
          <w:szCs w:val="24"/>
          <w:lang w:val="fr-FR"/>
        </w:rPr>
        <w:t xml:space="preserve">U 2019. godini nije bilo izdavanja novih </w:t>
      </w:r>
      <w:r w:rsidRPr="00CC1811">
        <w:rPr>
          <w:rFonts w:eastAsia="Calibri" w:cs="Times New Roman"/>
          <w:b/>
          <w:szCs w:val="24"/>
          <w:lang w:val="fr-FR"/>
        </w:rPr>
        <w:t>sertifikata za lobiranje</w:t>
      </w:r>
      <w:r w:rsidRPr="00CC1811">
        <w:rPr>
          <w:rFonts w:eastAsia="Calibri" w:cs="Times New Roman"/>
          <w:szCs w:val="24"/>
          <w:lang w:val="fr-FR"/>
        </w:rPr>
        <w:t xml:space="preserve"> (od 2014: 14). </w:t>
      </w:r>
      <w:r w:rsidRPr="00CC1811">
        <w:rPr>
          <w:rFonts w:eastAsia="Calibri" w:cs="Times New Roman"/>
          <w:szCs w:val="24"/>
        </w:rPr>
        <w:t xml:space="preserve">Kod Agencije je ostalo registrovano šest lobista i jedno pravno lice. Njihovo praćenje i sankcionisanje kršenja zakona ostaju izazov. Male brojke ukazuju na to da su aktivnosti vršene van zakonskog okvira. Tokom 2019. godine, ASK je pripremila analizu zakonskog okvira u ovoj oblasti. </w:t>
      </w:r>
    </w:p>
    <w:p w:rsidR="00CC1811" w:rsidRPr="00CC1811" w:rsidRDefault="00CC1811" w:rsidP="00CC1811">
      <w:pPr>
        <w:widowControl w:val="0"/>
        <w:spacing w:after="120" w:line="240" w:lineRule="auto"/>
        <w:jc w:val="both"/>
        <w:rPr>
          <w:rFonts w:eastAsia="Calibri" w:cs="Times New Roman"/>
          <w:szCs w:val="24"/>
        </w:rPr>
      </w:pPr>
      <w:r w:rsidRPr="00CC1811">
        <w:rPr>
          <w:rFonts w:eastAsia="Calibri" w:cs="Times New Roman"/>
          <w:szCs w:val="24"/>
        </w:rPr>
        <w:t xml:space="preserve">Pored Uprave policije i Uprave carina, nije bilo slučajeva koji pokazuju implementaciju </w:t>
      </w:r>
      <w:r w:rsidRPr="00CC1811">
        <w:rPr>
          <w:rFonts w:eastAsia="Calibri" w:cs="Times New Roman"/>
          <w:b/>
          <w:szCs w:val="24"/>
        </w:rPr>
        <w:t>etičkog kodeksa</w:t>
      </w:r>
      <w:r w:rsidRPr="00CC1811">
        <w:rPr>
          <w:rFonts w:eastAsia="Calibri" w:cs="Times New Roman"/>
          <w:szCs w:val="24"/>
        </w:rPr>
        <w:t xml:space="preserve"> kod članova zakonodavnih i izvršnih organa. U julu 2019. godine, Skupština je usvojila revidirani etički kodeks za svoje članove, uvodeći zahtjev za ad hoc objelodanjivanjem kada dođe do konflikta interesa između privatnog interesa poslanika i pitanja koje se razmatra u skupštinskoj proceduri. </w:t>
      </w:r>
    </w:p>
    <w:p w:rsidR="00CC1811" w:rsidRPr="00CC1811" w:rsidRDefault="00CC1811" w:rsidP="00CC1811">
      <w:pPr>
        <w:spacing w:after="120" w:line="240" w:lineRule="auto"/>
        <w:jc w:val="both"/>
        <w:rPr>
          <w:rFonts w:eastAsia="Calibri" w:cs="Times New Roman"/>
          <w:szCs w:val="24"/>
        </w:rPr>
      </w:pPr>
      <w:r w:rsidRPr="00CC1811">
        <w:rPr>
          <w:rFonts w:eastAsia="Calibri" w:cs="Times New Roman"/>
          <w:szCs w:val="24"/>
        </w:rPr>
        <w:t>Od svog osnivanja, ASK je resornim ministrima dostavila 17 neobavezujućih pravnih mišljenja o nacrtu zakonodavnih akata iz oblasti svoje nadležnosti. Njena mišljenja su uzeta u obzir kod 4 zakonodavna akta, 4 zakonodavna procesa su u toku, a u osam predmeta preporuke ASK-a se ne nalaze u konačnoj verziji zakonodavnog akta. ASK je 2019. godine dala svoje mišljenje na Zakon o finansiranju političkih subjekata i izbornih kampanja i Zakon o sprečavanju korupcije.</w:t>
      </w:r>
    </w:p>
    <w:p w:rsidR="00CC1811" w:rsidRPr="00CC1811" w:rsidRDefault="00CC1811" w:rsidP="00CC1811">
      <w:pPr>
        <w:spacing w:after="120" w:line="240" w:lineRule="auto"/>
        <w:jc w:val="both"/>
        <w:rPr>
          <w:rFonts w:eastAsia="Calibri" w:cs="Times New Roman"/>
          <w:iCs/>
          <w:szCs w:val="24"/>
          <w:u w:val="single"/>
        </w:rPr>
      </w:pPr>
      <w:r w:rsidRPr="00CC1811">
        <w:rPr>
          <w:rFonts w:eastAsia="Calibri" w:cs="Times New Roman"/>
          <w:iCs/>
          <w:szCs w:val="24"/>
          <w:u w:val="single"/>
        </w:rPr>
        <w:t xml:space="preserve">Institucionalni okvir </w:t>
      </w:r>
    </w:p>
    <w:p w:rsidR="00CC1811" w:rsidRPr="00CC1811" w:rsidRDefault="00CC1811" w:rsidP="00CC1811">
      <w:pPr>
        <w:spacing w:after="120" w:line="240" w:lineRule="auto"/>
        <w:jc w:val="both"/>
        <w:rPr>
          <w:rFonts w:eastAsia="Calibri" w:cs="Times New Roman"/>
          <w:i/>
          <w:iCs/>
          <w:szCs w:val="24"/>
        </w:rPr>
      </w:pPr>
      <w:r w:rsidRPr="00CC1811">
        <w:rPr>
          <w:rFonts w:eastAsia="Calibri" w:cs="Times New Roman"/>
          <w:i/>
          <w:iCs/>
          <w:szCs w:val="24"/>
        </w:rPr>
        <w:t xml:space="preserve">Sprečavanje korupcije </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rPr>
        <w:t xml:space="preserve">U julu 2019. godine, Skupština je imenovala novi Savjet Agencije za sprečavanje korupcije. </w:t>
      </w:r>
      <w:r w:rsidRPr="00CC1811">
        <w:rPr>
          <w:rFonts w:eastAsia="Calibri" w:cs="Times New Roman"/>
          <w:szCs w:val="24"/>
          <w:lang w:val="fr-FR"/>
        </w:rPr>
        <w:t>Savjet ima pet članova, od kojih su dva iz civilnog društva. Brojni predstavnici opozicije i nevladinih organizacija osporili su pravno tumačenje Zakona o sprečavanju korupcije koji se primjenjuje na poziv za izbor članova, posebno zahtjev za polaganjem državnog ispita za zapošljavanje u državnoj upravi, kako je propisano Zakonom o državnim službenicima i namještenicima.</w:t>
      </w:r>
    </w:p>
    <w:p w:rsidR="00CC1811" w:rsidRPr="00CC1811" w:rsidRDefault="00CC1811" w:rsidP="00CC1811">
      <w:pPr>
        <w:spacing w:after="120" w:line="240" w:lineRule="auto"/>
        <w:jc w:val="both"/>
        <w:rPr>
          <w:rFonts w:eastAsia="Calibri" w:cs="Times New Roman"/>
          <w:szCs w:val="24"/>
          <w:lang w:val="fr-FR"/>
        </w:rPr>
      </w:pPr>
      <w:r w:rsidRPr="00CC1811">
        <w:rPr>
          <w:rFonts w:eastAsia="Calibri" w:cs="Times New Roman"/>
          <w:szCs w:val="24"/>
          <w:lang w:val="fr-FR"/>
        </w:rPr>
        <w:t>Trenutno su popunjena 54 radna mjesta, od 60 planiranih. Nastavljeno je jačanje kapaciteta Agencije za sprečavanje korupcije kroz aktivnosti izgradnje kapaciteta i tehničku pomoć. Dodatno je poboljšan informacioni sistem. Agencija sada ima pristup stvarnim bazama podataka u realnom vremenu. Svi podaci od početka rada Agencije (1. januara 2016. godine) ugrađeni su u njen informacioni sistem. Agencija je nastavila mjere u vezi komunikacije i podizanja svijesti.</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lang w:val="fr-FR"/>
        </w:rPr>
        <w:t>Uprkos preduzetim mjerama i proaktivnijem radu novog Savjeta Agencije, izazovi ostaju: Agencija i njeni zaposleni moraju da obezbijede maksimalnu transparentnost, integritet, nepristrasnost, nezavisnost, neselektivan pristup i jedinstvenu i cjelovitu primjenu relevantnih zakona. U decembru 2019. godine, Skupština je imenovala direktora Agencije za predsjednika Savjeta Agencije za zaštitu ličnih podataka i slobodan pristup informacijama. Nakon tri neuspješna poziva, Savjet Agencije izabrao je novog direktora Agencije u julu 2020. godine.</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lang w:val="fr-FR"/>
        </w:rPr>
        <w:lastRenderedPageBreak/>
        <w:t>Ukupan uticaj mjera za sprečavanje korupcije u posebno osjetljivim oblastima (lokalna samouprava, prostorno planiranje, javne nabavke, privatizacija, zdravstvo i obrazovanje) tek treba da se pokaže vidljivim rezultatima. Što se tiče javnih nabavki, izmjene Zakona o javnim nabavkama usvojene u decembru 2019. godine pružaju pravni osnov za punu primjenu elektronskog sistema javnih nabavki. Ovo treba da poboljša transparentnost postupaka javnih nabavki i pomogne u smanjenju rizika od korupcije.</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i/>
          <w:iCs/>
          <w:szCs w:val="24"/>
          <w:lang w:val="fr-FR"/>
        </w:rPr>
        <w:t xml:space="preserve">Sprovođenje zakona </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lang w:val="fr-FR"/>
        </w:rPr>
        <w:t>Institucionalni i operativni kapacitet tužilaca, sudija i policije za borbu protiv korupcije treba dodatno poboljšati, posebno kroz specijalizovanu i dugoročnu obuku. Finansijske istrage i dalje treba sistematski pokretati paralelno s krivičnim istragama, kako bi se otkrile finansijske strukture koje stoje iza krivičnih djela. Početnu evidenciju predmeta koji su stigli do krivičnog gonjenja od strane policije i drugih državnih institucija treba poboljšati i konsolidovati. Članovi izvršne i zakonodavne vlasti ne treba da vrše politički uticaj na organe koji sprovode zakon i nosioce pravosudne funkcije.</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lang w:val="fr-FR"/>
        </w:rPr>
        <w:t>Specijalno tužilaštvo sada ima 50 zaposlenih, uključujući 13 specijalnih tužilaca i 34 državna službenika. Loši kancelarijski uslovi u Specijalnom tužilaštvu i dalje zabrinjavaju.</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u w:val="single"/>
          <w:lang w:val="fr-FR"/>
        </w:rPr>
        <w:t xml:space="preserve">Pravni okvir </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lang w:val="fr-FR"/>
        </w:rPr>
        <w:t xml:space="preserve">Crna Gora je strana potpisnica svih međunarodnih konvencija protiv korupcije, uključujući Konvenciju Ujedinjenih nacija protiv korupcije. </w:t>
      </w:r>
      <w:r w:rsidRPr="00CC1811">
        <w:rPr>
          <w:rFonts w:eastAsia="Calibri" w:cs="Times New Roman"/>
          <w:b/>
          <w:szCs w:val="24"/>
          <w:lang w:val="fr-FR"/>
        </w:rPr>
        <w:t>Postoji pravni okvir i podzakonski akti o borbi protiv korupcije</w:t>
      </w:r>
      <w:r w:rsidRPr="00CC1811">
        <w:rPr>
          <w:rFonts w:eastAsia="Calibri" w:cs="Times New Roman"/>
          <w:szCs w:val="24"/>
          <w:lang w:val="fr-FR"/>
        </w:rPr>
        <w:t>. Pasivna i aktivna korupcija kažnjive su prema Krivičnom zakoniku. Crna Gora se podstiče da nezakonito bogaćenje učini krivičnim djelom.</w:t>
      </w:r>
    </w:p>
    <w:p w:rsidR="00CC1811" w:rsidRPr="00CC1811" w:rsidRDefault="00CC1811" w:rsidP="00CC1811">
      <w:pPr>
        <w:autoSpaceDE w:val="0"/>
        <w:autoSpaceDN w:val="0"/>
        <w:adjustRightInd w:val="0"/>
        <w:spacing w:after="120" w:line="240" w:lineRule="auto"/>
        <w:jc w:val="both"/>
        <w:rPr>
          <w:rFonts w:eastAsia="Calibri" w:cs="Times New Roman"/>
          <w:szCs w:val="24"/>
          <w:lang w:val="fr-FR"/>
        </w:rPr>
      </w:pPr>
      <w:r w:rsidRPr="00CC1811">
        <w:rPr>
          <w:rFonts w:eastAsia="Calibri" w:cs="Times New Roman"/>
          <w:szCs w:val="24"/>
          <w:lang w:val="fr-FR"/>
        </w:rPr>
        <w:t>Grupa država za borbu protiv korupcije Savjeta Evrope (GRECO) zaključila je da se od 11 preporuka o etici i integritetu poslanika, sudija i tužilaca, 8 smatra zadovoljavajuće sprovedenim, dok je jedna djelimično sprovedena. Dvije preporuke (obje se tiču pravosuđa) nijesu sprovedene.</w:t>
      </w:r>
    </w:p>
    <w:p w:rsidR="00CC1811" w:rsidRPr="00CC1811" w:rsidRDefault="00CC1811" w:rsidP="00CC1811">
      <w:pPr>
        <w:spacing w:after="120" w:line="240" w:lineRule="auto"/>
        <w:jc w:val="both"/>
        <w:rPr>
          <w:rFonts w:eastAsia="Calibri" w:cs="Times New Roman"/>
          <w:iCs/>
          <w:szCs w:val="24"/>
          <w:lang w:val="fr-FR"/>
        </w:rPr>
      </w:pPr>
      <w:r w:rsidRPr="00CC1811">
        <w:rPr>
          <w:rFonts w:eastAsia="Calibri" w:cs="Times New Roman"/>
          <w:iCs/>
          <w:szCs w:val="24"/>
          <w:lang w:val="fr-FR"/>
        </w:rPr>
        <w:t xml:space="preserve">Novi zakon o </w:t>
      </w:r>
      <w:r w:rsidRPr="00CC1811">
        <w:rPr>
          <w:rFonts w:eastAsia="Calibri" w:cs="Times New Roman"/>
          <w:b/>
          <w:iCs/>
          <w:szCs w:val="24"/>
          <w:lang w:val="fr-FR"/>
        </w:rPr>
        <w:t>finansiranju političkih subjekata i predizbornih kampanja</w:t>
      </w:r>
      <w:r w:rsidRPr="00CC1811">
        <w:rPr>
          <w:rFonts w:eastAsia="Calibri" w:cs="Times New Roman"/>
          <w:iCs/>
          <w:szCs w:val="24"/>
          <w:lang w:val="fr-FR"/>
        </w:rPr>
        <w:t xml:space="preserve">, koji je Skupština usvojila u decembru 2019. godine, samo je djelimično uvažio preporuke OEBS-a/ODIHR-a. U aprilu 2020. godine, Skupština je usvojila izmjenu ovog zakona, kojom se predviđa raspodjela socijalnih davanja iz budžetske rezerve u izbornoj godini, u slučaju rata, vanrednog stanja, epidemije i pandemije zaraznih bolesti. Uprkos određenim poboljšanjima, trenutni pravni okvir još uvijek ima zakonske praznine i oprečne odredbe i ne predviđa efikasne zaštitne mjere i sankcije protiv izigravanja zakona, što ograničava efikasnost nadzora. Moraju se riješiti svi nedostaci u postojećem </w:t>
      </w:r>
      <w:r w:rsidRPr="00CC1811">
        <w:rPr>
          <w:rFonts w:eastAsia="Calibri" w:cs="Times New Roman"/>
          <w:b/>
          <w:iCs/>
          <w:szCs w:val="24"/>
          <w:lang w:val="fr-FR"/>
        </w:rPr>
        <w:t>pravnom okviru za finansiranje političkih stranaka</w:t>
      </w:r>
      <w:r w:rsidRPr="00CC1811">
        <w:rPr>
          <w:rFonts w:eastAsia="Calibri" w:cs="Times New Roman"/>
          <w:iCs/>
          <w:szCs w:val="24"/>
          <w:lang w:val="fr-FR"/>
        </w:rPr>
        <w:t>, uključujući one koje je utvrdio ODIHR.</w:t>
      </w:r>
    </w:p>
    <w:p w:rsidR="00CC1811" w:rsidRPr="00CC1811" w:rsidRDefault="00CC1811" w:rsidP="00CC1811">
      <w:pPr>
        <w:spacing w:after="120" w:line="240" w:lineRule="auto"/>
        <w:jc w:val="both"/>
        <w:rPr>
          <w:rFonts w:eastAsia="Calibri" w:cs="Times New Roman"/>
          <w:iCs/>
          <w:szCs w:val="24"/>
          <w:lang w:val="fr-FR"/>
        </w:rPr>
      </w:pPr>
      <w:r w:rsidRPr="00CC1811">
        <w:rPr>
          <w:rFonts w:eastAsia="Calibri" w:cs="Times New Roman"/>
          <w:iCs/>
          <w:szCs w:val="24"/>
          <w:lang w:val="fr-FR"/>
        </w:rPr>
        <w:t xml:space="preserve">Sprovođenje važećeg </w:t>
      </w:r>
      <w:r w:rsidRPr="00CC1811">
        <w:rPr>
          <w:rFonts w:eastAsia="Calibri" w:cs="Times New Roman"/>
          <w:b/>
          <w:iCs/>
          <w:szCs w:val="24"/>
          <w:lang w:val="fr-FR"/>
        </w:rPr>
        <w:t>Zakona o slobodnom pristupu informacijama</w:t>
      </w:r>
      <w:r w:rsidRPr="00CC1811">
        <w:rPr>
          <w:rFonts w:eastAsia="Calibri" w:cs="Times New Roman"/>
          <w:iCs/>
          <w:szCs w:val="24"/>
          <w:lang w:val="fr-FR"/>
        </w:rPr>
        <w:t xml:space="preserve"> nije pomoglo povećanju odgovornosti i transparentnosti javnih službi. U 2019. godini, ukupan broj zahtjeva za besplatan pristup informacijama iznosio je 5.409 (2018: 6.080) i podnijeto je 3.531 žalbi (2018: 3.248). Proces revizije zakona započeo je u proljeće 2019. godine, ali je zaustavljen zbog izbijanja pandemije uzrokovane virusom Covid-19. Crna Gora treba da osigura usklađenost zakonskog okvira i svoje prakse s međunarodnim i evropskim standardima u ovom području.</w:t>
      </w:r>
    </w:p>
    <w:bookmarkEnd w:id="30"/>
    <w:bookmarkEnd w:id="31"/>
    <w:bookmarkEnd w:id="32"/>
    <w:bookmarkEnd w:id="33"/>
    <w:bookmarkEnd w:id="34"/>
    <w:p w:rsidR="0056025F" w:rsidRPr="0056025F" w:rsidRDefault="0056025F" w:rsidP="0056025F">
      <w:pPr>
        <w:spacing w:after="120" w:line="240" w:lineRule="auto"/>
        <w:jc w:val="both"/>
        <w:rPr>
          <w:rFonts w:eastAsia="Calibri" w:cs="Times New Roman"/>
          <w:b/>
          <w:szCs w:val="24"/>
        </w:rPr>
      </w:pPr>
      <w:r w:rsidRPr="0056025F">
        <w:rPr>
          <w:rFonts w:eastAsia="Calibri" w:cs="Times New Roman"/>
          <w:b/>
          <w:szCs w:val="24"/>
        </w:rPr>
        <w:t xml:space="preserve">Temeljna prava </w:t>
      </w:r>
    </w:p>
    <w:tbl>
      <w:tblPr>
        <w:tblW w:w="0" w:type="auto"/>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243"/>
      </w:tblGrid>
      <w:tr w:rsidR="0056025F" w:rsidRPr="0056025F" w:rsidTr="00A11119">
        <w:trPr>
          <w:trHeight w:val="425"/>
        </w:trPr>
        <w:tc>
          <w:tcPr>
            <w:tcW w:w="9464" w:type="dxa"/>
            <w:shd w:val="clear" w:color="auto" w:fill="D9D9D9"/>
          </w:tcPr>
          <w:p w:rsidR="0056025F" w:rsidRPr="0056025F" w:rsidRDefault="0056025F" w:rsidP="0056025F">
            <w:pPr>
              <w:widowControl w:val="0"/>
              <w:shd w:val="clear" w:color="auto" w:fill="D9D9D9"/>
              <w:spacing w:after="120" w:line="240" w:lineRule="auto"/>
              <w:jc w:val="both"/>
              <w:rPr>
                <w:rFonts w:eastAsia="Calibri" w:cs="Times New Roman"/>
                <w:szCs w:val="24"/>
                <w:lang w:bidi="en-US"/>
              </w:rPr>
            </w:pPr>
            <w:r w:rsidRPr="0056025F">
              <w:rPr>
                <w:rFonts w:eastAsia="Calibri" w:cs="Times New Roman"/>
                <w:sz w:val="22"/>
                <w:szCs w:val="24"/>
                <w:lang w:bidi="en-US"/>
              </w:rPr>
              <w:t xml:space="preserve">Zakonodavni i institucionalni okvir u oblasti osnovnih prava sada je uglavnom uspostavljen. U julu 2020. godine, Skupština je usvojila Zakon o životnom partnerstvu lica istog pola, čime je Crna Gora </w:t>
            </w:r>
            <w:r w:rsidRPr="0056025F">
              <w:rPr>
                <w:rFonts w:eastAsia="Calibri" w:cs="Times New Roman"/>
                <w:sz w:val="22"/>
                <w:szCs w:val="24"/>
                <w:lang w:bidi="en-US"/>
              </w:rPr>
              <w:lastRenderedPageBreak/>
              <w:t>postala prva zemlja u regionu koja je regulisala status istopolnih parova. Ojačani su kapaciteti institucija za ljudska prava i Ministarstva za ljudska i manjinska prava, a povjerenje u kancelariju Zaštitnika ljudskih prava i sloboda i kvalitet njegovog rada raste. Odluke Ustavnog suda dalje se usklađuju s evropskim i međunarodnim standardima. Međutim, važni izazovi ostaju u obezbjeđivanju efikasnog sprovođenja nacionalnog zakonodavstva o ljudskim pravima. Izvještaji o prekomjernoj upotrebi sile u policiji i navodi o mučenju zahtijevaju brze i efikasne istrage. Etnički i vjerski motivisani napadi u kontekstu izbora u avgustu 2020. godine izazivaju ozbiljnu zabrinutost. Potrebni su dalji napori da se ljudska prava integrišu u sva područja rada, javne politike i sektore. Ranjive grupe, uključujući Rome i Egipćane, i osobe s invaliditetom i dalje se suočavaju s više vrsta diskriminacije i poteškoća u sprovođenju svojih prava u upravnim i sudskim postupcima. Žene u Crnoj Gori i dalje se suočavaju s nejednakošću u pristupu zapošljavanju, ekonomskim prilikama, a u zemlji ostaje jasan jaz u platama. Rodno nasilje i nasilje nad djecom i dalje su pitanja koja izazivaju ozbiljnu zabrinutost. Iako je postignut napredak u pogledu prava lezbejki, homoseksualaca, biseksualaca, transrodnih i interseksualnih osoba (LGBTI), i dalje se događaju incidenti, govor mržnje i homofobični izrazi protiv ove zajednice.</w:t>
            </w:r>
          </w:p>
          <w:p w:rsidR="0056025F" w:rsidRPr="0056025F" w:rsidRDefault="0056025F" w:rsidP="0056025F">
            <w:pPr>
              <w:widowControl w:val="0"/>
              <w:shd w:val="clear" w:color="auto" w:fill="D9D9D9"/>
              <w:spacing w:after="120" w:line="240" w:lineRule="auto"/>
              <w:jc w:val="both"/>
              <w:rPr>
                <w:rFonts w:eastAsia="Calibri" w:cs="Times New Roman"/>
                <w:szCs w:val="24"/>
                <w:lang w:bidi="en-US"/>
              </w:rPr>
            </w:pPr>
            <w:r w:rsidRPr="0056025F">
              <w:rPr>
                <w:rFonts w:eastAsia="Calibri" w:cs="Times New Roman"/>
                <w:sz w:val="22"/>
                <w:szCs w:val="24"/>
                <w:lang w:bidi="en-US"/>
              </w:rPr>
              <w:t>U narednoj godini Crna Gora treba naročito da:</w:t>
            </w:r>
          </w:p>
          <w:p w:rsidR="0056025F" w:rsidRPr="0056025F" w:rsidRDefault="0056025F" w:rsidP="0056025F">
            <w:pPr>
              <w:widowControl w:val="0"/>
              <w:numPr>
                <w:ilvl w:val="0"/>
                <w:numId w:val="2"/>
              </w:numPr>
              <w:shd w:val="clear" w:color="auto" w:fill="D9D9D9"/>
              <w:spacing w:after="120" w:line="240" w:lineRule="auto"/>
              <w:ind w:left="0" w:firstLine="0"/>
              <w:jc w:val="both"/>
              <w:rPr>
                <w:rFonts w:eastAsia="Calibri" w:cs="Times New Roman"/>
                <w:szCs w:val="24"/>
              </w:rPr>
            </w:pPr>
            <w:r w:rsidRPr="0056025F">
              <w:rPr>
                <w:rFonts w:eastAsia="Calibri" w:cs="Times New Roman"/>
                <w:sz w:val="22"/>
                <w:szCs w:val="24"/>
              </w:rPr>
              <w:t>osigura bolji i sistematičniji pristup pravdi, žalbenim sistemima i besplatnoj pravnoj pomoći za žrtve kršenja ljudskih prava i žrtve krivičnih djela, kao i ranjive grupe, kao što su osobe s invaliditetom; manjine, uključujući Rome i Egipćane; i žene i djeca žrtve nasilja;</w:t>
            </w:r>
          </w:p>
          <w:p w:rsidR="0056025F" w:rsidRPr="0056025F" w:rsidRDefault="0056025F" w:rsidP="0056025F">
            <w:pPr>
              <w:widowControl w:val="0"/>
              <w:numPr>
                <w:ilvl w:val="0"/>
                <w:numId w:val="2"/>
              </w:numPr>
              <w:shd w:val="clear" w:color="auto" w:fill="D9D9D9"/>
              <w:spacing w:after="120" w:line="240" w:lineRule="auto"/>
              <w:ind w:left="0" w:firstLine="0"/>
              <w:jc w:val="both"/>
              <w:rPr>
                <w:rFonts w:eastAsia="Calibri" w:cs="Times New Roman"/>
                <w:szCs w:val="24"/>
              </w:rPr>
            </w:pPr>
            <w:r w:rsidRPr="0056025F">
              <w:rPr>
                <w:rFonts w:eastAsia="Calibri" w:cs="Times New Roman"/>
                <w:sz w:val="22"/>
                <w:szCs w:val="24"/>
              </w:rPr>
              <w:t>osigura brzu, efikasnu i nezavisnu istragu navoda o prekomjernoj upotrebi sile, mučenju i zlostavljanju od strane policije, zločinima iz mržnje i etničkim i vjerskim motivima u skladu sa sudskom praksom ESLJP-a;</w:t>
            </w:r>
          </w:p>
          <w:p w:rsidR="0056025F" w:rsidRPr="0056025F" w:rsidRDefault="0056025F" w:rsidP="0056025F">
            <w:pPr>
              <w:widowControl w:val="0"/>
              <w:numPr>
                <w:ilvl w:val="0"/>
                <w:numId w:val="2"/>
              </w:numPr>
              <w:shd w:val="clear" w:color="auto" w:fill="D9D9D9"/>
              <w:spacing w:after="120" w:line="240" w:lineRule="auto"/>
              <w:ind w:left="0" w:firstLine="0"/>
              <w:jc w:val="both"/>
              <w:rPr>
                <w:rFonts w:eastAsia="Calibri" w:cs="Times New Roman"/>
                <w:szCs w:val="24"/>
              </w:rPr>
            </w:pPr>
            <w:r w:rsidRPr="0056025F">
              <w:rPr>
                <w:rFonts w:eastAsia="Calibri" w:cs="Times New Roman"/>
                <w:sz w:val="22"/>
                <w:szCs w:val="24"/>
              </w:rPr>
              <w:t xml:space="preserve">osigura istinski dijalog o Zakonu o slobodi vjeroispovijesti ili uvjerenja </w:t>
            </w:r>
            <w:r w:rsidRPr="0056025F">
              <w:rPr>
                <w:rFonts w:eastAsia="Times New Roman" w:cs="Times New Roman"/>
                <w:szCs w:val="24"/>
              </w:rPr>
              <w:t xml:space="preserve">i </w:t>
            </w:r>
            <w:r w:rsidRPr="0056025F">
              <w:rPr>
                <w:rFonts w:eastAsia="Calibri" w:cs="Times New Roman"/>
                <w:sz w:val="22"/>
                <w:szCs w:val="24"/>
              </w:rPr>
              <w:t>pravnom položaju vjerskih zajednica i da Zakon i njegovo sprovođenje u potpunosti uvaži preporuke Venecijanske komisije.</w:t>
            </w:r>
          </w:p>
        </w:tc>
      </w:tr>
    </w:tbl>
    <w:p w:rsidR="0056025F" w:rsidRPr="0056025F" w:rsidRDefault="0056025F" w:rsidP="0056025F">
      <w:pPr>
        <w:autoSpaceDE w:val="0"/>
        <w:autoSpaceDN w:val="0"/>
        <w:adjustRightInd w:val="0"/>
        <w:spacing w:after="120" w:line="240" w:lineRule="auto"/>
        <w:jc w:val="both"/>
        <w:rPr>
          <w:rFonts w:eastAsia="Calibri" w:cs="Times New Roman"/>
          <w:szCs w:val="24"/>
        </w:rPr>
      </w:pPr>
      <w:r w:rsidRPr="0056025F">
        <w:rPr>
          <w:rFonts w:eastAsia="Calibri" w:cs="Times New Roman"/>
          <w:szCs w:val="24"/>
        </w:rPr>
        <w:lastRenderedPageBreak/>
        <w:t xml:space="preserve">Što se tiče </w:t>
      </w:r>
      <w:r w:rsidRPr="0056025F">
        <w:rPr>
          <w:rFonts w:eastAsia="Calibri" w:cs="Times New Roman"/>
          <w:b/>
          <w:bCs/>
          <w:szCs w:val="24"/>
        </w:rPr>
        <w:t>međunarodnih instrumenata o ljudskim pravima</w:t>
      </w:r>
      <w:r w:rsidRPr="0056025F">
        <w:rPr>
          <w:rFonts w:eastAsia="Calibri" w:cs="Times New Roman"/>
          <w:szCs w:val="24"/>
        </w:rPr>
        <w:t>, nije došlo do novih ratifikacija u 2019. godini. Crna Gora još nije ratifikovala Međunarodnu konvenciju o zaštiti prava svih radnika migranata i članova njihovih porodica (ICRMW) potpisanu u oktobru 2006. godine i Protokol iz 2014. godine uz Konvenciju o prisilnom radu iz 1930. godine. Crna Gora je nastavila dijalog s međunarodnim organizacijama za ljudska prava i nadzornim tijelima, Ujedinjenim nacijama i Savjetom Evrope. Ministarstvo vanjskih poslova izradilo je 2019. godine bazu podataka za praćenje sprovođenja obaveza i preporuka iz međunarodnih mehanizama za ljudska prava. U martu 2019. Savjetodavni odbor za Okvirnu konvenciju za zaštitu nacionalnih manjina usvojio je Treće mišljenje o Crnoj Gori. U junu 2019. godine Crna Gora je izvijestila o sprovođenju preporuka UN-ovog Odbora za uklanjanje svih oblika diskriminacije žena (CEDAW) iz 2017. godine. U aprilu 2020. godine, specijalni izvjestilac UN-a za trgovinu ljudima, posebno ženama i djecom, objavio je svoj izvještaj o posjeti Crnoj Gori 2019. godine. U aprilu 2020. godine, Crna Gora je izvijestila o sprovođenju preporuka Komiteta Ujedinjenih nacija za eliminaciju svih oblika rasne diskriminacije (CERD).</w:t>
      </w:r>
    </w:p>
    <w:p w:rsidR="0056025F" w:rsidRPr="0056025F" w:rsidRDefault="0056025F" w:rsidP="0056025F">
      <w:pPr>
        <w:spacing w:after="120" w:line="240" w:lineRule="auto"/>
        <w:jc w:val="both"/>
        <w:rPr>
          <w:rFonts w:eastAsia="Calibri" w:cs="Times New Roman"/>
          <w:szCs w:val="24"/>
        </w:rPr>
      </w:pPr>
      <w:r w:rsidRPr="0056025F">
        <w:rPr>
          <w:rFonts w:eastAsia="Calibri" w:cs="Times New Roman"/>
          <w:szCs w:val="24"/>
        </w:rPr>
        <w:t xml:space="preserve">Crna Gora nastavlja da osigurava dobar nivo saradnje s </w:t>
      </w:r>
      <w:r w:rsidRPr="0056025F">
        <w:rPr>
          <w:rFonts w:eastAsia="Calibri" w:cs="Times New Roman"/>
          <w:b/>
          <w:bCs/>
          <w:szCs w:val="24"/>
        </w:rPr>
        <w:t>Evropskim sudom za ljudska prava (ESLJP)</w:t>
      </w:r>
      <w:r w:rsidRPr="0056025F">
        <w:rPr>
          <w:rFonts w:eastAsia="Calibri" w:cs="Times New Roman"/>
          <w:szCs w:val="24"/>
        </w:rPr>
        <w:t>. U 2019. godini, 427 novih predstavki protiv Crne Gore dodijeljeno je pravosudnoj formaciji Savjeta Evrope, a 98 predstavki bilo je na čekanju pred Sudom krajem godine. U 2019. i prvoj polovini 2020. ESLJP je utvrdio kršenja Evropske konvencije o ljudskim pravima u osam predmeta u vezi s nehumanim postupanjem tokom pritvora, nezakonitim pritvorom, neopravdanim trajanjem pritvora, trajanjem sudskog postupka, pravom na privatni i porodični život, kao i pravomsvojine. Nijeprijavljeno nijedno pitanje u vezi s izvršenjem presude ESLJP-a i nijedan predmet protiv Crne Gore nije pod pojačanim nadzorom izvršenja od strane Komiteta ministara.</w:t>
      </w:r>
    </w:p>
    <w:p w:rsidR="0056025F" w:rsidRPr="0056025F" w:rsidRDefault="0056025F" w:rsidP="0056025F">
      <w:pPr>
        <w:spacing w:after="120" w:line="240" w:lineRule="auto"/>
        <w:jc w:val="both"/>
        <w:rPr>
          <w:rFonts w:eastAsia="Calibri" w:cs="Times New Roman"/>
          <w:szCs w:val="24"/>
        </w:rPr>
      </w:pPr>
      <w:r w:rsidRPr="0056025F">
        <w:rPr>
          <w:rFonts w:eastAsia="Calibri" w:cs="Times New Roman"/>
          <w:szCs w:val="24"/>
        </w:rPr>
        <w:t>Crna Gora još nije posmatrač Agencije za osnovna prava.</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lastRenderedPageBreak/>
        <w:t xml:space="preserve">Što se tiče </w:t>
      </w:r>
      <w:r w:rsidRPr="0056025F">
        <w:rPr>
          <w:rFonts w:eastAsia="Times New Roman" w:cs="Times New Roman"/>
          <w:b/>
          <w:bCs/>
          <w:szCs w:val="24"/>
        </w:rPr>
        <w:t>promovisanja i sprovođenja ljudskih prava</w:t>
      </w:r>
      <w:r w:rsidRPr="0056025F">
        <w:rPr>
          <w:rFonts w:eastAsia="Times New Roman" w:cs="Times New Roman"/>
          <w:szCs w:val="24"/>
        </w:rPr>
        <w:t>, Ministarstvo za ljudska i manjinska prava (MLJMP) nastavilo je da jača svoje administrativne kapacitete kroz otvaranje novih radnih mjesta i internih programa obuke, ali je ukupni kapacitet MLJMP-a i dalje slab. Organizacije civilnog društva redovno se konsultuju o zakonodavnim inicijativama. Međutim, saradnju između institucija i organizacija civilnog društva treba dodatno poboljšati, uključujući i na lokalnom nivou.</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t>Kvalitet odluka Ustavnog suda se i dalje poboljšava u smislu primjene standarda o ljudskim pravima i prakse ESLJP-a. Međutim, činjenica da redovni sudovi ne slijede uvijek njegove odluke izaziva zabrinutost. Sveukupna svijest javnih institucija o standardima ljudskih prava neznatno se popravila u 2019. godini. Edukacija o ljudskim pravima koja se obezbjeđuje za službenike javne uprave, organe za sprovođenje zakona i pravne profesionalce još uvijek nije dovoljna. Potrebno je povećati senzibilitet za pitanja ljudskih prava u svim socijalnim sektorima.</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t>Uspostavljen je regulatorni i institucionalni okvir za funkcionisanje Zaštitnika ljudskih prava i sloboda, akreditovanog sa statusom B od strane Globalne alijanse nacionalnih institucija ljudskih prava (GANHRI). Uprkos stalnom nedostatku zaposlenih i relativno ograničenim resursima (budžet od 695.322 eura u 2019. i 725.227 eura u 2020. godini), kancelarija Zaštitnika ljudskih prava i sloboda i dalje ima dobru vidljivost, doseg i produktivnost. U decembru 2019. godine, Skupština je potvrdila, uz široku političku podršku, imenovanje novog Zaštitnika. Nastavljene su aktivnosti i inicijative za osposobljavanje zaposlenih za promovisanje ljudskih prava najosjetljivijih grupa, posebno djece, zajedno sa saradnjom s UNHCR-om u održavanju zaštite ljudskih prava migranata i tražilaca azila. Poboljšana je nacionalna elektronska baza podataka za upravljanje žalbama. Saradnja s medijima i civilnim društvom i dalje je sveukupno dobra, ali potrebni su dodatni napori kako bi se dalje povećalo povjerenje među zainteresovanim stranama. U 2019. godini, Kancelarija je primila 840 žalbi (2018: 889). Preliminarni podaci za 2020. godinu ukazuju na ukupan porast žalbi.</w:t>
      </w:r>
    </w:p>
    <w:p w:rsidR="0056025F" w:rsidRPr="0056025F" w:rsidRDefault="0056025F" w:rsidP="0056025F">
      <w:pPr>
        <w:autoSpaceDE w:val="0"/>
        <w:autoSpaceDN w:val="0"/>
        <w:adjustRightInd w:val="0"/>
        <w:spacing w:after="120" w:line="240" w:lineRule="auto"/>
        <w:jc w:val="both"/>
        <w:rPr>
          <w:rFonts w:eastAsia="MS Mincho" w:cs="Times New Roman"/>
          <w:szCs w:val="24"/>
        </w:rPr>
      </w:pPr>
      <w:r w:rsidRPr="0056025F">
        <w:rPr>
          <w:rFonts w:eastAsia="MS Mincho" w:cs="Times New Roman"/>
          <w:szCs w:val="24"/>
        </w:rPr>
        <w:t xml:space="preserve">Što se tiče </w:t>
      </w:r>
      <w:r w:rsidRPr="0056025F">
        <w:rPr>
          <w:rFonts w:eastAsia="MS Mincho" w:cs="Times New Roman"/>
          <w:b/>
          <w:bCs/>
          <w:szCs w:val="24"/>
        </w:rPr>
        <w:t>sprečavanja mučenja i zlostavljanja</w:t>
      </w:r>
      <w:r w:rsidRPr="0056025F">
        <w:rPr>
          <w:rFonts w:eastAsia="MS Mincho" w:cs="Times New Roman"/>
          <w:szCs w:val="24"/>
        </w:rPr>
        <w:t>, regulatorni okvir djelimično je konsolidovan usvajanjem niza pravila 2019. i početkom 2020. godine. Formirana je radna grupa za izradu izmjena i dopuna Krivičnog zakonika u pogledu krivičnih djela mučenja i drugih oblika zlostavljanja. Ovi amandmani treba da uvaže preporuke UN-a za univerzalni periodični pregled iz 2018. godine da se izričito zabrani zastara za takva krivična djela, povećaju kazne, kao i da se isključi mogućnost davanja amnestije i pomilovanja državnim službenicima optuženim ili osuđenim za takva krivična djela.</w:t>
      </w:r>
    </w:p>
    <w:p w:rsidR="0056025F" w:rsidRPr="0056025F" w:rsidRDefault="0056025F" w:rsidP="0056025F">
      <w:pPr>
        <w:autoSpaceDE w:val="0"/>
        <w:autoSpaceDN w:val="0"/>
        <w:adjustRightInd w:val="0"/>
        <w:spacing w:after="120" w:line="240" w:lineRule="auto"/>
        <w:jc w:val="both"/>
        <w:rPr>
          <w:rFonts w:eastAsia="Calibri" w:cs="Times New Roman"/>
          <w:szCs w:val="24"/>
        </w:rPr>
      </w:pPr>
      <w:r w:rsidRPr="0056025F">
        <w:rPr>
          <w:rFonts w:eastAsia="Calibri" w:cs="Times New Roman"/>
          <w:szCs w:val="24"/>
        </w:rPr>
        <w:t>Preduzete su određene dodatne mjere za jačanje efikasnosti istraga i pravosudnog odgovora na slučajeve mučenja i zlostavljanja koji, međutim, ostaju sveukupni izazov.</w:t>
      </w:r>
    </w:p>
    <w:p w:rsidR="0056025F" w:rsidRPr="0056025F" w:rsidRDefault="0056025F" w:rsidP="0056025F">
      <w:pPr>
        <w:autoSpaceDE w:val="0"/>
        <w:autoSpaceDN w:val="0"/>
        <w:adjustRightInd w:val="0"/>
        <w:spacing w:after="120" w:line="240" w:lineRule="auto"/>
        <w:jc w:val="both"/>
        <w:rPr>
          <w:rFonts w:eastAsia="Calibri" w:cs="Times New Roman"/>
          <w:szCs w:val="24"/>
        </w:rPr>
      </w:pPr>
      <w:r w:rsidRPr="0056025F">
        <w:rPr>
          <w:rFonts w:eastAsia="Calibri" w:cs="Times New Roman"/>
          <w:szCs w:val="24"/>
        </w:rPr>
        <w:t>Nadležni državni organi treba propisno da istraže ozbiljne navodeo policijskoj torturi tri lica tokom njihovog pritvora u maju 2020. godine, prekomjernoj, neopravdanoj i neovlašćenoj upotrebi sile od strane organa za sprovođenje zakona, komunalne policije i agencija za privatno obezbjeđenje tokom događaja u junu 2020. godine u Budvi, u kontekstu promjene vlasti u opštini, kao i sve druge izvještajeo prekomjernoj upotrebi sile od strane policije.</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t>Operativni kapacitet i vidljivost Nacionalnog preventivnog mehanizma (NPM) ojačani su 2019. godine obezbjeđivanjem dodatnih sredstava za promotivne aktivnosti, istraživanje i praćenje. Misija NPM obavila je 24 kontrolne posjeteradi procjene uslova pritvora. Dalja istraživanja o postupanju s migrantima i azilantima takođe su sprovedena u 2019. godini.</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t xml:space="preserve">Što se tiče </w:t>
      </w:r>
      <w:r w:rsidRPr="0056025F">
        <w:rPr>
          <w:rFonts w:eastAsia="Times New Roman" w:cs="Times New Roman"/>
          <w:b/>
          <w:bCs/>
          <w:szCs w:val="24"/>
        </w:rPr>
        <w:t>zatvorskog sistema i uslova</w:t>
      </w:r>
      <w:r w:rsidRPr="0056025F">
        <w:rPr>
          <w:rFonts w:eastAsia="Times New Roman" w:cs="Times New Roman"/>
          <w:szCs w:val="24"/>
        </w:rPr>
        <w:t xml:space="preserve">, i dalje zabrinjavaju ograničeni kapaciteti pritvorskih objekata i kontinuirano prekomjerno korišćenje istražnog zatvora za optužene sa niskim rizikom i manje teška krivična djela. Preduzete su dodatne mjere za realizaciju preporuka </w:t>
      </w:r>
      <w:r w:rsidRPr="0056025F">
        <w:rPr>
          <w:rFonts w:eastAsia="Times New Roman" w:cs="Times New Roman"/>
          <w:szCs w:val="24"/>
        </w:rPr>
        <w:lastRenderedPageBreak/>
        <w:t>Evropskog komiteta za sprječavanje mučenja i nehumanog ili ponižavajućeg postupanja ili kažnjavanja (CPT). Osnovan je etički komitet za praćenje poštovanja odredaba novog Etičkog kodeksa državnih službenika i namještenika Zavoda za izvršenje krivičnih sankcija. Međutim, zaštitne mjere za lica lišena slobode nijesu dovoljne, i dalje postoje ozbiljna odstupanja između regulatornih standarda i prakse. Izvršena su poboljšanja u ishrani i zdravstvenim uslugama, porodičnim posjetama, zapošljavanju i radnom okruženju. Međutim, materijalni uslovi u pritvoru i dalje su loši, a ozbiljni izazovi u tom pogledu dodatno su izraženi u kontekstu pandemije izazvane virusom Covid-19. U junu 2020. godine, Skupština je usvojila Zakon o amnestiji kojim se nekim zatvorenicima smanjuju zatvorske kazne za 5-15%, kako bi se smanjila prenatrpanost zatvora u kontekstu izbijanja pandemije izazvane virusom Covid-19. Proširenja zatvora i dodatni planovi za izgradnju zavoda, uključujući zatvorsku bolnicu, trenutno su u pripremi. Oko objekta za kratkoročne kazne započeta je izgradnja zaštitnog zatvorskog zida, kako bi se osigurala bolja bezbjednost. Tehnička pomoć koju finansira EU za izgradnju novog zatvorskog objekta u Mojkovcu započela je u novembru 2019. godine. Nastavljena je saradnja s civilnim društvom u vezi zatvorenika s posebnim potrebama, sprječavanja recidiva i omogućavanja socijalne reintegracije i ličnog/profesionalnog razvoja. Treba održati napredak postignut u rehabilitaciji i resocijalizaciji (bivših) zatvorenika. Potpunu dostupnost za osobe s invaliditetom u zatvoru tek treba riješiti.</w:t>
      </w:r>
    </w:p>
    <w:p w:rsidR="0056025F" w:rsidRPr="0056025F" w:rsidRDefault="0056025F" w:rsidP="0056025F">
      <w:pPr>
        <w:spacing w:after="120" w:line="240" w:lineRule="auto"/>
        <w:jc w:val="both"/>
        <w:rPr>
          <w:rFonts w:eastAsia="Times New Roman" w:cs="Times New Roman"/>
          <w:bCs/>
          <w:szCs w:val="24"/>
        </w:rPr>
      </w:pPr>
      <w:r w:rsidRPr="0056025F">
        <w:rPr>
          <w:rFonts w:eastAsia="Times New Roman" w:cs="Times New Roman"/>
          <w:bCs/>
          <w:szCs w:val="24"/>
        </w:rPr>
        <w:t xml:space="preserve">Što se tiče </w:t>
      </w:r>
      <w:r w:rsidRPr="0056025F">
        <w:rPr>
          <w:rFonts w:eastAsia="Times New Roman" w:cs="Times New Roman"/>
          <w:b/>
          <w:szCs w:val="24"/>
        </w:rPr>
        <w:t>zaštite ličnih podataka</w:t>
      </w:r>
      <w:r w:rsidRPr="0056025F">
        <w:rPr>
          <w:rFonts w:eastAsia="Times New Roman" w:cs="Times New Roman"/>
          <w:bCs/>
          <w:szCs w:val="24"/>
        </w:rPr>
        <w:t>, i dalje su glavni izazovi konsolidacija pravnog i institucionalnog okvira, uključujući mehanizme unutrašnje kontrole i nadzor obrade i pristupa ličnim podacima. Crna Gora još uvijek nije potpisala ili ratifikovala Protokol iz 2018. godine kojim se mijenja Konvencija o zaštiti lica u odnosu na automatsku obradu ličnih podataka. U pripremi je novi Zakon o zaštiti ličnih podataka s ciljem usklađivanja s opštom Regulativom o zaštiti podataka EU iz 2016. godine i Direktivom o obradi ličnih podataka za organe nadležne za sprječavanje, istragu, otkrivanje i krivično gonjenje krivičnih djela. Nastavljene su aktivnosti na povećanju kapaciteta Agencije za zaštitu ličnih podataka i slobodan pristup informacijama, ali njen ukupni kapacitet ostaje ograničen. Broj predmeta zaštite podataka podnesenih sudu i dalje je nizak, dok se broj žalbi podnesenih Agenciji povećao. Nivo kapaciteta i svijesti o pravima i obavezama generalno je nizak među različitim državnim organima, članovima javnog i privatnog sektora. Kriza izazvana virusom Covid-19 dodatno je razotkrila ove izazove, a nadležni organi su se borili da pronađu pravu ravnotežu između zaštite zdravlja i poštovanja povjerljivosti ličnih zdravstvenih podataka i prava na privatni život građana. Spisak svih lica koja podliježu mjeri samoizolacije objavljen je na osnovu odluke Nacionalnog koordinacionog tijela i pozitivnog mišljenja Agencije za zaštitu ličnih podataka. U julu 2020. godine, Ustavni sud proglasio je pomenutu odluku kršenjem ustavnog prava na privatnost i poništio je. Spisak je nakon toga privatno lice koristilo za izradu mobilne aplikacije koja omogućava korisnicima da pronađu one u samoizolaciji. U aprilu 2020. godine procurio je spisak sa više od 60 osoba zaraženih virusom, koji sadrži njihova imena, podatke o rođenju i matične brojeve. U maju 2020. godine u ovom predmetu podignuta je optužnica protiv jednog optuženog.</w:t>
      </w:r>
    </w:p>
    <w:p w:rsidR="0056025F" w:rsidRPr="0056025F" w:rsidRDefault="0056025F" w:rsidP="0056025F">
      <w:pPr>
        <w:spacing w:after="120" w:line="240" w:lineRule="auto"/>
        <w:jc w:val="both"/>
        <w:rPr>
          <w:rFonts w:eastAsia="Times New Roman" w:cs="Times New Roman"/>
          <w:szCs w:val="24"/>
        </w:rPr>
      </w:pPr>
      <w:r w:rsidRPr="0056025F">
        <w:rPr>
          <w:rFonts w:eastAsia="Times New Roman" w:cs="Times New Roman"/>
          <w:szCs w:val="24"/>
        </w:rPr>
        <w:t xml:space="preserve">U oblasti </w:t>
      </w:r>
      <w:r w:rsidRPr="0056025F">
        <w:rPr>
          <w:rFonts w:eastAsia="Times New Roman" w:cs="Times New Roman"/>
          <w:b/>
          <w:bCs/>
          <w:szCs w:val="24"/>
        </w:rPr>
        <w:t>slobode misli, savjesti i vjeroispovijesti</w:t>
      </w:r>
      <w:r w:rsidRPr="0056025F">
        <w:rPr>
          <w:rFonts w:eastAsia="Times New Roman" w:cs="Times New Roman"/>
          <w:szCs w:val="24"/>
        </w:rPr>
        <w:t>, u decembru 2019. godine, Skupština je usvojila Zakon o slobodi vjeroispovijesti ili uvjerenja</w:t>
      </w:r>
      <w:r w:rsidRPr="0056025F">
        <w:rPr>
          <w:rFonts w:ascii="Arial" w:eastAsia="Calibri" w:hAnsi="Arial" w:cs="Arial"/>
          <w:color w:val="4D5156"/>
          <w:sz w:val="21"/>
          <w:szCs w:val="21"/>
          <w:shd w:val="clear" w:color="auto" w:fill="FFFFFF"/>
        </w:rPr>
        <w:t xml:space="preserve"> </w:t>
      </w:r>
      <w:r w:rsidRPr="0056025F">
        <w:rPr>
          <w:rFonts w:eastAsia="Times New Roman" w:cs="Times New Roman"/>
          <w:szCs w:val="24"/>
        </w:rPr>
        <w:t xml:space="preserve">i pravnom položaju vjerskih zajednica, kako bi se, između ostalog, regulisao pravni status vjerskih zajednica, njihova imovina i imovinska prava nad vjerskim objektima. Zakonom se proglašavaju prava državne svojine nad vjerskim objektima i zemljištem izgrađenim ili pribavljenim od državnih prihoda ili koji su bili u vlasništvu države do 1. decembra 1918. godine i za koje nema dokaza o vlasništvu vjerske zajednice. Njegovo usvajanje bilo je narušeno tenzijama i incidentom u Skupštini, koji je doveo do hapšenja opozicionih poslanika. Uslijedili su veliki vjerski skupovi podrške </w:t>
      </w:r>
      <w:r w:rsidRPr="0056025F">
        <w:rPr>
          <w:rFonts w:eastAsia="Times New Roman" w:cs="Times New Roman"/>
          <w:szCs w:val="24"/>
        </w:rPr>
        <w:lastRenderedPageBreak/>
        <w:t>Srpskoj pravoslavnoj crkvi (SPC) i protesti, ali su oni prekinuti zbog krize Covid-19. Dalje tenzije nastale su u maju i junu 2020. godine između SPC-a i njenih vjernika i vlasti, nakon hapšenja i lišenja slobode episkopa Crkve i njenih sveštenika zbog nepoštovanja preventivnih mjera u vezi pandemije izazvane virusom Covid-19. U februaru 2020. godine,Vlada je započela dijalog između pravnih stručnjaka i SPC, koja je smatrala da je na nju zakon značajno uticao. U junu 2020. godine, Vlada je javno objavila da je Crkvi ponudila da obustavi primjenu zakona dok zakon ne preispita Ustavni sud, pod uslovom da SPC podnese predlog Ustavnom sudu Crne Gore. SPC je predlog odbila. Dijalog sa svim vjerskim grupama i relevantnim zainteresovanim stranama treba nastaviti u skladu s relevantnim međunarodnim i evropskim standardima za ljudska prava, uključujući preporuke mišljenja Venecijanske komisije o zakonu iz juna 2019. godine. Vjerski motivisani napadi u kontekstu izbora u avgustu 2020. godine izazivaju ozbiljnu zabrinutost.</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Calibri" w:cs="Times New Roman"/>
          <w:b/>
          <w:szCs w:val="24"/>
        </w:rPr>
        <w:t xml:space="preserve">Sloboda izražavanja </w:t>
      </w:r>
    </w:p>
    <w:tbl>
      <w:tblPr>
        <w:tblW w:w="0" w:type="auto"/>
        <w:shd w:val="clear" w:color="auto" w:fill="D9D9D9"/>
        <w:tblLook w:val="04A0" w:firstRow="1" w:lastRow="0" w:firstColumn="1" w:lastColumn="0" w:noHBand="0" w:noVBand="1"/>
      </w:tblPr>
      <w:tblGrid>
        <w:gridCol w:w="9242"/>
      </w:tblGrid>
      <w:tr w:rsidR="0056025F" w:rsidRPr="0056025F" w:rsidTr="00A11119">
        <w:tc>
          <w:tcPr>
            <w:tcW w:w="9242" w:type="dxa"/>
            <w:tcBorders>
              <w:top w:val="single" w:sz="4" w:space="0" w:color="auto"/>
              <w:left w:val="single" w:sz="4" w:space="0" w:color="auto"/>
              <w:bottom w:val="single" w:sz="4" w:space="0" w:color="auto"/>
              <w:right w:val="single" w:sz="4" w:space="0" w:color="auto"/>
            </w:tcBorders>
            <w:shd w:val="clear" w:color="auto" w:fill="FFFFFF"/>
          </w:tcPr>
          <w:p w:rsidR="0056025F" w:rsidRPr="0056025F" w:rsidRDefault="0056025F" w:rsidP="0056025F">
            <w:pPr>
              <w:spacing w:after="120" w:line="240" w:lineRule="auto"/>
              <w:jc w:val="both"/>
              <w:rPr>
                <w:rFonts w:eastAsia="Calibri" w:cs="Times New Roman"/>
                <w:szCs w:val="24"/>
              </w:rPr>
            </w:pPr>
            <w:r w:rsidRPr="0056025F">
              <w:rPr>
                <w:rFonts w:eastAsia="Calibri" w:cs="Times New Roman"/>
                <w:sz w:val="22"/>
                <w:szCs w:val="24"/>
                <w:lang w:val="fr-FR"/>
              </w:rPr>
              <w:t xml:space="preserve">Crna Gora je postigla </w:t>
            </w:r>
            <w:r w:rsidRPr="0056025F">
              <w:rPr>
                <w:rFonts w:eastAsia="Calibri" w:cs="Times New Roman"/>
                <w:b/>
                <w:bCs/>
                <w:sz w:val="22"/>
                <w:szCs w:val="24"/>
                <w:lang w:val="fr-FR"/>
              </w:rPr>
              <w:t>određeni nivo pripreme</w:t>
            </w:r>
            <w:r w:rsidRPr="0056025F">
              <w:rPr>
                <w:rFonts w:eastAsia="Calibri" w:cs="Times New Roman"/>
                <w:sz w:val="22"/>
                <w:szCs w:val="24"/>
                <w:lang w:val="fr-FR"/>
              </w:rPr>
              <w:t xml:space="preserve"> u ovoj oblasti. Tokom izvještajnog perioda, Crna Gora generalno </w:t>
            </w:r>
            <w:r w:rsidRPr="0056025F">
              <w:rPr>
                <w:rFonts w:eastAsia="Calibri" w:cs="Times New Roman"/>
                <w:b/>
                <w:bCs/>
                <w:sz w:val="22"/>
                <w:szCs w:val="24"/>
                <w:lang w:val="fr-FR"/>
              </w:rPr>
              <w:t>nije postigla napredak</w:t>
            </w:r>
            <w:r w:rsidRPr="0056025F">
              <w:rPr>
                <w:rFonts w:eastAsia="Calibri" w:cs="Times New Roman"/>
                <w:sz w:val="22"/>
                <w:szCs w:val="24"/>
                <w:lang w:val="fr-FR"/>
              </w:rPr>
              <w:t xml:space="preserve"> u pogledu slobode izražavanja. Iako je postignut napredak u medijskom zakonodavstvu, to je zasjenjeno hapšenjima i postupcima protiv urednika internet portala i građana zbog sadržaja koji su objavljivali ili dijelili na internetu tokom 2020. godine. Nadležni organi uložili su napore u izradu novog pravnog okvira za medije i sveobuhvatne dodatne konsultacije sa zainteresovanim stranama. U julu 2020. godine Skupština je usvojila novi Zakon o medijima i novi Zakon o nacionalnom javnom emiteru Radio i Televizija Crne Gore (RTCG). Neke od izmjena dva zakona u posljednjem trenutku moraće se razmotriti zajedno s predstojećim Zakonom o audio-vizuelnim medijima, koji je u pripremi, i u svijetlu evropskih standarda. Važni stari slučajevi napada i dalje su neriješeni, uključujući ubistvo glavnog urednika dnevnih novina „Dan“ 2004. godine i napad na istraživačkog novinara 2018. godine. Skupština je imenovala novi Savjet RTCG, ali i dalje postoji zabrinutost zbog uredničke nezavisnosti i profesionalnih standarda RTCG. Nekoliko sudskih presuda u 2019. godini utvrdilo je da su članovi Savjeta i uprave RTCG nezakonito otpušteni 2018. godine. </w:t>
            </w:r>
            <w:r w:rsidRPr="0056025F">
              <w:rPr>
                <w:rFonts w:eastAsia="Calibri" w:cs="Times New Roman"/>
                <w:sz w:val="22"/>
                <w:szCs w:val="24"/>
              </w:rPr>
              <w:t>Medijska scena i dalje je visoko polarizovana, a mehanizmi samoregulacije i dalje su slabi. Rastući obim dezinformacija širom regiona dodatno je polarizovao društvo nakon usvajanja Zakona o slobodi vjeroispovijesti ili uvjerenja i pravnom položaju vjerskih zajednica i tokom izborne kampanje. Nadležni organi, uključujući pravosuđe, treba da budu bolje pripremljeni za primjenu sudske prakse Evropskog suda za ljudska prava o slobodi izražavanja.</w:t>
            </w:r>
          </w:p>
          <w:p w:rsidR="0056025F" w:rsidRPr="0056025F" w:rsidRDefault="0056025F" w:rsidP="0056025F">
            <w:pPr>
              <w:spacing w:after="120" w:line="240" w:lineRule="auto"/>
              <w:jc w:val="both"/>
              <w:rPr>
                <w:rFonts w:eastAsia="Calibri" w:cs="Times New Roman"/>
                <w:szCs w:val="24"/>
              </w:rPr>
            </w:pPr>
            <w:r w:rsidRPr="0056025F">
              <w:rPr>
                <w:rFonts w:eastAsia="Calibri" w:cs="Times New Roman"/>
                <w:sz w:val="22"/>
                <w:szCs w:val="24"/>
              </w:rPr>
              <w:t>U rješavanju nedostataka, Crna Gora treba naročito da:</w:t>
            </w:r>
          </w:p>
          <w:p w:rsidR="0056025F" w:rsidRPr="0056025F" w:rsidRDefault="0056025F" w:rsidP="0056025F">
            <w:pPr>
              <w:numPr>
                <w:ilvl w:val="0"/>
                <w:numId w:val="2"/>
              </w:numPr>
              <w:spacing w:after="120" w:line="240" w:lineRule="auto"/>
              <w:ind w:left="0" w:firstLine="0"/>
              <w:jc w:val="both"/>
              <w:rPr>
                <w:rFonts w:eastAsia="Calibri" w:cs="Times New Roman"/>
                <w:szCs w:val="24"/>
                <w:lang w:bidi="en-US"/>
              </w:rPr>
            </w:pPr>
            <w:r w:rsidRPr="0056025F">
              <w:rPr>
                <w:rFonts w:eastAsia="Calibri" w:cs="Times New Roman"/>
                <w:sz w:val="22"/>
                <w:szCs w:val="24"/>
                <w:lang w:bidi="en-US"/>
              </w:rPr>
              <w:t>prioritetno istraži slučajeve napada na novinare;</w:t>
            </w:r>
          </w:p>
          <w:p w:rsidR="0056025F" w:rsidRPr="0056025F" w:rsidRDefault="0056025F" w:rsidP="0056025F">
            <w:pPr>
              <w:numPr>
                <w:ilvl w:val="0"/>
                <w:numId w:val="2"/>
              </w:numPr>
              <w:spacing w:after="120" w:line="240" w:lineRule="auto"/>
              <w:ind w:left="0" w:firstLine="0"/>
              <w:jc w:val="both"/>
              <w:rPr>
                <w:rFonts w:eastAsia="Calibri" w:cs="Times New Roman"/>
                <w:szCs w:val="24"/>
                <w:lang w:bidi="en-US"/>
              </w:rPr>
            </w:pPr>
            <w:r w:rsidRPr="0056025F">
              <w:rPr>
                <w:rFonts w:eastAsia="Calibri" w:cs="Times New Roman"/>
                <w:sz w:val="22"/>
                <w:szCs w:val="24"/>
                <w:lang w:bidi="en-US"/>
              </w:rPr>
              <w:t>osigura da sve pojedinačne mjere preduzete radi ograničavanja uticaja dezinformacija i uznemiravanja ili govora mržnje na internetu ne ograničavaju nesrazmjerno slobodu izražavanja i medija;</w:t>
            </w:r>
          </w:p>
          <w:p w:rsidR="0056025F" w:rsidRPr="0056025F" w:rsidRDefault="0056025F" w:rsidP="0056025F">
            <w:pPr>
              <w:numPr>
                <w:ilvl w:val="0"/>
                <w:numId w:val="2"/>
              </w:numPr>
              <w:spacing w:after="120" w:line="240" w:lineRule="auto"/>
              <w:ind w:left="0" w:firstLine="0"/>
              <w:jc w:val="both"/>
              <w:rPr>
                <w:rFonts w:eastAsia="Calibri" w:cs="Times New Roman"/>
                <w:szCs w:val="24"/>
                <w:lang w:bidi="en-US"/>
              </w:rPr>
            </w:pPr>
            <w:r w:rsidRPr="0056025F">
              <w:rPr>
                <w:rFonts w:eastAsia="Calibri" w:cs="Times New Roman"/>
                <w:sz w:val="22"/>
                <w:szCs w:val="24"/>
                <w:lang w:bidi="en-US"/>
              </w:rPr>
              <w:t>dovrši reviziju pravnog okvira u oblasti medija i obezbijediti nedvosmislenu primjenu novog zakonodavstva u skladu s međunarodnim i evropskim standardima.</w:t>
            </w:r>
          </w:p>
        </w:tc>
      </w:tr>
    </w:tbl>
    <w:p w:rsidR="0056025F" w:rsidRPr="0056025F" w:rsidRDefault="0056025F" w:rsidP="0056025F">
      <w:pPr>
        <w:spacing w:after="120" w:line="240" w:lineRule="auto"/>
        <w:jc w:val="both"/>
        <w:rPr>
          <w:rFonts w:eastAsia="Calibri" w:cs="Times New Roman"/>
          <w:szCs w:val="24"/>
          <w:u w:val="single"/>
        </w:rPr>
      </w:pPr>
      <w:r w:rsidRPr="0056025F">
        <w:rPr>
          <w:rFonts w:eastAsia="Calibri" w:cs="Times New Roman"/>
          <w:szCs w:val="24"/>
          <w:u w:val="single"/>
        </w:rPr>
        <w:t>Zastrašivanje novinara</w:t>
      </w:r>
    </w:p>
    <w:p w:rsidR="0056025F" w:rsidRPr="0056025F" w:rsidRDefault="0056025F" w:rsidP="0056025F">
      <w:pPr>
        <w:spacing w:after="120" w:line="240" w:lineRule="auto"/>
        <w:jc w:val="both"/>
        <w:rPr>
          <w:rFonts w:eastAsia="Calibri" w:cs="Times New Roman"/>
          <w:szCs w:val="24"/>
          <w:lang w:bidi="en-US"/>
        </w:rPr>
      </w:pPr>
      <w:r w:rsidRPr="0056025F">
        <w:rPr>
          <w:rFonts w:eastAsia="Calibri" w:cs="Times New Roman"/>
          <w:szCs w:val="24"/>
          <w:lang w:bidi="en-US"/>
        </w:rPr>
        <w:t xml:space="preserve">Napredak u rješavanju nasilja nad novinarima i medijima i dalje je veoma ograničen. Važni stari slučajevi, uključujući ubistvo glavnog i odgovornog urednika dnevnih novina „Dan“ i napad na istraživačkog novinara 2018. godine, ostali su neriješeni. Nadležni organi registrovali su četiri napada u 2019. godini. U tri od tih slučajeva podignute su optužnice. Zaštita je ponuđena dvojici novinara. Prijavljeni su dalji sajbernapadi na medijske kuće. Vlada je nastavila da daje snažne izjave u znak podrške istragama slučajeva nasilja nad novinarima i imovinom medija. Uprkos početnim rezultatima istrage ozbiljnog napada na istražnu novinarku Oliveru Lakić u maju 2018. godine, njegov počinilac i organizator još uvijek nijesu izvedeni pred lice pravde. Nije postignut značajan napredak u rješavanju starijih </w:t>
      </w:r>
      <w:r w:rsidRPr="0056025F">
        <w:rPr>
          <w:rFonts w:eastAsia="Calibri" w:cs="Times New Roman"/>
          <w:szCs w:val="24"/>
          <w:lang w:bidi="en-US"/>
        </w:rPr>
        <w:lastRenderedPageBreak/>
        <w:t>slučajeva, uključujući ubistvo glavnog urednika dnevnih novina „Dan“ 2004. godine. U aprilu 2020. godine, policija je, međutim, rasvijetlila četiri slučaja napada na imovinu medija iz 2011. i 2014. godine, kada je pet vozila oštećeno i uništeno. Dva lica – maloljetnika u vrijeme napada - za koja se sumnja da su neposredno umiješana u napade predmet su sudskog gonjenja prema zakonu koji se odnosi na maloljetnike. Optužnica protiv vođe kriminalne grupe za koju se sumnja da je organizator ovih napada odbačena je i on je pušten iz pritvora. Uprava policije Crne Gore prva će u regionu biti korisnica programa za izgradnju kapaciteta za sigurnost novinara u okviru projekta koji finansira EU.</w:t>
      </w:r>
    </w:p>
    <w:p w:rsidR="0056025F" w:rsidRPr="0056025F" w:rsidRDefault="0056025F" w:rsidP="0056025F">
      <w:pPr>
        <w:spacing w:after="120" w:line="240" w:lineRule="auto"/>
        <w:jc w:val="both"/>
        <w:rPr>
          <w:rFonts w:eastAsia="Calibri" w:cs="Times New Roman"/>
          <w:szCs w:val="24"/>
          <w:lang w:bidi="en-US"/>
        </w:rPr>
      </w:pPr>
      <w:r w:rsidRPr="0056025F">
        <w:rPr>
          <w:rFonts w:eastAsia="Calibri" w:cs="Times New Roman"/>
          <w:szCs w:val="24"/>
          <w:lang w:bidi="en-US"/>
        </w:rPr>
        <w:t>Nakon što je drugostepeni sud poništio presudu u slučaju novinara osuđenog pod optužbom za osnivanje zločinačke organizacije i trgovine drogom, što je izazvalo zabrinutost u pogledu sposobnosti novinara da profesionalno obavljaju svoje dužnosti i bez straha od pravnih posljedica, obnovljeni postupak trenutno je u toku. Iako kratkotrajna, pritvaranja urednika internet portala u januaru 2020. godine zbog navodnog krivičnog djela izazivanja panike i nereda, kao mjere borbe protiv dezinformacija, mogu stvoriti opasan presedan i podstaći samocenzuru. Isto se može dogoditi i u slučaju preduzimanja naknadnih represivnih mjera, hapšenja i krivičnih postupaka protiv građana zbog njihovih objava na društvenim mrežama, uključujući i u kontekstu krize izazvane virusom Covid-19. Bilo je izvještaja o neprimjerenom pritisku policijskih službenika na novinare, kako bi otkrili svoje izvore. Uznemiravanje novinara, uključujući primjenu fizičke sile, dodatno je prijavljeno tokom 2020. godine. Uoči izbora u avgustu 2020. godine, anonimno uznemiravanje novinara kritičara vlade pojačalo se putem namjenske internet stranice.</w:t>
      </w:r>
    </w:p>
    <w:p w:rsidR="0056025F" w:rsidRPr="0056025F" w:rsidRDefault="0056025F" w:rsidP="0056025F">
      <w:pPr>
        <w:spacing w:after="120" w:line="240" w:lineRule="auto"/>
        <w:jc w:val="both"/>
        <w:rPr>
          <w:rFonts w:eastAsia="Calibri" w:cs="Times New Roman"/>
          <w:szCs w:val="24"/>
          <w:lang w:bidi="en-US"/>
        </w:rPr>
      </w:pPr>
      <w:r w:rsidRPr="0056025F">
        <w:rPr>
          <w:rFonts w:eastAsia="Calibri" w:cs="Times New Roman"/>
          <w:i/>
          <w:iCs/>
          <w:szCs w:val="24"/>
          <w:lang w:bidi="en-US"/>
        </w:rPr>
        <w:t xml:space="preserve">Ad hoc </w:t>
      </w:r>
      <w:r w:rsidRPr="0056025F">
        <w:rPr>
          <w:rFonts w:eastAsia="Calibri" w:cs="Times New Roman"/>
          <w:szCs w:val="24"/>
          <w:lang w:bidi="en-US"/>
        </w:rPr>
        <w:t>komisija za praćenje nasilja nad medijima izradila je šest izvještaja od septembra 2016. godine kako o nedavnim, tako i o starim slučajevima, identifikujući niz nedostataka, uključujući kašnjenja u istragama. Komisiji je omogućen pristup dokumentima s nezatamnjenim imenima, ali i dalje postoje poteškoće u dobijanju pravovremenih i potpunih informacija od nadležnih organa. Njene preporuke tek treba u potpunosti sprovesti. Iako joj je mandat produžen do septembra 2020. godine, finansiranje komisije za 2020. godinu privremeno je obustavljeno zbog krize izazvane virusom Covid-19. Potrebni su dalji napori kako bi se slučajevi efikasno i bez odlaganja procesuirali, ne samo da bi se izbjegla primjena zastare. Očekuje se da će nadležni organi pokazati nultu toleranciju na prijetnje ili napade na medije i treba da se suzdrže od davanja izjava koje ne pogoduju slobodi izražavanja.</w:t>
      </w:r>
    </w:p>
    <w:p w:rsidR="0056025F" w:rsidRPr="0056025F" w:rsidRDefault="0056025F" w:rsidP="0056025F">
      <w:pPr>
        <w:spacing w:after="120" w:line="240" w:lineRule="auto"/>
        <w:jc w:val="both"/>
        <w:rPr>
          <w:rFonts w:eastAsia="Calibri" w:cs="Times New Roman"/>
          <w:szCs w:val="24"/>
          <w:lang w:bidi="en-US"/>
        </w:rPr>
      </w:pPr>
      <w:r w:rsidRPr="0056025F">
        <w:rPr>
          <w:rFonts w:eastAsia="Calibri" w:cs="Times New Roman"/>
          <w:szCs w:val="24"/>
          <w:lang w:bidi="en-US"/>
        </w:rPr>
        <w:t>Široko formulisana odredba o otkrivanju novinarskih izvora u novom Zakonu o medijima moraće se primjenjivati ​​restriktivno, ograničena samo na izuzetne okolnosti, i u skladu s međunarodnim i evropskim standardima i sudskom praksom ESLJP-a.</w:t>
      </w:r>
    </w:p>
    <w:p w:rsidR="0056025F" w:rsidRPr="0056025F" w:rsidRDefault="0056025F" w:rsidP="0056025F">
      <w:pPr>
        <w:spacing w:after="120" w:line="240" w:lineRule="auto"/>
        <w:jc w:val="both"/>
        <w:rPr>
          <w:rFonts w:eastAsia="Calibri" w:cs="Times New Roman"/>
          <w:szCs w:val="24"/>
          <w:u w:val="single"/>
        </w:rPr>
      </w:pPr>
      <w:r w:rsidRPr="0056025F">
        <w:rPr>
          <w:rFonts w:eastAsia="Calibri" w:cs="Times New Roman"/>
          <w:szCs w:val="24"/>
          <w:u w:val="single"/>
        </w:rPr>
        <w:t>Zakonodavno okruženje</w:t>
      </w:r>
    </w:p>
    <w:p w:rsidR="0056025F" w:rsidRPr="0056025F" w:rsidRDefault="0056025F" w:rsidP="0056025F">
      <w:pPr>
        <w:spacing w:after="120" w:line="240" w:lineRule="auto"/>
        <w:jc w:val="both"/>
        <w:rPr>
          <w:rFonts w:eastAsia="Calibri" w:cs="Times New Roman"/>
          <w:szCs w:val="24"/>
          <w:lang w:eastAsia="en-GB"/>
        </w:rPr>
      </w:pPr>
      <w:r w:rsidRPr="0056025F">
        <w:rPr>
          <w:rFonts w:eastAsia="Calibri" w:cs="Times New Roman"/>
          <w:szCs w:val="24"/>
          <w:lang w:eastAsia="en-GB"/>
        </w:rPr>
        <w:t xml:space="preserve">Skupština je u julu 2020. godine usvojila nove zakone o medijima i nacionalnom javnom emiteru RTCG, dok je novi Zakon o audio-vizuelnim medijskim uslugamau pripremi. Prva dva zakona bila su predmet javnih rasprava, što je zainteresovanim stranama omogućilo da izraze svoju zabrinutost. Dodatni dijalog s medijskom zajednicom i organizacijama civilnog društva odvijao se u proljeće 2020. godine. Međutim, neke od izmjena ova dva zakona u posljednjem trenutku moraće se razmotriti zajedno sa Zakonom o audio-vizuelnim </w:t>
      </w:r>
      <w:r w:rsidRPr="0056025F">
        <w:rPr>
          <w:rFonts w:eastAsia="Calibri" w:cs="Times New Roman"/>
          <w:szCs w:val="24"/>
          <w:lang w:val="sr-Latn-BA" w:eastAsia="en-GB"/>
        </w:rPr>
        <w:t>medijskim uslugama</w:t>
      </w:r>
      <w:r w:rsidRPr="0056025F">
        <w:rPr>
          <w:rFonts w:eastAsia="Calibri" w:cs="Times New Roman"/>
          <w:szCs w:val="24"/>
          <w:lang w:eastAsia="en-GB"/>
        </w:rPr>
        <w:t>, kako bi se osigurala dosljednost i potpuno usklađivanje s pravnom tekovinom EU i relevantnim međunarodnim standardima.</w:t>
      </w:r>
    </w:p>
    <w:p w:rsidR="0056025F" w:rsidRPr="0056025F" w:rsidRDefault="0056025F" w:rsidP="0056025F">
      <w:pPr>
        <w:spacing w:after="120" w:line="240" w:lineRule="auto"/>
        <w:jc w:val="both"/>
        <w:rPr>
          <w:rFonts w:eastAsia="Calibri" w:cs="Times New Roman"/>
          <w:szCs w:val="24"/>
          <w:lang w:eastAsia="en-GB"/>
        </w:rPr>
      </w:pPr>
      <w:r w:rsidRPr="0056025F">
        <w:rPr>
          <w:rFonts w:eastAsia="Calibri" w:cs="Times New Roman"/>
          <w:szCs w:val="24"/>
          <w:lang w:eastAsia="en-GB"/>
        </w:rPr>
        <w:t>U decembru 2019. godine, Skupština je usvojila izmjene i dopune Zakona o javnom redu i miru koje uvode novčane kazne za neustajanje prilikom izvođenja državne himne. Iako je regulisanje ovih pitanja nacionalna prerogativa, važno je to učiniti na način da se izbjegne podsticanje napetosti i antagonizma ili ograničavanje slobode izražavanja.</w:t>
      </w:r>
    </w:p>
    <w:p w:rsidR="0056025F" w:rsidRPr="0056025F" w:rsidRDefault="0056025F" w:rsidP="0056025F">
      <w:pPr>
        <w:keepNext/>
        <w:spacing w:after="120" w:line="240" w:lineRule="auto"/>
        <w:jc w:val="both"/>
        <w:rPr>
          <w:rFonts w:eastAsia="Calibri" w:cs="Times New Roman"/>
          <w:szCs w:val="24"/>
          <w:u w:val="single"/>
        </w:rPr>
      </w:pPr>
      <w:r w:rsidRPr="0056025F">
        <w:rPr>
          <w:rFonts w:eastAsia="Calibri" w:cs="Times New Roman"/>
          <w:szCs w:val="24"/>
          <w:u w:val="single"/>
        </w:rPr>
        <w:lastRenderedPageBreak/>
        <w:t>Sprovođenje zakona/ Institucije</w:t>
      </w:r>
    </w:p>
    <w:p w:rsidR="0056025F" w:rsidRPr="0056025F" w:rsidRDefault="0056025F" w:rsidP="0056025F">
      <w:pPr>
        <w:keepNext/>
        <w:spacing w:after="120" w:line="240" w:lineRule="auto"/>
        <w:jc w:val="both"/>
        <w:rPr>
          <w:rFonts w:eastAsia="Calibri" w:cs="Times New Roman"/>
          <w:szCs w:val="24"/>
          <w:lang w:eastAsia="de-DE" w:bidi="de-DE"/>
        </w:rPr>
      </w:pPr>
      <w:r w:rsidRPr="0056025F">
        <w:rPr>
          <w:rFonts w:eastAsia="Calibri" w:cs="Times New Roman"/>
          <w:szCs w:val="24"/>
          <w:lang w:eastAsia="de-DE" w:bidi="de-DE"/>
        </w:rPr>
        <w:t>Etički kodeks usvojen je 2002. godine i revidiran 2015. godine, ostaje još da se obezbijedi njegova ravnomjerna primjena u cijeloj medijskoj zajednici. Samoregulatorna tijela nastavila su da odražavaju ukupnu polarizaciju medijske scene u Crnoj Gori. Još uvijek nema jedinstvenog pristupa sankcijama, što ukazuje na to da sudska praksa ESLJP-a i drugi standardi još uvijek nijesu dovoljno poznati sudstvu. Potrebno je pojačati napore na kreiranju efikasnih mehanizama samoregulacije s ciljem poboljšanja profesionalnih standarda u medijskom izvještavanju. U proljeće 2019. godine, Ustavni sud presudio je da je blokiranje besplatnih programa i usluga za razmjenu trenutnih poruka na više platformi na dan izbora u oktobru 2016. godine neustavno i poništio je odredbu zakona o elektronskoj komunikaciji na kojoj se mjera zasnivala.</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u w:val="single"/>
          <w:lang w:val="fr-FR"/>
        </w:rPr>
        <w:t>Nacionalni javni emiter</w:t>
      </w:r>
      <w:r w:rsidRPr="0056025F">
        <w:rPr>
          <w:rFonts w:eastAsia="Calibri" w:cs="Times New Roman"/>
          <w:szCs w:val="24"/>
          <w:lang w:val="fr-FR"/>
        </w:rPr>
        <w:t xml:space="preserve"> - Radio Televizija Crne Gore (RTCG)</w:t>
      </w:r>
    </w:p>
    <w:p w:rsidR="0056025F" w:rsidRPr="0056025F" w:rsidRDefault="0056025F" w:rsidP="0056025F">
      <w:pPr>
        <w:spacing w:after="120" w:line="240" w:lineRule="auto"/>
        <w:jc w:val="both"/>
        <w:rPr>
          <w:rFonts w:eastAsia="Calibri" w:cs="Times New Roman"/>
          <w:szCs w:val="24"/>
          <w:lang w:val="fr-FR" w:bidi="en-US"/>
        </w:rPr>
      </w:pPr>
      <w:r w:rsidRPr="0056025F">
        <w:rPr>
          <w:rFonts w:eastAsia="Calibri" w:cs="Times New Roman"/>
          <w:szCs w:val="24"/>
          <w:lang w:val="fr-FR" w:bidi="en-US"/>
        </w:rPr>
        <w:t>Iako su svi mediji dužni da se ponašaju u skladu s najvišim profesionalnim standardima, to je posebno važno za javnog emitera. Prelazak RTCG-a iz državne medijske organizacije u istinski javni servis još nije dovršen. Odluke o razrješenju članova Savjetai rukovodstva RTCG-a tokom 2018. godine izazvale su ozbiljnu zabrinutost zbog njihove reprezentativnosti, nezavisnosti i sposobnosti da djeluju bez neprimjerenog uticaja i političkog pritiska. Domaći sudovi poništili su nekoliko od ovih razrješenja 2019. godine. Imenovanje novog Savjeta u junu 2019. godine nije uspjelo da poboljša uredničku nezavisnost i profesionalne standarde RTCG-a. U martu 2020. godine, protiv dvojice novinara pokrenut je disciplinski postupak zbog toga što su na svojim privatnim nalozima na društvenim mrežama kritikovali kontroverzni dokumentarni film koji je u sopstvenoj režiji snimila i emitovala RTCG. Iako postupak nije rezultirao sankcijama, njegovo pokretanje zabrinjava.</w:t>
      </w:r>
    </w:p>
    <w:p w:rsidR="0056025F" w:rsidRPr="0056025F" w:rsidRDefault="0056025F" w:rsidP="0056025F">
      <w:pPr>
        <w:spacing w:after="120" w:line="240" w:lineRule="auto"/>
        <w:jc w:val="both"/>
        <w:rPr>
          <w:rFonts w:eastAsia="Calibri" w:cs="Times New Roman"/>
          <w:szCs w:val="24"/>
          <w:lang w:val="fr-FR" w:bidi="en-US"/>
        </w:rPr>
      </w:pPr>
      <w:r w:rsidRPr="0056025F">
        <w:rPr>
          <w:rFonts w:eastAsia="Calibri" w:cs="Times New Roman"/>
          <w:szCs w:val="24"/>
          <w:lang w:val="fr-FR" w:bidi="en-US"/>
        </w:rPr>
        <w:t>Ugovor o pružanju javnih usluga između Vlade i RTCG potpisan je 2018. godine. Ugovorom se zahtijeva da Vlada nadzire sprovođenje finansijskih obaveza. Novim zakonom o javnom emiteru ukinuto je finansiranje javnog emitera putem ugovora, a zadržana je postojeća raspodjela sredstava iz državnog budžeta u iznosu od 0,3% BDP-a za RTCG. Dodatni prihodi i dalje će se ostvarivati od marketinških aktivnosti, uz ograničenja za oglašavanje u udarnom terminu</w:t>
      </w:r>
    </w:p>
    <w:p w:rsidR="0056025F" w:rsidRPr="0056025F" w:rsidRDefault="0056025F" w:rsidP="0056025F">
      <w:pPr>
        <w:spacing w:after="120" w:line="240" w:lineRule="auto"/>
        <w:jc w:val="both"/>
        <w:rPr>
          <w:rFonts w:eastAsia="Calibri" w:cs="Times New Roman"/>
          <w:szCs w:val="24"/>
          <w:lang w:val="fr-FR" w:bidi="en-US"/>
        </w:rPr>
      </w:pPr>
      <w:r w:rsidRPr="0056025F">
        <w:rPr>
          <w:rFonts w:eastAsia="Calibri" w:cs="Times New Roman"/>
          <w:szCs w:val="24"/>
          <w:lang w:val="fr-FR" w:bidi="en-US"/>
        </w:rPr>
        <w:t>Iako je kolektivni ugovor kojim se uređuje rad zaposlenih u RTCG potpisan nakon 3 godine kolektivnog pregovaranja, zaposleni u RTCG i dalje se suočavaju s nizom neizvjesnosti, uglavnom povezanih s ekonomskim uslovima. Zajednička komisija treba da nadzire sprovođenje sporazuma i reaguje na potencijalna kršenja.</w:t>
      </w:r>
    </w:p>
    <w:p w:rsidR="0056025F" w:rsidRPr="0056025F" w:rsidRDefault="0056025F" w:rsidP="0056025F">
      <w:pPr>
        <w:spacing w:after="120" w:line="240" w:lineRule="auto"/>
        <w:jc w:val="both"/>
        <w:rPr>
          <w:rFonts w:eastAsia="Calibri" w:cs="Times New Roman"/>
          <w:szCs w:val="24"/>
          <w:lang w:val="fr-FR" w:bidi="en-US"/>
        </w:rPr>
      </w:pPr>
      <w:r w:rsidRPr="0056025F">
        <w:rPr>
          <w:rFonts w:eastAsia="Calibri" w:cs="Times New Roman"/>
          <w:szCs w:val="24"/>
          <w:lang w:val="fr-FR" w:bidi="en-US"/>
        </w:rPr>
        <w:t>U RTCG-u treba obnoviti uređivačku nezavisnost i profesionalne standarde, a i dalje ostaje da se pravni lijek za razrješenje članova Savjeta od strane Skupštine predvidi zakonom.</w:t>
      </w:r>
    </w:p>
    <w:p w:rsidR="0056025F" w:rsidRPr="0056025F" w:rsidRDefault="0056025F" w:rsidP="0056025F">
      <w:pPr>
        <w:spacing w:after="120" w:line="240" w:lineRule="auto"/>
        <w:jc w:val="both"/>
        <w:rPr>
          <w:rFonts w:eastAsia="Calibri" w:cs="Times New Roman"/>
          <w:szCs w:val="24"/>
          <w:u w:val="single"/>
          <w:lang w:val="fr-FR"/>
        </w:rPr>
      </w:pPr>
      <w:r w:rsidRPr="0056025F">
        <w:rPr>
          <w:rFonts w:eastAsia="Calibri" w:cs="Times New Roman"/>
          <w:szCs w:val="24"/>
          <w:u w:val="single"/>
          <w:lang w:val="fr-FR"/>
        </w:rPr>
        <w:t>Ekonomski faktori</w:t>
      </w:r>
    </w:p>
    <w:p w:rsidR="0056025F" w:rsidRPr="0056025F" w:rsidRDefault="0056025F" w:rsidP="0056025F">
      <w:pPr>
        <w:spacing w:after="120" w:line="240" w:lineRule="auto"/>
        <w:jc w:val="both"/>
        <w:rPr>
          <w:rFonts w:eastAsia="Calibri" w:cs="Times New Roman"/>
          <w:szCs w:val="24"/>
          <w:lang w:val="fr-FR" w:bidi="en-US"/>
        </w:rPr>
      </w:pPr>
      <w:r w:rsidRPr="0056025F">
        <w:rPr>
          <w:rFonts w:eastAsia="Calibri" w:cs="Times New Roman"/>
          <w:szCs w:val="24"/>
          <w:lang w:val="fr-FR" w:bidi="en-US"/>
        </w:rPr>
        <w:t xml:space="preserve">Uprkos velikom tržišnom učešću medija koji kritikuju vladu i podržavaju opoziciju, mnogi mediji nijesu finansijski održivi. Tržište medijskog oglašavanja je malo i zabrinutost zbog transparentnosti i diskriminacije u državnim reklamnim aktivnostima i dalje postoji. Ovu situaciju dodatno je pogoršala epidemija izazvana virusom Covid-19 koja je dovela do značajnog pada prihoda za štampane, elektronske i internet medije, suočene s povećanim proizvodnim troškovima zbog zdravstvene krize. Ministarstvo kulture predvidjelo je određene hitne mjere, poput oslobađanja ili odlaganja finansijskih obaveza i raspodjele grantova u iznosu od 310.000 eura, kao i obezbjeđivanja kreditne linije Investiciono-razvojnog fonda u iznosu do 600.000 eura. Novi Zakon o medijima uveo je zahtjev da organi javnog sektora na nacionalnom i lokalnom nivou podnose Ministarstvu kulture sve evidencije </w:t>
      </w:r>
      <w:r w:rsidRPr="0056025F">
        <w:rPr>
          <w:rFonts w:eastAsia="Calibri" w:cs="Times New Roman"/>
          <w:szCs w:val="24"/>
          <w:lang w:val="fr-FR" w:bidi="en-US"/>
        </w:rPr>
        <w:lastRenderedPageBreak/>
        <w:t>o izvršenim plaćanjima medijima za oglašavanje ili druge ugovorne usluge, kao i da ih objavljuju na internetu. Ministarstvo kulture takođe treba da objavi godišnje izvještaje o izvršenim plaćanjima medijima od strane javnog sektora. Iako ove odredbe predstavljaju pozitivan razvoj, njihovo transparentno i nepristrasno sprovođenje i dalje je od vitalnog značaja za osiguranje da se neformalni pritisak na uređivačku politiku ne vrši raspodjelom sredstava za oglašavanje.</w:t>
      </w:r>
    </w:p>
    <w:p w:rsidR="0056025F" w:rsidRPr="0056025F" w:rsidRDefault="0056025F" w:rsidP="0056025F">
      <w:pPr>
        <w:spacing w:after="120" w:line="240" w:lineRule="auto"/>
        <w:jc w:val="both"/>
        <w:rPr>
          <w:rFonts w:eastAsia="Calibri" w:cs="Times New Roman"/>
          <w:szCs w:val="24"/>
          <w:u w:val="single"/>
          <w:lang w:val="fr-FR"/>
        </w:rPr>
      </w:pPr>
      <w:r w:rsidRPr="0056025F">
        <w:rPr>
          <w:rFonts w:eastAsia="Calibri" w:cs="Times New Roman"/>
          <w:szCs w:val="24"/>
          <w:u w:val="single"/>
          <w:lang w:val="fr-FR" w:bidi="en-US"/>
        </w:rPr>
        <w:t xml:space="preserve">Profesionalne organizacije i radni uslovi </w:t>
      </w:r>
    </w:p>
    <w:p w:rsidR="0056025F" w:rsidRPr="0056025F" w:rsidRDefault="0056025F" w:rsidP="0056025F">
      <w:pPr>
        <w:spacing w:after="120" w:line="240" w:lineRule="auto"/>
        <w:jc w:val="both"/>
        <w:rPr>
          <w:rFonts w:eastAsia="Calibri" w:cs="Times New Roman"/>
          <w:szCs w:val="24"/>
          <w:lang w:val="fr-FR" w:bidi="en-US"/>
        </w:rPr>
      </w:pPr>
      <w:r w:rsidRPr="0056025F">
        <w:rPr>
          <w:rFonts w:eastAsia="Calibri" w:cs="Times New Roman"/>
          <w:szCs w:val="24"/>
          <w:lang w:val="fr-FR" w:bidi="en-US"/>
        </w:rPr>
        <w:t>Ekonomska situacija novinara i dalje je nesigurna, posebno zbog nesigurnosti posla i niskih plata, što ih izlaže riziku od autocenzure i uplitanja vlasnika, a dodatno je pogoršana zbog izbijanja pandemije izazvane virusom Covid-19. Novinari su zajednički zastupljeni u crnogorskom sindikatu medija. 2019. godine, nakon godina stagnacije, sindikat je uspio da postigne povećanje plate za zaposleneu javnom servisu. Dva udruženja čiji cilj je podsticanje i promovisanje profesionalnog novinarstva na polarizovanoj medijskoj sceni tek treba da dostignu svoju punu zrelost.</w:t>
      </w:r>
    </w:p>
    <w:p w:rsidR="0056025F" w:rsidRPr="0056025F" w:rsidRDefault="0056025F" w:rsidP="0056025F">
      <w:pPr>
        <w:autoSpaceDE w:val="0"/>
        <w:autoSpaceDN w:val="0"/>
        <w:adjustRightInd w:val="0"/>
        <w:spacing w:after="120" w:line="240" w:lineRule="auto"/>
        <w:jc w:val="both"/>
        <w:rPr>
          <w:rFonts w:eastAsia="Times New Roman" w:cs="Times New Roman"/>
          <w:i/>
          <w:szCs w:val="24"/>
        </w:rPr>
      </w:pPr>
      <w:r w:rsidRPr="0056025F">
        <w:rPr>
          <w:rFonts w:eastAsia="Times New Roman" w:cs="Times New Roman"/>
          <w:i/>
          <w:szCs w:val="24"/>
        </w:rPr>
        <w:t>(V. takođe Poglavlje 10 – Informaciono društvo i mediji)</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b/>
          <w:bCs/>
          <w:szCs w:val="24"/>
        </w:rPr>
        <w:t>Sloboda okupljanja i udruživanja</w:t>
      </w:r>
      <w:r w:rsidRPr="0056025F">
        <w:rPr>
          <w:rFonts w:eastAsia="Times New Roman" w:cs="Times New Roman"/>
          <w:szCs w:val="24"/>
        </w:rPr>
        <w:t xml:space="preserve"> zagarantovana je Ustavom i predviđena zakonom. Generalno se poštuje. 2019. godine, usvajanje zakona o slobodi vjeroispovijesti ili uvjerenja pokrenulo je nekoliko protesta i vjerskih skupova većih razmjera. Održani su u mirnoj atmosferi, uprkos nekim izolovanim incidentima. Oni su obustavljeni u skladu sa zabranom javnih okupljanja uvedenom tokom izbijanja pandemije izazvane virusom Covid-19. Zabrana je ublažena sredinom maja za javna okupljanja više od 200 lica, ali morala je biti ponovo uvedena u junu, nakon što su prijavljeni novi slučajevi obolijevanja izazvanog virusom Covid-19. Krivični postupak pokrenut je protiv nekoliko sveštenika i vjernika SPC, uključujući Mitropolita crnogorsko-primorskog, zbog nepoštovanja važećih zdravstvenih propisa.</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t xml:space="preserve">Pitanja </w:t>
      </w:r>
      <w:r w:rsidRPr="0056025F">
        <w:rPr>
          <w:rFonts w:eastAsia="Times New Roman" w:cs="Times New Roman"/>
          <w:b/>
          <w:bCs/>
          <w:szCs w:val="24"/>
        </w:rPr>
        <w:t>radnih i socijalnih prava</w:t>
      </w:r>
      <w:r w:rsidRPr="0056025F">
        <w:rPr>
          <w:rFonts w:eastAsia="Times New Roman" w:cs="Times New Roman"/>
          <w:szCs w:val="24"/>
        </w:rPr>
        <w:t xml:space="preserve"> dalje su obrađena u Poglavlju 19 - Socijalna politika i zapošljavanje.</w:t>
      </w:r>
    </w:p>
    <w:p w:rsidR="0056025F" w:rsidRPr="0056025F" w:rsidRDefault="0056025F" w:rsidP="0056025F">
      <w:pPr>
        <w:spacing w:after="120" w:line="240" w:lineRule="auto"/>
        <w:jc w:val="both"/>
        <w:rPr>
          <w:rFonts w:eastAsia="Calibri" w:cs="Times New Roman"/>
          <w:szCs w:val="24"/>
        </w:rPr>
      </w:pPr>
      <w:r w:rsidRPr="0056025F">
        <w:rPr>
          <w:rFonts w:eastAsia="Calibri" w:cs="Times New Roman"/>
          <w:szCs w:val="24"/>
        </w:rPr>
        <w:t xml:space="preserve">Što se tiče </w:t>
      </w:r>
      <w:r w:rsidRPr="0056025F">
        <w:rPr>
          <w:rFonts w:eastAsia="Calibri" w:cs="Times New Roman"/>
          <w:b/>
          <w:bCs/>
          <w:szCs w:val="24"/>
        </w:rPr>
        <w:t>imovinskih prava</w:t>
      </w:r>
      <w:r w:rsidRPr="0056025F">
        <w:rPr>
          <w:rFonts w:eastAsia="Calibri" w:cs="Times New Roman"/>
          <w:szCs w:val="24"/>
        </w:rPr>
        <w:t>, postupak restitucije imovine eksproprisane za vrijeme komunističkog režima i dalje je spor. Crna Gora mora da osigura sprovođenje poštenog postupka restitucije u razumnom roku. Nekoliko slučajeva navodnih kršenja člana 1 Protokola br. 1 (pravo svojine) Evropske konvencije o ljudskim pravima (EKLJP) u toku je pred ESLJP-om. Novi Zakon o slobodi vjeroispovijesti ili uvjerenja i pravnom položaju vjerskih zajednica, usvojen u decembru 2019. godine, predviđa da se svi vjerski objekti koji su bili u vlasništvu države prije 1. decembra 1918. godine, kad je Crna Gora izgubila državnost, smatraju državnim vlasništvom, osim ako crkva ne može da pruži dokaze o vlasništvu. Postupak utvrđivanja imovinskih prava na vjerskim objektima mora u potpunosti da adresira relevantne preporuke Venecijanske komisije i pruži pojašnjenja o modalitetima primjene zakona.</w:t>
      </w:r>
    </w:p>
    <w:p w:rsidR="0056025F" w:rsidRPr="0056025F" w:rsidRDefault="0056025F" w:rsidP="0056025F">
      <w:pPr>
        <w:spacing w:after="120" w:line="240" w:lineRule="auto"/>
        <w:jc w:val="both"/>
        <w:rPr>
          <w:rFonts w:eastAsia="Calibri" w:cs="Times New Roman"/>
          <w:szCs w:val="24"/>
        </w:rPr>
      </w:pPr>
      <w:r w:rsidRPr="0056025F">
        <w:rPr>
          <w:rFonts w:eastAsia="Calibri" w:cs="Times New Roman"/>
          <w:szCs w:val="24"/>
        </w:rPr>
        <w:t xml:space="preserve">Što se tiče </w:t>
      </w:r>
      <w:r w:rsidRPr="0056025F">
        <w:rPr>
          <w:rFonts w:eastAsia="Calibri" w:cs="Times New Roman"/>
          <w:b/>
          <w:bCs/>
          <w:szCs w:val="24"/>
        </w:rPr>
        <w:t>nediskriminacije</w:t>
      </w:r>
      <w:r w:rsidRPr="0056025F">
        <w:rPr>
          <w:rFonts w:eastAsia="Calibri" w:cs="Times New Roman"/>
          <w:szCs w:val="24"/>
        </w:rPr>
        <w:t xml:space="preserve">, broj žalbi na diskriminaciju podnesenih kancelariji Zaštitnika ljudskih prava i sloboda u 2019. godini (141), koji je takođe zakonom ovlašćen organ za ravnopravnost, ostao je na nivou 2018. godine (146). Povjerenje u doprinos kancelarije u borbi protiv diskriminacije i dalje raste. Međutim, sredstva dodijeljena kancelariji i dalje su nedovoljna. Zadatak Zaštitnika ljudskih prava i sloboda u pogledu prikupljanja podataka o diskriminaciji takođe ostaje izazov jer se sva ministarstva i državni organi ne pridržavaju pravilnika iz 2014. godine o objedinjavanju podataka o slučajevima diskriminacije. Sudski predmeti i dalje su rijetki, a novi predmeti nijesu otvoreni u 2019. godini. U decembru 2019. godine, Ministarstvo za ljudska i manjinska prava osnovalo je radnu grupu za reviziju Zakona </w:t>
      </w:r>
      <w:r w:rsidRPr="0056025F">
        <w:rPr>
          <w:rFonts w:eastAsia="Calibri" w:cs="Times New Roman"/>
          <w:szCs w:val="24"/>
        </w:rPr>
        <w:lastRenderedPageBreak/>
        <w:t>o zabrani diskriminacije radi daljeg usklađivanja s pravnom tekovinom EU. Finalizacija nacrta koji je bio predmet javnih rasprava odložena je zbog izbijanja pandemije izazvane virusom Covid-19.</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rPr>
        <w:t xml:space="preserve">Što se tiče </w:t>
      </w:r>
      <w:r w:rsidRPr="0056025F">
        <w:rPr>
          <w:rFonts w:eastAsia="Calibri" w:cs="Times New Roman"/>
          <w:b/>
          <w:bCs/>
          <w:szCs w:val="24"/>
        </w:rPr>
        <w:t>ravnopravnosti žena i muškaraca</w:t>
      </w:r>
      <w:r w:rsidRPr="0056025F">
        <w:rPr>
          <w:rFonts w:eastAsia="Calibri" w:cs="Times New Roman"/>
          <w:szCs w:val="24"/>
        </w:rPr>
        <w:t xml:space="preserve">, postignut je određeni napredak u izvještajnom periodu. U 2019. godini prvi put je izrađen Izvještaj o rodnoj ravnopravnosti u Crnoj Gori, zasnovan na metodologiji Indeksa rodne ravnopravnosti koji je razvio Evropski institut za rodnu ravnopravnost (EIGE) za Evropsku uniju i njene države članice. </w:t>
      </w:r>
      <w:r w:rsidRPr="0056025F">
        <w:rPr>
          <w:rFonts w:eastAsia="Calibri" w:cs="Times New Roman"/>
          <w:szCs w:val="24"/>
          <w:lang w:val="fr-FR"/>
        </w:rPr>
        <w:t>Indeks Crne Gore iznosio je 55 bodova, u poređenju s prosjekom EU od 67,4. Žene su i dalje nedovoljno zastupljene na tržištu rada, u preduzetništvu, kreiranju politike i politici. Vlada je umaju 2019. godine usvojila izvještaj o sprovođenju Pekinške deklaracije i Platforme za akciju, a u avgustu 2019. godine Akcioni plan za period 2019-2020 za sprovođenje Rezolucije 1325 Savjeta bezbjednosti Ujedinjenih nacija, Žene, mir i bezbjednost u Crnoj Gori. U decembru 2019. godine, Skupština je usvojila novi Zakon o radu, koji je trebalo da uskladi nacionalni zakon s EU Direktivom 2006/54/EZ o jednakim mogućnostima u zapošljavanju i Direktivom 92/85/EEZ o trudnim radnicama, iako treba postići dalji napredak u vezi s usklađivanjem s ovom drugom direktivom. Zakonski okvir o rodno zasnovanoj diskriminaciji ima ograničen uticaj zbog slabog sprovođenja postojećih mjera i nedovoljne prioritizacije rodne ravnopravnosti u ukupnim mehanizmima državne i javne odgovornosti. Većina institucionalnih aktera često nijesu svjesni svojih zakonskih obaveza u vezi s rodnom ravnopravnošću ili su nedovoljno obučeni za sprovođenje rodnih politika. Potrebno je ojačati mehanizme odgovornosti za postizanje rodne ravnopravnosti i sprovesti procjene rodnog uticaja na svim nivoima u javnoj upravi. Korake u ovom smjeru preduzeli su 2020. godine Uprava policije i MLJMP. Centar za obuku u sudstvu i državnom tužilaštvu organizovao je obuke o ženskim pravima i rodnoj ravnopravnosti. Seksualno uznemiravanje, iako je propisano kao poseban oblik diskriminacije, još uvijek nije zakonom definisano kao krivično djelo, ali je Ministarstvo pravde formiralo radnu grupu koja će preispitati ovo pitanje.</w:t>
      </w:r>
    </w:p>
    <w:p w:rsidR="0056025F" w:rsidRPr="0056025F" w:rsidRDefault="0056025F" w:rsidP="0056025F">
      <w:pPr>
        <w:spacing w:after="120" w:line="240" w:lineRule="auto"/>
        <w:jc w:val="both"/>
        <w:rPr>
          <w:rFonts w:eastAsia="Times New Roman" w:cs="Times New Roman"/>
          <w:szCs w:val="24"/>
          <w:lang w:val="fr-FR"/>
        </w:rPr>
      </w:pPr>
      <w:r w:rsidRPr="0056025F">
        <w:rPr>
          <w:rFonts w:eastAsia="Times New Roman" w:cs="Times New Roman"/>
          <w:szCs w:val="24"/>
          <w:lang w:val="fr-FR"/>
        </w:rPr>
        <w:t xml:space="preserve">U 2019. godini zabilježen je konstantno visok broj prijavljenih slučajeva </w:t>
      </w:r>
      <w:r w:rsidRPr="0056025F">
        <w:rPr>
          <w:rFonts w:eastAsia="Times New Roman" w:cs="Times New Roman"/>
          <w:b/>
          <w:bCs/>
          <w:szCs w:val="24"/>
          <w:lang w:val="fr-FR"/>
        </w:rPr>
        <w:t>nasilja nad ženama i nasilja u porodici</w:t>
      </w:r>
      <w:r w:rsidRPr="0056025F">
        <w:rPr>
          <w:rFonts w:eastAsia="Times New Roman" w:cs="Times New Roman"/>
          <w:szCs w:val="24"/>
          <w:lang w:val="fr-FR"/>
        </w:rPr>
        <w:t xml:space="preserve">, koji se odnose na krivična djela (186 predmeta, od čega su sudovi riješili 106) i prekršajau vezi nasilja u porodici (1.759 predmeta, od čega su sudovi riješili 382). Elektronska baza podataka o nasilju u porodici započela je s radom u maju 2019. godine, čineći međuinstitucionalni alat za automatsku razmjenu informacija između Ministarstva rada i socijalnog staranja, centara za socijalni rad i Ministarstva unutrašnjih poslova. Ministarstvo rada i socijalnog staranja izradilo je analizu usluga koje se pružaju kao prioritet za podršku žrtvama nasilja nad ženama i nasilja u porodici i započelo izdavanje licenci za nekoliko specijalizovanih nevladinih organizacija koje nude usluge podrške žrtvama. Međutim, održiv mehanizam javnog finansiranja i dalje je potreban kako bi se održao rad ovih nevladinih organizacija, zajedno sa stvaranjem državnih specijalizovanih centara širom zemlje za staranje, pružanje podrške i savjeta žrtvama nasilja. U junu 2019. godine službeno je pokrenuta nacionalna SOS linija za žrtve nasilja. Mjere zatvaranja izrečene tokom izbijanja pandemije izazvane virusom Covid-19 dovele su do značajnog povećanja slučajeva nasilja u porodici. U saradnji s organizacijama civilnog društva, nadležni organi reagovali su kampanjom za podizanje svijesti i pružanje pomoći žrtvama i pokrenule aplikaciju za mobilni telefon putem koje žrtve mogu da kontaktiraju nacionalnu SOS liniju za pomoć. Početkom 2020. godine, Koordinacioni odbor predviđen Konvencijom Savjeta Evrope o sprječavanju i borbi protiv nasilja nad ženama i nasilja u porodici (Istanbulska konvencija) usvojio je akcioni plan za praćenje sprovođenja preporuka Grupe eksperata Savjeta Evrope za borbu protiv nasilja nad ženama i nasilja u porodici (GREVIO) i druge mjere za ispunjavanje obaveza iz Istanbulske konvencije. Uprkos posvećenosti nadležnih organa i preduzetim konkretnim mjerama, ostaju izazovi u pogledu odgovora službi na slučajeve nasilja u </w:t>
      </w:r>
      <w:r w:rsidRPr="0056025F">
        <w:rPr>
          <w:rFonts w:eastAsia="Times New Roman" w:cs="Times New Roman"/>
          <w:szCs w:val="24"/>
          <w:lang w:val="fr-FR"/>
        </w:rPr>
        <w:lastRenderedPageBreak/>
        <w:t>porodici, pristupa pravdi za žrtve, nedostatka sistematskog pristupa u pogledu fizičke zaštite žrtava i krivičnog progona registrovanih slučajeva, kao i previše blage sankcije.</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lang w:val="fr-FR"/>
        </w:rPr>
        <w:t xml:space="preserve">Što se tiče </w:t>
      </w:r>
      <w:r w:rsidRPr="0056025F">
        <w:rPr>
          <w:rFonts w:eastAsia="Times New Roman" w:cs="Times New Roman"/>
          <w:b/>
          <w:bCs/>
          <w:szCs w:val="24"/>
          <w:lang w:val="fr-FR"/>
        </w:rPr>
        <w:t>prava djeteta</w:t>
      </w:r>
      <w:r w:rsidRPr="0056025F">
        <w:rPr>
          <w:rFonts w:eastAsia="Times New Roman" w:cs="Times New Roman"/>
          <w:szCs w:val="24"/>
          <w:lang w:val="fr-FR"/>
        </w:rPr>
        <w:t xml:space="preserve">, Vlada je u maju 2019. godine usvojila novu strategiju za ostvarivanje prava djeteta (za period 2019-2023) sa akcionim planom za period 2019-2020. Treba opredijeliti dovoljno sredstava kako bi se omogućilo sprovođenje aktivnosti strategije. Potrebno je ojačati ulogu i mandat Savjeta za prava djeteta kako bi mogao efikasno da vrši svoju funkciju mehanizma za koordinaciju na međuministarskom nivou. Smjernice za odgovor zdravstvenog sektora za djecu i adolescente koji su žrtve nasilja, namijenjene za povećanje otkrivanja i prijavljivanja, dovršene su u novembru 2019. godine. </w:t>
      </w:r>
      <w:r w:rsidRPr="0056025F">
        <w:rPr>
          <w:rFonts w:eastAsia="Times New Roman" w:cs="Times New Roman"/>
          <w:szCs w:val="24"/>
        </w:rPr>
        <w:t>Do sada je napredak u ovoj oblasti i dalje ograničen. Glavni izazovi uključuju nedovoljne nacionalne kapacitete za sprovođenje multisektorskih i holističkih intervencija za sprečavanje i rješavanje nasilja nad djecom. Veoma mali broj prijavljenih slučajeva seksualnog nasilja nad djecom i dalje izaziva zabrinutost zbog nedovoljnog prijavljivanja i identifikacije žrtava. Djeca s invaliditetom suočavaju se sa preprekama u pristupu kvalitetnom zdravstvu, obrazovanju, uslugama socijalne i dječje zaštite i ograničenom uključivanju u društvo. Namjenska kampanja o mentalnom zdravlju djece pokrenuta je 2019. godine. Sistem za licenciranje pružalaca usluga organizacija civilnog društva u sistemu socijalne zaštite dalje je razvijen tako da obuhvati pružanje usluga dnevnog boravka za djecu iz ugroženih porodica, terenske radnike i SOS telefonske linije za djecu. Međutim, takve usluge uglavnom se finansiraju iz projekata i zahtijevaju održivije javno finansiranje. U martu 2020. godine pokrenuta je kampanja za podizanje svijesti javnosti protiv ugovorenih dječjih brakova, u saradnji nadležnih organa, socijalnih službi i civilnog društva. Potrebni su dalji napori u oblasti deinstitucionalizacije i pravde prilagođene djeci, rješavanja dječjih brakova i prosjačenja, poboljšanja podrške djeci s invaliditetom i njihovim porodicima i rješavanja siromaštva i poboljšanju socijalne inkluzije i zdravstvenog stanja ranjive djece. Crna Gora se podstiče da poveća minimalnu starosnu dob za stupanje u brak na 18 godina, što preporučuju Konvencija o eliminaciji svih oblika diskriminacije žena i specijalni izvjestilac Ujedinjenih nacija za trgovinu ljudima.</w:t>
      </w:r>
    </w:p>
    <w:p w:rsidR="0056025F" w:rsidRPr="0056025F" w:rsidRDefault="0056025F" w:rsidP="0056025F">
      <w:pPr>
        <w:autoSpaceDE w:val="0"/>
        <w:autoSpaceDN w:val="0"/>
        <w:adjustRightInd w:val="0"/>
        <w:spacing w:after="120" w:line="240" w:lineRule="auto"/>
        <w:jc w:val="both"/>
        <w:rPr>
          <w:rFonts w:eastAsia="Times New Roman" w:cs="Times New Roman"/>
          <w:szCs w:val="24"/>
        </w:rPr>
      </w:pPr>
      <w:r w:rsidRPr="0056025F">
        <w:rPr>
          <w:rFonts w:eastAsia="Times New Roman" w:cs="Times New Roman"/>
          <w:szCs w:val="24"/>
        </w:rPr>
        <w:t xml:space="preserve">Što se tiče </w:t>
      </w:r>
      <w:r w:rsidRPr="0056025F">
        <w:rPr>
          <w:rFonts w:eastAsia="Times New Roman" w:cs="Times New Roman"/>
          <w:b/>
          <w:bCs/>
          <w:szCs w:val="24"/>
        </w:rPr>
        <w:t>prava lica sa invaliditetom</w:t>
      </w:r>
      <w:r w:rsidRPr="0056025F">
        <w:rPr>
          <w:rFonts w:eastAsia="Times New Roman" w:cs="Times New Roman"/>
          <w:szCs w:val="24"/>
        </w:rPr>
        <w:t xml:space="preserve">, Vlada je u martu 2019. godine odobrila godišnji Akcioni plan u okviru Strategije za zaštitu lica sa invaliditetom od diskriminacije i promociju jednakosti (za period 2017-2021). Formirana je namjenska radna grupa koja će nadgledati sprovođenje plana. Pravni i politički okvir je konsolidovan, iako sporim tempom, a zakonodavstvo za sprovođenje tek treba da bude usklađeno. Nekoliko zakona nije u potpunosti usklađeno s Konvencijom Ujedinjenih nacija o pravima lica sa invaliditetom (CRPD) i međunarodnim standardima, uključujući i definiciju invalidnosti. U pripremi je Akcioni plan za praćenje preporuka Komiteta Ujedinjenih nacija za prava lica sa invaliditetom. Zakon o radu iz 2019. godine uključuje neke relevantne odredbe za promociju prava lica sa invaliditetom. Izmjene i dopune zakona o profesionalnoj rehabilitaciji i zapošljavanju lica sa invaliditetom još nijesu dovršene. To je, između ostalog, odgodilo važenje pravilnika o radnim centrima i objektima za zapošljavanje lica s intelektualnim i psihosocijalnim invaliditetom. Pravo na primjenu znakovnog jezika nije ugrađeno u zakon i faktor je diskriminacije u pogledu pristupačnosti javne uprave i komunikacije. Ograničena dostupnost obuke za tumače i instruktore za znakovni jezik u zemlji je zabrinjavajuća. Preduzeti su konkretni koraci u 2019. i 2020. godini za poboljšanje pristupa lica sa invaliditetom javnim objektima i institucijama, ali napredak u liječenju socijalno ugroženih lica i lica sa invaliditetom nije dovoljan. Postojeće zakonske odredbe tek treba da budu efikasno sprovedene, kako bi se osiguralo sistematsko sprovođenje njihovih prava. Obavezne mjere koje treba da sprovode javne ustanove, uprave i lokalne samouprave treba strogo nadzirati u ključnim sektorima kao što su obrazovanje, saobraćaj, zapošljavanje, medicinska </w:t>
      </w:r>
      <w:r w:rsidRPr="0056025F">
        <w:rPr>
          <w:rFonts w:eastAsia="Times New Roman" w:cs="Times New Roman"/>
          <w:szCs w:val="24"/>
        </w:rPr>
        <w:lastRenderedPageBreak/>
        <w:t>pomoć i podrška za život u zajednici, zdravstvena i socijalna zaštita, pravda i pravna zaštita. Pristup biračkim mjestima i dalje zabrinjava. Svijest građana o postojećim pravnim i zaštitnim okvirima treba dalje unapređivati i aktivno jačati. Od 1. januara 2020. godine na snazi ​​je novi zakon o vanparničnom postupku koji je ojačao zaštitne mjere u vezi s lišavanjem poslovne sposobnosti.</w:t>
      </w:r>
    </w:p>
    <w:p w:rsidR="0056025F" w:rsidRPr="0056025F" w:rsidRDefault="0056025F" w:rsidP="0056025F">
      <w:pPr>
        <w:autoSpaceDE w:val="0"/>
        <w:autoSpaceDN w:val="0"/>
        <w:adjustRightInd w:val="0"/>
        <w:spacing w:after="120" w:line="240" w:lineRule="auto"/>
        <w:jc w:val="both"/>
        <w:rPr>
          <w:rFonts w:eastAsia="Times New Roman" w:cs="Times New Roman"/>
          <w:szCs w:val="24"/>
          <w:lang w:val="fr-FR"/>
        </w:rPr>
      </w:pPr>
      <w:r w:rsidRPr="0056025F">
        <w:rPr>
          <w:rFonts w:eastAsia="Times New Roman" w:cs="Times New Roman"/>
          <w:szCs w:val="24"/>
        </w:rPr>
        <w:t xml:space="preserve">Što se tiče </w:t>
      </w:r>
      <w:r w:rsidRPr="0056025F">
        <w:rPr>
          <w:rFonts w:eastAsia="Times New Roman" w:cs="Times New Roman"/>
          <w:b/>
          <w:bCs/>
          <w:szCs w:val="24"/>
        </w:rPr>
        <w:t>prava lezbejki, homoseksualaca, biseksualnih, transrodnih i interseksualnih (LGBTI) osoba</w:t>
      </w:r>
      <w:r w:rsidRPr="0056025F">
        <w:rPr>
          <w:rFonts w:eastAsia="Times New Roman" w:cs="Times New Roman"/>
          <w:szCs w:val="24"/>
        </w:rPr>
        <w:t xml:space="preserve">, Vlada je u martu 2019. godine usvojila nacionalnu strategiju za poboljšanje kvaliteta života LGBTI osoba (za period 2019-2023), zajedno s Akcionim planom za 2019. godinu. </w:t>
      </w:r>
      <w:r w:rsidRPr="0056025F">
        <w:rPr>
          <w:rFonts w:eastAsia="Times New Roman" w:cs="Times New Roman"/>
          <w:szCs w:val="24"/>
          <w:lang w:val="fr-FR"/>
        </w:rPr>
        <w:t>Nacionalni tim za praćenje sprovođenja strategije formiran je u avgustu 2019. godine. Ministarstvo za ljudska i manjinska prava potpisalo je memorandum o razumijevanju s 20 opština za borbu protiv diskriminacije zasnovane na seksualnoj orijentaciji ili rodnom identitetu. U šest opština sprovedene su aktivnosti na izgradnji kapaciteta za policajce, tužioce i profesionalce iz socijalnih službi. U aprilu 2019. godine formiran je Povjerenički tim sastavljen od članova LGBTI zajednice i Uprave policije u cilju jačanja dijaloga i saradnje. Ministarstvo za ljudska i manjinska prava obezbijedilo je bespovratna sredstva za pomoć u održavanju dva skloništa za LGTBI populaciju. Nakon dva neuspješna glasanja u Skupštini, Vlada je revidirala svoj prijedlog Zakona o životnom partnerstvu lica istog pola u decembru 2019. godine, a Skupština je usvojila zakon u julu 2020. godine. Crna Gora je prva država u regionu koja je regulisala status parova istog pola. Sve u svemu, Crna Gora treba da poveća kapacitet pravosudnog sistema za rješavanje zločina iz mržnje i govora mržnje, kao i da osigura da se takvi slučajevi uredno prijavljuju, istražuju, procesuiraju i adekvatno sankcionišu. Prijavljeno je prekomjerno korišćenje prekršajnih postupaka u vezi s potencijalno ozbiljnijim predmetima. 2019. godine podneseno je više od 100 žalbi na diskriminaciju, govor mržnje i verbalno zlostavljanje u medijima, ali samo je jednolice iste godine osuđeno zbog nasilnog LGBTI-fobičnog ponašanja počinjenog 2017. godine. Raste svijest o pravima LGBTI osoba. Međutim, LGBTI status i prava i dalje se redovno osporavaju, posebno u medijima i na društvenim mrežama, uključujući i neke političke i vjerske predstavnike. U septembru 2019. godine, u Podgorici je održana sedma Parada ponosa bez incidenata. Uprkos određenom napretku, Crna Gora treba da poveća kapacitet institucija za zaštitu od diskriminacije, s posebnim naglaskom na pravosudni sistem.</w:t>
      </w:r>
    </w:p>
    <w:p w:rsidR="0056025F" w:rsidRPr="0056025F" w:rsidRDefault="0056025F" w:rsidP="0056025F">
      <w:pPr>
        <w:autoSpaceDE w:val="0"/>
        <w:autoSpaceDN w:val="0"/>
        <w:adjustRightInd w:val="0"/>
        <w:spacing w:after="120" w:line="240" w:lineRule="auto"/>
        <w:jc w:val="both"/>
        <w:rPr>
          <w:rFonts w:eastAsia="Times New Roman" w:cs="Times New Roman"/>
          <w:szCs w:val="24"/>
          <w:lang w:val="fr-FR"/>
        </w:rPr>
      </w:pPr>
      <w:r w:rsidRPr="0056025F">
        <w:rPr>
          <w:rFonts w:eastAsia="Times New Roman" w:cs="Times New Roman"/>
          <w:szCs w:val="24"/>
          <w:lang w:val="fr-FR"/>
        </w:rPr>
        <w:t xml:space="preserve">U oblasti </w:t>
      </w:r>
      <w:r w:rsidRPr="0056025F">
        <w:rPr>
          <w:rFonts w:eastAsia="Times New Roman" w:cs="Times New Roman"/>
          <w:b/>
          <w:bCs/>
          <w:szCs w:val="24"/>
          <w:lang w:val="fr-FR"/>
        </w:rPr>
        <w:t>procesnih prava</w:t>
      </w:r>
      <w:r w:rsidRPr="0056025F">
        <w:rPr>
          <w:rFonts w:eastAsia="Times New Roman" w:cs="Times New Roman"/>
          <w:szCs w:val="24"/>
          <w:lang w:val="fr-FR"/>
        </w:rPr>
        <w:t>, 2020. godine su u toku pripreme kako bi se osiguralo potpuno usklađivanje s pravnom tekovinom Evropske unije i evropskim standardima, posebno u pogledu prava osumnjičenih i optuženih lica u krivičnom postupku, kao i prava žrtava. Osnovna analiza pripremljena je kao podrška radnoj grupi. I dalje je problem dužina sudskog postupka, ali planira se revizija pravnog okvira kako bi se to pitanje riješilo. U 2019. i 2020. godini odvijale su se brojne aktivnosti na podizanju svijesti o besplatnoj pravnoj pomoći među različitim (ranjivim) grupama. Ipak su potrebni dodatni napori kako bi se osigurao pristup pravdi i dodatne mjere za žrtve, posebno za ranjive grupe i lica u situaciji ugroženosti. Crna Gora se snažno podstiče da ukine obustavu sprovođenja zakona o naknadi štete žrtvama do datuma pristupanja EU i bez odgađanja obezbijedi dovoljna sredstva za podršku žrtvama.</w:t>
      </w:r>
    </w:p>
    <w:p w:rsidR="0056025F" w:rsidRPr="0056025F" w:rsidRDefault="0056025F" w:rsidP="0056025F">
      <w:pPr>
        <w:autoSpaceDE w:val="0"/>
        <w:autoSpaceDN w:val="0"/>
        <w:adjustRightInd w:val="0"/>
        <w:spacing w:after="120" w:line="240" w:lineRule="auto"/>
        <w:jc w:val="both"/>
        <w:rPr>
          <w:rFonts w:eastAsia="Times New Roman" w:cs="Times New Roman"/>
          <w:szCs w:val="24"/>
          <w:lang w:val="fr-FR"/>
        </w:rPr>
      </w:pPr>
      <w:r w:rsidRPr="0056025F">
        <w:rPr>
          <w:rFonts w:eastAsia="Times New Roman" w:cs="Times New Roman"/>
          <w:szCs w:val="24"/>
          <w:lang w:val="fr-FR"/>
        </w:rPr>
        <w:t xml:space="preserve">Što se tiče </w:t>
      </w:r>
      <w:r w:rsidRPr="0056025F">
        <w:rPr>
          <w:rFonts w:eastAsia="Times New Roman" w:cs="Times New Roman"/>
          <w:b/>
          <w:bCs/>
          <w:szCs w:val="24"/>
          <w:lang w:val="fr-FR"/>
        </w:rPr>
        <w:t>manjinskih prava</w:t>
      </w:r>
      <w:r w:rsidRPr="0056025F">
        <w:rPr>
          <w:rFonts w:eastAsia="Times New Roman" w:cs="Times New Roman"/>
          <w:szCs w:val="24"/>
          <w:lang w:val="fr-FR"/>
        </w:rPr>
        <w:t xml:space="preserve">, Vlada je u julu 2019. godine usvojila Strategiju manjinske politike za period 2019-2023 i Akcioni plan za period 2019-2020 i opredijelila finansijska sredstva za njihovo sprovođenje. Uspostavljen je ustavni i pravni okvir. Međutim, to tek treba sprovesti u praksi, uključujući i pitanja poput prava na proporcionalnu zastupljenost u javnim službama. Iako je došlo do određenog poboljšanja u pogledu Fonda za zaštitu i ostvarivanje manjinskih prava, nedostatak praćenja i ocjene projekata koji primaju finansijska sredstva dovodi do percepcije da procesu finansiranja još uvijek nedostaje transparentnosti. Javnosti mora biti dostupno više informacija o finansiranju, uključujući izvještaje o projektima i ocjene, kako bi se utvrdilo da li su sredstva potrošena efikasno i transparentno, kao i da li su </w:t>
      </w:r>
      <w:r w:rsidRPr="0056025F">
        <w:rPr>
          <w:rFonts w:eastAsia="Times New Roman" w:cs="Times New Roman"/>
          <w:szCs w:val="24"/>
          <w:lang w:val="fr-FR"/>
        </w:rPr>
        <w:lastRenderedPageBreak/>
        <w:t>ispunjeni kriterijumiza interkulturni dijalog. Možda će biti potrebno preispitati pravni okvir za Savjete manjina u pogledu njihovog osnivanja, pravnog statusa i rodne ravnoteže. Zabilježeni su određeni međuetnički incidenti u kontekstu usvajanja zakona o slobodi vjeroispovijesti ili uvjerenja i pravnom položaju vjerskih zajednica. Etnički motivisani napadi nakon izbora u avgustu 2020. godine izazivaju ozbiljnu zabrinutost.</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lang w:val="fr-FR"/>
        </w:rPr>
        <w:t xml:space="preserve">U aprilu 2020. godine, Vlada je usvojila godišnji Akcioni plan za sprovođenje Strategije za socijalnu inkluziju </w:t>
      </w:r>
      <w:r w:rsidRPr="0056025F">
        <w:rPr>
          <w:rFonts w:eastAsia="Calibri" w:cs="Times New Roman"/>
          <w:b/>
          <w:bCs/>
          <w:szCs w:val="24"/>
          <w:lang w:val="fr-FR"/>
        </w:rPr>
        <w:t>Roma i Egipćana</w:t>
      </w:r>
      <w:r w:rsidRPr="0056025F">
        <w:rPr>
          <w:rFonts w:eastAsia="Calibri" w:cs="Times New Roman"/>
          <w:szCs w:val="24"/>
          <w:lang w:val="fr-FR"/>
        </w:rPr>
        <w:t>. Budžet opredijeljen za sprovođenje strategije i dalje je nedovoljan, tako da planiranju budžeta koji odgovara potrebama Roma treba dati veći prioritet u različitim sektorima. Budžet Ministarstva za ljudska i manjinska prava za finansiranje projekata inkluzije povećan je za 60% u 2019. godini (na 215.000 eura, sa 131.000 eura u 2018. godini). Crna Gora je u julu 2019. godine u Poznanju potpisala deklaraciju partnera Zapadnog Balkana o integraciji Roma koja sadrži kvantifikovane obaveze u ključnim prioritetnim oblastima. Treba pojačati napore na ispunjavanju ovih obaveza. Zaključci sa seminara o Romima iz juna 2018. godine koji je uključivao sve relevantne zainteresovane strane, tek treba da budu sprovedeni.</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lang w:val="fr-FR"/>
        </w:rPr>
        <w:t>Stopa upisa romskih učenika osnovnih škola blago se povećala u 2019/2020. u odnosu na 2018/2019, u odnosu na višu stopu nataliteta. Stalno nedostaju podaci o ukupnom broju romske djece koja bi trebala da budu upisana u obrazovni sistem, posebno u obavezno osnovno obrazovanje. 2019/2020. godine u osnovne škole bilo je upisano 1.803 romske i egipatske djece (1.793 u godini 2018/2019), dok je bilo samo 142 srednjoškolaca i 13 visokoškolaca. Iako se stope napuštanja škole umjereno smanjuju, ukupne stope završetka studija i dalje su dramatično niske, sa samo 88 učenika koji su uspješno završili osnovnu školu, dok je samo 19 učenika završilo srednju školu u 2019. godini. Dvadeset i jedan romski medijator zaposlen je u Ministarstvu prosvete od početka školske godine 2019/2020, kako bi se povećala stopa upisa romske i egipatske djece i smanjila stopa napuštanja škole.</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lang w:val="fr-FR"/>
        </w:rPr>
        <w:t>Broj Roma i Egipćana prijavljenih u Zavodu za zapošljavanje dalje se smanjio sa 802 u 2018. na 747 u 2019. godini, a oni i dalje čine daleko najmanje zastupljenu grupu nacionalnih manjina u državnoj službi. Sprovedene su određene ciljane mjere, poput aktivnih mjera zapošljavanja Zavoda za zapošljavanje (129 Roma bilo je privremeno zaposleno u 2019. godini), ali tek treba obezbijediti njihovu održivost i efikasnost. U oblasti zdravstva, tri romska zdravstvena medijatora zaposlena su u Podgorici, a dva u Nikšiću i Beranama. Njihov broj treba dodatno povećati kako bi se olakšao pristup zdravstvenim uslugama, posebno za raseljene i interno raseljene (R/IR) Rome i Egipćane koji se suočavaju s posebnim poteškoćama u ostvarivanju svog prava na zdravstvenu zaštitu.</w:t>
      </w:r>
    </w:p>
    <w:p w:rsidR="0056025F" w:rsidRPr="0056025F" w:rsidRDefault="0056025F" w:rsidP="0056025F">
      <w:pPr>
        <w:autoSpaceDE w:val="0"/>
        <w:autoSpaceDN w:val="0"/>
        <w:adjustRightInd w:val="0"/>
        <w:spacing w:after="120" w:line="240" w:lineRule="auto"/>
        <w:jc w:val="both"/>
        <w:rPr>
          <w:rFonts w:eastAsia="Calibri" w:cs="Times New Roman"/>
          <w:szCs w:val="24"/>
          <w:lang w:val="fr-FR"/>
        </w:rPr>
      </w:pPr>
      <w:r w:rsidRPr="0056025F">
        <w:rPr>
          <w:rFonts w:eastAsia="Calibri" w:cs="Times New Roman"/>
          <w:szCs w:val="24"/>
          <w:lang w:val="fr-FR"/>
        </w:rPr>
        <w:t>Romi i Egipćani, koji su uglavnom interno raseljena lica, imali su koristi od stambenih rješenja u okviru regionalnog stambenog programa, koji u Crnoj Gori dobro napreduje. Ostaju izazovi vezano za stanovanje domicilnih Roma i Egipćana, posebno u svijetlu krajnjeg roka iz jula 2019. godine za podnošenje zahtjeva za legalizaciju bespravnih objekata, predviđenog Zakonom o prostornom planiranju i izgradnji objekata. Ovaj obiman i skup postupak stvorio je poteškoće mnogim romskim i egipatskim porodicama. Mnogi od njih ne mogu da podnesu zahtjev za legalizaciju, što bi moglo dovesti do evikcije u budućnosti, posebno u priobalnom području.</w:t>
      </w:r>
    </w:p>
    <w:p w:rsidR="0056025F" w:rsidRPr="0056025F" w:rsidRDefault="0056025F" w:rsidP="0056025F">
      <w:pPr>
        <w:autoSpaceDE w:val="0"/>
        <w:autoSpaceDN w:val="0"/>
        <w:adjustRightInd w:val="0"/>
        <w:spacing w:after="120" w:line="240" w:lineRule="auto"/>
        <w:jc w:val="both"/>
        <w:rPr>
          <w:rFonts w:eastAsia="Calibri" w:cs="Times New Roman"/>
          <w:szCs w:val="24"/>
          <w:lang w:val="fr-FR"/>
        </w:rPr>
      </w:pPr>
      <w:r w:rsidRPr="0056025F">
        <w:rPr>
          <w:rFonts w:eastAsia="Calibri" w:cs="Times New Roman"/>
          <w:szCs w:val="24"/>
          <w:lang w:val="fr-FR"/>
        </w:rPr>
        <w:t xml:space="preserve">Preferencijalni tretman koji izborno zakonodavstvo nudi brojčano malim nacionalnim manjinama kako bi se osigurala njihova politička zastupljenost nije proširen na Rome i Egipćane. Stoga, oni nemaju predstavnika u nacionalnom ili lokalnom parlamentu. Još uvijek nema sistemskog rješenja i institucionalnog odgovora na prosjačenje djece i rane brakove među romskom i egipćanskom populacijom. Romski jezik nije standardizovan i ne uči se u školama. Tokom pandemije izazvane virusom Covid-19, nadležni organi su se u velikoj mjeri </w:t>
      </w:r>
      <w:r w:rsidRPr="0056025F">
        <w:rPr>
          <w:rFonts w:eastAsia="Calibri" w:cs="Times New Roman"/>
          <w:szCs w:val="24"/>
          <w:lang w:val="fr-FR"/>
        </w:rPr>
        <w:lastRenderedPageBreak/>
        <w:t>oslanjali na donatore i civilno društvo da pruže podršku najugroženijima, uključujući Rome, ne preuzimajući proaktivniju ulogu koordinacije u tom pogledu.</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lang w:val="fr-FR"/>
        </w:rPr>
        <w:t>Što se tiče</w:t>
      </w:r>
      <w:r w:rsidRPr="0056025F">
        <w:rPr>
          <w:rFonts w:eastAsia="Calibri" w:cs="Times New Roman"/>
          <w:b/>
          <w:bCs/>
          <w:szCs w:val="24"/>
          <w:lang w:val="fr-FR"/>
        </w:rPr>
        <w:t xml:space="preserve"> raseljenih i interno raseljenih lica</w:t>
      </w:r>
      <w:r w:rsidRPr="0056025F">
        <w:rPr>
          <w:rFonts w:eastAsia="Calibri" w:cs="Times New Roman"/>
          <w:szCs w:val="24"/>
          <w:lang w:val="fr-FR"/>
        </w:rPr>
        <w:t>, do juna 2020. godine podneseno je ukupno 15.247 zahtjeva za stalni ili privremeni boravak. Riješeno je 15.080 zahtjeva, uključujući 12.376 lica kojima je odobren stalni ili privremeni boravak do 3 godine, dok je rješavanje 167 zahtjeva još uvijek u toku. Odbijeno je oko 291 zahtjeva, dok je 2.413 privremeno odbijeno zbog podnošenja nepotpunog ili dvostrukog zahtjeva.</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lang w:val="fr-FR"/>
        </w:rPr>
        <w:t xml:space="preserve">Što se tiče </w:t>
      </w:r>
      <w:r w:rsidRPr="0056025F">
        <w:rPr>
          <w:rFonts w:eastAsia="Calibri" w:cs="Times New Roman"/>
          <w:b/>
          <w:bCs/>
          <w:szCs w:val="24"/>
          <w:lang w:val="fr-FR"/>
        </w:rPr>
        <w:t>lica bez državljanstva</w:t>
      </w:r>
      <w:r w:rsidRPr="0056025F">
        <w:rPr>
          <w:rFonts w:eastAsia="Calibri" w:cs="Times New Roman"/>
          <w:szCs w:val="24"/>
          <w:lang w:val="fr-FR"/>
        </w:rPr>
        <w:t>, od početka primjene Zakona o strancima 2018. godine, licima bez državljanstva izdate su 4 putne isprave i 2 dozvole za privremeni boravak. Postupak za utvrđivanje apatridnosti u toku je za 9 lica. Identifikacija potencijalnih slučajeva ostaje izazov. Međutim, od oktobra 2019. godine u nekoliko opština uspostavljena je nova praksa registracije rođenja u cilju rješavanja izazova prijave rođenja napuštene djece ili djecečije majke nemaju lična dokumenta, što je dovelo do brojnih riješenih slučajeva.</w:t>
      </w:r>
    </w:p>
    <w:p w:rsidR="0056025F" w:rsidRPr="0056025F" w:rsidRDefault="0056025F" w:rsidP="0056025F">
      <w:pPr>
        <w:spacing w:after="120" w:line="240" w:lineRule="auto"/>
        <w:jc w:val="both"/>
        <w:rPr>
          <w:rFonts w:eastAsia="Calibri" w:cs="Times New Roman"/>
          <w:szCs w:val="24"/>
          <w:lang w:val="fr-FR"/>
        </w:rPr>
      </w:pPr>
      <w:r w:rsidRPr="0056025F">
        <w:rPr>
          <w:rFonts w:eastAsia="Calibri" w:cs="Times New Roman"/>
          <w:szCs w:val="24"/>
          <w:lang w:val="fr-FR"/>
        </w:rPr>
        <w:t xml:space="preserve">U </w:t>
      </w:r>
      <w:r w:rsidRPr="0056025F">
        <w:rPr>
          <w:rFonts w:eastAsia="Calibri" w:cs="Times New Roman"/>
          <w:b/>
          <w:bCs/>
          <w:szCs w:val="24"/>
          <w:lang w:val="fr-FR"/>
        </w:rPr>
        <w:t>oblasti državljanstva</w:t>
      </w:r>
      <w:r w:rsidRPr="0056025F">
        <w:rPr>
          <w:rFonts w:eastAsia="Calibri" w:cs="Times New Roman"/>
          <w:szCs w:val="24"/>
          <w:lang w:val="fr-FR"/>
        </w:rPr>
        <w:t>, Crna Gora je u januaru 2019. godine pokrenula šemu državljanstva za svoje investitore i do sada je primila 24 zahtjeva. Pet je odbijeno nakon postupka dubinske analize, dok su za pet zahtjeva izdate konačne odluke o državljanstvu, a jedan pasoš izdat je 2020. godine državljaninu Ruske Federacije. Ostalim podnosiocima zahtjeva i članovima njihovih porodica pasoši još nijesu izdati zbog izbijanja pandemije izazvane virusom Covid-19 i odgovarajuće zabrane putovanja. Komisija će i dalje pažljivo nadgledati ovu šemu jer predstavlja migracione rizike, kao i rizike u pogledu bezbjednosti, pranja novca, utaje poreza, finansiranja terorizma, korupcije i infiltracije od strane organizovanog kriminala. Kao zemlja kandidat, Crna Gora treba da se uzdrži od bilo koje mjere koja bi mogla ugroziti postizanje ciljeva EU, kada koristi svoje prerogative za dodjelu državljanstva. U decembru 2019. godine, Skupština je usvojila izmjene i dopune Zakona o crnogorskom državljanstvu. One potvrđuju automatsko ispunjavanje uslova za državljanstvo članova porodica uspješnih podnosioca zahtjeva za šemu državljanstva za investitore, kao i podobnost talentovanih sportista i maloljetnih umjetnika za državljanstvo.</w:t>
      </w:r>
    </w:p>
    <w:p w:rsidR="00622A95" w:rsidRPr="00095948" w:rsidRDefault="00622A95" w:rsidP="00EC1790">
      <w:pPr>
        <w:pStyle w:val="Heading2"/>
        <w:spacing w:before="0" w:line="240" w:lineRule="auto"/>
        <w:rPr>
          <w:rFonts w:cs="Times New Roman"/>
          <w:szCs w:val="24"/>
          <w:lang w:val="fr-FR"/>
        </w:rPr>
      </w:pPr>
      <w:bookmarkStart w:id="35" w:name="_Toc53362436"/>
      <w:bookmarkStart w:id="36" w:name="_Toc30080560"/>
      <w:bookmarkStart w:id="37" w:name="_Toc52744928"/>
      <w:r w:rsidRPr="00095948">
        <w:rPr>
          <w:rFonts w:cs="Times New Roman"/>
          <w:szCs w:val="24"/>
          <w:lang w:val="fr-FR"/>
        </w:rPr>
        <w:t>2.2.2</w:t>
      </w:r>
      <w:r w:rsidRPr="00095948">
        <w:rPr>
          <w:rFonts w:cs="Times New Roman"/>
          <w:szCs w:val="24"/>
          <w:lang w:val="fr-FR"/>
        </w:rPr>
        <w:tab/>
        <w:t>Poglavlje 24: Pravda, sloboda i bezbjednost</w:t>
      </w:r>
      <w:bookmarkEnd w:id="35"/>
      <w:r w:rsidRPr="00095948">
        <w:rPr>
          <w:rFonts w:cs="Times New Roman"/>
          <w:szCs w:val="24"/>
          <w:lang w:val="fr-FR"/>
        </w:rPr>
        <w:t xml:space="preserve"> </w:t>
      </w:r>
      <w:bookmarkEnd w:id="36"/>
      <w:bookmarkEnd w:id="37"/>
    </w:p>
    <w:p w:rsidR="00622A95" w:rsidRPr="00095948" w:rsidRDefault="00622A95" w:rsidP="00EC1790">
      <w:pPr>
        <w:widowControl w:val="0"/>
        <w:spacing w:after="120" w:line="240" w:lineRule="auto"/>
        <w:jc w:val="both"/>
        <w:rPr>
          <w:rFonts w:cs="Times New Roman"/>
          <w:i/>
          <w:iCs/>
          <w:szCs w:val="24"/>
          <w:lang w:val="fr-FR"/>
        </w:rPr>
      </w:pPr>
      <w:r w:rsidRPr="00095948">
        <w:rPr>
          <w:rFonts w:cs="Times New Roman"/>
          <w:i/>
          <w:iCs/>
          <w:szCs w:val="24"/>
          <w:lang w:val="fr-FR"/>
        </w:rPr>
        <w:t>EU ima zajednička pravila za graničnu kontrolu, vize, boravišne i radne dozvole, spoljne migracije i azil.</w:t>
      </w:r>
      <w:r w:rsidR="001F4EFC" w:rsidRPr="00095948">
        <w:rPr>
          <w:rFonts w:cs="Times New Roman"/>
          <w:i/>
          <w:iCs/>
          <w:szCs w:val="24"/>
          <w:lang w:val="fr-FR"/>
        </w:rPr>
        <w:t xml:space="preserve"> </w:t>
      </w:r>
      <w:r w:rsidRPr="00095948">
        <w:rPr>
          <w:rFonts w:cs="Times New Roman"/>
          <w:i/>
          <w:iCs/>
          <w:szCs w:val="24"/>
          <w:lang w:val="fr-FR"/>
        </w:rPr>
        <w:t>Saradnja u okviru Šengenskog sporazuma podrazumijeva ukidanje granične kontrole unutar EU. Države članice EU takođe sarađuju s Crnom Gorom u borbi protiv organizovanog kriminala i terorizma, u pravosudnim, policijskim i carinskim pitanjima, a podržavaju ih agencije EU za pravosuđe i unutrašnje poslove.</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szCs w:val="24"/>
          <w:lang w:bidi="en-US"/>
        </w:rPr>
      </w:pPr>
      <w:r w:rsidRPr="009A2018">
        <w:rPr>
          <w:rFonts w:eastAsia="Calibri" w:cs="Times New Roman"/>
          <w:szCs w:val="24"/>
          <w:lang w:bidi="en-US"/>
        </w:rPr>
        <w:t xml:space="preserve">Crna Gora je </w:t>
      </w:r>
      <w:r w:rsidRPr="009A2018">
        <w:rPr>
          <w:rFonts w:eastAsia="Calibri" w:cs="Times New Roman"/>
          <w:b/>
          <w:bCs/>
          <w:szCs w:val="24"/>
          <w:lang w:bidi="en-US"/>
        </w:rPr>
        <w:t>umjereno pripremljena</w:t>
      </w:r>
      <w:r w:rsidR="001F4EFC">
        <w:rPr>
          <w:rFonts w:eastAsia="Calibri" w:cs="Times New Roman"/>
          <w:b/>
          <w:bCs/>
          <w:szCs w:val="24"/>
          <w:lang w:bidi="en-US"/>
        </w:rPr>
        <w:t xml:space="preserve"> </w:t>
      </w:r>
      <w:r w:rsidRPr="009A2018">
        <w:rPr>
          <w:rFonts w:eastAsia="Calibri" w:cs="Times New Roman"/>
          <w:szCs w:val="24"/>
          <w:lang w:bidi="en-US"/>
        </w:rPr>
        <w:t xml:space="preserve">u oblasti pravde, slobode i bezbjednosti. Zakonodavni i institucionalni okviri sada su uglavnom uspostavljeni. Postignut je </w:t>
      </w:r>
      <w:r w:rsidRPr="009A2018">
        <w:rPr>
          <w:rFonts w:eastAsia="Calibri" w:cs="Times New Roman"/>
          <w:b/>
          <w:bCs/>
          <w:szCs w:val="24"/>
          <w:lang w:bidi="en-US"/>
        </w:rPr>
        <w:t>određeni napredak</w:t>
      </w:r>
      <w:r w:rsidRPr="009A2018">
        <w:rPr>
          <w:rFonts w:eastAsia="Calibri" w:cs="Times New Roman"/>
          <w:szCs w:val="24"/>
          <w:lang w:bidi="en-US"/>
        </w:rPr>
        <w:t xml:space="preserve"> u adresiranju prošlogodišnjih preporuka, posebno u pogledu usvajanja standardnih operativnih procedura u finansijskim istragama i jačanja institucionalnih kapaciteta u oblasti migracija, azila i upravljanja granicama.</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szCs w:val="24"/>
          <w:lang w:bidi="en-US"/>
        </w:rPr>
      </w:pPr>
      <w:r w:rsidRPr="009A2018">
        <w:rPr>
          <w:rFonts w:eastAsia="Calibri" w:cs="Times New Roman"/>
          <w:szCs w:val="24"/>
          <w:lang w:bidi="en-US"/>
        </w:rPr>
        <w:t>U narednoj godini, Crna Gora treba</w:t>
      </w:r>
      <w:r w:rsidR="001F4EFC">
        <w:rPr>
          <w:rFonts w:eastAsia="Calibri" w:cs="Times New Roman"/>
          <w:szCs w:val="24"/>
          <w:lang w:bidi="en-US"/>
        </w:rPr>
        <w:t xml:space="preserve"> naročito da</w:t>
      </w:r>
      <w:r w:rsidRPr="009A2018">
        <w:rPr>
          <w:rFonts w:eastAsia="Calibri" w:cs="Times New Roman"/>
          <w:szCs w:val="24"/>
          <w:lang w:bidi="en-US"/>
        </w:rPr>
        <w:t>:</w:t>
      </w:r>
    </w:p>
    <w:p w:rsidR="00622A95" w:rsidRPr="009A2018" w:rsidRDefault="001F4EFC" w:rsidP="00EC1790">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rPr>
          <w:rFonts w:eastAsia="Calibri" w:cs="Times New Roman"/>
          <w:szCs w:val="24"/>
          <w:lang w:bidi="en-US"/>
        </w:rPr>
      </w:pPr>
      <w:r>
        <w:rPr>
          <w:rFonts w:eastAsia="Calibri" w:cs="Times New Roman"/>
          <w:szCs w:val="24"/>
          <w:lang w:bidi="en-US"/>
        </w:rPr>
        <w:t>preispita</w:t>
      </w:r>
      <w:r w:rsidR="00622A95" w:rsidRPr="009A2018">
        <w:rPr>
          <w:rFonts w:eastAsia="Calibri" w:cs="Times New Roman"/>
          <w:szCs w:val="24"/>
          <w:lang w:bidi="en-US"/>
        </w:rPr>
        <w:t xml:space="preserve"> pravni i operativni pristup finansijskim istragama, pranju novca, povraćaju imovine, kako bi se uskladio s EU i međunarodnim st</w:t>
      </w:r>
      <w:r>
        <w:rPr>
          <w:rFonts w:eastAsia="Calibri" w:cs="Times New Roman"/>
          <w:szCs w:val="24"/>
          <w:lang w:bidi="en-US"/>
        </w:rPr>
        <w:t>andardima i praksom; uspostavi</w:t>
      </w:r>
      <w:r w:rsidR="00622A95" w:rsidRPr="009A2018">
        <w:rPr>
          <w:rFonts w:eastAsia="Calibri" w:cs="Times New Roman"/>
          <w:szCs w:val="24"/>
          <w:lang w:bidi="en-US"/>
        </w:rPr>
        <w:t xml:space="preserve"> integrisani pristup između svih </w:t>
      </w:r>
      <w:r>
        <w:rPr>
          <w:rFonts w:eastAsia="Calibri" w:cs="Times New Roman"/>
          <w:szCs w:val="24"/>
          <w:lang w:bidi="en-US"/>
        </w:rPr>
        <w:t>uključenih organa i obezbijedi</w:t>
      </w:r>
      <w:r w:rsidR="00622A95" w:rsidRPr="009A2018">
        <w:rPr>
          <w:rFonts w:eastAsia="Calibri" w:cs="Times New Roman"/>
          <w:szCs w:val="24"/>
          <w:lang w:bidi="en-US"/>
        </w:rPr>
        <w:t xml:space="preserve"> im neophodne pravne i operativne alate za stvaranje uslova za uspostavljanje u</w:t>
      </w:r>
      <w:r w:rsidR="00142479">
        <w:rPr>
          <w:rFonts w:eastAsia="Calibri" w:cs="Times New Roman"/>
          <w:szCs w:val="24"/>
          <w:lang w:bidi="en-US"/>
        </w:rPr>
        <w:t>bjedljivih</w:t>
      </w:r>
      <w:r w:rsidR="00622A95" w:rsidRPr="009A2018">
        <w:rPr>
          <w:rFonts w:eastAsia="Calibri" w:cs="Times New Roman"/>
          <w:szCs w:val="24"/>
          <w:lang w:bidi="en-US"/>
        </w:rPr>
        <w:t xml:space="preserve"> rezultata u ovojoblasti;</w:t>
      </w:r>
    </w:p>
    <w:p w:rsidR="00622A95" w:rsidRPr="009A2018" w:rsidRDefault="00622A95" w:rsidP="00EC1790">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rPr>
          <w:rFonts w:eastAsia="Calibri" w:cs="Times New Roman"/>
          <w:szCs w:val="24"/>
          <w:lang w:bidi="en-US"/>
        </w:rPr>
      </w:pPr>
      <w:r w:rsidRPr="009A2018">
        <w:rPr>
          <w:rFonts w:eastAsia="Calibri" w:cs="Times New Roman"/>
          <w:szCs w:val="24"/>
          <w:lang w:bidi="en-US"/>
        </w:rPr>
        <w:t>preduz</w:t>
      </w:r>
      <w:r w:rsidR="001F4EFC">
        <w:rPr>
          <w:rFonts w:eastAsia="Calibri" w:cs="Times New Roman"/>
          <w:szCs w:val="24"/>
          <w:lang w:bidi="en-US"/>
        </w:rPr>
        <w:t>m</w:t>
      </w:r>
      <w:r w:rsidRPr="009A2018">
        <w:rPr>
          <w:rFonts w:eastAsia="Calibri" w:cs="Times New Roman"/>
          <w:szCs w:val="24"/>
          <w:lang w:bidi="en-US"/>
        </w:rPr>
        <w:t xml:space="preserve">e konkretne mjere za ograničavanje primjene sporazuma o priznanju krivice na izuzetne slučajeve, kako bi se povećala transparentnost i kredibilitet pravosudnog odgovora na organizovani kriminal </w:t>
      </w:r>
      <w:r w:rsidR="00142479" w:rsidRPr="009A2018">
        <w:rPr>
          <w:rFonts w:eastAsia="Calibri" w:cs="Times New Roman"/>
          <w:szCs w:val="24"/>
          <w:lang w:bidi="en-US"/>
        </w:rPr>
        <w:t>kroz</w:t>
      </w:r>
      <w:r w:rsidR="00142479">
        <w:rPr>
          <w:rFonts w:eastAsia="Calibri" w:cs="Times New Roman"/>
          <w:szCs w:val="24"/>
          <w:lang w:bidi="en-US"/>
        </w:rPr>
        <w:t xml:space="preserve"> više </w:t>
      </w:r>
      <w:r w:rsidRPr="009A2018">
        <w:rPr>
          <w:rFonts w:eastAsia="Calibri" w:cs="Times New Roman"/>
          <w:szCs w:val="24"/>
          <w:lang w:bidi="en-US"/>
        </w:rPr>
        <w:t xml:space="preserve">odvraćajuću i dosljedniju politiku </w:t>
      </w:r>
      <w:r w:rsidRPr="009A2018">
        <w:rPr>
          <w:rFonts w:eastAsia="Calibri" w:cs="Times New Roman"/>
          <w:szCs w:val="24"/>
          <w:lang w:bidi="en-US"/>
        </w:rPr>
        <w:lastRenderedPageBreak/>
        <w:t>sankcionisanja;</w:t>
      </w:r>
    </w:p>
    <w:p w:rsidR="00622A95" w:rsidRPr="009A2018" w:rsidRDefault="00962F64" w:rsidP="00EC1790">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rPr>
          <w:rFonts w:eastAsia="Calibri" w:cs="Times New Roman"/>
          <w:szCs w:val="24"/>
          <w:lang w:bidi="en-US"/>
        </w:rPr>
      </w:pPr>
      <w:r>
        <w:rPr>
          <w:rFonts w:eastAsia="Calibri" w:cs="Times New Roman"/>
          <w:szCs w:val="24"/>
          <w:lang w:bidi="en-US"/>
        </w:rPr>
        <w:t>dalje jača</w:t>
      </w:r>
      <w:r w:rsidR="00622A95" w:rsidRPr="009A2018">
        <w:rPr>
          <w:rFonts w:eastAsia="Calibri" w:cs="Times New Roman"/>
          <w:szCs w:val="24"/>
          <w:lang w:bidi="en-US"/>
        </w:rPr>
        <w:t xml:space="preserve"> kapacitet za rješavanje mješovitih migracionih tokova i integracije izbjeglica; dalje povećava ljudske i materijalne resurse posvećene upravljanju granicama i sistemu registracije migranata.</w:t>
      </w:r>
    </w:p>
    <w:p w:rsidR="00622A95" w:rsidRPr="009A2018" w:rsidRDefault="00622A95" w:rsidP="00EC1790">
      <w:pPr>
        <w:widowControl w:val="0"/>
        <w:spacing w:after="120" w:line="240" w:lineRule="auto"/>
        <w:jc w:val="both"/>
        <w:rPr>
          <w:rFonts w:eastAsia="MS Mincho" w:cs="Times New Roman"/>
          <w:szCs w:val="24"/>
          <w:lang w:bidi="en-US"/>
        </w:rPr>
      </w:pPr>
      <w:r w:rsidRPr="009A2018">
        <w:rPr>
          <w:rFonts w:eastAsia="MS Mincho" w:cs="Times New Roman"/>
          <w:szCs w:val="24"/>
          <w:lang w:bidi="en-US"/>
        </w:rPr>
        <w:t>Crna Gora nastavlja da</w:t>
      </w:r>
      <w:r w:rsidR="00962F64">
        <w:rPr>
          <w:rFonts w:eastAsia="MS Mincho" w:cs="Times New Roman"/>
          <w:szCs w:val="24"/>
          <w:lang w:bidi="en-US"/>
        </w:rPr>
        <w:t xml:space="preserve"> </w:t>
      </w:r>
      <w:r w:rsidRPr="009A2018">
        <w:rPr>
          <w:rFonts w:eastAsia="MS Mincho" w:cs="Times New Roman"/>
          <w:szCs w:val="24"/>
          <w:lang w:bidi="en-US"/>
        </w:rPr>
        <w:t xml:space="preserve">sprovodi detaljan </w:t>
      </w:r>
      <w:r w:rsidR="00142479">
        <w:rPr>
          <w:rFonts w:eastAsia="MS Mincho" w:cs="Times New Roman"/>
          <w:szCs w:val="24"/>
          <w:lang w:bidi="en-US"/>
        </w:rPr>
        <w:t>A</w:t>
      </w:r>
      <w:r w:rsidR="00142479" w:rsidRPr="009A2018">
        <w:rPr>
          <w:rFonts w:eastAsia="MS Mincho" w:cs="Times New Roman"/>
          <w:szCs w:val="24"/>
          <w:lang w:bidi="en-US"/>
        </w:rPr>
        <w:t xml:space="preserve">kcioni </w:t>
      </w:r>
      <w:r w:rsidRPr="009A2018">
        <w:rPr>
          <w:rFonts w:eastAsia="MS Mincho" w:cs="Times New Roman"/>
          <w:szCs w:val="24"/>
          <w:lang w:bidi="en-US"/>
        </w:rPr>
        <w:t>plan za pravdu, slobodu i bezbjednost, koji je usvojen prije otvaranja pristupnih pregovora o ovom poglavlju u decembru 2013. godine.</w:t>
      </w:r>
    </w:p>
    <w:p w:rsidR="00622A95" w:rsidRPr="009A2018" w:rsidRDefault="00622A95" w:rsidP="00EC1790">
      <w:pPr>
        <w:widowControl w:val="0"/>
        <w:spacing w:after="120" w:line="240" w:lineRule="auto"/>
        <w:jc w:val="both"/>
        <w:rPr>
          <w:rFonts w:eastAsia="MS Mincho" w:cs="Times New Roman"/>
          <w:b/>
          <w:szCs w:val="24"/>
          <w:lang w:bidi="en-US"/>
        </w:rPr>
      </w:pPr>
      <w:r w:rsidRPr="009A2018">
        <w:rPr>
          <w:rFonts w:eastAsia="MS Mincho" w:cs="Times New Roman"/>
          <w:b/>
          <w:szCs w:val="24"/>
          <w:lang w:bidi="en-US"/>
        </w:rPr>
        <w:t xml:space="preserve">Borba protiv organizovanog kriminala </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szCs w:val="24"/>
          <w:lang w:bidi="en-US"/>
        </w:rPr>
      </w:pPr>
      <w:r w:rsidRPr="009A2018">
        <w:rPr>
          <w:rFonts w:cs="Times New Roman"/>
          <w:szCs w:val="24"/>
          <w:lang w:bidi="en-US"/>
        </w:rPr>
        <w:t xml:space="preserve">Crna Gora je dostigla </w:t>
      </w:r>
      <w:r w:rsidRPr="00962F64">
        <w:rPr>
          <w:rFonts w:cs="Times New Roman"/>
          <w:b/>
          <w:szCs w:val="24"/>
          <w:lang w:bidi="en-US"/>
        </w:rPr>
        <w:t>određeni</w:t>
      </w:r>
      <w:r w:rsidR="00962F64">
        <w:rPr>
          <w:rFonts w:cs="Times New Roman"/>
          <w:szCs w:val="24"/>
          <w:lang w:bidi="en-US"/>
        </w:rPr>
        <w:t xml:space="preserve"> </w:t>
      </w:r>
      <w:r w:rsidRPr="009A2018">
        <w:rPr>
          <w:rFonts w:cs="Times New Roman"/>
          <w:b/>
          <w:bCs/>
          <w:szCs w:val="24"/>
          <w:lang w:bidi="en-US"/>
        </w:rPr>
        <w:t xml:space="preserve">nivo </w:t>
      </w:r>
      <w:r w:rsidR="00142479">
        <w:rPr>
          <w:rFonts w:cs="Times New Roman"/>
          <w:b/>
          <w:bCs/>
          <w:szCs w:val="24"/>
          <w:lang w:bidi="en-US"/>
        </w:rPr>
        <w:t>spremnosti</w:t>
      </w:r>
      <w:r w:rsidRPr="009A2018">
        <w:rPr>
          <w:rFonts w:cs="Times New Roman"/>
          <w:b/>
          <w:bCs/>
          <w:szCs w:val="24"/>
          <w:lang w:bidi="en-US"/>
        </w:rPr>
        <w:t xml:space="preserve">/umjereno je </w:t>
      </w:r>
      <w:r w:rsidR="00142479">
        <w:rPr>
          <w:rFonts w:cs="Times New Roman"/>
          <w:b/>
          <w:bCs/>
          <w:szCs w:val="24"/>
          <w:lang w:bidi="en-US"/>
        </w:rPr>
        <w:t xml:space="preserve">spremna </w:t>
      </w:r>
      <w:r w:rsidRPr="009A2018">
        <w:rPr>
          <w:rFonts w:cs="Times New Roman"/>
          <w:szCs w:val="24"/>
          <w:lang w:bidi="en-US"/>
        </w:rPr>
        <w:t xml:space="preserve">za borbu protiv organizovanog kriminala. Postignut je </w:t>
      </w:r>
      <w:r w:rsidRPr="009A2018">
        <w:rPr>
          <w:rFonts w:cs="Times New Roman"/>
          <w:b/>
          <w:bCs/>
          <w:szCs w:val="24"/>
          <w:lang w:bidi="en-US"/>
        </w:rPr>
        <w:t>određeni napredak</w:t>
      </w:r>
      <w:r w:rsidRPr="009A2018">
        <w:rPr>
          <w:rFonts w:cs="Times New Roman"/>
          <w:szCs w:val="24"/>
          <w:lang w:bidi="en-US"/>
        </w:rPr>
        <w:t xml:space="preserve"> u adresiranju prošlogodišnjih preporuka, posebno u pogledu uspostavljanja centralizovanog registra bankovnih računa, jačih kapaciteta i profesionalnosti policije i povećanog broja tekućih postupaka o oduzimanju imovine.</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szCs w:val="24"/>
          <w:lang w:bidi="en-US"/>
        </w:rPr>
      </w:pPr>
      <w:r w:rsidRPr="009A2018">
        <w:rPr>
          <w:rFonts w:cs="Times New Roman"/>
          <w:szCs w:val="24"/>
          <w:lang w:bidi="en-US"/>
        </w:rPr>
        <w:t xml:space="preserve">Postignut je dobar napredak u uspostavljanju početnih </w:t>
      </w:r>
      <w:r w:rsidR="00142479">
        <w:rPr>
          <w:rFonts w:cs="Times New Roman"/>
          <w:szCs w:val="24"/>
          <w:lang w:bidi="en-US"/>
        </w:rPr>
        <w:t xml:space="preserve">bilansa rezultata </w:t>
      </w:r>
      <w:r w:rsidRPr="009A2018">
        <w:rPr>
          <w:rFonts w:cs="Times New Roman"/>
          <w:szCs w:val="24"/>
          <w:lang w:bidi="en-US"/>
        </w:rPr>
        <w:t xml:space="preserve">u </w:t>
      </w:r>
      <w:r w:rsidR="00142479">
        <w:rPr>
          <w:rFonts w:cs="Times New Roman"/>
          <w:szCs w:val="24"/>
          <w:lang w:bidi="en-US"/>
        </w:rPr>
        <w:t xml:space="preserve">istragama u </w:t>
      </w:r>
      <w:r w:rsidRPr="009A2018">
        <w:rPr>
          <w:rFonts w:cs="Times New Roman"/>
          <w:szCs w:val="24"/>
          <w:lang w:bidi="en-US"/>
        </w:rPr>
        <w:t xml:space="preserve">oblasti borbe protiv trgovine ljudima i pranja novca. Dalje je poboljšana unutrašnja organizacija i koordinacija </w:t>
      </w:r>
      <w:r w:rsidR="00142479">
        <w:rPr>
          <w:rFonts w:cs="Times New Roman"/>
          <w:szCs w:val="24"/>
          <w:lang w:bidi="en-US"/>
        </w:rPr>
        <w:t>organa</w:t>
      </w:r>
      <w:r w:rsidR="00142479" w:rsidRPr="009A2018">
        <w:rPr>
          <w:rFonts w:cs="Times New Roman"/>
          <w:szCs w:val="24"/>
          <w:lang w:bidi="en-US"/>
        </w:rPr>
        <w:t xml:space="preserve"> </w:t>
      </w:r>
      <w:r w:rsidRPr="009A2018">
        <w:rPr>
          <w:rFonts w:cs="Times New Roman"/>
          <w:szCs w:val="24"/>
          <w:lang w:bidi="en-US"/>
        </w:rPr>
        <w:t>za sprovođenje zakona, što se odrazilo na sve veći broj istraga, hapšenja i zapljena. Međutim, Crna Gora mora da riješi određene horizontalne sistemske nedostatke u svom krivičnopravnom sistemu, uključujući način na koji se predmeti organizovanog kriminala vode na sudovima.</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szCs w:val="24"/>
          <w:lang w:bidi="en-US"/>
        </w:rPr>
      </w:pPr>
      <w:r w:rsidRPr="009A2018">
        <w:rPr>
          <w:rFonts w:cs="Times New Roman"/>
          <w:szCs w:val="24"/>
          <w:lang w:bidi="en-US"/>
        </w:rPr>
        <w:t>U narednoj godini, Crna Gora treba</w:t>
      </w:r>
      <w:r w:rsidR="00962F64">
        <w:rPr>
          <w:rFonts w:cs="Times New Roman"/>
          <w:szCs w:val="24"/>
          <w:lang w:bidi="en-US"/>
        </w:rPr>
        <w:t xml:space="preserve"> naročito da</w:t>
      </w:r>
      <w:r w:rsidRPr="009A2018">
        <w:rPr>
          <w:rFonts w:cs="Times New Roman"/>
          <w:szCs w:val="24"/>
          <w:lang w:bidi="en-US"/>
        </w:rPr>
        <w:t>:</w:t>
      </w:r>
    </w:p>
    <w:p w:rsidR="00622A95" w:rsidRPr="009A2018" w:rsidRDefault="00962F64" w:rsidP="00EC1790">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0" w:firstLine="0"/>
        <w:jc w:val="both"/>
        <w:rPr>
          <w:rFonts w:cs="Times New Roman"/>
          <w:szCs w:val="24"/>
          <w:lang w:bidi="en-US"/>
        </w:rPr>
      </w:pPr>
      <w:r>
        <w:rPr>
          <w:rFonts w:cs="Times New Roman"/>
          <w:szCs w:val="24"/>
          <w:lang w:bidi="en-US"/>
        </w:rPr>
        <w:t>poveća</w:t>
      </w:r>
      <w:r w:rsidR="00622A95" w:rsidRPr="009A2018">
        <w:rPr>
          <w:rFonts w:cs="Times New Roman"/>
          <w:szCs w:val="24"/>
          <w:lang w:bidi="en-US"/>
        </w:rPr>
        <w:t xml:space="preserve"> efikasnost krivičnih istraga: i. poboljšanjem pristupa agencija za sprovođenje zakona ključnim bazama podataka i uspostavljanjem interoperabilnog sistema sa jedinstvenom funkcijom pretraživanja; ii. obnavljanjem pune primjene posebnih istražnih radnji, uz puno poštovanje ustavnih načela; i iii. povećanjem broja istražitelja i stručnjaka u ključnim oblastima poput finansijskih istraga, </w:t>
      </w:r>
      <w:r w:rsidR="00142479">
        <w:rPr>
          <w:rFonts w:cs="Times New Roman"/>
          <w:szCs w:val="24"/>
          <w:lang w:bidi="en-US"/>
        </w:rPr>
        <w:t>računarskog</w:t>
      </w:r>
      <w:r w:rsidR="00142479" w:rsidRPr="009A2018">
        <w:rPr>
          <w:rFonts w:cs="Times New Roman"/>
          <w:szCs w:val="24"/>
          <w:lang w:bidi="en-US"/>
        </w:rPr>
        <w:t xml:space="preserve"> </w:t>
      </w:r>
      <w:r w:rsidR="00622A95" w:rsidRPr="009A2018">
        <w:rPr>
          <w:rFonts w:cs="Times New Roman"/>
          <w:szCs w:val="24"/>
          <w:lang w:bidi="en-US"/>
        </w:rPr>
        <w:t>kriminala, forenzike, posebnih istražnih radnji.</w:t>
      </w:r>
    </w:p>
    <w:p w:rsidR="00622A95" w:rsidRPr="009A2018" w:rsidRDefault="00962F64" w:rsidP="00EC1790">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0" w:firstLine="0"/>
        <w:jc w:val="both"/>
        <w:rPr>
          <w:rFonts w:cs="Times New Roman"/>
          <w:szCs w:val="24"/>
          <w:lang w:bidi="en-US"/>
        </w:rPr>
      </w:pPr>
      <w:r>
        <w:rPr>
          <w:rFonts w:cs="Times New Roman"/>
          <w:szCs w:val="24"/>
          <w:lang w:bidi="en-US"/>
        </w:rPr>
        <w:t>riješi</w:t>
      </w:r>
      <w:r w:rsidR="00622A95" w:rsidRPr="009A2018">
        <w:rPr>
          <w:rFonts w:cs="Times New Roman"/>
          <w:szCs w:val="24"/>
          <w:lang w:bidi="en-US"/>
        </w:rPr>
        <w:t xml:space="preserve"> pitanje dugog trajanja suđenja i čestih prekida u slučajevima or</w:t>
      </w:r>
      <w:r>
        <w:rPr>
          <w:rFonts w:cs="Times New Roman"/>
          <w:szCs w:val="24"/>
          <w:lang w:bidi="en-US"/>
        </w:rPr>
        <w:t>ganizovanog kriminala; osigura</w:t>
      </w:r>
      <w:r w:rsidR="00622A95" w:rsidRPr="009A2018">
        <w:rPr>
          <w:rFonts w:cs="Times New Roman"/>
          <w:szCs w:val="24"/>
          <w:lang w:bidi="en-US"/>
        </w:rPr>
        <w:t xml:space="preserve"> jače međusobno razumijevanje između sudova i tužilaštva o nekim ključnim pravnim konceptima kao što su pranje novca i kvalitet dokaza;</w:t>
      </w:r>
    </w:p>
    <w:p w:rsidR="00622A95" w:rsidRPr="009A2018" w:rsidRDefault="00962F64" w:rsidP="00EC1790">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0" w:firstLine="0"/>
        <w:jc w:val="both"/>
        <w:rPr>
          <w:rFonts w:cs="Times New Roman"/>
          <w:szCs w:val="24"/>
          <w:lang w:bidi="en-US"/>
        </w:rPr>
      </w:pPr>
      <w:r>
        <w:rPr>
          <w:rFonts w:cs="Times New Roman"/>
          <w:szCs w:val="24"/>
          <w:lang w:bidi="en-US"/>
        </w:rPr>
        <w:t>poboljša</w:t>
      </w:r>
      <w:r w:rsidR="00622A95" w:rsidRPr="009A2018">
        <w:rPr>
          <w:rFonts w:cs="Times New Roman"/>
          <w:szCs w:val="24"/>
          <w:lang w:bidi="en-US"/>
        </w:rPr>
        <w:t xml:space="preserve"> strateški nadzor krivičnopravnog sistema uspostavljanjem centralizovane baze podataka u oblasti organizovanog kriminala i korupcije na visokom</w:t>
      </w:r>
      <w:r>
        <w:rPr>
          <w:rFonts w:cs="Times New Roman"/>
          <w:szCs w:val="24"/>
          <w:lang w:bidi="en-US"/>
        </w:rPr>
        <w:t xml:space="preserve"> </w:t>
      </w:r>
      <w:r w:rsidR="00622A95" w:rsidRPr="009A2018">
        <w:rPr>
          <w:rFonts w:cs="Times New Roman"/>
          <w:szCs w:val="24"/>
          <w:lang w:bidi="en-US"/>
        </w:rPr>
        <w:t>nivou, prikupljenih od svih nadležnih organa, u svrhu analize i kreiranja politike.</w:t>
      </w:r>
    </w:p>
    <w:p w:rsidR="00622A95" w:rsidRPr="009A2018" w:rsidRDefault="00622A95" w:rsidP="00EC1790">
      <w:pPr>
        <w:widowControl w:val="0"/>
        <w:spacing w:after="120" w:line="240" w:lineRule="auto"/>
        <w:jc w:val="both"/>
        <w:rPr>
          <w:rFonts w:cs="Times New Roman"/>
          <w:szCs w:val="24"/>
          <w:u w:val="single"/>
          <w:lang w:bidi="en-US"/>
        </w:rPr>
      </w:pPr>
      <w:r w:rsidRPr="009A2018">
        <w:rPr>
          <w:rFonts w:cs="Times New Roman"/>
          <w:szCs w:val="24"/>
          <w:u w:val="single"/>
          <w:lang w:bidi="en-US"/>
        </w:rPr>
        <w:t>Institucionalna organizacija i usklađivanje zakonodavstva</w:t>
      </w:r>
    </w:p>
    <w:p w:rsidR="00622A95" w:rsidRPr="009A2018" w:rsidRDefault="00622A95" w:rsidP="00EC1790">
      <w:pPr>
        <w:widowControl w:val="0"/>
        <w:spacing w:after="120" w:line="240" w:lineRule="auto"/>
        <w:jc w:val="both"/>
        <w:rPr>
          <w:rFonts w:cs="Times New Roman"/>
          <w:szCs w:val="24"/>
          <w:lang w:bidi="en-US"/>
        </w:rPr>
      </w:pPr>
      <w:r w:rsidRPr="009A2018">
        <w:rPr>
          <w:rFonts w:cs="Times New Roman"/>
          <w:szCs w:val="24"/>
          <w:lang w:bidi="en-US"/>
        </w:rPr>
        <w:t>Broj policijskih službenika smanjen je na 4.537, sa 5.400 u 2018. godini.</w:t>
      </w:r>
      <w:r w:rsidR="00962F64">
        <w:rPr>
          <w:rFonts w:cs="Times New Roman"/>
          <w:szCs w:val="24"/>
          <w:lang w:bidi="en-US"/>
        </w:rPr>
        <w:t xml:space="preserve"> </w:t>
      </w:r>
      <w:r w:rsidRPr="009A2018">
        <w:rPr>
          <w:rFonts w:cs="Times New Roman"/>
          <w:szCs w:val="24"/>
          <w:lang w:bidi="en-US"/>
        </w:rPr>
        <w:t>Razmjer policijskih službenika i dalje je visok i iznosi 517/100.000 stanovnika (za prosjek EU od 326/100.000 u 2017. prema Eurostatu), ali, za razliku od većine država članica EU, Crna Gora u policiju uključuje graničare (1.321 zaposlenih), neoperativno osoblje kao što su savjetnici i policijski službenici bez policijskog čina.</w:t>
      </w:r>
    </w:p>
    <w:p w:rsidR="00622A95" w:rsidRPr="009A2018" w:rsidRDefault="00622A95" w:rsidP="00EC1790">
      <w:pPr>
        <w:widowControl w:val="0"/>
        <w:spacing w:after="120" w:line="240" w:lineRule="auto"/>
        <w:jc w:val="both"/>
        <w:rPr>
          <w:rFonts w:cs="Times New Roman"/>
          <w:szCs w:val="24"/>
          <w:lang w:bidi="en-US"/>
        </w:rPr>
      </w:pPr>
      <w:r w:rsidRPr="009A2018">
        <w:rPr>
          <w:rFonts w:cs="Times New Roman"/>
          <w:szCs w:val="24"/>
          <w:lang w:bidi="en-US"/>
        </w:rPr>
        <w:t xml:space="preserve">Dvije ključne </w:t>
      </w:r>
      <w:r w:rsidRPr="009A2018">
        <w:rPr>
          <w:rFonts w:cs="Times New Roman"/>
          <w:b/>
          <w:bCs/>
          <w:szCs w:val="24"/>
          <w:lang w:bidi="en-US"/>
        </w:rPr>
        <w:t>institucije</w:t>
      </w:r>
      <w:r w:rsidRPr="009A2018">
        <w:rPr>
          <w:rFonts w:cs="Times New Roman"/>
          <w:szCs w:val="24"/>
          <w:lang w:bidi="en-US"/>
        </w:rPr>
        <w:t xml:space="preserve"> u borbi protiv organizovanog kriminala, Specijalno </w:t>
      </w:r>
      <w:r w:rsidR="00142479">
        <w:rPr>
          <w:rFonts w:cs="Times New Roman"/>
          <w:szCs w:val="24"/>
          <w:lang w:bidi="en-US"/>
        </w:rPr>
        <w:t xml:space="preserve">državno </w:t>
      </w:r>
      <w:r w:rsidRPr="009A2018">
        <w:rPr>
          <w:rFonts w:cs="Times New Roman"/>
          <w:szCs w:val="24"/>
          <w:lang w:bidi="en-US"/>
        </w:rPr>
        <w:t>tužilaštvo za organizovani kriminal i korupciju na visokomnivou (S</w:t>
      </w:r>
      <w:r w:rsidR="00142479">
        <w:rPr>
          <w:rFonts w:cs="Times New Roman"/>
          <w:szCs w:val="24"/>
          <w:lang w:bidi="en-US"/>
        </w:rPr>
        <w:t>DT</w:t>
      </w:r>
      <w:r w:rsidRPr="009A2018">
        <w:rPr>
          <w:rFonts w:cs="Times New Roman"/>
          <w:szCs w:val="24"/>
          <w:lang w:bidi="en-US"/>
        </w:rPr>
        <w:t>) i Specijaln</w:t>
      </w:r>
      <w:r w:rsidR="00142479">
        <w:rPr>
          <w:rFonts w:cs="Times New Roman"/>
          <w:szCs w:val="24"/>
          <w:lang w:bidi="en-US"/>
        </w:rPr>
        <w:t>o policijsko odjeljenje</w:t>
      </w:r>
      <w:r w:rsidRPr="009A2018">
        <w:rPr>
          <w:rFonts w:cs="Times New Roman"/>
          <w:szCs w:val="24"/>
          <w:lang w:bidi="en-US"/>
        </w:rPr>
        <w:t xml:space="preserve"> (SP</w:t>
      </w:r>
      <w:r w:rsidR="00142479">
        <w:rPr>
          <w:rFonts w:cs="Times New Roman"/>
          <w:szCs w:val="24"/>
          <w:lang w:bidi="en-US"/>
        </w:rPr>
        <w:t>O</w:t>
      </w:r>
      <w:r w:rsidRPr="009A2018">
        <w:rPr>
          <w:rFonts w:cs="Times New Roman"/>
          <w:szCs w:val="24"/>
          <w:lang w:bidi="en-US"/>
        </w:rPr>
        <w:t>) stabilizovale su broj svojihslužbenika na oko 46, odnosno 32, uključujući 14 specijalnih tužilaca u Specijalnom</w:t>
      </w:r>
      <w:r w:rsidR="00142479">
        <w:rPr>
          <w:rFonts w:cs="Times New Roman"/>
          <w:szCs w:val="24"/>
          <w:lang w:bidi="en-US"/>
        </w:rPr>
        <w:t xml:space="preserve"> državnom</w:t>
      </w:r>
      <w:r w:rsidRPr="009A2018">
        <w:rPr>
          <w:rFonts w:cs="Times New Roman"/>
          <w:szCs w:val="24"/>
          <w:lang w:bidi="en-US"/>
        </w:rPr>
        <w:t xml:space="preserve"> tužilaštvu. Loši kancelarijski uslovi, koji ometaju efikasno funkcionisanje Specijalnog tužilaštva, ostaju neriješeni.</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Uprava policije reorganizovana je u osam sektora u aprilu 2019. godine. Čitav sektor sada je posvećen borbi protiv organizovanog kriminala, obuhvatajući SP</w:t>
      </w:r>
      <w:r w:rsidR="00142479">
        <w:rPr>
          <w:rFonts w:eastAsia="Times New Roman" w:cs="Times New Roman"/>
          <w:szCs w:val="24"/>
        </w:rPr>
        <w:t>O</w:t>
      </w:r>
      <w:r w:rsidRPr="009A2018">
        <w:rPr>
          <w:rFonts w:eastAsia="Times New Roman" w:cs="Times New Roman"/>
          <w:szCs w:val="24"/>
        </w:rPr>
        <w:t xml:space="preserve"> i četiri druge jedinice. </w:t>
      </w:r>
      <w:r w:rsidRPr="009A2018">
        <w:rPr>
          <w:rFonts w:eastAsia="Times New Roman" w:cs="Times New Roman"/>
          <w:szCs w:val="24"/>
        </w:rPr>
        <w:lastRenderedPageBreak/>
        <w:t>Ukupno broji 92 radnih mjesta, od kojih je trenutno 70 popunjeno. S jasnijim komandnim linijama, ovaj</w:t>
      </w:r>
      <w:r w:rsidR="00142479">
        <w:rPr>
          <w:rFonts w:eastAsia="Times New Roman" w:cs="Times New Roman"/>
          <w:szCs w:val="24"/>
        </w:rPr>
        <w:t xml:space="preserve"> </w:t>
      </w:r>
      <w:r w:rsidRPr="009A2018">
        <w:rPr>
          <w:rFonts w:eastAsia="Times New Roman" w:cs="Times New Roman"/>
          <w:szCs w:val="24"/>
        </w:rPr>
        <w:t>sektor pruža snažnije i bolje koordinirane resurse kao podršku istragama organizovanog kriminala koje vodi Specijalno</w:t>
      </w:r>
      <w:r w:rsidR="00142479">
        <w:rPr>
          <w:rFonts w:eastAsia="Times New Roman" w:cs="Times New Roman"/>
          <w:szCs w:val="24"/>
        </w:rPr>
        <w:t xml:space="preserve"> državno</w:t>
      </w:r>
      <w:r w:rsidRPr="009A2018">
        <w:rPr>
          <w:rFonts w:eastAsia="Times New Roman" w:cs="Times New Roman"/>
          <w:szCs w:val="24"/>
        </w:rPr>
        <w:t xml:space="preserve"> tužilaštvo. Operativni kapaciteti povećani su u svim sektorima, neke funkcije su decentralizovane ipojačana je odgovornost područnih jedinica policije. Međutim, ljudski resursi još uvijek nijesu dovoljni da se nose s opterećenjem u SP</w:t>
      </w:r>
      <w:r w:rsidR="00142479">
        <w:rPr>
          <w:rFonts w:eastAsia="Times New Roman" w:cs="Times New Roman"/>
          <w:szCs w:val="24"/>
        </w:rPr>
        <w:t>O</w:t>
      </w:r>
      <w:r w:rsidRPr="009A2018">
        <w:rPr>
          <w:rFonts w:eastAsia="Times New Roman" w:cs="Times New Roman"/>
          <w:szCs w:val="24"/>
        </w:rPr>
        <w:t xml:space="preserve"> i drugim ključnim jedinicama. Policiji su potrebni stariji istražitelji za organizovani kriminal, šverc droge, stručnjaci zaduženi za posebne istražne mjere, stručnjaci za </w:t>
      </w:r>
      <w:r w:rsidR="00142479">
        <w:rPr>
          <w:rFonts w:eastAsia="Times New Roman" w:cs="Times New Roman"/>
          <w:szCs w:val="24"/>
        </w:rPr>
        <w:t>računarski</w:t>
      </w:r>
      <w:r w:rsidR="00142479" w:rsidRPr="009A2018">
        <w:rPr>
          <w:rFonts w:eastAsia="Times New Roman" w:cs="Times New Roman"/>
          <w:szCs w:val="24"/>
        </w:rPr>
        <w:t xml:space="preserve"> </w:t>
      </w:r>
      <w:r w:rsidRPr="009A2018">
        <w:rPr>
          <w:rFonts w:eastAsia="Times New Roman" w:cs="Times New Roman"/>
          <w:szCs w:val="24"/>
        </w:rPr>
        <w:t>kriminal, privredni kriminal i forenziku.</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Uprava za sprečavanje pranja novca i finansiranja terorizma (ili Finansijsko</w:t>
      </w:r>
      <w:r w:rsidR="00142479">
        <w:rPr>
          <w:rFonts w:eastAsia="Times New Roman" w:cs="Times New Roman"/>
          <w:szCs w:val="24"/>
        </w:rPr>
        <w:t>-</w:t>
      </w:r>
      <w:r w:rsidRPr="009A2018">
        <w:rPr>
          <w:rFonts w:eastAsia="Times New Roman" w:cs="Times New Roman"/>
          <w:szCs w:val="24"/>
        </w:rPr>
        <w:t>obavještajna jedinica</w:t>
      </w:r>
      <w:r w:rsidR="00142479">
        <w:rPr>
          <w:rFonts w:eastAsia="Times New Roman" w:cs="Times New Roman"/>
          <w:szCs w:val="24"/>
        </w:rPr>
        <w:t xml:space="preserve"> </w:t>
      </w:r>
      <w:r w:rsidRPr="009A2018">
        <w:rPr>
          <w:rFonts w:eastAsia="Times New Roman" w:cs="Times New Roman"/>
          <w:szCs w:val="24"/>
        </w:rPr>
        <w:t>–</w:t>
      </w:r>
      <w:r w:rsidR="00142479">
        <w:rPr>
          <w:rFonts w:eastAsia="Times New Roman" w:cs="Times New Roman"/>
          <w:szCs w:val="24"/>
        </w:rPr>
        <w:t xml:space="preserve"> </w:t>
      </w:r>
      <w:r w:rsidRPr="009A2018">
        <w:rPr>
          <w:rFonts w:eastAsia="Times New Roman" w:cs="Times New Roman"/>
          <w:szCs w:val="24"/>
        </w:rPr>
        <w:t>FOJ) integrisana je u policiju. Ima 30 službenika, uključujući njih 17 koji se neposredno bave predmetima (sa 10 u prethodnom FOJ-u). FOJ</w:t>
      </w:r>
      <w:r w:rsidR="00962F64">
        <w:rPr>
          <w:rFonts w:eastAsia="Times New Roman" w:cs="Times New Roman"/>
          <w:szCs w:val="24"/>
        </w:rPr>
        <w:t xml:space="preserve"> </w:t>
      </w:r>
      <w:r w:rsidRPr="009A2018">
        <w:rPr>
          <w:rFonts w:eastAsia="Times New Roman" w:cs="Times New Roman"/>
          <w:szCs w:val="24"/>
        </w:rPr>
        <w:t>je podniozahtjev za vraćanje članstva u Egmont grupi, koje je otkazano kada je FOJ prestao da postoji u svom prethodnom pravnom obliku. U međuvremenu, Crna Gora koristi pravosudnu saradnju</w:t>
      </w:r>
      <w:r w:rsidR="00142479">
        <w:rPr>
          <w:rFonts w:eastAsia="Times New Roman" w:cs="Times New Roman"/>
          <w:szCs w:val="24"/>
        </w:rPr>
        <w:t xml:space="preserve"> </w:t>
      </w:r>
      <w:r w:rsidRPr="009A2018">
        <w:rPr>
          <w:rFonts w:eastAsia="Times New Roman" w:cs="Times New Roman"/>
          <w:szCs w:val="24"/>
        </w:rPr>
        <w:t>i komunikacione kanale Interpola i Europola za pristup međunarodnim obavještajnim podacima o pranju novca.</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U aprilu 2019. godine, službeno je osnovana</w:t>
      </w:r>
      <w:r w:rsidR="00962F64">
        <w:rPr>
          <w:rFonts w:eastAsia="Times New Roman" w:cs="Times New Roman"/>
          <w:szCs w:val="24"/>
        </w:rPr>
        <w:t xml:space="preserve"> </w:t>
      </w:r>
      <w:r w:rsidRPr="009A2018">
        <w:rPr>
          <w:rFonts w:eastAsia="Times New Roman" w:cs="Times New Roman"/>
          <w:b/>
          <w:bCs/>
          <w:szCs w:val="24"/>
        </w:rPr>
        <w:t>Kancelarija za povraćaj imovine (</w:t>
      </w:r>
      <w:r w:rsidR="00142479">
        <w:rPr>
          <w:rFonts w:eastAsia="Times New Roman" w:cs="Times New Roman"/>
          <w:b/>
          <w:bCs/>
          <w:szCs w:val="24"/>
        </w:rPr>
        <w:t>ARO</w:t>
      </w:r>
      <w:r w:rsidRPr="009A2018">
        <w:rPr>
          <w:rFonts w:eastAsia="Times New Roman" w:cs="Times New Roman"/>
          <w:b/>
          <w:bCs/>
          <w:szCs w:val="24"/>
        </w:rPr>
        <w:t>)</w:t>
      </w:r>
      <w:r w:rsidRPr="009A2018">
        <w:rPr>
          <w:rFonts w:eastAsia="Times New Roman" w:cs="Times New Roman"/>
          <w:szCs w:val="24"/>
        </w:rPr>
        <w:t xml:space="preserve"> unutar Uprave policije. Pet policijskih službenika ima pravo da obrađuju zahtjeve za povraćaj imovine koje su poslali nacionalni ili strani nadležni organi, kako bi identifikovali i pronašli imovinu stečenu kriminalnom djelatnošću. Imaju direktan elektronski pristup nekim, ali ne svim, policijskim i civilnim bazama podataka. Za pristup drugim bazama podataka potreban je službeni zahtjev. </w:t>
      </w:r>
      <w:r w:rsidR="00142479">
        <w:rPr>
          <w:rFonts w:eastAsia="Times New Roman" w:cs="Times New Roman"/>
          <w:szCs w:val="24"/>
        </w:rPr>
        <w:t>ARO</w:t>
      </w:r>
      <w:r w:rsidR="00142479" w:rsidRPr="009A2018">
        <w:rPr>
          <w:rFonts w:eastAsia="Times New Roman" w:cs="Times New Roman"/>
          <w:szCs w:val="24"/>
        </w:rPr>
        <w:t xml:space="preserve"> </w:t>
      </w:r>
      <w:r w:rsidRPr="009A2018">
        <w:rPr>
          <w:rFonts w:eastAsia="Times New Roman" w:cs="Times New Roman"/>
          <w:szCs w:val="24"/>
        </w:rPr>
        <w:t xml:space="preserve">djeluje kao kontakt tačka za strane </w:t>
      </w:r>
      <w:r w:rsidR="00142479">
        <w:rPr>
          <w:rFonts w:eastAsia="Times New Roman" w:cs="Times New Roman"/>
          <w:szCs w:val="24"/>
        </w:rPr>
        <w:t>ARO</w:t>
      </w:r>
      <w:r w:rsidRPr="009A2018">
        <w:rPr>
          <w:rFonts w:eastAsia="Times New Roman" w:cs="Times New Roman"/>
          <w:szCs w:val="24"/>
        </w:rPr>
        <w:t xml:space="preserve"> i za Kamdensku međuagencijsku mrežu za oduzimanje imovinske koristi (CARIN), dok je tužilaštvo odgovorno za zamrzavanje i povraćaj imovine. Potrebno je dalje usklađivanje s relevantnom pravnom tekovinom EU, uključujući direktan pristup svim relevantnim bazama podataka i njihovo ažuriranje (npr. nacionalna katastarska evidencija).</w:t>
      </w:r>
    </w:p>
    <w:p w:rsidR="00622A95" w:rsidRPr="009A2018" w:rsidRDefault="00622A95" w:rsidP="00EC1790">
      <w:pPr>
        <w:spacing w:after="120" w:line="240" w:lineRule="auto"/>
        <w:jc w:val="both"/>
        <w:rPr>
          <w:rFonts w:eastAsia="Times New Roman" w:cs="Times New Roman"/>
          <w:bCs/>
          <w:szCs w:val="24"/>
        </w:rPr>
      </w:pPr>
      <w:r w:rsidRPr="009A2018">
        <w:rPr>
          <w:rFonts w:eastAsia="Times New Roman" w:cs="Times New Roman"/>
          <w:b/>
          <w:szCs w:val="24"/>
        </w:rPr>
        <w:t>Pravni okvir</w:t>
      </w:r>
      <w:r w:rsidRPr="009A2018">
        <w:rPr>
          <w:rFonts w:eastAsia="Times New Roman" w:cs="Times New Roman"/>
          <w:bCs/>
          <w:szCs w:val="24"/>
        </w:rPr>
        <w:t xml:space="preserve"> za borbu protiv organizovanog kriminala uglavnom je uspostavljen i usklađen s pravnom tekovinom EU. U decembru 2019. godine, Crna Gora je još jed</w:t>
      </w:r>
      <w:r w:rsidR="00962F64">
        <w:rPr>
          <w:rFonts w:eastAsia="Times New Roman" w:cs="Times New Roman"/>
          <w:bCs/>
          <w:szCs w:val="24"/>
        </w:rPr>
        <w:t>nom izmijenila svoj Zakon o spr</w:t>
      </w:r>
      <w:r w:rsidRPr="009A2018">
        <w:rPr>
          <w:rFonts w:eastAsia="Times New Roman" w:cs="Times New Roman"/>
          <w:bCs/>
          <w:szCs w:val="24"/>
        </w:rPr>
        <w:t>ečavanju pranja novca i finansiranja terorizma, kako bi odrazilapromjene u institucionalnom okruženju FOJ-a i osigurala poštovanje preporuka Radne grupe za finansijske mjere u borbi protiv pranja novca (FATF) koje se odnose na nezavisnost FOJ-a. Međutim, zakon će morati ponovo da se izmijeni kako bi se otklonili preostali nedostaci i us</w:t>
      </w:r>
      <w:r w:rsidR="00962F64">
        <w:rPr>
          <w:rFonts w:eastAsia="Times New Roman" w:cs="Times New Roman"/>
          <w:bCs/>
          <w:szCs w:val="24"/>
        </w:rPr>
        <w:t>kladio s 5. Direktivom EU o spr</w:t>
      </w:r>
      <w:r w:rsidRPr="009A2018">
        <w:rPr>
          <w:rFonts w:eastAsia="Times New Roman" w:cs="Times New Roman"/>
          <w:bCs/>
          <w:szCs w:val="24"/>
        </w:rPr>
        <w:t>ečavanju pranja novca. U maju 2020. godine,</w:t>
      </w:r>
      <w:r w:rsidR="00962F64">
        <w:rPr>
          <w:rFonts w:eastAsia="Times New Roman" w:cs="Times New Roman"/>
          <w:bCs/>
          <w:szCs w:val="24"/>
        </w:rPr>
        <w:t xml:space="preserve"> </w:t>
      </w:r>
      <w:r w:rsidRPr="009A2018">
        <w:rPr>
          <w:rFonts w:eastAsia="Times New Roman" w:cs="Times New Roman"/>
          <w:bCs/>
          <w:szCs w:val="24"/>
        </w:rPr>
        <w:t>Komitet stručnjaka za procjenjivanje mjera za suzbijanje pranja novca i finansiranja terorizma (MONEYVAL) službeno je udaljio Crnu Goru iz redovnog postupka praćenja četvrtog kruga, smatrajući da je zemlja preduzela dovoljne korake da ispravi nedostatke koji su identifikovani 2015. godine.</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 xml:space="preserve">Nakon presude Ustavnog suda iz 2018. godine, brojne </w:t>
      </w:r>
      <w:r w:rsidR="00142479">
        <w:rPr>
          <w:rFonts w:eastAsia="Times New Roman" w:cs="Times New Roman"/>
          <w:szCs w:val="24"/>
        </w:rPr>
        <w:t xml:space="preserve">specijalne </w:t>
      </w:r>
      <w:r w:rsidRPr="009A2018">
        <w:rPr>
          <w:rFonts w:eastAsia="Times New Roman" w:cs="Times New Roman"/>
          <w:szCs w:val="24"/>
        </w:rPr>
        <w:t>istražne m</w:t>
      </w:r>
      <w:r w:rsidR="00142479">
        <w:rPr>
          <w:rFonts w:eastAsia="Times New Roman" w:cs="Times New Roman"/>
          <w:szCs w:val="24"/>
        </w:rPr>
        <w:t>etode</w:t>
      </w:r>
      <w:r w:rsidRPr="009A2018">
        <w:rPr>
          <w:rFonts w:eastAsia="Times New Roman" w:cs="Times New Roman"/>
          <w:szCs w:val="24"/>
        </w:rPr>
        <w:t xml:space="preserve"> (SIM), ključne za vođenje krivičnih istraga, više nijesu primjenjive. Tužilaštvu je uskraćeno korišćenje specijalnih istražnih </w:t>
      </w:r>
      <w:r w:rsidR="00142479">
        <w:rPr>
          <w:rFonts w:eastAsia="Times New Roman" w:cs="Times New Roman"/>
          <w:szCs w:val="24"/>
        </w:rPr>
        <w:t>metoda</w:t>
      </w:r>
      <w:r w:rsidR="00142479" w:rsidRPr="009A2018">
        <w:rPr>
          <w:rFonts w:eastAsia="Times New Roman" w:cs="Times New Roman"/>
          <w:szCs w:val="24"/>
        </w:rPr>
        <w:t xml:space="preserve"> </w:t>
      </w:r>
      <w:r w:rsidRPr="009A2018">
        <w:rPr>
          <w:rFonts w:eastAsia="Times New Roman" w:cs="Times New Roman"/>
          <w:szCs w:val="24"/>
        </w:rPr>
        <w:t xml:space="preserve">ili takozvane „kontrolisane isporuke", kada se otkrije pošiljka droge i dozvoli njeno dalje kretanje u cilju obezbjeđivanja dokaza protiv počinilaca. Ovo ozbiljno ometa borbu protiv teškog i organizovanog kriminala. Obnavljanje pune upotrebe </w:t>
      </w:r>
      <w:r w:rsidR="00142479">
        <w:rPr>
          <w:rFonts w:eastAsia="Times New Roman" w:cs="Times New Roman"/>
          <w:szCs w:val="24"/>
        </w:rPr>
        <w:t>specijalnih</w:t>
      </w:r>
      <w:r w:rsidRPr="009A2018">
        <w:rPr>
          <w:rFonts w:eastAsia="Times New Roman" w:cs="Times New Roman"/>
          <w:szCs w:val="24"/>
        </w:rPr>
        <w:t xml:space="preserve"> istražnih m</w:t>
      </w:r>
      <w:r w:rsidR="00142479">
        <w:rPr>
          <w:rFonts w:eastAsia="Times New Roman" w:cs="Times New Roman"/>
          <w:szCs w:val="24"/>
        </w:rPr>
        <w:t>etoda</w:t>
      </w:r>
      <w:r w:rsidRPr="009A2018">
        <w:rPr>
          <w:rFonts w:eastAsia="Times New Roman" w:cs="Times New Roman"/>
          <w:szCs w:val="24"/>
        </w:rPr>
        <w:t>, uz puno poštovanje ustavnih načela, treba da bude osigurano kao prioritet.</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U oblasti bezbjednosti, Crna Gora je u oktobru 2019. godine usvojila Zakon o kritičn</w:t>
      </w:r>
      <w:r w:rsidR="00142479">
        <w:rPr>
          <w:rFonts w:eastAsia="Times New Roman" w:cs="Times New Roman"/>
          <w:szCs w:val="24"/>
        </w:rPr>
        <w:t>oj</w:t>
      </w:r>
      <w:r w:rsidRPr="009A2018">
        <w:rPr>
          <w:rFonts w:eastAsia="Times New Roman" w:cs="Times New Roman"/>
          <w:szCs w:val="24"/>
        </w:rPr>
        <w:t xml:space="preserve"> infrastruktur</w:t>
      </w:r>
      <w:r w:rsidR="00142479">
        <w:rPr>
          <w:rFonts w:eastAsia="Times New Roman" w:cs="Times New Roman"/>
          <w:szCs w:val="24"/>
        </w:rPr>
        <w:t>i</w:t>
      </w:r>
      <w:r w:rsidRPr="009A2018">
        <w:rPr>
          <w:rFonts w:eastAsia="Times New Roman" w:cs="Times New Roman"/>
          <w:szCs w:val="24"/>
        </w:rPr>
        <w:t>, usklađujući se s pravnom tekovinom EU o identifikaciji, označavanju i zaštiti kritičn</w:t>
      </w:r>
      <w:r w:rsidR="00142479">
        <w:rPr>
          <w:rFonts w:eastAsia="Times New Roman" w:cs="Times New Roman"/>
          <w:szCs w:val="24"/>
        </w:rPr>
        <w:t>e</w:t>
      </w:r>
      <w:r w:rsidRPr="009A2018">
        <w:rPr>
          <w:rFonts w:eastAsia="Times New Roman" w:cs="Times New Roman"/>
          <w:szCs w:val="24"/>
        </w:rPr>
        <w:t xml:space="preserve"> infrastruktur</w:t>
      </w:r>
      <w:r w:rsidR="00142479">
        <w:rPr>
          <w:rFonts w:eastAsia="Times New Roman" w:cs="Times New Roman"/>
          <w:szCs w:val="24"/>
        </w:rPr>
        <w:t>e</w:t>
      </w:r>
      <w:r w:rsidRPr="009A2018">
        <w:rPr>
          <w:rFonts w:eastAsia="Times New Roman" w:cs="Times New Roman"/>
          <w:szCs w:val="24"/>
        </w:rPr>
        <w:t>. Popis infrastruktura koje su označene kao ključne za državnu bezbjednost tek treba da se utvrdi. Nacrt Zakona o unutrašnjim poslovima, koji se priprema već tri godine, tek treba da bude usvojen.</w:t>
      </w:r>
    </w:p>
    <w:p w:rsidR="00622A95" w:rsidRPr="009A2018" w:rsidRDefault="00622A95" w:rsidP="00EC1790">
      <w:pPr>
        <w:widowControl w:val="0"/>
        <w:spacing w:after="120" w:line="240" w:lineRule="auto"/>
        <w:jc w:val="both"/>
        <w:rPr>
          <w:rFonts w:cs="Times New Roman"/>
          <w:szCs w:val="24"/>
          <w:u w:val="single"/>
          <w:lang w:bidi="en-US"/>
        </w:rPr>
      </w:pPr>
      <w:r w:rsidRPr="009A2018">
        <w:rPr>
          <w:rFonts w:cs="Times New Roman"/>
          <w:szCs w:val="24"/>
          <w:u w:val="single"/>
          <w:lang w:bidi="en-US"/>
        </w:rPr>
        <w:lastRenderedPageBreak/>
        <w:t>Kapacitet za sprovođenje i izvršenje</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 xml:space="preserve">Specijalno </w:t>
      </w:r>
      <w:r w:rsidR="00142479">
        <w:rPr>
          <w:rFonts w:eastAsia="Times New Roman" w:cs="Times New Roman"/>
          <w:szCs w:val="24"/>
        </w:rPr>
        <w:t xml:space="preserve">državno </w:t>
      </w:r>
      <w:r w:rsidRPr="009A2018">
        <w:rPr>
          <w:rFonts w:eastAsia="Times New Roman" w:cs="Times New Roman"/>
          <w:szCs w:val="24"/>
        </w:rPr>
        <w:t>tužilaštvo sprovelo je 2019. godine 31 istragu protiv 293 lica. Oko 95 lica optuženo je za krivična djela organizovanog kriminala. Pravosnažne</w:t>
      </w:r>
      <w:r w:rsidR="004A03A8">
        <w:rPr>
          <w:rFonts w:eastAsia="Times New Roman" w:cs="Times New Roman"/>
          <w:szCs w:val="24"/>
        </w:rPr>
        <w:t xml:space="preserve"> </w:t>
      </w:r>
      <w:r w:rsidRPr="009A2018">
        <w:rPr>
          <w:rFonts w:eastAsia="Times New Roman" w:cs="Times New Roman"/>
          <w:szCs w:val="24"/>
        </w:rPr>
        <w:t>osuđujuće presude izrečene su protiv 67 lica u 2019. godini, od kojih su 62 osuđena na osnovu sporazuma o priznanju krivice. Kazne u kontekstu sporazuma o priznanju krivice bile su od tri mjeseca kućnog zatvora do dvije godine zatvora i novčane kazne od 1.000 do 50.000 eura. Pored toga, pokrenuto je do 45 istraga u vezi s teškim kriminalom, od kojih je velika većina u oblasti trgovine drogom; izrečene su 62 pravosnažne osuđujuće presude za teška krivična djela, sve na osnovu sporazuma o priznanju krivice, uz kazne od tri mjeseca kućnog zatvora do dvije godine zatvora.</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Scenom kriminala u Crnoj Gori i dalje dominiraju česta ubistva u vezi sa kriminalnim klanovima (do 44 ubistva u vezi s kriminalnim klanovima od 2012. godine, uključujući šest u 2019. i dva u prva tri mjeseca 2020. godine). Ubistva u kojima su učestvovale crnogorske kriminalne grupe dogodila su se i u inostranstvu (9 od 2018. godine), uključujući Španiju, Njemačku, Austriju i Grčku. Istovremeno, broj hapšenja pripadnika kriminalnih grupa dostigao je neviđeni broj od 333 lica od 2018. do prvog kvartala 2020. godine, uključujući 19 uhapšenih u inostranstvu.</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 xml:space="preserve">Generalno, broj istraga i krivičnih gonjenja za teški i organizovani kriminal eksponencijalno se povećao u periodu 2018-2019, u poređenju s periodom 2016-2017, za 150% i 100%. Ovo odražava pozitivan uticaj koordiniranog rada Specijalnog </w:t>
      </w:r>
      <w:r w:rsidR="00142479">
        <w:rPr>
          <w:rFonts w:eastAsia="Times New Roman" w:cs="Times New Roman"/>
          <w:szCs w:val="24"/>
        </w:rPr>
        <w:t xml:space="preserve">državnog </w:t>
      </w:r>
      <w:r w:rsidRPr="009A2018">
        <w:rPr>
          <w:rFonts w:eastAsia="Times New Roman" w:cs="Times New Roman"/>
          <w:szCs w:val="24"/>
        </w:rPr>
        <w:t>tužilaštva i SP</w:t>
      </w:r>
      <w:r w:rsidR="00142479">
        <w:rPr>
          <w:rFonts w:eastAsia="Times New Roman" w:cs="Times New Roman"/>
          <w:szCs w:val="24"/>
        </w:rPr>
        <w:t>O</w:t>
      </w:r>
      <w:r w:rsidRPr="009A2018">
        <w:rPr>
          <w:rFonts w:eastAsia="Times New Roman" w:cs="Times New Roman"/>
          <w:szCs w:val="24"/>
        </w:rPr>
        <w:t>-a, povećanih kapaciteta za rješavanje problema krijumčarenja droga i dobre međunarodne policijske i pravosudne saradnje. Istovremeno, čitav sistem krivičnog pravosuđa mora postati efikasniji, operativniji i odvraćajući, uključujući način na koji se predmeti organizovanog kriminala vode na sudovima. Sudski postupci pretjerano su dugotrajni jer su česta višestruka odgađanja. Ova duga kašnjenja, ali i nedostatak povjerenja između tužilaštva i sudova, nakon nekih kontroverznih oslobađajućih presuda posljednjih godina, dovela su do široke upotrebe sporazuma o priznanju krivice od strane tužilaštva. Osumnjičeni kriminalac, koji u istrazi postane svjedok saradnik, izuzet je od pravnog postupka, bez obzira na težinu krivičnog djela. Kao rezultat toga, uprkos nekim značajnim izuzecima, čini se da je odgovor krivičnog pravosuđa generalno blag, a kazne, novčane kazne i oduzimanje imovine nesrazmjerno su niski u poređenju s težinom krivičnog djela.</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Crna Gora mora prioritetno uspostaviti centralizovanu bazu podataka u oblasti organizovanog kriminala i korupcije na visokom</w:t>
      </w:r>
      <w:r w:rsidR="004A03A8">
        <w:rPr>
          <w:rFonts w:eastAsia="Times New Roman" w:cs="Times New Roman"/>
          <w:szCs w:val="24"/>
        </w:rPr>
        <w:t xml:space="preserve"> </w:t>
      </w:r>
      <w:r w:rsidRPr="009A2018">
        <w:rPr>
          <w:rFonts w:eastAsia="Times New Roman" w:cs="Times New Roman"/>
          <w:szCs w:val="24"/>
        </w:rPr>
        <w:t>nivou, prikupljanjem podataka od svih relevantnih nadležnih organa, u svrhu strateškog praćenja i donošenja politika. Crna Gora ima nacionalnu SOCTA-u (Procjena opasnosti od teškog i organizovanog kriminala), ali je treba strateški koristiti za vođenje operativnih prioriteta u borbi protiv organizovanog kriminala.</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 xml:space="preserve">Ministarstvo unutrašnjih poslova nastavlja da radi na tehničkim rješenjima za poboljšanje </w:t>
      </w:r>
      <w:r w:rsidRPr="009A2018">
        <w:rPr>
          <w:rFonts w:eastAsia="Times New Roman" w:cs="Times New Roman"/>
          <w:b/>
          <w:bCs/>
          <w:szCs w:val="24"/>
        </w:rPr>
        <w:t xml:space="preserve">pristupa </w:t>
      </w:r>
      <w:r w:rsidR="00142479">
        <w:rPr>
          <w:rFonts w:eastAsia="Times New Roman" w:cs="Times New Roman"/>
          <w:b/>
          <w:bCs/>
          <w:szCs w:val="24"/>
        </w:rPr>
        <w:t>organa</w:t>
      </w:r>
      <w:r w:rsidR="00142479" w:rsidRPr="009A2018">
        <w:rPr>
          <w:rFonts w:eastAsia="Times New Roman" w:cs="Times New Roman"/>
          <w:b/>
          <w:bCs/>
          <w:szCs w:val="24"/>
        </w:rPr>
        <w:t xml:space="preserve"> </w:t>
      </w:r>
      <w:r w:rsidRPr="009A2018">
        <w:rPr>
          <w:rFonts w:eastAsia="Times New Roman" w:cs="Times New Roman"/>
          <w:b/>
          <w:bCs/>
          <w:szCs w:val="24"/>
        </w:rPr>
        <w:t>za sprovođenje zakona ključnim bazama podataka</w:t>
      </w:r>
      <w:r w:rsidRPr="009A2018">
        <w:rPr>
          <w:rFonts w:eastAsia="Times New Roman" w:cs="Times New Roman"/>
          <w:szCs w:val="24"/>
        </w:rPr>
        <w:t>. Ovaj pristup trenutno je nedovoljan i nastavlja da koči proaktivnost i efikasnost istraga. Sektor zadužen za borbu protiv organizovanog kriminala trenutno nema direktan pristup Europolovom SIENA sigurnom komunikacionom kanalu, jer se Europolova kontakt tačka nalazi u drugom sektoru policije, ali se taj pristup uspostavlja. Sigurni mehanizam komunikacije uspostavljen 2017. godine između nekoliko ključnih institucija povećao je broj razmjena, ali se može koristiti samo za poruke niske bezbjednosti, a ne uključuje nacionalnu katastarsku evidenciju i Centralnu banku. Samo FOJ ima direktan i automatski pristup bazama podataka Centralne banke, kako je predviđeno odgovarajućom pravnom tekovinom EU. Uspostavljanje jedinstvene funkcije pretraživanja i interoperabilnih baza podataka presudni su za povećanje efikasnosti istraga i usklađivanje sa</w:t>
      </w:r>
      <w:r w:rsidR="004A03A8">
        <w:rPr>
          <w:rFonts w:eastAsia="Times New Roman" w:cs="Times New Roman"/>
          <w:szCs w:val="24"/>
        </w:rPr>
        <w:t xml:space="preserve"> </w:t>
      </w:r>
      <w:r w:rsidRPr="009A2018">
        <w:rPr>
          <w:rFonts w:eastAsia="Times New Roman" w:cs="Times New Roman"/>
          <w:szCs w:val="24"/>
        </w:rPr>
        <w:t>savremenom policijskom praksom u EU.</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b/>
          <w:bCs/>
          <w:szCs w:val="24"/>
        </w:rPr>
        <w:lastRenderedPageBreak/>
        <w:t>Međunarodna policijska saradnja</w:t>
      </w:r>
      <w:r w:rsidRPr="009A2018">
        <w:rPr>
          <w:rFonts w:eastAsia="Times New Roman" w:cs="Times New Roman"/>
          <w:szCs w:val="24"/>
        </w:rPr>
        <w:t xml:space="preserve"> nastavila je da igra stratešku ulogu u borbi protiv crnogorskih kriminalnih grupa, čiji pripadnici često žive i djeluju van Crne Gore. Broj komunikacija (59.337) razmijenjenih sa stranim policijskim službama putem Interpola porastao je za 40% u odnosu na 2018. godinu. Broj komunikacija razmijenjenih putem Europola dostigao je 4.488, što je porast od 9% u odnosu na 2018. godinu. Crna Gora ima status posmatrača u Evropskoj mreži jedinica</w:t>
      </w:r>
      <w:r w:rsidR="00142479">
        <w:rPr>
          <w:rFonts w:eastAsia="Times New Roman" w:cs="Times New Roman"/>
          <w:szCs w:val="24"/>
        </w:rPr>
        <w:t xml:space="preserve"> </w:t>
      </w:r>
      <w:r w:rsidRPr="009A2018">
        <w:rPr>
          <w:rFonts w:eastAsia="Times New Roman" w:cs="Times New Roman"/>
          <w:szCs w:val="24"/>
        </w:rPr>
        <w:t xml:space="preserve">za ciljane potrage (ENFAST), pružajući podršku u potrazi za traženim bjeguncima. U 2019. godini, osam članova crnogorskih kriminalnih grupa uhapšeno je u inostranstvu, na osnovu naloga za hapšenje. Trenutno jeaktivna potraga za 18 crnogorskih bjegunaca. U 2019. godini bila je posebno važna saradnja s policijskim službama Njemačke, Austrije, Holandije i Sjedinjenih </w:t>
      </w:r>
      <w:r w:rsidR="00142479">
        <w:rPr>
          <w:rFonts w:eastAsia="Times New Roman" w:cs="Times New Roman"/>
          <w:szCs w:val="24"/>
        </w:rPr>
        <w:t xml:space="preserve">Američkih </w:t>
      </w:r>
      <w:r w:rsidRPr="009A2018">
        <w:rPr>
          <w:rFonts w:eastAsia="Times New Roman" w:cs="Times New Roman"/>
          <w:szCs w:val="24"/>
        </w:rPr>
        <w:t>Država. Crna Gora je aktivno uključena u Europolove analitičke i operativne projekte, koji su bili ključni za neke uspješne policijske operacije. Takođe</w:t>
      </w:r>
      <w:r w:rsidR="00142479">
        <w:rPr>
          <w:rFonts w:eastAsia="Times New Roman" w:cs="Times New Roman"/>
          <w:szCs w:val="24"/>
        </w:rPr>
        <w:t>,</w:t>
      </w:r>
      <w:r w:rsidRPr="009A2018">
        <w:rPr>
          <w:rFonts w:eastAsia="Times New Roman" w:cs="Times New Roman"/>
          <w:szCs w:val="24"/>
        </w:rPr>
        <w:t xml:space="preserve"> sve više učestvuje u aktivnostima u okviru EU ciklusa politika/EMPACT (Evropska multidisciplinarna platforma protiv krivičnih prijetnji). U 2019. godini broj novih predmeta u Europolu povećao se za 48% u poređenju s 2018. godinom. Crna Gora je učestvovala u trodnevnoj kampanji pod nazivom „Dani zajedničkih akcija“ 2019. godine. 2020. godine, zajedno sa Španijom predvodi oblast politike o oružju. Kako bi se dodatno poboljšala saradnja s Europolom, Crna Gora se podstiče da: i. proaktivnije koristiti SIENA-u pokretanjem zahtjeva i proširi njenu upotrebu na dodatne </w:t>
      </w:r>
      <w:r w:rsidR="009B080C" w:rsidRPr="009A2018">
        <w:rPr>
          <w:rFonts w:eastAsia="Times New Roman" w:cs="Times New Roman"/>
          <w:szCs w:val="24"/>
        </w:rPr>
        <w:t>nadležne</w:t>
      </w:r>
      <w:r w:rsidR="009B080C">
        <w:rPr>
          <w:rFonts w:eastAsia="Times New Roman" w:cs="Times New Roman"/>
          <w:szCs w:val="24"/>
        </w:rPr>
        <w:t xml:space="preserve"> o</w:t>
      </w:r>
      <w:r w:rsidR="009B080C" w:rsidRPr="009A2018">
        <w:rPr>
          <w:rFonts w:eastAsia="Times New Roman" w:cs="Times New Roman"/>
          <w:szCs w:val="24"/>
        </w:rPr>
        <w:t>rgane</w:t>
      </w:r>
      <w:r w:rsidRPr="009A2018">
        <w:rPr>
          <w:rFonts w:eastAsia="Times New Roman" w:cs="Times New Roman"/>
          <w:szCs w:val="24"/>
        </w:rPr>
        <w:t>; ii. češće učestvuje na EMPACT sastancima u Europolu; iii. učestvuje u dodatnim analitičkim projektima uoblastima kriminala koji su obostrano korisni; iiii. imenuje nacionalnog koordinatora EMPACT-a.</w:t>
      </w:r>
    </w:p>
    <w:p w:rsidR="00622A95" w:rsidRPr="00095948" w:rsidRDefault="00622A95" w:rsidP="00EC1790">
      <w:pPr>
        <w:spacing w:after="120" w:line="240" w:lineRule="auto"/>
        <w:jc w:val="both"/>
        <w:rPr>
          <w:rFonts w:eastAsia="Times New Roman" w:cs="Times New Roman"/>
          <w:szCs w:val="24"/>
          <w:lang w:val="fr-FR"/>
        </w:rPr>
      </w:pPr>
      <w:r w:rsidRPr="009A2018">
        <w:rPr>
          <w:rFonts w:eastAsia="Times New Roman" w:cs="Times New Roman"/>
          <w:szCs w:val="24"/>
        </w:rPr>
        <w:t xml:space="preserve">Od potpisivanja sporazuma o saradnji s CEPOL-om 2011. godine, Crna Gora ima puni pristup CEPOL-ovim aktivnostima e-učenja, programu razmjene i aktivnostima na licu mjesta. </w:t>
      </w:r>
      <w:r w:rsidRPr="00095948">
        <w:rPr>
          <w:rFonts w:eastAsia="Times New Roman" w:cs="Times New Roman"/>
          <w:szCs w:val="24"/>
          <w:lang w:val="fr-FR"/>
        </w:rPr>
        <w:t>Imenovane su nacionalne kontakt tačke CEPOL-a, vodeći menadžeri i koordinatori razmjene.</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Na regionalnom</w:t>
      </w:r>
      <w:r w:rsidR="004A03A8" w:rsidRPr="00095948">
        <w:rPr>
          <w:rFonts w:eastAsia="Times New Roman" w:cs="Times New Roman"/>
          <w:szCs w:val="24"/>
          <w:lang w:val="fr-FR"/>
        </w:rPr>
        <w:t xml:space="preserve"> </w:t>
      </w:r>
      <w:r w:rsidRPr="00095948">
        <w:rPr>
          <w:rFonts w:eastAsia="Times New Roman" w:cs="Times New Roman"/>
          <w:szCs w:val="24"/>
          <w:lang w:val="fr-FR"/>
        </w:rPr>
        <w:t>nivou, Crna Gora učestvuje u radnoj grupi za Zapadni Balkan, regionalnoj operativnoj platformi za istrage krijumčarenja migranata, pod vođstvom Austrije. U novembru 2019. godine,</w:t>
      </w:r>
      <w:r w:rsidR="004A03A8" w:rsidRPr="00095948">
        <w:rPr>
          <w:rFonts w:eastAsia="Times New Roman" w:cs="Times New Roman"/>
          <w:szCs w:val="24"/>
          <w:lang w:val="fr-FR"/>
        </w:rPr>
        <w:t xml:space="preserve"> </w:t>
      </w:r>
      <w:r w:rsidRPr="00095948">
        <w:rPr>
          <w:rFonts w:eastAsia="Times New Roman" w:cs="Times New Roman"/>
          <w:szCs w:val="24"/>
          <w:lang w:val="fr-FR"/>
        </w:rPr>
        <w:t>Skupština je ratifikovala sporazum između strana potpisnica Konvencije o policijskoj saradnji u Jugoistočnoj Evropi (KPSJEE) o automatizovanoj razmjeni podataka o DNK, daktiloskopiji i registraciji vozila. U decembru 2019. godine, Crna Gora je preuzela predsjedavanje drugom policijskom regionalnom platformom, Udruženjem šefova policije Jugoistočne Evrope (SEPCA).</w:t>
      </w:r>
    </w:p>
    <w:p w:rsidR="00622A95" w:rsidRPr="00C35FD0" w:rsidRDefault="00622A95" w:rsidP="00EC1790">
      <w:pPr>
        <w:widowControl w:val="0"/>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U 2019. godini, Specijalno </w:t>
      </w:r>
      <w:r w:rsidR="009B080C">
        <w:rPr>
          <w:rFonts w:eastAsia="Times New Roman" w:cs="Times New Roman"/>
          <w:szCs w:val="24"/>
          <w:lang w:val="fr-FR"/>
        </w:rPr>
        <w:t xml:space="preserve">državno </w:t>
      </w:r>
      <w:r w:rsidRPr="00095948">
        <w:rPr>
          <w:rFonts w:eastAsia="Times New Roman" w:cs="Times New Roman"/>
          <w:szCs w:val="24"/>
          <w:lang w:val="fr-FR"/>
        </w:rPr>
        <w:t xml:space="preserve">tužilaštvo pokrenulo je 15 novih </w:t>
      </w:r>
      <w:r w:rsidRPr="00095948">
        <w:rPr>
          <w:rFonts w:eastAsia="Times New Roman" w:cs="Times New Roman"/>
          <w:b/>
          <w:bCs/>
          <w:szCs w:val="24"/>
          <w:lang w:val="fr-FR"/>
        </w:rPr>
        <w:t>finansijskih istraga</w:t>
      </w:r>
      <w:r w:rsidRPr="00095948">
        <w:rPr>
          <w:rFonts w:eastAsia="Times New Roman" w:cs="Times New Roman"/>
          <w:szCs w:val="24"/>
          <w:lang w:val="fr-FR"/>
        </w:rPr>
        <w:t xml:space="preserve"> u vezi s 207 fizičkih lica i 152 pravna</w:t>
      </w:r>
      <w:r w:rsidR="004A03A8" w:rsidRPr="00095948">
        <w:rPr>
          <w:rFonts w:eastAsia="Times New Roman" w:cs="Times New Roman"/>
          <w:szCs w:val="24"/>
          <w:lang w:val="fr-FR"/>
        </w:rPr>
        <w:t xml:space="preserve"> </w:t>
      </w:r>
      <w:r w:rsidRPr="00095948">
        <w:rPr>
          <w:rFonts w:eastAsia="Times New Roman" w:cs="Times New Roman"/>
          <w:szCs w:val="24"/>
          <w:lang w:val="fr-FR"/>
        </w:rPr>
        <w:t>lica, što je značajno povećanje u odnosu na 2018. godinu. U prvom kvartalu 2020. godine pokrenute su 4 nove finansijske istrage. Većina njih su složene istrage velikih razmjera usmjerene na desetine</w:t>
      </w:r>
      <w:r w:rsidR="004A03A8" w:rsidRPr="00095948">
        <w:rPr>
          <w:rFonts w:eastAsia="Times New Roman" w:cs="Times New Roman"/>
          <w:szCs w:val="24"/>
          <w:lang w:val="fr-FR"/>
        </w:rPr>
        <w:t xml:space="preserve"> </w:t>
      </w:r>
      <w:r w:rsidRPr="00095948">
        <w:rPr>
          <w:rFonts w:eastAsia="Times New Roman" w:cs="Times New Roman"/>
          <w:szCs w:val="24"/>
          <w:lang w:val="fr-FR"/>
        </w:rPr>
        <w:t>fizičkih i pravnih lica povezanih s pranjem novca, utajom poreza i predmetima korupcije,</w:t>
      </w:r>
      <w:r w:rsidR="004A03A8" w:rsidRPr="00095948">
        <w:rPr>
          <w:rFonts w:eastAsia="Times New Roman" w:cs="Times New Roman"/>
          <w:szCs w:val="24"/>
          <w:lang w:val="fr-FR"/>
        </w:rPr>
        <w:t xml:space="preserve"> </w:t>
      </w:r>
      <w:r w:rsidRPr="00095948">
        <w:rPr>
          <w:rFonts w:eastAsia="Times New Roman" w:cs="Times New Roman"/>
          <w:szCs w:val="24"/>
          <w:lang w:val="fr-FR"/>
        </w:rPr>
        <w:t xml:space="preserve">i zahtijevaju angažovanje značajnih resursa Specijalnog </w:t>
      </w:r>
      <w:r w:rsidR="009B080C">
        <w:rPr>
          <w:rFonts w:eastAsia="Times New Roman" w:cs="Times New Roman"/>
          <w:szCs w:val="24"/>
          <w:lang w:val="fr-FR"/>
        </w:rPr>
        <w:t xml:space="preserve">državnog </w:t>
      </w:r>
      <w:r w:rsidRPr="00095948">
        <w:rPr>
          <w:rFonts w:eastAsia="Times New Roman" w:cs="Times New Roman"/>
          <w:szCs w:val="24"/>
          <w:lang w:val="fr-FR"/>
        </w:rPr>
        <w:t xml:space="preserve">tužilaštva. Pokretanje finansijske istrage paralelno s kriminalističkom istragom zakonski je moguće, ali je i dalje ograničeno. U većini slučajeva, finansijske istrage započinju prekasno i usmjerene su na traženje imovine, uglavnom s ciljem proširenog oduzimanja, i prema tome </w:t>
      </w:r>
      <w:r w:rsidR="00402F96" w:rsidRPr="00095948">
        <w:rPr>
          <w:rFonts w:eastAsia="Times New Roman" w:cs="Times New Roman"/>
          <w:szCs w:val="24"/>
          <w:lang w:val="fr-FR"/>
        </w:rPr>
        <w:t>nijesu</w:t>
      </w:r>
      <w:r w:rsidR="009B080C">
        <w:rPr>
          <w:rFonts w:eastAsia="Times New Roman" w:cs="Times New Roman"/>
          <w:szCs w:val="24"/>
          <w:lang w:val="fr-FR"/>
        </w:rPr>
        <w:t xml:space="preserve"> </w:t>
      </w:r>
      <w:r w:rsidRPr="00095948">
        <w:rPr>
          <w:rFonts w:eastAsia="Times New Roman" w:cs="Times New Roman"/>
          <w:szCs w:val="24"/>
          <w:lang w:val="fr-FR"/>
        </w:rPr>
        <w:t xml:space="preserve">u skladu s praksom EU i standardima FATF-a. </w:t>
      </w:r>
      <w:r w:rsidRPr="00C35FD0">
        <w:rPr>
          <w:rFonts w:eastAsia="Times New Roman" w:cs="Times New Roman"/>
          <w:szCs w:val="24"/>
          <w:lang w:val="fr-FR"/>
        </w:rPr>
        <w:t>Umjesto toga, tužilaštvo sprovodi finansijsku analizu u okviru krivične istrage, kako bi procijenilo imovinsku korist stečenu kriminalnom djelatnošću, ali ne u dovoljnom obimu za dokazivanje krivičnih djela, poboljšanje znanja o kriminalnim mrežama, otkrivanje finansijskih tokova i ulaganje prljavog novca u ekonomiju. Crna Gora je nastavila da jača svoje kapacitete u ovoj oblasti brojnim kursevima obuke. Usvojene su standardne operativne procedure za sprovođenje finansijskih istraga. Međutim, potrebna je analiza cjelokupnog pristupa finansijskim istragama, uključujući pravnu osnovu.</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lastRenderedPageBreak/>
        <w:t xml:space="preserve">Broj sudskih postupaka za </w:t>
      </w:r>
      <w:r w:rsidRPr="00C35FD0">
        <w:rPr>
          <w:rFonts w:eastAsia="Times New Roman" w:cs="Times New Roman"/>
          <w:b/>
          <w:bCs/>
          <w:szCs w:val="24"/>
          <w:lang w:val="fr-FR"/>
        </w:rPr>
        <w:t xml:space="preserve">povraćaj imovine </w:t>
      </w:r>
      <w:r w:rsidRPr="00C35FD0">
        <w:rPr>
          <w:rFonts w:eastAsia="Times New Roman" w:cs="Times New Roman"/>
          <w:szCs w:val="24"/>
          <w:lang w:val="fr-FR"/>
        </w:rPr>
        <w:t>i iznos povraćene imovine povećali su se u 2019. godini. Međutim, samo u šest predmeta izrečeni su privremeni nalozi za povraćaj u 2019. godini, koji se odnose na 120 lica, za 4 miliona eura i određeni broj nekretnina. U predmetu korupcije na visokom nivou, u kojem je učestvovao bivši predsjednik države, oduzet je veliki brojne</w:t>
      </w:r>
      <w:r w:rsidR="004A03A8" w:rsidRPr="00C35FD0">
        <w:rPr>
          <w:rFonts w:eastAsia="Times New Roman" w:cs="Times New Roman"/>
          <w:szCs w:val="24"/>
          <w:lang w:val="fr-FR"/>
        </w:rPr>
        <w:t xml:space="preserve"> </w:t>
      </w:r>
      <w:r w:rsidRPr="00C35FD0">
        <w:rPr>
          <w:rFonts w:eastAsia="Times New Roman" w:cs="Times New Roman"/>
          <w:szCs w:val="24"/>
          <w:lang w:val="fr-FR"/>
        </w:rPr>
        <w:t>pokretnosti koje čine objekti i zemljište. Generalno, zbog ograničenog obima finansijskih istraga, iznos zaplijenjene i oduzete imovine još nije na očekivanom</w:t>
      </w:r>
      <w:r w:rsidR="004A03A8" w:rsidRPr="00C35FD0">
        <w:rPr>
          <w:rFonts w:eastAsia="Times New Roman" w:cs="Times New Roman"/>
          <w:szCs w:val="24"/>
          <w:lang w:val="fr-FR"/>
        </w:rPr>
        <w:t xml:space="preserve"> </w:t>
      </w:r>
      <w:r w:rsidRPr="00C35FD0">
        <w:rPr>
          <w:rFonts w:eastAsia="Times New Roman" w:cs="Times New Roman"/>
          <w:szCs w:val="24"/>
          <w:lang w:val="fr-FR"/>
        </w:rPr>
        <w:t>nivou. Oduzimanje imovine u ekvivalentnoj vrijednosti, kada se ne može doći do prihoda stečenih</w:t>
      </w:r>
      <w:r w:rsidR="004A03A8" w:rsidRPr="00C35FD0">
        <w:rPr>
          <w:rFonts w:eastAsia="Times New Roman" w:cs="Times New Roman"/>
          <w:szCs w:val="24"/>
          <w:lang w:val="fr-FR"/>
        </w:rPr>
        <w:t xml:space="preserve"> </w:t>
      </w:r>
      <w:r w:rsidRPr="00C35FD0">
        <w:rPr>
          <w:rFonts w:eastAsia="Times New Roman" w:cs="Times New Roman"/>
          <w:szCs w:val="24"/>
          <w:lang w:val="fr-FR"/>
        </w:rPr>
        <w:t>samim krivičnim djelom, ne postoji u crnogorskoj praksi. Sporazumi o priznanju krivice i dalje se koriste za obezbjeđivanje oduzimanja imovine. U posljednje četiri godine oduzeto je 32,5 miliona eura kao rezultat sporazuma o priznanju krivice u predmetima organizovanog</w:t>
      </w:r>
      <w:r w:rsidR="004A03A8" w:rsidRPr="00C35FD0">
        <w:rPr>
          <w:rFonts w:eastAsia="Times New Roman" w:cs="Times New Roman"/>
          <w:szCs w:val="24"/>
          <w:lang w:val="fr-FR"/>
        </w:rPr>
        <w:t xml:space="preserve"> </w:t>
      </w:r>
      <w:r w:rsidRPr="00C35FD0">
        <w:rPr>
          <w:rFonts w:eastAsia="Times New Roman" w:cs="Times New Roman"/>
          <w:szCs w:val="24"/>
          <w:lang w:val="fr-FR"/>
        </w:rPr>
        <w:t>kriminala i korupcije. Ne postoji nacionalni i standardizovani sistem za prikupljanje statističkih podataka o zamrznutoj, oduzetoj i zaplijenjenoj imovini, uključujući njihovu procijenjenu vrijednost. Crna Gora treba</w:t>
      </w:r>
      <w:r w:rsidR="009B080C" w:rsidRPr="00C35FD0">
        <w:rPr>
          <w:rFonts w:eastAsia="Times New Roman" w:cs="Times New Roman"/>
          <w:szCs w:val="24"/>
          <w:lang w:val="fr-FR"/>
        </w:rPr>
        <w:t xml:space="preserve"> </w:t>
      </w:r>
      <w:r w:rsidRPr="00C35FD0">
        <w:rPr>
          <w:rFonts w:eastAsia="Times New Roman" w:cs="Times New Roman"/>
          <w:szCs w:val="24"/>
          <w:lang w:val="fr-FR"/>
        </w:rPr>
        <w:t>hitno da poboljša svoje rezultate u pogledu konačnog oduzimanja imovinske koristi stečene kriminalnom djelatnošću,</w:t>
      </w:r>
      <w:r w:rsidR="004A03A8" w:rsidRPr="00C35FD0">
        <w:rPr>
          <w:rFonts w:eastAsia="Times New Roman" w:cs="Times New Roman"/>
          <w:szCs w:val="24"/>
          <w:lang w:val="fr-FR"/>
        </w:rPr>
        <w:t xml:space="preserve"> </w:t>
      </w:r>
      <w:r w:rsidRPr="00C35FD0">
        <w:rPr>
          <w:rFonts w:eastAsia="Times New Roman" w:cs="Times New Roman"/>
          <w:szCs w:val="24"/>
          <w:lang w:val="fr-FR"/>
        </w:rPr>
        <w:t>kao strateški prioritet politike u borbi protiv organizovanog</w:t>
      </w:r>
      <w:r w:rsidR="004A03A8" w:rsidRPr="00C35FD0">
        <w:rPr>
          <w:rFonts w:eastAsia="Times New Roman" w:cs="Times New Roman"/>
          <w:szCs w:val="24"/>
          <w:lang w:val="fr-FR"/>
        </w:rPr>
        <w:t xml:space="preserve"> </w:t>
      </w:r>
      <w:r w:rsidRPr="00C35FD0">
        <w:rPr>
          <w:rFonts w:eastAsia="Times New Roman" w:cs="Times New Roman"/>
          <w:szCs w:val="24"/>
          <w:lang w:val="fr-FR"/>
        </w:rPr>
        <w:t>kriminala.</w:t>
      </w:r>
    </w:p>
    <w:p w:rsidR="00622A95" w:rsidRPr="00C35FD0" w:rsidRDefault="00622A95" w:rsidP="00EC1790">
      <w:pPr>
        <w:spacing w:after="120" w:line="240" w:lineRule="auto"/>
        <w:jc w:val="both"/>
        <w:rPr>
          <w:rFonts w:eastAsia="Times New Roman" w:cs="Times New Roman"/>
          <w:bCs/>
          <w:iCs/>
          <w:szCs w:val="24"/>
          <w:lang w:val="fr-FR"/>
        </w:rPr>
      </w:pPr>
      <w:r w:rsidRPr="00C35FD0">
        <w:rPr>
          <w:rFonts w:eastAsia="Times New Roman" w:cs="Times New Roman"/>
          <w:bCs/>
          <w:iCs/>
          <w:szCs w:val="24"/>
          <w:lang w:val="fr-FR"/>
        </w:rPr>
        <w:t xml:space="preserve">U 2019. godini, od osnivanja </w:t>
      </w:r>
      <w:r w:rsidRPr="00C35FD0">
        <w:rPr>
          <w:rFonts w:eastAsia="Times New Roman" w:cs="Times New Roman"/>
          <w:b/>
          <w:iCs/>
          <w:szCs w:val="24"/>
          <w:lang w:val="fr-FR"/>
        </w:rPr>
        <w:t>Kancelarije za povraćaj imovine (</w:t>
      </w:r>
      <w:r w:rsidR="009B080C" w:rsidRPr="00C35FD0">
        <w:rPr>
          <w:rFonts w:eastAsia="Times New Roman" w:cs="Times New Roman"/>
          <w:b/>
          <w:iCs/>
          <w:szCs w:val="24"/>
          <w:lang w:val="fr-FR"/>
        </w:rPr>
        <w:t>ARO</w:t>
      </w:r>
      <w:r w:rsidRPr="00C35FD0">
        <w:rPr>
          <w:rFonts w:eastAsia="Times New Roman" w:cs="Times New Roman"/>
          <w:b/>
          <w:iCs/>
          <w:szCs w:val="24"/>
          <w:lang w:val="fr-FR"/>
        </w:rPr>
        <w:t>)</w:t>
      </w:r>
      <w:r w:rsidRPr="00C35FD0">
        <w:rPr>
          <w:rFonts w:eastAsia="Times New Roman" w:cs="Times New Roman"/>
          <w:bCs/>
          <w:iCs/>
          <w:szCs w:val="24"/>
          <w:lang w:val="fr-FR"/>
        </w:rPr>
        <w:t xml:space="preserve"> u okviru Uprave policije,</w:t>
      </w:r>
      <w:r w:rsidR="004A03A8" w:rsidRPr="00C35FD0">
        <w:rPr>
          <w:rFonts w:eastAsia="Times New Roman" w:cs="Times New Roman"/>
          <w:bCs/>
          <w:iCs/>
          <w:szCs w:val="24"/>
          <w:lang w:val="fr-FR"/>
        </w:rPr>
        <w:t xml:space="preserve"> </w:t>
      </w:r>
      <w:r w:rsidRPr="00C35FD0">
        <w:rPr>
          <w:rFonts w:eastAsia="Times New Roman" w:cs="Times New Roman"/>
          <w:bCs/>
          <w:iCs/>
          <w:szCs w:val="24"/>
          <w:lang w:val="fr-FR"/>
        </w:rPr>
        <w:t>primljeno je 37 zahtjeva za provjeru 137 fizičkih i 23 pravnih lica, dok su 103 zahtjeva za provjeru 217 fizičkih i 80 pravnih lica proslijeđena stranim nadležnim organima. Količina zahtjeva ostala je stabilna u prvoj polovini 2020. godine.</w:t>
      </w:r>
    </w:p>
    <w:p w:rsidR="00622A95" w:rsidRPr="00C35FD0" w:rsidRDefault="00622A95" w:rsidP="00EC1790">
      <w:pPr>
        <w:spacing w:after="120" w:line="240" w:lineRule="auto"/>
        <w:jc w:val="both"/>
        <w:rPr>
          <w:rFonts w:eastAsia="Times New Roman" w:cs="Times New Roman"/>
          <w:bCs/>
          <w:iCs/>
          <w:szCs w:val="24"/>
          <w:lang w:val="fr-FR"/>
        </w:rPr>
      </w:pPr>
      <w:r w:rsidRPr="00C35FD0">
        <w:rPr>
          <w:rFonts w:eastAsia="Times New Roman" w:cs="Times New Roman"/>
          <w:bCs/>
          <w:iCs/>
          <w:szCs w:val="24"/>
          <w:lang w:val="fr-FR"/>
        </w:rPr>
        <w:t xml:space="preserve">Početni </w:t>
      </w:r>
      <w:r w:rsidR="009B080C" w:rsidRPr="00C35FD0">
        <w:rPr>
          <w:rFonts w:eastAsia="Times New Roman" w:cs="Times New Roman"/>
          <w:bCs/>
          <w:iCs/>
          <w:szCs w:val="24"/>
          <w:lang w:val="fr-FR"/>
        </w:rPr>
        <w:t xml:space="preserve">bilans </w:t>
      </w:r>
      <w:r w:rsidRPr="00C35FD0">
        <w:rPr>
          <w:rFonts w:eastAsia="Times New Roman" w:cs="Times New Roman"/>
          <w:bCs/>
          <w:iCs/>
          <w:szCs w:val="24"/>
          <w:lang w:val="fr-FR"/>
        </w:rPr>
        <w:t>rezultat</w:t>
      </w:r>
      <w:r w:rsidR="009B080C" w:rsidRPr="00C35FD0">
        <w:rPr>
          <w:rFonts w:eastAsia="Times New Roman" w:cs="Times New Roman"/>
          <w:bCs/>
          <w:iCs/>
          <w:szCs w:val="24"/>
          <w:lang w:val="fr-FR"/>
        </w:rPr>
        <w:t>a</w:t>
      </w:r>
      <w:r w:rsidRPr="00C35FD0">
        <w:rPr>
          <w:rFonts w:eastAsia="Times New Roman" w:cs="Times New Roman"/>
          <w:bCs/>
          <w:iCs/>
          <w:szCs w:val="24"/>
          <w:lang w:val="fr-FR"/>
        </w:rPr>
        <w:t xml:space="preserve"> postignut u oblasti</w:t>
      </w:r>
      <w:r w:rsidR="004A03A8" w:rsidRPr="00C35FD0">
        <w:rPr>
          <w:rFonts w:eastAsia="Times New Roman" w:cs="Times New Roman"/>
          <w:bCs/>
          <w:iCs/>
          <w:szCs w:val="24"/>
          <w:lang w:val="fr-FR"/>
        </w:rPr>
        <w:t xml:space="preserve"> </w:t>
      </w:r>
      <w:r w:rsidRPr="00C35FD0">
        <w:rPr>
          <w:rFonts w:eastAsia="Times New Roman" w:cs="Times New Roman"/>
          <w:b/>
          <w:iCs/>
          <w:szCs w:val="24"/>
          <w:lang w:val="fr-FR"/>
        </w:rPr>
        <w:t>pranja novca</w:t>
      </w:r>
      <w:r w:rsidRPr="00C35FD0">
        <w:rPr>
          <w:rFonts w:eastAsia="Times New Roman" w:cs="Times New Roman"/>
          <w:bCs/>
          <w:iCs/>
          <w:szCs w:val="24"/>
          <w:lang w:val="fr-FR"/>
        </w:rPr>
        <w:t xml:space="preserve"> d</w:t>
      </w:r>
      <w:r w:rsidR="009B080C" w:rsidRPr="00C35FD0">
        <w:rPr>
          <w:rFonts w:eastAsia="Times New Roman" w:cs="Times New Roman"/>
          <w:bCs/>
          <w:iCs/>
          <w:szCs w:val="24"/>
          <w:lang w:val="fr-FR"/>
        </w:rPr>
        <w:t>odatno je razvijen</w:t>
      </w:r>
      <w:r w:rsidRPr="00C35FD0">
        <w:rPr>
          <w:rFonts w:eastAsia="Times New Roman" w:cs="Times New Roman"/>
          <w:bCs/>
          <w:iCs/>
          <w:szCs w:val="24"/>
          <w:lang w:val="fr-FR"/>
        </w:rPr>
        <w:t>, odražavajući</w:t>
      </w:r>
      <w:r w:rsidR="004A03A8" w:rsidRPr="00C35FD0">
        <w:rPr>
          <w:rFonts w:eastAsia="Times New Roman" w:cs="Times New Roman"/>
          <w:bCs/>
          <w:iCs/>
          <w:szCs w:val="24"/>
          <w:lang w:val="fr-FR"/>
        </w:rPr>
        <w:t xml:space="preserve"> </w:t>
      </w:r>
      <w:r w:rsidRPr="00C35FD0">
        <w:rPr>
          <w:rFonts w:eastAsia="Times New Roman" w:cs="Times New Roman"/>
          <w:bCs/>
          <w:iCs/>
          <w:szCs w:val="24"/>
          <w:lang w:val="fr-FR"/>
        </w:rPr>
        <w:t>snažniji fokus i povećani kapacitet agencija za sprovođenje zakona u ovoj</w:t>
      </w:r>
      <w:r w:rsidR="004A03A8" w:rsidRPr="00C35FD0">
        <w:rPr>
          <w:rFonts w:eastAsia="Times New Roman" w:cs="Times New Roman"/>
          <w:bCs/>
          <w:iCs/>
          <w:szCs w:val="24"/>
          <w:lang w:val="fr-FR"/>
        </w:rPr>
        <w:t xml:space="preserve"> </w:t>
      </w:r>
      <w:r w:rsidRPr="00C35FD0">
        <w:rPr>
          <w:rFonts w:eastAsia="Times New Roman" w:cs="Times New Roman"/>
          <w:bCs/>
          <w:iCs/>
          <w:szCs w:val="24"/>
          <w:lang w:val="fr-FR"/>
        </w:rPr>
        <w:t>oblasti. U 2019. godini izrečene su dvije pravosnažne osuđujuće presude za pranje novca, obje postignute sporazumima o priznanju krivice, što je dovelo do zatvorskih kazni u trajanju od tri i petmjeseci i plaćanja novčanih kazni i odšteta do 75.000 eura. Dva predmeta bila su na čekanju pred sudom, uključujući istaknuti slučaj Atlas banke, u kojem je bivši vlasnik banke optužen za zloupotrebu službenog položaja u aprilu 2019. godine. Međutim, u julu 2020. godine Interpol je otkazao crvenu potjernicu za odbjeglim biznismenom pod istragom u ovom predmetu.</w:t>
      </w:r>
    </w:p>
    <w:p w:rsidR="00622A95" w:rsidRPr="00C35FD0" w:rsidRDefault="00622A95" w:rsidP="00EC1790">
      <w:pPr>
        <w:spacing w:after="120" w:line="240" w:lineRule="auto"/>
        <w:jc w:val="both"/>
        <w:rPr>
          <w:rFonts w:eastAsia="Times New Roman" w:cs="Times New Roman"/>
          <w:bCs/>
          <w:szCs w:val="24"/>
          <w:lang w:val="fr-FR"/>
        </w:rPr>
      </w:pPr>
      <w:r w:rsidRPr="00C35FD0">
        <w:rPr>
          <w:rFonts w:eastAsia="Times New Roman" w:cs="Times New Roman"/>
          <w:bCs/>
          <w:szCs w:val="24"/>
          <w:lang w:val="fr-FR"/>
        </w:rPr>
        <w:t>Deset preliminarnih istraga i sedam istraga pranja novca sprovedeno je u 2019. godini, u vezi sa 122 subjekta, uključujući jedan predmet u vrijednosti od 25 miliona eura. Jedna nova istraga i dva izviđaja pokrenuti su u prvom kvartalu 2020. godine. Međutim, sistemski nedostaci i dalje koče čitav lanac krivičnog pravosuđa u rješavanju problema pranja novca. Treba pokrenuti više samostalnih predmeta. Policija, tužilaštva i sudovi treba da imaju</w:t>
      </w:r>
      <w:r w:rsidR="009B080C" w:rsidRPr="00C35FD0">
        <w:rPr>
          <w:rFonts w:eastAsia="Times New Roman" w:cs="Times New Roman"/>
          <w:bCs/>
          <w:szCs w:val="24"/>
          <w:lang w:val="fr-FR"/>
        </w:rPr>
        <w:t xml:space="preserve"> </w:t>
      </w:r>
      <w:r w:rsidRPr="00C35FD0">
        <w:rPr>
          <w:rFonts w:eastAsia="Times New Roman" w:cs="Times New Roman"/>
          <w:bCs/>
          <w:szCs w:val="24"/>
          <w:lang w:val="fr-FR"/>
        </w:rPr>
        <w:t>bolje obučene stručnjake za pranje novca. Potrebno je preispitati usko tumačenje pojmova pranja novca, posebno veze s predikatnim krivičnim djelom, iako</w:t>
      </w:r>
      <w:r w:rsidR="009B080C" w:rsidRPr="00C35FD0">
        <w:rPr>
          <w:rFonts w:eastAsia="Times New Roman" w:cs="Times New Roman"/>
          <w:bCs/>
          <w:szCs w:val="24"/>
          <w:lang w:val="fr-FR"/>
        </w:rPr>
        <w:t xml:space="preserve"> </w:t>
      </w:r>
      <w:r w:rsidRPr="00C35FD0">
        <w:rPr>
          <w:rFonts w:eastAsia="Times New Roman" w:cs="Times New Roman"/>
          <w:bCs/>
          <w:szCs w:val="24"/>
          <w:lang w:val="fr-FR"/>
        </w:rPr>
        <w:t>krivično djelo pranja novca upravo ima za cilj da takvu vezu učini nejasnom.</w:t>
      </w:r>
    </w:p>
    <w:p w:rsidR="00622A95" w:rsidRPr="00C35FD0" w:rsidRDefault="00622A95" w:rsidP="00EC1790">
      <w:pPr>
        <w:spacing w:after="120" w:line="240" w:lineRule="auto"/>
        <w:jc w:val="both"/>
        <w:rPr>
          <w:rFonts w:eastAsia="Times New Roman" w:cs="Times New Roman"/>
          <w:bCs/>
          <w:szCs w:val="24"/>
          <w:lang w:val="fr-FR"/>
        </w:rPr>
      </w:pPr>
      <w:r w:rsidRPr="00C35FD0">
        <w:rPr>
          <w:rFonts w:eastAsia="Times New Roman" w:cs="Times New Roman"/>
          <w:bCs/>
          <w:szCs w:val="24"/>
          <w:lang w:val="fr-FR"/>
        </w:rPr>
        <w:t>U istaknutom slučaju, dvojica osumnjičenih za pranje 19 miliona eura proisteklih iz krijumčarenja droge, koji su prvostepeno osuđeni na 11 godina zatvora, ali ih je Apelacioni sud oslobodio</w:t>
      </w:r>
      <w:r w:rsidR="004A03A8" w:rsidRPr="00C35FD0">
        <w:rPr>
          <w:rFonts w:eastAsia="Times New Roman" w:cs="Times New Roman"/>
          <w:bCs/>
          <w:szCs w:val="24"/>
          <w:lang w:val="fr-FR"/>
        </w:rPr>
        <w:t xml:space="preserve"> </w:t>
      </w:r>
      <w:r w:rsidRPr="00C35FD0">
        <w:rPr>
          <w:rFonts w:eastAsia="Times New Roman" w:cs="Times New Roman"/>
          <w:bCs/>
          <w:szCs w:val="24"/>
          <w:lang w:val="fr-FR"/>
        </w:rPr>
        <w:t>2017. godine,</w:t>
      </w:r>
      <w:r w:rsidR="004A03A8" w:rsidRPr="00C35FD0">
        <w:rPr>
          <w:rFonts w:eastAsia="Times New Roman" w:cs="Times New Roman"/>
          <w:bCs/>
          <w:szCs w:val="24"/>
          <w:lang w:val="fr-FR"/>
        </w:rPr>
        <w:t xml:space="preserve"> </w:t>
      </w:r>
      <w:r w:rsidRPr="00C35FD0">
        <w:rPr>
          <w:rFonts w:eastAsia="Times New Roman" w:cs="Times New Roman"/>
          <w:bCs/>
          <w:szCs w:val="24"/>
          <w:lang w:val="fr-FR"/>
        </w:rPr>
        <w:t>dobili su sudske sporove protiv države u novembru 2019. godine zbog nezakonitog pritvora i imaju pravo na po 103.000 eura odštete.</w:t>
      </w:r>
    </w:p>
    <w:p w:rsidR="00622A95" w:rsidRPr="00095948" w:rsidRDefault="00622A95" w:rsidP="00EC1790">
      <w:pPr>
        <w:spacing w:after="120" w:line="240" w:lineRule="auto"/>
        <w:jc w:val="both"/>
        <w:rPr>
          <w:rFonts w:eastAsia="Times New Roman" w:cs="Times New Roman"/>
          <w:bCs/>
          <w:szCs w:val="24"/>
          <w:lang w:val="fr-FR"/>
        </w:rPr>
      </w:pPr>
      <w:r w:rsidRPr="00095948">
        <w:rPr>
          <w:rFonts w:eastAsia="Times New Roman" w:cs="Times New Roman"/>
          <w:bCs/>
          <w:szCs w:val="24"/>
          <w:lang w:val="fr-FR"/>
        </w:rPr>
        <w:t>Crna Gora je postigla određeni napredak u oblasti</w:t>
      </w:r>
      <w:r w:rsidR="004A03A8" w:rsidRPr="00095948">
        <w:rPr>
          <w:rFonts w:eastAsia="Times New Roman" w:cs="Times New Roman"/>
          <w:bCs/>
          <w:szCs w:val="24"/>
          <w:lang w:val="fr-FR"/>
        </w:rPr>
        <w:t xml:space="preserve"> </w:t>
      </w:r>
      <w:r w:rsidRPr="00095948">
        <w:rPr>
          <w:rFonts w:eastAsia="Times New Roman" w:cs="Times New Roman"/>
          <w:b/>
          <w:szCs w:val="24"/>
          <w:lang w:val="fr-FR"/>
        </w:rPr>
        <w:t>borbe protiv trgovine ljudima</w:t>
      </w:r>
      <w:r w:rsidRPr="00095948">
        <w:rPr>
          <w:rFonts w:eastAsia="Times New Roman" w:cs="Times New Roman"/>
          <w:bCs/>
          <w:szCs w:val="24"/>
          <w:lang w:val="fr-FR"/>
        </w:rPr>
        <w:t>. Početn</w:t>
      </w:r>
      <w:r w:rsidR="009B080C">
        <w:rPr>
          <w:rFonts w:eastAsia="Times New Roman" w:cs="Times New Roman"/>
          <w:bCs/>
          <w:szCs w:val="24"/>
          <w:lang w:val="fr-FR"/>
        </w:rPr>
        <w:t xml:space="preserve">i bilans rezultata </w:t>
      </w:r>
      <w:r w:rsidRPr="00095948">
        <w:rPr>
          <w:rFonts w:eastAsia="Times New Roman" w:cs="Times New Roman"/>
          <w:bCs/>
          <w:szCs w:val="24"/>
          <w:lang w:val="fr-FR"/>
        </w:rPr>
        <w:t xml:space="preserve">konsolidovan je 2019. godine, odražavajući usmjereniji i bolje koordiniran pristup otkrivanju krivičnih djela trgovine ljudima. Crna Gora je u 2019. godini imala 11 predmeta trgovine ljudima, u različitim fazama postupka, uključujući tri slučaja trgovine unutar organizovane kriminalne grupe. U dva predmeta žrtve su bile žene. U novembru 2019. godine izrečena je jedna pravosnažna osuđujuća presuda kojom su određene neviđeno stroge zatvorske kazne. Dva predmeta bila su u toku pred sudom. U januaru 2020. godine, crnogorska policija otkrila je mrežu trgovine ljudima sa Tajvana, što je dovelo do hapšenja 93 </w:t>
      </w:r>
      <w:r w:rsidRPr="00095948">
        <w:rPr>
          <w:rFonts w:eastAsia="Times New Roman" w:cs="Times New Roman"/>
          <w:bCs/>
          <w:szCs w:val="24"/>
          <w:lang w:val="fr-FR"/>
        </w:rPr>
        <w:lastRenderedPageBreak/>
        <w:t>osobe, u najvećem predmetu trgovine ljudima na Zapadnom Balkanu ikada. Početkom 2020. godine, pokrenute su četiri nove istrage trgovine ljudima u kojima je učestvovalo 6 osoba.</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Ojačani</w:t>
      </w:r>
      <w:r w:rsidR="004A03A8" w:rsidRPr="00095948">
        <w:rPr>
          <w:rFonts w:eastAsia="Times New Roman" w:cs="Times New Roman"/>
          <w:szCs w:val="24"/>
          <w:lang w:val="fr-FR"/>
        </w:rPr>
        <w:t xml:space="preserve"> </w:t>
      </w:r>
      <w:r w:rsidRPr="00095948">
        <w:rPr>
          <w:rFonts w:eastAsia="Times New Roman" w:cs="Times New Roman"/>
          <w:szCs w:val="24"/>
          <w:lang w:val="fr-FR"/>
        </w:rPr>
        <w:t>su institucionalni</w:t>
      </w:r>
      <w:r w:rsidR="004A03A8" w:rsidRPr="00095948">
        <w:rPr>
          <w:rFonts w:eastAsia="Times New Roman" w:cs="Times New Roman"/>
          <w:szCs w:val="24"/>
          <w:lang w:val="fr-FR"/>
        </w:rPr>
        <w:t xml:space="preserve"> </w:t>
      </w:r>
      <w:r w:rsidRPr="00095948">
        <w:rPr>
          <w:rFonts w:eastAsia="Times New Roman" w:cs="Times New Roman"/>
          <w:szCs w:val="24"/>
          <w:lang w:val="fr-FR"/>
        </w:rPr>
        <w:t>kapaciteti za borbu protiv trgovine ljudima pod vođstvom multidisciplinarnog tijela koje nadgleda sprovođenje Strategije za borbu protiv trgovine ljudima. Vi</w:t>
      </w:r>
      <w:r w:rsidR="009B080C">
        <w:rPr>
          <w:rFonts w:eastAsia="Times New Roman" w:cs="Times New Roman"/>
          <w:szCs w:val="24"/>
          <w:lang w:val="fr-FR"/>
        </w:rPr>
        <w:t>še</w:t>
      </w:r>
      <w:r w:rsidRPr="00095948">
        <w:rPr>
          <w:rFonts w:eastAsia="Times New Roman" w:cs="Times New Roman"/>
          <w:szCs w:val="24"/>
          <w:lang w:val="fr-FR"/>
        </w:rPr>
        <w:t xml:space="preserve"> tužilaštvo u Podgorici nastavlja nadzor nad predmetima nižih instanci koji mogu predstavljati elemente trgovine ljudima. Ministarstvo unutrašnjih poslova osnovalo je odjeljenje zaduženo za identifikaciju i upućivanje žrtava i usvojilo standardne operativne procedure. Tokom prvih šest mjeseci 2020. godine, status žrtve dobila</w:t>
      </w:r>
      <w:r w:rsidR="004A03A8" w:rsidRPr="00095948">
        <w:rPr>
          <w:rFonts w:eastAsia="Times New Roman" w:cs="Times New Roman"/>
          <w:szCs w:val="24"/>
          <w:lang w:val="fr-FR"/>
        </w:rPr>
        <w:t xml:space="preserve"> </w:t>
      </w:r>
      <w:r w:rsidRPr="00095948">
        <w:rPr>
          <w:rFonts w:eastAsia="Times New Roman" w:cs="Times New Roman"/>
          <w:szCs w:val="24"/>
          <w:lang w:val="fr-FR"/>
        </w:rPr>
        <w:t>su 44 lica, od kojih je 43 smješteno u specijalizovana skloništa. U lokalnim policijskim jedinicama imenovano je i obučeno 16 kontakt tačaka za identifikaciju žrtava. Pokrenuta je kampanja za podizanje svijesti javnosti, uključujući TV prilog o rizicima trgovine ljudima. Dvanaest nevladinih organizacija koristi državne grantove za preventivne i zaštitne aktivnosti, a jedna NVO vodi SOS telefon 24 sata dnevno, 7 dana u nedjelji. Moraju se nastaviti napori na konsolidaciji početn</w:t>
      </w:r>
      <w:r w:rsidR="009B080C">
        <w:rPr>
          <w:rFonts w:eastAsia="Times New Roman" w:cs="Times New Roman"/>
          <w:szCs w:val="24"/>
          <w:lang w:val="fr-FR"/>
        </w:rPr>
        <w:t xml:space="preserve">og bilansa rezultata u oblasti </w:t>
      </w:r>
      <w:r w:rsidRPr="00095948">
        <w:rPr>
          <w:rFonts w:eastAsia="Times New Roman" w:cs="Times New Roman"/>
          <w:szCs w:val="24"/>
          <w:lang w:val="fr-FR"/>
        </w:rPr>
        <w:t>trgovin</w:t>
      </w:r>
      <w:r w:rsidR="009B080C">
        <w:rPr>
          <w:rFonts w:eastAsia="Times New Roman" w:cs="Times New Roman"/>
          <w:szCs w:val="24"/>
          <w:lang w:val="fr-FR"/>
        </w:rPr>
        <w:t>e</w:t>
      </w:r>
      <w:r w:rsidRPr="00095948">
        <w:rPr>
          <w:rFonts w:eastAsia="Times New Roman" w:cs="Times New Roman"/>
          <w:szCs w:val="24"/>
          <w:lang w:val="fr-FR"/>
        </w:rPr>
        <w:t xml:space="preserve"> ljudima, proaktivnom identifikovanju žrtava trgovine ljudima, pružanju pomoći žrtvama, povećavanjubroja krivičnog gonjenja i osuđujućih presuda i daljem podizanju svijesti, obuci i koordinaciji aktivnosti.</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U oblasti </w:t>
      </w:r>
      <w:r w:rsidRPr="00095948">
        <w:rPr>
          <w:rFonts w:eastAsia="Times New Roman" w:cs="Times New Roman"/>
          <w:b/>
          <w:bCs/>
          <w:szCs w:val="24"/>
          <w:lang w:val="fr-FR"/>
        </w:rPr>
        <w:t>trgovine oružjem</w:t>
      </w:r>
      <w:r w:rsidRPr="00095948">
        <w:rPr>
          <w:rFonts w:eastAsia="Times New Roman" w:cs="Times New Roman"/>
          <w:szCs w:val="24"/>
          <w:lang w:val="fr-FR"/>
        </w:rPr>
        <w:t>, Crna Gora je u 2019. godini zaplijenila 990 komada oružja, od čega 514 komada vatrenog oružja. Vlada je nastavila da sprovodi Akcioni plan o nezakonitoj trgovini vatrenim oružjem između EU i regiona Jugoistočne Evrope za 2015. godinu. Uspostavljena je i djeluje i kontakt tačka za vatreno oružje. Sastoji se od tima policijskih službenika iz različitih službi, propisno obučenih i opremljenih prije formalnog imenovanja. Tim je zadužen za prikupljanje, analizu i razmjenu podataka u okviru Europolovih projekata i s Centrom za sprovođenje zakona za Jugoistočnu Evropu.</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U oblasti </w:t>
      </w:r>
      <w:r w:rsidR="009B080C">
        <w:rPr>
          <w:rFonts w:eastAsia="Times New Roman" w:cs="Times New Roman"/>
          <w:b/>
          <w:bCs/>
          <w:szCs w:val="24"/>
          <w:lang w:val="fr-FR"/>
        </w:rPr>
        <w:t>računarskog</w:t>
      </w:r>
      <w:r w:rsidR="009B080C" w:rsidRPr="00095948">
        <w:rPr>
          <w:rFonts w:eastAsia="Times New Roman" w:cs="Times New Roman"/>
          <w:b/>
          <w:bCs/>
          <w:szCs w:val="24"/>
          <w:lang w:val="fr-FR"/>
        </w:rPr>
        <w:t xml:space="preserve"> </w:t>
      </w:r>
      <w:r w:rsidRPr="00095948">
        <w:rPr>
          <w:rFonts w:eastAsia="Times New Roman" w:cs="Times New Roman"/>
          <w:b/>
          <w:bCs/>
          <w:szCs w:val="24"/>
          <w:lang w:val="fr-FR"/>
        </w:rPr>
        <w:t>kriminala</w:t>
      </w:r>
      <w:r w:rsidRPr="00095948">
        <w:rPr>
          <w:rFonts w:eastAsia="Times New Roman" w:cs="Times New Roman"/>
          <w:szCs w:val="24"/>
          <w:lang w:val="fr-FR"/>
        </w:rPr>
        <w:t xml:space="preserve"> ojačani su institucionalni kapaciteti. Rezultat je porast broja pokrenutih predmeta za 50% (pokrenuto je 111 izviđaja i 4 istrage za širok spektar sajber krivičnih djela, poput prevare na internetu, hakovanja, otkupnine, prodaje falsifikovane robe, iznuda govora mržnje, dječije pornografije). Potrebno je dodatno ojačati ljudske resurse, kako u policiji, tako i u tužilaštvu, kako bi se riješile prijetnje </w:t>
      </w:r>
      <w:r w:rsidR="009B080C">
        <w:rPr>
          <w:rFonts w:eastAsia="Times New Roman" w:cs="Times New Roman"/>
          <w:szCs w:val="24"/>
          <w:lang w:val="fr-FR"/>
        </w:rPr>
        <w:t xml:space="preserve">računarskog </w:t>
      </w:r>
      <w:r w:rsidR="009B080C" w:rsidRPr="00095948">
        <w:rPr>
          <w:rFonts w:eastAsia="Times New Roman" w:cs="Times New Roman"/>
          <w:szCs w:val="24"/>
          <w:lang w:val="fr-FR"/>
        </w:rPr>
        <w:t xml:space="preserve"> </w:t>
      </w:r>
      <w:r w:rsidRPr="00095948">
        <w:rPr>
          <w:rFonts w:eastAsia="Times New Roman" w:cs="Times New Roman"/>
          <w:szCs w:val="24"/>
          <w:lang w:val="fr-FR"/>
        </w:rPr>
        <w:t xml:space="preserve">kriminala i kriminala omogućenog u </w:t>
      </w:r>
      <w:r w:rsidR="009B080C">
        <w:rPr>
          <w:rFonts w:eastAsia="Times New Roman" w:cs="Times New Roman"/>
          <w:szCs w:val="24"/>
          <w:lang w:val="fr-FR"/>
        </w:rPr>
        <w:t>računarskom</w:t>
      </w:r>
      <w:r w:rsidR="009B080C" w:rsidRPr="00095948">
        <w:rPr>
          <w:rFonts w:eastAsia="Times New Roman" w:cs="Times New Roman"/>
          <w:szCs w:val="24"/>
          <w:lang w:val="fr-FR"/>
        </w:rPr>
        <w:t xml:space="preserve"> </w:t>
      </w:r>
      <w:r w:rsidRPr="00095948">
        <w:rPr>
          <w:rFonts w:eastAsia="Times New Roman" w:cs="Times New Roman"/>
          <w:szCs w:val="24"/>
          <w:lang w:val="fr-FR"/>
        </w:rPr>
        <w:t>prostoru.</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U oblasti borbe protiv </w:t>
      </w:r>
      <w:r w:rsidRPr="00095948">
        <w:rPr>
          <w:rFonts w:eastAsia="Times New Roman" w:cs="Times New Roman"/>
          <w:b/>
          <w:bCs/>
          <w:szCs w:val="24"/>
          <w:lang w:val="fr-FR"/>
        </w:rPr>
        <w:t>krijumčarenja duvana</w:t>
      </w:r>
      <w:r w:rsidRPr="00095948">
        <w:rPr>
          <w:rFonts w:eastAsia="Times New Roman" w:cs="Times New Roman"/>
          <w:szCs w:val="24"/>
          <w:lang w:val="fr-FR"/>
        </w:rPr>
        <w:t xml:space="preserve"> nije bilo osuđujuće presude za organizovano krijumčarenje cigareta u 2019. godini. Međutim, krivični postupak vođen je u tri predmeta velikih razmjera, uključujući jedan premet u kojem su učestvovala 22 osumnjičena. U drugom predmetu uhapšen je poznati osumnjičeni krijumčar, za kojim se tragalo 20 godina. Oduzimanje duvana kojim se nezakonito trguje redovno vrši carina, lokalna ili centralna policija. Ukupna</w:t>
      </w:r>
      <w:r w:rsidR="004A03A8" w:rsidRPr="00095948">
        <w:rPr>
          <w:rFonts w:eastAsia="Times New Roman" w:cs="Times New Roman"/>
          <w:szCs w:val="24"/>
          <w:lang w:val="fr-FR"/>
        </w:rPr>
        <w:t xml:space="preserve"> </w:t>
      </w:r>
      <w:r w:rsidRPr="00095948">
        <w:rPr>
          <w:rFonts w:eastAsia="Times New Roman" w:cs="Times New Roman"/>
          <w:szCs w:val="24"/>
          <w:lang w:val="fr-FR"/>
        </w:rPr>
        <w:t>količina zapl</w:t>
      </w:r>
      <w:r w:rsidR="00220058">
        <w:rPr>
          <w:rFonts w:eastAsia="Times New Roman" w:cs="Times New Roman"/>
          <w:szCs w:val="24"/>
          <w:lang w:val="fr-FR"/>
        </w:rPr>
        <w:t>i</w:t>
      </w:r>
      <w:r w:rsidRPr="00095948">
        <w:rPr>
          <w:rFonts w:eastAsia="Times New Roman" w:cs="Times New Roman"/>
          <w:szCs w:val="24"/>
          <w:lang w:val="fr-FR"/>
        </w:rPr>
        <w:t xml:space="preserve">jena u 2019. godini iznosila je 1.719.000 paklica cigareta, odnosno 3,9 miliona eura. Međutim, uprkos povećanim naporima </w:t>
      </w:r>
      <w:r w:rsidR="00220058">
        <w:rPr>
          <w:rFonts w:eastAsia="Times New Roman" w:cs="Times New Roman"/>
          <w:szCs w:val="24"/>
          <w:lang w:val="fr-FR"/>
        </w:rPr>
        <w:t>organa</w:t>
      </w:r>
      <w:r w:rsidR="00220058" w:rsidRPr="00095948">
        <w:rPr>
          <w:rFonts w:eastAsia="Times New Roman" w:cs="Times New Roman"/>
          <w:szCs w:val="24"/>
          <w:lang w:val="fr-FR"/>
        </w:rPr>
        <w:t xml:space="preserve"> </w:t>
      </w:r>
      <w:r w:rsidRPr="00095948">
        <w:rPr>
          <w:rFonts w:eastAsia="Times New Roman" w:cs="Times New Roman"/>
          <w:szCs w:val="24"/>
          <w:lang w:val="fr-FR"/>
        </w:rPr>
        <w:t>za sprovođenje zakona u ovoj</w:t>
      </w:r>
      <w:r w:rsidR="00220058">
        <w:rPr>
          <w:rFonts w:eastAsia="Times New Roman" w:cs="Times New Roman"/>
          <w:szCs w:val="24"/>
          <w:lang w:val="fr-FR"/>
        </w:rPr>
        <w:t xml:space="preserve"> </w:t>
      </w:r>
      <w:r w:rsidRPr="00095948">
        <w:rPr>
          <w:rFonts w:eastAsia="Times New Roman" w:cs="Times New Roman"/>
          <w:szCs w:val="24"/>
          <w:lang w:val="fr-FR"/>
        </w:rPr>
        <w:t xml:space="preserve">oblasti i poboljšanoj saradnji crnogorske carine s EU i međunarodnim partnerima, broj pokrenutih predmeta još uvijek je nedovoljan, s obzirom na procijenjeni obim šverca duvana iz, u i preko Crne Gore. Crna Gora treba da poveća kapacitete za procjenu rizika u oblasti krijumčarenja duvana, da promoviše policiju vođenu obavještajnim radom i proaktivnost </w:t>
      </w:r>
      <w:r w:rsidR="00220058">
        <w:rPr>
          <w:rFonts w:eastAsia="Times New Roman" w:cs="Times New Roman"/>
          <w:szCs w:val="24"/>
          <w:lang w:val="fr-FR"/>
        </w:rPr>
        <w:t xml:space="preserve">organa </w:t>
      </w:r>
      <w:r w:rsidRPr="00095948">
        <w:rPr>
          <w:rFonts w:eastAsia="Times New Roman" w:cs="Times New Roman"/>
          <w:szCs w:val="24"/>
          <w:lang w:val="fr-FR"/>
        </w:rPr>
        <w:t>za sprovođenje zakona, kao i da i otkloni sistemske nedostatke slobodne zone Bar.</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Što se tiče </w:t>
      </w:r>
      <w:r w:rsidRPr="00095948">
        <w:rPr>
          <w:rFonts w:eastAsia="Times New Roman" w:cs="Times New Roman"/>
          <w:b/>
          <w:bCs/>
          <w:szCs w:val="24"/>
          <w:lang w:val="fr-FR"/>
        </w:rPr>
        <w:t>zaštite svjedoka</w:t>
      </w:r>
      <w:r w:rsidRPr="00095948">
        <w:rPr>
          <w:rFonts w:eastAsia="Times New Roman" w:cs="Times New Roman"/>
          <w:szCs w:val="24"/>
          <w:lang w:val="fr-FR"/>
        </w:rPr>
        <w:t>, mjere zaštite primijenjene su na 3 lica u 2019. godini i na 5 lica u prvih šest mjeseci 2020. godine, u slučajevima koji su bili u nadležnosti Specijalnog državnog tužilaštva. Sprovedene su mjere vanparnične zaštite u odnosu na 25 lica.</w:t>
      </w:r>
    </w:p>
    <w:p w:rsidR="00622A95" w:rsidRPr="00095948" w:rsidRDefault="00622A95" w:rsidP="00EC1790">
      <w:pPr>
        <w:widowControl w:val="0"/>
        <w:spacing w:after="120" w:line="240" w:lineRule="auto"/>
        <w:jc w:val="both"/>
        <w:rPr>
          <w:rFonts w:cs="Times New Roman"/>
          <w:b/>
          <w:bCs/>
          <w:szCs w:val="24"/>
          <w:lang w:val="fr-FR"/>
        </w:rPr>
      </w:pPr>
      <w:r w:rsidRPr="00095948">
        <w:rPr>
          <w:rFonts w:cs="Times New Roman"/>
          <w:b/>
          <w:bCs/>
          <w:szCs w:val="24"/>
          <w:lang w:val="fr-FR"/>
        </w:rPr>
        <w:t>Saradnja u oblasti borbe protiv trgovine drogom</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u w:val="single"/>
          <w:lang w:val="fr-FR"/>
        </w:rPr>
        <w:t>Institucionalna organizacija i usklađivanje zakonodavstva</w:t>
      </w:r>
    </w:p>
    <w:p w:rsidR="00622A95" w:rsidRPr="00C35FD0"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lastRenderedPageBreak/>
        <w:t xml:space="preserve">Pravni, institucionalni i strateški okviri Crne Gore u ovojoblasti u velikoj su mjeri usklađeni s pravnom tekovinom EU. Međutim, na strani potražnje nije postignut napredak u rješavanju nedostataka nacionalnog informacionog sistema o drogama, u skladu sa standardima EU. </w:t>
      </w:r>
      <w:r w:rsidR="00220058">
        <w:rPr>
          <w:rFonts w:eastAsia="Times New Roman" w:cs="Times New Roman"/>
          <w:szCs w:val="24"/>
          <w:lang w:val="fr-FR"/>
        </w:rPr>
        <w:t xml:space="preserve">Jedinica </w:t>
      </w:r>
      <w:r w:rsidRPr="00C35FD0">
        <w:rPr>
          <w:rFonts w:eastAsia="Times New Roman" w:cs="Times New Roman"/>
          <w:szCs w:val="24"/>
          <w:lang w:val="fr-FR"/>
        </w:rPr>
        <w:t>za droge</w:t>
      </w:r>
      <w:r w:rsidR="00220058">
        <w:rPr>
          <w:rFonts w:eastAsia="Times New Roman" w:cs="Times New Roman"/>
          <w:szCs w:val="24"/>
          <w:lang w:val="fr-FR"/>
        </w:rPr>
        <w:t xml:space="preserve"> u Ministarstvu zdravlja</w:t>
      </w:r>
      <w:r w:rsidRPr="00C35FD0">
        <w:rPr>
          <w:rFonts w:eastAsia="Times New Roman" w:cs="Times New Roman"/>
          <w:szCs w:val="24"/>
          <w:lang w:val="fr-FR"/>
        </w:rPr>
        <w:t xml:space="preserve"> i dalje nema dovoljno zaposlenih, ima ograničenu budžetsku autonomiju i ne ispunjava u dovoljnoj mjeri svoju koordinacionu funkciju.</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Crna Gora je prvi put nakon pet godina podnijela nacionalni izvještaj o drogama. Međutim, uprkos dobrim tehničkim i naučnim kapacitetima u forenzičkoj laboratoriji i drugim institucijama koje se bave pitanjima vezanim zadroge, prikupljanje podataka o drogama i dalje je fragmentisano i ne oslanja se na protokole koji su u skladu sa standardima Evropskog centra za praćenje droga i zavisnosti od droga (EMCDDA). Nacionalni sistem ranog upozoravanja (N</w:t>
      </w:r>
      <w:r w:rsidR="00220058" w:rsidRPr="00C35FD0">
        <w:rPr>
          <w:rFonts w:eastAsia="Times New Roman" w:cs="Times New Roman"/>
          <w:szCs w:val="24"/>
          <w:lang w:val="fr-FR"/>
        </w:rPr>
        <w:t>EWS</w:t>
      </w:r>
      <w:r w:rsidRPr="00C35FD0">
        <w:rPr>
          <w:rFonts w:eastAsia="Times New Roman" w:cs="Times New Roman"/>
          <w:szCs w:val="24"/>
          <w:lang w:val="fr-FR"/>
        </w:rPr>
        <w:t xml:space="preserve">) nije u potpunosti operativan. Preporuke iz izvještaja EMCDDA iz jula 2018. godine nijesu adresirane. </w:t>
      </w:r>
      <w:r w:rsidR="00220058" w:rsidRPr="00C35FD0">
        <w:rPr>
          <w:rFonts w:eastAsia="Times New Roman" w:cs="Times New Roman"/>
          <w:szCs w:val="24"/>
          <w:lang w:val="fr-FR"/>
        </w:rPr>
        <w:t>Jedinicu</w:t>
      </w:r>
      <w:r w:rsidRPr="00C35FD0">
        <w:rPr>
          <w:rFonts w:eastAsia="Times New Roman" w:cs="Times New Roman"/>
          <w:szCs w:val="24"/>
          <w:lang w:val="fr-FR"/>
        </w:rPr>
        <w:t xml:space="preserve"> za droge treba ojačati kao prioritet, kako bi postala mjerodavan izvor informacija, tako da sastavlja redovne sveobuhvatne nacionalne izvještaje o drogama u Crnoj Gori i bude izvor informacija zasnovan na dokazima za nacionalne politike povezane s drogama.</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Na strani</w:t>
      </w:r>
      <w:r w:rsidR="001E227C" w:rsidRPr="00C35FD0">
        <w:rPr>
          <w:rFonts w:eastAsia="Times New Roman" w:cs="Times New Roman"/>
          <w:szCs w:val="24"/>
          <w:lang w:val="fr-FR"/>
        </w:rPr>
        <w:t xml:space="preserve"> </w:t>
      </w:r>
      <w:r w:rsidRPr="00C35FD0">
        <w:rPr>
          <w:rFonts w:eastAsia="Times New Roman" w:cs="Times New Roman"/>
          <w:szCs w:val="24"/>
          <w:lang w:val="fr-FR"/>
        </w:rPr>
        <w:t>sprovođenja zakona, policija ima dvije jedinice zadužene za krivična djela povezana s drogama, jednu za krivična djela krijumčarenja droga i drugu za organizovanu trgovinu drogama. Ova druga sastoji se od samo osam zaposlenih, uprkos činjenici da je krijumčarenje droge glavna djelatnost crnogorskih kriminalnih grupa, koje uglavnom djeluju van zemlje. Potreba za većim brojem istražitelja u ovoj jedinici, omogućavanje da ova jedinica ima</w:t>
      </w:r>
      <w:r w:rsidR="001E227C" w:rsidRPr="00C35FD0">
        <w:rPr>
          <w:rFonts w:eastAsia="Times New Roman" w:cs="Times New Roman"/>
          <w:szCs w:val="24"/>
          <w:lang w:val="fr-FR"/>
        </w:rPr>
        <w:t xml:space="preserve"> </w:t>
      </w:r>
      <w:r w:rsidRPr="00C35FD0">
        <w:rPr>
          <w:rFonts w:eastAsia="Times New Roman" w:cs="Times New Roman"/>
          <w:szCs w:val="24"/>
          <w:lang w:val="fr-FR"/>
        </w:rPr>
        <w:t xml:space="preserve">direktan pristup međunarodnim komunikacionim kanalima kao što je SIENA i obnavljanje pune upotrebe </w:t>
      </w:r>
      <w:r w:rsidR="00220058" w:rsidRPr="00C35FD0">
        <w:rPr>
          <w:rFonts w:eastAsia="Times New Roman" w:cs="Times New Roman"/>
          <w:szCs w:val="24"/>
          <w:lang w:val="fr-FR"/>
        </w:rPr>
        <w:t xml:space="preserve">specijalnih </w:t>
      </w:r>
      <w:r w:rsidRPr="00C35FD0">
        <w:rPr>
          <w:rFonts w:eastAsia="Times New Roman" w:cs="Times New Roman"/>
          <w:szCs w:val="24"/>
          <w:lang w:val="fr-FR"/>
        </w:rPr>
        <w:t>istražnih m</w:t>
      </w:r>
      <w:r w:rsidR="00220058" w:rsidRPr="00C35FD0">
        <w:rPr>
          <w:rFonts w:eastAsia="Times New Roman" w:cs="Times New Roman"/>
          <w:szCs w:val="24"/>
          <w:lang w:val="fr-FR"/>
        </w:rPr>
        <w:t xml:space="preserve">etoda </w:t>
      </w:r>
      <w:r w:rsidRPr="00C35FD0">
        <w:rPr>
          <w:rFonts w:eastAsia="Times New Roman" w:cs="Times New Roman"/>
          <w:szCs w:val="24"/>
          <w:lang w:val="fr-FR"/>
        </w:rPr>
        <w:t>pitanja su kojima se treba prioritetno pozabaviti, kao i poboljšanjem</w:t>
      </w:r>
      <w:r w:rsidR="001E227C" w:rsidRPr="00C35FD0">
        <w:rPr>
          <w:rFonts w:eastAsia="Times New Roman" w:cs="Times New Roman"/>
          <w:szCs w:val="24"/>
          <w:lang w:val="fr-FR"/>
        </w:rPr>
        <w:t xml:space="preserve"> </w:t>
      </w:r>
      <w:r w:rsidRPr="00C35FD0">
        <w:rPr>
          <w:rFonts w:eastAsia="Times New Roman" w:cs="Times New Roman"/>
          <w:szCs w:val="24"/>
          <w:lang w:val="fr-FR"/>
        </w:rPr>
        <w:t>efikasnosti sprovođenja zakona u ovoj</w:t>
      </w:r>
      <w:r w:rsidR="001E227C" w:rsidRPr="00C35FD0">
        <w:rPr>
          <w:rFonts w:eastAsia="Times New Roman" w:cs="Times New Roman"/>
          <w:szCs w:val="24"/>
          <w:lang w:val="fr-FR"/>
        </w:rPr>
        <w:t xml:space="preserve"> </w:t>
      </w:r>
      <w:r w:rsidRPr="00C35FD0">
        <w:rPr>
          <w:rFonts w:eastAsia="Times New Roman" w:cs="Times New Roman"/>
          <w:szCs w:val="24"/>
          <w:lang w:val="fr-FR"/>
        </w:rPr>
        <w:t>oblasti. Borba protiv krijumčarenja droge glavni je prioritet nacionalne procjene opasnosti od teškogi organizovanog kriminala (SOCTA).</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u w:val="single"/>
          <w:lang w:val="fr-FR"/>
        </w:rPr>
        <w:t>Kapacitet za sprovođenje i izvršenje</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 xml:space="preserve">U 2019. godini zaplijenjeno je 2,4 tone droge, od čega 2,2 tone marihuane. Zapljene kokaina i heroina porasle su za 250%, odnosno 1300% u poređenju s prošlom godinom, što djelimično odražava međunarodne trendove. Pored toga, kao rezultat međunarodnih istraga u inostranstvu zaplijenjeno je 39kg kokaina i jedna tona marihuane. Crna Gora je učestvovala u četiri multinacionalne policijske akcije u kojima su učestvovale Austrija, Slovenija, Hrvatska, Italija, Njemačka, Francuska, Sjedinjene </w:t>
      </w:r>
      <w:r w:rsidR="00220058" w:rsidRPr="00C35FD0">
        <w:rPr>
          <w:rFonts w:eastAsia="Times New Roman" w:cs="Times New Roman"/>
          <w:szCs w:val="24"/>
          <w:lang w:val="fr-FR"/>
        </w:rPr>
        <w:t xml:space="preserve">Američke </w:t>
      </w:r>
      <w:r w:rsidRPr="00C35FD0">
        <w:rPr>
          <w:rFonts w:eastAsia="Times New Roman" w:cs="Times New Roman"/>
          <w:szCs w:val="24"/>
          <w:lang w:val="fr-FR"/>
        </w:rPr>
        <w:t>Države, Australija, Albanija i Srbija.</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Broj predmeta u vezi droga istraženih u Crnoj Gori nastavio je da raste u 2019. godini i prvom kvartalu 2020. godine, konsolidujući trend iz prethodne godine. U 2019. godini broj istraga slučajeva krijumčarenja droga popeo se na 155, od kojih se pet kvalifikovalo za organizovani kriminal, a 150 za teški kriminal. U prvom kvartalu 2020. godine pokrenuto je šest novih istraga zbog organizovanog</w:t>
      </w:r>
      <w:r w:rsidR="001E227C" w:rsidRPr="00C35FD0">
        <w:rPr>
          <w:rFonts w:eastAsia="Times New Roman" w:cs="Times New Roman"/>
          <w:szCs w:val="24"/>
          <w:lang w:val="fr-FR"/>
        </w:rPr>
        <w:t xml:space="preserve"> </w:t>
      </w:r>
      <w:r w:rsidRPr="00C35FD0">
        <w:rPr>
          <w:rFonts w:eastAsia="Times New Roman" w:cs="Times New Roman"/>
          <w:szCs w:val="24"/>
          <w:lang w:val="fr-FR"/>
        </w:rPr>
        <w:t xml:space="preserve">krijumčarenja droge. Sprovedeno je jedanaest istraga uz međunarodnu saradnju 2019. godine, što je porast od 175% u odnosu na 2018. godinu, što je dovelo do niza uspješnih operacija visokog profila. U velikoj međunarodnoj policijskoj akciji sprovedenoj u februaru 2020. godine, zaplijenjeno je 5,7 tona kokaina, a 7 članova posade, uključujući četvoricu državljana Crne Gore, uhapšeno je na brodu koji je plovio iz Venecuele za Grčku. Operacija je rezultat saradnje Ujedinjenog Kraljevstva, Srbije i Holandije, između ostalih partnera, a zasnivala se na obavještajnim podacima crnogorske policije. Još jedna složena međunarodna istraga koju je vodila Crna Gora, a podržao Europol, uz uključivanje agencija za sprovođenje zakona iz Austrije, Hrvatske, Francuske, Portugala, Srbije i Slovenije, ozbiljno je poremetila jedan od krijumčarskih pravaca iz Srednje Amerike u Evropu. Osam lica uhapšeno je u martu 2020. godine u nekoliko zemalja nakon što je pretraženo 20 lokacija. U još jednom istaknutom slučaju, njemačka policija zaplijenila je u </w:t>
      </w:r>
      <w:r w:rsidRPr="00C35FD0">
        <w:rPr>
          <w:rFonts w:eastAsia="Times New Roman" w:cs="Times New Roman"/>
          <w:szCs w:val="24"/>
          <w:lang w:val="fr-FR"/>
        </w:rPr>
        <w:lastRenderedPageBreak/>
        <w:t>luci Hamburg pola tone kokaina s broda koji je plovio pod crnogorskom zastavom i u vlasništvu je crnogorske državne kompanije Barska plovidba. Akciju je sprovela crnogorska policija s kolegama iz Sjedinjenih Država, Njemačke i nekoliko drugih evropskih zemalja.</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Izrečeno je trideset i sedam pravosnažnih presuda za krijumčarenje droge povezanih s organizovanim kriminalom, uključujući 34 na osnovu sporazuma o priznanju krivice. Izrečeno je oko 126 pravosnažnih presuda za lakša krivična djela zbog droga, od kojih 73 na osnovu sporazuma o priznanju krivice. Ukupan iznos naplaćenih novčanih i krivičnih kazni iznosio je 178.000 eura. U predmetima povezanim s drogom koji se kvalifikuju kao teška krivična djela, finansijske istrage, zapljena i oduzimanje imovine stečene kriminalnom djelatnošću i dalje su rijetke.</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Nadležni organi uništili su oko 5 tona zaplijenjenih droga 15. juna, na zahtjev Višeg suda, više od dvije godine nakon prethodnog uništenja. Nije riješen nedostatak odgovarajućeg skladišta zaplijenjenih droga i prekursora prije uništenja. Nijesu razmatrane promjene krivičnog zakona koje bi omogućile trenutno uništavanje droge kako bi se izbjeglo njeno čuvanje do suđenja, uz zadržavanje dokaza i uzoraka.</w:t>
      </w:r>
    </w:p>
    <w:p w:rsidR="00622A95" w:rsidRPr="00C35FD0" w:rsidRDefault="00622A95" w:rsidP="00EC1790">
      <w:pPr>
        <w:widowControl w:val="0"/>
        <w:spacing w:after="120" w:line="240" w:lineRule="auto"/>
        <w:jc w:val="both"/>
        <w:rPr>
          <w:rFonts w:cs="Times New Roman"/>
          <w:b/>
          <w:bCs/>
          <w:szCs w:val="24"/>
          <w:lang w:val="fr-FR"/>
        </w:rPr>
      </w:pPr>
      <w:r w:rsidRPr="00C35FD0">
        <w:rPr>
          <w:rFonts w:cs="Times New Roman"/>
          <w:b/>
          <w:bCs/>
          <w:szCs w:val="24"/>
          <w:lang w:val="fr-FR"/>
        </w:rPr>
        <w:t xml:space="preserve">Borba protiv terorizma </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u w:val="single"/>
          <w:lang w:val="fr-FR"/>
        </w:rPr>
        <w:t>Institucionalna organizacija i usklađivanje zakonodavstva</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b/>
          <w:bCs/>
          <w:szCs w:val="24"/>
          <w:lang w:val="fr-FR"/>
        </w:rPr>
        <w:t>Pravni okvir</w:t>
      </w:r>
      <w:r w:rsidRPr="00C35FD0">
        <w:rPr>
          <w:rFonts w:eastAsia="Times New Roman" w:cs="Times New Roman"/>
          <w:szCs w:val="24"/>
          <w:lang w:val="fr-FR"/>
        </w:rPr>
        <w:t xml:space="preserve"> Crne Gore usklađen je u velikoj mjeri s pravnom tekovinom EU. Međutim, Zakon o međunarodnim restriktivnim mjerama treba izmijeniti i uskladiti s evropskim standardima o sprječavanju finansiranja terorizma, dok sistem ciljanih finansijskih sankcija protiv terorizma i terorističkih organizacija treba učiniti efikasnijim.</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Crna Gora tek treba da usvoji Strategiju za prevenciju i suzbijanje terorizma, pranja novca i terorizma, koja je istekla 2018. godine. Strategija za suzbijanje nasilnog ekstremizma usvojena je u februaru 2020. godine. Treba ojačati koordinaciju između dvije politike koje su usko povezane, kako bi se izbjeglo preklapanje i radilo u pravcu istog cilja.</w:t>
      </w:r>
    </w:p>
    <w:p w:rsidR="00622A95" w:rsidRPr="00C35FD0" w:rsidRDefault="00622A95" w:rsidP="00EC1790">
      <w:pPr>
        <w:spacing w:after="120" w:line="240" w:lineRule="auto"/>
        <w:jc w:val="both"/>
        <w:rPr>
          <w:rFonts w:cs="Times New Roman"/>
          <w:szCs w:val="24"/>
          <w:lang w:val="fr-FR"/>
        </w:rPr>
      </w:pPr>
      <w:r w:rsidRPr="00C35FD0">
        <w:rPr>
          <w:rFonts w:cs="Times New Roman"/>
          <w:szCs w:val="24"/>
          <w:lang w:val="fr-FR"/>
        </w:rPr>
        <w:t>U maju 2019. godine uspostavljen je multidisciplinarni mehanizam koji se sastoji od predstavnika ministarstava rada, zdravstva, obrazovanja, socijalnog staranja, unutrašnjih poslova, policije, lokalnih vlasti i nevladinih organizacija, radi praćenja pojedinačnih predmeta u kojima postoji rizik od radikalizacije koja vodi do nasilnog ekstremizma i terorizma, i koji predlaže odgovarajuće odgovore. Uspostavljena je telefonska linija za izvještavanje o rizicima od nasilnog ekstremizma. Potrebno je nastaviti s</w:t>
      </w:r>
      <w:r w:rsidR="001E227C" w:rsidRPr="00C35FD0">
        <w:rPr>
          <w:rFonts w:cs="Times New Roman"/>
          <w:szCs w:val="24"/>
          <w:lang w:val="fr-FR"/>
        </w:rPr>
        <w:t xml:space="preserve"> koordinacionim naporima na spr</w:t>
      </w:r>
      <w:r w:rsidRPr="00C35FD0">
        <w:rPr>
          <w:rFonts w:cs="Times New Roman"/>
          <w:szCs w:val="24"/>
          <w:lang w:val="fr-FR"/>
        </w:rPr>
        <w:t>ečavanju radikalizacije, posebno na lokalnomnivou, kako bi se svezainteresovane strane uključileu preventivne aktivnosti.</w:t>
      </w:r>
    </w:p>
    <w:p w:rsidR="00622A95" w:rsidRPr="00C35FD0" w:rsidRDefault="00622A95" w:rsidP="00EC1790">
      <w:pPr>
        <w:spacing w:after="120" w:line="240" w:lineRule="auto"/>
        <w:jc w:val="both"/>
        <w:rPr>
          <w:rFonts w:cs="Times New Roman"/>
          <w:szCs w:val="24"/>
          <w:lang w:val="fr-FR"/>
        </w:rPr>
      </w:pPr>
      <w:r w:rsidRPr="00C35FD0">
        <w:rPr>
          <w:rFonts w:cs="Times New Roman"/>
          <w:szCs w:val="24"/>
          <w:lang w:val="fr-FR"/>
        </w:rPr>
        <w:t xml:space="preserve">U novembru 2019. godine Crna Gora i EU potpisale su aranžman za sprovođenje </w:t>
      </w:r>
      <w:r w:rsidRPr="00C35FD0">
        <w:rPr>
          <w:rFonts w:cs="Times New Roman"/>
          <w:b/>
          <w:bCs/>
          <w:szCs w:val="24"/>
          <w:lang w:val="fr-FR"/>
        </w:rPr>
        <w:t>Zajedničkog akcionog plana za borbu protiv terorizma za Zapadni Balkan</w:t>
      </w:r>
      <w:r w:rsidRPr="00C35FD0">
        <w:rPr>
          <w:rFonts w:cs="Times New Roman"/>
          <w:szCs w:val="24"/>
          <w:lang w:val="fr-FR"/>
        </w:rPr>
        <w:t>, o čemu je Crna Gora u avgustu 2020. godine podnijela prvi polugodišnji izvještaj.</w:t>
      </w:r>
    </w:p>
    <w:p w:rsidR="00622A95" w:rsidRPr="00C35FD0" w:rsidRDefault="00622A95" w:rsidP="00EC1790">
      <w:pPr>
        <w:spacing w:after="120" w:line="240" w:lineRule="auto"/>
        <w:jc w:val="both"/>
        <w:rPr>
          <w:rFonts w:cs="Times New Roman"/>
          <w:szCs w:val="24"/>
          <w:u w:val="single"/>
          <w:lang w:val="fr-FR"/>
        </w:rPr>
      </w:pPr>
      <w:r w:rsidRPr="00C35FD0">
        <w:rPr>
          <w:rFonts w:cs="Times New Roman"/>
          <w:szCs w:val="24"/>
          <w:u w:val="single"/>
          <w:lang w:val="fr-FR"/>
        </w:rPr>
        <w:t>Kapacitet za sprovođenje i izvršenje</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 xml:space="preserve">Prijetnje terorizmom i nasilnim ekstremizmom ostale su relativno male u zemlji. Što se tiče stranih boraca, 26 ih je otputovalo u Siriju, a pet u Ukrajinu od početka sukoba. Deset se vratilo iz Sirije, a pet iz Ukrajine. Nakon izmjene i dopune krivičnog zakonika iz 2016. godine kojom se učešće u stranim oružanim sukobima propisuje kao krivično djelo, osuđena su dva povratnika koji su se vratili nakon 2016. godine. </w:t>
      </w:r>
      <w:r w:rsidRPr="00095948">
        <w:rPr>
          <w:rFonts w:eastAsia="Times New Roman" w:cs="Times New Roman"/>
          <w:szCs w:val="24"/>
          <w:lang w:val="fr-FR"/>
        </w:rPr>
        <w:t xml:space="preserve">Svi povratnici vratili su se u svoje zajednice i bili su pod nadzorom. Ministarstvo unutrašnjih poslova sarađuje s organizacijama civilnog društva u osmišljavanju aktivnosti podizanja svijesti među mladima. </w:t>
      </w:r>
      <w:r w:rsidRPr="00C35FD0">
        <w:rPr>
          <w:rFonts w:eastAsia="Times New Roman" w:cs="Times New Roman"/>
          <w:szCs w:val="24"/>
          <w:lang w:val="fr-FR"/>
        </w:rPr>
        <w:t xml:space="preserve">Zatvorsko osoblje obučeno je za preventivni rad. Izrađena je procjena rizika za identifikaciju </w:t>
      </w:r>
      <w:r w:rsidRPr="00C35FD0">
        <w:rPr>
          <w:rFonts w:eastAsia="Times New Roman" w:cs="Times New Roman"/>
          <w:szCs w:val="24"/>
          <w:lang w:val="fr-FR"/>
        </w:rPr>
        <w:lastRenderedPageBreak/>
        <w:t>radikalizovanih zatvorenika i onih kojima prijeti radikalizacija. Uspostavljena su sredstva za vjersko savjetovanje zatvorenika.</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U slučaju pokušaja državnog udara 2016. godine, Viši sud u Podgorici izrekao je prvostepenu odluku u maju 2019. godine, kojom je 13 optuženih, uključujući dva ruska i osam državljana Srbije, proglašeno krivim za terorizam, stvaranje kriminalne organizacije i druge zločine protiv ustavnog poretka. Žalbeni postupak je u toku.</w:t>
      </w:r>
    </w:p>
    <w:p w:rsidR="00622A95" w:rsidRPr="00C35FD0" w:rsidRDefault="00622A95" w:rsidP="00EC1790">
      <w:pPr>
        <w:spacing w:after="120" w:line="240" w:lineRule="auto"/>
        <w:jc w:val="both"/>
        <w:rPr>
          <w:rFonts w:eastAsia="Times New Roman" w:cs="Times New Roman"/>
          <w:szCs w:val="24"/>
          <w:lang w:val="fr-FR"/>
        </w:rPr>
      </w:pPr>
      <w:r w:rsidRPr="00C35FD0">
        <w:rPr>
          <w:rFonts w:eastAsia="Times New Roman" w:cs="Times New Roman"/>
          <w:szCs w:val="24"/>
          <w:lang w:val="fr-FR"/>
        </w:rPr>
        <w:t>Crna Gora je nastavila da blisko sarađuje s Interpolom i Europolom i doprinosi procjeni i analizi rizika od terorizma za Zapadni Balkan. Crna Gora aktivno učestvuje u sprovođenju Inicijative za borbu protiv terorizmana Zapadnom Balkanu (WBCTi). Započela je saradnja s Internetskom referentnom jedinicom EU pri Europolu za detektovanje i istragu terorističkih sadržaja na internetu. Procjenu opasnosti treba sprovesti na više analitičan i inkluzivan način, kako bi se stvorilo zajedničko razumijevanje glavnih opasnosti i rizika među dotičnim zainteresovanim stranama i odredio prioritet rizika kojima se treba pozabaviti.</w:t>
      </w:r>
    </w:p>
    <w:p w:rsidR="00622A95" w:rsidRPr="00C35FD0" w:rsidRDefault="00622A95" w:rsidP="00EC1790">
      <w:pPr>
        <w:spacing w:after="120" w:line="240" w:lineRule="auto"/>
        <w:jc w:val="both"/>
        <w:rPr>
          <w:rFonts w:cs="Times New Roman"/>
          <w:b/>
          <w:bCs/>
          <w:szCs w:val="24"/>
          <w:lang w:val="fr-FR"/>
        </w:rPr>
      </w:pPr>
      <w:r w:rsidRPr="00C35FD0">
        <w:rPr>
          <w:rFonts w:cs="Times New Roman"/>
          <w:b/>
          <w:bCs/>
          <w:szCs w:val="24"/>
          <w:lang w:val="fr-FR"/>
        </w:rPr>
        <w:t>Zakonite i nezakonite migracije</w:t>
      </w:r>
    </w:p>
    <w:p w:rsidR="00622A95" w:rsidRPr="00C35FD0" w:rsidRDefault="00622A95" w:rsidP="00EC1790">
      <w:pPr>
        <w:spacing w:after="120" w:line="240" w:lineRule="auto"/>
        <w:jc w:val="both"/>
        <w:rPr>
          <w:rFonts w:eastAsia="Times New Roman" w:cs="Times New Roman"/>
          <w:szCs w:val="24"/>
          <w:u w:val="single"/>
          <w:lang w:val="fr-FR"/>
        </w:rPr>
      </w:pPr>
      <w:r w:rsidRPr="00C35FD0">
        <w:rPr>
          <w:rFonts w:eastAsia="Times New Roman" w:cs="Times New Roman"/>
          <w:szCs w:val="24"/>
          <w:u w:val="single"/>
          <w:lang w:val="fr-FR"/>
        </w:rPr>
        <w:t>Institucionalna organizacija i usklađivanje zakonodavstva</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Crna Gora je nastavila da konsoliduje svoj pravni okvir u oblasti migracija. Nakon izmjena Zakona o strancima u decembru 2018. godine, u proljeće 2019. godine usvojena su tri dodatna podzakonska akta, posebno u cilju pojednostavljenja izdavanja dozvola za privremeni boravak za rad</w:t>
      </w:r>
      <w:r w:rsidR="001E227C" w:rsidRPr="00095948">
        <w:rPr>
          <w:rFonts w:eastAsia="Times New Roman" w:cs="Times New Roman"/>
          <w:szCs w:val="24"/>
          <w:lang w:val="fr-FR"/>
        </w:rPr>
        <w:t xml:space="preserve"> i sezonsko zapošljavanje i spr</w:t>
      </w:r>
      <w:r w:rsidRPr="00095948">
        <w:rPr>
          <w:rFonts w:eastAsia="Times New Roman" w:cs="Times New Roman"/>
          <w:szCs w:val="24"/>
          <w:lang w:val="fr-FR"/>
        </w:rPr>
        <w:t>ečavanja neregistrovane migracije radne snage.</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Sporazum o readmisiji između EU i Crne Gore olakšava 15 protokola o readmisiji za sprovođenje potpisanih s državama članicama EU, uključujući protokol za sprovođenje potpisan s Grčkom u martu 2019. godine. Crna Gora ima 10 sporazuma o readmisiji sa zemljama koje nijesu članice EU, uključujući sve partnere sa Zapadnog Balkana i Tursku, a završila je i pregovore s Gruzijom. Zahtjevi za početak pregovora o readmisiji upućeni su Pakistanu, Iranu, Iraku, Maroku i Alžiru.</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Crna Gora ima </w:t>
      </w:r>
      <w:r w:rsidR="00220058" w:rsidRPr="00220058">
        <w:rPr>
          <w:rFonts w:eastAsia="Times New Roman" w:cs="Times New Roman"/>
          <w:szCs w:val="24"/>
          <w:lang w:val="fr-FR"/>
        </w:rPr>
        <w:t>Plan djelovanja u slučaju masovnog priliva migranata i izbjeglica u tranzitu preko teritorije Crne Gore</w:t>
      </w:r>
      <w:r w:rsidRPr="00095948">
        <w:rPr>
          <w:rFonts w:eastAsia="Times New Roman" w:cs="Times New Roman"/>
          <w:szCs w:val="24"/>
          <w:lang w:val="fr-FR"/>
        </w:rPr>
        <w:t>, usvojen 2015. godine.</w:t>
      </w:r>
    </w:p>
    <w:p w:rsidR="00622A95" w:rsidRPr="00095948" w:rsidRDefault="00622A95" w:rsidP="00EC1790">
      <w:pPr>
        <w:spacing w:after="120" w:line="240" w:lineRule="auto"/>
        <w:jc w:val="both"/>
        <w:rPr>
          <w:rFonts w:eastAsia="Times New Roman" w:cs="Times New Roman"/>
          <w:szCs w:val="24"/>
          <w:u w:val="single"/>
          <w:lang w:val="fr-FR"/>
        </w:rPr>
      </w:pPr>
      <w:r w:rsidRPr="00095948">
        <w:rPr>
          <w:rFonts w:eastAsia="Times New Roman" w:cs="Times New Roman"/>
          <w:szCs w:val="24"/>
          <w:u w:val="single"/>
          <w:lang w:val="fr-FR"/>
        </w:rPr>
        <w:t>Kapacitet za sprovođenje i izvršenje</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Crna Gora je i dalje atraktivna zemlja za migraciju radne snage na Zapadnom Balkanu, s 27.634 radnih dozvola izdatih u 2019. godini, što je stabilan broj u poređenju s 2018. godinom. Legalne migracije regulisane su sistemom kvota koje se utvrđuju godišnje. Sezonski radnici, uglavnom sa Zapadnog Balkana, rade prvenstveno u sektorima turizma, građevinarstva i poljoprivrede. Ukupno je izdato oko 42.517 dozvola za privremeni boravak.</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Trend rasta broja neregularnih prelazaka granice s Crnom Gorom u 2018. godini nastavio se i 2019. godine. Privedeno je oko 7.978 migranata u 2019. godini, što je povećanje od 60% u odnosu na 2018. godinu. Svi privedeni migranti izrazili su namjeru da zatraže azil, čime se i dalje vrši pritisak na centre za tražioce azila, čiji kapacitet je povećan na 389 kreveta. Crnogorske vlasti spriječile su 516 ilegalnih ulaska u zemlju i 1.514 ilegalnih izlazaka iz zemlje. Pritvorski centar za ilegalne migrante može da primi do 50 lica. Specijalno</w:t>
      </w:r>
      <w:r w:rsidR="00220058">
        <w:rPr>
          <w:rFonts w:eastAsia="Times New Roman" w:cs="Times New Roman"/>
          <w:szCs w:val="24"/>
          <w:lang w:val="fr-FR"/>
        </w:rPr>
        <w:t xml:space="preserve"> državno</w:t>
      </w:r>
      <w:r w:rsidRPr="00095948">
        <w:rPr>
          <w:rFonts w:eastAsia="Times New Roman" w:cs="Times New Roman"/>
          <w:szCs w:val="24"/>
          <w:lang w:val="fr-FR"/>
        </w:rPr>
        <w:t xml:space="preserve"> tužilaštvo je 2019. godine sprovelo tri istrage o krijumčarenju migranata, u kojima je učestvovalo više od 40 lica. Podignute su tri optužnice. U četiri predmeta izrečene su pravosnažne osuđujuće presude za 48 lica, uključujući 28 presuda na osnovu sporazuma o priznanju krivice.</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lastRenderedPageBreak/>
        <w:t>U kontekstu pandemije izazvane virusom Covid-19, ostalo je otvoreno samo šest graničnih prelaza, kako bi se osiguralo kretanje robe i povratak crnogorskih građana. Ulazak stranaca bio je zabranjen. Stranci s privremenim ili stalnim boravkom u Crnoj Gori bili su podvrgnuti istom režimu kao i crnogorski državljani, koji nije obuhvatao potpunu zabranu kretanja. Neregularna migracija smanjila se tokom prvih sedam mjeseci 2020. godine: privedeno je 1.583 migranta, dok su nadležni organi spriječili 153 ilegalna ulaska i 258 ilegalnih izlazaka.</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Sekundarna kretanja nastavila su da doprinose migracionim tokovima, posebno ona koja su rezultat readmisija iz Bosne i Hercegovine. Crna Gora je 2019. godine prihvatila readmisiju 2.213 državljana trećih zemalja iz susjednih zemalja u okviru bilateralnih sporazuma o readmisiji, od čega 2.033 iz Bosne i Hercegovine (rast od 139% u odnosu na 2018. godinu). Readmisija državljana trećih zemalja iz Crne Gore u susjedne zemlje povećanaje na 382 lica u 2019. godini, uključujući 350 u Albaniju, što je poboljšanje u odnosu na prethodne godine. Bilateralnu saradnju s Albanijom </w:t>
      </w:r>
      <w:r w:rsidR="00220058">
        <w:rPr>
          <w:rFonts w:eastAsia="Times New Roman" w:cs="Times New Roman"/>
          <w:szCs w:val="24"/>
          <w:lang w:val="fr-FR"/>
        </w:rPr>
        <w:t xml:space="preserve">u oblasti </w:t>
      </w:r>
      <w:r w:rsidRPr="00095948">
        <w:rPr>
          <w:rFonts w:eastAsia="Times New Roman" w:cs="Times New Roman"/>
          <w:szCs w:val="24"/>
          <w:lang w:val="fr-FR"/>
        </w:rPr>
        <w:t>na readmisij</w:t>
      </w:r>
      <w:r w:rsidR="00220058">
        <w:rPr>
          <w:rFonts w:eastAsia="Times New Roman" w:cs="Times New Roman"/>
          <w:szCs w:val="24"/>
          <w:lang w:val="fr-FR"/>
        </w:rPr>
        <w:t>e</w:t>
      </w:r>
      <w:r w:rsidRPr="00095948">
        <w:rPr>
          <w:rFonts w:eastAsia="Times New Roman" w:cs="Times New Roman"/>
          <w:szCs w:val="24"/>
          <w:lang w:val="fr-FR"/>
        </w:rPr>
        <w:t xml:space="preserve"> treba dalje razvijati.</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Crnogorska granična policija još uvijek nema biometrijski sistem registracije i identifikacije migranata. I dalje zabrinjava rizik od dvostruke registracije migranata nakon sekundarnih kretanja, ponovnog ulaska i naknadnih zahtjeva za azil. Crna Gora treba da uspostavi informacionu i komunikacionu infrastrukturu koja može da podrži efikasan postupak identifikacije i registracije mješovitih migracionih tokova u skladu sa standardima i najboljom praksom EU.</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Ostvaren je samo 41 dobrovoljni povratak iz Crne Gore, uključujući 21 u susjedne zemlje, koje je neposredno obrađivala crnogorska granična policija, i 20 u zemlje porijekla, uz podršku Međunarodne organizacije za migracije. Proces dobrovoljnog povratka otežan je odsustvom konzularnih predstavništava zemalja porijekla u Crnoj Gori. Uprkos administrativnim barijerama, treba definisati proaktivniju politiku dobrovoljnog povratka i dodijeliti potrebna sredstva za ublažavanje migracionog pritiska.</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Planirani su građevinski radovi za otvoreni migracioni centar u Božaju, blizu granice s Albanijom. Privremeno naselje kontejnera na istoj</w:t>
      </w:r>
      <w:r w:rsidR="00220058">
        <w:rPr>
          <w:rFonts w:eastAsia="Times New Roman" w:cs="Times New Roman"/>
          <w:szCs w:val="24"/>
          <w:lang w:val="fr-FR"/>
        </w:rPr>
        <w:t xml:space="preserve"> </w:t>
      </w:r>
      <w:r w:rsidRPr="00095948">
        <w:rPr>
          <w:rFonts w:eastAsia="Times New Roman" w:cs="Times New Roman"/>
          <w:szCs w:val="24"/>
          <w:lang w:val="fr-FR"/>
        </w:rPr>
        <w:t>lokaciji uspostavljeno je uz pomoć EU i otvoreno u julu 2020. godine. Tako je stvoren dodatni prihvatni kapacitet za 60 lica, pored postojećih 329 kreveta u Spužu i na Koniku.</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b/>
          <w:bCs/>
          <w:szCs w:val="24"/>
          <w:lang w:val="fr-FR"/>
        </w:rPr>
        <w:t>Sporazum o readmisiji između EU i Crne Gore</w:t>
      </w:r>
      <w:r w:rsidR="001E227C" w:rsidRPr="00095948">
        <w:rPr>
          <w:rFonts w:eastAsia="Times New Roman" w:cs="Times New Roman"/>
          <w:b/>
          <w:bCs/>
          <w:szCs w:val="24"/>
          <w:lang w:val="fr-FR"/>
        </w:rPr>
        <w:t xml:space="preserve"> </w:t>
      </w:r>
      <w:r w:rsidRPr="00095948">
        <w:rPr>
          <w:rFonts w:eastAsia="Times New Roman" w:cs="Times New Roman"/>
          <w:szCs w:val="24"/>
          <w:lang w:val="fr-FR"/>
        </w:rPr>
        <w:t>sprovodi se na zadovoljavajući način, a broj zahtjeva za readmisiju iz država članica EU i dalje opada. Bilo je petsto devedeset i pet crnogorskih građana kojima je naređeno da napuste EU 2019. godine. Stopa povratka bila je 59,7%, u odnosu na 73% u 2018. godini. Budući da države članice EU izvještavaju o dobroj saradnji, ovo smanjenje može biti rezultat obrade izuzetno velikih količina odluka, zaostatak u prethodnim godinama i možda sekundarn</w:t>
      </w:r>
      <w:r w:rsidR="00220058">
        <w:rPr>
          <w:rFonts w:eastAsia="Times New Roman" w:cs="Times New Roman"/>
          <w:szCs w:val="24"/>
          <w:lang w:val="fr-FR"/>
        </w:rPr>
        <w:t xml:space="preserve">ih </w:t>
      </w:r>
      <w:r w:rsidRPr="00095948">
        <w:rPr>
          <w:rFonts w:eastAsia="Times New Roman" w:cs="Times New Roman"/>
          <w:szCs w:val="24"/>
          <w:lang w:val="fr-FR"/>
        </w:rPr>
        <w:t>kretanja.</w:t>
      </w:r>
    </w:p>
    <w:p w:rsidR="00622A95" w:rsidRPr="00095948" w:rsidRDefault="00622A95" w:rsidP="00EC1790">
      <w:pPr>
        <w:spacing w:after="120" w:line="240" w:lineRule="auto"/>
        <w:jc w:val="both"/>
        <w:rPr>
          <w:rFonts w:eastAsia="Times New Roman" w:cs="Times New Roman"/>
          <w:szCs w:val="24"/>
          <w:lang w:val="fr-FR"/>
        </w:rPr>
      </w:pPr>
      <w:r w:rsidRPr="00095948">
        <w:rPr>
          <w:rFonts w:eastAsia="Times New Roman" w:cs="Times New Roman"/>
          <w:szCs w:val="24"/>
          <w:lang w:val="fr-FR"/>
        </w:rPr>
        <w:t>Crna Gora mora da nastavi s naporima</w:t>
      </w:r>
      <w:r w:rsidR="001E227C" w:rsidRPr="00095948">
        <w:rPr>
          <w:rFonts w:eastAsia="Times New Roman" w:cs="Times New Roman"/>
          <w:szCs w:val="24"/>
          <w:lang w:val="fr-FR"/>
        </w:rPr>
        <w:t xml:space="preserve"> </w:t>
      </w:r>
      <w:r w:rsidRPr="00095948">
        <w:rPr>
          <w:rFonts w:eastAsia="Times New Roman" w:cs="Times New Roman"/>
          <w:szCs w:val="24"/>
          <w:lang w:val="fr-FR"/>
        </w:rPr>
        <w:t>u pogledu suočavanja s migracionim pritiskom, daljim razvojem svoje međunarodne saradnje na readmisiji i podržavanjem uspješne reintegracije povratnika, povećanjem kapaciteta za procesuiranje mreža krijumčarenja migranata, povećanjem kapaciteta za prihvat i poboljšanjem sistema prikupljanja podataka o svojim migrantima.</w:t>
      </w:r>
    </w:p>
    <w:p w:rsidR="00622A95" w:rsidRPr="009A2018" w:rsidRDefault="00622A95" w:rsidP="00EC1790">
      <w:pPr>
        <w:spacing w:after="120" w:line="240" w:lineRule="auto"/>
        <w:jc w:val="both"/>
        <w:rPr>
          <w:rFonts w:cs="Times New Roman"/>
          <w:b/>
          <w:bCs/>
          <w:szCs w:val="24"/>
        </w:rPr>
      </w:pPr>
      <w:r w:rsidRPr="009A2018">
        <w:rPr>
          <w:rFonts w:cs="Times New Roman"/>
          <w:b/>
          <w:bCs/>
          <w:szCs w:val="24"/>
        </w:rPr>
        <w:t xml:space="preserve">Azil </w:t>
      </w:r>
    </w:p>
    <w:p w:rsidR="00622A95" w:rsidRPr="009A2018" w:rsidRDefault="00622A95" w:rsidP="00EC1790">
      <w:pPr>
        <w:spacing w:after="120" w:line="240" w:lineRule="auto"/>
        <w:rPr>
          <w:rFonts w:cs="Times New Roman"/>
          <w:szCs w:val="24"/>
        </w:rPr>
      </w:pPr>
      <w:r w:rsidRPr="009A2018">
        <w:rPr>
          <w:rFonts w:cs="Times New Roman"/>
          <w:szCs w:val="24"/>
          <w:u w:val="single"/>
        </w:rPr>
        <w:t>Institucionalna organizacija i usklađivanje zakonodavstva</w:t>
      </w:r>
    </w:p>
    <w:p w:rsidR="00622A95" w:rsidRPr="009A2018" w:rsidRDefault="00622A95" w:rsidP="00EC1790">
      <w:pPr>
        <w:spacing w:after="120" w:line="240" w:lineRule="auto"/>
        <w:jc w:val="both"/>
        <w:rPr>
          <w:rFonts w:cs="Times New Roman"/>
          <w:szCs w:val="24"/>
        </w:rPr>
      </w:pPr>
      <w:r w:rsidRPr="009A2018">
        <w:rPr>
          <w:rFonts w:cs="Times New Roman"/>
          <w:szCs w:val="24"/>
        </w:rPr>
        <w:t xml:space="preserve">Zakon o azilu izmijenjen je u januaru 2019. godine i dalje usklađen s pravnom tekovinom EU. Uprava zadužena za integraciju lica pod zaštitnim statusom, koja je sada pod nadzorom Ministarstva unutrašnjih poslova, reorganizovana je. U julu 2019. godine razvijene su nove </w:t>
      </w:r>
      <w:r w:rsidRPr="009A2018">
        <w:rPr>
          <w:rFonts w:cs="Times New Roman"/>
          <w:szCs w:val="24"/>
        </w:rPr>
        <w:lastRenderedPageBreak/>
        <w:t>mjere integracije, uključujući finansijsku pomoć, kurseve jezika i kulture, upis u školu za djecu i zapošljavanje, ali do sada je broj korisnika i dalje ograničen.</w:t>
      </w:r>
    </w:p>
    <w:p w:rsidR="00622A95" w:rsidRPr="009A2018" w:rsidRDefault="00622A95" w:rsidP="00EC1790">
      <w:pPr>
        <w:spacing w:after="120" w:line="240" w:lineRule="auto"/>
        <w:jc w:val="both"/>
        <w:rPr>
          <w:rFonts w:cs="Times New Roman"/>
          <w:szCs w:val="24"/>
        </w:rPr>
      </w:pPr>
      <w:r w:rsidRPr="009A2018">
        <w:rPr>
          <w:rFonts w:cs="Times New Roman"/>
          <w:szCs w:val="24"/>
        </w:rPr>
        <w:t>Nacrt liste bezbjednih zemalja porijekla, usmjeren na ubrzavanje postupka prijave, usvojen je u decembru 2019. godine.</w:t>
      </w:r>
      <w:r w:rsidR="00220058">
        <w:rPr>
          <w:rFonts w:cs="Times New Roman"/>
          <w:szCs w:val="24"/>
        </w:rPr>
        <w:t xml:space="preserve"> </w:t>
      </w:r>
      <w:r w:rsidRPr="009A2018">
        <w:rPr>
          <w:rFonts w:cs="Times New Roman"/>
          <w:szCs w:val="24"/>
        </w:rPr>
        <w:t>Uključuje region</w:t>
      </w:r>
      <w:r w:rsidR="001E227C">
        <w:rPr>
          <w:rFonts w:cs="Times New Roman"/>
          <w:szCs w:val="24"/>
        </w:rPr>
        <w:t xml:space="preserve"> </w:t>
      </w:r>
      <w:r w:rsidRPr="009A2018">
        <w:rPr>
          <w:rFonts w:cs="Times New Roman"/>
          <w:szCs w:val="24"/>
        </w:rPr>
        <w:t>Zapadnog Balkana i Tursku.</w:t>
      </w:r>
    </w:p>
    <w:p w:rsidR="00622A95" w:rsidRPr="009A2018" w:rsidRDefault="00622A95" w:rsidP="00EC1790">
      <w:pPr>
        <w:spacing w:after="120" w:line="240" w:lineRule="auto"/>
        <w:rPr>
          <w:rFonts w:cs="Times New Roman"/>
          <w:szCs w:val="24"/>
          <w:u w:val="single"/>
        </w:rPr>
      </w:pPr>
      <w:r w:rsidRPr="009A2018">
        <w:rPr>
          <w:rFonts w:cs="Times New Roman"/>
          <w:szCs w:val="24"/>
          <w:u w:val="single"/>
        </w:rPr>
        <w:t>Kapacitet za sprovođenje i izvršenje</w:t>
      </w:r>
    </w:p>
    <w:p w:rsidR="00622A95" w:rsidRPr="009A2018" w:rsidRDefault="00622A95" w:rsidP="00EC1790">
      <w:pPr>
        <w:spacing w:after="120" w:line="240" w:lineRule="auto"/>
        <w:jc w:val="both"/>
        <w:rPr>
          <w:rFonts w:cs="Times New Roman"/>
          <w:szCs w:val="24"/>
        </w:rPr>
      </w:pPr>
      <w:r w:rsidRPr="009A2018">
        <w:rPr>
          <w:rFonts w:cs="Times New Roman"/>
          <w:szCs w:val="24"/>
        </w:rPr>
        <w:t>Iako se broj migranata koji su izrazili namjeru da zatraže azil povećao u odnosu na 2018. godinu, broj onih koji stvarno podnose zahtjeve za azil opao je u 2019. godini. Registrovan je samo 1.921 zahtjev za azil, što je pad od 38% u odnosu na 2018. godinu, što odražava povećanu mobilnost i tendenciju napuštanja zemlje čak i prije podnošenja zahtjeva za azil. 9,6% podnosilaca zahtjeva bile su žene, a 89% odrasle osobe. 34% zahtjeva podnijeli su državljani Maroka, a slijede ih državljani Alžira (15%), Iraka (15%) i Sirije (14%). Većina ih je napustila zemlju prije okončanja postupka. Takav trend potvrđen je tokom prvih 7 mjeseci 2020. godine, podnesen</w:t>
      </w:r>
      <w:r w:rsidR="00A91BDD">
        <w:rPr>
          <w:rFonts w:cs="Times New Roman"/>
          <w:szCs w:val="24"/>
        </w:rPr>
        <w:t xml:space="preserve">a su </w:t>
      </w:r>
      <w:r w:rsidRPr="009A2018">
        <w:rPr>
          <w:rFonts w:cs="Times New Roman"/>
          <w:szCs w:val="24"/>
        </w:rPr>
        <w:t>samo 394 zahtjeva za azil.</w:t>
      </w:r>
    </w:p>
    <w:p w:rsidR="00622A95" w:rsidRPr="009A2018" w:rsidRDefault="00622A95" w:rsidP="00EC1790">
      <w:pPr>
        <w:spacing w:after="120" w:line="240" w:lineRule="auto"/>
        <w:jc w:val="both"/>
        <w:rPr>
          <w:rFonts w:cs="Times New Roman"/>
          <w:szCs w:val="24"/>
        </w:rPr>
      </w:pPr>
      <w:r w:rsidRPr="009A2018">
        <w:rPr>
          <w:rFonts w:cs="Times New Roman"/>
          <w:szCs w:val="24"/>
        </w:rPr>
        <w:t>Uprkos relativno malom broju tražilaca azila koji su zapravo ostali u sistemu, broj stvarno obrađenih zahtjeva ostaje ograničen. Između januara 2019. i marta 2020. godine, od 77 slučajeva u kojima se podnosilac zahtjeva zaista pojavio na zakazanom razgovoru, doneseno je samo 29 konačnih odluka. Dvadeset i četiri zahtjeva otkazana su zbog odlaska podnosioca zahtjeva iz zemlje, dok je 24 još uvijek u postupku. Određeni broj intervjua odgođen je iz tehničkih razloga. Sedam lica dobilo je status međunarodne zaštite od januara 2019. do marta 2020. godine, uključujuć</w:t>
      </w:r>
      <w:r w:rsidR="001E227C">
        <w:rPr>
          <w:rFonts w:cs="Times New Roman"/>
          <w:szCs w:val="24"/>
        </w:rPr>
        <w:t>i šest s</w:t>
      </w:r>
      <w:r w:rsidRPr="009A2018">
        <w:rPr>
          <w:rFonts w:cs="Times New Roman"/>
          <w:szCs w:val="24"/>
        </w:rPr>
        <w:t xml:space="preserve"> izbjegličkim statusom na osnovu spajanja porodice, a samo jedno lice dobilo</w:t>
      </w:r>
      <w:r w:rsidR="00A91BDD">
        <w:rPr>
          <w:rFonts w:cs="Times New Roman"/>
          <w:szCs w:val="24"/>
        </w:rPr>
        <w:t xml:space="preserve"> </w:t>
      </w:r>
      <w:r w:rsidRPr="009A2018">
        <w:rPr>
          <w:rFonts w:cs="Times New Roman"/>
          <w:szCs w:val="24"/>
        </w:rPr>
        <w:t>je status supsidijarne zaštite na osnovu</w:t>
      </w:r>
      <w:r w:rsidR="001E227C">
        <w:rPr>
          <w:rFonts w:cs="Times New Roman"/>
          <w:szCs w:val="24"/>
        </w:rPr>
        <w:t xml:space="preserve"> </w:t>
      </w:r>
      <w:r w:rsidRPr="009A2018">
        <w:rPr>
          <w:rFonts w:cs="Times New Roman"/>
          <w:szCs w:val="24"/>
        </w:rPr>
        <w:t>osnovanosti zahtjeva. Dvadeset i jedan žalbeni zahtjev podnesen je na Upravnom sudu. Zbog pandemije izazvane virusom Covid-19, razgovori s tražiocima azila obustavljeni su u aprilu i maju 2020. godine. Nastavljen su u junu nakon što su prostorije za intervjue opremljene odgovarajućom zaštitnom opremom.</w:t>
      </w:r>
    </w:p>
    <w:p w:rsidR="00622A95" w:rsidRPr="009A2018" w:rsidRDefault="00622A95" w:rsidP="00EC1790">
      <w:pPr>
        <w:spacing w:after="120" w:line="240" w:lineRule="auto"/>
        <w:jc w:val="both"/>
        <w:rPr>
          <w:rFonts w:cs="Times New Roman"/>
          <w:szCs w:val="24"/>
        </w:rPr>
      </w:pPr>
      <w:r w:rsidRPr="009A2018">
        <w:rPr>
          <w:rFonts w:cs="Times New Roman"/>
          <w:szCs w:val="24"/>
        </w:rPr>
        <w:t>Drugu godinu zaredom prihvatni kapaciteti Crne Gore su pod pritiskom. Ukupno je smješteno 7739 lica u 2019, što je porast od 73% u poređenju s 2018. godinom, uglavnom za kratke boravke, koji je preopteretio sistem do krajnjih granica. 4,5% njih bile su žene. Centar za azil u Spužu, kapaciteta 104 kreveta, obično se koristi za porodice i žene, dok je alternativni centar na Koniku, kapaciteta 225 kreveta, predviđen za smještaj samaca. To je objekat u privatnom vlasništvu koji se iznajmljuje nadležnim organima za azil po skupoj komercijalnoj cijeni. 71% tražilaca azila boravilo je u alternativnom centru, gdje se, uprkos nedavnim poboljšanjima, standardi još uvijek ne podudaraju sa standardima punopravnog centra za azil. Između januara i aprila 2020. godine, u prihvatnim objektima bilo je smješteno 1197 migranata. Od marta 2020. godine, u svim centrima primjenjivale su se mjere preventivne higijene i dezinfekcije kako bi se spriječilo širenje pandemije izazvane virusom Covid-19.</w:t>
      </w:r>
    </w:p>
    <w:p w:rsidR="00622A95" w:rsidRPr="009A2018" w:rsidRDefault="00622A95" w:rsidP="00EC1790">
      <w:pPr>
        <w:spacing w:after="120" w:line="240" w:lineRule="auto"/>
        <w:jc w:val="both"/>
        <w:rPr>
          <w:rFonts w:cs="Times New Roman"/>
          <w:szCs w:val="24"/>
        </w:rPr>
      </w:pPr>
      <w:r w:rsidRPr="009A2018">
        <w:rPr>
          <w:rFonts w:cs="Times New Roman"/>
          <w:szCs w:val="24"/>
        </w:rPr>
        <w:t>Budžet sistema azila porastao je na 1,7 miliona eura u 2019. godini (dvostruko povećanje u odnosu na 2018. godinu), od čega je 66% potrošeno na alternativni prihvatni centar. Troškovi prijema u cijelosti se plaćaju iz budžeta Crne Gore, bez spoljne podrške.</w:t>
      </w:r>
    </w:p>
    <w:p w:rsidR="00622A95" w:rsidRPr="009A2018" w:rsidRDefault="00622A95" w:rsidP="00EC1790">
      <w:pPr>
        <w:spacing w:after="120" w:line="240" w:lineRule="auto"/>
        <w:jc w:val="both"/>
        <w:rPr>
          <w:rFonts w:cs="Times New Roman"/>
          <w:szCs w:val="24"/>
        </w:rPr>
      </w:pPr>
      <w:r w:rsidRPr="009A2018">
        <w:rPr>
          <w:rFonts w:cs="Times New Roman"/>
          <w:szCs w:val="24"/>
        </w:rPr>
        <w:t>Broj lica pod statusom zaštite koja trenutno žive u Crnoj Gori opao je na 28 lica. Devet lica od 12 odraslih lica radi. Održavaju se kursevi jezika. Državni službenici imaju ograničene mogućnosti za sticanje operativnog iskustva u sprovođenju mjera integracije, zbog malog broja takvih lica.</w:t>
      </w:r>
    </w:p>
    <w:p w:rsidR="00622A95" w:rsidRPr="009A2018" w:rsidRDefault="00622A95" w:rsidP="00EC1790">
      <w:pPr>
        <w:spacing w:after="120" w:line="240" w:lineRule="auto"/>
        <w:jc w:val="both"/>
        <w:rPr>
          <w:rFonts w:cs="Times New Roman"/>
          <w:szCs w:val="24"/>
        </w:rPr>
      </w:pPr>
      <w:r w:rsidRPr="009A2018">
        <w:rPr>
          <w:rFonts w:cs="Times New Roman"/>
          <w:szCs w:val="24"/>
        </w:rPr>
        <w:t>Iako je crnogorski sistem azila nastavio da pokazuje svoju otpornost u veoma napetom kontekstu, treba nastaviti napore na poboljšanju postupka utvrđivanja statusa, daljem jačanju prihvatnih kapaciteta i racionalizaciji troškova smještaja u alternativnom centru.</w:t>
      </w:r>
    </w:p>
    <w:p w:rsidR="00622A95" w:rsidRPr="009A2018" w:rsidRDefault="00622A95" w:rsidP="00EC1790">
      <w:pPr>
        <w:widowControl w:val="0"/>
        <w:spacing w:after="120" w:line="240" w:lineRule="auto"/>
        <w:jc w:val="both"/>
        <w:rPr>
          <w:rFonts w:cs="Times New Roman"/>
          <w:b/>
          <w:bCs/>
          <w:szCs w:val="24"/>
        </w:rPr>
      </w:pPr>
      <w:r w:rsidRPr="009A2018">
        <w:rPr>
          <w:rFonts w:cs="Times New Roman"/>
          <w:b/>
          <w:bCs/>
          <w:szCs w:val="24"/>
        </w:rPr>
        <w:lastRenderedPageBreak/>
        <w:t xml:space="preserve">Vizna politika </w:t>
      </w:r>
    </w:p>
    <w:p w:rsidR="00622A95" w:rsidRPr="009A2018" w:rsidRDefault="00622A95" w:rsidP="00EC1790">
      <w:pPr>
        <w:spacing w:after="120" w:line="240" w:lineRule="auto"/>
        <w:jc w:val="both"/>
        <w:rPr>
          <w:rFonts w:cs="Times New Roman"/>
          <w:szCs w:val="24"/>
        </w:rPr>
      </w:pPr>
      <w:r w:rsidRPr="009A2018">
        <w:rPr>
          <w:rFonts w:cs="Times New Roman"/>
          <w:szCs w:val="24"/>
        </w:rPr>
        <w:t xml:space="preserve">Vizna politika Crne Gore nije u potpunosti usklađena s politikom EU, uključujući </w:t>
      </w:r>
      <w:r w:rsidR="00BA7E7A">
        <w:rPr>
          <w:rFonts w:cs="Times New Roman"/>
          <w:szCs w:val="24"/>
        </w:rPr>
        <w:t xml:space="preserve">EU </w:t>
      </w:r>
      <w:r w:rsidRPr="009A2018">
        <w:rPr>
          <w:rFonts w:cs="Times New Roman"/>
          <w:szCs w:val="24"/>
        </w:rPr>
        <w:t>listu zemalja čijim državljanima je potrebna viza i onih koji su izuzeti od ovog zahtjeva. Prema svojoj politici razvoja turizma, Crna Gora i dalje izuzima državljane Rusije, Jermenije, Kazahstana, Azerbejdžana, Bjelorusije, Kube, Ekvadora, Kuvajta i Turske od kratkoročnih zahtjeva za vize - bilo sezonski u turističke svrhe ili trajno. Uticaj ovih izuzeća na migracione tokove pomno se prati i do sada nije uočena neregularna migracija iz dotičnih zemalja. Treći izvještaj Evropske komisije u okviru Mehanizma za ukidanje viza iz jula 2020. godine zaključio je da Crna Gora nastavlja da ispunjava mjerila za liberalizaciju viznog režima. Međutim, kako bi se obezbijedili migracioni sistem kojim se dobro upravlja i bezbjednosno okruženje, Crna Gora treba da osigura potpuno usklađivanje s viznom politikom EU.</w:t>
      </w:r>
    </w:p>
    <w:p w:rsidR="00622A95" w:rsidRPr="009A2018" w:rsidRDefault="00622A95" w:rsidP="00EC1790">
      <w:pPr>
        <w:spacing w:after="0" w:line="240" w:lineRule="auto"/>
        <w:jc w:val="both"/>
        <w:rPr>
          <w:rFonts w:cs="Times New Roman"/>
          <w:szCs w:val="24"/>
        </w:rPr>
      </w:pPr>
      <w:r w:rsidRPr="009A2018">
        <w:rPr>
          <w:rFonts w:cs="Times New Roman"/>
          <w:szCs w:val="24"/>
        </w:rPr>
        <w:t>Crna Gora sada ima 31 konzularna predstavništva povezana preko nacionalnog viznog informacionog sistema. Tri vize izdate su na graničnim prelazima 2019. godine, pod uslovima koji su bili u skladu s pravnom tekovinom EU. U okviru procesa liberalizacije viza, Crna Gora je nastavila da s</w:t>
      </w:r>
      <w:r w:rsidR="001E227C">
        <w:rPr>
          <w:rFonts w:cs="Times New Roman"/>
          <w:szCs w:val="24"/>
        </w:rPr>
        <w:t>provodi relevantne mjere za spr</w:t>
      </w:r>
      <w:r w:rsidRPr="009A2018">
        <w:rPr>
          <w:rFonts w:cs="Times New Roman"/>
          <w:szCs w:val="24"/>
        </w:rPr>
        <w:t>ečavanje zloupotrebe bezviznog režima s EU i izvještavala o tome mjesečno. Broj podnosilaca zahtjeva za azil iz Crne Gore koji su prvi put stigli u države članice EU i zemlje pridružene Šengenu i dalje je nizak, sa 225 podnesenih zahtjeva u 2019. godini (u odnosu na 380 u 2018. godini).</w:t>
      </w:r>
    </w:p>
    <w:p w:rsidR="00622A95" w:rsidRPr="009A2018" w:rsidRDefault="00622A95" w:rsidP="00EC1790">
      <w:pPr>
        <w:spacing w:after="0" w:line="240" w:lineRule="auto"/>
        <w:jc w:val="both"/>
        <w:rPr>
          <w:rFonts w:cs="Times New Roman"/>
          <w:szCs w:val="24"/>
        </w:rPr>
      </w:pPr>
    </w:p>
    <w:p w:rsidR="00622A95" w:rsidRPr="009A2018" w:rsidRDefault="00622A95" w:rsidP="00EC1790">
      <w:pPr>
        <w:keepNext/>
        <w:autoSpaceDE w:val="0"/>
        <w:autoSpaceDN w:val="0"/>
        <w:adjustRightInd w:val="0"/>
        <w:spacing w:after="120" w:line="240" w:lineRule="auto"/>
        <w:jc w:val="both"/>
        <w:rPr>
          <w:rFonts w:cs="Times New Roman"/>
          <w:b/>
          <w:szCs w:val="24"/>
          <w:lang w:bidi="en-US"/>
        </w:rPr>
      </w:pPr>
      <w:r w:rsidRPr="009A2018">
        <w:rPr>
          <w:rFonts w:cs="Times New Roman"/>
          <w:b/>
          <w:szCs w:val="24"/>
          <w:lang w:bidi="en-US"/>
        </w:rPr>
        <w:t xml:space="preserve">Šengen i spoljne granice </w:t>
      </w:r>
    </w:p>
    <w:p w:rsidR="00622A95" w:rsidRPr="009A2018" w:rsidRDefault="00622A95" w:rsidP="00EC1790">
      <w:pPr>
        <w:keepNext/>
        <w:spacing w:after="120" w:line="240" w:lineRule="auto"/>
        <w:rPr>
          <w:rFonts w:cs="Times New Roman"/>
          <w:szCs w:val="24"/>
        </w:rPr>
      </w:pPr>
      <w:r w:rsidRPr="009A2018">
        <w:rPr>
          <w:rFonts w:cs="Times New Roman"/>
          <w:szCs w:val="24"/>
          <w:u w:val="single"/>
        </w:rPr>
        <w:t>Institucionalna organizacija i usklađivanje zakonodavstva</w:t>
      </w:r>
    </w:p>
    <w:p w:rsidR="00622A95" w:rsidRPr="009A2018" w:rsidRDefault="00622A95" w:rsidP="00EC1790">
      <w:pPr>
        <w:keepNext/>
        <w:spacing w:after="120" w:line="240" w:lineRule="auto"/>
        <w:jc w:val="both"/>
        <w:rPr>
          <w:rFonts w:eastAsia="Times New Roman" w:cs="Times New Roman"/>
          <w:szCs w:val="24"/>
        </w:rPr>
      </w:pPr>
      <w:r w:rsidRPr="009A2018">
        <w:rPr>
          <w:rFonts w:eastAsia="Times New Roman" w:cs="Times New Roman"/>
          <w:szCs w:val="24"/>
        </w:rPr>
        <w:t xml:space="preserve">Sporazum o statusu s EU, koji predviđa raspoređivanje </w:t>
      </w:r>
      <w:r w:rsidR="00375AC9" w:rsidRPr="00375AC9">
        <w:rPr>
          <w:rFonts w:eastAsia="Times New Roman" w:cs="Times New Roman"/>
          <w:szCs w:val="24"/>
        </w:rPr>
        <w:t>timova Evropske agencije za graničnu i obalsku stražu</w:t>
      </w:r>
      <w:r w:rsidRPr="009A2018">
        <w:rPr>
          <w:rFonts w:eastAsia="Times New Roman" w:cs="Times New Roman"/>
          <w:szCs w:val="24"/>
        </w:rPr>
        <w:t xml:space="preserve"> s izvršnim ovlašćenjima duž crnogorskih granica s EU, ratifikovale su obje strane i stupio je na snagu 1. jula 2020. godine. Nakon Albanije, ovo je drugi po redu sporazum o stupanju na snagu. Sporazum otvara put za bližu saradnju između Crne Gore i Frontexa, uključujući više mogućnosti za prenošenje dobrih praksi EU. Prva zajednička operacija prema Sporazumu pokrenuta je 15. jula i započeta raspoređivanjem službenika Evropske agencije za upravljanje operativnom saradnjom na spoljnim granicama država članica Evropske unije (EBCGA)/Frontexa na granični prelaz na granici s Hrvatskom.</w:t>
      </w:r>
    </w:p>
    <w:p w:rsidR="00622A95" w:rsidRPr="009A2018" w:rsidRDefault="00622A95" w:rsidP="00EC1790">
      <w:pPr>
        <w:keepNext/>
        <w:spacing w:after="120" w:line="240" w:lineRule="auto"/>
        <w:jc w:val="both"/>
        <w:rPr>
          <w:rFonts w:eastAsia="Times New Roman" w:cs="Times New Roman"/>
          <w:szCs w:val="24"/>
        </w:rPr>
      </w:pPr>
      <w:r w:rsidRPr="009A2018">
        <w:rPr>
          <w:rFonts w:eastAsia="Times New Roman" w:cs="Times New Roman"/>
          <w:szCs w:val="24"/>
        </w:rPr>
        <w:t>Pravni okvir Crne Gore dodatno je usklađen s relevantnom pravnom tekovinom EU usvajanjem izmjena i dopuna Zakona o graničnoj kontroli u martu 2019. godine i uspostavljanjem</w:t>
      </w:r>
      <w:r w:rsidR="001E227C">
        <w:rPr>
          <w:rFonts w:eastAsia="Times New Roman" w:cs="Times New Roman"/>
          <w:szCs w:val="24"/>
        </w:rPr>
        <w:t xml:space="preserve">, </w:t>
      </w:r>
      <w:r w:rsidR="001E227C" w:rsidRPr="009A2018">
        <w:rPr>
          <w:rFonts w:eastAsia="Times New Roman" w:cs="Times New Roman"/>
          <w:szCs w:val="24"/>
        </w:rPr>
        <w:t xml:space="preserve">u aprilu 2019. </w:t>
      </w:r>
      <w:r w:rsidR="001E227C">
        <w:rPr>
          <w:rFonts w:eastAsia="Times New Roman" w:cs="Times New Roman"/>
          <w:szCs w:val="24"/>
        </w:rPr>
        <w:t>g</w:t>
      </w:r>
      <w:r w:rsidR="001E227C" w:rsidRPr="009A2018">
        <w:rPr>
          <w:rFonts w:eastAsia="Times New Roman" w:cs="Times New Roman"/>
          <w:szCs w:val="24"/>
        </w:rPr>
        <w:t>odine</w:t>
      </w:r>
      <w:r w:rsidR="001E227C">
        <w:rPr>
          <w:rFonts w:eastAsia="Times New Roman" w:cs="Times New Roman"/>
          <w:szCs w:val="24"/>
        </w:rPr>
        <w:t>,</w:t>
      </w:r>
      <w:r w:rsidRPr="009A2018">
        <w:rPr>
          <w:rFonts w:eastAsia="Times New Roman" w:cs="Times New Roman"/>
          <w:szCs w:val="24"/>
        </w:rPr>
        <w:t xml:space="preserve"> Nacionalnog koordinacionog centra </w:t>
      </w:r>
      <w:r w:rsidR="001E227C">
        <w:rPr>
          <w:rFonts w:eastAsia="Times New Roman" w:cs="Times New Roman"/>
          <w:szCs w:val="24"/>
        </w:rPr>
        <w:t xml:space="preserve">(NCC), ključnog organa za </w:t>
      </w:r>
      <w:r w:rsidR="00A72B76">
        <w:rPr>
          <w:rFonts w:eastAsia="Times New Roman" w:cs="Times New Roman"/>
          <w:szCs w:val="24"/>
        </w:rPr>
        <w:t>poboljšanje situacione svijesti</w:t>
      </w:r>
      <w:r w:rsidR="00375AC9">
        <w:rPr>
          <w:rFonts w:eastAsia="Times New Roman" w:cs="Times New Roman"/>
          <w:szCs w:val="24"/>
        </w:rPr>
        <w:t xml:space="preserve"> na nacionalnom nivou</w:t>
      </w:r>
      <w:r w:rsidRPr="009A2018">
        <w:rPr>
          <w:rFonts w:eastAsia="Times New Roman" w:cs="Times New Roman"/>
          <w:szCs w:val="24"/>
        </w:rPr>
        <w:t xml:space="preserve">, </w:t>
      </w:r>
      <w:r w:rsidR="001E227C">
        <w:rPr>
          <w:rFonts w:eastAsia="Times New Roman" w:cs="Times New Roman"/>
          <w:szCs w:val="24"/>
        </w:rPr>
        <w:t>kapaciteta za</w:t>
      </w:r>
      <w:r w:rsidRPr="009A2018">
        <w:rPr>
          <w:rFonts w:eastAsia="Times New Roman" w:cs="Times New Roman"/>
          <w:szCs w:val="24"/>
        </w:rPr>
        <w:t xml:space="preserve"> procjen</w:t>
      </w:r>
      <w:r w:rsidR="001E227C">
        <w:rPr>
          <w:rFonts w:eastAsia="Times New Roman" w:cs="Times New Roman"/>
          <w:szCs w:val="24"/>
        </w:rPr>
        <w:t>u</w:t>
      </w:r>
      <w:r w:rsidRPr="009A2018">
        <w:rPr>
          <w:rFonts w:eastAsia="Times New Roman" w:cs="Times New Roman"/>
          <w:szCs w:val="24"/>
        </w:rPr>
        <w:t xml:space="preserve"> rizika i sposobnost odgovora na krize. Imenovan je direktor, oprema je djelimično isporučena i angažovana je većina od planiranih 23 zaposlenih. Međutim, NCC tek treba da postane potpuno opremljen i operativan.</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Strategija integrisanog upravljanja granic</w:t>
      </w:r>
      <w:r w:rsidR="00375AC9">
        <w:rPr>
          <w:rFonts w:eastAsia="Times New Roman" w:cs="Times New Roman"/>
          <w:szCs w:val="24"/>
        </w:rPr>
        <w:t>om</w:t>
      </w:r>
      <w:r w:rsidRPr="009A2018">
        <w:rPr>
          <w:rFonts w:eastAsia="Times New Roman" w:cs="Times New Roman"/>
          <w:szCs w:val="24"/>
        </w:rPr>
        <w:t xml:space="preserve"> za period 2014-2018 proširena je na 2019. godinu. Nova Strategija integrisanog upravljanja granic</w:t>
      </w:r>
      <w:r w:rsidR="00375AC9">
        <w:rPr>
          <w:rFonts w:eastAsia="Times New Roman" w:cs="Times New Roman"/>
          <w:szCs w:val="24"/>
        </w:rPr>
        <w:t>om</w:t>
      </w:r>
      <w:r w:rsidRPr="009A2018">
        <w:rPr>
          <w:rFonts w:eastAsia="Times New Roman" w:cs="Times New Roman"/>
          <w:szCs w:val="24"/>
        </w:rPr>
        <w:t xml:space="preserve"> za period 2020-2024, koja obuhvata novi evropski koncept integrisanog upravljanja granicama, usvojena je u februaru 2020. godine. Broj radnih mjesta u graničnoj policiji iznosi 1.364, od kojih je 1.321 popunjeno. Međutim, prema Šengenskom akcionom planu, bilo bi potrebno još 600 graničnih policajaca. Napredni putnički informacioni sistem (APIS) ne radi.</w:t>
      </w:r>
    </w:p>
    <w:p w:rsidR="00622A95" w:rsidRPr="009A2018" w:rsidRDefault="00622A95" w:rsidP="00EC1790">
      <w:pPr>
        <w:spacing w:after="120" w:line="240" w:lineRule="auto"/>
        <w:jc w:val="both"/>
        <w:rPr>
          <w:rFonts w:eastAsia="Times New Roman" w:cs="Times New Roman"/>
          <w:szCs w:val="24"/>
          <w:u w:val="single"/>
        </w:rPr>
      </w:pPr>
      <w:r w:rsidRPr="009A2018">
        <w:rPr>
          <w:rFonts w:eastAsia="Times New Roman" w:cs="Times New Roman"/>
          <w:szCs w:val="24"/>
          <w:u w:val="single"/>
        </w:rPr>
        <w:t>Kapacitet za sprovođenje i izvršenje</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 xml:space="preserve">Crna Gora nastavila je da jača svoje kapacitete za upravljanje granicama kroz brojne aktivnosti obuke, podršku TAIEX-a i kupovinu opreme. Međutim, broj spriječenih ilegalnih ulazaka pao je na 516, sa 1309 u 2018. godini. Zaplijenjeno je oko 115 krivotvorenih dokumenata. Materijalni i ljudski resursi i dalje su nedovoljni za suočavanje s izazovima </w:t>
      </w:r>
      <w:r w:rsidRPr="009A2018">
        <w:rPr>
          <w:rFonts w:eastAsia="Times New Roman" w:cs="Times New Roman"/>
          <w:szCs w:val="24"/>
        </w:rPr>
        <w:lastRenderedPageBreak/>
        <w:t>nadzora kopnenih i morskih granica. Treba povećati učešće granične policije u suzbijanju i istraživanju prekograničnog kriminala. Saradnja sa susjednim zemljama u upravljanju granicama je dobra. Izvođene su zajedničke patrole sa svim susjednim zemljama, uz značajan porast zajedničkih patrola s Albanijom. Plan rušenja 30 alternativnih prekograničnih saobraćajnica sa Srbijom potpisan je u martu 2019. godine i počeo se sprovoditi. Zatvoreno je svih 14 alternativnih saobraćajnica na crnogorskoj strani. U junu 2020. godine potpisan je sporazum s Bosnom i Hercegovinom o zajedničkim graničnim prelazima. U 2019. godini izvršen</w:t>
      </w:r>
      <w:r w:rsidR="00375AC9">
        <w:rPr>
          <w:rFonts w:eastAsia="Times New Roman" w:cs="Times New Roman"/>
          <w:szCs w:val="24"/>
        </w:rPr>
        <w:t>a su</w:t>
      </w:r>
      <w:r w:rsidRPr="009A2018">
        <w:rPr>
          <w:rFonts w:eastAsia="Times New Roman" w:cs="Times New Roman"/>
          <w:szCs w:val="24"/>
        </w:rPr>
        <w:t xml:space="preserve"> 39.644 zajednička nadzora, a oba zajednička centra za saradnju, Plav i Trebinje, obradila su 713 zahtjeva za informacijama.</w:t>
      </w:r>
    </w:p>
    <w:p w:rsidR="00622A95" w:rsidRPr="009A2018" w:rsidRDefault="00622A95" w:rsidP="00EC1790">
      <w:pPr>
        <w:spacing w:after="120" w:line="240" w:lineRule="auto"/>
        <w:jc w:val="both"/>
        <w:rPr>
          <w:rFonts w:cs="Times New Roman"/>
          <w:szCs w:val="24"/>
          <w:lang w:eastAsia="en-GB"/>
        </w:rPr>
      </w:pPr>
      <w:r w:rsidRPr="009A2018">
        <w:rPr>
          <w:rFonts w:cs="Times New Roman"/>
          <w:szCs w:val="24"/>
          <w:lang w:eastAsia="en-GB"/>
        </w:rPr>
        <w:t>U maju i junu 2019. godine, Crna Gora učestvovala je u dvije velike zajedničke prekogranične policijske operacije, Tuzi II i Sukobin I, na crnogorsko-albanskoj granici, u kojima je</w:t>
      </w:r>
      <w:r w:rsidR="00A72B76">
        <w:rPr>
          <w:rFonts w:cs="Times New Roman"/>
          <w:szCs w:val="24"/>
          <w:lang w:eastAsia="en-GB"/>
        </w:rPr>
        <w:t xml:space="preserve"> </w:t>
      </w:r>
      <w:r w:rsidRPr="009A2018">
        <w:rPr>
          <w:rFonts w:cs="Times New Roman"/>
          <w:szCs w:val="24"/>
          <w:lang w:eastAsia="en-GB"/>
        </w:rPr>
        <w:t>učestvovalo</w:t>
      </w:r>
      <w:r w:rsidR="00A72B76">
        <w:rPr>
          <w:rFonts w:cs="Times New Roman"/>
          <w:szCs w:val="24"/>
          <w:lang w:eastAsia="en-GB"/>
        </w:rPr>
        <w:t xml:space="preserve"> </w:t>
      </w:r>
      <w:r w:rsidRPr="009A2018">
        <w:rPr>
          <w:rFonts w:cs="Times New Roman"/>
          <w:szCs w:val="24"/>
          <w:lang w:eastAsia="en-GB"/>
        </w:rPr>
        <w:t>devet zemalja iz regiona i EU. Crna Gora imala je pozitivnu ulogu promovišući</w:t>
      </w:r>
      <w:r w:rsidR="00A72B76">
        <w:rPr>
          <w:rFonts w:cs="Times New Roman"/>
          <w:szCs w:val="24"/>
          <w:lang w:eastAsia="en-GB"/>
        </w:rPr>
        <w:t xml:space="preserve"> </w:t>
      </w:r>
      <w:r w:rsidRPr="009A2018">
        <w:rPr>
          <w:rFonts w:cs="Times New Roman"/>
          <w:szCs w:val="24"/>
          <w:lang w:eastAsia="en-GB"/>
        </w:rPr>
        <w:t>projekat „</w:t>
      </w:r>
      <w:r w:rsidRPr="009A2018">
        <w:rPr>
          <w:rFonts w:cs="Times New Roman"/>
          <w:i/>
          <w:iCs/>
          <w:szCs w:val="24"/>
          <w:lang w:eastAsia="en-GB"/>
        </w:rPr>
        <w:t>Sea Gate</w:t>
      </w:r>
      <w:r w:rsidRPr="009A2018">
        <w:rPr>
          <w:rFonts w:cs="Times New Roman"/>
          <w:szCs w:val="24"/>
          <w:lang w:eastAsia="en-GB"/>
        </w:rPr>
        <w:t>“</w:t>
      </w:r>
      <w:r w:rsidR="00A72B76">
        <w:rPr>
          <w:rFonts w:cs="Times New Roman"/>
          <w:szCs w:val="24"/>
          <w:lang w:eastAsia="en-GB"/>
        </w:rPr>
        <w:t xml:space="preserve"> </w:t>
      </w:r>
      <w:r w:rsidRPr="009A2018">
        <w:rPr>
          <w:rFonts w:cs="Times New Roman"/>
          <w:szCs w:val="24"/>
          <w:lang w:eastAsia="en-GB"/>
        </w:rPr>
        <w:t>(</w:t>
      </w:r>
      <w:r w:rsidR="00375AC9">
        <w:rPr>
          <w:rFonts w:cs="Times New Roman"/>
          <w:szCs w:val="24"/>
          <w:lang w:eastAsia="en-GB"/>
        </w:rPr>
        <w:t>,,M</w:t>
      </w:r>
      <w:r w:rsidRPr="009A2018">
        <w:rPr>
          <w:rFonts w:cs="Times New Roman"/>
          <w:szCs w:val="24"/>
          <w:lang w:eastAsia="en-GB"/>
        </w:rPr>
        <w:t>orska vrata</w:t>
      </w:r>
      <w:r w:rsidR="00375AC9">
        <w:rPr>
          <w:rFonts w:cs="Times New Roman"/>
          <w:szCs w:val="24"/>
          <w:lang w:eastAsia="en-GB"/>
        </w:rPr>
        <w:t>”</w:t>
      </w:r>
      <w:r w:rsidRPr="009A2018">
        <w:rPr>
          <w:rFonts w:cs="Times New Roman"/>
          <w:szCs w:val="24"/>
          <w:lang w:eastAsia="en-GB"/>
        </w:rPr>
        <w:t>) u rješavanju izazova jadranske zone visokog rizika za prekogranični kriminal, stvarajući tako zajedničku svijest o situaciji i operativni odgovor na zajedničke prijetnje. Crna Gora je takođenastavila aktivno da sarađuje s Europolom, Interpolom i Evropskom agencijom za graničnu i obalsku stražu (Frontex) na suzbijanju prekograničnih kriminalnih aktivnosti. Crna Gora učestvuje u Mreži za analizu rizika Zapadnog Balkana pod pokroviteljstvom Frontexa.</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U kontekstu pandemije izazvane virusom Covid-19, svi granični prelazi osim šest bili su zatvoreni za međunarodni drumski, željeznički ili pomorski</w:t>
      </w:r>
      <w:r w:rsidR="00375AC9">
        <w:rPr>
          <w:rFonts w:eastAsia="Times New Roman" w:cs="Times New Roman"/>
          <w:szCs w:val="24"/>
        </w:rPr>
        <w:t xml:space="preserve"> </w:t>
      </w:r>
      <w:r w:rsidRPr="009A2018">
        <w:rPr>
          <w:rFonts w:eastAsia="Times New Roman" w:cs="Times New Roman"/>
          <w:szCs w:val="24"/>
        </w:rPr>
        <w:t>saobraćaj (uključujući granične prelaze na aerodromima). Od 16. marta svi komercijalni letovi otkazani su do 9. juna. Nakon 2. juna, granice su bile otvorene za zemlje s manje od 25 aktivnih slučajeva Covid-19 na 100.000 stanovnika.</w:t>
      </w:r>
    </w:p>
    <w:p w:rsidR="00622A95" w:rsidRPr="009A2018" w:rsidRDefault="00622A95" w:rsidP="00EC1790">
      <w:pPr>
        <w:spacing w:after="120" w:line="240" w:lineRule="auto"/>
        <w:jc w:val="both"/>
        <w:rPr>
          <w:rFonts w:eastAsia="Times New Roman" w:cs="Times New Roman"/>
          <w:szCs w:val="24"/>
        </w:rPr>
      </w:pPr>
      <w:r w:rsidRPr="009A2018">
        <w:rPr>
          <w:rFonts w:eastAsia="Times New Roman" w:cs="Times New Roman"/>
          <w:szCs w:val="24"/>
        </w:rPr>
        <w:t>Crna Gora treba da nastavi da jača svoje kapacitete u upravljanju granicama, sprječavanju prekograničnog kriminala i korupcije na granicama.</w:t>
      </w:r>
    </w:p>
    <w:p w:rsidR="00622A95" w:rsidRPr="009A2018" w:rsidRDefault="00622A95" w:rsidP="00EC1790">
      <w:pPr>
        <w:spacing w:after="120" w:line="240" w:lineRule="auto"/>
        <w:jc w:val="both"/>
        <w:rPr>
          <w:rFonts w:eastAsia="Times New Roman" w:cs="Times New Roman"/>
          <w:szCs w:val="24"/>
        </w:rPr>
      </w:pPr>
      <w:r w:rsidRPr="009A2018">
        <w:rPr>
          <w:rFonts w:cs="Times New Roman"/>
          <w:b/>
          <w:bCs/>
          <w:szCs w:val="24"/>
        </w:rPr>
        <w:t xml:space="preserve">Pravosudna saradnja u građanskim i krivičnim stvarima </w:t>
      </w:r>
    </w:p>
    <w:p w:rsidR="00622A95" w:rsidRPr="009A2018" w:rsidRDefault="00622A95" w:rsidP="00EC1790">
      <w:pPr>
        <w:spacing w:after="120" w:line="240" w:lineRule="auto"/>
        <w:jc w:val="both"/>
        <w:rPr>
          <w:rFonts w:cs="Times New Roman"/>
          <w:szCs w:val="24"/>
        </w:rPr>
      </w:pPr>
      <w:r w:rsidRPr="009A2018">
        <w:rPr>
          <w:rFonts w:cs="Times New Roman"/>
          <w:szCs w:val="24"/>
        </w:rPr>
        <w:t>Što se tiče pravosudne saradnje u krivičnim stvarima, Crna Gora nastavila je da usklađuje svoj zakonodavni okvir s relevantnom pravnom tekovinom EU kroz izmjene i dopune Zakona o međunarodnoj pravnoj pomoći u krivičnim stvarima. Izmjenama i dopunama regulisano je uspostavljanje zajedničkih istražnih timova (JIT) i revidirani su postupci ekstradicije. Crna Gora se podstiče da učestvuje u zajedničkim istražnim timovima kada je to potrebno. U septembru 2019. godine,</w:t>
      </w:r>
      <w:r w:rsidR="00375AC9">
        <w:rPr>
          <w:rFonts w:cs="Times New Roman"/>
          <w:szCs w:val="24"/>
        </w:rPr>
        <w:t xml:space="preserve"> </w:t>
      </w:r>
      <w:r w:rsidRPr="009A2018">
        <w:rPr>
          <w:rFonts w:cs="Times New Roman"/>
          <w:szCs w:val="24"/>
        </w:rPr>
        <w:t>Vlada je usvojila izmjene i dopune Protokola uz Konvenciju o transferu osuđenih lica. Crna Gora ima dobro uspostavljenu saradnju s Eurodžastom (</w:t>
      </w:r>
      <w:r w:rsidRPr="009A2018">
        <w:rPr>
          <w:rFonts w:cs="Times New Roman"/>
          <w:i/>
          <w:iCs/>
          <w:szCs w:val="24"/>
        </w:rPr>
        <w:t>Eurojust</w:t>
      </w:r>
      <w:r w:rsidRPr="009A2018">
        <w:rPr>
          <w:rFonts w:cs="Times New Roman"/>
          <w:szCs w:val="24"/>
        </w:rPr>
        <w:t>). U Eurodžastu je u 2019. godini otvoreno 12 predmeta koji uključuju Crnu Goru, uglavnom vezanih za pranje novca, prevaru i pronevjeru. Države članice EU zatražile su 10 predmeta, a Crna Gora dva predmeta. U zemlji postoje dvije kontakt tačke Eurodžasta.</w:t>
      </w:r>
    </w:p>
    <w:p w:rsidR="00622A95" w:rsidRPr="009A2018" w:rsidRDefault="00622A95" w:rsidP="00EC1790">
      <w:pPr>
        <w:spacing w:after="120" w:line="240" w:lineRule="auto"/>
        <w:jc w:val="both"/>
        <w:rPr>
          <w:rFonts w:cs="Times New Roman"/>
          <w:bCs/>
          <w:szCs w:val="24"/>
        </w:rPr>
      </w:pPr>
      <w:r w:rsidRPr="009A2018">
        <w:rPr>
          <w:rFonts w:cs="Times New Roman"/>
          <w:bCs/>
          <w:szCs w:val="24"/>
        </w:rPr>
        <w:t>U oblasti pravosudne saradnje u građanskim stvarima, izmjene i dopune Zakona o izvršenju i obezbjeđenju potraživanja i Zakona o parničnom postupku usvojene su u aprilu, odnosno junu 2019. godine. Crna Gora još uvijek nije strana potpisnica Protokola iz 2007. godine uz Hašku konvenciju o međunarodnoj naplati potraživanja za izdržavanje djece i druge oblike</w:t>
      </w:r>
      <w:r w:rsidR="00375AC9">
        <w:rPr>
          <w:rFonts w:cs="Times New Roman"/>
          <w:bCs/>
          <w:szCs w:val="24"/>
        </w:rPr>
        <w:t xml:space="preserve"> </w:t>
      </w:r>
      <w:r w:rsidRPr="009A2018">
        <w:rPr>
          <w:rFonts w:cs="Times New Roman"/>
          <w:bCs/>
          <w:szCs w:val="24"/>
        </w:rPr>
        <w:t>izdržavanja porodice, koji se odnosi na obaveze izdržavanja, niti Haške konvencije o međunarodnoj zaštiti odraslih iz 2000. godine.</w:t>
      </w:r>
    </w:p>
    <w:p w:rsidR="00622A95" w:rsidRPr="009A2018" w:rsidRDefault="00622A95" w:rsidP="00EC1790">
      <w:pPr>
        <w:spacing w:after="120" w:line="240" w:lineRule="auto"/>
        <w:jc w:val="both"/>
        <w:rPr>
          <w:rFonts w:cs="Times New Roman"/>
          <w:bCs/>
          <w:szCs w:val="24"/>
        </w:rPr>
      </w:pPr>
      <w:r w:rsidRPr="009A2018">
        <w:rPr>
          <w:rFonts w:cs="Times New Roman"/>
          <w:bCs/>
          <w:szCs w:val="24"/>
        </w:rPr>
        <w:t>Obim pravosudne saradnje i dalje je stabilan u odnosu na prošlu godinu, s 1.036 predmeta uzajamne pravne pomoći u krivičnim stvarima i 867 predmeta u građanskim stvarima. Glavni partneri i dalje su bili Zapadni Balkan i države članice EU. Crna Gora još nije dovršila reviziju svojih administrativnih i budžetskih kapaciteta u pravosudnoj saradnji, kako bi odgovorila na potrebe u ovoj oblasti.</w:t>
      </w:r>
    </w:p>
    <w:p w:rsidR="00622A95" w:rsidRPr="009A2018" w:rsidRDefault="00375AC9" w:rsidP="00EC1790">
      <w:pPr>
        <w:widowControl w:val="0"/>
        <w:spacing w:after="120" w:line="240" w:lineRule="auto"/>
        <w:jc w:val="both"/>
        <w:rPr>
          <w:rFonts w:cs="Times New Roman"/>
          <w:b/>
          <w:bCs/>
          <w:szCs w:val="24"/>
          <w:lang w:bidi="en-US"/>
        </w:rPr>
      </w:pPr>
      <w:r>
        <w:rPr>
          <w:rFonts w:cs="Times New Roman"/>
          <w:b/>
          <w:bCs/>
          <w:szCs w:val="24"/>
          <w:lang w:bidi="en-US"/>
        </w:rPr>
        <w:lastRenderedPageBreak/>
        <w:t xml:space="preserve">Falsifikovanje </w:t>
      </w:r>
      <w:r w:rsidR="00622A95" w:rsidRPr="009A2018">
        <w:rPr>
          <w:rFonts w:cs="Times New Roman"/>
          <w:b/>
          <w:bCs/>
          <w:szCs w:val="24"/>
          <w:lang w:bidi="en-US"/>
        </w:rPr>
        <w:t>eura (krivičnopravni aspekti)</w:t>
      </w:r>
    </w:p>
    <w:p w:rsidR="00622A95" w:rsidRDefault="00622A95" w:rsidP="00EC1790">
      <w:pPr>
        <w:spacing w:after="120" w:line="240" w:lineRule="auto"/>
        <w:jc w:val="both"/>
        <w:rPr>
          <w:rFonts w:cs="Times New Roman"/>
          <w:szCs w:val="24"/>
        </w:rPr>
      </w:pPr>
      <w:r w:rsidRPr="009A2018">
        <w:rPr>
          <w:rFonts w:cs="Times New Roman"/>
          <w:szCs w:val="24"/>
        </w:rPr>
        <w:t>Agencije za sprovođenje zakona istražile su četiri slučaja krivotvorenja novca u 2019. godini i šest sudskih odluka, uključujući pet koje su rezultirale zatvorskim kaznama.</w:t>
      </w:r>
    </w:p>
    <w:p w:rsidR="00A72B76" w:rsidRDefault="00A72B76" w:rsidP="00EC1790">
      <w:pPr>
        <w:spacing w:after="120" w:line="240" w:lineRule="auto"/>
        <w:jc w:val="both"/>
        <w:rPr>
          <w:rFonts w:cs="Times New Roman"/>
          <w:szCs w:val="24"/>
        </w:rPr>
      </w:pPr>
    </w:p>
    <w:p w:rsidR="00A72B76" w:rsidRDefault="00A72B76" w:rsidP="00EC1790">
      <w:pPr>
        <w:spacing w:after="120" w:line="240" w:lineRule="auto"/>
        <w:jc w:val="both"/>
        <w:rPr>
          <w:rFonts w:cs="Times New Roman"/>
          <w:szCs w:val="24"/>
        </w:rPr>
      </w:pPr>
    </w:p>
    <w:p w:rsidR="00A72B76" w:rsidRDefault="00A72B76" w:rsidP="00EC1790">
      <w:pPr>
        <w:spacing w:after="120" w:line="240" w:lineRule="auto"/>
        <w:jc w:val="both"/>
        <w:rPr>
          <w:rFonts w:cs="Times New Roman"/>
          <w:szCs w:val="24"/>
        </w:rPr>
      </w:pPr>
    </w:p>
    <w:p w:rsidR="00A72B76" w:rsidRDefault="00A72B76" w:rsidP="00EC1790">
      <w:pPr>
        <w:spacing w:after="120" w:line="240" w:lineRule="auto"/>
        <w:jc w:val="both"/>
        <w:rPr>
          <w:rFonts w:cs="Times New Roman"/>
          <w:szCs w:val="24"/>
        </w:rPr>
      </w:pPr>
    </w:p>
    <w:p w:rsidR="00A72B76" w:rsidRDefault="00A72B76" w:rsidP="00EC1790">
      <w:pPr>
        <w:spacing w:after="120" w:line="240" w:lineRule="auto"/>
        <w:jc w:val="both"/>
        <w:rPr>
          <w:rFonts w:cs="Times New Roman"/>
          <w:szCs w:val="24"/>
        </w:rPr>
      </w:pPr>
    </w:p>
    <w:p w:rsidR="00A72B76" w:rsidRPr="009A2018" w:rsidRDefault="00A72B76" w:rsidP="00EC1790">
      <w:pPr>
        <w:spacing w:after="120" w:line="240" w:lineRule="auto"/>
        <w:jc w:val="both"/>
        <w:rPr>
          <w:rFonts w:cs="Times New Roman"/>
          <w:szCs w:val="24"/>
        </w:rPr>
      </w:pPr>
    </w:p>
    <w:p w:rsidR="00FD2C17" w:rsidRPr="009A2018" w:rsidRDefault="00622A95" w:rsidP="00EC1790">
      <w:pPr>
        <w:pStyle w:val="ManualHeading1"/>
        <w:spacing w:before="120"/>
        <w:ind w:left="0" w:firstLine="0"/>
        <w:rPr>
          <w:rFonts w:eastAsiaTheme="minorEastAsia"/>
        </w:rPr>
      </w:pPr>
      <w:bookmarkStart w:id="38" w:name="_Toc53362437"/>
      <w:bookmarkStart w:id="39" w:name="_Toc52744929"/>
      <w:r w:rsidRPr="009A2018">
        <w:rPr>
          <w:rFonts w:eastAsiaTheme="minorEastAsia"/>
        </w:rPr>
        <w:t>3.</w:t>
      </w:r>
      <w:r w:rsidRPr="009A2018">
        <w:rPr>
          <w:rFonts w:eastAsiaTheme="minorEastAsia"/>
        </w:rPr>
        <w:tab/>
        <w:t>Najprije osnovna pitanja: ekonomski razvoj i konkurentnost</w:t>
      </w:r>
      <w:bookmarkEnd w:id="38"/>
      <w:r w:rsidRPr="009A2018">
        <w:rPr>
          <w:rFonts w:eastAsiaTheme="minorEastAsia"/>
        </w:rPr>
        <w:t xml:space="preserve"> </w:t>
      </w:r>
      <w:bookmarkEnd w:id="39"/>
    </w:p>
    <w:tbl>
      <w:tblPr>
        <w:tblStyle w:val="TableGrid"/>
        <w:tblW w:w="0" w:type="auto"/>
        <w:tblLook w:val="04A0" w:firstRow="1" w:lastRow="0" w:firstColumn="1" w:lastColumn="0" w:noHBand="0" w:noVBand="1"/>
      </w:tblPr>
      <w:tblGrid>
        <w:gridCol w:w="5825"/>
        <w:gridCol w:w="1150"/>
        <w:gridCol w:w="756"/>
        <w:gridCol w:w="756"/>
        <w:gridCol w:w="756"/>
      </w:tblGrid>
      <w:tr w:rsidR="00622A95" w:rsidRPr="009A2018" w:rsidTr="00620E1E">
        <w:tc>
          <w:tcPr>
            <w:tcW w:w="6091" w:type="dxa"/>
            <w:tcBorders>
              <w:bottom w:val="nil"/>
              <w:right w:val="nil"/>
            </w:tcBorders>
          </w:tcPr>
          <w:p w:rsidR="00622A95" w:rsidRPr="009A2018" w:rsidRDefault="00622A95" w:rsidP="00EC1790">
            <w:pPr>
              <w:spacing w:after="0" w:line="240" w:lineRule="auto"/>
              <w:rPr>
                <w:rFonts w:cs="Times New Roman"/>
                <w:i/>
                <w:szCs w:val="24"/>
              </w:rPr>
            </w:pPr>
            <w:r w:rsidRPr="009A2018">
              <w:rPr>
                <w:rFonts w:cs="Times New Roman"/>
                <w:i/>
                <w:szCs w:val="24"/>
              </w:rPr>
              <w:t>Tabela:</w:t>
            </w:r>
          </w:p>
        </w:tc>
        <w:tc>
          <w:tcPr>
            <w:tcW w:w="1126" w:type="dxa"/>
            <w:tcBorders>
              <w:left w:val="nil"/>
              <w:bottom w:val="nil"/>
              <w:right w:val="nil"/>
            </w:tcBorders>
          </w:tcPr>
          <w:p w:rsidR="00622A95" w:rsidRPr="009A2018" w:rsidRDefault="00622A95" w:rsidP="00EC1790">
            <w:pPr>
              <w:spacing w:after="0" w:line="240" w:lineRule="auto"/>
              <w:jc w:val="center"/>
              <w:rPr>
                <w:rFonts w:cs="Times New Roman"/>
                <w:b/>
                <w:szCs w:val="24"/>
              </w:rPr>
            </w:pPr>
            <w:r w:rsidRPr="009A2018">
              <w:rPr>
                <w:rFonts w:cs="Times New Roman"/>
                <w:b/>
                <w:szCs w:val="24"/>
              </w:rPr>
              <w:t>2011-16.</w:t>
            </w:r>
          </w:p>
        </w:tc>
        <w:tc>
          <w:tcPr>
            <w:tcW w:w="711" w:type="dxa"/>
            <w:tcBorders>
              <w:left w:val="nil"/>
              <w:bottom w:val="nil"/>
              <w:right w:val="nil"/>
            </w:tcBorders>
          </w:tcPr>
          <w:p w:rsidR="00622A95" w:rsidRPr="009A2018" w:rsidRDefault="00622A95" w:rsidP="00EC1790">
            <w:pPr>
              <w:spacing w:after="0" w:line="240" w:lineRule="auto"/>
              <w:jc w:val="center"/>
              <w:rPr>
                <w:rFonts w:cs="Times New Roman"/>
                <w:b/>
                <w:szCs w:val="24"/>
              </w:rPr>
            </w:pPr>
            <w:r w:rsidRPr="009A2018">
              <w:rPr>
                <w:rFonts w:cs="Times New Roman"/>
                <w:b/>
                <w:szCs w:val="24"/>
              </w:rPr>
              <w:t>2017.</w:t>
            </w:r>
          </w:p>
        </w:tc>
        <w:tc>
          <w:tcPr>
            <w:tcW w:w="711" w:type="dxa"/>
            <w:tcBorders>
              <w:left w:val="nil"/>
              <w:bottom w:val="nil"/>
              <w:right w:val="nil"/>
            </w:tcBorders>
          </w:tcPr>
          <w:p w:rsidR="00622A95" w:rsidRPr="009A2018" w:rsidRDefault="00622A95" w:rsidP="00EC1790">
            <w:pPr>
              <w:spacing w:after="0" w:line="240" w:lineRule="auto"/>
              <w:jc w:val="center"/>
              <w:rPr>
                <w:rFonts w:cs="Times New Roman"/>
                <w:b/>
                <w:szCs w:val="24"/>
              </w:rPr>
            </w:pPr>
            <w:r w:rsidRPr="009A2018">
              <w:rPr>
                <w:rFonts w:cs="Times New Roman"/>
                <w:b/>
                <w:szCs w:val="24"/>
              </w:rPr>
              <w:t>2018.</w:t>
            </w:r>
          </w:p>
        </w:tc>
        <w:tc>
          <w:tcPr>
            <w:tcW w:w="711" w:type="dxa"/>
            <w:tcBorders>
              <w:left w:val="nil"/>
              <w:bottom w:val="nil"/>
            </w:tcBorders>
          </w:tcPr>
          <w:p w:rsidR="00622A95" w:rsidRPr="009A2018" w:rsidRDefault="00622A95" w:rsidP="00EC1790">
            <w:pPr>
              <w:spacing w:after="0" w:line="240" w:lineRule="auto"/>
              <w:jc w:val="center"/>
              <w:rPr>
                <w:rFonts w:cs="Times New Roman"/>
                <w:b/>
                <w:szCs w:val="24"/>
              </w:rPr>
            </w:pPr>
            <w:r w:rsidRPr="009A2018">
              <w:rPr>
                <w:rFonts w:cs="Times New Roman"/>
                <w:b/>
                <w:szCs w:val="24"/>
              </w:rPr>
              <w:t>2019.</w:t>
            </w:r>
          </w:p>
        </w:tc>
      </w:tr>
      <w:tr w:rsidR="00622A95" w:rsidRPr="009A2018" w:rsidTr="00620E1E">
        <w:tc>
          <w:tcPr>
            <w:tcW w:w="6091" w:type="dxa"/>
            <w:tcBorders>
              <w:top w:val="nil"/>
              <w:bottom w:val="single" w:sz="4" w:space="0" w:color="auto"/>
              <w:right w:val="nil"/>
            </w:tcBorders>
          </w:tcPr>
          <w:p w:rsidR="00622A95" w:rsidRPr="009A2018" w:rsidRDefault="00622A95" w:rsidP="00EC1790">
            <w:pPr>
              <w:spacing w:after="0" w:line="240" w:lineRule="auto"/>
              <w:rPr>
                <w:rFonts w:cs="Times New Roman"/>
                <w:b/>
                <w:szCs w:val="24"/>
              </w:rPr>
            </w:pPr>
            <w:r w:rsidRPr="009A2018">
              <w:rPr>
                <w:rFonts w:cs="Times New Roman"/>
                <w:b/>
                <w:szCs w:val="24"/>
              </w:rPr>
              <w:t>Crna Gora - ključni ekonomski podaci</w:t>
            </w:r>
          </w:p>
        </w:tc>
        <w:tc>
          <w:tcPr>
            <w:tcW w:w="1126" w:type="dxa"/>
            <w:tcBorders>
              <w:top w:val="nil"/>
              <w:left w:val="nil"/>
              <w:bottom w:val="single" w:sz="4" w:space="0" w:color="auto"/>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prosječno</w:t>
            </w:r>
          </w:p>
        </w:tc>
        <w:tc>
          <w:tcPr>
            <w:tcW w:w="711" w:type="dxa"/>
            <w:tcBorders>
              <w:top w:val="nil"/>
              <w:left w:val="nil"/>
              <w:bottom w:val="single" w:sz="4" w:space="0" w:color="auto"/>
              <w:right w:val="nil"/>
            </w:tcBorders>
          </w:tcPr>
          <w:p w:rsidR="00622A95" w:rsidRPr="009A2018" w:rsidRDefault="00622A95" w:rsidP="00EC1790">
            <w:pPr>
              <w:spacing w:after="0" w:line="240" w:lineRule="auto"/>
              <w:jc w:val="center"/>
              <w:rPr>
                <w:rFonts w:cs="Times New Roman"/>
                <w:szCs w:val="24"/>
              </w:rPr>
            </w:pPr>
          </w:p>
        </w:tc>
        <w:tc>
          <w:tcPr>
            <w:tcW w:w="711" w:type="dxa"/>
            <w:tcBorders>
              <w:top w:val="nil"/>
              <w:left w:val="nil"/>
              <w:bottom w:val="single" w:sz="4" w:space="0" w:color="auto"/>
              <w:right w:val="nil"/>
            </w:tcBorders>
          </w:tcPr>
          <w:p w:rsidR="00622A95" w:rsidRPr="009A2018" w:rsidRDefault="00622A95" w:rsidP="00EC1790">
            <w:pPr>
              <w:spacing w:after="0" w:line="240" w:lineRule="auto"/>
              <w:jc w:val="center"/>
              <w:rPr>
                <w:rFonts w:cs="Times New Roman"/>
                <w:szCs w:val="24"/>
              </w:rPr>
            </w:pPr>
          </w:p>
        </w:tc>
        <w:tc>
          <w:tcPr>
            <w:tcW w:w="711" w:type="dxa"/>
            <w:tcBorders>
              <w:top w:val="nil"/>
              <w:left w:val="nil"/>
              <w:bottom w:val="single" w:sz="4" w:space="0" w:color="auto"/>
            </w:tcBorders>
          </w:tcPr>
          <w:p w:rsidR="00622A95" w:rsidRPr="009A2018" w:rsidRDefault="00622A95" w:rsidP="00EC1790">
            <w:pPr>
              <w:spacing w:after="0" w:line="240" w:lineRule="auto"/>
              <w:jc w:val="center"/>
              <w:rPr>
                <w:rFonts w:cs="Times New Roman"/>
                <w:szCs w:val="24"/>
              </w:rPr>
            </w:pPr>
          </w:p>
        </w:tc>
      </w:tr>
      <w:tr w:rsidR="00622A95" w:rsidRPr="009A2018" w:rsidTr="00620E1E">
        <w:tc>
          <w:tcPr>
            <w:tcW w:w="6091" w:type="dxa"/>
            <w:tcBorders>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Bruto domaći proizvod po glavi stanovnika BDP </w:t>
            </w:r>
            <w:r w:rsidRPr="009A2018">
              <w:rPr>
                <w:rFonts w:cs="Times New Roman"/>
                <w:szCs w:val="24"/>
              </w:rPr>
              <w:t>(% EU-28 u PPS - standardu kupovne moći)</w:t>
            </w:r>
            <w:r w:rsidRPr="009A2018">
              <w:rPr>
                <w:rFonts w:cs="Times New Roman"/>
                <w:szCs w:val="24"/>
                <w:vertAlign w:val="superscript"/>
              </w:rPr>
              <w:t>1)</w:t>
            </w:r>
          </w:p>
        </w:tc>
        <w:tc>
          <w:tcPr>
            <w:tcW w:w="1126" w:type="dxa"/>
            <w:tcBorders>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41,5</w:t>
            </w:r>
          </w:p>
        </w:tc>
        <w:tc>
          <w:tcPr>
            <w:tcW w:w="711" w:type="dxa"/>
            <w:tcBorders>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46,0</w:t>
            </w:r>
          </w:p>
        </w:tc>
        <w:tc>
          <w:tcPr>
            <w:tcW w:w="711" w:type="dxa"/>
            <w:tcBorders>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48,0</w:t>
            </w:r>
          </w:p>
        </w:tc>
        <w:tc>
          <w:tcPr>
            <w:tcW w:w="711" w:type="dxa"/>
            <w:tcBorders>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49,0</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b/>
                <w:szCs w:val="24"/>
              </w:rPr>
            </w:pPr>
            <w:r w:rsidRPr="009A2018">
              <w:rPr>
                <w:rFonts w:cs="Times New Roman"/>
                <w:b/>
                <w:szCs w:val="24"/>
              </w:rPr>
              <w:t xml:space="preserve">Rast realnog BDP-a </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2,0</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4,7</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5,1</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3,6</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Stopa ekonomske aktivnosti za lica starosti 15-64 </w:t>
            </w:r>
            <w:r w:rsidRPr="009A2018">
              <w:rPr>
                <w:rFonts w:cs="Times New Roman"/>
                <w:szCs w:val="24"/>
              </w:rPr>
              <w:t>(%), ukupno</w:t>
            </w:r>
            <w:r w:rsidRPr="009A2018">
              <w:rPr>
                <w:rFonts w:cs="Times New Roman"/>
                <w:szCs w:val="24"/>
                <w:vertAlign w:val="superscript"/>
              </w:rPr>
              <w:t>1)</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60,4</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63,5</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64,7</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66,2</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i/>
                <w:szCs w:val="24"/>
              </w:rPr>
            </w:pPr>
            <w:r w:rsidRPr="009A2018">
              <w:rPr>
                <w:rFonts w:cs="Times New Roman"/>
                <w:i/>
                <w:szCs w:val="24"/>
              </w:rPr>
              <w:t>žene</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54,1</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56,5</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57,2</w:t>
            </w:r>
          </w:p>
        </w:tc>
        <w:tc>
          <w:tcPr>
            <w:tcW w:w="711" w:type="dxa"/>
            <w:tcBorders>
              <w:top w:val="nil"/>
              <w:left w:val="nil"/>
              <w:bottom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59,1</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i/>
                <w:szCs w:val="24"/>
              </w:rPr>
            </w:pPr>
            <w:r w:rsidRPr="009A2018">
              <w:rPr>
                <w:rFonts w:cs="Times New Roman"/>
                <w:i/>
                <w:szCs w:val="24"/>
              </w:rPr>
              <w:t>muškarci</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66,7</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70,5</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72,3</w:t>
            </w:r>
          </w:p>
        </w:tc>
        <w:tc>
          <w:tcPr>
            <w:tcW w:w="711" w:type="dxa"/>
            <w:tcBorders>
              <w:top w:val="nil"/>
              <w:left w:val="nil"/>
              <w:bottom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73,3</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Stopa nezaposlenosti </w:t>
            </w:r>
            <w:r w:rsidRPr="009A2018">
              <w:rPr>
                <w:rFonts w:cs="Times New Roman"/>
                <w:szCs w:val="24"/>
              </w:rPr>
              <w:t>(%), ukupno</w:t>
            </w:r>
            <w:r w:rsidRPr="009A2018">
              <w:rPr>
                <w:rFonts w:cs="Times New Roman"/>
                <w:szCs w:val="24"/>
                <w:vertAlign w:val="superscript"/>
              </w:rPr>
              <w:t>1)</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19,0</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16,4</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15,5</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15,2</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i/>
                <w:szCs w:val="24"/>
              </w:rPr>
            </w:pPr>
            <w:r w:rsidRPr="009A2018">
              <w:rPr>
                <w:rFonts w:cs="Times New Roman"/>
                <w:i/>
                <w:szCs w:val="24"/>
              </w:rPr>
              <w:t>žene</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18,8</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17,2</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15,3</w:t>
            </w:r>
          </w:p>
        </w:tc>
        <w:tc>
          <w:tcPr>
            <w:tcW w:w="711" w:type="dxa"/>
            <w:tcBorders>
              <w:top w:val="nil"/>
              <w:left w:val="nil"/>
              <w:bottom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15,9</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i/>
                <w:szCs w:val="24"/>
              </w:rPr>
            </w:pPr>
            <w:r w:rsidRPr="009A2018">
              <w:rPr>
                <w:rFonts w:cs="Times New Roman"/>
                <w:i/>
                <w:szCs w:val="24"/>
              </w:rPr>
              <w:t>muškarci</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19,0</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15,7</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15,6</w:t>
            </w:r>
          </w:p>
        </w:tc>
        <w:tc>
          <w:tcPr>
            <w:tcW w:w="711" w:type="dxa"/>
            <w:tcBorders>
              <w:top w:val="nil"/>
              <w:left w:val="nil"/>
              <w:bottom w:val="nil"/>
            </w:tcBorders>
          </w:tcPr>
          <w:p w:rsidR="00622A95" w:rsidRPr="009A2018" w:rsidRDefault="00622A95" w:rsidP="00EC1790">
            <w:pPr>
              <w:spacing w:after="0" w:line="240" w:lineRule="auto"/>
              <w:jc w:val="center"/>
              <w:rPr>
                <w:rFonts w:cs="Times New Roman"/>
                <w:i/>
                <w:szCs w:val="24"/>
              </w:rPr>
            </w:pPr>
            <w:r w:rsidRPr="009A2018">
              <w:rPr>
                <w:rFonts w:cs="Times New Roman"/>
                <w:i/>
                <w:szCs w:val="24"/>
              </w:rPr>
              <w:t>15,0</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Zaposlenost </w:t>
            </w:r>
            <w:r w:rsidRPr="009A2018">
              <w:rPr>
                <w:rFonts w:cs="Times New Roman"/>
                <w:szCs w:val="24"/>
              </w:rPr>
              <w:t>(godišnji rast %)</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1,1</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2,1</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3,2</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2,6</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Nominalne zarade </w:t>
            </w:r>
            <w:r w:rsidRPr="009A2018">
              <w:rPr>
                <w:rFonts w:cs="Times New Roman"/>
                <w:szCs w:val="24"/>
              </w:rPr>
              <w:t>(godišnji rast %)</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0,8</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2,0</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0,1</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0,8</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Indeks potrošačkih cijena </w:t>
            </w:r>
            <w:r w:rsidRPr="009A2018">
              <w:rPr>
                <w:rFonts w:cs="Times New Roman"/>
                <w:szCs w:val="24"/>
              </w:rPr>
              <w:t>(godišnji rast %)</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1,7</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2,8</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2,9</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0,5</w:t>
            </w:r>
          </w:p>
        </w:tc>
      </w:tr>
      <w:tr w:rsidR="00622A95" w:rsidRPr="009A2018" w:rsidTr="00620E1E">
        <w:tc>
          <w:tcPr>
            <w:tcW w:w="6091" w:type="dxa"/>
            <w:tcBorders>
              <w:top w:val="nil"/>
              <w:bottom w:val="nil"/>
              <w:right w:val="nil"/>
            </w:tcBorders>
          </w:tcPr>
          <w:p w:rsidR="00622A95" w:rsidRPr="00C35FD0" w:rsidRDefault="00622A95" w:rsidP="00EC1790">
            <w:pPr>
              <w:spacing w:before="120" w:after="0" w:line="240" w:lineRule="auto"/>
              <w:rPr>
                <w:rFonts w:cs="Times New Roman"/>
                <w:b/>
                <w:szCs w:val="24"/>
                <w:lang w:val="fr-FR"/>
              </w:rPr>
            </w:pPr>
            <w:r w:rsidRPr="00C35FD0">
              <w:rPr>
                <w:rFonts w:cs="Times New Roman"/>
                <w:b/>
                <w:szCs w:val="24"/>
                <w:lang w:val="fr-FR"/>
              </w:rPr>
              <w:t>Devizni kurs u odnosu na EUR</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1,0</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1,0</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1,0</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1,0</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Saldo tekućeg računa </w:t>
            </w:r>
            <w:r w:rsidRPr="009A2018">
              <w:rPr>
                <w:rFonts w:cs="Times New Roman"/>
                <w:szCs w:val="24"/>
              </w:rPr>
              <w:t>(% BDP)</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-13,5</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-16,1</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-17,0</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-15,2</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Neto strana direktna ulaganja </w:t>
            </w:r>
            <w:r w:rsidRPr="009A2018">
              <w:rPr>
                <w:rFonts w:cs="Times New Roman"/>
                <w:szCs w:val="24"/>
              </w:rPr>
              <w:t>(% BDP)</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12,1</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11,3</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6,9</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7,0</w:t>
            </w:r>
          </w:p>
        </w:tc>
      </w:tr>
      <w:tr w:rsidR="00622A95" w:rsidRPr="009A2018" w:rsidTr="00620E1E">
        <w:tc>
          <w:tcPr>
            <w:tcW w:w="6091" w:type="dxa"/>
            <w:tcBorders>
              <w:top w:val="nil"/>
              <w:bottom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Saldo vlade </w:t>
            </w:r>
            <w:r w:rsidRPr="009A2018">
              <w:rPr>
                <w:rFonts w:cs="Times New Roman"/>
                <w:szCs w:val="24"/>
              </w:rPr>
              <w:t>(% BDP)</w:t>
            </w:r>
          </w:p>
        </w:tc>
        <w:tc>
          <w:tcPr>
            <w:tcW w:w="1126"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-5,1</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-5,3</w:t>
            </w:r>
          </w:p>
        </w:tc>
        <w:tc>
          <w:tcPr>
            <w:tcW w:w="711" w:type="dxa"/>
            <w:tcBorders>
              <w:top w:val="nil"/>
              <w:left w:val="nil"/>
              <w:bottom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-3,9</w:t>
            </w:r>
          </w:p>
        </w:tc>
        <w:tc>
          <w:tcPr>
            <w:tcW w:w="711" w:type="dxa"/>
            <w:tcBorders>
              <w:top w:val="nil"/>
              <w:left w:val="nil"/>
              <w:bottom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-2,0</w:t>
            </w:r>
          </w:p>
        </w:tc>
      </w:tr>
      <w:tr w:rsidR="00622A95" w:rsidRPr="009A2018" w:rsidTr="00620E1E">
        <w:tc>
          <w:tcPr>
            <w:tcW w:w="6091" w:type="dxa"/>
            <w:tcBorders>
              <w:top w:val="nil"/>
              <w:right w:val="nil"/>
            </w:tcBorders>
          </w:tcPr>
          <w:p w:rsidR="00622A95" w:rsidRPr="009A2018" w:rsidRDefault="00622A95" w:rsidP="00EC1790">
            <w:pPr>
              <w:spacing w:after="0" w:line="240" w:lineRule="auto"/>
              <w:rPr>
                <w:rFonts w:cs="Times New Roman"/>
                <w:szCs w:val="24"/>
              </w:rPr>
            </w:pPr>
            <w:r w:rsidRPr="009A2018">
              <w:rPr>
                <w:rFonts w:cs="Times New Roman"/>
                <w:b/>
                <w:szCs w:val="24"/>
              </w:rPr>
              <w:t xml:space="preserve">Saldo vladinog duga </w:t>
            </w:r>
            <w:r w:rsidRPr="009A2018">
              <w:rPr>
                <w:rFonts w:cs="Times New Roman"/>
                <w:szCs w:val="24"/>
              </w:rPr>
              <w:t>(% BDP)</w:t>
            </w:r>
          </w:p>
        </w:tc>
        <w:tc>
          <w:tcPr>
            <w:tcW w:w="1126" w:type="dxa"/>
            <w:tcBorders>
              <w:top w:val="nil"/>
              <w:left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57,2</w:t>
            </w:r>
          </w:p>
        </w:tc>
        <w:tc>
          <w:tcPr>
            <w:tcW w:w="711" w:type="dxa"/>
            <w:tcBorders>
              <w:top w:val="nil"/>
              <w:left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63,3</w:t>
            </w:r>
          </w:p>
        </w:tc>
        <w:tc>
          <w:tcPr>
            <w:tcW w:w="711" w:type="dxa"/>
            <w:tcBorders>
              <w:top w:val="nil"/>
              <w:left w:val="nil"/>
              <w:righ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70,1</w:t>
            </w:r>
          </w:p>
        </w:tc>
        <w:tc>
          <w:tcPr>
            <w:tcW w:w="711" w:type="dxa"/>
            <w:tcBorders>
              <w:top w:val="nil"/>
              <w:left w:val="nil"/>
            </w:tcBorders>
          </w:tcPr>
          <w:p w:rsidR="00622A95" w:rsidRPr="009A2018" w:rsidRDefault="00622A95" w:rsidP="00EC1790">
            <w:pPr>
              <w:spacing w:after="0" w:line="240" w:lineRule="auto"/>
              <w:jc w:val="center"/>
              <w:rPr>
                <w:rFonts w:cs="Times New Roman"/>
                <w:szCs w:val="24"/>
              </w:rPr>
            </w:pPr>
            <w:r w:rsidRPr="009A2018">
              <w:rPr>
                <w:rFonts w:cs="Times New Roman"/>
                <w:szCs w:val="24"/>
              </w:rPr>
              <w:t>77,2</w:t>
            </w:r>
          </w:p>
        </w:tc>
      </w:tr>
    </w:tbl>
    <w:p w:rsidR="00622A95" w:rsidRPr="009A2018" w:rsidRDefault="00622A95" w:rsidP="00EC1790">
      <w:pPr>
        <w:spacing w:after="0" w:line="240" w:lineRule="auto"/>
        <w:rPr>
          <w:rFonts w:cs="Times New Roman"/>
          <w:i/>
          <w:szCs w:val="24"/>
        </w:rPr>
      </w:pPr>
      <w:r w:rsidRPr="009A2018">
        <w:rPr>
          <w:rFonts w:cs="Times New Roman"/>
          <w:i/>
          <w:szCs w:val="24"/>
          <w:u w:val="single"/>
        </w:rPr>
        <w:t>Napomene</w:t>
      </w:r>
      <w:r w:rsidRPr="009A2018">
        <w:rPr>
          <w:rFonts w:cs="Times New Roman"/>
          <w:i/>
          <w:szCs w:val="24"/>
        </w:rPr>
        <w:t>:</w:t>
      </w:r>
    </w:p>
    <w:p w:rsidR="00622A95" w:rsidRPr="009A2018" w:rsidRDefault="00622A95" w:rsidP="00EC1790">
      <w:pPr>
        <w:spacing w:after="0" w:line="240" w:lineRule="auto"/>
        <w:rPr>
          <w:rFonts w:cs="Times New Roman"/>
          <w:i/>
          <w:szCs w:val="24"/>
        </w:rPr>
      </w:pPr>
      <w:r w:rsidRPr="009A2018">
        <w:rPr>
          <w:rFonts w:cs="Times New Roman"/>
          <w:i/>
          <w:szCs w:val="24"/>
        </w:rPr>
        <w:t>1) Eurostat</w:t>
      </w:r>
    </w:p>
    <w:p w:rsidR="00622A95" w:rsidRPr="009A2018" w:rsidRDefault="00622A95" w:rsidP="00EC1790">
      <w:pPr>
        <w:spacing w:after="0" w:line="240" w:lineRule="auto"/>
        <w:rPr>
          <w:rFonts w:cs="Times New Roman"/>
          <w:i/>
          <w:szCs w:val="24"/>
        </w:rPr>
      </w:pPr>
      <w:r w:rsidRPr="009A2018">
        <w:rPr>
          <w:rFonts w:cs="Times New Roman"/>
          <w:i/>
          <w:szCs w:val="24"/>
        </w:rPr>
        <w:t>Izvor: nacionalni izvori</w:t>
      </w:r>
    </w:p>
    <w:p w:rsidR="00622A95" w:rsidRPr="009A2018" w:rsidRDefault="00622A95" w:rsidP="00EC1790">
      <w:pPr>
        <w:spacing w:after="0" w:line="240" w:lineRule="auto"/>
        <w:rPr>
          <w:rFonts w:cs="Times New Roman"/>
          <w:i/>
          <w:szCs w:val="24"/>
        </w:rPr>
      </w:pPr>
    </w:p>
    <w:p w:rsidR="00622A95" w:rsidRPr="009A2018" w:rsidRDefault="00622A95" w:rsidP="00EC1790">
      <w:pPr>
        <w:autoSpaceDE w:val="0"/>
        <w:autoSpaceDN w:val="0"/>
        <w:adjustRightInd w:val="0"/>
        <w:spacing w:after="120" w:line="240" w:lineRule="auto"/>
        <w:jc w:val="both"/>
        <w:rPr>
          <w:rFonts w:eastAsia="Times New Roman" w:cs="Times New Roman"/>
          <w:i/>
          <w:noProof/>
          <w:color w:val="000000"/>
          <w:szCs w:val="24"/>
          <w:lang w:eastAsia="en-GB"/>
        </w:rPr>
      </w:pPr>
      <w:r w:rsidRPr="009A2018">
        <w:rPr>
          <w:rFonts w:eastAsia="Times New Roman" w:cs="Times New Roman"/>
          <w:i/>
          <w:noProof/>
          <w:color w:val="000000"/>
          <w:szCs w:val="24"/>
          <w:lang w:eastAsia="en-GB"/>
        </w:rPr>
        <w:t xml:space="preserve">U skladu sa zaključcima Evropskog savjeta u Kopenhagenu iz juna 1993. godine, za pristupanje EU potrebno je postojanje funkcionalne tržišne ekonomije i kapacitet da se ona nosi s pritiskom konkurencije i tržišnih sila unutar Unije. </w:t>
      </w:r>
    </w:p>
    <w:p w:rsidR="00622A95" w:rsidRDefault="00622A95" w:rsidP="00EC1790">
      <w:pPr>
        <w:spacing w:after="120" w:line="240" w:lineRule="auto"/>
        <w:jc w:val="both"/>
        <w:rPr>
          <w:rFonts w:eastAsia="Times New Roman" w:cs="Times New Roman"/>
          <w:i/>
          <w:noProof/>
          <w:color w:val="000000"/>
          <w:szCs w:val="24"/>
          <w:lang w:eastAsia="en-GB"/>
        </w:rPr>
      </w:pPr>
      <w:r w:rsidRPr="009A2018">
        <w:rPr>
          <w:rFonts w:eastAsia="Times New Roman" w:cs="Times New Roman"/>
          <w:i/>
          <w:noProof/>
          <w:color w:val="000000"/>
          <w:szCs w:val="24"/>
          <w:lang w:eastAsia="en-GB"/>
        </w:rPr>
        <w:t xml:space="preserve">U novije vrijeme ekonomsko upravljanje dobija sve važniju ulogu u procesu proširenja. Evropska komisija praćenje u ovoj oblasti vrši u dva procesa: programom ekonomskih reformi i procjenom usklađenosti sa ekonomskim kriterijumima za pristupanje. Svaka zemlja u procesu proširenja priprema program ekonomskih reformi (PER) svake godine, a u njemu se izlažu srednjoročni okvir za makrofiskalnu politiku i agenda strukturnih reformi koja ima za cilj obezbjeđivanje konkurentnosti i inkluzivnog  rasta. Programi ekonomskih reformi predstavljaju osnov za smjernice politike, koje su zasebne za svaku zemlju, a zajednički ih </w:t>
      </w:r>
      <w:r w:rsidRPr="009A2018">
        <w:rPr>
          <w:rFonts w:eastAsia="Times New Roman" w:cs="Times New Roman"/>
          <w:i/>
          <w:noProof/>
          <w:color w:val="000000"/>
          <w:szCs w:val="24"/>
          <w:lang w:eastAsia="en-GB"/>
        </w:rPr>
        <w:lastRenderedPageBreak/>
        <w:t xml:space="preserve">usvajaju EU i zemlje Zapadnog Balkana i Turska na ministarskom nivou u maju svake godine. </w:t>
      </w:r>
    </w:p>
    <w:p w:rsidR="00A72B76" w:rsidRDefault="00A72B76" w:rsidP="00EC1790">
      <w:pPr>
        <w:spacing w:after="120" w:line="240" w:lineRule="auto"/>
        <w:jc w:val="both"/>
        <w:rPr>
          <w:rFonts w:eastAsia="Times New Roman" w:cs="Times New Roman"/>
          <w:i/>
          <w:noProof/>
          <w:color w:val="000000"/>
          <w:szCs w:val="24"/>
          <w:lang w:eastAsia="en-GB"/>
        </w:rPr>
      </w:pPr>
    </w:p>
    <w:p w:rsidR="00A72B76" w:rsidRDefault="00A72B76" w:rsidP="00EC1790">
      <w:pPr>
        <w:spacing w:after="120" w:line="240" w:lineRule="auto"/>
        <w:jc w:val="both"/>
        <w:rPr>
          <w:rFonts w:eastAsia="Times New Roman" w:cs="Times New Roman"/>
          <w:i/>
          <w:noProof/>
          <w:color w:val="000000"/>
          <w:szCs w:val="24"/>
          <w:lang w:eastAsia="en-GB"/>
        </w:rPr>
      </w:pPr>
    </w:p>
    <w:p w:rsidR="00A72B76" w:rsidRDefault="00A72B76" w:rsidP="00EC1790">
      <w:pPr>
        <w:spacing w:after="120" w:line="240" w:lineRule="auto"/>
        <w:jc w:val="both"/>
        <w:rPr>
          <w:rFonts w:eastAsia="Times New Roman" w:cs="Times New Roman"/>
          <w:i/>
          <w:noProof/>
          <w:color w:val="000000"/>
          <w:szCs w:val="24"/>
          <w:lang w:eastAsia="en-GB"/>
        </w:rPr>
      </w:pPr>
    </w:p>
    <w:p w:rsidR="00A72B76" w:rsidRDefault="00A72B76" w:rsidP="00EC1790">
      <w:pPr>
        <w:spacing w:after="120" w:line="240" w:lineRule="auto"/>
        <w:jc w:val="both"/>
        <w:rPr>
          <w:rFonts w:eastAsia="Times New Roman" w:cs="Times New Roman"/>
          <w:i/>
          <w:noProof/>
          <w:color w:val="000000"/>
          <w:szCs w:val="24"/>
          <w:lang w:eastAsia="en-GB"/>
        </w:rPr>
      </w:pPr>
    </w:p>
    <w:p w:rsidR="00A72B76" w:rsidRDefault="00A72B76" w:rsidP="00EC1790">
      <w:pPr>
        <w:spacing w:after="120" w:line="240" w:lineRule="auto"/>
        <w:jc w:val="both"/>
        <w:rPr>
          <w:rFonts w:eastAsia="Times New Roman" w:cs="Times New Roman"/>
          <w:i/>
          <w:noProof/>
          <w:color w:val="000000"/>
          <w:szCs w:val="24"/>
          <w:lang w:eastAsia="en-GB"/>
        </w:rPr>
      </w:pPr>
    </w:p>
    <w:p w:rsidR="00A72B76" w:rsidRDefault="00A72B76" w:rsidP="00EC1790">
      <w:pPr>
        <w:spacing w:after="120" w:line="240" w:lineRule="auto"/>
        <w:jc w:val="both"/>
        <w:rPr>
          <w:rFonts w:eastAsia="Times New Roman" w:cs="Times New Roman"/>
          <w:i/>
          <w:noProof/>
          <w:color w:val="000000"/>
          <w:szCs w:val="24"/>
          <w:lang w:eastAsia="en-GB"/>
        </w:rPr>
      </w:pPr>
    </w:p>
    <w:p w:rsidR="00A72B76" w:rsidRDefault="00A72B76" w:rsidP="00EC1790">
      <w:pPr>
        <w:spacing w:after="120" w:line="240" w:lineRule="auto"/>
        <w:jc w:val="both"/>
        <w:rPr>
          <w:rFonts w:eastAsia="Times New Roman" w:cs="Times New Roman"/>
          <w:i/>
          <w:noProof/>
          <w:color w:val="000000"/>
          <w:szCs w:val="24"/>
          <w:lang w:eastAsia="en-GB"/>
        </w:rPr>
      </w:pPr>
    </w:p>
    <w:p w:rsidR="00A72B76" w:rsidRPr="009A2018" w:rsidRDefault="00A72B76" w:rsidP="00EC1790">
      <w:pPr>
        <w:spacing w:after="120" w:line="240" w:lineRule="auto"/>
        <w:jc w:val="both"/>
        <w:rPr>
          <w:rFonts w:eastAsia="Times New Roman" w:cs="Times New Roman"/>
          <w:i/>
          <w:noProof/>
          <w:color w:val="000000"/>
          <w:szCs w:val="24"/>
          <w:lang w:eastAsia="en-GB"/>
        </w:rPr>
      </w:pPr>
    </w:p>
    <w:p w:rsidR="00622A95" w:rsidRPr="009A2018" w:rsidRDefault="00622A95" w:rsidP="00EC1790">
      <w:pPr>
        <w:pStyle w:val="Heading2"/>
      </w:pPr>
      <w:bookmarkStart w:id="40" w:name="_Toc52744930"/>
      <w:bookmarkStart w:id="41" w:name="_Toc53362438"/>
      <w:r w:rsidRPr="009A2018">
        <w:t>3.1.</w:t>
      </w:r>
      <w:r w:rsidRPr="009A2018">
        <w:tab/>
      </w:r>
      <w:bookmarkEnd w:id="40"/>
      <w:r w:rsidRPr="009A2018">
        <w:t>Postojanje funkcionalne tržišne ekonomije</w:t>
      </w:r>
      <w:bookmarkEnd w:id="41"/>
    </w:p>
    <w:tbl>
      <w:tblPr>
        <w:tblStyle w:val="TableGrid"/>
        <w:tblW w:w="0" w:type="auto"/>
        <w:tblInd w:w="108" w:type="dxa"/>
        <w:tblLook w:val="04A0" w:firstRow="1" w:lastRow="0" w:firstColumn="1" w:lastColumn="0" w:noHBand="0" w:noVBand="1"/>
      </w:tblPr>
      <w:tblGrid>
        <w:gridCol w:w="9135"/>
      </w:tblGrid>
      <w:tr w:rsidR="00622A95" w:rsidRPr="009A2018" w:rsidTr="00620E1E">
        <w:tc>
          <w:tcPr>
            <w:tcW w:w="9180" w:type="dxa"/>
            <w:shd w:val="clear" w:color="auto" w:fill="D9D9D9" w:themeFill="background1" w:themeFillShade="D9"/>
          </w:tcPr>
          <w:p w:rsidR="00622A95" w:rsidRPr="009A2018" w:rsidRDefault="00622A95" w:rsidP="00EC1790">
            <w:pPr>
              <w:spacing w:after="120" w:line="240" w:lineRule="auto"/>
              <w:jc w:val="both"/>
              <w:rPr>
                <w:rFonts w:eastAsiaTheme="minorEastAsia" w:cs="Times New Roman"/>
                <w:szCs w:val="24"/>
              </w:rPr>
            </w:pPr>
            <w:r w:rsidRPr="009A2018">
              <w:rPr>
                <w:rFonts w:eastAsiaTheme="minorEastAsia" w:cs="Times New Roman"/>
                <w:color w:val="000000" w:themeColor="text1"/>
                <w:szCs w:val="24"/>
              </w:rPr>
              <w:t xml:space="preserve">Crna Gora je ostvarila </w:t>
            </w:r>
            <w:r w:rsidRPr="009A2018">
              <w:rPr>
                <w:rFonts w:eastAsiaTheme="minorEastAsia" w:cs="Times New Roman"/>
                <w:b/>
                <w:color w:val="000000" w:themeColor="text1"/>
                <w:szCs w:val="24"/>
              </w:rPr>
              <w:t>određeni napredak</w:t>
            </w:r>
            <w:r w:rsidRPr="009A2018">
              <w:rPr>
                <w:rFonts w:eastAsiaTheme="minorEastAsia" w:cs="Times New Roman"/>
                <w:color w:val="000000" w:themeColor="text1"/>
                <w:szCs w:val="24"/>
              </w:rPr>
              <w:t xml:space="preserve"> i </w:t>
            </w:r>
            <w:r w:rsidRPr="009A2018">
              <w:rPr>
                <w:rFonts w:eastAsiaTheme="minorEastAsia" w:cs="Times New Roman"/>
                <w:b/>
                <w:color w:val="000000" w:themeColor="text1"/>
                <w:szCs w:val="24"/>
              </w:rPr>
              <w:t>umjereno je spremna</w:t>
            </w:r>
            <w:r w:rsidRPr="009A2018">
              <w:rPr>
                <w:rFonts w:eastAsiaTheme="minorEastAsia" w:cs="Times New Roman"/>
                <w:szCs w:val="24"/>
              </w:rPr>
              <w:t xml:space="preserve"> u oblasti razvijanja funkcionalne tržišne ekonomije. Zbog smanjenja ulaganja, tokom 2019. ekonomija je usporila do održivijeg tempa. Izvoz, naročito usluga, je rastao ali nedovoljno za smanjenje velikog deficita tekućeg računa.  Stabilnost finansijskog sektora je ojačana nakon stečaja i sanacije dvije lokalne banke i jačanja okvira za nadzor banaka. Uslovi na tržištu rada su poboljšani, ali je stopa nezaposlenosti i dalje visoka. Mjere aktivacije radne snage i koordinacija službi za zapošljavanje i socijalnih službi zabilježile su ograničeni napredak. Ekonomski izgledi Crne Gore su se značajno pogoršali od drugog kvartala 2020, jer su mjere karantina vezano za COVID-19 donijete u aprilu zaustavile velike djelove ekonomije. Javne finansije, koje su se poboljšale u 2019, pod značajnim su pritiskom u 2020. zbog brzo rastućih troškova za finansiranje odgovora politike vlasti na pandemiju u kombinaciji s naglim padom budžetskih prihoda zbog niže ekonomske aktivnosti. U međuvremenu, uprkos određenih znakova poboljšanja poslovnog okruženja, odložene su mjere po pitanju borbe protiv neformalne ekonomije, te su velikom broju kompanija zamrznuti bankovni računi. Prevoznici u državnom vlasništvu nijesu konkurentni i njihovi se gubici prenose na državu. Institucionalni kapaciteti agencija za zaštitu konkurencije i sprečavanje korupcije su i dalje slabi.</w:t>
            </w:r>
          </w:p>
          <w:p w:rsidR="00622A95" w:rsidRPr="009A2018" w:rsidRDefault="00622A95" w:rsidP="00EC1790">
            <w:pPr>
              <w:spacing w:after="120" w:line="240" w:lineRule="auto"/>
              <w:jc w:val="both"/>
              <w:rPr>
                <w:rFonts w:eastAsiaTheme="minorEastAsia" w:cs="Times New Roman"/>
                <w:color w:val="000000" w:themeColor="text1"/>
                <w:szCs w:val="24"/>
              </w:rPr>
            </w:pPr>
            <w:r w:rsidRPr="009A2018">
              <w:rPr>
                <w:rFonts w:eastAsiaTheme="minorEastAsia" w:cs="Times New Roman"/>
                <w:color w:val="000000" w:themeColor="text1"/>
                <w:szCs w:val="24"/>
              </w:rPr>
              <w:t>Da bi se poboljšalo funkcionisanje tržišne ekonomije Crna Gora treba naročito da:</w:t>
            </w:r>
          </w:p>
          <w:p w:rsidR="00622A95" w:rsidRPr="009A2018" w:rsidRDefault="00622A95" w:rsidP="00EC1790">
            <w:pPr>
              <w:pStyle w:val="ListParagraph"/>
              <w:numPr>
                <w:ilvl w:val="0"/>
                <w:numId w:val="9"/>
              </w:numPr>
              <w:spacing w:after="120" w:line="240" w:lineRule="auto"/>
              <w:ind w:left="0" w:firstLine="0"/>
              <w:contextualSpacing w:val="0"/>
              <w:jc w:val="both"/>
              <w:rPr>
                <w:rFonts w:ascii="Times New Roman" w:eastAsiaTheme="minorEastAsia" w:hAnsi="Times New Roman" w:cs="Times New Roman"/>
                <w:color w:val="000000" w:themeColor="text1"/>
                <w:sz w:val="24"/>
                <w:szCs w:val="24"/>
              </w:rPr>
            </w:pPr>
            <w:r w:rsidRPr="009A2018">
              <w:rPr>
                <w:rFonts w:ascii="Times New Roman" w:eastAsiaTheme="minorEastAsia" w:hAnsi="Times New Roman" w:cs="Times New Roman"/>
                <w:color w:val="000000" w:themeColor="text1"/>
                <w:sz w:val="24"/>
                <w:szCs w:val="24"/>
              </w:rPr>
              <w:t>koristi raspoloživi fiskalni prostor kako bi se ublažile posljedice krize po razvoj i zaposlenost;</w:t>
            </w:r>
          </w:p>
          <w:p w:rsidR="00622A95" w:rsidRPr="009A2018" w:rsidRDefault="00622A95" w:rsidP="00EC1790">
            <w:pPr>
              <w:pStyle w:val="ListParagraph"/>
              <w:numPr>
                <w:ilvl w:val="0"/>
                <w:numId w:val="9"/>
              </w:numPr>
              <w:spacing w:after="120" w:line="240" w:lineRule="auto"/>
              <w:ind w:left="0" w:firstLine="0"/>
              <w:contextualSpacing w:val="0"/>
              <w:jc w:val="both"/>
              <w:rPr>
                <w:rFonts w:ascii="Times New Roman" w:eastAsiaTheme="minorEastAsia" w:hAnsi="Times New Roman" w:cs="Times New Roman"/>
                <w:color w:val="000000" w:themeColor="text1"/>
                <w:sz w:val="24"/>
                <w:szCs w:val="24"/>
              </w:rPr>
            </w:pPr>
            <w:r w:rsidRPr="009A2018">
              <w:rPr>
                <w:rFonts w:ascii="Times New Roman" w:eastAsiaTheme="minorEastAsia" w:hAnsi="Times New Roman" w:cs="Times New Roman"/>
                <w:color w:val="000000" w:themeColor="text1"/>
                <w:sz w:val="24"/>
                <w:szCs w:val="24"/>
              </w:rPr>
              <w:t>obezbijedi javne smjernice za sprovođenje zakona koji utiču na poslovanje i da obezbijedi da javna uprava dosljedno poštuje te smjernice;</w:t>
            </w:r>
          </w:p>
          <w:p w:rsidR="00622A95" w:rsidRPr="009A2018" w:rsidRDefault="00622A95" w:rsidP="00EC1790">
            <w:pPr>
              <w:pStyle w:val="ListParagraph"/>
              <w:numPr>
                <w:ilvl w:val="0"/>
                <w:numId w:val="9"/>
              </w:numPr>
              <w:spacing w:after="120" w:line="240" w:lineRule="auto"/>
              <w:ind w:left="0" w:firstLine="0"/>
              <w:contextualSpacing w:val="0"/>
              <w:jc w:val="both"/>
              <w:rPr>
                <w:rFonts w:ascii="Times New Roman" w:eastAsiaTheme="minorEastAsia" w:hAnsi="Times New Roman" w:cs="Times New Roman"/>
                <w:color w:val="000000" w:themeColor="text1"/>
                <w:sz w:val="24"/>
                <w:szCs w:val="24"/>
              </w:rPr>
            </w:pPr>
            <w:r w:rsidRPr="009A2018">
              <w:rPr>
                <w:rFonts w:ascii="Times New Roman" w:eastAsiaTheme="minorEastAsia" w:hAnsi="Times New Roman" w:cs="Times New Roman"/>
                <w:color w:val="000000" w:themeColor="text1"/>
                <w:sz w:val="24"/>
                <w:szCs w:val="24"/>
              </w:rPr>
              <w:t>poboljša restrukturiranje i privatizaciju javnih kompanija koje su pretrpjele gubitke, uz poštovanje pravila EU o državnoj pomoći;</w:t>
            </w:r>
          </w:p>
          <w:p w:rsidR="00622A95" w:rsidRPr="009A2018" w:rsidRDefault="00622A95" w:rsidP="00EC1790">
            <w:pPr>
              <w:pStyle w:val="ListParagraph"/>
              <w:numPr>
                <w:ilvl w:val="0"/>
                <w:numId w:val="9"/>
              </w:numPr>
              <w:spacing w:after="120" w:line="240" w:lineRule="auto"/>
              <w:ind w:left="0" w:firstLine="0"/>
              <w:contextualSpacing w:val="0"/>
              <w:rPr>
                <w:rFonts w:ascii="Times New Roman" w:eastAsia="Times New Roman" w:hAnsi="Times New Roman" w:cs="Times New Roman"/>
                <w:noProof/>
                <w:color w:val="000000"/>
                <w:sz w:val="24"/>
                <w:szCs w:val="24"/>
                <w:lang w:eastAsia="en-GB"/>
              </w:rPr>
            </w:pPr>
            <w:r w:rsidRPr="009A2018">
              <w:rPr>
                <w:rFonts w:ascii="Times New Roman" w:eastAsia="Calibri" w:hAnsi="Times New Roman" w:cs="Times New Roman"/>
                <w:sz w:val="24"/>
                <w:szCs w:val="24"/>
              </w:rPr>
              <w:t>smanji poresko opterećenje za lica s niskim dohotkom.</w:t>
            </w:r>
          </w:p>
        </w:tc>
      </w:tr>
    </w:tbl>
    <w:p w:rsidR="00622A95" w:rsidRPr="009A2018" w:rsidRDefault="00622A95" w:rsidP="00EC1790">
      <w:pPr>
        <w:spacing w:after="120" w:line="240" w:lineRule="auto"/>
        <w:rPr>
          <w:rFonts w:cs="Times New Roman"/>
          <w:szCs w:val="24"/>
          <w:u w:val="single"/>
        </w:rPr>
      </w:pPr>
      <w:r w:rsidRPr="009A2018">
        <w:rPr>
          <w:rFonts w:cs="Times New Roman"/>
          <w:szCs w:val="24"/>
          <w:u w:val="single"/>
        </w:rPr>
        <w:t xml:space="preserve">Ekonomsko upravljanje </w:t>
      </w:r>
    </w:p>
    <w:p w:rsidR="00622A95" w:rsidRPr="009A2018" w:rsidRDefault="00622A95" w:rsidP="00EC1790">
      <w:pPr>
        <w:spacing w:after="120" w:line="240" w:lineRule="auto"/>
        <w:jc w:val="both"/>
        <w:rPr>
          <w:rFonts w:cs="Times New Roman"/>
          <w:szCs w:val="24"/>
        </w:rPr>
      </w:pPr>
      <w:r w:rsidRPr="009A2018">
        <w:rPr>
          <w:rFonts w:cs="Times New Roman"/>
          <w:b/>
          <w:szCs w:val="24"/>
        </w:rPr>
        <w:t xml:space="preserve">Proces pristupanja EU je i dalje značajna uporišna tačka ekonomske politike za Crnu Goru. </w:t>
      </w:r>
      <w:r w:rsidRPr="009A2018">
        <w:rPr>
          <w:rFonts w:cs="Times New Roman"/>
          <w:szCs w:val="24"/>
        </w:rPr>
        <w:t xml:space="preserve">U Crnoj Gori postoji opšta podrška za integraciju u EU i prema tome, za usklađivanje njenog zakonodavnog okvira i praksi s onima u EU. Tokom posljednje godine, Crna Gora je usvojila važne djelove zakonodavstva o tržištu rada, kreditnim ustanovama, javnim nabavkama i državnoj administraciji. Međutim, slabi institucionalni kapaciteti i nedovoljna koordinacija između javnih ustanova, a naročito između centralnih i lokalnih nivoa, i dalje otežavaju efikasnu formulaciju ekonomske politike i njeno sprovođenje. Program ekonomskih reformi Crne Gore obezbjeđuje sveobuhvatnu formulaciju ekonomskih politika, ali sprovođenje politike često podliježe ac-hoc odlukama. Djelimično su sprovedene </w:t>
      </w:r>
      <w:r w:rsidRPr="009A2018">
        <w:rPr>
          <w:rFonts w:cs="Times New Roman"/>
          <w:szCs w:val="24"/>
        </w:rPr>
        <w:lastRenderedPageBreak/>
        <w:t xml:space="preserve">smjernice politike koje su zajedno usvojene u maju 2019. godine u kontekstu Ekonomskog i finansijskog dijaloga između EU i zemalja Zapadnog Balkana i Turske. Crna Gora je potvrdila svoje prve slučajeve COVID-19 infekcije 17. marta 2020. godine. Dana 19. marta, vlada je usvojila prvi paket mjera za pomoć ekonomiji za borbu protiv posljedica krize izazvane pandemijom COVID-19. Mjere su se sastojale od odlaganja plaćanja poreskih obaveza, moratorijuma na otpatu kredita, te obezbjeđenja kreditnih linija za pomoć kompanijama da unaprijede svoju likvidnost. Vlasti su usvojile drugi ekonomski paket 9. aprila, i treći 23. jula, uključujući subvencije za preduzeća i zaposlene. Međunarodna zajednica je takođe dala doprinos pružanjem podrške naporima Crne Gore u suzbijanju pandemije COVID-19. Dana 25. maja, Evropski parlament i Savjet usvojili su odluku o obezbjeđivanju makrofinansijske pomoći (MFP) do 60 miliona eura za pomoć Crnoj Gori da pokrije dio preostalih potreba za spoljnim finansiranjem, da poboljša makroekonomsku stabilnost i smanji negativne socio-ekonomske posljedice pandemije, uz pomoć od strane međunarodnih finansijskih ustanova, kao što je Međunarodni monetarni fond (MMF) kroz pomoć instrumenta za brzo finansiranje (RFI). </w:t>
      </w:r>
    </w:p>
    <w:p w:rsidR="00622A95" w:rsidRPr="009A2018" w:rsidRDefault="00622A95" w:rsidP="00EC1790">
      <w:pPr>
        <w:spacing w:after="120" w:line="240" w:lineRule="auto"/>
        <w:rPr>
          <w:rFonts w:cs="Times New Roman"/>
          <w:szCs w:val="24"/>
          <w:u w:val="single"/>
        </w:rPr>
      </w:pPr>
      <w:r w:rsidRPr="009A2018">
        <w:rPr>
          <w:rFonts w:cs="Times New Roman"/>
          <w:szCs w:val="24"/>
          <w:u w:val="single"/>
        </w:rPr>
        <w:t>Makroekonomska stabilnost</w:t>
      </w:r>
    </w:p>
    <w:tbl>
      <w:tblPr>
        <w:tblStyle w:val="TableGrid"/>
        <w:tblpPr w:leftFromText="180" w:rightFromText="180" w:vertAnchor="text" w:horzAnchor="margin" w:tblpY="4934"/>
        <w:tblW w:w="0" w:type="auto"/>
        <w:shd w:val="clear" w:color="auto" w:fill="BFBFBF" w:themeFill="background1" w:themeFillShade="BF"/>
        <w:tblLook w:val="04A0" w:firstRow="1" w:lastRow="0" w:firstColumn="1" w:lastColumn="0" w:noHBand="0" w:noVBand="1"/>
      </w:tblPr>
      <w:tblGrid>
        <w:gridCol w:w="5148"/>
      </w:tblGrid>
      <w:tr w:rsidR="00A30B42" w:rsidTr="00D010EC">
        <w:tc>
          <w:tcPr>
            <w:tcW w:w="5148" w:type="dxa"/>
            <w:shd w:val="clear" w:color="auto" w:fill="BFBFBF" w:themeFill="background1" w:themeFillShade="BF"/>
          </w:tcPr>
          <w:p w:rsidR="00A30B42" w:rsidRPr="00A0461D" w:rsidRDefault="00A30B42" w:rsidP="00A30B42">
            <w:pPr>
              <w:spacing w:after="0" w:line="240" w:lineRule="auto"/>
              <w:jc w:val="both"/>
              <w:rPr>
                <w:rFonts w:cs="Times New Roman"/>
                <w:sz w:val="20"/>
                <w:szCs w:val="20"/>
                <w:lang w:val="en-US"/>
              </w:rPr>
            </w:pPr>
            <w:r w:rsidRPr="00A0461D">
              <w:rPr>
                <w:rFonts w:cs="Times New Roman"/>
                <w:sz w:val="20"/>
                <w:szCs w:val="20"/>
              </w:rPr>
              <w:t xml:space="preserve">Graph: Montenegro – Real </w:t>
            </w:r>
            <w:r w:rsidRPr="00A0461D">
              <w:rPr>
                <w:rFonts w:cs="Times New Roman"/>
                <w:sz w:val="20"/>
                <w:szCs w:val="20"/>
                <w:lang w:val="en-US"/>
              </w:rPr>
              <w:t xml:space="preserve">GDP growth and contributions – Grafikon: Crna Gora – Realni rast </w:t>
            </w:r>
            <w:r w:rsidR="00A0461D">
              <w:rPr>
                <w:rFonts w:cs="Times New Roman"/>
                <w:sz w:val="20"/>
                <w:szCs w:val="20"/>
                <w:lang w:val="en-US"/>
              </w:rPr>
              <w:t xml:space="preserve">i doprinos rastu </w:t>
            </w:r>
            <w:r w:rsidRPr="00A0461D">
              <w:rPr>
                <w:rFonts w:cs="Times New Roman"/>
                <w:sz w:val="20"/>
                <w:szCs w:val="20"/>
                <w:lang w:val="en-US"/>
              </w:rPr>
              <w:t xml:space="preserve">BDP-a </w:t>
            </w:r>
          </w:p>
          <w:p w:rsidR="00A30B42" w:rsidRPr="00A0461D" w:rsidRDefault="00A30B42" w:rsidP="00A30B42">
            <w:pPr>
              <w:spacing w:after="0" w:line="240" w:lineRule="auto"/>
              <w:jc w:val="both"/>
              <w:rPr>
                <w:rFonts w:cs="Times New Roman"/>
                <w:sz w:val="20"/>
                <w:szCs w:val="20"/>
                <w:lang w:val="en-US"/>
              </w:rPr>
            </w:pPr>
            <w:r w:rsidRPr="00A0461D">
              <w:rPr>
                <w:rFonts w:cs="Times New Roman"/>
                <w:sz w:val="20"/>
                <w:szCs w:val="20"/>
                <w:lang w:val="en-US"/>
              </w:rPr>
              <w:t>y-o-y – u odnosu na isti period prethodne godine</w:t>
            </w:r>
          </w:p>
          <w:p w:rsidR="00A0461D" w:rsidRPr="00A0461D" w:rsidRDefault="00A30B42" w:rsidP="00A30B42">
            <w:pPr>
              <w:spacing w:after="0" w:line="240" w:lineRule="auto"/>
              <w:jc w:val="both"/>
              <w:rPr>
                <w:rFonts w:cs="Times New Roman"/>
                <w:sz w:val="20"/>
                <w:szCs w:val="20"/>
              </w:rPr>
            </w:pPr>
            <w:r w:rsidRPr="00A0461D">
              <w:rPr>
                <w:rFonts w:cs="Times New Roman"/>
                <w:sz w:val="20"/>
                <w:szCs w:val="20"/>
                <w:lang w:val="en-US"/>
              </w:rPr>
              <w:t xml:space="preserve">Priv. cons. – </w:t>
            </w:r>
            <w:r w:rsidR="00A0461D">
              <w:rPr>
                <w:rFonts w:cs="Times New Roman"/>
                <w:sz w:val="20"/>
                <w:szCs w:val="20"/>
                <w:lang w:val="en-US"/>
              </w:rPr>
              <w:t>Lična potrošnja</w:t>
            </w:r>
          </w:p>
          <w:p w:rsidR="00A30B42" w:rsidRPr="00A0461D" w:rsidRDefault="00A30B42" w:rsidP="00A30B42">
            <w:pPr>
              <w:spacing w:after="0" w:line="240" w:lineRule="auto"/>
              <w:jc w:val="both"/>
              <w:rPr>
                <w:rFonts w:cs="Times New Roman"/>
                <w:sz w:val="20"/>
                <w:szCs w:val="20"/>
                <w:lang w:val="en-US"/>
              </w:rPr>
            </w:pPr>
            <w:r w:rsidRPr="00A0461D">
              <w:rPr>
                <w:rFonts w:cs="Times New Roman"/>
                <w:sz w:val="20"/>
                <w:szCs w:val="20"/>
                <w:lang w:val="en-US"/>
              </w:rPr>
              <w:t xml:space="preserve">Gov. cons. – </w:t>
            </w:r>
            <w:r w:rsidR="00A0461D">
              <w:rPr>
                <w:rFonts w:cs="Times New Roman"/>
                <w:sz w:val="20"/>
                <w:szCs w:val="20"/>
                <w:lang w:val="en-US"/>
              </w:rPr>
              <w:t>Državna potrošnja</w:t>
            </w:r>
          </w:p>
          <w:p w:rsidR="00A0461D" w:rsidRPr="00A0461D" w:rsidRDefault="00A0461D" w:rsidP="00A30B42">
            <w:pPr>
              <w:spacing w:after="0" w:line="240" w:lineRule="auto"/>
              <w:jc w:val="both"/>
              <w:rPr>
                <w:rFonts w:cs="Times New Roman"/>
                <w:sz w:val="20"/>
                <w:szCs w:val="20"/>
                <w:lang w:val="en-US"/>
              </w:rPr>
            </w:pPr>
            <w:r w:rsidRPr="00A0461D">
              <w:rPr>
                <w:rFonts w:cs="Times New Roman"/>
                <w:sz w:val="20"/>
                <w:szCs w:val="20"/>
                <w:lang w:val="en-US"/>
              </w:rPr>
              <w:t>GFCF – bruto investicije u dugotrajnu imovinu</w:t>
            </w:r>
          </w:p>
          <w:p w:rsidR="00A0461D" w:rsidRDefault="00A0461D" w:rsidP="00A30B42">
            <w:pPr>
              <w:spacing w:after="0" w:line="240" w:lineRule="auto"/>
              <w:jc w:val="both"/>
              <w:rPr>
                <w:rFonts w:cs="Times New Roman"/>
                <w:sz w:val="20"/>
                <w:szCs w:val="20"/>
                <w:lang w:val="en-US"/>
              </w:rPr>
            </w:pPr>
            <w:r w:rsidRPr="00A0461D">
              <w:rPr>
                <w:rFonts w:cs="Times New Roman"/>
                <w:sz w:val="20"/>
                <w:szCs w:val="20"/>
                <w:lang w:val="en-US"/>
              </w:rPr>
              <w:t>Stocks – akcije</w:t>
            </w:r>
            <w:r>
              <w:rPr>
                <w:rFonts w:cs="Times New Roman"/>
                <w:sz w:val="20"/>
                <w:szCs w:val="20"/>
                <w:lang w:val="en-US"/>
              </w:rPr>
              <w:t xml:space="preserve">              </w:t>
            </w:r>
            <w:r w:rsidRPr="00A0461D">
              <w:rPr>
                <w:rFonts w:cs="Times New Roman"/>
                <w:sz w:val="20"/>
                <w:szCs w:val="20"/>
                <w:lang w:val="en-US"/>
              </w:rPr>
              <w:t xml:space="preserve">Net exports – neto izvoz </w:t>
            </w:r>
          </w:p>
          <w:p w:rsidR="00A0461D" w:rsidRDefault="00A0461D" w:rsidP="00A30B42">
            <w:pPr>
              <w:spacing w:after="0" w:line="240" w:lineRule="auto"/>
              <w:jc w:val="both"/>
              <w:rPr>
                <w:rFonts w:cs="Times New Roman"/>
                <w:sz w:val="20"/>
                <w:szCs w:val="20"/>
                <w:lang w:val="en-US"/>
              </w:rPr>
            </w:pPr>
            <w:r w:rsidRPr="00A0461D">
              <w:rPr>
                <w:rFonts w:cs="Times New Roman"/>
                <w:sz w:val="20"/>
                <w:szCs w:val="20"/>
                <w:lang w:val="en-US"/>
              </w:rPr>
              <w:t>real GDP growth – realni rast BDP-a</w:t>
            </w:r>
          </w:p>
          <w:p w:rsidR="00A0461D" w:rsidRPr="00A0461D" w:rsidRDefault="00A0461D" w:rsidP="00A0461D">
            <w:pPr>
              <w:spacing w:after="0" w:line="240" w:lineRule="auto"/>
              <w:jc w:val="both"/>
              <w:rPr>
                <w:rFonts w:cs="Times New Roman"/>
                <w:sz w:val="20"/>
                <w:szCs w:val="20"/>
                <w:lang w:val="en-US"/>
              </w:rPr>
            </w:pPr>
            <w:r>
              <w:rPr>
                <w:rFonts w:cs="Times New Roman"/>
                <w:sz w:val="20"/>
                <w:szCs w:val="20"/>
                <w:lang w:val="en-US"/>
              </w:rPr>
              <w:t>Source: Macrobond, own calculations – Izvor: Macrobond, sopstveni obračuni</w:t>
            </w:r>
          </w:p>
        </w:tc>
      </w:tr>
    </w:tbl>
    <w:p w:rsidR="00622A95" w:rsidRPr="00C35FD0" w:rsidRDefault="00A72B76" w:rsidP="00EC1790">
      <w:pPr>
        <w:spacing w:after="120" w:line="240" w:lineRule="auto"/>
        <w:jc w:val="both"/>
        <w:rPr>
          <w:rFonts w:cs="Times New Roman"/>
          <w:szCs w:val="24"/>
          <w:lang w:val="fr-FR"/>
        </w:rPr>
      </w:pPr>
      <w:r w:rsidRPr="00A72B76">
        <w:rPr>
          <w:rFonts w:cs="Times New Roman"/>
          <w:b/>
          <w:noProof/>
          <w:szCs w:val="24"/>
          <w:lang w:eastAsia="en-GB"/>
        </w:rPr>
        <w:drawing>
          <wp:anchor distT="0" distB="0" distL="114300" distR="114300" simplePos="0" relativeHeight="251662336" behindDoc="0" locked="0" layoutInCell="1" allowOverlap="1" wp14:anchorId="258D96E3" wp14:editId="43E2460D">
            <wp:simplePos x="0" y="0"/>
            <wp:positionH relativeFrom="column">
              <wp:posOffset>-7951</wp:posOffset>
            </wp:positionH>
            <wp:positionV relativeFrom="paragraph">
              <wp:posOffset>1097280</wp:posOffset>
            </wp:positionV>
            <wp:extent cx="3236181" cy="1948070"/>
            <wp:effectExtent l="19050" t="0" r="2319"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73878"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36181" cy="1948070"/>
                    </a:xfrm>
                    <a:prstGeom prst="rect">
                      <a:avLst/>
                    </a:prstGeom>
                    <a:noFill/>
                  </pic:spPr>
                </pic:pic>
              </a:graphicData>
            </a:graphic>
          </wp:anchor>
        </w:drawing>
      </w:r>
      <w:r w:rsidR="00622A95" w:rsidRPr="009A2018">
        <w:rPr>
          <w:rFonts w:cs="Times New Roman"/>
          <w:b/>
          <w:szCs w:val="24"/>
        </w:rPr>
        <w:t>Već prije krize COVID-19, ekonomska aktivnost je počela da usporava kako se rast ulaganja znatno smanjio</w:t>
      </w:r>
      <w:r w:rsidR="00622A95" w:rsidRPr="009A2018">
        <w:rPr>
          <w:rFonts w:cs="Times New Roman"/>
          <w:szCs w:val="24"/>
        </w:rPr>
        <w:t xml:space="preserve">. Nakon snažnog realnog rasta BDP-a u 2017. i 2018. godini, usporila je stopa ekonomskog razvoja na 3,6% u 2019. u odnosu na isti period prethodne godine. Usporavanje odražava smanjenje ulaganja s obzirom da su veliki infrastrukturni projekti završeni. U međuvremenu, lična potrošnja je postala glavni pokretač rasta, podstaknuta snažnim performansama sektora turizma, rastom zaposlenosti i povećanjem potrošačkih kredita. </w:t>
      </w:r>
      <w:r w:rsidR="00622A95" w:rsidRPr="00C35FD0">
        <w:rPr>
          <w:rFonts w:cs="Times New Roman"/>
          <w:szCs w:val="24"/>
          <w:lang w:val="fr-FR"/>
        </w:rPr>
        <w:t>Pokušaji fiskalne konsolidacije su se nastavili, što je imalo za rezultat manji doprinos državne potrošnje rastu. Na spoljnoj strani, izvoz je porastao više nego dvostruko brže od uvoza, smanjujući uticaj neto izvoza na usporavanje rasta. Što se tiče snabdijevanja, 2019. godinu su obilježile slabe industrijske performanse, naročito u sektoru proizvodnje, dok su brojke u sektoru turizma i građevinskom sektoru udvostručene. Efekat snažnog rasta BDP-a odražava se u postupnoj realnoj konvergenciji s EU: BDP Crne Gore po glavi stanovnika (po standardima kupovne moći) porastao je na 49 % prosjeka za EU-28 u 2019, sa 41% šest godina ranije. Međutim, ekonomija će značajno oslabiti u 2020. Prema prognozama Komisije, BDP će se znatno smanjiti zbog negativnih efekata pandemije COVID-19. Ekonomija Crne Gore u velikoj mjeri zavisi od turizma, koji je ključni izvor rasta BDP-a, deviznog poslovanja, zaposlenosti i fiskalnih prihoda. Zatvaranje koje je uvedeno karantinom zaustavilo je ekonomiju od sredine marta. Međutim, rast BDP-a je i dalje bio pozitivan u prvom kvartalu 2020. godine, te je porastao za  2,7% u odnosu na isti period prethodne godine, ali je zabilježeno usporavanje u odnosu na porast od 3,1% u prethodnom kvartalu.</w:t>
      </w:r>
    </w:p>
    <w:p w:rsidR="00A0461D" w:rsidRPr="009A2018" w:rsidRDefault="00A72B76" w:rsidP="00EC1790">
      <w:pPr>
        <w:spacing w:after="120" w:line="240" w:lineRule="auto"/>
        <w:jc w:val="both"/>
        <w:rPr>
          <w:rFonts w:cs="Times New Roman"/>
          <w:szCs w:val="24"/>
        </w:rPr>
      </w:pPr>
      <w:r>
        <w:rPr>
          <w:rFonts w:cs="Times New Roman"/>
          <w:b/>
          <w:noProof/>
          <w:szCs w:val="24"/>
          <w:lang w:eastAsia="en-GB"/>
        </w:rPr>
        <w:lastRenderedPageBreak/>
        <w:drawing>
          <wp:anchor distT="0" distB="0" distL="114300" distR="114300" simplePos="0" relativeHeight="251664384" behindDoc="0" locked="0" layoutInCell="1" allowOverlap="1" wp14:anchorId="5AA6346B" wp14:editId="3535C297">
            <wp:simplePos x="0" y="0"/>
            <wp:positionH relativeFrom="column">
              <wp:posOffset>2594610</wp:posOffset>
            </wp:positionH>
            <wp:positionV relativeFrom="paragraph">
              <wp:posOffset>495935</wp:posOffset>
            </wp:positionV>
            <wp:extent cx="3242310" cy="1950720"/>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5121"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42310" cy="1950720"/>
                    </a:xfrm>
                    <a:prstGeom prst="rect">
                      <a:avLst/>
                    </a:prstGeom>
                    <a:noFill/>
                    <a:ln>
                      <a:noFill/>
                    </a:ln>
                  </pic:spPr>
                </pic:pic>
              </a:graphicData>
            </a:graphic>
          </wp:anchor>
        </w:drawing>
      </w:r>
      <w:r w:rsidR="00622A95" w:rsidRPr="00C35FD0">
        <w:rPr>
          <w:rFonts w:cs="Times New Roman"/>
          <w:b/>
          <w:szCs w:val="24"/>
          <w:lang w:val="fr-FR"/>
        </w:rPr>
        <w:t>Veliki rast domaće tražnje i velika zavisnost od uvoza nastavili su da podstiču veliki deficit tekućeg računa</w:t>
      </w:r>
      <w:r w:rsidR="00622A95" w:rsidRPr="00C35FD0">
        <w:rPr>
          <w:rFonts w:cs="Times New Roman"/>
          <w:szCs w:val="24"/>
          <w:lang w:val="fr-FR"/>
        </w:rPr>
        <w:t xml:space="preserve">. Tokom 2019. godine, deficit tekućeg računa ukupno je iznosio 15,2% BDP-a, što predstavlja značajan rast u odnosu na razliku u BDP-u od 10,1% koja je zabilježena u 2015. Uprkos bržem rastu izvoza robe, trgovinski deficit je porastao za 2 postotna boda u toku posljednjih pet godina, na 42,1% BDP-a, odražavajući ekonomiju koja je veoma zavisna od uvoza i uticaj ciklusa ulaganja. </w:t>
      </w:r>
      <w:r w:rsidR="00622A95" w:rsidRPr="009A2018">
        <w:rPr>
          <w:rFonts w:cs="Times New Roman"/>
          <w:szCs w:val="24"/>
        </w:rPr>
        <w:t xml:space="preserve">Suficiti u bilansu usluga, na koje najviše utiče </w:t>
      </w:r>
    </w:p>
    <w:tbl>
      <w:tblPr>
        <w:tblStyle w:val="TableGrid"/>
        <w:tblW w:w="0" w:type="auto"/>
        <w:shd w:val="clear" w:color="auto" w:fill="BFBFBF" w:themeFill="background1" w:themeFillShade="BF"/>
        <w:tblLook w:val="04A0" w:firstRow="1" w:lastRow="0" w:firstColumn="1" w:lastColumn="0" w:noHBand="0" w:noVBand="1"/>
      </w:tblPr>
      <w:tblGrid>
        <w:gridCol w:w="4092"/>
      </w:tblGrid>
      <w:tr w:rsidR="00A0461D" w:rsidTr="00D010EC">
        <w:tc>
          <w:tcPr>
            <w:tcW w:w="9243" w:type="dxa"/>
            <w:shd w:val="clear" w:color="auto" w:fill="BFBFBF" w:themeFill="background1" w:themeFillShade="BF"/>
          </w:tcPr>
          <w:p w:rsidR="00A0461D" w:rsidRPr="00D010EC" w:rsidRDefault="00A0461D" w:rsidP="00372B1D">
            <w:pPr>
              <w:spacing w:after="0" w:line="240" w:lineRule="auto"/>
              <w:jc w:val="both"/>
              <w:rPr>
                <w:rFonts w:cs="Times New Roman"/>
                <w:sz w:val="20"/>
                <w:szCs w:val="20"/>
                <w:lang w:val="en-US"/>
              </w:rPr>
            </w:pPr>
            <w:r w:rsidRPr="00D010EC">
              <w:rPr>
                <w:rFonts w:cs="Times New Roman"/>
                <w:sz w:val="20"/>
                <w:szCs w:val="20"/>
              </w:rPr>
              <w:t xml:space="preserve">Graph: Montenegro Current account selected components and </w:t>
            </w:r>
            <w:r w:rsidRPr="00D010EC">
              <w:rPr>
                <w:rFonts w:cs="Times New Roman"/>
                <w:sz w:val="20"/>
                <w:szCs w:val="20"/>
                <w:lang w:val="en-US"/>
              </w:rPr>
              <w:t xml:space="preserve">FDI </w:t>
            </w:r>
            <w:r w:rsidR="00372B1D" w:rsidRPr="00D010EC">
              <w:rPr>
                <w:rFonts w:cs="Times New Roman"/>
                <w:sz w:val="20"/>
                <w:szCs w:val="20"/>
                <w:lang w:val="en-US"/>
              </w:rPr>
              <w:t>–</w:t>
            </w:r>
            <w:r w:rsidRPr="00D010EC">
              <w:rPr>
                <w:rFonts w:cs="Times New Roman"/>
                <w:sz w:val="20"/>
                <w:szCs w:val="20"/>
                <w:lang w:val="en-US"/>
              </w:rPr>
              <w:t xml:space="preserve"> </w:t>
            </w:r>
            <w:r w:rsidR="00372B1D" w:rsidRPr="00D010EC">
              <w:rPr>
                <w:rFonts w:cs="Times New Roman"/>
                <w:sz w:val="20"/>
                <w:szCs w:val="20"/>
                <w:lang w:val="en-US"/>
              </w:rPr>
              <w:t>Grafikon: Izabrane stavke iz tekućeg računa i strane direktne investicije</w:t>
            </w:r>
          </w:p>
          <w:p w:rsidR="00372B1D" w:rsidRPr="00D010EC" w:rsidRDefault="00372B1D" w:rsidP="00372B1D">
            <w:pPr>
              <w:spacing w:after="0" w:line="240" w:lineRule="auto"/>
              <w:jc w:val="both"/>
              <w:rPr>
                <w:rFonts w:cs="Times New Roman"/>
                <w:sz w:val="20"/>
                <w:szCs w:val="20"/>
                <w:lang w:val="en-US"/>
              </w:rPr>
            </w:pPr>
            <w:r w:rsidRPr="00D010EC">
              <w:rPr>
                <w:rFonts w:cs="Times New Roman"/>
                <w:sz w:val="20"/>
                <w:szCs w:val="20"/>
                <w:lang w:val="en-US"/>
              </w:rPr>
              <w:t>% of GDP - % BDP-a</w:t>
            </w:r>
          </w:p>
          <w:p w:rsidR="00372B1D" w:rsidRPr="00D010EC" w:rsidRDefault="00372B1D" w:rsidP="00372B1D">
            <w:pPr>
              <w:spacing w:after="0" w:line="240" w:lineRule="auto"/>
              <w:jc w:val="both"/>
              <w:rPr>
                <w:rFonts w:cs="Times New Roman"/>
                <w:sz w:val="20"/>
                <w:szCs w:val="20"/>
                <w:lang w:val="en-US"/>
              </w:rPr>
            </w:pPr>
            <w:r w:rsidRPr="00D010EC">
              <w:rPr>
                <w:rFonts w:cs="Times New Roman"/>
                <w:sz w:val="20"/>
                <w:szCs w:val="20"/>
                <w:lang w:val="en-US"/>
              </w:rPr>
              <w:t>Goods and services trade balance – Tr</w:t>
            </w:r>
            <w:r w:rsidR="00D010EC">
              <w:rPr>
                <w:rFonts w:cs="Times New Roman"/>
                <w:sz w:val="20"/>
                <w:szCs w:val="20"/>
                <w:lang w:val="en-US"/>
              </w:rPr>
              <w:t>govinski</w:t>
            </w:r>
            <w:r w:rsidRPr="00D010EC">
              <w:rPr>
                <w:rFonts w:cs="Times New Roman"/>
                <w:sz w:val="20"/>
                <w:szCs w:val="20"/>
                <w:lang w:val="en-US"/>
              </w:rPr>
              <w:t xml:space="preserve"> bilans robe i usluga</w:t>
            </w:r>
          </w:p>
          <w:p w:rsidR="00372B1D" w:rsidRPr="00D010EC" w:rsidRDefault="00372B1D" w:rsidP="00372B1D">
            <w:pPr>
              <w:spacing w:after="0" w:line="240" w:lineRule="auto"/>
              <w:jc w:val="both"/>
              <w:rPr>
                <w:rFonts w:cs="Times New Roman"/>
                <w:sz w:val="20"/>
                <w:szCs w:val="20"/>
                <w:lang w:val="en-US"/>
              </w:rPr>
            </w:pPr>
            <w:r w:rsidRPr="00D010EC">
              <w:rPr>
                <w:rFonts w:cs="Times New Roman"/>
                <w:sz w:val="20"/>
                <w:szCs w:val="20"/>
                <w:lang w:val="en-US"/>
              </w:rPr>
              <w:t xml:space="preserve">Personal transfers – Lični prenosi           Current account balance – Stanje tekućeg računa </w:t>
            </w:r>
          </w:p>
          <w:p w:rsidR="00372B1D" w:rsidRPr="00D010EC" w:rsidRDefault="00372B1D" w:rsidP="00372B1D">
            <w:pPr>
              <w:spacing w:after="0" w:line="240" w:lineRule="auto"/>
              <w:jc w:val="both"/>
              <w:rPr>
                <w:rFonts w:cs="Times New Roman"/>
                <w:sz w:val="20"/>
                <w:szCs w:val="20"/>
                <w:lang w:val="en-US"/>
              </w:rPr>
            </w:pPr>
            <w:r w:rsidRPr="00D010EC">
              <w:rPr>
                <w:rFonts w:cs="Times New Roman"/>
                <w:sz w:val="20"/>
                <w:szCs w:val="20"/>
                <w:lang w:val="en-US"/>
              </w:rPr>
              <w:t xml:space="preserve">Net FDI – Neto strane direktne investicije </w:t>
            </w:r>
          </w:p>
          <w:p w:rsidR="00372B1D" w:rsidRPr="00372B1D" w:rsidRDefault="00372B1D" w:rsidP="00372B1D">
            <w:pPr>
              <w:spacing w:after="0" w:line="240" w:lineRule="auto"/>
              <w:jc w:val="both"/>
              <w:rPr>
                <w:rFonts w:cs="Times New Roman"/>
                <w:szCs w:val="24"/>
              </w:rPr>
            </w:pPr>
            <w:r w:rsidRPr="00D010EC">
              <w:rPr>
                <w:rFonts w:cs="Times New Roman"/>
                <w:sz w:val="20"/>
                <w:szCs w:val="20"/>
                <w:lang w:val="en-US"/>
              </w:rPr>
              <w:t>Source: IMF and Central Bank od Montenegro – Izvor: MMR i Centralna banka Crne Gore</w:t>
            </w:r>
            <w:r>
              <w:rPr>
                <w:rFonts w:cs="Times New Roman"/>
                <w:szCs w:val="24"/>
                <w:lang w:val="en-US"/>
              </w:rPr>
              <w:t xml:space="preserve"> </w:t>
            </w:r>
          </w:p>
        </w:tc>
      </w:tr>
    </w:tbl>
    <w:p w:rsidR="00622A95" w:rsidRPr="009A2018" w:rsidRDefault="00622A95" w:rsidP="00EC1790">
      <w:pPr>
        <w:spacing w:after="120" w:line="240" w:lineRule="auto"/>
        <w:jc w:val="both"/>
        <w:rPr>
          <w:rFonts w:cs="Times New Roman"/>
          <w:szCs w:val="24"/>
        </w:rPr>
      </w:pPr>
      <w:r w:rsidRPr="009A2018">
        <w:rPr>
          <w:rFonts w:cs="Times New Roman"/>
          <w:szCs w:val="24"/>
        </w:rPr>
        <w:t xml:space="preserve">snažno rastući sektor turizma, kao i primarni i sekundarni prihod, pomogli su u smanjivanju eksternog deficita. Neto prilivi direktnih stranih ulaganja iznosili su 7% BDP-a u 2019, zabilježivši pad sa 16,9% BDP-a u 2015, te su pokrili manje od polovine deficita tekućeg računa. Deficit tekućeg računa je ostao nepromijenjen, takođe na 15,2% BDP-a, u četiri kvartala do marta 2020. godine. U junu 2019. godine (po prvi put) Centralna banka je objavila podatke o eksternom dugu i neto međunarodnoj investicionoj poziciji (NIIP), koji su procijenjeni na 165% odnosno169% BDP-a na kraju 2018.  </w:t>
      </w:r>
    </w:p>
    <w:p w:rsidR="00622A95" w:rsidRPr="009A2018" w:rsidRDefault="00622A95" w:rsidP="00EC1790">
      <w:pPr>
        <w:spacing w:after="120" w:line="240" w:lineRule="auto"/>
        <w:jc w:val="both"/>
        <w:rPr>
          <w:rFonts w:cs="Times New Roman"/>
          <w:szCs w:val="24"/>
        </w:rPr>
      </w:pPr>
      <w:r w:rsidRPr="009A2018">
        <w:rPr>
          <w:rFonts w:cs="Times New Roman"/>
          <w:b/>
          <w:szCs w:val="24"/>
        </w:rPr>
        <w:t>Inflacija se smanjila u 2019. i na početku 2020</w:t>
      </w:r>
      <w:r w:rsidRPr="009A2018">
        <w:rPr>
          <w:rFonts w:cs="Times New Roman"/>
          <w:szCs w:val="24"/>
        </w:rPr>
        <w:t xml:space="preserve">. Inflacioni pritisci su bili i dalje niski u periodu 2014-2019, izuzev za neka umjerena povećanja cijena u 2017. i 2018. Inflacioni efekti od povećanja PDV-a i akciznih stopa i cijena električne energije u 2018. brzo su isparili u 2019, kada je prosječna godišnja inflacija iznosila samo 0,5%. Cijene hrane su pokretale inflaciju u 2019, ali je njihov uticaj u velikoj mjeri ublažen padom cijena za naftne derivate, odjeću, komunikaciju i duvan. Potrošačke cijene su pale za 0,3% u prvoj polovini 2020. godine u odnosu na isti period prethodne godine, sa porasta od 0,5% u istom periodu prethodne godine. Cijene prevoza bile su glavni dezinflacioni faktor, što je takođe stvorilo dodatni pritisak na cijene električne energije. Uprkos povećanju minimalne zarade u drugoj polovini godine, zarade su neznatno porasle (za realnih 0,3% u odnosu na isti period prethodne godine) u 2019. Rast zarada se ubrzao u prvoj polovini 2020. godine za 2,3% u  realnim vrijednostima u odnosu na isti period prethodne godine. Na povećanje su uticale maloprodaja, proizvodnja, kao i sektori zdravlja i obrazovanja.  </w:t>
      </w:r>
    </w:p>
    <w:p w:rsidR="00372B1D" w:rsidRPr="009A2018" w:rsidRDefault="00622A95" w:rsidP="00EC1790">
      <w:pPr>
        <w:pStyle w:val="NoSpacing"/>
        <w:spacing w:after="120"/>
        <w:rPr>
          <w:szCs w:val="24"/>
        </w:rPr>
      </w:pPr>
      <w:r w:rsidRPr="009A2018">
        <w:rPr>
          <w:noProof/>
          <w:szCs w:val="24"/>
          <w:lang w:val="en-GB" w:eastAsia="en-GB"/>
        </w:rPr>
        <w:drawing>
          <wp:anchor distT="0" distB="0" distL="114300" distR="114300" simplePos="0" relativeHeight="251659264" behindDoc="0" locked="0" layoutInCell="1" allowOverlap="1" wp14:anchorId="6A76ECE6" wp14:editId="6F6B2FC9">
            <wp:simplePos x="0" y="0"/>
            <wp:positionH relativeFrom="column">
              <wp:posOffset>742</wp:posOffset>
            </wp:positionH>
            <wp:positionV relativeFrom="paragraph">
              <wp:posOffset>1105204</wp:posOffset>
            </wp:positionV>
            <wp:extent cx="3232800" cy="1990800"/>
            <wp:effectExtent l="0" t="0" r="571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70521"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232800" cy="1990800"/>
                    </a:xfrm>
                    <a:prstGeom prst="rect">
                      <a:avLst/>
                    </a:prstGeom>
                    <a:noFill/>
                    <a:ln>
                      <a:noFill/>
                    </a:ln>
                  </pic:spPr>
                </pic:pic>
              </a:graphicData>
            </a:graphic>
          </wp:anchor>
        </w:drawing>
      </w:r>
      <w:r w:rsidRPr="009A2018">
        <w:rPr>
          <w:b/>
          <w:szCs w:val="24"/>
        </w:rPr>
        <w:t xml:space="preserve">Značajna nepotrošena sredstava u javnim ulaganjima i otplata poreskih dugovanja smanjili su budžetski deficit. </w:t>
      </w:r>
      <w:r w:rsidRPr="009A2018">
        <w:rPr>
          <w:szCs w:val="24"/>
        </w:rPr>
        <w:t xml:space="preserve">Stanje budžeta se značajno popravilo u posljednje dvije godine zahvaljujući fiskalnim mjerama koje su uvedene od 2017. Budžetski deficit se smanjio na 2% BDP-a u 2019, sa 3,9% koliko je </w:t>
      </w:r>
      <w:r w:rsidRPr="009A2018">
        <w:rPr>
          <w:szCs w:val="24"/>
        </w:rPr>
        <w:lastRenderedPageBreak/>
        <w:t xml:space="preserve">iznosio prethodne godine zahvaljujući boljoj naplati poreskih prihoda. Održiva ekonomska aktivnost povećala je prihode od PDV-a za 12,8% u odnosu na isti period prethodne godine, dok su napori poreske uprave da reprogramira poreska dugovanja doveli do porasta prihoda od direktnih doprinosa za porez i socijalno osiguranje. Novi okvir finansiranja lokalnih uprava povećao je prihode opština za 18,9% u odnosu na isti period prethodne godine, imajući kao rezultat 1% suficita u BDP-u u njihovom ukupnom budžetu. Na strani rashoda, kapitalna potrošnja se ubrzala na kraju godine ali je omašen godišnji cilj za 2,5%. S druge strane, trenutni rashodi su </w:t>
      </w:r>
    </w:p>
    <w:tbl>
      <w:tblPr>
        <w:tblStyle w:val="TableGrid"/>
        <w:tblW w:w="9301" w:type="dxa"/>
        <w:shd w:val="clear" w:color="auto" w:fill="BFBFBF" w:themeFill="background1" w:themeFillShade="BF"/>
        <w:tblLook w:val="04A0" w:firstRow="1" w:lastRow="0" w:firstColumn="1" w:lastColumn="0" w:noHBand="0" w:noVBand="1"/>
      </w:tblPr>
      <w:tblGrid>
        <w:gridCol w:w="9301"/>
      </w:tblGrid>
      <w:tr w:rsidR="00372B1D" w:rsidTr="00D010EC">
        <w:trPr>
          <w:trHeight w:val="980"/>
        </w:trPr>
        <w:tc>
          <w:tcPr>
            <w:tcW w:w="9301" w:type="dxa"/>
            <w:shd w:val="clear" w:color="auto" w:fill="BFBFBF" w:themeFill="background1" w:themeFillShade="BF"/>
          </w:tcPr>
          <w:p w:rsidR="00372B1D" w:rsidRPr="005747C7" w:rsidRDefault="005747C7" w:rsidP="005747C7">
            <w:pPr>
              <w:pStyle w:val="NoSpacing"/>
              <w:rPr>
                <w:sz w:val="20"/>
              </w:rPr>
            </w:pPr>
            <w:r w:rsidRPr="005747C7">
              <w:rPr>
                <w:sz w:val="20"/>
              </w:rPr>
              <w:t>Graph: Montenegro – Fiscal developments – Grafikon: Crna Gora – Fiskalna kretanja</w:t>
            </w:r>
          </w:p>
          <w:p w:rsidR="005747C7" w:rsidRPr="005747C7" w:rsidRDefault="005747C7" w:rsidP="005747C7">
            <w:pPr>
              <w:pStyle w:val="NoSpacing"/>
              <w:rPr>
                <w:sz w:val="20"/>
              </w:rPr>
            </w:pPr>
            <w:r w:rsidRPr="005747C7">
              <w:rPr>
                <w:sz w:val="20"/>
              </w:rPr>
              <w:t>% of GDP - % BDP-a</w:t>
            </w:r>
            <w:r>
              <w:rPr>
                <w:sz w:val="20"/>
              </w:rPr>
              <w:t xml:space="preserve">            </w:t>
            </w:r>
            <w:r w:rsidRPr="005747C7">
              <w:rPr>
                <w:sz w:val="20"/>
              </w:rPr>
              <w:t>Primary balance (lhs) – Početno stanje</w:t>
            </w:r>
            <w:r>
              <w:rPr>
                <w:sz w:val="20"/>
              </w:rPr>
              <w:t xml:space="preserve">         </w:t>
            </w:r>
            <w:r w:rsidRPr="005747C7">
              <w:rPr>
                <w:sz w:val="20"/>
              </w:rPr>
              <w:t xml:space="preserve">Interest (lhs) – Kamata </w:t>
            </w:r>
          </w:p>
          <w:p w:rsidR="005747C7" w:rsidRDefault="005747C7" w:rsidP="005747C7">
            <w:pPr>
              <w:pStyle w:val="NoSpacing"/>
              <w:rPr>
                <w:sz w:val="20"/>
              </w:rPr>
            </w:pPr>
            <w:r w:rsidRPr="005747C7">
              <w:rPr>
                <w:sz w:val="20"/>
              </w:rPr>
              <w:t xml:space="preserve">GG balance (lhs) – Bilans Opšte vlade </w:t>
            </w:r>
            <w:r>
              <w:rPr>
                <w:sz w:val="20"/>
              </w:rPr>
              <w:t xml:space="preserve">                 </w:t>
            </w:r>
            <w:r w:rsidRPr="005747C7">
              <w:rPr>
                <w:sz w:val="20"/>
              </w:rPr>
              <w:t>Public Debt (rhs) – Javni dug</w:t>
            </w:r>
          </w:p>
          <w:p w:rsidR="005747C7" w:rsidRPr="005747C7" w:rsidRDefault="005747C7" w:rsidP="005747C7">
            <w:pPr>
              <w:pStyle w:val="NoSpacing"/>
              <w:rPr>
                <w:sz w:val="20"/>
              </w:rPr>
            </w:pPr>
            <w:r w:rsidRPr="005747C7">
              <w:rPr>
                <w:sz w:val="20"/>
              </w:rPr>
              <w:t>Source: National sources – Izvor:</w:t>
            </w:r>
            <w:r w:rsidRPr="005747C7">
              <w:rPr>
                <w:sz w:val="20"/>
                <w:lang w:val="en-US"/>
              </w:rPr>
              <w:t xml:space="preserve"> Nacionalni izvori</w:t>
            </w:r>
          </w:p>
        </w:tc>
      </w:tr>
    </w:tbl>
    <w:p w:rsidR="00622A95" w:rsidRPr="009A2018" w:rsidRDefault="00622A95" w:rsidP="00EC1790">
      <w:pPr>
        <w:pStyle w:val="NoSpacing"/>
        <w:spacing w:after="120"/>
        <w:rPr>
          <w:szCs w:val="24"/>
        </w:rPr>
      </w:pPr>
      <w:r w:rsidRPr="009A2018">
        <w:rPr>
          <w:szCs w:val="24"/>
        </w:rPr>
        <w:t xml:space="preserve">porasli za 5,5% više od planiranog, do čega su doveli ostali (tekući) kapitalni rashodi i otplata državnih garancija. </w:t>
      </w:r>
    </w:p>
    <w:p w:rsidR="00622A95" w:rsidRPr="009A2018" w:rsidRDefault="00622A95" w:rsidP="00EC1790">
      <w:pPr>
        <w:pStyle w:val="NoSpacing"/>
        <w:spacing w:after="120"/>
        <w:rPr>
          <w:szCs w:val="24"/>
        </w:rPr>
      </w:pPr>
      <w:r w:rsidRPr="009A2018">
        <w:rPr>
          <w:szCs w:val="24"/>
        </w:rPr>
        <w:t>Budžet za 2020. godinu usvojen 27. decembra 2019. godine uveo je seriju ad-hoc povećanja rashoda koji ukupno čine 2% BDP-a, uključujući povećanje od 9% za plate u zdravstvu i obrazovanju, dodatna sredstva za kupovinu ljekova, otpisivanje dugova koje ima nacionalni avio prevoznik i prenos neiskorišćenih sredstava za izgradnju autoputa. Osim toga, nedostatak napretka u planu optimizacije državne uprave, otežan odstustvom odgovarajućih funkcionalnih analiza i registara u okviru javnog sektora, spriječio je uštede na plate u budžetu za 2020. Generalno, budžetom za 2020. godinu utvrđen je deficit od 1% BDP-a, znatno ispod gornje granice fiskalnih propisa od 3%, ali primjetno odstupanje od suficita od 0,2% koje je planirano u Programu ekonomskih reformi za 2019. godinu (PER). Međutim, COVID-19 pokvario je budžetske planove, te su se javne finansije suočile sa trostrukim šokom: kolaps poreskih prihoda zbog prekida ekonomske aktivnosti, iznenadno povećanje rashoda u oblasti zdravstva, te potreba za finansiranjem mjera pomoći za očuvanje ekonomije. Samo najvažnije zdravstvene potrebe za odgovor na pandemiju su procijenjene na 1,2% BDP-a, dok je procijenjeno da prva dva seta mjera za pomoć ekonomiji koštaju približno 3,6% BDP-a. U prvoj polovini 2020, deficit centralne vlade povećao se na 4,4% BDP-a, što odražava brz (7,5% u odnosu na isti period prethodne godine) rast rashoda zajedno s naglim (9,3% u odnosu na isti period prethodne godine) padom prihoda. Dana 24. juna 2020. godine, Skupština Crne Gore usvojila je reviziju budžeta koji odražava niži prihod i veću potrošnju zbog pandemije COVID-19. Rebalansirani budžet utvrđuje deficit na 7,3% BDP-a.</w:t>
      </w:r>
    </w:p>
    <w:p w:rsidR="00622A95" w:rsidRPr="00C35FD0" w:rsidRDefault="00622A95" w:rsidP="00EC1790">
      <w:pPr>
        <w:pStyle w:val="NormalWeb"/>
        <w:spacing w:before="0" w:beforeAutospacing="0" w:after="120" w:afterAutospacing="0"/>
        <w:jc w:val="both"/>
        <w:rPr>
          <w:lang w:val="fr-FR"/>
        </w:rPr>
      </w:pPr>
      <w:r w:rsidRPr="009A2018">
        <w:rPr>
          <w:b/>
        </w:rPr>
        <w:t xml:space="preserve">Udio javnog duga je nastavio da raste iako već na visokom nivou, djelimično zbog operacija upravljanja obavezama, i najnovije, zbog velikih finansijskih troškova pandemije. </w:t>
      </w:r>
      <w:r w:rsidRPr="009A2018">
        <w:t xml:space="preserve">Nakon usvajanja nove srednjoročne strategije za upravljanje dugom u aprilu 2018. godine, vlada je aktivnije upravljala portfeljem javnog duga. U septembru 2019, vlada je prodala euroobveznice u vrijednosti 500 miliona eura radi refinansiranja duga koja dospijeva u 2020. godini, čime je nivo ukupnog duga porastao na 77,2% BDP-a na kraju 2019. Rebalansirani budžet usvojen u junu 2020. godine, takođe je povećao gornju granicu godišnjeg duga radi izmirivanja hitnih kredita koje su obezbijedile međunarodne ustanove, uključujući Evropsku komisiju. </w:t>
      </w:r>
      <w:r w:rsidRPr="00C35FD0">
        <w:rPr>
          <w:lang w:val="fr-FR"/>
        </w:rPr>
        <w:t>Rebalansiranje budžeta predviđa da javni dug dostigne 82,5% BDP-a u 2020.</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 xml:space="preserve">Generalno, odsustvo alatki monetarne politike jer Crna Gora koristi euro kao zakonito sredstvo plaćanja zahtijeva da se fiskalne i strukturne politike fokusiraju na poboljšanje stabilnosti i ekonomsku otpornost. </w:t>
      </w:r>
      <w:r w:rsidRPr="00C35FD0">
        <w:rPr>
          <w:rFonts w:cs="Times New Roman"/>
          <w:szCs w:val="24"/>
          <w:lang w:val="fr-FR"/>
        </w:rPr>
        <w:t xml:space="preserve">Fiskalna neravnoteža, koja je pogoršana ulaganjima koja se finansiraju iz duga i hitnim mjerama za pomoć ekonomiji tokom pandemije, će se popraviti kada bude završena prva dionica autoputa Bar-Boljare, a </w:t>
      </w:r>
      <w:r w:rsidRPr="00C35FD0">
        <w:rPr>
          <w:rFonts w:cs="Times New Roman"/>
          <w:szCs w:val="24"/>
          <w:lang w:val="fr-FR"/>
        </w:rPr>
        <w:lastRenderedPageBreak/>
        <w:t xml:space="preserve">ekonomija se vrati u puni kapacitet. Međutim, usporen je napredak u realizaciji ciljeva fiskalne konsolidacije a javni dug je narastao, što je iscrpilo fiskalni prostor koji bi mogao biti iskorišćen za stimulaciju rasta. Generalno, hitne mjere koje je usvojila vlada za očuvanje ekonomije tokom krize COVID-19 bile su blagovremene i odgovarajuće, ali takođe skupe. U odsustvu monetarne politike, potrebne su dalje strukturne reforme za poboljšanje fleksibilnosti ekonomije i njenog kapaciteta da se oporavi od negativnih šokova. </w:t>
      </w:r>
    </w:p>
    <w:p w:rsidR="00622A95" w:rsidRPr="00C35FD0" w:rsidRDefault="00622A95" w:rsidP="00EC1790">
      <w:pPr>
        <w:spacing w:after="120" w:line="240" w:lineRule="auto"/>
        <w:rPr>
          <w:rFonts w:cs="Times New Roman"/>
          <w:szCs w:val="24"/>
          <w:u w:val="single"/>
          <w:lang w:val="fr-FR"/>
        </w:rPr>
      </w:pPr>
      <w:r w:rsidRPr="00C35FD0">
        <w:rPr>
          <w:rFonts w:cs="Times New Roman"/>
          <w:szCs w:val="24"/>
          <w:u w:val="single"/>
          <w:lang w:val="fr-FR"/>
        </w:rPr>
        <w:t>Funkcionisanje tržišta proizvoda</w:t>
      </w:r>
    </w:p>
    <w:p w:rsidR="00622A95" w:rsidRPr="00C35FD0" w:rsidRDefault="00622A95" w:rsidP="00EC1790">
      <w:pPr>
        <w:spacing w:after="120" w:line="240" w:lineRule="auto"/>
        <w:rPr>
          <w:rFonts w:cs="Times New Roman"/>
          <w:i/>
          <w:szCs w:val="24"/>
          <w:lang w:val="fr-FR"/>
        </w:rPr>
      </w:pPr>
      <w:r w:rsidRPr="00C35FD0">
        <w:rPr>
          <w:rFonts w:cs="Times New Roman"/>
          <w:i/>
          <w:szCs w:val="24"/>
          <w:lang w:val="fr-FR"/>
        </w:rPr>
        <w:t>Poslovno okruženje</w:t>
      </w:r>
    </w:p>
    <w:p w:rsidR="00622A95" w:rsidRPr="009A2018" w:rsidRDefault="00622A95" w:rsidP="00EC1790">
      <w:pPr>
        <w:spacing w:after="120" w:line="240" w:lineRule="auto"/>
        <w:jc w:val="both"/>
        <w:rPr>
          <w:rFonts w:cs="Times New Roman"/>
          <w:szCs w:val="24"/>
        </w:rPr>
      </w:pPr>
      <w:r w:rsidRPr="00C35FD0">
        <w:rPr>
          <w:rFonts w:cs="Times New Roman"/>
          <w:b/>
          <w:szCs w:val="24"/>
          <w:lang w:val="fr-FR"/>
        </w:rPr>
        <w:t>Djelovi regulatornog poslovnog okruženja zabilježili su neko poboljšanje, ali sprovođenje ugovora je i dalje relativno slabo.</w:t>
      </w:r>
      <w:r w:rsidRPr="00C35FD0">
        <w:rPr>
          <w:rFonts w:cs="Times New Roman"/>
          <w:szCs w:val="24"/>
          <w:lang w:val="fr-FR"/>
        </w:rPr>
        <w:t xml:space="preserve"> Tokom 2019, vlada je počela da uvodi različite mjere koje su imale za cilj unaprijeđenje efikasnosti državne administracije, smanje troškova i skraćenje administrativnih procedura. </w:t>
      </w:r>
      <w:r w:rsidRPr="009A2018">
        <w:rPr>
          <w:rFonts w:cs="Times New Roman"/>
          <w:szCs w:val="24"/>
        </w:rPr>
        <w:t xml:space="preserve">Prema tome, zakon o administrativnim taksama i zakon o lokalnim komunalnim taksama ukida 49 taksi i smanjuje 72 dodatne takse. Za sada, jedna četvrtina lokalnih opština još uvijek treba da implementira ova dva zakona. Novi zakon o javnim nabavkama ima potencijal (do usvajanja sekundarnog zakonodavstva) da stvori transparentniji sistem koji je u velikoj mjeri usklađen s pravnim tekovinama EU. Portal elektronske uprave (eUprava) trenutno obezbjeđuje 249 e-usluga, od kojih je većina informativnog karaktera. U toku je rad na razvoju e-katastra, jer određene procedure još uvijek ne mogu da se obave elektronski. Veliki broj zaduženih kompanija predstavlja izazov. Crna Gora ne zaostaje za zemljama OECD-a u smislu potrebnog vremena i troškova za rješavanje nesolventnosti (na primjer, potrebno je približno 1,4 godine u Crnoj Gori za završetak postupka likvidacije sa prosječnim troškom od 8% stečajne mase, u poređenju sa prosjekom OECD-a od 1,8 godina i 1,6% troškova države). Međutim, određeni vlasnici radije napuštaju postojeću i otvaraju novu firmu, koristeći jednostavnost i niske troškove registracije. Postoji više od 18.000 kompanija i preduzetnika sa zamrznutim bankovnim računima zbog neplaćenih potraživanja koji ukupno iznose 648 miliona eura ili 13,5% BDP-a. Do 20% ovih firmi su u stečaju ili su neaktivne. Sistem sudskih izvršitelja je i dalje ključni stub za prinudno naplaćivanje dugovnih potraživanja, sa 26.600 podnijetih predmeta u prvoj polovini 2019. godine (od kojih, 17.917 je još u toku), u odnosu na samo 380 predmeta koji su upućeni na vansudsku medijaciju u istom periodu. Tokom 2019. godine, Poreska uprava podnijela je 590 zahtjeva za uvođenje stečaja u zaduženim kompanijama. </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Mjere za borbu protiv neformalne ekonomije su odložene</w:t>
      </w:r>
      <w:r w:rsidRPr="00C35FD0">
        <w:rPr>
          <w:rFonts w:cs="Times New Roman"/>
          <w:szCs w:val="24"/>
          <w:lang w:val="fr-FR"/>
        </w:rPr>
        <w:t>. Crna Gora se suočava sa nekoliko ključnih prepreka u borbi protiv neformalne ekonomije, kao što su slabi kapaciteti sprovođenja, korupcija i velika regulatorna opterećenja. Inspektori nemaju pristup privatnim prostorijama fizičkih lica u kojima se sumnja da se vrše neformalne aktivnosti, izuzev ukoliko postoji dokaz da je počinjeno krivično djelo. U januaru 2020. godine, vlada je usvojila novi zakon o inspekciji ali nije uspjela da riješi ovaj problem. U julu 2019. godine, Skupština je usvojila zakon o fiskalizaciji u prometu roba i usluga radi uvođenja sistema elektronske fiskalizacije za prenos podataka u realnom vremenu od terminala preduzeća do poreske uprave, čime bi podržala borbu protiv neformalne ekonomije. Međutim, zakon je izmijenjen i dopunjen u decembru, čime je njegovo sprovođenje odloženo do januara 2021. godine zbog nabavke softvera i usvajanja sekundarnog zakonodavstva. Specijalno državno tužilaštvo i dalje istražuje nekoliko slučajeva korupcije, ali moraju se povećati napori za unaprijeđenje vladavine prava</w:t>
      </w:r>
      <w:r w:rsidRPr="00C35FD0">
        <w:rPr>
          <w:rFonts w:cs="Times New Roman"/>
          <w:color w:val="000000" w:themeColor="text1"/>
          <w:szCs w:val="24"/>
          <w:lang w:val="fr-FR"/>
        </w:rPr>
        <w:t xml:space="preserve"> </w:t>
      </w:r>
      <w:r w:rsidRPr="00C35FD0">
        <w:rPr>
          <w:rFonts w:cs="Times New Roman"/>
          <w:i/>
          <w:color w:val="000000" w:themeColor="text1"/>
          <w:szCs w:val="24"/>
          <w:lang w:val="fr-FR"/>
        </w:rPr>
        <w:t>(Vidi Poglavlje 23 – Pravosuđe i temeljna prava)</w:t>
      </w:r>
      <w:r w:rsidRPr="00C35FD0">
        <w:rPr>
          <w:rFonts w:cs="Times New Roman"/>
          <w:color w:val="000000" w:themeColor="text1"/>
          <w:szCs w:val="24"/>
          <w:lang w:val="fr-FR"/>
        </w:rPr>
        <w:t>.</w:t>
      </w:r>
    </w:p>
    <w:p w:rsidR="00622A95" w:rsidRPr="00C35FD0" w:rsidRDefault="00622A95" w:rsidP="00EC1790">
      <w:pPr>
        <w:keepNext/>
        <w:spacing w:after="120" w:line="240" w:lineRule="auto"/>
        <w:rPr>
          <w:rFonts w:cs="Times New Roman"/>
          <w:i/>
          <w:szCs w:val="24"/>
          <w:lang w:val="fr-FR"/>
        </w:rPr>
      </w:pPr>
      <w:r w:rsidRPr="00C35FD0">
        <w:rPr>
          <w:rFonts w:cs="Times New Roman"/>
          <w:i/>
          <w:szCs w:val="24"/>
          <w:lang w:val="fr-FR"/>
        </w:rPr>
        <w:t>Uticaj države na tržišta proizvoda</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Državna pomoć je u velikoj mjeri koncentrisana na prevoznike u državnom vlasništvu</w:t>
      </w:r>
      <w:r w:rsidRPr="00C35FD0">
        <w:rPr>
          <w:rFonts w:cs="Times New Roman"/>
          <w:szCs w:val="24"/>
          <w:lang w:val="fr-FR"/>
        </w:rPr>
        <w:t xml:space="preserve">. Tokom 2019, državni budžet je opredijelio 32 miliona eura (0,7% BDP-a) za subvencije, ili 5 </w:t>
      </w:r>
      <w:r w:rsidRPr="00C35FD0">
        <w:rPr>
          <w:rFonts w:cs="Times New Roman"/>
          <w:szCs w:val="24"/>
          <w:lang w:val="fr-FR"/>
        </w:rPr>
        <w:lastRenderedPageBreak/>
        <w:t xml:space="preserve">miliona eura više nego prethodne godine. Približno polovina ove pomoći je dodjeljena Montenegro Airlines-u koji je u poteškoćama i koji je u prošlosti već imao koristi od nekoliko mjera pomoći. Dana 27. decembra 2019. godine, Skupština  je usvojila </w:t>
      </w:r>
      <w:r w:rsidRPr="00C35FD0">
        <w:rPr>
          <w:rFonts w:cs="Times New Roman"/>
          <w:i/>
          <w:szCs w:val="24"/>
          <w:lang w:val="fr-FR"/>
        </w:rPr>
        <w:t>lex specialis</w:t>
      </w:r>
      <w:r w:rsidRPr="00C35FD0">
        <w:rPr>
          <w:rFonts w:cs="Times New Roman"/>
          <w:szCs w:val="24"/>
          <w:lang w:val="fr-FR"/>
        </w:rPr>
        <w:t xml:space="preserve"> koji priznaje Montenegro Airlines kao kompaniju od posebnog značaja, te joj dodjeljuje dodatnu državnu pomoć od 155 miliona eura u narednih šest godina da bi izbjegla stečaj i da bi se obezbijedio njen budući razvoj </w:t>
      </w:r>
      <w:r w:rsidRPr="00C35FD0">
        <w:rPr>
          <w:rFonts w:cs="Times New Roman"/>
          <w:i/>
          <w:szCs w:val="24"/>
          <w:lang w:val="fr-FR"/>
        </w:rPr>
        <w:t>(vidi i Poglavlje 8 – Konkurencija)</w:t>
      </w:r>
      <w:r w:rsidRPr="00C35FD0">
        <w:rPr>
          <w:rFonts w:cs="Times New Roman"/>
          <w:szCs w:val="24"/>
          <w:lang w:val="fr-FR"/>
        </w:rPr>
        <w:t xml:space="preserve">. Druge javne kompanije koje su imale koristi od državne pomoći uključuju željezničkog operatera (ZPCG) i pomorsku kompaniju Crne Gore koji su tokom 2019. godine primili državnu pomoć u iznosu od 9,4 miliona eura odnosno 5 miliona eura. Savjet Agencije za zaštitu konkurencije (AZK) notifikuje, analizira i odlučuje o takvim mjerama državne pomoći prije njihovog sprovođenja. Raste podrška lokalnim kompanijama za modernizaciju i usvajanje međunarodnih standarda. Tokom 2019. godine, 307 kompanija je primilo pomoć od vlade, u odnosu na 101 firmu u prethodnoj godini. Ipak, iznosi isplaćeni u okviru ovih programa grantova su i dalje relativno skromni (nekoliko hiljada eura po firmi). Kako bi privukli ulaganja, ministarstvo finansija i lokalne vlade nude i poreske olakšice za nova ulaganja. Ubrzo po izbijanju pandemije COVID-19, vlada je usvojila niz mjera koje su imale za cilj pružanje podrške preduzećima i zaposlenima radi smanjivanja ekonomskog uticaja pandemije. Do kraja aprila, više od 1.300 kompanija u Crnoj Gori, čije je poslovanje pogođeno zatvaranjem, prijavilo se za subvencije vlade. U julu, vlada je najavila treći paket mjera kao pomoć za isplatu zarada za 25.000 radnika u 3.500 kompanija, sa procijenjenim troškom od 18 miliona eura do kraja 2020. godine. </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Formiranje cijena je liberalizovano s nekoliko izuzetaka</w:t>
      </w:r>
      <w:r w:rsidRPr="00C35FD0">
        <w:rPr>
          <w:rFonts w:cs="Times New Roman"/>
          <w:szCs w:val="24"/>
          <w:lang w:val="fr-FR"/>
        </w:rPr>
        <w:t>. Regulatorna agencija Crne Gore utvrdila je cijene električne energije za domaćinstva koristeći referentno tržište električne energije, mađarsku berzu električne energije HUDEX (jedinu regionalnu berzu na kojoj se trguje fjučersima za električnu energiju). Cijene goriva ažuriraju se u skladu s fluktuacijama na međunarodnom tržištu nafte i deviznim kursom euro/dolar u slučaju da ovi parametri premašuju 5%.</w:t>
      </w:r>
    </w:p>
    <w:p w:rsidR="00622A95" w:rsidRPr="00C35FD0" w:rsidRDefault="00622A95" w:rsidP="00EC1790">
      <w:pPr>
        <w:keepNext/>
        <w:keepLines/>
        <w:spacing w:after="120" w:line="240" w:lineRule="auto"/>
        <w:rPr>
          <w:rFonts w:cs="Times New Roman"/>
          <w:i/>
          <w:szCs w:val="24"/>
          <w:lang w:val="fr-FR"/>
        </w:rPr>
      </w:pPr>
      <w:r w:rsidRPr="00C35FD0">
        <w:rPr>
          <w:rFonts w:cs="Times New Roman"/>
          <w:i/>
          <w:szCs w:val="24"/>
          <w:lang w:val="fr-FR"/>
        </w:rPr>
        <w:t xml:space="preserve">Privatizacija i prestrukturiranje </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Uloženi su veliki napori da se privuku privatni investitori kroz koncesije, dok se elektroenergetska kompanija vratila u ruke države.</w:t>
      </w:r>
      <w:r w:rsidRPr="00C35FD0">
        <w:rPr>
          <w:rFonts w:cs="Times New Roman"/>
          <w:szCs w:val="24"/>
          <w:lang w:val="fr-FR"/>
        </w:rPr>
        <w:t xml:space="preserve"> U oktobru 2019. godine, vlada je objavila pretkvalifikacioni tender za dodjelu koncesija na 30 godina za dva međunarodna aerodroma (Podgorica i Tivat), kako bi privukla velikog međunarodnog investitora radi njihove modernizacije i podsticanja turizma. Tri kompanije i jedan konzorcijum su pretkvalifikovani da učestvuju na tenderu. Međutim, proces dodjele koncesija je u zastoju, jer je jedan od kvalifikovanih ponuđača u međuvremenu kupio drugog kvalifikovanog ponuđača, čime je prekršio pravila tendera zbog preklapanja vlasništva. U novembru 2019. godine, Luka Bar je prodala jedan hotel kako bi finansirala novu opremu za svoje lučne terminale. Nakon reorganizacije turističke kompanije Budvanska Rivijera, počela je priprema procesa prodaje. Vlada je postavila kao prioritet reformu energetskog sektora radi unaprijeđenja njegove konkurentnosti i integracije u regionalno tržište električne energije. U decembru 2019. godine, vlada je završila renacionalizaciju elektroenergetske kompanije (EPCG), kupivši 88,6% njenih akcija, dok sami EPCG i dalje ima oko 10% akcija. </w:t>
      </w:r>
    </w:p>
    <w:p w:rsidR="00622A95" w:rsidRPr="00C35FD0" w:rsidRDefault="00622A95" w:rsidP="00EC1790">
      <w:pPr>
        <w:keepNext/>
        <w:keepLines/>
        <w:spacing w:after="120" w:line="240" w:lineRule="auto"/>
        <w:rPr>
          <w:rFonts w:cs="Times New Roman"/>
          <w:szCs w:val="24"/>
          <w:u w:val="single"/>
          <w:lang w:val="fr-FR"/>
        </w:rPr>
      </w:pPr>
      <w:r w:rsidRPr="00C35FD0">
        <w:rPr>
          <w:rFonts w:cs="Times New Roman"/>
          <w:szCs w:val="24"/>
          <w:u w:val="single"/>
          <w:lang w:val="fr-FR"/>
        </w:rPr>
        <w:t>Funkcionisanje finansijskog tržišta</w:t>
      </w:r>
    </w:p>
    <w:p w:rsidR="00622A95" w:rsidRPr="00C35FD0" w:rsidRDefault="00622A95" w:rsidP="00EC1790">
      <w:pPr>
        <w:keepNext/>
        <w:keepLines/>
        <w:spacing w:after="120" w:line="240" w:lineRule="auto"/>
        <w:rPr>
          <w:rFonts w:cs="Times New Roman"/>
          <w:i/>
          <w:szCs w:val="24"/>
          <w:lang w:val="fr-FR"/>
        </w:rPr>
      </w:pPr>
      <w:r w:rsidRPr="00C35FD0">
        <w:rPr>
          <w:rFonts w:cs="Times New Roman"/>
          <w:i/>
          <w:szCs w:val="24"/>
          <w:lang w:val="fr-FR"/>
        </w:rPr>
        <w:t>Finansijska stabilnost</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 xml:space="preserve">Poboljšala se stabilnost finansijskog sistema ali COVID-19 će dovoditi u pitanje kvalitet aktive i profitabilnost banaka. </w:t>
      </w:r>
      <w:r w:rsidRPr="00C35FD0">
        <w:rPr>
          <w:rFonts w:cs="Times New Roman"/>
          <w:szCs w:val="24"/>
          <w:lang w:val="fr-FR"/>
        </w:rPr>
        <w:t xml:space="preserve">Kreditni rast je doživio pad početkom 2019. godine, iako se u velikoj mjeri radilo o statističkom pitanju, koji je odražavao stečaj dvije male lokalne </w:t>
      </w:r>
      <w:r w:rsidRPr="00C35FD0">
        <w:rPr>
          <w:rFonts w:cs="Times New Roman"/>
          <w:szCs w:val="24"/>
          <w:lang w:val="fr-FR"/>
        </w:rPr>
        <w:lastRenderedPageBreak/>
        <w:t xml:space="preserve">banke, te uklanjanje njihove imovine iz statistike finansijskog sektora. Aktivnost kreditiranja se oporavila u trećem kvartalu 2019. godine, ostvarivši rast od 4,5% na kraju godine. Kreditni rast je ostao stabilan u prvoj polovini 2020. godine, s rastom od 4,7% u odnosu na isti period prethodne godine. Generalno, sektor izgleda stabilno, likvidno i dobro kapitalizovan. Stopa solventnosti na nivou sektora dostigla je 17,7% na kraju 2019, znatno više od zakonskog minimuma od 10%, dok je odnos problematičnih kredita (NPL) prema ukupnim kreditima smanjen na 4,70% u 2019, ali porastao na 5,26% u junu 2020. Pokazatelji profitabilnosti su i dalje pozitivni. Tokom 2019. godine, ukupni prinos na poslovna sredstva i na kapital iznosio je 1,2% odnosno 9,0%. </w:t>
      </w:r>
    </w:p>
    <w:p w:rsidR="00622A95" w:rsidRPr="009A2018" w:rsidRDefault="00622A95" w:rsidP="00EC1790">
      <w:pPr>
        <w:spacing w:after="120" w:line="240" w:lineRule="auto"/>
        <w:jc w:val="both"/>
        <w:rPr>
          <w:rFonts w:cs="Times New Roman"/>
          <w:szCs w:val="24"/>
        </w:rPr>
      </w:pPr>
      <w:r w:rsidRPr="00C35FD0">
        <w:rPr>
          <w:rFonts w:cs="Times New Roman"/>
          <w:szCs w:val="24"/>
          <w:lang w:val="fr-FR"/>
        </w:rPr>
        <w:t xml:space="preserve">Jaka likvidna pozicija banaka prije krize COVID-19 pomaže u smanjenju negativnih efekata zbog umanjenja likvidnih sredstava. U martu 2020. godine, Centralna banka Crne Gore uvela je moratorijum na otplatu kredita u trajanju od 90 dana kako bi podržala korisnike i domaće kompanije tokom perioda zatvaranja. </w:t>
      </w:r>
      <w:r w:rsidRPr="009A2018">
        <w:rPr>
          <w:rFonts w:cs="Times New Roman"/>
          <w:szCs w:val="24"/>
        </w:rPr>
        <w:t xml:space="preserve">Ova mjera će imati negativne efekte po likvidnost i dobit crnogorskih banaka. Međutim, pandemija predstavlja izazor za finansijski sektor zbog negativnog uticaja na kvalitet aktive i profitabilnost banaka, pogoršano mogućnošću reprogramiranja kredita po završetku moratorijuma, te troška doprinosa finansijskog sektora smanjenju efekata krize po ekonomiju. Dana 29. juna 2020. godine, EBRD je obezbijedila stand-by kreditnu liniju u iznosu od 50 miliona eura Fondu za zaštitu depozita Crne Gore radi obezbjeđenja odgovarajućih finansijskih sredstava za zaštitu depozita građana i korporativnih klijenata do iznosa od 50.000 eura po deponentu. Dana 25. juna 2020. godine, ECB je utvrdila novi zaštitni mehanizam, repo liniju Eurosistema za centralne banke (EUREP). Ova linija će biti dostupna u trajanju od godinu dana, a vezano za pendemiju, radi zadovoljenja potreba za likvidnošću centralnih banaka izvan europodručja, uključujući Crnu Goru. </w:t>
      </w:r>
    </w:p>
    <w:p w:rsidR="00622A95" w:rsidRPr="009A2018" w:rsidRDefault="00622A95" w:rsidP="00EC1790">
      <w:pPr>
        <w:keepNext/>
        <w:keepLines/>
        <w:spacing w:after="120" w:line="240" w:lineRule="auto"/>
        <w:rPr>
          <w:rFonts w:cs="Times New Roman"/>
          <w:i/>
          <w:szCs w:val="24"/>
        </w:rPr>
      </w:pPr>
      <w:r w:rsidRPr="009A2018">
        <w:rPr>
          <w:rFonts w:cs="Times New Roman"/>
          <w:i/>
          <w:szCs w:val="24"/>
        </w:rPr>
        <w:t>Pristup finansijskim sredstvima</w:t>
      </w:r>
    </w:p>
    <w:p w:rsidR="00622A95" w:rsidRPr="00C35FD0" w:rsidRDefault="00622A95" w:rsidP="00EC1790">
      <w:pPr>
        <w:widowControl w:val="0"/>
        <w:spacing w:after="120" w:line="240" w:lineRule="auto"/>
        <w:jc w:val="both"/>
        <w:rPr>
          <w:rFonts w:cs="Times New Roman"/>
          <w:szCs w:val="24"/>
          <w:lang w:val="fr-FR"/>
        </w:rPr>
      </w:pPr>
      <w:r w:rsidRPr="009A2018">
        <w:rPr>
          <w:rFonts w:cs="Times New Roman"/>
          <w:b/>
          <w:szCs w:val="24"/>
        </w:rPr>
        <w:t>Visoke kamatne stope i zaduženost lokalnih kompanija su dvije glavne prepreke za pristup finansijskim sredstvima</w:t>
      </w:r>
      <w:r w:rsidRPr="009A2018">
        <w:rPr>
          <w:rFonts w:cs="Times New Roman"/>
          <w:szCs w:val="24"/>
        </w:rPr>
        <w:t xml:space="preserve">. Krediti banaka privatnom sektoru porasli su za nominalnih 27,5% tokom posljednjih pet godina, zabilježivši vrlo nizak rast do 2018. godine dok je ekonomija rasla bržim tempom. Kao posljedica, udio kreditiranja privatnog sektora u BDP-u se smanjio, sa 64,8% u 2014. na 58,6% u 2019, uz porast na 60,4% udjela u BDP-u u junu 2020. godine. Međutim, potražnja za nove kredite se smanjila za 35% od izbijanja COVID-19 (u martu do sredine jula) u odnosu na isti period prethodne godine. Najznačajniji pad je zabilježen za gotovinske kredite, nakon čega slijede hipotekarni krediti i krediti koji se koriste za pripremu turističke sezone. </w:t>
      </w:r>
      <w:r w:rsidRPr="00C35FD0">
        <w:rPr>
          <w:rFonts w:cs="Times New Roman"/>
          <w:szCs w:val="24"/>
          <w:lang w:val="fr-FR"/>
        </w:rPr>
        <w:t xml:space="preserve">U međuvremenu, poslovne banke su restrukturirale kredite u vrijednosti od 75 miliona eura. Kao dio mjera koje imaju za cilj pružanje pomoći ekonomiji u toku pandemijske krize, Centralna banka Crna Gore uvela je moratorijum na otplatu kredita u trajanju od šest mjeseci, što je dovelo do pada u dobiti poslovnih banaka u iznosu od 50 %. Stečajem dvije domaće banke i kupovinom jedne od strane najveće banke smanjen je broj banaka na trinaest, što je još uvijek mnogo imajući u vidu veličinu tržišta. Od pomenutih, osam banaka je u većinskom vlasništvu velikih bankarskih grupa iz EU. One čine 79,7 % imovine finansijskog sektora. Veliki broj kompanija sa zamrznutim bankovnim računima zbog neplaćenih dugova, kao i ograničeno pokriće kreditnog registra, su i dalje ključne prepreke za dodjelu kredita. Zbog visokih kreditnih rizika, kamatne stope na kredite (6,76% u junu 2020) su i dalje relativno visoke, predstavljajući barijeru za mnoga mala i srednja preduzeća. Kako bi podržao mala i srednja preduzeća, Investiciono-razvojni fond zajedno s nekim međunarodnim finansijskim ustanovama obezbjeđuje preduzetnicima niz bankarskih garancija i kredita po povoljnim uslovima. Međutim, velike i profitabilne kompanije su neproporcionalno imale koristi o ove pomoći (ili finansijskih ulaganja iz unutrašnjih izvora), dok su mala i srednja preduzeća koristila skuplje trgovinske kredite zbog njihovih poteškoća da pristupe bankarskim kreditima. Radi pomoći kompanija da unaprijede </w:t>
      </w:r>
      <w:r w:rsidRPr="00C35FD0">
        <w:rPr>
          <w:rFonts w:cs="Times New Roman"/>
          <w:szCs w:val="24"/>
          <w:lang w:val="fr-FR"/>
        </w:rPr>
        <w:lastRenderedPageBreak/>
        <w:t>svoju likvidnost tokom pandemije 2020. godine, Investiciono-razvojni fond je utvrdio određene kreditne linije, dok su Evropska investiciona banka i Evropski investicioni fond obezbijedili dodatnu pomoć kroz kreditine linije i garancije crnogorskim bankama radi olakšavanja pristupa kreditima malim i srednjim preduzećima.</w:t>
      </w:r>
    </w:p>
    <w:p w:rsidR="00622A95" w:rsidRPr="00C35FD0" w:rsidRDefault="00622A95" w:rsidP="00EC1790">
      <w:pPr>
        <w:spacing w:after="120" w:line="240" w:lineRule="auto"/>
        <w:jc w:val="both"/>
        <w:rPr>
          <w:rFonts w:cs="Times New Roman"/>
          <w:color w:val="000000" w:themeColor="text1"/>
          <w:szCs w:val="24"/>
          <w:lang w:val="fr-FR"/>
        </w:rPr>
      </w:pPr>
      <w:r w:rsidRPr="00C35FD0">
        <w:rPr>
          <w:rFonts w:cs="Times New Roman"/>
          <w:b/>
          <w:bCs/>
          <w:color w:val="000000" w:themeColor="text1"/>
          <w:szCs w:val="24"/>
          <w:lang w:val="fr-FR"/>
        </w:rPr>
        <w:t>Nebankarski finansijski sektora je i dalje veoma mali.</w:t>
      </w:r>
      <w:r w:rsidRPr="00C35FD0">
        <w:rPr>
          <w:rFonts w:cs="Times New Roman"/>
          <w:color w:val="000000" w:themeColor="text1"/>
          <w:szCs w:val="24"/>
          <w:lang w:val="fr-FR"/>
        </w:rPr>
        <w:t xml:space="preserve"> Uloga berze u lokalnoj ekonomiji je marginalna u smislu tržišnog prometa, dok aktiva osiguravajućih društava i mikrofinansijskih institucija predstavlja oko 1,5% BDP-u</w:t>
      </w:r>
      <w:r w:rsidRPr="00C35FD0">
        <w:rPr>
          <w:rFonts w:eastAsia="MinionPro-Disp" w:cs="Times New Roman"/>
          <w:color w:val="000000" w:themeColor="text1"/>
          <w:szCs w:val="24"/>
          <w:lang w:val="fr-FR"/>
        </w:rPr>
        <w:t>.</w:t>
      </w:r>
    </w:p>
    <w:p w:rsidR="00622A95" w:rsidRPr="00C35FD0" w:rsidRDefault="00622A95" w:rsidP="00EC1790">
      <w:pPr>
        <w:keepNext/>
        <w:keepLines/>
        <w:spacing w:after="120" w:line="240" w:lineRule="auto"/>
        <w:rPr>
          <w:rFonts w:cs="Times New Roman"/>
          <w:szCs w:val="24"/>
          <w:u w:val="single"/>
          <w:lang w:val="fr-FR"/>
        </w:rPr>
      </w:pPr>
      <w:r w:rsidRPr="00C35FD0">
        <w:rPr>
          <w:rFonts w:cs="Times New Roman"/>
          <w:szCs w:val="24"/>
          <w:u w:val="single"/>
          <w:lang w:val="fr-FR"/>
        </w:rPr>
        <w:t>Funkcionisanje tržišta rada</w:t>
      </w:r>
    </w:p>
    <w:p w:rsidR="00622A95" w:rsidRPr="00C35FD0" w:rsidRDefault="00622A95" w:rsidP="00EC1790">
      <w:pPr>
        <w:widowControl w:val="0"/>
        <w:spacing w:after="120" w:line="240" w:lineRule="auto"/>
        <w:jc w:val="both"/>
        <w:rPr>
          <w:rFonts w:cs="Times New Roman"/>
          <w:szCs w:val="24"/>
          <w:lang w:val="fr-FR"/>
        </w:rPr>
      </w:pPr>
      <w:r w:rsidRPr="00C35FD0">
        <w:rPr>
          <w:rFonts w:cs="Times New Roman"/>
          <w:b/>
          <w:szCs w:val="24"/>
          <w:lang w:val="fr-FR"/>
        </w:rPr>
        <w:t>Ekonomski rast, reforma programa socijalnih davanja za majke i pomoć mladim nezaposlenim licima pomogli su unaprijeđenju uslova na tržištu rada</w:t>
      </w:r>
      <w:r w:rsidRPr="00C35FD0">
        <w:rPr>
          <w:rFonts w:cs="Times New Roman"/>
          <w:szCs w:val="24"/>
          <w:lang w:val="fr-FR"/>
        </w:rPr>
        <w:t>. Stopa nezaposlenosti (u starosnoj grupi 15-64) u prosjeku je iznosila 15,2% tokom 2019, što je pad u odnosu na 18,2% koliko je iznosila pet godina ranije. Međutim, i dalje postoje izazovi, naročito niska stopa učešća žena i mladih lica, te visoka dugoročna nezaposlenost. U decembru 2019. godine, usvojen je novi zakon o radu. Od novog zakona se očekuje da obezbijedi veću fleksibilnost skraćivanjem postupaka, pojednostavljenjem postupaka razrješavanja, olakšavanjem upotrebe ugovora na određeno vrijeme i angažmana zaposlenih izvan prostorija poslodavca (npr. rad na daljinu).. Zaštita radnika je ponovo utvrđena u novom zakonu, uvođenjem obaveze pismenih ugovora prije početka rada. Sankcije za neprijavljeni rad su ozbiljnije, kako bi se smanjila neformalna ekonomija. Zaustavljanje ekonomske aktivnosti radi suzbijanja širenja COVID-19 u martu 2020. godine je imalo negativan uticaj na tržište rada. Stopa nazaposlenosti je porasla na 17,4% u aprilu, sa 15,3% u martu i 16,4% godinu dana ranije.</w:t>
      </w:r>
    </w:p>
    <w:p w:rsidR="005747C7" w:rsidRPr="009A2018" w:rsidRDefault="00622A95" w:rsidP="00EC1790">
      <w:pPr>
        <w:widowControl w:val="0"/>
        <w:spacing w:after="120" w:line="240" w:lineRule="auto"/>
        <w:jc w:val="both"/>
        <w:rPr>
          <w:rFonts w:cs="Times New Roman"/>
          <w:szCs w:val="24"/>
        </w:rPr>
      </w:pPr>
      <w:r w:rsidRPr="009A2018">
        <w:rPr>
          <w:rFonts w:cs="Times New Roman"/>
          <w:noProof/>
          <w:szCs w:val="24"/>
          <w:lang w:eastAsia="en-GB"/>
        </w:rPr>
        <w:drawing>
          <wp:anchor distT="0" distB="0" distL="114300" distR="114300" simplePos="0" relativeHeight="251660288" behindDoc="0" locked="0" layoutInCell="1" allowOverlap="1" wp14:anchorId="7E151200" wp14:editId="09607E11">
            <wp:simplePos x="0" y="0"/>
            <wp:positionH relativeFrom="column">
              <wp:posOffset>2520470</wp:posOffset>
            </wp:positionH>
            <wp:positionV relativeFrom="paragraph">
              <wp:posOffset>76215</wp:posOffset>
            </wp:positionV>
            <wp:extent cx="3232800" cy="1976400"/>
            <wp:effectExtent l="0" t="0" r="5715"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41229"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232800" cy="1976400"/>
                    </a:xfrm>
                    <a:prstGeom prst="rect">
                      <a:avLst/>
                    </a:prstGeom>
                    <a:noFill/>
                    <a:ln>
                      <a:noFill/>
                    </a:ln>
                  </pic:spPr>
                </pic:pic>
              </a:graphicData>
            </a:graphic>
          </wp:anchor>
        </w:drawing>
      </w:r>
      <w:r w:rsidRPr="00C35FD0">
        <w:rPr>
          <w:rFonts w:cs="Times New Roman"/>
          <w:szCs w:val="24"/>
          <w:lang w:val="fr-FR"/>
        </w:rPr>
        <w:t xml:space="preserve">Potrebno je poboljšati aktivne politike tržišta rada i staviti naglasak na prekvalifikaciju i usavršavanje. Kapacitet Zavoda za zapošljavanje je i dalje mali (tj. 400 nezaposlenih na svakog člana osoblja Zavoda za zapošljavanje, u poređenju s odnosom od 100:1 koji preporučuje Međunarodna organizacija rada (MOR)) za pružanje ciljnih usluga. </w:t>
      </w:r>
      <w:r w:rsidRPr="009A2018">
        <w:rPr>
          <w:rFonts w:cs="Times New Roman"/>
          <w:szCs w:val="24"/>
        </w:rPr>
        <w:t xml:space="preserve">Uprkos smanjenju u julu 2019. godine od 2 pps doprinosa za socijalno </w:t>
      </w:r>
    </w:p>
    <w:tbl>
      <w:tblPr>
        <w:tblStyle w:val="TableGrid"/>
        <w:tblW w:w="0" w:type="auto"/>
        <w:shd w:val="clear" w:color="auto" w:fill="BFBFBF" w:themeFill="background1" w:themeFillShade="BF"/>
        <w:tblLook w:val="04A0" w:firstRow="1" w:lastRow="0" w:firstColumn="1" w:lastColumn="0" w:noHBand="0" w:noVBand="1"/>
      </w:tblPr>
      <w:tblGrid>
        <w:gridCol w:w="9243"/>
      </w:tblGrid>
      <w:tr w:rsidR="005747C7" w:rsidTr="00D010EC">
        <w:tc>
          <w:tcPr>
            <w:tcW w:w="9243" w:type="dxa"/>
            <w:shd w:val="clear" w:color="auto" w:fill="BFBFBF" w:themeFill="background1" w:themeFillShade="BF"/>
          </w:tcPr>
          <w:p w:rsidR="005747C7" w:rsidRPr="005747C7" w:rsidRDefault="005747C7" w:rsidP="005747C7">
            <w:pPr>
              <w:widowControl w:val="0"/>
              <w:spacing w:after="0" w:line="240" w:lineRule="auto"/>
              <w:jc w:val="both"/>
              <w:rPr>
                <w:rFonts w:cs="Times New Roman"/>
                <w:sz w:val="20"/>
                <w:szCs w:val="20"/>
              </w:rPr>
            </w:pPr>
            <w:r w:rsidRPr="005747C7">
              <w:rPr>
                <w:rFonts w:cs="Times New Roman"/>
                <w:sz w:val="20"/>
                <w:szCs w:val="20"/>
              </w:rPr>
              <w:t>Graph: Montenegro – Labour market trends – Grafikon: Crna Gora – Kretanja na tržištu rada</w:t>
            </w:r>
          </w:p>
          <w:p w:rsidR="005747C7" w:rsidRPr="005747C7" w:rsidRDefault="005747C7" w:rsidP="005747C7">
            <w:pPr>
              <w:widowControl w:val="0"/>
              <w:spacing w:after="0" w:line="240" w:lineRule="auto"/>
              <w:jc w:val="both"/>
              <w:rPr>
                <w:rFonts w:cs="Times New Roman"/>
                <w:sz w:val="20"/>
                <w:szCs w:val="20"/>
                <w:lang w:val="en-US"/>
              </w:rPr>
            </w:pPr>
            <w:r w:rsidRPr="005747C7">
              <w:rPr>
                <w:rFonts w:cs="Times New Roman"/>
                <w:sz w:val="20"/>
                <w:szCs w:val="20"/>
                <w:lang w:val="en-US"/>
              </w:rPr>
              <w:t>(15-64 age group) – (u starosnoj grupi 15-64)</w:t>
            </w:r>
          </w:p>
          <w:p w:rsidR="005747C7" w:rsidRPr="005747C7" w:rsidRDefault="005747C7" w:rsidP="005747C7">
            <w:pPr>
              <w:widowControl w:val="0"/>
              <w:spacing w:after="0" w:line="240" w:lineRule="auto"/>
              <w:jc w:val="both"/>
              <w:rPr>
                <w:rFonts w:cs="Times New Roman"/>
                <w:sz w:val="20"/>
                <w:szCs w:val="20"/>
                <w:lang w:val="en-US"/>
              </w:rPr>
            </w:pPr>
            <w:r w:rsidRPr="005747C7">
              <w:rPr>
                <w:rFonts w:cs="Times New Roman"/>
                <w:sz w:val="20"/>
                <w:szCs w:val="20"/>
                <w:lang w:val="en-US"/>
              </w:rPr>
              <w:t xml:space="preserve">Unemployment rate (lhs) – Stopa nezaposlenosti </w:t>
            </w:r>
            <w:r w:rsidR="00387020">
              <w:rPr>
                <w:rFonts w:cs="Times New Roman"/>
                <w:sz w:val="20"/>
                <w:szCs w:val="20"/>
                <w:lang w:val="en-US"/>
              </w:rPr>
              <w:t xml:space="preserve">                     </w:t>
            </w:r>
            <w:r w:rsidRPr="005747C7">
              <w:rPr>
                <w:rFonts w:cs="Times New Roman"/>
                <w:sz w:val="20"/>
                <w:szCs w:val="20"/>
                <w:lang w:val="en-US"/>
              </w:rPr>
              <w:t>Participation rate (rhs) – Stopa učešća</w:t>
            </w:r>
          </w:p>
          <w:p w:rsidR="005747C7" w:rsidRPr="005747C7" w:rsidRDefault="005747C7" w:rsidP="005747C7">
            <w:pPr>
              <w:widowControl w:val="0"/>
              <w:spacing w:after="0" w:line="240" w:lineRule="auto"/>
              <w:jc w:val="both"/>
              <w:rPr>
                <w:rFonts w:cs="Times New Roman"/>
                <w:szCs w:val="24"/>
                <w:lang w:val="en-US"/>
              </w:rPr>
            </w:pPr>
            <w:r w:rsidRPr="005747C7">
              <w:rPr>
                <w:rFonts w:cs="Times New Roman"/>
                <w:sz w:val="20"/>
                <w:szCs w:val="20"/>
              </w:rPr>
              <w:t xml:space="preserve">Employment rate (rhs) – Stopa zaposlenosti  </w:t>
            </w:r>
            <w:r w:rsidR="00387020">
              <w:rPr>
                <w:rFonts w:cs="Times New Roman"/>
                <w:sz w:val="20"/>
                <w:szCs w:val="20"/>
              </w:rPr>
              <w:t xml:space="preserve">                            </w:t>
            </w:r>
            <w:r w:rsidRPr="005747C7">
              <w:rPr>
                <w:rFonts w:cs="Times New Roman"/>
                <w:sz w:val="20"/>
                <w:szCs w:val="20"/>
              </w:rPr>
              <w:t>Source: Monstat – Izvor:</w:t>
            </w:r>
            <w:r w:rsidRPr="005747C7">
              <w:rPr>
                <w:rFonts w:cs="Times New Roman"/>
                <w:sz w:val="20"/>
                <w:szCs w:val="20"/>
                <w:lang w:val="en-US"/>
              </w:rPr>
              <w:t xml:space="preserve"> Monstat</w:t>
            </w:r>
            <w:r>
              <w:rPr>
                <w:rFonts w:cs="Times New Roman"/>
                <w:szCs w:val="24"/>
                <w:lang w:val="en-US"/>
              </w:rPr>
              <w:t xml:space="preserve"> </w:t>
            </w:r>
          </w:p>
        </w:tc>
      </w:tr>
    </w:tbl>
    <w:p w:rsidR="00622A95" w:rsidRPr="009A2018" w:rsidRDefault="00622A95" w:rsidP="00EC1790">
      <w:pPr>
        <w:widowControl w:val="0"/>
        <w:spacing w:after="120" w:line="240" w:lineRule="auto"/>
        <w:jc w:val="both"/>
        <w:rPr>
          <w:rFonts w:cs="Times New Roman"/>
          <w:szCs w:val="24"/>
        </w:rPr>
      </w:pPr>
      <w:r w:rsidRPr="009A2018">
        <w:rPr>
          <w:rFonts w:cs="Times New Roman"/>
          <w:szCs w:val="24"/>
        </w:rPr>
        <w:t>osiguranje i isteku 2 pps „kriznog poreza“ za zarade iznad prosjeka u januaru 2020. godine, poresko opterećenje je i dalje relativno visoko, posebno za radnike s niskim primanjima. Ovo može da djeluje obeshrabrujuće kada su u pitanju zapošljavanje i rad, posebno na donjem kraju distribucije prihoda. Neusklađenost vještina i dalje postoji za lica sa stručnim i visokim obrazovanjem. Geografske nejednakosti su velike i negativno i neproporcionalno pogađaju sjeverni region. U maju 2019. godine, vlada je podigla minimalnu zaradu za 15%. Zahvaljujući tome, zarade su zabilježile određeni skromni godišnji rast od 0,8% u 2019, dok je očuvana konkurentnost lokalnih kompanija.</w:t>
      </w:r>
    </w:p>
    <w:p w:rsidR="00622A95" w:rsidRPr="00C35FD0" w:rsidRDefault="00622A95" w:rsidP="00EC1790">
      <w:pPr>
        <w:pStyle w:val="Heading2"/>
        <w:rPr>
          <w:lang w:val="fr-FR"/>
        </w:rPr>
      </w:pPr>
      <w:bookmarkStart w:id="42" w:name="_Toc52744931"/>
      <w:bookmarkStart w:id="43" w:name="_Toc53362439"/>
      <w:r w:rsidRPr="00C35FD0">
        <w:rPr>
          <w:lang w:val="fr-FR"/>
        </w:rPr>
        <w:lastRenderedPageBreak/>
        <w:t>3.2.</w:t>
      </w:r>
      <w:r w:rsidRPr="00C35FD0">
        <w:rPr>
          <w:lang w:val="fr-FR"/>
        </w:rPr>
        <w:tab/>
      </w:r>
      <w:bookmarkEnd w:id="42"/>
      <w:r w:rsidRPr="00C35FD0">
        <w:rPr>
          <w:lang w:val="fr-FR"/>
        </w:rPr>
        <w:t>Kapacitet Crne Gore da se nosi sa pritiskom konkurencije i tržišnim snagama unutar EU</w:t>
      </w:r>
      <w:bookmarkEnd w:id="43"/>
    </w:p>
    <w:tbl>
      <w:tblPr>
        <w:tblW w:w="936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363"/>
      </w:tblGrid>
      <w:tr w:rsidR="00622A95" w:rsidRPr="00D83E53" w:rsidTr="00620E1E">
        <w:trPr>
          <w:trHeight w:val="416"/>
        </w:trPr>
        <w:tc>
          <w:tcPr>
            <w:tcW w:w="9363" w:type="dxa"/>
            <w:shd w:val="clear" w:color="auto" w:fill="D9D9D9" w:themeFill="background1" w:themeFillShade="D9"/>
          </w:tcPr>
          <w:p w:rsidR="00622A95" w:rsidRPr="00C35FD0" w:rsidRDefault="00622A95" w:rsidP="00EC1790">
            <w:pPr>
              <w:pStyle w:val="Default"/>
              <w:spacing w:after="120"/>
              <w:jc w:val="both"/>
              <w:rPr>
                <w:color w:val="000000" w:themeColor="text1"/>
                <w:lang w:val="fr-FR"/>
              </w:rPr>
            </w:pPr>
            <w:r w:rsidRPr="00C35FD0">
              <w:rPr>
                <w:color w:val="000000" w:themeColor="text1"/>
                <w:lang w:val="fr-FR"/>
              </w:rPr>
              <w:t xml:space="preserve">Crna Gora je ostvarila </w:t>
            </w:r>
            <w:r w:rsidRPr="00C35FD0">
              <w:rPr>
                <w:b/>
                <w:bCs/>
                <w:color w:val="000000" w:themeColor="text1"/>
                <w:lang w:val="fr-FR"/>
              </w:rPr>
              <w:t xml:space="preserve">određeni napredak </w:t>
            </w:r>
            <w:r w:rsidRPr="00C35FD0">
              <w:rPr>
                <w:color w:val="000000" w:themeColor="text1"/>
                <w:lang w:val="fr-FR"/>
              </w:rPr>
              <w:t xml:space="preserve">i njeni kapaciteti da se nosi sa pritiskom konkurencije i tržišnim snagama unutar Evropske unije ostaju </w:t>
            </w:r>
            <w:r w:rsidRPr="00C35FD0">
              <w:rPr>
                <w:b/>
                <w:bCs/>
                <w:color w:val="000000" w:themeColor="text1"/>
                <w:lang w:val="fr-FR"/>
              </w:rPr>
              <w:t>umjereno spremni</w:t>
            </w:r>
            <w:r w:rsidRPr="00C35FD0">
              <w:rPr>
                <w:color w:val="000000" w:themeColor="text1"/>
                <w:lang w:val="fr-FR"/>
              </w:rPr>
              <w:t xml:space="preserve">. Ulaganja u znanje i ljudski kapital su veoma skromna, što ima za posljedicu nizak stepen invoacije i produktivnosti lokalnih kompanija. Potrebno je da se poboljšaju ishodi obrazovanja u svim kategorijama, kao i obezbjeđenje mjera usavršavanja i prekvalifikacija. Sprovodi se nekoliko značajnih infrastrukturalnih projekata, kojima se Crna Gora postepeno transformiše u neto izvoznika električne energije i razvijaju se prenosne mreže. Privatni sektor razvija fizičke širokopojasne mreže, dok vlasti jačaju zakonodavni okvir. Međutim, ekonomija predstavlja slabu industrijsku bazu koju karakterišu djelatnosti s malom dodatom vrijednošću, a koja je ograničena malom veličinom tržišta i niskim tehnološkim znanjem i iskustvom većine lokalnih kompanija. </w:t>
            </w:r>
          </w:p>
          <w:p w:rsidR="00622A95" w:rsidRPr="00C35FD0" w:rsidRDefault="00622A95" w:rsidP="00EC1790">
            <w:pPr>
              <w:pStyle w:val="Default"/>
              <w:spacing w:after="120"/>
              <w:jc w:val="both"/>
              <w:rPr>
                <w:color w:val="000000" w:themeColor="text1"/>
                <w:lang w:val="fr-FR"/>
              </w:rPr>
            </w:pPr>
            <w:r w:rsidRPr="00C35FD0">
              <w:rPr>
                <w:color w:val="000000" w:themeColor="text1"/>
                <w:lang w:val="fr-FR"/>
              </w:rPr>
              <w:t>Da bi se poboljšana konkurentnost i dugoročni rast, Crna Gora treba naročito da:</w:t>
            </w:r>
          </w:p>
          <w:p w:rsidR="00622A95" w:rsidRPr="00C35FD0" w:rsidRDefault="00622A95" w:rsidP="00EC1790">
            <w:pPr>
              <w:pStyle w:val="ListParagraph"/>
              <w:numPr>
                <w:ilvl w:val="0"/>
                <w:numId w:val="8"/>
              </w:numPr>
              <w:spacing w:after="120" w:line="240" w:lineRule="auto"/>
              <w:ind w:left="0" w:firstLine="0"/>
              <w:contextualSpacing w:val="0"/>
              <w:jc w:val="both"/>
              <w:rPr>
                <w:rFonts w:ascii="Times New Roman" w:hAnsi="Times New Roman" w:cs="Times New Roman"/>
                <w:b/>
                <w:sz w:val="24"/>
                <w:szCs w:val="24"/>
                <w:lang w:val="fr-FR"/>
              </w:rPr>
            </w:pPr>
            <w:r w:rsidRPr="00C35FD0">
              <w:rPr>
                <w:rFonts w:ascii="Times New Roman" w:hAnsi="Times New Roman" w:cs="Times New Roman"/>
                <w:sz w:val="24"/>
                <w:szCs w:val="24"/>
                <w:lang w:val="fr-FR"/>
              </w:rPr>
              <w:t>poboljša kvalitet i relevantnost obrazovanja na tržištu rada, naročito na nivou sekundarnog i stručnog obrazovanja;</w:t>
            </w:r>
          </w:p>
          <w:p w:rsidR="00622A95" w:rsidRPr="00C35FD0" w:rsidRDefault="00622A95" w:rsidP="00EC1790">
            <w:pPr>
              <w:pStyle w:val="ListParagraph"/>
              <w:numPr>
                <w:ilvl w:val="0"/>
                <w:numId w:val="8"/>
              </w:numPr>
              <w:spacing w:after="120" w:line="240" w:lineRule="auto"/>
              <w:ind w:left="0" w:firstLine="0"/>
              <w:contextualSpacing w:val="0"/>
              <w:jc w:val="both"/>
              <w:rPr>
                <w:rFonts w:ascii="Times New Roman" w:hAnsi="Times New Roman" w:cs="Times New Roman"/>
                <w:sz w:val="24"/>
                <w:szCs w:val="24"/>
                <w:lang w:val="fr-FR"/>
              </w:rPr>
            </w:pPr>
            <w:r w:rsidRPr="00C35FD0">
              <w:rPr>
                <w:rFonts w:ascii="Times New Roman" w:hAnsi="Times New Roman" w:cs="Times New Roman"/>
                <w:sz w:val="24"/>
                <w:szCs w:val="24"/>
                <w:lang w:val="fr-FR"/>
              </w:rPr>
              <w:t xml:space="preserve">učini pouzdanu analizu troškova i koristi sastavnim djelom upravljanja javnim ulaganjima. </w:t>
            </w:r>
          </w:p>
        </w:tc>
      </w:tr>
    </w:tbl>
    <w:p w:rsidR="00622A95" w:rsidRPr="009A2018" w:rsidRDefault="00622A95" w:rsidP="00EC1790">
      <w:pPr>
        <w:keepNext/>
        <w:keepLines/>
        <w:spacing w:after="120" w:line="240" w:lineRule="auto"/>
        <w:rPr>
          <w:rFonts w:cs="Times New Roman"/>
          <w:szCs w:val="24"/>
          <w:u w:val="single"/>
        </w:rPr>
      </w:pPr>
      <w:r w:rsidRPr="009A2018">
        <w:rPr>
          <w:rFonts w:cs="Times New Roman"/>
          <w:szCs w:val="24"/>
          <w:u w:val="single"/>
        </w:rPr>
        <w:t xml:space="preserve">Obrazovanje i inovacije </w:t>
      </w:r>
    </w:p>
    <w:p w:rsidR="00622A95" w:rsidRPr="009A2018" w:rsidRDefault="00622A95" w:rsidP="00EC1790">
      <w:pPr>
        <w:spacing w:after="120" w:line="240" w:lineRule="auto"/>
        <w:jc w:val="both"/>
        <w:rPr>
          <w:rFonts w:cs="Times New Roman"/>
          <w:szCs w:val="24"/>
        </w:rPr>
      </w:pPr>
      <w:r w:rsidRPr="009A2018">
        <w:rPr>
          <w:rFonts w:cs="Times New Roman"/>
          <w:b/>
          <w:szCs w:val="24"/>
        </w:rPr>
        <w:t>Dok su crnogorske stope upisa visoke, postoji problem s kvalitetom obrazovanja.</w:t>
      </w:r>
      <w:r w:rsidRPr="009A2018">
        <w:rPr>
          <w:rFonts w:cs="Times New Roman"/>
          <w:szCs w:val="24"/>
        </w:rPr>
        <w:t xml:space="preserve"> Tokom 2017, stepen stečenog obrazovanja mladih u Crnoj Gori (tj. dio mladih u starosnoj grupi 20-24 koji je stekao najmanje više srednje obrazovanje) iznosio je 95,1%, u odnosu na 83,3% unutar EU-28. Međutim, 32,4% mladih je završilo tercijarni nivo u 2018. godini dok je taj stepen unutar EU-28 iznosio 39,9%. Rezultati Programa za međunarodno testiranje učenika (PISA) iz 2018. godine pokazuju da postoji značajan jaz u kvalitetu obrazovanja. Crnogorski petnaestogodišnjaci koji steknu Nivo 2 ili veći nivo iz oblasti matematike, čitanja i nauke imaju 20 postotnih bodova manje u odnosu na prosjek OECD-a. Osim toga, postoji stalna neusklađenost vještina za lica sa stručnim i visokim obrazovanjem. Iako je došlo do poboljšanja stope nezaposlenosti među mladima, ta stopa je i dalje visoka sa 22,3% u 2019. Generalno, potrebno je unaprijediti ishode obrazovanja u svim kategorijama u skladu s potrebama tržišta da bi se povećala mogućnost zapošljavanja. </w:t>
      </w:r>
    </w:p>
    <w:p w:rsidR="00622A95" w:rsidRPr="00C35FD0" w:rsidRDefault="00622A95" w:rsidP="00EC1790">
      <w:pPr>
        <w:spacing w:after="120" w:line="240" w:lineRule="auto"/>
        <w:jc w:val="both"/>
        <w:rPr>
          <w:rFonts w:cs="Times New Roman"/>
          <w:szCs w:val="24"/>
          <w:lang w:val="fr-FR"/>
        </w:rPr>
      </w:pPr>
      <w:r w:rsidRPr="00C35FD0">
        <w:rPr>
          <w:rFonts w:cs="Times New Roman"/>
          <w:b/>
          <w:szCs w:val="24"/>
          <w:lang w:val="fr-FR"/>
        </w:rPr>
        <w:t>Investicije u istraživanje i razvoj (R&amp;D) rastu.</w:t>
      </w:r>
      <w:r w:rsidRPr="00C35FD0">
        <w:rPr>
          <w:rFonts w:cs="Times New Roman"/>
          <w:szCs w:val="24"/>
          <w:lang w:val="fr-FR"/>
        </w:rPr>
        <w:t xml:space="preserve"> U 2018, ulaganje u istraživanje i razvoj povećalo se na 0,50% BDP-a. Ipak, većina ulaganja dolazi iz privatnog sektora. Samo 2,2% crnogorskih malih i srednjih preduzeća ulaže u istraživanje i razvoj (u odnosu na 22% na regionalnom nivou). Istovremeno, podrška vlade postepeno raste. U Podgorici se osniva novi naučno-tehnološki park, dok  je park koji je osnovan u Nikšiću (Tehnopolis) već u funkciji sa 29 zakupaca, uz kompletnu opremljenost njegove tri laboratorije. Uloženi su napori i u tzv. neobavezujuće mjere (obuka, mentorstvo, intelektualna svojina, itd.), aktivnosti koje se u velikoj mjeri oslanjaju na EU fondove. Međutim, programi su fragmentirani i često ne uspijevaju privući dovoljno interesovanja od malih i srednjih preduzeća. U junu 2019. godine usvojena je Strategija pametne specijalizacije, koja je dobila pozitivnu ocjenu službi Evropske komisije u decembru  2019. godine.</w:t>
      </w:r>
    </w:p>
    <w:p w:rsidR="00622A95" w:rsidRPr="00C35FD0" w:rsidRDefault="00622A95" w:rsidP="00EC1790">
      <w:pPr>
        <w:spacing w:after="120" w:line="240" w:lineRule="auto"/>
        <w:jc w:val="both"/>
        <w:rPr>
          <w:rFonts w:cs="Times New Roman"/>
          <w:szCs w:val="24"/>
          <w:u w:val="single"/>
          <w:lang w:val="fr-FR"/>
        </w:rPr>
      </w:pPr>
      <w:r w:rsidRPr="00C35FD0">
        <w:rPr>
          <w:rFonts w:cs="Times New Roman"/>
          <w:szCs w:val="24"/>
          <w:u w:val="single"/>
          <w:lang w:val="fr-FR"/>
        </w:rPr>
        <w:t>Fizički kapital i kvalitet infrastrukture</w:t>
      </w:r>
    </w:p>
    <w:p w:rsidR="00622A95" w:rsidRPr="00C35FD0" w:rsidRDefault="00622A95" w:rsidP="00EC1790">
      <w:pPr>
        <w:spacing w:after="120" w:line="240" w:lineRule="auto"/>
        <w:jc w:val="both"/>
        <w:rPr>
          <w:rFonts w:cs="Times New Roman"/>
          <w:szCs w:val="24"/>
          <w:lang w:val="fr-FR"/>
        </w:rPr>
      </w:pPr>
      <w:r w:rsidRPr="00C35FD0">
        <w:rPr>
          <w:rFonts w:cs="Times New Roman"/>
          <w:b/>
          <w:bCs/>
          <w:szCs w:val="24"/>
          <w:lang w:val="fr-FR"/>
        </w:rPr>
        <w:t>Crna Gora čini značajne napore u nadogradnji svoje infrastrukture</w:t>
      </w:r>
      <w:r w:rsidRPr="00C35FD0">
        <w:rPr>
          <w:rFonts w:cs="Times New Roman"/>
          <w:szCs w:val="24"/>
          <w:lang w:val="fr-FR"/>
        </w:rPr>
        <w:t xml:space="preserve">. Interkonekcija električne mreže s Italijom uspostavljena je u novembru 2019. godine i doprinijela je završetku nacionalnog prstena za prenos električne energije, čime je ojačana </w:t>
      </w:r>
      <w:r w:rsidRPr="00C35FD0">
        <w:rPr>
          <w:rFonts w:cs="Times New Roman"/>
          <w:szCs w:val="24"/>
          <w:lang w:val="fr-FR"/>
        </w:rPr>
        <w:lastRenderedPageBreak/>
        <w:t>postojanostsnabdijevanja električnom energijom i postavljena osnova za njeno širenje na susjedne zemlje. Crna Gora je postigla napredak u diverzifikaciji proizvodnje električne energije prema obnovljivim izvorima, u toku je nekoliko projekata vjetroelektrana, solarnih termalnih elektrana i hidroelektrana. Crna Gora, kao potpisnica Ugovora o transportnoj zajednici,ima koristi od otvaranja svog stalnog sekretarijata u septembru 2019. godine i nastavlja da učestvuje u 6 Agendi povezivanja Zapadnog Balkana. Bez obzira na očekivani završetak prve dionice autoputa Bar-Boljare 2021. godine, autoput ostaje nedovršen. Svaka odluka o izgradnji sljedećih dionica treba da se zasniva na odgovarajućem okruženju i procjeni uticaja na društvo idobroj analizi troškova i koristi, što je neophodan preduslov za izradu plana finansiranja koji čuva stabilnost javnih finansija. Nekoliko nacionalnih i regionalnih saobraćajnica nadograđeno je uz podršku međunarodnih finansijskih institucija. Željeznička infrastruktura zahtijeva dalju nadogradnju, kako bi se u potpunosti otvorio potencijal luke Bar. Razvoj telekomunikacionih mreža uglavnom se oslanja na privatni sektor. Usluge fiksne širokopojasne mreže, posebno sektor optičkih vlakana, zabilježile su snažan rast, iako uglavnom u glavnim gradovima. U prvih devet mjeseci 2019. godine, broj optičkih veza povećan je za 24%, što ukupno iznosi 34% svih fiksnih širokopojasnih veza. Iako 98,6% crnogorskih preduzeća koristi računare, samo 18% njih ima Internet veze jednake ili brže od 100 Mbit/s. Kako bi se uskladili s ekološkim standardima EU, u nekoliko opština grade se mreže za distribuciju vode i postrojenja za obradu otpada.</w:t>
      </w:r>
    </w:p>
    <w:p w:rsidR="00622A95" w:rsidRPr="00C35FD0" w:rsidRDefault="00622A95" w:rsidP="00EC1790">
      <w:pPr>
        <w:keepNext/>
        <w:keepLines/>
        <w:spacing w:after="120" w:line="240" w:lineRule="auto"/>
        <w:jc w:val="both"/>
        <w:rPr>
          <w:rFonts w:cs="Times New Roman"/>
          <w:szCs w:val="24"/>
          <w:u w:val="single"/>
          <w:lang w:val="fr-FR"/>
        </w:rPr>
      </w:pPr>
      <w:r w:rsidRPr="00C35FD0">
        <w:rPr>
          <w:rFonts w:cs="Times New Roman"/>
          <w:szCs w:val="24"/>
          <w:u w:val="single"/>
          <w:lang w:val="fr-FR"/>
        </w:rPr>
        <w:t>Struktura sektora i preduzeća</w:t>
      </w:r>
    </w:p>
    <w:p w:rsidR="007F6D60" w:rsidRPr="00387020" w:rsidRDefault="00622A95" w:rsidP="00387020">
      <w:pPr>
        <w:spacing w:after="120" w:line="240" w:lineRule="auto"/>
        <w:jc w:val="both"/>
        <w:rPr>
          <w:rFonts w:cs="Times New Roman"/>
          <w:szCs w:val="24"/>
        </w:rPr>
      </w:pPr>
      <w:r w:rsidRPr="00C35FD0">
        <w:rPr>
          <w:rFonts w:cs="Times New Roman"/>
          <w:b/>
          <w:szCs w:val="24"/>
          <w:lang w:val="fr-FR"/>
        </w:rPr>
        <w:t xml:space="preserve">Privreda </w:t>
      </w:r>
      <w:r w:rsidRPr="00C35FD0">
        <w:rPr>
          <w:rFonts w:cs="Times New Roman"/>
          <w:b/>
          <w:bCs/>
          <w:szCs w:val="24"/>
          <w:lang w:val="fr-FR"/>
        </w:rPr>
        <w:t>je i dalje usmjerena na usluge, dok je proizvodna baza mala</w:t>
      </w:r>
      <w:r w:rsidRPr="00C35FD0">
        <w:rPr>
          <w:rFonts w:cs="Times New Roman"/>
          <w:szCs w:val="24"/>
          <w:lang w:val="fr-FR"/>
        </w:rPr>
        <w:t xml:space="preserve">. </w:t>
      </w:r>
      <w:r w:rsidRPr="009A2018">
        <w:rPr>
          <w:rFonts w:cs="Times New Roman"/>
          <w:szCs w:val="24"/>
        </w:rPr>
        <w:t>Usluge i dalje dominiraju i čine 72% ukupne bruto dodate vrijednosti (BDV). Razvoj turističke, energetske i saobraćajne infrastrukture podržava građevinsku djelatnost koja predstavlja 7% BDV-a. Nedavno je učešće proizvodnje u BDV-u zabilježilo blagi pad, čineći trenutno oko 5% BDV-a. Među podsektorima, aluminijum je nekada dominirao industrijskim pejzažem, s učešćem od 40% u izvozu robe u 2011. godini. Trenutno na njega otpada 15%. U prošlosti je Crna Gora imala stalne trgovinske deficite električne energije. Nakon pada proizvodnje aluminijuma i razvoja novih energetskih kapaciteta, situacija se preokrenula, a električna energija bilježi pozitivne trgovinske bilanse od 2018. godine. Boksit, drvo, naftni proizvodi i farmaceutski proizvodi ostali su industrijski sektori koji bilježe rast. Međutim, njihova mala dodata vrijednost znači da ne mogu da nadoknade puno veću vrijednost uvezenih proizvoda. Mala veličina lokalnih preduzeća ograničava učinak proizvodnje. U Crnoj Gori se samo 29 preduzeća može smatrati velikim (tj. koja imaju više od 250 radnika, promet veći od 50 miliona eura i imovinu veću od 43 miliona eura), a jedna trećina njih nije uključena u izvoz.</w:t>
      </w:r>
    </w:p>
    <w:p w:rsidR="00622A95" w:rsidRPr="00C35FD0" w:rsidRDefault="00622A95" w:rsidP="00EC1790">
      <w:pPr>
        <w:spacing w:after="120" w:line="240" w:lineRule="auto"/>
        <w:rPr>
          <w:rFonts w:cs="Times New Roman"/>
          <w:szCs w:val="24"/>
          <w:u w:val="single"/>
          <w:lang w:val="fr-FR"/>
        </w:rPr>
      </w:pPr>
      <w:r w:rsidRPr="00C35FD0">
        <w:rPr>
          <w:rFonts w:cs="Times New Roman"/>
          <w:szCs w:val="24"/>
          <w:u w:val="single"/>
          <w:lang w:val="fr-FR"/>
        </w:rPr>
        <w:t>Ekonomska integracija sa EU i konkurentnost cijena</w:t>
      </w:r>
    </w:p>
    <w:p w:rsidR="00622A95" w:rsidRPr="00C35FD0" w:rsidRDefault="00622A95" w:rsidP="00EC1790">
      <w:pPr>
        <w:spacing w:after="120" w:line="240" w:lineRule="auto"/>
        <w:jc w:val="both"/>
        <w:rPr>
          <w:rFonts w:cs="Times New Roman"/>
          <w:szCs w:val="24"/>
          <w:lang w:val="fr-FR"/>
        </w:rPr>
      </w:pPr>
      <w:r w:rsidRPr="00C35FD0">
        <w:rPr>
          <w:rFonts w:cs="Times New Roman"/>
          <w:b/>
          <w:bCs/>
          <w:szCs w:val="24"/>
          <w:lang w:val="fr-FR"/>
        </w:rPr>
        <w:t>Trgovinska integracija sa EU povećala se posljednjih godina</w:t>
      </w:r>
      <w:r w:rsidRPr="00C35FD0">
        <w:rPr>
          <w:rFonts w:cs="Times New Roman"/>
          <w:szCs w:val="24"/>
          <w:lang w:val="fr-FR"/>
        </w:rPr>
        <w:t xml:space="preserve">. Ukupna bilateralna trgovina između EU i Crne Gore porasla je samo neznatno (+0,7%) između 2018. i 2019. godine, na ukupno 1,38 milijardi eura. Međutim, tokom posljednjih 10 godina bilateralna trgovina porasla je za 61%, a EU ostaje prvi trgovinski partner Crne Gore koji čini 46% ukupne trgovine (37% ukupnog izvoza i 47% ukupnog uvoza robe). Ovo se poredi sa 26% ukupne trgovine sa CEFTA-om. Ukupan trgovinski bilans ide u korist EU i neznatno se povećao u 2019. godini na 1,06 milijardi eura. Međutim, to je donekle nadoknađeno značajnim crnogorskim trgovinskim suficitom u uslugama od 375 miliona eura, što je gotovo u potpunosti rezultat rasta turizma. EU takođe ostaje glavni izvor priliva stranih direktnih investicija u Crnu Goru, a njeno učešće se s vremenom povećavalo, čineći u 2019. godini 43,6% ukupnih priliva, u poređenju s 39,4% u 2014. godini. Crna Gora ima veoma malo industrija integrisanih u međunarodna proizvodna tržišta, pa čak su i postojeće na veoma </w:t>
      </w:r>
      <w:r w:rsidRPr="00C35FD0">
        <w:rPr>
          <w:rFonts w:cs="Times New Roman"/>
          <w:szCs w:val="24"/>
          <w:lang w:val="fr-FR"/>
        </w:rPr>
        <w:lastRenderedPageBreak/>
        <w:t>osnovnom nivou u lancu vrijednosti (uglavnom osnovni metali, kotrljajući ležajevi i rude boksita).</w:t>
      </w:r>
    </w:p>
    <w:p w:rsidR="00622A95" w:rsidRPr="009A2018" w:rsidRDefault="00622A95" w:rsidP="00EC1790">
      <w:pPr>
        <w:spacing w:after="120" w:line="240" w:lineRule="auto"/>
        <w:jc w:val="both"/>
        <w:rPr>
          <w:rFonts w:cs="Times New Roman"/>
          <w:szCs w:val="24"/>
        </w:rPr>
      </w:pPr>
      <w:r w:rsidRPr="009A2018">
        <w:rPr>
          <w:rFonts w:cs="Times New Roman"/>
          <w:noProof/>
          <w:szCs w:val="24"/>
          <w:lang w:eastAsia="en-GB"/>
        </w:rPr>
        <w:drawing>
          <wp:inline distT="0" distB="0" distL="0" distR="0" wp14:anchorId="70AF262E" wp14:editId="0A5897DE">
            <wp:extent cx="5787390" cy="1853101"/>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4267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855714" cy="1874978"/>
                    </a:xfrm>
                    <a:prstGeom prst="rect">
                      <a:avLst/>
                    </a:prstGeom>
                    <a:noFill/>
                  </pic:spPr>
                </pic:pic>
              </a:graphicData>
            </a:graphic>
          </wp:inline>
        </w:drawing>
      </w:r>
    </w:p>
    <w:p w:rsidR="00622A95" w:rsidRPr="009A2018" w:rsidRDefault="00622A95" w:rsidP="00EC1790">
      <w:pPr>
        <w:spacing w:after="120" w:line="240" w:lineRule="auto"/>
        <w:jc w:val="both"/>
        <w:rPr>
          <w:rFonts w:cs="Times New Roman"/>
          <w:i/>
          <w:iCs/>
          <w:szCs w:val="24"/>
        </w:rPr>
      </w:pPr>
      <w:r w:rsidRPr="009A2018">
        <w:rPr>
          <w:rFonts w:cs="Times New Roman"/>
          <w:i/>
          <w:iCs/>
          <w:szCs w:val="24"/>
        </w:rPr>
        <w:t>Grafikon: Crna Gora – Izvoz roba</w:t>
      </w:r>
      <w:r w:rsidRPr="009A2018">
        <w:rPr>
          <w:rFonts w:cs="Times New Roman"/>
          <w:i/>
          <w:iCs/>
          <w:szCs w:val="24"/>
        </w:rPr>
        <w:tab/>
      </w:r>
      <w:r w:rsidRPr="009A2018">
        <w:rPr>
          <w:rFonts w:cs="Times New Roman"/>
          <w:i/>
          <w:iCs/>
          <w:szCs w:val="24"/>
        </w:rPr>
        <w:tab/>
      </w:r>
      <w:r w:rsidRPr="009A2018">
        <w:rPr>
          <w:rFonts w:cs="Times New Roman"/>
          <w:i/>
          <w:iCs/>
          <w:szCs w:val="24"/>
        </w:rPr>
        <w:tab/>
        <w:t>Grafikon: Crna Gora – Uvoz roba</w:t>
      </w:r>
    </w:p>
    <w:tbl>
      <w:tblPr>
        <w:tblStyle w:val="TableGrid"/>
        <w:tblW w:w="0" w:type="auto"/>
        <w:shd w:val="clear" w:color="auto" w:fill="BFBFBF" w:themeFill="background1" w:themeFillShade="BF"/>
        <w:tblLook w:val="04A0" w:firstRow="1" w:lastRow="0" w:firstColumn="1" w:lastColumn="0" w:noHBand="0" w:noVBand="1"/>
      </w:tblPr>
      <w:tblGrid>
        <w:gridCol w:w="4621"/>
        <w:gridCol w:w="4622"/>
      </w:tblGrid>
      <w:tr w:rsidR="00387020" w:rsidTr="00D010EC">
        <w:tc>
          <w:tcPr>
            <w:tcW w:w="4621" w:type="dxa"/>
            <w:shd w:val="clear" w:color="auto" w:fill="BFBFBF" w:themeFill="background1" w:themeFillShade="BF"/>
          </w:tcPr>
          <w:p w:rsidR="00387020" w:rsidRPr="00387020" w:rsidRDefault="00387020" w:rsidP="00387020">
            <w:pPr>
              <w:spacing w:after="0" w:line="240" w:lineRule="auto"/>
              <w:jc w:val="both"/>
              <w:rPr>
                <w:rFonts w:cs="Times New Roman"/>
                <w:bCs/>
                <w:szCs w:val="24"/>
              </w:rPr>
            </w:pPr>
            <w:r w:rsidRPr="00387020">
              <w:rPr>
                <w:rFonts w:cs="Times New Roman"/>
                <w:bCs/>
                <w:szCs w:val="24"/>
              </w:rPr>
              <w:t>Graph: Montenegro – Export</w:t>
            </w:r>
            <w:r>
              <w:rPr>
                <w:rFonts w:cs="Times New Roman"/>
                <w:bCs/>
                <w:szCs w:val="24"/>
              </w:rPr>
              <w:t>s</w:t>
            </w:r>
            <w:r w:rsidRPr="00387020">
              <w:rPr>
                <w:rFonts w:cs="Times New Roman"/>
                <w:bCs/>
                <w:szCs w:val="24"/>
              </w:rPr>
              <w:t xml:space="preserve"> of goods –</w:t>
            </w:r>
          </w:p>
          <w:p w:rsidR="00387020" w:rsidRPr="00387020" w:rsidRDefault="00387020" w:rsidP="00387020">
            <w:pPr>
              <w:spacing w:after="0" w:line="240" w:lineRule="auto"/>
              <w:jc w:val="both"/>
              <w:rPr>
                <w:rFonts w:cs="Times New Roman"/>
                <w:bCs/>
                <w:szCs w:val="24"/>
              </w:rPr>
            </w:pPr>
            <w:r w:rsidRPr="00387020">
              <w:rPr>
                <w:rFonts w:cs="Times New Roman"/>
                <w:bCs/>
                <w:szCs w:val="24"/>
              </w:rPr>
              <w:t>Grafikon: Crna Gora – Izvoz roba</w:t>
            </w:r>
          </w:p>
          <w:p w:rsidR="00387020" w:rsidRPr="00387020" w:rsidRDefault="00387020" w:rsidP="00387020">
            <w:pPr>
              <w:spacing w:after="0" w:line="240" w:lineRule="auto"/>
              <w:jc w:val="both"/>
              <w:rPr>
                <w:rFonts w:cs="Times New Roman"/>
                <w:bCs/>
                <w:szCs w:val="24"/>
              </w:rPr>
            </w:pPr>
            <w:r w:rsidRPr="00387020">
              <w:rPr>
                <w:rFonts w:cs="Times New Roman"/>
                <w:bCs/>
                <w:szCs w:val="24"/>
              </w:rPr>
              <w:t>% of GDP - % BDP-a</w:t>
            </w:r>
          </w:p>
          <w:p w:rsidR="00387020" w:rsidRPr="00387020" w:rsidRDefault="00387020" w:rsidP="00387020">
            <w:pPr>
              <w:spacing w:after="0" w:line="240" w:lineRule="auto"/>
              <w:jc w:val="both"/>
              <w:rPr>
                <w:rFonts w:cs="Times New Roman"/>
                <w:bCs/>
                <w:szCs w:val="24"/>
              </w:rPr>
            </w:pPr>
            <w:r w:rsidRPr="00387020">
              <w:rPr>
                <w:rFonts w:cs="Times New Roman"/>
                <w:bCs/>
                <w:szCs w:val="24"/>
              </w:rPr>
              <w:t>Other – Ostali</w:t>
            </w:r>
          </w:p>
          <w:p w:rsidR="00387020" w:rsidRPr="00387020" w:rsidRDefault="00387020" w:rsidP="00387020">
            <w:pPr>
              <w:spacing w:after="0" w:line="240" w:lineRule="auto"/>
              <w:jc w:val="both"/>
              <w:rPr>
                <w:rFonts w:cs="Times New Roman"/>
                <w:bCs/>
                <w:szCs w:val="24"/>
              </w:rPr>
            </w:pPr>
            <w:r w:rsidRPr="00387020">
              <w:rPr>
                <w:rFonts w:cs="Times New Roman"/>
                <w:bCs/>
                <w:szCs w:val="24"/>
              </w:rPr>
              <w:t>Source: WiiW – Izvor: WiiW</w:t>
            </w:r>
          </w:p>
        </w:tc>
        <w:tc>
          <w:tcPr>
            <w:tcW w:w="4622" w:type="dxa"/>
            <w:shd w:val="clear" w:color="auto" w:fill="BFBFBF" w:themeFill="background1" w:themeFillShade="BF"/>
          </w:tcPr>
          <w:p w:rsidR="00387020" w:rsidRPr="00387020" w:rsidRDefault="00387020" w:rsidP="00387020">
            <w:pPr>
              <w:spacing w:after="0" w:line="240" w:lineRule="auto"/>
              <w:jc w:val="both"/>
              <w:rPr>
                <w:rFonts w:cs="Times New Roman"/>
                <w:bCs/>
                <w:szCs w:val="24"/>
              </w:rPr>
            </w:pPr>
            <w:r w:rsidRPr="00387020">
              <w:rPr>
                <w:rFonts w:cs="Times New Roman"/>
                <w:bCs/>
                <w:szCs w:val="24"/>
              </w:rPr>
              <w:t>Graph: Montenegro – Import</w:t>
            </w:r>
            <w:r>
              <w:rPr>
                <w:rFonts w:cs="Times New Roman"/>
                <w:bCs/>
                <w:szCs w:val="24"/>
              </w:rPr>
              <w:t>s</w:t>
            </w:r>
            <w:r w:rsidRPr="00387020">
              <w:rPr>
                <w:rFonts w:cs="Times New Roman"/>
                <w:bCs/>
                <w:szCs w:val="24"/>
              </w:rPr>
              <w:t xml:space="preserve"> of goods –</w:t>
            </w:r>
          </w:p>
          <w:p w:rsidR="00387020" w:rsidRPr="00387020" w:rsidRDefault="00387020" w:rsidP="00387020">
            <w:pPr>
              <w:spacing w:after="0" w:line="240" w:lineRule="auto"/>
              <w:jc w:val="both"/>
              <w:rPr>
                <w:rFonts w:cs="Times New Roman"/>
                <w:bCs/>
                <w:szCs w:val="24"/>
              </w:rPr>
            </w:pPr>
            <w:r w:rsidRPr="00387020">
              <w:rPr>
                <w:rFonts w:cs="Times New Roman"/>
                <w:bCs/>
                <w:szCs w:val="24"/>
              </w:rPr>
              <w:t>Grafikon: Crna Gora – Uvoz roba</w:t>
            </w:r>
          </w:p>
          <w:p w:rsidR="00387020" w:rsidRPr="00387020" w:rsidRDefault="00387020" w:rsidP="00387020">
            <w:pPr>
              <w:spacing w:after="0" w:line="240" w:lineRule="auto"/>
              <w:jc w:val="both"/>
              <w:rPr>
                <w:rFonts w:cs="Times New Roman"/>
                <w:bCs/>
                <w:szCs w:val="24"/>
              </w:rPr>
            </w:pPr>
            <w:r w:rsidRPr="00387020">
              <w:rPr>
                <w:rFonts w:cs="Times New Roman"/>
                <w:bCs/>
                <w:szCs w:val="24"/>
              </w:rPr>
              <w:t>% of GDP - % BDP-a</w:t>
            </w:r>
          </w:p>
          <w:p w:rsidR="00387020" w:rsidRPr="00387020" w:rsidRDefault="00387020" w:rsidP="00387020">
            <w:pPr>
              <w:spacing w:after="0" w:line="240" w:lineRule="auto"/>
              <w:jc w:val="both"/>
              <w:rPr>
                <w:rFonts w:cs="Times New Roman"/>
                <w:bCs/>
                <w:szCs w:val="24"/>
              </w:rPr>
            </w:pPr>
            <w:r w:rsidRPr="00387020">
              <w:rPr>
                <w:rFonts w:cs="Times New Roman"/>
                <w:bCs/>
                <w:szCs w:val="24"/>
              </w:rPr>
              <w:t>Other – Ostali</w:t>
            </w:r>
          </w:p>
          <w:p w:rsidR="00387020" w:rsidRPr="00387020" w:rsidRDefault="00387020" w:rsidP="00387020">
            <w:pPr>
              <w:spacing w:after="0" w:line="240" w:lineRule="auto"/>
              <w:jc w:val="both"/>
              <w:rPr>
                <w:rFonts w:cs="Times New Roman"/>
                <w:bCs/>
                <w:szCs w:val="24"/>
              </w:rPr>
            </w:pPr>
            <w:r w:rsidRPr="00387020">
              <w:rPr>
                <w:rFonts w:cs="Times New Roman"/>
                <w:bCs/>
                <w:szCs w:val="24"/>
              </w:rPr>
              <w:t xml:space="preserve">Source: WiiW – Izvor: WiiW </w:t>
            </w:r>
          </w:p>
        </w:tc>
      </w:tr>
    </w:tbl>
    <w:p w:rsidR="00622A95" w:rsidRPr="00C35FD0" w:rsidRDefault="00622A95" w:rsidP="00EC1790">
      <w:pPr>
        <w:spacing w:after="120" w:line="240" w:lineRule="auto"/>
        <w:jc w:val="both"/>
        <w:rPr>
          <w:rFonts w:cs="Times New Roman"/>
          <w:szCs w:val="24"/>
          <w:lang w:val="fr-FR"/>
        </w:rPr>
      </w:pPr>
      <w:r w:rsidRPr="009A2018">
        <w:rPr>
          <w:rFonts w:cs="Times New Roman"/>
          <w:b/>
          <w:bCs/>
          <w:szCs w:val="24"/>
        </w:rPr>
        <w:t>Otvorenost trgovine povećala se zahvaljujući uslugama</w:t>
      </w:r>
      <w:r w:rsidRPr="009A2018">
        <w:rPr>
          <w:rFonts w:cs="Times New Roman"/>
          <w:szCs w:val="24"/>
        </w:rPr>
        <w:t xml:space="preserve">. </w:t>
      </w:r>
      <w:r w:rsidRPr="00C35FD0">
        <w:rPr>
          <w:rFonts w:cs="Times New Roman"/>
          <w:szCs w:val="24"/>
          <w:lang w:val="fr-FR"/>
        </w:rPr>
        <w:t>Crna Gora relativno je otvorena ekonomija. Iako je izvoz robe stagnirao u posljednjih deset godina na oko 10% BDP-a, izvoz usluga (podstaknut turizmom) neprestano je rastao, sa 29,7% BDP-a u 2014. na 37,1% BDP-a u 2019. godini. Ukupna razmjena roba i usluga porasla je sa 100,1% BDP-a u 2014. na 109,5% BDP-a u 2019. godini. U kontekstu euroizovane ekonomije i niske inflacije u glavnim trgovinskim partnerima, potencijal za porast cjenovne konkurentnosti je ograničen. Stvarni efektivni kurs neznatno je porastao tokom posljednjih 5 godina.</w:t>
      </w:r>
    </w:p>
    <w:p w:rsidR="00622A95" w:rsidRPr="00C35FD0" w:rsidRDefault="00622A95" w:rsidP="00EC1790">
      <w:pPr>
        <w:pStyle w:val="ManualHeading1"/>
        <w:spacing w:before="120"/>
        <w:ind w:left="0" w:firstLine="0"/>
        <w:rPr>
          <w:rFonts w:eastAsiaTheme="minorEastAsia"/>
          <w:b w:val="0"/>
          <w:smallCaps w:val="0"/>
          <w:lang w:val="fr-FR"/>
        </w:rPr>
      </w:pPr>
      <w:bookmarkStart w:id="44" w:name="_Toc52744932"/>
      <w:bookmarkStart w:id="45" w:name="_Toc53362440"/>
      <w:r w:rsidRPr="00C35FD0">
        <w:rPr>
          <w:rFonts w:eastAsiaTheme="minorEastAsia"/>
          <w:lang w:val="fr-FR"/>
        </w:rPr>
        <w:t>4.</w:t>
      </w:r>
      <w:r w:rsidRPr="00C35FD0">
        <w:rPr>
          <w:rFonts w:eastAsiaTheme="minorEastAsia"/>
          <w:lang w:val="fr-FR"/>
        </w:rPr>
        <w:tab/>
        <w:t>Dobrosusjedski odnosi i regionalna saradnja</w:t>
      </w:r>
      <w:bookmarkEnd w:id="44"/>
      <w:bookmarkEnd w:id="45"/>
    </w:p>
    <w:p w:rsidR="00622A95" w:rsidRPr="00C35FD0" w:rsidRDefault="00622A95" w:rsidP="00EC1790">
      <w:pPr>
        <w:spacing w:after="120" w:line="240" w:lineRule="auto"/>
        <w:jc w:val="both"/>
        <w:rPr>
          <w:rFonts w:eastAsia="Calibri" w:cs="Times New Roman"/>
          <w:szCs w:val="24"/>
          <w:lang w:val="fr-FR"/>
        </w:rPr>
      </w:pPr>
      <w:r w:rsidRPr="00C35FD0">
        <w:rPr>
          <w:rFonts w:eastAsia="Calibri" w:cs="Times New Roman"/>
          <w:b/>
          <w:bCs/>
          <w:szCs w:val="24"/>
          <w:lang w:val="fr-FR"/>
        </w:rPr>
        <w:t>Dobrosusjedski odnosi i regionalna saradnja</w:t>
      </w:r>
      <w:r w:rsidRPr="00C35FD0">
        <w:rPr>
          <w:rFonts w:eastAsia="Calibri" w:cs="Times New Roman"/>
          <w:szCs w:val="24"/>
          <w:lang w:val="fr-FR"/>
        </w:rPr>
        <w:t xml:space="preserve"> čine bitan dio crnogorskog procesa približavanja EU. Oni doprinose stabilnosti, pomirenju i klimi koja pogoduje rješavanju otvorenih bilateralnih pitanja i nasljeđa prošlosti. Crna Gora ostaje posvećena regionalnoj saradnji i igra aktivnu ulogu u izgradnji stabilnijeg i sigurnijeg regiona kroz učešće u oko 35 regionalnih organizacija i inicijativa, poput CEFTA-e, Energetske zajednice, Transportne zajednice, SEECP-a i Savjeta za regionalnu saradnju. Crna Gora preuzela je predsjedavanje Fondom za Zapadni Balkan, a Regionalna</w:t>
      </w:r>
      <w:r w:rsidR="007F6D60" w:rsidRPr="00C35FD0">
        <w:rPr>
          <w:rFonts w:eastAsia="Calibri" w:cs="Times New Roman"/>
          <w:szCs w:val="24"/>
          <w:lang w:val="fr-FR"/>
        </w:rPr>
        <w:t xml:space="preserve"> </w:t>
      </w:r>
      <w:r w:rsidRPr="00C35FD0">
        <w:rPr>
          <w:rFonts w:eastAsia="Calibri" w:cs="Times New Roman"/>
          <w:szCs w:val="24"/>
          <w:lang w:val="fr-FR"/>
        </w:rPr>
        <w:t>Kancelarija za saradnju mladih (RYCO) ojačala je svoju ulogu u zemlji.</w:t>
      </w:r>
    </w:p>
    <w:p w:rsidR="00622A95" w:rsidRPr="00C35FD0" w:rsidRDefault="00622A95" w:rsidP="00EC1790">
      <w:pPr>
        <w:spacing w:after="120" w:line="240" w:lineRule="auto"/>
        <w:jc w:val="both"/>
        <w:rPr>
          <w:rFonts w:cs="Times New Roman"/>
          <w:szCs w:val="24"/>
          <w:lang w:val="fr-FR"/>
        </w:rPr>
      </w:pPr>
      <w:r w:rsidRPr="00C35FD0">
        <w:rPr>
          <w:rFonts w:cs="Times New Roman"/>
          <w:szCs w:val="24"/>
          <w:lang w:val="fr-FR"/>
        </w:rPr>
        <w:t>Pored toga, u okviru predsjedavanja Jadransko-jonskom inicijativom (JJI) i Strategijom EU za jadransko-jonski region (EUSAIR), Crna Gora bila je domaćin sastanka ministara vanjskih poslova JJI i EUSAIR foruma u Budvi u maju 2019. godine. Obnovljen je partnerski status Crne Gore u Organizaciji crnomorske ekonomske saradnje (BSEC). Crna Gora preuzela je mjesto predsjedavajućeg Zdravstvene mreže Jugoistočne Evrope (SEEHN) i na godinu dana Centra za bezbjednosnu saradnju (RACVIAC). U januaru 2020. godine, Crna Gora preuzela je jednogodišnje predsjedavanje Centralnoevropskom inicijativom (CEI) koja je u maju 2020. godine organizovala vanredni virtuelni sastanak šefova vlada CEI-a, što je rezultiralo Zajedničkom izjavom koja naglašava saradnju, povjerenje i solidarnost kao najvažnije</w:t>
      </w:r>
      <w:r w:rsidR="007F6D60" w:rsidRPr="00C35FD0">
        <w:rPr>
          <w:rFonts w:cs="Times New Roman"/>
          <w:szCs w:val="24"/>
          <w:lang w:val="fr-FR"/>
        </w:rPr>
        <w:t xml:space="preserve"> </w:t>
      </w:r>
      <w:r w:rsidRPr="00C35FD0">
        <w:rPr>
          <w:rFonts w:cs="Times New Roman"/>
          <w:szCs w:val="24"/>
          <w:lang w:val="fr-FR"/>
        </w:rPr>
        <w:t>efikasne reakcije na pandemiju izazvanu virusom Covid-19.</w:t>
      </w:r>
      <w:r w:rsidRPr="009A2018">
        <w:rPr>
          <w:rStyle w:val="FootnoteReference"/>
          <w:rFonts w:eastAsia="Calibri" w:cs="Times New Roman"/>
          <w:szCs w:val="24"/>
        </w:rPr>
        <w:footnoteReference w:id="3"/>
      </w:r>
    </w:p>
    <w:p w:rsidR="00622A95" w:rsidRPr="009A2018" w:rsidRDefault="00622A95" w:rsidP="00EC1790">
      <w:pPr>
        <w:spacing w:after="120" w:line="240" w:lineRule="auto"/>
        <w:jc w:val="both"/>
        <w:rPr>
          <w:rFonts w:cs="Times New Roman"/>
          <w:szCs w:val="24"/>
        </w:rPr>
      </w:pPr>
      <w:r w:rsidRPr="009A2018">
        <w:rPr>
          <w:rFonts w:cs="Times New Roman"/>
          <w:szCs w:val="24"/>
        </w:rPr>
        <w:lastRenderedPageBreak/>
        <w:t>Tokom Covid krize, inkluzivna regionalna saradnja pokazala se ključnom. Uspostavljanje zelenih saobraćajnih traka unutar regiona dokazalo je sposobnost regiona da se brzo i efikasno pozabavi zajedničkim izazovima. Inkluzivne regionalne organizacije –Savjet za regionalnu saradnju, Transportna zajednica i CEFTA - igrale su ključnu ulogu u odgovoru na krizu Covid-19. Ovadostignuća treba pretvoriti u održiva poboljšanja.</w:t>
      </w:r>
    </w:p>
    <w:p w:rsidR="00622A95" w:rsidRPr="00C35FD0" w:rsidRDefault="00622A95" w:rsidP="00EC1790">
      <w:pPr>
        <w:spacing w:after="120" w:line="240" w:lineRule="auto"/>
        <w:jc w:val="both"/>
        <w:rPr>
          <w:rFonts w:cs="Times New Roman"/>
          <w:szCs w:val="24"/>
          <w:lang w:val="fr-FR"/>
        </w:rPr>
      </w:pPr>
      <w:r w:rsidRPr="009A2018">
        <w:rPr>
          <w:rFonts w:cs="Times New Roman"/>
          <w:szCs w:val="24"/>
        </w:rPr>
        <w:t xml:space="preserve">Što se tiče sprovođenja Višegodišnjeg akcionog plana za razvoj Regionalnog ekonomskog prostora na Zapadnom Balkanu, bilo je postignuća, uprkos stalnim izazovima. S tim u vezi, usvajanje zaostalih odluka u okviru CEFTA-e u Tirani u decembru 2019. godine bilo je pozitivno. Crnoj Gori se savjetuje da nastavi sasprovođenjem svih aspekata Višegodišnjeg akcionog plana za razvoj Regionalnog ekonomskog prostora na Zapadnom Balkanu, kako bi iskoristila pogodnosti ekonomskog potencijala regionalne ekonomske integracije. </w:t>
      </w:r>
      <w:r w:rsidRPr="00C35FD0">
        <w:rPr>
          <w:rFonts w:cs="Times New Roman"/>
          <w:szCs w:val="24"/>
          <w:lang w:val="fr-FR"/>
        </w:rPr>
        <w:t>Ovaj proces zasnovan je na pravnoj tekovini EU i procesu pristupanja EU, koji se međusobno ojačavaju.</w:t>
      </w:r>
    </w:p>
    <w:p w:rsidR="00622A95" w:rsidRPr="00C35FD0" w:rsidRDefault="00622A95" w:rsidP="00EC1790">
      <w:pPr>
        <w:spacing w:after="120" w:line="240" w:lineRule="auto"/>
        <w:jc w:val="both"/>
        <w:rPr>
          <w:rFonts w:cs="Times New Roman"/>
          <w:szCs w:val="24"/>
          <w:lang w:val="fr-FR"/>
        </w:rPr>
      </w:pPr>
      <w:r w:rsidRPr="00C35FD0">
        <w:rPr>
          <w:rFonts w:cs="Times New Roman"/>
          <w:szCs w:val="24"/>
          <w:lang w:val="fr-FR"/>
        </w:rPr>
        <w:t>Nadovezujući se na rezultate prethodnih samita s regionom, samit Zapadnog Balkana u Poznanju u julu 2019. godinefokusirao se na jačanje regionalne saradnje uoblastima ekonomije i trgovine, digitalne agende, povezanosti, bezbjednosti, borbe protiv korupcije, promovisanja pomirenja i mladih. Samit je podržao niz dostignuća u ovim oblastima, posebno Deklaraciju o tranziciji čiste energije potpisanu u Podgorici, Sporazum o regionalnom romingu u Beogradu, značajan paket povezivanja i Deklaraciju o integraciji Roma. Bila je to i prilika da se započne priprema Zelene agende za Zapadni Balkan.</w:t>
      </w:r>
    </w:p>
    <w:p w:rsidR="00622A95" w:rsidRPr="00C35FD0" w:rsidRDefault="00622A95" w:rsidP="00EC1790">
      <w:pPr>
        <w:spacing w:after="120" w:line="240" w:lineRule="auto"/>
        <w:jc w:val="both"/>
        <w:rPr>
          <w:rFonts w:cs="Times New Roman"/>
          <w:szCs w:val="24"/>
          <w:lang w:val="fr-FR"/>
        </w:rPr>
      </w:pPr>
      <w:r w:rsidRPr="00C35FD0">
        <w:rPr>
          <w:rFonts w:cs="Times New Roman"/>
          <w:szCs w:val="24"/>
          <w:lang w:val="fr-FR"/>
        </w:rPr>
        <w:t xml:space="preserve">Na samitu u Zagrebu 6. maja 2020. </w:t>
      </w:r>
      <w:r w:rsidR="007F6D60" w:rsidRPr="00C35FD0">
        <w:rPr>
          <w:rFonts w:cs="Times New Roman"/>
          <w:szCs w:val="24"/>
          <w:lang w:val="fr-FR"/>
        </w:rPr>
        <w:t>g</w:t>
      </w:r>
      <w:r w:rsidRPr="00C35FD0">
        <w:rPr>
          <w:rFonts w:cs="Times New Roman"/>
          <w:szCs w:val="24"/>
          <w:lang w:val="fr-FR"/>
        </w:rPr>
        <w:t>odine</w:t>
      </w:r>
      <w:r w:rsidR="007F6D60" w:rsidRPr="00C35FD0">
        <w:rPr>
          <w:rFonts w:cs="Times New Roman"/>
          <w:szCs w:val="24"/>
          <w:lang w:val="fr-FR"/>
        </w:rPr>
        <w:t xml:space="preserve"> </w:t>
      </w:r>
      <w:r w:rsidRPr="00C35FD0">
        <w:rPr>
          <w:rFonts w:cs="Times New Roman"/>
          <w:szCs w:val="24"/>
          <w:lang w:val="fr-FR"/>
        </w:rPr>
        <w:t>lideri EU i Zapadnog Balkana složili su se da produbljivanje regionalne ekonomske integracije mora biti istaknuti dio napora za oporavak Zapadnog Balkana. Da bi to učinila, Crna Gora treba</w:t>
      </w:r>
      <w:r w:rsidR="007F6D60" w:rsidRPr="00C35FD0">
        <w:rPr>
          <w:rFonts w:cs="Times New Roman"/>
          <w:szCs w:val="24"/>
          <w:lang w:val="fr-FR"/>
        </w:rPr>
        <w:t xml:space="preserve"> </w:t>
      </w:r>
      <w:r w:rsidRPr="00C35FD0">
        <w:rPr>
          <w:rFonts w:cs="Times New Roman"/>
          <w:szCs w:val="24"/>
          <w:lang w:val="fr-FR"/>
        </w:rPr>
        <w:t>da igra konstruktivnu ulogu u izgradnji zajedničkog regionalnog tržišta, što će biti presudno za povećanje atraktivnosti i konkurentnosti regiona. Pomoći će Crnoj Gori da ubrza oporavak od pandemije - posebno da privuče investitore koji traže diverzifikaciju ponude i kraće lance vrijednosti. Takvo zajedničko regionalno tržište treba da bude inkluzivno, zasnovano na pravilima EU i izgrađeno na dostignućima Višegodišnjeg akcionog plana Regionalnog ekonomskog prostora.</w:t>
      </w:r>
    </w:p>
    <w:p w:rsidR="00622A95" w:rsidRPr="00C35FD0" w:rsidRDefault="00622A95" w:rsidP="00EC1790">
      <w:pPr>
        <w:spacing w:after="120" w:line="240" w:lineRule="auto"/>
        <w:jc w:val="both"/>
        <w:rPr>
          <w:rFonts w:eastAsia="Calibri" w:cs="Times New Roman"/>
          <w:szCs w:val="24"/>
          <w:lang w:val="fr-FR"/>
        </w:rPr>
      </w:pPr>
      <w:r w:rsidRPr="00C35FD0">
        <w:rPr>
          <w:rFonts w:eastAsia="Calibri" w:cs="Times New Roman"/>
          <w:szCs w:val="24"/>
          <w:lang w:val="fr-FR"/>
        </w:rPr>
        <w:t xml:space="preserve">Crna Gora nastavila je blisko da sarađuje ​​s Bosnom i Hercegovinom, Hrvatskom i Srbijom u okviru </w:t>
      </w:r>
      <w:r w:rsidRPr="00C35FD0">
        <w:rPr>
          <w:rFonts w:eastAsia="Calibri" w:cs="Times New Roman"/>
          <w:b/>
          <w:bCs/>
          <w:szCs w:val="24"/>
          <w:lang w:val="fr-FR"/>
        </w:rPr>
        <w:t>procesa Sarajevske deklaracije</w:t>
      </w:r>
      <w:r w:rsidRPr="00C35FD0">
        <w:rPr>
          <w:rFonts w:eastAsia="Calibri" w:cs="Times New Roman"/>
          <w:szCs w:val="24"/>
          <w:lang w:val="fr-FR"/>
        </w:rPr>
        <w:t xml:space="preserve"> s ciljem postizanja održivih rješenja za oko 74.000 lica koja su postala izbjeglice i raseljenalica kao rezultat oružanih sukoba u bivšoj Jugoslaviji tokom 1990-ih. U okviru Regionalnog stambenog projekta, u 2019. godini odobreno je osam novih projekata usmjerenih na rješavanje održivih stambenih potreba za 681 ugroženu izbjegličku porodicu u Crnoj Gori. Završena su četiri projekta, koja su omogućila stambena rješenja za 381 porodicu u Nikšiću, Podgorici, Pljevljima i Beranama. Očekuje se da će četiri tekuća projekta biti završena do 2021. godine, zadovoljavajući stambene potrebe 190 dodatnih porodica.</w:t>
      </w:r>
    </w:p>
    <w:p w:rsidR="00622A95" w:rsidRPr="00C35FD0" w:rsidRDefault="00622A95" w:rsidP="00EC1790">
      <w:pPr>
        <w:spacing w:after="120" w:line="240" w:lineRule="auto"/>
        <w:jc w:val="both"/>
        <w:rPr>
          <w:rFonts w:eastAsia="Calibri" w:cs="Times New Roman"/>
          <w:szCs w:val="24"/>
          <w:lang w:val="fr-FR"/>
        </w:rPr>
      </w:pPr>
      <w:r w:rsidRPr="00C35FD0">
        <w:rPr>
          <w:rFonts w:eastAsia="Calibri" w:cs="Times New Roman"/>
          <w:szCs w:val="24"/>
          <w:lang w:val="fr-FR"/>
        </w:rPr>
        <w:t xml:space="preserve">Dobar napredak zabilježen je od osnivanja </w:t>
      </w:r>
      <w:r w:rsidRPr="00C35FD0">
        <w:rPr>
          <w:rFonts w:eastAsia="Calibri" w:cs="Times New Roman"/>
          <w:b/>
          <w:bCs/>
          <w:szCs w:val="24"/>
          <w:lang w:val="fr-FR"/>
        </w:rPr>
        <w:t>Grupe za nestala</w:t>
      </w:r>
      <w:r w:rsidR="007F6D60" w:rsidRPr="00C35FD0">
        <w:rPr>
          <w:rFonts w:eastAsia="Calibri" w:cs="Times New Roman"/>
          <w:b/>
          <w:bCs/>
          <w:szCs w:val="24"/>
          <w:lang w:val="fr-FR"/>
        </w:rPr>
        <w:t xml:space="preserve"> </w:t>
      </w:r>
      <w:r w:rsidRPr="00C35FD0">
        <w:rPr>
          <w:rFonts w:eastAsia="Calibri" w:cs="Times New Roman"/>
          <w:b/>
          <w:bCs/>
          <w:szCs w:val="24"/>
          <w:lang w:val="fr-FR"/>
        </w:rPr>
        <w:t xml:space="preserve">lica </w:t>
      </w:r>
      <w:r w:rsidRPr="00C35FD0">
        <w:rPr>
          <w:rFonts w:eastAsia="Calibri" w:cs="Times New Roman"/>
          <w:szCs w:val="24"/>
          <w:lang w:val="fr-FR"/>
        </w:rPr>
        <w:t>u novembru 2018. godine. Ova grupa poboljšala je saradnju i povećala efikasnost u razjašnjavanju slučajeva nestalih lica, uključujući dalju razmjenu informacija o potencijalnim grobnicama i iskopima, pokretanje javne regionalne baze podataka i pružanje ažuriranih informacija za predstavnike</w:t>
      </w:r>
      <w:r w:rsidR="007F6D60" w:rsidRPr="00C35FD0">
        <w:rPr>
          <w:rFonts w:eastAsia="Calibri" w:cs="Times New Roman"/>
          <w:szCs w:val="24"/>
          <w:lang w:val="fr-FR"/>
        </w:rPr>
        <w:t xml:space="preserve"> </w:t>
      </w:r>
      <w:r w:rsidRPr="00C35FD0">
        <w:rPr>
          <w:rFonts w:eastAsia="Calibri" w:cs="Times New Roman"/>
          <w:szCs w:val="24"/>
          <w:lang w:val="fr-FR"/>
        </w:rPr>
        <w:t>porodica nestalih lica. Crna Gora potpisala je Protokol o saradnji u procesu traženja nestalih lica s Bosnom i Hercegovinom u oktobru 2019. godine. Broj predmeta u Crnoj Gori trenutno je 51 (2018: 57), na Kosovu se tragaza 39 lica, u Bosni i Hercegovini traga se za devet i u Hrvatskoj za tri lica.</w:t>
      </w:r>
    </w:p>
    <w:p w:rsidR="00622A95" w:rsidRPr="00C35FD0" w:rsidRDefault="00622A95" w:rsidP="00EC1790">
      <w:pPr>
        <w:spacing w:after="120" w:line="240" w:lineRule="auto"/>
        <w:jc w:val="both"/>
        <w:rPr>
          <w:rFonts w:eastAsia="Calibri" w:cs="Times New Roman"/>
          <w:szCs w:val="24"/>
          <w:lang w:val="fr-FR"/>
        </w:rPr>
      </w:pPr>
      <w:r w:rsidRPr="00C35FD0">
        <w:rPr>
          <w:rFonts w:eastAsia="Calibri" w:cs="Times New Roman"/>
          <w:szCs w:val="24"/>
          <w:lang w:val="fr-FR"/>
        </w:rPr>
        <w:t xml:space="preserve">Što se tiče </w:t>
      </w:r>
      <w:r w:rsidRPr="00C35FD0">
        <w:rPr>
          <w:rFonts w:eastAsia="Calibri" w:cs="Times New Roman"/>
          <w:b/>
          <w:bCs/>
          <w:szCs w:val="24"/>
          <w:lang w:val="fr-FR"/>
        </w:rPr>
        <w:t>bilateralnih odnosa</w:t>
      </w:r>
      <w:r w:rsidRPr="00C35FD0">
        <w:rPr>
          <w:rFonts w:eastAsia="Calibri" w:cs="Times New Roman"/>
          <w:szCs w:val="24"/>
          <w:lang w:val="fr-FR"/>
        </w:rPr>
        <w:t>, održan je niz posjeta na visokom</w:t>
      </w:r>
      <w:r w:rsidR="007F6D60" w:rsidRPr="00C35FD0">
        <w:rPr>
          <w:rFonts w:eastAsia="Calibri" w:cs="Times New Roman"/>
          <w:szCs w:val="24"/>
          <w:lang w:val="fr-FR"/>
        </w:rPr>
        <w:t xml:space="preserve"> </w:t>
      </w:r>
      <w:r w:rsidRPr="00C35FD0">
        <w:rPr>
          <w:rFonts w:eastAsia="Calibri" w:cs="Times New Roman"/>
          <w:szCs w:val="24"/>
          <w:lang w:val="fr-FR"/>
        </w:rPr>
        <w:t xml:space="preserve">nivou između Crne Gore i drugih zemalja proširenja i susjednih država članica EU. Crna Gora potpisala je bilateralne </w:t>
      </w:r>
      <w:r w:rsidRPr="00C35FD0">
        <w:rPr>
          <w:rFonts w:eastAsia="Calibri" w:cs="Times New Roman"/>
          <w:szCs w:val="24"/>
          <w:lang w:val="fr-FR"/>
        </w:rPr>
        <w:lastRenderedPageBreak/>
        <w:t>konvencije o regionalnoj saradnji u skladu sa Sporazumom o stabilizaciji i pridruživanju sa svim partnerima koji imaju SSP na snazi. U maju 2019. godine, u Sarajevu je potpisan trilateralni protokol kojim se uspostavlja demarkaciona granična tačka koju dijele Srbija, Bosna i Hercegovina i Crna Gora.</w:t>
      </w:r>
    </w:p>
    <w:p w:rsidR="00622A95" w:rsidRPr="009A2018" w:rsidRDefault="00622A95" w:rsidP="00EC1790">
      <w:pPr>
        <w:spacing w:after="120" w:line="240" w:lineRule="auto"/>
        <w:jc w:val="both"/>
        <w:rPr>
          <w:rFonts w:eastAsia="Calibri" w:cs="Times New Roman"/>
          <w:szCs w:val="24"/>
        </w:rPr>
      </w:pPr>
      <w:r w:rsidRPr="00C35FD0">
        <w:rPr>
          <w:rFonts w:eastAsia="Calibri" w:cs="Times New Roman"/>
          <w:szCs w:val="24"/>
          <w:lang w:val="fr-FR"/>
        </w:rPr>
        <w:t xml:space="preserve">Odnosi s </w:t>
      </w:r>
      <w:r w:rsidRPr="00C35FD0">
        <w:rPr>
          <w:rFonts w:eastAsia="Calibri" w:cs="Times New Roman"/>
          <w:b/>
          <w:i/>
          <w:szCs w:val="24"/>
          <w:lang w:val="fr-FR"/>
        </w:rPr>
        <w:t>Hrvatskom</w:t>
      </w:r>
      <w:r w:rsidRPr="00C35FD0">
        <w:rPr>
          <w:rFonts w:eastAsia="Calibri" w:cs="Times New Roman"/>
          <w:szCs w:val="24"/>
          <w:lang w:val="fr-FR"/>
        </w:rPr>
        <w:t xml:space="preserve"> u cjelini ostali su dobri, uprkos nekim bilateralnim pitanjima. </w:t>
      </w:r>
      <w:r w:rsidRPr="009A2018">
        <w:rPr>
          <w:rFonts w:eastAsia="Calibri" w:cs="Times New Roman"/>
          <w:szCs w:val="24"/>
        </w:rPr>
        <w:t>Nije bilo pomaka u vezi s demarkacijom granice između Crne Gore i Hrvatske. Hrvatski predsjednik i ministar vanjskih i evropskih poslova boravio je u odvojenim posjetama Podgorici u junu 2020. godine.</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Odnosi s </w:t>
      </w:r>
      <w:r w:rsidRPr="009A2018">
        <w:rPr>
          <w:rFonts w:eastAsia="Calibri" w:cs="Times New Roman"/>
          <w:b/>
          <w:bCs/>
          <w:i/>
          <w:iCs/>
          <w:szCs w:val="24"/>
        </w:rPr>
        <w:t>Italijom</w:t>
      </w:r>
      <w:r w:rsidRPr="009A2018">
        <w:rPr>
          <w:rFonts w:eastAsia="Calibri" w:cs="Times New Roman"/>
          <w:szCs w:val="24"/>
        </w:rPr>
        <w:t xml:space="preserve"> i dalje su dobri. Crna Gora otvorila je počasne konzulate u Trstu i Bolonji u junu 2019. godine. Tokom pandemije izazvane koronavirusom, Crna Gora ponudila je da ugosti starije osobe iz Lombardije, u domovima za starije osobe, na crnogorskom primorju nakon otvaranja granica.</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Odnosi s </w:t>
      </w:r>
      <w:r w:rsidRPr="009A2018">
        <w:rPr>
          <w:rFonts w:eastAsia="Calibri" w:cs="Times New Roman"/>
          <w:b/>
          <w:bCs/>
          <w:i/>
          <w:iCs/>
          <w:szCs w:val="24"/>
        </w:rPr>
        <w:t xml:space="preserve">Albanijom </w:t>
      </w:r>
      <w:r w:rsidRPr="009A2018">
        <w:rPr>
          <w:rFonts w:eastAsia="Calibri" w:cs="Times New Roman"/>
          <w:szCs w:val="24"/>
        </w:rPr>
        <w:t>i dalje su dobri, uz dalje poboljšanje infrastrukture i prekogranične saradnje. Razgraničenje na moru između dvije</w:t>
      </w:r>
      <w:r w:rsidR="007F6D60">
        <w:rPr>
          <w:rFonts w:eastAsia="Calibri" w:cs="Times New Roman"/>
          <w:szCs w:val="24"/>
        </w:rPr>
        <w:t xml:space="preserve"> </w:t>
      </w:r>
      <w:r w:rsidRPr="009A2018">
        <w:rPr>
          <w:rFonts w:eastAsia="Calibri" w:cs="Times New Roman"/>
          <w:szCs w:val="24"/>
        </w:rPr>
        <w:t>zemlje i dalje je na čekanju. Prvi sastanak Međudržavne</w:t>
      </w:r>
      <w:r w:rsidR="007F6D60">
        <w:rPr>
          <w:rFonts w:eastAsia="Calibri" w:cs="Times New Roman"/>
          <w:szCs w:val="24"/>
        </w:rPr>
        <w:t xml:space="preserve"> </w:t>
      </w:r>
      <w:r w:rsidRPr="009A2018">
        <w:rPr>
          <w:rFonts w:eastAsia="Calibri" w:cs="Times New Roman"/>
          <w:szCs w:val="24"/>
        </w:rPr>
        <w:t>komisije za upravljanje vodama održan je u septembru 2019. godine.</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Odnosi s </w:t>
      </w:r>
      <w:r w:rsidRPr="009A2018">
        <w:rPr>
          <w:rFonts w:eastAsia="Calibri" w:cs="Times New Roman"/>
          <w:b/>
          <w:bCs/>
          <w:i/>
          <w:iCs/>
          <w:szCs w:val="24"/>
        </w:rPr>
        <w:t xml:space="preserve">Bosnom i Hercegovinom </w:t>
      </w:r>
      <w:r w:rsidRPr="009A2018">
        <w:rPr>
          <w:rFonts w:eastAsia="Calibri" w:cs="Times New Roman"/>
          <w:szCs w:val="24"/>
        </w:rPr>
        <w:t>i dalje su dobri. U oktobru 2019. godine dvije zemlje potpisale su Protokol o borbi protiv nezakonite trgovine ljudima i Protokol o saradnji u traženju nestalih</w:t>
      </w:r>
      <w:r w:rsidR="007F6D60">
        <w:rPr>
          <w:rFonts w:eastAsia="Calibri" w:cs="Times New Roman"/>
          <w:szCs w:val="24"/>
        </w:rPr>
        <w:t xml:space="preserve"> </w:t>
      </w:r>
      <w:r w:rsidRPr="009A2018">
        <w:rPr>
          <w:rFonts w:eastAsia="Calibri" w:cs="Times New Roman"/>
          <w:szCs w:val="24"/>
        </w:rPr>
        <w:t>lica, stvarajući neophodne pravne preduslove za rješavanje jednog od ključnih pitanja u njihovim bilateralnim odnosima.</w:t>
      </w:r>
    </w:p>
    <w:p w:rsidR="00622A95" w:rsidRPr="009A2018" w:rsidRDefault="00622A95" w:rsidP="00EC1790">
      <w:pPr>
        <w:pStyle w:val="Bodytext20"/>
        <w:spacing w:after="120" w:line="240" w:lineRule="auto"/>
        <w:ind w:firstLine="0"/>
        <w:jc w:val="both"/>
        <w:rPr>
          <w:rFonts w:ascii="Times New Roman" w:hAnsi="Times New Roman" w:cs="Times New Roman"/>
          <w:sz w:val="24"/>
          <w:szCs w:val="24"/>
        </w:rPr>
      </w:pPr>
      <w:r w:rsidRPr="009A2018">
        <w:rPr>
          <w:rFonts w:ascii="Times New Roman" w:hAnsi="Times New Roman" w:cs="Times New Roman"/>
          <w:sz w:val="24"/>
          <w:szCs w:val="24"/>
        </w:rPr>
        <w:t xml:space="preserve">Odnosi s </w:t>
      </w:r>
      <w:r w:rsidRPr="009A2018">
        <w:rPr>
          <w:rFonts w:ascii="Times New Roman" w:hAnsi="Times New Roman" w:cs="Times New Roman"/>
          <w:b/>
          <w:bCs/>
          <w:i/>
          <w:iCs/>
          <w:sz w:val="24"/>
          <w:szCs w:val="24"/>
        </w:rPr>
        <w:t>Kosovom</w:t>
      </w:r>
      <w:r w:rsidRPr="009A2018">
        <w:rPr>
          <w:rFonts w:ascii="Times New Roman" w:hAnsi="Times New Roman" w:cs="Times New Roman"/>
          <w:sz w:val="24"/>
          <w:szCs w:val="24"/>
        </w:rPr>
        <w:t xml:space="preserve"> i dalje su dobri. Crna Gora ispunila je obavezu zaključivanja bilateralnih sporazuma sa svim zemljama koje imaju SSP sa EU potpisivanjem Sporazuma o saradnji s Kosovom u martu 2019. godine. Crna Gora otvorila je konzularnopredstavništvo u Gnjilanu.</w:t>
      </w:r>
    </w:p>
    <w:p w:rsidR="00622A95" w:rsidRPr="009A2018" w:rsidRDefault="00622A95" w:rsidP="00EC1790">
      <w:pPr>
        <w:pStyle w:val="Bodytext20"/>
        <w:shd w:val="clear" w:color="auto" w:fill="auto"/>
        <w:spacing w:after="120" w:line="240" w:lineRule="auto"/>
        <w:ind w:firstLine="0"/>
        <w:jc w:val="both"/>
        <w:rPr>
          <w:rFonts w:ascii="Times New Roman" w:hAnsi="Times New Roman" w:cs="Times New Roman"/>
          <w:sz w:val="24"/>
          <w:szCs w:val="24"/>
        </w:rPr>
      </w:pPr>
      <w:r w:rsidRPr="009A2018">
        <w:rPr>
          <w:rFonts w:ascii="Times New Roman" w:hAnsi="Times New Roman" w:cs="Times New Roman"/>
          <w:sz w:val="24"/>
          <w:szCs w:val="24"/>
        </w:rPr>
        <w:t xml:space="preserve">Odnosi sa </w:t>
      </w:r>
      <w:r w:rsidRPr="009A2018">
        <w:rPr>
          <w:rFonts w:ascii="Times New Roman" w:hAnsi="Times New Roman" w:cs="Times New Roman"/>
          <w:b/>
          <w:bCs/>
          <w:i/>
          <w:iCs/>
          <w:sz w:val="24"/>
          <w:szCs w:val="24"/>
        </w:rPr>
        <w:t xml:space="preserve">Sjevernom Makedonijom </w:t>
      </w:r>
      <w:r w:rsidRPr="009A2018">
        <w:rPr>
          <w:rFonts w:ascii="Times New Roman" w:hAnsi="Times New Roman" w:cs="Times New Roman"/>
          <w:sz w:val="24"/>
          <w:szCs w:val="24"/>
        </w:rPr>
        <w:t>i dalje su dobri. Na zajedničkom sastanku Vlada, održanom u Podgorici krajem maja 2019. godine, potpisan je niz sporazuma: Sporazum o međusobnoj zaštiti tajnih podataka; Protokol o saradnji između ministarstava unutrašnjih poslova u oblasti evropskih integracija; Sporazum o ekološkoj saradnji između ministarstava turizma i Memorandum o razumijevanju u zdravstvu između ministarstava zdravlja. Predsjednik Crne Gore posjetio je Sjevernu Makedoniju, a premijer Sjeverne Makedonije Crnu Goru u jesen 2019. godine.</w:t>
      </w:r>
    </w:p>
    <w:p w:rsidR="00622A95" w:rsidRPr="00C35FD0" w:rsidRDefault="00622A95" w:rsidP="00EC1790">
      <w:pPr>
        <w:spacing w:after="120" w:line="240" w:lineRule="auto"/>
        <w:jc w:val="both"/>
        <w:rPr>
          <w:rFonts w:eastAsia="Calibri" w:cs="Times New Roman"/>
          <w:szCs w:val="24"/>
          <w:lang w:val="fr-FR"/>
        </w:rPr>
      </w:pPr>
      <w:r w:rsidRPr="00C35FD0">
        <w:rPr>
          <w:rFonts w:eastAsia="Calibri" w:cs="Times New Roman"/>
          <w:szCs w:val="24"/>
          <w:lang w:val="fr-FR"/>
        </w:rPr>
        <w:t xml:space="preserve">Bilateralne odnose sa </w:t>
      </w:r>
      <w:r w:rsidRPr="00C35FD0">
        <w:rPr>
          <w:rFonts w:eastAsia="Calibri" w:cs="Times New Roman"/>
          <w:b/>
          <w:bCs/>
          <w:i/>
          <w:iCs/>
          <w:szCs w:val="24"/>
          <w:lang w:val="fr-FR"/>
        </w:rPr>
        <w:t xml:space="preserve">Srbijom </w:t>
      </w:r>
      <w:r w:rsidRPr="00C35FD0">
        <w:rPr>
          <w:rFonts w:eastAsia="Calibri" w:cs="Times New Roman"/>
          <w:szCs w:val="24"/>
          <w:lang w:val="fr-FR"/>
        </w:rPr>
        <w:t>obilježile su tenzije. Usvajanje Zakona o slobodi vjeroispovijesti ili uvjerenja i pravnom statusu vjerskih zajednica u decembru 2019. godine pokrenulo je protestne skupove u Srbiji. Međutim, zabilježen je dobar razvoj u prepoznavanju pouzdanih usluga, tako da su na Digitalnom samitu u Beogradu, u aprilu 2019. godine, potpisani sporazumi o međusobnom priznavanju elektronskih identifikacija i potvrda identiteta pruženih u Crnoj Gori i međusobnom priznavanju kvalifikovanih povjereničkih usluga pruženih u Srbiji. Nije bilo pomaka u pitanjima vezanim za prava državljanstva u dvije zemlje.</w:t>
      </w:r>
    </w:p>
    <w:p w:rsidR="00622A95" w:rsidRPr="00C35FD0" w:rsidRDefault="00622A95" w:rsidP="00EC1790">
      <w:pPr>
        <w:spacing w:after="120" w:line="240" w:lineRule="auto"/>
        <w:jc w:val="both"/>
        <w:rPr>
          <w:rFonts w:asciiTheme="majorBidi" w:hAnsiTheme="majorBidi" w:cstheme="majorBidi"/>
          <w:szCs w:val="24"/>
          <w:lang w:val="fr-FR" w:eastAsia="en-GB"/>
        </w:rPr>
      </w:pPr>
      <w:r w:rsidRPr="00C35FD0">
        <w:rPr>
          <w:rFonts w:asciiTheme="majorBidi" w:hAnsiTheme="majorBidi" w:cstheme="majorBidi"/>
          <w:szCs w:val="24"/>
          <w:lang w:val="fr-FR" w:eastAsia="en-GB"/>
        </w:rPr>
        <w:t xml:space="preserve">Odnosi s </w:t>
      </w:r>
      <w:r w:rsidRPr="00C35FD0">
        <w:rPr>
          <w:rFonts w:asciiTheme="majorBidi" w:hAnsiTheme="majorBidi" w:cstheme="majorBidi"/>
          <w:b/>
          <w:bCs/>
          <w:i/>
          <w:iCs/>
          <w:szCs w:val="24"/>
          <w:lang w:val="fr-FR" w:eastAsia="en-GB"/>
        </w:rPr>
        <w:t>Turskom</w:t>
      </w:r>
      <w:r w:rsidRPr="00C35FD0">
        <w:rPr>
          <w:rFonts w:asciiTheme="majorBidi" w:hAnsiTheme="majorBidi" w:cstheme="majorBidi"/>
          <w:szCs w:val="24"/>
          <w:lang w:val="fr-FR" w:eastAsia="en-GB"/>
        </w:rPr>
        <w:t xml:space="preserve"> i dalje su dobri. Potpisan je niz sporazuma koji se odnose na trgovinu uslugama, dopunjujući Sporazum o slobodnoj trgovini iz 2008. godine: saradnja u oblasti stipendiranja, kulture i vojno-finansijske saradnje. U oktobru 2019. godine u Podgorici je održano peto zasjedanje mješovite komisije za ekonomsku saradnju između Crne Gore i Turske, zajedno s Biznis forumom. Crnogorski ministar vanjskih poslova posjetio je Tursku u septembru 2019. godine. Tokom uzajamne posjete turskog kolege Crnoj Gori u februaru 2020. godine, potpisan je sporazum o pružanju konzularne pomoći, kojim se predviđa konzularna hitna pomoć crnogorskim državljanima u zemljama u kojima Crna Gora nema diplomatsko ili konzularno prisustvo. Turska je donirala Crnoj Gori ličnu zaštitnu opremu i materijal za testiranje koronavirusa tokom pandemije. Crna Gora otvorila je konzulat u </w:t>
      </w:r>
      <w:r w:rsidRPr="00C35FD0">
        <w:rPr>
          <w:rFonts w:asciiTheme="majorBidi" w:hAnsiTheme="majorBidi" w:cstheme="majorBidi"/>
          <w:szCs w:val="24"/>
          <w:lang w:val="fr-FR" w:eastAsia="en-GB"/>
        </w:rPr>
        <w:lastRenderedPageBreak/>
        <w:t>Istanbulu u januaru 2020. godine. Na crnogorske vlasti vršen je pritisak da izruče navodnog člana pokreta Gulen.</w:t>
      </w:r>
    </w:p>
    <w:p w:rsidR="00622A95" w:rsidRPr="00C35FD0" w:rsidRDefault="00622A95" w:rsidP="00EC1790">
      <w:pPr>
        <w:pStyle w:val="ManualHeading1"/>
        <w:spacing w:before="120"/>
        <w:ind w:left="0" w:firstLine="0"/>
        <w:rPr>
          <w:rFonts w:eastAsiaTheme="minorEastAsia"/>
          <w:lang w:val="fr-FR"/>
        </w:rPr>
      </w:pPr>
      <w:bookmarkStart w:id="46" w:name="_Toc30073810"/>
      <w:bookmarkStart w:id="47" w:name="_Toc30074123"/>
      <w:bookmarkStart w:id="48" w:name="_Toc30080565"/>
      <w:bookmarkStart w:id="49" w:name="_Toc52744933"/>
      <w:bookmarkStart w:id="50" w:name="_Toc53362441"/>
      <w:r w:rsidRPr="00C35FD0">
        <w:rPr>
          <w:rFonts w:eastAsiaTheme="minorEastAsia"/>
          <w:lang w:val="fr-FR"/>
        </w:rPr>
        <w:t xml:space="preserve">5. </w:t>
      </w:r>
      <w:r w:rsidRPr="00C35FD0">
        <w:rPr>
          <w:rFonts w:eastAsiaTheme="minorEastAsia"/>
          <w:lang w:val="fr-FR"/>
        </w:rPr>
        <w:tab/>
        <w:t>Sposobnost preuzimanja obaveza iz članstva</w:t>
      </w:r>
      <w:bookmarkEnd w:id="46"/>
      <w:bookmarkEnd w:id="47"/>
      <w:bookmarkEnd w:id="48"/>
      <w:bookmarkEnd w:id="49"/>
      <w:bookmarkEnd w:id="50"/>
      <w:r w:rsidRPr="00C35FD0">
        <w:rPr>
          <w:rFonts w:eastAsiaTheme="minorEastAsia"/>
          <w:lang w:val="fr-FR"/>
        </w:rPr>
        <w:t xml:space="preserve"> </w:t>
      </w:r>
    </w:p>
    <w:p w:rsidR="00622A95" w:rsidRPr="00C35FD0" w:rsidRDefault="00622A95" w:rsidP="00EC1790">
      <w:pPr>
        <w:pStyle w:val="Heading2"/>
        <w:rPr>
          <w:rFonts w:eastAsia="Times New Roman"/>
          <w:lang w:val="fr-FR"/>
        </w:rPr>
      </w:pPr>
      <w:bookmarkStart w:id="51" w:name="_Toc9585298"/>
      <w:bookmarkStart w:id="52" w:name="_Toc30073811"/>
      <w:bookmarkStart w:id="53" w:name="_Toc30074124"/>
      <w:bookmarkStart w:id="54" w:name="_Toc30080566"/>
      <w:bookmarkStart w:id="55" w:name="_Toc52744934"/>
      <w:bookmarkStart w:id="56" w:name="_Toc53362442"/>
      <w:r w:rsidRPr="00C35FD0">
        <w:rPr>
          <w:rFonts w:eastAsia="Times New Roman"/>
          <w:lang w:val="fr-FR"/>
        </w:rPr>
        <w:t>5.1</w:t>
      </w:r>
      <w:r w:rsidRPr="00C35FD0">
        <w:rPr>
          <w:rFonts w:eastAsia="Times New Roman"/>
          <w:lang w:val="fr-FR"/>
        </w:rPr>
        <w:tab/>
        <w:t>Poglavlje 1: Sloboda kretanja robe</w:t>
      </w:r>
      <w:bookmarkEnd w:id="51"/>
      <w:bookmarkEnd w:id="52"/>
      <w:bookmarkEnd w:id="53"/>
      <w:bookmarkEnd w:id="54"/>
      <w:bookmarkEnd w:id="55"/>
      <w:bookmarkEnd w:id="56"/>
      <w:r w:rsidRPr="00C35FD0">
        <w:rPr>
          <w:rFonts w:eastAsia="Times New Roman"/>
          <w:lang w:val="fr-FR"/>
        </w:rPr>
        <w:t xml:space="preserve"> </w:t>
      </w:r>
    </w:p>
    <w:p w:rsidR="00622A95" w:rsidRPr="00C35FD0" w:rsidRDefault="00622A95" w:rsidP="00EC1790">
      <w:pPr>
        <w:autoSpaceDE w:val="0"/>
        <w:autoSpaceDN w:val="0"/>
        <w:adjustRightInd w:val="0"/>
        <w:spacing w:after="120" w:line="240" w:lineRule="auto"/>
        <w:jc w:val="both"/>
        <w:rPr>
          <w:i/>
          <w:iCs/>
          <w:sz w:val="23"/>
          <w:szCs w:val="23"/>
          <w:lang w:val="fr-FR"/>
        </w:rPr>
      </w:pPr>
      <w:r w:rsidRPr="00C35FD0">
        <w:rPr>
          <w:rFonts w:eastAsia="Calibri" w:cs="Times New Roman"/>
          <w:i/>
          <w:iCs/>
          <w:color w:val="000000"/>
          <w:szCs w:val="24"/>
          <w:lang w:val="fr-FR" w:eastAsia="en-GB"/>
        </w:rPr>
        <w:t>Sloboda kretanja robe obezbjeđuje da mnogim proizvodima može slobodno da se trguje u cijeloj EU na osnovu zajedničkih pravila i procedura. Kada se proizvodi regulišu nacionalnim propisima, princip slobodnog kretanja robe sprečava stvaranje neopravdanih prepreka za trgovinu.</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szCs w:val="24"/>
        </w:rPr>
      </w:pPr>
      <w:r w:rsidRPr="009A2018">
        <w:rPr>
          <w:rFonts w:eastAsia="Calibri" w:cs="Times New Roman"/>
          <w:szCs w:val="24"/>
        </w:rPr>
        <w:t xml:space="preserve">Crna Gora je </w:t>
      </w:r>
      <w:r w:rsidRPr="009A2018">
        <w:rPr>
          <w:rFonts w:eastAsia="Calibri" w:cs="Times New Roman"/>
          <w:b/>
          <w:szCs w:val="24"/>
        </w:rPr>
        <w:t>umjereno spremna</w:t>
      </w:r>
      <w:r w:rsidRPr="009A2018">
        <w:rPr>
          <w:rFonts w:eastAsia="Calibri" w:cs="Times New Roman"/>
          <w:szCs w:val="24"/>
        </w:rPr>
        <w:t xml:space="preserve"> u oblasti slobode kretanja robe. Postignut je </w:t>
      </w:r>
      <w:r w:rsidRPr="009A2018">
        <w:rPr>
          <w:rFonts w:eastAsia="Calibri" w:cs="Times New Roman"/>
          <w:b/>
          <w:szCs w:val="24"/>
        </w:rPr>
        <w:t>ograničeni napredak</w:t>
      </w:r>
      <w:r w:rsidRPr="009A2018">
        <w:rPr>
          <w:rFonts w:eastAsia="Calibri" w:cs="Times New Roman"/>
          <w:szCs w:val="24"/>
        </w:rPr>
        <w:t xml:space="preserve">; mada je ostvareno određeno poboljšanje u usklađivanju s pravnom tekovinom EU u ovoj oblasti tokom izvještajnog perioda, preporuke date u prethodnom izvještaju nijesu u potpunosti ili nijesu adekvatno ispunjene, te se djelimično ponavljaju i u ovom izvještaju.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szCs w:val="24"/>
        </w:rPr>
      </w:pPr>
      <w:r w:rsidRPr="009A2018">
        <w:rPr>
          <w:rFonts w:eastAsia="Calibri" w:cs="Times New Roman"/>
          <w:szCs w:val="24"/>
        </w:rPr>
        <w:t xml:space="preserve">U predstojećoj godini, Crna Gora treba naročito da: </w:t>
      </w:r>
    </w:p>
    <w:p w:rsidR="00622A95" w:rsidRPr="009A2018" w:rsidRDefault="00622A95" w:rsidP="00EC179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Calibri" w:hAnsi="Times New Roman" w:cs="Times New Roman"/>
          <w:sz w:val="24"/>
          <w:szCs w:val="24"/>
        </w:rPr>
      </w:pPr>
      <w:r w:rsidRPr="009A2018">
        <w:rPr>
          <w:rFonts w:ascii="Times New Roman" w:eastAsia="Calibri" w:hAnsi="Times New Roman" w:cs="Times New Roman"/>
          <w:sz w:val="24"/>
          <w:szCs w:val="24"/>
        </w:rPr>
        <w:t xml:space="preserve">obezbijedi da je dovoljno ljudskih i finansijskih resursa opredijeljeno za nadzor tržišta, organe za standardizaciju i akreditaciju i za Evropsku regulativu o registraciji, evaluaciji, autorizaciji i ograničavanju hemikalija (REACH), kako bi se osiguralo sprovođenje usklađenog zakonodavstva; </w:t>
      </w:r>
    </w:p>
    <w:p w:rsidR="00622A95" w:rsidRPr="009A2018" w:rsidRDefault="00622A95" w:rsidP="00EC179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Calibri" w:hAnsi="Times New Roman" w:cs="Times New Roman"/>
          <w:sz w:val="24"/>
          <w:szCs w:val="24"/>
        </w:rPr>
      </w:pPr>
      <w:r w:rsidRPr="009A2018">
        <w:rPr>
          <w:rFonts w:ascii="Times New Roman" w:eastAsia="Calibri" w:hAnsi="Times New Roman" w:cs="Times New Roman"/>
          <w:sz w:val="24"/>
          <w:szCs w:val="24"/>
        </w:rPr>
        <w:t xml:space="preserve">obezbijedi da </w:t>
      </w:r>
      <w:r w:rsidRPr="009A2018">
        <w:rPr>
          <w:rFonts w:ascii="Times New Roman" w:eastAsia="Calibri" w:hAnsi="Times New Roman" w:cs="Times New Roman"/>
          <w:iCs/>
          <w:color w:val="000000"/>
          <w:sz w:val="24"/>
          <w:szCs w:val="24"/>
          <w:lang w:eastAsia="en-GB"/>
        </w:rPr>
        <w:t>Institut za standardizaciju Crne Gore</w:t>
      </w:r>
      <w:r w:rsidRPr="009A2018">
        <w:rPr>
          <w:rFonts w:ascii="Times New Roman" w:eastAsia="Calibri" w:hAnsi="Times New Roman" w:cs="Times New Roman"/>
          <w:sz w:val="24"/>
          <w:szCs w:val="24"/>
        </w:rPr>
        <w:t xml:space="preserve">  (ISME) postane punopravni član Evropskog komiteta za standardizaciju</w:t>
      </w:r>
      <w:r w:rsidRPr="009A2018">
        <w:rPr>
          <w:rFonts w:ascii="Times New Roman" w:eastAsia="Calibri" w:hAnsi="Times New Roman" w:cs="Times New Roman"/>
          <w:color w:val="000000"/>
          <w:sz w:val="24"/>
          <w:szCs w:val="24"/>
        </w:rPr>
        <w:t xml:space="preserve"> (CEN) i Evropskog komiteta za standardizaciju u oblasti elektrotehnike (CENELEC)</w:t>
      </w:r>
      <w:r w:rsidRPr="009A2018">
        <w:rPr>
          <w:rFonts w:ascii="Times New Roman" w:eastAsia="Calibri" w:hAnsi="Times New Roman" w:cs="Times New Roman"/>
          <w:sz w:val="24"/>
          <w:szCs w:val="24"/>
        </w:rPr>
        <w:t>;</w:t>
      </w:r>
    </w:p>
    <w:p w:rsidR="00622A95" w:rsidRPr="009A2018" w:rsidRDefault="00622A95" w:rsidP="00EC179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iCs/>
          <w:color w:val="000000"/>
          <w:sz w:val="24"/>
          <w:szCs w:val="24"/>
          <w:u w:val="single"/>
          <w:lang w:eastAsia="en-GB"/>
        </w:rPr>
      </w:pPr>
      <w:r w:rsidRPr="009A2018">
        <w:rPr>
          <w:rFonts w:ascii="Times New Roman" w:eastAsia="Calibri" w:hAnsi="Times New Roman" w:cs="Times New Roman"/>
          <w:sz w:val="24"/>
          <w:szCs w:val="24"/>
        </w:rPr>
        <w:t>nastavi usklađivanje s pravnom tekovinom EU</w:t>
      </w:r>
      <w:r w:rsidRPr="009A2018">
        <w:rPr>
          <w:rFonts w:ascii="Times New Roman" w:eastAsia="Calibri" w:hAnsi="Times New Roman" w:cs="Times New Roman"/>
          <w:i/>
          <w:sz w:val="24"/>
          <w:szCs w:val="24"/>
        </w:rPr>
        <w:t>,</w:t>
      </w:r>
      <w:r w:rsidRPr="009A2018">
        <w:rPr>
          <w:rFonts w:ascii="Times New Roman" w:eastAsia="Calibri" w:hAnsi="Times New Roman" w:cs="Times New Roman"/>
          <w:sz w:val="24"/>
          <w:szCs w:val="24"/>
        </w:rPr>
        <w:t xml:space="preserve"> kako je predviđeno akcionim planom za usklađivanje s pravnom tekovinom EU u okviru ovog poglavlja.</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u w:val="single"/>
          <w:lang w:eastAsia="en-GB"/>
        </w:rPr>
      </w:pPr>
      <w:r w:rsidRPr="009A2018">
        <w:rPr>
          <w:rFonts w:eastAsia="Calibri" w:cs="Times New Roman"/>
          <w:iCs/>
          <w:color w:val="000000"/>
          <w:szCs w:val="24"/>
          <w:u w:val="single"/>
          <w:lang w:eastAsia="en-GB"/>
        </w:rPr>
        <w:t>Opšti principi</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lang w:eastAsia="en-GB"/>
        </w:rPr>
      </w:pPr>
      <w:r w:rsidRPr="009A2018">
        <w:rPr>
          <w:rFonts w:eastAsia="Calibri" w:cs="Times New Roman"/>
          <w:iCs/>
          <w:color w:val="000000"/>
          <w:szCs w:val="24"/>
          <w:lang w:eastAsia="en-GB"/>
        </w:rPr>
        <w:t>Sveukupno gledano, Crna Gora nastavlja da ostvaruje napredak u usklađivanju s pravnom tekovinom EU o slobodnom kretanju robe, kako je predviđeno nacionalnim akcionim planom za usklađivanje s pravnom tekovinom EU u ovom poglavlju</w:t>
      </w:r>
      <w:r w:rsidRPr="009A2018">
        <w:rPr>
          <w:rFonts w:eastAsia="Calibri" w:cs="Times New Roman"/>
          <w:szCs w:val="24"/>
        </w:rPr>
        <w:t>. Međutim, napredak je sporiji nego što je predviđeno</w:t>
      </w:r>
      <w:r w:rsidRPr="009A2018">
        <w:rPr>
          <w:rFonts w:eastAsia="Calibri" w:cs="Times New Roman"/>
          <w:iCs/>
          <w:color w:val="000000"/>
          <w:szCs w:val="24"/>
          <w:lang w:eastAsia="en-GB"/>
        </w:rPr>
        <w:t xml:space="preserve">. </w:t>
      </w:r>
      <w:r w:rsidRPr="009A2018">
        <w:rPr>
          <w:rFonts w:eastAsia="Calibri" w:cs="Times New Roman"/>
          <w:szCs w:val="24"/>
        </w:rPr>
        <w:t xml:space="preserve">Kao odgovor na COVID-19, na zajedničku inicijativu Stalnog sekretarijata </w:t>
      </w:r>
      <w:r w:rsidR="00041B6B">
        <w:rPr>
          <w:rFonts w:eastAsia="Calibri" w:cs="Times New Roman"/>
          <w:szCs w:val="24"/>
        </w:rPr>
        <w:t>T</w:t>
      </w:r>
      <w:r w:rsidRPr="009A2018">
        <w:rPr>
          <w:rFonts w:eastAsia="Calibri" w:cs="Times New Roman"/>
          <w:szCs w:val="24"/>
        </w:rPr>
        <w:t xml:space="preserve">ransportne zajednice i Sekretarijata CEFTA-e, Crna Gora je, zajedno sa svim ostalim vladama </w:t>
      </w:r>
      <w:r w:rsidR="00041B6B">
        <w:rPr>
          <w:rFonts w:eastAsia="Calibri" w:cs="Times New Roman"/>
          <w:szCs w:val="24"/>
        </w:rPr>
        <w:t>Z</w:t>
      </w:r>
      <w:r w:rsidR="00041B6B" w:rsidRPr="009A2018">
        <w:rPr>
          <w:rFonts w:eastAsia="Calibri" w:cs="Times New Roman"/>
          <w:szCs w:val="24"/>
        </w:rPr>
        <w:t xml:space="preserve">apadnog </w:t>
      </w:r>
      <w:r w:rsidRPr="009A2018">
        <w:rPr>
          <w:rFonts w:eastAsia="Calibri" w:cs="Times New Roman"/>
          <w:szCs w:val="24"/>
        </w:rPr>
        <w:t>Balkana, uspješno sprovela mjere za olakšavanje prevoza i trgovine osnovnim robama u regionu.</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u w:val="single"/>
          <w:lang w:eastAsia="en-GB"/>
        </w:rPr>
      </w:pPr>
      <w:r w:rsidRPr="009A2018">
        <w:rPr>
          <w:rFonts w:eastAsia="Calibri" w:cs="Times New Roman"/>
          <w:iCs/>
          <w:color w:val="000000"/>
          <w:szCs w:val="24"/>
          <w:u w:val="single"/>
          <w:lang w:eastAsia="en-GB"/>
        </w:rPr>
        <w:t>Neusaglašena oblast</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lang w:eastAsia="en-GB"/>
        </w:rPr>
      </w:pPr>
      <w:r w:rsidRPr="009A2018">
        <w:rPr>
          <w:rFonts w:eastAsia="Calibri" w:cs="Times New Roman"/>
          <w:iCs/>
          <w:color w:val="000000"/>
          <w:szCs w:val="24"/>
          <w:lang w:eastAsia="en-GB"/>
        </w:rPr>
        <w:t xml:space="preserve">Tokom izvještajnog perioda, Crna Gora je nastavila da sprovodi svoj </w:t>
      </w:r>
      <w:r w:rsidR="00041B6B">
        <w:rPr>
          <w:rFonts w:eastAsia="Calibri" w:cs="Times New Roman"/>
          <w:iCs/>
          <w:color w:val="000000"/>
          <w:szCs w:val="24"/>
          <w:lang w:eastAsia="en-GB"/>
        </w:rPr>
        <w:t>A</w:t>
      </w:r>
      <w:r w:rsidR="00041B6B" w:rsidRPr="009A2018">
        <w:rPr>
          <w:rFonts w:eastAsia="Calibri" w:cs="Times New Roman"/>
          <w:iCs/>
          <w:color w:val="000000"/>
          <w:szCs w:val="24"/>
          <w:lang w:eastAsia="en-GB"/>
        </w:rPr>
        <w:t xml:space="preserve">kcioni </w:t>
      </w:r>
      <w:r w:rsidRPr="009A2018">
        <w:rPr>
          <w:rFonts w:eastAsia="Calibri" w:cs="Times New Roman"/>
          <w:iCs/>
          <w:color w:val="000000"/>
          <w:szCs w:val="24"/>
          <w:lang w:eastAsia="en-GB"/>
        </w:rPr>
        <w:t xml:space="preserve">plan za usklađivanje s </w:t>
      </w:r>
      <w:r w:rsidRPr="009A2018">
        <w:rPr>
          <w:rFonts w:eastAsia="Calibri" w:cs="Times New Roman"/>
          <w:b/>
          <w:iCs/>
          <w:color w:val="000000"/>
          <w:szCs w:val="24"/>
          <w:lang w:eastAsia="en-GB"/>
        </w:rPr>
        <w:t>članovima 34-36 Ugovora o Evropskoj uniji</w:t>
      </w:r>
      <w:r w:rsidRPr="009A2018">
        <w:rPr>
          <w:rFonts w:eastAsia="Calibri" w:cs="Times New Roman"/>
          <w:iCs/>
          <w:color w:val="000000"/>
          <w:szCs w:val="24"/>
          <w:lang w:eastAsia="en-GB"/>
        </w:rPr>
        <w:t xml:space="preserve"> (UFEU).</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u w:val="single"/>
          <w:lang w:val="fr-FR" w:eastAsia="en-GB"/>
        </w:rPr>
      </w:pPr>
      <w:r w:rsidRPr="00C35FD0">
        <w:rPr>
          <w:rFonts w:eastAsia="Calibri" w:cs="Times New Roman"/>
          <w:iCs/>
          <w:color w:val="000000"/>
          <w:szCs w:val="24"/>
          <w:u w:val="single"/>
          <w:lang w:val="fr-FR" w:eastAsia="en-GB"/>
        </w:rPr>
        <w:t>Usaglašena oblast: infrastruktura za obezbjeđivanje kvaliteta</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lang w:val="fr-FR" w:eastAsia="en-GB"/>
        </w:rPr>
      </w:pPr>
      <w:r w:rsidRPr="00C35FD0">
        <w:rPr>
          <w:rFonts w:eastAsia="Calibri" w:cs="Times New Roman"/>
          <w:iCs/>
          <w:color w:val="000000"/>
          <w:szCs w:val="24"/>
          <w:lang w:val="fr-FR" w:eastAsia="en-GB"/>
        </w:rPr>
        <w:t xml:space="preserve">Ljudski i finansijski resursi ostaju problem za organe za nadzor tržišta, standardizaciju i akreditaciju. U periodu između aprila 2019. i kraja maja 2020. godine, Institut za </w:t>
      </w:r>
      <w:r w:rsidRPr="00C35FD0">
        <w:rPr>
          <w:rFonts w:eastAsia="Calibri" w:cs="Times New Roman"/>
          <w:b/>
          <w:iCs/>
          <w:color w:val="000000"/>
          <w:szCs w:val="24"/>
          <w:lang w:val="fr-FR" w:eastAsia="en-GB"/>
        </w:rPr>
        <w:t>standardizaciju</w:t>
      </w:r>
      <w:r w:rsidRPr="00C35FD0">
        <w:rPr>
          <w:rFonts w:eastAsia="Calibri" w:cs="Times New Roman"/>
          <w:iCs/>
          <w:color w:val="000000"/>
          <w:szCs w:val="24"/>
          <w:lang w:val="fr-FR" w:eastAsia="en-GB"/>
        </w:rPr>
        <w:t xml:space="preserve"> Crne Gore (ISME) je donio 2.370 standarda usklađenih s EU standardima. ISME je planirao pridruživanje Evropskom komitetu za standardizaciju (CEN)/Evropskom komitetu za standardizaciju u oblasti elektrotehnike (CENELEC) tokom 2019. godine, ali je to odloženo za 2020. </w:t>
      </w:r>
      <w:r w:rsidRPr="00C35FD0">
        <w:rPr>
          <w:rFonts w:eastAsia="Calibri" w:cs="Times New Roman"/>
          <w:szCs w:val="24"/>
          <w:lang w:val="fr-FR"/>
        </w:rPr>
        <w:t xml:space="preserve">Takođe kao odgovor na krizu </w:t>
      </w:r>
      <w:r w:rsidRPr="00C35FD0">
        <w:rPr>
          <w:rFonts w:eastAsia="Calibri" w:cs="Times New Roman"/>
          <w:iCs/>
          <w:color w:val="000000"/>
          <w:szCs w:val="24"/>
          <w:lang w:val="fr-FR" w:eastAsia="en-GB"/>
        </w:rPr>
        <w:t xml:space="preserve">COVID-19, a uz odobrenje </w:t>
      </w:r>
      <w:r w:rsidRPr="00C35FD0">
        <w:rPr>
          <w:rFonts w:eastAsia="Calibri" w:cs="Times New Roman"/>
          <w:szCs w:val="24"/>
          <w:lang w:val="fr-FR"/>
        </w:rPr>
        <w:t>CEN-a, CENELEC-a i ISO-a, ISME je omogućio privremeno besplatan pristup standardima za ličnu zaštitnu opremu, medicinska sredstva, menadžment rizikom, bezbjednost i izdržljivost, menadžment kontinuitetom poslovanja, rizikom i vanrednim situacijama.</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lang w:val="fr-FR" w:eastAsia="en-GB"/>
        </w:rPr>
      </w:pPr>
      <w:r w:rsidRPr="00C35FD0">
        <w:rPr>
          <w:rFonts w:eastAsia="Calibri" w:cs="Times New Roman"/>
          <w:iCs/>
          <w:color w:val="000000"/>
          <w:szCs w:val="24"/>
          <w:lang w:val="fr-FR" w:eastAsia="en-GB"/>
        </w:rPr>
        <w:lastRenderedPageBreak/>
        <w:t xml:space="preserve">Zavod za </w:t>
      </w:r>
      <w:r w:rsidRPr="00C35FD0">
        <w:rPr>
          <w:rFonts w:eastAsia="Calibri" w:cs="Times New Roman"/>
          <w:b/>
          <w:iCs/>
          <w:color w:val="000000"/>
          <w:szCs w:val="24"/>
          <w:lang w:val="fr-FR" w:eastAsia="en-GB"/>
        </w:rPr>
        <w:t>metrologiju</w:t>
      </w:r>
      <w:r w:rsidRPr="00C35FD0">
        <w:rPr>
          <w:rFonts w:eastAsia="Calibri" w:cs="Times New Roman"/>
          <w:iCs/>
          <w:color w:val="000000"/>
          <w:szCs w:val="24"/>
          <w:lang w:val="fr-FR" w:eastAsia="en-GB"/>
        </w:rPr>
        <w:t xml:space="preserve"> preseljen je u nove prostorije u julu 2019. godine nakon isteka zakupa prethodne zgrade, što je značilo da je morao da obnovi svoju laboratorijsku akreditaciju. U toku je rad na vraćanju statusa akreditacije laboratorije i ponovnom uspostavljanju punih radnih kapaciteta. Zavod za metrologiju ima 42 zaposlena od ukupno 49 na koje zvanično ima pravo prema novom aktu o sistematizaciji, donesenom u maju 2019. godine.</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lang w:val="fr-FR" w:eastAsia="en-GB"/>
        </w:rPr>
      </w:pPr>
      <w:r w:rsidRPr="00C35FD0">
        <w:rPr>
          <w:rFonts w:eastAsia="Calibri" w:cs="Times New Roman"/>
          <w:iCs/>
          <w:color w:val="000000"/>
          <w:szCs w:val="24"/>
          <w:lang w:val="fr-FR" w:eastAsia="en-GB"/>
        </w:rPr>
        <w:t xml:space="preserve">Kad je u pitanju </w:t>
      </w:r>
      <w:r w:rsidRPr="00C35FD0">
        <w:rPr>
          <w:rFonts w:eastAsia="Calibri" w:cs="Times New Roman"/>
          <w:b/>
          <w:iCs/>
          <w:color w:val="000000"/>
          <w:szCs w:val="24"/>
          <w:lang w:val="fr-FR" w:eastAsia="en-GB"/>
        </w:rPr>
        <w:t>tržišni nadzor</w:t>
      </w:r>
      <w:r w:rsidRPr="00C35FD0">
        <w:rPr>
          <w:rFonts w:eastAsia="Calibri" w:cs="Times New Roman"/>
          <w:iCs/>
          <w:color w:val="000000"/>
          <w:szCs w:val="24"/>
          <w:lang w:val="fr-FR" w:eastAsia="en-GB"/>
        </w:rPr>
        <w:t xml:space="preserve">, </w:t>
      </w:r>
      <w:r w:rsidR="00041B6B" w:rsidRPr="00041B6B">
        <w:rPr>
          <w:rFonts w:eastAsia="Calibri" w:cs="Times New Roman"/>
          <w:iCs/>
          <w:color w:val="000000"/>
          <w:szCs w:val="24"/>
          <w:lang w:val="fr-FR" w:eastAsia="en-GB"/>
        </w:rPr>
        <w:t>Zakonom o izmjenama i dopunama Zakona o zaštiti potrošača</w:t>
      </w:r>
      <w:r w:rsidRPr="00C35FD0">
        <w:rPr>
          <w:rFonts w:eastAsia="Calibri" w:cs="Times New Roman"/>
          <w:iCs/>
          <w:color w:val="000000"/>
          <w:szCs w:val="24"/>
          <w:lang w:val="fr-FR" w:eastAsia="en-GB"/>
        </w:rPr>
        <w:t>, donesenim u novembru 2019. godine, dodatno je poboljšano usklađivanje s pravnom tekovinom EU</w:t>
      </w:r>
      <w:r w:rsidRPr="00C35FD0">
        <w:rPr>
          <w:rFonts w:eastAsia="Calibri" w:cs="Times New Roman"/>
          <w:color w:val="000000"/>
          <w:szCs w:val="24"/>
          <w:lang w:val="fr-FR"/>
        </w:rPr>
        <w:t xml:space="preserve">. U periodu od aprila 2019. do kraja maja 2020. godine, izvršeno je nekih </w:t>
      </w:r>
      <w:r w:rsidRPr="00C35FD0">
        <w:rPr>
          <w:rFonts w:eastAsia="Calibri" w:cs="Times New Roman"/>
          <w:iCs/>
          <w:color w:val="000000"/>
          <w:szCs w:val="24"/>
          <w:lang w:val="fr-FR" w:eastAsia="en-GB"/>
        </w:rPr>
        <w:t>7.083</w:t>
      </w:r>
      <w:r w:rsidRPr="00C35FD0">
        <w:rPr>
          <w:rFonts w:eastAsia="Calibri" w:cs="Times New Roman"/>
          <w:color w:val="000000"/>
          <w:szCs w:val="24"/>
          <w:lang w:val="fr-FR"/>
        </w:rPr>
        <w:t xml:space="preserve"> inspekcijskih pregleda proizvoda (uključujući 918 pregleda po žalbama potrošača</w:t>
      </w:r>
      <w:r w:rsidRPr="00C35FD0">
        <w:rPr>
          <w:rFonts w:eastAsia="Calibri" w:cs="Times New Roman"/>
          <w:iCs/>
          <w:color w:val="000000"/>
          <w:szCs w:val="24"/>
          <w:lang w:val="fr-FR" w:eastAsia="en-GB"/>
        </w:rPr>
        <w:t>). Inspektori su utvrdili</w:t>
      </w:r>
      <w:r w:rsidRPr="00C35FD0">
        <w:rPr>
          <w:rFonts w:eastAsia="Calibri" w:cs="Times New Roman"/>
          <w:color w:val="000000"/>
          <w:szCs w:val="24"/>
          <w:lang w:val="fr-FR"/>
        </w:rPr>
        <w:t xml:space="preserve"> 3.115 nepravilnosti, za koje su izrečene </w:t>
      </w:r>
      <w:r w:rsidR="00041B6B">
        <w:rPr>
          <w:rFonts w:eastAsia="Calibri" w:cs="Times New Roman"/>
          <w:color w:val="000000"/>
          <w:szCs w:val="24"/>
          <w:lang w:val="fr-FR"/>
        </w:rPr>
        <w:t xml:space="preserve">administrativne </w:t>
      </w:r>
      <w:r w:rsidRPr="00C35FD0">
        <w:rPr>
          <w:rFonts w:eastAsia="Calibri" w:cs="Times New Roman"/>
          <w:color w:val="000000"/>
          <w:szCs w:val="24"/>
          <w:lang w:val="fr-FR"/>
        </w:rPr>
        <w:t>mjere (882 ukazivanja i 2.233 rješenja).</w:t>
      </w:r>
      <w:r w:rsidRPr="00C35FD0">
        <w:rPr>
          <w:rFonts w:eastAsia="Calibri" w:cs="Times New Roman"/>
          <w:iCs/>
          <w:color w:val="000000"/>
          <w:szCs w:val="24"/>
          <w:lang w:val="fr-FR" w:eastAsia="en-GB"/>
        </w:rPr>
        <w:t xml:space="preserve"> Saradnja između organa za nadzor tržišta i </w:t>
      </w:r>
      <w:r w:rsidR="00041B6B">
        <w:rPr>
          <w:rFonts w:eastAsia="Calibri" w:cs="Times New Roman"/>
          <w:iCs/>
          <w:color w:val="000000"/>
          <w:szCs w:val="24"/>
          <w:lang w:val="fr-FR" w:eastAsia="en-GB"/>
        </w:rPr>
        <w:t>U</w:t>
      </w:r>
      <w:r w:rsidR="00041B6B" w:rsidRPr="00C35FD0">
        <w:rPr>
          <w:rFonts w:eastAsia="Calibri" w:cs="Times New Roman"/>
          <w:iCs/>
          <w:color w:val="000000"/>
          <w:szCs w:val="24"/>
          <w:lang w:val="fr-FR" w:eastAsia="en-GB"/>
        </w:rPr>
        <w:t xml:space="preserve">prave </w:t>
      </w:r>
      <w:r w:rsidRPr="00C35FD0">
        <w:rPr>
          <w:rFonts w:eastAsia="Calibri" w:cs="Times New Roman"/>
          <w:iCs/>
          <w:color w:val="000000"/>
          <w:szCs w:val="24"/>
          <w:lang w:val="fr-FR" w:eastAsia="en-GB"/>
        </w:rPr>
        <w:t xml:space="preserve">carina, uz pojačani zajednički nadzor u određenim sektorima, naročito za proizvode koji predstavljaju ozbiljan rizik za potrošače, zasnivala se na podacima prikupljenim na osnovu njihovog posmatranja sistema EU za brzo </w:t>
      </w:r>
      <w:r w:rsidR="00041B6B">
        <w:rPr>
          <w:rFonts w:eastAsia="Calibri" w:cs="Times New Roman"/>
          <w:iCs/>
          <w:color w:val="000000"/>
          <w:szCs w:val="24"/>
          <w:lang w:val="fr-FR" w:eastAsia="en-GB"/>
        </w:rPr>
        <w:t>obavještavanje</w:t>
      </w:r>
      <w:r w:rsidRPr="00C35FD0">
        <w:rPr>
          <w:rFonts w:eastAsia="Calibri" w:cs="Times New Roman"/>
          <w:iCs/>
          <w:color w:val="000000"/>
          <w:szCs w:val="24"/>
          <w:lang w:val="fr-FR" w:eastAsia="en-GB"/>
        </w:rPr>
        <w:t xml:space="preserve"> RAPEX.</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lang w:val="fr-FR" w:eastAsia="en-GB"/>
        </w:rPr>
      </w:pPr>
      <w:r w:rsidRPr="00C35FD0">
        <w:rPr>
          <w:rFonts w:eastAsia="Calibri" w:cs="Times New Roman"/>
          <w:iCs/>
          <w:color w:val="000000"/>
          <w:szCs w:val="24"/>
          <w:lang w:val="fr-FR" w:eastAsia="en-GB"/>
        </w:rPr>
        <w:t xml:space="preserve">U oblasti </w:t>
      </w:r>
      <w:r w:rsidRPr="00C35FD0">
        <w:rPr>
          <w:rFonts w:eastAsia="Calibri" w:cs="Times New Roman"/>
          <w:b/>
          <w:iCs/>
          <w:color w:val="000000"/>
          <w:szCs w:val="24"/>
          <w:lang w:val="fr-FR" w:eastAsia="en-GB"/>
        </w:rPr>
        <w:t>bezbjednosti proizvoda</w:t>
      </w:r>
      <w:r w:rsidRPr="00C35FD0">
        <w:rPr>
          <w:rFonts w:eastAsia="Calibri" w:cs="Times New Roman"/>
          <w:iCs/>
          <w:color w:val="000000"/>
          <w:szCs w:val="24"/>
          <w:lang w:val="fr-FR" w:eastAsia="en-GB"/>
        </w:rPr>
        <w:t>, Crna Gora je prijavila da je izršeno 6.124 inspekcijska pregleda, 5.113 u proaktivnom nadzoru i 1.011 u reaktivnom nadzoru, čime su identifikovana 822 opasna proizvoda (42.211 komad</w:t>
      </w:r>
      <w:r w:rsidR="0074436B" w:rsidRPr="00C35FD0">
        <w:rPr>
          <w:rFonts w:eastAsia="Calibri" w:cs="Times New Roman"/>
          <w:iCs/>
          <w:color w:val="000000"/>
          <w:szCs w:val="24"/>
          <w:lang w:val="fr-FR" w:eastAsia="en-GB"/>
        </w:rPr>
        <w:t>a</w:t>
      </w:r>
      <w:r w:rsidRPr="00C35FD0">
        <w:rPr>
          <w:rFonts w:eastAsia="Calibri" w:cs="Times New Roman"/>
          <w:iCs/>
          <w:color w:val="000000"/>
          <w:szCs w:val="24"/>
          <w:lang w:val="fr-FR" w:eastAsia="en-GB"/>
        </w:rPr>
        <w:t xml:space="preserve">). Od toga, 386 proizvoda (9.450 komada) je označeno kao opasni proizvodi koji predstavljaju ozbiljan rizik i koji su povučeni s tržišta, a 106 proizvoda (1.685 komada) je uništeno. U skladu s tim izrečene su </w:t>
      </w:r>
      <w:r w:rsidR="00041B6B">
        <w:rPr>
          <w:rFonts w:eastAsia="Calibri" w:cs="Times New Roman"/>
          <w:iCs/>
          <w:color w:val="000000"/>
          <w:szCs w:val="24"/>
          <w:lang w:val="fr-FR" w:eastAsia="en-GB"/>
        </w:rPr>
        <w:t>administrativne</w:t>
      </w:r>
      <w:r w:rsidR="00041B6B" w:rsidRPr="00C35FD0">
        <w:rPr>
          <w:rFonts w:eastAsia="Calibri" w:cs="Times New Roman"/>
          <w:iCs/>
          <w:color w:val="000000"/>
          <w:szCs w:val="24"/>
          <w:lang w:val="fr-FR" w:eastAsia="en-GB"/>
        </w:rPr>
        <w:t xml:space="preserve"> </w:t>
      </w:r>
      <w:r w:rsidRPr="00C35FD0">
        <w:rPr>
          <w:rFonts w:eastAsia="Calibri" w:cs="Times New Roman"/>
          <w:iCs/>
          <w:color w:val="000000"/>
          <w:szCs w:val="24"/>
          <w:lang w:val="fr-FR" w:eastAsia="en-GB"/>
        </w:rPr>
        <w:t xml:space="preserve">mjere. </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lang w:val="fr-FR" w:eastAsia="en-GB"/>
        </w:rPr>
      </w:pPr>
      <w:r w:rsidRPr="00C35FD0">
        <w:rPr>
          <w:rFonts w:eastAsia="Calibri" w:cs="Times New Roman"/>
          <w:b/>
          <w:iCs/>
          <w:color w:val="000000"/>
          <w:szCs w:val="24"/>
          <w:lang w:val="fr-FR" w:eastAsia="en-GB"/>
        </w:rPr>
        <w:t>Akreditaciono</w:t>
      </w:r>
      <w:r w:rsidRPr="00C35FD0">
        <w:rPr>
          <w:rFonts w:eastAsia="Calibri" w:cs="Times New Roman"/>
          <w:iCs/>
          <w:color w:val="000000"/>
          <w:szCs w:val="24"/>
          <w:lang w:val="fr-FR" w:eastAsia="en-GB"/>
        </w:rPr>
        <w:t xml:space="preserve"> tijelo Crne Gore, koje je punopravni član Evropske organizacije za akreditaciju </w:t>
      </w:r>
      <w:r w:rsidRPr="00C35FD0">
        <w:rPr>
          <w:rFonts w:cs="Times New Roman"/>
          <w:szCs w:val="24"/>
          <w:lang w:val="fr-FR"/>
        </w:rPr>
        <w:t>(</w:t>
      </w:r>
      <w:r w:rsidRPr="00C35FD0">
        <w:rPr>
          <w:rFonts w:eastAsia="Calibri" w:cs="Times New Roman"/>
          <w:iCs/>
          <w:color w:val="000000"/>
          <w:szCs w:val="24"/>
          <w:lang w:val="fr-FR" w:eastAsia="en-GB"/>
        </w:rPr>
        <w:t>EA), dodijelilo je sedam novih akreditacija tijelima za ocjenu usaglašenosti (dva kontrolna tijela, četiri laboratorije za ispitivanje i jedna medicinska laboratorija). U istom periodu, ukinute su dvije akreditacije koje su prethodno bile dodijeljene, čime je ukupno ostalo 41 tijelo za ocjenu usaglašenosti.</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u w:val="single"/>
          <w:lang w:val="fr-FR" w:eastAsia="en-GB"/>
        </w:rPr>
      </w:pPr>
      <w:r w:rsidRPr="00C35FD0">
        <w:rPr>
          <w:rFonts w:eastAsia="Calibri" w:cs="Times New Roman"/>
          <w:iCs/>
          <w:color w:val="000000"/>
          <w:szCs w:val="24"/>
          <w:u w:val="single"/>
          <w:lang w:val="fr-FR" w:eastAsia="en-GB"/>
        </w:rPr>
        <w:t>Usaglašena oblast: sektorsko zakonodavstvo</w:t>
      </w:r>
    </w:p>
    <w:p w:rsidR="00622A95" w:rsidRPr="00C35FD0" w:rsidRDefault="00622A95" w:rsidP="00EC1790">
      <w:pPr>
        <w:autoSpaceDE w:val="0"/>
        <w:autoSpaceDN w:val="0"/>
        <w:adjustRightInd w:val="0"/>
        <w:spacing w:after="120" w:line="240" w:lineRule="auto"/>
        <w:jc w:val="both"/>
        <w:rPr>
          <w:rFonts w:eastAsia="Calibri" w:cs="Times New Roman"/>
          <w:iCs/>
          <w:color w:val="000000"/>
          <w:szCs w:val="24"/>
          <w:lang w:val="fr-FR" w:eastAsia="en-GB"/>
        </w:rPr>
      </w:pPr>
      <w:r w:rsidRPr="00C35FD0">
        <w:rPr>
          <w:rFonts w:eastAsia="Calibri" w:cs="Times New Roman"/>
          <w:iCs/>
          <w:color w:val="000000"/>
          <w:szCs w:val="24"/>
          <w:lang w:val="fr-FR" w:eastAsia="en-GB"/>
        </w:rPr>
        <w:t xml:space="preserve">Kad je u pitanju </w:t>
      </w:r>
      <w:r w:rsidRPr="00C35FD0">
        <w:rPr>
          <w:rFonts w:eastAsia="Calibri" w:cs="Times New Roman"/>
          <w:b/>
          <w:iCs/>
          <w:color w:val="000000"/>
          <w:szCs w:val="24"/>
          <w:lang w:val="fr-FR" w:eastAsia="en-GB"/>
        </w:rPr>
        <w:t>zakonodavstvo: ‘Novi globalni pristup’</w:t>
      </w:r>
      <w:r w:rsidRPr="00C35FD0">
        <w:rPr>
          <w:rFonts w:eastAsia="Calibri" w:cs="Times New Roman"/>
          <w:iCs/>
          <w:color w:val="000000"/>
          <w:szCs w:val="24"/>
          <w:lang w:val="fr-FR" w:eastAsia="en-GB"/>
        </w:rPr>
        <w:t>, Crna Gora je usvojila propise koji su djelimično usklađeni s pravnom tekovinom EU o medicinskim sredstvima, a obuhvataju uslove za proizvodnju, prodaju medicinskih sredstava i njihovu usklađenost s tehničkim zahtjevima. Takođe je usvojila propise osmišljene da obezbijede usklađivanje s pravnom tekovinom EU o žičarama, eko-dizajnu i građevinskim proizvodima. Prema novim propisima, eurokodovi će biti obavezni da se primjenjuju od sredine 2020. godine.</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lang w:eastAsia="en-GB"/>
        </w:rPr>
      </w:pPr>
      <w:r w:rsidRPr="00C35FD0">
        <w:rPr>
          <w:rFonts w:eastAsia="Calibri" w:cs="Times New Roman"/>
          <w:iCs/>
          <w:color w:val="000000"/>
          <w:szCs w:val="24"/>
          <w:lang w:val="fr-FR" w:eastAsia="en-GB"/>
        </w:rPr>
        <w:t xml:space="preserve">U dijelu </w:t>
      </w:r>
      <w:r w:rsidRPr="00C35FD0">
        <w:rPr>
          <w:rFonts w:eastAsia="Calibri" w:cs="Times New Roman"/>
          <w:b/>
          <w:iCs/>
          <w:color w:val="000000"/>
          <w:szCs w:val="24"/>
          <w:lang w:val="fr-FR" w:eastAsia="en-GB"/>
        </w:rPr>
        <w:t>zakonodavstva ‘Starog pristupa’</w:t>
      </w:r>
      <w:r w:rsidRPr="00C35FD0">
        <w:rPr>
          <w:rFonts w:eastAsia="Calibri" w:cs="Times New Roman"/>
          <w:iCs/>
          <w:color w:val="000000"/>
          <w:szCs w:val="24"/>
          <w:lang w:val="fr-FR" w:eastAsia="en-GB"/>
        </w:rPr>
        <w:t>, Crna Gora je poboljšala usklađ</w:t>
      </w:r>
      <w:r w:rsidR="00041B6B">
        <w:rPr>
          <w:rFonts w:eastAsia="Calibri" w:cs="Times New Roman"/>
          <w:iCs/>
          <w:color w:val="000000"/>
          <w:szCs w:val="24"/>
          <w:lang w:val="fr-FR" w:eastAsia="en-GB"/>
        </w:rPr>
        <w:t>enost</w:t>
      </w:r>
      <w:r w:rsidRPr="00C35FD0">
        <w:rPr>
          <w:rFonts w:eastAsia="Calibri" w:cs="Times New Roman"/>
          <w:iCs/>
          <w:color w:val="000000"/>
          <w:szCs w:val="24"/>
          <w:lang w:val="fr-FR" w:eastAsia="en-GB"/>
        </w:rPr>
        <w:t xml:space="preserve"> s pravnom tekovinom EU </w:t>
      </w:r>
      <w:r w:rsidR="00041B6B">
        <w:rPr>
          <w:rFonts w:eastAsia="Calibri" w:cs="Times New Roman"/>
          <w:iCs/>
          <w:color w:val="000000"/>
          <w:szCs w:val="24"/>
          <w:lang w:val="fr-FR" w:eastAsia="en-GB"/>
        </w:rPr>
        <w:t xml:space="preserve">u oblasti </w:t>
      </w:r>
      <w:r w:rsidRPr="00C35FD0">
        <w:rPr>
          <w:rFonts w:eastAsia="Calibri" w:cs="Times New Roman"/>
          <w:iCs/>
          <w:color w:val="000000"/>
          <w:szCs w:val="24"/>
          <w:lang w:val="fr-FR" w:eastAsia="en-GB"/>
        </w:rPr>
        <w:t>kozmetički</w:t>
      </w:r>
      <w:r w:rsidR="00041B6B">
        <w:rPr>
          <w:rFonts w:eastAsia="Calibri" w:cs="Times New Roman"/>
          <w:iCs/>
          <w:color w:val="000000"/>
          <w:szCs w:val="24"/>
          <w:lang w:val="fr-FR" w:eastAsia="en-GB"/>
        </w:rPr>
        <w:t>h</w:t>
      </w:r>
      <w:r w:rsidRPr="00C35FD0">
        <w:rPr>
          <w:rFonts w:eastAsia="Calibri" w:cs="Times New Roman"/>
          <w:iCs/>
          <w:color w:val="000000"/>
          <w:szCs w:val="24"/>
          <w:lang w:val="fr-FR" w:eastAsia="en-GB"/>
        </w:rPr>
        <w:t xml:space="preserve"> proizvoda, kao i </w:t>
      </w:r>
      <w:r w:rsidR="00041B6B">
        <w:rPr>
          <w:rFonts w:eastAsia="Calibri" w:cs="Times New Roman"/>
          <w:iCs/>
          <w:color w:val="000000"/>
          <w:szCs w:val="24"/>
          <w:lang w:val="fr-FR" w:eastAsia="en-GB"/>
        </w:rPr>
        <w:t xml:space="preserve">u dijelu </w:t>
      </w:r>
      <w:r w:rsidRPr="00C35FD0">
        <w:rPr>
          <w:rFonts w:eastAsia="Calibri" w:cs="Times New Roman"/>
          <w:iCs/>
          <w:color w:val="000000"/>
          <w:szCs w:val="24"/>
          <w:lang w:val="fr-FR" w:eastAsia="en-GB"/>
        </w:rPr>
        <w:t>l</w:t>
      </w:r>
      <w:r w:rsidR="00041B6B">
        <w:rPr>
          <w:rFonts w:eastAsia="Calibri" w:cs="Times New Roman"/>
          <w:iCs/>
          <w:color w:val="000000"/>
          <w:szCs w:val="24"/>
          <w:lang w:val="fr-FR" w:eastAsia="en-GB"/>
        </w:rPr>
        <w:t>jekova</w:t>
      </w:r>
      <w:r w:rsidRPr="00C35FD0">
        <w:rPr>
          <w:rFonts w:eastAsia="Calibri" w:cs="Times New Roman"/>
          <w:iCs/>
          <w:color w:val="000000"/>
          <w:szCs w:val="24"/>
          <w:lang w:val="fr-FR" w:eastAsia="en-GB"/>
        </w:rPr>
        <w:t xml:space="preserve"> za humanu upotrebu i </w:t>
      </w:r>
      <w:r w:rsidR="00041B6B">
        <w:rPr>
          <w:rFonts w:eastAsia="Calibri" w:cs="Times New Roman"/>
          <w:iCs/>
          <w:color w:val="000000"/>
          <w:szCs w:val="24"/>
          <w:lang w:val="fr-FR" w:eastAsia="en-GB"/>
        </w:rPr>
        <w:t xml:space="preserve">ljekova za </w:t>
      </w:r>
      <w:r w:rsidRPr="00C35FD0">
        <w:rPr>
          <w:rFonts w:eastAsia="Calibri" w:cs="Times New Roman"/>
          <w:iCs/>
          <w:color w:val="000000"/>
          <w:szCs w:val="24"/>
          <w:lang w:val="fr-FR" w:eastAsia="en-GB"/>
        </w:rPr>
        <w:t>upotrebu u veterinars</w:t>
      </w:r>
      <w:r w:rsidR="00041B6B">
        <w:rPr>
          <w:rFonts w:eastAsia="Calibri" w:cs="Times New Roman"/>
          <w:iCs/>
          <w:color w:val="000000"/>
          <w:szCs w:val="24"/>
          <w:lang w:val="fr-FR" w:eastAsia="en-GB"/>
        </w:rPr>
        <w:t>koj medicini</w:t>
      </w:r>
      <w:r w:rsidRPr="00C35FD0">
        <w:rPr>
          <w:rFonts w:eastAsia="Calibri" w:cs="Times New Roman"/>
          <w:iCs/>
          <w:color w:val="000000"/>
          <w:szCs w:val="24"/>
          <w:lang w:val="fr-FR" w:eastAsia="en-GB"/>
        </w:rPr>
        <w:t xml:space="preserve">. Crna Gora je usvojila propise pripremljene s ciljem da obezbijede dalje usklađivanje u određenim oblastima pravne tekovine EU o hemikalijama, uključujući biocide, kao i usklađivanje s aneksima I i XIII REACH regulative. </w:t>
      </w:r>
      <w:r w:rsidRPr="009A2018">
        <w:rPr>
          <w:rFonts w:eastAsia="Calibri" w:cs="Times New Roman"/>
          <w:iCs/>
          <w:color w:val="000000"/>
          <w:szCs w:val="24"/>
          <w:lang w:eastAsia="en-GB"/>
        </w:rPr>
        <w:t xml:space="preserve">Potrebno je ojačati ljudske i finansijske resurse za tijela povezana s primjenom REACH regulative. U julu 2019. godine, usvojen je </w:t>
      </w:r>
      <w:r w:rsidR="00041B6B">
        <w:rPr>
          <w:rFonts w:eastAsia="Calibri" w:cs="Times New Roman"/>
          <w:iCs/>
          <w:color w:val="000000"/>
          <w:szCs w:val="24"/>
          <w:lang w:eastAsia="en-GB"/>
        </w:rPr>
        <w:t>N</w:t>
      </w:r>
      <w:r w:rsidR="00041B6B" w:rsidRPr="009A2018">
        <w:rPr>
          <w:rFonts w:eastAsia="Calibri" w:cs="Times New Roman"/>
          <w:iCs/>
          <w:color w:val="000000"/>
          <w:szCs w:val="24"/>
          <w:lang w:eastAsia="en-GB"/>
        </w:rPr>
        <w:t xml:space="preserve">acionalni </w:t>
      </w:r>
      <w:r w:rsidRPr="009A2018">
        <w:rPr>
          <w:rFonts w:eastAsia="Calibri" w:cs="Times New Roman"/>
          <w:iCs/>
          <w:color w:val="000000"/>
          <w:szCs w:val="24"/>
          <w:lang w:eastAsia="en-GB"/>
        </w:rPr>
        <w:t xml:space="preserve">plan za </w:t>
      </w:r>
      <w:r w:rsidR="00041B6B">
        <w:rPr>
          <w:rFonts w:eastAsia="Calibri" w:cs="Times New Roman"/>
          <w:iCs/>
          <w:color w:val="000000"/>
          <w:szCs w:val="24"/>
          <w:lang w:eastAsia="en-GB"/>
        </w:rPr>
        <w:t>implementaciju</w:t>
      </w:r>
      <w:r w:rsidR="00041B6B" w:rsidRPr="009A2018">
        <w:rPr>
          <w:rFonts w:eastAsia="Calibri" w:cs="Times New Roman"/>
          <w:iCs/>
          <w:color w:val="000000"/>
          <w:szCs w:val="24"/>
          <w:lang w:eastAsia="en-GB"/>
        </w:rPr>
        <w:t xml:space="preserve"> </w:t>
      </w:r>
      <w:r w:rsidRPr="009A2018">
        <w:rPr>
          <w:rFonts w:eastAsia="Calibri" w:cs="Times New Roman"/>
          <w:iCs/>
          <w:color w:val="000000"/>
          <w:szCs w:val="24"/>
          <w:lang w:eastAsia="en-GB"/>
        </w:rPr>
        <w:t xml:space="preserve">Stokholmske konvencije, zajedno s </w:t>
      </w:r>
      <w:r w:rsidR="00041B6B">
        <w:rPr>
          <w:rFonts w:eastAsia="Calibri" w:cs="Times New Roman"/>
          <w:iCs/>
          <w:color w:val="000000"/>
          <w:szCs w:val="24"/>
          <w:lang w:eastAsia="en-GB"/>
        </w:rPr>
        <w:t>A</w:t>
      </w:r>
      <w:r w:rsidR="00041B6B" w:rsidRPr="009A2018">
        <w:rPr>
          <w:rFonts w:eastAsia="Calibri" w:cs="Times New Roman"/>
          <w:iCs/>
          <w:color w:val="000000"/>
          <w:szCs w:val="24"/>
          <w:lang w:eastAsia="en-GB"/>
        </w:rPr>
        <w:t xml:space="preserve">kcionim </w:t>
      </w:r>
      <w:r w:rsidRPr="009A2018">
        <w:rPr>
          <w:rFonts w:eastAsia="Calibri" w:cs="Times New Roman"/>
          <w:iCs/>
          <w:color w:val="000000"/>
          <w:szCs w:val="24"/>
          <w:lang w:eastAsia="en-GB"/>
        </w:rPr>
        <w:t xml:space="preserve">planom za period 2019-2023. </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lang w:eastAsia="en-GB"/>
        </w:rPr>
      </w:pPr>
      <w:r w:rsidRPr="009A2018">
        <w:rPr>
          <w:rFonts w:eastAsia="Calibri" w:cs="Times New Roman"/>
          <w:noProof/>
          <w:color w:val="000000"/>
          <w:szCs w:val="24"/>
        </w:rPr>
        <w:t>U oblasti</w:t>
      </w:r>
      <w:r w:rsidRPr="009A2018">
        <w:rPr>
          <w:rFonts w:eastAsia="Calibri" w:cs="Times New Roman"/>
          <w:b/>
          <w:bCs/>
          <w:noProof/>
          <w:color w:val="000000"/>
          <w:szCs w:val="24"/>
        </w:rPr>
        <w:t xml:space="preserve"> prekursora droga, </w:t>
      </w:r>
      <w:r w:rsidRPr="009A2018">
        <w:rPr>
          <w:rFonts w:eastAsia="Calibri" w:cs="Times New Roman"/>
          <w:bCs/>
          <w:noProof/>
          <w:color w:val="000000"/>
          <w:szCs w:val="24"/>
        </w:rPr>
        <w:t>crnogorska lista kontrolisanih supstanci pripremljena je s ciljem da bude usklađena s pravnom tekovinom EU</w:t>
      </w:r>
      <w:r w:rsidRPr="009A2018">
        <w:rPr>
          <w:rFonts w:eastAsia="Calibri" w:cs="Times New Roman"/>
          <w:bCs/>
          <w:i/>
          <w:noProof/>
          <w:color w:val="000000"/>
          <w:szCs w:val="24"/>
        </w:rPr>
        <w:t xml:space="preserve">. </w:t>
      </w:r>
      <w:r w:rsidRPr="009A2018">
        <w:rPr>
          <w:rFonts w:eastAsia="Calibri" w:cs="Times New Roman"/>
          <w:bCs/>
          <w:noProof/>
          <w:color w:val="000000"/>
          <w:szCs w:val="24"/>
        </w:rPr>
        <w:t>U Crnoj Gori postoje mehanizmi za otkrivanje krijumčarenih prekursora za droge, a Crna Gora takođe zahtijeva od ekonomskih subjekata da prijave sumnjive naloge ili transakcije u skladu s procedurama EU</w:t>
      </w:r>
      <w:r w:rsidRPr="009A2018">
        <w:rPr>
          <w:rFonts w:eastAsia="Calibri" w:cs="Times New Roman"/>
          <w:bCs/>
          <w:i/>
          <w:noProof/>
          <w:color w:val="000000"/>
          <w:szCs w:val="24"/>
        </w:rPr>
        <w:t>;</w:t>
      </w:r>
      <w:r w:rsidRPr="009A2018">
        <w:rPr>
          <w:rFonts w:eastAsia="Calibri" w:cs="Times New Roman"/>
          <w:bCs/>
          <w:noProof/>
          <w:color w:val="000000"/>
          <w:szCs w:val="24"/>
        </w:rPr>
        <w:t xml:space="preserve"> međutim, domaće zakonodavstvo je ostalo samo d</w:t>
      </w:r>
      <w:r w:rsidR="00041B6B">
        <w:rPr>
          <w:rFonts w:eastAsia="Calibri" w:cs="Times New Roman"/>
          <w:bCs/>
          <w:noProof/>
          <w:color w:val="000000"/>
          <w:szCs w:val="24"/>
        </w:rPr>
        <w:t xml:space="preserve">jelimično </w:t>
      </w:r>
      <w:r w:rsidRPr="009A2018">
        <w:rPr>
          <w:rFonts w:eastAsia="Calibri" w:cs="Times New Roman"/>
          <w:bCs/>
          <w:noProof/>
          <w:color w:val="000000"/>
          <w:szCs w:val="24"/>
        </w:rPr>
        <w:t xml:space="preserve">usklađeno. Kad su u pitanju </w:t>
      </w:r>
      <w:r w:rsidRPr="009A2018">
        <w:rPr>
          <w:rFonts w:eastAsia="Calibri" w:cs="Times New Roman"/>
          <w:b/>
          <w:bCs/>
          <w:noProof/>
          <w:color w:val="000000"/>
          <w:szCs w:val="24"/>
        </w:rPr>
        <w:t xml:space="preserve">dobre laboratorijske prakse, </w:t>
      </w:r>
      <w:r w:rsidRPr="009A2018">
        <w:rPr>
          <w:rFonts w:eastAsia="Calibri" w:cs="Times New Roman"/>
          <w:bCs/>
          <w:noProof/>
          <w:color w:val="000000"/>
          <w:szCs w:val="24"/>
        </w:rPr>
        <w:t>domaće zakonodavstvo pripremljeno je s ciljem da bude usklađeno s pravnom tekovinom EU</w:t>
      </w:r>
      <w:r w:rsidRPr="009A2018">
        <w:rPr>
          <w:rFonts w:eastAsia="Calibri" w:cs="Times New Roman"/>
          <w:b/>
          <w:bCs/>
          <w:noProof/>
          <w:color w:val="000000"/>
          <w:szCs w:val="24"/>
        </w:rPr>
        <w:t>.</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lang w:eastAsia="en-GB"/>
        </w:rPr>
      </w:pPr>
      <w:r w:rsidRPr="009A2018">
        <w:rPr>
          <w:rFonts w:eastAsia="Calibri" w:cs="Times New Roman"/>
          <w:iCs/>
          <w:color w:val="000000"/>
          <w:szCs w:val="24"/>
          <w:lang w:eastAsia="en-GB"/>
        </w:rPr>
        <w:lastRenderedPageBreak/>
        <w:t xml:space="preserve">U oblasti </w:t>
      </w:r>
      <w:r w:rsidRPr="009A2018">
        <w:rPr>
          <w:rFonts w:eastAsia="Calibri" w:cs="Times New Roman"/>
          <w:b/>
          <w:iCs/>
          <w:color w:val="000000"/>
          <w:szCs w:val="24"/>
          <w:lang w:eastAsia="en-GB"/>
        </w:rPr>
        <w:t>proceduralnih mjera</w:t>
      </w:r>
      <w:r w:rsidRPr="009A2018">
        <w:rPr>
          <w:rFonts w:eastAsia="Calibri" w:cs="Times New Roman"/>
          <w:iCs/>
          <w:color w:val="000000"/>
          <w:szCs w:val="24"/>
          <w:lang w:eastAsia="en-GB"/>
        </w:rPr>
        <w:t>, Crna Gora je izmijenila i dopunila Zakon o zaštiti kulturnih dobara, koji je pripremljen s ciljem da bude usklađen s pravnom tekovinom EU o povraćaju kulturnih predmeta nezakonito iznesenih s teritorije države članice.</w:t>
      </w:r>
    </w:p>
    <w:p w:rsidR="00622A95" w:rsidRPr="009A2018" w:rsidRDefault="00622A95" w:rsidP="00EC1790">
      <w:pPr>
        <w:pStyle w:val="Heading2"/>
        <w:rPr>
          <w:rFonts w:eastAsia="Times New Roman"/>
          <w:lang w:eastAsia="it-IT"/>
        </w:rPr>
      </w:pPr>
      <w:bookmarkStart w:id="57" w:name="_Toc30080567"/>
      <w:bookmarkStart w:id="58" w:name="_Toc30074125"/>
      <w:bookmarkStart w:id="59" w:name="_Toc30073812"/>
      <w:bookmarkStart w:id="60" w:name="_Toc9585299"/>
      <w:bookmarkStart w:id="61" w:name="_Toc52744935"/>
      <w:bookmarkStart w:id="62" w:name="_Toc53362443"/>
      <w:r w:rsidRPr="009A2018">
        <w:rPr>
          <w:rFonts w:eastAsia="Times New Roman"/>
          <w:lang w:eastAsia="it-IT"/>
        </w:rPr>
        <w:t>5.2</w:t>
      </w:r>
      <w:r w:rsidRPr="009A2018">
        <w:rPr>
          <w:rFonts w:eastAsia="Times New Roman"/>
          <w:lang w:eastAsia="it-IT"/>
        </w:rPr>
        <w:tab/>
        <w:t>Poglavlje 2: Sloboda kretanja radnika</w:t>
      </w:r>
      <w:bookmarkEnd w:id="57"/>
      <w:bookmarkEnd w:id="58"/>
      <w:bookmarkEnd w:id="59"/>
      <w:bookmarkEnd w:id="60"/>
      <w:bookmarkEnd w:id="61"/>
      <w:bookmarkEnd w:id="62"/>
      <w:r w:rsidRPr="009A2018">
        <w:rPr>
          <w:rFonts w:eastAsia="Times New Roman"/>
          <w:lang w:eastAsia="it-IT"/>
        </w:rPr>
        <w:t xml:space="preserve"> </w:t>
      </w:r>
    </w:p>
    <w:p w:rsidR="00622A95" w:rsidRPr="009A2018" w:rsidRDefault="00622A95" w:rsidP="00EC1790">
      <w:pPr>
        <w:spacing w:after="120" w:line="240" w:lineRule="auto"/>
        <w:jc w:val="both"/>
        <w:rPr>
          <w:rFonts w:eastAsia="Calibri" w:cs="Times New Roman"/>
          <w:i/>
          <w:iCs/>
          <w:color w:val="000000"/>
          <w:szCs w:val="24"/>
        </w:rPr>
      </w:pPr>
      <w:r w:rsidRPr="009A2018">
        <w:rPr>
          <w:rFonts w:eastAsia="Calibri" w:cs="Times New Roman"/>
          <w:i/>
          <w:iCs/>
          <w:color w:val="000000"/>
          <w:szCs w:val="24"/>
        </w:rPr>
        <w:t xml:space="preserve">Građani država članica EU imaju pravo da rade u drugoj državi članici i moraju im se dati isti uslovi rada i socijalni uslovi kao drugim radnicima.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right="34"/>
        <w:jc w:val="both"/>
        <w:rPr>
          <w:rFonts w:eastAsia="Calibri" w:cs="Times New Roman"/>
          <w:noProof/>
          <w:color w:val="000000"/>
          <w:szCs w:val="24"/>
        </w:rPr>
      </w:pPr>
      <w:r w:rsidRPr="009A2018">
        <w:rPr>
          <w:rFonts w:eastAsia="Calibri" w:cs="Times New Roman"/>
          <w:noProof/>
          <w:color w:val="000000"/>
          <w:szCs w:val="24"/>
        </w:rPr>
        <w:t xml:space="preserve">Crna Gora je postigla </w:t>
      </w:r>
      <w:r w:rsidRPr="009A2018">
        <w:rPr>
          <w:rFonts w:eastAsia="Calibri" w:cs="Times New Roman"/>
          <w:b/>
          <w:bCs/>
          <w:noProof/>
          <w:color w:val="000000"/>
          <w:szCs w:val="24"/>
        </w:rPr>
        <w:t xml:space="preserve">određeni nivo spremnosti </w:t>
      </w:r>
      <w:r w:rsidRPr="009A2018">
        <w:rPr>
          <w:rFonts w:eastAsia="Calibri" w:cs="Times New Roman"/>
          <w:noProof/>
          <w:color w:val="000000"/>
          <w:szCs w:val="24"/>
        </w:rPr>
        <w:t xml:space="preserve">u ovoj oblasti, bilježeći </w:t>
      </w:r>
      <w:r w:rsidRPr="009A2018">
        <w:rPr>
          <w:rFonts w:eastAsia="Calibri" w:cs="Times New Roman"/>
          <w:b/>
          <w:bCs/>
          <w:noProof/>
          <w:color w:val="000000"/>
          <w:szCs w:val="24"/>
        </w:rPr>
        <w:t xml:space="preserve">određeni napredak </w:t>
      </w:r>
      <w:r w:rsidRPr="009A2018">
        <w:rPr>
          <w:rFonts w:eastAsia="Calibri" w:cs="Times New Roman"/>
          <w:noProof/>
          <w:color w:val="000000"/>
          <w:szCs w:val="24"/>
        </w:rPr>
        <w:t>tokom izvještajnog perioda u sprovođenju pristupa tržištu rada i Evropskoj kartici zdravstvenog osiguranja, što je rezultat projekta podrške EU o šemama socijalnog osiguranja i akcionog plana za poglavlje 2.</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right="34"/>
        <w:jc w:val="both"/>
        <w:rPr>
          <w:rFonts w:eastAsia="Calibri" w:cs="Times New Roman"/>
          <w:noProof/>
          <w:color w:val="000000"/>
          <w:szCs w:val="24"/>
        </w:rPr>
      </w:pPr>
      <w:r w:rsidRPr="009A2018">
        <w:rPr>
          <w:rFonts w:eastAsia="Calibri" w:cs="Times New Roman"/>
          <w:noProof/>
          <w:color w:val="000000"/>
          <w:szCs w:val="24"/>
        </w:rPr>
        <w:t xml:space="preserve">Tokom naredne godine, Crna Gora treba naročito da: </w:t>
      </w:r>
    </w:p>
    <w:p w:rsidR="00622A95" w:rsidRPr="009A2018" w:rsidRDefault="00622A95" w:rsidP="00EC1790">
      <w:pPr>
        <w:numPr>
          <w:ilvl w:val="0"/>
          <w:numId w:val="1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right="34" w:firstLine="0"/>
        <w:jc w:val="both"/>
        <w:rPr>
          <w:rFonts w:eastAsia="Calibri" w:cs="Times New Roman"/>
          <w:noProof/>
          <w:color w:val="000000"/>
          <w:szCs w:val="24"/>
        </w:rPr>
      </w:pPr>
      <w:r w:rsidRPr="009A2018">
        <w:rPr>
          <w:rFonts w:eastAsia="Calibri" w:cs="Times New Roman"/>
          <w:noProof/>
          <w:color w:val="000000"/>
          <w:szCs w:val="24"/>
        </w:rPr>
        <w:t>nastavi da uspostavlja strukture i razvija administrativne kapacitete za sprovođenje pravne tekovine EU u skladu s rezultatima projekta podrške EU o šemama socijalnog osiguranja i u skladu s akcionim planom za poglavlje 2.</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63" w:name="_Toc30074126"/>
      <w:bookmarkStart w:id="64" w:name="_Toc30073813"/>
      <w:r w:rsidRPr="009A2018">
        <w:rPr>
          <w:rFonts w:eastAsia="Calibri" w:cs="Times New Roman"/>
          <w:color w:val="000000"/>
          <w:szCs w:val="24"/>
        </w:rPr>
        <w:t xml:space="preserve">U martu 2019. godine, vlada je usvojila akcioni plan za ispunjavanje uslova pristupanja o slobodi kretanja radnika.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Kad je riječ o </w:t>
      </w:r>
      <w:r w:rsidRPr="009A2018">
        <w:rPr>
          <w:rFonts w:eastAsia="Calibri" w:cs="Times New Roman"/>
          <w:b/>
          <w:color w:val="000000"/>
          <w:szCs w:val="24"/>
        </w:rPr>
        <w:t>pristupu tržištu rada</w:t>
      </w:r>
      <w:r w:rsidRPr="009A2018">
        <w:rPr>
          <w:rFonts w:eastAsia="Calibri" w:cs="Times New Roman"/>
          <w:color w:val="000000"/>
          <w:szCs w:val="24"/>
        </w:rPr>
        <w:t>, don</w:t>
      </w:r>
      <w:r w:rsidR="00DE6A86">
        <w:rPr>
          <w:rFonts w:eastAsia="Calibri" w:cs="Times New Roman"/>
          <w:color w:val="000000"/>
          <w:szCs w:val="24"/>
        </w:rPr>
        <w:t>ijete</w:t>
      </w:r>
      <w:r w:rsidRPr="009A2018">
        <w:rPr>
          <w:rFonts w:eastAsia="Calibri" w:cs="Times New Roman"/>
          <w:color w:val="000000"/>
          <w:szCs w:val="24"/>
        </w:rPr>
        <w:t xml:space="preserve"> su izmjene i dopune Zakona o strancima i Odluke kojom se utvrđuje godišnja kvota za privremeni boravak i radne dozvole za strance, čime su se omogućile pojednostavljene procedure. U pripremi su procedure za rješavanje zahtjeva stranaca za privremeni boravak i dozvole za sezonsko zapošljavanje putem predstavništava Crne Gore u zemljama porijekla.</w:t>
      </w:r>
      <w:bookmarkEnd w:id="63"/>
      <w:bookmarkEnd w:id="64"/>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65" w:name="_Toc30074127"/>
      <w:bookmarkStart w:id="66" w:name="_Toc30073814"/>
      <w:r w:rsidRPr="009A2018">
        <w:rPr>
          <w:rFonts w:eastAsia="Calibri" w:cs="Times New Roman"/>
          <w:color w:val="000000"/>
          <w:szCs w:val="24"/>
        </w:rPr>
        <w:t>U vezi s pripremama za učlanjenje u Evropsku mrežu institucija za zapošljavanje</w:t>
      </w:r>
      <w:r w:rsidRPr="009A2018">
        <w:rPr>
          <w:rFonts w:eastAsia="Calibri" w:cs="Times New Roman"/>
          <w:b/>
          <w:color w:val="000000"/>
          <w:szCs w:val="24"/>
        </w:rPr>
        <w:t xml:space="preserve"> </w:t>
      </w:r>
      <w:r w:rsidRPr="009A2018">
        <w:rPr>
          <w:rFonts w:eastAsia="Calibri" w:cs="Times New Roman"/>
          <w:color w:val="000000"/>
          <w:szCs w:val="24"/>
        </w:rPr>
        <w:t>(</w:t>
      </w:r>
      <w:r w:rsidRPr="009A2018">
        <w:rPr>
          <w:rFonts w:eastAsia="Calibri" w:cs="Times New Roman"/>
          <w:b/>
          <w:color w:val="000000"/>
          <w:szCs w:val="24"/>
        </w:rPr>
        <w:t>EURES</w:t>
      </w:r>
      <w:r w:rsidRPr="009A2018">
        <w:rPr>
          <w:rFonts w:eastAsia="Calibri" w:cs="Times New Roman"/>
          <w:color w:val="000000"/>
          <w:szCs w:val="24"/>
        </w:rPr>
        <w:t xml:space="preserve">) nakon pristupanja, Odsjek za EURES i međunarodno posredovanje u okviru Zavoda za zapošljavanje Crne Gore sproveo je svoj plan zapošljavanja popunjavanjem svih pet predviđenih radnih mjesta. </w:t>
      </w:r>
      <w:bookmarkEnd w:id="65"/>
      <w:bookmarkEnd w:id="66"/>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67" w:name="_Toc30073815"/>
      <w:bookmarkStart w:id="68" w:name="_Toc30074128"/>
      <w:r w:rsidRPr="009A2018">
        <w:rPr>
          <w:rFonts w:eastAsia="Calibri" w:cs="Times New Roman"/>
          <w:color w:val="000000"/>
          <w:szCs w:val="24"/>
        </w:rPr>
        <w:t xml:space="preserve">Kad je u pitanju </w:t>
      </w:r>
      <w:r w:rsidRPr="009A2018">
        <w:rPr>
          <w:rFonts w:eastAsia="Calibri" w:cs="Times New Roman"/>
          <w:b/>
          <w:color w:val="000000"/>
          <w:szCs w:val="24"/>
        </w:rPr>
        <w:t>koordinacija sistema socijalnog osiguranja</w:t>
      </w:r>
      <w:r w:rsidRPr="009A2018">
        <w:rPr>
          <w:rFonts w:eastAsia="Calibri" w:cs="Times New Roman"/>
          <w:color w:val="000000"/>
          <w:szCs w:val="24"/>
        </w:rPr>
        <w:t xml:space="preserve">, bilateralni sporazum s Rumunijom tek treba da bude potpisan, a izmjene i dopune sporazuma sa Srbijom i Bosnom i Hercegovinom treba da budu zaključene. Ukupno je već na snazi 25 bilateralnih sporazuma, od toga 16 s državama članicama EU. </w:t>
      </w:r>
      <w:bookmarkEnd w:id="67"/>
      <w:bookmarkEnd w:id="68"/>
    </w:p>
    <w:p w:rsidR="00622A95" w:rsidRPr="009A2018" w:rsidRDefault="00622A95" w:rsidP="00EC1790">
      <w:pPr>
        <w:spacing w:after="120" w:line="240" w:lineRule="auto"/>
        <w:jc w:val="both"/>
        <w:rPr>
          <w:rFonts w:eastAsia="Calibri" w:cs="Times New Roman"/>
          <w:szCs w:val="24"/>
        </w:rPr>
      </w:pPr>
      <w:bookmarkStart w:id="69" w:name="_Toc30074129"/>
      <w:bookmarkStart w:id="70" w:name="_Toc30073816"/>
      <w:r w:rsidRPr="009A2018">
        <w:rPr>
          <w:rFonts w:eastAsia="Calibri" w:cs="Times New Roman"/>
          <w:b/>
          <w:szCs w:val="24"/>
        </w:rPr>
        <w:t>Evropska kartica zdravstvenog osiguranja</w:t>
      </w:r>
      <w:r w:rsidRPr="009A2018">
        <w:rPr>
          <w:rFonts w:eastAsia="Calibri" w:cs="Times New Roman"/>
          <w:szCs w:val="24"/>
        </w:rPr>
        <w:t xml:space="preserve"> (EHIC) je priznata Zakonom o zdravstvenom osiguranju. Kartica će, međutim, biti uvedena u Crnoj Gori tek nakon pristupanja. U okviru priprema za pristupanje, Crna Gora je 2019. godine sprovela procjenu uticaja za uvođenje kartice nakon pristupanja. Prije pristupanja, Crna Gora će takođe morati da sprovede studiju izvodljivosti u pogledu uticaja kartice na javne finansije. Fond zdravstvenog osiguranja počeo je da zapošljava koordinaciono osoblje u nekim od svojih područnih jedinica.</w:t>
      </w:r>
      <w:bookmarkEnd w:id="69"/>
      <w:bookmarkEnd w:id="70"/>
    </w:p>
    <w:p w:rsidR="00622A95" w:rsidRPr="009A2018" w:rsidRDefault="00622A95" w:rsidP="00EC1790">
      <w:pPr>
        <w:pStyle w:val="Heading2"/>
        <w:rPr>
          <w:rFonts w:eastAsia="Times New Roman"/>
        </w:rPr>
      </w:pPr>
      <w:bookmarkStart w:id="71" w:name="_Toc30080568"/>
      <w:bookmarkStart w:id="72" w:name="_Toc30074130"/>
      <w:bookmarkStart w:id="73" w:name="_Toc30073817"/>
      <w:bookmarkStart w:id="74" w:name="_Toc52744936"/>
      <w:bookmarkStart w:id="75" w:name="_Toc53362444"/>
      <w:r w:rsidRPr="009A2018">
        <w:rPr>
          <w:rFonts w:eastAsia="Calibri"/>
          <w:bCs/>
          <w:color w:val="000000"/>
        </w:rPr>
        <w:t>5.3</w:t>
      </w:r>
      <w:r w:rsidRPr="009A2018">
        <w:rPr>
          <w:rFonts w:eastAsia="Calibri"/>
          <w:bCs/>
          <w:color w:val="000000"/>
        </w:rPr>
        <w:tab/>
      </w:r>
      <w:r w:rsidRPr="009A2018">
        <w:rPr>
          <w:rFonts w:eastAsia="Times New Roman"/>
        </w:rPr>
        <w:t>Poglavlje 3: Pravo osnivanja preduzeća i sloboda pružanja usluga</w:t>
      </w:r>
      <w:bookmarkEnd w:id="71"/>
      <w:bookmarkEnd w:id="72"/>
      <w:bookmarkEnd w:id="73"/>
      <w:bookmarkEnd w:id="74"/>
      <w:bookmarkEnd w:id="75"/>
      <w:r w:rsidRPr="009A2018">
        <w:rPr>
          <w:rFonts w:eastAsia="Times New Roman"/>
        </w:rPr>
        <w:t xml:space="preserve"> </w:t>
      </w:r>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rPr>
      </w:pPr>
      <w:r w:rsidRPr="009A2018">
        <w:rPr>
          <w:rFonts w:eastAsia="Calibri" w:cs="Times New Roman"/>
          <w:i/>
          <w:iCs/>
          <w:color w:val="000000"/>
          <w:szCs w:val="24"/>
        </w:rPr>
        <w:t xml:space="preserve">Fizička i pravna lica u EU imaju pravo da se osnivaju u bilo kojoj državi članici i da pružaju usluge u drugim zemljama. Za određene regulisane profesije postoje pravila o međusobnom priznavanju kvalifikacija. Poštanske usluge postepeno se otvaraju za konkurenciju.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Crna Gora je i dalje </w:t>
      </w:r>
      <w:r w:rsidRPr="009A2018">
        <w:rPr>
          <w:rFonts w:eastAsia="Calibri" w:cs="Times New Roman"/>
          <w:b/>
          <w:bCs/>
          <w:noProof/>
          <w:color w:val="000000"/>
          <w:szCs w:val="24"/>
        </w:rPr>
        <w:t xml:space="preserve">umjereno spremna </w:t>
      </w:r>
      <w:r w:rsidRPr="009A2018">
        <w:rPr>
          <w:rFonts w:eastAsia="Calibri" w:cs="Times New Roman"/>
          <w:noProof/>
          <w:color w:val="000000"/>
          <w:szCs w:val="24"/>
        </w:rPr>
        <w:t xml:space="preserve">u ovoj oblasti. Ostvaren je </w:t>
      </w:r>
      <w:r w:rsidRPr="009A2018">
        <w:rPr>
          <w:rFonts w:eastAsia="Calibri" w:cs="Times New Roman"/>
          <w:b/>
          <w:bCs/>
          <w:noProof/>
          <w:color w:val="000000"/>
          <w:szCs w:val="24"/>
        </w:rPr>
        <w:t xml:space="preserve">određeni napredak </w:t>
      </w:r>
      <w:r w:rsidRPr="009A2018">
        <w:rPr>
          <w:rFonts w:eastAsia="Calibri" w:cs="Times New Roman"/>
          <w:bCs/>
          <w:noProof/>
          <w:color w:val="000000"/>
          <w:szCs w:val="24"/>
        </w:rPr>
        <w:t>tokom</w:t>
      </w:r>
      <w:r w:rsidRPr="009A2018">
        <w:rPr>
          <w:rFonts w:eastAsia="Calibri" w:cs="Times New Roman"/>
          <w:b/>
          <w:bCs/>
          <w:noProof/>
          <w:color w:val="000000"/>
          <w:szCs w:val="24"/>
        </w:rPr>
        <w:t xml:space="preserve"> </w:t>
      </w:r>
      <w:r w:rsidRPr="009A2018">
        <w:rPr>
          <w:rFonts w:eastAsia="Calibri" w:cs="Times New Roman"/>
          <w:noProof/>
          <w:color w:val="000000"/>
          <w:szCs w:val="24"/>
        </w:rPr>
        <w:t>izvještajnog perioda</w:t>
      </w:r>
      <w:r w:rsidRPr="009A2018">
        <w:rPr>
          <w:rFonts w:eastAsia="Calibri" w:cs="Times New Roman"/>
          <w:bCs/>
          <w:noProof/>
          <w:color w:val="000000"/>
          <w:szCs w:val="24"/>
        </w:rPr>
        <w:t xml:space="preserve"> daljim usklađivanjem s Direktivom </w:t>
      </w:r>
      <w:r w:rsidRPr="009A2018">
        <w:rPr>
          <w:rFonts w:eastAsia="Times New Roman" w:cs="Times New Roman"/>
          <w:szCs w:val="24"/>
          <w:lang w:eastAsia="en-GB"/>
        </w:rPr>
        <w:t>EU o uslugama i pripremnim aktivnostima na uspostavljanju jedinstvene kontaktne tačke, dok u pogledu elektronske registracije preduzeća nije bilo napretka.</w:t>
      </w:r>
      <w:r w:rsidRPr="009A2018">
        <w:rPr>
          <w:rFonts w:eastAsia="Calibri" w:cs="Times New Roman"/>
          <w:bCs/>
          <w:noProof/>
          <w:color w:val="000000"/>
          <w:szCs w:val="24"/>
        </w:rPr>
        <w:t xml:space="preserve">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rFonts w:eastAsia="Calibri" w:cs="Times New Roman"/>
          <w:noProof/>
          <w:color w:val="000000"/>
          <w:szCs w:val="24"/>
        </w:rPr>
        <w:lastRenderedPageBreak/>
        <w:t xml:space="preserve">U predstojećoj godini, Crna Gora treba naročito da: </w:t>
      </w:r>
    </w:p>
    <w:p w:rsidR="00622A95" w:rsidRPr="009A2018" w:rsidRDefault="00622A95" w:rsidP="00EC1790">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 xml:space="preserve">nastavi međuresorsku koordinaciju i ostvari puno usklađivanje s Direktivom EU o uslugama; </w:t>
      </w:r>
    </w:p>
    <w:p w:rsidR="00622A95" w:rsidRPr="009A2018" w:rsidRDefault="00622A95" w:rsidP="00EC1790">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rPr>
      </w:pPr>
      <w:r w:rsidRPr="009A2018">
        <w:rPr>
          <w:rFonts w:eastAsia="Times New Roman" w:cs="Times New Roman"/>
          <w:noProof/>
          <w:color w:val="000000"/>
          <w:szCs w:val="24"/>
          <w:lang w:eastAsia="en-GB"/>
        </w:rPr>
        <w:t>uspostavi potpuno operativnu jedinstvenu kontaktnu tačku;</w:t>
      </w:r>
    </w:p>
    <w:p w:rsidR="00622A95" w:rsidRPr="009A2018" w:rsidRDefault="00622A95" w:rsidP="00EC1790">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implementira obavezne elektronske sisteme za elektronsku registraciju preduzeća.</w:t>
      </w:r>
    </w:p>
    <w:p w:rsidR="00622A95" w:rsidRPr="009A2018" w:rsidRDefault="00622A95" w:rsidP="00EC1790">
      <w:pPr>
        <w:autoSpaceDE w:val="0"/>
        <w:autoSpaceDN w:val="0"/>
        <w:adjustRightInd w:val="0"/>
        <w:spacing w:after="120" w:line="240" w:lineRule="auto"/>
        <w:jc w:val="both"/>
        <w:rPr>
          <w:rFonts w:eastAsia="Times New Roman" w:cs="Times New Roman"/>
          <w:szCs w:val="24"/>
          <w:lang w:eastAsia="en-GB"/>
        </w:rPr>
      </w:pPr>
      <w:r w:rsidRPr="009A2018">
        <w:rPr>
          <w:rFonts w:eastAsia="Times New Roman" w:cs="Times New Roman"/>
          <w:szCs w:val="24"/>
          <w:lang w:eastAsia="en-GB"/>
        </w:rPr>
        <w:t xml:space="preserve">U oblasti </w:t>
      </w:r>
      <w:r w:rsidRPr="009A2018">
        <w:rPr>
          <w:rFonts w:eastAsia="Times New Roman" w:cs="Times New Roman"/>
          <w:b/>
          <w:szCs w:val="24"/>
          <w:lang w:eastAsia="en-GB"/>
        </w:rPr>
        <w:t>prava na osnivanje i slobode pružanja prekograničnih usluga</w:t>
      </w:r>
      <w:r w:rsidRPr="009A2018">
        <w:rPr>
          <w:rFonts w:eastAsia="Times New Roman" w:cs="Times New Roman"/>
          <w:szCs w:val="24"/>
          <w:lang w:eastAsia="en-GB"/>
        </w:rPr>
        <w:t>, tek treba da se postigne napredak u pogledu pune elektronske registracije preduzeća. Nastavljeno je usklađivanje sektorskog zakonodavstva s Direktivom EU o uslugama. Uspostavljanje jedinstvene kontaktne tačke, kako je predviđeno Direktivom EU o uslugama, napredovalo je u skladu s relevantnim akcionim planom. Međutim, napredak koče ograničeni administrativni kapaciteti direkcije za usluge u Ministarstvu ekonomije.</w:t>
      </w:r>
    </w:p>
    <w:p w:rsidR="00622A95" w:rsidRPr="009A2018" w:rsidRDefault="00622A95" w:rsidP="00EC1790">
      <w:pPr>
        <w:spacing w:after="120" w:line="240" w:lineRule="auto"/>
        <w:jc w:val="both"/>
        <w:rPr>
          <w:rFonts w:eastAsia="Times New Roman" w:cs="Times New Roman"/>
          <w:szCs w:val="24"/>
          <w:lang w:eastAsia="en-GB"/>
        </w:rPr>
      </w:pPr>
      <w:r w:rsidRPr="009A2018">
        <w:rPr>
          <w:rFonts w:eastAsia="Times New Roman" w:cs="Times New Roman"/>
          <w:szCs w:val="24"/>
          <w:lang w:eastAsia="en-GB"/>
        </w:rPr>
        <w:t xml:space="preserve">U oblasti </w:t>
      </w:r>
      <w:r w:rsidRPr="009A2018">
        <w:rPr>
          <w:rFonts w:eastAsia="Times New Roman" w:cs="Times New Roman"/>
          <w:b/>
          <w:szCs w:val="24"/>
          <w:lang w:eastAsia="en-GB"/>
        </w:rPr>
        <w:t>poštanskih usluga</w:t>
      </w:r>
      <w:r w:rsidRPr="009A2018">
        <w:rPr>
          <w:rFonts w:eastAsia="Times New Roman" w:cs="Times New Roman"/>
          <w:szCs w:val="24"/>
          <w:lang w:eastAsia="en-GB"/>
        </w:rPr>
        <w:t>, zakonodavstvo je usklađeno s Direktivom EU o poštanskim uslugama. Iako je tržište poštanskih usluga i dalje potpuno otvoreno za konkurenciju, Crna Gora treba da dalje uskladi svoje zakonodavstvo s pravnom tekovinom EU, uključujući i Regulativu o uslugama prekogranične dostave paketa. Počele su pripreme akcionog plana za strategiju razvoja poštanske djelatnosti 2021-2022.</w:t>
      </w:r>
    </w:p>
    <w:p w:rsidR="00622A95" w:rsidRPr="009A2018" w:rsidRDefault="00622A95" w:rsidP="00EC1790">
      <w:pPr>
        <w:spacing w:after="120" w:line="240" w:lineRule="auto"/>
        <w:jc w:val="both"/>
        <w:rPr>
          <w:rFonts w:eastAsia="Calibri" w:cs="Times New Roman"/>
          <w:szCs w:val="24"/>
        </w:rPr>
      </w:pPr>
      <w:r w:rsidRPr="009A2018">
        <w:rPr>
          <w:rFonts w:eastAsia="Times New Roman" w:cs="Times New Roman"/>
          <w:szCs w:val="24"/>
          <w:lang w:eastAsia="en-GB"/>
        </w:rPr>
        <w:t xml:space="preserve">U oblasti </w:t>
      </w:r>
      <w:r w:rsidRPr="009A2018">
        <w:rPr>
          <w:rFonts w:eastAsia="Times New Roman" w:cs="Times New Roman"/>
          <w:b/>
          <w:szCs w:val="24"/>
          <w:lang w:eastAsia="en-GB"/>
        </w:rPr>
        <w:t>međusobnog priznavanja stručnih kvalifikacija</w:t>
      </w:r>
      <w:r w:rsidRPr="009A2018">
        <w:rPr>
          <w:rFonts w:eastAsia="Times New Roman" w:cs="Times New Roman"/>
          <w:szCs w:val="24"/>
          <w:lang w:eastAsia="en-GB"/>
        </w:rPr>
        <w:t>, Crna Gora je dostigla zadovoljavajući nivo usklađenosti s pravnom tekovinom EU. Usvojeni su podzakonski akti koji se odnose na Zakon o priznavanju inostranih kvalifikacija za obavljanje regulisane profesije. Sprovođenje je nastavljeno u skladu s nacionalnim planom razvoja kvalifikacija za obavljanje regulisanih profesija. Neophodno je praćenje predviđenih mjera kako bi se osiguralo kontinuirano usklađivanje s pravnom tekovinom EU.</w:t>
      </w:r>
    </w:p>
    <w:p w:rsidR="00622A95" w:rsidRPr="009A2018" w:rsidRDefault="00622A95" w:rsidP="00EC1790">
      <w:pPr>
        <w:pStyle w:val="Heading2"/>
        <w:rPr>
          <w:rFonts w:eastAsia="Times New Roman"/>
        </w:rPr>
      </w:pPr>
      <w:bookmarkStart w:id="76" w:name="_Toc30080569"/>
      <w:bookmarkStart w:id="77" w:name="_Toc30074131"/>
      <w:bookmarkStart w:id="78" w:name="_Toc30073818"/>
      <w:bookmarkStart w:id="79" w:name="_Toc52744937"/>
      <w:bookmarkStart w:id="80" w:name="_Toc53362445"/>
      <w:r w:rsidRPr="009A2018">
        <w:rPr>
          <w:rFonts w:eastAsia="Times New Roman"/>
        </w:rPr>
        <w:t>5.4</w:t>
      </w:r>
      <w:r w:rsidRPr="009A2018">
        <w:rPr>
          <w:rFonts w:eastAsia="Times New Roman"/>
        </w:rPr>
        <w:tab/>
        <w:t>Poglavlje 4: Sloboda kretanja kapital</w:t>
      </w:r>
      <w:bookmarkEnd w:id="76"/>
      <w:bookmarkEnd w:id="77"/>
      <w:bookmarkEnd w:id="78"/>
      <w:bookmarkEnd w:id="79"/>
      <w:r w:rsidRPr="009A2018">
        <w:rPr>
          <w:rFonts w:eastAsia="Times New Roman"/>
        </w:rPr>
        <w:t>a</w:t>
      </w:r>
      <w:bookmarkEnd w:id="80"/>
      <w:r w:rsidRPr="009A2018">
        <w:rPr>
          <w:rFonts w:eastAsia="Times New Roman"/>
        </w:rPr>
        <w:t xml:space="preserve"> </w:t>
      </w:r>
    </w:p>
    <w:p w:rsidR="00622A95" w:rsidRPr="009A2018" w:rsidRDefault="00622A95" w:rsidP="00EC1790">
      <w:pPr>
        <w:spacing w:after="120" w:line="240" w:lineRule="auto"/>
        <w:jc w:val="both"/>
        <w:rPr>
          <w:i/>
          <w:iCs/>
          <w:sz w:val="23"/>
          <w:szCs w:val="23"/>
        </w:rPr>
      </w:pPr>
      <w:r w:rsidRPr="009A2018">
        <w:rPr>
          <w:rFonts w:eastAsia="Calibri" w:cs="Times New Roman"/>
          <w:i/>
          <w:color w:val="000000"/>
          <w:szCs w:val="24"/>
        </w:rPr>
        <w:t>U EU, kapital i investicije moraju imati mogućnost da se kreću bez ograničenja i za prekogranična plaćanja postoje zajednička pravila. Banke i drugi ekonomski operatori primjenjuju određena pravila, kako bi podržali borbu protiv pranja novca i finansiranja terorizma.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Crna Gora je </w:t>
      </w:r>
      <w:r w:rsidRPr="009A2018">
        <w:rPr>
          <w:rFonts w:eastAsia="Calibri" w:cs="Times New Roman"/>
          <w:b/>
          <w:bCs/>
          <w:noProof/>
          <w:color w:val="000000"/>
          <w:szCs w:val="24"/>
        </w:rPr>
        <w:t xml:space="preserve">umjereno spremna </w:t>
      </w:r>
      <w:r w:rsidRPr="009A2018">
        <w:rPr>
          <w:rFonts w:eastAsia="Calibri" w:cs="Times New Roman"/>
          <w:noProof/>
          <w:color w:val="000000"/>
          <w:szCs w:val="24"/>
        </w:rPr>
        <w:t xml:space="preserve">u ovoj oblasti. U skladu s prošlogodišnjom preporukom, postignut je </w:t>
      </w:r>
      <w:r w:rsidRPr="009A2018">
        <w:rPr>
          <w:rFonts w:eastAsia="Calibri" w:cs="Times New Roman"/>
          <w:b/>
          <w:bCs/>
          <w:noProof/>
          <w:color w:val="000000"/>
          <w:szCs w:val="24"/>
        </w:rPr>
        <w:t xml:space="preserve">određeni napredak </w:t>
      </w:r>
      <w:r w:rsidRPr="009A2018">
        <w:rPr>
          <w:rFonts w:eastAsia="Calibri" w:cs="Times New Roman"/>
          <w:noProof/>
          <w:color w:val="000000"/>
          <w:szCs w:val="24"/>
        </w:rPr>
        <w:t>u zakonskom okviru koji se odnosi na borbu protiv pranja novca, što je dovelo do formalnog uklanjanja Crne Gore iz procesa redovnog praćenja četvrtog kruga MONEYVAL-a, Komiteta eksperata Savjeta Evrope za procjenu usklađenosti mjera protiv pranja novca.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Takođe je postignut određeni napredak u pogledu sprečavanja i otkrivanja pranja novca. Prošlogodišnje preporuke ostaju na snazi.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U predstojećoj godini, Crna Gora još treba da: </w:t>
      </w:r>
    </w:p>
    <w:p w:rsidR="00622A95" w:rsidRPr="009A2018" w:rsidRDefault="00622A95" w:rsidP="00EC1790">
      <w:pPr>
        <w:numPr>
          <w:ilvl w:val="0"/>
          <w:numId w:val="12"/>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izvrši usklađivanje s pravnom tekovinom EU o kretanju kapitala i plaćanjima, uključujući i sticanje imovinskih prava, kao i o platnim sistemima;</w:t>
      </w:r>
    </w:p>
    <w:p w:rsidR="00622A95" w:rsidRPr="009A2018" w:rsidRDefault="00622A95" w:rsidP="00EC1790">
      <w:pPr>
        <w:numPr>
          <w:ilvl w:val="0"/>
          <w:numId w:val="12"/>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ažurira strateški okvir za sprečavanje</w:t>
      </w:r>
      <w:r w:rsidRPr="009A2018">
        <w:rPr>
          <w:rFonts w:eastAsia="Calibri" w:cs="Times New Roman"/>
          <w:bCs/>
          <w:noProof/>
          <w:color w:val="000000"/>
          <w:szCs w:val="24"/>
        </w:rPr>
        <w:t xml:space="preserve"> terorizma, pranja novca i finansiranja terorizma, nastavi da jača kapacitete za vršenje provjera svih subjekata koji podnose izvještaje, poboljša kvalitet izvještavanja, obezbijedi nezavisnost i efikasnost relevantnih institucija</w:t>
      </w:r>
      <w:r w:rsidRPr="009A2018">
        <w:rPr>
          <w:rFonts w:eastAsia="Calibri" w:cs="Times New Roman"/>
          <w:noProof/>
          <w:color w:val="000000"/>
          <w:szCs w:val="24"/>
        </w:rPr>
        <w:t>;</w:t>
      </w:r>
    </w:p>
    <w:p w:rsidR="00622A95" w:rsidRPr="009A2018" w:rsidRDefault="00622A95" w:rsidP="00EC1790">
      <w:pPr>
        <w:numPr>
          <w:ilvl w:val="0"/>
          <w:numId w:val="12"/>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uzme u obzir potencijalne rizike od pranja novca povezane s investitorskim šemama u nacionalnoj procjeni rizika, zasnivajući to na pravilima EU protiv pranja novca, kao i da preduzme neophodne mjere u cilju ublažavanja tih rizika.</w:t>
      </w:r>
    </w:p>
    <w:p w:rsidR="00622A95" w:rsidRPr="009A2018" w:rsidRDefault="00622A95" w:rsidP="00EC1790">
      <w:pPr>
        <w:spacing w:after="120" w:line="240" w:lineRule="auto"/>
        <w:jc w:val="both"/>
        <w:rPr>
          <w:sz w:val="23"/>
          <w:szCs w:val="23"/>
        </w:rPr>
      </w:pPr>
      <w:r w:rsidRPr="009A2018">
        <w:rPr>
          <w:rFonts w:eastAsia="Calibri" w:cs="Times New Roman"/>
          <w:szCs w:val="24"/>
        </w:rPr>
        <w:lastRenderedPageBreak/>
        <w:t xml:space="preserve">U oblasti </w:t>
      </w:r>
      <w:r w:rsidRPr="009A2018">
        <w:rPr>
          <w:rFonts w:eastAsia="Calibri" w:cs="Times New Roman"/>
          <w:b/>
          <w:szCs w:val="24"/>
        </w:rPr>
        <w:t>kretanja</w:t>
      </w:r>
      <w:r w:rsidRPr="009A2018">
        <w:rPr>
          <w:rFonts w:eastAsia="Calibri" w:cs="Times New Roman"/>
          <w:szCs w:val="24"/>
        </w:rPr>
        <w:t xml:space="preserve"> </w:t>
      </w:r>
      <w:r w:rsidRPr="009A2018">
        <w:rPr>
          <w:rFonts w:eastAsia="Calibri" w:cs="Times New Roman"/>
          <w:b/>
          <w:szCs w:val="24"/>
        </w:rPr>
        <w:t>kapitala i plaćanjima</w:t>
      </w:r>
      <w:r w:rsidRPr="009A2018">
        <w:rPr>
          <w:rFonts w:eastAsia="Calibri" w:cs="Times New Roman"/>
          <w:szCs w:val="24"/>
        </w:rPr>
        <w:t>, od 2017. godine režim koji se primjenjuje u Crnoj Gori omogućuje slobodno kretanje kapitala, ne nameće ograničenja u pogledu prenosa imovine i nema devizne ili valutne kontrole. Međutim, puno usklađivanje s pravnom tekovinom EU još nije postignuto. Novi zakon o osiguranju i izmjene i dopune zakona o svojinsko-pravnim odnosima, kojima se uklanjaju preferencijalni tretmani, tek treba da budu doneseni.</w:t>
      </w:r>
    </w:p>
    <w:p w:rsidR="00622A95" w:rsidRPr="009A2018" w:rsidRDefault="00622A95" w:rsidP="00EC1790">
      <w:pPr>
        <w:spacing w:after="120" w:line="240" w:lineRule="auto"/>
        <w:jc w:val="both"/>
        <w:rPr>
          <w:rFonts w:eastAsia="Calibri" w:cs="Times New Roman"/>
          <w:bCs/>
          <w:color w:val="000000"/>
          <w:szCs w:val="24"/>
        </w:rPr>
      </w:pPr>
      <w:r w:rsidRPr="009A2018">
        <w:rPr>
          <w:rFonts w:eastAsia="Calibri" w:cs="Times New Roman"/>
          <w:bCs/>
          <w:color w:val="000000"/>
          <w:szCs w:val="24"/>
        </w:rPr>
        <w:t xml:space="preserve">U pogledu </w:t>
      </w:r>
      <w:r w:rsidRPr="009A2018">
        <w:rPr>
          <w:rFonts w:eastAsia="Calibri" w:cs="Times New Roman"/>
          <w:b/>
          <w:bCs/>
          <w:color w:val="000000"/>
          <w:szCs w:val="24"/>
        </w:rPr>
        <w:t>sistema plaćanja</w:t>
      </w:r>
      <w:r w:rsidRPr="009A2018">
        <w:rPr>
          <w:rFonts w:eastAsia="Calibri" w:cs="Times New Roman"/>
          <w:bCs/>
          <w:color w:val="000000"/>
          <w:szCs w:val="24"/>
        </w:rPr>
        <w:t>, iako je zakonodavstvo u velikoj mjeri doneseno, potrebno je dalje usklađivanje s pravnom tekovinom EU. Crna Gora je finalizovala nacrte zakona o: (i) uporedivosti naknada koje se naplaćuju klijentima, prebacivanju računa za plaćanje i pristupu računima za plaćanje s osnovnim karakteristikama, i (ii) o međubankarskim naknadama za platne transakcije koje se obavljaju karticama, s ciljem postizanja daljeg usklađivanja s pravnom tekovinom EU. U Crnoj Gori postoji pet licenciranih platnih institucija, uključujući jednu za elektronska plaćanja. Ukupan broj registrovanih agenata u platnim institucijama povećan je na 22 u prvom kvartalu 2020. godine.</w:t>
      </w:r>
    </w:p>
    <w:p w:rsidR="00622A95" w:rsidRPr="009A2018" w:rsidRDefault="00622A95" w:rsidP="00EC1790">
      <w:pPr>
        <w:spacing w:after="120" w:line="240" w:lineRule="auto"/>
        <w:jc w:val="both"/>
        <w:rPr>
          <w:rFonts w:eastAsia="Calibri" w:cs="Times New Roman"/>
          <w:bCs/>
          <w:color w:val="000000"/>
          <w:szCs w:val="24"/>
        </w:rPr>
      </w:pPr>
      <w:r w:rsidRPr="009A2018">
        <w:rPr>
          <w:rFonts w:eastAsia="Calibri" w:cs="Times New Roman"/>
          <w:b/>
          <w:bCs/>
          <w:color w:val="000000"/>
          <w:szCs w:val="24"/>
        </w:rPr>
        <w:t xml:space="preserve">Strategija za sprečavanje terorizma, pranja novca i finansiranja terorizma </w:t>
      </w:r>
      <w:r w:rsidRPr="009A2018">
        <w:rPr>
          <w:rFonts w:eastAsia="Calibri" w:cs="Times New Roman"/>
          <w:bCs/>
          <w:color w:val="000000"/>
          <w:szCs w:val="24"/>
        </w:rPr>
        <w:t xml:space="preserve">prestala je da važi 2018. godine, a nova strategija još uvijek nije usvojena. </w:t>
      </w:r>
      <w:r w:rsidRPr="009A2018">
        <w:rPr>
          <w:rFonts w:eastAsia="Calibri" w:cs="Times New Roman"/>
          <w:b/>
          <w:bCs/>
          <w:color w:val="000000"/>
          <w:szCs w:val="24"/>
        </w:rPr>
        <w:t xml:space="preserve">Zakon o sprečavanju pranja novca i finansiranja terorizma </w:t>
      </w:r>
      <w:r w:rsidRPr="009A2018">
        <w:rPr>
          <w:rFonts w:eastAsia="Calibri" w:cs="Times New Roman"/>
          <w:bCs/>
          <w:color w:val="000000"/>
          <w:szCs w:val="24"/>
        </w:rPr>
        <w:t xml:space="preserve">izmijenjen je i dopunjen u decembru 2019. godine kako bi obuhvatio promjene u institucionalnom okruženju finansijsko obavještajne jedinice (FIU) i kako bi se ojačala njena operativna autonomija i nezavisnost, uprkos činjenici da je administrativno služba policije. Izmjene i dopune se odnose na nadležnosti, ovlašćenja, poslove i organizaciju FIU-a, uključujući pitanja zaštite podataka, i imaju za cilj da obezbijede usaglašenost s nekim od preporuka Radne grupe za finansijske mjere u borbi protiv pranja novca (FATF) i međunarodnim standardima. Međutim, zakon će morati ponovo da se izmijeni kako bi se otklonili preostali nedostaci i kako bi se uskladio s 5. direktivom EU o sprečavanju pranja novca. U decembru 2019. godine, crnogorska FIU podnijela je zahtjev za ponovno uspostavljanje njenog članstva u Egmont grupi, koji je poništen kada je FIU prestala da postoji u njenom prethodnom pravnom obliku. U maju 2020. godine, </w:t>
      </w:r>
      <w:r w:rsidRPr="009A2018">
        <w:rPr>
          <w:rFonts w:eastAsia="Calibri" w:cs="Times New Roman"/>
          <w:noProof/>
          <w:color w:val="000000"/>
          <w:szCs w:val="24"/>
        </w:rPr>
        <w:t>Komitet eksperata za procjenu usklađenosti mjera protiv pranja novca</w:t>
      </w:r>
      <w:r w:rsidRPr="009A2018">
        <w:rPr>
          <w:rFonts w:eastAsia="Calibri" w:cs="Times New Roman"/>
          <w:bCs/>
          <w:color w:val="000000"/>
          <w:szCs w:val="24"/>
        </w:rPr>
        <w:t xml:space="preserve"> i finansiranja terorizma (MONEYVAL) formalno je uklonio Crnu Goru iz redovnog procesa praćenja četvrtog kruga, smatrajući da je država preduzela dovoljne korake da ispravi nedostatke koji su utvrđeni 2015. godine. </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bCs/>
          <w:color w:val="000000"/>
          <w:szCs w:val="24"/>
        </w:rPr>
        <w:t xml:space="preserve">U okviru Centralne banke osnovana je nova direkcija koja se bavi sprečavanjem pranja novca i finansiranja terorizma, s četiri člana osoblja. </w:t>
      </w:r>
      <w:r w:rsidRPr="009A2018">
        <w:rPr>
          <w:rFonts w:eastAsia="Calibri" w:cs="Times New Roman"/>
          <w:szCs w:val="24"/>
        </w:rPr>
        <w:t>Tokom 2019. i prva tri mjeseca 2020. godine, Centralna banka je izvršila 7 planiranih provjera banaka, 4 ciljane provjere banaka na licu mjesta, jednu provjeru platne institucije, 2 provjere mikrofinansijskih institucija i jednu provjeru kompanije za finansijski lizing.</w:t>
      </w:r>
    </w:p>
    <w:p w:rsidR="00622A95" w:rsidRPr="009A2018" w:rsidRDefault="00622A95" w:rsidP="00EC1790">
      <w:pPr>
        <w:spacing w:after="120" w:line="240" w:lineRule="auto"/>
        <w:jc w:val="both"/>
        <w:rPr>
          <w:rFonts w:eastAsia="Calibri" w:cs="Times New Roman"/>
          <w:bCs/>
          <w:color w:val="000000"/>
          <w:szCs w:val="24"/>
        </w:rPr>
      </w:pPr>
      <w:bookmarkStart w:id="81" w:name="_Toc30073820"/>
      <w:bookmarkStart w:id="82" w:name="_Toc30074133"/>
      <w:r w:rsidRPr="009A2018">
        <w:rPr>
          <w:rFonts w:eastAsia="Calibri" w:cs="Times New Roman"/>
          <w:bCs/>
          <w:color w:val="000000"/>
          <w:szCs w:val="24"/>
        </w:rPr>
        <w:t>U septembru 2019. godine, Komisija za tržište kapitala, tijelo zaduženo za regulisanje, licenciranje i nadgledanje tržišta kapitala, izradila je pravilnik za sprovođenje mjera nadzora zasnovanog na riziku u sprečavanju pranja novca i finansiranja terorizma. U novembru 2019. godine, usvojila je smjernice za analizu učesnika na tržištu kapitala zasnovanu na riziku.</w:t>
      </w:r>
      <w:bookmarkEnd w:id="81"/>
      <w:bookmarkEnd w:id="82"/>
    </w:p>
    <w:p w:rsidR="00622A95" w:rsidRPr="009A2018" w:rsidRDefault="00622A95" w:rsidP="00EC1790">
      <w:pPr>
        <w:spacing w:after="120" w:line="240" w:lineRule="auto"/>
        <w:jc w:val="both"/>
        <w:rPr>
          <w:rFonts w:eastAsia="Calibri" w:cs="Times New Roman"/>
          <w:szCs w:val="24"/>
        </w:rPr>
      </w:pPr>
      <w:bookmarkStart w:id="83" w:name="_Toc30073819"/>
      <w:bookmarkStart w:id="84" w:name="_Toc30074132"/>
      <w:r w:rsidRPr="009A2018">
        <w:rPr>
          <w:rFonts w:eastAsia="Calibri" w:cs="Times New Roman"/>
          <w:szCs w:val="24"/>
        </w:rPr>
        <w:t xml:space="preserve">Povećani kapacitet finansijsko obavještajne jedinice (FIU), uključujući i njen direktan pristup policijskim obavještajnim podacima pored finansijskih obavještajnih podataka, rezultirao je značajnim povećanjem broja obrađenih slučajeva i spriječenih sumnjivih transakcija. Broj izvještaja o transakcijama koje su primili obveznici izvještavanja povećao se na 264 tokom 2019. godine (porast od 14% u odnosu na 2018. godinu), što pokazuje veću sposobnost za angažovanje s obveznicima izvještavanja i pojašnjenje pravila izvještavanja. Poboljšano je izvještavanje nefinansijskih subjekata, poput notara. Međutim, neizvještavanje advokata još uvijek treba riješiti. FOJ je 2019. godine izvršila samo 11 kontrola obveznika izvještavanja (u </w:t>
      </w:r>
      <w:r w:rsidRPr="009A2018">
        <w:rPr>
          <w:rFonts w:eastAsia="Calibri" w:cs="Times New Roman"/>
          <w:szCs w:val="24"/>
        </w:rPr>
        <w:lastRenderedPageBreak/>
        <w:t xml:space="preserve">poređenju s 94 tokom 2018. godine), usljed činjenice da je nadzorna nadležnost u aprilu prenesena s FOJ-a na Ministarstvo unutrašnjih poslova, ali je usvojena u decembru revidiranim zakonodavstvom o sprečavanju pranja novca. U periodu od januara do septembra 2020. godine, Ministarstvo unutrašnjih poslova izvršilo je 37 kontrola obveznika izvještavanja. Identifikovane su 24 sumnjive transakcije (u odnosu na 22 tokom 2018. godine), kao i 17 u prvom kvartalu 2020. Tokom 2019. godine, izdato je devet naloga za privremeno obustavljanje transakcije u iznosu od 7,6 miliona eura i 53 naloga u prvim kvartalima 2020. godine, u iznosu od 2,2 miliona eura. </w:t>
      </w:r>
    </w:p>
    <w:bookmarkEnd w:id="83"/>
    <w:bookmarkEnd w:id="84"/>
    <w:p w:rsidR="00622A95" w:rsidRPr="009A2018" w:rsidRDefault="00622A95" w:rsidP="00EC1790">
      <w:pPr>
        <w:spacing w:after="120" w:line="240" w:lineRule="auto"/>
        <w:jc w:val="both"/>
        <w:rPr>
          <w:sz w:val="23"/>
          <w:szCs w:val="23"/>
        </w:rPr>
      </w:pPr>
      <w:r w:rsidRPr="009A2018">
        <w:rPr>
          <w:rFonts w:eastAsia="Calibri" w:cs="Times New Roman"/>
          <w:szCs w:val="24"/>
        </w:rPr>
        <w:t xml:space="preserve">Od januara 2019. godine, Crna Gora ima program </w:t>
      </w:r>
      <w:r w:rsidRPr="009A2018">
        <w:rPr>
          <w:rFonts w:eastAsia="Calibri" w:cs="Times New Roman"/>
          <w:b/>
          <w:szCs w:val="24"/>
        </w:rPr>
        <w:t>ekonomskog državljanstva</w:t>
      </w:r>
      <w:r w:rsidRPr="009A2018">
        <w:rPr>
          <w:rFonts w:eastAsia="Calibri" w:cs="Times New Roman"/>
          <w:szCs w:val="24"/>
        </w:rPr>
        <w:t>, što stranim investitorima omogućava da steknu crnogorsko državljanstvo ukoliko investiraju najmanje 35</w:t>
      </w:r>
      <w:r w:rsidR="00477B51">
        <w:rPr>
          <w:rFonts w:eastAsia="Calibri" w:cs="Times New Roman"/>
          <w:szCs w:val="24"/>
        </w:rPr>
        <w:t>0</w:t>
      </w:r>
      <w:r w:rsidRPr="009A2018">
        <w:rPr>
          <w:rFonts w:eastAsia="Calibri" w:cs="Times New Roman"/>
          <w:szCs w:val="24"/>
        </w:rPr>
        <w:t>.000 eura u lokalnu ekonomiju. Od dosada primljenih 24 zahtjeva, 5 je odbijeno nakon postupka dubinske analize, dok su za 5 zahtjeva donijete konačne odluke o državljanstvu i jedan pasoš je izdat do sada tokom 2020. godine državljaninu Ruske Federacije. Za ostale podnosioce zahtjeva i njihove članove porodica pasoši još uvijek nijesu izdati zbog pandemije COVID-19 i s tim povezane zabrane putovanja. Ovaj program treba blisko pratiti jer sa sobom nosi rizike u pogledu bezbjednosti, pranja novca, utaje poreza, finansiranja terorizma, korupcije i infiltracije organizovanog kriminala. U skladu s novim pravilima EU o borbi protiv pranja novca, Crna Gora treba da posveti posebnu pažnju poboljšanoj detaljnoj analizi klijenata (</w:t>
      </w:r>
      <w:r w:rsidRPr="009A2018">
        <w:rPr>
          <w:rFonts w:eastAsia="Calibri" w:cs="Times New Roman"/>
          <w:i/>
          <w:szCs w:val="24"/>
        </w:rPr>
        <w:t>due diligence</w:t>
      </w:r>
      <w:r w:rsidRPr="009A2018">
        <w:rPr>
          <w:rFonts w:eastAsia="Calibri" w:cs="Times New Roman"/>
          <w:szCs w:val="24"/>
        </w:rPr>
        <w:t>) u kontekstu programa ekonomskog državljanstva.</w:t>
      </w:r>
      <w:r w:rsidRPr="009A2018">
        <w:rPr>
          <w:sz w:val="23"/>
          <w:szCs w:val="23"/>
        </w:rPr>
        <w:t xml:space="preserve"> </w:t>
      </w:r>
    </w:p>
    <w:p w:rsidR="00622A95" w:rsidRPr="009A2018" w:rsidRDefault="00622A95" w:rsidP="00EC1790">
      <w:pPr>
        <w:pStyle w:val="Heading2"/>
        <w:rPr>
          <w:rFonts w:eastAsia="Calibri" w:cs="Times New Roman"/>
          <w:b w:val="0"/>
          <w:color w:val="000000"/>
          <w:szCs w:val="24"/>
        </w:rPr>
      </w:pPr>
      <w:bookmarkStart w:id="85" w:name="_Toc30080570"/>
      <w:bookmarkStart w:id="86" w:name="_Toc30074134"/>
      <w:bookmarkStart w:id="87" w:name="_Toc30073821"/>
      <w:bookmarkStart w:id="88" w:name="_Toc52744938"/>
      <w:bookmarkStart w:id="89" w:name="_Toc53362446"/>
      <w:r w:rsidRPr="009A2018">
        <w:rPr>
          <w:rFonts w:eastAsia="Times New Roman" w:cs="Times New Roman"/>
          <w:szCs w:val="24"/>
        </w:rPr>
        <w:t>5.5</w:t>
      </w:r>
      <w:r w:rsidRPr="009A2018">
        <w:rPr>
          <w:rFonts w:eastAsia="Times New Roman" w:cs="Times New Roman"/>
          <w:b w:val="0"/>
          <w:szCs w:val="24"/>
        </w:rPr>
        <w:tab/>
      </w:r>
      <w:r w:rsidRPr="009A2018">
        <w:rPr>
          <w:rStyle w:val="Heading2Char"/>
          <w:b/>
        </w:rPr>
        <w:t>Poglavlje 5: Javne nabavke</w:t>
      </w:r>
      <w:bookmarkEnd w:id="85"/>
      <w:bookmarkEnd w:id="86"/>
      <w:bookmarkEnd w:id="87"/>
      <w:bookmarkEnd w:id="88"/>
      <w:bookmarkEnd w:id="89"/>
      <w:r w:rsidRPr="009A2018">
        <w:rPr>
          <w:rFonts w:eastAsia="Times New Roman" w:cs="Times New Roman"/>
          <w:b w:val="0"/>
          <w:szCs w:val="24"/>
        </w:rPr>
        <w:t xml:space="preserve"> </w:t>
      </w:r>
    </w:p>
    <w:p w:rsidR="00622A95" w:rsidRPr="009A2018" w:rsidRDefault="00622A95" w:rsidP="00EC1790">
      <w:pPr>
        <w:widowControl w:val="0"/>
        <w:autoSpaceDE w:val="0"/>
        <w:autoSpaceDN w:val="0"/>
        <w:adjustRightInd w:val="0"/>
        <w:spacing w:after="120" w:line="240" w:lineRule="auto"/>
        <w:jc w:val="both"/>
        <w:rPr>
          <w:i/>
          <w:iCs/>
          <w:sz w:val="23"/>
          <w:szCs w:val="23"/>
        </w:rPr>
      </w:pPr>
      <w:r w:rsidRPr="009A2018">
        <w:rPr>
          <w:rFonts w:eastAsia="Calibri" w:cs="Times New Roman"/>
          <w:i/>
          <w:iCs/>
          <w:color w:val="000000"/>
          <w:szCs w:val="24"/>
          <w:lang w:eastAsia="en-GB"/>
        </w:rPr>
        <w:t>Pravila EU obezbjeđuju da nabavke robe, usluga i radova u javnom sektoru u svakoj državi članici budu transparentne i otvorene za sve kompanije iz EU, bez diskriminacije i s jednakim tretmanom.</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noProof/>
          <w:color w:val="000000"/>
          <w:szCs w:val="24"/>
        </w:rPr>
        <w:t xml:space="preserve">Crna Gora ostaje </w:t>
      </w:r>
      <w:r w:rsidRPr="009A2018">
        <w:rPr>
          <w:rFonts w:eastAsia="Calibri" w:cs="Times New Roman"/>
          <w:b/>
          <w:bCs/>
          <w:noProof/>
          <w:color w:val="000000"/>
          <w:szCs w:val="24"/>
        </w:rPr>
        <w:t xml:space="preserve">umjereno spremna </w:t>
      </w:r>
      <w:r w:rsidRPr="009A2018">
        <w:rPr>
          <w:rFonts w:eastAsia="Calibri" w:cs="Times New Roman"/>
          <w:noProof/>
          <w:color w:val="000000"/>
          <w:szCs w:val="24"/>
        </w:rPr>
        <w:t xml:space="preserve">u oblasti javnih nabavki. Tokom 2019. godine postignut je </w:t>
      </w:r>
      <w:r w:rsidRPr="009A2018">
        <w:rPr>
          <w:rFonts w:eastAsia="Calibri" w:cs="Times New Roman"/>
          <w:b/>
          <w:noProof/>
          <w:color w:val="000000"/>
          <w:szCs w:val="24"/>
        </w:rPr>
        <w:t>određeni napredak</w:t>
      </w:r>
      <w:r w:rsidRPr="009A2018">
        <w:rPr>
          <w:rFonts w:eastAsia="Calibri" w:cs="Times New Roman"/>
          <w:noProof/>
          <w:color w:val="000000"/>
          <w:szCs w:val="24"/>
        </w:rPr>
        <w:t xml:space="preserve">, usvajanjem zakonâ o javno-privatnom </w:t>
      </w:r>
      <w:r w:rsidRPr="009A2018">
        <w:rPr>
          <w:rFonts w:eastAsia="Calibri" w:cs="Times New Roman"/>
          <w:color w:val="000000"/>
          <w:szCs w:val="24"/>
        </w:rPr>
        <w:t xml:space="preserve">partnerstvu i javnim nabavkama. Prošlogodišnje preporuke su dijelom ispunjene.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U predstojećoj godini, Crna Gora treba da: </w:t>
      </w:r>
    </w:p>
    <w:p w:rsidR="00622A95" w:rsidRPr="009A2018" w:rsidRDefault="00622A95" w:rsidP="00EC179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počne sprovođenje zakona o javno-privatnom partnerstvu i javnim nabavkama i donese propise za sprovođenje za oblast javnih nabavki, uključujući nabavke u oblasti odbrane;</w:t>
      </w:r>
    </w:p>
    <w:p w:rsidR="00622A95" w:rsidRPr="009A2018" w:rsidRDefault="00622A95" w:rsidP="00EC179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u potpunosti ispoštuje principe EU za javne nabavke prilikom dodjele koncesije za upravljanje Aerodromima Crne Gore;</w:t>
      </w:r>
    </w:p>
    <w:p w:rsidR="00622A95" w:rsidRPr="009A2018" w:rsidRDefault="00622A95" w:rsidP="00EC179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 xml:space="preserve">dalje poboljša funkcionisanje sistema pravnih lijekova. </w:t>
      </w:r>
    </w:p>
    <w:p w:rsidR="00622A95" w:rsidRPr="009A2018" w:rsidRDefault="00622A95" w:rsidP="00EC1790">
      <w:pPr>
        <w:widowControl w:val="0"/>
        <w:autoSpaceDE w:val="0"/>
        <w:autoSpaceDN w:val="0"/>
        <w:adjustRightInd w:val="0"/>
        <w:spacing w:after="120" w:line="240" w:lineRule="auto"/>
        <w:jc w:val="both"/>
        <w:rPr>
          <w:rFonts w:eastAsia="Calibri" w:cs="Times New Roman"/>
          <w:color w:val="000000"/>
          <w:szCs w:val="24"/>
          <w:u w:val="single"/>
          <w:lang w:eastAsia="en-GB"/>
        </w:rPr>
      </w:pPr>
      <w:r w:rsidRPr="009A2018">
        <w:rPr>
          <w:rFonts w:eastAsia="Calibri" w:cs="Times New Roman"/>
          <w:color w:val="000000"/>
          <w:szCs w:val="24"/>
          <w:u w:val="single"/>
          <w:lang w:eastAsia="en-GB"/>
        </w:rPr>
        <w:t>Institucionalna organizacija i pravno usklađivanje</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lang w:eastAsia="en-GB"/>
        </w:rPr>
      </w:pPr>
      <w:bookmarkStart w:id="90" w:name="_Toc30074135"/>
      <w:bookmarkStart w:id="91" w:name="_Toc30073822"/>
      <w:r w:rsidRPr="009A2018">
        <w:rPr>
          <w:rFonts w:eastAsia="Calibri" w:cs="Times New Roman"/>
          <w:b/>
          <w:color w:val="000000"/>
          <w:szCs w:val="24"/>
          <w:lang w:eastAsia="en-GB"/>
        </w:rPr>
        <w:t xml:space="preserve">Pravni okvir </w:t>
      </w:r>
      <w:r w:rsidRPr="009A2018">
        <w:rPr>
          <w:rFonts w:eastAsia="Calibri" w:cs="Times New Roman"/>
          <w:color w:val="000000"/>
          <w:szCs w:val="24"/>
          <w:lang w:eastAsia="en-GB"/>
        </w:rPr>
        <w:t xml:space="preserve">za javne nabavke generalno je usklađen s pravnom tekovinom EU. U decembru 2019. godine, Skupština je donijela izmijenjeni i dopunjeni zakon o javnim nabavkama i novi zakon o javno-privatnom partnerstvu, oba s ciljem usklađivanja s direktivama EU o javnim nabavkama iz 2014. godine u oblasti klasičnih nabavki, komunalnih usluga i koncesija. Počeo je rad na izradi odgovarajućih </w:t>
      </w:r>
      <w:r w:rsidR="0074436B">
        <w:rPr>
          <w:rFonts w:eastAsia="Calibri" w:cs="Times New Roman"/>
          <w:color w:val="000000"/>
          <w:szCs w:val="24"/>
          <w:lang w:eastAsia="en-GB"/>
        </w:rPr>
        <w:t>propisa</w:t>
      </w:r>
      <w:r w:rsidRPr="009A2018">
        <w:rPr>
          <w:rFonts w:eastAsia="Calibri" w:cs="Times New Roman"/>
          <w:color w:val="000000"/>
          <w:szCs w:val="24"/>
          <w:lang w:eastAsia="en-GB"/>
        </w:rPr>
        <w:t xml:space="preserve"> za sprovođenje.</w:t>
      </w:r>
      <w:bookmarkEnd w:id="90"/>
      <w:bookmarkEnd w:id="91"/>
      <w:r w:rsidRPr="009A2018">
        <w:rPr>
          <w:rFonts w:eastAsia="Calibri" w:cs="Times New Roman"/>
          <w:color w:val="000000"/>
          <w:szCs w:val="24"/>
          <w:lang w:eastAsia="en-GB"/>
        </w:rPr>
        <w:t xml:space="preserve"> </w:t>
      </w:r>
      <w:bookmarkStart w:id="92" w:name="_Toc30074136"/>
      <w:bookmarkStart w:id="93" w:name="_Toc30073823"/>
      <w:r w:rsidRPr="009A2018">
        <w:rPr>
          <w:rFonts w:eastAsia="Calibri" w:cs="Times New Roman"/>
          <w:color w:val="000000"/>
          <w:szCs w:val="24"/>
          <w:lang w:eastAsia="en-GB"/>
        </w:rPr>
        <w:t xml:space="preserve">Ukupno, tokom godine treba da bude doneseno 38 različitih pravnih akata, uključujući </w:t>
      </w:r>
      <w:r w:rsidR="0074436B">
        <w:rPr>
          <w:rFonts w:eastAsia="Calibri" w:cs="Times New Roman"/>
          <w:color w:val="000000"/>
          <w:szCs w:val="24"/>
          <w:lang w:eastAsia="en-GB"/>
        </w:rPr>
        <w:t>propise za sprovođenje</w:t>
      </w:r>
      <w:r w:rsidRPr="009A2018">
        <w:rPr>
          <w:rFonts w:eastAsia="Calibri" w:cs="Times New Roman"/>
          <w:color w:val="000000"/>
          <w:szCs w:val="24"/>
          <w:lang w:eastAsia="en-GB"/>
        </w:rPr>
        <w:t xml:space="preserve"> za centralizovane nabavke, nabavke u oblasti odbrane i elektronske nabavke.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lang w:eastAsia="en-GB"/>
        </w:rPr>
      </w:pPr>
      <w:r w:rsidRPr="009A2018">
        <w:rPr>
          <w:rFonts w:eastAsia="Calibri" w:cs="Times New Roman"/>
          <w:color w:val="000000"/>
          <w:szCs w:val="24"/>
          <w:lang w:eastAsia="en-GB"/>
        </w:rPr>
        <w:t xml:space="preserve">S obzirom na sveobuhvatne regulatorne, organizacione i institucionalne promjene tokom prošle godine, Crna Gora je u julu 2019. godine usvojila detaljni </w:t>
      </w:r>
      <w:r w:rsidRPr="009A2018">
        <w:rPr>
          <w:rFonts w:eastAsia="Calibri" w:cs="Times New Roman"/>
          <w:b/>
          <w:color w:val="000000"/>
          <w:szCs w:val="24"/>
          <w:lang w:eastAsia="en-GB"/>
        </w:rPr>
        <w:t>akcioni plan</w:t>
      </w:r>
      <w:r w:rsidRPr="009A2018">
        <w:rPr>
          <w:rFonts w:eastAsia="Calibri" w:cs="Times New Roman"/>
          <w:color w:val="000000"/>
          <w:szCs w:val="24"/>
          <w:lang w:eastAsia="en-GB"/>
        </w:rPr>
        <w:t xml:space="preserve"> za reforme u ovoj oblasti. Plan obuhvata period do decembra 2020. godine i sastoji se od 37 različitih mjera, među kojima je i usvajanje nove strategije o javnim nabavkama.</w:t>
      </w:r>
      <w:bookmarkEnd w:id="92"/>
      <w:bookmarkEnd w:id="93"/>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94" w:name="_Toc30074138"/>
      <w:bookmarkStart w:id="95" w:name="_Toc30073825"/>
      <w:r w:rsidRPr="009A2018">
        <w:rPr>
          <w:rFonts w:eastAsia="Calibri" w:cs="Times New Roman"/>
          <w:color w:val="000000"/>
          <w:szCs w:val="24"/>
          <w:lang w:eastAsia="en-GB"/>
        </w:rPr>
        <w:lastRenderedPageBreak/>
        <w:t>Vlada je u oktobru 2019. objavila veoma značajan tender za dodjelu koncesije za upravljanje Aerodromima Crne Gore. Taj postupak predstavlja test odlučnosti vlade da slijedi EU standarde pravičnih i transparentnih javnih nabavki, kojima se obezbjeđuje dobar odnos cijene i koristi, konkurencija i jake zaštitne mjere protiv korupcije. Potpuno poštovanje principa EU o javnim nabavkama bilo bi od suštinskog značaja za Crnu Goru u skladu sa zahtjevima u okviru ovog pregovaračkog poglavlja.</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lang w:eastAsia="en-GB"/>
        </w:rPr>
      </w:pPr>
      <w:r w:rsidRPr="009A2018">
        <w:rPr>
          <w:rFonts w:eastAsia="Calibri" w:cs="Times New Roman"/>
          <w:b/>
          <w:color w:val="000000"/>
          <w:szCs w:val="24"/>
        </w:rPr>
        <w:t xml:space="preserve">Uprava za javne nabavke </w:t>
      </w:r>
      <w:r w:rsidRPr="009A2018">
        <w:rPr>
          <w:rFonts w:eastAsia="Calibri" w:cs="Times New Roman"/>
          <w:color w:val="000000"/>
          <w:szCs w:val="24"/>
        </w:rPr>
        <w:t xml:space="preserve">je sada dio Direktorata za politiku javnih nabavki Ministarstva finansija, koji ima vodeću ulogu u razvoju politike javnih nabavki.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u w:val="single"/>
          <w:lang w:eastAsia="en-GB"/>
        </w:rPr>
      </w:pPr>
      <w:r w:rsidRPr="009A2018">
        <w:rPr>
          <w:rFonts w:eastAsia="Calibri" w:cs="Times New Roman"/>
          <w:color w:val="000000"/>
          <w:szCs w:val="24"/>
          <w:u w:val="single"/>
          <w:lang w:eastAsia="en-GB"/>
        </w:rPr>
        <w:t>Kapacitet za sprovođenje i izvršenje</w:t>
      </w:r>
      <w:bookmarkEnd w:id="94"/>
      <w:bookmarkEnd w:id="95"/>
    </w:p>
    <w:p w:rsidR="00622A95" w:rsidRPr="009A2018" w:rsidRDefault="00622A95" w:rsidP="00EC1790">
      <w:pPr>
        <w:autoSpaceDE w:val="0"/>
        <w:autoSpaceDN w:val="0"/>
        <w:adjustRightInd w:val="0"/>
        <w:spacing w:after="120" w:line="240" w:lineRule="auto"/>
        <w:jc w:val="both"/>
        <w:rPr>
          <w:rFonts w:eastAsia="Calibri" w:cs="Times New Roman"/>
          <w:noProof/>
          <w:color w:val="000000"/>
          <w:szCs w:val="24"/>
          <w:lang w:eastAsia="en-GB"/>
        </w:rPr>
      </w:pPr>
      <w:bookmarkStart w:id="96" w:name="_Toc30074139"/>
      <w:bookmarkStart w:id="97" w:name="_Toc30073826"/>
      <w:r w:rsidRPr="009A2018">
        <w:rPr>
          <w:rFonts w:eastAsia="Calibri" w:cs="Times New Roman"/>
          <w:noProof/>
          <w:color w:val="000000"/>
          <w:szCs w:val="24"/>
          <w:lang w:eastAsia="en-GB"/>
        </w:rPr>
        <w:t xml:space="preserve">Crnogorsko </w:t>
      </w:r>
      <w:r w:rsidRPr="009A2018">
        <w:rPr>
          <w:rFonts w:eastAsia="Calibri" w:cs="Times New Roman"/>
          <w:b/>
          <w:noProof/>
          <w:color w:val="000000"/>
          <w:szCs w:val="24"/>
          <w:lang w:eastAsia="en-GB"/>
        </w:rPr>
        <w:t>tržište javnih nabavki</w:t>
      </w:r>
      <w:r w:rsidRPr="009A2018">
        <w:rPr>
          <w:rFonts w:eastAsia="Calibri" w:cs="Times New Roman"/>
          <w:noProof/>
          <w:color w:val="000000"/>
          <w:szCs w:val="24"/>
          <w:lang w:eastAsia="en-GB"/>
        </w:rPr>
        <w:t xml:space="preserve"> odgovaralo je 12,4% BDP-a iz 2019. godine a vrijednost svih postupaka javnih nabavki iznosila je nekih 608 miliona eura. </w:t>
      </w:r>
    </w:p>
    <w:p w:rsidR="00622A95" w:rsidRPr="009A2018" w:rsidRDefault="00622A95" w:rsidP="00EC1790">
      <w:pPr>
        <w:tabs>
          <w:tab w:val="left" w:pos="1701"/>
        </w:tabs>
        <w:autoSpaceDE w:val="0"/>
        <w:autoSpaceDN w:val="0"/>
        <w:adjustRightInd w:val="0"/>
        <w:spacing w:after="120" w:line="240" w:lineRule="auto"/>
        <w:jc w:val="both"/>
        <w:rPr>
          <w:rFonts w:eastAsia="Calibri" w:cs="Times New Roman"/>
          <w:noProof/>
          <w:color w:val="000000"/>
          <w:szCs w:val="24"/>
          <w:lang w:eastAsia="en-GB"/>
        </w:rPr>
      </w:pPr>
      <w:r w:rsidRPr="009A2018">
        <w:rPr>
          <w:rFonts w:eastAsia="Calibri" w:cs="Times New Roman"/>
          <w:noProof/>
          <w:color w:val="000000"/>
          <w:szCs w:val="24"/>
          <w:lang w:eastAsia="en-GB"/>
        </w:rPr>
        <w:t xml:space="preserve">Kad je u pitanju </w:t>
      </w:r>
      <w:r w:rsidRPr="009A2018">
        <w:rPr>
          <w:rFonts w:eastAsia="Calibri" w:cs="Times New Roman"/>
          <w:b/>
          <w:noProof/>
          <w:color w:val="000000"/>
          <w:szCs w:val="24"/>
          <w:lang w:eastAsia="en-GB"/>
        </w:rPr>
        <w:t>praćenje dodjele i realizacije ugovora</w:t>
      </w:r>
      <w:r w:rsidRPr="009A2018">
        <w:rPr>
          <w:rFonts w:eastAsia="Calibri" w:cs="Times New Roman"/>
          <w:noProof/>
          <w:color w:val="000000"/>
          <w:szCs w:val="24"/>
          <w:lang w:eastAsia="en-GB"/>
        </w:rPr>
        <w:t xml:space="preserve">, Inspekcija za javne nabavke izvršila je 425 inspekcijskih pregleda do oktobra 2019. godine, odnosno 12% više nego u istom periodu 2018. Većina pregleda odnosi se na faze zaključivanja i izvršenja ugovora. Broj kontrolisanih subjekata porastao je za 28% na 393. </w:t>
      </w:r>
    </w:p>
    <w:p w:rsidR="00622A95" w:rsidRPr="009A2018" w:rsidRDefault="00622A95" w:rsidP="00EC1790">
      <w:pPr>
        <w:tabs>
          <w:tab w:val="left" w:pos="6379"/>
        </w:tabs>
        <w:spacing w:after="120" w:line="240" w:lineRule="auto"/>
        <w:jc w:val="both"/>
        <w:rPr>
          <w:rFonts w:eastAsia="Calibri" w:cs="Times New Roman"/>
          <w:noProof/>
          <w:color w:val="000000"/>
          <w:szCs w:val="24"/>
          <w:lang w:eastAsia="en-GB"/>
        </w:rPr>
      </w:pPr>
      <w:r w:rsidRPr="009A2018">
        <w:rPr>
          <w:rFonts w:eastAsia="Calibri" w:cs="Times New Roman"/>
          <w:b/>
          <w:noProof/>
          <w:color w:val="000000"/>
          <w:szCs w:val="24"/>
          <w:lang w:eastAsia="en-GB"/>
        </w:rPr>
        <w:t>Kapacitet za upravljanje procesima javnih nabavki</w:t>
      </w:r>
      <w:r w:rsidRPr="009A2018">
        <w:rPr>
          <w:rFonts w:eastAsia="Calibri" w:cs="Times New Roman"/>
          <w:noProof/>
          <w:color w:val="000000"/>
          <w:szCs w:val="24"/>
          <w:lang w:eastAsia="en-GB"/>
        </w:rPr>
        <w:t xml:space="preserve"> se poboljšao, iako veliki broj naručilaca ne doprinosi efikasnosti. Manje opštine s ograničenim sopstvenim kapacitetima mogu dobiti pomoć za svoje infrastrukturne projekte javnih nabavki koji se odnose na vodu, komunalne usluge i životnu sredinu od dva preduzeća u državnom vlasništvu, PROCON i VODACOM. Centralizovane nabavke se sada više koriste za određene standardne nabavke, ali upravljanje ugovorima i ex-post evaluacija procesa nabavki još uvijek su vrlo rijetki. U 66% svih postupaka tokom 2019. godine kao jedini kriterijum za dodjelu primijenjena je najniža cijena.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lang w:eastAsia="en-GB"/>
        </w:rPr>
      </w:pPr>
      <w:r w:rsidRPr="009A2018">
        <w:rPr>
          <w:rFonts w:eastAsia="Calibri" w:cs="Times New Roman"/>
          <w:noProof/>
          <w:color w:val="000000"/>
          <w:szCs w:val="24"/>
        </w:rPr>
        <w:t xml:space="preserve">Uspostavljen je i regulatorni i institucionalni okvir za mehanizme </w:t>
      </w:r>
      <w:r w:rsidRPr="009A2018">
        <w:rPr>
          <w:rFonts w:eastAsia="Calibri" w:cs="Times New Roman"/>
          <w:b/>
          <w:noProof/>
          <w:color w:val="000000"/>
          <w:szCs w:val="24"/>
        </w:rPr>
        <w:t xml:space="preserve">integriteta i sukoba interesa </w:t>
      </w:r>
      <w:r w:rsidRPr="009A2018">
        <w:rPr>
          <w:rFonts w:eastAsia="Calibri" w:cs="Times New Roman"/>
          <w:noProof/>
          <w:color w:val="000000"/>
          <w:szCs w:val="24"/>
        </w:rPr>
        <w:t>u oblasti javnih nabavki. Kad je riječ o sistemima za upravljanje podacima,</w:t>
      </w:r>
      <w:bookmarkStart w:id="98" w:name="_Toc30074140"/>
      <w:bookmarkStart w:id="99" w:name="_Toc30073827"/>
      <w:bookmarkEnd w:id="96"/>
      <w:bookmarkEnd w:id="97"/>
      <w:r w:rsidRPr="009A2018">
        <w:rPr>
          <w:rFonts w:eastAsia="Calibri" w:cs="Times New Roman"/>
          <w:noProof/>
          <w:color w:val="000000"/>
          <w:szCs w:val="24"/>
        </w:rPr>
        <w:t xml:space="preserve"> </w:t>
      </w:r>
      <w:r w:rsidRPr="009A2018">
        <w:rPr>
          <w:rFonts w:eastAsia="Calibri" w:cs="Times New Roman"/>
          <w:color w:val="000000"/>
          <w:szCs w:val="24"/>
          <w:lang w:eastAsia="en-GB"/>
        </w:rPr>
        <w:t xml:space="preserve">novi regulatorni okvir za javne nabavke pruža osnovu za uvođenje elektronskog sistema javnih nabavki u Crnoj Gori. Od 2021. godine, postojeći portal za javne nabavke i tradicionalni postupci javnih nabavki na papiru treba da budu zamijenjeni sistemom e-nabavki (EPPS). Aktivnosti na sprovođenju elektronskog sistema nabavki, </w:t>
      </w:r>
      <w:r w:rsidRPr="009A2018">
        <w:rPr>
          <w:rFonts w:eastAsia="Calibri" w:cs="Times New Roman"/>
          <w:i/>
          <w:color w:val="000000"/>
          <w:szCs w:val="24"/>
          <w:lang w:eastAsia="en-GB"/>
        </w:rPr>
        <w:t>finansirane projektom EU</w:t>
      </w:r>
      <w:r w:rsidRPr="009A2018">
        <w:rPr>
          <w:rFonts w:eastAsia="Calibri" w:cs="Times New Roman"/>
          <w:color w:val="000000"/>
          <w:szCs w:val="24"/>
          <w:lang w:eastAsia="en-GB"/>
        </w:rPr>
        <w:t>, napreduju nesmetano, a test verzija novog softvera obezbijeđena je u septembru 2019. godine. Pilot faza elektronskog sistema nabavki treba da bude pokrenuta u trećem kvartalu 2020, uz učešće izabranih naručilaca.</w:t>
      </w:r>
    </w:p>
    <w:bookmarkEnd w:id="98"/>
    <w:bookmarkEnd w:id="99"/>
    <w:p w:rsidR="00622A95" w:rsidRPr="009A2018" w:rsidRDefault="00622A95" w:rsidP="00EC1790">
      <w:pPr>
        <w:keepNext/>
        <w:autoSpaceDE w:val="0"/>
        <w:autoSpaceDN w:val="0"/>
        <w:adjustRightInd w:val="0"/>
        <w:spacing w:after="120" w:line="240" w:lineRule="auto"/>
        <w:jc w:val="both"/>
        <w:rPr>
          <w:rFonts w:eastAsia="Calibri" w:cs="Times New Roman"/>
          <w:noProof/>
          <w:color w:val="000000"/>
          <w:szCs w:val="24"/>
          <w:u w:val="single"/>
        </w:rPr>
      </w:pPr>
      <w:r w:rsidRPr="009A2018">
        <w:rPr>
          <w:rFonts w:eastAsia="Calibri" w:cs="Times New Roman"/>
          <w:noProof/>
          <w:color w:val="000000"/>
          <w:szCs w:val="24"/>
          <w:u w:val="single"/>
        </w:rPr>
        <w:t>Efikasan sistem pravnih ljekova</w:t>
      </w:r>
    </w:p>
    <w:p w:rsidR="00622A95" w:rsidRPr="009A2018" w:rsidRDefault="00622A95" w:rsidP="00EC1790">
      <w:pPr>
        <w:autoSpaceDE w:val="0"/>
        <w:autoSpaceDN w:val="0"/>
        <w:adjustRightInd w:val="0"/>
        <w:spacing w:after="120" w:line="240" w:lineRule="auto"/>
        <w:jc w:val="both"/>
        <w:rPr>
          <w:rFonts w:eastAsia="Calibri" w:cs="Times New Roman"/>
          <w:bCs/>
          <w:noProof/>
          <w:color w:val="000000"/>
          <w:szCs w:val="24"/>
        </w:rPr>
      </w:pPr>
      <w:r w:rsidRPr="009A2018">
        <w:rPr>
          <w:rFonts w:eastAsia="Calibri" w:cs="Times New Roman"/>
          <w:bCs/>
          <w:noProof/>
          <w:color w:val="000000"/>
          <w:szCs w:val="24"/>
        </w:rPr>
        <w:t xml:space="preserve">Zakonodavstvo o </w:t>
      </w:r>
      <w:r w:rsidRPr="009A2018">
        <w:rPr>
          <w:rFonts w:eastAsia="Calibri" w:cs="Times New Roman"/>
          <w:b/>
          <w:bCs/>
          <w:noProof/>
          <w:color w:val="000000"/>
          <w:szCs w:val="24"/>
        </w:rPr>
        <w:t xml:space="preserve">pravu na žalbu </w:t>
      </w:r>
      <w:r w:rsidRPr="009A2018">
        <w:rPr>
          <w:rFonts w:eastAsia="Calibri" w:cs="Times New Roman"/>
          <w:bCs/>
          <w:noProof/>
          <w:color w:val="000000"/>
          <w:szCs w:val="24"/>
        </w:rPr>
        <w:t xml:space="preserve">generalno je u skladu s pravnom tekovinom EU. Sistem pravnih ljekova zasnovan je na reviziji žalbi od strane Državne komisije za kontrolu postupaka javnih nabavki, nezavisnog upravnog organa koji podnosi izvještaj direktno Skupštini. Žalbe na odluke Državne komisije mogu se izjaviti Upravnom sudu. Broj žalbi u vezi s postupcima nabavki dodatno se smanjio na 55 do kraja 2019. godine. Po prvi put, Državna komisija za kontrolu postupaka javnih nabavki nije prijavila nijedan zaostali slučaj. Ovo je rezultat zakonskih i proceduralnih promjena uvedenih 2017. godine i zahvaljujući značajnom povećanju </w:t>
      </w:r>
      <w:r w:rsidRPr="009A2018">
        <w:rPr>
          <w:rFonts w:eastAsia="Calibri" w:cs="Times New Roman"/>
          <w:b/>
          <w:bCs/>
          <w:noProof/>
          <w:color w:val="000000"/>
          <w:szCs w:val="24"/>
        </w:rPr>
        <w:t>kapaciteta za sprovođenje</w:t>
      </w:r>
      <w:r w:rsidRPr="009A2018">
        <w:rPr>
          <w:rFonts w:eastAsia="Calibri" w:cs="Times New Roman"/>
          <w:bCs/>
          <w:noProof/>
          <w:color w:val="000000"/>
          <w:szCs w:val="24"/>
        </w:rPr>
        <w:t xml:space="preserve"> (nova zapošljavanja).</w:t>
      </w:r>
    </w:p>
    <w:p w:rsidR="00622A95" w:rsidRPr="009A2018" w:rsidRDefault="00622A95" w:rsidP="00EC1790">
      <w:pPr>
        <w:autoSpaceDE w:val="0"/>
        <w:autoSpaceDN w:val="0"/>
        <w:adjustRightInd w:val="0"/>
        <w:spacing w:after="120" w:line="240" w:lineRule="auto"/>
        <w:jc w:val="both"/>
        <w:rPr>
          <w:rFonts w:eastAsia="Calibri" w:cs="Times New Roman"/>
          <w:bCs/>
          <w:noProof/>
          <w:color w:val="000000"/>
          <w:szCs w:val="24"/>
        </w:rPr>
      </w:pPr>
      <w:r w:rsidRPr="009A2018">
        <w:rPr>
          <w:rFonts w:eastAsia="Calibri" w:cs="Times New Roman"/>
          <w:bCs/>
          <w:noProof/>
          <w:color w:val="000000"/>
          <w:szCs w:val="24"/>
        </w:rPr>
        <w:t>Ugovorne strane su tokom 2019. godine na Upravnom sudu dalje osporile nekih 8% odluka Državne komisije. Broj presuda Upravnog suda kojima se mijenjaju odluke Državne komisije i dalje je uporno visok i iznosi oko 41%, što ukazuje na to da bi procesi donošenja odluka mogli biti poboljšani. Ovo je istaknuto u nalazima i preporukama stručne analize Tajeksa (</w:t>
      </w:r>
      <w:r w:rsidRPr="009A2018">
        <w:rPr>
          <w:rFonts w:eastAsia="Calibri" w:cs="Times New Roman"/>
          <w:bCs/>
          <w:i/>
          <w:noProof/>
          <w:color w:val="000000"/>
          <w:szCs w:val="24"/>
        </w:rPr>
        <w:t>Taiex peer review</w:t>
      </w:r>
      <w:r w:rsidRPr="009A2018">
        <w:rPr>
          <w:rFonts w:eastAsia="Calibri" w:cs="Times New Roman"/>
          <w:bCs/>
          <w:noProof/>
          <w:color w:val="000000"/>
          <w:szCs w:val="24"/>
        </w:rPr>
        <w:t xml:space="preserve">), koja je sprovedena u novembru 2019. godine. </w:t>
      </w:r>
    </w:p>
    <w:p w:rsidR="00622A95" w:rsidRPr="009A2018" w:rsidRDefault="00622A95" w:rsidP="00EC1790">
      <w:pPr>
        <w:pStyle w:val="Heading2"/>
        <w:rPr>
          <w:rFonts w:eastAsia="Times New Roman" w:cs="Times New Roman"/>
          <w:szCs w:val="24"/>
        </w:rPr>
      </w:pPr>
      <w:bookmarkStart w:id="100" w:name="_Toc30073828"/>
      <w:bookmarkStart w:id="101" w:name="_Toc30074141"/>
      <w:bookmarkStart w:id="102" w:name="_Toc30080571"/>
      <w:bookmarkStart w:id="103" w:name="_Toc52744939"/>
      <w:bookmarkStart w:id="104" w:name="_Toc53362447"/>
      <w:r w:rsidRPr="009A2018">
        <w:rPr>
          <w:rFonts w:eastAsia="Times New Roman" w:cs="Times New Roman"/>
          <w:szCs w:val="24"/>
        </w:rPr>
        <w:t>5.6</w:t>
      </w:r>
      <w:r w:rsidRPr="009A2018">
        <w:rPr>
          <w:rFonts w:eastAsia="Times New Roman" w:cs="Times New Roman"/>
          <w:szCs w:val="24"/>
        </w:rPr>
        <w:tab/>
        <w:t>Poglavlje 6: Privredno pravo</w:t>
      </w:r>
      <w:bookmarkEnd w:id="100"/>
      <w:bookmarkEnd w:id="101"/>
      <w:bookmarkEnd w:id="102"/>
      <w:bookmarkEnd w:id="103"/>
      <w:bookmarkEnd w:id="104"/>
      <w:r w:rsidRPr="009A2018">
        <w:rPr>
          <w:rFonts w:eastAsia="Times New Roman" w:cs="Times New Roman"/>
          <w:szCs w:val="24"/>
        </w:rPr>
        <w:t xml:space="preserve"> </w:t>
      </w:r>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lang w:eastAsia="en-GB"/>
        </w:rPr>
      </w:pPr>
      <w:r w:rsidRPr="009A2018">
        <w:rPr>
          <w:rFonts w:eastAsia="Calibri" w:cs="Times New Roman"/>
          <w:i/>
          <w:iCs/>
          <w:color w:val="000000"/>
          <w:szCs w:val="24"/>
          <w:lang w:eastAsia="en-GB"/>
        </w:rPr>
        <w:t>EU ima zajednička pravila za osnivanje i registrovanje privrednih društava, kao i zahtjeve za objavljivanje, te dopunska pravila za računovodstveno i finansijsko izvještavanje i zakonsku reviziju.</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Crna Gora je ostvarila </w:t>
      </w:r>
      <w:r w:rsidRPr="009A2018">
        <w:rPr>
          <w:rFonts w:eastAsia="Calibri" w:cs="Times New Roman"/>
          <w:b/>
          <w:bCs/>
          <w:color w:val="000000"/>
          <w:szCs w:val="24"/>
        </w:rPr>
        <w:t xml:space="preserve">dobar nivo spremnosti </w:t>
      </w:r>
      <w:r w:rsidRPr="009A2018">
        <w:rPr>
          <w:rFonts w:eastAsia="Calibri" w:cs="Times New Roman"/>
          <w:color w:val="000000"/>
          <w:szCs w:val="24"/>
        </w:rPr>
        <w:t xml:space="preserve">u oblasti privrednog prava. </w:t>
      </w:r>
      <w:r w:rsidRPr="009A2018">
        <w:rPr>
          <w:rFonts w:eastAsia="Calibri" w:cs="Times New Roman"/>
          <w:b/>
          <w:bCs/>
          <w:color w:val="000000"/>
          <w:szCs w:val="24"/>
        </w:rPr>
        <w:t xml:space="preserve">Dobar napredak </w:t>
      </w:r>
      <w:r w:rsidRPr="009A2018">
        <w:rPr>
          <w:rFonts w:eastAsia="Calibri" w:cs="Times New Roman"/>
          <w:bCs/>
          <w:color w:val="000000"/>
          <w:szCs w:val="24"/>
        </w:rPr>
        <w:t>o</w:t>
      </w:r>
      <w:r w:rsidRPr="009A2018">
        <w:rPr>
          <w:rFonts w:eastAsia="Calibri" w:cs="Times New Roman"/>
          <w:color w:val="000000"/>
          <w:szCs w:val="24"/>
        </w:rPr>
        <w:t xml:space="preserve">stvaren je u odnosu na jednu preporuku iz 2019. godine, donošenjem Zakona o privrednim društvima. Preporuka o računovodstvu iz 2019. godine, međutim, i dalje ostaje na snazi, jer </w:t>
      </w:r>
      <w:r w:rsidR="00041B6B">
        <w:rPr>
          <w:rFonts w:eastAsia="Calibri" w:cs="Times New Roman"/>
          <w:color w:val="000000"/>
          <w:szCs w:val="24"/>
        </w:rPr>
        <w:t>predlog</w:t>
      </w:r>
      <w:r w:rsidR="00041B6B" w:rsidRPr="009A2018">
        <w:rPr>
          <w:rFonts w:eastAsia="Calibri" w:cs="Times New Roman"/>
          <w:color w:val="000000"/>
          <w:szCs w:val="24"/>
        </w:rPr>
        <w:t xml:space="preserve"> </w:t>
      </w:r>
      <w:r w:rsidRPr="009A2018">
        <w:rPr>
          <w:rFonts w:eastAsia="Calibri" w:cs="Times New Roman"/>
          <w:color w:val="000000"/>
          <w:szCs w:val="24"/>
        </w:rPr>
        <w:t xml:space="preserve">zakona tek treba da usvoji Skupština.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U predstojećoj godini, stoga, Crna Gora treba naročito da: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donese pravilnik o radu Centralnog registra privrednih subjekata;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 donese izmijenjeni i dopunjeni Zakon o računovodstvu i pravilnik o finansijskim iskazima privrednih društava. </w:t>
      </w:r>
    </w:p>
    <w:p w:rsidR="00622A95" w:rsidRPr="009A2018" w:rsidRDefault="00622A95" w:rsidP="00EC1790">
      <w:pPr>
        <w:autoSpaceDE w:val="0"/>
        <w:autoSpaceDN w:val="0"/>
        <w:adjustRightInd w:val="0"/>
        <w:spacing w:after="120" w:line="240" w:lineRule="auto"/>
        <w:jc w:val="both"/>
        <w:rPr>
          <w:rFonts w:eastAsia="Calibri" w:cs="Times New Roman"/>
          <w:szCs w:val="24"/>
          <w:lang w:eastAsia="en-GB"/>
        </w:rPr>
      </w:pPr>
      <w:r w:rsidRPr="009A2018">
        <w:rPr>
          <w:rFonts w:eastAsia="Calibri" w:cs="Times New Roman"/>
          <w:szCs w:val="24"/>
          <w:lang w:eastAsia="en-GB"/>
        </w:rPr>
        <w:t xml:space="preserve">U oblasti </w:t>
      </w:r>
      <w:r w:rsidRPr="009A2018">
        <w:rPr>
          <w:rFonts w:eastAsia="Calibri" w:cs="Times New Roman"/>
          <w:b/>
          <w:szCs w:val="24"/>
          <w:lang w:eastAsia="en-GB"/>
        </w:rPr>
        <w:t>privrednog prava</w:t>
      </w:r>
      <w:r w:rsidRPr="009A2018">
        <w:rPr>
          <w:rFonts w:eastAsia="Calibri" w:cs="Times New Roman"/>
          <w:szCs w:val="24"/>
          <w:lang w:eastAsia="en-GB"/>
        </w:rPr>
        <w:t xml:space="preserve">, Zakon o privrednim društvima usvojen je u junu 2020. godine, čime je postignut dalji napredak u usklađivanju s pravnom tekovinom EU po brojnim pitanjima, uključujući prekogranična spajanja, jednočlane kompanije i brojne odredbe o pravima akcionara. Međutim, potrebno je dalje usklađivanje zakonodavstva s preostalim pravilima o pravima akcionara. Pripremljen je nacrt pravilnika o radu Centralnog registra privrednih subjekata (CRPS), uključujući zakonske i tehničke odredbe za razvoj elektronske registracije preduzeća (omogućeno putem CRPS-a) i biće usvojen nakon stupanja na snagu Zakona o privrednim društvima. </w:t>
      </w:r>
      <w:r w:rsidR="00041B6B">
        <w:rPr>
          <w:rFonts w:eastAsia="Calibri" w:cs="Times New Roman"/>
          <w:szCs w:val="24"/>
          <w:lang w:eastAsia="en-GB"/>
        </w:rPr>
        <w:t>Nacionalno</w:t>
      </w:r>
      <w:r w:rsidR="00041B6B" w:rsidRPr="009A2018">
        <w:rPr>
          <w:rFonts w:eastAsia="Calibri" w:cs="Times New Roman"/>
          <w:szCs w:val="24"/>
          <w:lang w:eastAsia="en-GB"/>
        </w:rPr>
        <w:t xml:space="preserve"> </w:t>
      </w:r>
      <w:r w:rsidRPr="009A2018">
        <w:rPr>
          <w:rFonts w:eastAsia="Calibri" w:cs="Times New Roman"/>
          <w:szCs w:val="24"/>
          <w:lang w:eastAsia="en-GB"/>
        </w:rPr>
        <w:t xml:space="preserve">zakonodavstvo o preuzimanju privrednih društava usklađeno je s glavnim odredbama pravne tekovine EU. </w:t>
      </w:r>
      <w:r w:rsidR="00041B6B">
        <w:rPr>
          <w:rFonts w:eastAsia="Calibri" w:cs="Times New Roman"/>
          <w:szCs w:val="24"/>
          <w:lang w:eastAsia="en-GB"/>
        </w:rPr>
        <w:t xml:space="preserve">Komisija za tržište kapitala </w:t>
      </w:r>
      <w:r w:rsidRPr="009A2018">
        <w:rPr>
          <w:rFonts w:eastAsia="Calibri" w:cs="Times New Roman"/>
          <w:szCs w:val="24"/>
          <w:lang w:eastAsia="en-GB"/>
        </w:rPr>
        <w:t xml:space="preserve">Crne Gore razmatra reviziju Kodeksa korporativnog upravljanja kako bi se bolje uskladio s principima EU. Baza podataka privrednih društava u privrednom registru treba da bude spremna kako bi se u budućnosti povezala s privrednim registrima država članica EU. Crna Gora razvija Centralni registar </w:t>
      </w:r>
      <w:r w:rsidR="00041B6B">
        <w:rPr>
          <w:rFonts w:eastAsia="Calibri" w:cs="Times New Roman"/>
          <w:szCs w:val="24"/>
          <w:lang w:eastAsia="en-GB"/>
        </w:rPr>
        <w:t>propisanih</w:t>
      </w:r>
      <w:r w:rsidR="00041B6B" w:rsidRPr="009A2018">
        <w:rPr>
          <w:rFonts w:eastAsia="Calibri" w:cs="Times New Roman"/>
          <w:szCs w:val="24"/>
          <w:lang w:eastAsia="en-GB"/>
        </w:rPr>
        <w:t xml:space="preserve"> </w:t>
      </w:r>
      <w:r w:rsidRPr="009A2018">
        <w:rPr>
          <w:rFonts w:eastAsia="Calibri" w:cs="Times New Roman"/>
          <w:szCs w:val="24"/>
          <w:lang w:eastAsia="en-GB"/>
        </w:rPr>
        <w:t xml:space="preserve">informacija koji bi bio zvanični mehanizam za prikupljanje i objavljivanje </w:t>
      </w:r>
      <w:r w:rsidR="00041B6B">
        <w:rPr>
          <w:rFonts w:eastAsia="Calibri" w:cs="Times New Roman"/>
          <w:szCs w:val="24"/>
          <w:lang w:eastAsia="en-GB"/>
        </w:rPr>
        <w:t>propisanih</w:t>
      </w:r>
      <w:r w:rsidR="00041B6B" w:rsidRPr="009A2018">
        <w:rPr>
          <w:rFonts w:eastAsia="Calibri" w:cs="Times New Roman"/>
          <w:szCs w:val="24"/>
          <w:lang w:eastAsia="en-GB"/>
        </w:rPr>
        <w:t xml:space="preserve"> </w:t>
      </w:r>
      <w:r w:rsidRPr="009A2018">
        <w:rPr>
          <w:rFonts w:eastAsia="Calibri" w:cs="Times New Roman"/>
          <w:szCs w:val="24"/>
          <w:lang w:eastAsia="en-GB"/>
        </w:rPr>
        <w:t xml:space="preserve">informacija u skladu s </w:t>
      </w:r>
      <w:r w:rsidR="00041B6B">
        <w:rPr>
          <w:rFonts w:eastAsia="Calibri" w:cs="Times New Roman"/>
          <w:szCs w:val="24"/>
          <w:lang w:eastAsia="en-GB"/>
        </w:rPr>
        <w:t xml:space="preserve">EU </w:t>
      </w:r>
      <w:r w:rsidRPr="009A2018">
        <w:rPr>
          <w:rFonts w:eastAsia="Calibri" w:cs="Times New Roman"/>
          <w:szCs w:val="24"/>
          <w:lang w:eastAsia="en-GB"/>
        </w:rPr>
        <w:t>Direktivom o transparentnosti</w:t>
      </w:r>
      <w:r w:rsidRPr="009A2018">
        <w:rPr>
          <w:rFonts w:eastAsia="Calibri" w:cs="Times New Roman"/>
          <w:color w:val="000000"/>
          <w:szCs w:val="24"/>
          <w:lang w:bidi="en-US"/>
        </w:rPr>
        <w:t>.</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lang w:eastAsia="en-GB"/>
        </w:rPr>
        <w:t xml:space="preserve">Kad je u pitanju </w:t>
      </w:r>
      <w:r w:rsidRPr="009A2018">
        <w:rPr>
          <w:rFonts w:eastAsia="Calibri" w:cs="Times New Roman"/>
          <w:b/>
          <w:szCs w:val="24"/>
          <w:lang w:eastAsia="en-GB"/>
        </w:rPr>
        <w:t>korporativno računovodstvo i statutorna revizija</w:t>
      </w:r>
      <w:r w:rsidRPr="009A2018">
        <w:rPr>
          <w:rFonts w:eastAsia="Calibri" w:cs="Times New Roman"/>
          <w:szCs w:val="24"/>
          <w:lang w:eastAsia="en-GB"/>
        </w:rPr>
        <w:t xml:space="preserve">, </w:t>
      </w:r>
      <w:r w:rsidR="00041B6B">
        <w:rPr>
          <w:rFonts w:eastAsia="Calibri" w:cs="Times New Roman"/>
          <w:szCs w:val="24"/>
          <w:lang w:eastAsia="en-GB"/>
        </w:rPr>
        <w:t>izmjene</w:t>
      </w:r>
      <w:r w:rsidRPr="009A2018">
        <w:rPr>
          <w:rFonts w:eastAsia="Calibri" w:cs="Times New Roman"/>
          <w:szCs w:val="24"/>
          <w:lang w:eastAsia="en-GB"/>
        </w:rPr>
        <w:t xml:space="preserve"> Zakona o računovodstvu </w:t>
      </w:r>
      <w:r w:rsidR="00041B6B" w:rsidRPr="009A2018">
        <w:rPr>
          <w:rFonts w:eastAsia="Calibri" w:cs="Times New Roman"/>
          <w:szCs w:val="24"/>
          <w:lang w:eastAsia="en-GB"/>
        </w:rPr>
        <w:t>sadrž</w:t>
      </w:r>
      <w:r w:rsidR="00041B6B">
        <w:rPr>
          <w:rFonts w:eastAsia="Calibri" w:cs="Times New Roman"/>
          <w:szCs w:val="24"/>
          <w:lang w:eastAsia="en-GB"/>
        </w:rPr>
        <w:t>e</w:t>
      </w:r>
      <w:r w:rsidR="00041B6B" w:rsidRPr="009A2018">
        <w:rPr>
          <w:rFonts w:eastAsia="Calibri" w:cs="Times New Roman"/>
          <w:szCs w:val="24"/>
          <w:lang w:eastAsia="en-GB"/>
        </w:rPr>
        <w:t xml:space="preserve"> </w:t>
      </w:r>
      <w:r w:rsidRPr="009A2018">
        <w:rPr>
          <w:rFonts w:eastAsia="Calibri" w:cs="Times New Roman"/>
          <w:szCs w:val="24"/>
          <w:lang w:eastAsia="en-GB"/>
        </w:rPr>
        <w:t>odredbe koje su usklađene sa zahtjevima pravne tekovine EU, uključujući one o ne</w:t>
      </w:r>
      <w:r w:rsidRPr="009A2018">
        <w:rPr>
          <w:rFonts w:eastAsia="Calibri" w:cs="Times New Roman"/>
          <w:szCs w:val="24"/>
        </w:rPr>
        <w:t xml:space="preserve">finansijskom izvještavanju. Taj zakon tek treba da usvoji Skupština. Iako je novi </w:t>
      </w:r>
      <w:r w:rsidR="00041B6B" w:rsidRPr="00041B6B">
        <w:rPr>
          <w:rFonts w:eastAsia="Calibri" w:cs="Times New Roman"/>
          <w:szCs w:val="24"/>
        </w:rPr>
        <w:t xml:space="preserve">Pravilnik o sadržini i formi obrazaca finansijkih iskaza za privredna društva i druga pravna lica </w:t>
      </w:r>
      <w:r w:rsidRPr="009A2018">
        <w:rPr>
          <w:rFonts w:eastAsia="Calibri" w:cs="Times New Roman"/>
          <w:szCs w:val="24"/>
        </w:rPr>
        <w:t>djelimično usklađen s pravnom tekovinom EU, kasnije će se izvršiti dodatne izmjene kako bi se na odgovarajući način obuhvatio princip Direktive EU o računovodstvu „prvo misli na male“ (</w:t>
      </w:r>
      <w:r w:rsidRPr="009A2018">
        <w:rPr>
          <w:rFonts w:eastAsia="Calibri" w:cs="Times New Roman"/>
          <w:i/>
          <w:szCs w:val="24"/>
        </w:rPr>
        <w:t>think</w:t>
      </w:r>
      <w:r w:rsidRPr="009A2018">
        <w:rPr>
          <w:rFonts w:eastAsia="Calibri" w:cs="Times New Roman"/>
          <w:szCs w:val="24"/>
        </w:rPr>
        <w:t xml:space="preserve"> </w:t>
      </w:r>
      <w:r w:rsidRPr="009A2018">
        <w:rPr>
          <w:rFonts w:eastAsia="Calibri" w:cs="Times New Roman"/>
          <w:i/>
          <w:szCs w:val="24"/>
        </w:rPr>
        <w:t>small first</w:t>
      </w:r>
      <w:r w:rsidRPr="009A2018">
        <w:rPr>
          <w:rFonts w:eastAsia="Calibri" w:cs="Times New Roman"/>
          <w:szCs w:val="24"/>
        </w:rPr>
        <w:t xml:space="preserve">). Trenutno sva privredna društva moraju da usklade poslovanje s međunarodnim standardima finansijskog izvještavanja (MSFI), dok je za mala i mikro preduzeća obim obaveza smanjen (samo bilans stanja i bilans uspjeha). Crnogorski zakon o reviziji sadrži osnovne elemente usklađene sa zahtjevima EU, uključujući tijelo za javni nadzor revizije koje je nezavisno od profesije. Tijelo za javni nadzor revizije u potpunosti finansira </w:t>
      </w:r>
      <w:r w:rsidR="00041B6B">
        <w:rPr>
          <w:rFonts w:eastAsia="Calibri" w:cs="Times New Roman"/>
          <w:szCs w:val="24"/>
        </w:rPr>
        <w:t>V</w:t>
      </w:r>
      <w:r w:rsidR="00041B6B" w:rsidRPr="009A2018">
        <w:rPr>
          <w:rFonts w:eastAsia="Calibri" w:cs="Times New Roman"/>
          <w:szCs w:val="24"/>
        </w:rPr>
        <w:t>lada</w:t>
      </w:r>
      <w:r w:rsidRPr="009A2018">
        <w:rPr>
          <w:rFonts w:eastAsia="Calibri" w:cs="Times New Roman"/>
          <w:szCs w:val="24"/>
        </w:rPr>
        <w:t xml:space="preserve">. Statutorne revizije se vrše na osnovu međunarodnih standarda revizije (MSR) i obavezne su za subjekte od javnog interesa. Određeni dobri rezultati iz inspekcijskog nadzora nad kvalitetom revizije postignuti su od 2019. godine, što je u nekim slučajevima zahtijevalo oduzimanje licence. Vlada je odobrila planove za povećanje broja inspektora za kontrolu kvaliteta revizije u tijelu za javni nadzor revizije (sa 2 na </w:t>
      </w:r>
      <w:r w:rsidRPr="009A2018">
        <w:rPr>
          <w:rFonts w:eastAsia="Times New Roman" w:cs="Times New Roman"/>
          <w:szCs w:val="24"/>
          <w:lang w:eastAsia="en-IE"/>
        </w:rPr>
        <w:t>3)</w:t>
      </w:r>
      <w:r w:rsidRPr="009A2018">
        <w:rPr>
          <w:rFonts w:eastAsia="Calibri" w:cs="Times New Roman"/>
          <w:szCs w:val="24"/>
        </w:rPr>
        <w:t xml:space="preserve">. </w:t>
      </w:r>
    </w:p>
    <w:p w:rsidR="00622A95" w:rsidRPr="009A2018" w:rsidRDefault="00622A95" w:rsidP="00EC1790">
      <w:pPr>
        <w:pStyle w:val="Heading2"/>
        <w:rPr>
          <w:rFonts w:eastAsia="Times New Roman"/>
        </w:rPr>
      </w:pPr>
      <w:bookmarkStart w:id="105" w:name="_Toc30073829"/>
      <w:bookmarkStart w:id="106" w:name="_Toc30074142"/>
      <w:bookmarkStart w:id="107" w:name="_Toc30080572"/>
      <w:bookmarkStart w:id="108" w:name="_Toc52744940"/>
      <w:bookmarkStart w:id="109" w:name="_Toc53362448"/>
      <w:r w:rsidRPr="009A2018">
        <w:rPr>
          <w:rFonts w:eastAsia="Times New Roman"/>
        </w:rPr>
        <w:t>5.7</w:t>
      </w:r>
      <w:r w:rsidRPr="009A2018">
        <w:rPr>
          <w:rFonts w:eastAsia="Times New Roman"/>
        </w:rPr>
        <w:tab/>
        <w:t>Poglavlje 7: Pravo intelektualne svojine</w:t>
      </w:r>
      <w:bookmarkEnd w:id="105"/>
      <w:bookmarkEnd w:id="106"/>
      <w:bookmarkEnd w:id="107"/>
      <w:bookmarkEnd w:id="108"/>
      <w:bookmarkEnd w:id="109"/>
      <w:r w:rsidRPr="009A2018">
        <w:rPr>
          <w:rFonts w:eastAsia="Times New Roman"/>
        </w:rPr>
        <w:t xml:space="preserve"> </w:t>
      </w:r>
    </w:p>
    <w:p w:rsidR="00622A95" w:rsidRPr="009A2018" w:rsidRDefault="00622A95" w:rsidP="00EC1790">
      <w:pPr>
        <w:keepNext/>
        <w:autoSpaceDE w:val="0"/>
        <w:autoSpaceDN w:val="0"/>
        <w:adjustRightInd w:val="0"/>
        <w:spacing w:after="120" w:line="240" w:lineRule="auto"/>
        <w:jc w:val="both"/>
        <w:rPr>
          <w:i/>
          <w:iCs/>
          <w:sz w:val="23"/>
          <w:szCs w:val="23"/>
        </w:rPr>
      </w:pPr>
      <w:r w:rsidRPr="009A2018">
        <w:rPr>
          <w:rFonts w:eastAsia="Calibri" w:cs="Times New Roman"/>
          <w:i/>
          <w:iCs/>
          <w:color w:val="000000"/>
          <w:szCs w:val="24"/>
        </w:rPr>
        <w:t xml:space="preserve">EU je usaglasila pravila o pravnoj zaštiti prava intelektualne svojine, kao i pravila o pravnoj zaštiti autorskih i srodnih prava. Pravila za pravnu zaštitu prava intelektualne svojine obuhvataju, na primjer, patente i žigove, dizajn, biotehnološke izume i farmaceutske proizvode. Pravila za pravnu zaštitu autorskih i srodnih prava obuhvataju, na primjer, knjige, filmove, kompjuterske programe i emisije.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Crna Gora ima </w:t>
      </w:r>
      <w:r w:rsidRPr="009A2018">
        <w:rPr>
          <w:rFonts w:eastAsia="Calibri" w:cs="Times New Roman"/>
          <w:b/>
          <w:color w:val="000000"/>
          <w:szCs w:val="24"/>
        </w:rPr>
        <w:t>dobar nivo spremnosti</w:t>
      </w:r>
      <w:r w:rsidRPr="009A2018">
        <w:rPr>
          <w:rFonts w:eastAsia="Calibri" w:cs="Times New Roman"/>
          <w:color w:val="000000"/>
          <w:szCs w:val="24"/>
        </w:rPr>
        <w:t xml:space="preserve"> u oblasti prava intelektualne svojine. Postignut je </w:t>
      </w:r>
      <w:r w:rsidRPr="009A2018">
        <w:rPr>
          <w:rFonts w:eastAsia="Calibri" w:cs="Times New Roman"/>
          <w:b/>
          <w:color w:val="000000"/>
          <w:szCs w:val="24"/>
        </w:rPr>
        <w:t>određeni napredak</w:t>
      </w:r>
      <w:r w:rsidRPr="009A2018">
        <w:rPr>
          <w:rFonts w:eastAsia="Calibri" w:cs="Times New Roman"/>
          <w:color w:val="000000"/>
          <w:szCs w:val="24"/>
        </w:rPr>
        <w:t xml:space="preserve">, naročito u pogledu usklađivanja s pravnom tekovinom EU u dijelu kolektivnog ostvarivanja autorskih i srodnih prava i utvrđivanju bilansa ostvarenih rezultata u izvršenju, koordinaciji uključenih tijela, zajedničkim operacijama i izvještavanju.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Tokom predstojeće godine, Crna Gora treba naročito da:</w:t>
      </w:r>
    </w:p>
    <w:p w:rsidR="00622A95" w:rsidRPr="009A2018" w:rsidRDefault="00622A95" w:rsidP="00EC1790">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usvoji novu nacionalnu strategiju za intelektualnu svojinu za period 2021-2024. godine;</w:t>
      </w:r>
    </w:p>
    <w:p w:rsidR="00622A95" w:rsidRPr="009A2018" w:rsidRDefault="00622A95" w:rsidP="00EC1790">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nastavi usklađivanje zakonodavstva naročito s Direktivom o poslovn</w:t>
      </w:r>
      <w:r w:rsidR="004105F7">
        <w:rPr>
          <w:rFonts w:ascii="Times New Roman" w:eastAsia="Calibri" w:hAnsi="Times New Roman" w:cs="Times New Roman"/>
          <w:color w:val="000000"/>
          <w:sz w:val="24"/>
          <w:szCs w:val="24"/>
        </w:rPr>
        <w:t>im tajnama</w:t>
      </w:r>
      <w:r w:rsidRPr="009A2018">
        <w:rPr>
          <w:rFonts w:ascii="Times New Roman" w:eastAsia="Calibri" w:hAnsi="Times New Roman" w:cs="Times New Roman"/>
          <w:color w:val="000000"/>
          <w:sz w:val="24"/>
          <w:szCs w:val="24"/>
        </w:rPr>
        <w:t xml:space="preserve"> i obezbijedi usklađivanje s Direktivom o izvršenju u dijelu mjera protiv posrednika;</w:t>
      </w:r>
    </w:p>
    <w:p w:rsidR="00622A95" w:rsidRPr="009A2018" w:rsidRDefault="00622A95" w:rsidP="00EC1790">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poboljša bilans ostvarenih rezultata u istragama, krivičnom gonjenju i sudskom epilogu.</w:t>
      </w:r>
    </w:p>
    <w:p w:rsidR="00622A95" w:rsidRPr="009A2018" w:rsidRDefault="00622A95" w:rsidP="00EC1790">
      <w:pPr>
        <w:keepNext/>
        <w:autoSpaceDE w:val="0"/>
        <w:autoSpaceDN w:val="0"/>
        <w:adjustRightInd w:val="0"/>
        <w:spacing w:after="120" w:line="240" w:lineRule="auto"/>
        <w:jc w:val="both"/>
        <w:rPr>
          <w:rFonts w:eastAsia="Calibri" w:cs="Times New Roman"/>
          <w:color w:val="000000"/>
          <w:szCs w:val="24"/>
        </w:rPr>
      </w:pPr>
      <w:r w:rsidRPr="009A2018">
        <w:rPr>
          <w:rFonts w:eastAsia="Calibri" w:cs="Times New Roman"/>
          <w:bCs/>
          <w:color w:val="000000"/>
          <w:szCs w:val="24"/>
        </w:rPr>
        <w:t>Što se tiče</w:t>
      </w:r>
      <w:r w:rsidRPr="009A2018">
        <w:rPr>
          <w:rFonts w:eastAsia="Calibri" w:cs="Times New Roman"/>
          <w:b/>
          <w:bCs/>
          <w:color w:val="000000"/>
          <w:szCs w:val="24"/>
        </w:rPr>
        <w:t xml:space="preserve"> autorskog i srodnih prava</w:t>
      </w:r>
      <w:r w:rsidRPr="009A2018">
        <w:rPr>
          <w:rFonts w:eastAsia="Calibri" w:cs="Times New Roman"/>
          <w:color w:val="000000"/>
          <w:szCs w:val="24"/>
        </w:rPr>
        <w:t xml:space="preserve">, Skupština tek treba da donese zakonodavstvo kojim bi se izvršilo usklađivanje s pravnom tekovinom EU o kolektivnom upravljanju autorskim i srodnim pravima i višeteritorijalnom licenciranju prava na muzička djela za upotrebu putem interneta. Ostaje da se izvrši potvrđivanje Ugovora iz Marakeša.  </w:t>
      </w:r>
    </w:p>
    <w:p w:rsidR="00622A95" w:rsidRPr="009A2018" w:rsidRDefault="00622A95" w:rsidP="00EC1790">
      <w:pPr>
        <w:autoSpaceDE w:val="0"/>
        <w:autoSpaceDN w:val="0"/>
        <w:adjustRightInd w:val="0"/>
        <w:spacing w:after="120" w:line="240" w:lineRule="auto"/>
        <w:jc w:val="both"/>
        <w:rPr>
          <w:rFonts w:eastAsia="Times New Roman" w:cs="Times New Roman"/>
          <w:szCs w:val="24"/>
          <w:lang w:eastAsia="en-GB"/>
        </w:rPr>
      </w:pPr>
      <w:r w:rsidRPr="009A2018">
        <w:rPr>
          <w:rFonts w:eastAsia="Calibri" w:cs="Times New Roman"/>
          <w:color w:val="000000"/>
          <w:szCs w:val="24"/>
        </w:rPr>
        <w:t xml:space="preserve">Što se tiče </w:t>
      </w:r>
      <w:r w:rsidRPr="009A2018">
        <w:rPr>
          <w:rFonts w:eastAsia="Calibri" w:cs="Times New Roman"/>
          <w:b/>
          <w:color w:val="000000"/>
          <w:szCs w:val="24"/>
        </w:rPr>
        <w:t xml:space="preserve">prava </w:t>
      </w:r>
      <w:r w:rsidRPr="009A2018">
        <w:rPr>
          <w:rFonts w:eastAsia="Calibri" w:cs="Times New Roman"/>
          <w:b/>
          <w:bCs/>
          <w:color w:val="000000"/>
          <w:szCs w:val="24"/>
        </w:rPr>
        <w:t>industrijske svojine</w:t>
      </w:r>
      <w:r w:rsidRPr="009A2018">
        <w:rPr>
          <w:rFonts w:eastAsia="Calibri" w:cs="Times New Roman"/>
          <w:color w:val="000000"/>
          <w:szCs w:val="24"/>
        </w:rPr>
        <w:t>, postojeći IT alati i sistemi pretraživanja</w:t>
      </w:r>
      <w:r w:rsidRPr="009A2018">
        <w:rPr>
          <w:rFonts w:eastAsia="Calibri" w:cs="Times New Roman"/>
          <w:szCs w:val="24"/>
        </w:rPr>
        <w:t xml:space="preserve"> TmView, DesignView, DesignClass i Anketa o zadovoljstvu korisnika (USS) Zavoda za intelektualnu svojinu Evropske unije (EUIPO) kao i Sistem za automatizaciju industrijske svojine (IPAS) za žigove u potpunosti su funkcionalni. Pored toga, implementirana je aplikacija Publish IT Svjetskog zavoda za intelektualnu svojinu </w:t>
      </w:r>
      <w:r w:rsidRPr="009A2018">
        <w:rPr>
          <w:rFonts w:eastAsia="Calibri" w:cs="Times New Roman"/>
          <w:color w:val="000000"/>
          <w:szCs w:val="24"/>
        </w:rPr>
        <w:t>(WIPO)</w:t>
      </w:r>
      <w:r w:rsidRPr="009A2018">
        <w:rPr>
          <w:rFonts w:eastAsia="Calibri" w:cs="Times New Roman"/>
          <w:szCs w:val="24"/>
        </w:rPr>
        <w:t>. Nastavljeno je usklađivanje zakonodavstva s pravnom tekovinom EU o patentima, zaštitnim znakovima i poslovnoj tajni a u pripremi za buduće članstvo Crne Gore u Evropskoj patentnoj konvenciji i Evropskoj patentnoj organizaciji (EPO), koje se očekuje do kraja 2020. godine.</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 xml:space="preserve">Što se tiče </w:t>
      </w:r>
      <w:r w:rsidR="004105F7">
        <w:rPr>
          <w:rFonts w:eastAsia="Calibri" w:cs="Times New Roman"/>
          <w:b/>
          <w:bCs/>
          <w:szCs w:val="24"/>
        </w:rPr>
        <w:t>spovođenja</w:t>
      </w:r>
      <w:r w:rsidRPr="009A2018">
        <w:rPr>
          <w:rFonts w:eastAsia="Calibri" w:cs="Times New Roman"/>
          <w:szCs w:val="24"/>
        </w:rPr>
        <w:t>, Crna Gora kvartalno ažurira svoje statističke izvještaje. Izvještavanje tek treba u potpunosti uskladiti s budućim obavezama Crne Gore da podnosi izvještaje Evropskoj komisiji o carinskoj primjeni prava intelektualne svojine</w:t>
      </w:r>
      <w:r w:rsidRPr="009A2018">
        <w:rPr>
          <w:rFonts w:eastAsia="Calibri" w:cs="Times New Roman"/>
          <w:color w:val="000000"/>
          <w:szCs w:val="24"/>
        </w:rPr>
        <w:t xml:space="preserve">. </w:t>
      </w:r>
      <w:r w:rsidRPr="009A2018">
        <w:rPr>
          <w:rFonts w:eastAsia="Calibri" w:cs="Times New Roman"/>
          <w:szCs w:val="24"/>
        </w:rPr>
        <w:t xml:space="preserve">Bilans ostvarenih rezultata u krivičnim istragama i krivičnom gonjenju treba da se poboljša u skladu sa standardima EU i međunardonim standardima. U tom pogledu treba ojačati ovlašćenja po službenoj dužnosti. Priprema nove nacionalne strategije za intelektualnu svojinu Crne Gore je u toku, a saradnja s </w:t>
      </w:r>
      <w:r w:rsidRPr="009A2018">
        <w:rPr>
          <w:rFonts w:eastAsia="Calibri" w:cs="Times New Roman"/>
          <w:color w:val="000000"/>
          <w:szCs w:val="24"/>
        </w:rPr>
        <w:t xml:space="preserve">WIPO-om u tom pogledu treba da se intenzivira. </w:t>
      </w:r>
      <w:r w:rsidRPr="009A2018">
        <w:rPr>
          <w:rFonts w:eastAsia="Calibri" w:cs="Times New Roman"/>
          <w:szCs w:val="24"/>
        </w:rPr>
        <w:t xml:space="preserve">Koordinacioni tim za oblast prava intelektualne svojine sastaje se redovno a uspostavljena interdisciplinarna radna grupa </w:t>
      </w:r>
      <w:r w:rsidRPr="009A2018">
        <w:rPr>
          <w:rFonts w:eastAsia="Times New Roman" w:cs="Times New Roman"/>
          <w:szCs w:val="24"/>
          <w:lang w:eastAsia="en-GB"/>
        </w:rPr>
        <w:t>organizovala je šest zajedničkih akcija fokusiranih na podizanje svijesti i jačanje saradnje između organa za prava intelektualne svojine i nosilaca prava</w:t>
      </w:r>
      <w:r w:rsidRPr="009A2018">
        <w:rPr>
          <w:rFonts w:eastAsia="Calibri" w:cs="Times New Roman"/>
          <w:szCs w:val="24"/>
        </w:rPr>
        <w:t xml:space="preserve">. Ministarstvo zdravlja nastavilo je da prati trgovinu falsifikovanim medicinskim proizvodima.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 xml:space="preserve">Nakon restrukturiranja državne uprave, </w:t>
      </w:r>
      <w:r w:rsidR="004105F7">
        <w:rPr>
          <w:rFonts w:eastAsia="Calibri" w:cs="Times New Roman"/>
          <w:szCs w:val="24"/>
        </w:rPr>
        <w:t xml:space="preserve">obaveze u okviru intelektualne svojine su </w:t>
      </w:r>
      <w:r w:rsidRPr="009A2018">
        <w:rPr>
          <w:rFonts w:eastAsia="Calibri" w:cs="Times New Roman"/>
          <w:szCs w:val="24"/>
        </w:rPr>
        <w:t xml:space="preserve">dio Ministarstva ekonomije od decembra 2018. godine. </w:t>
      </w:r>
      <w:r w:rsidRPr="009A2018">
        <w:rPr>
          <w:rFonts w:eastAsia="Calibri" w:cs="Times New Roman"/>
          <w:b/>
          <w:szCs w:val="24"/>
        </w:rPr>
        <w:t>Broj zaposlenih</w:t>
      </w:r>
      <w:r w:rsidRPr="009A2018">
        <w:rPr>
          <w:rFonts w:eastAsia="Calibri" w:cs="Times New Roman"/>
          <w:szCs w:val="24"/>
        </w:rPr>
        <w:t xml:space="preserve"> je smanjen, u poređenju s brojem zaposlenih koji je Zavod za intelektualnu svojinu imao 2018.</w:t>
      </w:r>
      <w:bookmarkStart w:id="110" w:name="_Toc30073830"/>
      <w:bookmarkStart w:id="111" w:name="_Toc30074143"/>
      <w:r w:rsidRPr="009A2018">
        <w:rPr>
          <w:rFonts w:eastAsia="Calibri" w:cs="Times New Roman"/>
          <w:szCs w:val="24"/>
        </w:rPr>
        <w:t xml:space="preserve"> Nastavljena je saradnja s međunarodnim organizacijama, i to WIPO-om, EUIPO-om i Evropskom patentnom organizacijom, kao i s ekonomskim subjektima i nosiocima prava. Pojačana je saradnja s Opservatorijom EUIPO-a za povrede prava intelektualne svojine.</w:t>
      </w:r>
      <w:bookmarkEnd w:id="110"/>
      <w:bookmarkEnd w:id="111"/>
    </w:p>
    <w:p w:rsidR="00622A95" w:rsidRPr="009A2018" w:rsidRDefault="00622A95" w:rsidP="00EC1790">
      <w:pPr>
        <w:pStyle w:val="Heading2"/>
        <w:rPr>
          <w:rFonts w:eastAsia="Times New Roman"/>
        </w:rPr>
      </w:pPr>
      <w:bookmarkStart w:id="112" w:name="_Toc30073831"/>
      <w:bookmarkStart w:id="113" w:name="_Toc30074144"/>
      <w:bookmarkStart w:id="114" w:name="_Toc30080573"/>
      <w:bookmarkStart w:id="115" w:name="_Toc52744941"/>
      <w:bookmarkStart w:id="116" w:name="_Toc53362449"/>
      <w:r w:rsidRPr="009A2018">
        <w:rPr>
          <w:rFonts w:eastAsia="Times New Roman"/>
        </w:rPr>
        <w:t>5.8</w:t>
      </w:r>
      <w:r w:rsidRPr="009A2018">
        <w:rPr>
          <w:rFonts w:eastAsia="Times New Roman"/>
        </w:rPr>
        <w:tab/>
        <w:t>Poglavlje 8: Politika konkurencije</w:t>
      </w:r>
      <w:bookmarkEnd w:id="112"/>
      <w:bookmarkEnd w:id="113"/>
      <w:bookmarkEnd w:id="114"/>
      <w:bookmarkEnd w:id="115"/>
      <w:bookmarkEnd w:id="116"/>
      <w:r w:rsidRPr="009A2018">
        <w:rPr>
          <w:rFonts w:eastAsia="Times New Roman"/>
        </w:rPr>
        <w:t xml:space="preserve"> </w:t>
      </w:r>
    </w:p>
    <w:p w:rsidR="00622A95" w:rsidRPr="009A2018" w:rsidRDefault="00622A95" w:rsidP="00EC1790">
      <w:pPr>
        <w:autoSpaceDE w:val="0"/>
        <w:autoSpaceDN w:val="0"/>
        <w:adjustRightInd w:val="0"/>
        <w:spacing w:after="120" w:line="240" w:lineRule="auto"/>
        <w:jc w:val="both"/>
        <w:rPr>
          <w:i/>
          <w:iCs/>
          <w:sz w:val="23"/>
          <w:szCs w:val="23"/>
        </w:rPr>
      </w:pPr>
      <w:r w:rsidRPr="009A2018">
        <w:rPr>
          <w:rFonts w:eastAsia="Calibri" w:cs="Times New Roman"/>
          <w:i/>
          <w:iCs/>
          <w:color w:val="000000"/>
          <w:szCs w:val="24"/>
        </w:rPr>
        <w:t xml:space="preserve">Pravila EU štite slobodnu konkurenciju i obuhvataju antimonopolska pravila protiv restriktivnih sporazuma između preduzeća i zloupotrebe dominantnog položaja, a uključuju i pravila o koncentraciji između privrednih društava koja bi značajno narušila konkurenciju. Pravila EU takođe uspostavljaju sistem kontrole državne pomoći. Vlade mogu da dodjeljuju državnu pomoć samo ukoliko se ispune restriktivni uslovi, kako bi se spriječilo da se poremeti konkurencija. </w:t>
      </w:r>
    </w:p>
    <w:tbl>
      <w:tblPr>
        <w:tblStyle w:val="TableGrid1"/>
        <w:tblW w:w="0" w:type="auto"/>
        <w:shd w:val="clear" w:color="auto" w:fill="D9D9D9" w:themeFill="background1" w:themeFillShade="D9"/>
        <w:tblLook w:val="04A0" w:firstRow="1" w:lastRow="0" w:firstColumn="1" w:lastColumn="0" w:noHBand="0" w:noVBand="1"/>
      </w:tblPr>
      <w:tblGrid>
        <w:gridCol w:w="9243"/>
      </w:tblGrid>
      <w:tr w:rsidR="00622A95" w:rsidRPr="009A2018" w:rsidTr="00620E1E">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A95" w:rsidRPr="009A2018" w:rsidRDefault="00622A95" w:rsidP="00EC1790">
            <w:pPr>
              <w:autoSpaceDE w:val="0"/>
              <w:autoSpaceDN w:val="0"/>
              <w:adjustRightInd w:val="0"/>
              <w:spacing w:after="120" w:line="240" w:lineRule="auto"/>
              <w:jc w:val="both"/>
              <w:rPr>
                <w:rFonts w:cs="Times New Roman"/>
                <w:color w:val="000000"/>
                <w:szCs w:val="24"/>
              </w:rPr>
            </w:pPr>
            <w:r w:rsidRPr="009A2018">
              <w:rPr>
                <w:rFonts w:cs="Times New Roman"/>
                <w:color w:val="000000"/>
                <w:szCs w:val="24"/>
              </w:rPr>
              <w:t xml:space="preserve">Crna Gora je </w:t>
            </w:r>
            <w:r w:rsidRPr="009A2018">
              <w:rPr>
                <w:rFonts w:cs="Times New Roman"/>
                <w:b/>
                <w:bCs/>
                <w:color w:val="000000"/>
                <w:szCs w:val="24"/>
              </w:rPr>
              <w:t xml:space="preserve">umjereno spremna </w:t>
            </w:r>
            <w:r w:rsidRPr="009A2018">
              <w:rPr>
                <w:rFonts w:cs="Times New Roman"/>
                <w:color w:val="000000"/>
                <w:szCs w:val="24"/>
              </w:rPr>
              <w:t xml:space="preserve">u ovoj oblasti. Generalno gledano, zabilježen je </w:t>
            </w:r>
            <w:r w:rsidRPr="009A2018">
              <w:rPr>
                <w:rFonts w:cs="Times New Roman"/>
                <w:b/>
                <w:color w:val="000000"/>
                <w:szCs w:val="24"/>
              </w:rPr>
              <w:t>ograničeni napredak</w:t>
            </w:r>
            <w:r w:rsidRPr="009A2018">
              <w:rPr>
                <w:rFonts w:cs="Times New Roman"/>
                <w:color w:val="000000"/>
                <w:szCs w:val="24"/>
              </w:rPr>
              <w:t>. U oblasti državne pomoći, 155 miliona eura državnih sredstava odobreno je Montenegro Airlines</w:t>
            </w:r>
            <w:r w:rsidR="00095948">
              <w:rPr>
                <w:rFonts w:cs="Times New Roman"/>
                <w:color w:val="000000"/>
                <w:szCs w:val="24"/>
              </w:rPr>
              <w:t>-u</w:t>
            </w:r>
            <w:r w:rsidRPr="009A2018">
              <w:rPr>
                <w:rFonts w:cs="Times New Roman"/>
                <w:color w:val="000000"/>
                <w:szCs w:val="24"/>
              </w:rPr>
              <w:t xml:space="preserve"> bez prethodnog informisanog mišljenja organa za državnu pomoć. Ovo je izazvalo ozbiljnu zabrinutost. Pravilno postupanje u ovom slučaju važan je</w:t>
            </w:r>
            <w:r w:rsidRPr="009A2018">
              <w:rPr>
                <w:rFonts w:eastAsia="Times New Roman" w:cs="Times New Roman"/>
                <w:szCs w:val="24"/>
                <w:lang w:eastAsia="en-GB"/>
              </w:rPr>
              <w:t xml:space="preserve"> test za funkcionisanje crnogorskog sistema kontrole državne pomoći. Prema Zakonu o kontroli državne pomoći iz</w:t>
            </w:r>
            <w:r w:rsidRPr="009A2018">
              <w:rPr>
                <w:rFonts w:cs="Times New Roman"/>
                <w:color w:val="000000"/>
                <w:szCs w:val="24"/>
              </w:rPr>
              <w:t xml:space="preserve"> 2018. godine, pokrenute su prve dvije instrage po službenoj dužnosti o neprijavljenoj pomoći, prve od 2012. godine. Prošlogodišnje preporuke ostaju na snazi, a u narednoj godini Crna Gora treba naročito da: </w:t>
            </w:r>
          </w:p>
          <w:p w:rsidR="00622A95" w:rsidRPr="009A2018" w:rsidRDefault="00622A95" w:rsidP="00EC1790">
            <w:pPr>
              <w:numPr>
                <w:ilvl w:val="0"/>
                <w:numId w:val="13"/>
              </w:numPr>
              <w:autoSpaceDE w:val="0"/>
              <w:autoSpaceDN w:val="0"/>
              <w:adjustRightInd w:val="0"/>
              <w:spacing w:after="120" w:line="240" w:lineRule="auto"/>
              <w:ind w:left="0" w:firstLine="0"/>
              <w:jc w:val="both"/>
              <w:rPr>
                <w:rFonts w:cs="Times New Roman"/>
                <w:color w:val="000000"/>
                <w:szCs w:val="24"/>
              </w:rPr>
            </w:pPr>
            <w:r w:rsidRPr="009A2018">
              <w:rPr>
                <w:rFonts w:eastAsia="Times New Roman" w:cs="Times New Roman"/>
                <w:szCs w:val="24"/>
                <w:lang w:eastAsia="en-GB"/>
              </w:rPr>
              <w:t>obezbijedi organu za državnu pomoć sredstva i informacije za dalje postupanje u slučaju Montenegro Airlines i donošenje informisane odluke, u skladu s crnogorskim zakonodavstvom, kao i obavezama Crne Gore iz Sporazuma o stabilizaciji i pridruživanju, na osnovu koje će Crna Gora zatim morati dalje da postupa;</w:t>
            </w:r>
          </w:p>
          <w:p w:rsidR="00622A95" w:rsidRPr="009A2018" w:rsidRDefault="00622A95" w:rsidP="00EC1790">
            <w:pPr>
              <w:numPr>
                <w:ilvl w:val="0"/>
                <w:numId w:val="13"/>
              </w:numPr>
              <w:autoSpaceDE w:val="0"/>
              <w:autoSpaceDN w:val="0"/>
              <w:adjustRightInd w:val="0"/>
              <w:spacing w:after="120" w:line="240" w:lineRule="auto"/>
              <w:ind w:left="0" w:firstLine="0"/>
              <w:jc w:val="both"/>
              <w:rPr>
                <w:rFonts w:cs="Times New Roman"/>
                <w:color w:val="000000"/>
                <w:szCs w:val="24"/>
              </w:rPr>
            </w:pPr>
            <w:r w:rsidRPr="009A2018">
              <w:rPr>
                <w:rFonts w:eastAsia="Times New Roman" w:cs="Times New Roman"/>
                <w:szCs w:val="24"/>
                <w:lang w:eastAsia="en-GB"/>
              </w:rPr>
              <w:t>osigura</w:t>
            </w:r>
            <w:r w:rsidRPr="009A2018">
              <w:rPr>
                <w:rFonts w:cs="Times New Roman"/>
                <w:color w:val="000000"/>
                <w:szCs w:val="24"/>
              </w:rPr>
              <w:t xml:space="preserve"> transparentnost svih odluka o državnoj pomoći i operativnu nezavisnost organa za državnu pomoć, kao i efikasnost njegove kontrole državne pomoći na svim nivoima, uključujući izgradnju evidencije o izvršenjima; </w:t>
            </w:r>
          </w:p>
          <w:p w:rsidR="00622A95" w:rsidRPr="009A2018" w:rsidRDefault="00622A95" w:rsidP="00EC1790">
            <w:pPr>
              <w:numPr>
                <w:ilvl w:val="0"/>
                <w:numId w:val="13"/>
              </w:numPr>
              <w:autoSpaceDE w:val="0"/>
              <w:autoSpaceDN w:val="0"/>
              <w:adjustRightInd w:val="0"/>
              <w:spacing w:after="120" w:line="240" w:lineRule="auto"/>
              <w:ind w:left="0" w:firstLine="0"/>
              <w:jc w:val="both"/>
              <w:rPr>
                <w:rFonts w:cs="Times New Roman"/>
                <w:color w:val="000000"/>
                <w:szCs w:val="24"/>
              </w:rPr>
            </w:pPr>
            <w:r w:rsidRPr="009A2018">
              <w:rPr>
                <w:rFonts w:cs="Times New Roman"/>
                <w:color w:val="000000"/>
                <w:szCs w:val="24"/>
              </w:rPr>
              <w:t xml:space="preserve">poboljša bilans ostvarenih rezultata Agencije za zaštitu konkurencije u oblasti antimonopolskih pravila i spajanja. </w:t>
            </w:r>
          </w:p>
        </w:tc>
      </w:tr>
    </w:tbl>
    <w:p w:rsidR="00622A95" w:rsidRPr="009A2018" w:rsidRDefault="00622A95" w:rsidP="00EC1790">
      <w:pPr>
        <w:autoSpaceDE w:val="0"/>
        <w:autoSpaceDN w:val="0"/>
        <w:adjustRightInd w:val="0"/>
        <w:spacing w:after="120" w:line="240" w:lineRule="auto"/>
        <w:jc w:val="both"/>
        <w:rPr>
          <w:rFonts w:eastAsia="Calibri" w:cs="Times New Roman"/>
          <w:color w:val="000000"/>
          <w:szCs w:val="24"/>
          <w:u w:val="single"/>
        </w:rPr>
      </w:pPr>
      <w:r w:rsidRPr="009A2018">
        <w:rPr>
          <w:rFonts w:eastAsia="Calibri" w:cs="Times New Roman"/>
          <w:color w:val="000000"/>
          <w:szCs w:val="24"/>
          <w:u w:val="single"/>
        </w:rPr>
        <w:t xml:space="preserve">Antimonopolska pravila i </w:t>
      </w:r>
      <w:r w:rsidR="00095948">
        <w:rPr>
          <w:rFonts w:eastAsia="Calibri" w:cs="Times New Roman"/>
          <w:color w:val="000000"/>
          <w:szCs w:val="24"/>
          <w:u w:val="single"/>
        </w:rPr>
        <w:t>koncentracije</w:t>
      </w:r>
    </w:p>
    <w:p w:rsidR="00622A95" w:rsidRPr="009A2018" w:rsidRDefault="00622A95" w:rsidP="0074436B">
      <w:pPr>
        <w:tabs>
          <w:tab w:val="left" w:pos="7230"/>
        </w:tabs>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Zakonodavni okvir obezbjeđuje dobar nivo usklađenosti s pravnom tekovinom EU i Sporazumom o s</w:t>
      </w:r>
      <w:r w:rsidRPr="009A2018">
        <w:rPr>
          <w:rFonts w:eastAsia="Calibri" w:cs="Times New Roman"/>
          <w:noProof/>
          <w:color w:val="000000"/>
          <w:szCs w:val="24"/>
        </w:rPr>
        <w:t>tabilizaciji i pridruživanju (SSP). Zakon o zaštiti konkurencije je u velikoj mjeri usklađen s članom 101 Ugovora o funkcionisanju EU (UFEU) o ograničavajućim sporazumima i članom</w:t>
      </w:r>
      <w:r w:rsidRPr="009A2018">
        <w:rPr>
          <w:rFonts w:eastAsia="Calibri" w:cs="Times New Roman"/>
          <w:color w:val="000000"/>
          <w:szCs w:val="24"/>
        </w:rPr>
        <w:t xml:space="preserve"> </w:t>
      </w:r>
      <w:r w:rsidRPr="009A2018">
        <w:rPr>
          <w:rFonts w:eastAsia="Calibri" w:cs="Times New Roman"/>
          <w:noProof/>
          <w:color w:val="000000"/>
          <w:szCs w:val="24"/>
        </w:rPr>
        <w:t xml:space="preserve">102 </w:t>
      </w:r>
      <w:r w:rsidRPr="009A2018">
        <w:rPr>
          <w:rFonts w:eastAsia="Calibri" w:cs="Times New Roman"/>
          <w:color w:val="000000"/>
          <w:szCs w:val="24"/>
        </w:rPr>
        <w:t xml:space="preserve">UFEU </w:t>
      </w:r>
      <w:r w:rsidRPr="009A2018">
        <w:rPr>
          <w:rFonts w:eastAsia="Calibri" w:cs="Times New Roman"/>
          <w:noProof/>
          <w:color w:val="000000"/>
          <w:szCs w:val="24"/>
        </w:rPr>
        <w:t xml:space="preserve">o zloupotrebi dominantnog položaja. Zakon takođe predviđa ex ante kontrolu spajanja iznad određene gornje granice za obrt, u skladu s načelima Regulative  EU o spajanjima. Uspostavljen je dobar nivo podzakonskih akata. Podzakonski akti su uglavnom u skladu s relevantnim propisima pravne tekovine EU i smjernicama Komisije. </w:t>
      </w:r>
      <w:r w:rsidRPr="009A2018">
        <w:rPr>
          <w:rFonts w:eastAsia="Calibri" w:cs="Times New Roman"/>
          <w:color w:val="000000"/>
          <w:szCs w:val="24"/>
        </w:rPr>
        <w:t xml:space="preserve">Nije bilo novih pomaka tokom izvještajnog perioda.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U pogledu </w:t>
      </w:r>
      <w:r w:rsidRPr="009A2018">
        <w:rPr>
          <w:rFonts w:eastAsia="Calibri" w:cs="Times New Roman"/>
          <w:b/>
          <w:bCs/>
          <w:color w:val="000000"/>
          <w:szCs w:val="24"/>
        </w:rPr>
        <w:t>institucionalnog okvira</w:t>
      </w:r>
      <w:r w:rsidRPr="009A2018">
        <w:rPr>
          <w:rFonts w:eastAsia="Calibri" w:cs="Times New Roman"/>
          <w:color w:val="000000"/>
          <w:szCs w:val="24"/>
        </w:rPr>
        <w:t xml:space="preserve">, Agencija za zaštitu konkurencije (AZK) odgovorna je za sprovođenje zakonskog okvira. Ona je operativno nezavisno tijelo, a odgovornog direktora imenuje </w:t>
      </w:r>
      <w:r w:rsidR="00DB4BB9">
        <w:rPr>
          <w:rFonts w:eastAsia="Calibri" w:cs="Times New Roman"/>
          <w:color w:val="000000"/>
          <w:szCs w:val="24"/>
        </w:rPr>
        <w:t>V</w:t>
      </w:r>
      <w:r w:rsidRPr="009A2018">
        <w:rPr>
          <w:rFonts w:eastAsia="Calibri" w:cs="Times New Roman"/>
          <w:color w:val="000000"/>
          <w:szCs w:val="24"/>
        </w:rPr>
        <w:t xml:space="preserve">lada. Odluke o antimonopolskim pravilima i </w:t>
      </w:r>
      <w:r w:rsidR="00095948">
        <w:rPr>
          <w:rFonts w:eastAsia="Calibri" w:cs="Times New Roman"/>
          <w:color w:val="000000"/>
          <w:szCs w:val="24"/>
        </w:rPr>
        <w:t>koncentracijama</w:t>
      </w:r>
      <w:r w:rsidR="00095948" w:rsidRPr="009A2018">
        <w:rPr>
          <w:rFonts w:eastAsia="Calibri" w:cs="Times New Roman"/>
          <w:color w:val="000000"/>
          <w:szCs w:val="24"/>
        </w:rPr>
        <w:t xml:space="preserve"> </w:t>
      </w:r>
      <w:r w:rsidRPr="009A2018">
        <w:rPr>
          <w:rFonts w:eastAsia="Calibri" w:cs="Times New Roman"/>
          <w:color w:val="000000"/>
          <w:szCs w:val="24"/>
        </w:rPr>
        <w:t xml:space="preserve">donosi Savjet Agencije, koji imenuje </w:t>
      </w:r>
      <w:r w:rsidR="00DB4BB9">
        <w:rPr>
          <w:rFonts w:eastAsia="Calibri" w:cs="Times New Roman"/>
          <w:color w:val="000000"/>
          <w:szCs w:val="24"/>
        </w:rPr>
        <w:t>V</w:t>
      </w:r>
      <w:r w:rsidR="00DB4BB9" w:rsidRPr="009A2018">
        <w:rPr>
          <w:rFonts w:eastAsia="Calibri" w:cs="Times New Roman"/>
          <w:color w:val="000000"/>
          <w:szCs w:val="24"/>
        </w:rPr>
        <w:t>lada</w:t>
      </w:r>
      <w:r w:rsidRPr="009A2018">
        <w:rPr>
          <w:rFonts w:eastAsia="Calibri" w:cs="Times New Roman"/>
          <w:color w:val="000000"/>
          <w:szCs w:val="24"/>
        </w:rPr>
        <w:t xml:space="preserve">. </w:t>
      </w:r>
    </w:p>
    <w:p w:rsidR="00622A95" w:rsidRPr="009A2018" w:rsidRDefault="00622A95" w:rsidP="00EC1790">
      <w:pPr>
        <w:autoSpaceDE w:val="0"/>
        <w:autoSpaceDN w:val="0"/>
        <w:adjustRightInd w:val="0"/>
        <w:spacing w:after="120" w:line="240" w:lineRule="auto"/>
        <w:jc w:val="both"/>
        <w:rPr>
          <w:sz w:val="23"/>
          <w:szCs w:val="23"/>
        </w:rPr>
      </w:pPr>
      <w:r w:rsidRPr="009A2018">
        <w:rPr>
          <w:rFonts w:eastAsia="Calibri" w:cs="Times New Roman"/>
          <w:color w:val="000000"/>
          <w:szCs w:val="24"/>
        </w:rPr>
        <w:t xml:space="preserve">Nadležnosti AZK-a su velikim dijelom uporedive s nadležnostima koje ima Evropska komisija u oblasti konkurencije. AZK može da (i) postupa po pritužbi ili prijavi (npr. za </w:t>
      </w:r>
      <w:r w:rsidR="00095948">
        <w:rPr>
          <w:rFonts w:eastAsia="Calibri" w:cs="Times New Roman"/>
          <w:color w:val="000000"/>
          <w:szCs w:val="24"/>
        </w:rPr>
        <w:t>koncentracije</w:t>
      </w:r>
      <w:r w:rsidRPr="009A2018">
        <w:rPr>
          <w:rFonts w:eastAsia="Calibri" w:cs="Times New Roman"/>
          <w:color w:val="000000"/>
          <w:szCs w:val="24"/>
        </w:rPr>
        <w:t xml:space="preserve">) ili na sopstvenu inicijativu, da zahtijeva dostavljanje informacija i sprovodi neposredne istrage; (ii) odobrava </w:t>
      </w:r>
      <w:r w:rsidR="00095948">
        <w:rPr>
          <w:rFonts w:eastAsia="Calibri" w:cs="Times New Roman"/>
          <w:color w:val="000000"/>
          <w:szCs w:val="24"/>
        </w:rPr>
        <w:t>koncentracije</w:t>
      </w:r>
      <w:r w:rsidRPr="009A2018">
        <w:rPr>
          <w:rFonts w:eastAsia="Calibri" w:cs="Times New Roman"/>
          <w:color w:val="000000"/>
          <w:szCs w:val="24"/>
        </w:rPr>
        <w:t xml:space="preserve">, sa ili bez uslova, ili da ih zabrani; i (iii) daje komentare na nacrte propisa koji mogu uticati na konkurenciju. Protiv odluka AZK-a se može podnijeti žalba Upravnom sudu. Uspostavljena je politika oslobađanja ili umanjenja kazne za članove kartela koji se sami prijave. Međutim, novčane kazne još uvijek mogu biti izrečene samo odlukom sudova za prekršaje, ne i direktno od strane AZK-a. Izmjene Zakona o zaštiti konkurencije, radi potvrđivanja uspostavljanja AZK-a prema Zakonu o državnoj upravni iz 2018. godine, kasne još od decembra 2019.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szCs w:val="24"/>
        </w:rPr>
        <w:t xml:space="preserve">U pogledu </w:t>
      </w:r>
      <w:r w:rsidRPr="009A2018">
        <w:rPr>
          <w:rFonts w:eastAsia="Calibri" w:cs="Times New Roman"/>
          <w:b/>
          <w:bCs/>
          <w:szCs w:val="24"/>
        </w:rPr>
        <w:t>kapaciteta za izvršenje</w:t>
      </w:r>
      <w:r w:rsidRPr="009A2018">
        <w:rPr>
          <w:rFonts w:eastAsia="Calibri" w:cs="Times New Roman"/>
          <w:szCs w:val="24"/>
        </w:rPr>
        <w:t xml:space="preserve">, administrativni i finansijski kapaciteti AZK-a još uvijek treba da budu ojačani. AZK trenutno ima 16 zaposlenih, uključujući 9 službenika koji rade na predmetima. U pogledu </w:t>
      </w:r>
      <w:r w:rsidRPr="009A2018">
        <w:rPr>
          <w:rFonts w:eastAsia="Calibri" w:cs="Times New Roman"/>
          <w:b/>
          <w:bCs/>
          <w:szCs w:val="24"/>
        </w:rPr>
        <w:t>sprovođenja</w:t>
      </w:r>
      <w:r w:rsidRPr="009A2018">
        <w:rPr>
          <w:rFonts w:eastAsia="Calibri" w:cs="Times New Roman"/>
          <w:szCs w:val="24"/>
        </w:rPr>
        <w:t xml:space="preserve">, broj odluka o kartelima i zloupotrebi dominantnog položaja stagnira, sa samo jednom odlukom donesenom tokom 2019. godine. Uprkos povećanom broju odluka o spajanjima (62 tokom 2019), </w:t>
      </w:r>
      <w:r w:rsidRPr="009A2018">
        <w:rPr>
          <w:rFonts w:eastAsia="Calibri" w:cs="Times New Roman"/>
          <w:color w:val="000000"/>
          <w:szCs w:val="24"/>
        </w:rPr>
        <w:t xml:space="preserve">AZK nije zabranila nijednu od njih. </w:t>
      </w:r>
      <w:r w:rsidRPr="009A2018">
        <w:rPr>
          <w:rFonts w:eastAsia="Calibri" w:cs="Times New Roman"/>
          <w:szCs w:val="24"/>
        </w:rPr>
        <w:t xml:space="preserve">AZK je 2019. godine prijavila dva postupka detaljnog ispitivanja spajanja. Iznos i broj novčanih kazni koje je izrekao Prekršajni sud (4 novčane kazne u ukupnom iznosu od 2200 eura u 24 postupka tokom 2019. godine) nijesu dovoljni. </w:t>
      </w:r>
      <w:r w:rsidRPr="009A2018">
        <w:rPr>
          <w:rFonts w:eastAsia="Calibri" w:cs="Times New Roman"/>
          <w:color w:val="000000"/>
          <w:szCs w:val="24"/>
        </w:rPr>
        <w:t xml:space="preserve">Politika oslobađanja ili umanjenja kazne nije primjenjivana tokom 2019. godine, kao i prethodnih godina. AZK je izvršila samo 4 inspekcije na licu mjesta, od kojih su dvije bile u izvještajnom periodu. Nije dato nijedno mišljenje o primarnom zakonodavstvu tokom 2019. godine. AZK nije konsultovana za novi nacrt akta o koncesiji za lučke usluge u luci Bar. Kako bi pokazala da unapređuje svoju politiku izvršenja, AZK treba u potpunosti da iskoristi svoje izvršne nadležnosti, kroz sprovođenje više inspekcija na licu mjesta i dalje promovisanje politike oslobađanja ili umanjenja kazne kao sredstva za otkrivanje kartela. U tom cilju, </w:t>
      </w:r>
      <w:r w:rsidR="00095948" w:rsidRPr="009A2018">
        <w:rPr>
          <w:rFonts w:eastAsia="Calibri" w:cs="Times New Roman"/>
          <w:color w:val="000000"/>
          <w:szCs w:val="24"/>
        </w:rPr>
        <w:t>AZ</w:t>
      </w:r>
      <w:r w:rsidR="00095948">
        <w:rPr>
          <w:rFonts w:eastAsia="Calibri" w:cs="Times New Roman"/>
          <w:color w:val="000000"/>
          <w:szCs w:val="24"/>
        </w:rPr>
        <w:t>K</w:t>
      </w:r>
      <w:r w:rsidR="00095948" w:rsidRPr="009A2018">
        <w:rPr>
          <w:rFonts w:eastAsia="Calibri" w:cs="Times New Roman"/>
          <w:color w:val="000000"/>
          <w:szCs w:val="24"/>
        </w:rPr>
        <w:t xml:space="preserve"> </w:t>
      </w:r>
      <w:r w:rsidRPr="009A2018">
        <w:rPr>
          <w:rFonts w:eastAsia="Calibri" w:cs="Times New Roman"/>
          <w:color w:val="000000"/>
          <w:szCs w:val="24"/>
        </w:rPr>
        <w:t>treba da razmotri povećanje svojih zagovaračkih aktivnosti. Na kraju, kapaciteti sudova da postupaju u složenim slučajevima u oblasti konkurencije moraju biti značajno ojačani.</w:t>
      </w:r>
    </w:p>
    <w:p w:rsidR="00622A95" w:rsidRPr="009A2018" w:rsidRDefault="00622A95" w:rsidP="00EC1790">
      <w:pPr>
        <w:autoSpaceDE w:val="0"/>
        <w:autoSpaceDN w:val="0"/>
        <w:adjustRightInd w:val="0"/>
        <w:spacing w:after="120" w:line="240" w:lineRule="auto"/>
        <w:jc w:val="both"/>
        <w:rPr>
          <w:rFonts w:eastAsia="Calibri" w:cs="Times New Roman"/>
          <w:szCs w:val="24"/>
          <w:u w:val="single"/>
        </w:rPr>
      </w:pPr>
      <w:r w:rsidRPr="009A2018">
        <w:rPr>
          <w:rFonts w:eastAsia="Calibri" w:cs="Times New Roman"/>
          <w:szCs w:val="24"/>
          <w:u w:val="single"/>
        </w:rPr>
        <w:t xml:space="preserve">Državna pomoć </w:t>
      </w:r>
    </w:p>
    <w:p w:rsidR="00622A95" w:rsidRPr="009A2018" w:rsidRDefault="00622A95" w:rsidP="00EC1790">
      <w:pPr>
        <w:spacing w:after="120" w:line="240" w:lineRule="auto"/>
        <w:jc w:val="both"/>
        <w:rPr>
          <w:sz w:val="23"/>
          <w:szCs w:val="23"/>
        </w:rPr>
      </w:pPr>
      <w:r w:rsidRPr="009A2018">
        <w:rPr>
          <w:rFonts w:eastAsia="Calibri" w:cs="Times New Roman"/>
          <w:b/>
          <w:color w:val="000000"/>
          <w:szCs w:val="24"/>
        </w:rPr>
        <w:t>Zakonodavni okvir</w:t>
      </w:r>
      <w:r w:rsidRPr="009A2018">
        <w:rPr>
          <w:rFonts w:eastAsia="Calibri" w:cs="Times New Roman"/>
          <w:color w:val="000000"/>
          <w:szCs w:val="24"/>
        </w:rPr>
        <w:t xml:space="preserve"> je u velikoj mjeri usklađen s pravnom tekovinom EU i SSP-om, kao i s članovima 107 i 108 UFEU. Zakon o kontroli državne pomoći iz 2018. godine utvrđuje pojam pomoći kao i proceduralna pravila o državnoj pomoći. U aprilu 2020. godine, usvojeni su važni podzakonski akti usmjereni na usklađivanje sa saopštenjem o brankarstvu, pojmom državne pomoći i Privremenim okvirom za mjere državne pomoći za podršku privredi u kontekstu pandemije COVID-19 i njegovim prvim izmjenama i dopunama. Drugi i treći set mjera za podršku privredi usvojeni su u maju i julu 2020. Određena sekundarna pravna tekovina EU još uvijek čeka na usklađivanje, poput obrazaca obavještenja i informativnih listova (Regulativa 2015/2282) i pomoći za lučku i aerodromsku infrastrukturu. Pravila o finansiranju usluga od opšteg ekonomskog interesa u velikoj mjeri su usklađena s pravnom tekovinom EU. Međutim, Crna Gora treba da pokaže da se sprovode na adekvatan način. </w:t>
      </w:r>
    </w:p>
    <w:p w:rsidR="00622A95" w:rsidRPr="009A2018" w:rsidRDefault="00622A95" w:rsidP="00EC1790">
      <w:pPr>
        <w:autoSpaceDE w:val="0"/>
        <w:autoSpaceDN w:val="0"/>
        <w:adjustRightInd w:val="0"/>
        <w:spacing w:after="120" w:line="240" w:lineRule="auto"/>
        <w:jc w:val="both"/>
        <w:rPr>
          <w:rFonts w:eastAsia="Calibri" w:cs="Times New Roman"/>
          <w:noProof/>
          <w:color w:val="000000"/>
          <w:szCs w:val="24"/>
        </w:rPr>
      </w:pPr>
      <w:r w:rsidRPr="009A2018">
        <w:rPr>
          <w:rFonts w:eastAsia="Calibri" w:cs="Times New Roman"/>
          <w:szCs w:val="24"/>
        </w:rPr>
        <w:t xml:space="preserve">U pogledu </w:t>
      </w:r>
      <w:r w:rsidRPr="009A2018">
        <w:rPr>
          <w:rFonts w:eastAsia="Calibri" w:cs="Times New Roman"/>
          <w:b/>
          <w:bCs/>
          <w:szCs w:val="24"/>
        </w:rPr>
        <w:t>institucionalnog okvira</w:t>
      </w:r>
      <w:r w:rsidRPr="009A2018">
        <w:rPr>
          <w:rFonts w:eastAsia="Calibri" w:cs="Times New Roman"/>
          <w:szCs w:val="24"/>
        </w:rPr>
        <w:t>,</w:t>
      </w:r>
      <w:r w:rsidRPr="009A2018">
        <w:rPr>
          <w:rFonts w:eastAsia="Calibri" w:cs="Times New Roman"/>
          <w:color w:val="000000"/>
          <w:szCs w:val="24"/>
        </w:rPr>
        <w:t xml:space="preserve"> Agencija za zaštitu konkurencije (AZK) odgovorna je za sprovođenje zakonskog okvira. Ona je operativno nezavisno tijelo</w:t>
      </w:r>
      <w:r w:rsidRPr="009A2018">
        <w:rPr>
          <w:rFonts w:eastAsia="Calibri" w:cs="Times New Roman"/>
          <w:noProof/>
          <w:color w:val="000000"/>
          <w:szCs w:val="24"/>
        </w:rPr>
        <w:t xml:space="preserve">, </w:t>
      </w:r>
      <w:r w:rsidRPr="009A2018">
        <w:rPr>
          <w:rFonts w:eastAsia="Calibri" w:cs="Times New Roman"/>
          <w:color w:val="000000"/>
          <w:szCs w:val="24"/>
        </w:rPr>
        <w:t xml:space="preserve">čijeg odgovornog direktora imenuje </w:t>
      </w:r>
      <w:r w:rsidR="00DB4BB9">
        <w:rPr>
          <w:rFonts w:eastAsia="Calibri" w:cs="Times New Roman"/>
          <w:color w:val="000000"/>
          <w:szCs w:val="24"/>
        </w:rPr>
        <w:t>V</w:t>
      </w:r>
      <w:r w:rsidRPr="009A2018">
        <w:rPr>
          <w:rFonts w:eastAsia="Calibri" w:cs="Times New Roman"/>
          <w:color w:val="000000"/>
          <w:szCs w:val="24"/>
        </w:rPr>
        <w:t xml:space="preserve">lada. Odluke o državnoj pomoći donosi Savjet Agencije, koji imenuje </w:t>
      </w:r>
      <w:r w:rsidR="00DB4BB9">
        <w:rPr>
          <w:rFonts w:eastAsia="Calibri" w:cs="Times New Roman"/>
          <w:color w:val="000000"/>
          <w:szCs w:val="24"/>
        </w:rPr>
        <w:t>V</w:t>
      </w:r>
      <w:r w:rsidRPr="009A2018">
        <w:rPr>
          <w:rFonts w:eastAsia="Calibri" w:cs="Times New Roman"/>
          <w:color w:val="000000"/>
          <w:szCs w:val="24"/>
        </w:rPr>
        <w:t>lada</w:t>
      </w:r>
      <w:r w:rsidRPr="009A2018">
        <w:rPr>
          <w:rFonts w:eastAsia="Calibri" w:cs="Times New Roman"/>
          <w:noProof/>
          <w:color w:val="000000"/>
          <w:szCs w:val="24"/>
        </w:rPr>
        <w:t>. Protiv donesenih odluka o državnoj pomoći može se podnijeti žalba Upravnom sudu. Međutim, tijelo za državnu pomoć još uvijek treba da dokaže solidan bilans ostvarenih rezultata u izvršenju. Iako je Ministarstvo finansija i dalje odgovorno za zakonodavne predloge u ob</w:t>
      </w:r>
      <w:r w:rsidR="00DB4BB9">
        <w:rPr>
          <w:rFonts w:eastAsia="Calibri" w:cs="Times New Roman"/>
          <w:noProof/>
          <w:color w:val="000000"/>
          <w:szCs w:val="24"/>
        </w:rPr>
        <w:t>l</w:t>
      </w:r>
      <w:r w:rsidRPr="009A2018">
        <w:rPr>
          <w:rFonts w:eastAsia="Calibri" w:cs="Times New Roman"/>
          <w:noProof/>
          <w:color w:val="000000"/>
          <w:szCs w:val="24"/>
        </w:rPr>
        <w:t>asti državne pomoći, od prelaska Jedinice za kontrolu državne pomoći u AZK u januaru 2019. godine, u ministarstvu ne postoji kadar koji je određen za te poslove.</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b/>
          <w:bCs/>
          <w:szCs w:val="24"/>
        </w:rPr>
        <w:t xml:space="preserve">Kapaciteti za izvršenje </w:t>
      </w:r>
      <w:r w:rsidRPr="009A2018">
        <w:rPr>
          <w:rFonts w:eastAsia="Calibri" w:cs="Times New Roman"/>
          <w:bCs/>
          <w:szCs w:val="24"/>
        </w:rPr>
        <w:t>Savjeta</w:t>
      </w:r>
      <w:r w:rsidRPr="009A2018">
        <w:rPr>
          <w:rFonts w:eastAsia="Calibri" w:cs="Times New Roman"/>
          <w:szCs w:val="24"/>
        </w:rPr>
        <w:t xml:space="preserve"> AZK-a i dalje su umnogome nedovoljni. Tokom izvještajnog perioda angažovana su dva nova službenika. Međutim, ostalo osoblje je dalo ostavke, što je dovelo do značajnog gubitka znanja. Trenutno je osam zaposlenih u oblasti državne pomoći. Da bi ojačala svoju stručnost i kapacitete za izvršenje, AZK treba da preduzme značajne napore na novom zapošljavanju i povezanoj izgradnji kapaciteta.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 xml:space="preserve">U pogledu </w:t>
      </w:r>
      <w:r w:rsidRPr="009A2018">
        <w:rPr>
          <w:rFonts w:eastAsia="Calibri" w:cs="Times New Roman"/>
          <w:b/>
          <w:bCs/>
          <w:szCs w:val="24"/>
        </w:rPr>
        <w:t>sprovođenja</w:t>
      </w:r>
      <w:r w:rsidRPr="009A2018">
        <w:rPr>
          <w:rFonts w:eastAsia="Calibri" w:cs="Times New Roman"/>
          <w:szCs w:val="24"/>
        </w:rPr>
        <w:t>, broj odluka koje je donio Savjet AZK-a porastao je na 33 tokom 2019. sa 22 iz 2018</w:t>
      </w:r>
      <w:bookmarkStart w:id="117" w:name="_Hlk30001092"/>
      <w:r w:rsidRPr="009A2018">
        <w:rPr>
          <w:rFonts w:eastAsia="Calibri" w:cs="Times New Roman"/>
          <w:szCs w:val="24"/>
        </w:rPr>
        <w:t xml:space="preserve">. godine. </w:t>
      </w:r>
      <w:bookmarkEnd w:id="117"/>
      <w:r w:rsidRPr="009A2018">
        <w:rPr>
          <w:rFonts w:eastAsia="Calibri" w:cs="Times New Roman"/>
          <w:szCs w:val="24"/>
        </w:rPr>
        <w:t xml:space="preserve">Po prvi put od 2015. godine, tijelo za državnu pomoć donijelo je tri negativne odluke tokom 2019. </w:t>
      </w:r>
      <w:r w:rsidRPr="009A2018">
        <w:rPr>
          <w:rFonts w:eastAsia="Calibri" w:cs="Times New Roman"/>
          <w:color w:val="000000"/>
          <w:szCs w:val="24"/>
        </w:rPr>
        <w:t xml:space="preserve">Kao odgovor na pandemiju COVID-19, Savjet AZK-a je, u aprilu 2020. godine, ocijenio da je drugi set socijalno-ekonomskih mjera koje je </w:t>
      </w:r>
      <w:r w:rsidR="00DB4BB9">
        <w:rPr>
          <w:rFonts w:eastAsia="Calibri" w:cs="Times New Roman"/>
          <w:color w:val="000000"/>
          <w:szCs w:val="24"/>
        </w:rPr>
        <w:t>V</w:t>
      </w:r>
      <w:r w:rsidR="00DB4BB9" w:rsidRPr="009A2018">
        <w:rPr>
          <w:rFonts w:eastAsia="Calibri" w:cs="Times New Roman"/>
          <w:color w:val="000000"/>
          <w:szCs w:val="24"/>
        </w:rPr>
        <w:t xml:space="preserve">lada </w:t>
      </w:r>
      <w:r w:rsidRPr="009A2018">
        <w:rPr>
          <w:rFonts w:eastAsia="Calibri" w:cs="Times New Roman"/>
          <w:color w:val="000000"/>
          <w:szCs w:val="24"/>
        </w:rPr>
        <w:t>pripremila u skladu s pravilima o državnoj pomoći, dok prvi i treći set mjera tek treba da se procijene u pogledu njihove usklađenosti. </w:t>
      </w:r>
      <w:r w:rsidRPr="009A2018">
        <w:rPr>
          <w:rFonts w:eastAsia="Calibri" w:cs="Times New Roman"/>
          <w:szCs w:val="24"/>
        </w:rPr>
        <w:t>Tijelo za državnu pomoć nije primilo nijednu pritužbu u periodu između 2013. i 2019. godine</w:t>
      </w:r>
      <w:r w:rsidRPr="009A2018">
        <w:rPr>
          <w:rFonts w:eastAsia="Calibri" w:cs="Times New Roman"/>
          <w:color w:val="000000"/>
          <w:szCs w:val="24"/>
        </w:rPr>
        <w:t>, što bi moglo ukazivati na nedovoljnu obaviještenost o pravilima državne pomoći među zainteresovanim stranama. Sveobuhvatnim izvještajem</w:t>
      </w:r>
      <w:r w:rsidRPr="009A2018">
        <w:rPr>
          <w:rFonts w:eastAsia="Calibri" w:cs="Times New Roman"/>
          <w:szCs w:val="24"/>
        </w:rPr>
        <w:t xml:space="preserve"> AZK-a o državnoj pomoći za 2018. godinu utvrđeno je devet neprijavljenih slučajeva državne pomoći na centralnom i lokalnom nivou. Shodno tome, prema Zakonu o kontroli državne pomoći iz 2018. godine, dvije istrage po službenoj dužnosti pokrenute su u oktobru 2019. godine, a AZK tek treba da ih finalizira. To su prve istrage po službenoj dužnosti od 2012. godine. Nadzor usklađenosti u ovoj oblasti mora se značajno pojačati, uključujući poštovanje uslova za kumulaciju pomoći. Odgovarajući registar državne pomoći, uključujući i </w:t>
      </w:r>
      <w:r w:rsidRPr="009A2018">
        <w:rPr>
          <w:rFonts w:eastAsia="Calibri" w:cs="Times New Roman"/>
          <w:i/>
          <w:szCs w:val="24"/>
        </w:rPr>
        <w:t>de minimis</w:t>
      </w:r>
      <w:r w:rsidRPr="009A2018">
        <w:rPr>
          <w:rFonts w:eastAsia="Calibri" w:cs="Times New Roman"/>
          <w:szCs w:val="24"/>
        </w:rPr>
        <w:t xml:space="preserve"> registar, tek treba da se uspostavi. O bilo kojem aktu o koncesiji treba sistematski konsultovati tijelo za državnu pomoć. Na primjer, </w:t>
      </w:r>
      <w:r w:rsidR="00DB4BB9">
        <w:rPr>
          <w:rFonts w:eastAsia="Calibri" w:cs="Times New Roman"/>
          <w:szCs w:val="24"/>
        </w:rPr>
        <w:t>V</w:t>
      </w:r>
      <w:r w:rsidRPr="009A2018">
        <w:rPr>
          <w:rFonts w:eastAsia="Calibri" w:cs="Times New Roman"/>
          <w:szCs w:val="24"/>
        </w:rPr>
        <w:t>lada je 2019. godine objavila dodjelu koncesije na 30 godina za aerodrome Crne Gore (Podgorica i Tivat). Taj postupak mora biti u potpunosti u skladu s pravilima o državnoj pomoći.</w:t>
      </w:r>
    </w:p>
    <w:p w:rsidR="00622A95" w:rsidRPr="00095948" w:rsidRDefault="00622A95" w:rsidP="00EC1790">
      <w:pPr>
        <w:spacing w:after="120" w:line="240" w:lineRule="auto"/>
        <w:jc w:val="both"/>
        <w:rPr>
          <w:rFonts w:eastAsia="Calibri" w:cs="Times New Roman"/>
          <w:szCs w:val="24"/>
          <w:lang w:val="fr-FR"/>
        </w:rPr>
      </w:pPr>
      <w:r w:rsidRPr="009A2018">
        <w:rPr>
          <w:rFonts w:eastAsia="Calibri" w:cs="Times New Roman"/>
          <w:color w:val="000000"/>
          <w:szCs w:val="24"/>
        </w:rPr>
        <w:t xml:space="preserve">Tokom 2019. godine, najvažniji slučaj dodjele državne pomoći je Zakon o ulaganju u konsolidaciju i razvoj društva </w:t>
      </w:r>
      <w:r w:rsidRPr="009A2018">
        <w:rPr>
          <w:rFonts w:eastAsia="Calibri" w:cs="Times New Roman"/>
          <w:szCs w:val="24"/>
        </w:rPr>
        <w:t xml:space="preserve">Montenegro Airlines iz decembra 2019. godine, kojim je predviđeno do 155 miliona eura državnog finansiranja za tu avio-kompaniju. Taj </w:t>
      </w:r>
      <w:r w:rsidR="00DB4BB9">
        <w:rPr>
          <w:rFonts w:eastAsia="Calibri" w:cs="Times New Roman"/>
          <w:szCs w:val="24"/>
        </w:rPr>
        <w:t>Z</w:t>
      </w:r>
      <w:r w:rsidRPr="009A2018">
        <w:rPr>
          <w:rFonts w:eastAsia="Calibri" w:cs="Times New Roman"/>
          <w:szCs w:val="24"/>
        </w:rPr>
        <w:t xml:space="preserve">akon je usvojen bez prethodne odluke tijela za državnu pomoć, iako je to predviđeno domaćim zakonodavstvom i Sporazumom o stabilizaciji i pridruživanju. Ovo je izazvalo zabrinutost u pogledu poštovanja relevantnih odredaba crnogorskog zakonodavstva i SSP-a, kojim se zahtijeva da ocjenu mjera državne pomoći vrši operativno nezavisno tijelo (odnosno Savjet AZK-a). Međutim, Crna Gora je izjavila da trenutno primjenjuje klauzulu o mirovanju i da nije izvršila plaćanja na osnovu tog zakona. Sada je važno da Crna Gora pokaže da postoji finkcionalno i nezavisno tijelo za državnu pomoć. U tu svrhu, </w:t>
      </w:r>
      <w:r w:rsidR="00DB4BB9">
        <w:rPr>
          <w:rFonts w:eastAsia="Calibri" w:cs="Times New Roman"/>
          <w:szCs w:val="24"/>
        </w:rPr>
        <w:t>V</w:t>
      </w:r>
      <w:r w:rsidRPr="009A2018">
        <w:rPr>
          <w:rFonts w:eastAsia="Calibri" w:cs="Times New Roman"/>
          <w:szCs w:val="24"/>
        </w:rPr>
        <w:t xml:space="preserve">lada, kao inicijator pomoći, mora da AZK-u obezbijedi potrebne informacije i vrijeme za donošenje kvalifikovane odluke u vezi s ovim zakonom i predviđenim državnim finansiranjem. </w:t>
      </w:r>
      <w:r w:rsidRPr="00095948">
        <w:rPr>
          <w:rFonts w:eastAsia="Calibri" w:cs="Times New Roman"/>
          <w:szCs w:val="24"/>
          <w:lang w:val="fr-FR"/>
        </w:rPr>
        <w:t xml:space="preserve">Da bi to učinila, </w:t>
      </w:r>
      <w:r w:rsidR="00DB4BB9">
        <w:rPr>
          <w:rFonts w:eastAsia="Calibri" w:cs="Times New Roman"/>
          <w:szCs w:val="24"/>
          <w:lang w:val="fr-FR"/>
        </w:rPr>
        <w:t>V</w:t>
      </w:r>
      <w:r w:rsidR="00DB4BB9" w:rsidRPr="00095948">
        <w:rPr>
          <w:rFonts w:eastAsia="Calibri" w:cs="Times New Roman"/>
          <w:szCs w:val="24"/>
          <w:lang w:val="fr-FR"/>
        </w:rPr>
        <w:t xml:space="preserve">lada </w:t>
      </w:r>
      <w:r w:rsidRPr="00095948">
        <w:rPr>
          <w:rFonts w:eastAsia="Calibri" w:cs="Times New Roman"/>
          <w:szCs w:val="24"/>
          <w:lang w:val="fr-FR"/>
        </w:rPr>
        <w:t>je AZK-u dostavila dodatne informacije u maju 2020. godine.</w:t>
      </w:r>
    </w:p>
    <w:p w:rsidR="00622A95" w:rsidRPr="00095948" w:rsidRDefault="00622A95" w:rsidP="00EC1790">
      <w:pPr>
        <w:spacing w:after="120" w:line="240" w:lineRule="auto"/>
        <w:jc w:val="both"/>
        <w:rPr>
          <w:rFonts w:eastAsia="Times New Roman" w:cs="Times New Roman"/>
          <w:szCs w:val="24"/>
          <w:lang w:val="fr-FR" w:eastAsia="en-GB"/>
        </w:rPr>
      </w:pPr>
      <w:r w:rsidRPr="00095948">
        <w:rPr>
          <w:rFonts w:eastAsia="Times New Roman" w:cs="Times New Roman"/>
          <w:szCs w:val="24"/>
          <w:lang w:val="fr-FR" w:eastAsia="en-GB"/>
        </w:rPr>
        <w:t>Tijelo za kontrolu državne pomoći treba da istraži moguće slučajeve dodjele državne pomoći u energetskom sektoru. Tijelo za kontrolu državne pomoći takođe treba da nadgleda sprovođenje pravila o državnoj pomoći u velikim projektima koji se realizuju u saradnji s trećim zemljama. Zbog toga tijelo za kontrolu državne pomoći treba da ima pristup svim neophodnim informacijama kako bi davalo mišljenja i donosilo obavezujuće odluke. Svijest o pravilima državne pomoći među davaocima pomoći i na centralnom i na lokalnom nivou još uvijek je nedovoljna i zalaganje se mora značajno poboljšati, uprkos brojnim obukama organizovanim u izvještajnom periodu</w:t>
      </w:r>
      <w:r w:rsidRPr="00095948">
        <w:rPr>
          <w:rFonts w:eastAsia="Calibri" w:cs="Times New Roman"/>
          <w:szCs w:val="24"/>
          <w:lang w:val="fr-FR"/>
        </w:rPr>
        <w:t xml:space="preserve">. </w:t>
      </w:r>
    </w:p>
    <w:p w:rsidR="00622A95" w:rsidRPr="00095948" w:rsidRDefault="00622A95" w:rsidP="00EC1790">
      <w:pPr>
        <w:autoSpaceDE w:val="0"/>
        <w:autoSpaceDN w:val="0"/>
        <w:adjustRightInd w:val="0"/>
        <w:spacing w:after="120" w:line="240" w:lineRule="auto"/>
        <w:jc w:val="both"/>
        <w:rPr>
          <w:rFonts w:eastAsia="Calibri" w:cs="Times New Roman"/>
          <w:szCs w:val="24"/>
          <w:u w:val="single"/>
          <w:lang w:val="fr-FR"/>
        </w:rPr>
      </w:pPr>
      <w:r w:rsidRPr="00095948">
        <w:rPr>
          <w:rFonts w:eastAsia="Calibri" w:cs="Times New Roman"/>
          <w:szCs w:val="24"/>
          <w:u w:val="single"/>
          <w:lang w:val="fr-FR"/>
        </w:rPr>
        <w:t xml:space="preserve">Liberalizacija </w:t>
      </w:r>
    </w:p>
    <w:p w:rsidR="00622A95" w:rsidRPr="00095948" w:rsidRDefault="00622A95" w:rsidP="00EC1790">
      <w:pPr>
        <w:keepNext/>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Zakon o zaštiti konkurencije i Zakon o kontroli državne pomoći se primjenjuju na javna preduzeća i preduzeća s posebnim ili ekskluzivnim pravima. Ovo ne obuhvata slučajeve gdje bi njihova primjena ometala obavljanje određenih zadataka vršenja usluga od opšteg ekonomskog interesa koji su povjereni tim preduzećima, u skladu s članom 106 UFEU i sa SSP-om. Ne postoje monopoli komercijalnog karaktera u smislu člana 37 UFEU. U izvještajnom periodu nije bilo novih pomaka.</w:t>
      </w:r>
    </w:p>
    <w:p w:rsidR="00622A95" w:rsidRPr="00095948" w:rsidRDefault="00622A95" w:rsidP="00EC1790">
      <w:pPr>
        <w:pStyle w:val="Heading2"/>
        <w:rPr>
          <w:rFonts w:eastAsia="Times New Roman"/>
          <w:lang w:val="fr-FR"/>
        </w:rPr>
      </w:pPr>
      <w:bookmarkStart w:id="118" w:name="_Toc30073832"/>
      <w:bookmarkStart w:id="119" w:name="_Toc30074145"/>
      <w:bookmarkStart w:id="120" w:name="_Toc30080574"/>
      <w:bookmarkStart w:id="121" w:name="_Toc52744942"/>
      <w:bookmarkStart w:id="122" w:name="_Toc53362450"/>
      <w:r w:rsidRPr="00095948">
        <w:rPr>
          <w:rFonts w:eastAsia="Times New Roman"/>
          <w:lang w:val="fr-FR"/>
        </w:rPr>
        <w:t>5.9</w:t>
      </w:r>
      <w:r w:rsidRPr="00095948">
        <w:rPr>
          <w:rFonts w:eastAsia="Times New Roman"/>
          <w:lang w:val="fr-FR"/>
        </w:rPr>
        <w:tab/>
        <w:t>Poglavlje 9: Finansijske usluge</w:t>
      </w:r>
      <w:bookmarkEnd w:id="118"/>
      <w:bookmarkEnd w:id="119"/>
      <w:bookmarkEnd w:id="120"/>
      <w:bookmarkEnd w:id="121"/>
      <w:bookmarkEnd w:id="122"/>
      <w:r w:rsidRPr="00095948">
        <w:rPr>
          <w:rFonts w:eastAsia="Times New Roman"/>
          <w:lang w:val="fr-FR"/>
        </w:rPr>
        <w:t xml:space="preserve"> </w:t>
      </w:r>
    </w:p>
    <w:p w:rsidR="00622A95" w:rsidRPr="00095948" w:rsidRDefault="00622A95" w:rsidP="00EC1790">
      <w:pPr>
        <w:spacing w:after="120" w:line="240" w:lineRule="auto"/>
        <w:jc w:val="both"/>
        <w:rPr>
          <w:rFonts w:eastAsia="Calibri" w:cs="Times New Roman"/>
          <w:i/>
          <w:color w:val="000000"/>
          <w:szCs w:val="24"/>
          <w:lang w:val="fr-FR"/>
        </w:rPr>
      </w:pPr>
      <w:r w:rsidRPr="00095948">
        <w:rPr>
          <w:rFonts w:eastAsia="Calibri" w:cs="Times New Roman"/>
          <w:i/>
          <w:color w:val="000000"/>
          <w:szCs w:val="24"/>
          <w:lang w:val="fr-FR"/>
        </w:rPr>
        <w:t xml:space="preserve">Pravila EU imaju za cilj da obezbijede pravičnu konkurenciju između finansijskih institucija, kao i stabilnost finansijskih institucija, tj. bankarskih, osiguravajućih, dopunskih penzijskih institucija, investicionih usluga i tržišta hartija od vrijednosti. Ona obuhvataju pravila o autorizaciji, radu i nadzoru tih institucija. </w:t>
      </w:r>
    </w:p>
    <w:tbl>
      <w:tblPr>
        <w:tblStyle w:val="TableGrid2"/>
        <w:tblW w:w="0" w:type="auto"/>
        <w:shd w:val="clear" w:color="auto" w:fill="D9D9D9" w:themeFill="background1" w:themeFillShade="D9"/>
        <w:tblLook w:val="04A0" w:firstRow="1" w:lastRow="0" w:firstColumn="1" w:lastColumn="0" w:noHBand="0" w:noVBand="1"/>
      </w:tblPr>
      <w:tblGrid>
        <w:gridCol w:w="9243"/>
      </w:tblGrid>
      <w:tr w:rsidR="00622A95" w:rsidRPr="009A2018" w:rsidTr="00620E1E">
        <w:tc>
          <w:tcPr>
            <w:tcW w:w="9288" w:type="dxa"/>
            <w:shd w:val="clear" w:color="auto" w:fill="D9D9D9" w:themeFill="background1" w:themeFillShade="D9"/>
          </w:tcPr>
          <w:p w:rsidR="00622A95" w:rsidRPr="009A2018" w:rsidRDefault="00622A95" w:rsidP="00EC1790">
            <w:pPr>
              <w:spacing w:after="120" w:line="240" w:lineRule="auto"/>
              <w:jc w:val="both"/>
              <w:rPr>
                <w:rFonts w:eastAsia="Calibri" w:cs="Times New Roman"/>
                <w:szCs w:val="24"/>
              </w:rPr>
            </w:pPr>
            <w:r w:rsidRPr="00095948">
              <w:rPr>
                <w:rFonts w:eastAsia="Calibri" w:cs="Times New Roman"/>
                <w:szCs w:val="24"/>
                <w:lang w:val="fr-FR"/>
              </w:rPr>
              <w:t xml:space="preserve">Crna Gora je </w:t>
            </w:r>
            <w:r w:rsidRPr="00095948">
              <w:rPr>
                <w:rFonts w:eastAsia="Calibri" w:cs="Times New Roman"/>
                <w:b/>
                <w:szCs w:val="24"/>
                <w:lang w:val="fr-FR"/>
              </w:rPr>
              <w:t>umjereno spremna</w:t>
            </w:r>
            <w:r w:rsidRPr="00095948">
              <w:rPr>
                <w:rFonts w:eastAsia="Calibri" w:cs="Times New Roman"/>
                <w:szCs w:val="24"/>
                <w:lang w:val="fr-FR"/>
              </w:rPr>
              <w:t xml:space="preserve"> u oblasti finansijskih usluga, uz </w:t>
            </w:r>
            <w:r w:rsidRPr="00095948">
              <w:rPr>
                <w:rFonts w:eastAsia="Calibri" w:cs="Times New Roman"/>
                <w:b/>
                <w:szCs w:val="24"/>
                <w:lang w:val="fr-FR"/>
              </w:rPr>
              <w:t>dobar napredak</w:t>
            </w:r>
            <w:r w:rsidRPr="00095948">
              <w:rPr>
                <w:rFonts w:eastAsia="Calibri" w:cs="Times New Roman"/>
                <w:szCs w:val="24"/>
                <w:lang w:val="fr-FR"/>
              </w:rPr>
              <w:t xml:space="preserve"> ostvaren u izvještajnom periodu, i to u usklađivanju s pravnom tekovinom EU u oblasti bankarstva i finansijskih konglomerata, čime je ispunjena prošlogodišnja preporuka. </w:t>
            </w:r>
            <w:r w:rsidRPr="009A2018">
              <w:rPr>
                <w:rFonts w:eastAsia="Calibri" w:cs="Times New Roman"/>
                <w:szCs w:val="24"/>
              </w:rPr>
              <w:t>U predstojećoj godini, Crna Gora treba naročito da:</w:t>
            </w:r>
          </w:p>
          <w:p w:rsidR="00622A95" w:rsidRPr="009A2018" w:rsidRDefault="00622A95" w:rsidP="00EC1790">
            <w:pPr>
              <w:numPr>
                <w:ilvl w:val="0"/>
                <w:numId w:val="14"/>
              </w:numPr>
              <w:spacing w:after="120" w:line="240" w:lineRule="auto"/>
              <w:ind w:left="0" w:firstLine="0"/>
              <w:jc w:val="both"/>
              <w:rPr>
                <w:rFonts w:eastAsia="Calibri" w:cs="Times New Roman"/>
                <w:szCs w:val="24"/>
              </w:rPr>
            </w:pPr>
            <w:r w:rsidRPr="009A2018">
              <w:rPr>
                <w:rFonts w:eastAsia="Calibri" w:cs="Times New Roman"/>
                <w:szCs w:val="24"/>
              </w:rPr>
              <w:t>usvoji i započne primjenu podzakonskih akata koji se odnose na Direktivu o kapitalnim zahtjevima i Regulativu o kapitalnim zahtjevima;</w:t>
            </w:r>
          </w:p>
          <w:p w:rsidR="00622A95" w:rsidRPr="009A2018" w:rsidRDefault="00622A95" w:rsidP="00EC1790">
            <w:pPr>
              <w:numPr>
                <w:ilvl w:val="0"/>
                <w:numId w:val="14"/>
              </w:numPr>
              <w:spacing w:after="120" w:line="240" w:lineRule="auto"/>
              <w:ind w:left="0" w:firstLine="0"/>
              <w:jc w:val="both"/>
              <w:rPr>
                <w:rFonts w:eastAsia="Calibri" w:cs="Times New Roman"/>
                <w:color w:val="000000"/>
                <w:szCs w:val="24"/>
              </w:rPr>
            </w:pPr>
            <w:r w:rsidRPr="009A2018">
              <w:rPr>
                <w:rFonts w:eastAsia="Calibri" w:cs="Times New Roman"/>
                <w:noProof/>
                <w:color w:val="000000"/>
                <w:szCs w:val="24"/>
              </w:rPr>
              <w:t>izvrši nezavisni pregled kvaliteta aktive u bankarskom sistemu, analizira njegove rezultate i pripremi planove za korektivne mjere, ako je potrebno.</w:t>
            </w:r>
          </w:p>
        </w:tc>
      </w:tr>
    </w:tbl>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U oblasti </w:t>
      </w:r>
      <w:r w:rsidRPr="009A2018">
        <w:rPr>
          <w:rFonts w:eastAsia="Calibri" w:cs="Times New Roman"/>
          <w:b/>
          <w:szCs w:val="24"/>
        </w:rPr>
        <w:t>banaka i finansijskih konglomerata</w:t>
      </w:r>
      <w:r w:rsidRPr="009A2018">
        <w:rPr>
          <w:rFonts w:eastAsia="Calibri" w:cs="Times New Roman"/>
          <w:szCs w:val="24"/>
        </w:rPr>
        <w:t>, zakonodavstvo je djelimično usklađeno s pravnom tekovinom EU. U decembru 2019. godine, Skupština je usvojila zakone o zaštiti depozita, kreditnim institucijama, sanaciji kreditnih institucija i izmjene i dopune zakona o stečaju i likvidaciji banaka. Ovo ima za cilj usklađivanje pravnog okvira s Direktivom o kapitalnim zahtjevima (CRD IV) i Regulativom o kapitalnim zahtjevima (CRR) kao i Direktivom o oporavku i sanaciji banaka (BRRD). Rad na podzakonskim aktima, neophodnim za punu primjenu ovih zakona, nastaviće se tokom 2020. godine. Novi zakonski okvir, nakon što bude primijenjen, značajno će poboljšati nadzor kreditnih institucija i omogućiti blagovremene intervencije u kreditnim institucijama s problemima.</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Tokom izvještajnog perioda, Centralna banka Crne Gore izmijenila je i dopunila niz podzakonskih akata o kreditnom registru, izvještavanju i minimalnim standardima za upravljanje kreditnim rizikom u bankama. Takođe je donijela podzakonske akte o makroprudencijalnim mjerama vezanim za bankarske kredite za stanovništvo. U julu 2019. godine uspostavljen je Komitet za bankarski nadzor, stalno savjetodavno tijelo guvernera Centralne banke. Unutrašnja organizacija Centralne banke takođe je promijenjena s ciljem jačanja njenih institucionalnih i supervizorskih kapaciteta. Crna Gora je uspostavila jedinice za posrednu superviziju kreditnih institucija, nadzor operativnog rizika kreditnih institucija, novi direktorat za sanaciju kreditnih institucija i Fond za sanaciju.</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Ove radnje, preduzete nakon bankrota dvije manje kreditne institucije početkom 2019. godine, povećale su nivo nadzora i poboljšale nivo zaštite od kreditnog rizika. Glavni pokazatelji za bankarski sektor ostaju pozitivni, pri čemu se koeficijent nekvalitetnih kredita smanjio na 5,1% ukupnih kredita u februaru 2020, a koeficijent solventnosti dostigao je 17,7% na kraju 2019. godine, što je znatno iznad zakonskog minimuma od 10%. Bez obzira na to, eksterna, nezavisna procjena kvaliteta aktive svih 13 banaka prisutnih na crnogorskom tržištu započela je u februaru 2020. godine, s ciljem jačanja stabilnosti u bankarskom sistemu i povjerenja u bankarski sistem. Procjena treba da bude završena tokom 2021. godine. </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Centralna banka je u martu 2020. godine, u saradnji s Vladom i komercijalnim bankama, usvojila odluku o privremenim mjerama za finansijski sistem u cilju ublažavanja negativnih efekata pandemije COVID-19 na građane i finansijski sistem Crne Gore. Mjere obuhvataju prije svega moratorijum od 90 dana na otplatu kredita, mogućnost restrukturiranja i produženja kredita i privremenu zabranu isplate dividende akcionarima banaka. Drugom odlukom iz maja 2020. godine uvedene su dalje mjere koje banke mogu preduzeti za restrukturiranje kredita zajmoprimaca pogođenih krizom i mogućnost produženja moratorijuma na otplate kredita za još 90 dana.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Pravila Crne Gore o</w:t>
      </w:r>
      <w:r w:rsidRPr="009A2018">
        <w:rPr>
          <w:rFonts w:eastAsia="Calibri" w:cs="Times New Roman"/>
          <w:b/>
          <w:szCs w:val="24"/>
        </w:rPr>
        <w:t xml:space="preserve"> osiguranju i profesionalnim penzijama</w:t>
      </w:r>
      <w:r w:rsidRPr="009A2018">
        <w:rPr>
          <w:rFonts w:eastAsia="Calibri" w:cs="Times New Roman"/>
          <w:szCs w:val="24"/>
        </w:rPr>
        <w:t xml:space="preserve"> djelimično su usklađena s pravilima EU u ovoj oblasti i prevashodno se zasnivaju na pravilima Solventnosti I. Agencija za nadzor osiguranja nastavila je rad na daljem usklađivanju s pravnom tekovinom</w:t>
      </w:r>
      <w:r w:rsidRPr="009A2018">
        <w:rPr>
          <w:rFonts w:eastAsia="Calibri" w:cs="Times New Roman"/>
          <w:noProof/>
          <w:color w:val="000000"/>
          <w:szCs w:val="24"/>
        </w:rPr>
        <w:t xml:space="preserve"> EU</w:t>
      </w:r>
      <w:r w:rsidRPr="009A2018">
        <w:rPr>
          <w:rFonts w:eastAsia="Calibri" w:cs="Times New Roman"/>
          <w:i/>
          <w:noProof/>
          <w:color w:val="000000"/>
          <w:szCs w:val="24"/>
        </w:rPr>
        <w:t>,</w:t>
      </w:r>
      <w:r w:rsidRPr="009A2018">
        <w:rPr>
          <w:rFonts w:eastAsia="Calibri" w:cs="Times New Roman"/>
          <w:szCs w:val="24"/>
        </w:rPr>
        <w:t xml:space="preserve"> odnosno Direktivom Solventnost II. Takođe su usvojeni podzakonski akti o sadržini i načinu vođenja registara podataka o društvima za osiguranje, kao i određene izmjene i dopune tri podzakonska akta.</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 xml:space="preserve">U oblasti </w:t>
      </w:r>
      <w:r w:rsidRPr="009A2018">
        <w:rPr>
          <w:rFonts w:eastAsia="Calibri" w:cs="Times New Roman"/>
          <w:b/>
          <w:szCs w:val="24"/>
        </w:rPr>
        <w:t>infrastrukture finansijskog tržišta</w:t>
      </w:r>
      <w:r w:rsidRPr="009A2018">
        <w:rPr>
          <w:rFonts w:eastAsia="Calibri" w:cs="Times New Roman"/>
          <w:szCs w:val="24"/>
        </w:rPr>
        <w:t xml:space="preserve">, </w:t>
      </w:r>
      <w:r w:rsidRPr="009A2018">
        <w:rPr>
          <w:rFonts w:eastAsia="Calibri" w:cs="Times New Roman"/>
          <w:b/>
          <w:szCs w:val="24"/>
        </w:rPr>
        <w:t>tržišta hartija od vrijednosti i investicionih usluga</w:t>
      </w:r>
      <w:r w:rsidRPr="009A2018">
        <w:rPr>
          <w:rFonts w:eastAsia="Calibri" w:cs="Times New Roman"/>
          <w:szCs w:val="24"/>
        </w:rPr>
        <w:t xml:space="preserve">, Komisija za tržište kapitala usvojila je podzakonske akte o podnošenju regulisanih informacija u ovoj oblasti vladinom Centralnom registru regulisanih informacija. Takođe su usvojeni podzakonski akti i smjernice o sprečavanju pranja novca i finansiranja terorizma u vezi s nadzorom zasnovanim na riziku od strane učesnika na tržištu kapitala. Nastavljene su pripreme za usklađivanje s pravnom tekovinom EU o investicionim fondovima (Direktiva UCITS), alternativnim investicionim fondovima (Direktiva AIFMD) i penzijskim fondovima (Direktiva IORP). </w:t>
      </w:r>
    </w:p>
    <w:p w:rsidR="00622A95" w:rsidRPr="009A2018" w:rsidRDefault="00622A95" w:rsidP="00EC1790">
      <w:pPr>
        <w:pStyle w:val="Heading2"/>
        <w:rPr>
          <w:rFonts w:eastAsia="Times New Roman"/>
        </w:rPr>
      </w:pPr>
      <w:bookmarkStart w:id="123" w:name="_Toc30080575"/>
      <w:bookmarkStart w:id="124" w:name="_Toc30074146"/>
      <w:bookmarkStart w:id="125" w:name="_Toc30073833"/>
      <w:bookmarkStart w:id="126" w:name="_Toc52744943"/>
      <w:bookmarkStart w:id="127" w:name="_Toc53362451"/>
      <w:r w:rsidRPr="009A2018">
        <w:rPr>
          <w:rFonts w:eastAsia="Times New Roman"/>
        </w:rPr>
        <w:t>5.10</w:t>
      </w:r>
      <w:r w:rsidRPr="009A2018">
        <w:rPr>
          <w:rFonts w:eastAsia="Times New Roman"/>
        </w:rPr>
        <w:tab/>
        <w:t>Poglavlje 10: Informatičko društvo i mediji</w:t>
      </w:r>
      <w:bookmarkEnd w:id="123"/>
      <w:bookmarkEnd w:id="124"/>
      <w:bookmarkEnd w:id="125"/>
      <w:bookmarkEnd w:id="126"/>
      <w:bookmarkEnd w:id="127"/>
    </w:p>
    <w:p w:rsidR="00622A95" w:rsidRPr="009A2018" w:rsidRDefault="00622A95" w:rsidP="00EC1790">
      <w:pPr>
        <w:widowControl w:val="0"/>
        <w:spacing w:after="120" w:line="240" w:lineRule="auto"/>
        <w:jc w:val="both"/>
        <w:rPr>
          <w:i/>
          <w:iCs/>
          <w:sz w:val="23"/>
          <w:szCs w:val="23"/>
        </w:rPr>
      </w:pPr>
      <w:r w:rsidRPr="009A2018">
        <w:rPr>
          <w:rFonts w:eastAsia="Calibri" w:cs="Times New Roman"/>
          <w:i/>
          <w:iCs/>
          <w:noProof/>
          <w:color w:val="000000"/>
          <w:szCs w:val="24"/>
        </w:rPr>
        <w:t xml:space="preserve">EU podržava dobro funkcionisanje </w:t>
      </w:r>
      <w:r w:rsidR="004C1EEB">
        <w:rPr>
          <w:rFonts w:eastAsia="Calibri" w:cs="Times New Roman"/>
          <w:i/>
          <w:iCs/>
          <w:noProof/>
          <w:color w:val="000000"/>
          <w:szCs w:val="24"/>
        </w:rPr>
        <w:t>unutrašnjeg</w:t>
      </w:r>
      <w:r w:rsidR="004C1EEB" w:rsidRPr="009A2018">
        <w:rPr>
          <w:rFonts w:eastAsia="Calibri" w:cs="Times New Roman"/>
          <w:i/>
          <w:iCs/>
          <w:noProof/>
          <w:color w:val="000000"/>
          <w:szCs w:val="24"/>
        </w:rPr>
        <w:t xml:space="preserve"> </w:t>
      </w:r>
      <w:r w:rsidRPr="009A2018">
        <w:rPr>
          <w:rFonts w:eastAsia="Calibri" w:cs="Times New Roman"/>
          <w:i/>
          <w:iCs/>
          <w:noProof/>
          <w:color w:val="000000"/>
          <w:szCs w:val="24"/>
        </w:rPr>
        <w:t xml:space="preserve">tržišta za elektronske komunikacije, elektronsku trgovinu i audio-vizuelne usluge. Pravila štite potrošače i podržavaju univerzalnu dostupnost modernih servisa. </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Crna Gora je i dalje </w:t>
      </w:r>
      <w:r w:rsidRPr="009A2018">
        <w:rPr>
          <w:rFonts w:eastAsia="Calibri" w:cs="Times New Roman"/>
          <w:b/>
          <w:bCs/>
          <w:noProof/>
          <w:color w:val="000000"/>
          <w:szCs w:val="24"/>
          <w:shd w:val="clear" w:color="auto" w:fill="D9D9D9"/>
          <w:lang w:bidi="en-US"/>
        </w:rPr>
        <w:t xml:space="preserve">umjereno spremna </w:t>
      </w:r>
      <w:r w:rsidRPr="009A2018">
        <w:rPr>
          <w:rFonts w:eastAsia="Calibri" w:cs="Times New Roman"/>
          <w:noProof/>
          <w:color w:val="000000"/>
          <w:szCs w:val="24"/>
          <w:shd w:val="clear" w:color="auto" w:fill="D9D9D9"/>
        </w:rPr>
        <w:t>u oblasti</w:t>
      </w:r>
      <w:r w:rsidRPr="009A2018">
        <w:rPr>
          <w:rFonts w:eastAsia="Calibri" w:cs="Times New Roman"/>
          <w:noProof/>
          <w:color w:val="000000"/>
          <w:szCs w:val="24"/>
        </w:rPr>
        <w:t xml:space="preserve"> informatičkog društva i medija. Tokom izvještajnog perioda postignut je </w:t>
      </w:r>
      <w:r w:rsidRPr="009A2018">
        <w:rPr>
          <w:rFonts w:eastAsia="Calibri" w:cs="Times New Roman"/>
          <w:b/>
          <w:noProof/>
          <w:color w:val="000000"/>
          <w:szCs w:val="24"/>
        </w:rPr>
        <w:t>ograničeni napredak</w:t>
      </w:r>
      <w:r w:rsidRPr="009A2018">
        <w:rPr>
          <w:rFonts w:eastAsia="Calibri" w:cs="Times New Roman"/>
          <w:noProof/>
          <w:color w:val="000000"/>
          <w:szCs w:val="24"/>
        </w:rPr>
        <w:t>. Preporuke iz prethodnog izvještaja i dalje treba u potpunosti ispuniti, ali nov</w:t>
      </w:r>
      <w:r w:rsidR="004C1EEB">
        <w:rPr>
          <w:rFonts w:eastAsia="Calibri" w:cs="Times New Roman"/>
          <w:noProof/>
          <w:color w:val="000000"/>
          <w:szCs w:val="24"/>
        </w:rPr>
        <w:t>o</w:t>
      </w:r>
      <w:r w:rsidRPr="009A2018">
        <w:rPr>
          <w:rFonts w:eastAsia="Calibri" w:cs="Times New Roman"/>
          <w:noProof/>
          <w:color w:val="000000"/>
          <w:szCs w:val="24"/>
        </w:rPr>
        <w:t xml:space="preserve"> medijsk</w:t>
      </w:r>
      <w:r w:rsidR="004C1EEB">
        <w:rPr>
          <w:rFonts w:eastAsia="Calibri" w:cs="Times New Roman"/>
          <w:noProof/>
          <w:color w:val="000000"/>
          <w:szCs w:val="24"/>
        </w:rPr>
        <w:t>o</w:t>
      </w:r>
      <w:r w:rsidRPr="009A2018">
        <w:rPr>
          <w:rFonts w:eastAsia="Calibri" w:cs="Times New Roman"/>
          <w:noProof/>
          <w:color w:val="000000"/>
          <w:szCs w:val="24"/>
        </w:rPr>
        <w:t xml:space="preserve"> zakon</w:t>
      </w:r>
      <w:r w:rsidR="004C1EEB">
        <w:rPr>
          <w:rFonts w:eastAsia="Calibri" w:cs="Times New Roman"/>
          <w:noProof/>
          <w:color w:val="000000"/>
          <w:szCs w:val="24"/>
        </w:rPr>
        <w:t>odavstvo</w:t>
      </w:r>
      <w:r w:rsidRPr="009A2018">
        <w:rPr>
          <w:rFonts w:eastAsia="Calibri" w:cs="Times New Roman"/>
          <w:noProof/>
          <w:color w:val="000000"/>
          <w:szCs w:val="24"/>
        </w:rPr>
        <w:t xml:space="preserve"> pruža dobru osnovu za to. Crna Gora je pripremila i djelimično usvojila novi set medijskih zakona, o kojima se takođe opširno razgovaralo s medijskom zajednicom i civilnim društvom. Kapacitet i nezavisnost regulatornih tijela još treba da se ojačaju kako bi mogli da sprovode novo medijsko zakonodavstvo i preporuke. </w:t>
      </w:r>
    </w:p>
    <w:p w:rsidR="00622A95" w:rsidRPr="009A201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sidRPr="009A2018">
        <w:rPr>
          <w:rFonts w:eastAsia="Calibri" w:cs="Times New Roman"/>
          <w:noProof/>
          <w:color w:val="000000"/>
          <w:szCs w:val="24"/>
        </w:rPr>
        <w:t>U narednoj godini, Crna Gora treba naročito da:</w:t>
      </w:r>
    </w:p>
    <w:p w:rsidR="00622A95" w:rsidRPr="009A2018" w:rsidRDefault="00622A95" w:rsidP="00EC1790">
      <w:pPr>
        <w:widowControl w:val="0"/>
        <w:numPr>
          <w:ilvl w:val="0"/>
          <w:numId w:val="15"/>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stvori uslove za medijske regulatore i javni servis da funkcionišu bez nedozvoljenog političkog uticaja;</w:t>
      </w:r>
    </w:p>
    <w:p w:rsidR="00622A95" w:rsidRPr="009A2018" w:rsidRDefault="004C1EEB" w:rsidP="00EC1790">
      <w:pPr>
        <w:widowControl w:val="0"/>
        <w:numPr>
          <w:ilvl w:val="0"/>
          <w:numId w:val="15"/>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rPr>
          <w:rFonts w:eastAsia="Calibri" w:cs="Times New Roman"/>
          <w:noProof/>
          <w:color w:val="000000"/>
          <w:szCs w:val="24"/>
        </w:rPr>
      </w:pPr>
      <w:r>
        <w:rPr>
          <w:rFonts w:eastAsia="Calibri" w:cs="Times New Roman"/>
          <w:noProof/>
          <w:color w:val="000000"/>
          <w:szCs w:val="24"/>
        </w:rPr>
        <w:t>dodijeli</w:t>
      </w:r>
      <w:r w:rsidR="00622A95" w:rsidRPr="009A2018">
        <w:rPr>
          <w:rFonts w:eastAsia="Calibri" w:cs="Times New Roman"/>
          <w:noProof/>
          <w:color w:val="000000"/>
          <w:szCs w:val="24"/>
        </w:rPr>
        <w:t xml:space="preserve"> ovlašćenje Agenciji za elektronske medije (AEM) da izriče kompletan set mjera, uključujući upozorenja, novčane kazne, suspenzije i oduzimanje licenci čime bi se obezbijedila proporcionalnost i djelotvornost;</w:t>
      </w:r>
    </w:p>
    <w:p w:rsidR="00622A95" w:rsidRPr="009A2018" w:rsidRDefault="00622A95" w:rsidP="00EC1790">
      <w:pPr>
        <w:widowControl w:val="0"/>
        <w:numPr>
          <w:ilvl w:val="0"/>
          <w:numId w:val="15"/>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rPr>
          <w:rFonts w:eastAsia="Calibri" w:cs="Times New Roman"/>
          <w:noProof/>
          <w:color w:val="000000"/>
          <w:szCs w:val="24"/>
        </w:rPr>
      </w:pPr>
      <w:r w:rsidRPr="009A2018">
        <w:rPr>
          <w:rFonts w:eastAsia="Calibri" w:cs="Times New Roman"/>
          <w:noProof/>
          <w:color w:val="000000"/>
          <w:szCs w:val="24"/>
        </w:rPr>
        <w:t>uspostavi bilans ostvarenih rezultata kako bi pokazala administrativne kapacitete za sprovođenje pravne tekovine EU u oblasti elektronskih komunikacija, usluga informacionog društva i audio-vizuelnih medijskih usluga, uključujući i regulatornu nezavisnost.</w:t>
      </w:r>
    </w:p>
    <w:p w:rsidR="00622A95" w:rsidRPr="009A2018" w:rsidRDefault="00622A95" w:rsidP="00EC1790">
      <w:pPr>
        <w:widowControl w:val="0"/>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U oblasti </w:t>
      </w:r>
      <w:r w:rsidRPr="009A2018">
        <w:rPr>
          <w:rFonts w:eastAsia="Calibri" w:cs="Times New Roman"/>
          <w:b/>
          <w:bCs/>
          <w:noProof/>
          <w:color w:val="000000"/>
          <w:szCs w:val="24"/>
          <w:shd w:val="clear" w:color="auto" w:fill="FFFFFF"/>
          <w:lang w:bidi="en-US"/>
        </w:rPr>
        <w:t>elektronskih komunikacija i informacionih i komunikacionih tehnologija</w:t>
      </w:r>
      <w:r w:rsidRPr="009A2018">
        <w:rPr>
          <w:rFonts w:eastAsia="Calibri" w:cs="Times New Roman"/>
          <w:noProof/>
          <w:color w:val="000000"/>
          <w:szCs w:val="24"/>
        </w:rPr>
        <w:t>, postignut je napredak na mapiranju nacionalne širokopojasne infrastrukture. Cilj je da se smanje troškovi postavljanja širokopojasne mreže, kao što je preporučeno u Programu ekonomskih reformi  (PER). U proljeće 2019. godine, Ustavni sud je donio odluku da je blokiranje besplatnih programa i servisa za slanje instant poruka na više platformi na dan izbora u oktobru 2016. godine bilo neustavno. Shodno tome, Sud je poništio odgovarajuću odredbu Zakona o elektronskim komunikacijama.</w:t>
      </w:r>
    </w:p>
    <w:p w:rsidR="00622A95" w:rsidRPr="009A2018" w:rsidRDefault="00622A95" w:rsidP="00EC1790">
      <w:pPr>
        <w:widowControl w:val="0"/>
        <w:spacing w:after="120" w:line="240" w:lineRule="auto"/>
        <w:jc w:val="both"/>
        <w:rPr>
          <w:rFonts w:eastAsia="Calibri" w:cs="Times New Roman"/>
          <w:noProof/>
          <w:color w:val="000000"/>
          <w:szCs w:val="24"/>
        </w:rPr>
      </w:pPr>
      <w:r w:rsidRPr="009A2018">
        <w:rPr>
          <w:rFonts w:eastAsia="Calibri" w:cs="Times New Roman"/>
          <w:noProof/>
          <w:color w:val="000000"/>
          <w:szCs w:val="24"/>
        </w:rPr>
        <w:t>Evropski broj 112 za hitne slučajeve funkcioniše.</w:t>
      </w:r>
    </w:p>
    <w:p w:rsidR="00622A95" w:rsidRPr="009A2018" w:rsidRDefault="00622A95" w:rsidP="00EC1790">
      <w:pPr>
        <w:widowControl w:val="0"/>
        <w:spacing w:after="120" w:line="240" w:lineRule="auto"/>
        <w:jc w:val="both"/>
        <w:rPr>
          <w:rFonts w:eastAsia="Calibri" w:cs="Times New Roman"/>
          <w:noProof/>
          <w:color w:val="000000"/>
          <w:szCs w:val="24"/>
        </w:rPr>
      </w:pPr>
      <w:r w:rsidRPr="009A2018">
        <w:rPr>
          <w:rFonts w:eastAsia="Calibri" w:cs="Times New Roman"/>
          <w:b/>
          <w:bCs/>
          <w:noProof/>
          <w:color w:val="000000"/>
          <w:szCs w:val="24"/>
          <w:shd w:val="clear" w:color="auto" w:fill="FFFFFF"/>
          <w:lang w:bidi="en-US"/>
        </w:rPr>
        <w:t>Informaciono društvo</w:t>
      </w:r>
      <w:r w:rsidRPr="009A2018">
        <w:rPr>
          <w:rFonts w:eastAsia="Calibri" w:cs="Times New Roman"/>
          <w:bCs/>
          <w:noProof/>
          <w:color w:val="000000"/>
          <w:szCs w:val="24"/>
          <w:shd w:val="clear" w:color="auto" w:fill="FFFFFF"/>
          <w:lang w:bidi="en-US"/>
        </w:rPr>
        <w:t xml:space="preserve"> nalazi se u nadležnosti </w:t>
      </w:r>
      <w:r w:rsidRPr="009A2018">
        <w:rPr>
          <w:rFonts w:eastAsia="Calibri" w:cs="Times New Roman"/>
          <w:noProof/>
          <w:color w:val="000000"/>
          <w:szCs w:val="24"/>
        </w:rPr>
        <w:t>Ministarstva javne uprave. Usvojen je akcioni plan za sprovođenje Strategije razvoja informacionog društva za 2019. godinu. Strategija, koja je zasnovana na Digitalnoj agendi za Evropu i Strategiji jedinstvenog digitalnog tržišta, utvrđuje ključne korake za postizanje neophodnih standarda, kao što su dostupnost širokopojasnih usluga, sajber bezbjednost, digitalni biznis, eZdravlje i e</w:t>
      </w:r>
      <w:r w:rsidR="004C1EEB">
        <w:rPr>
          <w:rFonts w:eastAsia="Calibri" w:cs="Times New Roman"/>
          <w:noProof/>
          <w:color w:val="000000"/>
          <w:szCs w:val="24"/>
        </w:rPr>
        <w:t>-o</w:t>
      </w:r>
      <w:r w:rsidRPr="009A2018">
        <w:rPr>
          <w:rFonts w:eastAsia="Calibri" w:cs="Times New Roman"/>
          <w:noProof/>
          <w:color w:val="000000"/>
          <w:szCs w:val="24"/>
        </w:rPr>
        <w:t xml:space="preserve">brazovanje. Regionalni sporazum o romingu potpisan u aprilu 2019. godine otvara put za ukidanje roming tarifa u julu 2021. </w:t>
      </w:r>
      <w:r w:rsidRPr="009A2018">
        <w:rPr>
          <w:rFonts w:eastAsia="Calibri" w:cs="Times New Roman"/>
          <w:szCs w:val="24"/>
        </w:rPr>
        <w:t xml:space="preserve">Ministarstvo javne uprave nastavilo je da proširuje broj e-usluga dostupnih građanima. Portal e-uprava trenutno podržava 598 elektronskih servisa u nadležnosti 52 institucije. </w:t>
      </w:r>
    </w:p>
    <w:p w:rsidR="00622A95" w:rsidRPr="009A2018" w:rsidRDefault="00622A95" w:rsidP="00EC1790">
      <w:pPr>
        <w:widowControl w:val="0"/>
        <w:spacing w:after="120" w:line="240" w:lineRule="auto"/>
        <w:jc w:val="both"/>
        <w:rPr>
          <w:rFonts w:eastAsia="Calibri" w:cs="Times New Roman"/>
          <w:noProof/>
          <w:color w:val="000000"/>
          <w:szCs w:val="24"/>
        </w:rPr>
      </w:pPr>
      <w:r w:rsidRPr="009A2018">
        <w:rPr>
          <w:rFonts w:eastAsia="Calibri" w:cs="Times New Roman"/>
          <w:noProof/>
          <w:color w:val="000000"/>
          <w:szCs w:val="24"/>
        </w:rPr>
        <w:t xml:space="preserve">Kad je riječ o </w:t>
      </w:r>
      <w:r w:rsidRPr="009A2018">
        <w:rPr>
          <w:rFonts w:eastAsia="Calibri" w:cs="Times New Roman"/>
          <w:b/>
          <w:bCs/>
          <w:noProof/>
          <w:color w:val="000000"/>
          <w:szCs w:val="24"/>
          <w:shd w:val="clear" w:color="auto" w:fill="FFFFFF"/>
          <w:lang w:bidi="en-US"/>
        </w:rPr>
        <w:t>audio-vizuelnoj politici</w:t>
      </w:r>
      <w:r w:rsidRPr="009A2018">
        <w:rPr>
          <w:rFonts w:eastAsia="Calibri" w:cs="Times New Roman"/>
          <w:bCs/>
          <w:noProof/>
          <w:color w:val="000000"/>
          <w:szCs w:val="24"/>
          <w:shd w:val="clear" w:color="auto" w:fill="FFFFFF"/>
          <w:lang w:bidi="en-US"/>
        </w:rPr>
        <w:t>, AEM, regulatorna agencija za elektronske medije</w:t>
      </w:r>
      <w:r w:rsidRPr="009A2018">
        <w:rPr>
          <w:rFonts w:eastAsia="Calibri" w:cs="Times New Roman"/>
          <w:noProof/>
          <w:color w:val="000000"/>
          <w:szCs w:val="24"/>
        </w:rPr>
        <w:t xml:space="preserve">, nastavlja da profesionalno vrši svoja ovlašćenja. Agencija je odgovorna za nadgledanje medija tokom izbora, iako bi, shodno zakonu, to trebalo da radi ad-hoc skupštinski odbor, što dovodi do preklapanja nadležnosti. Tokom izbora, kandidati, koji su emiteru podnijeli prigovore koji se odnose na medije, protiv odluke emitera mogu izjaviti žalbu direktno AEM-u, koji je dužan da odgovori u roku od 24 sata. Međutim, AEM nema nadležnost da efikasno nadgleda i sankcioniše emitere. Treba </w:t>
      </w:r>
      <w:r w:rsidR="004C1EEB">
        <w:rPr>
          <w:rFonts w:eastAsia="Calibri" w:cs="Times New Roman"/>
          <w:noProof/>
          <w:color w:val="000000"/>
          <w:szCs w:val="24"/>
        </w:rPr>
        <w:t>o</w:t>
      </w:r>
      <w:r w:rsidRPr="009A2018">
        <w:rPr>
          <w:rFonts w:eastAsia="Calibri" w:cs="Times New Roman"/>
          <w:noProof/>
          <w:color w:val="000000"/>
          <w:szCs w:val="24"/>
        </w:rPr>
        <w:t>jačati</w:t>
      </w:r>
      <w:r w:rsidR="004C1EEB">
        <w:rPr>
          <w:rFonts w:eastAsia="Calibri" w:cs="Times New Roman"/>
          <w:noProof/>
          <w:color w:val="000000"/>
          <w:szCs w:val="24"/>
        </w:rPr>
        <w:t>,</w:t>
      </w:r>
      <w:r w:rsidRPr="009A2018">
        <w:rPr>
          <w:rFonts w:eastAsia="Calibri" w:cs="Times New Roman"/>
          <w:noProof/>
          <w:color w:val="000000"/>
          <w:szCs w:val="24"/>
        </w:rPr>
        <w:t xml:space="preserve"> s ovim pitanjima</w:t>
      </w:r>
      <w:r w:rsidR="004C1EEB">
        <w:rPr>
          <w:rFonts w:eastAsia="Calibri" w:cs="Times New Roman"/>
          <w:noProof/>
          <w:color w:val="000000"/>
          <w:szCs w:val="24"/>
        </w:rPr>
        <w:t>,</w:t>
      </w:r>
      <w:r w:rsidRPr="009A2018">
        <w:rPr>
          <w:rFonts w:eastAsia="Calibri" w:cs="Times New Roman"/>
          <w:noProof/>
          <w:color w:val="000000"/>
          <w:szCs w:val="24"/>
        </w:rPr>
        <w:t xml:space="preserve"> povezane pravne odredbe i operativne kapacitete AEM-a. AEM treba da bude jedino tijelo odgovorno za nadgledanje medija tokom izbora.</w:t>
      </w:r>
    </w:p>
    <w:p w:rsidR="00622A95" w:rsidRPr="009A2018" w:rsidRDefault="00622A95" w:rsidP="00EC1790">
      <w:pPr>
        <w:widowControl w:val="0"/>
        <w:spacing w:after="120" w:line="240" w:lineRule="auto"/>
        <w:jc w:val="both"/>
        <w:rPr>
          <w:rFonts w:eastAsia="Calibri" w:cs="Times New Roman"/>
          <w:noProof/>
          <w:color w:val="000000"/>
          <w:szCs w:val="24"/>
        </w:rPr>
      </w:pPr>
      <w:r w:rsidRPr="009A2018">
        <w:rPr>
          <w:rFonts w:eastAsia="Calibri" w:cs="Times New Roman"/>
          <w:noProof/>
          <w:color w:val="000000"/>
          <w:szCs w:val="24"/>
        </w:rPr>
        <w:t>U februaru 2020. godine, AEM je ograničio emitovanje dva srpska TV emitera. Razlog je bila navodna upotreba diskriminatorskog jezika u odnosu na Crnu Goru, prikazanog u njihovim TV emisijama i promovisanje mržnje, netrpeljivosti i diskriminacije Crnogoraca</w:t>
      </w:r>
      <w:r w:rsidRPr="009A2018">
        <w:rPr>
          <w:rFonts w:eastAsia="Calibri" w:cs="Times New Roman"/>
          <w:color w:val="000000"/>
          <w:szCs w:val="24"/>
        </w:rPr>
        <w:t>.</w:t>
      </w:r>
    </w:p>
    <w:p w:rsidR="00622A95" w:rsidRPr="00095948" w:rsidRDefault="00622A95" w:rsidP="00EC1790">
      <w:pPr>
        <w:spacing w:after="120" w:line="240" w:lineRule="auto"/>
        <w:jc w:val="both"/>
        <w:rPr>
          <w:rFonts w:eastAsia="Calibri" w:cs="Times New Roman"/>
          <w:noProof/>
          <w:color w:val="000000"/>
          <w:szCs w:val="24"/>
          <w:lang w:val="fr-FR"/>
        </w:rPr>
      </w:pPr>
      <w:r w:rsidRPr="009A2018">
        <w:rPr>
          <w:rFonts w:eastAsia="Calibri" w:cs="Times New Roman"/>
          <w:noProof/>
          <w:color w:val="000000"/>
          <w:szCs w:val="24"/>
        </w:rPr>
        <w:t xml:space="preserve">Pripremljen je novi set od tri medijska zakona, a dva od njih je Skupština </w:t>
      </w:r>
      <w:r w:rsidR="004C1EEB">
        <w:rPr>
          <w:rFonts w:eastAsia="Calibri" w:cs="Times New Roman"/>
          <w:noProof/>
          <w:color w:val="000000"/>
          <w:szCs w:val="24"/>
        </w:rPr>
        <w:t>donijela</w:t>
      </w:r>
      <w:r w:rsidRPr="009A2018">
        <w:rPr>
          <w:rFonts w:eastAsia="Calibri" w:cs="Times New Roman"/>
          <w:noProof/>
          <w:color w:val="000000"/>
          <w:szCs w:val="24"/>
        </w:rPr>
        <w:t xml:space="preserve"> 27. </w:t>
      </w:r>
      <w:r w:rsidR="004C1EEB">
        <w:rPr>
          <w:rFonts w:eastAsia="Calibri" w:cs="Times New Roman"/>
          <w:noProof/>
          <w:color w:val="000000"/>
          <w:szCs w:val="24"/>
        </w:rPr>
        <w:t>VII</w:t>
      </w:r>
      <w:r w:rsidRPr="009A2018">
        <w:rPr>
          <w:rFonts w:eastAsia="Calibri" w:cs="Times New Roman"/>
          <w:noProof/>
          <w:color w:val="000000"/>
          <w:szCs w:val="24"/>
        </w:rPr>
        <w:t xml:space="preserve"> 2020. godine: Zakon o medijima i Zakon o nacionalnom javnom emiteru RTCG. Zakon o javnom emiteru treba da obezbijedi stabilne finansijske resurse i da se povrate urednička nezavisnost i profesionalni standardi javnog emitera. Treći zakon, Zakon o audio-vizuelnim medijskim uslugama, </w:t>
      </w:r>
      <w:r w:rsidR="004C1EEB">
        <w:rPr>
          <w:rFonts w:eastAsia="Calibri" w:cs="Times New Roman"/>
          <w:noProof/>
          <w:color w:val="000000"/>
          <w:szCs w:val="24"/>
        </w:rPr>
        <w:t>treba</w:t>
      </w:r>
      <w:r w:rsidR="004C1EEB" w:rsidRPr="009A2018">
        <w:rPr>
          <w:rFonts w:eastAsia="Calibri" w:cs="Times New Roman"/>
          <w:noProof/>
          <w:color w:val="000000"/>
          <w:szCs w:val="24"/>
        </w:rPr>
        <w:t xml:space="preserve"> </w:t>
      </w:r>
      <w:r w:rsidRPr="009A2018">
        <w:rPr>
          <w:rFonts w:eastAsia="Calibri" w:cs="Times New Roman"/>
          <w:noProof/>
          <w:color w:val="000000"/>
          <w:szCs w:val="24"/>
        </w:rPr>
        <w:t>da se uskladi s revi</w:t>
      </w:r>
      <w:r w:rsidR="004C1EEB">
        <w:rPr>
          <w:rFonts w:eastAsia="Calibri" w:cs="Times New Roman"/>
          <w:noProof/>
          <w:color w:val="000000"/>
          <w:szCs w:val="24"/>
        </w:rPr>
        <w:t>diranom</w:t>
      </w:r>
      <w:r w:rsidRPr="009A2018">
        <w:rPr>
          <w:rFonts w:eastAsia="Calibri" w:cs="Times New Roman"/>
          <w:noProof/>
          <w:color w:val="000000"/>
          <w:szCs w:val="24"/>
        </w:rPr>
        <w:t xml:space="preserve"> Direktiv</w:t>
      </w:r>
      <w:r w:rsidR="004C1EEB">
        <w:rPr>
          <w:rFonts w:eastAsia="Calibri" w:cs="Times New Roman"/>
          <w:noProof/>
          <w:color w:val="000000"/>
          <w:szCs w:val="24"/>
        </w:rPr>
        <w:t>om</w:t>
      </w:r>
      <w:r w:rsidRPr="009A2018">
        <w:rPr>
          <w:rFonts w:eastAsia="Calibri" w:cs="Times New Roman"/>
          <w:noProof/>
          <w:color w:val="000000"/>
          <w:szCs w:val="24"/>
        </w:rPr>
        <w:t xml:space="preserve"> EU o audio-vizuelnim medijskim uslugama iz 2018. godine. </w:t>
      </w:r>
      <w:r w:rsidRPr="00095948">
        <w:rPr>
          <w:rFonts w:eastAsia="Calibri" w:cs="Times New Roman"/>
          <w:noProof/>
          <w:color w:val="000000"/>
          <w:szCs w:val="24"/>
          <w:lang w:val="fr-FR"/>
        </w:rPr>
        <w:t xml:space="preserve">Ostaje da se on dovrši i treba da se obezbijedi </w:t>
      </w:r>
      <w:r w:rsidR="004C1EEB">
        <w:rPr>
          <w:rFonts w:eastAsia="Calibri" w:cs="Times New Roman"/>
          <w:noProof/>
          <w:color w:val="000000"/>
          <w:szCs w:val="24"/>
          <w:lang w:val="fr-FR"/>
        </w:rPr>
        <w:t>konzistentnost</w:t>
      </w:r>
      <w:r w:rsidRPr="00095948">
        <w:rPr>
          <w:rFonts w:eastAsia="Calibri" w:cs="Times New Roman"/>
          <w:noProof/>
          <w:color w:val="000000"/>
          <w:szCs w:val="24"/>
          <w:lang w:val="fr-FR"/>
        </w:rPr>
        <w:t xml:space="preserve"> ta tri zakona.</w:t>
      </w:r>
    </w:p>
    <w:p w:rsidR="00622A95" w:rsidRPr="00095948" w:rsidRDefault="00622A95" w:rsidP="00EC1790">
      <w:pPr>
        <w:pStyle w:val="Heading2"/>
        <w:rPr>
          <w:rFonts w:eastAsia="Calibri"/>
          <w:lang w:val="fr-FR"/>
        </w:rPr>
      </w:pPr>
      <w:bookmarkStart w:id="128" w:name="_Toc52744944"/>
      <w:bookmarkStart w:id="129" w:name="_Toc53362452"/>
      <w:r w:rsidRPr="00095948">
        <w:rPr>
          <w:lang w:val="fr-FR"/>
        </w:rPr>
        <w:t>5. 11</w:t>
      </w:r>
      <w:r w:rsidR="00585E64" w:rsidRPr="00095948">
        <w:rPr>
          <w:lang w:val="fr-FR"/>
        </w:rPr>
        <w:tab/>
      </w:r>
      <w:r w:rsidRPr="00095948">
        <w:rPr>
          <w:lang w:val="fr-FR"/>
        </w:rPr>
        <w:t>Poglavlje 11: Poljoprivreda i ruralni razvoj</w:t>
      </w:r>
      <w:bookmarkEnd w:id="128"/>
      <w:bookmarkEnd w:id="129"/>
    </w:p>
    <w:p w:rsidR="00622A95" w:rsidRPr="00095948" w:rsidRDefault="00622A95" w:rsidP="00EC1790">
      <w:pPr>
        <w:keepNext/>
        <w:autoSpaceDE w:val="0"/>
        <w:autoSpaceDN w:val="0"/>
        <w:adjustRightInd w:val="0"/>
        <w:spacing w:after="120" w:line="240" w:lineRule="auto"/>
        <w:jc w:val="both"/>
        <w:rPr>
          <w:rFonts w:eastAsia="Calibri" w:cs="Times New Roman"/>
          <w:i/>
          <w:iCs/>
          <w:color w:val="000000"/>
          <w:szCs w:val="24"/>
          <w:lang w:val="fr-FR"/>
        </w:rPr>
      </w:pPr>
      <w:r w:rsidRPr="00095948">
        <w:rPr>
          <w:i/>
          <w:color w:val="000000"/>
          <w:lang w:val="fr-FR"/>
        </w:rPr>
        <w:t xml:space="preserve">Zajednička poljoprivredna politika (ZPP) pruža podršku poljoprivrednicima i ruralnom razvoju. Za to su potrebni jaki upravljački i kontrolni sistemi. Takođe postoje i zajednička pravila EU za politiku kvaliteta i organsku poljoprivredu.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xml:space="preserve">Crna Gora ostaje </w:t>
      </w:r>
      <w:r w:rsidRPr="009A2018">
        <w:rPr>
          <w:b/>
          <w:bCs/>
          <w:color w:val="000000"/>
        </w:rPr>
        <w:t>umjereno spremna</w:t>
      </w:r>
      <w:r w:rsidRPr="009A2018">
        <w:rPr>
          <w:color w:val="000000"/>
        </w:rPr>
        <w:t xml:space="preserve"> u oblasti poljoprivrede i ruralnog razvoja. Ostvarivanje</w:t>
      </w:r>
      <w:r w:rsidRPr="009A2018">
        <w:rPr>
          <w:b/>
          <w:color w:val="000000"/>
        </w:rPr>
        <w:t>dobrog napretka</w:t>
      </w:r>
      <w:r w:rsidRPr="009A2018">
        <w:rPr>
          <w:color w:val="000000"/>
        </w:rPr>
        <w:t xml:space="preserve"> naročito je nastavljeno u pogledu sprovođenja Instrumenta za pretpristupnu pomoć za ruralni razvoj (IPARD II) u okviru dva poziva i podnošenja zahtjeva za povjeravanje još jedne mjere i ažuriranja akcionog plana za usklađivanje s pravnom tekovinom EU u poglavlju 11.</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xml:space="preserve">U narednom periodu Crna Gora naročito treba da: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ascii="Symbol" w:hAnsi="Symbol"/>
          <w:color w:val="000000"/>
        </w:rPr>
        <w:sym w:font="Symbol" w:char="F0AE"/>
      </w:r>
      <w:r w:rsidRPr="009A2018">
        <w:rPr>
          <w:color w:val="000000"/>
        </w:rPr>
        <w:t xml:space="preserve"> nastavi da sprovodi mjere koje su joj povjerene u okviru programa IPARD II i da nastoji da joj se povjere poslovi izvršenja budžeta za mjeru tehničke pomoći;</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ascii="Symbol" w:hAnsi="Symbol"/>
          <w:color w:val="000000"/>
        </w:rPr>
        <w:sym w:font="Symbol" w:char="F0AE"/>
      </w:r>
      <w:r w:rsidRPr="009A2018">
        <w:rPr>
          <w:color w:val="000000"/>
        </w:rPr>
        <w:t xml:space="preserve"> nastavi da sprovodi akcioni plan kako bi se obezbijedilo usklađivanje s pravnom tekovinom EU u oblasti poljoprivrede i ruralnog razvoja.</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130" w:name="_Toc30074147"/>
      <w:bookmarkStart w:id="131" w:name="_Toc30073834"/>
      <w:r w:rsidRPr="009A2018">
        <w:rPr>
          <w:color w:val="000000"/>
        </w:rPr>
        <w:t xml:space="preserve">Kada je riječ o </w:t>
      </w:r>
      <w:r w:rsidRPr="009A2018">
        <w:rPr>
          <w:b/>
          <w:color w:val="000000"/>
        </w:rPr>
        <w:t>horizontalnim pitanjima</w:t>
      </w:r>
      <w:r w:rsidRPr="009A2018">
        <w:rPr>
          <w:color w:val="000000"/>
        </w:rPr>
        <w:t xml:space="preserve">, revidiran je akcioni plan za usklađivanje s pravnom tekovinom EU i nastavljeno je usklađivanje zakonodavstva. Ostaje da se ostvari napredak u usklađivanju mjera direktne podrške s pravnom tekovinom EU </w:t>
      </w:r>
      <w:r w:rsidR="006D0762">
        <w:rPr>
          <w:color w:val="000000"/>
        </w:rPr>
        <w:t xml:space="preserve">putem </w:t>
      </w:r>
      <w:r w:rsidRPr="009A2018">
        <w:rPr>
          <w:color w:val="000000"/>
        </w:rPr>
        <w:t>potpun</w:t>
      </w:r>
      <w:r w:rsidR="006D0762">
        <w:rPr>
          <w:color w:val="000000"/>
        </w:rPr>
        <w:t>og</w:t>
      </w:r>
      <w:r w:rsidRPr="009A2018">
        <w:rPr>
          <w:color w:val="000000"/>
        </w:rPr>
        <w:t xml:space="preserve"> odvajanj</w:t>
      </w:r>
      <w:r w:rsidR="006D0762">
        <w:rPr>
          <w:color w:val="000000"/>
        </w:rPr>
        <w:t>a</w:t>
      </w:r>
      <w:r w:rsidRPr="009A2018">
        <w:rPr>
          <w:color w:val="000000"/>
        </w:rPr>
        <w:t xml:space="preserve"> od proizvodnje i povezivanjem plaćanja s unakrsnom </w:t>
      </w:r>
      <w:r w:rsidR="006D0762">
        <w:rPr>
          <w:color w:val="000000"/>
        </w:rPr>
        <w:t>usaglašenošću</w:t>
      </w:r>
      <w:r w:rsidRPr="009A2018">
        <w:rPr>
          <w:color w:val="000000"/>
        </w:rPr>
        <w:t xml:space="preserve">. Preduzeti su pripremni koraci za uspostavljanje decentralizovane ispostave buduće Agencije za plaćanja u Bijelom Polju. U pogledu </w:t>
      </w:r>
      <w:r w:rsidR="006D0762">
        <w:rPr>
          <w:color w:val="000000"/>
        </w:rPr>
        <w:t>I</w:t>
      </w:r>
      <w:r w:rsidRPr="009A2018">
        <w:rPr>
          <w:color w:val="000000"/>
        </w:rPr>
        <w:t xml:space="preserve">ntegrisanog administrativnog i kontrolnog sistema (IAKS), treba nastaviti dalji razvoj </w:t>
      </w:r>
      <w:r w:rsidR="006D0762">
        <w:rPr>
          <w:color w:val="000000"/>
        </w:rPr>
        <w:t>S</w:t>
      </w:r>
      <w:r w:rsidR="006D0762" w:rsidRPr="009A2018">
        <w:rPr>
          <w:color w:val="000000"/>
        </w:rPr>
        <w:t xml:space="preserve">istema </w:t>
      </w:r>
      <w:r w:rsidRPr="009A2018">
        <w:rPr>
          <w:color w:val="000000"/>
        </w:rPr>
        <w:t>za identifikaciju zemljišnih parcela (SIZEP) kako bi se obuhvatila cijela teritorija zemlje. Nastavljene su pripreme za izradu pilot projekta za Mrežu računovodstvenih podataka poljoprivrednih gazdinstava (FADN). Potrebno je dodatno ojačati savjetodavne usluge u poljoprivredi.</w:t>
      </w:r>
      <w:bookmarkEnd w:id="130"/>
      <w:bookmarkEnd w:id="131"/>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132" w:name="_Toc30074148"/>
      <w:bookmarkStart w:id="133" w:name="_Toc30073835"/>
      <w:r w:rsidRPr="009A2018">
        <w:rPr>
          <w:color w:val="000000"/>
        </w:rPr>
        <w:t xml:space="preserve">U oblasti </w:t>
      </w:r>
      <w:r w:rsidRPr="009A2018">
        <w:rPr>
          <w:b/>
          <w:color w:val="000000"/>
        </w:rPr>
        <w:t>zajedničkog uređenja tržišta</w:t>
      </w:r>
      <w:r w:rsidR="00A71174">
        <w:rPr>
          <w:b/>
          <w:color w:val="000000"/>
        </w:rPr>
        <w:t xml:space="preserve"> </w:t>
      </w:r>
      <w:r w:rsidRPr="009A2018">
        <w:rPr>
          <w:color w:val="000000"/>
        </w:rPr>
        <w:t xml:space="preserve">(CMO) Crna Gora je za školsku godinu 2019/2020. pokrenula pilot program voća i povrća i mliječnih proizvoda za škole. Uvedene su nove mjere za usklađivanje sa CMO za sektore vina i maslinovog ulja i za organizacije proizvođača. U okviru stručnog pregleda (eng. </w:t>
      </w:r>
      <w:r w:rsidRPr="009A2018">
        <w:rPr>
          <w:i/>
          <w:iCs/>
          <w:color w:val="000000"/>
        </w:rPr>
        <w:t>peer review</w:t>
      </w:r>
      <w:r w:rsidRPr="009A2018">
        <w:rPr>
          <w:color w:val="000000"/>
        </w:rPr>
        <w:t>) politike vina i kvaliteta date su važne preporuke o određivanju vinogradarskih zona i geografskog porijekla kao i o usklađivanju politike kvaliteta s pravnom tekovinom EU</w:t>
      </w:r>
      <w:bookmarkEnd w:id="132"/>
      <w:bookmarkEnd w:id="133"/>
      <w:r w:rsidRPr="009A2018">
        <w:rPr>
          <w:color w:val="000000"/>
        </w:rPr>
        <w:t>.</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 xml:space="preserve">U oblasti </w:t>
      </w:r>
      <w:r w:rsidRPr="009A2018">
        <w:rPr>
          <w:b/>
          <w:color w:val="000000"/>
        </w:rPr>
        <w:t>ruralnog razvoja</w:t>
      </w:r>
      <w:r w:rsidRPr="009A2018">
        <w:rPr>
          <w:color w:val="000000"/>
        </w:rPr>
        <w:t xml:space="preserve">, završeno je potpisivanje ugovora za dva poziva u okviru IPARD II programa za mjere koje se odnose na </w:t>
      </w:r>
      <w:r w:rsidRPr="009A2018">
        <w:rPr>
          <w:i/>
          <w:color w:val="000000"/>
        </w:rPr>
        <w:t>„Investicije u fizički kapital poljoprivrednih gazdinstava“</w:t>
      </w:r>
      <w:r w:rsidRPr="009A2018">
        <w:rPr>
          <w:color w:val="000000"/>
        </w:rPr>
        <w:t xml:space="preserve">i </w:t>
      </w:r>
      <w:r w:rsidRPr="009A2018">
        <w:rPr>
          <w:i/>
          <w:color w:val="000000"/>
        </w:rPr>
        <w:t xml:space="preserve">„Investicije u fizički kapital </w:t>
      </w:r>
      <w:r w:rsidR="006D0762">
        <w:rPr>
          <w:i/>
          <w:color w:val="000000"/>
        </w:rPr>
        <w:t xml:space="preserve">vezano za </w:t>
      </w:r>
      <w:r w:rsidRPr="009A2018">
        <w:rPr>
          <w:i/>
          <w:color w:val="000000"/>
        </w:rPr>
        <w:t>prerad</w:t>
      </w:r>
      <w:r w:rsidR="006D0762">
        <w:rPr>
          <w:i/>
          <w:color w:val="000000"/>
        </w:rPr>
        <w:t>u</w:t>
      </w:r>
      <w:r w:rsidRPr="009A2018">
        <w:rPr>
          <w:i/>
          <w:color w:val="000000"/>
        </w:rPr>
        <w:t xml:space="preserve"> i marketing poljoprivrednih i ribljih proizvoda“</w:t>
      </w:r>
      <w:r w:rsidRPr="009A2018">
        <w:rPr>
          <w:color w:val="000000"/>
        </w:rPr>
        <w:t xml:space="preserve">. Drugi pozivi na navedene mjere objavljeni su u septembru 2019. i februaru 2020. godine, a u toku je ocjenjivanje prijava pristiglih na poziv iz februara. Crnoj Gori su uslovno povjereni zadaci izvršenja budžeta za IPARD mjeru </w:t>
      </w:r>
      <w:r w:rsidRPr="009A2018">
        <w:rPr>
          <w:i/>
          <w:color w:val="000000"/>
        </w:rPr>
        <w:t>„Diversifikacija poljoprivrednih gazdinstava i razvoj poslovanja”</w:t>
      </w:r>
      <w:r w:rsidRPr="009A2018">
        <w:rPr>
          <w:color w:val="000000"/>
        </w:rPr>
        <w:t xml:space="preserve"> i započete su pripreme za paket </w:t>
      </w:r>
      <w:r w:rsidRPr="009A2018">
        <w:rPr>
          <w:i/>
          <w:color w:val="000000"/>
        </w:rPr>
        <w:t>„Tehnička pomoć”</w:t>
      </w:r>
      <w:r w:rsidRPr="009A2018">
        <w:rPr>
          <w:color w:val="000000"/>
        </w:rPr>
        <w:t>. U 2019. godini, kapacitet IPARD Agencije ojačan je zapošljavanjem 10 lica s ugovorima o radu na neodređeno i 15 lica s ugovorima o radu na određeno</w:t>
      </w:r>
      <w:r w:rsidRPr="009A2018">
        <w:rPr>
          <w:i/>
          <w:color w:val="000000"/>
        </w:rPr>
        <w:t>.</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 xml:space="preserve">U oblasti </w:t>
      </w:r>
      <w:r w:rsidRPr="009A2018">
        <w:rPr>
          <w:b/>
          <w:color w:val="000000"/>
        </w:rPr>
        <w:t>politike kvaliteta</w:t>
      </w:r>
      <w:r w:rsidRPr="009A2018">
        <w:rPr>
          <w:color w:val="000000"/>
        </w:rPr>
        <w:t>, donijeti su podzakonski akti, a nastavljaju se napori u oblasti razvoja i sprovođenja politika. Potrebni su napori da se obezbijedi uspostavljanje snažnih postupaka i sistema i uspostavljanje snažnog sistema kontrole.</w:t>
      </w:r>
    </w:p>
    <w:p w:rsidR="00622A95" w:rsidRPr="009A2018" w:rsidRDefault="00622A95" w:rsidP="00EC1790">
      <w:pPr>
        <w:spacing w:after="120" w:line="240" w:lineRule="auto"/>
        <w:jc w:val="both"/>
        <w:rPr>
          <w:rFonts w:eastAsia="Calibri" w:cs="Times New Roman"/>
          <w:szCs w:val="24"/>
        </w:rPr>
      </w:pPr>
      <w:r w:rsidRPr="009A2018">
        <w:t xml:space="preserve">U sektoru </w:t>
      </w:r>
      <w:r w:rsidRPr="009A2018">
        <w:rPr>
          <w:b/>
        </w:rPr>
        <w:t xml:space="preserve">organske poljoprivrede </w:t>
      </w:r>
      <w:r w:rsidRPr="009A2018">
        <w:t>uspostavljena je neophodna infrastruktura (tj. nadležni organ, sistem akreditacije za kontrolna tijela i sistem sertifikacije). Broj registrovanih proizvođača organskih proizvoda povećao se za 22% na 400. Organizovane su brojne edukativne radionice za proizvođače. Potencijal za dalji razvoj sektora postoji, kao i za potpuno iskorišćavanje mogućnosti u okviru IPARD programa.</w:t>
      </w:r>
    </w:p>
    <w:p w:rsidR="00622A95" w:rsidRPr="009A2018" w:rsidRDefault="00622A95" w:rsidP="00EC1790">
      <w:pPr>
        <w:pStyle w:val="Heading2"/>
        <w:rPr>
          <w:rFonts w:eastAsia="Times New Roman"/>
        </w:rPr>
      </w:pPr>
      <w:bookmarkStart w:id="134" w:name="_Toc30080576"/>
      <w:bookmarkStart w:id="135" w:name="_Toc30074149"/>
      <w:bookmarkStart w:id="136" w:name="_Toc30073836"/>
      <w:bookmarkStart w:id="137" w:name="_Toc52744945"/>
      <w:bookmarkStart w:id="138" w:name="_Toc53362453"/>
      <w:r w:rsidRPr="009A2018">
        <w:t>5. 12</w:t>
      </w:r>
      <w:r w:rsidR="00585E64" w:rsidRPr="009A2018">
        <w:tab/>
      </w:r>
      <w:r w:rsidRPr="009A2018">
        <w:t>Poglavlje 12: Bezbjednost hrane, veterinarstvo i fitosanitarn</w:t>
      </w:r>
      <w:r w:rsidR="00A11610">
        <w:t>i nadzor</w:t>
      </w:r>
      <w:bookmarkEnd w:id="134"/>
      <w:bookmarkEnd w:id="135"/>
      <w:bookmarkEnd w:id="136"/>
      <w:bookmarkEnd w:id="137"/>
      <w:bookmarkEnd w:id="138"/>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rPr>
      </w:pPr>
      <w:r w:rsidRPr="009A2018">
        <w:rPr>
          <w:i/>
          <w:color w:val="000000"/>
        </w:rPr>
        <w:t xml:space="preserve">Pravila EU o higijeni za proizvodnju hrane obezbjeđuju visok nivo bezbjednosti hrane. Zdravlje i dobrobit životinja i bezbjednost hrane životinjskog porijekla zaštićeni su, kao i kvalitet sjemena, materijali za zaštitu biljaka, proizvodi za zaštitu od štetnih organizama i hrana za životinje. </w:t>
      </w:r>
    </w:p>
    <w:tbl>
      <w:tblPr>
        <w:tblStyle w:val="TableGrid2"/>
        <w:tblW w:w="0" w:type="auto"/>
        <w:shd w:val="clear" w:color="auto" w:fill="D9D9D9" w:themeFill="background1" w:themeFillShade="D9"/>
        <w:tblLook w:val="04A0" w:firstRow="1" w:lastRow="0" w:firstColumn="1" w:lastColumn="0" w:noHBand="0" w:noVBand="1"/>
      </w:tblPr>
      <w:tblGrid>
        <w:gridCol w:w="9243"/>
      </w:tblGrid>
      <w:tr w:rsidR="00622A95" w:rsidRPr="009A2018" w:rsidTr="00620E1E">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A95" w:rsidRPr="009A2018" w:rsidRDefault="00622A95" w:rsidP="00EC1790">
            <w:pPr>
              <w:spacing w:after="120" w:line="240" w:lineRule="auto"/>
              <w:jc w:val="both"/>
              <w:rPr>
                <w:rFonts w:eastAsia="Calibri" w:cs="Times New Roman"/>
                <w:szCs w:val="24"/>
              </w:rPr>
            </w:pPr>
            <w:r w:rsidRPr="009A2018">
              <w:t xml:space="preserve">Crna Gora ostaje </w:t>
            </w:r>
            <w:r w:rsidRPr="009A2018">
              <w:rPr>
                <w:b/>
              </w:rPr>
              <w:t>umjereno spremna</w:t>
            </w:r>
            <w:r w:rsidR="00A71174">
              <w:rPr>
                <w:b/>
              </w:rPr>
              <w:t xml:space="preserve"> </w:t>
            </w:r>
            <w:r w:rsidRPr="009A2018">
              <w:t xml:space="preserve">u ovom poglavlju. Ostvaren je </w:t>
            </w:r>
            <w:r w:rsidRPr="009A2018">
              <w:rPr>
                <w:b/>
              </w:rPr>
              <w:t>dobar napredak</w:t>
            </w:r>
            <w:r w:rsidRPr="009A2018">
              <w:t xml:space="preserve">, naročito u usklađivanju zakonodavstva, sprovođenju nacionalne strategije, uključujući i njeno inoviranje. U pogledu unapređenja kvaliteta sirovog mlijeka, preporuke iz revizije u oblasti hrane iz 2017. godine i dalje se sprovode. Nastavljeno je unapređenje objekata. </w:t>
            </w:r>
          </w:p>
          <w:p w:rsidR="00622A95" w:rsidRPr="009A2018" w:rsidRDefault="00622A95" w:rsidP="00EC1790">
            <w:pPr>
              <w:spacing w:after="120" w:line="240" w:lineRule="auto"/>
              <w:jc w:val="both"/>
              <w:rPr>
                <w:rFonts w:eastAsia="Calibri" w:cs="Times New Roman"/>
                <w:szCs w:val="24"/>
              </w:rPr>
            </w:pPr>
            <w:r w:rsidRPr="009A2018">
              <w:t xml:space="preserve">Tokom naredne godine, Crna Gora naročito treba da: </w:t>
            </w:r>
          </w:p>
          <w:p w:rsidR="00622A95" w:rsidRPr="009A2018" w:rsidRDefault="00622A95" w:rsidP="00EC1790">
            <w:pPr>
              <w:numPr>
                <w:ilvl w:val="0"/>
                <w:numId w:val="16"/>
              </w:numPr>
              <w:spacing w:after="120" w:line="240" w:lineRule="auto"/>
              <w:ind w:left="0" w:firstLine="0"/>
              <w:jc w:val="both"/>
              <w:rPr>
                <w:rFonts w:eastAsia="Calibri" w:cs="Times New Roman"/>
                <w:szCs w:val="24"/>
              </w:rPr>
            </w:pPr>
            <w:r w:rsidRPr="009A2018">
              <w:t>započne implementaciju revidirane strategije za usklađivanje s pravnom tekovinom EU i njeno sprovođenje;</w:t>
            </w:r>
          </w:p>
          <w:p w:rsidR="00622A95" w:rsidRPr="009A2018" w:rsidRDefault="00622A95" w:rsidP="00EC1790">
            <w:pPr>
              <w:numPr>
                <w:ilvl w:val="0"/>
                <w:numId w:val="16"/>
              </w:numPr>
              <w:spacing w:after="120" w:line="240" w:lineRule="auto"/>
              <w:ind w:left="0" w:firstLine="0"/>
              <w:jc w:val="both"/>
              <w:rPr>
                <w:rFonts w:eastAsia="Calibri" w:cs="Times New Roman"/>
                <w:szCs w:val="24"/>
              </w:rPr>
            </w:pPr>
            <w:r w:rsidRPr="009A2018">
              <w:rPr>
                <w:color w:val="000000"/>
              </w:rPr>
              <w:t>pruži podršku tekućem procesu unapređenja objekata za proizvodnju hrane.</w:t>
            </w:r>
          </w:p>
          <w:p w:rsidR="00622A95" w:rsidRPr="009A2018" w:rsidRDefault="00622A95" w:rsidP="00EC1790">
            <w:pPr>
              <w:numPr>
                <w:ilvl w:val="0"/>
                <w:numId w:val="16"/>
              </w:numPr>
              <w:spacing w:after="120" w:line="240" w:lineRule="auto"/>
              <w:ind w:left="0" w:firstLine="0"/>
              <w:jc w:val="both"/>
              <w:rPr>
                <w:rFonts w:eastAsia="Calibri" w:cs="Times New Roman"/>
                <w:szCs w:val="24"/>
              </w:rPr>
            </w:pPr>
            <w:r w:rsidRPr="009A2018">
              <w:t>nastavi da jača administrativne kapacitete i infrastrukturu, naročito u pogledu kontrola bezbjednosti hrane.</w:t>
            </w:r>
          </w:p>
        </w:tc>
      </w:tr>
    </w:tbl>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9A2018">
        <w:t>U oblasti</w:t>
      </w:r>
      <w:r w:rsidR="00A71174">
        <w:t xml:space="preserve"> </w:t>
      </w:r>
      <w:r w:rsidRPr="009A2018">
        <w:rPr>
          <w:b/>
        </w:rPr>
        <w:t>opšte bezbjednosti hrane</w:t>
      </w:r>
      <w:r w:rsidRPr="009A2018">
        <w:t xml:space="preserve">, donijeta je temeljno inovirana Strategija Crne Gore za </w:t>
      </w:r>
      <w:r w:rsidRPr="009A2018">
        <w:rPr>
          <w:color w:val="000000"/>
        </w:rPr>
        <w:t>usklađivanje i sprovođenje pravne tekovine EU, uključujući akcioni plan i posebni akcioni plan za klasičn</w:t>
      </w:r>
      <w:r w:rsidR="006D0762">
        <w:rPr>
          <w:color w:val="000000"/>
        </w:rPr>
        <w:t>u</w:t>
      </w:r>
      <w:r w:rsidRPr="009A2018">
        <w:rPr>
          <w:color w:val="000000"/>
        </w:rPr>
        <w:t xml:space="preserve"> kug</w:t>
      </w:r>
      <w:r w:rsidR="006D0762">
        <w:rPr>
          <w:color w:val="000000"/>
        </w:rPr>
        <w:t>u</w:t>
      </w:r>
      <w:r w:rsidRPr="009A2018">
        <w:rPr>
          <w:color w:val="000000"/>
        </w:rPr>
        <w:t xml:space="preserve"> svinja. Nastavljeno je sprovođenje akcionih planova.</w:t>
      </w:r>
      <w:r w:rsidRPr="009A2018">
        <w:t xml:space="preserve"> Program mjera bezbjednosti hrane i hrane za životinje za 2019. godinu usvojen je i sproveden. </w:t>
      </w:r>
      <w:r w:rsidRPr="00095948">
        <w:rPr>
          <w:lang w:val="fr-FR"/>
        </w:rPr>
        <w:t>Program za 2020. godinu je usvojen, a njegovo sprovođenje je započeto. Crna Gora namjerava da se u potpunosti uskladi s izmijenjenim</w:t>
      </w:r>
      <w:r w:rsidR="00A71174" w:rsidRPr="00095948">
        <w:rPr>
          <w:lang w:val="fr-FR"/>
        </w:rPr>
        <w:t xml:space="preserve"> Zakonom o zdravlju bilja (2016</w:t>
      </w:r>
      <w:r w:rsidRPr="00095948">
        <w:rPr>
          <w:lang w:val="fr-FR"/>
        </w:rPr>
        <w:t>) i Regulativ</w:t>
      </w:r>
      <w:r w:rsidR="00A71174" w:rsidRPr="00095948">
        <w:rPr>
          <w:lang w:val="fr-FR"/>
        </w:rPr>
        <w:t>om o službenim kontrolama (2017</w:t>
      </w:r>
      <w:r w:rsidRPr="00095948">
        <w:rPr>
          <w:lang w:val="fr-FR"/>
        </w:rPr>
        <w:t>) do 2023. godine.</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veterinarske politike</w:t>
      </w:r>
      <w:r w:rsidRPr="00095948">
        <w:rPr>
          <w:lang w:val="fr-FR"/>
        </w:rPr>
        <w:t xml:space="preserve">, uspješno je nastavljeno sprovođenje višegodišnjeg programa za iskorjenjivanje bjesnila, a akcije vakcinacije u proljeće i jesen 2019. i proljeće 2020. </w:t>
      </w:r>
      <w:r w:rsidR="006D0762">
        <w:rPr>
          <w:lang w:val="fr-FR"/>
        </w:rPr>
        <w:t>g</w:t>
      </w:r>
      <w:r w:rsidR="006D0762" w:rsidRPr="00095948">
        <w:rPr>
          <w:lang w:val="fr-FR"/>
        </w:rPr>
        <w:t>odine</w:t>
      </w:r>
      <w:r w:rsidR="006D0762">
        <w:rPr>
          <w:lang w:val="fr-FR"/>
        </w:rPr>
        <w:t xml:space="preserve"> su</w:t>
      </w:r>
      <w:r w:rsidRPr="00095948">
        <w:rPr>
          <w:lang w:val="fr-FR"/>
        </w:rPr>
        <w:t xml:space="preserve"> završene. Od 2012. godine, nije zabilježen nijedan slučaj bjesnila. Sprovedena je vakcinacija protiv bolesti kvrgave kože i bolesti plavog jezika. Od septembra 2016. godine nije zabilježen nijedan slučaj bolesti kvrgave kože, kao ni bolesti plavog jezika od maja 2017. godine. Izrađeni su odgovarajući programi za praćenje i </w:t>
      </w:r>
      <w:r w:rsidR="006D0762">
        <w:rPr>
          <w:lang w:val="fr-FR"/>
        </w:rPr>
        <w:t>kontrolu</w:t>
      </w:r>
      <w:r w:rsidR="006D0762" w:rsidRPr="00095948">
        <w:rPr>
          <w:lang w:val="fr-FR"/>
        </w:rPr>
        <w:t xml:space="preserve"> </w:t>
      </w:r>
      <w:r w:rsidRPr="00095948">
        <w:rPr>
          <w:lang w:val="fr-FR"/>
        </w:rPr>
        <w:t xml:space="preserve">ovih bolesti za 2020. godinu, kao i za afričku kugu svinja. Program obaveznih mjera zdravstvene zaštite životinja za 2019. godinu je sproveden, a program za 2020. godinu je donijet i njegovo sprovođenje je započeto. Nastavljeno je sprovođenje Nacionalnog programa za unapređenje objekata za hranu i nusproizvode životinjskog porijekla. Identifikacija (mikročipovanje) i registracija kućnih ljubimaca (pasa i mačaka) započeta je u septembru 2019. godine. Strategija za kontrolu pasa lutalica dostavljena je Vladi na usvajanje. Nastavljeno je jačanje kapaciteta veterinarskih službi. </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plasiranja na tržište hrane, hrane za životinje i nusproizvoda životinjskog porijekla</w:t>
      </w:r>
      <w:r w:rsidRPr="00095948">
        <w:rPr>
          <w:lang w:val="fr-FR"/>
        </w:rPr>
        <w:t>, nastavljeno je sprovođenje Nacionalnog programa za unapređenje kvaliteta sirovog mlijeka i pratećeg plana za postupanje s neusaglašenim sirovim mlijekom. Nastavljeno je i sprovođenje Nacionalnog programa za unapređenje objekata za preradu hrane, uz određenu konsolidaciju preduzeća. Ukupno 63 objekta za proizvodnju hrane životinjskog porijekla usaglašena su s propisima EU, a njih 11 posjeduje dozvolu za izvoz u EU. Nastavljeno je sprovođenje Plana za upravljanje nusproizvodima životinjskog porijekla koji nijesu namijenjeni za ishranu ljudi. Jačanje administrativnih kapaciteta i infrastrukture, naročito u pogledu kontrole bezbjednosti hrane, treba da ostane prioritet.</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Donijeti su podzakonski akti u oblasti </w:t>
      </w:r>
      <w:r w:rsidRPr="00095948">
        <w:rPr>
          <w:b/>
          <w:lang w:val="fr-FR"/>
        </w:rPr>
        <w:t>pravila bezbjednosti hrane,</w:t>
      </w:r>
      <w:r w:rsidR="00A71174" w:rsidRPr="00095948">
        <w:rPr>
          <w:b/>
          <w:lang w:val="fr-FR"/>
        </w:rPr>
        <w:t xml:space="preserve"> </w:t>
      </w:r>
      <w:r w:rsidRPr="00095948">
        <w:rPr>
          <w:lang w:val="fr-FR"/>
        </w:rPr>
        <w:t xml:space="preserve">kao i </w:t>
      </w:r>
      <w:r w:rsidRPr="00095948">
        <w:rPr>
          <w:b/>
          <w:lang w:val="fr-FR"/>
        </w:rPr>
        <w:t>posebnih pravila za hranu za životinje.</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fitosanitarne politike</w:t>
      </w:r>
      <w:r w:rsidRPr="00095948">
        <w:rPr>
          <w:lang w:val="fr-FR"/>
        </w:rPr>
        <w:t>, donijeti su sprovedbeni propisi. U 2019. godini sprovedeni su programi fitosanitarnih mjera i monitoringa rezidua pesticida u i na hrani biljnog i životinjskog porijekla. Programi za 2020. godinu usvojeni su, a sprovođenje je započeto.</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Nastavljeno je sprovođenje Nacionalnog plana za održivu upotrebu sredstava za zaštitu bilja, u skladu s Akcionim planom za period 2016-2021. Prva i druga sjednica Komisije za registraciju sredstava za zaštitu bilja održane su u decembru 2019. godine, i registrovano je 6 od 17 podnijetih zahtjeva. U martu 2020. godine, članovima Komisije na razmatranje je podnijeto još šest novih zahtjeva. Nastavljeno je jačanje kapaciteta fitosanitarnih službi. </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genetski modifikovanih organizama</w:t>
      </w:r>
      <w:r w:rsidRPr="00095948">
        <w:rPr>
          <w:lang w:val="fr-FR"/>
        </w:rPr>
        <w:t>, sproveden je Program monitoringa hrane i hrane za životinje za 2019. godinu.</w:t>
      </w:r>
    </w:p>
    <w:p w:rsidR="00622A95" w:rsidRPr="00095948" w:rsidRDefault="00622A95" w:rsidP="00EC1790">
      <w:pPr>
        <w:pStyle w:val="Heading2"/>
        <w:rPr>
          <w:rFonts w:eastAsia="Times New Roman"/>
          <w:lang w:val="fr-FR"/>
        </w:rPr>
      </w:pPr>
      <w:bookmarkStart w:id="139" w:name="_Toc30080577"/>
      <w:bookmarkStart w:id="140" w:name="_Toc30074150"/>
      <w:bookmarkStart w:id="141" w:name="_Toc30073837"/>
      <w:bookmarkStart w:id="142" w:name="_Toc52744946"/>
      <w:bookmarkStart w:id="143" w:name="_Toc53362454"/>
      <w:r w:rsidRPr="00095948">
        <w:rPr>
          <w:lang w:val="fr-FR"/>
        </w:rPr>
        <w:t>5.13</w:t>
      </w:r>
      <w:r w:rsidR="00585E64" w:rsidRPr="00095948">
        <w:rPr>
          <w:lang w:val="fr-FR"/>
        </w:rPr>
        <w:tab/>
      </w:r>
      <w:r w:rsidRPr="00095948">
        <w:rPr>
          <w:lang w:val="fr-FR"/>
        </w:rPr>
        <w:t>Poglavlje 13: Ribarstvo</w:t>
      </w:r>
      <w:bookmarkEnd w:id="139"/>
      <w:bookmarkEnd w:id="140"/>
      <w:bookmarkEnd w:id="141"/>
      <w:bookmarkEnd w:id="142"/>
      <w:bookmarkEnd w:id="143"/>
    </w:p>
    <w:p w:rsidR="00622A95" w:rsidRPr="00095948" w:rsidRDefault="00622A95" w:rsidP="00EC1790">
      <w:pPr>
        <w:autoSpaceDE w:val="0"/>
        <w:autoSpaceDN w:val="0"/>
        <w:adjustRightInd w:val="0"/>
        <w:spacing w:after="120" w:line="240" w:lineRule="auto"/>
        <w:jc w:val="both"/>
        <w:rPr>
          <w:rFonts w:eastAsia="Calibri" w:cs="Times New Roman"/>
          <w:i/>
          <w:iCs/>
          <w:color w:val="000000"/>
          <w:szCs w:val="24"/>
          <w:lang w:val="fr-FR"/>
        </w:rPr>
      </w:pPr>
      <w:r w:rsidRPr="00095948">
        <w:rPr>
          <w:i/>
          <w:color w:val="000000"/>
          <w:lang w:val="fr-FR"/>
        </w:rPr>
        <w:t>Zajednička politika u oblasti ribarstva predviđa</w:t>
      </w:r>
      <w:r w:rsidR="00A71174" w:rsidRPr="00095948">
        <w:rPr>
          <w:i/>
          <w:color w:val="000000"/>
          <w:lang w:val="fr-FR"/>
        </w:rPr>
        <w:t xml:space="preserve"> </w:t>
      </w:r>
      <w:r w:rsidRPr="00095948">
        <w:rPr>
          <w:i/>
          <w:color w:val="000000"/>
          <w:lang w:val="fr-FR"/>
        </w:rPr>
        <w:t>pravila</w:t>
      </w:r>
      <w:r w:rsidR="00A71174" w:rsidRPr="00095948">
        <w:rPr>
          <w:i/>
          <w:color w:val="000000"/>
          <w:lang w:val="fr-FR"/>
        </w:rPr>
        <w:t xml:space="preserve"> </w:t>
      </w:r>
      <w:r w:rsidRPr="00095948">
        <w:rPr>
          <w:i/>
          <w:color w:val="000000"/>
          <w:lang w:val="fr-FR"/>
        </w:rPr>
        <w:t>za</w:t>
      </w:r>
      <w:r w:rsidR="00A71174" w:rsidRPr="00095948">
        <w:rPr>
          <w:i/>
          <w:color w:val="000000"/>
          <w:lang w:val="fr-FR"/>
        </w:rPr>
        <w:t xml:space="preserve"> </w:t>
      </w:r>
      <w:r w:rsidRPr="00095948">
        <w:rPr>
          <w:i/>
          <w:color w:val="000000"/>
          <w:lang w:val="fr-FR"/>
        </w:rPr>
        <w:t>upravljanje</w:t>
      </w:r>
      <w:r w:rsidR="00A71174" w:rsidRPr="00095948">
        <w:rPr>
          <w:i/>
          <w:color w:val="000000"/>
          <w:lang w:val="fr-FR"/>
        </w:rPr>
        <w:t xml:space="preserve"> </w:t>
      </w:r>
      <w:r w:rsidRPr="00095948">
        <w:rPr>
          <w:i/>
          <w:color w:val="000000"/>
          <w:lang w:val="fr-FR"/>
        </w:rPr>
        <w:t>u</w:t>
      </w:r>
      <w:r w:rsidR="00A71174" w:rsidRPr="00095948">
        <w:rPr>
          <w:i/>
          <w:color w:val="000000"/>
          <w:lang w:val="fr-FR"/>
        </w:rPr>
        <w:t xml:space="preserve"> </w:t>
      </w:r>
      <w:r w:rsidRPr="00095948">
        <w:rPr>
          <w:i/>
          <w:color w:val="000000"/>
          <w:lang w:val="fr-FR"/>
        </w:rPr>
        <w:t>ovoj</w:t>
      </w:r>
      <w:r w:rsidR="00A71174" w:rsidRPr="00095948">
        <w:rPr>
          <w:i/>
          <w:color w:val="000000"/>
          <w:lang w:val="fr-FR"/>
        </w:rPr>
        <w:t xml:space="preserve"> </w:t>
      </w:r>
      <w:r w:rsidRPr="00095948">
        <w:rPr>
          <w:i/>
          <w:color w:val="000000"/>
          <w:lang w:val="fr-FR"/>
        </w:rPr>
        <w:t>oblasti,</w:t>
      </w:r>
      <w:r w:rsidR="00A71174" w:rsidRPr="00095948">
        <w:rPr>
          <w:i/>
          <w:color w:val="000000"/>
          <w:lang w:val="fr-FR"/>
        </w:rPr>
        <w:t xml:space="preserve"> </w:t>
      </w:r>
      <w:r w:rsidRPr="00095948">
        <w:rPr>
          <w:i/>
          <w:color w:val="000000"/>
          <w:lang w:val="fr-FR"/>
        </w:rPr>
        <w:t>štiti žive resurse mora i ograničava uticaj ribarstva na životnu</w:t>
      </w:r>
      <w:r w:rsidR="00A71174" w:rsidRPr="00095948">
        <w:rPr>
          <w:i/>
          <w:color w:val="000000"/>
          <w:lang w:val="fr-FR"/>
        </w:rPr>
        <w:t xml:space="preserve"> </w:t>
      </w:r>
      <w:r w:rsidRPr="00095948">
        <w:rPr>
          <w:i/>
          <w:color w:val="000000"/>
          <w:lang w:val="fr-FR"/>
        </w:rPr>
        <w:t>sredinu. Ova</w:t>
      </w:r>
      <w:r w:rsidR="00A71174" w:rsidRPr="00095948">
        <w:rPr>
          <w:i/>
          <w:color w:val="000000"/>
          <w:lang w:val="fr-FR"/>
        </w:rPr>
        <w:t xml:space="preserve"> </w:t>
      </w:r>
      <w:r w:rsidRPr="00095948">
        <w:rPr>
          <w:i/>
          <w:color w:val="000000"/>
          <w:lang w:val="fr-FR"/>
        </w:rPr>
        <w:t>politika</w:t>
      </w:r>
      <w:r w:rsidR="00A71174" w:rsidRPr="00095948">
        <w:rPr>
          <w:i/>
          <w:color w:val="000000"/>
          <w:lang w:val="fr-FR"/>
        </w:rPr>
        <w:t xml:space="preserve"> </w:t>
      </w:r>
      <w:r w:rsidRPr="00095948">
        <w:rPr>
          <w:i/>
          <w:color w:val="000000"/>
          <w:lang w:val="fr-FR"/>
        </w:rPr>
        <w:t xml:space="preserve">obuhvata kvote izlova, upravljanje kapacitetima flote, pravila o tržištima i akvakulturi kao i podršku ribarstvu i primorskim zajednicama. </w:t>
      </w:r>
    </w:p>
    <w:p w:rsidR="00622A95" w:rsidRPr="0009594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color w:val="000000"/>
          <w:szCs w:val="24"/>
          <w:lang w:val="fr-FR"/>
        </w:rPr>
      </w:pPr>
      <w:r w:rsidRPr="00095948">
        <w:rPr>
          <w:color w:val="000000"/>
          <w:lang w:val="fr-FR"/>
        </w:rPr>
        <w:t xml:space="preserve">Crna Gora je postigla </w:t>
      </w:r>
      <w:r w:rsidRPr="00095948">
        <w:rPr>
          <w:b/>
          <w:color w:val="000000"/>
          <w:lang w:val="fr-FR"/>
        </w:rPr>
        <w:t xml:space="preserve">određen nivo spremnosti </w:t>
      </w:r>
      <w:r w:rsidRPr="00095948">
        <w:rPr>
          <w:color w:val="000000"/>
          <w:lang w:val="fr-FR"/>
        </w:rPr>
        <w:t xml:space="preserve">u ovoj oblasti. Ostvaren je </w:t>
      </w:r>
      <w:r w:rsidRPr="00095948">
        <w:rPr>
          <w:b/>
          <w:color w:val="000000"/>
          <w:lang w:val="fr-FR"/>
        </w:rPr>
        <w:t>određeni napredak</w:t>
      </w:r>
      <w:r w:rsidRPr="00095948">
        <w:rPr>
          <w:color w:val="000000"/>
          <w:lang w:val="fr-FR"/>
        </w:rPr>
        <w:t xml:space="preserve"> u pogledu tri preporuke iz prethodnog izvještaja: sprovođenje akcionog plana za usklađivanje s pravnom tekovinom EU, jačanje kapaciteta i međunarodna saradnja. Crna Gora je pouzdan partner na međunarodnim forumima. Međutim, ostaje da se u potpunosti ispune dvije ispod navedene preporuke.</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color w:val="000000"/>
          <w:szCs w:val="24"/>
        </w:rPr>
      </w:pPr>
      <w:r w:rsidRPr="009A2018">
        <w:rPr>
          <w:color w:val="000000"/>
        </w:rPr>
        <w:t>Tokom naredne godine, Crna Gora naročito treba da: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color w:val="000000"/>
          <w:szCs w:val="24"/>
        </w:rPr>
      </w:pPr>
      <w:r w:rsidRPr="009A2018">
        <w:rPr>
          <w:color w:val="000000"/>
        </w:rPr>
        <w:t>→ revidira i sprovede akcioni plan za usklađivanje</w:t>
      </w:r>
      <w:r w:rsidR="006D0762">
        <w:rPr>
          <w:color w:val="000000"/>
        </w:rPr>
        <w:t>, implementaciju</w:t>
      </w:r>
      <w:r w:rsidRPr="009A2018">
        <w:rPr>
          <w:color w:val="000000"/>
        </w:rPr>
        <w:t xml:space="preserve"> i sprovođenje pravne tekovine EU;</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color w:val="000000"/>
          <w:szCs w:val="24"/>
        </w:rPr>
      </w:pPr>
      <w:r w:rsidRPr="009A2018">
        <w:rPr>
          <w:color w:val="000000"/>
        </w:rPr>
        <w:t>→ nastavi da jača administrativne kapacitete, kao i kapacitete za prikupljanje podataka, naučno savjetovanje, inspekcije i kontrolu.</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9A2018">
        <w:rPr>
          <w:color w:val="000000"/>
        </w:rPr>
        <w:t xml:space="preserve">Crna Gora je nastavila sprovođenje Akcionog plana za usklađivanje, implementaciju i sprovođenje pravne tekovine EU u okviru ovog poglavlja. Vlada je utvrdila predloge Zakona o strukturnim mjerama i državnoj pomoći u ribarstvu i akvakulturi i Zakona o uređenju tržišta u ribarstvu i akvakulturi u decembru 2019. godine i očekuje se njihovo usvajanje u skupštini. </w:t>
      </w:r>
      <w:r w:rsidRPr="00095948">
        <w:rPr>
          <w:color w:val="000000"/>
          <w:lang w:val="fr-FR"/>
        </w:rPr>
        <w:t>Cilj dva zakona jeste da se postigne široko usklađivanje s pravnom tekovinom EU. Administrativni i naučni kapaciteti ojačani su dodatnom obukom zaposlenih u Generalnom direktoratu za ribarstvo u Ministarstvu poljoprivrede i ruralnog razvoja.</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U oblasti </w:t>
      </w:r>
      <w:r w:rsidRPr="00095948">
        <w:rPr>
          <w:b/>
          <w:color w:val="000000"/>
          <w:lang w:val="fr-FR"/>
        </w:rPr>
        <w:t>upravljanja resursima i flotom</w:t>
      </w:r>
      <w:r w:rsidR="00A71174" w:rsidRPr="00095948">
        <w:rPr>
          <w:b/>
          <w:color w:val="000000"/>
          <w:lang w:val="fr-FR"/>
        </w:rPr>
        <w:t xml:space="preserve"> </w:t>
      </w:r>
      <w:r w:rsidRPr="00095948">
        <w:rPr>
          <w:color w:val="000000"/>
          <w:lang w:val="fr-FR"/>
        </w:rPr>
        <w:t>nastavljeno je sprovođenje godišnjeg programa prikupljanja podataka o ribarstvu Crne Gore.</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color w:val="000000"/>
          <w:lang w:val="fr-FR"/>
        </w:rPr>
        <w:t xml:space="preserve">Ojačani su kapaciteti </w:t>
      </w:r>
      <w:r w:rsidRPr="00095948">
        <w:rPr>
          <w:b/>
          <w:color w:val="000000"/>
          <w:lang w:val="fr-FR"/>
        </w:rPr>
        <w:t>inspekcije i kontrole</w:t>
      </w:r>
      <w:r w:rsidRPr="00095948">
        <w:rPr>
          <w:color w:val="000000"/>
          <w:lang w:val="fr-FR"/>
        </w:rPr>
        <w:t xml:space="preserve"> Uprave za inspekcijske poslove zapošljavanjem još jednog inspektora i nabavkom jednog plovila za inspekciju i praćenje ribolovnih aktivnosti na moru.</w:t>
      </w:r>
      <w:bookmarkStart w:id="144" w:name="_Toc30074151"/>
      <w:bookmarkStart w:id="145" w:name="_Toc30073838"/>
      <w:r w:rsidRPr="00095948">
        <w:rPr>
          <w:lang w:val="fr-FR"/>
        </w:rPr>
        <w:t xml:space="preserve"> Kontrola ribolova na Skadarskom jezeru ojačana je instaliranjem opreme za nadzor. Solarni paneli ugrađeni su na ribarska plovila preko 10 m dužine kako bi se obezbijedilo sigurno funkcionisanje </w:t>
      </w:r>
      <w:r w:rsidR="006D0762">
        <w:rPr>
          <w:lang w:val="fr-FR"/>
        </w:rPr>
        <w:t>S</w:t>
      </w:r>
      <w:r w:rsidR="006D0762" w:rsidRPr="00095948">
        <w:rPr>
          <w:lang w:val="fr-FR"/>
        </w:rPr>
        <w:t xml:space="preserve">istema </w:t>
      </w:r>
      <w:r w:rsidRPr="00095948">
        <w:rPr>
          <w:lang w:val="fr-FR"/>
        </w:rPr>
        <w:t>za praćenje plovila (VMS) i uređaja sistema za automatsko lociranje i identifikaciju (AIS).</w:t>
      </w:r>
      <w:bookmarkEnd w:id="144"/>
      <w:bookmarkEnd w:id="145"/>
    </w:p>
    <w:p w:rsidR="00622A95" w:rsidRPr="00095948" w:rsidRDefault="00622A95" w:rsidP="00EC1790">
      <w:pPr>
        <w:spacing w:after="120" w:line="240" w:lineRule="auto"/>
        <w:jc w:val="both"/>
        <w:rPr>
          <w:rFonts w:eastAsia="Calibri" w:cs="Times New Roman"/>
          <w:bCs/>
          <w:noProof/>
          <w:color w:val="000000"/>
          <w:szCs w:val="24"/>
          <w:lang w:val="fr-FR"/>
        </w:rPr>
      </w:pPr>
      <w:bookmarkStart w:id="146" w:name="_Toc30074152"/>
      <w:bookmarkStart w:id="147" w:name="_Toc30073839"/>
      <w:r w:rsidRPr="00095948">
        <w:rPr>
          <w:color w:val="000000"/>
          <w:lang w:val="fr-FR"/>
        </w:rPr>
        <w:t xml:space="preserve">Nije bilo značajnih pomaka u oblasti </w:t>
      </w:r>
      <w:r w:rsidRPr="00095948">
        <w:rPr>
          <w:b/>
          <w:color w:val="000000"/>
          <w:lang w:val="fr-FR"/>
        </w:rPr>
        <w:t>strukturnih mjera</w:t>
      </w:r>
      <w:r w:rsidRPr="00095948">
        <w:rPr>
          <w:color w:val="000000"/>
          <w:lang w:val="fr-FR"/>
        </w:rPr>
        <w:t xml:space="preserve"> i </w:t>
      </w:r>
      <w:r w:rsidRPr="00095948">
        <w:rPr>
          <w:b/>
          <w:color w:val="000000"/>
          <w:lang w:val="fr-FR"/>
        </w:rPr>
        <w:t>državnoj pomoći</w:t>
      </w:r>
      <w:r w:rsidRPr="00095948">
        <w:rPr>
          <w:color w:val="000000"/>
          <w:lang w:val="fr-FR"/>
        </w:rPr>
        <w:t xml:space="preserve">, osim izrade iznad navedenog primarnog zakonodavstva. </w:t>
      </w:r>
      <w:bookmarkEnd w:id="146"/>
      <w:bookmarkEnd w:id="147"/>
      <w:r w:rsidRPr="00095948">
        <w:rPr>
          <w:color w:val="000000"/>
          <w:lang w:val="fr-FR"/>
        </w:rPr>
        <w:t xml:space="preserve">U oblasti </w:t>
      </w:r>
      <w:r w:rsidRPr="00095948">
        <w:rPr>
          <w:b/>
          <w:color w:val="000000"/>
          <w:lang w:val="fr-FR"/>
        </w:rPr>
        <w:t>tržišne politike</w:t>
      </w:r>
      <w:r w:rsidRPr="00095948">
        <w:rPr>
          <w:color w:val="000000"/>
          <w:lang w:val="fr-FR"/>
        </w:rPr>
        <w:t xml:space="preserve">, preduzeti su pripremni koraci za osnivanje organizacija proizvođača. Na </w:t>
      </w:r>
      <w:r w:rsidRPr="00095948">
        <w:rPr>
          <w:b/>
          <w:color w:val="000000"/>
          <w:lang w:val="fr-FR"/>
        </w:rPr>
        <w:t>međunarodnom nivou,</w:t>
      </w:r>
      <w:r w:rsidRPr="00095948">
        <w:rPr>
          <w:color w:val="000000"/>
          <w:lang w:val="fr-FR"/>
        </w:rPr>
        <w:t xml:space="preserve"> Crna Gora je nastavila da pruža svoj doprinos programima MedFish4Ever, INTERREG i Generalnoj komisiji za ribarstvo Mediterana (GFCM). U maju 2019. godine, tokom svojeg predsjedavanja, Crna Gora je uspješno organizovala i bila domaćin četvrtog godišnjeg foruma o Strategiji EU za jadransko-jonski region (EUSAIR), za koji je kao prioritetne teme postavila ribarstvo, akvakulturu i turizam.</w:t>
      </w:r>
    </w:p>
    <w:p w:rsidR="00622A95" w:rsidRPr="00095948" w:rsidRDefault="00622A95" w:rsidP="00EC1790">
      <w:pPr>
        <w:pStyle w:val="Heading2"/>
        <w:rPr>
          <w:rFonts w:eastAsia="Times New Roman"/>
          <w:lang w:val="fr-FR"/>
        </w:rPr>
      </w:pPr>
      <w:bookmarkStart w:id="148" w:name="_Toc30073840"/>
      <w:bookmarkStart w:id="149" w:name="_Toc30074153"/>
      <w:bookmarkStart w:id="150" w:name="_Toc30080578"/>
      <w:bookmarkStart w:id="151" w:name="_Toc52744947"/>
      <w:bookmarkStart w:id="152" w:name="_Toc53362455"/>
      <w:r w:rsidRPr="00095948">
        <w:rPr>
          <w:lang w:val="fr-FR"/>
        </w:rPr>
        <w:t>5.14</w:t>
      </w:r>
      <w:r w:rsidR="00585E64" w:rsidRPr="00095948">
        <w:rPr>
          <w:lang w:val="fr-FR"/>
        </w:rPr>
        <w:tab/>
      </w:r>
      <w:r w:rsidRPr="00095948">
        <w:rPr>
          <w:lang w:val="fr-FR"/>
        </w:rPr>
        <w:t>Poglavlje 14: Saobraćajna politika</w:t>
      </w:r>
      <w:bookmarkEnd w:id="148"/>
      <w:bookmarkEnd w:id="149"/>
      <w:bookmarkEnd w:id="150"/>
      <w:bookmarkEnd w:id="151"/>
      <w:bookmarkEnd w:id="152"/>
    </w:p>
    <w:p w:rsidR="00622A95" w:rsidRPr="00095948" w:rsidRDefault="00622A95" w:rsidP="00EC1790">
      <w:pPr>
        <w:autoSpaceDE w:val="0"/>
        <w:autoSpaceDN w:val="0"/>
        <w:adjustRightInd w:val="0"/>
        <w:spacing w:after="120" w:line="240" w:lineRule="auto"/>
        <w:jc w:val="both"/>
        <w:rPr>
          <w:rFonts w:eastAsia="Calibri" w:cs="Times New Roman"/>
          <w:i/>
          <w:iCs/>
          <w:color w:val="000000"/>
          <w:szCs w:val="24"/>
          <w:lang w:val="fr-FR"/>
        </w:rPr>
      </w:pPr>
      <w:r w:rsidRPr="00095948">
        <w:rPr>
          <w:i/>
          <w:color w:val="000000"/>
          <w:lang w:val="fr-FR"/>
        </w:rPr>
        <w:t>EU ima zajednička pravila za tehničke standarde i standarde bezbjednosti, sigurnost, socijalne standarde, državnu pomoć i liberalizaciju tržišta u drumskom saobraćaju, željeznici, saobraćaju unutrašnjim plovnim putevima, kombinovanom saobraćaju, avijaciji i pomorskom saobraćaju.</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color w:val="000000"/>
          <w:szCs w:val="24"/>
        </w:rPr>
      </w:pPr>
      <w:bookmarkStart w:id="153" w:name="_Hlk30002412"/>
      <w:r w:rsidRPr="00095948">
        <w:rPr>
          <w:color w:val="000000"/>
          <w:lang w:val="fr-FR"/>
        </w:rPr>
        <w:t xml:space="preserve">Crna Gora je </w:t>
      </w:r>
      <w:r w:rsidRPr="00095948">
        <w:rPr>
          <w:b/>
          <w:bCs/>
          <w:color w:val="000000"/>
          <w:lang w:val="fr-FR"/>
        </w:rPr>
        <w:t>umjereno spremna</w:t>
      </w:r>
      <w:r w:rsidRPr="00095948">
        <w:rPr>
          <w:color w:val="000000"/>
          <w:lang w:val="fr-FR"/>
        </w:rPr>
        <w:t>/ostvarila je</w:t>
      </w:r>
      <w:r w:rsidR="00A71174" w:rsidRPr="00095948">
        <w:rPr>
          <w:color w:val="000000"/>
          <w:lang w:val="fr-FR"/>
        </w:rPr>
        <w:t xml:space="preserve"> </w:t>
      </w:r>
      <w:r w:rsidRPr="00095948">
        <w:rPr>
          <w:b/>
          <w:bCs/>
          <w:color w:val="000000"/>
          <w:lang w:val="fr-FR"/>
        </w:rPr>
        <w:t>dobar nivo spremnosti</w:t>
      </w:r>
      <w:r w:rsidRPr="00095948">
        <w:rPr>
          <w:color w:val="000000"/>
          <w:lang w:val="fr-FR"/>
        </w:rPr>
        <w:t xml:space="preserve"> u oblasti saobraćajne politike. U izvještajnom periodu </w:t>
      </w:r>
      <w:r w:rsidRPr="00095948">
        <w:rPr>
          <w:b/>
          <w:color w:val="000000"/>
          <w:lang w:val="fr-FR"/>
        </w:rPr>
        <w:t>nije ostvaren napredak</w:t>
      </w:r>
      <w:r w:rsidRPr="00095948">
        <w:rPr>
          <w:color w:val="000000"/>
          <w:lang w:val="fr-FR"/>
        </w:rPr>
        <w:t xml:space="preserve"> u okončanju ključnih reformi sektora, a preporuke iz 2019. godine i dalje važe. </w:t>
      </w:r>
      <w:r w:rsidRPr="009A2018">
        <w:rPr>
          <w:color w:val="000000"/>
        </w:rPr>
        <w:t>Tokom naredne godine, Crna Gora naročito treba da:</w:t>
      </w:r>
    </w:p>
    <w:p w:rsidR="00622A95" w:rsidRPr="009A2018" w:rsidRDefault="00622A95" w:rsidP="00EC1790">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sz w:val="24"/>
          <w:szCs w:val="24"/>
        </w:rPr>
      </w:pPr>
      <w:r w:rsidRPr="009A2018">
        <w:rPr>
          <w:rFonts w:ascii="Times New Roman" w:hAnsi="Times New Roman"/>
          <w:sz w:val="24"/>
        </w:rPr>
        <w:t>obezbijedi operativnu nezavisnost i odgovarajuću kadrovsku popunjenost regulatornog organa za željeznice i organa za bezbjednost željezničkog saobraćaja;</w:t>
      </w:r>
    </w:p>
    <w:p w:rsidR="00622A95" w:rsidRPr="009A2018" w:rsidRDefault="00622A95" w:rsidP="00EC1790">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sz w:val="24"/>
        </w:rPr>
        <w:t>uspostavi strateški okvir za implementaciju inteligentnih transportnih sistema (ITS) na svojoj ključnoj drumskoj, željezničkoj i pomorskoj mreži i da se uskladi s Direktivom EU o inteligentnim transportnim sistemima;</w:t>
      </w:r>
    </w:p>
    <w:p w:rsidR="00622A95" w:rsidRPr="009A2018" w:rsidRDefault="00622A95" w:rsidP="00EC1790">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color w:val="000000"/>
          <w:sz w:val="24"/>
          <w:szCs w:val="24"/>
        </w:rPr>
      </w:pPr>
      <w:r w:rsidRPr="009A2018">
        <w:rPr>
          <w:rFonts w:ascii="Times New Roman" w:hAnsi="Times New Roman"/>
          <w:color w:val="000000"/>
          <w:sz w:val="24"/>
        </w:rPr>
        <w:t>ostvari punopravno članstvo u Pariskom memorandumu o razumijevanju o lučkoj kontroli.</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154" w:name="_Toc453311118"/>
      <w:bookmarkStart w:id="155" w:name="_Toc453311231"/>
      <w:bookmarkStart w:id="156" w:name="_Toc453311363"/>
      <w:bookmarkStart w:id="157" w:name="_Toc453319592"/>
      <w:bookmarkStart w:id="158" w:name="_Toc453329328"/>
      <w:bookmarkStart w:id="159" w:name="_Toc453330268"/>
      <w:bookmarkStart w:id="160" w:name="_Toc453330596"/>
      <w:bookmarkStart w:id="161" w:name="_Toc453330762"/>
      <w:bookmarkStart w:id="162" w:name="_Toc453335631"/>
      <w:bookmarkStart w:id="163" w:name="_Toc30073841"/>
      <w:bookmarkStart w:id="164" w:name="_Toc30074154"/>
      <w:bookmarkEnd w:id="153"/>
      <w:r w:rsidRPr="009A2018">
        <w:rPr>
          <w:color w:val="000000"/>
        </w:rPr>
        <w:t xml:space="preserve">U oblasti </w:t>
      </w:r>
      <w:r w:rsidRPr="009A2018">
        <w:rPr>
          <w:b/>
          <w:color w:val="000000"/>
        </w:rPr>
        <w:t>opšteg saobraćaja</w:t>
      </w:r>
      <w:r w:rsidRPr="009A2018">
        <w:rPr>
          <w:color w:val="000000"/>
        </w:rPr>
        <w:t xml:space="preserve">, nova </w:t>
      </w:r>
      <w:r w:rsidR="004E3DE3">
        <w:rPr>
          <w:color w:val="000000"/>
        </w:rPr>
        <w:t>S</w:t>
      </w:r>
      <w:r w:rsidR="004E3DE3" w:rsidRPr="009A2018">
        <w:rPr>
          <w:color w:val="000000"/>
        </w:rPr>
        <w:t xml:space="preserve">trategija </w:t>
      </w:r>
      <w:r w:rsidRPr="009A2018">
        <w:rPr>
          <w:color w:val="000000"/>
        </w:rPr>
        <w:t xml:space="preserve">razvoja saobraćaja za period 2019-2035. godine i njen </w:t>
      </w:r>
      <w:r w:rsidR="004E3DE3">
        <w:rPr>
          <w:color w:val="000000"/>
        </w:rPr>
        <w:t>A</w:t>
      </w:r>
      <w:r w:rsidR="004E3DE3" w:rsidRPr="009A2018">
        <w:rPr>
          <w:color w:val="000000"/>
        </w:rPr>
        <w:t xml:space="preserve">kcioni </w:t>
      </w:r>
      <w:r w:rsidRPr="009A2018">
        <w:rPr>
          <w:color w:val="000000"/>
        </w:rPr>
        <w:t xml:space="preserve">plan usvojeni su u junu 2019. godine. Nije bilo daljeg usklađivanja s pravnom tekovinom EU u oblasti ljetnjeg računanja vremena, obaveza usluge javnog saobraćaja, postupaka i kriterijuma za dodjeljivanje ugovora za usluge javnog prevoza u oblasti drumskog, željezničkog i pomorskog saobraćaja. </w:t>
      </w:r>
      <w:bookmarkStart w:id="165" w:name="_Toc453311119"/>
      <w:bookmarkStart w:id="166" w:name="_Toc453311232"/>
      <w:bookmarkStart w:id="167" w:name="_Toc453311364"/>
      <w:bookmarkStart w:id="168" w:name="_Toc453319593"/>
      <w:bookmarkStart w:id="169" w:name="_Toc453329329"/>
      <w:bookmarkStart w:id="170" w:name="_Toc453330269"/>
      <w:bookmarkStart w:id="171" w:name="_Toc453330597"/>
      <w:bookmarkStart w:id="172" w:name="_Toc453330763"/>
      <w:bookmarkStart w:id="173" w:name="_Toc453335632"/>
      <w:bookmarkEnd w:id="154"/>
      <w:bookmarkEnd w:id="155"/>
      <w:bookmarkEnd w:id="156"/>
      <w:bookmarkEnd w:id="157"/>
      <w:bookmarkEnd w:id="158"/>
      <w:bookmarkEnd w:id="159"/>
      <w:bookmarkEnd w:id="160"/>
      <w:bookmarkEnd w:id="161"/>
      <w:bookmarkEnd w:id="162"/>
      <w:r w:rsidRPr="009A2018">
        <w:rPr>
          <w:color w:val="000000"/>
        </w:rPr>
        <w:t>Postoji potreba za jačanjem administrativnih kapaciteta i koordinacije u Ministarstvu saobraćaja i pomorstva. Komisija za istraživanje nesreća i ozbiljnih nezgoda vazduhoplova, vanrednih događaja koji ugrožavaju bezbjednost željezničkog saobraćaja i pomorskih nezgoda i nesreća nastavila je da radi u skladu sa svojim mandatom, ali je potrebno ojačati njenu operativnu i finansijsku održivost.</w:t>
      </w:r>
      <w:bookmarkEnd w:id="163"/>
      <w:bookmarkEnd w:id="164"/>
      <w:r w:rsidRPr="009A2018">
        <w:rPr>
          <w:color w:val="000000"/>
        </w:rPr>
        <w:t xml:space="preserve"> Crna Gora i dalje aktivno učestvuje u Strategiji EU za razvoj dunavskog regiona (EUSDR), kao i u Strategiji EU za jadransko-jonski region (EUSAIR).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174" w:name="_Toc30073842"/>
      <w:bookmarkStart w:id="175" w:name="_Toc30074155"/>
      <w:r w:rsidRPr="009A2018">
        <w:rPr>
          <w:color w:val="000000"/>
        </w:rPr>
        <w:t xml:space="preserve">U oblasti </w:t>
      </w:r>
      <w:r w:rsidRPr="009A2018">
        <w:rPr>
          <w:b/>
          <w:color w:val="000000"/>
        </w:rPr>
        <w:t>drumskog saobraćaja</w:t>
      </w:r>
      <w:r w:rsidRPr="009A2018">
        <w:rPr>
          <w:color w:val="000000"/>
        </w:rPr>
        <w:t>, u novembru 2019. godine usvojene su izmjene</w:t>
      </w:r>
      <w:r w:rsidR="004E3DE3">
        <w:rPr>
          <w:color w:val="000000"/>
        </w:rPr>
        <w:t xml:space="preserve"> i dopune</w:t>
      </w:r>
      <w:r w:rsidRPr="009A2018">
        <w:rPr>
          <w:color w:val="000000"/>
        </w:rPr>
        <w:t xml:space="preserve"> Zakona o drumskom saobraćaju kojima su dodatno ojačane inspekcijske kontrole taksi i limo usluga. Izmjene </w:t>
      </w:r>
      <w:r w:rsidR="004E3DE3">
        <w:rPr>
          <w:color w:val="000000"/>
        </w:rPr>
        <w:t xml:space="preserve">i dopune </w:t>
      </w:r>
      <w:r w:rsidRPr="009A2018">
        <w:rPr>
          <w:color w:val="000000"/>
        </w:rPr>
        <w:t xml:space="preserve">Zakona o ugovorima o prevozu u drumskom saobraćaju tek treba da budu usvojene. Crna Gora primijenjuje digitalne tahografe, ali još uvijek nije usklađena s pravnom tekovinom EU u dijelu pametnih tahografa. Novi </w:t>
      </w:r>
      <w:r w:rsidR="004E3DE3">
        <w:rPr>
          <w:color w:val="000000"/>
        </w:rPr>
        <w:t>Z</w:t>
      </w:r>
      <w:r w:rsidR="004E3DE3" w:rsidRPr="009A2018">
        <w:rPr>
          <w:color w:val="000000"/>
        </w:rPr>
        <w:t xml:space="preserve">akon </w:t>
      </w:r>
      <w:r w:rsidRPr="009A2018">
        <w:rPr>
          <w:color w:val="000000"/>
        </w:rPr>
        <w:t xml:space="preserve">o putevima tek treba da se usvoji, kao i zakonodavstvo o inteligentnom transportnom sistemu i strateški okvir, uključujući i dodjelu sredstava za sprovođenje. Izmjene </w:t>
      </w:r>
      <w:r w:rsidR="004E3DE3">
        <w:rPr>
          <w:color w:val="000000"/>
        </w:rPr>
        <w:t xml:space="preserve">i dopune </w:t>
      </w:r>
      <w:r w:rsidRPr="009A2018">
        <w:rPr>
          <w:color w:val="000000"/>
        </w:rPr>
        <w:t xml:space="preserve">Zakona o prevozu opasnih roba još nijesu usvojene, a </w:t>
      </w:r>
      <w:bookmarkEnd w:id="174"/>
      <w:bookmarkEnd w:id="175"/>
      <w:r w:rsidR="004E3DE3">
        <w:rPr>
          <w:color w:val="000000"/>
        </w:rPr>
        <w:t>N</w:t>
      </w:r>
      <w:r w:rsidRPr="009A2018">
        <w:rPr>
          <w:color w:val="000000"/>
        </w:rPr>
        <w:t xml:space="preserve">acionalno tijelo za kontrolu prevoza opasnih roba još uvijek nije osnovano.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bookmarkStart w:id="176" w:name="_Toc30073843"/>
      <w:bookmarkStart w:id="177" w:name="_Toc30074156"/>
      <w:r w:rsidRPr="009A2018">
        <w:rPr>
          <w:color w:val="000000"/>
        </w:rPr>
        <w:t xml:space="preserve">Potrebni su dodatni napori na usklađivanju podzakonskih akata s pravnom tekovinom EU u oblasti socijalnih pitanja i njenom sprovođenju.U novembru 2019. godine usvojen je Zakon o bezbjednosti u drumskom saobraćaju, kojim se postiže dalje usklađivanje s pravnom tekovinom EU u oblasti bezbjednosti na putevima, kao i poboljšanje sprovođenja bezbjednosti na putevima i uvođenje prilagođavanja u politiku kaznenih mjera. U septembru 2019. godine, Vlada je usvojila dvogodišnji Program poboljšanja bezbjednosti u drumskom saobraćaju za 2020-2022. godinu. Cilj je da se dodatno smanji broj smrtno stradalih lica na putevima, koji je još uvijek znatno iznad prosjeka EU. Prema nedavno završenoj procjeni bezbjednosti na putevima koja je obavljena u skladu s </w:t>
      </w:r>
      <w:r w:rsidRPr="009A2018">
        <w:t>Direktivom 2008/96/EZ, 5</w:t>
      </w:r>
      <w:r w:rsidRPr="009A2018">
        <w:rPr>
          <w:color w:val="000000"/>
        </w:rPr>
        <w:t>5% ispitanih puteva dobilo je najlošiju ocjenu i vode se kao nedovoljno bezbjedni putevi. Program rekonstrukcije državnih puteva za period 2019-2022. godine ima potencijal da ostvari važne korake ka unapređivanju rezultata Crne Gore u oblasti bezbjednosti na putevima.</w:t>
      </w:r>
      <w:bookmarkEnd w:id="176"/>
      <w:bookmarkEnd w:id="177"/>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bookmarkStart w:id="178" w:name="_Toc453311120"/>
      <w:bookmarkStart w:id="179" w:name="_Toc453311233"/>
      <w:bookmarkStart w:id="180" w:name="_Toc453311365"/>
      <w:bookmarkStart w:id="181" w:name="_Toc453319594"/>
      <w:bookmarkStart w:id="182" w:name="_Toc453330270"/>
      <w:bookmarkStart w:id="183" w:name="_Toc453330598"/>
      <w:bookmarkStart w:id="184" w:name="_Toc453330764"/>
      <w:bookmarkStart w:id="185" w:name="_Toc453335633"/>
      <w:bookmarkEnd w:id="165"/>
      <w:bookmarkEnd w:id="166"/>
      <w:bookmarkEnd w:id="167"/>
      <w:bookmarkEnd w:id="168"/>
      <w:bookmarkEnd w:id="169"/>
      <w:bookmarkEnd w:id="170"/>
      <w:bookmarkEnd w:id="171"/>
      <w:bookmarkEnd w:id="172"/>
      <w:bookmarkEnd w:id="173"/>
      <w:r w:rsidRPr="009A2018">
        <w:rPr>
          <w:color w:val="000000"/>
        </w:rPr>
        <w:t xml:space="preserve">U oblasti </w:t>
      </w:r>
      <w:r w:rsidRPr="009A2018">
        <w:rPr>
          <w:b/>
          <w:color w:val="000000"/>
        </w:rPr>
        <w:t>željezničkog saobraćaja,</w:t>
      </w:r>
      <w:bookmarkEnd w:id="178"/>
      <w:bookmarkEnd w:id="179"/>
      <w:bookmarkEnd w:id="180"/>
      <w:bookmarkEnd w:id="181"/>
      <w:bookmarkEnd w:id="182"/>
      <w:bookmarkEnd w:id="183"/>
      <w:bookmarkEnd w:id="184"/>
      <w:bookmarkEnd w:id="185"/>
      <w:r w:rsidR="00A71174">
        <w:rPr>
          <w:b/>
          <w:color w:val="000000"/>
        </w:rPr>
        <w:t xml:space="preserve"> </w:t>
      </w:r>
      <w:r w:rsidRPr="009A2018">
        <w:rPr>
          <w:color w:val="000000"/>
        </w:rPr>
        <w:t xml:space="preserve">novi Zakon o željeznici još nije usvojen. U aprilu 2019. godine, Direkcija za željeznice je postala Uprava za željeznice i sada funkcioniše kao nezavisni upravni organ. Međutim, potrebno je da se praktični regulatorni poslovi i poslovi u oblasti bezbjednosti posebno utvrde novim </w:t>
      </w:r>
      <w:r w:rsidR="004E3DE3">
        <w:rPr>
          <w:color w:val="000000"/>
        </w:rPr>
        <w:t>Z</w:t>
      </w:r>
      <w:r w:rsidR="004E3DE3" w:rsidRPr="009A2018">
        <w:rPr>
          <w:color w:val="000000"/>
        </w:rPr>
        <w:t xml:space="preserve">akonom </w:t>
      </w:r>
      <w:r w:rsidRPr="009A2018">
        <w:rPr>
          <w:color w:val="000000"/>
        </w:rPr>
        <w:t xml:space="preserve">o željeznici čije je usvajanje planirano. </w:t>
      </w:r>
      <w:r w:rsidRPr="00095948">
        <w:rPr>
          <w:color w:val="000000"/>
          <w:lang w:val="fr-FR"/>
        </w:rPr>
        <w:t>Potrebni su dodatni napori da se unaprijede administrativni kapaciteti i obuče zaposleni.</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Oblast javnog saobraćaja i poštovanja prava putnika i dalje predstavljaju razlog za zabrinutost. Sprovedeno zakonodavstvo u oblasti interoperabilnosti željezničkih sistema u skladu s pravnom tekovinom EU izmijenjeno je u novembru 2019. godine, i uvedene su nove tehničke specifikacije o bezbjednosti u željezničkim tunelima. Potrebno je inovirati metodologiju za izračunavanje naknada za pristup trasama. Usluge prevoza putnika i tereta su liberalizovane na nivou domaćeg saobraćaja, ali su potrebni dodatni napori da se obezbijedi potpuno otvaranje željezničkog tržišta. Potrebno je izraditi održive i racionalizovane planove rekonstrukcije i održavanja željezničke infrastrukture. U novembru 2019. godine, Crna Gora je potpisala Izjavu o bezbjednosnoj kulturi evropske željeznice koja ima za cilj podizanje nivoa svijesti i promovisanje pozitivne kulture bezbjednosti u cijelom sektoru. </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bookmarkStart w:id="186" w:name="_Toc453311121"/>
      <w:bookmarkStart w:id="187" w:name="_Toc453311234"/>
      <w:bookmarkStart w:id="188" w:name="_Toc453311366"/>
      <w:bookmarkStart w:id="189" w:name="_Toc453319595"/>
      <w:bookmarkStart w:id="190" w:name="_Toc453330271"/>
      <w:bookmarkStart w:id="191" w:name="_Toc453330599"/>
      <w:bookmarkStart w:id="192" w:name="_Toc453330765"/>
      <w:bookmarkStart w:id="193" w:name="_Toc453335634"/>
      <w:r w:rsidRPr="00095948">
        <w:rPr>
          <w:color w:val="000000"/>
          <w:lang w:val="fr-FR"/>
        </w:rPr>
        <w:t xml:space="preserve">U oblasti </w:t>
      </w:r>
      <w:r w:rsidRPr="00095948">
        <w:rPr>
          <w:b/>
          <w:color w:val="000000"/>
          <w:lang w:val="fr-FR"/>
        </w:rPr>
        <w:t>pomorskog saobraćaja</w:t>
      </w:r>
      <w:bookmarkEnd w:id="186"/>
      <w:bookmarkEnd w:id="187"/>
      <w:bookmarkEnd w:id="188"/>
      <w:bookmarkEnd w:id="189"/>
      <w:bookmarkEnd w:id="190"/>
      <w:bookmarkEnd w:id="191"/>
      <w:bookmarkEnd w:id="192"/>
      <w:bookmarkEnd w:id="193"/>
      <w:r w:rsidR="00A71174" w:rsidRPr="00095948">
        <w:rPr>
          <w:b/>
          <w:color w:val="000000"/>
          <w:lang w:val="fr-FR"/>
        </w:rPr>
        <w:t xml:space="preserve"> </w:t>
      </w:r>
      <w:r w:rsidRPr="00095948">
        <w:rPr>
          <w:color w:val="000000"/>
          <w:lang w:val="fr-FR"/>
        </w:rPr>
        <w:t>nije ostvaren dalji napredak u sticanju statusa punopravnog člana Pariskog memoranduma o kontroli države luke. Takođe se kasni s primjenom jedinstvenog Nacionalnog portala za pomorstvo. Nadogradnja i proširenje postojećeg sistema za nadzor plovidbe i informacioni sistem zajednice je u fazi pripreme, a završetak je planiran do kraja 2021. godine.</w:t>
      </w:r>
      <w:bookmarkStart w:id="194" w:name="_Toc453311122"/>
      <w:bookmarkStart w:id="195" w:name="_Toc453311235"/>
      <w:bookmarkStart w:id="196" w:name="_Toc453311367"/>
      <w:bookmarkStart w:id="197" w:name="_Toc453319596"/>
      <w:bookmarkStart w:id="198" w:name="_Toc453330272"/>
      <w:bookmarkStart w:id="199" w:name="_Toc453330600"/>
      <w:bookmarkStart w:id="200" w:name="_Toc453330766"/>
      <w:bookmarkStart w:id="201" w:name="_Toc453335635"/>
      <w:r w:rsidRPr="00095948">
        <w:rPr>
          <w:color w:val="000000"/>
          <w:lang w:val="fr-FR"/>
        </w:rPr>
        <w:t xml:space="preserve"> Još uvijek nije usvojen Zakon o pravima putnika u pomorskom saobraćaju i saobraćaju unutrašnjim plovnim putevima. Dva zakona o potvrđivanju međunarodnih protokola o bezbjednosti pomorskog saobraćaja usvojena su u julu 2019. godine. Uprkos padu prometa, Vlada se odlučila na dodjelu druge koncesije za pilotažu u Luci Bar. Potrebno je da svaka nova aktivnost ima za cilj poboljšanje efikasnosti u lukama i da se sprovede uz pažljivo razmatranje bezbjednosti na moru i zaštite morske životne sredine. Takođe se preporučuje da se Crna Gora uskladi s pravnom tekovinom EU o lukama i da se donese zakonodavstvo na osnovu Regulative o lučkim uslugama 2017/352.</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Nije ostvaren napredak u usklađivanju s relevantnom pravnom tekovinom EU u oblasti </w:t>
      </w:r>
      <w:r w:rsidRPr="00095948">
        <w:rPr>
          <w:b/>
          <w:color w:val="000000"/>
          <w:lang w:val="fr-FR"/>
        </w:rPr>
        <w:t>saobraćaja unutrašnjim plovnim putevima</w:t>
      </w:r>
      <w:r w:rsidRPr="00095948">
        <w:rPr>
          <w:color w:val="000000"/>
          <w:lang w:val="fr-FR"/>
        </w:rPr>
        <w:t xml:space="preserve">. </w:t>
      </w:r>
      <w:bookmarkEnd w:id="194"/>
      <w:bookmarkEnd w:id="195"/>
      <w:bookmarkEnd w:id="196"/>
      <w:bookmarkEnd w:id="197"/>
      <w:bookmarkEnd w:id="198"/>
      <w:bookmarkEnd w:id="199"/>
      <w:bookmarkEnd w:id="200"/>
      <w:bookmarkEnd w:id="201"/>
      <w:r w:rsidRPr="00095948">
        <w:rPr>
          <w:color w:val="000000"/>
          <w:lang w:val="fr-FR"/>
        </w:rPr>
        <w:t>Crna Gora još nije usvojila zakon o trgovačkoj mornarici. Crna Gora učestvuje u Strategiji EU za dunavski regon i u julu 2018. godine sklopila je bilateralni sporazum sa susjednom Albanijom o zajedničkom graničnom prelazu preko jezera, Ckla-Zogaj.</w:t>
      </w:r>
      <w:bookmarkStart w:id="202" w:name="_Toc453311123"/>
      <w:bookmarkStart w:id="203" w:name="_Toc453311236"/>
      <w:bookmarkStart w:id="204" w:name="_Toc453311368"/>
      <w:bookmarkStart w:id="205" w:name="_Toc453319597"/>
      <w:bookmarkStart w:id="206" w:name="_Toc453330273"/>
      <w:bookmarkStart w:id="207" w:name="_Toc453330601"/>
      <w:bookmarkStart w:id="208" w:name="_Toc453330767"/>
      <w:bookmarkStart w:id="209" w:name="_Toc453335636"/>
      <w:r w:rsidRPr="00095948">
        <w:rPr>
          <w:color w:val="000000"/>
          <w:lang w:val="fr-FR"/>
        </w:rPr>
        <w:t xml:space="preserve"> Potrebni su dodatni napori u oblasti modernizacije i proširenja infrastrukture u saobraćaju unutrašnjim plovnim putovima i da se obezbijedi odgovarajući nivo plovnosti i bezbjednosti plovidbe.</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U oblasti </w:t>
      </w:r>
      <w:r w:rsidRPr="00095948">
        <w:rPr>
          <w:b/>
          <w:color w:val="000000"/>
          <w:lang w:val="fr-FR"/>
        </w:rPr>
        <w:t>vazdušnog saobraćaja</w:t>
      </w:r>
      <w:r w:rsidRPr="00095948">
        <w:rPr>
          <w:color w:val="000000"/>
          <w:lang w:val="fr-FR"/>
        </w:rPr>
        <w:t xml:space="preserve">, još uvijek nijesu usvojene izmjene </w:t>
      </w:r>
      <w:r w:rsidR="004E3DE3">
        <w:rPr>
          <w:color w:val="000000"/>
          <w:lang w:val="fr-FR"/>
        </w:rPr>
        <w:t xml:space="preserve">i dopune </w:t>
      </w:r>
      <w:r w:rsidRPr="00095948">
        <w:rPr>
          <w:color w:val="000000"/>
          <w:lang w:val="fr-FR"/>
        </w:rPr>
        <w:t>Zakona o vazdušnom saobraćaju koje treba da obezbijede dalje usklađivanje s pravnom tekovinom EU o zajedničkim pravilima za obavljanje usluga vazdušnog saobraćaja. Ove nove izmjene biće ključne za uspješan završetak prve prelazne faze Sporazuma o zajedničkom evropskom vazdušnom prostoru i Jedinstvenom evropskom nebu. Međutim, još uvijek postoje neriješena pitanja o ekonomskoj regulaciji koje treba riješiti</w:t>
      </w:r>
      <w:bookmarkStart w:id="210" w:name="_Toc453311124"/>
      <w:bookmarkStart w:id="211" w:name="_Toc453311237"/>
      <w:bookmarkStart w:id="212" w:name="_Toc453311369"/>
      <w:bookmarkStart w:id="213" w:name="_Toc453319598"/>
      <w:bookmarkStart w:id="214" w:name="_Toc453330274"/>
      <w:bookmarkStart w:id="215" w:name="_Toc453330602"/>
      <w:bookmarkStart w:id="216" w:name="_Toc453330768"/>
      <w:bookmarkStart w:id="217" w:name="_Toc453335637"/>
      <w:bookmarkEnd w:id="202"/>
      <w:bookmarkEnd w:id="203"/>
      <w:bookmarkEnd w:id="204"/>
      <w:bookmarkEnd w:id="205"/>
      <w:bookmarkEnd w:id="206"/>
      <w:bookmarkEnd w:id="207"/>
      <w:bookmarkEnd w:id="208"/>
      <w:bookmarkEnd w:id="209"/>
      <w:r w:rsidRPr="00095948">
        <w:rPr>
          <w:color w:val="000000"/>
          <w:lang w:val="fr-FR"/>
        </w:rPr>
        <w:t>. Tenderski postupak za koncesije na period od 30 godina za aerodrome Tivat i Podgorica, započet u oktobru 2019. godine, još uvijek je u toku. Ovaj postupak treba da bude u potpunosti u skladu s pravilima o državnoj pomoći. Zakon o dodjeljivanju državnih sredstava u iznosu od 155.000.000 eura</w:t>
      </w:r>
      <w:r w:rsidRPr="00095948">
        <w:rPr>
          <w:lang w:val="fr-FR"/>
        </w:rPr>
        <w:t>usvojen je bez prethodne odluke državnog organa nadležnog za državnu pomoć iako je to predviđeno nacionalnim zakonodavstvom i Sporazumom o stabilizaciji i pridruživanju. Crna Gora još nije izvršila uplate na osnovu ovog zakona. Vlada, kao inicijator pomoći, sada treba da pruži organu nadležnom za državnu pomoć neophodne informacije i da mu vrijeme da donese kvalifikovanu odluku i tako dokaže njegovo funkcionisanje i nezavisnost.</w:t>
      </w:r>
      <w:r w:rsidRPr="00095948">
        <w:rPr>
          <w:color w:val="000000"/>
          <w:lang w:val="fr-FR"/>
        </w:rPr>
        <w:t>Donošenje nekoliko pravilnika obezbijedilo je dalje usklađivanje u oblasti bezbjednosti vazdušnog saobraćaja i operacija u vazdušnom saobraćaju.</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U pogledu </w:t>
      </w:r>
      <w:r w:rsidRPr="00095948">
        <w:rPr>
          <w:b/>
          <w:color w:val="000000"/>
          <w:lang w:val="fr-FR"/>
        </w:rPr>
        <w:t>kombinovanog saobraćaja</w:t>
      </w:r>
      <w:bookmarkEnd w:id="210"/>
      <w:bookmarkEnd w:id="211"/>
      <w:bookmarkEnd w:id="212"/>
      <w:bookmarkEnd w:id="213"/>
      <w:bookmarkEnd w:id="214"/>
      <w:bookmarkEnd w:id="215"/>
      <w:bookmarkEnd w:id="216"/>
      <w:bookmarkEnd w:id="217"/>
      <w:r w:rsidR="00A71174" w:rsidRPr="00095948">
        <w:rPr>
          <w:b/>
          <w:color w:val="000000"/>
          <w:lang w:val="fr-FR"/>
        </w:rPr>
        <w:t xml:space="preserve"> </w:t>
      </w:r>
      <w:r w:rsidRPr="00095948">
        <w:rPr>
          <w:color w:val="000000"/>
          <w:lang w:val="fr-FR"/>
        </w:rPr>
        <w:t xml:space="preserve">nova </w:t>
      </w:r>
      <w:r w:rsidR="004E3DE3">
        <w:rPr>
          <w:color w:val="000000"/>
          <w:lang w:val="fr-FR"/>
        </w:rPr>
        <w:t>S</w:t>
      </w:r>
      <w:r w:rsidR="004E3DE3" w:rsidRPr="00095948">
        <w:rPr>
          <w:color w:val="000000"/>
          <w:lang w:val="fr-FR"/>
        </w:rPr>
        <w:t xml:space="preserve">trategija </w:t>
      </w:r>
      <w:r w:rsidRPr="00095948">
        <w:rPr>
          <w:color w:val="000000"/>
          <w:lang w:val="fr-FR"/>
        </w:rPr>
        <w:t>saobraćaja prioritizuje investicije u glavne intermodalne terminale. Zakon o kombinovanom prevozu tereta iz 2014. godine ostaje glavni pravni okvir, ali su i dalje potrebni značajni napori u implementaciji i sprovođenju, posebno u pogledu podsticaja za korisnike puteva i uspostavljanje intermodalnih terminala.</w:t>
      </w:r>
    </w:p>
    <w:p w:rsidR="00622A95" w:rsidRPr="00095948" w:rsidRDefault="00622A95" w:rsidP="00EC1790">
      <w:pPr>
        <w:pStyle w:val="Heading2"/>
        <w:rPr>
          <w:rFonts w:eastAsia="Times New Roman"/>
          <w:lang w:val="fr-FR"/>
        </w:rPr>
      </w:pPr>
      <w:bookmarkStart w:id="218" w:name="_Toc30073844"/>
      <w:bookmarkStart w:id="219" w:name="_Toc30074157"/>
      <w:bookmarkStart w:id="220" w:name="_Toc30080579"/>
      <w:bookmarkStart w:id="221" w:name="_Toc52744948"/>
      <w:bookmarkStart w:id="222" w:name="_Toc53362456"/>
      <w:r w:rsidRPr="00095948">
        <w:rPr>
          <w:lang w:val="fr-FR"/>
        </w:rPr>
        <w:t>5.15</w:t>
      </w:r>
      <w:r w:rsidR="00585E64" w:rsidRPr="00095948">
        <w:rPr>
          <w:lang w:val="fr-FR"/>
        </w:rPr>
        <w:tab/>
      </w:r>
      <w:r w:rsidRPr="00095948">
        <w:rPr>
          <w:lang w:val="fr-FR"/>
        </w:rPr>
        <w:t>Poglavlje 15: Energetika</w:t>
      </w:r>
      <w:bookmarkEnd w:id="218"/>
      <w:bookmarkEnd w:id="219"/>
      <w:bookmarkEnd w:id="220"/>
      <w:bookmarkEnd w:id="221"/>
      <w:bookmarkEnd w:id="222"/>
    </w:p>
    <w:p w:rsidR="00622A95" w:rsidRPr="00095948" w:rsidRDefault="00622A95" w:rsidP="00EC1790">
      <w:pPr>
        <w:widowControl w:val="0"/>
        <w:spacing w:after="120" w:line="240" w:lineRule="auto"/>
        <w:jc w:val="both"/>
        <w:rPr>
          <w:rFonts w:eastAsia="Calibri" w:cs="Times New Roman"/>
          <w:i/>
          <w:iCs/>
          <w:color w:val="000000"/>
          <w:szCs w:val="24"/>
          <w:lang w:val="fr-FR"/>
        </w:rPr>
      </w:pPr>
      <w:r w:rsidRPr="00095948">
        <w:rPr>
          <w:i/>
          <w:color w:val="000000"/>
          <w:lang w:val="fr-FR"/>
        </w:rPr>
        <w:t xml:space="preserve">Energetska politika EU obuhvata snabdijevanje energijom, infrastrukturu, unutrašnje energetsko tržište, potrošače, energiju iz obnovljivih izvora, energetsku efikasnost, nuklearnu energiju, nuklearnu bezbjednost i zaštitu od radijacije. </w:t>
      </w:r>
    </w:p>
    <w:tbl>
      <w:tblPr>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622A95" w:rsidRPr="009A2018" w:rsidTr="00620E1E">
        <w:trPr>
          <w:trHeight w:val="1002"/>
        </w:trPr>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A95" w:rsidRPr="009A2018" w:rsidRDefault="00622A95" w:rsidP="00EC1790">
            <w:pPr>
              <w:spacing w:after="120" w:line="240" w:lineRule="auto"/>
              <w:jc w:val="both"/>
              <w:rPr>
                <w:rFonts w:eastAsia="Calibri" w:cs="Times New Roman"/>
                <w:color w:val="000000"/>
                <w:szCs w:val="24"/>
              </w:rPr>
            </w:pPr>
            <w:r w:rsidRPr="00095948">
              <w:rPr>
                <w:color w:val="000000"/>
                <w:lang w:val="fr-FR"/>
              </w:rPr>
              <w:t xml:space="preserve">Crna Gora je dostigla </w:t>
            </w:r>
            <w:r w:rsidRPr="00095948">
              <w:rPr>
                <w:b/>
                <w:color w:val="000000"/>
                <w:lang w:val="fr-FR"/>
              </w:rPr>
              <w:t>dobar nivo spremnosti</w:t>
            </w:r>
            <w:r w:rsidR="00A71174" w:rsidRPr="00095948">
              <w:rPr>
                <w:b/>
                <w:color w:val="000000"/>
                <w:lang w:val="fr-FR"/>
              </w:rPr>
              <w:t xml:space="preserve"> </w:t>
            </w:r>
            <w:r w:rsidRPr="00095948">
              <w:rPr>
                <w:color w:val="000000"/>
                <w:lang w:val="fr-FR"/>
              </w:rPr>
              <w:t>u ovoj oblasti. U izvještajnom periodu ostvaren je</w:t>
            </w:r>
            <w:r w:rsidR="00A71174" w:rsidRPr="00095948">
              <w:rPr>
                <w:color w:val="000000"/>
                <w:lang w:val="fr-FR"/>
              </w:rPr>
              <w:t xml:space="preserve"> </w:t>
            </w:r>
            <w:r w:rsidRPr="00095948">
              <w:rPr>
                <w:b/>
                <w:color w:val="000000"/>
                <w:lang w:val="fr-FR"/>
              </w:rPr>
              <w:t>određeni napredak</w:t>
            </w:r>
            <w:r w:rsidRPr="00095948">
              <w:rPr>
                <w:color w:val="000000"/>
                <w:lang w:val="fr-FR"/>
              </w:rPr>
              <w:t xml:space="preserve">, preciznije, u pogledu sigurnosti snabdijevanja, a preduzeti su koraci za modernizaciju postojećih proizvodnih kapaciteta, stvaranje dan unaprijed tržišta, kao i za prelazak proizvodnje obnovljive električne energije na programe podrške zasnovane na tržištu. </w:t>
            </w:r>
            <w:r w:rsidRPr="009A2018">
              <w:rPr>
                <w:color w:val="000000"/>
              </w:rPr>
              <w:t xml:space="preserve">Međutim, preporuke iz 2019. godine i dalje važe. Tokom naredne godine Crna Gora naročito treba da: </w:t>
            </w:r>
          </w:p>
          <w:p w:rsidR="00622A95" w:rsidRPr="009A2018" w:rsidRDefault="00622A95" w:rsidP="00EC1790">
            <w:pPr>
              <w:pStyle w:val="ListParagraph"/>
              <w:numPr>
                <w:ilvl w:val="0"/>
                <w:numId w:val="31"/>
              </w:numPr>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 xml:space="preserve">uspostavi ili se priključi dan unaprijed funkcionalnom tržištu i udruži se sa susjednim tržištima, uključujući Italiju; </w:t>
            </w:r>
          </w:p>
          <w:p w:rsidR="00622A95" w:rsidRPr="009A2018" w:rsidRDefault="00622A95" w:rsidP="00EC1790">
            <w:pPr>
              <w:pStyle w:val="ListParagraph"/>
              <w:numPr>
                <w:ilvl w:val="0"/>
                <w:numId w:val="31"/>
              </w:numPr>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 xml:space="preserve">pređe na programe podrške koji se temelje na tržištu kada je riječ o proizvodnji energije iz obnovljivih izvora i da uskladi postupke za izdavanje dozvola i ostvarivanje konekcija; </w:t>
            </w:r>
          </w:p>
          <w:p w:rsidR="00622A95" w:rsidRPr="009A2018" w:rsidRDefault="00622A95" w:rsidP="00EC1790">
            <w:pPr>
              <w:pStyle w:val="ListParagraph"/>
              <w:numPr>
                <w:ilvl w:val="0"/>
                <w:numId w:val="31"/>
              </w:numPr>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usvoji zakon o sigurnosti snabdijevanja naftnim derivatima i osnuje tijelo za obavezne rezerve nafte.</w:t>
            </w:r>
          </w:p>
        </w:tc>
      </w:tr>
    </w:tbl>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t xml:space="preserve">U oblasti </w:t>
      </w:r>
      <w:r w:rsidRPr="009A2018">
        <w:rPr>
          <w:b/>
        </w:rPr>
        <w:t xml:space="preserve">sigurnosti snabdijevanja </w:t>
      </w:r>
      <w:r w:rsidRPr="009A2018">
        <w:t>Crna Gora ima Strategiju razvoja energetike do 2030. godine s Akcionim planom za period 2016−2020. godine i dugoročni energetski bilans za period 2020−2022. godine, usvojen u julu 2019. godine.</w:t>
      </w:r>
      <w:r w:rsidRPr="009A2018">
        <w:rPr>
          <w:color w:val="000000"/>
        </w:rPr>
        <w:t xml:space="preserve"> U decembru 2019. godine, Vlada je usvojila i energetski bilans za 2020. godinu. Revizija akcionog plana iz 2015. godine o obaveznim strateškim rezervama </w:t>
      </w:r>
      <w:r w:rsidRPr="009A2018">
        <w:rPr>
          <w:b/>
          <w:color w:val="000000"/>
        </w:rPr>
        <w:t>nafte i naftnih derivata</w:t>
      </w:r>
      <w:r w:rsidRPr="009A2018">
        <w:rPr>
          <w:color w:val="000000"/>
        </w:rPr>
        <w:t xml:space="preserve"> još uvijek traje. Ipak</w:t>
      </w:r>
      <w:r w:rsidRPr="009A2018">
        <w:t>, Crna Gora treba da započne mjesečno izvještavanje o podacima o nafti</w:t>
      </w:r>
      <w:r w:rsidRPr="009A2018">
        <w:rPr>
          <w:color w:val="000000"/>
        </w:rPr>
        <w:t xml:space="preserve">. Zakon o sigurnosti snabdijevanja naftnim derivatima i relevantni sprovedbeni propisi tek treba da budu usvojeni, kao i da se osnuje centralno tijelo za strateške rezerve nafte. Naftne rezerve u ovom trenutku gotovo dane postoje.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 xml:space="preserve">U oblasti </w:t>
      </w:r>
      <w:r w:rsidRPr="009A2018">
        <w:rPr>
          <w:b/>
          <w:color w:val="000000"/>
        </w:rPr>
        <w:t>električne energije</w:t>
      </w:r>
      <w:r w:rsidRPr="009A2018">
        <w:rPr>
          <w:color w:val="000000"/>
        </w:rPr>
        <w:t xml:space="preserve"> interkonekcija s Italijom puštena je u rad u novembru 2019. godine, a interkonekcije sa Srbijom i Bosnom i Hercegovinom se planiraju.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 xml:space="preserve">Elektroprivreda Crne Gore </w:t>
      </w:r>
      <w:r w:rsidRPr="009A2018">
        <w:rPr>
          <w:color w:val="5D5D5D"/>
        </w:rPr>
        <w:t>(</w:t>
      </w:r>
      <w:r w:rsidRPr="009A2018">
        <w:rPr>
          <w:color w:val="000000"/>
        </w:rPr>
        <w:t>EPCG), nacionalni proizvođač energije i Kreditanstalt für Wiederaufbau (KfW) potpisali su u septembru 2019. godine ugovor o zajmu za obnovu i modernizaciju hidroelektrane Perućica. Izrada novih projekata, posebno u oblasti hidroenergije, treba da se obavlja u skladu s pravnom tekovinom EU o koncesijama, državnoj pomoći i životnoj sredini. Tender za ekološku rekonstrukciju termoelektrane Pljevlja dodijeljen je kinesko-crnogorskom konzorcijumu za oko 54.000.000 eura u novembru 2019. godine, a ugovor je potpisan u junu 2020. godine.</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U aprilu 2019. godine, BELEN je uspostavila strateško partnerstvo sa NordPoolom; međutim, odgovarajući sporazumi još uvijek nijesu potpisani. Otvaranje dan unaprijed tržišta očekuje se u drugoj polovini 2020. godine. Funkcionisanje razmjene energije i povezivanja tržišta zahtijeva izmjene crnogorskog zakona o PDV-u.</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Tokom izvještajnog perioda, u cilju stvaranja balansnog tržišta, CGES, operator državnog prenosnog sistema, stekao je status posmatrača u Evropskoj kooperaciji za poravnanje debalansa (eng</w:t>
      </w:r>
      <w:r w:rsidRPr="009A2018">
        <w:rPr>
          <w:i/>
          <w:iCs/>
          <w:color w:val="000000"/>
        </w:rPr>
        <w:t>. International Grid Control Cooperation</w:t>
      </w:r>
      <w:r w:rsidRPr="009A2018">
        <w:rPr>
          <w:color w:val="000000"/>
        </w:rPr>
        <w:t xml:space="preserve">) i prijavio se za članstvo u Evropskoj kooperaciji za razmjenu tercijarne balansne energije. (eng. </w:t>
      </w:r>
      <w:r w:rsidRPr="009A2018">
        <w:rPr>
          <w:i/>
          <w:iCs/>
          <w:color w:val="000000"/>
        </w:rPr>
        <w:t>European Tertiary balancing energy cooperation</w:t>
      </w:r>
      <w:r w:rsidRPr="009A2018">
        <w:rPr>
          <w:color w:val="000000"/>
        </w:rPr>
        <w:t>). Crna Gora je članica Evropske mreže operatora prenosnih sistema električne energije od njenog osnivanja.</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 xml:space="preserve">Dodatno usklađivanje s pravnom tekovinom EU postignuto je u pogledu </w:t>
      </w:r>
      <w:r w:rsidRPr="009A2018">
        <w:rPr>
          <w:b/>
          <w:color w:val="000000"/>
        </w:rPr>
        <w:t>unutrašnjeg energetskog tržišta</w:t>
      </w:r>
      <w:r w:rsidRPr="009A2018">
        <w:rPr>
          <w:color w:val="000000"/>
        </w:rPr>
        <w:t xml:space="preserve">, donošenjem Uredbe o uslovima za priključenje postrojenja potrošača na prenosni sistem električne energije, Uredbe o uslovima za priključenje proizvođača električne energije na prenosnu i distributivnu mrežu i Uredbe o uslovima za priključenje na mrežu sistema za prenos jednosmjerne struje visokog napona i jednosmjerno priključenih modula elektroenergetskog parka. </w:t>
      </w:r>
      <w:r w:rsidRPr="009A2018">
        <w:t>Crna Gora treba što prije da sprovede Regulativu o integritetu i transparentnosti veleprodajnog energetskog tržišta.</w:t>
      </w:r>
    </w:p>
    <w:p w:rsidR="00622A95" w:rsidRPr="009A2018" w:rsidRDefault="00622A95" w:rsidP="00EC1790">
      <w:pPr>
        <w:spacing w:after="120" w:line="240" w:lineRule="auto"/>
        <w:jc w:val="both"/>
        <w:rPr>
          <w:rFonts w:eastAsia="Calibri" w:cs="Times New Roman"/>
          <w:szCs w:val="24"/>
        </w:rPr>
      </w:pPr>
      <w:r w:rsidRPr="009A2018">
        <w:t>Vlada je u junu 2019. godine izabrala EPCG za snabdjevača posljednjeg izbora i ranjivih grupa; ugovor je potpisan u novembru 2019. godine.</w:t>
      </w:r>
    </w:p>
    <w:p w:rsidR="00622A95" w:rsidRPr="009A2018" w:rsidRDefault="00622A95" w:rsidP="00EC1790">
      <w:pPr>
        <w:autoSpaceDE w:val="0"/>
        <w:autoSpaceDN w:val="0"/>
        <w:adjustRightInd w:val="0"/>
        <w:spacing w:after="120" w:line="240" w:lineRule="auto"/>
        <w:jc w:val="both"/>
        <w:rPr>
          <w:rFonts w:eastAsia="Calibri" w:cs="Times New Roman"/>
          <w:color w:val="1F497D"/>
          <w:szCs w:val="24"/>
        </w:rPr>
      </w:pPr>
      <w:r w:rsidRPr="009A2018">
        <w:rPr>
          <w:color w:val="000000"/>
        </w:rPr>
        <w:t xml:space="preserve">Regulatorna agencija za energetiku (ERA) je operativno i finansijski nezavisan organ. </w:t>
      </w:r>
      <w:r w:rsidRPr="009A2018">
        <w:t>Ona reguliše cijene električne energije za male potrošače i domaćinstva koja imaju pravo na univerzalnu uslugu na osnovu tržišnih cijena i cijena mrežnih usluga.</w:t>
      </w:r>
      <w:r w:rsidRPr="009A2018">
        <w:rPr>
          <w:color w:val="000000"/>
        </w:rPr>
        <w:t xml:space="preserve"> S druge strane, cijene na veleprodajnom tržištu električne energije slobodno se formiraju. ERA ima status posmatrača </w:t>
      </w:r>
      <w:r w:rsidRPr="009A2018">
        <w:t xml:space="preserve">u Agenciji za saradnju energetskih regulatora od januara 2018. godine. </w:t>
      </w:r>
      <w:r w:rsidRPr="009A2018">
        <w:rPr>
          <w:color w:val="000000"/>
        </w:rPr>
        <w:t>Treba dodatno ojačati opštu nezavisnost ERA, budući da njen statut mora da odobri Vlada. Dodatno, mogući nivoi kazni koje ERA može da primijeni u velikoj su mjeri ispod zahtijevanog praga od 10%.</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9A2018">
        <w:t xml:space="preserve">U pogledu </w:t>
      </w:r>
      <w:r w:rsidRPr="009A2018">
        <w:rPr>
          <w:b/>
          <w:bCs/>
        </w:rPr>
        <w:t>ugljovodonika</w:t>
      </w:r>
      <w:r w:rsidRPr="009A2018">
        <w:t xml:space="preserve">, nacionalno zakonodavstvo usklađeno je s Direktivom o licenciranju ugljovodonika, ali Direktiva o bezbjednosti priobalnih operacija još nije u potpunosti sprovedena. </w:t>
      </w:r>
      <w:r w:rsidRPr="00095948">
        <w:rPr>
          <w:color w:val="000000"/>
          <w:lang w:val="fr-FR"/>
        </w:rPr>
        <w:t xml:space="preserve">Istraživanja u podmorju započeta su u novembru 2018. godine i od tada se realizuju. Ostvaren je napredak u izradi idejnog projekta Jonsko-jadranskog gasovoda. </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U oblasti </w:t>
      </w:r>
      <w:r w:rsidRPr="00095948">
        <w:rPr>
          <w:b/>
          <w:bCs/>
          <w:color w:val="000000"/>
          <w:lang w:val="fr-FR"/>
        </w:rPr>
        <w:t>obnovljive energije</w:t>
      </w:r>
      <w:r w:rsidRPr="00095948">
        <w:rPr>
          <w:color w:val="000000"/>
          <w:lang w:val="fr-FR"/>
        </w:rPr>
        <w:t>, u toku 2018. godine, 38,8% bruto finalne potrošnje energije poticalo je iz obnovljivih izvora, uglavnom zbog revizije podataka o biomasi. Time je premašen cilj od 33% učešća koji treba ostvariti do 2020. godine u skladu s nacionalnim akcionim planom Crne Gore. Iako je učešće od 38,8% i dalje visoko u odnosu na EU i regionalne standarde, bilježi se njegov pad u Crnoj Gori i najniže je od 2008. godine. Crna Gora još nije usvojila pravila za aukcije za pružanje podrške proizvođačima obnovljive energije u skladu sa smjernicama o državnoj pomoći za zaštitu životne sredine i energetiku za period 2014-2020. godine. Ne postoji propis koji individualnim proizvođačima olakšava ulaganja u izgradnju malih proizvodnih kapaciteta.</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222222"/>
          <w:lang w:val="fr-FR"/>
        </w:rPr>
        <w:t>U</w:t>
      </w:r>
      <w:r w:rsidRPr="00095948">
        <w:rPr>
          <w:color w:val="000000"/>
          <w:lang w:val="fr-FR"/>
        </w:rPr>
        <w:t xml:space="preserve"> maju 2019</w:t>
      </w:r>
      <w:r w:rsidRPr="00095948">
        <w:rPr>
          <w:color w:val="222222"/>
          <w:lang w:val="fr-FR"/>
        </w:rPr>
        <w:t xml:space="preserve">. godine, Vlada je donijela </w:t>
      </w:r>
      <w:r w:rsidRPr="00095948">
        <w:rPr>
          <w:color w:val="000000"/>
          <w:lang w:val="fr-FR"/>
        </w:rPr>
        <w:t xml:space="preserve">Uredbu o naknadi za podsticanje </w:t>
      </w:r>
      <w:r w:rsidRPr="00095948">
        <w:rPr>
          <w:color w:val="222222"/>
          <w:lang w:val="fr-FR"/>
        </w:rPr>
        <w:t>proizvodnje električne energije iz obnovljivih izvora i visokoefikasne kogeneracije. U julu 2019. godine, usvojene su izmjene Uredbe o načinu ostvarivanja i podsticajnih cijena za električnu energiju proizvedenu iz obnovljivih izvora i visokoefikasne kogeneracije.</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U novembru 2019. godine, Ministarstvo ekonomije dodijelilo je tender za davanje u dugoročni zakup zemljišta u državnoj svojini konzorcijumu na čelu saWPD AG radi izgradnje vjetroelektrane na lokalitetu „Brajići“ opštinaBudva i Bar. Vjetroelektrana će imati minimalnu instalisanu snagu od 70MW. Vjetroelektrana „Možura“ s instalisanom snagom od 46 MW puštena je u rad u novembru 2019. godine.</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U pogledu </w:t>
      </w:r>
      <w:r w:rsidRPr="00095948">
        <w:rPr>
          <w:b/>
          <w:color w:val="000000"/>
          <w:lang w:val="fr-FR"/>
        </w:rPr>
        <w:t xml:space="preserve">energetske efikasnosti, </w:t>
      </w:r>
      <w:r w:rsidRPr="00095948">
        <w:rPr>
          <w:color w:val="000000"/>
          <w:lang w:val="fr-FR"/>
        </w:rPr>
        <w:t xml:space="preserve">izmjene Zakona o efikasnom korišćenju energije u cilju obezbjeđivanja dalje usklađenosti s Direktivom EU o energetskoj efikasnosti, usvojene su u aprilu 2019. godine. Vlada je u junu 2019. godine usvojila četvrti akcioni plan za energetsku efikasnost za period 2019-2021. godine. I dalje je potrebno uložiti dodatne napore kako bi se crnogorski regulatorni okvir u potpunosti uskladio s Direktivom EU o energetskoj efikasnosti zgrada i Regulativom o označavanju. Promjena statusa Direktorata za energetsku efikasnost koji je sada jedinica u okviru Direktorata za energetiku ne smije da umanji institucionalne kapacitete za dalje reforme u oblasti energetske efikasnosti, inspekcijski nadzor i lokalne uprave. Fond za energetsku efikasnost još uvijek nije uspostavljen. Nije bilo pomaka koji bi se mogli uvrstiti u izvještaj u pogledu unapređenja prikupljanja statističkih podataka, o uspostavljanju funkcionalnog sistema za izračunanje pokazatelja energetske efikasnosti i štednje, ili o praćenju sprovođenja tekućeg Akcionog plana za energetsku efikasnost za period 2016-2018. godine. </w:t>
      </w:r>
    </w:p>
    <w:p w:rsidR="00622A95" w:rsidRPr="00095948" w:rsidRDefault="00622A95" w:rsidP="00EC1790">
      <w:pPr>
        <w:spacing w:after="120" w:line="240" w:lineRule="auto"/>
        <w:jc w:val="both"/>
        <w:rPr>
          <w:rFonts w:eastAsia="Calibri" w:cs="Times New Roman"/>
          <w:noProof/>
          <w:color w:val="000000"/>
          <w:szCs w:val="24"/>
          <w:lang w:val="fr-FR"/>
        </w:rPr>
      </w:pPr>
      <w:r w:rsidRPr="00095948">
        <w:rPr>
          <w:color w:val="000000"/>
          <w:lang w:val="fr-FR"/>
        </w:rPr>
        <w:t xml:space="preserve">Kada je riječ o </w:t>
      </w:r>
      <w:r w:rsidRPr="00095948">
        <w:rPr>
          <w:b/>
          <w:bCs/>
          <w:color w:val="000000"/>
          <w:lang w:val="fr-FR"/>
        </w:rPr>
        <w:t>nuklearnoj energiji, nuklearnoj sigurnosti i zaštiti od zračenja</w:t>
      </w:r>
      <w:r w:rsidRPr="00095948">
        <w:rPr>
          <w:color w:val="000000"/>
          <w:lang w:val="fr-FR"/>
        </w:rPr>
        <w:t>, Crna Gora nema nuklearnu industriju, istraživački reaktor ili bilo koje drugo postrojenje koje proizvodi radioaktivne materijale, a nacionalno zakonodavstvo zabranjuje izgradnju nuklearnih postrojenja.</w:t>
      </w:r>
    </w:p>
    <w:p w:rsidR="00622A95" w:rsidRPr="00095948" w:rsidRDefault="00622A95" w:rsidP="00EC1790">
      <w:pPr>
        <w:spacing w:after="120" w:line="240" w:lineRule="auto"/>
        <w:jc w:val="both"/>
        <w:rPr>
          <w:rFonts w:eastAsia="Calibri" w:cs="Times New Roman"/>
          <w:noProof/>
          <w:color w:val="000000"/>
          <w:szCs w:val="24"/>
          <w:lang w:val="fr-FR"/>
        </w:rPr>
      </w:pPr>
      <w:r w:rsidRPr="00095948">
        <w:rPr>
          <w:color w:val="000000"/>
          <w:lang w:val="fr-FR"/>
        </w:rPr>
        <w:t>Crna Gora je potpisnica Konvencije o nuklearnoj sigurnosti i Zajedničke konvencije o sigurnosti upravljanja istrošenim gorivom i sigurnosti upravljanja radioaktivnim otpadom. U avgustu 2019. godine, Vlada je usvojila drugi nacionalni izvještaj o implementaciji obaveza koje proističu iz Konvencije o nuklearnoj sigurnosti. U julu 2019. godine, Skupština je donijela zakone o potvrđivanju Protokola iz 2005. godine o izmjenama i dopunama Protokola o suzbijanju nezakonitih radnji uperenih protiv bezbjednosti nepokretnih platformi koje se nalaze u epikontinentalnom pojasu i Konvencije o suzbijanju nezakonitih radnji uperenih protiv bezbjednosti pomorske plovidbe. U julu 2019. godine, Međunarodna agencija za atomsku energiju izvršila je inspekciju nuklearnog materijala.</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U toku je sprovođenje Strategije i akcionog plana za period 2017-2021. godine za zaštitu od jonizujućeg zračenja, radijacionu sigurnost i upravljanje radioaktivnim otpadom. Izvještaj o implementaciji za 2017-2018. godinu Vlada je usvojila u decembru 2019. godine. Sveobuhvatni zakon o zaštiti od jonizujućih zračenja, radijacionoj i nuklearnoj sigurnosti i bezbjednosti, koji će biti usklađen sa 13 relevantnih zakonodavnih akata EU čeka usvajanje.</w:t>
      </w:r>
    </w:p>
    <w:p w:rsidR="00622A95" w:rsidRPr="00095948" w:rsidRDefault="00622A95" w:rsidP="00EC1790">
      <w:pPr>
        <w:spacing w:after="120" w:line="240" w:lineRule="auto"/>
        <w:jc w:val="both"/>
        <w:rPr>
          <w:rFonts w:eastAsia="Calibri" w:cs="Times New Roman"/>
          <w:color w:val="000000"/>
          <w:szCs w:val="24"/>
          <w:lang w:val="fr-FR"/>
        </w:rPr>
      </w:pPr>
      <w:r w:rsidRPr="00095948">
        <w:rPr>
          <w:color w:val="000000"/>
          <w:lang w:val="fr-FR"/>
        </w:rPr>
        <w:t>U vezi s aranžmanima Evropske zajednice za ranu razmjenu informacija u slučaju radiološke opasnosti (ECURIE), Crna Gora je pružila sve neophodne informacije i ostvarila napredak ka sticanju statusa operativnog člana. Međutim, Crna Gora tek treba da se pridruži Evropskoj platformi za razmjenu radioloških podataka, koja je dio ECURIE aranžmana.</w:t>
      </w:r>
    </w:p>
    <w:p w:rsidR="00622A95" w:rsidRPr="00095948" w:rsidRDefault="00622A95" w:rsidP="00EC1790">
      <w:pPr>
        <w:spacing w:after="120" w:line="240" w:lineRule="auto"/>
        <w:jc w:val="both"/>
        <w:rPr>
          <w:rFonts w:eastAsia="Calibri" w:cs="Times New Roman"/>
          <w:szCs w:val="24"/>
          <w:lang w:val="fr-FR"/>
        </w:rPr>
      </w:pPr>
      <w:r w:rsidRPr="00095948">
        <w:rPr>
          <w:color w:val="000000"/>
          <w:lang w:val="fr-FR"/>
        </w:rPr>
        <w:t>Nacionalno regulatorno tijelo za radijacionu i nuklearnu sigurnost i bezbjednost i jonizujuće zračenje ima osam članova koji su predstavnici Ministarstva održivog razvoja i turizma, Ministarstva unutrašnjih poslova, Agencije za zaštitu prirode i životne sredine i Uprave za inspekcijske poslove. Crna Gora u ovom trenutku ne namjerava da učestvuje u Kapitalnom i savjetodavnom komitetu Agencije za snabdijevanje EURATOM, ali planira da postane član grupe Evropskih regulatora za nuklearnu sigurnost.</w:t>
      </w:r>
    </w:p>
    <w:p w:rsidR="00622A95" w:rsidRPr="00095948" w:rsidRDefault="00622A95" w:rsidP="00EC1790">
      <w:pPr>
        <w:pStyle w:val="Heading2"/>
        <w:rPr>
          <w:rFonts w:eastAsia="Times New Roman"/>
          <w:lang w:val="fr-FR"/>
        </w:rPr>
      </w:pPr>
      <w:bookmarkStart w:id="223" w:name="_Toc30073845"/>
      <w:bookmarkStart w:id="224" w:name="_Toc30074158"/>
      <w:bookmarkStart w:id="225" w:name="_Toc30080580"/>
      <w:bookmarkStart w:id="226" w:name="_Toc52744949"/>
      <w:bookmarkStart w:id="227" w:name="_Toc53362457"/>
      <w:r w:rsidRPr="00095948">
        <w:rPr>
          <w:lang w:val="fr-FR"/>
        </w:rPr>
        <w:t>5.16</w:t>
      </w:r>
      <w:r w:rsidR="00585E64" w:rsidRPr="00095948">
        <w:rPr>
          <w:lang w:val="fr-FR"/>
        </w:rPr>
        <w:tab/>
      </w:r>
      <w:r w:rsidRPr="00095948">
        <w:rPr>
          <w:lang w:val="fr-FR"/>
        </w:rPr>
        <w:t>Poglavlje 16: Porezi</w:t>
      </w:r>
      <w:bookmarkEnd w:id="223"/>
      <w:bookmarkEnd w:id="224"/>
      <w:bookmarkEnd w:id="225"/>
      <w:bookmarkEnd w:id="226"/>
      <w:bookmarkEnd w:id="227"/>
    </w:p>
    <w:p w:rsidR="00622A95" w:rsidRPr="00095948" w:rsidRDefault="00622A95" w:rsidP="00EC1790">
      <w:pPr>
        <w:spacing w:after="120" w:line="240" w:lineRule="auto"/>
        <w:jc w:val="both"/>
        <w:rPr>
          <w:rFonts w:eastAsia="Calibri" w:cs="Times New Roman"/>
          <w:i/>
          <w:color w:val="000000"/>
          <w:szCs w:val="24"/>
          <w:lang w:val="fr-FR"/>
        </w:rPr>
      </w:pPr>
      <w:r w:rsidRPr="00095948">
        <w:rPr>
          <w:i/>
          <w:color w:val="000000"/>
          <w:lang w:val="fr-FR"/>
        </w:rPr>
        <w:t xml:space="preserve">Pravila EU o oporezivanju obuhvataju porez na dodatu vrijednost i akcize, kao i aspekte oporezivanja pravnih lica. Ta pravila bave se i saradnjom između poreskih uprava, uključujući razmjenu informacija radi sprječavanja utaje poreza. </w:t>
      </w:r>
    </w:p>
    <w:p w:rsidR="00622A95" w:rsidRPr="00095948" w:rsidRDefault="00622A95" w:rsidP="00EC1790">
      <w:p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Crna Gora je </w:t>
      </w:r>
      <w:r w:rsidRPr="00095948">
        <w:rPr>
          <w:b/>
          <w:color w:val="000000"/>
          <w:lang w:val="fr-FR"/>
        </w:rPr>
        <w:t xml:space="preserve">umjereno spremna </w:t>
      </w:r>
      <w:r w:rsidRPr="00095948">
        <w:rPr>
          <w:color w:val="000000"/>
          <w:lang w:val="fr-FR"/>
        </w:rPr>
        <w:t xml:space="preserve">u oblasti poreza. Ostvaren je </w:t>
      </w:r>
      <w:r w:rsidRPr="00095948">
        <w:rPr>
          <w:b/>
          <w:color w:val="000000"/>
          <w:lang w:val="fr-FR"/>
        </w:rPr>
        <w:t xml:space="preserve">dobar napredak </w:t>
      </w:r>
      <w:r w:rsidRPr="00095948">
        <w:rPr>
          <w:color w:val="000000"/>
          <w:lang w:val="fr-FR"/>
        </w:rPr>
        <w:t>u ovoj oblasti. Ispunjene su sve preporuke date prošle godine, osim jedne, i ostvaren je dalji napredak u vezi s preporukom za sprovođenje akcionog plana koji se bavi pitanjima istaknutim u analizi izrađenoj pomoću instrumenata za dijagnostičku ocjenu (TADAT).</w:t>
      </w:r>
    </w:p>
    <w:p w:rsidR="00622A95" w:rsidRPr="00095948" w:rsidRDefault="00622A95" w:rsidP="00EC1790">
      <w:pPr>
        <w:numPr>
          <w:ilvl w:val="0"/>
          <w:numId w:val="22"/>
        </w:num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lang w:val="fr-FR"/>
        </w:rPr>
      </w:pPr>
      <w:r w:rsidRPr="00095948">
        <w:rPr>
          <w:color w:val="000000"/>
          <w:lang w:val="fr-FR"/>
        </w:rPr>
        <w:t>nastavi da sprovodi akcioni plan za rješavanje pitanja istaknutih u TADAT analizi;</w:t>
      </w:r>
    </w:p>
    <w:p w:rsidR="00622A95" w:rsidRPr="00095948" w:rsidRDefault="00622A95" w:rsidP="00EC1790">
      <w:pPr>
        <w:numPr>
          <w:ilvl w:val="0"/>
          <w:numId w:val="22"/>
        </w:num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lang w:val="fr-FR"/>
        </w:rPr>
      </w:pPr>
      <w:r w:rsidRPr="00095948">
        <w:rPr>
          <w:color w:val="000000"/>
          <w:lang w:val="fr-FR"/>
        </w:rPr>
        <w:t>u potpunosti sprovede Okvirnu konvenciju Svjetske zdravstvene organizacije o kontroli duvana (FCTC) o obilježavanju duvanskih proizvoda i alkoholnih pića akciznim markicama;</w:t>
      </w:r>
    </w:p>
    <w:p w:rsidR="00622A95" w:rsidRPr="00095948" w:rsidRDefault="00622A95" w:rsidP="00EC1790">
      <w:pPr>
        <w:numPr>
          <w:ilvl w:val="0"/>
          <w:numId w:val="22"/>
        </w:num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ind w:left="0" w:firstLine="0"/>
        <w:jc w:val="both"/>
        <w:rPr>
          <w:rFonts w:eastAsia="Calibri" w:cs="Times New Roman"/>
          <w:noProof/>
          <w:color w:val="000000"/>
          <w:szCs w:val="24"/>
          <w:lang w:val="fr-FR"/>
        </w:rPr>
      </w:pPr>
      <w:r w:rsidRPr="00095948">
        <w:rPr>
          <w:color w:val="000000"/>
          <w:lang w:val="fr-FR"/>
        </w:rPr>
        <w:t>ostvari dalji napredak u pogledu ukidanja oslobađanja od PDV-a i drugih poreza koji nijesu u skladu s pravnom tekovinom EU</w:t>
      </w:r>
      <w:r w:rsidR="00A71174" w:rsidRPr="00095948">
        <w:rPr>
          <w:color w:val="000000"/>
          <w:lang w:val="fr-FR"/>
        </w:rPr>
        <w:t xml:space="preserve"> </w:t>
      </w:r>
      <w:r w:rsidRPr="00095948">
        <w:rPr>
          <w:color w:val="000000"/>
          <w:lang w:val="fr-FR"/>
        </w:rPr>
        <w:t>(TBC).</w:t>
      </w:r>
    </w:p>
    <w:p w:rsidR="00622A95" w:rsidRPr="00095948" w:rsidRDefault="00622A95" w:rsidP="00EC1790">
      <w:pPr>
        <w:spacing w:after="120" w:line="240" w:lineRule="auto"/>
        <w:jc w:val="both"/>
        <w:rPr>
          <w:rFonts w:eastAsia="Calibri" w:cs="Times New Roman"/>
          <w:noProof/>
          <w:color w:val="000000"/>
          <w:szCs w:val="24"/>
          <w:lang w:val="fr-FR"/>
        </w:rPr>
      </w:pPr>
      <w:r w:rsidRPr="00095948">
        <w:rPr>
          <w:color w:val="000000"/>
          <w:lang w:val="fr-FR"/>
        </w:rPr>
        <w:t>Crna Gora sprovodi akcioni plan za rješavanje pitanja istaknutih u TADAT analizi. Do 27. decembra 2019. godine, od 172 aktivnosti predviđene akcionim planom, 62 su završene, 45 je bilo u toku, 18 je djelimično realizovano, dok realizacija 25 aktivnosti još nije započeta. Realizacija ostalih aktivnosti možda više neće biti moguća zbog izmjena pravnog okvira.</w:t>
      </w:r>
    </w:p>
    <w:p w:rsidR="00622A95" w:rsidRPr="00095948" w:rsidRDefault="00622A95" w:rsidP="00EC1790">
      <w:pPr>
        <w:spacing w:after="120" w:line="240" w:lineRule="auto"/>
        <w:jc w:val="both"/>
        <w:rPr>
          <w:rFonts w:eastAsia="Calibri" w:cs="Times New Roman"/>
          <w:szCs w:val="24"/>
          <w:lang w:val="fr-FR"/>
        </w:rPr>
      </w:pPr>
      <w:r w:rsidRPr="00095948">
        <w:rPr>
          <w:color w:val="000000"/>
          <w:lang w:val="fr-FR"/>
        </w:rPr>
        <w:t>Crna Gora je u julu 2019. godine usvojila zakone o fiskalizaciji u prometu roba i usluga, o poreskim savjetnicima i doprinosima za obavezno socijalno osiguranje</w:t>
      </w:r>
      <w:r w:rsidRPr="00095948">
        <w:rPr>
          <w:lang w:val="fr-FR"/>
        </w:rPr>
        <w:t>. Međutim, u decembru 2019. godine, izmjene u pogledu fiskalizacije u prometu roba i usluga odložene su do januara 2021. godine.</w:t>
      </w:r>
    </w:p>
    <w:p w:rsidR="00622A95" w:rsidRPr="00095948" w:rsidRDefault="00622A95" w:rsidP="00EC1790">
      <w:pPr>
        <w:spacing w:after="120" w:line="240" w:lineRule="auto"/>
        <w:jc w:val="both"/>
        <w:rPr>
          <w:rFonts w:eastAsia="Calibri" w:cs="Times New Roman"/>
          <w:szCs w:val="24"/>
          <w:lang w:val="fr-FR"/>
        </w:rPr>
      </w:pPr>
      <w:r w:rsidRPr="00095948">
        <w:rPr>
          <w:lang w:val="fr-FR"/>
        </w:rPr>
        <w:t>Poreska uprava Crne Gore sprovodi svoj godišnji akcioni plan za suzbijanje sive ekonomije. Od januara do decem</w:t>
      </w:r>
      <w:r w:rsidR="00A71174" w:rsidRPr="00095948">
        <w:rPr>
          <w:lang w:val="fr-FR"/>
        </w:rPr>
        <w:t>bra 2019. godine, izvršila je 2.</w:t>
      </w:r>
      <w:r w:rsidRPr="00095948">
        <w:rPr>
          <w:lang w:val="fr-FR"/>
        </w:rPr>
        <w:t>646 poreskih kontrola, što je za rezultat imalo korekcije poreza u iznosu od</w:t>
      </w:r>
      <w:r w:rsidR="00A71174" w:rsidRPr="00095948">
        <w:rPr>
          <w:lang w:val="fr-FR"/>
        </w:rPr>
        <w:t xml:space="preserve"> 67 miliona eura, a izdato je 1.</w:t>
      </w:r>
      <w:r w:rsidRPr="00095948">
        <w:rPr>
          <w:lang w:val="fr-FR"/>
        </w:rPr>
        <w:t>217 prekršajnih naloga za iznos od preko 1,9 miliona eura. Poreska uprava je takođe inovirala svoju poslovnu strategiju za period 2019-2022. godine u skladu s fiskalnim planom EU i osnovala komitet za reforme i odbor za upravljanje rizicima koji će pratiti njeno sprovođenje.</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 xml:space="preserve">indirektnog oporezivanja, </w:t>
      </w:r>
      <w:r w:rsidRPr="00095948">
        <w:rPr>
          <w:lang w:val="fr-FR"/>
        </w:rPr>
        <w:t>izuzeća bez prava na odbitak PDV-a još uvijek nijesu u skladu s pravnom tekovinom EU, a gorivo za rekreativna plovila i dalje je izuzeto od akciza i PDV-a.</w:t>
      </w:r>
      <w:r w:rsidRPr="00095948">
        <w:rPr>
          <w:color w:val="000000"/>
          <w:lang w:val="fr-FR"/>
        </w:rPr>
        <w:t xml:space="preserve"> Vlada je usvojila i jedan broj poreskih mjera koje se odnose na COVID, kao što je oslobađanje od PDV-a na uvoz donirane zaštitne opreme i odloženo plaćanje carina, PDV-a i naplate poreza</w:t>
      </w:r>
      <w:r w:rsidRPr="00095948">
        <w:rPr>
          <w:lang w:val="fr-FR"/>
        </w:rPr>
        <w:t>. Ostvaren je određeni napredak u pogledu obilježavanja duvanskih proizvoda i alkoholnih pića akciznim markicama. U pogledu sljedivosti duvanskih proizvoda, potrebno je poštovati međunarodne obaveze u skladu s FCTC Protokolom o eliminaciji nezakonite trgovine duvanskim proizvodima. Vlada je 31. marta 2020. godine usvojila Uredbu o uslovima za odlaganje dospjelih poreskih i neporeskih potraživanja, zbog negativnog uticaja pandemije COVID-19 na poslovanje.</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administrativne saradnje i uzajamne pomoći</w:t>
      </w:r>
      <w:r w:rsidRPr="00095948">
        <w:rPr>
          <w:lang w:val="fr-FR"/>
        </w:rPr>
        <w:t xml:space="preserve">, Crna Gora je u oktobru 2019. godine potpisala Multilateralnu konvenciju o uzajamnoj administrativnoj pomoći u poreskim pitanjima. Skupština je potvrdila Konvenciju u decembru 2019. godine, kada je Crna Gora pristupila Inkluzivnom okviru za BEPS. Međutim, potrebno je da Crna Gora usvoji propise za usklađivanje s pravnom tekovinom EU o obaveznoj automatskoj razmjeni informacija u oblasti oporezivanja. </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operativnih kapaciteta i kompjuterizacije</w:t>
      </w:r>
      <w:r w:rsidRPr="00095948">
        <w:rPr>
          <w:lang w:val="fr-FR"/>
        </w:rPr>
        <w:t>, Poreska uprava započela je realizaciju projekta e-fiskalizacije koji se finansira iz zajma Svjetske banke. U 2019. godini, Poreska uprava dobila je tri nova odjeljenja (unutrašnja revizija, međunarodna saradnja i poreska policija koja se bavi utajom poreza).</w:t>
      </w:r>
    </w:p>
    <w:p w:rsidR="00622A95" w:rsidRPr="00095948" w:rsidRDefault="00622A95" w:rsidP="00EC1790">
      <w:pPr>
        <w:pStyle w:val="Heading2"/>
        <w:rPr>
          <w:rFonts w:eastAsia="Times New Roman"/>
          <w:lang w:val="fr-FR"/>
        </w:rPr>
      </w:pPr>
      <w:bookmarkStart w:id="228" w:name="_Toc30073846"/>
      <w:bookmarkStart w:id="229" w:name="_Toc30074159"/>
      <w:bookmarkStart w:id="230" w:name="_Toc30080581"/>
      <w:bookmarkStart w:id="231" w:name="_Toc52744950"/>
      <w:bookmarkStart w:id="232" w:name="_Toc53362458"/>
      <w:r w:rsidRPr="00095948">
        <w:rPr>
          <w:lang w:val="fr-FR"/>
        </w:rPr>
        <w:t>5.17</w:t>
      </w:r>
      <w:r w:rsidR="00585E64" w:rsidRPr="00095948">
        <w:rPr>
          <w:lang w:val="fr-FR"/>
        </w:rPr>
        <w:tab/>
      </w:r>
      <w:r w:rsidRPr="00095948">
        <w:rPr>
          <w:lang w:val="fr-FR"/>
        </w:rPr>
        <w:t>Poglavlje 17: Ekonomska i monetarna politika</w:t>
      </w:r>
      <w:bookmarkEnd w:id="228"/>
      <w:bookmarkEnd w:id="229"/>
      <w:bookmarkEnd w:id="230"/>
      <w:bookmarkEnd w:id="231"/>
      <w:bookmarkEnd w:id="232"/>
    </w:p>
    <w:p w:rsidR="00622A95" w:rsidRPr="00095948" w:rsidRDefault="00622A95" w:rsidP="00EC1790">
      <w:pPr>
        <w:autoSpaceDE w:val="0"/>
        <w:autoSpaceDN w:val="0"/>
        <w:adjustRightInd w:val="0"/>
        <w:spacing w:after="120" w:line="240" w:lineRule="auto"/>
        <w:jc w:val="both"/>
        <w:rPr>
          <w:rFonts w:eastAsia="Calibri" w:cs="Times New Roman"/>
          <w:i/>
          <w:iCs/>
          <w:color w:val="000000"/>
          <w:szCs w:val="24"/>
          <w:lang w:val="fr-FR"/>
        </w:rPr>
      </w:pPr>
      <w:r w:rsidRPr="00095948">
        <w:rPr>
          <w:i/>
          <w:color w:val="000000"/>
          <w:lang w:val="fr-FR"/>
        </w:rPr>
        <w:t>Pravilima EU propisuje se nezavisnost centralnih banaka i zabranjuje im se da direktno finansiraju javni sektor. Države članice koordiniraju svoje ekonomske politike i predmet su fiskalnog, ekonomskog i finansijskog nadzora.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color w:val="000000"/>
        </w:rPr>
        <w:t xml:space="preserve">Crna Gora ostaje </w:t>
      </w:r>
      <w:r w:rsidRPr="009A2018">
        <w:rPr>
          <w:b/>
          <w:color w:val="000000"/>
        </w:rPr>
        <w:t>umjereno spremna</w:t>
      </w:r>
      <w:r w:rsidR="00A71174">
        <w:rPr>
          <w:b/>
          <w:color w:val="000000"/>
        </w:rPr>
        <w:t xml:space="preserve"> </w:t>
      </w:r>
      <w:r w:rsidRPr="009A2018">
        <w:rPr>
          <w:color w:val="000000"/>
        </w:rPr>
        <w:t xml:space="preserve">u oblasti ekonomske i monetarne politike. </w:t>
      </w:r>
      <w:r w:rsidRPr="009A2018">
        <w:rPr>
          <w:b/>
        </w:rPr>
        <w:t xml:space="preserve">Ograničen napredak </w:t>
      </w:r>
      <w:r w:rsidRPr="009A2018">
        <w:t>ostvaren je u ispunjavanju preporuka iz prethodne godine, uglavnom u oblasti usklađivanja s pravnom tekovinom EU i spremnosti centralne banke za integraciju sa ESCB</w:t>
      </w:r>
      <w:r w:rsidRPr="009A2018">
        <w:rPr>
          <w:color w:val="000000"/>
        </w:rPr>
        <w:t xml:space="preserve">. Ograničeni kapacitet i nedovoljni resursi Zavoda za statistiku Crne Gore (MONSTAT) usporavaju ostvarivanje napretka u ovom poglavlju.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sidRPr="009A2018">
        <w:rPr>
          <w:color w:val="000000"/>
        </w:rPr>
        <w:t xml:space="preserve">Tokom naredne godine, Crna Gora naročito treba da: </w:t>
      </w:r>
    </w:p>
    <w:p w:rsidR="00622A95" w:rsidRPr="009A2018" w:rsidRDefault="00622A95" w:rsidP="00EC1790">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rPr>
          <w:rFonts w:ascii="Times New Roman" w:eastAsia="Calibri" w:hAnsi="Times New Roman" w:cs="Times New Roman"/>
          <w:noProof/>
          <w:color w:val="000000"/>
          <w:sz w:val="24"/>
          <w:szCs w:val="24"/>
        </w:rPr>
      </w:pPr>
      <w:r w:rsidRPr="009A2018">
        <w:rPr>
          <w:rFonts w:ascii="Times New Roman" w:hAnsi="Times New Roman"/>
          <w:color w:val="000000"/>
          <w:sz w:val="24"/>
        </w:rPr>
        <w:t>nastavi da sprovodi akcioni plan za usklađivanje s pravnom tekovinom EU;</w:t>
      </w:r>
    </w:p>
    <w:p w:rsidR="00622A95" w:rsidRPr="009A2018" w:rsidRDefault="00622A95" w:rsidP="00EC1790">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rPr>
          <w:rFonts w:ascii="Times New Roman" w:eastAsia="Calibri" w:hAnsi="Times New Roman" w:cs="Times New Roman"/>
          <w:noProof/>
          <w:color w:val="000000"/>
          <w:sz w:val="24"/>
          <w:szCs w:val="24"/>
        </w:rPr>
      </w:pPr>
      <w:r w:rsidRPr="009A2018">
        <w:rPr>
          <w:rFonts w:ascii="Times New Roman" w:hAnsi="Times New Roman"/>
          <w:color w:val="000000"/>
          <w:sz w:val="24"/>
        </w:rPr>
        <w:t>obezbijedi potrebne resurse i razvije kapacitetesektora MONSTAT-a nadležnog za nacionalne račune;</w:t>
      </w:r>
    </w:p>
    <w:p w:rsidR="00622A95" w:rsidRPr="009A2018" w:rsidRDefault="00622A95" w:rsidP="00EC1790">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rPr>
          <w:rFonts w:ascii="Times New Roman" w:eastAsia="Calibri" w:hAnsi="Times New Roman" w:cs="Times New Roman"/>
          <w:i/>
          <w:iCs/>
          <w:noProof/>
          <w:color w:val="000000"/>
          <w:sz w:val="24"/>
          <w:szCs w:val="24"/>
        </w:rPr>
      </w:pPr>
      <w:r w:rsidRPr="009A2018">
        <w:rPr>
          <w:rFonts w:ascii="Times New Roman" w:hAnsi="Times New Roman"/>
          <w:color w:val="000000"/>
          <w:sz w:val="24"/>
        </w:rPr>
        <w:t xml:space="preserve">značajno unaprijedi saradnju između Ministarstva finansija, Centralne banke Crne Gore i MONSTATA u pogledu raspodjele poslova i izrade statističkih podataka usklađenih s metodologijom ESA 2010. </w:t>
      </w:r>
    </w:p>
    <w:p w:rsidR="00622A95" w:rsidRPr="009A2018" w:rsidRDefault="00622A95" w:rsidP="00EC1790">
      <w:pPr>
        <w:spacing w:after="120" w:line="240" w:lineRule="auto"/>
        <w:jc w:val="both"/>
        <w:rPr>
          <w:rFonts w:eastAsia="Times New Roman" w:cs="Times New Roman"/>
          <w:szCs w:val="24"/>
        </w:rPr>
      </w:pPr>
      <w:r w:rsidRPr="009A2018">
        <w:t xml:space="preserve">Crna Gora nema na raspolaganju standardne </w:t>
      </w:r>
      <w:r w:rsidRPr="009A2018">
        <w:rPr>
          <w:b/>
          <w:bCs/>
        </w:rPr>
        <w:t>instrumente monetarne politike</w:t>
      </w:r>
      <w:r w:rsidRPr="009A2018">
        <w:t xml:space="preserve"> jer koristi euro kao zvanično sredstvo plaćanja. Stoga fiskalna politika predstavlja glavni instrument makroekonomske politike. Upotreba eura u Crnoj Gori, o čemu su odluku donijeli državni organi pod izuzetnim okolnostima, u potpunosti je odvojena od članstva u eurozoni. </w:t>
      </w:r>
    </w:p>
    <w:p w:rsidR="00622A95" w:rsidRPr="009A2018" w:rsidRDefault="00622A95" w:rsidP="00EC1790">
      <w:pPr>
        <w:spacing w:after="120" w:line="240" w:lineRule="auto"/>
        <w:jc w:val="both"/>
        <w:rPr>
          <w:rFonts w:eastAsia="Calibri" w:cs="Times New Roman"/>
          <w:szCs w:val="24"/>
        </w:rPr>
      </w:pPr>
      <w:r w:rsidRPr="009A2018">
        <w:t xml:space="preserve">Zakon o zaštiti depozita, usvojen u decembru 2019, obezbijedio je usklađivanje s pravilima EU kojima se zabranjuje privilegovani pristup javnog sektora finansijskim institucijama. Međutim, još uvijek nije uvedena slična zabrana u Zakon o osiguranju. </w:t>
      </w:r>
    </w:p>
    <w:p w:rsidR="00622A95" w:rsidRPr="009A2018" w:rsidRDefault="00622A95" w:rsidP="00EC1790">
      <w:pPr>
        <w:spacing w:after="120" w:line="240" w:lineRule="auto"/>
        <w:jc w:val="both"/>
        <w:rPr>
          <w:rFonts w:eastAsia="Calibri" w:cs="Times New Roman"/>
          <w:szCs w:val="24"/>
        </w:rPr>
      </w:pPr>
      <w:r w:rsidRPr="009A2018">
        <w:t>U okviru ostvarivanja napretka Crne Gore u pridruživanju Evropskom sistemu centralnih banaka (ESCB), Centralna banka Crne Gore je u novembru 2019. godine stavila u funkciju svoju rezervnu lokaciju za nepredviđene situacije, uz podršku obezbijeđenu iz fondova EU. Uloga ove lokacije jeste očuvanje kontinuiteta poslovnih funkcija centralne banke u slučajevima ozbiljnih incidenata koji podrivaju funkcionisanje bankarskog sistema.</w:t>
      </w:r>
    </w:p>
    <w:p w:rsidR="00622A95" w:rsidRPr="009A2018" w:rsidRDefault="00622A95" w:rsidP="00EC1790">
      <w:pPr>
        <w:spacing w:after="120" w:line="240" w:lineRule="auto"/>
        <w:jc w:val="both"/>
        <w:rPr>
          <w:rFonts w:eastAsia="Times New Roman" w:cs="Times New Roman"/>
          <w:szCs w:val="24"/>
        </w:rPr>
      </w:pPr>
      <w:r w:rsidRPr="009A2018">
        <w:t xml:space="preserve">Kada je riječ o </w:t>
      </w:r>
      <w:r w:rsidRPr="009A2018">
        <w:rPr>
          <w:b/>
        </w:rPr>
        <w:t>ekonomskoj politici</w:t>
      </w:r>
      <w:r w:rsidRPr="009A2018">
        <w:t xml:space="preserve">, potrebno je izvršiti dalje usklađivanje s Direktivom EU o zahtjevima za budžetske okvire. Iako je okvir na snazi, njegov sadržaj i pouzdanost treba i dalje unapređivati. Ostvaren je ograničeni napredak u okviru strategije za sprovođenje metodologije iz 2010. godine za standarde Evropskog sistema nacionalnih i regionalnih računa (ESA 2010). Međutim, fiskalne notifikacije u Crnoj Gori i dalje su nepotpune i potrebno ih je suštinski uskladiti sa zahtjevima EU, naročito kada je riječ o podacima vezanim za proceduru prekomjernog deficita. Ostvarivanje napretka u sve tri oblasti naročito je otežano ograničenim kapacitetima i nedovoljnim resursima Zavoda za statistiku Crne Gore, MONSTAT-a. Pored toga, ne postoji sistematska saradnja i koordinacija zadataka između Ministarstva finansija, Centralne banke Crne Gore i MONSTAT-a u pogledu izrade neophodnih statističkih podataka.Iz tog razloga se rokovi za sprovođenje kontinuirano odlažu, a najnovijim inoviranjem nacionalnog akcionog plana za poglavlje 17 predviđa se potpuno usklađivanje sa metodologijom ESA 2010 tek u trenutku pristupanja. </w:t>
      </w:r>
    </w:p>
    <w:p w:rsidR="00622A95" w:rsidRPr="009A2018" w:rsidRDefault="00622A95" w:rsidP="00EC1790">
      <w:pPr>
        <w:spacing w:after="120" w:line="240" w:lineRule="auto"/>
        <w:jc w:val="both"/>
        <w:rPr>
          <w:rFonts w:cs="Times New Roman"/>
          <w:szCs w:val="24"/>
        </w:rPr>
      </w:pPr>
      <w:r w:rsidRPr="009A2018">
        <w:t>Djelimičnim sprovođenjem strategije srednjoročne fiskalne konsolidacije iz 2017</w:t>
      </w:r>
      <w:r w:rsidR="006620CB">
        <w:t>.</w:t>
      </w:r>
      <w:r w:rsidRPr="009A2018">
        <w:t xml:space="preserve"> održana je održivost javnih finansija prvenstveno kroz povećanje budžetskih prihoda. Potrebni su dalji napori kako bi se ograničila javna potrošnja i smanjio nivo javnog duga radi usklađivanja s fiskalnim pravilima. U junu 2019, Centralna banka Crne Gore počela je da objavljuje statistiku međunarodne investicione pozicije i ukupnog spoljnjeg</w:t>
      </w:r>
      <w:bookmarkStart w:id="233" w:name="_Toc30080582"/>
      <w:bookmarkStart w:id="234" w:name="_Toc30074160"/>
      <w:bookmarkStart w:id="235" w:name="_Toc30073847"/>
      <w:r w:rsidRPr="009A2018">
        <w:t xml:space="preserve">duga na godišnjem nivou, što je dio podataka koji se traže u skladu sa pravilima EU za proceduru makroekonomske neravnoteže. Takođe su preduzeti početni koraci za osnivanje nezavisnog fiskalnog savjeta. U budućnosti, ovo tijelo će se baviti procjenom i praćenjem fiskalne politike zemlje. </w:t>
      </w:r>
    </w:p>
    <w:p w:rsidR="00622A95" w:rsidRPr="009A2018" w:rsidRDefault="00622A95" w:rsidP="00EC1790">
      <w:pPr>
        <w:spacing w:after="120" w:line="240" w:lineRule="auto"/>
        <w:jc w:val="both"/>
        <w:rPr>
          <w:rFonts w:cs="Times New Roman"/>
          <w:szCs w:val="24"/>
        </w:rPr>
      </w:pPr>
      <w:r w:rsidRPr="009A2018">
        <w:t xml:space="preserve">Vlada je blagovremeno dostavila svoj </w:t>
      </w:r>
      <w:r w:rsidRPr="009A2018">
        <w:rPr>
          <w:b/>
        </w:rPr>
        <w:t>Program ekonomskih reformi (PER)</w:t>
      </w:r>
      <w:r w:rsidRPr="009A2018">
        <w:t xml:space="preserve"> za period 2020-2022. Unaprijeđena je pouzdanost fiskalnog planiranja ERP-a i njegovo povezivanje s budžetom za 2020. Potrebno je uložiti dodatne napore kako bi se dalje unaprijedili kapaciteti za kreiranje i blagovremeno sprovođenje mjera ekonomske politike.</w:t>
      </w:r>
    </w:p>
    <w:p w:rsidR="00622A95" w:rsidRPr="009A2018" w:rsidRDefault="00622A95" w:rsidP="00EC1790">
      <w:pPr>
        <w:pStyle w:val="Heading2"/>
        <w:rPr>
          <w:rFonts w:eastAsia="Times New Roman"/>
        </w:rPr>
      </w:pPr>
      <w:bookmarkStart w:id="236" w:name="_Toc52744951"/>
      <w:bookmarkStart w:id="237" w:name="_Toc53362459"/>
      <w:r w:rsidRPr="009A2018">
        <w:t>5.18</w:t>
      </w:r>
      <w:r w:rsidR="00585E64" w:rsidRPr="009A2018">
        <w:tab/>
      </w:r>
      <w:r w:rsidRPr="009A2018">
        <w:t>Poglavlje 18: Statistika</w:t>
      </w:r>
      <w:bookmarkEnd w:id="233"/>
      <w:bookmarkEnd w:id="234"/>
      <w:bookmarkEnd w:id="235"/>
      <w:bookmarkEnd w:id="236"/>
      <w:bookmarkEnd w:id="237"/>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rPr>
      </w:pPr>
      <w:r w:rsidRPr="009A2018">
        <w:rPr>
          <w:i/>
          <w:color w:val="000000"/>
        </w:rPr>
        <w:t xml:space="preserve">Pravila EU obavezuju države članice da budu u mogućnosti da proizvode statističke podatke na osnovu profesionalne nezavisnosti, nepristrasnosti, pouzdanosti, transparentnosti i povjerljivosti. Predviđena su zajednička pravila za metodologiju, proizvodnju i diseminaciju statističkih podataka. </w:t>
      </w:r>
    </w:p>
    <w:p w:rsidR="00622A95" w:rsidRPr="009A2018" w:rsidRDefault="00622A95" w:rsidP="00EC1790">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xml:space="preserve">Crna Gora je </w:t>
      </w:r>
      <w:r w:rsidRPr="009A2018">
        <w:rPr>
          <w:b/>
          <w:color w:val="000000"/>
        </w:rPr>
        <w:t xml:space="preserve">umjereno spremna </w:t>
      </w:r>
      <w:r w:rsidRPr="009A2018">
        <w:rPr>
          <w:color w:val="000000"/>
        </w:rPr>
        <w:t xml:space="preserve">u oblasti statistike. Ostvaren je </w:t>
      </w:r>
      <w:r w:rsidRPr="009A2018">
        <w:rPr>
          <w:b/>
          <w:color w:val="000000"/>
        </w:rPr>
        <w:t>određeni napredak</w:t>
      </w:r>
      <w:r w:rsidRPr="009A2018">
        <w:rPr>
          <w:color w:val="000000"/>
        </w:rPr>
        <w:t xml:space="preserve"> u ispunjavanju prošlogodišnjih preporuka. Iako su postignuta određena poboljšanja u usklađivanju zakonodavstva, harmonizaciji statističke metodologije sa standardima EU, kao i o intenzivnijoj transmisiji podataka, naročito u oblasti poslovne, socijalne i poljoprivredne statistike, neke od preporuka iz 2018. i 2019. godine i dalje važe. </w:t>
      </w:r>
    </w:p>
    <w:p w:rsidR="00622A95" w:rsidRPr="009A2018" w:rsidRDefault="00622A95" w:rsidP="00EC1790">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xml:space="preserve">Tokom naredne godine, Crna Gora naročito treba da: </w:t>
      </w:r>
    </w:p>
    <w:p w:rsidR="00622A95" w:rsidRPr="009A2018" w:rsidRDefault="00622A95" w:rsidP="00EC1790">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xml:space="preserve">→ značajno ojača ljudske i finansijske resurse Zavoda za statistiku Crne Gore (MONSTAT) kako bi ispunila svoje obaveze i spriječila odliv zaposlenih; </w:t>
      </w:r>
    </w:p>
    <w:p w:rsidR="00622A95" w:rsidRPr="009A2018" w:rsidRDefault="00622A95" w:rsidP="00EC1790">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ostvari značajan napredak u usklađivanju sa ESA 2010, uključujući obezbjeđivanje statističkih podataka o državnim finansijama i svih dostupnih podataka o proceduri prekomjernog deficita.</w:t>
      </w:r>
    </w:p>
    <w:p w:rsidR="00622A95" w:rsidRPr="00095948" w:rsidRDefault="00622A95" w:rsidP="00EC1790">
      <w:pPr>
        <w:spacing w:after="120" w:line="240" w:lineRule="auto"/>
        <w:jc w:val="both"/>
        <w:rPr>
          <w:rFonts w:eastAsia="Calibri" w:cs="Times New Roman"/>
          <w:szCs w:val="24"/>
          <w:lang w:val="fr-FR"/>
        </w:rPr>
      </w:pPr>
      <w:r w:rsidRPr="009A2018">
        <w:t xml:space="preserve">U oblasti </w:t>
      </w:r>
      <w:r w:rsidRPr="009A2018">
        <w:rPr>
          <w:b/>
          <w:bCs/>
        </w:rPr>
        <w:t>statističke infrastrukture</w:t>
      </w:r>
      <w:r w:rsidRPr="009A2018">
        <w:t xml:space="preserve">, Zavod za statistiku Crne Gore (MONSTAT) je glavni proizvođač i koordinator svih aktivnosti u oblasti statistike. </w:t>
      </w:r>
      <w:r w:rsidRPr="00095948">
        <w:rPr>
          <w:lang w:val="fr-FR"/>
        </w:rPr>
        <w:t xml:space="preserve">Profesionalna nezavisnost direktora MONSTATA (imenovana za treći mandat u septembru 2019. godine) podržana je zakonom. Izmjene Zakona o zvaničnoj statistici i sistemu zvanične statistike usvojene su u avgustu 2019. godine, čime je omogućeno korišćenje neophodnih podataka iz administrativnih izvora. Ovim je riješeno pitanje kolizije u okviru nacionalnog zakonodavstva u vezi s upotrebom podataka iz administrativnih izvora u statističke svrhe i izvršeno je njegovo dalje usklađivanje s evropskim statističkim standardima. </w:t>
      </w:r>
    </w:p>
    <w:p w:rsidR="00622A95" w:rsidRPr="00095948" w:rsidRDefault="00622A95" w:rsidP="00EC1790">
      <w:pPr>
        <w:spacing w:after="120" w:line="240" w:lineRule="auto"/>
        <w:jc w:val="both"/>
        <w:rPr>
          <w:rFonts w:eastAsia="Calibri" w:cs="Times New Roman"/>
          <w:szCs w:val="24"/>
          <w:lang w:val="fr-FR"/>
        </w:rPr>
      </w:pPr>
      <w:r w:rsidRPr="00095948">
        <w:rPr>
          <w:lang w:val="fr-FR"/>
        </w:rPr>
        <w:t>Novi Savjet statističkog sistema od 17 članova (uključujući predstavnike Ministarstva zdravlja po prvi put) imenovan je u julu 2019. godine na period od pet godina. Iako je sprovođenje strategije za zvaničnu statistiku za period 2019-2023. godine u toku, finansijski i administrativni kapaciteti MONSTATA i dalje su veoma ograničeni i pogoršani su tokom izvještajnog perioda. Popunjeno je samo oko 95 od 180 predviđenih radnih mjesta (kadrovskim planom broj zaposlenih smanjen je sa 200 na 180 u procesu optimizacije i reforme javne uprave), devet manje nego prethodne godine, sa samo sedam zaposlenih u Sektoru za nacionalne račune. Objekat u kojem se prostorije MONSTAT-a nalaze i dalje je neadekvatan i potrebno je riješiti ovu situaciju.</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U izvještajnom periodu, MONSTAT je nastavio da radi na uspostavljanju dobre osnove za koordinaciju drugih državnih organa koji proizvode zvaničnu statistiku. Takođe je unaprijedio saradnju s pružaocima administrativnih podataka potpisivanjem pet novih memoranduma o razumijevanju (tj. sa Univerzitetom Donja Gorica (privatni univerzitet), Ministarstvom javne uprave, Ministarstvom nauke, Privrednom komorom Crne Gore i Ministarstvom sporta), čime je ukupan broj memoranduma povećan na 24.</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Transmisija podataka Eurostatu nastavila je da se povećava. Postignut je ograničen napredak u oblasti </w:t>
      </w:r>
      <w:r w:rsidRPr="00095948">
        <w:rPr>
          <w:b/>
          <w:color w:val="000000"/>
          <w:lang w:val="fr-FR"/>
        </w:rPr>
        <w:t xml:space="preserve">makroekonomske statistike </w:t>
      </w:r>
      <w:r w:rsidRPr="00095948">
        <w:rPr>
          <w:color w:val="000000"/>
          <w:lang w:val="fr-FR"/>
        </w:rPr>
        <w:t xml:space="preserve">i usklađivanja sa ESA 2010: Monstat je Eurostatu dostavio podatke za bruto domaći proizvod na godišnjem (2006-2018.) i kvartalnom nivou (od prvog kvartala 2010. do drugog kvartala 2019.) u skladu s proizvodnom i potrošnom metodom u tekućim i stalnim cijenama, a počeo je da dostavlja i parcijalne podatke za BDP na godišnjem nivou u skladu s prihodovnom metodom (2013-2018.). Međutim, potrebno je još dosta toga da se uradi kako bi se poboljšala usklađenost s metodologijom ESA 2010. </w:t>
      </w:r>
      <w:r w:rsidRPr="00095948">
        <w:rPr>
          <w:lang w:val="fr-FR"/>
        </w:rPr>
        <w:t>Sezonski podešeni kvartalni nacionalni podaci nijesu dostupni.</w:t>
      </w:r>
      <w:r w:rsidRPr="00095948">
        <w:rPr>
          <w:color w:val="000000"/>
          <w:lang w:val="fr-FR"/>
        </w:rPr>
        <w:t xml:space="preserve"> Nivo usklađenosti godišnjih sektorskih računa je nizak, iako se sredstvima EU podržava dalji napredak. Određeni napredak postignut je u oblasti nacionalnih računa pružanjem godišnjih i kvartalnih podataka o broju zaposlenih. Međutim, nepostojanje podataka o zaposlenju (radno vrijeme; plate i zarade) smatraju se ozbiljnim nedostacima. </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Potrebno je uložiti značajne napore za razvoj javnih finansijskih statističkih podataka (GFS) i finansijskih računa; u periodu izvještavanja nije ostvaren napredak. Tabele za proceduru prekomjernog deficita (EDP) dostavljaju se Eurostatu od oktobra 2014. godine, ali nekoliko tabela ostaje prazno, zbog čega nije moguća smislena procjena. GFS i PPD su prioritetne oblasti i predstavljaju osnovu za podatke u drugim oblastima (kao što su nacionalni računi). Nepostojanje ovih podataka sprječava dalji razvoj u pogledu ESA 2010. Potrebno je posvetiti više pažnje izradi plana za preostale tabele u ESA 2010.</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Centralna banka prikuplja statističke podatke o platnom bilansu, stranim direktnim investicijama i statistici o trgovini uslugama, koji su djelimično usklađeni s pravnom tekovinom EU. Takođe je po prvi put objavila podatke o spoljnjem dugu (za period 2010-2018.), kao i neto međunarodnu investicionu poziciju (NIIP) za period 2016-2018. godine. Monstat je 2019. godine dostavio Eurostatu svoje prve podatke o međunarodnoj trgovini uslugama po zemljama (za period 2013-2018.). Harmonizovani indeksi potrošačkih cijena su srednje usklađeni, a nedoslj</w:t>
      </w:r>
      <w:r w:rsidR="00AD4952" w:rsidRPr="00095948">
        <w:rPr>
          <w:color w:val="000000"/>
          <w:lang w:val="fr-FR"/>
        </w:rPr>
        <w:t>ednosti na agregatnom nivou spr</w:t>
      </w:r>
      <w:r w:rsidRPr="00095948">
        <w:rPr>
          <w:color w:val="000000"/>
          <w:lang w:val="fr-FR"/>
        </w:rPr>
        <w:t xml:space="preserve">ečavaju Eurostat da obavlja diseminaciju podataka. Što se tiče okvira za paritet kupovne moći, on je u velikoj mjeri usklađen sa standardima EU. </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U oblasti </w:t>
      </w:r>
      <w:r w:rsidRPr="00095948">
        <w:rPr>
          <w:b/>
          <w:color w:val="000000"/>
          <w:lang w:val="fr-FR"/>
        </w:rPr>
        <w:t>poslovne statistike</w:t>
      </w:r>
      <w:r w:rsidRPr="00095948">
        <w:rPr>
          <w:color w:val="000000"/>
          <w:lang w:val="fr-FR"/>
        </w:rPr>
        <w:t xml:space="preserve">, MONSTAT dostavlja Eurostatu strukturalne poslovne statistike, ali je potrebno dalje raditi na njihovom usklađivanju. Kratkoročna statistika je poboljšana tokom izvještajnog perioda, ali statistika stranih filijala nije dostavljena Eurostatu. Poslovni registar je u velikoj mjeri usklađen, a PRODCOM lista je u potpunosti usklađena sa standardima EU. Nastavljeno je dostavljanje statističkih podataka o saobraćaju Eurostatu, uključujući detaljno izvještavanje o statistici željezničkog i pomorskog saobraćaja i teretnog drumskog saobraćaja. Podaci o istraživanju i razvoju djelimično su u skladu s pravnom tekovinom EU. Statistika turizma je u velikoj mjeri usklađena sa standardima EU. </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 xml:space="preserve">Tokom izvještajnog perioda, u oblasti </w:t>
      </w:r>
      <w:r w:rsidRPr="00095948">
        <w:rPr>
          <w:b/>
          <w:color w:val="000000"/>
          <w:lang w:val="fr-FR"/>
        </w:rPr>
        <w:t>socijalne statistike</w:t>
      </w:r>
      <w:r w:rsidRPr="00095948">
        <w:rPr>
          <w:color w:val="000000"/>
          <w:lang w:val="fr-FR"/>
        </w:rPr>
        <w:t>, nastavljene su pripreme za popis stanovništva i domaćinstava za 2021. godinu. Monstat je dobio pristup svim identifikatorima registra stanovništva u avgustu 2019. godine; međutim, adresni registar još uvijek nije uspostavljen. Monstat je obavio pilot popisa koristeći tradicionalnu metodu u aprilu 2019. godine - najvjerovatnije rješenje je da će se obaviti tradicionalni popis stanovništva, zajedno sa sprovođenjem pilot popisa registarskom metodom. Anketa o dohotku i uslovima života (EU-SILC), Anketa o radnoj snazi (LFS) i statistika o kriminalitetu su u velikoj mjeri usaglašeni sa standardima EU. U oblasti podataka o socijalnoj zaštiti (ESSPROS), rad MONSTAT-a se poboljšava u tom pogledu, ali predstoji još posla. Dostupnost podataka o migracijama treba dodatno poboljšati podacima o migrantskim populacijama, sticanju državljanstva i emigraciji nedržavljana. Transmisija statističkih podataka o sprovođenju imigracionog zakonodavstva (EIL) i podataka o boravišnim dozvolama tek treba da otpočne. Indeks rodne ravnopravnosti, zasnovan na Evropskom institutu za rodnu ravnopravnost, objavljen je prvi put u januaru 2020. godine. Što se tiče statistike javnog zdravstva, Crna Gora se ne smatra usklađenom i potrebno je uložiti napore u cilju poboljšanja.</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color w:val="000000"/>
          <w:lang w:val="fr-FR"/>
        </w:rPr>
        <w:t>Nastavljeno je ostvarivanje napretka u</w:t>
      </w:r>
      <w:r w:rsidR="00AD4952" w:rsidRPr="00095948">
        <w:rPr>
          <w:color w:val="000000"/>
          <w:lang w:val="fr-FR"/>
        </w:rPr>
        <w:t xml:space="preserve"> </w:t>
      </w:r>
      <w:r w:rsidRPr="00095948">
        <w:rPr>
          <w:b/>
          <w:color w:val="000000"/>
          <w:lang w:val="fr-FR"/>
        </w:rPr>
        <w:t>poljoprivrednoj statistici</w:t>
      </w:r>
      <w:r w:rsidRPr="00095948">
        <w:rPr>
          <w:color w:val="000000"/>
          <w:lang w:val="fr-FR"/>
        </w:rPr>
        <w:t xml:space="preserve">, sa završetkomprobnog popisa poljoprivrede u oktobru 2019. godine, ali se sada glavni poljoprivredni popis planira za 2022. godinu. </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lang w:val="fr-FR"/>
        </w:rPr>
        <w:t xml:space="preserve">Statistika </w:t>
      </w:r>
      <w:r w:rsidRPr="00095948">
        <w:rPr>
          <w:b/>
          <w:lang w:val="fr-FR"/>
        </w:rPr>
        <w:t xml:space="preserve">energetike </w:t>
      </w:r>
      <w:r w:rsidRPr="00095948">
        <w:rPr>
          <w:lang w:val="fr-FR"/>
        </w:rPr>
        <w:t xml:space="preserve">je u velikoj mjeri usklađena sa standardima EU. U statistici </w:t>
      </w:r>
      <w:r w:rsidRPr="00095948">
        <w:rPr>
          <w:b/>
          <w:lang w:val="fr-FR"/>
        </w:rPr>
        <w:t>životne sredine</w:t>
      </w:r>
      <w:r w:rsidRPr="00095948">
        <w:rPr>
          <w:lang w:val="fr-FR"/>
        </w:rPr>
        <w:t xml:space="preserve">, statistički podaci o otpadu </w:t>
      </w:r>
      <w:r w:rsidRPr="00095948">
        <w:rPr>
          <w:color w:val="000000"/>
          <w:lang w:val="fr-FR"/>
        </w:rPr>
        <w:t>u skladu su sa zahtjevima Eurostata</w:t>
      </w:r>
      <w:r w:rsidRPr="00095948">
        <w:rPr>
          <w:lang w:val="fr-FR"/>
        </w:rPr>
        <w:t xml:space="preserve">. </w:t>
      </w:r>
    </w:p>
    <w:p w:rsidR="00622A95" w:rsidRPr="00095948" w:rsidRDefault="00622A95" w:rsidP="00EC1790">
      <w:pPr>
        <w:pStyle w:val="Heading2"/>
        <w:rPr>
          <w:rFonts w:eastAsia="Times New Roman"/>
          <w:lang w:val="fr-FR"/>
        </w:rPr>
      </w:pPr>
      <w:bookmarkStart w:id="238" w:name="_Toc30080583"/>
      <w:bookmarkStart w:id="239" w:name="_Toc30074161"/>
      <w:bookmarkStart w:id="240" w:name="_Toc30073848"/>
      <w:bookmarkStart w:id="241" w:name="_Toc52744952"/>
      <w:bookmarkStart w:id="242" w:name="_Toc53362460"/>
      <w:r w:rsidRPr="00095948">
        <w:rPr>
          <w:lang w:val="fr-FR"/>
        </w:rPr>
        <w:t>5.19</w:t>
      </w:r>
      <w:r w:rsidR="00585E64" w:rsidRPr="00095948">
        <w:rPr>
          <w:lang w:val="fr-FR"/>
        </w:rPr>
        <w:tab/>
      </w:r>
      <w:r w:rsidRPr="00095948">
        <w:rPr>
          <w:lang w:val="fr-FR"/>
        </w:rPr>
        <w:t>Poglavlje 19: Socijalna politika i zapošljavanje</w:t>
      </w:r>
      <w:bookmarkEnd w:id="238"/>
      <w:bookmarkEnd w:id="239"/>
      <w:bookmarkEnd w:id="240"/>
      <w:bookmarkEnd w:id="241"/>
      <w:bookmarkEnd w:id="242"/>
    </w:p>
    <w:p w:rsidR="00622A95" w:rsidRPr="00095948" w:rsidRDefault="00622A95" w:rsidP="00EC1790">
      <w:pPr>
        <w:autoSpaceDE w:val="0"/>
        <w:autoSpaceDN w:val="0"/>
        <w:adjustRightInd w:val="0"/>
        <w:spacing w:after="120" w:line="240" w:lineRule="auto"/>
        <w:jc w:val="both"/>
        <w:rPr>
          <w:rFonts w:eastAsia="Calibri" w:cs="Times New Roman"/>
          <w:i/>
          <w:iCs/>
          <w:color w:val="000000"/>
          <w:szCs w:val="24"/>
          <w:lang w:val="fr-FR"/>
        </w:rPr>
      </w:pPr>
      <w:r w:rsidRPr="00095948">
        <w:rPr>
          <w:i/>
          <w:color w:val="000000"/>
          <w:lang w:val="fr-FR"/>
        </w:rPr>
        <w:t>Pravila EU u oblasti socijalne politike obuhvataju minimum standarda za radno pravo, jednakost, zaštitu na radu i zabranu diskriminacije</w:t>
      </w:r>
      <w:r w:rsidR="00DE6A86">
        <w:rPr>
          <w:i/>
          <w:color w:val="000000"/>
          <w:lang w:val="fr-FR"/>
        </w:rPr>
        <w:t xml:space="preserve">, </w:t>
      </w:r>
      <w:r w:rsidR="00DE6A86" w:rsidRPr="00DE6A86">
        <w:rPr>
          <w:i/>
          <w:color w:val="000000"/>
          <w:lang w:val="fr-FR"/>
        </w:rPr>
        <w:t>kao i za promociju socijalnog dijaloga</w:t>
      </w:r>
      <w:r w:rsidR="00DE6A86">
        <w:rPr>
          <w:i/>
          <w:color w:val="000000"/>
          <w:lang w:val="fr-FR"/>
        </w:rPr>
        <w:t>.</w:t>
      </w:r>
      <w:r w:rsidRPr="00095948">
        <w:rPr>
          <w:i/>
          <w:color w:val="000000"/>
          <w:lang w:val="fr-FR"/>
        </w:rPr>
        <w:t xml:space="preserve">. </w:t>
      </w:r>
    </w:p>
    <w:p w:rsidR="00622A95" w:rsidRPr="00095948" w:rsidRDefault="00622A95" w:rsidP="00EC17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lang w:val="fr-FR"/>
        </w:rPr>
      </w:pPr>
      <w:r w:rsidRPr="00095948">
        <w:rPr>
          <w:color w:val="000000" w:themeColor="text1"/>
          <w:lang w:val="fr-FR"/>
        </w:rPr>
        <w:t xml:space="preserve">Crna Gora </w:t>
      </w:r>
      <w:r w:rsidR="00DE6A86">
        <w:rPr>
          <w:color w:val="000000" w:themeColor="text1"/>
          <w:lang w:val="fr-FR"/>
        </w:rPr>
        <w:t xml:space="preserve">je </w:t>
      </w:r>
      <w:r w:rsidRPr="00095948">
        <w:rPr>
          <w:color w:val="000000" w:themeColor="text1"/>
          <w:lang w:val="fr-FR"/>
        </w:rPr>
        <w:t xml:space="preserve">ostvarila </w:t>
      </w:r>
      <w:r w:rsidRPr="00095948">
        <w:rPr>
          <w:b/>
          <w:color w:val="000000" w:themeColor="text1"/>
          <w:lang w:val="fr-FR"/>
        </w:rPr>
        <w:t xml:space="preserve">određeni nivo spremnosti </w:t>
      </w:r>
      <w:r w:rsidRPr="00095948">
        <w:rPr>
          <w:color w:val="000000" w:themeColor="text1"/>
          <w:lang w:val="fr-FR"/>
        </w:rPr>
        <w:t xml:space="preserve">u oblasti socijalne politike i zapošljavanja. </w:t>
      </w:r>
      <w:r w:rsidR="00DE6A86" w:rsidRPr="00C35FD0">
        <w:rPr>
          <w:b/>
          <w:color w:val="000000" w:themeColor="text1"/>
          <w:lang w:val="fr-FR"/>
        </w:rPr>
        <w:t>Dobar napredak</w:t>
      </w:r>
      <w:r w:rsidR="00DE6A86">
        <w:rPr>
          <w:color w:val="000000" w:themeColor="text1"/>
          <w:lang w:val="fr-FR"/>
        </w:rPr>
        <w:t xml:space="preserve"> je ostvaren t</w:t>
      </w:r>
      <w:r w:rsidRPr="00095948">
        <w:rPr>
          <w:color w:val="000000" w:themeColor="text1"/>
          <w:lang w:val="fr-FR"/>
        </w:rPr>
        <w:t>okom izvještajnog perioda</w:t>
      </w:r>
      <w:r w:rsidR="00DE6A86">
        <w:rPr>
          <w:color w:val="000000" w:themeColor="text1"/>
          <w:lang w:val="fr-FR"/>
        </w:rPr>
        <w:t xml:space="preserve"> kada su napravljeni napredni koraci, </w:t>
      </w:r>
      <w:r w:rsidRPr="00095948">
        <w:rPr>
          <w:color w:val="000000" w:themeColor="text1"/>
          <w:lang w:val="fr-FR"/>
        </w:rPr>
        <w:t xml:space="preserve">kao što je usvajanje novog zakona o radu.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rPr>
      </w:pPr>
      <w:r w:rsidRPr="009A2018">
        <w:rPr>
          <w:color w:val="000000" w:themeColor="text1"/>
        </w:rPr>
        <w:t xml:space="preserve">Tokom naredne godine Crna Gora naročito treba da: </w:t>
      </w:r>
    </w:p>
    <w:p w:rsidR="00622A95" w:rsidRPr="009A2018" w:rsidRDefault="00622A95" w:rsidP="00EC1790">
      <w:pPr>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0" w:firstLine="0"/>
        <w:jc w:val="both"/>
        <w:rPr>
          <w:rFonts w:cs="Times New Roman"/>
          <w:noProof/>
          <w:color w:val="000000" w:themeColor="text1"/>
          <w:szCs w:val="24"/>
        </w:rPr>
      </w:pPr>
      <w:r w:rsidRPr="009A2018">
        <w:rPr>
          <w:color w:val="000000" w:themeColor="text1"/>
        </w:rPr>
        <w:t xml:space="preserve">sprovede izmijenjeni zakon o radu, izmijeni zakon o </w:t>
      </w:r>
      <w:r w:rsidR="00DE6A86">
        <w:rPr>
          <w:color w:val="000000" w:themeColor="text1"/>
        </w:rPr>
        <w:t>zabrani</w:t>
      </w:r>
      <w:r w:rsidRPr="009A2018">
        <w:rPr>
          <w:color w:val="000000" w:themeColor="text1"/>
        </w:rPr>
        <w:t xml:space="preserve"> diskriminacije i uvede kvalitetnije mjere za zapošljavanje usmjerene na mlade, žene, lica sa invaliditetom i manjine; </w:t>
      </w:r>
    </w:p>
    <w:p w:rsidR="00622A95" w:rsidRPr="009A2018" w:rsidRDefault="00622A95" w:rsidP="00EC1790">
      <w:pPr>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0" w:firstLine="0"/>
        <w:jc w:val="both"/>
        <w:rPr>
          <w:rFonts w:cs="Times New Roman"/>
          <w:noProof/>
          <w:color w:val="000000" w:themeColor="text1"/>
          <w:szCs w:val="24"/>
        </w:rPr>
      </w:pPr>
      <w:r w:rsidRPr="009A2018">
        <w:rPr>
          <w:color w:val="000000" w:themeColor="text1"/>
        </w:rPr>
        <w:t>uloži veće napore u rješavanje problema sive ekonomije i aktivnije rješava pitanja koja se odnose na zaštitu na radu;</w:t>
      </w:r>
    </w:p>
    <w:p w:rsidR="00622A95" w:rsidRPr="009A2018" w:rsidRDefault="00622A95" w:rsidP="00EC1790">
      <w:pPr>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0" w:firstLine="0"/>
        <w:jc w:val="both"/>
        <w:rPr>
          <w:rFonts w:cs="Times New Roman"/>
          <w:noProof/>
          <w:color w:val="000000" w:themeColor="text1"/>
          <w:szCs w:val="24"/>
        </w:rPr>
      </w:pPr>
      <w:r w:rsidRPr="009A2018">
        <w:rPr>
          <w:color w:val="000000" w:themeColor="text1"/>
        </w:rPr>
        <w:t xml:space="preserve">unaprijedi podršku i reformu socijalne zaštite, zasnovane na dokumentovanim politikama koje su snažnije povezane sa aktivnim zapošljavanjem i socijalnom inkluzijom. </w:t>
      </w:r>
    </w:p>
    <w:p w:rsidR="00622A95" w:rsidRPr="009A2018" w:rsidRDefault="00622A95" w:rsidP="00EC1790">
      <w:pPr>
        <w:spacing w:after="120" w:line="240" w:lineRule="auto"/>
        <w:jc w:val="both"/>
        <w:rPr>
          <w:rFonts w:eastAsia="Calibri" w:cs="Times New Roman"/>
          <w:szCs w:val="24"/>
        </w:rPr>
      </w:pPr>
      <w:r w:rsidRPr="009A2018">
        <w:t xml:space="preserve">U decembru 2019. godine Skupština je usvojila izmijenjeni </w:t>
      </w:r>
      <w:r w:rsidRPr="009A2018">
        <w:rPr>
          <w:b/>
        </w:rPr>
        <w:t>zakon o radu</w:t>
      </w:r>
      <w:r w:rsidRPr="009A2018">
        <w:t xml:space="preserve">, </w:t>
      </w:r>
      <w:r w:rsidR="00DE6A86">
        <w:t xml:space="preserve">čiji je </w:t>
      </w:r>
      <w:r w:rsidRPr="009A2018">
        <w:t xml:space="preserve">cilj unapređenje funkcionisanja tržišta rada. Zakonom se uvodi niz reformi, uključujući pojednostavljivanje procedura otpuštanja i produženje trajanja ugovora na određeno (sa 24 na 36 mjeseci), uz veću zaštitu radnika i uvođenje strožih mjera za neprijavljeni rad, u cilju smanjivanja neformalnog zapošljavanja. Dalje usklađivanje Zakona o radu i povezanog Zakona o zabrani diskriminacije s pravnom tekovinom EU u ovoj oblasti planira se tokom 2020. godine. Imajući u vidu njegovu relevantnost i kao strukturne reformske mjere i kao jednog od ključnih propisa za usklađivanje s pravnom tekovinom EU u ovoj oblasti, sprovođenje i praćenje sprovođenja zakona o radu treba da bude prioritet. Biće neophodno jačanje kapaciteta inspekcije rada i bolja koordinacija između </w:t>
      </w:r>
      <w:r w:rsidR="00DE6A86">
        <w:t>i</w:t>
      </w:r>
      <w:r w:rsidR="00DE6A86" w:rsidRPr="009A2018">
        <w:t xml:space="preserve">nspekcije </w:t>
      </w:r>
      <w:r w:rsidRPr="009A2018">
        <w:t xml:space="preserve">rada i Ministarstva rada i socijalnog staranja kako bi se obezbijedilo da izmjene zakona </w:t>
      </w:r>
      <w:r w:rsidR="00DE6A86">
        <w:t>imaju</w:t>
      </w:r>
      <w:r w:rsidR="00DE6A86" w:rsidRPr="009A2018">
        <w:t xml:space="preserve"> </w:t>
      </w:r>
      <w:r w:rsidRPr="009A2018">
        <w:t>uticaj.</w:t>
      </w:r>
    </w:p>
    <w:p w:rsidR="00622A95" w:rsidRPr="009A2018" w:rsidRDefault="00622A95" w:rsidP="00EC1790">
      <w:pPr>
        <w:spacing w:after="120" w:line="240" w:lineRule="auto"/>
        <w:jc w:val="both"/>
        <w:rPr>
          <w:rFonts w:eastAsia="Calibri" w:cs="Times New Roman"/>
          <w:szCs w:val="24"/>
        </w:rPr>
      </w:pPr>
      <w:r w:rsidRPr="009A2018">
        <w:t xml:space="preserve">U oblasti </w:t>
      </w:r>
      <w:r w:rsidRPr="009A2018">
        <w:rPr>
          <w:b/>
        </w:rPr>
        <w:t>socijalnog dijaloga</w:t>
      </w:r>
      <w:r w:rsidRPr="009A2018">
        <w:t>, Zakon o Socijalnom savjetu i Zakon o reprezentativnosti sindikata usvojeni su 2018. godine,</w:t>
      </w:r>
      <w:r w:rsidR="00AD4952">
        <w:t xml:space="preserve"> </w:t>
      </w:r>
      <w:r w:rsidRPr="009A2018">
        <w:t xml:space="preserve">a iako je postojala dobra saradnja u pogledu Zakona o radu, potrebno je više vremena da se vidi da li se reprezentativnost i konsultovanje sa socijalnim partnerima unapređuju. Isto tako, potrebno je </w:t>
      </w:r>
      <w:r w:rsidR="00DE6A86">
        <w:t xml:space="preserve">nastaviti držati </w:t>
      </w:r>
      <w:r w:rsidRPr="009A2018">
        <w:t>pažnj</w:t>
      </w:r>
      <w:r w:rsidR="00AD4952">
        <w:t xml:space="preserve">u na </w:t>
      </w:r>
      <w:r w:rsidR="00DE6A86">
        <w:t xml:space="preserve">zaštiti </w:t>
      </w:r>
      <w:r w:rsidR="00AD4952">
        <w:t xml:space="preserve">prava radnika, </w:t>
      </w:r>
      <w:r w:rsidR="00DE6A86">
        <w:t>spr</w:t>
      </w:r>
      <w:r w:rsidR="00DE6A86" w:rsidRPr="009A2018">
        <w:t>ečavanj</w:t>
      </w:r>
      <w:r w:rsidR="00DE6A86">
        <w:t>u</w:t>
      </w:r>
      <w:r w:rsidR="00DE6A86" w:rsidRPr="009A2018">
        <w:t xml:space="preserve"> </w:t>
      </w:r>
      <w:r w:rsidRPr="009A2018">
        <w:t xml:space="preserve">diskriminacije sindikalnih aktivnosti i obezbijediti da se predviđeni opšti kolektivni ugovor zaključi nakon odgovarajućeg postupka konsultacija, što je prije moguće u toku 2020. godine. </w:t>
      </w:r>
    </w:p>
    <w:p w:rsidR="00622A95" w:rsidRPr="009A2018" w:rsidRDefault="00622A95" w:rsidP="00EC1790">
      <w:pPr>
        <w:spacing w:after="120" w:line="240" w:lineRule="auto"/>
        <w:jc w:val="both"/>
        <w:rPr>
          <w:rFonts w:eastAsia="Calibri" w:cs="Times New Roman"/>
          <w:szCs w:val="24"/>
        </w:rPr>
      </w:pPr>
      <w:r w:rsidRPr="009A2018">
        <w:t xml:space="preserve">Što se tiče </w:t>
      </w:r>
      <w:r w:rsidRPr="009A2018">
        <w:rPr>
          <w:b/>
        </w:rPr>
        <w:t>zdravlja i zaštite na radu</w:t>
      </w:r>
      <w:r w:rsidRPr="009A2018">
        <w:t>, prvi Centar za profesionalnu rehabilitaciju otvoren je u Podgorici u oktobru 2019. godine. Nacionalni Institut za javno zdravlje ima ograničen uticaj na praćenje relevantnih zakona, zbog činjenice da su nadležnosti raspodijeljene na više različitih institucija. Radna grupa za izradu izmjena Pravilnika o mjerama zaštite na radnom mjestu je osnovana i očekuje se da će izmjene dostaviti do kraja 2020. godine. Fond za zaštitu i zdravlje na radu predviđen u sektorskim strat</w:t>
      </w:r>
      <w:r w:rsidR="00AD4952">
        <w:t>egijama (2010-2014. i 2016-2020</w:t>
      </w:r>
      <w:r w:rsidRPr="009A2018">
        <w:t xml:space="preserve">) još nije uspostavljen. Od 1. januara 2019. godine do 30. aprila 2020. godine, dogodile su se 24 nezgode na radnom mjestu, od kojih je osam bilo sa smrtnim ishodom, 15 s teškim povredama, dok je jedan slučaj evidentiran kao kolektivna nesreća. </w:t>
      </w:r>
    </w:p>
    <w:p w:rsidR="00622A95" w:rsidRPr="009A2018" w:rsidRDefault="00622A95" w:rsidP="00EC1790">
      <w:pPr>
        <w:spacing w:after="120" w:line="240" w:lineRule="auto"/>
        <w:jc w:val="both"/>
        <w:rPr>
          <w:rFonts w:eastAsia="Calibri" w:cs="Times New Roman"/>
          <w:bCs/>
          <w:szCs w:val="24"/>
        </w:rPr>
      </w:pPr>
      <w:r w:rsidRPr="009A2018">
        <w:t xml:space="preserve">U oblasti </w:t>
      </w:r>
      <w:r w:rsidRPr="009A2018">
        <w:rPr>
          <w:b/>
        </w:rPr>
        <w:t>politike zapošljavanja</w:t>
      </w:r>
      <w:r w:rsidRPr="009A2018">
        <w:t>, Crna Gora nastavlja da sprovodi svoju Nacionalnu strategiju zapošljavanja i razvoja ljudskih resursa. Međutim, efikasnost implementacije je i dalje teško procijeniti zbog toga što ne postoji sistematsko prikupljanje podataka kroz aktivnosti monitoringa i evaluacije. Stopa nezaposlenosti u 2019. godini stagnirala je na 15,2%. Prema podacima iz ankete o radnoj snazi za 2019. godinu, stopa aktivnosti nastavlja da se poboljšava, ali je i dalje niska i iznosi 57,4%, dok su regionalne razlike i dalje prisutne, pri čemu je nezaposlenost neproporcionalno visoka na sjeveru zemlje i iznosi 36,3% u odnosu na 5,5% u primorskom regionu. Dugotrajna nezaposlenost i dalje predstavlja veliki strukturni izazov, a 63% nezaposlenih je bez posla duže od dvije godine. Najranjivije grupe na tržištu rada i dalje su žene, mladi, Romi i niskokvalikovani radnici. Među njima, zajednica Roma i Egipćana čini oko 2% ukupnog evidentiranog broja nezaposlenih.</w:t>
      </w:r>
    </w:p>
    <w:p w:rsidR="00622A95" w:rsidRPr="009A2018" w:rsidRDefault="00622A95" w:rsidP="00EC1790">
      <w:pPr>
        <w:spacing w:after="120" w:line="240" w:lineRule="auto"/>
        <w:jc w:val="both"/>
        <w:rPr>
          <w:rFonts w:eastAsia="Calibri" w:cs="Times New Roman"/>
          <w:bCs/>
          <w:szCs w:val="24"/>
        </w:rPr>
      </w:pPr>
      <w:r w:rsidRPr="009A2018">
        <w:t>Predviđena podrška koju finansira EU namijenjena Zavodu za zapošljavanje treba da pruži podršku jačanju njegovih kapaciteta i da obezbijedi djelotvorniji rad u upravljanju ljudskim resursima. Osim toga, još uvijek je nedovoljna djelotvornost i obuhvat aktivnih politika tržišta koje treba da postoje kako bi se pomoglo tražiteljima zaposlenja da pronađu održivo zaposlenje, s posebnim osvrtom na prekvalifikaciju i dokvalifikaciju. Štaviše, jačanje aktivacije u zapošljavanju uspostavljanjem jačih veza između službi koje se bave zapošljavanjem i socijalnih službi, kao i veza između stručnog i visokog obrazovanja, ostaje od ključne važnosti za povećanje zaposlenosti i uklanjanje potencijalnih destimulanasa za rad. Fond za profesionalnu rehabilitaciju i zapošljavanje osoba s invaliditetom još uvijek ne ostvaruje neophodan uticaj, a i dalje je neophodna revizija relevantnog nacrta zakona. Iz tog razloga nije usvojen pravilnik kojim se utvrđuje niz odredaba vezanih za rad za lica sa invaliditetom, a potpuna transparentnost trošenja sredstava Fonda još nije uspostavljena. Vlada je u junu 2020. godine donijela rješenje o obrazovanju Savjeta za brigu o licima sa invaliditetom. Što se tiče sive ekonomije, potrebno je i dalje ulagati napore za rješavanje svih oblika neformalnosti, kao i dalje jačanje inspekcije rada. Pored toga, Vlada mora da usvoji novi akcioni plan za bolju koordinaciju rada različitih institucija, uključujući i one na centralnom i lokalnom nivou. Pored toga, iako postoje planovi, informacioni sistem tržišta rada Zavoda za zapošljavanje tek treba da se ažurira. Potrebno je usmjeriti se na ispunjavanje obaveza iz Plana integracije Roma 2019-2021. godine kako bi se promovisala formalizacija rada. U ovom trenutku još uvijek ne postoji sistem za praćenje i ispitivanje njegovog funkcionisanja i uticaja. U aprilu 2020. godine Vlada je usvojila Izvještaj o implementaciji Akcionog plana zapošljavanja i razvoja ljudskih resursa za 2019. godinu.</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Što se tiče priprema za korišćenje </w:t>
      </w:r>
      <w:r w:rsidRPr="009A2018">
        <w:rPr>
          <w:b/>
        </w:rPr>
        <w:t>Evropskog socijalnog fonda (ESF)</w:t>
      </w:r>
      <w:r w:rsidRPr="009A2018">
        <w:t>, u toku je sprovođenje drugog operativnog programa razvoja ljudskih resursa (2015-2017.). Program je usmjeren na obrazovanje, istraživanje, zapošljavanje i socijalnu politiku i ima za cilj jačanje kapaciteta unutar državnih organa u cilju pripreme za upravljanje ESF-om u budućnosti. Istovremeno, u pogledu pandemije COVID-19, EU i crnogorski organi preusmjerili su sredstva u cilju rješavanja socijalnih i ekonomskih potreba.</w:t>
      </w:r>
    </w:p>
    <w:p w:rsidR="00622A95" w:rsidRPr="009A2018" w:rsidRDefault="00622A95" w:rsidP="00EC1790">
      <w:pPr>
        <w:spacing w:after="120" w:line="240" w:lineRule="auto"/>
        <w:jc w:val="both"/>
        <w:rPr>
          <w:rFonts w:eastAsia="Times New Roman" w:cs="Times New Roman"/>
          <w:szCs w:val="24"/>
        </w:rPr>
      </w:pPr>
      <w:r w:rsidRPr="009A2018">
        <w:t xml:space="preserve">U oblasti </w:t>
      </w:r>
      <w:r w:rsidRPr="009A2018">
        <w:rPr>
          <w:b/>
        </w:rPr>
        <w:t>socijalne inkluzije</w:t>
      </w:r>
      <w:r w:rsidRPr="009A2018">
        <w:t xml:space="preserve"> i </w:t>
      </w:r>
      <w:r w:rsidRPr="009A2018">
        <w:rPr>
          <w:b/>
        </w:rPr>
        <w:t>zaštite</w:t>
      </w:r>
      <w:r w:rsidRPr="009A2018">
        <w:rPr>
          <w:color w:val="000000"/>
        </w:rPr>
        <w:t xml:space="preserve">, Akcioni plan za 2020. godinu za sprovođenje Strategije razvoja sistema socijalne i dječje zaštite za period od 2018. do 2022. godine i Akcioni plan za 2020. godinu za sprovođenje Strategije razvoja sistema socijalne zaštite starijih za period od 2018. do 2022. godine usvojeni su u januaru 2020. godine. Iako </w:t>
      </w:r>
      <w:r w:rsidRPr="009A2018">
        <w:t>je sproveden određen broj mjera iz relevantnih akcionih planova, još uvijek nijesu dostupni adekvatni mehanizmi praćenja i izveštaji, tako da još uvijek ne postoje uslovi za donošenje politike zasnovane na dokazima. Potrebno je ojačati kapacitete Centara za socijalni rad kako bi se podržala tranzicija od institucionalne do brige zasnovane na zajednici za djecu s posebnim potrebama, osobe s invaliditetom i starije osobe. Iako</w:t>
      </w:r>
      <w:r w:rsidR="00DE6A86">
        <w:t xml:space="preserve"> </w:t>
      </w:r>
      <w:r w:rsidRPr="009A2018">
        <w:t>organizacije civilnog društva pružaju veliki broj usluga i finansiraju se preko projekata, jedan broj podzakonskih akata sprječava te organizacije da dobiju odgovarajuće dozvole za pružanje ove vrste usluga. Pored toga</w:t>
      </w:r>
      <w:r w:rsidRPr="009A2018">
        <w:rPr>
          <w:color w:val="000000"/>
        </w:rPr>
        <w:t>, statistički podaci iz ankete o dohotku i uslovima života</w:t>
      </w:r>
      <w:r w:rsidRPr="009A2018">
        <w:t xml:space="preserve"> (SILC) objavljeni u decembru 2019. godine i dalje pokazuju visok rizik od siromaštva i socijalne isključenosti sa stopom od 31,4%, za 2018. godinu, što je za 2,3 procenta manje u odnosu na 2017. godinu. Zavod za socijalnu i dječiju zaštitu i dalje nema dovoljno resursa a socijalne usluge koje se pružaju na lokalnom nivou se još uvijek smatraju neadekvatnim. Planirano preispitivanje sistema socijalne zaštite i dalje je potrebno kako bi se obezbijedio bolji uvid radi obezbjeđivanja pružanja socijalne podrške i pomoći onima kojima je potrebna, uz istovremeno jačanje veza sa aktivacijom u zapošljavanju. Potrebno je uložiti dodatne napore da se ispune preporuke iz izvještaja Komiteta UN za </w:t>
      </w:r>
      <w:r w:rsidRPr="009A2018">
        <w:rPr>
          <w:color w:val="000000"/>
        </w:rPr>
        <w:t xml:space="preserve">ekonomska, socijalna i kulturna prava, posebno u vezi s iznosom socijalne pomoći i adekvatnim standardom života za socijalno ugrožene ljude, a naročito za nezaposlena lica i beskućnike. Protokoli usvojeni u vezi s mjerama prevencije COVID-19 u institucijama socijalne i dečije zaštite su do sada bili efikasni, s obzirom da nije bilo prijavljenih slučajeva zaraze kod korisnika tokom izvještajnog perioda. </w:t>
      </w:r>
      <w:r w:rsidRPr="009A2018">
        <w:t xml:space="preserve">U </w:t>
      </w:r>
      <w:r w:rsidRPr="009A2018">
        <w:rPr>
          <w:b/>
        </w:rPr>
        <w:t>deinstitucionalizaciji</w:t>
      </w:r>
      <w:r w:rsidRPr="009A2018">
        <w:t xml:space="preserve"> djece u ustanovama</w:t>
      </w:r>
      <w:r w:rsidR="00AD4952">
        <w:t xml:space="preserve"> </w:t>
      </w:r>
      <w:r w:rsidRPr="009A2018">
        <w:t>nije postignuto dovoljno kako bi se osiguralo da Crna Gora uspješno nastavi sa uspostavljanjem usluga brige zasnovane na zajednici i porodici. Treba uložiti veće napore kako bi se obezbijedilo uspostavljanje profesionalnog hraniteljstva ubuduće.</w:t>
      </w:r>
    </w:p>
    <w:p w:rsidR="00622A95" w:rsidRPr="009A2018" w:rsidRDefault="00622A95" w:rsidP="00EC1790">
      <w:pPr>
        <w:spacing w:after="120" w:line="240" w:lineRule="auto"/>
        <w:jc w:val="both"/>
        <w:rPr>
          <w:rFonts w:eastAsia="Times New Roman" w:cs="Times New Roman"/>
          <w:szCs w:val="24"/>
        </w:rPr>
      </w:pPr>
      <w:r w:rsidRPr="009A2018">
        <w:t xml:space="preserve">U oblasti </w:t>
      </w:r>
      <w:r w:rsidRPr="009A2018">
        <w:rPr>
          <w:b/>
        </w:rPr>
        <w:t>zabrane diskriminacije u zapošljavanju i socijalnoj politici</w:t>
      </w:r>
      <w:r w:rsidRPr="009A2018">
        <w:t>, jedan broj organizacija civilnog društva još uvijek je u procesu akreditacije kako bi mogle da pruže određene usluge, ali u ovoj fazi njihov ukupan broj ostaje nizak. Takve prepreke utiču na sposobnost organizacija civilnog društva da sa resornim ministarstvima uspostave trajna partnerstva radi pružanja usluga. Osim toga, još uvijek nijesu dostupni zvanični izvještaji o sprovođenju Strategije za inkluziju Roma i Egipćana i Akcionog plana, a nema ni dovoljno dokaza o neophodnom napretku na terenu. Potrebno je uložiti dodatne napore kako bi se uspostavile održive i djelotvorne usluge koje su dostupne romskoj i egipćanskoj zajednici, a potrebno je unaprijediti i monitoring i izvještavanje. Iako je ostvaren napredak u pogledu prava lezbijki, homoseksualaca, biseksualaca, transrodnih osoba i interseksualaca (LGBTI) saradnju između Ministarstva rada i socijalnog staranja i LGBTI zajednice treba još ojačati, naročito u pogledu sektora socijalnih i zdravstvenih usluga, kako bi se obezbijedilo uspješno sprovođenje nove strategije za LGBTI (2019-2023.) za koju je u avgustu 2019. godine formiran nacionalni tim za praćenje sprovođenja. Javne rasprave o izmjenama Zakona o zabrani diskriminacije održane su u martu 2020. godine. Uprkos tome, širom Crne Gore, organizacije civilnog društva i dalje nijesu dovoljno uključene u donošenje odluka.</w:t>
      </w:r>
    </w:p>
    <w:p w:rsidR="00622A95" w:rsidRPr="009A2018" w:rsidRDefault="00622A95" w:rsidP="00EC1790">
      <w:pPr>
        <w:spacing w:after="120" w:line="240" w:lineRule="auto"/>
        <w:jc w:val="both"/>
        <w:rPr>
          <w:rFonts w:eastAsia="Calibri" w:cs="Times New Roman"/>
          <w:szCs w:val="24"/>
        </w:rPr>
      </w:pPr>
      <w:r w:rsidRPr="009A2018">
        <w:t xml:space="preserve">U oblasti </w:t>
      </w:r>
      <w:r w:rsidRPr="009A2018">
        <w:rPr>
          <w:b/>
        </w:rPr>
        <w:t>ravnopravnosti žena i muškaraca u zapošljavanju i socijalnoj politici</w:t>
      </w:r>
      <w:r w:rsidRPr="009A2018">
        <w:t xml:space="preserve">, bez obzira na mjere koje su uvedene, žene se i dalje suočavaju s diskriminacijom na tržištu rada, što za rezultat ima niže stope učešća i nižu stopu ostvarivanja prihoda, a potom i sprječavanje pristupa dugoročnim ugovorima o radu i pristupa plaćenom porodiljskom odsustvu. Pitanja kao što su jaz u zapošljavanju i platama, seksualno uznemiravanje na radnom mjestu, pristupačna briga za djecu, neplaćeni rad i poreske olakšice uglavnom i dalje ostaju neriješena. Mora se održavati kontinuirana usmjerenost na inicijative za pružanje podrške ženama, posebno prilagođene aktivne mjere na tržišta radu koje su usmjerene na žene, kao i na zakonodavne i nezakonodavne mjere usmjerene na postizanje ravnoteže između profesionalnog i privatnog života. </w:t>
      </w:r>
    </w:p>
    <w:p w:rsidR="00622A95" w:rsidRPr="009A2018" w:rsidRDefault="00622A95" w:rsidP="00EC1790">
      <w:pPr>
        <w:pStyle w:val="Heading2"/>
        <w:rPr>
          <w:rFonts w:eastAsia="Times New Roman"/>
        </w:rPr>
      </w:pPr>
      <w:bookmarkStart w:id="243" w:name="_Toc30080584"/>
      <w:bookmarkStart w:id="244" w:name="_Toc30074162"/>
      <w:bookmarkStart w:id="245" w:name="_Toc30073849"/>
      <w:bookmarkStart w:id="246" w:name="_Toc52744953"/>
      <w:bookmarkStart w:id="247" w:name="_Toc53362461"/>
      <w:r w:rsidRPr="009A2018">
        <w:t>5.20</w:t>
      </w:r>
      <w:r w:rsidR="00585E64" w:rsidRPr="009A2018">
        <w:tab/>
      </w:r>
      <w:r w:rsidRPr="009A2018">
        <w:t>Poglavlje 20: Preduzetništvo i industrijska politika</w:t>
      </w:r>
      <w:bookmarkEnd w:id="243"/>
      <w:bookmarkEnd w:id="244"/>
      <w:bookmarkEnd w:id="245"/>
      <w:bookmarkEnd w:id="246"/>
      <w:bookmarkEnd w:id="247"/>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rPr>
      </w:pPr>
      <w:r w:rsidRPr="009A2018">
        <w:rPr>
          <w:i/>
          <w:color w:val="000000"/>
        </w:rPr>
        <w:t>Industrijska politika EU jača konkurentnost, olakšava</w:t>
      </w:r>
      <w:r w:rsidR="00AD4952">
        <w:rPr>
          <w:i/>
          <w:color w:val="000000"/>
        </w:rPr>
        <w:t xml:space="preserve"> </w:t>
      </w:r>
      <w:r w:rsidRPr="009A2018">
        <w:rPr>
          <w:i/>
          <w:color w:val="000000"/>
        </w:rPr>
        <w:t>strukturne</w:t>
      </w:r>
      <w:r w:rsidR="00AD4952">
        <w:rPr>
          <w:i/>
          <w:color w:val="000000"/>
        </w:rPr>
        <w:t xml:space="preserve"> </w:t>
      </w:r>
      <w:r w:rsidRPr="009A2018">
        <w:rPr>
          <w:i/>
          <w:color w:val="000000"/>
        </w:rPr>
        <w:t>promjene</w:t>
      </w:r>
      <w:r w:rsidR="00AD4952">
        <w:rPr>
          <w:i/>
          <w:color w:val="000000"/>
        </w:rPr>
        <w:t xml:space="preserve"> </w:t>
      </w:r>
      <w:r w:rsidRPr="009A2018">
        <w:rPr>
          <w:i/>
          <w:color w:val="000000"/>
        </w:rPr>
        <w:t>i</w:t>
      </w:r>
      <w:r w:rsidR="00AD4952">
        <w:rPr>
          <w:i/>
          <w:color w:val="000000"/>
        </w:rPr>
        <w:t xml:space="preserve"> </w:t>
      </w:r>
      <w:r w:rsidRPr="009A2018">
        <w:rPr>
          <w:i/>
          <w:color w:val="000000"/>
        </w:rPr>
        <w:t>podstiče poslovno okruženje pogodno za stimulisanje malih i srednjih preduzeća.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622A95" w:rsidRPr="009A2018" w:rsidTr="00620E1E">
        <w:tc>
          <w:tcPr>
            <w:tcW w:w="9356" w:type="dxa"/>
            <w:tcBorders>
              <w:top w:val="single" w:sz="4" w:space="0" w:color="auto"/>
              <w:left w:val="single" w:sz="4" w:space="0" w:color="auto"/>
              <w:bottom w:val="single" w:sz="4" w:space="0" w:color="auto"/>
              <w:right w:val="single" w:sz="4" w:space="0" w:color="auto"/>
            </w:tcBorders>
            <w:shd w:val="clear" w:color="auto" w:fill="D9D9D9"/>
            <w:hideMark/>
          </w:tcPr>
          <w:p w:rsidR="00622A95" w:rsidRPr="009A2018" w:rsidRDefault="00622A95" w:rsidP="00EC1790">
            <w:pPr>
              <w:autoSpaceDE w:val="0"/>
              <w:autoSpaceDN w:val="0"/>
              <w:adjustRightInd w:val="0"/>
              <w:spacing w:after="120" w:line="240" w:lineRule="auto"/>
              <w:jc w:val="both"/>
              <w:rPr>
                <w:rFonts w:eastAsia="Calibri" w:cs="Times New Roman"/>
                <w:iCs/>
                <w:color w:val="000000"/>
                <w:szCs w:val="24"/>
              </w:rPr>
            </w:pPr>
            <w:r w:rsidRPr="009A2018">
              <w:rPr>
                <w:color w:val="000000"/>
              </w:rPr>
              <w:t xml:space="preserve">Crna Gora je </w:t>
            </w:r>
            <w:r w:rsidRPr="009A2018">
              <w:rPr>
                <w:b/>
                <w:color w:val="000000"/>
              </w:rPr>
              <w:t>umjereno spremna/</w:t>
            </w:r>
            <w:r w:rsidRPr="009A2018">
              <w:rPr>
                <w:bCs/>
                <w:color w:val="000000"/>
              </w:rPr>
              <w:t xml:space="preserve">postigla </w:t>
            </w:r>
            <w:r w:rsidRPr="009A2018">
              <w:rPr>
                <w:color w:val="000000"/>
              </w:rPr>
              <w:t>je</w:t>
            </w:r>
            <w:r w:rsidR="00AD4952">
              <w:rPr>
                <w:color w:val="000000"/>
              </w:rPr>
              <w:t xml:space="preserve"> </w:t>
            </w:r>
            <w:r w:rsidRPr="009A2018">
              <w:rPr>
                <w:b/>
                <w:color w:val="000000"/>
              </w:rPr>
              <w:t xml:space="preserve">dobar nivo spremnosti </w:t>
            </w:r>
            <w:r w:rsidRPr="009A2018">
              <w:rPr>
                <w:color w:val="000000"/>
              </w:rPr>
              <w:t xml:space="preserve">u oblasti preduzetništva i industrijske politike. Postignut je </w:t>
            </w:r>
            <w:r w:rsidRPr="009A2018">
              <w:rPr>
                <w:b/>
                <w:color w:val="000000"/>
              </w:rPr>
              <w:t>određeni napredak</w:t>
            </w:r>
            <w:r w:rsidRPr="009A2018">
              <w:rPr>
                <w:color w:val="000000"/>
              </w:rPr>
              <w:t xml:space="preserve"> u pogledu ispunjavanja preporuka iz prethodne godine, naročito za sektorsku politiku, usvajanjem izmijenjene industrijske politike. Saradnja unutar i između ministarstava na tehničkom i političkom nivou treba da se značajno intenzivira kako bi se osigurala dosljednost i usklađenost između različitih nacionalnih ključnih strategija i programa, naročito u pogledu industrijske politike, pametne specijalizacije i Programa ekonomskih reformi.</w:t>
            </w:r>
          </w:p>
          <w:p w:rsidR="00622A95" w:rsidRPr="009A2018" w:rsidRDefault="00622A95" w:rsidP="00EC1790">
            <w:pPr>
              <w:autoSpaceDE w:val="0"/>
              <w:autoSpaceDN w:val="0"/>
              <w:adjustRightInd w:val="0"/>
              <w:spacing w:after="120" w:line="240" w:lineRule="auto"/>
              <w:jc w:val="both"/>
              <w:rPr>
                <w:rFonts w:eastAsia="Calibri" w:cs="Times New Roman"/>
                <w:iCs/>
                <w:color w:val="000000"/>
                <w:szCs w:val="24"/>
              </w:rPr>
            </w:pPr>
            <w:r w:rsidRPr="009A2018">
              <w:rPr>
                <w:color w:val="000000"/>
              </w:rPr>
              <w:t>Tokom naredne godine, Crna Gora naročito treba:</w:t>
            </w:r>
          </w:p>
          <w:p w:rsidR="00622A95" w:rsidRPr="00095948" w:rsidRDefault="00622A95" w:rsidP="00EC1790">
            <w:pPr>
              <w:pStyle w:val="ListParagraph"/>
              <w:numPr>
                <w:ilvl w:val="0"/>
                <w:numId w:val="24"/>
              </w:numPr>
              <w:autoSpaceDE w:val="0"/>
              <w:autoSpaceDN w:val="0"/>
              <w:adjustRightInd w:val="0"/>
              <w:spacing w:after="120" w:line="240" w:lineRule="auto"/>
              <w:ind w:left="0" w:firstLine="0"/>
              <w:contextualSpacing w:val="0"/>
              <w:jc w:val="both"/>
              <w:rPr>
                <w:rFonts w:ascii="Times New Roman" w:eastAsia="Calibri" w:hAnsi="Times New Roman" w:cs="Times New Roman"/>
                <w:iCs/>
                <w:color w:val="000000"/>
                <w:sz w:val="24"/>
                <w:szCs w:val="24"/>
                <w:lang w:val="fr-FR"/>
              </w:rPr>
            </w:pPr>
            <w:r w:rsidRPr="00095948">
              <w:rPr>
                <w:rFonts w:ascii="Times New Roman" w:hAnsi="Times New Roman"/>
                <w:color w:val="000000"/>
                <w:sz w:val="24"/>
                <w:lang w:val="fr-FR"/>
              </w:rPr>
              <w:t>da se, u saradnji sa relevantnim akterima, fokusira na sprovođenje izmijenjene industrijske politike;</w:t>
            </w:r>
          </w:p>
          <w:p w:rsidR="00622A95" w:rsidRPr="009A2018" w:rsidRDefault="00622A95" w:rsidP="00EC1790">
            <w:pPr>
              <w:pStyle w:val="ListParagraph"/>
              <w:numPr>
                <w:ilvl w:val="0"/>
                <w:numId w:val="24"/>
              </w:numPr>
              <w:autoSpaceDE w:val="0"/>
              <w:autoSpaceDN w:val="0"/>
              <w:adjustRightInd w:val="0"/>
              <w:spacing w:after="120" w:line="240" w:lineRule="auto"/>
              <w:ind w:left="0" w:firstLine="0"/>
              <w:contextualSpacing w:val="0"/>
              <w:jc w:val="both"/>
              <w:rPr>
                <w:rFonts w:ascii="Times New Roman" w:eastAsia="Calibri" w:hAnsi="Times New Roman" w:cs="Times New Roman"/>
                <w:iCs/>
                <w:color w:val="000000"/>
                <w:sz w:val="24"/>
                <w:szCs w:val="24"/>
              </w:rPr>
            </w:pPr>
            <w:r w:rsidRPr="009A2018">
              <w:rPr>
                <w:rFonts w:ascii="Times New Roman" w:hAnsi="Times New Roman"/>
                <w:color w:val="000000"/>
                <w:sz w:val="24"/>
              </w:rPr>
              <w:t>da osigura kontinuiranu koordinaciju industrijske politike s drugim nacionalnim ključnim strategijama.</w:t>
            </w:r>
          </w:p>
        </w:tc>
      </w:tr>
    </w:tbl>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oblasti </w:t>
      </w:r>
      <w:r w:rsidRPr="009A2018">
        <w:rPr>
          <w:b/>
        </w:rPr>
        <w:t>principa vezanih za preduzetništvo i industrijsku politiku</w:t>
      </w:r>
      <w:r w:rsidRPr="009A2018">
        <w:t>, usvojene su izmjene Zakona o turizmu i ugostiteljstvu u</w:t>
      </w:r>
      <w:r w:rsidR="00AD4952">
        <w:t xml:space="preserve"> </w:t>
      </w:r>
      <w:r w:rsidRPr="009A2018">
        <w:t xml:space="preserve">aprilu 2019. godine. Crna Gora još uvijek nije usklađena s pravnom tekovinom EU u suzbijanju zakašnjelih plaćanja i podstiče se da nastavi napore, započete 2019. godine, u pravcu potpunog usklađivanja.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oblasti </w:t>
      </w:r>
      <w:r w:rsidRPr="009A2018">
        <w:rPr>
          <w:b/>
        </w:rPr>
        <w:t>instrumenata preduzetničke i industrijske politike</w:t>
      </w:r>
      <w:r w:rsidRPr="009A2018">
        <w:t xml:space="preserve">, Crna Gora je nastavila da sprovodi programe za razvoj klastera, regionalnu i lokalnu konkurentnost i modernizaciju </w:t>
      </w:r>
      <w:r w:rsidR="00041B6B">
        <w:t>prerađivačke</w:t>
      </w:r>
      <w:r w:rsidR="00041B6B" w:rsidRPr="009A2018">
        <w:t xml:space="preserve"> </w:t>
      </w:r>
      <w:r w:rsidRPr="009A2018">
        <w:t>industrije, d</w:t>
      </w:r>
      <w:r w:rsidR="00041B6B">
        <w:t xml:space="preserve">odjeljivanjem </w:t>
      </w:r>
      <w:r w:rsidRPr="009A2018">
        <w:t>malih grantova i finansijske pomoći projektima u tim oblastima.</w:t>
      </w:r>
      <w:r w:rsidR="00AD4952">
        <w:t xml:space="preserve"> </w:t>
      </w:r>
      <w:r w:rsidRPr="009A2018">
        <w:t>Investiciono-razvojni fond Crne Gore (IRF</w:t>
      </w:r>
      <w:r w:rsidR="00041B6B">
        <w:t>CG</w:t>
      </w:r>
      <w:r w:rsidRPr="009A2018">
        <w:t>) je crnogorskim preduzećima obezbijedio finansiranje u vrijednosti od 241 milion eura. Pored toga, IRF</w:t>
      </w:r>
      <w:r w:rsidR="00041B6B">
        <w:t>CG</w:t>
      </w:r>
      <w:r w:rsidRPr="009A2018">
        <w:t xml:space="preserve"> je potpisao ugovor s Evropskim investicionim fondom o pristupanju Garantnom fondu (LGF) EU programa za konkurentnost preduzeća i malih i srednjih preduzeća (COSME). U programu garantnih šema u okviru ovog ugovora raspoloživ je iznos od ukupno 75 miliona eura tokom perioda od tri godine. Organizacije iz Crne Gore uspješno učestvuju u programima Evropske mreže preduzetništva i programa Erasmus za mlade preduzetnike koje finansira COSME.</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oblasti </w:t>
      </w:r>
      <w:r w:rsidRPr="009A2018">
        <w:rPr>
          <w:b/>
        </w:rPr>
        <w:t>sektorskih politika</w:t>
      </w:r>
      <w:r w:rsidRPr="009A2018">
        <w:t xml:space="preserve">, nakon završenog srednjoročnog pregleda industrijske politike za period 2016-2018. godine u martu 2019. godine, Vlada je u oktobru 2019. godine usvojila izmijenjenu Industrijsku politiku Crne Gore za period 2019-2023. i prateći </w:t>
      </w:r>
      <w:r w:rsidR="00041B6B">
        <w:t>A</w:t>
      </w:r>
      <w:r w:rsidR="00041B6B" w:rsidRPr="009A2018">
        <w:t xml:space="preserve">kcioni </w:t>
      </w:r>
      <w:r w:rsidRPr="009A2018">
        <w:t>plan za period 2019-2020. Iz prvobitne Industrijske politike iz 2016. godine zadržana su četiri strateška cilja, uz određene izmjene njihovih fokusa. Akcionim planom opredijeljeno je oko 811 miliona eura za 2019. i 2020. godinu, mada se očekuje da će oko 35% tog iznosa biti obezbijeđeno iz privatnog sektora i od donatora. Plan stavlja veoma snažan naglasak na pristup finansiranju i finansijskoj pomoći preduzećima korisnicima, uglavnom preko IRF-a, kao i na finansiranje projekata u sektorima energetike i turizma. Dva od četiri strateška cilja - pristup međunarodnim tržištima i podsticanje inovacija, tehnologije i preduzetništva - zajedno dobijaju svega 10% ukupno opredijeljenih sredstava. Vlada je u junu 2019. godine usvojila</w:t>
      </w:r>
      <w:r w:rsidR="00AD4952">
        <w:t xml:space="preserve"> </w:t>
      </w:r>
      <w:r w:rsidRPr="009A2018">
        <w:rPr>
          <w:b/>
        </w:rPr>
        <w:t>Strategiju pametne specijalizacije za period 2019-2024. godine (S3)</w:t>
      </w:r>
      <w:r w:rsidR="00AD4952">
        <w:rPr>
          <w:b/>
        </w:rPr>
        <w:t xml:space="preserve"> </w:t>
      </w:r>
      <w:r w:rsidRPr="009A2018">
        <w:t>(vidi poglavlje 25). Cilj je da se ojača industrijska politika poboljšanjem razvoja inovativnog eko-sistema kroz naučno zasnovane inovacije na teritorijalno uravnotežen način. Timovi i kreatori politika odgovorni za Program ekonomskih reformi, Strategiju S3 i Industrijsku politiku treba u potpunosti da sarađuju kako bi se osigurala dosljednost i usklađenost u implementaciji ove tri ključne politike.</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Vlada je u aprilu 2020. godine usvojila </w:t>
      </w:r>
      <w:r w:rsidR="00041B6B">
        <w:t>P</w:t>
      </w:r>
      <w:r w:rsidR="00041B6B" w:rsidRPr="009A2018">
        <w:t xml:space="preserve">rogram </w:t>
      </w:r>
      <w:r w:rsidRPr="009A2018">
        <w:t xml:space="preserve">podrške privredi i zaposlenima kako bi ublažila negativne posljedice pandemije COVID-19. Program obuhvata šest vrsta subvencija, kojima se pruža podrška za više od 100,000 zaposlenih u mikro, malim i srednjim preduzećima. Subvencije su usmjerene na preduzetnike i zaposlene u preduzećima čije je poslovanje prekinuto ili znatno smanjeno zbog mjera koje je uvelo Ministarstvo zdravlja. </w:t>
      </w:r>
    </w:p>
    <w:p w:rsidR="00622A95" w:rsidRPr="009A2018" w:rsidRDefault="00622A95" w:rsidP="00EC1790">
      <w:pPr>
        <w:pStyle w:val="Heading2"/>
        <w:rPr>
          <w:rFonts w:eastAsia="Times New Roman"/>
        </w:rPr>
      </w:pPr>
      <w:bookmarkStart w:id="248" w:name="_Toc30073850"/>
      <w:bookmarkStart w:id="249" w:name="_Toc30074163"/>
      <w:bookmarkStart w:id="250" w:name="_Toc30080585"/>
      <w:bookmarkStart w:id="251" w:name="_Toc52744954"/>
      <w:bookmarkStart w:id="252" w:name="_Toc53362462"/>
      <w:r w:rsidRPr="009A2018">
        <w:t>5.21</w:t>
      </w:r>
      <w:r w:rsidR="00585E64" w:rsidRPr="009A2018">
        <w:tab/>
      </w:r>
      <w:r w:rsidRPr="009A2018">
        <w:t>Poglavlje 21: Transevropske mreže</w:t>
      </w:r>
      <w:bookmarkEnd w:id="248"/>
      <w:bookmarkEnd w:id="249"/>
      <w:bookmarkEnd w:id="250"/>
      <w:bookmarkEnd w:id="251"/>
      <w:bookmarkEnd w:id="252"/>
    </w:p>
    <w:p w:rsidR="00622A95" w:rsidRPr="009A2018" w:rsidRDefault="00622A95" w:rsidP="00EC1790">
      <w:pPr>
        <w:spacing w:after="120" w:line="240" w:lineRule="auto"/>
        <w:jc w:val="both"/>
        <w:rPr>
          <w:rFonts w:eastAsia="Calibri" w:cs="Times New Roman"/>
          <w:i/>
          <w:iCs/>
          <w:color w:val="000000"/>
          <w:szCs w:val="24"/>
        </w:rPr>
      </w:pPr>
      <w:r w:rsidRPr="009A2018">
        <w:rPr>
          <w:i/>
          <w:color w:val="000000"/>
        </w:rPr>
        <w:t>Evropska unija promoviše transevropske mreže u oblasti saobraćaja, telekomunikacija i energetike da bi ojačala unutrašnje tržište i doprinijela rastu i zapošljavanju.</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8"/>
      </w:tblGrid>
      <w:tr w:rsidR="00622A95" w:rsidRPr="009A2018" w:rsidTr="00620E1E">
        <w:tc>
          <w:tcPr>
            <w:tcW w:w="9067" w:type="dxa"/>
            <w:tcBorders>
              <w:top w:val="single" w:sz="4" w:space="0" w:color="auto"/>
              <w:left w:val="single" w:sz="4" w:space="0" w:color="auto"/>
              <w:bottom w:val="single" w:sz="4" w:space="0" w:color="auto"/>
              <w:right w:val="single" w:sz="4" w:space="0" w:color="auto"/>
            </w:tcBorders>
            <w:shd w:val="clear" w:color="auto" w:fill="D9D9D9"/>
            <w:hideMark/>
          </w:tcPr>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09"/>
            </w:tblGrid>
            <w:tr w:rsidR="00622A95" w:rsidRPr="009A2018" w:rsidTr="00620E1E">
              <w:tc>
                <w:tcPr>
                  <w:tcW w:w="9209" w:type="dxa"/>
                  <w:tcBorders>
                    <w:top w:val="single" w:sz="4" w:space="0" w:color="auto"/>
                    <w:left w:val="single" w:sz="4" w:space="0" w:color="auto"/>
                    <w:bottom w:val="single" w:sz="4" w:space="0" w:color="auto"/>
                    <w:right w:val="single" w:sz="4" w:space="0" w:color="auto"/>
                  </w:tcBorders>
                  <w:shd w:val="clear" w:color="auto" w:fill="D9D9D9"/>
                  <w:hideMark/>
                </w:tcPr>
                <w:p w:rsidR="00622A95" w:rsidRPr="009A2018" w:rsidRDefault="00622A95" w:rsidP="00EC1790">
                  <w:pPr>
                    <w:spacing w:after="120" w:line="240" w:lineRule="auto"/>
                    <w:jc w:val="both"/>
                    <w:rPr>
                      <w:rFonts w:eastAsia="Calibri" w:cs="Times New Roman"/>
                      <w:color w:val="000000"/>
                      <w:szCs w:val="24"/>
                    </w:rPr>
                  </w:pPr>
                  <w:r w:rsidRPr="009A2018">
                    <w:rPr>
                      <w:color w:val="000000"/>
                    </w:rPr>
                    <w:t xml:space="preserve">Crna Gora je i dalje </w:t>
                  </w:r>
                  <w:r w:rsidRPr="009A2018">
                    <w:rPr>
                      <w:b/>
                      <w:color w:val="000000"/>
                    </w:rPr>
                    <w:t>umjereno spremna</w:t>
                  </w:r>
                  <w:r w:rsidRPr="009A2018">
                    <w:rPr>
                      <w:color w:val="000000"/>
                    </w:rPr>
                    <w:t xml:space="preserve">/postigla je </w:t>
                  </w:r>
                  <w:r w:rsidRPr="009A2018">
                    <w:rPr>
                      <w:b/>
                      <w:color w:val="000000"/>
                    </w:rPr>
                    <w:t xml:space="preserve">dobar nivo spremnosti </w:t>
                  </w:r>
                  <w:r w:rsidRPr="009A2018">
                    <w:rPr>
                      <w:color w:val="000000"/>
                    </w:rPr>
                    <w:t xml:space="preserve">u oblasti transevropskih mreža. </w:t>
                  </w:r>
                  <w:r w:rsidRPr="009A2018">
                    <w:t>Ostvaren je</w:t>
                  </w:r>
                  <w:r w:rsidR="00AD4952">
                    <w:t xml:space="preserve"> </w:t>
                  </w:r>
                  <w:r w:rsidRPr="009A2018">
                    <w:rPr>
                      <w:b/>
                      <w:color w:val="000000"/>
                    </w:rPr>
                    <w:t xml:space="preserve">određeni napredak </w:t>
                  </w:r>
                  <w:r w:rsidRPr="009A2018">
                    <w:rPr>
                      <w:color w:val="000000"/>
                    </w:rPr>
                    <w:t>u izvještajnom periodu</w:t>
                  </w:r>
                  <w:r w:rsidRPr="009A2018">
                    <w:t xml:space="preserve">, naročito u pogledu preporuke iz 2019. godine o </w:t>
                  </w:r>
                  <w:r w:rsidRPr="009A2018">
                    <w:rPr>
                      <w:color w:val="000000"/>
                    </w:rPr>
                    <w:t xml:space="preserve">usvajanju Strategije razvoja saobraćaja za period 2019- 2035. Međutim, preporuke iz 2019. godine uglavnom i dalje važe, a u narednoj godini Crna Gora treba naročito da: </w:t>
                  </w:r>
                </w:p>
                <w:p w:rsidR="00622A95" w:rsidRPr="009A2018" w:rsidRDefault="00622A95" w:rsidP="00EC1790">
                  <w:pPr>
                    <w:pStyle w:val="ListParagraph"/>
                    <w:numPr>
                      <w:ilvl w:val="0"/>
                      <w:numId w:val="25"/>
                    </w:numPr>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nastavi sa sprovođenjem nove Strategije razvoja saobraćaja i njenih godišnjih akcionih planova;</w:t>
                  </w:r>
                </w:p>
                <w:p w:rsidR="00622A95" w:rsidRPr="009A2018" w:rsidRDefault="00622A95" w:rsidP="00EC1790">
                  <w:pPr>
                    <w:pStyle w:val="ListParagraph"/>
                    <w:numPr>
                      <w:ilvl w:val="0"/>
                      <w:numId w:val="25"/>
                    </w:numPr>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ojača administrativne kapacitete za transevropske mreže u oblastima saobraćaja, telekomunikacija i energetike;</w:t>
                  </w:r>
                </w:p>
                <w:p w:rsidR="00622A95" w:rsidRPr="009A2018" w:rsidRDefault="00622A95" w:rsidP="00EC1790">
                  <w:pPr>
                    <w:pStyle w:val="ListParagraph"/>
                    <w:numPr>
                      <w:ilvl w:val="0"/>
                      <w:numId w:val="25"/>
                    </w:numPr>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 xml:space="preserve">nastavi s </w:t>
                  </w:r>
                  <w:r w:rsidR="00AD4952">
                    <w:rPr>
                      <w:rFonts w:ascii="Times New Roman" w:hAnsi="Times New Roman"/>
                      <w:color w:val="000000"/>
                      <w:sz w:val="24"/>
                    </w:rPr>
                    <w:t>usaglašavanjem pravnog okvira s r</w:t>
                  </w:r>
                  <w:r w:rsidRPr="009A2018">
                    <w:rPr>
                      <w:rFonts w:ascii="Times New Roman" w:hAnsi="Times New Roman"/>
                      <w:color w:val="000000"/>
                      <w:sz w:val="24"/>
                    </w:rPr>
                    <w:t>egulativama TEN-T i TEN-E.</w:t>
                  </w:r>
                </w:p>
              </w:tc>
            </w:tr>
          </w:tbl>
          <w:p w:rsidR="00622A95" w:rsidRPr="009A2018" w:rsidRDefault="00622A95" w:rsidP="00EC1790">
            <w:pPr>
              <w:spacing w:after="120" w:line="240" w:lineRule="auto"/>
              <w:rPr>
                <w:rFonts w:cs="Times New Roman"/>
                <w:szCs w:val="24"/>
              </w:rPr>
            </w:pPr>
          </w:p>
        </w:tc>
      </w:tr>
    </w:tbl>
    <w:p w:rsidR="00622A95" w:rsidRPr="009A2018" w:rsidRDefault="00622A95" w:rsidP="00EC1790">
      <w:pPr>
        <w:autoSpaceDE w:val="0"/>
        <w:autoSpaceDN w:val="0"/>
        <w:adjustRightInd w:val="0"/>
        <w:spacing w:after="120" w:line="240" w:lineRule="auto"/>
        <w:jc w:val="both"/>
        <w:rPr>
          <w:rFonts w:eastAsia="Times New Roman" w:cs="Times New Roman"/>
          <w:color w:val="000000"/>
          <w:szCs w:val="24"/>
        </w:rPr>
      </w:pPr>
      <w:r w:rsidRPr="009A2018">
        <w:rPr>
          <w:color w:val="000000"/>
        </w:rPr>
        <w:t xml:space="preserve">U oblasti </w:t>
      </w:r>
      <w:r w:rsidRPr="009A2018">
        <w:rPr>
          <w:b/>
          <w:color w:val="000000"/>
        </w:rPr>
        <w:t>saobraćajnih mreža</w:t>
      </w:r>
      <w:r w:rsidRPr="009A2018">
        <w:rPr>
          <w:color w:val="000000"/>
        </w:rPr>
        <w:t>, Crna Gora učestvuje u Ugovoru o saobraćajnoj zajednici (TCT) i nastavlja da učestvuje u Agendi povezivanja Zapadnobalkanske šestorke. Učestvuje na sastancima regionalnih Upravnih odbora TCT-a, kao i u drugim tehničkim odborima TCT-a (za željeznicu, bezbjednost saobraćaja na putevima, olakšavanje procesa saobraćaja i tehnički odbori za drumski saobraćaj). Nadležni organi Crne Gore podstiču se da nastave i intenziviraju saradnju u skladu s Ugovorom o saobraćajnoj zajednici.</w:t>
      </w:r>
    </w:p>
    <w:p w:rsidR="00622A95" w:rsidRPr="009A2018" w:rsidRDefault="00622A95" w:rsidP="00EC1790">
      <w:pPr>
        <w:autoSpaceDE w:val="0"/>
        <w:autoSpaceDN w:val="0"/>
        <w:adjustRightInd w:val="0"/>
        <w:spacing w:after="120" w:line="240" w:lineRule="auto"/>
        <w:jc w:val="both"/>
        <w:rPr>
          <w:rFonts w:eastAsia="Times New Roman" w:cs="Times New Roman"/>
          <w:color w:val="000000"/>
          <w:szCs w:val="24"/>
        </w:rPr>
      </w:pPr>
      <w:r w:rsidRPr="009A2018">
        <w:rPr>
          <w:color w:val="000000"/>
        </w:rPr>
        <w:t xml:space="preserve">Nova </w:t>
      </w:r>
      <w:r w:rsidR="004E3DE3">
        <w:rPr>
          <w:color w:val="000000"/>
        </w:rPr>
        <w:t>S</w:t>
      </w:r>
      <w:r w:rsidR="004E3DE3" w:rsidRPr="009A2018">
        <w:rPr>
          <w:color w:val="000000"/>
        </w:rPr>
        <w:t xml:space="preserve">trategija </w:t>
      </w:r>
      <w:r w:rsidRPr="009A2018">
        <w:rPr>
          <w:color w:val="000000"/>
        </w:rPr>
        <w:t xml:space="preserve">razvoja saobraćaja za period 2019-2035. godine i njen </w:t>
      </w:r>
      <w:r w:rsidR="004E3DE3">
        <w:rPr>
          <w:color w:val="000000"/>
        </w:rPr>
        <w:t>A</w:t>
      </w:r>
      <w:r w:rsidR="004E3DE3" w:rsidRPr="009A2018">
        <w:rPr>
          <w:color w:val="000000"/>
        </w:rPr>
        <w:t xml:space="preserve">kcioni </w:t>
      </w:r>
      <w:r w:rsidRPr="009A2018">
        <w:rPr>
          <w:color w:val="000000"/>
        </w:rPr>
        <w:t>plan za 2019-2020. godine usvojeni su u junu 2019. godine. Njen ambiciozni plan finansiranja obuhvata jedan broj ključnih projekata za mreže i zasniva se na pretpostavci da će značajan dio finansijskih sredstava biti prikupljen iz privatnog kapitala.</w:t>
      </w:r>
    </w:p>
    <w:p w:rsidR="00622A95" w:rsidRPr="009A2018" w:rsidRDefault="00622A95" w:rsidP="00EC1790">
      <w:pPr>
        <w:autoSpaceDE w:val="0"/>
        <w:autoSpaceDN w:val="0"/>
        <w:adjustRightInd w:val="0"/>
        <w:spacing w:after="120" w:line="240" w:lineRule="auto"/>
        <w:jc w:val="both"/>
        <w:rPr>
          <w:rFonts w:eastAsia="Times New Roman" w:cs="Times New Roman"/>
          <w:color w:val="000000"/>
          <w:szCs w:val="24"/>
        </w:rPr>
      </w:pPr>
      <w:r w:rsidRPr="009A2018">
        <w:rPr>
          <w:color w:val="000000"/>
        </w:rPr>
        <w:t>Vlada je u julu 2019. godine usvojila ažuriranu Jedinstvenu listu prioritetnih infrastrukturnih projekata, koja uključuje 56 projekata u sektoru energetike, saobraćaja, životne sredine, socijalnog sektora i digitalne infrastrukture, s procijenjenom ukupnom vrijednošću od oko 5,1 milijardi eura. Međutim, procjena troškova projekata iz sektora saobraćaja nije ažurirana od 2017. godine.</w:t>
      </w:r>
    </w:p>
    <w:p w:rsidR="00622A95" w:rsidRPr="009A2018" w:rsidRDefault="00622A95" w:rsidP="00EC1790">
      <w:pPr>
        <w:autoSpaceDE w:val="0"/>
        <w:autoSpaceDN w:val="0"/>
        <w:adjustRightInd w:val="0"/>
        <w:spacing w:after="120" w:line="240" w:lineRule="auto"/>
        <w:jc w:val="both"/>
        <w:rPr>
          <w:rFonts w:eastAsia="Times New Roman" w:cs="Times New Roman"/>
          <w:color w:val="000000"/>
          <w:szCs w:val="24"/>
        </w:rPr>
      </w:pPr>
      <w:r w:rsidRPr="009A2018">
        <w:rPr>
          <w:color w:val="000000"/>
        </w:rPr>
        <w:t xml:space="preserve">U oblasti </w:t>
      </w:r>
      <w:r w:rsidRPr="009A2018">
        <w:rPr>
          <w:b/>
          <w:color w:val="000000"/>
        </w:rPr>
        <w:t>razvoja infrastrukture</w:t>
      </w:r>
      <w:r w:rsidRPr="009A2018">
        <w:rPr>
          <w:color w:val="000000"/>
        </w:rPr>
        <w:t>, radovi na izgradnji autoputa Bar-Boljare nastavljeni</w:t>
      </w:r>
      <w:r w:rsidR="00AD4952">
        <w:rPr>
          <w:color w:val="000000"/>
        </w:rPr>
        <w:t xml:space="preserve"> </w:t>
      </w:r>
      <w:r w:rsidRPr="009A2018">
        <w:rPr>
          <w:color w:val="000000"/>
        </w:rPr>
        <w:t xml:space="preserve">su na prioritetnoj dionici od Smokovca do Mateševa. Projekti se sprovode u okviru transevropske saobraćajne </w:t>
      </w:r>
      <w:r w:rsidRPr="009A2018">
        <w:t>mreže (TEN-T)</w:t>
      </w:r>
      <w:r w:rsidRPr="009A2018">
        <w:rPr>
          <w:color w:val="000000"/>
        </w:rPr>
        <w:t>, koja je dio indikativnog</w:t>
      </w:r>
      <w:r w:rsidRPr="009A2018">
        <w:t xml:space="preserve"> proširenja koridora Bliski istok-Istočni Mediteran na Zapadnom Balkanu</w:t>
      </w:r>
      <w:r w:rsidRPr="009A2018">
        <w:rPr>
          <w:color w:val="000000"/>
        </w:rPr>
        <w:t>. Prioritetna dionica autoputa, koji se finansira kineskim kreditom, suočila se sa dodatnim kašnjenjima i prekoračenjima troškova, što je dodatno otežano pojavom COVID-19. Prema sadašnjim očekivanjima završetak se očekuje do juna 2021. godine.</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color w:val="000000"/>
        </w:rPr>
        <w:t xml:space="preserve">U okviru Zapadnobalkanskog investicionog okvira, Crna Gora je aplicirala za sufinansiranje izgradnje druge dionice autoputa. Međutim, zahtjev je na čekanju do finalizacije analize troškova i koristi za cjelokupan autoput Bar-Boljare. Očekuje se da će studija, čija izrada kasni, utvrditi preporučene standarde i predložiti sredstva za finansiranje ostalih dionica. </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t xml:space="preserve">Nastavljeno je s ostvarivanjem napretka kada je riječ o elaboratima za projekat Jadransko-jonskog auto-puta, uz određena kašnjenja. Unapređenje željezničke pruge Bar-Vrbnica </w:t>
      </w:r>
      <w:r w:rsidRPr="009A2018">
        <w:rPr>
          <w:i/>
          <w:iCs/>
        </w:rPr>
        <w:t>nastavlja se uz finansiranje iz sredstava Evropske unije</w:t>
      </w:r>
      <w:r w:rsidRPr="009A2018">
        <w:t>. U junu 2019. godine, WBIF je odobrio grant od 3.000.000 eura za izradu sveobuhvatnog projekta i tenderske dokumentacije za dionicu pruge Golubovci-Bar</w:t>
      </w:r>
      <w:r w:rsidRPr="009A2018">
        <w:rPr>
          <w:color w:val="000000"/>
        </w:rPr>
        <w:t>.</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Trenutna i buduća infrastrukturna ulaganja moraju u potpunosti da poštuju standarde EU o javnim nabavkama, državnoj pomoći i procjeni uticaja na životnu sredinu. Pored toga, investicije treba da se sprovedu u skladu s analizama troškova i koristi koje se izrađuju u skladu s najboljom praksom EU.</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Ministarstvu saobraćaja i pomorstva </w:t>
      </w:r>
      <w:r w:rsidRPr="009A2018">
        <w:rPr>
          <w:b/>
        </w:rPr>
        <w:t xml:space="preserve">institucionalni okvir </w:t>
      </w:r>
      <w:r w:rsidRPr="009A2018">
        <w:t>izmijenjen je formiranjem uprave za saobraćaj odgovorne za razvoj i održavanje glavnih državnih i regionalnih puteva. Državna kompanija Monteput i dalje je odgovorna za razvoj auto-puteva i krupne putne infrastrukture, posebno Jadransko-jonskog autoputa.</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oblasti </w:t>
      </w:r>
      <w:r w:rsidRPr="009A2018">
        <w:rPr>
          <w:b/>
        </w:rPr>
        <w:t>željezničkog saobraćaja</w:t>
      </w:r>
      <w:r w:rsidRPr="009A2018">
        <w:t xml:space="preserve">, u aprilu 2019. godine, Direkcija za željeznice postala je Uprava za željeznice i sada funkcioniše kao nezavisni upravni organ. Međutim, praktično obavljanje poslova u oblasti bezbjednosti i regulatornih poslova i dalje treba posebno utvrditi u zakonodavnom okviru, s obzirom da tek predstoji usvajanje planiranog novog </w:t>
      </w:r>
      <w:r w:rsidR="004E3DE3">
        <w:t>Z</w:t>
      </w:r>
      <w:r w:rsidR="004E3DE3" w:rsidRPr="009A2018">
        <w:t xml:space="preserve">akona </w:t>
      </w:r>
      <w:r w:rsidRPr="009A2018">
        <w:t>o željeznici. Administrativni i tehnički kapaciteti četiri kompanije u državnom vlasništvu i dalje su ograničeni.</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color w:val="000000"/>
        </w:rPr>
        <w:t xml:space="preserve">U oblasti </w:t>
      </w:r>
      <w:r w:rsidRPr="009A2018">
        <w:rPr>
          <w:b/>
          <w:color w:val="000000"/>
        </w:rPr>
        <w:t>energetskih mreža</w:t>
      </w:r>
      <w:r w:rsidRPr="009A2018">
        <w:rPr>
          <w:color w:val="000000"/>
        </w:rPr>
        <w:t>, nastavljeno je ostvarivanje napretka u povezivanju elektroenergetskih sistema Srbije, Bosne i Hercegovine, Italije i Crne Gore. Ovaj projekat nalazi se na Listi projekata od interesa za Energetsku zajednicu</w:t>
      </w:r>
      <w:r w:rsidRPr="009A2018">
        <w:t>. Interkonekcija za podmorski kabal između Crne Gore i Italije puštena je u rad u novembru 2019. godine. Uz finansijsku podršku EU, nastavljene su aktivnosti na izradi idejnog projekta za Jadransko-jonski gasovod, dionica kroz Crnu Goru i Albaniju, s ciljem finalizacije studije do septembra 2020. godine. Ovaj projekat nalazi se na listi projekata od zajedničkog interesa.</w:t>
      </w:r>
      <w:r w:rsidRPr="009A2018">
        <w:rPr>
          <w:color w:val="000000"/>
        </w:rPr>
        <w:t xml:space="preserve"> U izvještajnom periodu ostvaren je određeni napredak u pogledu mjera za povezivanje u oblasti energetike.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Crna Gora još uvijek nije u potpunosti uskladila svoje zakonodavstvo s pravnom tekovinom EU u oblasti TEN-T i TEN-E. Izrada analize nedostataka u zakonodavnom okviru i mapiranje institucionalnih kapaciteta je u toku. U pogledu transevropskih komunikacionih mreža, Zakon o elektronskim komunikacijama usklađen je s pravnom tekovinom EU.</w:t>
      </w:r>
    </w:p>
    <w:p w:rsidR="00622A95" w:rsidRPr="009A2018" w:rsidRDefault="00622A95" w:rsidP="00EC1790">
      <w:pPr>
        <w:pStyle w:val="Heading2"/>
        <w:rPr>
          <w:rFonts w:eastAsia="Times New Roman"/>
        </w:rPr>
      </w:pPr>
      <w:bookmarkStart w:id="253" w:name="_Toc30080586"/>
      <w:bookmarkStart w:id="254" w:name="_Toc30074164"/>
      <w:bookmarkStart w:id="255" w:name="_Toc30073851"/>
      <w:bookmarkStart w:id="256" w:name="_Toc52744955"/>
      <w:bookmarkStart w:id="257" w:name="_Toc53362463"/>
      <w:r w:rsidRPr="009A2018">
        <w:t>5.22</w:t>
      </w:r>
      <w:r w:rsidR="00585E64" w:rsidRPr="009A2018">
        <w:tab/>
      </w:r>
      <w:r w:rsidRPr="009A2018">
        <w:t>Poglavlje 22: Regionalna politika i koordinacija strukturnih instrumenata</w:t>
      </w:r>
      <w:bookmarkEnd w:id="253"/>
      <w:bookmarkEnd w:id="254"/>
      <w:bookmarkEnd w:id="255"/>
      <w:bookmarkEnd w:id="256"/>
      <w:bookmarkEnd w:id="257"/>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rPr>
      </w:pPr>
      <w:r w:rsidRPr="009A2018">
        <w:rPr>
          <w:i/>
          <w:color w:val="000000"/>
        </w:rPr>
        <w:t>Regionalna politika je glavna investiciona politika EU za održiv i inkluzivan ekonomski rast. Države članice odgovorne su za njeno sprovođenje, što zahtijeva odgovarajuće administrativne kapacitete i dobro finansijsko upravljanje tokom pripreme i realizacije projekata.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622A95" w:rsidRPr="009A2018" w:rsidTr="00620E1E">
        <w:tc>
          <w:tcPr>
            <w:tcW w:w="9356" w:type="dxa"/>
            <w:tcBorders>
              <w:top w:val="single" w:sz="4" w:space="0" w:color="auto"/>
              <w:left w:val="single" w:sz="4" w:space="0" w:color="auto"/>
              <w:bottom w:val="single" w:sz="4" w:space="0" w:color="auto"/>
              <w:right w:val="single" w:sz="4" w:space="0" w:color="auto"/>
            </w:tcBorders>
            <w:shd w:val="clear" w:color="auto" w:fill="D9D9D9"/>
            <w:hideMark/>
          </w:tcPr>
          <w:p w:rsidR="00622A95" w:rsidRPr="009A2018" w:rsidRDefault="00622A95" w:rsidP="00EC1790">
            <w:pP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 xml:space="preserve">Crna Gora je </w:t>
            </w:r>
            <w:r w:rsidRPr="009A2018">
              <w:rPr>
                <w:b/>
                <w:color w:val="000000"/>
              </w:rPr>
              <w:t>umjereno spremna</w:t>
            </w:r>
            <w:r w:rsidRPr="009A2018">
              <w:rPr>
                <w:color w:val="000000"/>
              </w:rPr>
              <w:t xml:space="preserve"> u pogledu regionalne politike i koordinacije strukturnih instrumenata. Ostvaren je </w:t>
            </w:r>
            <w:r w:rsidRPr="009A2018">
              <w:rPr>
                <w:b/>
                <w:color w:val="000000"/>
              </w:rPr>
              <w:t>ograničen napredak</w:t>
            </w:r>
            <w:r w:rsidRPr="009A2018">
              <w:rPr>
                <w:color w:val="000000"/>
              </w:rPr>
              <w:t xml:space="preserve"> u izvještajnom periodu, naročito u pogledu planiranja i javnih nabavki, koji i dalje treba da se ojačaju, a sposobnosti izrade projekata i strateškog planiranja moraju da se poboljšaju.</w:t>
            </w:r>
          </w:p>
          <w:p w:rsidR="00622A95" w:rsidRPr="009A2018" w:rsidRDefault="00622A95" w:rsidP="00EC1790">
            <w:pPr>
              <w:shd w:val="clear" w:color="auto" w:fill="D9D9D9"/>
              <w:autoSpaceDE w:val="0"/>
              <w:autoSpaceDN w:val="0"/>
              <w:adjustRightInd w:val="0"/>
              <w:spacing w:after="120" w:line="240" w:lineRule="auto"/>
              <w:jc w:val="both"/>
              <w:rPr>
                <w:rFonts w:eastAsia="Calibri" w:cs="Times New Roman"/>
                <w:color w:val="000000"/>
                <w:szCs w:val="24"/>
              </w:rPr>
            </w:pPr>
            <w:r w:rsidRPr="009A2018">
              <w:rPr>
                <w:color w:val="000000"/>
              </w:rPr>
              <w:t>Tokom naredne godine, Crna Gora naročito treba da:</w:t>
            </w:r>
          </w:p>
          <w:p w:rsidR="00622A95" w:rsidRPr="009A2018" w:rsidRDefault="00622A95" w:rsidP="00EC1790">
            <w:pPr>
              <w:pStyle w:val="ListParagraph"/>
              <w:numPr>
                <w:ilvl w:val="0"/>
                <w:numId w:val="26"/>
              </w:numP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uloži dodatne napore za sprovođenje pretpristupnih programa podrške EU u okviru indirektnog upravljanja;</w:t>
            </w:r>
          </w:p>
          <w:p w:rsidR="00622A95" w:rsidRPr="009A2018" w:rsidRDefault="00622A95" w:rsidP="00EC1790">
            <w:pPr>
              <w:pStyle w:val="ListParagraph"/>
              <w:numPr>
                <w:ilvl w:val="0"/>
                <w:numId w:val="26"/>
              </w:numP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nastavi sprovođenje Akcionog plana za ispunjavanje zahtjeva kohezione politike EU;</w:t>
            </w:r>
          </w:p>
          <w:p w:rsidR="00622A95" w:rsidRPr="009A2018" w:rsidRDefault="00622A95" w:rsidP="00EC1790">
            <w:pPr>
              <w:pStyle w:val="ListParagraph"/>
              <w:numPr>
                <w:ilvl w:val="0"/>
                <w:numId w:val="26"/>
              </w:numP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hAnsi="Times New Roman"/>
                <w:color w:val="000000"/>
                <w:sz w:val="24"/>
              </w:rPr>
              <w:t>unaprijedi kapacitete za planiranje i izradu projekata, s posebnim naglaskom na jedinstvenu listu prioritetnih projekata.</w:t>
            </w:r>
          </w:p>
        </w:tc>
      </w:tr>
    </w:tbl>
    <w:p w:rsidR="00622A95" w:rsidRPr="009A2018" w:rsidRDefault="00622A95" w:rsidP="00EC1790">
      <w:pPr>
        <w:spacing w:after="120" w:line="240" w:lineRule="auto"/>
        <w:jc w:val="both"/>
        <w:rPr>
          <w:rFonts w:eastAsia="Calibri" w:cs="Times New Roman"/>
          <w:szCs w:val="24"/>
        </w:rPr>
      </w:pPr>
      <w:r w:rsidRPr="009A2018">
        <w:t xml:space="preserve">Kada je riječ o </w:t>
      </w:r>
      <w:r w:rsidRPr="009A2018">
        <w:rPr>
          <w:b/>
        </w:rPr>
        <w:t>zakonodavnom okviru</w:t>
      </w:r>
      <w:r w:rsidRPr="009A2018">
        <w:t xml:space="preserve">, Zakon o javno privatnom partnerstvu stupio je na snagu u januaru i shodno tome osnovana državna Agencija za investicije, dok je Sekretarijat za razvojne projekte ukinut. Uloga Tehničkog sekretarijata Nacionalne investicione komisije (formalizovana usvajanjem izmjena Pravilnika o unutrašnoj organizaciji Kancelarije za evropske integracije) je shodno tome prenijeta na Nacionalnog IPA koordinatora. Ovo može da bude pozitivan korak, s obzirom na to da direktno utiče na njegovu nadzornu ulogu jedinstvene liste prioritetnih infrastrukturnih projekata, koja je povezana s Investicionim okvirom za Zapadni Balkan. I Zakon o javnim nabavkama usvojen je u decembru. Međutim, oba zakona usvojena su bez podzakonskih akata, što trenutno onemogućava njihovo sprovođenje. Prenošenje ključnih djelova pravne tekovine EU u okviru ostalih poglavlja i dalje je pretpostavka za uspješno sprovođenje strukturnih i investicionih fondova EU. </w:t>
      </w:r>
    </w:p>
    <w:p w:rsidR="00622A95" w:rsidRPr="009A2018" w:rsidRDefault="00622A95" w:rsidP="00EC1790">
      <w:pPr>
        <w:spacing w:after="120" w:line="240" w:lineRule="auto"/>
        <w:jc w:val="both"/>
        <w:rPr>
          <w:rFonts w:eastAsia="Calibri" w:cs="Times New Roman"/>
          <w:szCs w:val="24"/>
        </w:rPr>
      </w:pPr>
      <w:r w:rsidRPr="009A2018">
        <w:t xml:space="preserve">U dijelu </w:t>
      </w:r>
      <w:r w:rsidRPr="009A2018">
        <w:rPr>
          <w:b/>
        </w:rPr>
        <w:t>institucionalnog okvira</w:t>
      </w:r>
      <w:r w:rsidRPr="009A2018">
        <w:t>, postojeća situacija u pogledu upravljanja pretpristupnom pomoći EU (IPA) ostala je nepromijenjena. Sa otpočinjanjem sprovođenja IPA II i razvojem IPA III, neophodno je da se kapaciteti i resursi i dalje jačaju.</w:t>
      </w:r>
    </w:p>
    <w:p w:rsidR="00622A95" w:rsidRPr="009A2018" w:rsidRDefault="00622A95" w:rsidP="00EC1790">
      <w:pPr>
        <w:spacing w:after="120" w:line="240" w:lineRule="auto"/>
        <w:jc w:val="both"/>
        <w:rPr>
          <w:rFonts w:eastAsia="Calibri" w:cs="Times New Roman"/>
          <w:szCs w:val="24"/>
        </w:rPr>
      </w:pPr>
      <w:r w:rsidRPr="009A2018">
        <w:t xml:space="preserve">Kada su u pitanju </w:t>
      </w:r>
      <w:r w:rsidRPr="009A2018">
        <w:rPr>
          <w:b/>
        </w:rPr>
        <w:t>administrativni kapaciteti</w:t>
      </w:r>
      <w:r w:rsidRPr="009A2018">
        <w:t xml:space="preserve">, zapošljeni su novi kadrovi u ugovornim tijelima, ali kapacitet nadležnih ministarstava, na primjer, Ministarstva održivog razvoja i turizma, ostaje nizak. Time se stvara rizik po blagovremeno sprovođenje projekata u okviru njegovih nadležnosti koji su od značaja za proces pristupanja. U poređenju s prethodnim periodom, zapažena su određena poboljšanja u vezi sa politikom zadržavanja kadra, a u martu 2019. godine je sprovedena uredba Vlade kojom se omogućava uvećanje zarada od 30% za zaposlene koji rade sa IPA. Sektorska radna grupa u ovom poglavlju sastala se nekoliko putatokom godine radi razmatranja preporuka iz prethodnog izvještaja EK, ali još uvijek nijesu vidljivi konkretni rezultati rada ove grupe. </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U oblasti </w:t>
      </w:r>
      <w:r w:rsidRPr="00095948">
        <w:rPr>
          <w:b/>
          <w:lang w:val="fr-FR"/>
        </w:rPr>
        <w:t xml:space="preserve">programiranja, </w:t>
      </w:r>
      <w:r w:rsidRPr="00095948">
        <w:rPr>
          <w:lang w:val="fr-FR"/>
        </w:rPr>
        <w:t>Crna Gora je nastavila sa primjenom sektorskog pristupa u okviru programa IPA II. Izmijenjena Jedinstvena lista prioritetnih infrastrukturnih projekata odobrena je u julu 2019. godine; međutim, ne</w:t>
      </w:r>
      <w:r w:rsidR="00AD4952" w:rsidRPr="00095948">
        <w:rPr>
          <w:lang w:val="fr-FR"/>
        </w:rPr>
        <w:t>dostatak zrelosti projekata spr</w:t>
      </w:r>
      <w:r w:rsidRPr="00095948">
        <w:rPr>
          <w:lang w:val="fr-FR"/>
        </w:rPr>
        <w:t xml:space="preserve">ečava buduće programiranje i implementaciju. Kapaciteti za upravljanje kapitalnim/infrastrukturnim investicijama i dalje su slabi, naročito na nivou resornih ministarstava. </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Kada su u pitanju </w:t>
      </w:r>
      <w:r w:rsidRPr="00095948">
        <w:rPr>
          <w:b/>
          <w:lang w:val="fr-FR"/>
        </w:rPr>
        <w:t>monitoring i evaluacija</w:t>
      </w:r>
      <w:r w:rsidRPr="00095948">
        <w:rPr>
          <w:lang w:val="fr-FR"/>
        </w:rPr>
        <w:t>, sastanci odbora za praćenje u okviru indirektnog upravljanja se i dalje redovno održavaju. Dinamika ugovaranja programa u okviru indirektnog upravljanja i dalje je spora.</w:t>
      </w:r>
    </w:p>
    <w:p w:rsidR="00622A95" w:rsidRPr="00095948" w:rsidRDefault="00622A95" w:rsidP="00EC1790">
      <w:pPr>
        <w:spacing w:after="120" w:line="240" w:lineRule="auto"/>
        <w:jc w:val="both"/>
        <w:rPr>
          <w:rFonts w:eastAsia="Calibri" w:cs="Times New Roman"/>
          <w:szCs w:val="24"/>
          <w:lang w:val="fr-FR"/>
        </w:rPr>
      </w:pPr>
      <w:r w:rsidRPr="00095948">
        <w:rPr>
          <w:lang w:val="fr-FR"/>
        </w:rPr>
        <w:t xml:space="preserve">Što se tiče </w:t>
      </w:r>
      <w:r w:rsidRPr="00095948">
        <w:rPr>
          <w:b/>
          <w:lang w:val="fr-FR"/>
        </w:rPr>
        <w:t>finansijskog upravljanja, kontrole i revizije</w:t>
      </w:r>
      <w:r w:rsidRPr="00095948">
        <w:rPr>
          <w:lang w:val="fr-FR"/>
        </w:rPr>
        <w:t xml:space="preserve">, Vlada je odobrila prvi korak ka uspostavljanju Upravljačkog informacionog sistema. Kapacitet Državne revizorske institucije je unaprijeđen, dok je unutrašnja revizija za cijeli IPA sistem dodijeljena specijalizovanoj jedinici u Ministarstvu finansija, koja je zamijenila jedinice unutar svakog ministarstva, u skladu s odlukom Vlade o unutrašnjoj reviziji u javnom sektoru. </w:t>
      </w:r>
    </w:p>
    <w:p w:rsidR="00622A95" w:rsidRPr="00095948" w:rsidRDefault="00622A95" w:rsidP="00EC1790">
      <w:pPr>
        <w:pStyle w:val="Heading2"/>
        <w:rPr>
          <w:rFonts w:eastAsia="Times New Roman"/>
          <w:lang w:val="fr-FR"/>
        </w:rPr>
      </w:pPr>
      <w:bookmarkStart w:id="258" w:name="_Toc30080587"/>
      <w:bookmarkStart w:id="259" w:name="_Toc30074165"/>
      <w:bookmarkStart w:id="260" w:name="_Toc30073852"/>
      <w:bookmarkStart w:id="261" w:name="_Toc52744956"/>
      <w:bookmarkStart w:id="262" w:name="_Toc53362464"/>
      <w:r w:rsidRPr="00095948">
        <w:rPr>
          <w:lang w:val="fr-FR"/>
        </w:rPr>
        <w:t>5.25</w:t>
      </w:r>
      <w:r w:rsidR="00585E64" w:rsidRPr="00095948">
        <w:rPr>
          <w:lang w:val="fr-FR"/>
        </w:rPr>
        <w:tab/>
      </w:r>
      <w:r w:rsidRPr="00095948">
        <w:rPr>
          <w:lang w:val="fr-FR"/>
        </w:rPr>
        <w:t>Poglavlje 25: Nauka i istraživanje</w:t>
      </w:r>
      <w:bookmarkEnd w:id="258"/>
      <w:bookmarkEnd w:id="259"/>
      <w:bookmarkEnd w:id="260"/>
      <w:bookmarkEnd w:id="261"/>
      <w:bookmarkEnd w:id="262"/>
    </w:p>
    <w:p w:rsidR="00622A95" w:rsidRPr="00095948" w:rsidRDefault="00622A95" w:rsidP="00EC1790">
      <w:pPr>
        <w:autoSpaceDE w:val="0"/>
        <w:autoSpaceDN w:val="0"/>
        <w:spacing w:after="120" w:line="240" w:lineRule="auto"/>
        <w:jc w:val="both"/>
        <w:rPr>
          <w:rFonts w:eastAsia="Calibri" w:cs="Times New Roman"/>
          <w:i/>
          <w:iCs/>
          <w:szCs w:val="24"/>
          <w:lang w:val="fr-FR"/>
        </w:rPr>
      </w:pPr>
      <w:r w:rsidRPr="00095948">
        <w:rPr>
          <w:i/>
          <w:lang w:val="fr-FR"/>
        </w:rPr>
        <w:t xml:space="preserve">EU pruža značajnu podršku istraživanju i inovacijama. Sve države članice mogu imati koristi od istraživačkih programa EU, pogotovo kada njeguju naučnu izvrsnost i snažno ulažu u istraživanje.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szCs w:val="24"/>
        </w:rPr>
      </w:pPr>
      <w:r w:rsidRPr="009A2018">
        <w:t xml:space="preserve">Crna Gora ima </w:t>
      </w:r>
      <w:r w:rsidRPr="009A2018">
        <w:rPr>
          <w:b/>
        </w:rPr>
        <w:t xml:space="preserve">dobar nivo spremnosti </w:t>
      </w:r>
      <w:r w:rsidRPr="009A2018">
        <w:t xml:space="preserve">u ovom sektoru. Ostvaren je </w:t>
      </w:r>
      <w:r w:rsidRPr="009A2018">
        <w:rPr>
          <w:b/>
        </w:rPr>
        <w:t>dobar napredak</w:t>
      </w:r>
      <w:r w:rsidRPr="009A2018">
        <w:t xml:space="preserve"> u pogledu dvije preporuke iz 2019. godine usvajanjem Strategije pametne specijalizacije i značajnim poboljšanjem učešća u programu Horizont 2020. </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szCs w:val="24"/>
        </w:rPr>
      </w:pPr>
      <w:r w:rsidRPr="009A2018">
        <w:t>Tokom naredne godine, Crna Gora naročito treba da: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szCs w:val="24"/>
        </w:rPr>
      </w:pPr>
      <w:r w:rsidRPr="009A2018">
        <w:t>→ nastavi sprovođenje Strategije pametne specijalizacije;</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szCs w:val="24"/>
        </w:rPr>
      </w:pPr>
      <w:r w:rsidRPr="009A2018">
        <w:t xml:space="preserve">→ intenzivira investiranje u istraživanje i inovacije i nastavi da povećava učešće u programu Horizont 2020.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dijelu </w:t>
      </w:r>
      <w:r w:rsidRPr="009A2018">
        <w:rPr>
          <w:b/>
        </w:rPr>
        <w:t>politike istraživanja i inovacija</w:t>
      </w:r>
      <w:r w:rsidRPr="009A2018">
        <w:t xml:space="preserve">, nastavljeno je sprovođenje strategija, uključujući </w:t>
      </w:r>
      <w:r w:rsidRPr="009A2018">
        <w:rPr>
          <w:color w:val="000000"/>
        </w:rPr>
        <w:t xml:space="preserve">i mjere podrške za stimulisanje kulture inovacija, dva predakceleracijska programa za inovativne startapove i rad na izmjenama propisa radi uvođenja stimulativnih fiskalnih mjera. </w:t>
      </w:r>
      <w:r w:rsidRPr="009A2018">
        <w:t xml:space="preserve">Preduzeti su i pozitivni koraci u pravcu „otvorenog pristupa“ usvajanjem izmjena Mape puta za istraživačku infrastrukturu kao i nacionalnog Programa za implementaciju principa otvorene nauke.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Crna Gora ima sve veću naučnu bazu, a iznos finansijskih sredstava raste od 2017. godine. Pristup finansiranju za istraživanja i inovacije poboljšan je kroz podršku za obuku za pristup međunarodnim finansijskim sredstvima. Finansijska sredstva za istraživanja i razvoj povećana su na 0,50% BDP u 2018. godini (u odnosu na 0,37% u 2017. godini).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maju 2020. godine, Crna Gora je uvrštena u Evropsku tabelu uspješnosti u inovacijama kao osrednji inovator, što predstavlja važan korak u unapređivanju statističkog sistema i praćenju implementacije Strategije pametne specijalizacije Crne Gore za period 2019-2024. godine.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U januaru 2020. godine, Univerzitetu Crne Gore (UCG) dodijeljen je logo „Izvrsnosti ljudskih resursa u istraživanju“ čime je potvrđeno da UCG poštuje određene principe ljudskih resursa koji su utvrđeni u Evropskoj povelji za istraživače i Kodeksu. Da bi dalje napredovao, UCG sada mora da sprovede date preporuke. U januaru</w:t>
      </w:r>
      <w:r w:rsidR="00D02D19">
        <w:t xml:space="preserve"> </w:t>
      </w:r>
      <w:r w:rsidRPr="009A2018">
        <w:t>2020. godine počela su sa radom dva nova centra izvrsnosti (koji obuhvataju nauku o hrani i biomedicinu), a sredstva od 1,8 miliona eura opredijeljena su za period od tri godine.</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 xml:space="preserve">U junu 2019. godine Crna Gora bila je prva zemlja u regionu koja je usvojila Strategiju pametne specijalizacije (S3), koja obuhvata period 2019-2024. godine i prioritet daje oblastima poljoprivrede, energetike, zdravstva, turizma i informacionih tehnologija. S3 uživa veliku političku podršku i, uz pažljivo upravljanje i praćenje, ima potencijal da stvori ekonomski rast razvijanjem konkurentskih prednosti Crne Gore kroz inovativni pristup. U tom cilju, Crna Gora treba da sprovede tehničke preporuke koje proističu iz uslovne pozitivne ocjene Evropske komisije (iz decembra 2019. godine) i osigura kontinuiranu i blisku saradnju svih relevantnih aktera.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Savjet za inovacije i pametnu specijalizaciju osnovan je u avgustu 2019. godine, a njegov sekretarijat počeo je s radom u martu 2020. godine.</w:t>
      </w:r>
      <w:r w:rsidR="00D02D19">
        <w:t xml:space="preserve"> </w:t>
      </w:r>
      <w:r w:rsidRPr="009A2018">
        <w:t>Usvojen je novi Zakon o inovativnoj djelatnosti kojim se predviđa formiranje Fonda za inovacije koji će poslovati kao zasebna institucija, posebno usmjerena na implementaciju S3. Usvojen je i Zakon o podsticajnim mjerama za razvoj istraživanja i inovacija, a pokrenuta je i online platforma (</w:t>
      </w:r>
      <w:hyperlink r:id="rId15" w:history="1">
        <w:r w:rsidRPr="009A2018">
          <w:rPr>
            <w:u w:val="single"/>
          </w:rPr>
          <w:t>www.s3.me</w:t>
        </w:r>
      </w:hyperlink>
      <w:r w:rsidRPr="009A2018">
        <w:t>) kako bi se omogućila komunikacija i vidljivost aktivnosti vezanih za S3. Kolaborativni program za inovacije za period 2019-2024. godine predstavlja jedan od instrumenata za implementaciju S3, s ciljem prenosa inovativnih ideja iz ekonomske zajednice u privredu, kao i da se u buduće pozive uključe perspektivni startapovi povezani s prioritetima iz domena S3.</w:t>
      </w:r>
    </w:p>
    <w:p w:rsidR="00622A95" w:rsidRPr="009A2018" w:rsidRDefault="00622A95" w:rsidP="00EC1790">
      <w:pPr>
        <w:autoSpaceDE w:val="0"/>
        <w:autoSpaceDN w:val="0"/>
        <w:adjustRightInd w:val="0"/>
        <w:spacing w:after="120" w:line="240" w:lineRule="auto"/>
        <w:jc w:val="both"/>
        <w:rPr>
          <w:rFonts w:cs="Times New Roman"/>
          <w:szCs w:val="24"/>
        </w:rPr>
      </w:pPr>
      <w:r w:rsidRPr="009A2018">
        <w:t xml:space="preserve">Kao odgovor na pandemiju COVID-19, Ministarstvo nauke objavilo je poziv za istraživačke projekte u oblasti zdravstva i socio-ekonomskog oporavka (€200.000). Uz Centar za inovacije i preduzetništvo „Tehnopolis“ i novoosnovani Naučno-tehnološki park Crne Gore, Ministarstvo je koordiniralo rad 3-D laboratorija u akademskom i privatnom sektoru za zajedničku izradu lične zaštitne opreme. </w:t>
      </w:r>
    </w:p>
    <w:p w:rsidR="00622A95" w:rsidRPr="009A2018" w:rsidRDefault="00622A95" w:rsidP="00EC1790">
      <w:pPr>
        <w:spacing w:after="120" w:line="240" w:lineRule="auto"/>
        <w:ind w:right="-11"/>
        <w:jc w:val="both"/>
        <w:rPr>
          <w:rFonts w:cs="Times New Roman"/>
          <w:szCs w:val="24"/>
        </w:rPr>
      </w:pPr>
      <w:r w:rsidRPr="009A2018">
        <w:t>Zabilježeno je bolje učešće Crne Gore u programu Horizont 2020 i pokazuje se vrlo dobar trend za 2019. godinu - odobrena su sredstva u iznosu od 3,2 miliona eura direktnog doprinosa EU, uz ostvarivanje stope uspješnosti od 13,9% u odnosu na 12% za program Horizont 2020 u cjelini.</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t>U okviru EU instrumenta za pretpristupnu pomoć (IPA) 13, u okviru Kolaborativne grant šeme za inovativne projektne ideje, u martu 2020. godine potpisani su ugovori za opremanje tri laboratorije u Tehnopolisu i za građevinske radove u Naučno-tehnološkom parku.</w:t>
      </w:r>
    </w:p>
    <w:p w:rsidR="00622A95" w:rsidRPr="00095948" w:rsidRDefault="00622A95" w:rsidP="00EC1790">
      <w:pPr>
        <w:spacing w:after="120" w:line="240" w:lineRule="auto"/>
        <w:jc w:val="both"/>
        <w:rPr>
          <w:lang w:val="fr-FR"/>
        </w:rPr>
      </w:pPr>
      <w:r w:rsidRPr="009A2018">
        <w:t xml:space="preserve">Crna Gora aktivno sarađuje sa međunarodnim tijelima kao što su COST, CERN, IAEA i EUREKA, što za rezultat treba da ima pozitivan uticaj na saradnju između poslovne i akademske zajednice. Crna Gora je posvećena daljem učešću u pan-evropskom istraživanju u oblasti društvenih nauka (eng. </w:t>
      </w:r>
      <w:r w:rsidRPr="00095948">
        <w:rPr>
          <w:i/>
          <w:iCs/>
          <w:lang w:val="fr-FR"/>
        </w:rPr>
        <w:t>European Social Survey</w:t>
      </w:r>
      <w:r w:rsidRPr="00095948">
        <w:rPr>
          <w:lang w:val="fr-FR"/>
        </w:rPr>
        <w:t xml:space="preserve"> - ESS) koje je dio Evropskog konzorcijuma istraživačkih infrastruktura (eng. </w:t>
      </w:r>
      <w:r w:rsidRPr="00095948">
        <w:rPr>
          <w:i/>
          <w:iCs/>
          <w:lang w:val="fr-FR"/>
        </w:rPr>
        <w:t>European Research Infrastructure Consortium</w:t>
      </w:r>
      <w:r w:rsidRPr="00095948">
        <w:rPr>
          <w:lang w:val="fr-FR"/>
        </w:rPr>
        <w:t xml:space="preserve"> - ERIC).</w:t>
      </w:r>
    </w:p>
    <w:p w:rsidR="00622A95" w:rsidRPr="00095948" w:rsidRDefault="00622A95" w:rsidP="00EC1790">
      <w:pPr>
        <w:pStyle w:val="Heading2"/>
        <w:rPr>
          <w:rFonts w:eastAsia="Times New Roman"/>
          <w:lang w:val="fr-FR"/>
        </w:rPr>
      </w:pPr>
      <w:bookmarkStart w:id="263" w:name="_Toc30080588"/>
      <w:bookmarkStart w:id="264" w:name="_Toc30074166"/>
      <w:bookmarkStart w:id="265" w:name="_Toc30073853"/>
      <w:bookmarkStart w:id="266" w:name="_Toc52744957"/>
      <w:bookmarkStart w:id="267" w:name="_Toc53362465"/>
      <w:r w:rsidRPr="00095948">
        <w:rPr>
          <w:rFonts w:eastAsia="Times New Roman"/>
          <w:lang w:val="fr-FR"/>
        </w:rPr>
        <w:t>5.26</w:t>
      </w:r>
      <w:r w:rsidRPr="00095948">
        <w:rPr>
          <w:rFonts w:eastAsia="Times New Roman"/>
          <w:lang w:val="fr-FR"/>
        </w:rPr>
        <w:tab/>
      </w:r>
      <w:bookmarkEnd w:id="263"/>
      <w:bookmarkEnd w:id="264"/>
      <w:bookmarkEnd w:id="265"/>
      <w:bookmarkEnd w:id="266"/>
      <w:r w:rsidRPr="00095948">
        <w:rPr>
          <w:rFonts w:eastAsia="Times New Roman"/>
          <w:lang w:val="fr-FR"/>
        </w:rPr>
        <w:t>Poglavlje 26: Obrazovanje i kultura</w:t>
      </w:r>
      <w:bookmarkEnd w:id="267"/>
    </w:p>
    <w:p w:rsidR="00622A95" w:rsidRPr="00095948" w:rsidRDefault="00622A95" w:rsidP="00EC1790">
      <w:pPr>
        <w:spacing w:after="120" w:line="240" w:lineRule="auto"/>
        <w:jc w:val="both"/>
        <w:rPr>
          <w:rFonts w:eastAsia="Calibri" w:cs="Times New Roman"/>
          <w:i/>
          <w:color w:val="000000"/>
          <w:szCs w:val="24"/>
          <w:lang w:val="fr-FR"/>
        </w:rPr>
      </w:pPr>
      <w:r w:rsidRPr="00095948">
        <w:rPr>
          <w:i/>
          <w:lang w:val="fr-FR"/>
        </w:rPr>
        <w:t>EU podržava saradnju u obrazovanju i kulturi kroz programe finansiranja i koordinaciju politika država članica putem otvorene metode koordinacije. EU i države članice takođe moraju spriječiti diskriminaciju i obezbijediti kvalitetno obrazovanje djece radnika migranata, uključujući i one u nepovoljnom položaju</w:t>
      </w:r>
      <w:r w:rsidRPr="00095948">
        <w:rPr>
          <w:rFonts w:eastAsia="Calibri" w:cs="Times New Roman"/>
          <w:i/>
          <w:color w:val="000000"/>
          <w:szCs w:val="24"/>
          <w:lang w:val="fr-FR"/>
        </w:rPr>
        <w:t>.</w:t>
      </w:r>
    </w:p>
    <w:tbl>
      <w:tblPr>
        <w:tblW w:w="9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28"/>
      </w:tblGrid>
      <w:tr w:rsidR="00622A95" w:rsidRPr="009A2018" w:rsidTr="00620E1E">
        <w:trPr>
          <w:trHeight w:val="189"/>
        </w:trPr>
        <w:tc>
          <w:tcPr>
            <w:tcW w:w="93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622A95" w:rsidRPr="009A2018" w:rsidRDefault="00622A95" w:rsidP="00EC1790">
            <w:pPr>
              <w:spacing w:after="120" w:line="240" w:lineRule="auto"/>
              <w:ind w:right="72"/>
              <w:jc w:val="both"/>
              <w:rPr>
                <w:rFonts w:eastAsia="Calibri" w:cs="Times New Roman"/>
                <w:szCs w:val="24"/>
              </w:rPr>
            </w:pPr>
            <w:r w:rsidRPr="009A2018">
              <w:rPr>
                <w:rFonts w:eastAsia="Calibri" w:cs="Times New Roman"/>
                <w:szCs w:val="24"/>
              </w:rPr>
              <w:t xml:space="preserve">Postoji </w:t>
            </w:r>
            <w:r w:rsidRPr="009A2018">
              <w:rPr>
                <w:rFonts w:eastAsia="Calibri" w:cs="Times New Roman"/>
                <w:b/>
                <w:szCs w:val="24"/>
              </w:rPr>
              <w:t>dobar nivo spremnosti</w:t>
            </w:r>
            <w:r w:rsidRPr="009A2018">
              <w:rPr>
                <w:rFonts w:eastAsia="Calibri" w:cs="Times New Roman"/>
                <w:szCs w:val="24"/>
              </w:rPr>
              <w:t xml:space="preserve"> u ovoj oblasti. Postignut je </w:t>
            </w:r>
            <w:r w:rsidRPr="009A2018">
              <w:rPr>
                <w:rFonts w:eastAsia="Calibri" w:cs="Times New Roman"/>
                <w:b/>
                <w:szCs w:val="24"/>
              </w:rPr>
              <w:t>određeni napredak</w:t>
            </w:r>
            <w:r w:rsidRPr="009A2018">
              <w:rPr>
                <w:rFonts w:eastAsia="Calibri" w:cs="Times New Roman"/>
                <w:szCs w:val="24"/>
              </w:rPr>
              <w:t xml:space="preserve"> u skladu s preporukama iz 2019. godine u pogledu stopa upisa kod predškolskog obrazovanja i vaspitanja, ishoda učenja i stručnog obrazovanja i osposobljavanja.</w:t>
            </w:r>
          </w:p>
          <w:p w:rsidR="00622A95" w:rsidRPr="009A2018" w:rsidRDefault="00622A95" w:rsidP="00EC1790">
            <w:pPr>
              <w:widowControl w:val="0"/>
              <w:autoSpaceDE w:val="0"/>
              <w:autoSpaceDN w:val="0"/>
              <w:spacing w:after="120" w:line="240" w:lineRule="auto"/>
              <w:jc w:val="both"/>
              <w:rPr>
                <w:rFonts w:eastAsia="Calibri" w:cs="Times New Roman"/>
                <w:szCs w:val="24"/>
              </w:rPr>
            </w:pPr>
            <w:r w:rsidRPr="009A2018">
              <w:rPr>
                <w:rFonts w:eastAsia="Calibri" w:cs="Times New Roman"/>
                <w:szCs w:val="24"/>
              </w:rPr>
              <w:t>U narednoj godini, Crna Gora posebno treba da:</w:t>
            </w:r>
          </w:p>
          <w:p w:rsidR="00622A95" w:rsidRPr="009A2018" w:rsidRDefault="00622A95" w:rsidP="00EC1790">
            <w:pPr>
              <w:pStyle w:val="ListParagraph"/>
              <w:widowControl w:val="0"/>
              <w:numPr>
                <w:ilvl w:val="0"/>
                <w:numId w:val="32"/>
              </w:numPr>
              <w:autoSpaceDE w:val="0"/>
              <w:autoSpaceDN w:val="0"/>
              <w:spacing w:after="120" w:line="240" w:lineRule="auto"/>
              <w:ind w:left="0" w:firstLine="0"/>
              <w:contextualSpacing w:val="0"/>
              <w:jc w:val="both"/>
              <w:rPr>
                <w:rFonts w:ascii="Times New Roman" w:eastAsia="Times New Roman" w:hAnsi="Times New Roman" w:cs="Times New Roman"/>
                <w:sz w:val="24"/>
                <w:szCs w:val="24"/>
              </w:rPr>
            </w:pPr>
            <w:r w:rsidRPr="009A2018">
              <w:rPr>
                <w:rFonts w:ascii="Times New Roman" w:eastAsia="Times New Roman" w:hAnsi="Times New Roman" w:cs="Times New Roman"/>
                <w:sz w:val="24"/>
                <w:szCs w:val="24"/>
              </w:rPr>
              <w:t>nastavi da poboljšava stopu upisakod predškolskog obrazovanja i vaspitanja i svede napuštanje školovanja na najmanju mjeru, posebno kada su u pitanju osjetljive grupe;</w:t>
            </w:r>
          </w:p>
          <w:p w:rsidR="00622A95" w:rsidRPr="009A2018" w:rsidRDefault="00622A95" w:rsidP="00EC1790">
            <w:pPr>
              <w:pStyle w:val="ListParagraph"/>
              <w:widowControl w:val="0"/>
              <w:numPr>
                <w:ilvl w:val="0"/>
                <w:numId w:val="32"/>
              </w:numPr>
              <w:autoSpaceDE w:val="0"/>
              <w:autoSpaceDN w:val="0"/>
              <w:spacing w:after="120" w:line="240" w:lineRule="auto"/>
              <w:ind w:left="0" w:firstLine="0"/>
              <w:contextualSpacing w:val="0"/>
              <w:jc w:val="both"/>
              <w:rPr>
                <w:rFonts w:ascii="Times New Roman" w:eastAsia="Times New Roman" w:hAnsi="Times New Roman" w:cs="Times New Roman"/>
                <w:sz w:val="24"/>
                <w:szCs w:val="24"/>
              </w:rPr>
            </w:pPr>
            <w:r w:rsidRPr="009A2018">
              <w:rPr>
                <w:rFonts w:ascii="Times New Roman" w:eastAsia="Times New Roman" w:hAnsi="Times New Roman" w:cs="Times New Roman"/>
                <w:sz w:val="24"/>
                <w:szCs w:val="24"/>
              </w:rPr>
              <w:t>poboljša upravljanje sektorom obrazovanja i nastavi sa relevantnim reformskim mjerama radi unapređenja ukupnog kvaliteta obrazovanja;</w:t>
            </w:r>
          </w:p>
          <w:p w:rsidR="00622A95" w:rsidRPr="009A2018" w:rsidRDefault="00622A95" w:rsidP="00EC1790">
            <w:pPr>
              <w:pStyle w:val="ListParagraph"/>
              <w:widowControl w:val="0"/>
              <w:numPr>
                <w:ilvl w:val="0"/>
                <w:numId w:val="32"/>
              </w:numPr>
              <w:autoSpaceDE w:val="0"/>
              <w:autoSpaceDN w:val="0"/>
              <w:spacing w:after="120" w:line="240" w:lineRule="auto"/>
              <w:ind w:left="0" w:firstLine="0"/>
              <w:contextualSpacing w:val="0"/>
              <w:jc w:val="both"/>
              <w:rPr>
                <w:rFonts w:ascii="Times New Roman" w:eastAsia="Times New Roman" w:hAnsi="Times New Roman" w:cs="Times New Roman"/>
                <w:sz w:val="24"/>
                <w:szCs w:val="24"/>
              </w:rPr>
            </w:pPr>
            <w:r w:rsidRPr="009A2018">
              <w:rPr>
                <w:rFonts w:ascii="Times New Roman" w:eastAsia="Times New Roman" w:hAnsi="Times New Roman" w:cs="Times New Roman"/>
                <w:sz w:val="24"/>
                <w:szCs w:val="24"/>
              </w:rPr>
              <w:t>uspostavi adekvatan mehanizam praćenja i procjene praktičnog učenja kod stručnog i visokog obrazovanja.</w:t>
            </w:r>
          </w:p>
        </w:tc>
      </w:tr>
    </w:tbl>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 xml:space="preserve">U dijelu </w:t>
      </w:r>
      <w:r w:rsidRPr="009A2018">
        <w:rPr>
          <w:rFonts w:eastAsia="Calibri" w:cs="Times New Roman"/>
          <w:b/>
          <w:szCs w:val="24"/>
        </w:rPr>
        <w:t>obrazovanja i osposobljavanja</w:t>
      </w:r>
      <w:r w:rsidRPr="009A2018">
        <w:rPr>
          <w:rFonts w:eastAsia="Calibri" w:cs="Times New Roman"/>
          <w:szCs w:val="24"/>
        </w:rPr>
        <w:t xml:space="preserve">, nastavljeno je sprovođenje brojnih strategija u oblasti obrazovanja. Posljednje brojke (2018) pokazuju da se obrazovanje izdvaja 4% BDP-a. Ulaganja u školsku infrastrukturu i opremu dovela su do izgradnje novih ili renoviranja postojećih škola, a još projekata je u pripremi. Premda su 2019. u nekoliko škola završeni radovi na otklanjanju arhitektonskih barijera, fizička dostupnost ostaje važno pitanje kojim se treba pozabaviti. </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9A2018">
        <w:rPr>
          <w:rFonts w:eastAsia="Calibri" w:cs="Times New Roman"/>
          <w:szCs w:val="24"/>
        </w:rPr>
        <w:t xml:space="preserve">Nastavljena je promocija važnosti predškolskog obrazovanja i vaspitanja (ECEC), a terenske usluge vrtića dostupne su u nekim ruralnim područjima. </w:t>
      </w:r>
      <w:r w:rsidRPr="00095948">
        <w:rPr>
          <w:rFonts w:eastAsia="Calibri" w:cs="Times New Roman"/>
          <w:szCs w:val="24"/>
          <w:lang w:val="fr-FR"/>
        </w:rPr>
        <w:t xml:space="preserve">Stopa učešća djece starosti 0-5 godina blago je porasla sa 48% u 2018. na 52% u 2019. godini. Kako bi se iskoristili dugoročni socijalni i ekonomski benefiti koje ECEC može pružiti, nova strategija predškolskog obrazovanja, koja je u pripremi, treba da cilja na suštinsko povećanje broja upisanih (bliže cilju EU od 95) i da više investira u kvalifikovane vaspitače radi pripreme djece za obavezno obrazovanje, naročito one iz osjetljivih grupa.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Ministarstvo prosvjete pokrenulo je program stipendija za romske i egipćanske srednjoškolce i studente u septembru 2019. godine. Iako je od 2016. godine primjetan porast stopa pohađanja uz manje slučajeva napuštanja školovanja, ukupni broj romske i egipćanske djece koja idu u školu, kao i djece sa invaliditetom, i dalje je mali; ono što najviše zabrinjava je nizak nivo završenog obaveznog obrazovanja kod romske i egipćanske djece. U tom smislu, Crna Gora treba da obezbijedi blisku sinergiju prilikom sprovođenja strategije za socijalnu inkluziju Roma 2016-2020, Poznanjske deklaracije o integraciji Roma, kao i najnovije strategije za inkluzivno obrazovanje 2019-2025.</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shd w:val="clear" w:color="auto" w:fill="FFFFFF"/>
        </w:rPr>
      </w:pPr>
      <w:r w:rsidRPr="009A2018">
        <w:rPr>
          <w:rFonts w:eastAsia="Calibri" w:cs="Times New Roman"/>
          <w:color w:val="000000"/>
          <w:szCs w:val="24"/>
          <w:shd w:val="clear" w:color="auto" w:fill="FFFFFF"/>
        </w:rPr>
        <w:t>Crna Gora trenutno priprema nacrt strategije za cjeloživotno preduzetničko učenje (2020-2024), a još osnovnih i srednjih škola uključeno je u predmete koji razvijaju ključne sposobnosti i osnovne vještine, među kojima su socio-emocionalno učenje, digitalne vještine, kritičko razmišljanje i rješavanje problema.</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Sprovođenje nacionalnog kvalifikacionog okvira (u skladu s Evropskim kvalifikacionim okvirom iz 2014) i prelazak na pristup zasnovan na ishodima učenja pokazali su se zahtjevnim, kao što se može vidjeti i po postojanoj nepodudarnosti vještina sa potrebama tržišta rada. Ministarstvo prosvjete nastavlja sa revizijom programa i kvalifikacija u saradnji sa poslovnom zajednicom. Ono je takođe posvećeno sprovođenju i praćenju Zaključaka iz Rige o stručnom obrazovanju i osposobljavanju (SOO) iz 2015, kao što se vidi po revidiranoj Strategiji SOO (2020-2024), usvojenoj u januaru 2020. godine. Pravilna implementacija ove strategije biće važan element za dalji napredak, s obzirom na njen fokus na pružanje kvalitetnog i inkluzivnog obrazovanja usmjerenog ka tržištu rada, kao i potrebu za zelenim i digitalnim vještinama.</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Nakon 3 godine sprovođenja, prva evaluacija sistema dualnog obrazovanja pokazala je rastuće interesovanje poslodavaca i učenika, uz neke pozitivne rezultate u pogledu stope zadržavanja učenika. Preporuke uključuju izgradnju kapaciteta instruktora u kompanijama i mentora u školama, kao i održivost modela zajedničkog finansiranja od strane obrazovnog i privatnog sektora. Ministarstvo prosvjete razmatra najbolje opcije za uspostavljanje adekvatnog mehanizma praćenja i procjene za SOO. Na reformskoj agendi je i priznavanje neformalnog i informalnog učenja, radi olakšavanja usavršavanja i prekvalifikacije (pretežno ograničeno na SOO za sada). Od januara 2020, Privredna komora Crne Gore učestvuje u pilot programu mobilnosti EU za učenike i učitelje u oblasti SOO.</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9A2018">
        <w:rPr>
          <w:rFonts w:eastAsia="Calibri" w:cs="Times New Roman"/>
          <w:szCs w:val="24"/>
        </w:rPr>
        <w:t xml:space="preserve">U maju 2019, Vlada je potpisala prvi (trogodišnji) ugovor o finansiranju sa Univerzitetom Crne Gore (UCG) zasnovan, između ostalog, na obezbjeđenju kvaliteta, upisnoj politici i poboljšanju studijskih programa. Oponašajući proces na UCG, prelazak na reformisani studijski model 3+2+3 trenutno je u toku na privatnim visokoškolskim ustanovama. Kao članica mreže Evropske asocijacije za obezbjeđivanje kvaliteta, Crna Gora primjenjuje određene alate EU u svom radu na obezbjeđivanju kvaliteta, uključujući eksternu evaluacija institucija, studijskih programa i programa cjeloživotnog učenja. Implementacija praktičnog obrazovanja u sklopu programa visokog obrazovanja donosi određene izazove i zahtijeva strukturirani sistem praćenja i procjene kako bi se utvrdio učinak i djelotvornost. </w:t>
      </w:r>
      <w:r w:rsidRPr="00095948">
        <w:rPr>
          <w:rFonts w:eastAsia="Calibri" w:cs="Times New Roman"/>
          <w:szCs w:val="24"/>
          <w:lang w:val="fr-FR"/>
        </w:rPr>
        <w:t>Revidirana strategija visokog obrazovanja (2020-2025) trenutno je u pripremi, a bila je data na javnu raspravu. U skladu sa Zakonom o akademskom integritetu iz 2019, Vlada je imenovala prvi Etički komitet, odgovoran za zaštitu i promociju akademskog integriteta i sprečavanje plagiranja. UCG je takođe ustanovila svoj Etički komitet.</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Crna Gora i dalje aktivno učestvuje u programu EU Erasmus+. U 2019. godini finansirano je 1379 dolaznih i odlaznih učesnika, dok je 9 projekata izgradnje kapaciteta dodijeljeno na polju visokog obrazovanja i 3 u vezi mladih. Crna Gora je takođe zatražila pristupanje platformi eTwinning za učitelje. Po prvi put je šest mladih volontera iz Crne Gore učestvovalo u Evropskoj inicijativi za solidarnost.</w:t>
      </w:r>
    </w:p>
    <w:p w:rsidR="00622A95" w:rsidRPr="00095948" w:rsidRDefault="00622A95" w:rsidP="00EC1790">
      <w:pPr>
        <w:autoSpaceDE w:val="0"/>
        <w:autoSpaceDN w:val="0"/>
        <w:adjustRightInd w:val="0"/>
        <w:spacing w:after="120" w:line="240" w:lineRule="auto"/>
        <w:jc w:val="both"/>
        <w:rPr>
          <w:rFonts w:eastAsia="Times New Roman" w:cs="Times New Roman"/>
          <w:szCs w:val="24"/>
          <w:lang w:val="fr-FR"/>
        </w:rPr>
      </w:pPr>
      <w:r w:rsidRPr="00095948">
        <w:rPr>
          <w:rFonts w:eastAsia="Times New Roman" w:cs="Times New Roman"/>
          <w:szCs w:val="24"/>
          <w:lang w:val="fr-FR"/>
        </w:rPr>
        <w:t xml:space="preserve">Kao odgovor na pandemiju COVID-19, Ministarstvo prosvjete aktivno je obezbjeđivalo brojne mogućnosti učenja na daljinu za različite obrazovne nivoe, uključujući portal za komunikaciju na relaciji učitelj-đaci sa časovima podijeljenim prema godini i predmetu, kao i posebni kanal na YouTube-u sa snimljenim časovima. Projekat </w:t>
      </w:r>
      <w:r w:rsidRPr="00095948">
        <w:rPr>
          <w:rFonts w:eastAsia="Times New Roman" w:cs="Times New Roman"/>
          <w:i/>
          <w:szCs w:val="24"/>
          <w:lang w:val="fr-FR"/>
        </w:rPr>
        <w:t>Uči doma</w:t>
      </w:r>
      <w:r w:rsidRPr="00095948">
        <w:rPr>
          <w:rFonts w:eastAsia="Times New Roman" w:cs="Times New Roman"/>
          <w:szCs w:val="24"/>
          <w:lang w:val="fr-FR"/>
        </w:rPr>
        <w:t xml:space="preserve"> koji uključuje platformu kompanije </w:t>
      </w:r>
      <w:r w:rsidRPr="00095948">
        <w:rPr>
          <w:rFonts w:eastAsia="Calibri" w:cs="Times New Roman"/>
          <w:szCs w:val="24"/>
          <w:lang w:val="fr-FR"/>
        </w:rPr>
        <w:t>AMPLITUDO pobrao je veoma pozitivne ocjene.</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Rezultati PISA testiranja 2018. (program za međunarodnu ocjenu studenata – matematika, nauka i čitanje) pokazali su ograničeno poboljšanje u odnosu na 2015, a i dalje su ispod prosjeka zemalja OECD. Budući da se PISA smatra jednim od indikatora toga da li neki školski sistem priprema đake za budućnost, sprovođenje preporuka za politiku iz akcionog plana iz 2019. trebalo bi ubrzati radi podrške tekućim naporima da se poboljša ukupni kvalitet nastave i postignuća đaka. Zemlja je takođe učestvovala u TIMSS 2019, a učestvovaće i u PIRLS istraživanju 2021.</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 xml:space="preserve">Što se tiče </w:t>
      </w:r>
      <w:r w:rsidRPr="00095948">
        <w:rPr>
          <w:rFonts w:eastAsia="Calibri" w:cs="Times New Roman"/>
          <w:b/>
          <w:szCs w:val="24"/>
          <w:lang w:val="fr-FR"/>
        </w:rPr>
        <w:t>kulture</w:t>
      </w:r>
      <w:r w:rsidRPr="00095948">
        <w:rPr>
          <w:rFonts w:eastAsia="Calibri" w:cs="Times New Roman"/>
          <w:szCs w:val="24"/>
          <w:lang w:val="fr-FR"/>
        </w:rPr>
        <w:t>, Ministarstvo kulture nastavilo je da ulaže u kreativne habove i industrije, infrastrukturu i razvoj umjetnosti. Dalje ulaganje u mapiranje lokalnog ekosistema kreativnih startapova bilo bi korisno kao dodatni podsticaj. Ministarstvo je u martu 2020. objavilo javni poziv za sufinansiranje kulturnih i umjetničkih aktivnosti od javnog interesa radi podrške i zaštite nezaposlenih umjetnika i raznih operatera koje je pogodila pandemija COVID-19. Izmjene i dopune</w:t>
      </w:r>
      <w:r w:rsidR="00D02D19">
        <w:rPr>
          <w:rFonts w:eastAsia="Calibri" w:cs="Times New Roman"/>
          <w:szCs w:val="24"/>
          <w:lang w:val="fr-FR"/>
        </w:rPr>
        <w:t xml:space="preserve"> </w:t>
      </w:r>
      <w:r w:rsidRPr="00095948">
        <w:rPr>
          <w:rFonts w:eastAsia="Calibri" w:cs="Times New Roman"/>
          <w:szCs w:val="24"/>
          <w:lang w:val="fr-FR"/>
        </w:rPr>
        <w:t>Zakona o zaštiti prirodnog i kulturno-istorijskog područja Kotora treba da doprinesu boljem očuvanju. Crna Gora treba pažljivo da sprovodi mjere zaštite kako bi sačuvala svoj status baštine Uneska. U sklopu Dana evropske baštine 2019. organizovani su brojni događaji. Regionalna kancelarija za saradnju mladih podržava interkulturalne omladinske programe razmjene. Mada nije bilo uspješnog projekta u sklopu potprograma za kulturu Programa kreativna Evropa 2019, Crna Gora je imala dva uspješna granta u novom programu mobilnosti „i-Portunus“.</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 xml:space="preserve">U toku je sprovođenje Strategije za mlade 2017-2021, a dvije trećine lokalnih samouprava imaju akcione planove za mlade. U skladu sa Zakonom o </w:t>
      </w:r>
      <w:r w:rsidRPr="00095948">
        <w:rPr>
          <w:rFonts w:eastAsia="Calibri" w:cs="Times New Roman"/>
          <w:b/>
          <w:szCs w:val="24"/>
          <w:lang w:val="fr-FR"/>
        </w:rPr>
        <w:t>mladima</w:t>
      </w:r>
      <w:r w:rsidRPr="00095948">
        <w:rPr>
          <w:rFonts w:eastAsia="Calibri" w:cs="Times New Roman"/>
          <w:szCs w:val="24"/>
          <w:lang w:val="fr-FR"/>
        </w:rPr>
        <w:t xml:space="preserve">, Vlada je usvojila program za jačanje kapaciteta servisa za mlade, a u junu 2020. usvojeno je sekundarno zakonodavstvo kako bi se omogućilo osnivanje Nacionalnog savjeta za mlade. Opredijeljena su sredstva za rekonstrukciju, adaptaciju i opremanje omladinskih klubova, uz predviđeno otvaranje novih klubova ove godine na sjeveru zemlje. Preko 5000 besplatnih Evropskih omladinskih kartica podijeljeno je mladima širom zemlje. Crna Gora se priključila petom izdanju Evropske nedjelje </w:t>
      </w:r>
      <w:r w:rsidRPr="00095948">
        <w:rPr>
          <w:rFonts w:eastAsia="Calibri" w:cs="Times New Roman"/>
          <w:b/>
          <w:szCs w:val="24"/>
          <w:lang w:val="fr-FR"/>
        </w:rPr>
        <w:t>sporta</w:t>
      </w:r>
      <w:r w:rsidRPr="00095948">
        <w:rPr>
          <w:rFonts w:eastAsia="Calibri" w:cs="Times New Roman"/>
          <w:szCs w:val="24"/>
          <w:lang w:val="fr-FR"/>
        </w:rPr>
        <w:t xml:space="preserve"> u okviru inicijative Evropske komisije </w:t>
      </w:r>
      <w:r w:rsidRPr="00095948">
        <w:rPr>
          <w:rFonts w:eastAsia="Calibri" w:cs="Times New Roman"/>
          <w:i/>
          <w:szCs w:val="24"/>
          <w:lang w:val="fr-FR"/>
        </w:rPr>
        <w:t>Evropska nedjelja sporta bez granica</w:t>
      </w:r>
      <w:r w:rsidRPr="00095948">
        <w:rPr>
          <w:rFonts w:eastAsia="Calibri" w:cs="Times New Roman"/>
          <w:szCs w:val="24"/>
          <w:lang w:val="fr-FR"/>
        </w:rPr>
        <w:t>.</w:t>
      </w:r>
    </w:p>
    <w:p w:rsidR="00622A95" w:rsidRPr="009A2018" w:rsidRDefault="00622A95" w:rsidP="00EC1790">
      <w:pPr>
        <w:pStyle w:val="Heading2"/>
        <w:rPr>
          <w:rFonts w:eastAsia="Times New Roman"/>
        </w:rPr>
      </w:pPr>
      <w:bookmarkStart w:id="268" w:name="_Toc30073854"/>
      <w:bookmarkStart w:id="269" w:name="_Toc30074167"/>
      <w:bookmarkStart w:id="270" w:name="_Toc30080589"/>
      <w:bookmarkStart w:id="271" w:name="_Toc52744958"/>
      <w:bookmarkStart w:id="272" w:name="_Toc53362466"/>
      <w:r w:rsidRPr="009A2018">
        <w:rPr>
          <w:rFonts w:eastAsia="Times New Roman"/>
        </w:rPr>
        <w:t>5.27</w:t>
      </w:r>
      <w:r w:rsidRPr="009A2018">
        <w:rPr>
          <w:rFonts w:eastAsia="Times New Roman"/>
        </w:rPr>
        <w:tab/>
        <w:t xml:space="preserve">Poglavlje 27: </w:t>
      </w:r>
      <w:bookmarkEnd w:id="268"/>
      <w:bookmarkEnd w:id="269"/>
      <w:bookmarkEnd w:id="270"/>
      <w:bookmarkEnd w:id="271"/>
      <w:r w:rsidRPr="009A2018">
        <w:rPr>
          <w:rFonts w:eastAsia="Times New Roman"/>
        </w:rPr>
        <w:t>Životna sredina i klimatske promjene</w:t>
      </w:r>
      <w:bookmarkEnd w:id="272"/>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lang w:eastAsia="en-GB"/>
        </w:rPr>
      </w:pPr>
      <w:r w:rsidRPr="009A2018">
        <w:rPr>
          <w:rFonts w:eastAsia="Calibri" w:cs="Times New Roman"/>
          <w:i/>
          <w:iCs/>
          <w:color w:val="000000"/>
          <w:szCs w:val="24"/>
          <w:lang w:eastAsia="en-GB"/>
        </w:rPr>
        <w:t>EU promoviše snažnu klimatsku akciju, održivi razvoj i zaštitu životne sredine. Pravna tekovina EU obuhvata propise koji se odnose na klimatske promjene, kvalitet voda i vazduha, upravljanje otpadom, zaštitu prirode, industrijsko zagađenje, hemikalije, buku i civilnu zaštitu.</w:t>
      </w:r>
    </w:p>
    <w:p w:rsidR="00622A95" w:rsidRPr="0009594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color w:val="000000"/>
          <w:szCs w:val="24"/>
          <w:lang w:val="fr-FR" w:eastAsia="en-GB"/>
        </w:rPr>
      </w:pPr>
      <w:r w:rsidRPr="00095948">
        <w:rPr>
          <w:rFonts w:eastAsia="Calibri" w:cs="Times New Roman"/>
          <w:bCs/>
          <w:color w:val="000000"/>
          <w:szCs w:val="24"/>
          <w:lang w:val="fr-FR" w:eastAsia="en-GB"/>
        </w:rPr>
        <w:t xml:space="preserve">Crna Gora je postigla </w:t>
      </w:r>
      <w:r w:rsidRPr="00095948">
        <w:rPr>
          <w:rFonts w:eastAsia="Calibri" w:cs="Times New Roman"/>
          <w:b/>
          <w:bCs/>
          <w:color w:val="000000"/>
          <w:szCs w:val="24"/>
          <w:lang w:val="fr-FR" w:eastAsia="en-GB"/>
        </w:rPr>
        <w:t>određeni nivo spremnosti</w:t>
      </w:r>
      <w:r w:rsidRPr="00095948">
        <w:rPr>
          <w:rFonts w:eastAsia="Calibri" w:cs="Times New Roman"/>
          <w:bCs/>
          <w:color w:val="000000"/>
          <w:szCs w:val="24"/>
          <w:lang w:val="fr-FR" w:eastAsia="en-GB"/>
        </w:rPr>
        <w:t xml:space="preserve"> u ovoj oblasti. </w:t>
      </w:r>
      <w:r w:rsidRPr="00095948">
        <w:rPr>
          <w:rFonts w:eastAsia="Calibri" w:cs="Times New Roman"/>
          <w:b/>
          <w:bCs/>
          <w:color w:val="000000"/>
          <w:szCs w:val="24"/>
          <w:lang w:val="fr-FR" w:eastAsia="en-GB"/>
        </w:rPr>
        <w:t>Određeni napredak</w:t>
      </w:r>
      <w:r w:rsidRPr="00095948">
        <w:rPr>
          <w:rFonts w:eastAsia="Calibri" w:cs="Times New Roman"/>
          <w:bCs/>
          <w:color w:val="000000"/>
          <w:szCs w:val="24"/>
          <w:lang w:val="fr-FR" w:eastAsia="en-GB"/>
        </w:rPr>
        <w:t xml:space="preserve"> ostvaren je garantovanjem međunarodne zaštite za Ulcinjsku solanu, pripremom akcionog plana za poglavlje 27, kao i daljim usklađivanjem zakonodavstva s pravnom tekovinom EU, u skladu sa nacionalnom strategijom. Potrebno je uložiti značajne napore kada je riječ o implementaciji i sprovođenju, naročito na polju upravljanja otpadom, kvaliteta voda, zaštite prirode i klimatskih promjena. Preporuke iz 2019. godine i dalje važe, a u narednoj godini Crna Gora treba osjetno da pojača ambicije u pogledu zelene tranzicije, te da nastavi da se fokusira na:</w:t>
      </w:r>
    </w:p>
    <w:p w:rsidR="00622A95" w:rsidRPr="00095948" w:rsidRDefault="0067299F" w:rsidP="00EC1790">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bCs/>
          <w:color w:val="000000" w:themeColor="text1"/>
          <w:sz w:val="24"/>
          <w:szCs w:val="24"/>
          <w:lang w:val="fr-FR" w:eastAsia="en-GB"/>
        </w:rPr>
      </w:pPr>
      <w:r>
        <w:rPr>
          <w:rFonts w:ascii="Times New Roman" w:eastAsia="Calibri" w:hAnsi="Times New Roman" w:cs="Times New Roman"/>
          <w:bCs/>
          <w:color w:val="000000" w:themeColor="text1"/>
          <w:sz w:val="24"/>
          <w:szCs w:val="24"/>
          <w:lang w:val="fr-FR" w:eastAsia="en-GB"/>
        </w:rPr>
        <w:t>efektivnu</w:t>
      </w:r>
      <w:r w:rsidRPr="00095948">
        <w:rPr>
          <w:rFonts w:ascii="Times New Roman" w:eastAsia="Calibri" w:hAnsi="Times New Roman" w:cs="Times New Roman"/>
          <w:bCs/>
          <w:color w:val="000000" w:themeColor="text1"/>
          <w:sz w:val="24"/>
          <w:szCs w:val="24"/>
          <w:lang w:val="fr-FR" w:eastAsia="en-GB"/>
        </w:rPr>
        <w:t xml:space="preserve"> </w:t>
      </w:r>
      <w:r w:rsidR="00622A95" w:rsidRPr="00095948">
        <w:rPr>
          <w:rFonts w:ascii="Times New Roman" w:eastAsia="Calibri" w:hAnsi="Times New Roman" w:cs="Times New Roman"/>
          <w:bCs/>
          <w:color w:val="000000" w:themeColor="text1"/>
          <w:sz w:val="24"/>
          <w:szCs w:val="24"/>
          <w:lang w:val="fr-FR" w:eastAsia="en-GB"/>
        </w:rPr>
        <w:t>implementaciju Nacionalne strategije za transpo</w:t>
      </w:r>
      <w:r>
        <w:rPr>
          <w:rFonts w:ascii="Times New Roman" w:eastAsia="Calibri" w:hAnsi="Times New Roman" w:cs="Times New Roman"/>
          <w:bCs/>
          <w:color w:val="000000" w:themeColor="text1"/>
          <w:sz w:val="24"/>
          <w:szCs w:val="24"/>
          <w:lang w:val="fr-FR" w:eastAsia="en-GB"/>
        </w:rPr>
        <w:t>ziciju</w:t>
      </w:r>
      <w:r w:rsidR="00622A95" w:rsidRPr="00095948">
        <w:rPr>
          <w:rFonts w:ascii="Times New Roman" w:eastAsia="Calibri" w:hAnsi="Times New Roman" w:cs="Times New Roman"/>
          <w:bCs/>
          <w:color w:val="000000" w:themeColor="text1"/>
          <w:sz w:val="24"/>
          <w:szCs w:val="24"/>
          <w:lang w:val="fr-FR" w:eastAsia="en-GB"/>
        </w:rPr>
        <w:t xml:space="preserve">, implementaciju i </w:t>
      </w:r>
      <w:r>
        <w:rPr>
          <w:rFonts w:ascii="Times New Roman" w:eastAsia="Calibri" w:hAnsi="Times New Roman" w:cs="Times New Roman"/>
          <w:bCs/>
          <w:color w:val="000000" w:themeColor="text1"/>
          <w:sz w:val="24"/>
          <w:szCs w:val="24"/>
          <w:lang w:val="fr-FR" w:eastAsia="en-GB"/>
        </w:rPr>
        <w:t>primjenu</w:t>
      </w:r>
      <w:r w:rsidRPr="00095948">
        <w:rPr>
          <w:rFonts w:ascii="Times New Roman" w:eastAsia="Calibri" w:hAnsi="Times New Roman" w:cs="Times New Roman"/>
          <w:bCs/>
          <w:color w:val="000000" w:themeColor="text1"/>
          <w:sz w:val="24"/>
          <w:szCs w:val="24"/>
          <w:lang w:val="fr-FR" w:eastAsia="en-GB"/>
        </w:rPr>
        <w:t xml:space="preserve"> </w:t>
      </w:r>
      <w:r w:rsidR="00622A95" w:rsidRPr="00095948">
        <w:rPr>
          <w:rFonts w:ascii="Times New Roman" w:eastAsia="Calibri" w:hAnsi="Times New Roman" w:cs="Times New Roman"/>
          <w:bCs/>
          <w:color w:val="000000" w:themeColor="text1"/>
          <w:sz w:val="24"/>
          <w:szCs w:val="24"/>
          <w:lang w:val="fr-FR" w:eastAsia="en-GB"/>
        </w:rPr>
        <w:t>pravne tekovine EU u oblasti životne sredine i klimatskih promjena, naročito u sektorima otpada, voda i zaštite prirode;</w:t>
      </w:r>
    </w:p>
    <w:p w:rsidR="00622A95" w:rsidRPr="00095948" w:rsidRDefault="00622A95" w:rsidP="00EC1790">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bCs/>
          <w:color w:val="000000" w:themeColor="text1"/>
          <w:sz w:val="24"/>
          <w:szCs w:val="24"/>
          <w:lang w:val="fr-FR" w:eastAsia="en-GB"/>
        </w:rPr>
      </w:pPr>
      <w:r w:rsidRPr="00095948">
        <w:rPr>
          <w:rFonts w:ascii="Times New Roman" w:eastAsia="Calibri" w:hAnsi="Times New Roman" w:cs="Times New Roman"/>
          <w:bCs/>
          <w:color w:val="000000" w:themeColor="text1"/>
          <w:sz w:val="24"/>
          <w:szCs w:val="24"/>
          <w:lang w:val="fr-FR" w:eastAsia="en-GB"/>
        </w:rPr>
        <w:t xml:space="preserve">preduzimanje urgentnih mjera za očuvanje i poboljšanje ekološke vrijednosti zaštićenih područja i potencijalnih </w:t>
      </w:r>
      <w:r w:rsidR="0067299F">
        <w:rPr>
          <w:rFonts w:ascii="Times New Roman" w:eastAsia="Calibri" w:hAnsi="Times New Roman" w:cs="Times New Roman"/>
          <w:bCs/>
          <w:color w:val="000000" w:themeColor="text1"/>
          <w:sz w:val="24"/>
          <w:szCs w:val="24"/>
          <w:lang w:val="fr-FR" w:eastAsia="en-GB"/>
        </w:rPr>
        <w:t>područja</w:t>
      </w:r>
      <w:r w:rsidRPr="00095948">
        <w:rPr>
          <w:rFonts w:ascii="Times New Roman" w:eastAsia="Calibri" w:hAnsi="Times New Roman" w:cs="Times New Roman"/>
          <w:bCs/>
          <w:color w:val="000000" w:themeColor="text1"/>
          <w:sz w:val="24"/>
          <w:szCs w:val="24"/>
          <w:lang w:val="fr-FR" w:eastAsia="en-GB"/>
        </w:rPr>
        <w:t xml:space="preserve"> Natura 2000, kao što su Ulcinjska solana, Skadarsko jezero, rijeka Tara i ostali riječni tokovi;</w:t>
      </w:r>
    </w:p>
    <w:p w:rsidR="00622A95" w:rsidRPr="00095948" w:rsidRDefault="00622A95" w:rsidP="00EC1790">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themeColor="text1"/>
          <w:sz w:val="24"/>
          <w:szCs w:val="24"/>
          <w:lang w:val="fr-FR" w:eastAsia="en-GB"/>
        </w:rPr>
      </w:pPr>
      <w:r w:rsidRPr="00095948">
        <w:rPr>
          <w:rFonts w:ascii="Times New Roman" w:eastAsia="Calibri" w:hAnsi="Times New Roman" w:cs="Times New Roman"/>
          <w:color w:val="000000" w:themeColor="text1"/>
          <w:sz w:val="24"/>
          <w:szCs w:val="24"/>
          <w:lang w:val="fr-FR" w:eastAsia="en-GB"/>
        </w:rPr>
        <w:t>razvoj svog Nacionalnog energetskog i klimatskog plana u skladu sa preporukama Energetske zajednice</w:t>
      </w:r>
      <w:r w:rsidRPr="00095948">
        <w:rPr>
          <w:rFonts w:ascii="Times New Roman" w:eastAsia="Calibri" w:hAnsi="Times New Roman" w:cs="Times New Roman"/>
          <w:bCs/>
          <w:color w:val="000000" w:themeColor="text1"/>
          <w:sz w:val="24"/>
          <w:szCs w:val="24"/>
          <w:lang w:val="fr-FR" w:eastAsia="en-GB"/>
        </w:rPr>
        <w:t>.</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u w:val="single"/>
          <w:lang w:val="fr-FR" w:eastAsia="en-GB"/>
        </w:rPr>
      </w:pPr>
      <w:r w:rsidRPr="00095948">
        <w:rPr>
          <w:rFonts w:eastAsia="Calibri" w:cs="Times New Roman"/>
          <w:color w:val="000000"/>
          <w:szCs w:val="24"/>
          <w:u w:val="single"/>
          <w:lang w:val="fr-FR" w:eastAsia="en-GB"/>
        </w:rPr>
        <w:t>Životna sredina</w:t>
      </w:r>
    </w:p>
    <w:p w:rsidR="00622A95" w:rsidRPr="00095948" w:rsidRDefault="00622A95" w:rsidP="00EC1790">
      <w:pPr>
        <w:spacing w:after="120" w:line="240" w:lineRule="auto"/>
        <w:jc w:val="both"/>
        <w:rPr>
          <w:rFonts w:eastAsia="Calibri" w:cs="Times New Roman"/>
          <w:color w:val="000000"/>
          <w:szCs w:val="24"/>
          <w:lang w:val="fr-FR" w:eastAsia="en-GB"/>
        </w:rPr>
      </w:pPr>
      <w:r w:rsidRPr="00095948">
        <w:rPr>
          <w:rFonts w:eastAsia="Calibri" w:cs="Times New Roman"/>
          <w:color w:val="000000"/>
          <w:szCs w:val="24"/>
          <w:lang w:val="fr-FR" w:eastAsia="en-GB"/>
        </w:rPr>
        <w:t xml:space="preserve">U oblasti </w:t>
      </w:r>
      <w:r w:rsidRPr="00095948">
        <w:rPr>
          <w:rFonts w:eastAsia="Calibri" w:cs="Times New Roman"/>
          <w:b/>
          <w:color w:val="000000"/>
          <w:szCs w:val="24"/>
          <w:lang w:val="fr-FR" w:eastAsia="en-GB"/>
        </w:rPr>
        <w:t>horizontalnog zakonodavstva</w:t>
      </w:r>
      <w:r w:rsidRPr="00095948">
        <w:rPr>
          <w:rFonts w:eastAsia="Calibri" w:cs="Times New Roman"/>
          <w:color w:val="000000"/>
          <w:szCs w:val="24"/>
          <w:lang w:val="fr-FR" w:eastAsia="en-GB"/>
        </w:rPr>
        <w:t>, Crna Gora je 2019. pripremila novi akcioni plan za bolje postavljanje prioriteta u pogledu usklađ</w:t>
      </w:r>
      <w:r w:rsidR="00384999">
        <w:rPr>
          <w:rFonts w:eastAsia="Calibri" w:cs="Times New Roman"/>
          <w:color w:val="000000"/>
          <w:szCs w:val="24"/>
          <w:lang w:val="fr-FR" w:eastAsia="en-GB"/>
        </w:rPr>
        <w:t xml:space="preserve">ivanja </w:t>
      </w:r>
      <w:r w:rsidRPr="00095948">
        <w:rPr>
          <w:rFonts w:eastAsia="Calibri" w:cs="Times New Roman"/>
          <w:color w:val="000000"/>
          <w:szCs w:val="24"/>
          <w:lang w:val="fr-FR" w:eastAsia="en-GB"/>
        </w:rPr>
        <w:t xml:space="preserve">i implementacije pravne tekovine EU </w:t>
      </w:r>
      <w:r w:rsidR="00384999">
        <w:rPr>
          <w:rFonts w:eastAsia="Calibri" w:cs="Times New Roman"/>
          <w:color w:val="000000"/>
          <w:szCs w:val="24"/>
          <w:lang w:val="fr-FR" w:eastAsia="en-GB"/>
        </w:rPr>
        <w:t xml:space="preserve">u oblasti </w:t>
      </w:r>
      <w:r w:rsidRPr="00095948">
        <w:rPr>
          <w:rFonts w:eastAsia="Calibri" w:cs="Times New Roman"/>
          <w:color w:val="000000"/>
          <w:szCs w:val="24"/>
          <w:lang w:val="fr-FR" w:eastAsia="en-GB"/>
        </w:rPr>
        <w:t>životn</w:t>
      </w:r>
      <w:r w:rsidR="00384999">
        <w:rPr>
          <w:rFonts w:eastAsia="Calibri" w:cs="Times New Roman"/>
          <w:color w:val="000000"/>
          <w:szCs w:val="24"/>
          <w:lang w:val="fr-FR" w:eastAsia="en-GB"/>
        </w:rPr>
        <w:t>e</w:t>
      </w:r>
      <w:r w:rsidRPr="00095948">
        <w:rPr>
          <w:rFonts w:eastAsia="Calibri" w:cs="Times New Roman"/>
          <w:color w:val="000000"/>
          <w:szCs w:val="24"/>
          <w:lang w:val="fr-FR" w:eastAsia="en-GB"/>
        </w:rPr>
        <w:t xml:space="preserve"> sredin</w:t>
      </w:r>
      <w:r w:rsidR="00384999">
        <w:rPr>
          <w:rFonts w:eastAsia="Calibri" w:cs="Times New Roman"/>
          <w:color w:val="000000"/>
          <w:szCs w:val="24"/>
          <w:lang w:val="fr-FR" w:eastAsia="en-GB"/>
        </w:rPr>
        <w:t>e</w:t>
      </w:r>
      <w:r w:rsidRPr="00095948">
        <w:rPr>
          <w:rFonts w:eastAsia="Calibri" w:cs="Times New Roman"/>
          <w:color w:val="000000"/>
          <w:szCs w:val="24"/>
          <w:lang w:val="fr-FR" w:eastAsia="en-GB"/>
        </w:rPr>
        <w:t xml:space="preserve"> i klimatski</w:t>
      </w:r>
      <w:r w:rsidR="00384999">
        <w:rPr>
          <w:rFonts w:eastAsia="Calibri" w:cs="Times New Roman"/>
          <w:color w:val="000000"/>
          <w:szCs w:val="24"/>
          <w:lang w:val="fr-FR" w:eastAsia="en-GB"/>
        </w:rPr>
        <w:t>h</w:t>
      </w:r>
      <w:r w:rsidRPr="00095948">
        <w:rPr>
          <w:rFonts w:eastAsia="Calibri" w:cs="Times New Roman"/>
          <w:color w:val="000000"/>
          <w:szCs w:val="24"/>
          <w:lang w:val="fr-FR" w:eastAsia="en-GB"/>
        </w:rPr>
        <w:t xml:space="preserve"> promjena. U decembru 2019, Vlada je usvojila </w:t>
      </w:r>
      <w:r w:rsidR="00384999">
        <w:rPr>
          <w:rFonts w:eastAsia="Calibri" w:cs="Times New Roman"/>
          <w:color w:val="000000"/>
          <w:szCs w:val="24"/>
          <w:lang w:val="fr-FR" w:eastAsia="en-GB"/>
        </w:rPr>
        <w:t>T</w:t>
      </w:r>
      <w:r w:rsidRPr="00095948">
        <w:rPr>
          <w:rFonts w:eastAsia="Calibri" w:cs="Times New Roman"/>
          <w:color w:val="000000"/>
          <w:szCs w:val="24"/>
          <w:lang w:val="fr-FR" w:eastAsia="en-GB"/>
        </w:rPr>
        <w:t>reći izvještaj o implementaciji prethodnog akcionog plana za period 2018-2020. godine. Ovaj izvještaj pokazuje da je implementacija spora u većini oblasti, pri čemu je 68% ak</w:t>
      </w:r>
      <w:r w:rsidR="00384999">
        <w:rPr>
          <w:rFonts w:eastAsia="Calibri" w:cs="Times New Roman"/>
          <w:color w:val="000000"/>
          <w:szCs w:val="24"/>
          <w:lang w:val="fr-FR" w:eastAsia="en-GB"/>
        </w:rPr>
        <w:t>tivnosti</w:t>
      </w:r>
      <w:r w:rsidRPr="00095948">
        <w:rPr>
          <w:rFonts w:eastAsia="Calibri" w:cs="Times New Roman"/>
          <w:color w:val="000000"/>
          <w:szCs w:val="24"/>
          <w:lang w:val="fr-FR" w:eastAsia="en-GB"/>
        </w:rPr>
        <w:t xml:space="preserve"> planiranih za 2018. i 2019. završeno do kraja 2019. godine. Prema izvještaju, u 2019. nije </w:t>
      </w:r>
      <w:r w:rsidR="00384999">
        <w:rPr>
          <w:rFonts w:eastAsia="Calibri" w:cs="Times New Roman"/>
          <w:color w:val="000000"/>
          <w:szCs w:val="24"/>
          <w:lang w:val="fr-FR" w:eastAsia="en-GB"/>
        </w:rPr>
        <w:t>realizovana</w:t>
      </w:r>
      <w:r w:rsidRPr="00095948">
        <w:rPr>
          <w:rFonts w:eastAsia="Calibri" w:cs="Times New Roman"/>
          <w:color w:val="000000"/>
          <w:szCs w:val="24"/>
          <w:lang w:val="fr-FR" w:eastAsia="en-GB"/>
        </w:rPr>
        <w:t xml:space="preserve"> nijedna aktivnost u </w:t>
      </w:r>
      <w:r w:rsidR="00384999">
        <w:rPr>
          <w:rFonts w:eastAsia="Calibri" w:cs="Times New Roman"/>
          <w:color w:val="000000"/>
          <w:szCs w:val="24"/>
          <w:lang w:val="fr-FR" w:eastAsia="en-GB"/>
        </w:rPr>
        <w:t>oblasti</w:t>
      </w:r>
      <w:r w:rsidRPr="00095948">
        <w:rPr>
          <w:rFonts w:eastAsia="Calibri" w:cs="Times New Roman"/>
          <w:color w:val="000000"/>
          <w:szCs w:val="24"/>
          <w:lang w:val="fr-FR" w:eastAsia="en-GB"/>
        </w:rPr>
        <w:t xml:space="preserve"> upravljanj</w:t>
      </w:r>
      <w:r w:rsidR="00384999">
        <w:rPr>
          <w:rFonts w:eastAsia="Calibri" w:cs="Times New Roman"/>
          <w:color w:val="000000"/>
          <w:szCs w:val="24"/>
          <w:lang w:val="fr-FR" w:eastAsia="en-GB"/>
        </w:rPr>
        <w:t>a</w:t>
      </w:r>
      <w:r w:rsidRPr="00095948">
        <w:rPr>
          <w:rFonts w:eastAsia="Calibri" w:cs="Times New Roman"/>
          <w:color w:val="000000"/>
          <w:szCs w:val="24"/>
          <w:lang w:val="fr-FR" w:eastAsia="en-GB"/>
        </w:rPr>
        <w:t xml:space="preserve"> otpadom i klimatskim promjenama. Implementacija je bila na nivou od 30% za kvalitet voda i zaštitu prirode, dok je brojka od oko 70% zabilježena za horizontalno zakonodavstvo, kvalitet vazduha i industrijsko zagađenje. Eko fond, koji je osnovan u novembru 2018, još nije </w:t>
      </w:r>
      <w:r w:rsidR="00384999">
        <w:rPr>
          <w:rFonts w:eastAsia="Calibri" w:cs="Times New Roman"/>
          <w:color w:val="000000"/>
          <w:szCs w:val="24"/>
          <w:lang w:val="fr-FR" w:eastAsia="en-GB"/>
        </w:rPr>
        <w:t>postao operativan</w:t>
      </w:r>
      <w:r w:rsidRPr="00095948">
        <w:rPr>
          <w:rFonts w:eastAsia="Calibri" w:cs="Times New Roman"/>
          <w:color w:val="000000"/>
          <w:szCs w:val="24"/>
          <w:lang w:val="fr-FR" w:eastAsia="en-GB"/>
        </w:rPr>
        <w:t>. Razdvajanje zakonodavnih i izvršnih nadležnosti u oblasti životne sredine osigurano je sekundarnim zakonodavstvom iz maja 2019. o internoj organizaciji Ministarstva održivog razvoja i turizma i Agencije za zaštitu prirode i životne sredine (AZPŽS). Preostali izazovi kojima se hitno treba posvetiti jesu nedostatak zadovoljavajućih administrativnih kapaciteta na centralnom i lokalnom nivou i inspekcijskih organa, nedovoljna međuinstitucionalna koordinacija i odsustvo održivog finansijskog okvira.</w:t>
      </w:r>
    </w:p>
    <w:p w:rsidR="00622A95" w:rsidRPr="00095948" w:rsidRDefault="00622A95" w:rsidP="00EC1790">
      <w:pPr>
        <w:spacing w:after="120" w:line="240" w:lineRule="auto"/>
        <w:jc w:val="both"/>
        <w:rPr>
          <w:rFonts w:eastAsia="Calibri" w:cs="Times New Roman"/>
          <w:color w:val="000000"/>
          <w:szCs w:val="24"/>
          <w:lang w:val="fr-FR" w:eastAsia="en-GB"/>
        </w:rPr>
      </w:pPr>
      <w:r w:rsidRPr="00095948">
        <w:rPr>
          <w:rFonts w:eastAsia="Calibri" w:cs="Times New Roman"/>
          <w:color w:val="000000"/>
          <w:szCs w:val="24"/>
          <w:lang w:val="fr-FR" w:eastAsia="en-GB"/>
        </w:rPr>
        <w:t xml:space="preserve">U oblasti </w:t>
      </w:r>
      <w:r w:rsidRPr="00C35FD0">
        <w:rPr>
          <w:rFonts w:eastAsia="Calibri" w:cs="Times New Roman"/>
          <w:b/>
          <w:color w:val="000000"/>
          <w:szCs w:val="24"/>
          <w:lang w:val="fr-FR" w:eastAsia="en-GB"/>
        </w:rPr>
        <w:t>kvalitet vazduha</w:t>
      </w:r>
      <w:r w:rsidRPr="00095948">
        <w:rPr>
          <w:rFonts w:eastAsia="Calibri" w:cs="Times New Roman"/>
          <w:color w:val="000000"/>
          <w:szCs w:val="24"/>
          <w:lang w:val="fr-FR" w:eastAsia="en-GB"/>
        </w:rPr>
        <w:t>, Vlada je u junu 2019. usvojila izvještaj za 2018. o implementaciji akcionog plana Nacionalne strategije upravljanja kvalitetom vazduha. Tokom perioda izvještavanja revidirana je definicija zona kvaliteta vazduha, a broj stanica za praćenje kvaliteta vazduha povećan je sa 7 na 10, premda sistem izvještavanja o kvalitetu vazduha u realnom vremenu nije operativan. Nivoi zagađenja u Pljevljima redovno prekoračuju srednje granične vrijednosti koncentracije PM10. U martu 2020, Crna Gora je ponovo uspostavila izvještavanje o emisijama koje zagađuju vazduh i obezbijedila sve nedostajuće podatke za period 2011-2018. godine Sekretarijatu Konvencije o prekograničnom zagađ</w:t>
      </w:r>
      <w:r w:rsidR="00652FFE">
        <w:rPr>
          <w:rFonts w:eastAsia="Calibri" w:cs="Times New Roman"/>
          <w:color w:val="000000"/>
          <w:szCs w:val="24"/>
          <w:lang w:val="fr-FR" w:eastAsia="en-GB"/>
        </w:rPr>
        <w:t>ivanju</w:t>
      </w:r>
      <w:r w:rsidRPr="00095948">
        <w:rPr>
          <w:rFonts w:eastAsia="Calibri" w:cs="Times New Roman"/>
          <w:color w:val="000000"/>
          <w:szCs w:val="24"/>
          <w:lang w:val="fr-FR" w:eastAsia="en-GB"/>
        </w:rPr>
        <w:t xml:space="preserve"> vazduha na velik</w:t>
      </w:r>
      <w:r w:rsidR="00652FFE">
        <w:rPr>
          <w:rFonts w:eastAsia="Calibri" w:cs="Times New Roman"/>
          <w:color w:val="000000"/>
          <w:szCs w:val="24"/>
          <w:lang w:val="fr-FR" w:eastAsia="en-GB"/>
        </w:rPr>
        <w:t>im udaljenostima</w:t>
      </w:r>
      <w:r w:rsidRPr="00095948">
        <w:rPr>
          <w:rFonts w:eastAsia="Calibri" w:cs="Times New Roman"/>
          <w:color w:val="000000"/>
          <w:szCs w:val="24"/>
          <w:lang w:val="fr-FR" w:eastAsia="en-GB"/>
        </w:rPr>
        <w:t>. Usvojen je program praćenja kvaliteta tečnih goriva naftnog porijekla za 2020-2021.</w:t>
      </w:r>
      <w:r w:rsidR="00652FFE" w:rsidRPr="00C35FD0">
        <w:rPr>
          <w:lang w:val="fr-FR"/>
        </w:rPr>
        <w:t xml:space="preserve"> </w:t>
      </w:r>
    </w:p>
    <w:p w:rsidR="00622A95" w:rsidRPr="00095948" w:rsidRDefault="00622A95" w:rsidP="00EC1790">
      <w:pPr>
        <w:spacing w:after="120" w:line="240" w:lineRule="auto"/>
        <w:jc w:val="both"/>
        <w:rPr>
          <w:rFonts w:eastAsia="Calibri" w:cs="Times New Roman"/>
          <w:color w:val="000000"/>
          <w:szCs w:val="24"/>
          <w:lang w:val="fr-FR" w:eastAsia="en-GB"/>
        </w:rPr>
      </w:pPr>
      <w:r w:rsidRPr="00095948">
        <w:rPr>
          <w:rFonts w:eastAsia="Calibri" w:cs="Times New Roman"/>
          <w:color w:val="000000"/>
          <w:szCs w:val="24"/>
          <w:lang w:val="fr-FR" w:eastAsia="en-GB"/>
        </w:rPr>
        <w:t xml:space="preserve">Kada je riječ o </w:t>
      </w:r>
      <w:r w:rsidRPr="00095948">
        <w:rPr>
          <w:rFonts w:eastAsia="Calibri" w:cs="Times New Roman"/>
          <w:b/>
          <w:color w:val="000000"/>
          <w:szCs w:val="24"/>
          <w:lang w:val="fr-FR" w:eastAsia="en-GB"/>
        </w:rPr>
        <w:t>upravljanju otpadom</w:t>
      </w:r>
      <w:r w:rsidRPr="00095948">
        <w:rPr>
          <w:rFonts w:eastAsia="Calibri" w:cs="Times New Roman"/>
          <w:color w:val="000000"/>
          <w:szCs w:val="24"/>
          <w:lang w:val="fr-FR" w:eastAsia="en-GB"/>
        </w:rPr>
        <w:t>, crnogorsko zakonodavstvo i dalje djelimično usklađeno s pravnom tekovinom EU. Nije napravljen pomak u implementaciji zakonodavstva o otpadu. Znatni napori su potrebni u pogledu strateškog planiranja i investicija kako bi se sprovela Nacionalna strategija za upravljanje otpadom do 2030. i Državni plan upravljanja otpadom za period 2015-2020. godine. Nastavljen je rad na novom Zakonu o upravljanju otpadom. Odluke o odvojenom sakupljanju otpada usvojene su u opštinama Berane, Žabljak, Plav, Rožaje, Kolašin, Gusinje, Andrijevica, Ulcinj i Petnjica. Ostaje da se pojasne detalji državnog modela upravljanja otpadom i modaliteta njegove implementacije. Potrebno je hitno djelovanje kako bi se riješilo pitanje nelegalnih odlagališta otpada i korišćenja privremenih lokacija za odlaganje u svim opštinama. Potrebno je uspostaviti infrastrukturu za odvojeno sakupljanje i recikliranje otpada širom zemlje.</w:t>
      </w:r>
    </w:p>
    <w:p w:rsidR="00622A95" w:rsidRPr="00095948" w:rsidRDefault="00622A95" w:rsidP="00EC1790">
      <w:pPr>
        <w:spacing w:after="120" w:line="240" w:lineRule="auto"/>
        <w:jc w:val="both"/>
        <w:rPr>
          <w:rFonts w:eastAsia="Calibri" w:cs="Times New Roman"/>
          <w:noProof/>
          <w:color w:val="000000"/>
          <w:szCs w:val="24"/>
          <w:lang w:val="fr-FR" w:eastAsia="en-GB"/>
        </w:rPr>
      </w:pPr>
      <w:r w:rsidRPr="00095948">
        <w:rPr>
          <w:rFonts w:eastAsia="Calibri" w:cs="Times New Roman"/>
          <w:noProof/>
          <w:color w:val="000000"/>
          <w:szCs w:val="24"/>
          <w:lang w:val="fr-FR" w:eastAsia="en-GB"/>
        </w:rPr>
        <w:t xml:space="preserve">Usklađenost u oblasti </w:t>
      </w:r>
      <w:r w:rsidRPr="00095948">
        <w:rPr>
          <w:rFonts w:eastAsia="Calibri" w:cs="Times New Roman"/>
          <w:b/>
          <w:noProof/>
          <w:color w:val="000000"/>
          <w:szCs w:val="24"/>
          <w:lang w:val="fr-FR" w:eastAsia="en-GB"/>
        </w:rPr>
        <w:t>kvaliteta voda</w:t>
      </w:r>
      <w:r w:rsidRPr="00095948">
        <w:rPr>
          <w:rFonts w:eastAsia="Calibri" w:cs="Times New Roman"/>
          <w:noProof/>
          <w:color w:val="000000"/>
          <w:szCs w:val="24"/>
          <w:lang w:val="fr-FR" w:eastAsia="en-GB"/>
        </w:rPr>
        <w:t xml:space="preserve"> ostaje ograničena. Ostaje da se finalizuju planovi upravljanja vodama za Dunavski i Jadranski sliv. Uspostavljena je mreža hidroloških površinskih stanica za praćenje kvantiteta površinskih voda, kao i mreža stanica za praćenje podzemnih voda, a pribavljen je i softver za obradu prikupljenih hidroloških podataka. Najveći izvor zagađenja površinskih i podzemnih voda predstavljaju neprečišćene otpadne vode. U cilju rješavanja ovog pitanja, Vlada je u oktobru 2019. usvojila Plan upravljanja komunalnim otpadnim vodama za 2020-2035. godinu. Skupština je usvojila Zakon o zaštiti morske sredine u decembru 2019, doprinoseći time usklađenosti sa Okvirnom direktivom o morskoj strategiji. Napredovala je izrada mapa opasnosti od poplava i mapa rizika od poplava. Ulaganja u hidroelektrane moraju biti u skladu sa nacionalnim i </w:t>
      </w:r>
      <w:r w:rsidR="00AA1DB8">
        <w:rPr>
          <w:rFonts w:eastAsia="Calibri" w:cs="Times New Roman"/>
          <w:noProof/>
          <w:color w:val="000000"/>
          <w:szCs w:val="24"/>
          <w:lang w:val="fr-FR" w:eastAsia="en-GB"/>
        </w:rPr>
        <w:t>međunarodnim</w:t>
      </w:r>
      <w:r w:rsidRPr="00095948">
        <w:rPr>
          <w:rFonts w:eastAsia="Calibri" w:cs="Times New Roman"/>
          <w:noProof/>
          <w:color w:val="000000"/>
          <w:szCs w:val="24"/>
          <w:lang w:val="fr-FR" w:eastAsia="en-GB"/>
        </w:rPr>
        <w:t xml:space="preserve"> obavezama u pogledu zaštite prirode i upravljanja vodama, osigurati učešće i konsultovanje javnosti, te garantovati visokokvalitetne izvještaje o procjeni uticaja na životnu sredinu (EIA) koji uključuju kumulativna dejstva na prirodu i biodiverzitet.</w:t>
      </w:r>
    </w:p>
    <w:p w:rsidR="00622A95" w:rsidRPr="00095948" w:rsidRDefault="00622A95" w:rsidP="00EC1790">
      <w:pPr>
        <w:spacing w:after="120" w:line="240" w:lineRule="auto"/>
        <w:jc w:val="both"/>
        <w:rPr>
          <w:rFonts w:eastAsia="Calibri" w:cs="Times New Roman"/>
          <w:color w:val="000000"/>
          <w:szCs w:val="24"/>
          <w:lang w:val="fr-FR" w:eastAsia="en-GB"/>
        </w:rPr>
      </w:pPr>
      <w:r w:rsidRPr="00095948">
        <w:rPr>
          <w:rFonts w:eastAsia="Calibri" w:cs="Times New Roman"/>
          <w:color w:val="000000"/>
          <w:szCs w:val="24"/>
          <w:lang w:val="fr-FR" w:eastAsia="en-GB"/>
        </w:rPr>
        <w:t xml:space="preserve">U oblasti </w:t>
      </w:r>
      <w:r w:rsidRPr="00095948">
        <w:rPr>
          <w:rFonts w:eastAsia="Calibri" w:cs="Times New Roman"/>
          <w:b/>
          <w:color w:val="000000"/>
          <w:szCs w:val="24"/>
          <w:lang w:val="fr-FR" w:eastAsia="en-GB"/>
        </w:rPr>
        <w:t>zaštite prirode</w:t>
      </w:r>
      <w:r w:rsidRPr="00095948">
        <w:rPr>
          <w:rFonts w:eastAsia="Calibri" w:cs="Times New Roman"/>
          <w:color w:val="000000"/>
          <w:szCs w:val="24"/>
          <w:lang w:val="fr-FR" w:eastAsia="en-GB"/>
        </w:rPr>
        <w:t>, crnogorsko zakonodavstvo je djelimično usklađeno s pravnom tekovinom EU. Opština Ulcinj je u junu 2019. proglasila Ulcinjsku solanu za park prirode, a ista je u septembru 2019. uvrštena na Ramsar listu, time postajući močvarno područje od međunarodnog značaja. Dolina rijeke Zete proglašena je parkom prirode u decembru 2019. godine. Dok dodatna podrška za održavanje Ulcinjske solane dolazi iz državnog budžeta, odlučno i hitno djelovanje i dalje je potrebno za njeno održivo upravljanje i zaštitu, uključujući prije svega razjašnjenje pitanja vlasništva. Određene mjere ublažavanja preduzete su radi praćenja i poboljšanja stanja životne sredine na nekoliko osjetljivih područja oko Skadarskog jezera i rijeke Tare. Potreban je dalji napredak</w:t>
      </w:r>
      <w:r w:rsidR="00A736C7">
        <w:rPr>
          <w:rFonts w:eastAsia="Calibri" w:cs="Times New Roman"/>
          <w:color w:val="000000"/>
          <w:szCs w:val="24"/>
          <w:lang w:val="fr-FR" w:eastAsia="en-GB"/>
        </w:rPr>
        <w:t xml:space="preserve"> </w:t>
      </w:r>
      <w:r w:rsidRPr="00095948">
        <w:rPr>
          <w:rFonts w:eastAsia="Calibri" w:cs="Times New Roman"/>
          <w:color w:val="000000"/>
          <w:szCs w:val="24"/>
          <w:lang w:val="fr-FR" w:eastAsia="en-GB"/>
        </w:rPr>
        <w:t>u određivanju morskih zaštićenih područja i uspostavljanju sveobuhvatnog sistema stroge zaštite vrsta, koji se primjenjuje, između ostalog, kod seizmičkih ispitivanja, turističkih i projekata u vezi hidroelektrana. Formiran je vojni poligon na Sinjajevini, koja je dio U</w:t>
      </w:r>
      <w:r w:rsidR="00A736C7">
        <w:rPr>
          <w:rFonts w:eastAsia="Calibri" w:cs="Times New Roman"/>
          <w:color w:val="000000"/>
          <w:szCs w:val="24"/>
          <w:lang w:val="fr-FR" w:eastAsia="en-GB"/>
        </w:rPr>
        <w:t xml:space="preserve">NESCO </w:t>
      </w:r>
      <w:r w:rsidRPr="00095948">
        <w:rPr>
          <w:rFonts w:eastAsia="Calibri" w:cs="Times New Roman"/>
          <w:color w:val="000000"/>
          <w:szCs w:val="24"/>
          <w:lang w:val="fr-FR" w:eastAsia="en-GB"/>
        </w:rPr>
        <w:t>rezervata biosfere rijeke Tare. Njegov rad treba planirati i pratiti u skladu sa U</w:t>
      </w:r>
      <w:r w:rsidR="00A736C7">
        <w:rPr>
          <w:rFonts w:eastAsia="Calibri" w:cs="Times New Roman"/>
          <w:color w:val="000000"/>
          <w:szCs w:val="24"/>
          <w:lang w:val="fr-FR" w:eastAsia="en-GB"/>
        </w:rPr>
        <w:t xml:space="preserve">NESCO </w:t>
      </w:r>
      <w:r w:rsidRPr="00095948">
        <w:rPr>
          <w:rFonts w:eastAsia="Calibri" w:cs="Times New Roman"/>
          <w:color w:val="000000"/>
          <w:szCs w:val="24"/>
          <w:lang w:val="fr-FR" w:eastAsia="en-GB"/>
        </w:rPr>
        <w:t>principima socio-kulturne i ekološke održivosti. Nastavljeno je mapiranje za Natura 2000. Usvojen je Zakon o stranim i invazivnim stranim vrstama biljaka, životinja i gljiva, kao i revidirana Nacionalna strategija za šume i šumarstvo i Plan sanacije šuma za šume degradirane dejstvom abiotičkih i biotičkih faktora. U martu 2020, Skupština je usvojila Zakon o potvrđivanju Protokola iz Nagoje o pristupu genetičkim resursima i pravednoj i jednakoj raspodjeli koristi koje proističu iz njihovog korišćenja uz Konvenciju o biološkoj raznovrsnosti</w:t>
      </w:r>
      <w:r w:rsidRPr="00095948">
        <w:rPr>
          <w:rFonts w:eastAsia="Calibri" w:cs="Times New Roman"/>
          <w:szCs w:val="24"/>
          <w:lang w:val="fr-FR"/>
        </w:rPr>
        <w:t>.</w:t>
      </w:r>
    </w:p>
    <w:p w:rsidR="00622A95" w:rsidRPr="00095948" w:rsidRDefault="00622A95" w:rsidP="00EC1790">
      <w:pPr>
        <w:spacing w:after="120" w:line="240" w:lineRule="auto"/>
        <w:jc w:val="both"/>
        <w:rPr>
          <w:rFonts w:eastAsia="Calibri" w:cs="Times New Roman"/>
          <w:color w:val="000000"/>
          <w:szCs w:val="24"/>
          <w:lang w:val="fr-FR" w:eastAsia="en-GB"/>
        </w:rPr>
      </w:pPr>
      <w:r w:rsidRPr="00095948">
        <w:rPr>
          <w:rFonts w:eastAsia="Calibri" w:cs="Times New Roman"/>
          <w:color w:val="000000"/>
          <w:szCs w:val="24"/>
          <w:lang w:val="fr-FR" w:eastAsia="en-GB"/>
        </w:rPr>
        <w:t xml:space="preserve">U oblasti </w:t>
      </w:r>
      <w:r w:rsidRPr="00095948">
        <w:rPr>
          <w:rFonts w:eastAsia="Calibri" w:cs="Times New Roman"/>
          <w:b/>
          <w:color w:val="000000"/>
          <w:szCs w:val="24"/>
          <w:lang w:val="fr-FR" w:eastAsia="en-GB"/>
        </w:rPr>
        <w:t>industrijskog zagađenja i upravljanja rizikom</w:t>
      </w:r>
      <w:r w:rsidRPr="00095948">
        <w:rPr>
          <w:rFonts w:eastAsia="Calibri" w:cs="Times New Roman"/>
          <w:color w:val="000000"/>
          <w:szCs w:val="24"/>
          <w:lang w:val="fr-FR" w:eastAsia="en-GB"/>
        </w:rPr>
        <w:t xml:space="preserve">, crnogorsko zakonodavstvo je djelimično usklađeno s pravnom tekovinom EU. Zakon o industrijskim emisijama usvojen je u martu 2019, nakon čega </w:t>
      </w:r>
      <w:r w:rsidR="00A736C7">
        <w:rPr>
          <w:rFonts w:eastAsia="Calibri" w:cs="Times New Roman"/>
          <w:color w:val="000000"/>
          <w:szCs w:val="24"/>
          <w:lang w:val="fr-FR" w:eastAsia="en-GB"/>
        </w:rPr>
        <w:t xml:space="preserve">su usvojeni </w:t>
      </w:r>
      <w:r w:rsidRPr="00095948">
        <w:rPr>
          <w:rFonts w:eastAsia="Calibri" w:cs="Times New Roman"/>
          <w:color w:val="000000"/>
          <w:szCs w:val="24"/>
          <w:lang w:val="fr-FR" w:eastAsia="en-GB"/>
        </w:rPr>
        <w:t>relevantn</w:t>
      </w:r>
      <w:r w:rsidR="00A736C7">
        <w:rPr>
          <w:rFonts w:eastAsia="Calibri" w:cs="Times New Roman"/>
          <w:color w:val="000000"/>
          <w:szCs w:val="24"/>
          <w:lang w:val="fr-FR" w:eastAsia="en-GB"/>
        </w:rPr>
        <w:t>i podzakonski akti</w:t>
      </w:r>
      <w:r w:rsidRPr="00095948">
        <w:rPr>
          <w:rFonts w:eastAsia="Calibri" w:cs="Times New Roman"/>
          <w:color w:val="000000"/>
          <w:szCs w:val="24"/>
          <w:lang w:val="fr-FR" w:eastAsia="en-GB"/>
        </w:rPr>
        <w:t>. Vlada je u novembru donijela</w:t>
      </w:r>
      <w:r w:rsidR="00A736C7">
        <w:rPr>
          <w:rFonts w:eastAsia="Calibri" w:cs="Times New Roman"/>
          <w:color w:val="000000"/>
          <w:szCs w:val="24"/>
          <w:lang w:val="fr-FR" w:eastAsia="en-GB"/>
        </w:rPr>
        <w:t xml:space="preserve"> </w:t>
      </w:r>
      <w:r w:rsidRPr="00095948">
        <w:rPr>
          <w:rFonts w:eastAsia="Calibri" w:cs="Times New Roman"/>
          <w:color w:val="000000"/>
          <w:szCs w:val="24"/>
          <w:lang w:val="fr-FR" w:eastAsia="en-GB"/>
        </w:rPr>
        <w:t>Uredbu o vrstama aktivnosti i postrojenja za koje se izdaje integrisana dozvola.</w:t>
      </w:r>
    </w:p>
    <w:p w:rsidR="00622A95" w:rsidRPr="00095948" w:rsidRDefault="00622A95" w:rsidP="00EC1790">
      <w:pPr>
        <w:spacing w:after="120" w:line="240" w:lineRule="auto"/>
        <w:jc w:val="both"/>
        <w:rPr>
          <w:rFonts w:eastAsia="Calibri" w:cs="Times New Roman"/>
          <w:noProof/>
          <w:color w:val="000000"/>
          <w:szCs w:val="24"/>
          <w:lang w:val="fr-FR"/>
        </w:rPr>
      </w:pPr>
      <w:r w:rsidRPr="00095948">
        <w:rPr>
          <w:rFonts w:eastAsia="Calibri" w:cs="Times New Roman"/>
          <w:noProof/>
          <w:color w:val="000000"/>
          <w:szCs w:val="24"/>
          <w:lang w:val="fr-FR"/>
        </w:rPr>
        <w:t xml:space="preserve">Kada je riječ o </w:t>
      </w:r>
      <w:r w:rsidRPr="00095948">
        <w:rPr>
          <w:rFonts w:eastAsia="Calibri" w:cs="Times New Roman"/>
          <w:b/>
          <w:noProof/>
          <w:color w:val="000000"/>
          <w:szCs w:val="24"/>
          <w:lang w:val="fr-FR"/>
        </w:rPr>
        <w:t>hemikalijama</w:t>
      </w:r>
      <w:r w:rsidRPr="00095948">
        <w:rPr>
          <w:rFonts w:eastAsia="Calibri" w:cs="Times New Roman"/>
          <w:noProof/>
          <w:color w:val="000000"/>
          <w:szCs w:val="24"/>
          <w:lang w:val="fr-FR"/>
        </w:rPr>
        <w:t>, crnogorsko zakonodavstvo je djelimično usklađeno s pravnom tekovinom EU. U martu 2019, Vlada je donijela Nacionalnu strategiju upravljanja hemikalijama 2019-2022, s Akcionim planom. U julu 2019, Vlada je usvojila Nacionalni plan za implementaciju Stokholmske konvencije, dok je u avgustu 2019. usvojila Finalni izvještaj o realizaciji Akcionog plana za sprovođenje Strategije upravljanja hemikalijama 2015-2018.</w:t>
      </w:r>
    </w:p>
    <w:p w:rsidR="00622A95" w:rsidRPr="00095948" w:rsidRDefault="00622A95" w:rsidP="00EC1790">
      <w:pPr>
        <w:spacing w:after="120" w:line="240" w:lineRule="auto"/>
        <w:jc w:val="both"/>
        <w:rPr>
          <w:rFonts w:eastAsia="Calibri" w:cs="Times New Roman"/>
          <w:color w:val="000000"/>
          <w:szCs w:val="24"/>
          <w:lang w:val="fr-FR" w:eastAsia="en-GB"/>
        </w:rPr>
      </w:pPr>
      <w:r w:rsidRPr="00095948">
        <w:rPr>
          <w:rFonts w:eastAsia="Calibri" w:cs="Times New Roman"/>
          <w:color w:val="000000"/>
          <w:szCs w:val="24"/>
          <w:lang w:val="fr-FR" w:eastAsia="en-GB"/>
        </w:rPr>
        <w:t xml:space="preserve">U oblasti </w:t>
      </w:r>
      <w:r w:rsidRPr="00095948">
        <w:rPr>
          <w:rFonts w:eastAsia="Calibri" w:cs="Times New Roman"/>
          <w:b/>
          <w:color w:val="000000"/>
          <w:szCs w:val="24"/>
          <w:lang w:val="fr-FR" w:eastAsia="en-GB"/>
        </w:rPr>
        <w:t>buke</w:t>
      </w:r>
      <w:r w:rsidRPr="00095948">
        <w:rPr>
          <w:rFonts w:eastAsia="Calibri" w:cs="Times New Roman"/>
          <w:color w:val="000000"/>
          <w:szCs w:val="24"/>
          <w:lang w:val="fr-FR" w:eastAsia="en-GB"/>
        </w:rPr>
        <w:t>,</w:t>
      </w:r>
      <w:r w:rsidRPr="00095948">
        <w:rPr>
          <w:lang w:val="fr-FR"/>
        </w:rPr>
        <w:t>Glavni grad</w:t>
      </w:r>
      <w:r w:rsidR="00F95800" w:rsidRPr="00095948">
        <w:rPr>
          <w:lang w:val="fr-FR"/>
        </w:rPr>
        <w:t xml:space="preserve"> </w:t>
      </w:r>
      <w:r w:rsidRPr="00095948">
        <w:rPr>
          <w:rFonts w:eastAsia="Calibri" w:cs="Times New Roman"/>
          <w:color w:val="000000"/>
          <w:szCs w:val="24"/>
          <w:lang w:val="fr-FR" w:eastAsia="en-GB"/>
        </w:rPr>
        <w:t>Podgorica je u julu 2019. donio Akcioni plan zaštite od buke za teritoriju Glavnog grada Podgorice i Opštine u sastavu Glavnog grada Golubovci do 2024.</w:t>
      </w:r>
    </w:p>
    <w:p w:rsidR="00622A95" w:rsidRPr="00095948" w:rsidRDefault="00622A95" w:rsidP="00EC1790">
      <w:pPr>
        <w:spacing w:after="120" w:line="240" w:lineRule="auto"/>
        <w:jc w:val="both"/>
        <w:rPr>
          <w:rFonts w:eastAsia="Calibri" w:cs="Times New Roman"/>
          <w:szCs w:val="24"/>
          <w:lang w:val="fr-FR" w:eastAsia="en-GB"/>
        </w:rPr>
      </w:pPr>
      <w:r w:rsidRPr="00095948">
        <w:rPr>
          <w:rFonts w:eastAsia="Calibri" w:cs="Times New Roman"/>
          <w:szCs w:val="24"/>
          <w:lang w:val="fr-FR" w:eastAsia="en-GB"/>
        </w:rPr>
        <w:t xml:space="preserve">U oblasti </w:t>
      </w:r>
      <w:r w:rsidRPr="00095948">
        <w:rPr>
          <w:rFonts w:eastAsia="Calibri" w:cs="Times New Roman"/>
          <w:b/>
          <w:szCs w:val="24"/>
          <w:lang w:val="fr-FR" w:eastAsia="en-GB"/>
        </w:rPr>
        <w:t>civilne zaštite</w:t>
      </w:r>
      <w:r w:rsidRPr="00095948">
        <w:rPr>
          <w:rFonts w:eastAsia="Calibri" w:cs="Times New Roman"/>
          <w:szCs w:val="24"/>
          <w:lang w:val="fr-FR" w:eastAsia="en-GB"/>
        </w:rPr>
        <w:t>, Crna Gora je članica Mehanizma za civilnu zaštitu EU od aprila 2015. godine.</w:t>
      </w:r>
      <w:r w:rsidR="00F95800" w:rsidRPr="00095948">
        <w:rPr>
          <w:rFonts w:eastAsia="Calibri" w:cs="Times New Roman"/>
          <w:szCs w:val="24"/>
          <w:lang w:val="fr-FR" w:eastAsia="en-GB"/>
        </w:rPr>
        <w:t xml:space="preserve"> </w:t>
      </w:r>
      <w:r w:rsidRPr="00095948">
        <w:rPr>
          <w:rFonts w:eastAsia="Calibri" w:cs="Times New Roman"/>
          <w:szCs w:val="24"/>
          <w:lang w:val="fr-FR" w:eastAsia="en-GB"/>
        </w:rPr>
        <w:t>Pandemija COVID-19 naglasila je potrebu za jačanjem zakonskog okvira i institucionalnih kapaciteta, kao i ljudskih i finansijskih resursa organa civilne zaštite, a takođe u pogledu hitnih medicinskih intervencija. Crnoj Gori se sugeriše da pojača saradnju u okviru Mehanizma za civilnu zaštitu EU (UCPM). Crna Gora bi mogla više da doprinosi Mehanizmu registrovanjem eksperata ili kapaciteta za odgovor u dobrovoljne snage i kroz redovno učešće u radu odbora i radnih grupa koje su uspostavljene u okviru Mehanizma.I dalje je potrebno da se zemlja poveže sa Zajedničkim sistemom za komunikaciju u vanrednim situacijama i informacionim sistemom (CECIS). Kao preduslov za povezivanje sa CECIS-om,</w:t>
      </w:r>
      <w:r w:rsidR="00BB4208">
        <w:rPr>
          <w:rFonts w:eastAsia="Calibri" w:cs="Times New Roman"/>
          <w:szCs w:val="24"/>
          <w:lang w:val="fr-FR" w:eastAsia="en-GB"/>
        </w:rPr>
        <w:t xml:space="preserve"> </w:t>
      </w:r>
      <w:r w:rsidRPr="00095948">
        <w:rPr>
          <w:rFonts w:eastAsia="Calibri" w:cs="Times New Roman"/>
          <w:szCs w:val="24"/>
          <w:lang w:val="fr-FR" w:eastAsia="en-GB"/>
        </w:rPr>
        <w:t>Crna Gora treba da uspostavi Sigurni transevropski servis za telematiku između administracija (sTESTA). U januaru 2020. donijet je Izvještaj o realizaciji Akcionog plana za sprovođenje Strategije za smanjenje rizika od katastrofa za period 2018-2019. godina, za 2019. godinu, kao i Akcioni plan za sprovođenje Strategije za period 2020-2021.</w:t>
      </w:r>
    </w:p>
    <w:p w:rsidR="00622A95" w:rsidRPr="00095948" w:rsidRDefault="00622A95" w:rsidP="00EC1790">
      <w:pPr>
        <w:spacing w:after="120" w:line="240" w:lineRule="auto"/>
        <w:jc w:val="both"/>
        <w:rPr>
          <w:rFonts w:eastAsia="Calibri" w:cs="Times New Roman"/>
          <w:color w:val="000000"/>
          <w:szCs w:val="24"/>
          <w:u w:val="single"/>
          <w:lang w:val="fr-FR" w:eastAsia="en-GB"/>
        </w:rPr>
      </w:pPr>
      <w:r w:rsidRPr="00095948">
        <w:rPr>
          <w:rFonts w:eastAsia="Calibri" w:cs="Times New Roman"/>
          <w:color w:val="000000"/>
          <w:szCs w:val="24"/>
          <w:u w:val="single"/>
          <w:lang w:val="fr-FR" w:eastAsia="en-GB"/>
        </w:rPr>
        <w:t>Klimatske promjene</w:t>
      </w:r>
    </w:p>
    <w:p w:rsidR="00622A95" w:rsidRPr="009A2018" w:rsidRDefault="00622A95" w:rsidP="00EC1790">
      <w:pPr>
        <w:spacing w:after="120" w:line="240" w:lineRule="auto"/>
        <w:jc w:val="both"/>
        <w:rPr>
          <w:rFonts w:eastAsia="Calibri" w:cs="Times New Roman"/>
          <w:noProof/>
          <w:color w:val="000000"/>
          <w:szCs w:val="24"/>
          <w:lang w:eastAsia="en-GB"/>
        </w:rPr>
      </w:pPr>
      <w:r w:rsidRPr="00095948">
        <w:rPr>
          <w:rFonts w:eastAsia="Calibri" w:cs="Times New Roman"/>
          <w:noProof/>
          <w:color w:val="000000"/>
          <w:szCs w:val="24"/>
          <w:lang w:val="fr-FR" w:eastAsia="en-GB"/>
        </w:rPr>
        <w:t xml:space="preserve">Nivo usklađenosti Crne Gore u oblasti klimatskih promjena i dalje je ograničen. Crna Gora ima strategiju klimatskih promjena, ali je neophodno da intenzivira rad kako bi obezbijedila konzistentnost sa Okvirom klimatske i energetske politike EU do 2030. godine. </w:t>
      </w:r>
      <w:r w:rsidRPr="009A2018">
        <w:rPr>
          <w:rFonts w:eastAsia="Calibri" w:cs="Times New Roman"/>
          <w:noProof/>
          <w:color w:val="000000"/>
          <w:szCs w:val="24"/>
          <w:lang w:eastAsia="en-GB"/>
        </w:rPr>
        <w:t>Takođe</w:t>
      </w:r>
      <w:r w:rsidR="00BB4208">
        <w:rPr>
          <w:rFonts w:eastAsia="Calibri" w:cs="Times New Roman"/>
          <w:noProof/>
          <w:color w:val="000000"/>
          <w:szCs w:val="24"/>
          <w:lang w:eastAsia="en-GB"/>
        </w:rPr>
        <w:t>,</w:t>
      </w:r>
      <w:r w:rsidRPr="009A2018">
        <w:rPr>
          <w:rFonts w:eastAsia="Calibri" w:cs="Times New Roman"/>
          <w:noProof/>
          <w:color w:val="000000"/>
          <w:szCs w:val="24"/>
          <w:lang w:eastAsia="en-GB"/>
        </w:rPr>
        <w:t xml:space="preserve"> treba da obezbijedi da njena strategija bude integrisana u sve relevantne sektorske politike i strategije. U decembru 2019. usvojen je okvirni Zakon o klimatskim promjenama. U skladu s ovim zakonom, donešena je uredba u februaru 2020, koja osigurava uspostavljanje nacionalnog sistema trgovine emisijama ugljen-dioksida. I dalje je potreban značajan rad na usklađivanju s pravnom tekovinom EU, poput inkorporiranja preostalih elemenata Sistema trgovine emisijama EU (ETS), Regulative o podjeli napora i Mehanizma monitoringa i izvještavanja (MMR). Što se tiče Okvirne konvencije UN-a o klimatskim promjenama (UNFCCC), u toku je priprema trećeg nacionalnog izvještaja za Crnu Goru o klimatskim promjenama, u skladu sa Okvirnom konvencijom UN-a o klimatskim promjenama.</w:t>
      </w:r>
    </w:p>
    <w:p w:rsidR="00622A95" w:rsidRPr="009A2018" w:rsidRDefault="00622A95" w:rsidP="00EC1790">
      <w:pPr>
        <w:pStyle w:val="Heading2"/>
        <w:rPr>
          <w:rFonts w:eastAsia="Times New Roman"/>
        </w:rPr>
      </w:pPr>
      <w:bookmarkStart w:id="273" w:name="_Toc30080590"/>
      <w:bookmarkStart w:id="274" w:name="_Toc30074168"/>
      <w:bookmarkStart w:id="275" w:name="_Toc30073855"/>
      <w:bookmarkStart w:id="276" w:name="_Toc9585323"/>
      <w:bookmarkStart w:id="277" w:name="_Toc52744959"/>
      <w:bookmarkStart w:id="278" w:name="_Toc53362467"/>
      <w:r w:rsidRPr="009A2018">
        <w:rPr>
          <w:rFonts w:eastAsia="Times New Roman"/>
        </w:rPr>
        <w:t>5.28</w:t>
      </w:r>
      <w:r w:rsidRPr="009A2018">
        <w:rPr>
          <w:rFonts w:eastAsia="Times New Roman"/>
        </w:rPr>
        <w:tab/>
        <w:t xml:space="preserve">Poglavlje 28: </w:t>
      </w:r>
      <w:bookmarkEnd w:id="273"/>
      <w:bookmarkEnd w:id="274"/>
      <w:bookmarkEnd w:id="275"/>
      <w:bookmarkEnd w:id="276"/>
      <w:bookmarkEnd w:id="277"/>
      <w:r w:rsidRPr="009A2018">
        <w:rPr>
          <w:rFonts w:eastAsia="Times New Roman"/>
        </w:rPr>
        <w:t>Zaštita potrošača i zdravlja</w:t>
      </w:r>
      <w:bookmarkEnd w:id="278"/>
    </w:p>
    <w:p w:rsidR="00622A95" w:rsidRPr="009A2018" w:rsidRDefault="00622A95" w:rsidP="00EC1790">
      <w:pPr>
        <w:keepNext/>
        <w:spacing w:after="120" w:line="240" w:lineRule="auto"/>
        <w:jc w:val="both"/>
        <w:rPr>
          <w:rFonts w:eastAsia="Calibri" w:cs="Times New Roman"/>
          <w:i/>
          <w:iCs/>
          <w:color w:val="000000"/>
          <w:szCs w:val="24"/>
        </w:rPr>
      </w:pPr>
      <w:r w:rsidRPr="009A2018">
        <w:rPr>
          <w:rFonts w:eastAsia="Calibri" w:cs="Times New Roman"/>
          <w:i/>
          <w:iCs/>
          <w:color w:val="000000"/>
          <w:szCs w:val="24"/>
        </w:rPr>
        <w:t>Propisi EU štite potrošače u pogledu zaštite ekonomskih interesa potrošača, bezbjednosti proizvoda, opasnih imitacija i odgovornosti za neispravne proizvode. EU takođe obezbjeđuje visoke zajedničke standarde za kontrolu duvana, krvi, tkiva, ćelija i organa, prava pacijenata i zarazne bolesti.</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szCs w:val="24"/>
          <w:lang w:eastAsia="it-IT"/>
        </w:rPr>
      </w:pPr>
      <w:r w:rsidRPr="009A2018">
        <w:rPr>
          <w:rFonts w:eastAsia="Times New Roman" w:cs="Times New Roman"/>
          <w:szCs w:val="24"/>
          <w:lang w:eastAsia="it-IT"/>
        </w:rPr>
        <w:t xml:space="preserve">Crna Gora je </w:t>
      </w:r>
      <w:r w:rsidRPr="009A2018">
        <w:rPr>
          <w:rFonts w:eastAsia="Times New Roman" w:cs="Times New Roman"/>
          <w:b/>
          <w:szCs w:val="24"/>
          <w:lang w:eastAsia="it-IT"/>
        </w:rPr>
        <w:t>umjereno spremna</w:t>
      </w:r>
      <w:r w:rsidRPr="009A2018">
        <w:rPr>
          <w:rFonts w:eastAsia="Times New Roman" w:cs="Times New Roman"/>
          <w:szCs w:val="24"/>
          <w:lang w:eastAsia="it-IT"/>
        </w:rPr>
        <w:t xml:space="preserve"> u oblasti zaštite potrošača i zdravlja. </w:t>
      </w:r>
      <w:r w:rsidRPr="009A2018">
        <w:rPr>
          <w:rFonts w:eastAsia="Times New Roman" w:cs="Times New Roman"/>
          <w:b/>
          <w:szCs w:val="24"/>
          <w:lang w:eastAsia="it-IT"/>
        </w:rPr>
        <w:t>Određeni napredak</w:t>
      </w:r>
      <w:r w:rsidRPr="009A2018">
        <w:rPr>
          <w:rFonts w:eastAsia="Times New Roman" w:cs="Times New Roman"/>
          <w:szCs w:val="24"/>
          <w:lang w:eastAsia="it-IT"/>
        </w:rPr>
        <w:t xml:space="preserve"> može se primijetiti kod prošlogodišnjih preporuka u pogledu usklađenosti s pravnom tekovinom, a naročito u vezi kontrole duvana i pušenja na javnim mjestima. Ipak, </w:t>
      </w:r>
      <w:r w:rsidR="0039033B">
        <w:rPr>
          <w:rFonts w:eastAsia="Times New Roman" w:cs="Times New Roman"/>
          <w:szCs w:val="24"/>
          <w:lang w:eastAsia="it-IT"/>
        </w:rPr>
        <w:t xml:space="preserve">sve </w:t>
      </w:r>
      <w:r w:rsidRPr="009A2018">
        <w:rPr>
          <w:rFonts w:eastAsia="Times New Roman" w:cs="Times New Roman"/>
          <w:szCs w:val="24"/>
          <w:lang w:eastAsia="it-IT"/>
        </w:rPr>
        <w:t xml:space="preserve">prošlogodišnje preporuke </w:t>
      </w:r>
      <w:r w:rsidR="00402F96">
        <w:rPr>
          <w:rFonts w:eastAsia="Times New Roman" w:cs="Times New Roman"/>
          <w:szCs w:val="24"/>
          <w:lang w:eastAsia="it-IT"/>
        </w:rPr>
        <w:t>nijesu</w:t>
      </w:r>
      <w:r w:rsidRPr="009A2018">
        <w:rPr>
          <w:rFonts w:eastAsia="Times New Roman" w:cs="Times New Roman"/>
          <w:szCs w:val="24"/>
          <w:lang w:eastAsia="it-IT"/>
        </w:rPr>
        <w:t xml:space="preserve"> u potpunosti ispunjene, te je</w:t>
      </w:r>
      <w:r w:rsidR="0039033B">
        <w:rPr>
          <w:rFonts w:eastAsia="Times New Roman" w:cs="Times New Roman"/>
          <w:szCs w:val="24"/>
          <w:lang w:eastAsia="it-IT"/>
        </w:rPr>
        <w:t xml:space="preserve"> </w:t>
      </w:r>
      <w:r w:rsidRPr="009A2018">
        <w:rPr>
          <w:rFonts w:eastAsia="Times New Roman" w:cs="Times New Roman"/>
          <w:szCs w:val="24"/>
          <w:lang w:eastAsia="it-IT"/>
        </w:rPr>
        <w:t>potrebno dodatno usklađivanje, dok su implementacioni kapacitet i obezbjeđivanje podataka i dalje neadekvatni u nekoliko oblasti.</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szCs w:val="24"/>
          <w:lang w:eastAsia="it-IT"/>
        </w:rPr>
      </w:pPr>
      <w:r w:rsidRPr="009A2018">
        <w:rPr>
          <w:rFonts w:eastAsia="Times New Roman" w:cs="Times New Roman"/>
          <w:szCs w:val="24"/>
          <w:lang w:eastAsia="it-IT"/>
        </w:rPr>
        <w:t>U narednoj godini, Crna Gora treba da:</w:t>
      </w:r>
    </w:p>
    <w:p w:rsidR="00622A95" w:rsidRPr="009A2018" w:rsidRDefault="00622A95" w:rsidP="00EC1790">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sz w:val="24"/>
          <w:szCs w:val="24"/>
          <w:lang w:eastAsia="it-IT"/>
        </w:rPr>
      </w:pPr>
      <w:r w:rsidRPr="009A2018">
        <w:rPr>
          <w:rFonts w:ascii="Times New Roman" w:eastAsia="Times New Roman" w:hAnsi="Times New Roman" w:cs="Times New Roman"/>
          <w:sz w:val="24"/>
          <w:szCs w:val="24"/>
          <w:lang w:eastAsia="it-IT"/>
        </w:rPr>
        <w:t>dovrši usklađivanje nacionalnog zakonodavstva s pravnom tekovinom EU na polju zaštite potrošača;</w:t>
      </w:r>
    </w:p>
    <w:p w:rsidR="00622A95" w:rsidRPr="009A2018" w:rsidRDefault="00622A95" w:rsidP="00EC1790">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sz w:val="24"/>
          <w:szCs w:val="24"/>
          <w:lang w:eastAsia="it-IT"/>
        </w:rPr>
      </w:pPr>
      <w:r w:rsidRPr="009A2018">
        <w:rPr>
          <w:rFonts w:ascii="Times New Roman" w:eastAsia="Times New Roman" w:hAnsi="Times New Roman" w:cs="Times New Roman"/>
          <w:sz w:val="24"/>
          <w:szCs w:val="24"/>
          <w:lang w:eastAsia="it-IT"/>
        </w:rPr>
        <w:t>dovrši usklađivanje nacionalnog zakonodavstva s pravnom tekovinom EU na polju zaštite zdravlja, naročito u pogledu prava pacijenata u prekograničnoj zdravstvenoj zaštiti i materija ljudskog porijekla, te da krene s njegovom punom primjenom;</w:t>
      </w:r>
    </w:p>
    <w:p w:rsidR="00622A95" w:rsidRPr="00095948" w:rsidRDefault="00622A95" w:rsidP="00EC1790">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Times New Roman" w:hAnsi="Times New Roman" w:cs="Times New Roman"/>
          <w:noProof/>
          <w:color w:val="000000"/>
          <w:sz w:val="24"/>
          <w:szCs w:val="24"/>
          <w:lang w:val="fr-FR" w:eastAsia="it-IT"/>
        </w:rPr>
      </w:pPr>
      <w:r w:rsidRPr="00095948">
        <w:rPr>
          <w:rFonts w:ascii="Times New Roman" w:eastAsia="Times New Roman" w:hAnsi="Times New Roman" w:cs="Times New Roman"/>
          <w:noProof/>
          <w:color w:val="000000"/>
          <w:sz w:val="24"/>
          <w:szCs w:val="24"/>
          <w:lang w:val="fr-FR" w:eastAsia="it-IT"/>
        </w:rPr>
        <w:t>obezbijedi neophodne implementacione kapacitete za primjenu pravne tekovine EU.</w:t>
      </w:r>
    </w:p>
    <w:p w:rsidR="00622A95" w:rsidRPr="00095948" w:rsidRDefault="00622A95" w:rsidP="00EC1790">
      <w:pPr>
        <w:autoSpaceDE w:val="0"/>
        <w:autoSpaceDN w:val="0"/>
        <w:adjustRightInd w:val="0"/>
        <w:spacing w:after="120" w:line="240" w:lineRule="auto"/>
        <w:jc w:val="both"/>
        <w:rPr>
          <w:rFonts w:eastAsia="Calibri" w:cs="Times New Roman"/>
          <w:szCs w:val="24"/>
          <w:u w:val="single"/>
          <w:lang w:val="fr-FR"/>
        </w:rPr>
      </w:pPr>
      <w:r w:rsidRPr="00095948">
        <w:rPr>
          <w:rFonts w:eastAsia="Calibri" w:cs="Times New Roman"/>
          <w:szCs w:val="24"/>
          <w:u w:val="single"/>
          <w:lang w:val="fr-FR"/>
        </w:rPr>
        <w:t>Zaštita potrošača</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 xml:space="preserve">Kada je riječ o </w:t>
      </w:r>
      <w:r w:rsidRPr="00095948">
        <w:rPr>
          <w:rFonts w:eastAsia="Calibri" w:cs="Times New Roman"/>
          <w:b/>
          <w:szCs w:val="24"/>
          <w:lang w:val="fr-FR"/>
        </w:rPr>
        <w:t>pravnom okviru za zaštitu potrošača</w:t>
      </w:r>
      <w:r w:rsidRPr="00095948">
        <w:rPr>
          <w:rFonts w:eastAsia="Calibri" w:cs="Times New Roman"/>
          <w:szCs w:val="24"/>
          <w:lang w:val="fr-FR"/>
        </w:rPr>
        <w:t xml:space="preserve">, zakonski temelj Crne Gore osmišljen je tako da bude usklađen s pravnom tekovinom EU o bezbjednosti proizvoda. Izmjene i dopune Zakona o zaštiti potrošača </w:t>
      </w:r>
      <w:r w:rsidR="0039033B">
        <w:rPr>
          <w:rFonts w:eastAsia="Calibri" w:cs="Times New Roman"/>
          <w:szCs w:val="24"/>
          <w:lang w:val="fr-FR"/>
        </w:rPr>
        <w:t>donijete</w:t>
      </w:r>
      <w:r w:rsidR="0039033B" w:rsidRPr="00095948">
        <w:rPr>
          <w:rFonts w:eastAsia="Calibri" w:cs="Times New Roman"/>
          <w:szCs w:val="24"/>
          <w:lang w:val="fr-FR"/>
        </w:rPr>
        <w:t xml:space="preserve"> </w:t>
      </w:r>
      <w:r w:rsidRPr="00095948">
        <w:rPr>
          <w:rFonts w:eastAsia="Calibri" w:cs="Times New Roman"/>
          <w:szCs w:val="24"/>
          <w:lang w:val="fr-FR"/>
        </w:rPr>
        <w:t>su u novembru 2019. godine. To je učinjeno na način da se postigne usklađenost s pravnom tekovinom EU na polju prava potrošača i vansudskog rješavanja potrošačkih sporova. Ipak, potrebno je dalje usklađivanje u pogledu prava potrošača, potrošačkih kredita, alternativnog rješavanja sporova, kao i najnovije pravne tekovine EU o pravilima zaštite potrošača.</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U izvještajnom periodu, Uprava za inspekcijske poslove izvršila je 18.662 kontrole u oblasti zaštite potrošača i utvrdila 4.577 nepravilnosti koje su dovele do administrativnih mjera.</w:t>
      </w:r>
    </w:p>
    <w:p w:rsidR="00622A95" w:rsidRPr="00095948" w:rsidRDefault="00622A95" w:rsidP="00EC1790">
      <w:pPr>
        <w:autoSpaceDE w:val="0"/>
        <w:autoSpaceDN w:val="0"/>
        <w:adjustRightInd w:val="0"/>
        <w:spacing w:after="120" w:line="240" w:lineRule="auto"/>
        <w:jc w:val="both"/>
        <w:rPr>
          <w:rFonts w:eastAsia="Calibri" w:cs="Times New Roman"/>
          <w:iCs/>
          <w:color w:val="000000" w:themeColor="text1"/>
          <w:szCs w:val="24"/>
          <w:lang w:val="fr-FR" w:eastAsia="en-GB"/>
        </w:rPr>
      </w:pPr>
      <w:r w:rsidRPr="00095948">
        <w:rPr>
          <w:rFonts w:eastAsia="Calibri" w:cs="Times New Roman"/>
          <w:iCs/>
          <w:color w:val="000000" w:themeColor="text1"/>
          <w:szCs w:val="24"/>
          <w:lang w:val="fr-FR" w:eastAsia="en-GB"/>
        </w:rPr>
        <w:t xml:space="preserve">Kad je riječ o </w:t>
      </w:r>
      <w:r w:rsidRPr="00095948">
        <w:rPr>
          <w:rFonts w:eastAsia="Calibri" w:cs="Times New Roman"/>
          <w:b/>
          <w:iCs/>
          <w:color w:val="000000" w:themeColor="text1"/>
          <w:szCs w:val="24"/>
          <w:lang w:val="fr-FR" w:eastAsia="en-GB"/>
        </w:rPr>
        <w:t>bezbjednosti proizvoda</w:t>
      </w:r>
      <w:r w:rsidRPr="00095948">
        <w:rPr>
          <w:rFonts w:eastAsia="Calibri" w:cs="Times New Roman"/>
          <w:iCs/>
          <w:color w:val="000000" w:themeColor="text1"/>
          <w:szCs w:val="24"/>
          <w:lang w:val="fr-FR" w:eastAsia="en-GB"/>
        </w:rPr>
        <w:t>, Crna Gora je izvijestila da su obavljena 6.124 inspekcijska pregleda, odnosno 5.113 u proaktivnom nadzoru i 1.011 u reakitvnom nadzoru, pri čemu su utvrđena</w:t>
      </w:r>
      <w:r w:rsidR="00F95800" w:rsidRPr="00095948">
        <w:rPr>
          <w:rFonts w:eastAsia="Calibri" w:cs="Times New Roman"/>
          <w:iCs/>
          <w:color w:val="000000" w:themeColor="text1"/>
          <w:szCs w:val="24"/>
          <w:lang w:val="fr-FR" w:eastAsia="en-GB"/>
        </w:rPr>
        <w:t xml:space="preserve"> </w:t>
      </w:r>
      <w:r w:rsidRPr="00095948">
        <w:rPr>
          <w:rFonts w:eastAsia="Calibri" w:cs="Times New Roman"/>
          <w:iCs/>
          <w:color w:val="000000" w:themeColor="text1"/>
          <w:szCs w:val="24"/>
          <w:lang w:val="fr-FR" w:eastAsia="en-GB"/>
        </w:rPr>
        <w:t>822 opasna proizvoda (42.211 komada). Od toga je 386 (9.450 komada) okvalifikovano kao opasni proizvodi koji predstavljaju ozbiljan rizik i povučeni su sa tržišta, a 106 proizvoda (1.685 komada) je uništeno. Primijenjene su odgovarajuće administrativne mjere.</w:t>
      </w:r>
    </w:p>
    <w:p w:rsidR="00622A95" w:rsidRPr="00095948" w:rsidRDefault="00622A95" w:rsidP="00EC1790">
      <w:pPr>
        <w:autoSpaceDE w:val="0"/>
        <w:autoSpaceDN w:val="0"/>
        <w:adjustRightInd w:val="0"/>
        <w:spacing w:after="120" w:line="240" w:lineRule="auto"/>
        <w:jc w:val="both"/>
        <w:rPr>
          <w:rFonts w:eastAsia="Calibri" w:cs="Times New Roman"/>
          <w:szCs w:val="24"/>
          <w:u w:val="single"/>
          <w:lang w:val="fr-FR"/>
        </w:rPr>
      </w:pPr>
      <w:r w:rsidRPr="00095948">
        <w:rPr>
          <w:rFonts w:eastAsia="Calibri" w:cs="Times New Roman"/>
          <w:szCs w:val="24"/>
          <w:u w:val="single"/>
          <w:lang w:val="fr-FR"/>
        </w:rPr>
        <w:t>Javno zdravlje</w:t>
      </w:r>
    </w:p>
    <w:p w:rsidR="00622A95" w:rsidRPr="00095948" w:rsidRDefault="00622A95" w:rsidP="00EC1790">
      <w:pPr>
        <w:autoSpaceDE w:val="0"/>
        <w:autoSpaceDN w:val="0"/>
        <w:adjustRightInd w:val="0"/>
        <w:spacing w:after="120" w:line="240" w:lineRule="auto"/>
        <w:jc w:val="both"/>
        <w:rPr>
          <w:rFonts w:eastAsia="Calibri" w:cs="Times New Roman"/>
          <w:noProof/>
          <w:color w:val="000000"/>
          <w:szCs w:val="24"/>
          <w:lang w:val="fr-FR"/>
        </w:rPr>
      </w:pPr>
      <w:r w:rsidRPr="00095948">
        <w:rPr>
          <w:rFonts w:eastAsia="Calibri" w:cs="Times New Roman"/>
          <w:noProof/>
          <w:color w:val="000000"/>
          <w:szCs w:val="24"/>
          <w:lang w:val="fr-FR"/>
        </w:rPr>
        <w:t xml:space="preserve">Kad je riječ o </w:t>
      </w:r>
      <w:r w:rsidRPr="00095948">
        <w:rPr>
          <w:rFonts w:eastAsia="Calibri" w:cs="Times New Roman"/>
          <w:b/>
          <w:noProof/>
          <w:color w:val="000000"/>
          <w:szCs w:val="24"/>
          <w:lang w:val="fr-FR"/>
        </w:rPr>
        <w:t>javnom zdravlju</w:t>
      </w:r>
      <w:r w:rsidRPr="00095948">
        <w:rPr>
          <w:rFonts w:eastAsia="Calibri" w:cs="Times New Roman"/>
          <w:noProof/>
          <w:color w:val="000000"/>
          <w:szCs w:val="24"/>
          <w:lang w:val="fr-FR"/>
        </w:rPr>
        <w:t>, domaće zakonodavstvo iz oblasti zdravstvene zaštite djelimično je usklađeno s pravnom tekovinom EU. Crna Gora je pripremila 10 strate</w:t>
      </w:r>
      <w:r w:rsidR="0039033B">
        <w:rPr>
          <w:rFonts w:eastAsia="Calibri" w:cs="Times New Roman"/>
          <w:noProof/>
          <w:color w:val="000000"/>
          <w:szCs w:val="24"/>
          <w:lang w:val="fr-FR"/>
        </w:rPr>
        <w:t>gijskih</w:t>
      </w:r>
      <w:r w:rsidRPr="00095948">
        <w:rPr>
          <w:rFonts w:eastAsia="Calibri" w:cs="Times New Roman"/>
          <w:noProof/>
          <w:color w:val="000000"/>
          <w:szCs w:val="24"/>
          <w:lang w:val="fr-FR"/>
        </w:rPr>
        <w:t xml:space="preserve"> dokumenata na polju zdravstvene zaštite, uključujući Zdravstvenu politiku do 2020. godine. Jedan od njenih prioriteta jeste produžavanje životnog vijeka, koji je ostao na istom nivou kao 2018. (76,8). Sprovođenje Master plana razvoja zdravstva 2015-2020. nastavljeno je u 2019, ali je zdravstveni budžet zemlje blago smanjen u odnosu na 2018. (6,18%) i nije bio dovoljan za implementaciju raznih preventivnih i javnozdravstvenih mjera.Prekomjereno propisivanje ljekova i dalje je razlog za zabrinutost. Napori za suzbijanje antimikrobne rezistencije </w:t>
      </w:r>
      <w:r w:rsidR="00402F96" w:rsidRPr="00095948">
        <w:rPr>
          <w:rFonts w:eastAsia="Calibri" w:cs="Times New Roman"/>
          <w:noProof/>
          <w:color w:val="000000"/>
          <w:szCs w:val="24"/>
          <w:lang w:val="fr-FR"/>
        </w:rPr>
        <w:t>nijesu</w:t>
      </w:r>
      <w:r w:rsidRPr="00095948">
        <w:rPr>
          <w:rFonts w:eastAsia="Calibri" w:cs="Times New Roman"/>
          <w:noProof/>
          <w:color w:val="000000"/>
          <w:szCs w:val="24"/>
          <w:lang w:val="fr-FR"/>
        </w:rPr>
        <w:t>naišli na dovoljnu podršku usljed nedovoljne komunikacije i nedovoljnih aktivnosti usmjerenih ka poboljšanju zdravstvene pismenosti. Nije bilo eksternih istraživanja za procjenu korupcije koja utiče na sektor zdravstva.</w:t>
      </w:r>
    </w:p>
    <w:p w:rsidR="00622A95" w:rsidRPr="00095948" w:rsidRDefault="00622A95" w:rsidP="00EC1790">
      <w:pPr>
        <w:autoSpaceDE w:val="0"/>
        <w:autoSpaceDN w:val="0"/>
        <w:adjustRightInd w:val="0"/>
        <w:spacing w:after="120" w:line="240" w:lineRule="auto"/>
        <w:jc w:val="both"/>
        <w:rPr>
          <w:rFonts w:eastAsia="Calibri" w:cs="Times New Roman"/>
          <w:noProof/>
          <w:color w:val="000000"/>
          <w:szCs w:val="24"/>
          <w:lang w:val="fr-FR"/>
        </w:rPr>
      </w:pPr>
      <w:r w:rsidRPr="00095948">
        <w:rPr>
          <w:rFonts w:eastAsia="Calibri" w:cs="Times New Roman"/>
          <w:noProof/>
          <w:color w:val="000000"/>
          <w:szCs w:val="24"/>
          <w:lang w:val="fr-FR"/>
        </w:rPr>
        <w:t xml:space="preserve">Kada je riječ o </w:t>
      </w:r>
      <w:r w:rsidRPr="00095948">
        <w:rPr>
          <w:rFonts w:eastAsia="Calibri" w:cs="Times New Roman"/>
          <w:b/>
          <w:noProof/>
          <w:color w:val="000000"/>
          <w:szCs w:val="24"/>
          <w:lang w:val="fr-FR"/>
        </w:rPr>
        <w:t>zdravstvenom informacionom sistemu</w:t>
      </w:r>
      <w:r w:rsidRPr="00095948">
        <w:rPr>
          <w:rFonts w:eastAsia="Calibri" w:cs="Times New Roman"/>
          <w:noProof/>
          <w:color w:val="000000"/>
          <w:szCs w:val="24"/>
          <w:lang w:val="fr-FR"/>
        </w:rPr>
        <w:t>, u sklopu Ministarstva zdravlja formirana je jedinica za upravljanje novim integrisanim zdravstvenim informacionim sistemom, ali trenutno ima svega dva člana osoblja. Ovaj sistem je kompleksan, budući da treba da pokrije sve državne zdravstvene ustanove. Potrebno ga je dalje poboljšavati kako bi se omogućilo efektivno pružanje kvalitetnih zdravstvenih usluga svim pacijentima, bolje upravljanje sistemom zdravstva i prikupljanje podataka neophodnih za napredno izvještavanje o javnom zdravlju.</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 xml:space="preserve">Što se tiče oblasti </w:t>
      </w:r>
      <w:r w:rsidRPr="00095948">
        <w:rPr>
          <w:rFonts w:eastAsia="Calibri" w:cs="Times New Roman"/>
          <w:b/>
          <w:szCs w:val="24"/>
          <w:lang w:val="fr-FR"/>
        </w:rPr>
        <w:t>kontrole duvana</w:t>
      </w:r>
      <w:r w:rsidRPr="00095948">
        <w:rPr>
          <w:rFonts w:eastAsia="Calibri" w:cs="Times New Roman"/>
          <w:szCs w:val="24"/>
          <w:lang w:val="fr-FR"/>
        </w:rPr>
        <w:t>,</w:t>
      </w:r>
      <w:r w:rsidR="00F95800" w:rsidRPr="00095948">
        <w:rPr>
          <w:rFonts w:eastAsia="Calibri" w:cs="Times New Roman"/>
          <w:szCs w:val="24"/>
          <w:lang w:val="fr-FR"/>
        </w:rPr>
        <w:t xml:space="preserve"> </w:t>
      </w:r>
      <w:r w:rsidRPr="00095948">
        <w:rPr>
          <w:rFonts w:eastAsia="Calibri" w:cs="Times New Roman"/>
          <w:szCs w:val="24"/>
          <w:lang w:val="fr-FR"/>
        </w:rPr>
        <w:t xml:space="preserve">Zakon o ograničavanju upotrebe duvanskih proizvoda </w:t>
      </w:r>
      <w:r w:rsidR="0039033B">
        <w:rPr>
          <w:rFonts w:eastAsia="Calibri" w:cs="Times New Roman"/>
          <w:szCs w:val="24"/>
          <w:lang w:val="fr-FR"/>
        </w:rPr>
        <w:t>donijet</w:t>
      </w:r>
      <w:r w:rsidRPr="00095948">
        <w:rPr>
          <w:rFonts w:eastAsia="Calibri" w:cs="Times New Roman"/>
          <w:szCs w:val="24"/>
          <w:lang w:val="fr-FR"/>
        </w:rPr>
        <w:t xml:space="preserve"> je u julu 2019. godine. Osmišljen je tako da se postigne usklađenost s pravnom tekovinom EU u pogledu: (i) proizvodnje, prezentacije i prodaje duvana i povezanih proizvoda, (ii) reklamiranja i sponzorisanja duvanskih proizvoda, (iii) sprečavanja pušenja i (iv) inicijativa za poboljšanje kontrole duvana i okruženja bez dima. Kao rezultat toga, zabrana pušenja na javnim mjestima na snazi je počevši od 1. avgusta 2019. godine. Primjenu zakona prate nadležne inspekcijske službe.</w:t>
      </w:r>
    </w:p>
    <w:p w:rsidR="00622A95" w:rsidRPr="00095948" w:rsidRDefault="00622A95" w:rsidP="00EC1790">
      <w:pPr>
        <w:autoSpaceDE w:val="0"/>
        <w:autoSpaceDN w:val="0"/>
        <w:adjustRightInd w:val="0"/>
        <w:spacing w:after="120" w:line="240" w:lineRule="auto"/>
        <w:jc w:val="both"/>
        <w:rPr>
          <w:rFonts w:eastAsia="Calibri" w:cs="Times New Roman"/>
          <w:noProof/>
          <w:color w:val="000000"/>
          <w:szCs w:val="24"/>
          <w:lang w:val="fr-FR"/>
        </w:rPr>
      </w:pPr>
      <w:r w:rsidRPr="00095948">
        <w:rPr>
          <w:rFonts w:eastAsia="Calibri" w:cs="Times New Roman"/>
          <w:szCs w:val="24"/>
          <w:lang w:val="fr-FR"/>
        </w:rPr>
        <w:t xml:space="preserve">Kad je riječ o </w:t>
      </w:r>
      <w:r w:rsidRPr="00095948">
        <w:rPr>
          <w:rFonts w:eastAsia="Calibri" w:cs="Times New Roman"/>
          <w:b/>
          <w:szCs w:val="24"/>
          <w:lang w:val="fr-FR"/>
        </w:rPr>
        <w:t>krvi, tkivima, ćelijama i organima</w:t>
      </w:r>
      <w:r w:rsidRPr="00095948">
        <w:rPr>
          <w:rFonts w:eastAsia="Calibri" w:cs="Times New Roman"/>
          <w:szCs w:val="24"/>
          <w:lang w:val="fr-FR"/>
        </w:rPr>
        <w:t>, Crna Gora je ažurirala svoj akcioni plan u oblasti materija ljudskog porijekla i pokrenula projekat za unapređenje informatičkog sistema za monitoring. Izmjene i dopune Zakona o uzimanju i presađivanju ljudskih organa u svrhu liječenja stupile su na snagu u decembru 2019. godine. Britanska agencija „DAS“ je u decembru 2019. sprovela drugu nadzornu provjeru državnog Zavoda za transfuziju krvi, u vezi sa ponovnom sertifikacijom za dva ISO sertifikata (</w:t>
      </w:r>
      <w:r w:rsidRPr="00095948">
        <w:rPr>
          <w:rFonts w:eastAsia="Calibri" w:cs="Times New Roman"/>
          <w:noProof/>
          <w:color w:val="000000"/>
          <w:szCs w:val="24"/>
          <w:lang w:val="fr-FR"/>
        </w:rPr>
        <w:t>ISO 9001:2015 za sistem kvaliteta i ISO 27001:2013 za bezbjednost informacija). Ovo je rezultiralo pozitivnom procjenom. Crna Gora je nastavila sa promotivnim aktivnostima na polju dobrovoljnog davanja krvi. Međutim, planirana ak</w:t>
      </w:r>
      <w:r w:rsidR="0039033B">
        <w:rPr>
          <w:rFonts w:eastAsia="Calibri" w:cs="Times New Roman"/>
          <w:noProof/>
          <w:color w:val="000000"/>
          <w:szCs w:val="24"/>
          <w:lang w:val="fr-FR"/>
        </w:rPr>
        <w:t>tivnost</w:t>
      </w:r>
      <w:r w:rsidRPr="00095948">
        <w:rPr>
          <w:rFonts w:eastAsia="Calibri" w:cs="Times New Roman"/>
          <w:noProof/>
          <w:color w:val="000000"/>
          <w:szCs w:val="24"/>
          <w:lang w:val="fr-FR"/>
        </w:rPr>
        <w:t xml:space="preserve"> u vezi </w:t>
      </w:r>
      <w:r w:rsidR="0039033B">
        <w:rPr>
          <w:rFonts w:eastAsia="Calibri" w:cs="Times New Roman"/>
          <w:noProof/>
          <w:color w:val="000000"/>
          <w:szCs w:val="24"/>
          <w:lang w:val="fr-FR"/>
        </w:rPr>
        <w:t xml:space="preserve">s </w:t>
      </w:r>
      <w:r w:rsidRPr="00095948">
        <w:rPr>
          <w:rFonts w:eastAsia="Calibri" w:cs="Times New Roman"/>
          <w:noProof/>
          <w:color w:val="000000"/>
          <w:szCs w:val="24"/>
          <w:lang w:val="fr-FR"/>
        </w:rPr>
        <w:t>materija</w:t>
      </w:r>
      <w:r w:rsidR="0039033B">
        <w:rPr>
          <w:rFonts w:eastAsia="Calibri" w:cs="Times New Roman"/>
          <w:noProof/>
          <w:color w:val="000000"/>
          <w:szCs w:val="24"/>
          <w:lang w:val="fr-FR"/>
        </w:rPr>
        <w:t>ma</w:t>
      </w:r>
      <w:r w:rsidRPr="00095948">
        <w:rPr>
          <w:rFonts w:eastAsia="Calibri" w:cs="Times New Roman"/>
          <w:noProof/>
          <w:color w:val="000000"/>
          <w:szCs w:val="24"/>
          <w:lang w:val="fr-FR"/>
        </w:rPr>
        <w:t xml:space="preserve"> ljudskog porijekla još nije počela.</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 xml:space="preserve">U oblasti </w:t>
      </w:r>
      <w:r w:rsidRPr="00095948">
        <w:rPr>
          <w:rFonts w:eastAsia="Calibri" w:cs="Times New Roman"/>
          <w:b/>
          <w:szCs w:val="24"/>
          <w:lang w:val="fr-FR"/>
        </w:rPr>
        <w:t>ozbiljnih prekograničnih prijetnji zdravlju</w:t>
      </w:r>
      <w:r w:rsidRPr="00095948">
        <w:rPr>
          <w:rFonts w:eastAsia="Calibri" w:cs="Times New Roman"/>
          <w:szCs w:val="24"/>
          <w:lang w:val="fr-FR"/>
        </w:rPr>
        <w:t xml:space="preserve">, uključujući i </w:t>
      </w:r>
      <w:r w:rsidRPr="00095948">
        <w:rPr>
          <w:rFonts w:eastAsia="Calibri" w:cs="Times New Roman"/>
          <w:b/>
          <w:szCs w:val="24"/>
          <w:lang w:val="fr-FR"/>
        </w:rPr>
        <w:t>zarazne bolesti</w:t>
      </w:r>
      <w:r w:rsidRPr="00095948">
        <w:rPr>
          <w:rFonts w:eastAsia="Calibri" w:cs="Times New Roman"/>
          <w:szCs w:val="24"/>
          <w:lang w:val="fr-FR"/>
        </w:rPr>
        <w:t>, domaće zakonodavstvo o zdravstvenoj zaštiti djelimično je usklađeno s pravnom tekovinom EU, ali se pažnja mora posvetiti pravima pacijenata u prekoganičnoj zdravstvenoj zaštiti. Bilo je određenog napretka u izvještajnom periodu na polju (i) usklađenosti u pogledu izvještavanja o infektivnim bolestima, bolničkim infekcijama, uslovima i smrtnim slučajevima zbog ovih bolesti, (ii) spiska infektivnih bolesti podložnih epidemiološkoj kontroli i primjeni mjera i kontrole infektivnih bolesti, i (iii) definicijâ slučajeva infektivnih bolesti. Program obavezne imunizacije stanovništva protiv određenih zaraznih bolesti sprovedenje za 2019. godinu, ali blagovremena imunizacija protiv određenih bolesti i dalje je na niskom nivou.</w:t>
      </w:r>
    </w:p>
    <w:p w:rsidR="00622A95" w:rsidRPr="009A2018" w:rsidRDefault="00622A95" w:rsidP="00EC1790">
      <w:pPr>
        <w:autoSpaceDE w:val="0"/>
        <w:autoSpaceDN w:val="0"/>
        <w:adjustRightInd w:val="0"/>
        <w:spacing w:after="120" w:line="240" w:lineRule="auto"/>
        <w:jc w:val="both"/>
        <w:rPr>
          <w:rFonts w:eastAsia="Times New Roman" w:cs="Times New Roman"/>
          <w:szCs w:val="24"/>
          <w:lang w:eastAsia="en-GB"/>
        </w:rPr>
      </w:pPr>
      <w:r w:rsidRPr="00095948">
        <w:rPr>
          <w:rFonts w:eastAsia="Times New Roman" w:cs="Times New Roman"/>
          <w:szCs w:val="24"/>
          <w:lang w:val="fr-FR" w:eastAsia="en-GB"/>
        </w:rPr>
        <w:t xml:space="preserve">Kao odgovor na izbijanje pandemije COVID-19, mjere predostrožnosti u skladu sa preporukama Instituta za javno zdravlje uključivale su policijski čas na državnom nivou, održavanje socijalne distance, zabranu javnih okupljanja i javnih i vjerskih obreda. Sve sportske i rekreativne aktivnosti bile su zabranjene, a lokalne autobuske, željezničke i taksi usluge obustavljene. </w:t>
      </w:r>
      <w:r w:rsidRPr="009A2018">
        <w:rPr>
          <w:rFonts w:eastAsia="Times New Roman" w:cs="Times New Roman"/>
          <w:szCs w:val="24"/>
          <w:lang w:eastAsia="en-GB"/>
        </w:rPr>
        <w:t>Došlo je do zatvaranja jedne opštine i djelova druge dvije. Zatvorene su škole, restorani i kafići, a broj kupaca u supermarketima ograničen je na 50. Uvođeni su periodi samoizolacije i karantina (međutim, objavljen je spisak svih lica kojima je izrečena mjera samoizolacije – u toku je ocjena ustavnosti ove mjere, a u jednom trenutku procurio</w:t>
      </w:r>
      <w:r w:rsidR="0039033B">
        <w:rPr>
          <w:rFonts w:eastAsia="Times New Roman" w:cs="Times New Roman"/>
          <w:szCs w:val="24"/>
          <w:lang w:eastAsia="en-GB"/>
        </w:rPr>
        <w:t xml:space="preserve"> </w:t>
      </w:r>
      <w:r w:rsidRPr="009A2018">
        <w:rPr>
          <w:rFonts w:eastAsia="Times New Roman" w:cs="Times New Roman"/>
          <w:szCs w:val="24"/>
          <w:lang w:eastAsia="en-GB"/>
        </w:rPr>
        <w:t>je spisak svih lica u samoizolaciji – u toku je krivična istraga). Ove mjere su postepeno ublažavane u maju, uporedo sa smanjenjem broja slučajeva. Vrtići su ponovo otvoreni 1. juna, kada je ujedno i odobren ulazak u zemlju za državljane određenih zemalja, na osnovu epidemioloških kriterijuma.</w:t>
      </w:r>
    </w:p>
    <w:p w:rsidR="00622A95" w:rsidRPr="009A2018" w:rsidRDefault="00622A95" w:rsidP="00EC1790">
      <w:pPr>
        <w:autoSpaceDE w:val="0"/>
        <w:autoSpaceDN w:val="0"/>
        <w:adjustRightInd w:val="0"/>
        <w:spacing w:after="120" w:line="240" w:lineRule="auto"/>
        <w:jc w:val="both"/>
      </w:pPr>
      <w:r w:rsidRPr="009A2018">
        <w:rPr>
          <w:rFonts w:eastAsia="Calibri" w:cs="Times New Roman"/>
          <w:noProof/>
          <w:color w:val="000000"/>
          <w:szCs w:val="24"/>
        </w:rPr>
        <w:t>Crna Gora je usvojila zakonodavstvo o izvještavanju o zaraznim bolestima, infekcijama, slučajevima i smrtnim ishodima, kao i listu i definicije u pogledu epidemiološkog monitoringa, prevencije i suzbijanja. Pripremljeno je i opremljeno pet privremenih bolnica za medicinski tretman lica oboljelih od COVID-19, kao i deset objekata za karantin. Bonusi na platu do 15% dati su svim zdravstvenim radnicima. Crna Gora je dostavljala podatke Evropskom centru za prevenciju i kontrolu bolesti. Takođe se pridružila Sporazumu o zaj</w:t>
      </w:r>
      <w:r w:rsidR="00A64E8F">
        <w:rPr>
          <w:rFonts w:eastAsia="Calibri" w:cs="Times New Roman"/>
          <w:noProof/>
          <w:color w:val="000000"/>
          <w:szCs w:val="24"/>
        </w:rPr>
        <w:t xml:space="preserve">edničkim nabavkama EU i </w:t>
      </w:r>
      <w:r w:rsidR="0039033B">
        <w:rPr>
          <w:rFonts w:eastAsia="Calibri" w:cs="Times New Roman"/>
          <w:noProof/>
          <w:color w:val="000000"/>
          <w:szCs w:val="24"/>
        </w:rPr>
        <w:t>Odboru</w:t>
      </w:r>
      <w:r w:rsidRPr="009A2018">
        <w:rPr>
          <w:rFonts w:eastAsia="Calibri" w:cs="Times New Roman"/>
          <w:noProof/>
          <w:color w:val="000000"/>
          <w:szCs w:val="24"/>
        </w:rPr>
        <w:t xml:space="preserve"> za zdravstvenu bezbjednost EU, te je preko Sporazuma o zajedničkim nabavkama dobila materijale za kontrolu testova na COVID, kao i 3 miliona eura sredstava EU kako bi se omogućila kupovina hitno potrebne medicinske opreme i zaliha. Crna Gora je usvojila novu Strategiju za </w:t>
      </w:r>
      <w:r w:rsidRPr="009A2018">
        <w:rPr>
          <w:rFonts w:eastAsia="Calibri" w:cs="Times New Roman"/>
          <w:b/>
          <w:noProof/>
          <w:color w:val="000000"/>
          <w:szCs w:val="24"/>
        </w:rPr>
        <w:t>unapređenje mentalnog zdravlja</w:t>
      </w:r>
      <w:r w:rsidR="00F95800">
        <w:rPr>
          <w:rFonts w:eastAsia="Calibri" w:cs="Times New Roman"/>
          <w:b/>
          <w:noProof/>
          <w:color w:val="000000"/>
          <w:szCs w:val="24"/>
        </w:rPr>
        <w:t xml:space="preserve"> </w:t>
      </w:r>
      <w:r w:rsidR="00F95800">
        <w:rPr>
          <w:rFonts w:eastAsia="Calibri" w:cs="Times New Roman"/>
          <w:noProof/>
          <w:color w:val="000000"/>
          <w:szCs w:val="24"/>
        </w:rPr>
        <w:t>(2019-2023), s</w:t>
      </w:r>
      <w:r w:rsidRPr="009A2018">
        <w:rPr>
          <w:rFonts w:eastAsia="Calibri" w:cs="Times New Roman"/>
          <w:noProof/>
          <w:color w:val="000000"/>
          <w:szCs w:val="24"/>
        </w:rPr>
        <w:t xml:space="preserve"> Akcionim planom za 2019-2020. Međutim, nije bilo napretka u pružanju podataka</w:t>
      </w:r>
      <w:r w:rsidR="0039033B">
        <w:rPr>
          <w:rFonts w:eastAsia="Calibri" w:cs="Times New Roman"/>
          <w:noProof/>
          <w:color w:val="000000"/>
          <w:szCs w:val="24"/>
        </w:rPr>
        <w:t xml:space="preserve"> </w:t>
      </w:r>
      <w:r w:rsidRPr="009A2018">
        <w:t>o omjeru između njege mentalnog zdravlja koja se obezbjeđuje u institucijama i njege koja se pruža u zajednici</w:t>
      </w:r>
      <w:r w:rsidRPr="009A2018">
        <w:rPr>
          <w:rFonts w:eastAsia="Calibri" w:cs="Times New Roman"/>
          <w:szCs w:val="24"/>
        </w:rPr>
        <w:t xml:space="preserve">. </w:t>
      </w:r>
    </w:p>
    <w:p w:rsidR="00622A95" w:rsidRPr="009A2018" w:rsidRDefault="00622A95" w:rsidP="00EC1790">
      <w:pPr>
        <w:autoSpaceDE w:val="0"/>
        <w:autoSpaceDN w:val="0"/>
        <w:adjustRightInd w:val="0"/>
        <w:spacing w:after="120" w:line="240" w:lineRule="auto"/>
        <w:jc w:val="both"/>
        <w:rPr>
          <w:rFonts w:eastAsia="Calibri" w:cs="Times New Roman"/>
          <w:szCs w:val="24"/>
        </w:rPr>
      </w:pPr>
      <w:r w:rsidRPr="009A2018">
        <w:rPr>
          <w:rFonts w:eastAsia="Calibri" w:cs="Times New Roman"/>
          <w:szCs w:val="24"/>
        </w:rPr>
        <w:t xml:space="preserve">Što se tiče </w:t>
      </w:r>
      <w:r w:rsidRPr="009A2018">
        <w:rPr>
          <w:rFonts w:eastAsia="Calibri" w:cs="Times New Roman"/>
          <w:b/>
          <w:szCs w:val="24"/>
        </w:rPr>
        <w:t>preventivnih mjera</w:t>
      </w:r>
      <w:r w:rsidRPr="009A2018">
        <w:rPr>
          <w:rFonts w:eastAsia="Calibri" w:cs="Times New Roman"/>
          <w:szCs w:val="24"/>
        </w:rPr>
        <w:t>, obezbijeđeni su određeni podaci o ishrani i fizičkoj aktivnosti đaka u školama, što je sprovedeno pod okriljem Evropske inicijative praćenja gojaznosti SZO. Usvojen je nacionalni akcioni plan za unapređenje ishrane (2019-2020), kao i nacionalna strategija prevencije alkoholizma i alkoholom uzrokovanih poremećaja. Ovo je propraćeno radionicama za đake osnovnih i srednjih škola o zdravim stilovima života, koje su vodili ljekari. Međutim, neke organizacije građanskog društva ukazuju da je bilo nedovoljno aktivnosti na smanjenju alkoholizma i prevenciji alkoholom uzrokovanih poremećaja.</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9A2018">
        <w:rPr>
          <w:rFonts w:eastAsia="Calibri" w:cs="Times New Roman"/>
          <w:szCs w:val="24"/>
        </w:rPr>
        <w:t xml:space="preserve">U oblasti </w:t>
      </w:r>
      <w:r w:rsidRPr="009A2018">
        <w:rPr>
          <w:rFonts w:eastAsia="Calibri" w:cs="Times New Roman"/>
          <w:b/>
          <w:szCs w:val="24"/>
        </w:rPr>
        <w:t>sprečavanja zloupotrebe droga i smanjenja štete</w:t>
      </w:r>
      <w:r w:rsidRPr="009A2018">
        <w:rPr>
          <w:rFonts w:eastAsia="Calibri" w:cs="Times New Roman"/>
          <w:szCs w:val="24"/>
        </w:rPr>
        <w:t>, Crna Gora je nastavila sa sprovođenjem</w:t>
      </w:r>
      <w:r w:rsidR="0039033B">
        <w:rPr>
          <w:rFonts w:eastAsia="Calibri" w:cs="Times New Roman"/>
          <w:szCs w:val="24"/>
        </w:rPr>
        <w:t xml:space="preserve"> </w:t>
      </w:r>
      <w:r w:rsidRPr="009A2018">
        <w:rPr>
          <w:rFonts w:eastAsia="Calibri" w:cs="Times New Roman"/>
          <w:szCs w:val="24"/>
        </w:rPr>
        <w:t xml:space="preserve">Akcionog plana 2019-2020. za primjenu Strategije za sprečavanje zloupotrebe droga 2013-2020. Usvojene su smjernice za pružanje pomoći zavisnicima od droga i njihova implementacija je u toku. Podsticana je uključenost građanskog društva u aktivnosti sprečavanja zloupotrebe droga uz podršku iz državnog budžeta. </w:t>
      </w:r>
      <w:r w:rsidRPr="00095948">
        <w:rPr>
          <w:rFonts w:eastAsia="Calibri" w:cs="Times New Roman"/>
          <w:szCs w:val="24"/>
          <w:lang w:val="fr-FR"/>
        </w:rPr>
        <w:t>Međutim, neke organizacije smatrale su da su sredstva za implementaciju nedovoljna. Projekat Evropsko školsko istraživanje o upotrebi alkohola i drugih droga (ESPAD) sprovedeno je i propraćeno određenim interaktivnim sesijama u osnovnim i srednjim školama.</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 xml:space="preserve">Što se tiče </w:t>
      </w:r>
      <w:r w:rsidRPr="00095948">
        <w:rPr>
          <w:rFonts w:eastAsia="Calibri" w:cs="Times New Roman"/>
          <w:b/>
          <w:szCs w:val="24"/>
          <w:lang w:val="fr-FR"/>
        </w:rPr>
        <w:t>zdravstvenih nejednakosti</w:t>
      </w:r>
      <w:r w:rsidRPr="00095948">
        <w:rPr>
          <w:rFonts w:eastAsia="Calibri" w:cs="Times New Roman"/>
          <w:szCs w:val="24"/>
          <w:lang w:val="fr-FR"/>
        </w:rPr>
        <w:t>, djeluje da je pristup uslugama zdravstvene zaštite dostupan svim osjetljivim grupama. Međutim, ima naznaka da su opcije liječenja za korisnike droga ograničene, a u slučaju djece gotovo nepostojeće. Jedno istraživanje pokazalo je da preko 95% domicilne romske i egipćanske populacije posjeduje zdravstvenu knjižicu, u poređenju sa 75% raseljenih Roma i Egipćana.</w:t>
      </w:r>
    </w:p>
    <w:p w:rsidR="00622A95" w:rsidRPr="00095948" w:rsidRDefault="00622A95" w:rsidP="00EC1790">
      <w:pPr>
        <w:pStyle w:val="Heading2"/>
        <w:rPr>
          <w:rFonts w:eastAsia="Times New Roman"/>
          <w:lang w:val="fr-FR"/>
        </w:rPr>
      </w:pPr>
      <w:bookmarkStart w:id="279" w:name="_Toc30080591"/>
      <w:bookmarkStart w:id="280" w:name="_Toc30074169"/>
      <w:bookmarkStart w:id="281" w:name="_Toc30073856"/>
      <w:bookmarkStart w:id="282" w:name="_Toc52744960"/>
      <w:bookmarkStart w:id="283" w:name="_Toc53362468"/>
      <w:r w:rsidRPr="00095948">
        <w:rPr>
          <w:rFonts w:eastAsia="Times New Roman"/>
          <w:lang w:val="fr-FR"/>
        </w:rPr>
        <w:t>5.29</w:t>
      </w:r>
      <w:r w:rsidRPr="00095948">
        <w:rPr>
          <w:rFonts w:eastAsia="Times New Roman"/>
          <w:lang w:val="fr-FR"/>
        </w:rPr>
        <w:tab/>
      </w:r>
      <w:bookmarkEnd w:id="279"/>
      <w:bookmarkEnd w:id="280"/>
      <w:bookmarkEnd w:id="281"/>
      <w:bookmarkEnd w:id="282"/>
      <w:r w:rsidRPr="00095948">
        <w:rPr>
          <w:rFonts w:eastAsia="Times New Roman"/>
          <w:lang w:val="fr-FR"/>
        </w:rPr>
        <w:t>Poglavlje 29: Carinska unija</w:t>
      </w:r>
      <w:bookmarkEnd w:id="283"/>
    </w:p>
    <w:p w:rsidR="00622A95" w:rsidRPr="00095948" w:rsidRDefault="00622A95" w:rsidP="00EC1790">
      <w:pPr>
        <w:keepNext/>
        <w:autoSpaceDE w:val="0"/>
        <w:autoSpaceDN w:val="0"/>
        <w:adjustRightInd w:val="0"/>
        <w:spacing w:after="120" w:line="240" w:lineRule="auto"/>
        <w:jc w:val="both"/>
        <w:rPr>
          <w:rFonts w:eastAsia="Calibri" w:cs="Times New Roman"/>
          <w:i/>
          <w:iCs/>
          <w:color w:val="000000"/>
          <w:szCs w:val="24"/>
          <w:lang w:val="fr-FR"/>
        </w:rPr>
      </w:pPr>
      <w:r w:rsidRPr="00095948">
        <w:rPr>
          <w:rFonts w:eastAsia="Calibri" w:cs="Times New Roman"/>
          <w:i/>
          <w:iCs/>
          <w:color w:val="000000"/>
          <w:szCs w:val="24"/>
          <w:lang w:val="fr-FR"/>
        </w:rPr>
        <w:t>Sve zemlje članice Evropske unije dio su carinske unije i poštuju ista carinska pravila i procedure. To od njih zahtijeva da usklade svoje zakonodavstvo, kao i da imaju adekvatne kapacitete za primjenu i sprovođenje i pristup zajedničkim kompjuterizovanim carinskim sistemima.</w:t>
      </w:r>
    </w:p>
    <w:p w:rsidR="00622A95" w:rsidRPr="0009594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lang w:val="fr-FR"/>
        </w:rPr>
      </w:pPr>
      <w:r w:rsidRPr="00095948">
        <w:rPr>
          <w:rFonts w:eastAsia="Calibri" w:cs="Times New Roman"/>
          <w:color w:val="000000"/>
          <w:szCs w:val="24"/>
          <w:lang w:val="fr-FR"/>
        </w:rPr>
        <w:t xml:space="preserve">Crna Gora je </w:t>
      </w:r>
      <w:r w:rsidRPr="00095948">
        <w:rPr>
          <w:rFonts w:eastAsia="Calibri" w:cs="Times New Roman"/>
          <w:b/>
          <w:color w:val="000000"/>
          <w:szCs w:val="24"/>
          <w:lang w:val="fr-FR"/>
        </w:rPr>
        <w:t>umjereno spremna</w:t>
      </w:r>
      <w:r w:rsidRPr="00095948">
        <w:rPr>
          <w:rFonts w:eastAsia="Calibri" w:cs="Times New Roman"/>
          <w:color w:val="000000"/>
          <w:szCs w:val="24"/>
          <w:lang w:val="fr-FR"/>
        </w:rPr>
        <w:t xml:space="preserve"> za carinsku uniju i ostvarila je </w:t>
      </w:r>
      <w:r w:rsidRPr="00095948">
        <w:rPr>
          <w:rFonts w:eastAsia="Calibri" w:cs="Times New Roman"/>
          <w:b/>
          <w:color w:val="000000"/>
          <w:szCs w:val="24"/>
          <w:lang w:val="fr-FR"/>
        </w:rPr>
        <w:t>određeni napredak</w:t>
      </w:r>
      <w:r w:rsidRPr="00095948">
        <w:rPr>
          <w:rFonts w:eastAsia="Calibri" w:cs="Times New Roman"/>
          <w:color w:val="000000"/>
          <w:szCs w:val="24"/>
          <w:lang w:val="fr-FR"/>
        </w:rPr>
        <w:t xml:space="preserve"> tokom izvještajnog perioda, napredujući s pripremama za pristupanje Konvenciji o zajedničkom tranzitnom postupku, te sprovodeći aktivnosti predviđene za 2019. u višegodišnjoj Strategiji trgovinskih olakšica 2018-2022, čime je djelimično ispunila prošlogodišnje preporuke.</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U predstojećoj godini Crna Gora naročito treba da: </w:t>
      </w:r>
    </w:p>
    <w:p w:rsidR="00622A95" w:rsidRPr="009A2018" w:rsidRDefault="00622A95" w:rsidP="00EC1790">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nastavi s pripremama za pristupanje Konvenciji o zajedničkom tranzitnom postupku, uspostavljanjem kompjuterizovanog tranzitnog sistema koji je kompatibilan sa sistemomEU;</w:t>
      </w:r>
    </w:p>
    <w:p w:rsidR="00622A95" w:rsidRPr="009A2018" w:rsidRDefault="00622A95" w:rsidP="00EC1790">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dalje sprovodi mjere za olakšanje trgovine kako bi se smanjile administrativne neefikasnosti i vrijeme potrebno za carinjenje, u skladu sa Strategijom trgovinskih olakšica 2018-2022 i Programom ekonomskih reformi 2020-2022;</w:t>
      </w:r>
    </w:p>
    <w:p w:rsidR="00622A95" w:rsidRPr="009A2018" w:rsidRDefault="00622A95" w:rsidP="00EC1790">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unaprijedi izgradnju kapaciteta u Upravi carina i obezbijedi adekvatan broj zaposlenih za IT sektor.</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9A2018">
        <w:rPr>
          <w:rFonts w:eastAsia="Calibri" w:cs="Times New Roman"/>
          <w:color w:val="000000"/>
          <w:szCs w:val="24"/>
        </w:rPr>
        <w:t xml:space="preserve">U pogledu </w:t>
      </w:r>
      <w:r w:rsidRPr="009A2018">
        <w:rPr>
          <w:rFonts w:eastAsia="Calibri" w:cs="Times New Roman"/>
          <w:b/>
          <w:color w:val="000000"/>
          <w:szCs w:val="24"/>
        </w:rPr>
        <w:t>carinskog zakonodavstva</w:t>
      </w:r>
      <w:r w:rsidRPr="009A2018">
        <w:rPr>
          <w:rFonts w:eastAsia="Calibri" w:cs="Times New Roman"/>
          <w:color w:val="000000"/>
          <w:szCs w:val="24"/>
        </w:rPr>
        <w:t xml:space="preserve">, stepen usklađenosti s pravnom tekovinom EU je visok. </w:t>
      </w:r>
      <w:r w:rsidRPr="00095948">
        <w:rPr>
          <w:rFonts w:eastAsia="Calibri" w:cs="Times New Roman"/>
          <w:color w:val="000000"/>
          <w:szCs w:val="24"/>
          <w:lang w:val="fr-FR"/>
        </w:rPr>
        <w:t xml:space="preserve">Novi Carinski zakon, </w:t>
      </w:r>
      <w:r w:rsidR="00F95800" w:rsidRPr="00095948">
        <w:rPr>
          <w:rFonts w:eastAsia="Calibri" w:cs="Times New Roman"/>
          <w:color w:val="000000"/>
          <w:szCs w:val="24"/>
          <w:lang w:val="fr-FR"/>
        </w:rPr>
        <w:t>koji je u potpunosti usklađen s</w:t>
      </w:r>
      <w:r w:rsidRPr="00095948">
        <w:rPr>
          <w:rFonts w:eastAsia="Calibri" w:cs="Times New Roman"/>
          <w:color w:val="000000"/>
          <w:szCs w:val="24"/>
          <w:lang w:val="fr-FR"/>
        </w:rPr>
        <w:t xml:space="preserve"> Carinskim zakon</w:t>
      </w:r>
      <w:r w:rsidR="00E273C7">
        <w:rPr>
          <w:rFonts w:eastAsia="Calibri" w:cs="Times New Roman"/>
          <w:color w:val="000000"/>
          <w:szCs w:val="24"/>
          <w:lang w:val="fr-FR"/>
        </w:rPr>
        <w:t>o</w:t>
      </w:r>
      <w:r w:rsidRPr="00095948">
        <w:rPr>
          <w:rFonts w:eastAsia="Calibri" w:cs="Times New Roman"/>
          <w:color w:val="000000"/>
          <w:szCs w:val="24"/>
          <w:lang w:val="fr-FR"/>
        </w:rPr>
        <w:t xml:space="preserve">m EU, finalizovan je i dat na javnu raspravu. Crna Gora je u martu 2019. potvrdila UNIDROIT Konvenciju o ukradenim ili nezakonito izvezenim kulturnim dobrima, a u maju 2019. izmijenila i dopunila Zakon o zaštiti kulturnih dobara. U decembru 2019. usvojeno je zakonodavstvo za primjenu Zakona o carinskoj službi u vezi praćenja, presretanja i </w:t>
      </w:r>
      <w:r w:rsidR="00E273C7">
        <w:rPr>
          <w:rFonts w:eastAsia="Calibri" w:cs="Times New Roman"/>
          <w:color w:val="000000"/>
          <w:szCs w:val="24"/>
          <w:lang w:val="fr-FR"/>
        </w:rPr>
        <w:t>kontroli</w:t>
      </w:r>
      <w:r w:rsidR="00E273C7" w:rsidRPr="00095948">
        <w:rPr>
          <w:rFonts w:eastAsia="Calibri" w:cs="Times New Roman"/>
          <w:color w:val="000000"/>
          <w:szCs w:val="24"/>
          <w:lang w:val="fr-FR"/>
        </w:rPr>
        <w:t xml:space="preserve"> </w:t>
      </w:r>
      <w:r w:rsidRPr="00095948">
        <w:rPr>
          <w:rFonts w:eastAsia="Calibri" w:cs="Times New Roman"/>
          <w:color w:val="000000"/>
          <w:szCs w:val="24"/>
          <w:lang w:val="fr-FR"/>
        </w:rPr>
        <w:t>vozila, putnika i prtljaga, kao i izdavanja upozorenja i naloga od strane ovlašćenih carinskih službenika.</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rFonts w:eastAsia="Calibri" w:cs="Times New Roman"/>
          <w:color w:val="000000"/>
          <w:szCs w:val="24"/>
          <w:lang w:val="fr-FR"/>
        </w:rPr>
        <w:t>Crna Gora je takođe izmijenila i dopunila zakonodavstvo za sprovođenje programa ovlašćenih privrednih subjekata (AEO) u cilju usklađivanja s pravnom tekovinom EU; izmjene i dopune su stupile na snagu. Počevši od novembra 2019, privredni subjekti mogu da se prijave za status AEO.</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rFonts w:eastAsia="Calibri" w:cs="Times New Roman"/>
          <w:color w:val="000000"/>
          <w:szCs w:val="24"/>
          <w:lang w:val="fr-FR"/>
        </w:rPr>
        <w:t xml:space="preserve">Crna Gora primjenjuje Regionalnu konvenciju o Pan-Euro-Mediteranskim preferencijalnim pravilima o porijeklu robe.Nakon stupanja na snagu mjera trgovinskih olakšica prema CEFTA sporazumu (Dodatni protokol 5), Uprava carina potpisala je sporazume s drugim </w:t>
      </w:r>
      <w:r w:rsidR="00E273C7">
        <w:rPr>
          <w:rFonts w:eastAsia="Calibri" w:cs="Times New Roman"/>
          <w:color w:val="000000"/>
          <w:szCs w:val="24"/>
          <w:lang w:val="fr-FR"/>
        </w:rPr>
        <w:t>administrativnim</w:t>
      </w:r>
      <w:r w:rsidR="00E273C7" w:rsidRPr="00095948">
        <w:rPr>
          <w:rFonts w:eastAsia="Calibri" w:cs="Times New Roman"/>
          <w:color w:val="000000"/>
          <w:szCs w:val="24"/>
          <w:lang w:val="fr-FR"/>
        </w:rPr>
        <w:t xml:space="preserve"> </w:t>
      </w:r>
      <w:r w:rsidRPr="00095948">
        <w:rPr>
          <w:rFonts w:eastAsia="Calibri" w:cs="Times New Roman"/>
          <w:color w:val="000000"/>
          <w:szCs w:val="24"/>
          <w:lang w:val="fr-FR"/>
        </w:rPr>
        <w:t>tijelima kako bi se osigurala razmjena informacija i uzajamna pomoć kod carinskihpitanja. Izmijenjeni CEFTA protokol o porijeklu, koji uvodi punu kumulaciju i zabranu povraćaja carina, primjenjuje se od jula 2019. godine.</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rFonts w:eastAsia="Calibri" w:cs="Times New Roman"/>
          <w:color w:val="000000"/>
          <w:szCs w:val="24"/>
          <w:lang w:val="fr-FR"/>
        </w:rPr>
        <w:t>Potrebno je da Crna Gora dalje usaglasi svoje zakonodavstvo u oblasti prekursora droga i carinske bezbjednosti, te da usvoji implementaciono zakonodavstvo o kontroli izvoza kulturnih dobara. Još se primjenjuje određeni broj carinskih izuzeća koja ni</w:t>
      </w:r>
      <w:r w:rsidR="00F95800" w:rsidRPr="00095948">
        <w:rPr>
          <w:rFonts w:eastAsia="Calibri" w:cs="Times New Roman"/>
          <w:color w:val="000000"/>
          <w:szCs w:val="24"/>
          <w:lang w:val="fr-FR"/>
        </w:rPr>
        <w:t>je</w:t>
      </w:r>
      <w:r w:rsidRPr="00095948">
        <w:rPr>
          <w:rFonts w:eastAsia="Calibri" w:cs="Times New Roman"/>
          <w:color w:val="000000"/>
          <w:szCs w:val="24"/>
          <w:lang w:val="fr-FR"/>
        </w:rPr>
        <w:t>su</w:t>
      </w:r>
      <w:r w:rsidR="00F95800" w:rsidRPr="00095948">
        <w:rPr>
          <w:rFonts w:eastAsia="Calibri" w:cs="Times New Roman"/>
          <w:color w:val="000000"/>
          <w:szCs w:val="24"/>
          <w:lang w:val="fr-FR"/>
        </w:rPr>
        <w:t xml:space="preserve"> </w:t>
      </w:r>
      <w:r w:rsidR="00E273C7">
        <w:rPr>
          <w:rFonts w:eastAsia="Calibri" w:cs="Times New Roman"/>
          <w:color w:val="000000"/>
          <w:szCs w:val="24"/>
          <w:lang w:val="fr-FR"/>
        </w:rPr>
        <w:t xml:space="preserve">utvrđena </w:t>
      </w:r>
      <w:r w:rsidRPr="00095948">
        <w:rPr>
          <w:rFonts w:eastAsia="Calibri" w:cs="Times New Roman"/>
          <w:color w:val="000000"/>
          <w:szCs w:val="24"/>
          <w:lang w:val="fr-FR"/>
        </w:rPr>
        <w:t>Carinsk</w:t>
      </w:r>
      <w:r w:rsidR="00E273C7">
        <w:rPr>
          <w:rFonts w:eastAsia="Calibri" w:cs="Times New Roman"/>
          <w:color w:val="000000"/>
          <w:szCs w:val="24"/>
          <w:lang w:val="fr-FR"/>
        </w:rPr>
        <w:t>im</w:t>
      </w:r>
      <w:r w:rsidRPr="00095948">
        <w:rPr>
          <w:rFonts w:eastAsia="Calibri" w:cs="Times New Roman"/>
          <w:color w:val="000000"/>
          <w:szCs w:val="24"/>
          <w:lang w:val="fr-FR"/>
        </w:rPr>
        <w:t>m</w:t>
      </w:r>
      <w:r w:rsidR="00F95800" w:rsidRPr="00095948">
        <w:rPr>
          <w:rFonts w:eastAsia="Calibri" w:cs="Times New Roman"/>
          <w:color w:val="000000"/>
          <w:szCs w:val="24"/>
          <w:lang w:val="fr-FR"/>
        </w:rPr>
        <w:t xml:space="preserve"> </w:t>
      </w:r>
      <w:r w:rsidRPr="00095948">
        <w:rPr>
          <w:rFonts w:eastAsia="Calibri" w:cs="Times New Roman"/>
          <w:color w:val="000000"/>
          <w:szCs w:val="24"/>
          <w:lang w:val="fr-FR"/>
        </w:rPr>
        <w:t>zakon</w:t>
      </w:r>
      <w:r w:rsidR="00E273C7">
        <w:rPr>
          <w:rFonts w:eastAsia="Calibri" w:cs="Times New Roman"/>
          <w:color w:val="000000"/>
          <w:szCs w:val="24"/>
          <w:lang w:val="fr-FR"/>
        </w:rPr>
        <w:t>om</w:t>
      </w:r>
      <w:r w:rsidR="00F95800" w:rsidRPr="00095948">
        <w:rPr>
          <w:rFonts w:eastAsia="Calibri" w:cs="Times New Roman"/>
          <w:color w:val="000000"/>
          <w:szCs w:val="24"/>
          <w:lang w:val="fr-FR"/>
        </w:rPr>
        <w:t xml:space="preserve"> </w:t>
      </w:r>
      <w:r w:rsidRPr="00095948">
        <w:rPr>
          <w:rFonts w:eastAsia="Calibri" w:cs="Times New Roman"/>
          <w:color w:val="000000"/>
          <w:szCs w:val="24"/>
          <w:lang w:val="fr-FR"/>
        </w:rPr>
        <w:t>EU. Naknade se i dalje naplaćuju kamionima na unutrašnjim carinskim terminalima koji se nalaze u objektima u privatnom vlasništvu, što nije u skladu s pravnom tekovinom EU.</w:t>
      </w:r>
    </w:p>
    <w:p w:rsidR="00622A95" w:rsidRPr="00095948" w:rsidRDefault="00622A95" w:rsidP="00EC1790">
      <w:pPr>
        <w:autoSpaceDE w:val="0"/>
        <w:autoSpaceDN w:val="0"/>
        <w:adjustRightInd w:val="0"/>
        <w:spacing w:after="120" w:line="240" w:lineRule="auto"/>
        <w:jc w:val="both"/>
        <w:rPr>
          <w:rFonts w:eastAsia="Calibri" w:cs="Times New Roman"/>
          <w:color w:val="000000"/>
          <w:szCs w:val="24"/>
          <w:lang w:val="fr-FR"/>
        </w:rPr>
      </w:pPr>
      <w:r w:rsidRPr="00095948">
        <w:rPr>
          <w:rFonts w:eastAsia="Calibri" w:cs="Times New Roman"/>
          <w:color w:val="000000"/>
          <w:szCs w:val="24"/>
          <w:lang w:val="fr-FR"/>
        </w:rPr>
        <w:t xml:space="preserve">Što se tiče </w:t>
      </w:r>
      <w:r w:rsidRPr="00095948">
        <w:rPr>
          <w:rFonts w:eastAsia="Calibri" w:cs="Times New Roman"/>
          <w:b/>
          <w:color w:val="000000"/>
          <w:szCs w:val="24"/>
          <w:lang w:val="fr-FR"/>
        </w:rPr>
        <w:t>administrativnih i operativnih kapaciteta</w:t>
      </w:r>
      <w:r w:rsidRPr="00095948">
        <w:rPr>
          <w:rFonts w:eastAsia="Calibri" w:cs="Times New Roman"/>
          <w:color w:val="000000"/>
          <w:szCs w:val="24"/>
          <w:lang w:val="fr-FR"/>
        </w:rPr>
        <w:t xml:space="preserve">, Crna Gora nastavlja sa sprovođenjem Poslovne strategije </w:t>
      </w:r>
      <w:r w:rsidR="00F95800" w:rsidRPr="00095948">
        <w:rPr>
          <w:rFonts w:eastAsia="Calibri" w:cs="Times New Roman"/>
          <w:color w:val="000000"/>
          <w:szCs w:val="24"/>
          <w:lang w:val="fr-FR"/>
        </w:rPr>
        <w:t>za period 2019-2021, u skladu s</w:t>
      </w:r>
      <w:r w:rsidRPr="00095948">
        <w:rPr>
          <w:rFonts w:eastAsia="Calibri" w:cs="Times New Roman"/>
          <w:color w:val="000000"/>
          <w:szCs w:val="24"/>
          <w:lang w:val="fr-FR"/>
        </w:rPr>
        <w:t xml:space="preserve"> Akcionim planom. Implementaciono zakonodavstvo o internoj organizaciji Uprave carina usvojeno je u maju 2019. godine, zajedno sa strategijama za carinske ljudske resurse, upravljanje, obuke, modernizaciju IT infrastrukture i odnose s javnošću. Crna Gora je preduzela korake ka snaženju kapaciteta u finansijskim istragama, uključujući povraćaj imovine i koristi stečene kriminalnom djelatnošću, kao i pojačane mjere za sprečavanje korupcije i očuvanje integriteta carinskih službenika. I dalje je potrebno na bolji način riješiti pitanje obezbjeđivanja dovoljnog broja zaposlenih u IT sektoru, imajući u vidu brojne razvojne IT projekte.</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Dalji operativni napredak je postignut ka pristupanju Konvenciji o tranzitu i uspostavljanju novog kompjuterizovanog tranzitnog sistema (NCTS).</w:t>
      </w:r>
      <w:r w:rsidR="00F95800" w:rsidRPr="00095948">
        <w:rPr>
          <w:rFonts w:eastAsia="Calibri" w:cs="Times New Roman"/>
          <w:szCs w:val="24"/>
          <w:lang w:val="fr-FR"/>
        </w:rPr>
        <w:t xml:space="preserve"> </w:t>
      </w:r>
      <w:r w:rsidRPr="00095948">
        <w:rPr>
          <w:rFonts w:eastAsia="Calibri" w:cs="Times New Roman"/>
          <w:szCs w:val="24"/>
          <w:lang w:val="fr-FR"/>
        </w:rPr>
        <w:t>Pojednostavljene procedure za carinjenje ekspresnih pošiljaka su implementirane, a aplikacija e-manifest za takve pošiljke postalaje operativna, omogućavajući da se isporuke obrade prije nego što pristignu. Intenzivirane su pripreme za akreditaciju carinske laboratorije i nekoliko tenderskih postupaka za nabavku laboratorijske opreme uspješno je završeno.</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Što se tiče naplate carinskog duga, model za otpis carinskog duga treba utvrditi zajedno sa Ministarstvom finansija. Primjetna su određena poboljšanja kod uvoznih i izvoznih procedura zahvaljujući postepenoj implementaciji Strat</w:t>
      </w:r>
      <w:r w:rsidRPr="009A2018">
        <w:rPr>
          <w:rFonts w:eastAsia="Calibri" w:cs="Times New Roman"/>
          <w:szCs w:val="24"/>
        </w:rPr>
        <w:t>е</w:t>
      </w:r>
      <w:r w:rsidRPr="00095948">
        <w:rPr>
          <w:rFonts w:eastAsia="Calibri" w:cs="Times New Roman"/>
          <w:szCs w:val="24"/>
          <w:lang w:val="fr-FR"/>
        </w:rPr>
        <w:t>gije trgovinskih olakšica 2018-2022. U smislu implementacije CEFTA Protokola 5, pojačane su provjere nakon carinjenja kako bi se smanjilo vrijeme potrebno za carinjenje. Pored toga, razvoj nadzornog IT sistema, koji uvodi hronološko upravljanje slučajevima carinskih prevara i nepravilnosti, počeo je u septembru 2019, dok se njegova integracija u carinsko-informacioni sistem očekuje u III kvartalu 2020.</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Uprava carina je član Koordinacionog tima za prava intelektualne svojine i učestvuje u zajedničkim aktivnostima radne grupe u cilju suzbijanja i sprečavanja kršenja prava intelektualne svojine. Naplata prihoda Uprave carina je u 2019. iznosila 801 milion eura, što je porast od 5,60% u odnosu na 2018. godinu. Naročito treba naglasiti porast od 14% u odnosu na prethodnu godinu kada je riječ o naplati akcize na duvan.</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 xml:space="preserve">U pogledu </w:t>
      </w:r>
      <w:r w:rsidR="00E273C7">
        <w:rPr>
          <w:rFonts w:eastAsia="Calibri" w:cs="Times New Roman"/>
          <w:szCs w:val="24"/>
          <w:lang w:val="fr-FR"/>
        </w:rPr>
        <w:t>ilegalne</w:t>
      </w:r>
      <w:r w:rsidR="00E273C7" w:rsidRPr="00095948">
        <w:rPr>
          <w:rFonts w:eastAsia="Calibri" w:cs="Times New Roman"/>
          <w:szCs w:val="24"/>
          <w:lang w:val="fr-FR"/>
        </w:rPr>
        <w:t xml:space="preserve"> </w:t>
      </w:r>
      <w:r w:rsidRPr="00095948">
        <w:rPr>
          <w:rFonts w:eastAsia="Calibri" w:cs="Times New Roman"/>
          <w:szCs w:val="24"/>
          <w:lang w:val="fr-FR"/>
        </w:rPr>
        <w:t>trgovine duvan</w:t>
      </w:r>
      <w:r w:rsidR="00E273C7">
        <w:rPr>
          <w:rFonts w:eastAsia="Calibri" w:cs="Times New Roman"/>
          <w:szCs w:val="24"/>
          <w:lang w:val="fr-FR"/>
        </w:rPr>
        <w:t>skim proizvodima,</w:t>
      </w:r>
      <w:r w:rsidRPr="00095948">
        <w:rPr>
          <w:rFonts w:eastAsia="Calibri" w:cs="Times New Roman"/>
          <w:szCs w:val="24"/>
          <w:lang w:val="fr-FR"/>
        </w:rPr>
        <w:t xml:space="preserve"> intenzivirane su nadzorne aktivnosti u slobodnoj zoni u Luci Bar, uključujući zajedničke kontrolne akcije sa policijom. Bolja informatička funkcionalnost omogućava carinskim organima da pristupe IT sistemima lučkih operatera i bolje kontrolišu kretanja duvan</w:t>
      </w:r>
      <w:r w:rsidR="00E273C7">
        <w:rPr>
          <w:rFonts w:eastAsia="Calibri" w:cs="Times New Roman"/>
          <w:szCs w:val="24"/>
          <w:lang w:val="fr-FR"/>
        </w:rPr>
        <w:t>skih proizvoda</w:t>
      </w:r>
      <w:r w:rsidRPr="00095948">
        <w:rPr>
          <w:rFonts w:eastAsia="Calibri" w:cs="Times New Roman"/>
          <w:szCs w:val="24"/>
          <w:lang w:val="fr-FR"/>
        </w:rPr>
        <w:t>. Ipak, ostaju značajni izazovi na polju smanjenja nezakonite trgovine duvan</w:t>
      </w:r>
      <w:r w:rsidR="00E273C7">
        <w:rPr>
          <w:rFonts w:eastAsia="Calibri" w:cs="Times New Roman"/>
          <w:szCs w:val="24"/>
          <w:lang w:val="fr-FR"/>
        </w:rPr>
        <w:t>skim proizvodima.</w:t>
      </w:r>
      <w:r w:rsidRPr="00095948">
        <w:rPr>
          <w:rFonts w:eastAsia="Calibri" w:cs="Times New Roman"/>
          <w:szCs w:val="24"/>
          <w:lang w:val="fr-FR"/>
        </w:rPr>
        <w:t xml:space="preserve"> Naročito, prisustvo fiktivnih ofšor kompanija u slobodnoj zoni u Luci Bar i njihova uloga u lancu snabdijevanja duvanom ostaju veliki razlog za brigu. Šira kontrola kompanija koje posluju u slobodnoj zoni, kao i njihovih aktivnosti, učinila bi borbu protiv šverca cigareta </w:t>
      </w:r>
      <w:r w:rsidR="00E273C7">
        <w:rPr>
          <w:rFonts w:eastAsia="Calibri" w:cs="Times New Roman"/>
          <w:szCs w:val="24"/>
          <w:lang w:val="fr-FR"/>
        </w:rPr>
        <w:t>efikasnijom</w:t>
      </w:r>
      <w:r w:rsidRPr="00095948">
        <w:rPr>
          <w:rFonts w:eastAsia="Calibri" w:cs="Times New Roman"/>
          <w:szCs w:val="24"/>
          <w:lang w:val="fr-FR"/>
        </w:rPr>
        <w:t xml:space="preserve">. Potrebno je uložiti dalje napore u izgradnju kapaciteta, zapošljavanje kadrova i </w:t>
      </w:r>
      <w:r w:rsidR="00E273C7">
        <w:rPr>
          <w:rFonts w:eastAsia="Calibri" w:cs="Times New Roman"/>
          <w:szCs w:val="24"/>
          <w:lang w:val="fr-FR"/>
        </w:rPr>
        <w:t>jačanje</w:t>
      </w:r>
      <w:r w:rsidR="00E273C7" w:rsidRPr="00095948">
        <w:rPr>
          <w:rFonts w:eastAsia="Calibri" w:cs="Times New Roman"/>
          <w:szCs w:val="24"/>
          <w:lang w:val="fr-FR"/>
        </w:rPr>
        <w:t xml:space="preserve"> </w:t>
      </w:r>
      <w:r w:rsidRPr="00095948">
        <w:rPr>
          <w:rFonts w:eastAsia="Calibri" w:cs="Times New Roman"/>
          <w:szCs w:val="24"/>
          <w:lang w:val="fr-FR"/>
        </w:rPr>
        <w:t>međunarodne saradnje u ovom pogl</w:t>
      </w:r>
      <w:r w:rsidR="00F95800" w:rsidRPr="00095948">
        <w:rPr>
          <w:rFonts w:eastAsia="Calibri" w:cs="Times New Roman"/>
          <w:szCs w:val="24"/>
          <w:lang w:val="fr-FR"/>
        </w:rPr>
        <w:t>edu. Uprava carina krenula je s</w:t>
      </w:r>
      <w:r w:rsidRPr="00095948">
        <w:rPr>
          <w:rFonts w:eastAsia="Calibri" w:cs="Times New Roman"/>
          <w:szCs w:val="24"/>
          <w:lang w:val="fr-FR"/>
        </w:rPr>
        <w:t xml:space="preserve"> razvojem elektronskog sistema za upravljanje i bezbjedno štampanje akciznih markica, ali je implementacija Protokola SZO o eliminaciji nezakonite trgovine duvanskim proizvodima i dalje na čekanju. Obnovljena proizvodnja cigareta u najvećoj crnogorskoj duvanskoj kompaniji zahtijevala bi puno sprovođenje mjera predviđenih Protokolom.</w:t>
      </w:r>
    </w:p>
    <w:p w:rsidR="00622A95" w:rsidRPr="00095948" w:rsidRDefault="00622A95" w:rsidP="00EC1790">
      <w:pPr>
        <w:autoSpaceDE w:val="0"/>
        <w:autoSpaceDN w:val="0"/>
        <w:adjustRightInd w:val="0"/>
        <w:spacing w:after="120" w:line="240" w:lineRule="auto"/>
        <w:jc w:val="both"/>
        <w:rPr>
          <w:rFonts w:eastAsia="Calibri" w:cs="Times New Roman"/>
          <w:szCs w:val="24"/>
          <w:lang w:val="fr-FR"/>
        </w:rPr>
      </w:pPr>
      <w:r w:rsidRPr="00095948">
        <w:rPr>
          <w:rFonts w:eastAsia="Calibri" w:cs="Times New Roman"/>
          <w:szCs w:val="24"/>
          <w:lang w:val="fr-FR"/>
        </w:rPr>
        <w:t>Uprava carina je dio Koordinacionog tijela CEFTA-e, formiranog u martu 2020. s ciljem koordin</w:t>
      </w:r>
      <w:r w:rsidR="00E273C7">
        <w:rPr>
          <w:rFonts w:eastAsia="Calibri" w:cs="Times New Roman"/>
          <w:szCs w:val="24"/>
          <w:lang w:val="fr-FR"/>
        </w:rPr>
        <w:t>acije</w:t>
      </w:r>
      <w:r w:rsidRPr="00095948">
        <w:rPr>
          <w:rFonts w:eastAsia="Calibri" w:cs="Times New Roman"/>
          <w:szCs w:val="24"/>
          <w:lang w:val="fr-FR"/>
        </w:rPr>
        <w:t xml:space="preserve"> mjera za neprekinutu prekograničnu trgovinu tokom krize zbog COVID-19.</w:t>
      </w:r>
    </w:p>
    <w:p w:rsidR="00622A95" w:rsidRPr="00095948" w:rsidRDefault="00622A95" w:rsidP="00EC1790">
      <w:pPr>
        <w:pStyle w:val="Heading2"/>
        <w:rPr>
          <w:rFonts w:eastAsia="Times New Roman"/>
          <w:lang w:val="fr-FR"/>
        </w:rPr>
      </w:pPr>
      <w:bookmarkStart w:id="284" w:name="_Toc30080592"/>
      <w:bookmarkStart w:id="285" w:name="_Toc30074170"/>
      <w:bookmarkStart w:id="286" w:name="_Toc30073857"/>
      <w:bookmarkStart w:id="287" w:name="_Toc52744961"/>
      <w:bookmarkStart w:id="288" w:name="_Toc53362469"/>
      <w:r w:rsidRPr="00095948">
        <w:rPr>
          <w:rFonts w:eastAsia="Times New Roman"/>
          <w:lang w:val="fr-FR"/>
        </w:rPr>
        <w:t>5.30</w:t>
      </w:r>
      <w:r w:rsidRPr="00095948">
        <w:rPr>
          <w:rFonts w:eastAsia="Times New Roman"/>
          <w:lang w:val="fr-FR"/>
        </w:rPr>
        <w:tab/>
      </w:r>
      <w:bookmarkEnd w:id="284"/>
      <w:bookmarkEnd w:id="285"/>
      <w:bookmarkEnd w:id="286"/>
      <w:bookmarkEnd w:id="287"/>
      <w:r w:rsidRPr="00095948">
        <w:rPr>
          <w:rFonts w:eastAsia="Times New Roman"/>
          <w:lang w:val="fr-FR"/>
        </w:rPr>
        <w:t>Poglavlje 30: Vanjski odnosi</w:t>
      </w:r>
      <w:bookmarkEnd w:id="288"/>
    </w:p>
    <w:p w:rsidR="00622A95" w:rsidRPr="00095948" w:rsidRDefault="00622A95" w:rsidP="00EC1790">
      <w:pPr>
        <w:autoSpaceDE w:val="0"/>
        <w:autoSpaceDN w:val="0"/>
        <w:adjustRightInd w:val="0"/>
        <w:spacing w:after="120" w:line="240" w:lineRule="auto"/>
        <w:jc w:val="both"/>
        <w:rPr>
          <w:rFonts w:eastAsia="Calibri" w:cs="Times New Roman"/>
          <w:i/>
          <w:iCs/>
          <w:color w:val="000000"/>
          <w:szCs w:val="24"/>
          <w:lang w:val="fr-FR"/>
        </w:rPr>
      </w:pPr>
      <w:r w:rsidRPr="00095948">
        <w:rPr>
          <w:rFonts w:eastAsia="Calibri" w:cs="Times New Roman"/>
          <w:i/>
          <w:iCs/>
          <w:color w:val="000000"/>
          <w:szCs w:val="24"/>
          <w:lang w:val="fr-FR"/>
        </w:rPr>
        <w:t xml:space="preserve">EU ima zajedničku trgovinsku i </w:t>
      </w:r>
      <w:r w:rsidR="00E273C7">
        <w:rPr>
          <w:rFonts w:eastAsia="Calibri" w:cs="Times New Roman"/>
          <w:i/>
          <w:iCs/>
          <w:color w:val="000000"/>
          <w:szCs w:val="24"/>
          <w:lang w:val="fr-FR"/>
        </w:rPr>
        <w:t>trgovinsku</w:t>
      </w:r>
      <w:r w:rsidR="00E273C7" w:rsidRPr="00095948">
        <w:rPr>
          <w:rFonts w:eastAsia="Calibri" w:cs="Times New Roman"/>
          <w:i/>
          <w:iCs/>
          <w:color w:val="000000"/>
          <w:szCs w:val="24"/>
          <w:lang w:val="fr-FR"/>
        </w:rPr>
        <w:t xml:space="preserve"> </w:t>
      </w:r>
      <w:r w:rsidRPr="00095948">
        <w:rPr>
          <w:rFonts w:eastAsia="Calibri" w:cs="Times New Roman"/>
          <w:i/>
          <w:iCs/>
          <w:color w:val="000000"/>
          <w:szCs w:val="24"/>
          <w:lang w:val="fr-FR"/>
        </w:rPr>
        <w:t>politiku prema trećim zemljama baziranu na multilateralnim i bilateralnim sporazumima i autonomnim mjerama. Takođe postoje pravila EU u oblasti razvojne politike i humanitarne pomoći.</w:t>
      </w:r>
    </w:p>
    <w:p w:rsidR="00622A95" w:rsidRPr="0009594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lang w:val="fr-FR"/>
        </w:rPr>
      </w:pPr>
      <w:r w:rsidRPr="00095948">
        <w:rPr>
          <w:rFonts w:eastAsia="Calibri" w:cs="Times New Roman"/>
          <w:noProof/>
          <w:color w:val="000000"/>
          <w:szCs w:val="24"/>
          <w:lang w:val="fr-FR"/>
        </w:rPr>
        <w:t xml:space="preserve">Crna Gora je postigla </w:t>
      </w:r>
      <w:r w:rsidRPr="00095948">
        <w:rPr>
          <w:rFonts w:eastAsia="Calibri" w:cs="Times New Roman"/>
          <w:b/>
          <w:noProof/>
          <w:color w:val="000000"/>
          <w:szCs w:val="24"/>
          <w:lang w:val="fr-FR"/>
        </w:rPr>
        <w:t>dobar nivo spremnosti</w:t>
      </w:r>
      <w:r w:rsidRPr="00095948">
        <w:rPr>
          <w:rFonts w:eastAsia="Calibri" w:cs="Times New Roman"/>
          <w:noProof/>
          <w:color w:val="000000"/>
          <w:szCs w:val="24"/>
          <w:lang w:val="fr-FR"/>
        </w:rPr>
        <w:t xml:space="preserve"> u ovoj oblasti. </w:t>
      </w:r>
      <w:r w:rsidRPr="00095948">
        <w:rPr>
          <w:rFonts w:eastAsia="Calibri" w:cs="Times New Roman"/>
          <w:b/>
          <w:noProof/>
          <w:color w:val="000000"/>
          <w:szCs w:val="24"/>
          <w:lang w:val="fr-FR"/>
        </w:rPr>
        <w:t>Određeni napredak</w:t>
      </w:r>
      <w:r w:rsidRPr="00095948">
        <w:rPr>
          <w:rFonts w:eastAsia="Calibri" w:cs="Times New Roman"/>
          <w:noProof/>
          <w:color w:val="000000"/>
          <w:szCs w:val="24"/>
          <w:lang w:val="fr-FR"/>
        </w:rPr>
        <w:t xml:space="preserve"> kod preporuka iz 2019. napravljen je u pogledu regionalnog ekonomskog prostora (REA) uz usvajanje Dodatnog protokola 6 za liberalizaciju trgovine uslugama. Preporuka iz 2019. o robi dvostruke namjene ostaje važeća.</w:t>
      </w:r>
    </w:p>
    <w:p w:rsidR="00622A95" w:rsidRPr="00095948" w:rsidRDefault="00622A95" w:rsidP="00EC179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lang w:val="fr-FR"/>
        </w:rPr>
      </w:pPr>
      <w:r w:rsidRPr="00095948">
        <w:rPr>
          <w:rFonts w:eastAsia="Calibri" w:cs="Times New Roman"/>
          <w:noProof/>
          <w:color w:val="000000"/>
          <w:szCs w:val="24"/>
          <w:lang w:val="fr-FR"/>
        </w:rPr>
        <w:t>U narednoj godini Crna Gora naročito treba da:</w:t>
      </w:r>
    </w:p>
    <w:p w:rsidR="00622A95" w:rsidRPr="00095948" w:rsidRDefault="00622A95" w:rsidP="00EC1790">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noProof/>
          <w:color w:val="000000"/>
          <w:sz w:val="24"/>
          <w:szCs w:val="24"/>
          <w:lang w:val="fr-FR"/>
        </w:rPr>
      </w:pPr>
      <w:r w:rsidRPr="00095948">
        <w:rPr>
          <w:rFonts w:ascii="Times New Roman" w:eastAsia="Calibri" w:hAnsi="Times New Roman" w:cs="Times New Roman"/>
          <w:noProof/>
          <w:color w:val="000000"/>
          <w:sz w:val="24"/>
          <w:szCs w:val="24"/>
          <w:lang w:val="fr-FR"/>
        </w:rPr>
        <w:t>usvoji zakonodavstvo u skladu s pravnom tekovinom EU koje se odnosi na kontrolu izvoza robe dvostruke namjene;</w:t>
      </w:r>
    </w:p>
    <w:p w:rsidR="00622A95" w:rsidRPr="00095948" w:rsidRDefault="00622A95" w:rsidP="00EC1790">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0" w:firstLine="0"/>
        <w:contextualSpacing w:val="0"/>
        <w:jc w:val="both"/>
        <w:rPr>
          <w:rFonts w:ascii="Times New Roman" w:eastAsia="Calibri" w:hAnsi="Times New Roman" w:cs="Times New Roman"/>
          <w:i/>
          <w:iCs/>
          <w:color w:val="000000"/>
          <w:sz w:val="24"/>
          <w:szCs w:val="24"/>
          <w:lang w:val="fr-FR"/>
        </w:rPr>
      </w:pPr>
      <w:r w:rsidRPr="00095948">
        <w:rPr>
          <w:rFonts w:ascii="Times New Roman" w:eastAsia="Calibri" w:hAnsi="Times New Roman" w:cs="Times New Roman"/>
          <w:iCs/>
          <w:color w:val="000000"/>
          <w:sz w:val="24"/>
          <w:szCs w:val="24"/>
          <w:lang w:val="fr-FR"/>
        </w:rPr>
        <w:t>sprovede aktivnosti u okviru višegodišnjeg Akcionog plana za razvoj regionalnog ekonomskog prostora, a naročito da osigura punu primjenu Dodatnog protokola 5 CEFTA o trgovini robom, potvrdi i sprovede Dodatni protokol 6 CEFTA o trgovini uslugama, pregovara i obezbijedi najskorije usvajanje Dodatnog protokola 7 CEFTA o rješavanju sporova, usvoji regionalne standarde za međunarodne investicione sporazume i stremi sprovođenju „individualnog reformskog akcionog plana“ (IRAP) za investicije.</w:t>
      </w:r>
    </w:p>
    <w:p w:rsidR="00622A95" w:rsidRPr="00095948" w:rsidRDefault="00622A95" w:rsidP="00EC1790">
      <w:pPr>
        <w:spacing w:after="120" w:line="240" w:lineRule="auto"/>
        <w:jc w:val="both"/>
        <w:rPr>
          <w:rFonts w:eastAsia="Times New Roman" w:cs="Times New Roman"/>
          <w:szCs w:val="24"/>
          <w:lang w:val="fr-FR" w:eastAsia="en-GB"/>
        </w:rPr>
      </w:pPr>
      <w:r w:rsidRPr="00095948">
        <w:rPr>
          <w:rFonts w:eastAsia="Times New Roman" w:cs="Times New Roman"/>
          <w:szCs w:val="24"/>
          <w:lang w:val="fr-FR" w:eastAsia="en-GB"/>
        </w:rPr>
        <w:t xml:space="preserve">Što se tiče </w:t>
      </w:r>
      <w:r w:rsidRPr="00095948">
        <w:rPr>
          <w:rFonts w:eastAsia="Times New Roman" w:cs="Times New Roman"/>
          <w:b/>
          <w:szCs w:val="24"/>
          <w:lang w:val="fr-FR" w:eastAsia="en-GB"/>
        </w:rPr>
        <w:t>zajedničke trgovinske politike</w:t>
      </w:r>
      <w:r w:rsidRPr="00095948">
        <w:rPr>
          <w:rFonts w:eastAsia="Times New Roman" w:cs="Times New Roman"/>
          <w:szCs w:val="24"/>
          <w:lang w:val="fr-FR" w:eastAsia="en-GB"/>
        </w:rPr>
        <w:t>, Crna Gora je nastavila da koordinira svoje pozicije sa pozicijama EU, uključujući i u okviru Svjetske trgovinske organizacije. Crna Gora je usvojila izvještaj o implementaciji ambiciozne Strategije za trgovinske olakšice 2018-2022, za 2018. godinu. Treba uložiti dodatne napore da bi se obezbijedilo pravovremeno sprovođenje strategije i povezanog akcionog plana, te da bi se pratio taj proces. U junu 2019, Crna Gora je dostavila notifikacije koje se propisuju članovima 1.4, 10.6.2. i 12.2.2. Sporazuma o trgovinskim olakšicama STO, a kasnije, u avgustu 2019, dostavila je notifikaciju o obavezama iz kategorija B i C.</w:t>
      </w:r>
    </w:p>
    <w:p w:rsidR="00622A95" w:rsidRPr="00095948" w:rsidRDefault="00622A95" w:rsidP="00EC1790">
      <w:pPr>
        <w:spacing w:after="120" w:line="240" w:lineRule="auto"/>
        <w:jc w:val="both"/>
        <w:rPr>
          <w:rFonts w:eastAsia="Times New Roman" w:cs="Times New Roman"/>
          <w:szCs w:val="24"/>
          <w:lang w:val="fr-FR" w:eastAsia="en-GB"/>
        </w:rPr>
      </w:pPr>
      <w:r w:rsidRPr="00095948">
        <w:rPr>
          <w:rFonts w:eastAsia="Times New Roman" w:cs="Times New Roman"/>
          <w:szCs w:val="24"/>
          <w:lang w:val="fr-FR" w:eastAsia="en-GB"/>
        </w:rPr>
        <w:t xml:space="preserve">Crna Gora je nastavila da usklađuje svoju </w:t>
      </w:r>
      <w:r w:rsidR="00E273C7">
        <w:rPr>
          <w:rFonts w:eastAsia="Times New Roman" w:cs="Times New Roman"/>
          <w:szCs w:val="24"/>
          <w:lang w:val="fr-FR" w:eastAsia="en-GB"/>
        </w:rPr>
        <w:t>nacionalnu</w:t>
      </w:r>
      <w:r w:rsidR="00E273C7" w:rsidRPr="00095948">
        <w:rPr>
          <w:rFonts w:eastAsia="Times New Roman" w:cs="Times New Roman"/>
          <w:szCs w:val="24"/>
          <w:lang w:val="fr-FR" w:eastAsia="en-GB"/>
        </w:rPr>
        <w:t xml:space="preserve"> </w:t>
      </w:r>
      <w:r w:rsidRPr="00095948">
        <w:rPr>
          <w:rFonts w:eastAsia="Times New Roman" w:cs="Times New Roman"/>
          <w:szCs w:val="24"/>
          <w:lang w:val="fr-FR" w:eastAsia="en-GB"/>
        </w:rPr>
        <w:t>kontrolnu listu roba dvostruk</w:t>
      </w:r>
      <w:r w:rsidR="00E273C7">
        <w:rPr>
          <w:rFonts w:eastAsia="Times New Roman" w:cs="Times New Roman"/>
          <w:szCs w:val="24"/>
          <w:lang w:val="fr-FR" w:eastAsia="en-GB"/>
        </w:rPr>
        <w:t>e</w:t>
      </w:r>
      <w:r w:rsidRPr="00095948">
        <w:rPr>
          <w:rFonts w:eastAsia="Times New Roman" w:cs="Times New Roman"/>
          <w:szCs w:val="24"/>
          <w:lang w:val="fr-FR" w:eastAsia="en-GB"/>
        </w:rPr>
        <w:t xml:space="preserve"> namjen</w:t>
      </w:r>
      <w:r w:rsidR="00E273C7">
        <w:rPr>
          <w:rFonts w:eastAsia="Times New Roman" w:cs="Times New Roman"/>
          <w:szCs w:val="24"/>
          <w:lang w:val="fr-FR" w:eastAsia="en-GB"/>
        </w:rPr>
        <w:t>e</w:t>
      </w:r>
      <w:r w:rsidRPr="00095948">
        <w:rPr>
          <w:rFonts w:eastAsia="Times New Roman" w:cs="Times New Roman"/>
          <w:szCs w:val="24"/>
          <w:lang w:val="fr-FR" w:eastAsia="en-GB"/>
        </w:rPr>
        <w:t xml:space="preserve"> sa režimom EU za 2019. za izvoz, </w:t>
      </w:r>
      <w:r w:rsidR="00E273C7">
        <w:rPr>
          <w:rFonts w:eastAsia="Times New Roman" w:cs="Times New Roman"/>
          <w:szCs w:val="24"/>
          <w:lang w:val="fr-FR" w:eastAsia="en-GB"/>
        </w:rPr>
        <w:t>transfer</w:t>
      </w:r>
      <w:r w:rsidRPr="00095948">
        <w:rPr>
          <w:rFonts w:eastAsia="Times New Roman" w:cs="Times New Roman"/>
          <w:szCs w:val="24"/>
          <w:lang w:val="fr-FR" w:eastAsia="en-GB"/>
        </w:rPr>
        <w:t xml:space="preserve">, posredovanje i tranzit ovih artikala. Tek treba da se </w:t>
      </w:r>
      <w:r w:rsidR="00E273C7">
        <w:rPr>
          <w:rFonts w:eastAsia="Times New Roman" w:cs="Times New Roman"/>
          <w:szCs w:val="24"/>
          <w:lang w:val="fr-FR" w:eastAsia="en-GB"/>
        </w:rPr>
        <w:t>usvoji</w:t>
      </w:r>
      <w:r w:rsidR="00E273C7" w:rsidRPr="00095948">
        <w:rPr>
          <w:rFonts w:eastAsia="Times New Roman" w:cs="Times New Roman"/>
          <w:szCs w:val="24"/>
          <w:lang w:val="fr-FR" w:eastAsia="en-GB"/>
        </w:rPr>
        <w:t xml:space="preserve"> </w:t>
      </w:r>
      <w:r w:rsidRPr="00095948">
        <w:rPr>
          <w:rFonts w:eastAsia="Times New Roman" w:cs="Times New Roman"/>
          <w:szCs w:val="24"/>
          <w:lang w:val="fr-FR" w:eastAsia="en-GB"/>
        </w:rPr>
        <w:t xml:space="preserve">Predlog zakona o kontroli izvoza robe dvostruke namjene.U tom smislu, Crna Gora treba da nastavi da ulaže u unapređenje administrativnih i kontrolnih kapaciteta. U toku je proces apliciranja Crne Gore za učešće u Vasenarskom aranžmanu, a zemlja razmatra i priključivanje Australijskoj grupi. </w:t>
      </w:r>
    </w:p>
    <w:p w:rsidR="00622A95" w:rsidRPr="00095948" w:rsidRDefault="00622A95" w:rsidP="00EC1790">
      <w:pPr>
        <w:spacing w:after="120" w:line="240" w:lineRule="auto"/>
        <w:jc w:val="both"/>
        <w:rPr>
          <w:rFonts w:eastAsia="Times New Roman" w:cs="Times New Roman"/>
          <w:szCs w:val="24"/>
          <w:lang w:val="fr-FR" w:eastAsia="en-GB"/>
        </w:rPr>
      </w:pPr>
      <w:r w:rsidRPr="00095948">
        <w:rPr>
          <w:rFonts w:eastAsia="Times New Roman" w:cs="Times New Roman"/>
          <w:szCs w:val="24"/>
          <w:lang w:val="fr-FR" w:eastAsia="en-GB"/>
        </w:rPr>
        <w:t>Crna Gora je usvojila zakonodavstvo koje za cilj ima sprovođenje postupka sertifikovanja prema Kimberli procesu, uključujući odredbe o sankcijama.</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U toku je priprema Uredbe o osiguranju izvoznih kredita od netržišnih rizika, nakon usvajanja izmjena i dopuna Zakona o Investiciono-razvojnom fondu (koji uređuje izdavanje i finansiranje izvoznih kredita).</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 xml:space="preserve">Crna Gora je nastavila učešće u CEFTA.Važno je da Crna Gora implementira Dodatni protokol 5, naročito na osnovu odluka koje je donio Zajednički komitet CEFTA u pogledu ovlašćenih privrednih subjekata, voća i povrća, kao i strategije upravljanja rizicima za carine. Takođe je potrebna ratifikacija i implementacija novousvojenog Dodatnog protokola 6 o liberalizaciji trgovine uslugama. Što se tiče Dodatnog protokola 7 o rješavanju trgovinskih sporova, konstruktivan pristup Crne Gore bio bi važan za osiguravanje završetka pregovora u 2020. godini. U okviru regionalnog ekonomskog prostora, ostaje da se usvoje standardi za </w:t>
      </w:r>
      <w:r w:rsidR="00E273C7">
        <w:rPr>
          <w:rFonts w:eastAsia="Calibri" w:cs="Times New Roman"/>
          <w:szCs w:val="24"/>
          <w:lang w:val="fr-FR"/>
        </w:rPr>
        <w:t>investicije</w:t>
      </w:r>
      <w:r w:rsidR="00E273C7" w:rsidRPr="00095948">
        <w:rPr>
          <w:rFonts w:eastAsia="Calibri" w:cs="Times New Roman"/>
          <w:szCs w:val="24"/>
          <w:lang w:val="fr-FR"/>
        </w:rPr>
        <w:t xml:space="preserve"> </w:t>
      </w:r>
      <w:r w:rsidRPr="00095948">
        <w:rPr>
          <w:rFonts w:eastAsia="Calibri" w:cs="Times New Roman"/>
          <w:szCs w:val="24"/>
          <w:lang w:val="fr-FR"/>
        </w:rPr>
        <w:t>na regionalnom nivou koji bi odražavali najnovije razvoje politike EU; isti bi se koristili u pregovorima o budućim investicionim sporazumima sa trećim zemljama. Trebalo bi da Crna Gora ovo reflektuje u novom modelu bilateralnih investicionih sporazuma koji trenutno priprema.</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 xml:space="preserve">Crna Gora treba da nastavi s jačanjem administrativnog kapaciteta službi koje su zadužene za pitanja u vezi CEFTA i STO. Što se tiče </w:t>
      </w:r>
      <w:r w:rsidRPr="00095948">
        <w:rPr>
          <w:rFonts w:eastAsia="Calibri" w:cs="Times New Roman"/>
          <w:b/>
          <w:szCs w:val="24"/>
          <w:lang w:val="fr-FR"/>
        </w:rPr>
        <w:t xml:space="preserve">bilateralnih </w:t>
      </w:r>
      <w:r w:rsidR="00E273C7">
        <w:rPr>
          <w:rFonts w:eastAsia="Calibri" w:cs="Times New Roman"/>
          <w:b/>
          <w:szCs w:val="24"/>
          <w:lang w:val="fr-FR"/>
        </w:rPr>
        <w:t xml:space="preserve">trgovinskih </w:t>
      </w:r>
      <w:r w:rsidRPr="00095948">
        <w:rPr>
          <w:rFonts w:eastAsia="Calibri" w:cs="Times New Roman"/>
          <w:b/>
          <w:szCs w:val="24"/>
          <w:lang w:val="fr-FR"/>
        </w:rPr>
        <w:t>sporazuma s trećim zemljama</w:t>
      </w:r>
      <w:r w:rsidRPr="00095948">
        <w:rPr>
          <w:rFonts w:eastAsia="Calibri" w:cs="Times New Roman"/>
          <w:szCs w:val="24"/>
          <w:lang w:val="fr-FR"/>
        </w:rPr>
        <w:t>, Crna Gora je u julu 2019. potpisala izmjene S</w:t>
      </w:r>
      <w:r w:rsidR="00F95800" w:rsidRPr="00095948">
        <w:rPr>
          <w:rFonts w:eastAsia="Calibri" w:cs="Times New Roman"/>
          <w:szCs w:val="24"/>
          <w:lang w:val="fr-FR"/>
        </w:rPr>
        <w:t>porazuma o slobodnoj trgovini s</w:t>
      </w:r>
      <w:r w:rsidRPr="00095948">
        <w:rPr>
          <w:rFonts w:eastAsia="Calibri" w:cs="Times New Roman"/>
          <w:szCs w:val="24"/>
          <w:lang w:val="fr-FR"/>
        </w:rPr>
        <w:t xml:space="preserve"> Turskom; njima je obezbijeđena dodatna liberalizacija trgovine poljoprivrednim proizvodima i pristupa tržištu usluga. Crna Gora takođe revidira sporazume o slobodnoj trgovini sklopljene sa zemljama EFTA u pogledu pravila o porijeklu.</w:t>
      </w:r>
    </w:p>
    <w:p w:rsidR="00622A95" w:rsidRPr="00095948" w:rsidRDefault="00622A95" w:rsidP="00EC1790">
      <w:pPr>
        <w:spacing w:after="120" w:line="240" w:lineRule="auto"/>
        <w:jc w:val="both"/>
        <w:rPr>
          <w:rFonts w:eastAsia="Times New Roman" w:cs="Times New Roman"/>
          <w:szCs w:val="24"/>
          <w:lang w:val="fr-FR" w:eastAsia="en-GB"/>
        </w:rPr>
      </w:pPr>
      <w:r w:rsidRPr="00095948">
        <w:rPr>
          <w:rFonts w:eastAsia="Times New Roman" w:cs="Times New Roman"/>
          <w:szCs w:val="24"/>
          <w:lang w:val="fr-FR" w:eastAsia="en-GB"/>
        </w:rPr>
        <w:t xml:space="preserve">Što se tiče </w:t>
      </w:r>
      <w:r w:rsidRPr="00095948">
        <w:rPr>
          <w:rFonts w:eastAsia="Times New Roman" w:cs="Times New Roman"/>
          <w:b/>
          <w:szCs w:val="24"/>
          <w:lang w:val="fr-FR" w:eastAsia="en-GB"/>
        </w:rPr>
        <w:t>razvojne politike</w:t>
      </w:r>
      <w:r w:rsidRPr="00095948">
        <w:rPr>
          <w:rFonts w:eastAsia="Times New Roman" w:cs="Times New Roman"/>
          <w:szCs w:val="24"/>
          <w:lang w:val="fr-FR" w:eastAsia="en-GB"/>
        </w:rPr>
        <w:t xml:space="preserve"> i </w:t>
      </w:r>
      <w:r w:rsidRPr="00095948">
        <w:rPr>
          <w:rFonts w:eastAsia="Times New Roman" w:cs="Times New Roman"/>
          <w:b/>
          <w:szCs w:val="24"/>
          <w:lang w:val="fr-FR" w:eastAsia="en-GB"/>
        </w:rPr>
        <w:t>humanitarne pomoći</w:t>
      </w:r>
      <w:r w:rsidRPr="00095948">
        <w:rPr>
          <w:rFonts w:eastAsia="Times New Roman" w:cs="Times New Roman"/>
          <w:szCs w:val="24"/>
          <w:lang w:val="fr-FR" w:eastAsia="en-GB"/>
        </w:rPr>
        <w:t>, tek treba da se usvoj</w:t>
      </w:r>
      <w:r w:rsidR="00E273C7">
        <w:rPr>
          <w:rFonts w:eastAsia="Times New Roman" w:cs="Times New Roman"/>
          <w:szCs w:val="24"/>
          <w:lang w:val="fr-FR" w:eastAsia="en-GB"/>
        </w:rPr>
        <w:t xml:space="preserve">e podzakonski akti </w:t>
      </w:r>
      <w:r w:rsidRPr="00095948">
        <w:rPr>
          <w:rFonts w:eastAsia="Times New Roman" w:cs="Times New Roman"/>
          <w:szCs w:val="24"/>
          <w:lang w:val="fr-FR" w:eastAsia="en-GB"/>
        </w:rPr>
        <w:t xml:space="preserve">za Zakon o međunarodnoj razvojnoj saradnji i humanitarnoj pomoći. Baza podataka projekata koji su dobili podršku donatora tek treba da se izradi, uz primjenu metodologije Odbora za razvojnu pomoć OECD-a. </w:t>
      </w:r>
    </w:p>
    <w:p w:rsidR="00622A95" w:rsidRPr="00095948" w:rsidRDefault="00622A95" w:rsidP="00EC1790">
      <w:pPr>
        <w:spacing w:after="120" w:line="240" w:lineRule="auto"/>
        <w:jc w:val="both"/>
        <w:rPr>
          <w:rFonts w:eastAsia="Times New Roman" w:cs="Times New Roman"/>
          <w:szCs w:val="24"/>
          <w:lang w:val="fr-FR" w:eastAsia="en-GB"/>
        </w:rPr>
      </w:pPr>
      <w:r w:rsidRPr="00095948">
        <w:rPr>
          <w:rFonts w:eastAsia="Times New Roman" w:cs="Times New Roman"/>
          <w:szCs w:val="24"/>
          <w:lang w:val="fr-FR" w:eastAsia="en-GB"/>
        </w:rPr>
        <w:t>Crna Gora je nastavila s pripremama u ovom poglavlju u skladu sa svojim opštim Akcionim planom o vanjskim odnosima.</w:t>
      </w:r>
    </w:p>
    <w:p w:rsidR="00622A95" w:rsidRPr="009A2018" w:rsidRDefault="00622A95" w:rsidP="00EC1790">
      <w:pPr>
        <w:pStyle w:val="Heading2"/>
        <w:rPr>
          <w:rFonts w:eastAsia="Times New Roman"/>
        </w:rPr>
      </w:pPr>
      <w:bookmarkStart w:id="289" w:name="_Toc30073858"/>
      <w:bookmarkStart w:id="290" w:name="_Toc30074171"/>
      <w:bookmarkStart w:id="291" w:name="_Toc30080593"/>
      <w:bookmarkStart w:id="292" w:name="_Toc52744962"/>
      <w:bookmarkStart w:id="293" w:name="_Toc53362470"/>
      <w:r w:rsidRPr="009A2018">
        <w:rPr>
          <w:rFonts w:eastAsia="Times New Roman"/>
        </w:rPr>
        <w:t>5.31</w:t>
      </w:r>
      <w:r w:rsidRPr="009A2018">
        <w:rPr>
          <w:rFonts w:eastAsia="Times New Roman"/>
        </w:rPr>
        <w:tab/>
      </w:r>
      <w:bookmarkEnd w:id="289"/>
      <w:bookmarkEnd w:id="290"/>
      <w:bookmarkEnd w:id="291"/>
      <w:bookmarkEnd w:id="292"/>
      <w:r w:rsidRPr="009A2018">
        <w:rPr>
          <w:rFonts w:eastAsia="Times New Roman"/>
        </w:rPr>
        <w:t>Poglavlje 31: Vanjska, bezbjednosna i odbrambena politika</w:t>
      </w:r>
      <w:bookmarkEnd w:id="293"/>
    </w:p>
    <w:p w:rsidR="00622A95" w:rsidRPr="009A2018" w:rsidRDefault="00622A95" w:rsidP="00EC1790">
      <w:pPr>
        <w:autoSpaceDE w:val="0"/>
        <w:autoSpaceDN w:val="0"/>
        <w:adjustRightInd w:val="0"/>
        <w:spacing w:after="120" w:line="240" w:lineRule="auto"/>
        <w:jc w:val="both"/>
        <w:rPr>
          <w:rFonts w:eastAsia="Calibri" w:cs="Times New Roman"/>
          <w:i/>
          <w:iCs/>
          <w:color w:val="000000"/>
          <w:szCs w:val="24"/>
        </w:rPr>
      </w:pPr>
      <w:r w:rsidRPr="009A2018">
        <w:rPr>
          <w:rFonts w:eastAsia="Calibri" w:cs="Times New Roman"/>
          <w:i/>
          <w:iCs/>
          <w:color w:val="000000"/>
          <w:szCs w:val="24"/>
        </w:rPr>
        <w:t xml:space="preserve">Države članice moraju biti spremne da vode politički dijalog u okviru vanjske, bezbjednosne i odbrambene politike, da se usklade sa izjavama EU, učestvuju u </w:t>
      </w:r>
      <w:r w:rsidR="00E273C7">
        <w:rPr>
          <w:rFonts w:eastAsia="Calibri" w:cs="Times New Roman"/>
          <w:i/>
          <w:iCs/>
          <w:color w:val="000000"/>
          <w:szCs w:val="24"/>
        </w:rPr>
        <w:t>akcijama</w:t>
      </w:r>
      <w:r w:rsidR="00E273C7" w:rsidRPr="009A2018">
        <w:rPr>
          <w:rFonts w:eastAsia="Calibri" w:cs="Times New Roman"/>
          <w:i/>
          <w:iCs/>
          <w:color w:val="000000"/>
          <w:szCs w:val="24"/>
        </w:rPr>
        <w:t xml:space="preserve"> </w:t>
      </w:r>
      <w:r w:rsidRPr="009A2018">
        <w:rPr>
          <w:rFonts w:eastAsia="Calibri" w:cs="Times New Roman"/>
          <w:i/>
          <w:iCs/>
          <w:color w:val="000000"/>
          <w:szCs w:val="24"/>
        </w:rPr>
        <w:t>EU i da primjenjuju dogovorene restriktivne mjere i sankcije.</w:t>
      </w:r>
    </w:p>
    <w:p w:rsidR="00622A95" w:rsidRPr="00095948" w:rsidRDefault="00622A95" w:rsidP="00EC1790">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color w:val="000000"/>
          <w:szCs w:val="24"/>
          <w:lang w:val="fr-FR"/>
        </w:rPr>
      </w:pPr>
      <w:r w:rsidRPr="00095948">
        <w:rPr>
          <w:rFonts w:eastAsia="Calibri" w:cs="Times New Roman"/>
          <w:color w:val="000000"/>
          <w:szCs w:val="24"/>
          <w:lang w:val="fr-FR"/>
        </w:rPr>
        <w:t xml:space="preserve">Crna Gora je dostigla </w:t>
      </w:r>
      <w:r w:rsidRPr="00095948">
        <w:rPr>
          <w:rFonts w:eastAsia="Calibri" w:cs="Times New Roman"/>
          <w:b/>
          <w:color w:val="000000"/>
          <w:szCs w:val="24"/>
          <w:lang w:val="fr-FR"/>
        </w:rPr>
        <w:t>dobar nivo spremnosti</w:t>
      </w:r>
      <w:r w:rsidRPr="00095948">
        <w:rPr>
          <w:rFonts w:eastAsia="Calibri" w:cs="Times New Roman"/>
          <w:color w:val="000000"/>
          <w:szCs w:val="24"/>
          <w:lang w:val="fr-FR"/>
        </w:rPr>
        <w:t xml:space="preserve">u ovoj oblasti. Ostvaren je </w:t>
      </w:r>
      <w:r w:rsidRPr="00095948">
        <w:rPr>
          <w:rFonts w:eastAsia="Calibri" w:cs="Times New Roman"/>
          <w:b/>
          <w:color w:val="000000"/>
          <w:szCs w:val="24"/>
          <w:lang w:val="fr-FR"/>
        </w:rPr>
        <w:t>određeni napredak</w:t>
      </w:r>
      <w:r w:rsidRPr="00095948">
        <w:rPr>
          <w:rFonts w:eastAsia="Calibri" w:cs="Times New Roman"/>
          <w:color w:val="000000"/>
          <w:szCs w:val="24"/>
          <w:lang w:val="fr-FR"/>
        </w:rPr>
        <w:t xml:space="preserve"> u izvještajnom periodu putem jačanja zakonskog okvira za bezbjednost i odbranu, te borbu protiv hibridnih prijetnji. Crna Gora je nastavila da se u potpunosti usklađuje sa stavovima EU i da učestvuje u misijama za upravljanje kriznim situacijama EU i operacijama u sklopu zajedničke bezbjednosne i odbrambene politike. </w:t>
      </w:r>
    </w:p>
    <w:p w:rsidR="00622A95" w:rsidRPr="00095948" w:rsidRDefault="00622A95" w:rsidP="00EC1790">
      <w:pPr>
        <w:widowControl w:val="0"/>
        <w:spacing w:after="120" w:line="240" w:lineRule="auto"/>
        <w:jc w:val="both"/>
        <w:rPr>
          <w:rFonts w:eastAsia="Calibri" w:cs="Times New Roman"/>
          <w:noProof/>
          <w:color w:val="000000"/>
          <w:szCs w:val="24"/>
          <w:lang w:val="fr-FR"/>
        </w:rPr>
      </w:pPr>
      <w:r w:rsidRPr="00095948">
        <w:rPr>
          <w:rFonts w:eastAsia="Calibri" w:cs="Times New Roman"/>
          <w:noProof/>
          <w:color w:val="000000"/>
          <w:szCs w:val="24"/>
          <w:lang w:val="fr-FR"/>
        </w:rPr>
        <w:t xml:space="preserve">Redovan </w:t>
      </w:r>
      <w:r w:rsidRPr="00095948">
        <w:rPr>
          <w:rFonts w:eastAsia="Calibri" w:cs="Times New Roman"/>
          <w:b/>
          <w:noProof/>
          <w:color w:val="000000"/>
          <w:szCs w:val="24"/>
          <w:lang w:val="fr-FR"/>
        </w:rPr>
        <w:t>politički dijalog</w:t>
      </w:r>
      <w:r w:rsidRPr="00095948">
        <w:rPr>
          <w:rFonts w:eastAsia="Calibri" w:cs="Times New Roman"/>
          <w:noProof/>
          <w:color w:val="000000"/>
          <w:szCs w:val="24"/>
          <w:lang w:val="fr-FR"/>
        </w:rPr>
        <w:t xml:space="preserve"> između EU i Crne Gore o vanjskoj i bezbjednosnoj politici je nastavljen. (Više informacija o bilateralnim odnosima sa drugim zemljama u procesu proširenja i državama članicama EU može se naći u poglavlju</w:t>
      </w:r>
      <w:r w:rsidRPr="00095948">
        <w:rPr>
          <w:rFonts w:eastAsia="Calibri" w:cs="Times New Roman"/>
          <w:i/>
          <w:noProof/>
          <w:color w:val="000000"/>
          <w:szCs w:val="24"/>
          <w:lang w:val="fr-FR"/>
        </w:rPr>
        <w:t xml:space="preserve"> Regionalna pitanja i međunarodne obaveze</w:t>
      </w:r>
      <w:r w:rsidRPr="00095948">
        <w:rPr>
          <w:rFonts w:eastAsia="Calibri" w:cs="Times New Roman"/>
          <w:noProof/>
          <w:color w:val="000000"/>
          <w:szCs w:val="24"/>
          <w:lang w:val="fr-FR"/>
        </w:rPr>
        <w:t>).</w:t>
      </w:r>
    </w:p>
    <w:p w:rsidR="00622A95" w:rsidRPr="00095948" w:rsidRDefault="00622A95" w:rsidP="00EC1790">
      <w:pPr>
        <w:spacing w:after="120" w:line="240" w:lineRule="auto"/>
        <w:jc w:val="both"/>
        <w:rPr>
          <w:rFonts w:eastAsia="Calibri" w:cs="Times New Roman"/>
          <w:bCs/>
          <w:color w:val="000000"/>
          <w:szCs w:val="24"/>
          <w:shd w:val="clear" w:color="auto" w:fill="FFFFFF"/>
          <w:lang w:val="fr-FR" w:bidi="en-US"/>
        </w:rPr>
      </w:pPr>
      <w:r w:rsidRPr="00095948">
        <w:rPr>
          <w:rFonts w:eastAsia="Calibri" w:cs="Times New Roman"/>
          <w:bCs/>
          <w:color w:val="000000"/>
          <w:szCs w:val="24"/>
          <w:shd w:val="clear" w:color="auto" w:fill="FFFFFF"/>
          <w:lang w:val="fr-FR" w:bidi="en-US"/>
        </w:rPr>
        <w:t xml:space="preserve">U oblasti </w:t>
      </w:r>
      <w:r w:rsidRPr="00095948">
        <w:rPr>
          <w:rFonts w:eastAsia="Calibri" w:cs="Times New Roman"/>
          <w:b/>
          <w:bCs/>
          <w:color w:val="000000"/>
          <w:szCs w:val="24"/>
          <w:shd w:val="clear" w:color="auto" w:fill="FFFFFF"/>
          <w:lang w:val="fr-FR" w:bidi="en-US"/>
        </w:rPr>
        <w:t>zajedničke vanjske i bezbjednosne politike</w:t>
      </w:r>
      <w:r w:rsidRPr="00095948">
        <w:rPr>
          <w:rFonts w:eastAsia="Calibri" w:cs="Times New Roman"/>
          <w:bCs/>
          <w:color w:val="000000"/>
          <w:szCs w:val="24"/>
          <w:shd w:val="clear" w:color="auto" w:fill="FFFFFF"/>
          <w:lang w:val="fr-FR" w:bidi="en-US"/>
        </w:rPr>
        <w:t xml:space="preserve">, Crna Gora je nastavila da se 100% usaglašava sa svim relevantnim deklaracijama visokih zvaničnika EU i odlukama Savjeta. Skupština je u decembru usvojila izmjene i dopune Zakona o međunarodnim restriktivnim mjerama, kojima je odgovornost za sprečavanje pranja novca i finansiranja terorizma povjerena Upravi policije. U martu 2020, Vlada je donijela izmjenu </w:t>
      </w:r>
      <w:r w:rsidR="00E273C7">
        <w:rPr>
          <w:rFonts w:eastAsia="Calibri" w:cs="Times New Roman"/>
          <w:bCs/>
          <w:color w:val="000000"/>
          <w:szCs w:val="24"/>
          <w:shd w:val="clear" w:color="auto" w:fill="FFFFFF"/>
          <w:lang w:val="fr-FR" w:bidi="en-US"/>
        </w:rPr>
        <w:t>O</w:t>
      </w:r>
      <w:r w:rsidRPr="00095948">
        <w:rPr>
          <w:rFonts w:eastAsia="Calibri" w:cs="Times New Roman"/>
          <w:bCs/>
          <w:color w:val="000000"/>
          <w:szCs w:val="24"/>
          <w:shd w:val="clear" w:color="auto" w:fill="FFFFFF"/>
          <w:lang w:val="fr-FR" w:bidi="en-US"/>
        </w:rPr>
        <w:t>dluke koja se tiče suvereniteta i nezavisnosti Ukrajine (koja sadrži konsolidovani spisak fizičkih i pravnih lica protiv kojih su izrečene restriktivne mjere).</w:t>
      </w:r>
    </w:p>
    <w:p w:rsidR="00622A95" w:rsidRPr="00095948" w:rsidRDefault="00622A95" w:rsidP="00EC1790">
      <w:pPr>
        <w:widowControl w:val="0"/>
        <w:spacing w:after="120" w:line="240" w:lineRule="auto"/>
        <w:jc w:val="both"/>
        <w:rPr>
          <w:rFonts w:eastAsia="Calibri" w:cs="Times New Roman"/>
          <w:bCs/>
          <w:color w:val="000000"/>
          <w:szCs w:val="24"/>
          <w:shd w:val="clear" w:color="auto" w:fill="FFFFFF"/>
          <w:lang w:val="fr-FR" w:bidi="en-US"/>
        </w:rPr>
      </w:pPr>
      <w:r w:rsidRPr="00095948">
        <w:rPr>
          <w:rFonts w:eastAsia="Calibri" w:cs="Times New Roman"/>
          <w:bCs/>
          <w:color w:val="000000"/>
          <w:szCs w:val="24"/>
          <w:shd w:val="clear" w:color="auto" w:fill="FFFFFF"/>
          <w:lang w:val="fr-FR" w:bidi="en-US"/>
        </w:rPr>
        <w:t xml:space="preserve">Crna Gora i dalje održava bilateralni sporazum o imunitetu sa Sjedinjenim Američkim Državama, kojim se daje izuzeće za državljane SAD od jurisdikcije </w:t>
      </w:r>
      <w:r w:rsidRPr="00095948">
        <w:rPr>
          <w:rFonts w:eastAsia="Calibri" w:cs="Times New Roman"/>
          <w:b/>
          <w:bCs/>
          <w:color w:val="000000"/>
          <w:szCs w:val="24"/>
          <w:shd w:val="clear" w:color="auto" w:fill="FFFFFF"/>
          <w:lang w:val="fr-FR" w:bidi="en-US"/>
        </w:rPr>
        <w:t>Međunarodnog krivičnog suda</w:t>
      </w:r>
      <w:r w:rsidRPr="00095948">
        <w:rPr>
          <w:rFonts w:eastAsia="Calibri" w:cs="Times New Roman"/>
          <w:bCs/>
          <w:color w:val="000000"/>
          <w:szCs w:val="24"/>
          <w:shd w:val="clear" w:color="auto" w:fill="FFFFFF"/>
          <w:lang w:val="fr-FR" w:bidi="en-US"/>
        </w:rPr>
        <w:t xml:space="preserve">. Na taj način, zemlja nije usklađena sa zajedničkim stavovima EU o integritetu Rimskog statuta ili s povezanim vodećim principima EU o bilateralnim sporazumima o imunitetu. </w:t>
      </w:r>
      <w:r w:rsidR="00F95800" w:rsidRPr="00095948">
        <w:rPr>
          <w:rFonts w:eastAsia="Calibri" w:cs="Times New Roman"/>
          <w:bCs/>
          <w:color w:val="000000"/>
          <w:szCs w:val="24"/>
          <w:shd w:val="clear" w:color="auto" w:fill="FFFFFF"/>
          <w:lang w:val="fr-FR" w:bidi="en-US"/>
        </w:rPr>
        <w:t>Stoga je potrebna usklađenost s</w:t>
      </w:r>
      <w:r w:rsidRPr="00095948">
        <w:rPr>
          <w:rFonts w:eastAsia="Calibri" w:cs="Times New Roman"/>
          <w:bCs/>
          <w:color w:val="000000"/>
          <w:szCs w:val="24"/>
          <w:shd w:val="clear" w:color="auto" w:fill="FFFFFF"/>
          <w:lang w:val="fr-FR" w:bidi="en-US"/>
        </w:rPr>
        <w:t xml:space="preserve"> pozicijom EU.</w:t>
      </w:r>
    </w:p>
    <w:p w:rsidR="00622A95" w:rsidRPr="00095948" w:rsidRDefault="00622A95" w:rsidP="00EC1790">
      <w:pPr>
        <w:widowControl w:val="0"/>
        <w:spacing w:after="120" w:line="240" w:lineRule="auto"/>
        <w:jc w:val="both"/>
        <w:rPr>
          <w:rFonts w:eastAsia="Calibri" w:cs="Times New Roman"/>
          <w:bCs/>
          <w:color w:val="000000"/>
          <w:szCs w:val="24"/>
          <w:shd w:val="clear" w:color="auto" w:fill="FFFFFF"/>
          <w:lang w:val="fr-FR" w:bidi="en-US"/>
        </w:rPr>
      </w:pPr>
      <w:r w:rsidRPr="00095948">
        <w:rPr>
          <w:rFonts w:eastAsia="Calibri" w:cs="Times New Roman"/>
          <w:bCs/>
          <w:color w:val="000000"/>
          <w:szCs w:val="24"/>
          <w:shd w:val="clear" w:color="auto" w:fill="FFFFFF"/>
          <w:lang w:val="fr-FR" w:bidi="en-US"/>
        </w:rPr>
        <w:t xml:space="preserve">Što se tiče </w:t>
      </w:r>
      <w:r w:rsidRPr="00095948">
        <w:rPr>
          <w:rFonts w:eastAsia="Calibri" w:cs="Times New Roman"/>
          <w:b/>
          <w:bCs/>
          <w:color w:val="000000"/>
          <w:szCs w:val="24"/>
          <w:shd w:val="clear" w:color="auto" w:fill="FFFFFF"/>
          <w:lang w:val="fr-FR" w:bidi="en-US"/>
        </w:rPr>
        <w:t>neproliferacije</w:t>
      </w:r>
      <w:r w:rsidR="00E273C7">
        <w:rPr>
          <w:rFonts w:eastAsia="Calibri" w:cs="Times New Roman"/>
          <w:b/>
          <w:bCs/>
          <w:color w:val="000000"/>
          <w:szCs w:val="24"/>
          <w:shd w:val="clear" w:color="auto" w:fill="FFFFFF"/>
          <w:lang w:val="fr-FR" w:bidi="en-US"/>
        </w:rPr>
        <w:t xml:space="preserve"> oružja</w:t>
      </w:r>
      <w:r w:rsidRPr="00095948">
        <w:rPr>
          <w:rFonts w:eastAsia="Calibri" w:cs="Times New Roman"/>
          <w:bCs/>
          <w:color w:val="000000"/>
          <w:szCs w:val="24"/>
          <w:shd w:val="clear" w:color="auto" w:fill="FFFFFF"/>
          <w:lang w:val="fr-FR" w:bidi="en-US"/>
        </w:rPr>
        <w:t>, Vlada je 2018. usvojila godišnji izvještaj o implementaciji Strategije za neproliferaciju oružja za masovno uništenje 2016-2020. Priprema se novi Akcioni plan (2020-2024) za implementaciju Rezolucije Savjeta bezbjednosti UN 1540 koja obavezuje države da se uzdrže od pružanja pomoći nedržavnim akterima da razvijaju, nabavljaju, proizvode, posjeduju, transportuju ili koriste nuklearno, hemijsko ili biološko oružje i sredstva za njegovu isporuku. Crna Gora je nastavila učešće u programu saradnje EU u oblasti kontrole izvoza oružja. Ovo uključuje podršku za izradu odgovarajućeg zakonodavstva i relevantnu obuku službenika za licenciranje i sprovođenje zakona.</w:t>
      </w:r>
    </w:p>
    <w:p w:rsidR="00622A95" w:rsidRPr="00095948" w:rsidRDefault="00622A95" w:rsidP="00EC1790">
      <w:pPr>
        <w:widowControl w:val="0"/>
        <w:spacing w:after="120" w:line="240" w:lineRule="auto"/>
        <w:jc w:val="both"/>
        <w:rPr>
          <w:rFonts w:eastAsia="Calibri" w:cs="Times New Roman"/>
          <w:bCs/>
          <w:color w:val="000000"/>
          <w:szCs w:val="24"/>
          <w:shd w:val="clear" w:color="auto" w:fill="FFFFFF"/>
          <w:lang w:val="fr-FR" w:bidi="en-US"/>
        </w:rPr>
      </w:pPr>
      <w:r w:rsidRPr="00095948">
        <w:rPr>
          <w:rFonts w:eastAsia="Calibri" w:cs="Times New Roman"/>
          <w:bCs/>
          <w:color w:val="000000"/>
          <w:szCs w:val="24"/>
          <w:shd w:val="clear" w:color="auto" w:fill="FFFFFF"/>
          <w:lang w:val="fr-FR" w:bidi="en-US"/>
        </w:rPr>
        <w:t xml:space="preserve">Crna Gora je nastavila aktivan angažman u primjeni Regionalne mape puta za održivo rješenje za suzbijanje nedozvoljenog posjedovanja, zloupotrebe i trgovine </w:t>
      </w:r>
      <w:r w:rsidR="00E273C7">
        <w:rPr>
          <w:rFonts w:eastAsia="Calibri" w:cs="Times New Roman"/>
          <w:bCs/>
          <w:color w:val="000000"/>
          <w:szCs w:val="24"/>
          <w:shd w:val="clear" w:color="auto" w:fill="FFFFFF"/>
          <w:lang w:val="fr-FR" w:bidi="en-US"/>
        </w:rPr>
        <w:t xml:space="preserve">niskokalibarskim </w:t>
      </w:r>
      <w:r w:rsidRPr="00095948">
        <w:rPr>
          <w:rFonts w:eastAsia="Calibri" w:cs="Times New Roman"/>
          <w:bCs/>
          <w:color w:val="000000"/>
          <w:szCs w:val="24"/>
          <w:shd w:val="clear" w:color="auto" w:fill="FFFFFF"/>
          <w:lang w:val="fr-FR" w:bidi="en-US"/>
        </w:rPr>
        <w:t>i lakim naoružanjem na Zapadnom Balkanu za 2018. godinu.</w:t>
      </w:r>
    </w:p>
    <w:p w:rsidR="00622A95" w:rsidRPr="00095948" w:rsidRDefault="00622A95" w:rsidP="00EC1790">
      <w:pPr>
        <w:widowControl w:val="0"/>
        <w:spacing w:after="120" w:line="240" w:lineRule="auto"/>
        <w:jc w:val="both"/>
        <w:rPr>
          <w:rFonts w:cs="Times New Roman"/>
          <w:szCs w:val="24"/>
          <w:lang w:val="fr-FR"/>
        </w:rPr>
      </w:pPr>
      <w:r w:rsidRPr="00095948">
        <w:rPr>
          <w:rFonts w:cs="Times New Roman"/>
          <w:szCs w:val="24"/>
          <w:lang w:val="fr-FR"/>
        </w:rPr>
        <w:t xml:space="preserve">U oblasti </w:t>
      </w:r>
      <w:r w:rsidRPr="00095948">
        <w:rPr>
          <w:rFonts w:cs="Times New Roman"/>
          <w:b/>
          <w:szCs w:val="24"/>
          <w:lang w:val="fr-FR"/>
        </w:rPr>
        <w:t>bezbjednosti i odbrane</w:t>
      </w:r>
      <w:r w:rsidRPr="00095948">
        <w:rPr>
          <w:rFonts w:cs="Times New Roman"/>
          <w:szCs w:val="24"/>
          <w:lang w:val="fr-FR"/>
        </w:rPr>
        <w:t xml:space="preserve">, nastavljena je primjena sporazuma između EU i Crne Gore o bezbjednosnim procedurama za razmjenu i zaštitupovjerljivih informacija. Skupština je u junu 2019. usvojila Strategiju odbrane, koja daje okvir za razvoj odbrambenog sektora. </w:t>
      </w:r>
    </w:p>
    <w:p w:rsidR="00622A95" w:rsidRPr="00095948" w:rsidRDefault="00622A95" w:rsidP="00EC1790">
      <w:pPr>
        <w:widowControl w:val="0"/>
        <w:spacing w:after="120" w:line="240" w:lineRule="auto"/>
        <w:jc w:val="both"/>
        <w:rPr>
          <w:rFonts w:eastAsia="Calibri" w:cs="Times New Roman"/>
          <w:bCs/>
          <w:noProof/>
          <w:color w:val="000000"/>
          <w:szCs w:val="24"/>
          <w:shd w:val="clear" w:color="auto" w:fill="FFFFFF"/>
          <w:lang w:val="fr-FR" w:bidi="en-US"/>
        </w:rPr>
      </w:pPr>
      <w:r w:rsidRPr="00095948">
        <w:rPr>
          <w:rFonts w:eastAsia="Calibri" w:cs="Times New Roman"/>
          <w:bCs/>
          <w:noProof/>
          <w:color w:val="000000"/>
          <w:szCs w:val="24"/>
          <w:shd w:val="clear" w:color="auto" w:fill="FFFFFF"/>
          <w:lang w:val="fr-FR" w:bidi="en-US"/>
        </w:rPr>
        <w:t xml:space="preserve">Crna Gora je nastavila dobru </w:t>
      </w:r>
      <w:r w:rsidRPr="00095948">
        <w:rPr>
          <w:rFonts w:eastAsia="Calibri" w:cs="Times New Roman"/>
          <w:b/>
          <w:bCs/>
          <w:noProof/>
          <w:color w:val="000000"/>
          <w:szCs w:val="24"/>
          <w:shd w:val="clear" w:color="auto" w:fill="FFFFFF"/>
          <w:lang w:val="fr-FR" w:bidi="en-US"/>
        </w:rPr>
        <w:t>saradnju s međunarodnim organizacijama</w:t>
      </w:r>
      <w:r w:rsidRPr="00095948">
        <w:rPr>
          <w:rFonts w:eastAsia="Calibri" w:cs="Times New Roman"/>
          <w:bCs/>
          <w:noProof/>
          <w:color w:val="000000"/>
          <w:szCs w:val="24"/>
          <w:shd w:val="clear" w:color="auto" w:fill="FFFFFF"/>
          <w:lang w:val="fr-FR" w:bidi="en-US"/>
        </w:rPr>
        <w:t xml:space="preserve"> i ostaje aktivna učesnica u vježbama i misijama NATO.</w:t>
      </w:r>
    </w:p>
    <w:p w:rsidR="00622A95" w:rsidRPr="00095948" w:rsidRDefault="00622A95" w:rsidP="00EC1790">
      <w:pPr>
        <w:widowControl w:val="0"/>
        <w:spacing w:after="120" w:line="240" w:lineRule="auto"/>
        <w:jc w:val="both"/>
        <w:rPr>
          <w:rFonts w:eastAsia="Calibri" w:cs="Times New Roman"/>
          <w:bCs/>
          <w:color w:val="000000"/>
          <w:szCs w:val="24"/>
          <w:shd w:val="clear" w:color="auto" w:fill="FFFFFF"/>
          <w:lang w:val="fr-FR" w:bidi="en-US"/>
        </w:rPr>
      </w:pPr>
      <w:r w:rsidRPr="00095948">
        <w:rPr>
          <w:rFonts w:eastAsia="Calibri" w:cs="Times New Roman"/>
          <w:bCs/>
          <w:color w:val="000000"/>
          <w:szCs w:val="24"/>
          <w:shd w:val="clear" w:color="auto" w:fill="FFFFFF"/>
          <w:lang w:val="fr-FR" w:bidi="en-US"/>
        </w:rPr>
        <w:t xml:space="preserve">Crna Gora je aktivno učestvovala u misijama i operacijamaEU za upravljanje kriznim situacijama u okviru </w:t>
      </w:r>
      <w:r w:rsidRPr="00095948">
        <w:rPr>
          <w:rFonts w:eastAsia="Calibri" w:cs="Times New Roman"/>
          <w:b/>
          <w:bCs/>
          <w:color w:val="000000"/>
          <w:szCs w:val="24"/>
          <w:shd w:val="clear" w:color="auto" w:fill="FFFFFF"/>
          <w:lang w:val="fr-FR" w:bidi="en-US"/>
        </w:rPr>
        <w:t>zajedničke bezbjednosne i odbrambene politike</w:t>
      </w:r>
      <w:r w:rsidRPr="00095948">
        <w:rPr>
          <w:rFonts w:eastAsia="Calibri" w:cs="Times New Roman"/>
          <w:bCs/>
          <w:color w:val="000000"/>
          <w:szCs w:val="24"/>
          <w:shd w:val="clear" w:color="auto" w:fill="FFFFFF"/>
          <w:lang w:val="fr-FR" w:bidi="en-US"/>
        </w:rPr>
        <w:t>, odnosno u EU NAVFOR Atalantai EUTM Mali. Crna Gora je nastavila učešće u operaciji UNMINURSO i u mirovnoj misiji UN na Kipru. Pripadnici Vojske Crne Gore nastavili su da služe u misiji „Odlučna podrška“ pod vođstvom NATO u Avganistanu i u misiji KFOR na Kosovu, dok su u decembru dva pripadnika oružanih snaga upućena u NATO misiju u Iraku.</w:t>
      </w:r>
    </w:p>
    <w:p w:rsidR="00622A95" w:rsidRPr="00095948" w:rsidRDefault="00622A95" w:rsidP="00EC1790">
      <w:pPr>
        <w:spacing w:after="120" w:line="240" w:lineRule="auto"/>
        <w:jc w:val="both"/>
        <w:rPr>
          <w:rFonts w:eastAsia="Calibri" w:cs="Times New Roman"/>
          <w:bCs/>
          <w:color w:val="000000"/>
          <w:szCs w:val="24"/>
          <w:shd w:val="clear" w:color="auto" w:fill="FFFFFF"/>
          <w:lang w:val="fr-FR" w:bidi="en-US"/>
        </w:rPr>
      </w:pPr>
      <w:bookmarkStart w:id="294" w:name="_Toc30080594"/>
      <w:bookmarkStart w:id="295" w:name="_Toc30074172"/>
      <w:bookmarkStart w:id="296" w:name="_Toc30073859"/>
      <w:bookmarkStart w:id="297" w:name="_Toc9585327"/>
      <w:r w:rsidRPr="00095948">
        <w:rPr>
          <w:rFonts w:eastAsia="Calibri" w:cs="Times New Roman"/>
          <w:bCs/>
          <w:color w:val="000000"/>
          <w:szCs w:val="24"/>
          <w:shd w:val="clear" w:color="auto" w:fill="FFFFFF"/>
          <w:lang w:val="fr-FR" w:bidi="en-US"/>
        </w:rPr>
        <w:t xml:space="preserve">Crna Gora je pojačala napore u borbi protiv </w:t>
      </w:r>
      <w:r w:rsidRPr="00095948">
        <w:rPr>
          <w:rFonts w:eastAsia="Calibri" w:cs="Times New Roman"/>
          <w:b/>
          <w:bCs/>
          <w:color w:val="000000"/>
          <w:szCs w:val="24"/>
          <w:shd w:val="clear" w:color="auto" w:fill="FFFFFF"/>
          <w:lang w:val="fr-FR" w:bidi="en-US"/>
        </w:rPr>
        <w:t>hibridnih prijetnji</w:t>
      </w:r>
      <w:r w:rsidRPr="00095948">
        <w:rPr>
          <w:rFonts w:eastAsia="Calibri" w:cs="Times New Roman"/>
          <w:bCs/>
          <w:color w:val="000000"/>
          <w:szCs w:val="24"/>
          <w:shd w:val="clear" w:color="auto" w:fill="FFFFFF"/>
          <w:lang w:val="fr-FR" w:bidi="en-US"/>
        </w:rPr>
        <w:t>. Istraživanje o hibridnim rizicima pokrenuto je u Crnoj Gori i zemlja je dostavila inpute u junu 2019. u sklopu procesa koji za cilj ima prepoznavanje osjetljivosti na hibridne prijetnje. Crna Gora je u maju 2019. postala članica Evropskog centra izvrsnosti za s</w:t>
      </w:r>
      <w:r w:rsidR="00E273C7">
        <w:rPr>
          <w:rFonts w:eastAsia="Calibri" w:cs="Times New Roman"/>
          <w:bCs/>
          <w:color w:val="000000"/>
          <w:szCs w:val="24"/>
          <w:shd w:val="clear" w:color="auto" w:fill="FFFFFF"/>
          <w:lang w:val="fr-FR" w:bidi="en-US"/>
        </w:rPr>
        <w:t>uzbijanje</w:t>
      </w:r>
      <w:r w:rsidRPr="00095948">
        <w:rPr>
          <w:rFonts w:eastAsia="Calibri" w:cs="Times New Roman"/>
          <w:bCs/>
          <w:color w:val="000000"/>
          <w:szCs w:val="24"/>
          <w:shd w:val="clear" w:color="auto" w:fill="FFFFFF"/>
          <w:lang w:val="fr-FR" w:bidi="en-US"/>
        </w:rPr>
        <w:t xml:space="preserve"> hibridnim prijetnjama (Hybrid CoE). U avgustu 2019. godine, aplicirala je za priključivanje NATO Centru izvrsnosti za kooperativnu sajber odbranu uTalinu.</w:t>
      </w:r>
    </w:p>
    <w:p w:rsidR="00622A95" w:rsidRPr="00095948" w:rsidRDefault="00622A95" w:rsidP="00EC1790">
      <w:pPr>
        <w:pStyle w:val="Heading2"/>
        <w:rPr>
          <w:rFonts w:eastAsia="Times New Roman"/>
          <w:lang w:val="fr-FR"/>
        </w:rPr>
      </w:pPr>
      <w:bookmarkStart w:id="298" w:name="_Toc52744963"/>
      <w:bookmarkStart w:id="299" w:name="_Toc53362471"/>
      <w:r w:rsidRPr="00095948">
        <w:rPr>
          <w:rFonts w:eastAsia="Times New Roman"/>
          <w:lang w:val="fr-FR"/>
        </w:rPr>
        <w:t>5.32</w:t>
      </w:r>
      <w:r w:rsidRPr="00095948">
        <w:rPr>
          <w:rFonts w:eastAsia="Times New Roman"/>
          <w:lang w:val="fr-FR"/>
        </w:rPr>
        <w:tab/>
      </w:r>
      <w:bookmarkEnd w:id="294"/>
      <w:bookmarkEnd w:id="295"/>
      <w:bookmarkEnd w:id="296"/>
      <w:bookmarkEnd w:id="297"/>
      <w:bookmarkEnd w:id="298"/>
      <w:r w:rsidRPr="00095948">
        <w:rPr>
          <w:rFonts w:eastAsia="Times New Roman"/>
          <w:lang w:val="fr-FR"/>
        </w:rPr>
        <w:t>Poglavlje 32: Finansijsk</w:t>
      </w:r>
      <w:r w:rsidR="00D83E53">
        <w:rPr>
          <w:rFonts w:eastAsia="Times New Roman"/>
          <w:lang w:val="fr-FR"/>
        </w:rPr>
        <w:t>i nadzor</w:t>
      </w:r>
      <w:bookmarkEnd w:id="299"/>
    </w:p>
    <w:p w:rsidR="00622A95" w:rsidRPr="00095948" w:rsidRDefault="00622A95" w:rsidP="00EC1790">
      <w:pPr>
        <w:spacing w:after="120" w:line="240" w:lineRule="auto"/>
        <w:jc w:val="both"/>
        <w:rPr>
          <w:rFonts w:eastAsia="Calibri" w:cs="Times New Roman"/>
          <w:i/>
          <w:color w:val="000000"/>
          <w:szCs w:val="24"/>
          <w:lang w:val="fr-FR"/>
        </w:rPr>
      </w:pPr>
      <w:r w:rsidRPr="00095948">
        <w:rPr>
          <w:rFonts w:eastAsia="Calibri" w:cs="Times New Roman"/>
          <w:i/>
          <w:color w:val="000000"/>
          <w:szCs w:val="24"/>
          <w:lang w:val="fr-FR"/>
        </w:rPr>
        <w:t>EU promoviše reformu nacionalnih sistema upravljanja u cilju povećanja odgovornosti rukovodilaca, pravilnog finansijskog upravljanja prihodima i rashodima, kao i eksterne revizije javnih finansija. Pravila finansijske kontrole takođe štite finansijske interese EU od prevara u upravljanju sredstvima EU i euro od falsifikovanja.</w:t>
      </w:r>
    </w:p>
    <w:p w:rsidR="00622A95" w:rsidRPr="009A2018" w:rsidRDefault="00622A95" w:rsidP="00EC1790">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color w:val="000000"/>
          <w:szCs w:val="24"/>
        </w:rPr>
      </w:pPr>
      <w:r w:rsidRPr="009A2018">
        <w:rPr>
          <w:rFonts w:eastAsia="Calibri" w:cs="Times New Roman"/>
          <w:color w:val="000000"/>
          <w:szCs w:val="24"/>
        </w:rPr>
        <w:t xml:space="preserve">Crna Gora je </w:t>
      </w:r>
      <w:r w:rsidRPr="009A2018">
        <w:rPr>
          <w:rFonts w:eastAsia="Calibri" w:cs="Times New Roman"/>
          <w:b/>
          <w:color w:val="000000"/>
          <w:szCs w:val="24"/>
        </w:rPr>
        <w:t>umjereno spremna</w:t>
      </w:r>
      <w:r w:rsidRPr="009A2018">
        <w:rPr>
          <w:rFonts w:eastAsia="Calibri" w:cs="Times New Roman"/>
          <w:color w:val="000000"/>
          <w:szCs w:val="24"/>
        </w:rPr>
        <w:t xml:space="preserve"> u oblasti finansijske kontrole. Postignut je </w:t>
      </w:r>
      <w:r w:rsidRPr="009A2018">
        <w:rPr>
          <w:rFonts w:eastAsia="Calibri" w:cs="Times New Roman"/>
          <w:b/>
          <w:color w:val="000000"/>
          <w:szCs w:val="24"/>
        </w:rPr>
        <w:t>ograničeni napredak</w:t>
      </w:r>
      <w:r w:rsidR="00F95800">
        <w:rPr>
          <w:rFonts w:eastAsia="Calibri" w:cs="Times New Roman"/>
          <w:b/>
          <w:color w:val="000000"/>
          <w:szCs w:val="24"/>
        </w:rPr>
        <w:t xml:space="preserve"> </w:t>
      </w:r>
      <w:r w:rsidRPr="009A2018">
        <w:rPr>
          <w:rFonts w:eastAsia="Calibri" w:cs="Times New Roman"/>
          <w:color w:val="000000"/>
          <w:szCs w:val="24"/>
        </w:rPr>
        <w:t>u izvještajnom periodu što se tiče prošlogodišnjih preporuka. Bilo je korisnih pomaka u pogledu unutrašnje kontrole, putem usvajanja deset podzakonskih akata u vezi sa Zakonom o upravljanju i unutrašnjim kontrolama i donošenja Priručnika za finansijsko upravljanje i unutrašnje kontrole. DRI je nastavila rad na svojim internim smjernicama. Ipak, potrebni su dalji napori za rješavanje pitanja odgovornosti rukovodilaca i jačanje funkcionisanja unutrašnje kontrole i interne revizijena svim nivoima uprave i u državnim preduzećima. Stoga preporuke Komisije iz 2019. godine u velikoj mjeri ostaju važeće. U narednoj godini Crna Gora naročito treba da:</w:t>
      </w:r>
    </w:p>
    <w:p w:rsidR="00622A95" w:rsidRPr="009A2018" w:rsidRDefault="00622A95" w:rsidP="00EC1790">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usvoji i započne sprovođenje strategije za unapređenje sistema upravljanja i unutrašnje finansijske kontrole u javnom sektoru;</w:t>
      </w:r>
    </w:p>
    <w:p w:rsidR="00622A95" w:rsidRPr="009A2018" w:rsidRDefault="00622A95" w:rsidP="00F95800">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obezbijedi da je metodologija eksterne re</w:t>
      </w:r>
      <w:r w:rsidR="00F95800">
        <w:rPr>
          <w:rFonts w:ascii="Times New Roman" w:eastAsia="Calibri" w:hAnsi="Times New Roman" w:cs="Times New Roman"/>
          <w:color w:val="000000"/>
          <w:sz w:val="24"/>
          <w:szCs w:val="24"/>
        </w:rPr>
        <w:t>vizije u potpunosti usklađena s</w:t>
      </w:r>
      <w:r w:rsidRPr="009A2018">
        <w:rPr>
          <w:rFonts w:ascii="Times New Roman" w:eastAsia="Calibri" w:hAnsi="Times New Roman" w:cs="Times New Roman"/>
          <w:color w:val="000000"/>
          <w:sz w:val="24"/>
          <w:szCs w:val="24"/>
        </w:rPr>
        <w:t xml:space="preserve"> najnovijim Međunarodnim standardima vrhovnih revizorskih institucija (ISSAI);</w:t>
      </w:r>
    </w:p>
    <w:p w:rsidR="00622A95" w:rsidRPr="009A2018" w:rsidRDefault="00622A95" w:rsidP="00EC1790">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 xml:space="preserve">ojača koordinacione kapacitete </w:t>
      </w:r>
      <w:r w:rsidR="006620CB">
        <w:rPr>
          <w:rFonts w:ascii="Times New Roman" w:eastAsia="Calibri" w:hAnsi="Times New Roman" w:cs="Times New Roman"/>
          <w:color w:val="000000"/>
          <w:sz w:val="24"/>
          <w:szCs w:val="24"/>
        </w:rPr>
        <w:t>Kancelarije</w:t>
      </w:r>
      <w:r w:rsidRPr="009A2018">
        <w:rPr>
          <w:rFonts w:ascii="Times New Roman" w:eastAsia="Calibri" w:hAnsi="Times New Roman" w:cs="Times New Roman"/>
          <w:color w:val="000000"/>
          <w:sz w:val="24"/>
          <w:szCs w:val="24"/>
        </w:rPr>
        <w:t xml:space="preserve"> za borbu protiv prevara.</w:t>
      </w:r>
    </w:p>
    <w:p w:rsidR="00622A95" w:rsidRPr="009A2018" w:rsidRDefault="00622A95" w:rsidP="00EC1790">
      <w:pPr>
        <w:spacing w:after="120" w:line="240" w:lineRule="auto"/>
        <w:jc w:val="both"/>
        <w:rPr>
          <w:rFonts w:eastAsia="Calibri" w:cs="Times New Roman"/>
          <w:b/>
          <w:szCs w:val="24"/>
        </w:rPr>
      </w:pPr>
      <w:r w:rsidRPr="009A2018">
        <w:rPr>
          <w:rFonts w:eastAsia="Calibri" w:cs="Times New Roman"/>
          <w:szCs w:val="24"/>
          <w:u w:val="single"/>
        </w:rPr>
        <w:t>Unutrašnja finansijska kontrola u javnom sektoru</w:t>
      </w:r>
      <w:r w:rsidR="00F95800">
        <w:rPr>
          <w:rFonts w:eastAsia="Calibri" w:cs="Times New Roman"/>
          <w:szCs w:val="24"/>
          <w:u w:val="single"/>
        </w:rPr>
        <w:t xml:space="preserve"> </w:t>
      </w:r>
      <w:r w:rsidRPr="009A2018">
        <w:rPr>
          <w:rFonts w:eastAsia="Calibri" w:cs="Times New Roman"/>
          <w:szCs w:val="24"/>
        </w:rPr>
        <w:t>(PIFC)</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b/>
          <w:szCs w:val="24"/>
        </w:rPr>
        <w:t>Strateški okvir</w:t>
      </w:r>
      <w:r w:rsidRPr="009A2018">
        <w:rPr>
          <w:rFonts w:eastAsia="Calibri" w:cs="Times New Roman"/>
          <w:szCs w:val="24"/>
        </w:rPr>
        <w:t xml:space="preserve"> Crne Gore za PIFC djelimično je uspostavljen. Nakon izvršenja većine aktivnosti planiranih prema Strategiji za PIFC 2013-2017, potrebno je obezbijediti finalizaciju novog strateškog dokumenta što je prije moguće. Sekundarno zakonodavstvo u vezi sa Zakonom o upravljanju i unutrašnjim kontrolama usvojeno je u decembru 2019, čime je omogućena primjena zakonskih odredaba usvojenih još u novembru 2018. Pored toga, u novembru 2019. usvojeno je sekundarno zakonodavstvo koje osigurava punu pokrivenost budžeta funkcijom unutrašnje revizije kako na centralnom tako i na lokalnom nivou.</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szCs w:val="24"/>
        </w:rPr>
        <w:t xml:space="preserve">Crna Gora još nije usvojila sveobuhvatnu politiku koja bi se fokusirala na </w:t>
      </w:r>
      <w:r w:rsidRPr="009A2018">
        <w:rPr>
          <w:rFonts w:eastAsia="Calibri" w:cs="Times New Roman"/>
          <w:b/>
          <w:szCs w:val="24"/>
        </w:rPr>
        <w:t xml:space="preserve">odgovornost rukovodilaca </w:t>
      </w:r>
      <w:r w:rsidRPr="009A2018">
        <w:rPr>
          <w:rFonts w:eastAsia="Calibri" w:cs="Times New Roman"/>
          <w:szCs w:val="24"/>
        </w:rPr>
        <w:t xml:space="preserve">i delegiranje ovlašćenja. Mehanizmi odgovornosti između ministarstava i njima podređenih organa unaprijeđeni su Zakonom o državnoj upravi, kao i uredbom i metodologijom za strateško planiranje, čija je fazna primjena počela tokom 2019. U skladu sa prvim Programom rada Vlade (2018-2020), od svakog javnog subjekta očekuje se da razradi organizacione ciljeve usklađene sa ukupnom vizijom Vlade. Državni budžet još nije </w:t>
      </w:r>
      <w:r w:rsidR="00F95800">
        <w:rPr>
          <w:rFonts w:eastAsia="Calibri" w:cs="Times New Roman"/>
          <w:szCs w:val="24"/>
        </w:rPr>
        <w:t>pripremljen u skladu s</w:t>
      </w:r>
      <w:r w:rsidRPr="009A2018">
        <w:rPr>
          <w:rFonts w:eastAsia="Calibri" w:cs="Times New Roman"/>
          <w:szCs w:val="24"/>
        </w:rPr>
        <w:t xml:space="preserve"> programskim budžetiranjem i srednjeročnim budžetskim okvirom. Time se odlaže prelazak na upravljanje zasnovano na rezultatima. Kultura rukovođenja u javnim institucijamai dalje je krajnje centralizovana, pri čemu postoji otpor da se budžetske odgovornosti ili ovlašćenja za donošenje odluka delegiraju srednjem rukovodećem sloju.Primarni fokus i dalje je na usklađenosti, umjesto na rezultatima rada.</w:t>
      </w:r>
    </w:p>
    <w:p w:rsidR="00622A95" w:rsidRPr="009A2018" w:rsidRDefault="00622A95" w:rsidP="00EC1790">
      <w:pPr>
        <w:spacing w:after="120" w:line="240" w:lineRule="auto"/>
        <w:jc w:val="both"/>
        <w:rPr>
          <w:rFonts w:eastAsia="Calibri" w:cs="Times New Roman"/>
          <w:b/>
          <w:szCs w:val="24"/>
        </w:rPr>
      </w:pPr>
      <w:r w:rsidRPr="009A2018">
        <w:rPr>
          <w:rFonts w:eastAsia="Calibri" w:cs="Times New Roman"/>
          <w:szCs w:val="24"/>
        </w:rPr>
        <w:t xml:space="preserve">Zakonodavstvo o </w:t>
      </w:r>
      <w:r w:rsidRPr="009A2018">
        <w:rPr>
          <w:rFonts w:eastAsia="Calibri" w:cs="Times New Roman"/>
          <w:b/>
          <w:szCs w:val="24"/>
        </w:rPr>
        <w:t xml:space="preserve">unutrašnjoj kontroli </w:t>
      </w:r>
      <w:r w:rsidR="00F95800">
        <w:rPr>
          <w:rFonts w:eastAsia="Calibri" w:cs="Times New Roman"/>
          <w:szCs w:val="24"/>
        </w:rPr>
        <w:t>usklađeno je s</w:t>
      </w:r>
      <w:r w:rsidRPr="009A2018">
        <w:rPr>
          <w:rFonts w:eastAsia="Calibri" w:cs="Times New Roman"/>
          <w:szCs w:val="24"/>
        </w:rPr>
        <w:t xml:space="preserve"> međunarodnim standardima. Donijet je i ažuriran Priručnik o finansijskom upravljanju i kontroli. Razvijen je sistem za otkrivanje i postupanje po informacijama o finansijskim nepravilnostima, a budžetski korisnici sve više usvajaju registre rizika, premda upravljanje rizicima ne primjenjuju konzistentno svi budžetski subjekti. Svega polovina budžetskih subjekata usvojila je akcione planove za poboljšanje sistema finansijske kontrole. Centralizovana funkcija budžetske inspekcije u Ministarstvu finansija još nije operativna. Vanredne upravljačke i kontrolne procedure ili derogacije koje su primjenjivali državni organi tokom krize zbog COVID-19 moraju biti dobro dokumentovane, propraćene adekvatnim zaštitnim mehanizmima i razmotrene za posebne revizije.</w:t>
      </w:r>
    </w:p>
    <w:p w:rsidR="00622A95" w:rsidRPr="009A2018" w:rsidRDefault="00622A95" w:rsidP="00EC1790">
      <w:pPr>
        <w:spacing w:after="120" w:line="240" w:lineRule="auto"/>
        <w:jc w:val="both"/>
        <w:rPr>
          <w:rFonts w:eastAsia="Calibri" w:cs="Times New Roman"/>
          <w:szCs w:val="24"/>
        </w:rPr>
      </w:pPr>
      <w:r w:rsidRPr="009A2018">
        <w:rPr>
          <w:rFonts w:eastAsia="Calibri" w:cs="Times New Roman"/>
          <w:b/>
          <w:szCs w:val="24"/>
        </w:rPr>
        <w:t>Praksa interne revizije</w:t>
      </w:r>
      <w:r w:rsidRPr="009A2018">
        <w:rPr>
          <w:rFonts w:eastAsia="Calibri" w:cs="Times New Roman"/>
          <w:szCs w:val="24"/>
        </w:rPr>
        <w:t>, pravila i standardiuređeni su u skladu s međunarodnim standardima. Sve institucije, sem jedne, od kojih je traženo formiranje jedinice interne revizije na centralnom i lokalnom nivou, postupile su u skladu s tim, a sem tri od 26, svaka od njih ima usvojene programe i poboljšanja za garanciju kvaliteta. Broj internih revizora nastavlja da raste, a većina njih ima nacionalni i/ili internacionalni sertifikat za internog revizora. Postoji državni sistem obuke i sertifikacije za internu reviziju, kao i dugoročni program profesionalnog razvoja za sertifikovane interne revizore. Stopa sprovođenja preporuka o reviziji takođe nastavlja da raste (na 97,5% u 2019. sa 94,25% u 2018), ali se preporuke i dalje fokusiraju na usklađenost više nego na vrijednost za novac.</w:t>
      </w:r>
    </w:p>
    <w:p w:rsidR="00622A95" w:rsidRPr="00095948" w:rsidRDefault="00622A95" w:rsidP="00EC1790">
      <w:pPr>
        <w:spacing w:after="120" w:line="240" w:lineRule="auto"/>
        <w:jc w:val="both"/>
        <w:rPr>
          <w:rFonts w:eastAsia="Calibri" w:cs="Times New Roman"/>
          <w:szCs w:val="24"/>
          <w:lang w:val="fr-FR"/>
        </w:rPr>
      </w:pPr>
      <w:r w:rsidRPr="009A2018">
        <w:rPr>
          <w:rFonts w:eastAsia="Calibri" w:cs="Times New Roman"/>
          <w:b/>
          <w:szCs w:val="24"/>
        </w:rPr>
        <w:t>Centralna jedinica za harmonizaciju</w:t>
      </w:r>
      <w:r w:rsidRPr="009A2018">
        <w:rPr>
          <w:rFonts w:eastAsia="Calibri" w:cs="Times New Roman"/>
          <w:szCs w:val="24"/>
        </w:rPr>
        <w:t xml:space="preserve"> odgovorna je za razvoj i metodološko usmjeravanje o PIFC, kao i praćenje i izvještavanje o sprovođenju. CJH priprema godišnji izvještaj kojim Vladu obavještava o razvoju sistema unutrašnje kontrole u javnom sektoru. </w:t>
      </w:r>
      <w:r w:rsidRPr="00095948">
        <w:rPr>
          <w:rFonts w:eastAsia="Calibri" w:cs="Times New Roman"/>
          <w:szCs w:val="24"/>
          <w:lang w:val="fr-FR"/>
        </w:rPr>
        <w:t>Tu su sadržane i aktivnosti planirane radi poboljšanja učinkovitosti ovih sistema.</w:t>
      </w:r>
    </w:p>
    <w:p w:rsidR="00622A95" w:rsidRPr="00095948" w:rsidRDefault="00622A95" w:rsidP="00EC1790">
      <w:pPr>
        <w:spacing w:after="120" w:line="240" w:lineRule="auto"/>
        <w:jc w:val="both"/>
        <w:rPr>
          <w:rFonts w:eastAsia="Calibri" w:cs="Times New Roman"/>
          <w:szCs w:val="24"/>
          <w:u w:val="single"/>
          <w:lang w:val="fr-FR"/>
        </w:rPr>
      </w:pPr>
      <w:r w:rsidRPr="00095948">
        <w:rPr>
          <w:rFonts w:eastAsia="Calibri" w:cs="Times New Roman"/>
          <w:szCs w:val="24"/>
          <w:u w:val="single"/>
          <w:lang w:val="fr-FR"/>
        </w:rPr>
        <w:t>Eksterna revizija</w:t>
      </w:r>
    </w:p>
    <w:p w:rsidR="00622A95" w:rsidRPr="00095948"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 xml:space="preserve">Državna revizorska institucija (DRI) Crne Gore formirana je u skladu sa standardima Međunarodne organizacije vrhovnih revizorskih institucija (INTOSAI). DRI ima sveobuhvatan mandat, koji pokriva sve javne finansijske operacije, uključujući opštine, državna preduzeća i međunarodne organizacije. Ovlašćena je da preduzme čitav niz finansijskih revizija, revizija pravilnosti i revizija uspjeha, uz neograničen pristup prostorijama, evidenciji i dokumentima organa koji su predmet revizije. Poboljšala je svoj </w:t>
      </w:r>
      <w:r w:rsidRPr="00095948">
        <w:rPr>
          <w:rFonts w:eastAsia="Calibri" w:cs="Times New Roman"/>
          <w:b/>
          <w:szCs w:val="24"/>
          <w:lang w:val="fr-FR"/>
        </w:rPr>
        <w:t>institucionalni kapacitet</w:t>
      </w:r>
      <w:r w:rsidRPr="00095948">
        <w:rPr>
          <w:rFonts w:eastAsia="Calibri" w:cs="Times New Roman"/>
          <w:szCs w:val="24"/>
          <w:lang w:val="fr-FR"/>
        </w:rPr>
        <w:t xml:space="preserve"> u smislu upravljačkog i revizorskog osoblja, a takođe sprovodi svoj Plan strateškog razvoja 2018-2022. Stalna obaveza DRI da vrši reviziju političkih partija i dalje stavlja značajan teret na njene resurse i finansije, što potencijalno potcrtava njenu nezavisnost kod planiranja aktivnosti. DRI ima standardizovane revizorske procese za finansijsku reviziju, reviziju pravilnosti i reviziju uspjeha, a većina njenih revizora je sertifikovana i ima pristup obuci na osnovu procjene potreba. DRI je obavila tri revizije uspjeha u 2019, pri čemu ih je 2018. bilo četiri.</w:t>
      </w:r>
    </w:p>
    <w:p w:rsidR="00622A95" w:rsidRPr="00C35FD0" w:rsidRDefault="00622A95" w:rsidP="00EC1790">
      <w:pPr>
        <w:spacing w:after="120" w:line="240" w:lineRule="auto"/>
        <w:jc w:val="both"/>
        <w:rPr>
          <w:rFonts w:eastAsia="Calibri" w:cs="Times New Roman"/>
          <w:szCs w:val="24"/>
          <w:lang w:val="fr-FR"/>
        </w:rPr>
      </w:pPr>
      <w:r w:rsidRPr="00095948">
        <w:rPr>
          <w:rFonts w:eastAsia="Calibri" w:cs="Times New Roman"/>
          <w:szCs w:val="24"/>
          <w:lang w:val="fr-FR"/>
        </w:rPr>
        <w:t xml:space="preserve">U pogledu </w:t>
      </w:r>
      <w:r w:rsidRPr="00095948">
        <w:rPr>
          <w:rFonts w:eastAsia="Calibri" w:cs="Times New Roman"/>
          <w:b/>
          <w:szCs w:val="24"/>
          <w:lang w:val="fr-FR"/>
        </w:rPr>
        <w:t>kvaliteta revizorskog rada</w:t>
      </w:r>
      <w:r w:rsidRPr="00095948">
        <w:rPr>
          <w:rFonts w:eastAsia="Calibri" w:cs="Times New Roman"/>
          <w:szCs w:val="24"/>
          <w:lang w:val="fr-FR"/>
        </w:rPr>
        <w:t xml:space="preserve">, DRI je usvojila smjernice za reviziju završnog računa i smjernice za reviziju godišnjih finansijskih izvještaja političkih partija. Priručnik za finansijsku reviziju i reviziju pravilnosti u skladu sa standardima ISSAI finalizovan je i njegovo donošenje treba obezbijediti što je prije moguće. Uz to, DRI je usvojila ažurirano uputstvo o metodologiji za reviziju uspjeha. </w:t>
      </w:r>
      <w:r w:rsidRPr="00C35FD0">
        <w:rPr>
          <w:rFonts w:eastAsia="Calibri" w:cs="Times New Roman"/>
          <w:szCs w:val="24"/>
          <w:lang w:val="fr-FR"/>
        </w:rPr>
        <w:t>DRI dostavlja Skupštini izvještaj o reviziji Vladinog završnog računa i godišnji izvještaj o obavljenim revizijama. Objavljuju se svi izvještaji DRI, ali je izuzetak dostavljanje pojedinačnih izvještaja o reviziji Skupštini. Nakon što Skupština usvoji preporuke o završnom računu, Vlada priprema akcioni plan za njihovu implementaciju, o čemu redovno izvještava. Subjekti koji su prošli individualnu reviziju moraju dostaviti DRI izvještaj o sprovođenju preporuka. Ipak, Skupština ne obezbjeđuje strukturirano praćenje preporuka DRI, premda DRI može odlučiti da sprovede naknadne revizije radi provjere praćenja. Ukupna stopa implementacije preporuka DRI, međutim, mora se dodatno poboljšati.</w:t>
      </w:r>
    </w:p>
    <w:p w:rsidR="00622A95" w:rsidRPr="00C35FD0" w:rsidRDefault="00622A95" w:rsidP="00EC1790">
      <w:pPr>
        <w:spacing w:after="120" w:line="240" w:lineRule="auto"/>
        <w:jc w:val="both"/>
        <w:rPr>
          <w:rFonts w:eastAsia="Calibri" w:cs="Times New Roman"/>
          <w:szCs w:val="24"/>
          <w:u w:val="single"/>
          <w:lang w:val="fr-FR"/>
        </w:rPr>
      </w:pPr>
      <w:r w:rsidRPr="00C35FD0">
        <w:rPr>
          <w:rFonts w:eastAsia="Calibri" w:cs="Times New Roman"/>
          <w:szCs w:val="24"/>
          <w:u w:val="single"/>
          <w:lang w:val="fr-FR"/>
        </w:rPr>
        <w:t>Zaštita finansijskih interesa EU</w:t>
      </w:r>
    </w:p>
    <w:p w:rsidR="00622A95" w:rsidRPr="00C35FD0" w:rsidRDefault="00622A95" w:rsidP="00EC1790">
      <w:pPr>
        <w:spacing w:after="120" w:line="240" w:lineRule="auto"/>
        <w:jc w:val="both"/>
        <w:rPr>
          <w:rFonts w:eastAsia="Calibri" w:cs="Times New Roman"/>
          <w:szCs w:val="24"/>
          <w:lang w:val="fr-FR"/>
        </w:rPr>
      </w:pPr>
      <w:r w:rsidRPr="00C35FD0">
        <w:rPr>
          <w:rFonts w:eastAsia="Calibri" w:cs="Times New Roman"/>
          <w:szCs w:val="24"/>
          <w:lang w:val="fr-FR"/>
        </w:rPr>
        <w:t xml:space="preserve">Iako je zakonodavstvo Crne Gore u najvećoj mjeri usklađeno s pravnom tekovinom EU u ovoj oblasti, ono u pogledu krivičnog prava nije usklađeno s pravnom tekovinom EU o borbi protiv prevara na štetu finansijskih interesa EU.Nacionalna strategija za borbu protiv prevara 2019-2021. usvojena je u maju 2019. godine. Ova strategija pruža osnov za poboljšanje kapaciteta  nacionalne </w:t>
      </w:r>
      <w:r w:rsidRPr="00C35FD0">
        <w:rPr>
          <w:rFonts w:eastAsia="Calibri" w:cs="Times New Roman"/>
          <w:b/>
          <w:szCs w:val="24"/>
          <w:lang w:val="fr-FR"/>
        </w:rPr>
        <w:t>Kancelarije za borbu protiv prevara</w:t>
      </w:r>
      <w:r w:rsidRPr="00C35FD0">
        <w:rPr>
          <w:rFonts w:eastAsia="Calibri" w:cs="Times New Roman"/>
          <w:szCs w:val="24"/>
          <w:lang w:val="fr-FR"/>
        </w:rPr>
        <w:t xml:space="preserve"> (AFCOS) i funkcionisanje AFCOS mreže.Crna Gora </w:t>
      </w:r>
      <w:r w:rsidRPr="00C35FD0">
        <w:rPr>
          <w:rFonts w:eastAsia="Calibri" w:cs="Times New Roman"/>
          <w:b/>
          <w:szCs w:val="24"/>
          <w:lang w:val="fr-FR"/>
        </w:rPr>
        <w:t>sarađuje sa Evropskom komisijom</w:t>
      </w:r>
      <w:r w:rsidRPr="00C35FD0">
        <w:rPr>
          <w:rFonts w:eastAsia="Calibri" w:cs="Times New Roman"/>
          <w:szCs w:val="24"/>
          <w:lang w:val="fr-FR"/>
        </w:rPr>
        <w:t xml:space="preserve"> tokom istraga. Takođe je napredovala u pogledu ostvarivanja solidnog bilansa rezultata kod prijavljivanja nepravilnosti preko onlajnsistema upravljanja nepravilnostima, pri čemu je u 2019. prijavila 27 slučajeva (brojka je do kraja 2019. godine dostigla 42) preko</w:t>
      </w:r>
      <w:r w:rsidR="006620CB">
        <w:rPr>
          <w:rFonts w:eastAsia="Calibri" w:cs="Times New Roman"/>
          <w:szCs w:val="24"/>
          <w:lang w:val="fr-FR"/>
        </w:rPr>
        <w:t xml:space="preserve"> </w:t>
      </w:r>
      <w:r w:rsidRPr="00C35FD0">
        <w:rPr>
          <w:rFonts w:eastAsia="Calibri" w:cs="Times New Roman"/>
          <w:szCs w:val="24"/>
          <w:lang w:val="fr-FR"/>
        </w:rPr>
        <w:t>onlajn</w:t>
      </w:r>
      <w:r w:rsidR="006620CB">
        <w:rPr>
          <w:rFonts w:eastAsia="Calibri" w:cs="Times New Roman"/>
          <w:szCs w:val="24"/>
          <w:lang w:val="fr-FR"/>
        </w:rPr>
        <w:t xml:space="preserve"> </w:t>
      </w:r>
      <w:r w:rsidRPr="00C35FD0">
        <w:rPr>
          <w:rFonts w:eastAsia="Calibri" w:cs="Times New Roman"/>
          <w:szCs w:val="24"/>
          <w:lang w:val="fr-FR"/>
        </w:rPr>
        <w:t>sistema upravljanja nepravilnostima, ali potrebno je osigurati solidan bilans rezultata u istragama.</w:t>
      </w:r>
    </w:p>
    <w:p w:rsidR="00622A95" w:rsidRPr="00C35FD0" w:rsidRDefault="00622A95" w:rsidP="00EC1790">
      <w:pPr>
        <w:spacing w:after="120" w:line="240" w:lineRule="auto"/>
        <w:jc w:val="both"/>
        <w:rPr>
          <w:rFonts w:eastAsia="Calibri" w:cs="Times New Roman"/>
          <w:szCs w:val="24"/>
          <w:u w:val="single"/>
          <w:lang w:val="fr-FR"/>
        </w:rPr>
      </w:pPr>
      <w:r w:rsidRPr="00C35FD0">
        <w:rPr>
          <w:rFonts w:eastAsia="Calibri" w:cs="Times New Roman"/>
          <w:szCs w:val="24"/>
          <w:u w:val="single"/>
          <w:lang w:val="fr-FR"/>
        </w:rPr>
        <w:t>Zaštita eura od falsifikovanja</w:t>
      </w:r>
    </w:p>
    <w:p w:rsidR="00622A95" w:rsidRPr="00C35FD0" w:rsidRDefault="00622A95" w:rsidP="00EC1790">
      <w:pPr>
        <w:autoSpaceDE w:val="0"/>
        <w:autoSpaceDN w:val="0"/>
        <w:adjustRightInd w:val="0"/>
        <w:spacing w:after="120" w:line="240" w:lineRule="auto"/>
        <w:jc w:val="both"/>
        <w:rPr>
          <w:rFonts w:eastAsia="Calibri" w:cs="Times New Roman"/>
          <w:szCs w:val="24"/>
          <w:lang w:val="fr-FR"/>
        </w:rPr>
      </w:pPr>
      <w:bookmarkStart w:id="300" w:name="_Toc30074173"/>
      <w:bookmarkStart w:id="301" w:name="_Toc30073860"/>
      <w:r w:rsidRPr="00C35FD0">
        <w:rPr>
          <w:rFonts w:eastAsia="Calibri" w:cs="Times New Roman"/>
          <w:szCs w:val="24"/>
          <w:lang w:val="fr-FR"/>
        </w:rPr>
        <w:t xml:space="preserve">Crna Gora je usvojila </w:t>
      </w:r>
      <w:r w:rsidR="006620CB" w:rsidRPr="00C35FD0">
        <w:rPr>
          <w:rFonts w:eastAsia="Calibri" w:cs="Times New Roman"/>
          <w:szCs w:val="24"/>
          <w:lang w:val="fr-FR"/>
        </w:rPr>
        <w:t>zak</w:t>
      </w:r>
      <w:r w:rsidR="006620CB">
        <w:rPr>
          <w:rFonts w:eastAsia="Calibri" w:cs="Times New Roman"/>
          <w:szCs w:val="24"/>
          <w:lang w:val="fr-FR"/>
        </w:rPr>
        <w:t>o</w:t>
      </w:r>
      <w:r w:rsidR="006620CB" w:rsidRPr="00C35FD0">
        <w:rPr>
          <w:rFonts w:eastAsia="Calibri" w:cs="Times New Roman"/>
          <w:szCs w:val="24"/>
          <w:lang w:val="fr-FR"/>
        </w:rPr>
        <w:t xml:space="preserve">nodavstvo </w:t>
      </w:r>
      <w:r w:rsidRPr="00C35FD0">
        <w:rPr>
          <w:rFonts w:eastAsia="Calibri" w:cs="Times New Roman"/>
          <w:szCs w:val="24"/>
          <w:lang w:val="fr-FR"/>
        </w:rPr>
        <w:t xml:space="preserve">koje treba da osigura dalju usklađenost s pravnom tekovinom u pogledu standarda upravljanja gotovinom, testiranja uređaja za obradu gotovine, kao i obuke rukovalaca gotovinom. Centralna banka sprovodi </w:t>
      </w:r>
      <w:r w:rsidRPr="00C35FD0">
        <w:rPr>
          <w:rFonts w:eastAsia="Calibri" w:cs="Times New Roman"/>
          <w:b/>
          <w:szCs w:val="24"/>
          <w:lang w:val="fr-FR"/>
        </w:rPr>
        <w:t>tehničku analizu</w:t>
      </w:r>
      <w:r w:rsidRPr="00C35FD0">
        <w:rPr>
          <w:rFonts w:eastAsia="Calibri" w:cs="Times New Roman"/>
          <w:szCs w:val="24"/>
          <w:lang w:val="fr-FR"/>
        </w:rPr>
        <w:t xml:space="preserve"> i nastavlja da sarađuje i ra</w:t>
      </w:r>
      <w:r w:rsidR="00F95800" w:rsidRPr="00C35FD0">
        <w:rPr>
          <w:rFonts w:eastAsia="Calibri" w:cs="Times New Roman"/>
          <w:szCs w:val="24"/>
          <w:lang w:val="fr-FR"/>
        </w:rPr>
        <w:t>zmjenjuje informacije o ovome s</w:t>
      </w:r>
      <w:r w:rsidRPr="00C35FD0">
        <w:rPr>
          <w:rFonts w:eastAsia="Calibri" w:cs="Times New Roman"/>
          <w:szCs w:val="24"/>
          <w:lang w:val="fr-FR"/>
        </w:rPr>
        <w:t xml:space="preserve"> Upravom policije i Višim državnim tužilaštvom. Crna</w:t>
      </w:r>
      <w:r w:rsidR="00F95800" w:rsidRPr="00C35FD0">
        <w:rPr>
          <w:rFonts w:eastAsia="Calibri" w:cs="Times New Roman"/>
          <w:szCs w:val="24"/>
          <w:lang w:val="fr-FR"/>
        </w:rPr>
        <w:t xml:space="preserve"> Gora sarađuje s</w:t>
      </w:r>
      <w:r w:rsidRPr="00C35FD0">
        <w:rPr>
          <w:rFonts w:eastAsia="Calibri" w:cs="Times New Roman"/>
          <w:szCs w:val="24"/>
          <w:lang w:val="fr-FR"/>
        </w:rPr>
        <w:t xml:space="preserve"> institucijama EU u pogledu zaštite eura od falsifikovanja i aktivno učestvuje u programu EU Pericles. Zaključen je </w:t>
      </w:r>
      <w:r w:rsidRPr="00C35FD0">
        <w:rPr>
          <w:rFonts w:eastAsia="Calibri" w:cs="Times New Roman"/>
          <w:b/>
          <w:szCs w:val="24"/>
          <w:lang w:val="fr-FR"/>
        </w:rPr>
        <w:t>sporazum o saradnji</w:t>
      </w:r>
      <w:r w:rsidRPr="00C35FD0">
        <w:rPr>
          <w:rFonts w:eastAsia="Calibri" w:cs="Times New Roman"/>
          <w:szCs w:val="24"/>
          <w:lang w:val="fr-FR"/>
        </w:rPr>
        <w:t xml:space="preserve"> sa Evrop</w:t>
      </w:r>
      <w:r w:rsidR="00F95800" w:rsidRPr="00C35FD0">
        <w:rPr>
          <w:rFonts w:eastAsia="Calibri" w:cs="Times New Roman"/>
          <w:szCs w:val="24"/>
          <w:lang w:val="fr-FR"/>
        </w:rPr>
        <w:t>skom komisijom o kovanicama i s</w:t>
      </w:r>
      <w:r w:rsidRPr="00C35FD0">
        <w:rPr>
          <w:rFonts w:eastAsia="Calibri" w:cs="Times New Roman"/>
          <w:szCs w:val="24"/>
          <w:lang w:val="fr-FR"/>
        </w:rPr>
        <w:t xml:space="preserve"> Evropskom centralnom bankom o novčanicama.</w:t>
      </w:r>
    </w:p>
    <w:p w:rsidR="00622A95" w:rsidRPr="00C35FD0" w:rsidRDefault="00622A95" w:rsidP="00EC1790">
      <w:pPr>
        <w:pStyle w:val="Heading2"/>
        <w:rPr>
          <w:rFonts w:eastAsia="Times New Roman"/>
          <w:lang w:val="fr-FR"/>
        </w:rPr>
      </w:pPr>
      <w:bookmarkStart w:id="302" w:name="_Toc30080595"/>
      <w:bookmarkStart w:id="303" w:name="_Toc30074175"/>
      <w:bookmarkStart w:id="304" w:name="_Toc30073862"/>
      <w:bookmarkStart w:id="305" w:name="_Toc52744964"/>
      <w:bookmarkStart w:id="306" w:name="_Toc53362472"/>
      <w:bookmarkEnd w:id="300"/>
      <w:bookmarkEnd w:id="301"/>
      <w:r w:rsidRPr="00C35FD0">
        <w:rPr>
          <w:rFonts w:eastAsia="Times New Roman"/>
          <w:lang w:val="fr-FR"/>
        </w:rPr>
        <w:t>5.33</w:t>
      </w:r>
      <w:r w:rsidRPr="00C35FD0">
        <w:rPr>
          <w:rFonts w:eastAsia="Times New Roman"/>
          <w:lang w:val="fr-FR"/>
        </w:rPr>
        <w:tab/>
      </w:r>
      <w:bookmarkEnd w:id="302"/>
      <w:bookmarkEnd w:id="303"/>
      <w:bookmarkEnd w:id="304"/>
      <w:bookmarkEnd w:id="305"/>
      <w:r w:rsidRPr="00C35FD0">
        <w:rPr>
          <w:rFonts w:eastAsia="Times New Roman"/>
          <w:lang w:val="fr-FR"/>
        </w:rPr>
        <w:t>Poglavlje 33: Finansijske i budžetske odredbe</w:t>
      </w:r>
      <w:bookmarkEnd w:id="306"/>
    </w:p>
    <w:p w:rsidR="00622A95" w:rsidRPr="00C35FD0" w:rsidRDefault="00622A95" w:rsidP="00EC1790">
      <w:pPr>
        <w:autoSpaceDE w:val="0"/>
        <w:autoSpaceDN w:val="0"/>
        <w:adjustRightInd w:val="0"/>
        <w:spacing w:after="120" w:line="240" w:lineRule="auto"/>
        <w:jc w:val="both"/>
        <w:rPr>
          <w:rFonts w:eastAsia="Calibri" w:cs="Times New Roman"/>
          <w:i/>
          <w:iCs/>
          <w:color w:val="000000"/>
          <w:szCs w:val="24"/>
          <w:lang w:val="fr-FR"/>
        </w:rPr>
      </w:pPr>
      <w:r w:rsidRPr="00C35FD0">
        <w:rPr>
          <w:rFonts w:eastAsia="Calibri" w:cs="Times New Roman"/>
          <w:i/>
          <w:iCs/>
          <w:color w:val="000000"/>
          <w:szCs w:val="24"/>
          <w:lang w:val="fr-FR"/>
        </w:rPr>
        <w:t xml:space="preserve">U ovom poglavlju sadržana su pravila o finansiranju budžeta EU (sopstvena sredstva). Ta sredstva uglavnom se sastoje od i) doprinosa iz bruto nacionalnog dohotka svake države članice, ii) carinskih dažbina, i iii) sredstava iz poreza na dodatu vrijednost. Države članice moraju da imaju odgovarajući administrativni kapacitet za adekvatnu koordinaciju i obezbjeđivanje ispravnog obračunavanja, naplate, plaćanja i kontrole sopstvenih sredstava. </w:t>
      </w:r>
    </w:p>
    <w:tbl>
      <w:tblPr>
        <w:tblW w:w="0" w:type="auto"/>
        <w:tblLook w:val="04A0" w:firstRow="1" w:lastRow="0" w:firstColumn="1" w:lastColumn="0" w:noHBand="0" w:noVBand="1"/>
      </w:tblPr>
      <w:tblGrid>
        <w:gridCol w:w="9243"/>
      </w:tblGrid>
      <w:tr w:rsidR="00622A95" w:rsidRPr="009A2018" w:rsidTr="00620E1E">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2A95" w:rsidRPr="00C35FD0" w:rsidRDefault="00622A95" w:rsidP="00EC1790">
            <w:pPr>
              <w:autoSpaceDE w:val="0"/>
              <w:autoSpaceDN w:val="0"/>
              <w:adjustRightInd w:val="0"/>
              <w:spacing w:after="120" w:line="240" w:lineRule="auto"/>
              <w:jc w:val="both"/>
              <w:rPr>
                <w:rFonts w:eastAsia="Calibri" w:cs="Times New Roman"/>
                <w:color w:val="000000"/>
                <w:szCs w:val="24"/>
                <w:lang w:val="fr-FR"/>
              </w:rPr>
            </w:pPr>
            <w:bookmarkStart w:id="307" w:name="_Toc9585329"/>
            <w:bookmarkStart w:id="308" w:name="_Toc465318908"/>
            <w:r w:rsidRPr="00C35FD0">
              <w:rPr>
                <w:rFonts w:eastAsia="Calibri" w:cs="Times New Roman"/>
                <w:color w:val="000000"/>
                <w:szCs w:val="24"/>
                <w:lang w:val="fr-FR"/>
              </w:rPr>
              <w:t xml:space="preserve">Pripreme u ovoj oblasti su u </w:t>
            </w:r>
            <w:r w:rsidRPr="00C35FD0">
              <w:rPr>
                <w:rFonts w:eastAsia="Calibri" w:cs="Times New Roman"/>
                <w:b/>
                <w:color w:val="000000"/>
                <w:szCs w:val="24"/>
                <w:lang w:val="fr-FR"/>
              </w:rPr>
              <w:t>ranoj fazi</w:t>
            </w:r>
            <w:r w:rsidRPr="00C35FD0">
              <w:rPr>
                <w:rFonts w:eastAsia="Calibri" w:cs="Times New Roman"/>
                <w:color w:val="000000"/>
                <w:szCs w:val="24"/>
                <w:lang w:val="fr-FR"/>
              </w:rPr>
              <w:t xml:space="preserve">. U 2019. godini ostvaren je </w:t>
            </w:r>
            <w:r w:rsidRPr="00C35FD0">
              <w:rPr>
                <w:rFonts w:eastAsia="Calibri" w:cs="Times New Roman"/>
                <w:b/>
                <w:color w:val="000000"/>
                <w:szCs w:val="24"/>
                <w:lang w:val="fr-FR"/>
              </w:rPr>
              <w:t>ograničen napredak</w:t>
            </w:r>
            <w:r w:rsidR="00F95800" w:rsidRPr="00C35FD0">
              <w:rPr>
                <w:rFonts w:eastAsia="Calibri" w:cs="Times New Roman"/>
                <w:b/>
                <w:color w:val="000000"/>
                <w:szCs w:val="24"/>
                <w:lang w:val="fr-FR"/>
              </w:rPr>
              <w:t xml:space="preserve"> </w:t>
            </w:r>
            <w:r w:rsidRPr="00C35FD0">
              <w:rPr>
                <w:rFonts w:eastAsia="Calibri" w:cs="Times New Roman"/>
                <w:color w:val="000000"/>
                <w:szCs w:val="24"/>
                <w:lang w:val="fr-FR"/>
              </w:rPr>
              <w:t>na polju koordinacije i upravljanja sopstvenim sredstvima, premda je usvojen ažurirani akcioni plan za sopstvena sredstva, čime je djelimično ispunjena jedna od prošlogodišnjih preporuka. Međutim, preporuke iz 2019. i dalje važe u cjelosti ili djelimično.</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U narednoj godini Crna Gora treba da:</w:t>
            </w:r>
          </w:p>
          <w:p w:rsidR="00622A95" w:rsidRPr="009A2018" w:rsidRDefault="00622A95" w:rsidP="00EC1790">
            <w:pPr>
              <w:pStyle w:val="ListParagraph"/>
              <w:numPr>
                <w:ilvl w:val="0"/>
                <w:numId w:val="34"/>
              </w:numPr>
              <w:spacing w:after="120" w:line="240" w:lineRule="auto"/>
              <w:ind w:left="0" w:firstLine="0"/>
              <w:contextualSpacing w:val="0"/>
              <w:jc w:val="both"/>
              <w:rPr>
                <w:rFonts w:ascii="Times New Roman" w:hAnsi="Times New Roman" w:cs="Times New Roman"/>
                <w:sz w:val="24"/>
                <w:szCs w:val="24"/>
              </w:rPr>
            </w:pPr>
            <w:r w:rsidRPr="009A2018">
              <w:rPr>
                <w:rFonts w:ascii="Times New Roman" w:hAnsi="Times New Roman" w:cs="Times New Roman"/>
                <w:sz w:val="24"/>
                <w:szCs w:val="24"/>
              </w:rPr>
              <w:t>unaprijedi usklađenost institucionalnog okvira i administrativnih pravila za sistem sopstvenih sredstava, kao i zakonskog okvira za PDV s pravnom tekovinom EU;</w:t>
            </w:r>
          </w:p>
          <w:p w:rsidR="00622A95" w:rsidRPr="009A2018" w:rsidRDefault="00622A95" w:rsidP="00EC1790">
            <w:pPr>
              <w:pStyle w:val="ListParagraph"/>
              <w:numPr>
                <w:ilvl w:val="0"/>
                <w:numId w:val="34"/>
              </w:numPr>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unaprijedi usklađenost zakonske osnove za povezane oblasti politike koje utiču na pravilnu primjenu sistema sopstvenih sredstava (oporezivanje, carinska unija, finansijska kontrola i statistika), te da u potpunosti primijeni akcioni plan za sistem sopstvenih sredstava;</w:t>
            </w:r>
          </w:p>
          <w:p w:rsidR="00622A95" w:rsidRPr="009A2018" w:rsidRDefault="00622A95" w:rsidP="00EC1790">
            <w:pPr>
              <w:pStyle w:val="ListParagraph"/>
              <w:numPr>
                <w:ilvl w:val="0"/>
                <w:numId w:val="34"/>
              </w:numPr>
              <w:autoSpaceDE w:val="0"/>
              <w:autoSpaceDN w:val="0"/>
              <w:adjustRightInd w:val="0"/>
              <w:spacing w:after="120" w:line="240" w:lineRule="auto"/>
              <w:ind w:left="0" w:firstLine="0"/>
              <w:contextualSpacing w:val="0"/>
              <w:jc w:val="both"/>
              <w:rPr>
                <w:rFonts w:ascii="Times New Roman" w:eastAsia="Calibri" w:hAnsi="Times New Roman" w:cs="Times New Roman"/>
                <w:color w:val="000000"/>
                <w:sz w:val="24"/>
                <w:szCs w:val="24"/>
              </w:rPr>
            </w:pPr>
            <w:r w:rsidRPr="009A2018">
              <w:rPr>
                <w:rFonts w:ascii="Times New Roman" w:eastAsia="Calibri" w:hAnsi="Times New Roman" w:cs="Times New Roman"/>
                <w:color w:val="000000"/>
                <w:sz w:val="24"/>
                <w:szCs w:val="24"/>
              </w:rPr>
              <w:t xml:space="preserve">obezbijedi adekvatne kapacitete u Direkciji za koordinaciju i upravljanje sredstvima EU i u svim institucijama uključenim u sistem sopstvenih sredstava. </w:t>
            </w:r>
          </w:p>
        </w:tc>
      </w:tr>
    </w:tbl>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Što se tiče</w:t>
      </w:r>
      <w:r w:rsidRPr="009A2018">
        <w:rPr>
          <w:rFonts w:eastAsia="Calibri" w:cs="Times New Roman"/>
          <w:b/>
          <w:color w:val="000000"/>
          <w:szCs w:val="24"/>
        </w:rPr>
        <w:t xml:space="preserve"> tradicionalnih sopstvenih sredstava</w:t>
      </w:r>
      <w:r w:rsidRPr="009A2018">
        <w:rPr>
          <w:rFonts w:eastAsia="Calibri" w:cs="Times New Roman"/>
          <w:color w:val="000000"/>
          <w:szCs w:val="24"/>
        </w:rPr>
        <w:t>, pripremljena je nova računovodstvena simulaciona vježba u svrhu razlikovanja naplaćenih i nenaplaćenih dažbina. Biće potrebni trajni napori da se definišu i uspostave procedure za tekuće A i B račune. Prema Zakonu o računovodstvu u javnom sektoru, usvojenom u izvještajnom periodu, Uprava carina će morati da primjenjuje pravila dvojnog knjigovodstva počevši od 2021. godine.</w:t>
      </w:r>
    </w:p>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Što se tiče </w:t>
      </w:r>
      <w:r w:rsidRPr="009A2018">
        <w:rPr>
          <w:rFonts w:eastAsia="Calibri" w:cs="Times New Roman"/>
          <w:b/>
          <w:color w:val="000000"/>
          <w:szCs w:val="24"/>
        </w:rPr>
        <w:t>sredstava iz poreza na dodatu vrijednost</w:t>
      </w:r>
      <w:r w:rsidRPr="009A2018">
        <w:rPr>
          <w:rFonts w:eastAsia="Calibri" w:cs="Times New Roman"/>
          <w:color w:val="000000"/>
          <w:szCs w:val="24"/>
        </w:rPr>
        <w:t>, neophodna je dodatna usklađenost Zakona o PDV sa pravnom tekovinom EU, naročito u dijelu snabdijevanja robom, poreskih obveznika i osnovice PDV, kao i izuzeća od plaćanja PDV u javnom interesu i izdavanja faktura.</w:t>
      </w:r>
    </w:p>
    <w:p w:rsidR="00622A95" w:rsidRPr="009A2018" w:rsidRDefault="00622A95" w:rsidP="00EC1790">
      <w:pPr>
        <w:spacing w:after="120" w:line="240" w:lineRule="auto"/>
        <w:jc w:val="both"/>
        <w:rPr>
          <w:rFonts w:eastAsia="Calibri" w:cs="Times New Roman"/>
          <w:color w:val="000000"/>
          <w:szCs w:val="24"/>
        </w:rPr>
      </w:pPr>
      <w:r w:rsidRPr="009A2018">
        <w:rPr>
          <w:rFonts w:eastAsia="Calibri" w:cs="Times New Roman"/>
          <w:color w:val="000000"/>
          <w:szCs w:val="24"/>
        </w:rPr>
        <w:t xml:space="preserve">Što se tiče </w:t>
      </w:r>
      <w:r w:rsidRPr="009A2018">
        <w:rPr>
          <w:rFonts w:eastAsia="Calibri" w:cs="Times New Roman"/>
          <w:b/>
          <w:color w:val="000000"/>
          <w:szCs w:val="24"/>
        </w:rPr>
        <w:t>sredstava iz bruto nacionalnog dohotka</w:t>
      </w:r>
      <w:r w:rsidRPr="009A2018">
        <w:rPr>
          <w:rFonts w:eastAsia="Calibri" w:cs="Times New Roman"/>
          <w:color w:val="000000"/>
          <w:szCs w:val="24"/>
        </w:rPr>
        <w:t>, BDP Crne Gore se računa prema metodologiji Evropskog sistema nacionalnih i regionalnih računa (ESA 2010). Podaci o GNI dostupni su za period od 2010. do 2018. godine i objavljuju se na sajtu Monstata. Potrebni su trajni napori u pogledu iscrpnosti nacionalnih računa i obračuna BDP/GNI.</w:t>
      </w:r>
    </w:p>
    <w:bookmarkEnd w:id="307"/>
    <w:bookmarkEnd w:id="308"/>
    <w:p w:rsidR="00622A95" w:rsidRPr="009A2018" w:rsidRDefault="00622A95" w:rsidP="00EC1790">
      <w:pPr>
        <w:autoSpaceDE w:val="0"/>
        <w:autoSpaceDN w:val="0"/>
        <w:adjustRightInd w:val="0"/>
        <w:spacing w:after="120" w:line="240" w:lineRule="auto"/>
        <w:jc w:val="both"/>
        <w:rPr>
          <w:rFonts w:eastAsia="Calibri" w:cs="Times New Roman"/>
          <w:color w:val="000000"/>
          <w:szCs w:val="24"/>
        </w:rPr>
      </w:pPr>
      <w:r w:rsidRPr="009A2018">
        <w:rPr>
          <w:rFonts w:eastAsia="Calibri" w:cs="Times New Roman"/>
          <w:color w:val="000000"/>
          <w:szCs w:val="24"/>
        </w:rPr>
        <w:t xml:space="preserve">Što se tiče </w:t>
      </w:r>
      <w:r w:rsidRPr="009A2018">
        <w:rPr>
          <w:rFonts w:eastAsia="Calibri" w:cs="Times New Roman"/>
          <w:b/>
          <w:color w:val="000000"/>
          <w:szCs w:val="24"/>
        </w:rPr>
        <w:t>administrativne infrastukture</w:t>
      </w:r>
      <w:r w:rsidRPr="009A2018">
        <w:rPr>
          <w:rFonts w:eastAsia="Calibri" w:cs="Times New Roman"/>
          <w:color w:val="000000"/>
          <w:szCs w:val="24"/>
        </w:rPr>
        <w:t>, neophodno je izraditi sveobuhvatan plan obuke ili tvining vježbu i obezbijediti izgradnju kapaciteta za Direktorat za budžet. Ovo se naročito odnosi na Direkciju za koordinaciju i upravljanje sopstvenim sredstvima EU, kao i na sve institucije uključene u sistem sopstvenih sredstava. U toku je implementacija ažuriranog akcionog plana za sopstvena sredstva, koji je usvojen u proljeće 2019. godine, ali su potrebni trajni napori za njegovu punu implementaciju u utvrđenim rokovima.</w:t>
      </w:r>
    </w:p>
    <w:p w:rsidR="00622A95" w:rsidRPr="009A2018" w:rsidRDefault="00622A95" w:rsidP="00EC1790">
      <w:pPr>
        <w:spacing w:after="160" w:line="259" w:lineRule="auto"/>
        <w:rPr>
          <w:rFonts w:eastAsia="Times New Roman" w:cs="Times New Roman"/>
          <w:szCs w:val="24"/>
        </w:rPr>
      </w:pPr>
      <w:r w:rsidRPr="009A2018">
        <w:rPr>
          <w:rFonts w:eastAsia="Times New Roman" w:cs="Times New Roman"/>
          <w:szCs w:val="24"/>
        </w:rPr>
        <w:br w:type="page"/>
      </w:r>
    </w:p>
    <w:p w:rsidR="00622A95" w:rsidRPr="009A2018" w:rsidRDefault="00622A95" w:rsidP="00EC1790">
      <w:pPr>
        <w:pStyle w:val="Heading2"/>
        <w:rPr>
          <w:rFonts w:eastAsia="Times New Roman"/>
        </w:rPr>
      </w:pPr>
      <w:bookmarkStart w:id="309" w:name="_Toc52744965"/>
      <w:bookmarkStart w:id="310" w:name="_Toc53362473"/>
      <w:r w:rsidRPr="009A2018">
        <w:rPr>
          <w:rFonts w:eastAsia="Times New Roman"/>
        </w:rPr>
        <w:t xml:space="preserve">Aneks I – </w:t>
      </w:r>
      <w:bookmarkEnd w:id="309"/>
      <w:r w:rsidRPr="009A2018">
        <w:rPr>
          <w:rFonts w:eastAsia="Times New Roman"/>
        </w:rPr>
        <w:t>Odnosi između EU i Crne Gore</w:t>
      </w:r>
      <w:bookmarkEnd w:id="310"/>
    </w:p>
    <w:p w:rsidR="00622A95" w:rsidRPr="009A2018" w:rsidRDefault="00622A95" w:rsidP="00EC1790">
      <w:pPr>
        <w:autoSpaceDE w:val="0"/>
        <w:autoSpaceDN w:val="0"/>
        <w:adjustRightInd w:val="0"/>
        <w:spacing w:after="120" w:line="240" w:lineRule="auto"/>
        <w:jc w:val="both"/>
        <w:rPr>
          <w:rFonts w:eastAsia="Calibri"/>
          <w:noProof/>
        </w:rPr>
      </w:pPr>
      <w:r w:rsidRPr="009A2018">
        <w:rPr>
          <w:rFonts w:eastAsia="Calibri"/>
          <w:noProof/>
        </w:rPr>
        <w:t xml:space="preserve">U okviru </w:t>
      </w:r>
      <w:r w:rsidRPr="009A2018">
        <w:rPr>
          <w:rFonts w:eastAsia="Calibri"/>
          <w:b/>
          <w:noProof/>
        </w:rPr>
        <w:t>pregovora o pristupanju</w:t>
      </w:r>
      <w:r w:rsidRPr="009A2018">
        <w:rPr>
          <w:rFonts w:eastAsia="Calibri"/>
          <w:noProof/>
        </w:rPr>
        <w:t>, do oktobra 2020. godine, otvoreno je svako od 33 poglavlja, uključujući poglavlja 23 i 24 o vladavini prava, od kojih su tri, tj. Nauka i istraživanje, Obrazovanje i kultura i Vanjski odnosi, privremeno zatvorena.</w:t>
      </w:r>
    </w:p>
    <w:p w:rsidR="00622A95" w:rsidRPr="009A2018" w:rsidRDefault="00622A95" w:rsidP="00EC1790">
      <w:pPr>
        <w:spacing w:after="120" w:line="240" w:lineRule="auto"/>
        <w:jc w:val="both"/>
        <w:rPr>
          <w:rFonts w:eastAsia="Calibri"/>
          <w:noProof/>
        </w:rPr>
      </w:pPr>
      <w:r w:rsidRPr="009A2018">
        <w:rPr>
          <w:rFonts w:eastAsia="Calibri"/>
          <w:noProof/>
        </w:rPr>
        <w:t xml:space="preserve">Crna Gora učestvuje u </w:t>
      </w:r>
      <w:r w:rsidRPr="009A2018">
        <w:rPr>
          <w:rFonts w:eastAsia="Calibri"/>
          <w:b/>
          <w:noProof/>
        </w:rPr>
        <w:t>Procesu stabilizacije i pridruživanja</w:t>
      </w:r>
      <w:r w:rsidRPr="009A2018">
        <w:rPr>
          <w:rFonts w:eastAsia="Calibri"/>
          <w:noProof/>
        </w:rPr>
        <w:t xml:space="preserve">. Sve u svemu, Crna Gora je nastavila uopšteno da sprovodi svoje obaveze u skladu sa </w:t>
      </w:r>
      <w:r w:rsidRPr="009A2018">
        <w:rPr>
          <w:rFonts w:eastAsia="Calibri"/>
          <w:b/>
          <w:noProof/>
        </w:rPr>
        <w:t>Sporazumom o stabilizaciji i pridruživanju</w:t>
      </w:r>
      <w:r w:rsidRPr="009A2018">
        <w:rPr>
          <w:rFonts w:eastAsia="Calibri"/>
          <w:noProof/>
        </w:rPr>
        <w:t xml:space="preserve"> (SSP).</w:t>
      </w:r>
      <w:r w:rsidR="005704F0">
        <w:rPr>
          <w:rFonts w:eastAsia="Calibri"/>
          <w:noProof/>
        </w:rPr>
        <w:t xml:space="preserve"> </w:t>
      </w:r>
      <w:r w:rsidRPr="009A2018">
        <w:rPr>
          <w:rFonts w:eastAsia="Calibri"/>
          <w:noProof/>
        </w:rPr>
        <w:t>Redovni politički i ekonomski dijalog između EU i Crne Gore nastavljen je kroz strukture SSP. Savjet za stabilizaciju i pridruživanje sastao se u junu 2019, a Odbor za stabilizaciju i pridruživanje u decembru 2019. godine. Tokom cijelog perioda održavani su redovni sastanci pododbora. U februaru 2020. godineodržan je sastanak Parlamentarnog odbora za stabilizaciju i pridruživanje.</w:t>
      </w:r>
    </w:p>
    <w:p w:rsidR="00622A95" w:rsidRPr="009A2018" w:rsidRDefault="00622A95" w:rsidP="00EC1790">
      <w:pPr>
        <w:autoSpaceDE w:val="0"/>
        <w:autoSpaceDN w:val="0"/>
        <w:adjustRightInd w:val="0"/>
        <w:spacing w:after="120" w:line="240" w:lineRule="auto"/>
        <w:jc w:val="both"/>
        <w:rPr>
          <w:noProof/>
          <w:lang w:eastAsia="en-GB"/>
        </w:rPr>
      </w:pPr>
      <w:r w:rsidRPr="009A2018">
        <w:rPr>
          <w:noProof/>
          <w:lang w:eastAsia="en-GB"/>
        </w:rPr>
        <w:t>Crna Gora učestvuje u ministarskom dijalogu između ministara ekonomije i finansija EU i zemalja kandidata, koji ima za cilj da doprinese postepenom ispunjavaju ekonomskih kriterijuma za pristupanje i boljoj pripremljenosti u smislu ekonomskih reformi, konkurentnosti i otvaranja novih radnih mjesta. Najskoriji sastanak održan je 19. maja 2020. godine, kada su usvojene zajedničke preporuke.</w:t>
      </w:r>
    </w:p>
    <w:p w:rsidR="00622A95" w:rsidRPr="009A2018" w:rsidRDefault="00622A95" w:rsidP="00EC1790">
      <w:pPr>
        <w:spacing w:after="120" w:line="240" w:lineRule="auto"/>
        <w:jc w:val="both"/>
        <w:rPr>
          <w:rFonts w:eastAsia="Calibri"/>
          <w:bCs/>
          <w:noProof/>
        </w:rPr>
      </w:pPr>
      <w:r w:rsidRPr="009A2018">
        <w:rPr>
          <w:rFonts w:eastAsia="Calibri"/>
          <w:b/>
          <w:bCs/>
          <w:noProof/>
        </w:rPr>
        <w:t xml:space="preserve">Vizna liberalizacija </w:t>
      </w:r>
      <w:r w:rsidRPr="009A2018">
        <w:rPr>
          <w:rFonts w:eastAsia="Calibri"/>
          <w:bCs/>
          <w:noProof/>
        </w:rPr>
        <w:t xml:space="preserve">za građane Crne Gore koja putuju u Šengen zonu na snazi je od decembra 2009. godine. Kao dio mehanizma za praćenje koji je uspostavljen nakon liberalizacije viznog režima, Komisija redovno ocjenjuje napredak koji je država ostvarila u sprovođenju reformi uvedenih u okviru mape puta za vize. Mehanizam za praćenje takođe uključuje mehanizam upozorenja kako bi se spriječile zloupotrebe, koji koordinira Agencija za evropsku graničnu i obalsku stražu. Komisija redovno podnosi izvještaje o praćenju nakon vizne liberalizacije Evropskom parlamentu i Savjetu. </w:t>
      </w:r>
      <w:r w:rsidRPr="009A2018">
        <w:rPr>
          <w:rFonts w:eastAsia="Calibri"/>
          <w:b/>
          <w:bCs/>
          <w:noProof/>
        </w:rPr>
        <w:t>Sporazum o readmisiji</w:t>
      </w:r>
      <w:r w:rsidRPr="009A2018">
        <w:rPr>
          <w:rFonts w:eastAsia="Calibri"/>
          <w:bCs/>
          <w:noProof/>
        </w:rPr>
        <w:t xml:space="preserve"> između Evropske unije i Crne Gore na snazi je od 2008. godine.</w:t>
      </w:r>
    </w:p>
    <w:p w:rsidR="00622A95" w:rsidRPr="00C35FD0" w:rsidRDefault="00622A95" w:rsidP="00EC1790">
      <w:pPr>
        <w:spacing w:after="120" w:line="240" w:lineRule="auto"/>
        <w:jc w:val="both"/>
        <w:rPr>
          <w:rFonts w:eastAsia="Calibri"/>
          <w:bCs/>
          <w:noProof/>
          <w:lang w:val="fr-FR"/>
        </w:rPr>
      </w:pPr>
      <w:r w:rsidRPr="009A2018">
        <w:rPr>
          <w:rFonts w:eastAsia="Calibri"/>
          <w:bCs/>
          <w:noProof/>
        </w:rPr>
        <w:t xml:space="preserve">Crna Gora trenutno koristi finansijsku pomoć EU u okviru Instrumenta za pretpristupnu pomoć (IPA) sa okvirnim iznosom izdvojenih sredstava od 279,5 miliona eura za period 2014-2020. </w:t>
      </w:r>
      <w:r w:rsidRPr="00C35FD0">
        <w:rPr>
          <w:rFonts w:eastAsia="Calibri"/>
          <w:bCs/>
          <w:noProof/>
          <w:lang w:val="fr-FR"/>
        </w:rPr>
        <w:t>Ovo je sada programirano na osnovu prioriteta navedenih u Indikativnom strateškom dokumentu. Međutim, izbijanjem pandemije COVID-19, reprogramirano je 53 miliona eura u svrhu pomoći kod socijalnog i ekonomskog odgovora državnih organa na ovu krizu, uz poseban akcenat na zaštitu najosjetljivijih društvenih grupa. Ovaj iznos uključuje podršku za isporuku hitnih zdravstvenih zaliha, fokusirani socijalni i zdravstveni program i, jednako važno, za program budžetske pomoći. Kao dio šireg odgovora na COVID-19, EU je obezbijedila sredstva makrofinansijske pomoći u iznosu od 60 miliona eura kroz visoko povoljne zajmove, radi potpore lokalnoj privredi.</w:t>
      </w:r>
    </w:p>
    <w:p w:rsidR="00622A95" w:rsidRPr="009A2018" w:rsidRDefault="00622A95" w:rsidP="00EC1790">
      <w:pPr>
        <w:spacing w:after="120" w:line="240" w:lineRule="auto"/>
        <w:jc w:val="both"/>
        <w:rPr>
          <w:rFonts w:eastAsia="Calibri"/>
          <w:noProof/>
        </w:rPr>
      </w:pPr>
      <w:r w:rsidRPr="009A2018">
        <w:rPr>
          <w:rFonts w:eastAsia="Calibri"/>
          <w:noProof/>
        </w:rPr>
        <w:t>Crna Gora i dalje koristi podršku u okviru multikorisničkih i regionalnih IPA programa. Ovi programi su takođe djelimično prilagođeni kako bi se odgovorilo na krizu izazvanu pandemijom COVID-19. Pored toga, Crna Gora i dalje učestvuje u četiri programa prekogranične saradnje sa susjednim zemljama Zapadnog Balkana i programima transnacionalne saradnje sa državama članicama u okviru Evropskog fonda za regionalni razvoj i Jadranskog prekograničnog programa IPA.</w:t>
      </w:r>
    </w:p>
    <w:p w:rsidR="00622A95" w:rsidRPr="009A2018" w:rsidRDefault="00622A95" w:rsidP="00EC1790">
      <w:pPr>
        <w:spacing w:after="120" w:line="240" w:lineRule="auto"/>
        <w:jc w:val="both"/>
        <w:rPr>
          <w:rFonts w:eastAsia="Calibri"/>
          <w:noProof/>
        </w:rPr>
      </w:pPr>
      <w:r w:rsidRPr="009A2018">
        <w:rPr>
          <w:rFonts w:eastAsia="Calibri"/>
          <w:noProof/>
        </w:rPr>
        <w:t>Crna Gora i dalje učestvuje u sljedećim programima EU, uz podršku IPA: Erasmus +, Kreativna Evropa (Kultura i mediji), Zapošljavanje i socijalne inovacije, Horizont 2020, Carine 2020, Fiscalis 2020, Program za podsticanje konkurentnosti malih i srednjih preduzeća (COSME). Crna Gora takođe učestvuje sa sopstvenim sredstvima u Programu EU za pravosuđe.</w:t>
      </w:r>
    </w:p>
    <w:p w:rsidR="00622A95" w:rsidRPr="009A2018" w:rsidRDefault="00622A95" w:rsidP="00EC1790">
      <w:pPr>
        <w:spacing w:after="120" w:line="240" w:lineRule="auto"/>
        <w:jc w:val="both"/>
        <w:rPr>
          <w:rFonts w:eastAsia="Calibri"/>
          <w:noProof/>
        </w:rPr>
      </w:pPr>
    </w:p>
    <w:p w:rsidR="00622A95" w:rsidRPr="009A2018" w:rsidRDefault="00622A95" w:rsidP="00EC1790">
      <w:pPr>
        <w:spacing w:after="120" w:line="240" w:lineRule="auto"/>
        <w:jc w:val="both"/>
        <w:rPr>
          <w:rFonts w:ascii="Times New Roman Bold" w:eastAsia="Times New Roman" w:hAnsi="Times New Roman Bold" w:cs="Times New Roman"/>
          <w:b/>
          <w:smallCaps/>
          <w:szCs w:val="24"/>
        </w:rPr>
        <w:sectPr w:rsidR="00622A95" w:rsidRPr="009A2018" w:rsidSect="00A63CE4">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440" w:header="709" w:footer="709" w:gutter="0"/>
          <w:cols w:space="708"/>
          <w:docGrid w:linePitch="360"/>
        </w:sectPr>
      </w:pPr>
    </w:p>
    <w:tbl>
      <w:tblPr>
        <w:tblW w:w="14175" w:type="dxa"/>
        <w:tblInd w:w="78" w:type="dxa"/>
        <w:tblLayout w:type="fixed"/>
        <w:tblLook w:val="0000" w:firstRow="0" w:lastRow="0" w:firstColumn="0" w:lastColumn="0" w:noHBand="0" w:noVBand="0"/>
      </w:tblPr>
      <w:tblGrid>
        <w:gridCol w:w="6804"/>
        <w:gridCol w:w="567"/>
        <w:gridCol w:w="1134"/>
        <w:gridCol w:w="1134"/>
        <w:gridCol w:w="1134"/>
        <w:gridCol w:w="1134"/>
        <w:gridCol w:w="1134"/>
        <w:gridCol w:w="1134"/>
      </w:tblGrid>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en-GB"/>
              </w:rPr>
            </w:pPr>
            <w:r w:rsidRPr="009A2018">
              <w:rPr>
                <w:rFonts w:ascii="Arial" w:hAnsi="Arial" w:cs="Arial"/>
                <w:b/>
                <w:bCs/>
                <w:color w:val="000000"/>
                <w:sz w:val="16"/>
                <w:szCs w:val="16"/>
                <w:lang w:eastAsia="en-GB"/>
              </w:rPr>
              <w:t>STATISTIČKI PODACI (na dan 03.04.2020)</w:t>
            </w: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r>
      <w:tr w:rsidR="00622A95" w:rsidRPr="009A2018" w:rsidTr="00620E1E">
        <w:trPr>
          <w:cantSplit/>
          <w:trHeight w:val="25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FF0000"/>
                <w:sz w:val="16"/>
                <w:szCs w:val="16"/>
                <w:lang w:eastAsia="en-GB"/>
              </w:rPr>
            </w:pPr>
            <w:r w:rsidRPr="009A2018">
              <w:rPr>
                <w:rFonts w:ascii="Arial" w:hAnsi="Arial" w:cs="Arial"/>
                <w:b/>
                <w:bCs/>
                <w:color w:val="FF0000"/>
                <w:sz w:val="16"/>
                <w:szCs w:val="16"/>
                <w:lang w:eastAsia="en-GB"/>
              </w:rPr>
              <w:t>Crna Gora</w:t>
            </w: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en-GB"/>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Osnovni podaci</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Stanovništvo (u hiljadama)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Ukupna površina zemlje (km²)</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13 812</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Nacionalni računi</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domaći proizvod (BDP)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2 689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3 458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3 655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3 954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4 299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4 663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BDP (euro po glavi stanovnika)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4 370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5 560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5 870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6 350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6 910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7 490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BDP po glavi stanovnika (iskazan preko standarda kupovne moći (SKM))</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9 840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11 010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11 740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12 640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13 420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14 390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BDP po glavi stanovnika (iskazan preko SKM), u odnosu na EU prosjek (EU-27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44,9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45,9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rasta realnog BDP-a: promjena u BDP-u od prethodne godine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Rast zaposlenosti (podaci nacionalnih računa), u odnosu na prethodnu godinu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Rast produktivnosti radne snage: rast BDP-a (u obimu) po zaposlenom licu, u odnosu na prethodnu godinu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Jedinični rast troškova rada, u odnosu na prethodnu godinu (%)</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jc w:val="right"/>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**trogodišnja promjena (T / T-3) u nominalnom indeksu rasta jediničnih troškova radne snage (2010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Produktivnost radne snage po zaposlenom: BDP (u SKM) po zaposlenom licu u odnosu na prosjek EU (EU-27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dodata vrijednost po glavnim sektorima</w:t>
            </w:r>
          </w:p>
        </w:tc>
        <w:tc>
          <w:tcPr>
            <w:tcW w:w="567" w:type="dxa"/>
            <w:tcBorders>
              <w:top w:val="single" w:sz="6" w:space="0" w:color="auto"/>
              <w:left w:val="single" w:sz="6" w:space="0" w:color="auto"/>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Poljoprivreda, šumarstvo i ribarstvo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Industrija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12,5</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Građevinarstvo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Usluge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72,3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72,1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73,4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72,3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Troškovi finalne potrošnje, kao učešće u BDP-u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108,0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99,6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96,4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93,2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91,9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investicije u osnovna sredstva, kao učešće u BDP-u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Promjene u zalihama, kao učešće u BDP-u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Izvoz roba i usluga,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Uvoz robe i usluga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85,7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60,0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63,1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64,5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66,7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investicije opšteg sektora države u osnovna sredstva, kao procenat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Poslovanje</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Indeks obima industrijske proizvodnje (2015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145,0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92,7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100,0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97,1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113,8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Broj aktivnih privrednih društava (broj)</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osnivanja novih preduzeća: broj osnovanih novih preduzeća u referentnom periodu (t) podijeljen sa brojem preduzeća aktivnih u t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zatvorenih preduzeća: broj zatvorenih preduzeća u referentnom periodu (t) podijeljen sa brojem preduzeća aktivnih u t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Lica zaposlena u MSP kao udio u broju svih zaposlenih lica (u nefinansijskoj privredi)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Dodata vrijednost MSP (u nefinansijskoj privredi)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1 071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1 220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Ukupna dodata vrijednost (u nefinansijskoj privredi)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1 308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1 336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1 530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1 780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Stopa inflacije i cijene stanova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Harmonizovani indeks potrošačkih cijena (HIPC), promjena u odnosu na prethodnu godinu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**Godišnja promjena u deflacioniranom indeksu cijena stanova (2015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Platni bilans</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Platni bilans: ukupno tekući račun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-1 058,7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-642,0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-792,8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Platni bilans tekući račun: spoljno-trgovinski bilans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-1 544,4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-1 376,4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-1 463,7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-1 657,7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-1 860,1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-2 049,2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Platni bilans tekući račun: neto usluge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395,0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690,3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788,9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769,1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851,8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936,6</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Platni bilans tekući račun: neto bilans primarnih prihoda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45,9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80,0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88,3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54,9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Platni bilans tekući račun: neto bilans sekundarnih prihoda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59,4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211,0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193,1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212,0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264,8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Neto bilans primarnih i sekundarnih prihoda: od čega državni transferi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 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**pokretni prosjek tekućeg računa u odnosu na BDP za prethodne 3 godine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**petogodišnja promjena udjela svjetskog izvoza roba i usluga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Neto bilans (ulaznih – izlaznih) stranih direktnih investicija (SDI)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567,8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353,9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484,3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322,5</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Strane direktne investicije (SDI) u inostranstvu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115,0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92,3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od čega SDI zemlje koja podnosi izvještaj u privredama zemalja EU-27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79,6</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Strane direktne investicije u privredi zemlje koja podnosi izvještaj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682,7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374,6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630,3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204,5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494,4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414,8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od čega SDI zemalja EU-27 u privredi zemlje koja podnosi izvještaj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104,7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393,2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Neto pozicija međunarodnih investicija,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-169,5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-169,4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Godišnje stope promjene u bruto prilivu doznaka (u nacionalnoj valuti) od radnika migranata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12,6</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Javne finansije</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Deficit/ suficit opšteg državnog sektora,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Bruto dug opšteg državnog sektora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59,9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66,2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70,9e</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Ukupni državni prihodi, kao procenat BDP-a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49,5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44,8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Ukupni državni rashodi, kao procenat BDP-a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43,3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50,0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46,2</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Finansijski indikatori</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spoljni dug ukupne privrede,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164,7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spoljni dug ukupne privrede, u odnosu na ukupan izvoz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Novčana masa: M1 (novčanice, novčić i, prekonoćna oročenja,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592,4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Novčana masa: M2 (M1 plus depoziti sa rokom dospijeća do dvije godine,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1 557,0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Novčana masa: M3 (M2 plus utrživi instrumenti,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2 728,2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Ukupan zajam monetarnih finansijskih institucija građanima (konsolidovan)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2 224,2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1 933,5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1 959,5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2 080,6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2 294,1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2 528,0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Godišnja promjena u pasivi finansijskog sektora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Privatni kreditni tok, konsolidovan,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 Privatni dug, konsolidovan,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Kamatne stope: dnevna novčana stopa, godišnje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Aktivna kamatna stopa (godinu dana), godišnje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8,53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6,81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6,36</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Kamatna stopa na depozit (godinu dana), godišnje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0,56</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Kurs eura: prosjek perioda (1 euro = ... domaća valuta)</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Trgovinski ponderisan indeks efektivnog deviznog kursa, 42 zemlje (2005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**3-godišnja promjena (T/T-3) u trgovinski ponderisanom indeksu efektivnog deviznog kursa, 42 zemlje (2005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Vrijednost rezervnih sredstava (uključujuć i zlato)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467,9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544,7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752,9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847,2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1 049,8</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Spoljna trgovina robom</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Vrijednost uvoza: sva roba, svi partneri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jc w:val="center"/>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2 073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1 784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1 842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2 062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2 304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2 554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Vrijednost izvoza: sva roba, svi partneri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jc w:val="center"/>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455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before="120" w:after="0"/>
              <w:rPr>
                <w:rFonts w:ascii="Arial" w:hAnsi="Arial" w:cs="Arial"/>
                <w:color w:val="000000"/>
                <w:sz w:val="16"/>
                <w:szCs w:val="16"/>
                <w:lang w:val="fr-FR" w:eastAsia="zh-CN"/>
              </w:rPr>
            </w:pPr>
            <w:r w:rsidRPr="00C35FD0">
              <w:rPr>
                <w:rFonts w:ascii="Arial" w:hAnsi="Arial" w:cs="Arial"/>
                <w:color w:val="000000"/>
                <w:sz w:val="16"/>
                <w:szCs w:val="16"/>
                <w:lang w:val="fr-FR" w:eastAsia="zh-CN"/>
              </w:rPr>
              <w:t>Trgovinski bilans: sva roba, svi partneri (u milionima eura)</w:t>
            </w:r>
          </w:p>
        </w:tc>
        <w:tc>
          <w:tcPr>
            <w:tcW w:w="567" w:type="dxa"/>
            <w:tcBorders>
              <w:top w:val="single" w:sz="6" w:space="0" w:color="auto"/>
              <w:left w:val="single" w:sz="6" w:space="0" w:color="auto"/>
              <w:bottom w:val="single" w:sz="6" w:space="0" w:color="auto"/>
              <w:right w:val="single" w:sz="6" w:space="0" w:color="auto"/>
            </w:tcBorders>
          </w:tcPr>
          <w:p w:rsidR="00622A95" w:rsidRPr="00C35FD0" w:rsidRDefault="00622A95" w:rsidP="00EC1790">
            <w:pPr>
              <w:autoSpaceDE w:val="0"/>
              <w:autoSpaceDN w:val="0"/>
              <w:adjustRightInd w:val="0"/>
              <w:spacing w:after="0"/>
              <w:jc w:val="right"/>
              <w:rPr>
                <w:rFonts w:ascii="Arial" w:hAnsi="Arial" w:cs="Arial"/>
                <w:color w:val="000000"/>
                <w:sz w:val="16"/>
                <w:szCs w:val="16"/>
                <w:lang w:val="fr-FR"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-1 618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-1 451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-1 524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-1 736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-1 932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-2 153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Uslovi trgovine (indeks izvoznih cijena / indeks uvoznih cijena * 100) (broj)</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100,5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98,0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105,4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97,5</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Učešće izvoza u zemlje EU-27 u vrijednosti ukupnog izvoza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43,0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Učešće uvoza iz zemalja EU-27 u vrijednosti ukupnog uvoza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48,2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45,1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47,1</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Demografija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Gruba stopa prirodne promjene stanovništva (prirodna stopa rasta): broj rođenih minus broj umrlih (na hiljadu stanovnika)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2,4b</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smrtnosti kod djece mlađe od jedne godine (na hiljadu živorođenih)</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Očekivani životni vijek pri rođenju: muškarci (godine)</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71,9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73,9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74,5</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Očekivani životni vijek pri rođenju: žene (godine)</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78,9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78,6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78,9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79,3</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Tržište rada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ekonomske aktivnosti za lica starosti od 20 do 64 godine: procenat stanovništva od 20 do 64 godine koji je ekonomski aktivan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67,6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68,5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70,5</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Stopa zaposlenosti za lica starosti od 20-64 godina: procenat stanovnika od 20 do 64 godine koji su zaposleni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55,6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56,7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57,1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58,2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59,8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zaposlenosti muškaraca za lica starosti od 20 do 64 godine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65,2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66,7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zaposlenosti žena za lica starosti od 20 do 64 godine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49,4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52,9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zaposlenosti za lica starosti od 55 do 64 godine: procenat stanovnika od 55 do 64 godine koji su zaposleni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38,7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43,7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46,6</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Zapošljavanje po glavnim sektorima</w:t>
            </w:r>
          </w:p>
        </w:tc>
        <w:tc>
          <w:tcPr>
            <w:tcW w:w="567" w:type="dxa"/>
            <w:tcBorders>
              <w:top w:val="single" w:sz="6" w:space="0" w:color="auto"/>
              <w:left w:val="single" w:sz="6" w:space="0" w:color="auto"/>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single" w:sz="6" w:space="0" w:color="auto"/>
              <w:left w:val="nil"/>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Poljoprivreda, šumarstvo i ribarstvo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Industrija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9,9</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Građevinarstvo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Usluge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76,8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74,8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75,0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73,1</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Zaposleni u javnom sektoru kao udio u ukupnoj zaposlenosti, lica starosti 20-64 godine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Zaposleni u privatnom sektoru kao udio u ukupnoj zaposlenosti, lica starosti 20-64 godine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40,2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48,2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45,1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63,2b</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nezaposlenosti: procenat radne snage koja je nezaposlena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15,2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nezaposlenosti za muškarce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15,4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15,3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nezaposlenosti za žene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15,1</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nezaposlenosti mladih: procenat radne snage od 15 do 24 godine koja je nezaposlena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38,3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35,8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35,9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dugoročne nezaposlenosti: procenat radne snage koja je nezaposlena 12 mjeseci ili duže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nezaposlenosti za lica (starosti od 25 do 64 godine) koja su završila najnižu srednju školu (nivo 0-2 Međunarodne standardne klasifikacije obrazovanja (ISCED))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28,7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21,0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Stopa nezaposlenosti za lica (starosti od 25 do 64 godine) koja su završila tercijarni nivo obrazovanja (nivo 5-8 Međunarodne standardne klasifikacije obrazovanja (ISCED))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13,9</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Socijalna kohezija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Prosječne nominalne mjesečne zarade i plate (domaća valuta)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479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480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499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511</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Indeks realnih zarada i plata (indeks nominalnih zarada i plata podijeljen indeksom inflacije) (2010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94,2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92,0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GINI koeficijent</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35p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Jaz siromaštva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35,6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35,3p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xml:space="preserve">* Rano odustajanje od obrazovanja i obuke: procenat stanovništva starosne dobi od 18-24 godine sa najnižim srednjim obrazovanjem koji </w:t>
            </w:r>
            <w:r w:rsidR="00402F96">
              <w:rPr>
                <w:rFonts w:ascii="Arial" w:hAnsi="Arial" w:cs="Arial"/>
                <w:color w:val="000000"/>
                <w:sz w:val="16"/>
                <w:szCs w:val="16"/>
                <w:lang w:eastAsia="zh-CN"/>
              </w:rPr>
              <w:t>nijesu</w:t>
            </w:r>
            <w:r w:rsidRPr="009A2018">
              <w:rPr>
                <w:rFonts w:ascii="Arial" w:hAnsi="Arial" w:cs="Arial"/>
                <w:color w:val="000000"/>
                <w:sz w:val="16"/>
                <w:szCs w:val="16"/>
                <w:lang w:eastAsia="zh-CN"/>
              </w:rPr>
              <w:t>obuhvaćeni daljim obrazovanjem ili usavršavanjem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4,6</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Životni standard</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Broj putničkih automobila u odnosu na broj stanovnika (broj na hiljadu stanovnika)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290,3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280,1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282,8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296,9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310,5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331,7</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Broj pretplata za mobilne telefone u odnosu na broj stanovnika (broj na hiljadu stanovnika)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1 097,9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1 630,3b</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1 620,1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1 632,5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1 636,7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1 822,8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Pokrivenost mobilnim širokopojasnim pristupom (na 100 stanovnika)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Fiksna pokrivenost širokopojasnim pristupom (na 100 stanovnika)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16,7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24,9</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Infrastruktura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5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Gustina željezničke mreže (linije u radu na hiljadu km²)</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Dužina autoputeva (u kilometrima)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Inovacije i istraživanja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Javna potrošnja za obrazovanje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Bruto domaća potrošnja za istraživanje i razvoj u odnosu na BDP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0,37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0,32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0,35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Izdvajanja iz državnog budžeta ili izdaci za istraživanje i razvoj, kao procenat BDP-a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Procenat domaćinstava koja imaju pristup internetu kod kuće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63,6e</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67,5e</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69,8e</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70,6e</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72,2e</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Životna sredina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Indeks emisije gasova sa efektom staklene bašte, ekvivalent CO</w:t>
            </w:r>
            <w:r w:rsidRPr="009A2018">
              <w:rPr>
                <w:rFonts w:ascii="Arial" w:hAnsi="Arial" w:cs="Arial"/>
                <w:color w:val="000000"/>
                <w:sz w:val="16"/>
                <w:szCs w:val="16"/>
                <w:vertAlign w:val="subscript"/>
                <w:lang w:eastAsia="zh-CN"/>
              </w:rPr>
              <w:t>2</w:t>
            </w:r>
            <w:r w:rsidRPr="009A2018">
              <w:rPr>
                <w:rFonts w:ascii="Arial" w:hAnsi="Arial" w:cs="Arial"/>
                <w:color w:val="000000"/>
                <w:sz w:val="16"/>
                <w:szCs w:val="16"/>
                <w:lang w:eastAsia="zh-CN"/>
              </w:rPr>
              <w:t xml:space="preserve"> (1990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83,3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54,6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57,6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Energetski intenzitet privrede (kg ekvivalenta nafte po BDP 1.000 eura u stalnim cijenama za 2010. godinu)</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376,0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289,1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272,9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272,2</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Električna energija proizvedena iz obnovljivih izvora u odnosu na bruto potrošnju električne energije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27,4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43,1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64,4</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Udio drumskog saobraćaja u unutrašnjem teretnom saobraćaju (na osnovu tonskih kilometara) (%)</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100,0b</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80,8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58,5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55,7</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Energetika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Primarna proizvodnja svih energetskih proizvoda (u hiljadama tona ekvivalenta nafte (TEN)</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530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705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653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613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733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Primarna proizvodnja sirove nafte (u hiljadama TEN)</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Primarna proizvodnja čvrstih goriva (u hiljadama TEN)</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266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390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308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366</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Primarna proizvodnja gasa (u hiljadama TEN)</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Neto uvoz svih energenata (u hiljadama TEN)</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621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291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306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343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333</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unutrašnja potrošnja energije (u hiljadama TEN) (u hiljadama TEN)</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1 144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974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1 019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981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1 027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1 078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Bruto proizvodnja električne energije (GWh)</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2 144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3 173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3 003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3 141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2 483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567"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c>
          <w:tcPr>
            <w:tcW w:w="1134" w:type="dxa"/>
            <w:tcBorders>
              <w:top w:val="nil"/>
              <w:left w:val="nil"/>
              <w:bottom w:val="nil"/>
              <w:right w:val="nil"/>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p>
        </w:tc>
      </w:tr>
      <w:tr w:rsidR="00622A95" w:rsidRPr="009A2018" w:rsidTr="00620E1E">
        <w:trPr>
          <w:cantSplit/>
          <w:trHeight w:val="223"/>
        </w:trPr>
        <w:tc>
          <w:tcPr>
            <w:tcW w:w="68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b/>
                <w:bCs/>
                <w:color w:val="000000"/>
                <w:sz w:val="16"/>
                <w:szCs w:val="16"/>
                <w:lang w:eastAsia="zh-CN"/>
              </w:rPr>
            </w:pPr>
            <w:r w:rsidRPr="009A2018">
              <w:rPr>
                <w:rFonts w:ascii="Arial" w:hAnsi="Arial" w:cs="Arial"/>
                <w:b/>
                <w:bCs/>
                <w:color w:val="000000"/>
                <w:sz w:val="16"/>
                <w:szCs w:val="16"/>
                <w:lang w:eastAsia="zh-CN"/>
              </w:rPr>
              <w:t>Poljoprivreda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4"/>
                <w:szCs w:val="16"/>
                <w:lang w:eastAsia="zh-CN"/>
              </w:rPr>
              <w:t>Napomena</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2018</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Indeks obima poljoprivredne proizvodnje roba i usluga (po proizvodnim cijenama) (2010 = 100)</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Iskorišćena poljoprivredna površina (u hiljadama hektara)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222,2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230,3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231,4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255,8p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256,4p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256,8p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Broj stoke: živa goveda (u hiljadama grla, kraj perioda)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109,3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93,6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92,4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89,2p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86,6p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83,3p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Broj stoke: žive svinje (u hiljadama grla, kraj perioda)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10,4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25,0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55,8p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25,0p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23,6p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Broj stoke: žive ovce i žive koze (u hiljadama grla, kraj perioda)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237,4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224,3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223,4p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218,6p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216,0p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Raspoloživo sirovo mlijeko na gazdinstvima (u hiljadama tona)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13)</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172,6</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191,8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183,1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180,6p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181,5p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181,5p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Proizvodnja usjeva koji se žanju: žitarice (uključujuć i pirinač) (u hiljadama tona)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2,4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7,6p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7,8p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7,9p</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Proizvodnja usjeva koji se beru: šećerna repa (u hiljadama tona)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0</w:t>
            </w:r>
          </w:p>
        </w:tc>
      </w:tr>
      <w:tr w:rsidR="00622A95" w:rsidRPr="009A2018" w:rsidTr="00620E1E">
        <w:trPr>
          <w:cantSplit/>
          <w:trHeight w:val="223"/>
        </w:trPr>
        <w:tc>
          <w:tcPr>
            <w:tcW w:w="680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Proizvodnja usjeva koji se beru: povrće (u hiljadama tona)</w:t>
            </w:r>
          </w:p>
        </w:tc>
        <w:tc>
          <w:tcPr>
            <w:tcW w:w="567"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14)</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31,8</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44,0</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51,1</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42,5p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41,9p</w:t>
            </w:r>
          </w:p>
        </w:tc>
        <w:tc>
          <w:tcPr>
            <w:tcW w:w="1134" w:type="dxa"/>
            <w:tcBorders>
              <w:top w:val="single" w:sz="6" w:space="0" w:color="auto"/>
              <w:left w:val="single" w:sz="6" w:space="0" w:color="auto"/>
              <w:bottom w:val="single" w:sz="6" w:space="0" w:color="auto"/>
              <w:right w:val="single" w:sz="6" w:space="0" w:color="auto"/>
            </w:tcBorders>
          </w:tcPr>
          <w:p w:rsidR="00622A95" w:rsidRPr="009A2018" w:rsidRDefault="00622A95" w:rsidP="00EC1790">
            <w:pPr>
              <w:autoSpaceDE w:val="0"/>
              <w:autoSpaceDN w:val="0"/>
              <w:adjustRightInd w:val="0"/>
              <w:spacing w:after="0"/>
              <w:jc w:val="center"/>
              <w:rPr>
                <w:rFonts w:ascii="Arial" w:hAnsi="Arial" w:cs="Arial"/>
                <w:color w:val="000000"/>
                <w:sz w:val="16"/>
                <w:szCs w:val="16"/>
                <w:lang w:eastAsia="zh-CN"/>
              </w:rPr>
            </w:pPr>
            <w:r w:rsidRPr="009A2018">
              <w:rPr>
                <w:rFonts w:ascii="Arial" w:hAnsi="Arial" w:cs="Arial"/>
                <w:color w:val="000000"/>
                <w:sz w:val="16"/>
                <w:szCs w:val="16"/>
                <w:lang w:eastAsia="zh-CN"/>
              </w:rPr>
              <w:t>43,1p</w:t>
            </w:r>
          </w:p>
        </w:tc>
      </w:tr>
    </w:tbl>
    <w:p w:rsidR="00622A95" w:rsidRPr="009A2018" w:rsidRDefault="00622A95" w:rsidP="00EC1790">
      <w:pPr>
        <w:spacing w:after="0"/>
        <w:rPr>
          <w:rFonts w:ascii="Arial" w:hAnsi="Arial" w:cs="Arial"/>
          <w:noProof/>
          <w:sz w:val="16"/>
          <w:szCs w:val="16"/>
          <w:lang w:eastAsia="en-GB"/>
        </w:rPr>
      </w:pPr>
    </w:p>
    <w:p w:rsidR="00622A95" w:rsidRPr="009A2018" w:rsidRDefault="00622A95" w:rsidP="00EC1790">
      <w:pPr>
        <w:spacing w:after="0"/>
        <w:rPr>
          <w:rFonts w:ascii="Arial" w:hAnsi="Arial" w:cs="Arial"/>
          <w:b/>
          <w:sz w:val="16"/>
          <w:szCs w:val="16"/>
          <w:lang w:eastAsia="en-GB"/>
        </w:rPr>
      </w:pPr>
      <w:r w:rsidRPr="009A2018">
        <w:rPr>
          <w:rFonts w:ascii="Arial" w:hAnsi="Arial" w:cs="Arial"/>
          <w:b/>
          <w:sz w:val="16"/>
          <w:szCs w:val="16"/>
          <w:lang w:eastAsia="en-GB"/>
        </w:rPr>
        <w:t>Izvor: Eurostat i statistički organi Crne Gore</w:t>
      </w:r>
    </w:p>
    <w:p w:rsidR="00622A95" w:rsidRPr="009A2018" w:rsidRDefault="00622A95" w:rsidP="00EC1790">
      <w:pPr>
        <w:spacing w:after="0"/>
        <w:rPr>
          <w:rFonts w:ascii="Arial" w:hAnsi="Arial" w:cs="Arial"/>
          <w:sz w:val="16"/>
          <w:szCs w:val="16"/>
          <w:lang w:eastAsia="en-GB"/>
        </w:rPr>
      </w:pPr>
    </w:p>
    <w:tbl>
      <w:tblPr>
        <w:tblW w:w="8685" w:type="dxa"/>
        <w:tblInd w:w="468" w:type="dxa"/>
        <w:tblLook w:val="04A0" w:firstRow="1" w:lastRow="0" w:firstColumn="1" w:lastColumn="0" w:noHBand="0" w:noVBand="1"/>
      </w:tblPr>
      <w:tblGrid>
        <w:gridCol w:w="8685"/>
      </w:tblGrid>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 = nije dostupno</w:t>
            </w:r>
          </w:p>
        </w:tc>
      </w:tr>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b = razvrstano u serije</w:t>
            </w:r>
          </w:p>
        </w:tc>
      </w:tr>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e = procjena</w:t>
            </w:r>
          </w:p>
        </w:tc>
      </w:tr>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p = privremeno</w:t>
            </w:r>
          </w:p>
        </w:tc>
      </w:tr>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 = indikator Evropa 2020</w:t>
            </w:r>
          </w:p>
        </w:tc>
      </w:tr>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 = indikator za makroekonomsku neravnotežu (MIP)</w:t>
            </w:r>
          </w:p>
        </w:tc>
      </w:tr>
      <w:tr w:rsidR="00622A95" w:rsidRPr="009A2018" w:rsidTr="00620E1E">
        <w:trPr>
          <w:trHeight w:val="225"/>
        </w:trPr>
        <w:tc>
          <w:tcPr>
            <w:tcW w:w="8685" w:type="dxa"/>
            <w:tcBorders>
              <w:top w:val="nil"/>
              <w:left w:val="nil"/>
              <w:bottom w:val="nil"/>
              <w:right w:val="nil"/>
            </w:tcBorders>
            <w:shd w:val="clear" w:color="auto" w:fill="auto"/>
            <w:vAlign w:val="bottom"/>
            <w:hideMark/>
          </w:tcPr>
          <w:p w:rsidR="00622A95" w:rsidRPr="009A2018" w:rsidRDefault="00622A95" w:rsidP="00EC1790">
            <w:pPr>
              <w:spacing w:after="0"/>
              <w:rPr>
                <w:rFonts w:ascii="Arial" w:hAnsi="Arial" w:cs="Arial"/>
                <w:sz w:val="16"/>
                <w:szCs w:val="16"/>
                <w:lang w:eastAsia="zh-CN"/>
              </w:rPr>
            </w:pPr>
            <w:r w:rsidRPr="009A2018">
              <w:rPr>
                <w:rFonts w:ascii="Arial" w:hAnsi="Arial" w:cs="Arial"/>
                <w:sz w:val="16"/>
                <w:szCs w:val="16"/>
                <w:lang w:eastAsia="zh-CN"/>
              </w:rPr>
              <w:t>*** = Podaci o državnom deficitu i dugu zemalja proširenja objavljuju se u formi u kojoj su dostavljeni i ne garantuje se njihov kvalitet i pridržavanje pravila o naknadama i drugim primanjima zaposlenih.</w:t>
            </w:r>
          </w:p>
        </w:tc>
      </w:tr>
    </w:tbl>
    <w:p w:rsidR="00622A95" w:rsidRPr="009A2018" w:rsidRDefault="00622A95" w:rsidP="00EC1790">
      <w:pPr>
        <w:spacing w:after="0"/>
        <w:rPr>
          <w:rFonts w:ascii="Arial" w:hAnsi="Arial" w:cs="Arial"/>
          <w:sz w:val="16"/>
          <w:szCs w:val="16"/>
          <w:lang w:eastAsia="en-GB"/>
        </w:rPr>
      </w:pPr>
    </w:p>
    <w:p w:rsidR="00622A95" w:rsidRPr="009A2018" w:rsidRDefault="00622A95" w:rsidP="00EC1790">
      <w:pPr>
        <w:spacing w:after="0"/>
        <w:rPr>
          <w:rFonts w:ascii="Arial" w:hAnsi="Arial" w:cs="Arial"/>
          <w:sz w:val="16"/>
          <w:szCs w:val="16"/>
          <w:lang w:eastAsia="en-GB"/>
        </w:rPr>
      </w:pPr>
      <w:r w:rsidRPr="009A2018">
        <w:rPr>
          <w:rFonts w:ascii="Arial" w:hAnsi="Arial" w:cs="Arial"/>
          <w:sz w:val="16"/>
          <w:szCs w:val="16"/>
          <w:lang w:eastAsia="en-GB"/>
        </w:rPr>
        <w:t>Fusnote</w:t>
      </w:r>
    </w:p>
    <w:p w:rsidR="00622A95" w:rsidRPr="009A2018" w:rsidRDefault="00622A95" w:rsidP="00EC1790">
      <w:pPr>
        <w:spacing w:after="0"/>
        <w:rPr>
          <w:rFonts w:ascii="Arial" w:hAnsi="Arial" w:cs="Arial"/>
          <w:sz w:val="16"/>
          <w:szCs w:val="16"/>
          <w:lang w:eastAsia="en-GB"/>
        </w:rPr>
      </w:pPr>
    </w:p>
    <w:tbl>
      <w:tblPr>
        <w:tblW w:w="0" w:type="auto"/>
        <w:tblInd w:w="78" w:type="dxa"/>
        <w:tblLayout w:type="fixed"/>
        <w:tblLook w:val="0000" w:firstRow="0" w:lastRow="0" w:firstColumn="0" w:lastColumn="0" w:noHBand="0" w:noVBand="0"/>
      </w:tblPr>
      <w:tblGrid>
        <w:gridCol w:w="598"/>
        <w:gridCol w:w="8504"/>
      </w:tblGrid>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1)</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2007: na osnovu petog izdanja priručnika o platnom bilansu (BPM5).</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2)</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Samo sekundarni prihod.</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3)</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Nacionalna definicija M0, koja obuhvata bankarske depozite kod CBCG (račun poravnanja i račun obavezne rezerve) i procijenjeni iznos gotovog novca u opticaju.</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4)</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Nacionalna definicija M11, koja obuhvata M0 plus depozite po viđenju nebankarskog sektora koji se drže kod banaka i CBCG, u EUR i drugim valutama, plus depozite po viđenju centralne vlade u EUR i drugim valutama.</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5)</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Nacionalna definicija M21, koja obuhvata M11 plus oročene depozite nebankarskog sektora kod banaka, u EUR i drugim valutama, plus oročene depozite centralne vlade u EUR i drugim valutama.</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6)</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 xml:space="preserve">Zajmovi uključuju ukupne zajmove banaka odobrene licima koja </w:t>
            </w:r>
            <w:r w:rsidR="00402F96">
              <w:rPr>
                <w:rFonts w:ascii="Arial" w:hAnsi="Arial" w:cs="Arial"/>
                <w:color w:val="000000"/>
                <w:sz w:val="16"/>
                <w:szCs w:val="16"/>
                <w:lang w:eastAsia="zh-CN"/>
              </w:rPr>
              <w:t>nijesu</w:t>
            </w:r>
            <w:r w:rsidRPr="009A2018">
              <w:rPr>
                <w:rFonts w:ascii="Arial" w:hAnsi="Arial" w:cs="Arial"/>
                <w:color w:val="000000"/>
                <w:sz w:val="16"/>
                <w:szCs w:val="16"/>
                <w:lang w:eastAsia="zh-CN"/>
              </w:rPr>
              <w:t>rezidenti MFI i druga potraživanja (faktoring i forfetiranje, potraživanja po osnovu neizmirenih akceptnih mjenica, garancije i mjenice).</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7)</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Ponderisana prosječna efektivna kamatna stopa, neplaćeni iznosi.</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8)</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Izračunato iz indeksa sa prethodnom godinom kao referentnom godinom (= 100).</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9)</w:t>
            </w:r>
          </w:p>
        </w:tc>
        <w:tc>
          <w:tcPr>
            <w:tcW w:w="8504" w:type="dxa"/>
            <w:tcBorders>
              <w:top w:val="nil"/>
              <w:left w:val="nil"/>
              <w:bottom w:val="nil"/>
              <w:right w:val="nil"/>
            </w:tcBorders>
          </w:tcPr>
          <w:p w:rsidR="00622A95" w:rsidRPr="009A2018" w:rsidRDefault="00402F96" w:rsidP="00EC1790">
            <w:pPr>
              <w:autoSpaceDE w:val="0"/>
              <w:autoSpaceDN w:val="0"/>
              <w:adjustRightInd w:val="0"/>
              <w:spacing w:after="0"/>
              <w:rPr>
                <w:rFonts w:ascii="Arial" w:hAnsi="Arial" w:cs="Arial"/>
                <w:color w:val="000000"/>
                <w:sz w:val="16"/>
                <w:szCs w:val="16"/>
                <w:lang w:eastAsia="zh-CN"/>
              </w:rPr>
            </w:pPr>
            <w:r>
              <w:rPr>
                <w:rFonts w:ascii="Arial" w:hAnsi="Arial" w:cs="Arial"/>
                <w:color w:val="000000"/>
                <w:sz w:val="16"/>
                <w:szCs w:val="16"/>
                <w:lang w:eastAsia="zh-CN"/>
              </w:rPr>
              <w:t>Nijesu</w:t>
            </w:r>
            <w:r w:rsidR="00622A95" w:rsidRPr="009A2018">
              <w:rPr>
                <w:rFonts w:ascii="Arial" w:hAnsi="Arial" w:cs="Arial"/>
                <w:color w:val="000000"/>
                <w:sz w:val="16"/>
                <w:szCs w:val="16"/>
                <w:lang w:eastAsia="zh-CN"/>
              </w:rPr>
              <w:t>obuhvaćeni podaci nevladinih organizacija. Broj zaposlenih u javnom sektoru kao udio u ukupnom broju zaposlenih.</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10)</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Sastoji se od podataka privatnih preduzeća, preduzetnika i privatnih domaćinstava. 2007. i 2014-2017: broj zaposlenih u privatnom sektoru kao udio u ukupnom broju zaposlenih. 2018: broj lica zaposlenih u privatnom sektoru kao udio u ukupnom broju zaposlenih.</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11)</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2007: ukupan teretni saobraćaj (nacionalna teritorija i međunarodni prevoz)</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12)</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Uključujući životinje koje drže preduzeća, zadruge i domaćinstva.</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13)</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U milionima litara. Neto količina, od preduzeća, zadruga i domaćinstava.</w:t>
            </w:r>
          </w:p>
        </w:tc>
      </w:tr>
      <w:tr w:rsidR="00622A95" w:rsidRPr="009A2018" w:rsidTr="00620E1E">
        <w:trPr>
          <w:trHeight w:val="108"/>
        </w:trPr>
        <w:tc>
          <w:tcPr>
            <w:tcW w:w="598" w:type="dxa"/>
            <w:tcBorders>
              <w:top w:val="nil"/>
              <w:left w:val="nil"/>
              <w:bottom w:val="nil"/>
              <w:right w:val="nil"/>
            </w:tcBorders>
          </w:tcPr>
          <w:p w:rsidR="00622A95" w:rsidRPr="009A2018" w:rsidRDefault="00622A95" w:rsidP="00EC1790">
            <w:pPr>
              <w:autoSpaceDE w:val="0"/>
              <w:autoSpaceDN w:val="0"/>
              <w:adjustRightInd w:val="0"/>
              <w:spacing w:after="0"/>
              <w:jc w:val="right"/>
              <w:rPr>
                <w:rFonts w:ascii="Arial" w:hAnsi="Arial" w:cs="Arial"/>
                <w:color w:val="000000"/>
                <w:sz w:val="16"/>
                <w:szCs w:val="16"/>
                <w:lang w:eastAsia="zh-CN"/>
              </w:rPr>
            </w:pPr>
            <w:r w:rsidRPr="009A2018">
              <w:rPr>
                <w:rFonts w:ascii="Arial" w:hAnsi="Arial" w:cs="Arial"/>
                <w:color w:val="000000"/>
                <w:sz w:val="16"/>
                <w:szCs w:val="16"/>
                <w:lang w:eastAsia="zh-CN"/>
              </w:rPr>
              <w:t>14)</w:t>
            </w:r>
          </w:p>
        </w:tc>
        <w:tc>
          <w:tcPr>
            <w:tcW w:w="8504" w:type="dxa"/>
            <w:tcBorders>
              <w:top w:val="nil"/>
              <w:left w:val="nil"/>
              <w:bottom w:val="nil"/>
              <w:right w:val="nil"/>
            </w:tcBorders>
          </w:tcPr>
          <w:p w:rsidR="00622A95" w:rsidRPr="009A2018" w:rsidRDefault="00622A95" w:rsidP="00EC1790">
            <w:pPr>
              <w:autoSpaceDE w:val="0"/>
              <w:autoSpaceDN w:val="0"/>
              <w:adjustRightInd w:val="0"/>
              <w:spacing w:after="0"/>
              <w:rPr>
                <w:rFonts w:ascii="Arial" w:hAnsi="Arial" w:cs="Arial"/>
                <w:color w:val="000000"/>
                <w:sz w:val="16"/>
                <w:szCs w:val="16"/>
                <w:lang w:eastAsia="zh-CN"/>
              </w:rPr>
            </w:pPr>
            <w:r w:rsidRPr="009A2018">
              <w:rPr>
                <w:rFonts w:ascii="Arial" w:hAnsi="Arial" w:cs="Arial"/>
                <w:color w:val="000000"/>
                <w:sz w:val="16"/>
                <w:szCs w:val="16"/>
                <w:lang w:eastAsia="zh-CN"/>
              </w:rPr>
              <w:t>2007, 2014. i 2015: uključujući proizvodnju povrtnjaka.</w:t>
            </w:r>
          </w:p>
        </w:tc>
      </w:tr>
    </w:tbl>
    <w:p w:rsidR="00622A95" w:rsidRPr="009A2018" w:rsidRDefault="00622A95" w:rsidP="00EC1790">
      <w:pPr>
        <w:spacing w:after="0"/>
        <w:rPr>
          <w:rFonts w:ascii="Arial" w:hAnsi="Arial" w:cs="Arial"/>
          <w:sz w:val="16"/>
          <w:szCs w:val="16"/>
          <w:lang w:eastAsia="en-GB"/>
        </w:rPr>
      </w:pPr>
    </w:p>
    <w:p w:rsidR="00622A95" w:rsidRPr="009A2018" w:rsidRDefault="00622A95" w:rsidP="00EC1790">
      <w:pPr>
        <w:spacing w:after="120" w:line="240" w:lineRule="auto"/>
        <w:jc w:val="both"/>
        <w:rPr>
          <w:rFonts w:ascii="Times New Roman Bold" w:eastAsia="Times New Roman" w:hAnsi="Times New Roman Bold" w:cs="Times New Roman"/>
          <w:b/>
          <w:smallCaps/>
          <w:szCs w:val="24"/>
        </w:rPr>
      </w:pPr>
    </w:p>
    <w:p w:rsidR="00622A95" w:rsidRPr="009A2018" w:rsidRDefault="00622A95" w:rsidP="00EC1790">
      <w:pPr>
        <w:spacing w:after="120" w:line="240" w:lineRule="auto"/>
        <w:jc w:val="both"/>
        <w:rPr>
          <w:rFonts w:ascii="Times New Roman Bold" w:eastAsia="Times New Roman" w:hAnsi="Times New Roman Bold" w:cs="Times New Roman"/>
          <w:b/>
          <w:smallCaps/>
          <w:szCs w:val="24"/>
        </w:rPr>
      </w:pPr>
    </w:p>
    <w:sectPr w:rsidR="00622A95" w:rsidRPr="009A2018" w:rsidSect="00EC1790">
      <w:headerReference w:type="even" r:id="rId22"/>
      <w:headerReference w:type="default" r:id="rId23"/>
      <w:footerReference w:type="even" r:id="rId24"/>
      <w:footerReference w:type="default" r:id="rId25"/>
      <w:headerReference w:type="first" r:id="rId26"/>
      <w:footerReference w:type="first" r:id="rId27"/>
      <w:type w:val="continuous"/>
      <w:pgSz w:w="16839"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63" w:rsidRDefault="006A1F63">
      <w:pPr>
        <w:spacing w:after="0" w:line="240" w:lineRule="auto"/>
      </w:pPr>
      <w:r>
        <w:separator/>
      </w:r>
    </w:p>
  </w:endnote>
  <w:endnote w:type="continuationSeparator" w:id="0">
    <w:p w:rsidR="006A1F63" w:rsidRDefault="006A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inionPro-Disp">
    <w:altName w:val="MS Mincho"/>
    <w:panose1 w:val="00000000000000000000"/>
    <w:charset w:val="80"/>
    <w:family w:val="roman"/>
    <w:notTrueType/>
    <w:pitch w:val="default"/>
    <w:sig w:usb0="00000000" w:usb1="08070000" w:usb2="00000010" w:usb3="00000000" w:csb0="0002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218"/>
      <w:docPartObj>
        <w:docPartGallery w:val="Page Numbers (Bottom of Page)"/>
        <w:docPartUnique/>
      </w:docPartObj>
    </w:sdtPr>
    <w:sdtEndPr/>
    <w:sdtContent>
      <w:p w:rsidR="000E63F4" w:rsidRDefault="000E63F4">
        <w:pPr>
          <w:pStyle w:val="Footer"/>
          <w:jc w:val="center"/>
        </w:pPr>
        <w:r>
          <w:fldChar w:fldCharType="begin"/>
        </w:r>
        <w:r>
          <w:instrText xml:space="preserve"> PAGE   \* MERGEFORMAT </w:instrText>
        </w:r>
        <w:r>
          <w:fldChar w:fldCharType="separate"/>
        </w:r>
        <w:r w:rsidR="00A63CE4">
          <w:rPr>
            <w:noProof/>
          </w:rPr>
          <w:t>1</w:t>
        </w:r>
        <w:r>
          <w:rPr>
            <w:noProof/>
          </w:rPr>
          <w:fldChar w:fldCharType="end"/>
        </w:r>
      </w:p>
    </w:sdtContent>
  </w:sdt>
  <w:p w:rsidR="000E63F4" w:rsidRPr="002214E7" w:rsidRDefault="000E63F4" w:rsidP="002214E7">
    <w:pPr>
      <w:pStyle w:val="FooterCoverPage"/>
      <w:rPr>
        <w:rFonts w:ascii="Arial" w:hAnsi="Arial" w:cs="Arial"/>
        <w:b/>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Pr="006C55E4" w:rsidRDefault="000E63F4" w:rsidP="006C55E4">
    <w:pPr>
      <w:pStyle w:val="Footer"/>
    </w:pPr>
    <w:r>
      <w:fldChar w:fldCharType="begin"/>
    </w:r>
    <w:r>
      <w:instrText xml:space="preserve"> PAGE   \* MERGEFORMAT </w:instrText>
    </w:r>
    <w:r>
      <w:fldChar w:fldCharType="separate"/>
    </w:r>
    <w:r w:rsidR="00A63CE4">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Pr="008E68DD" w:rsidRDefault="000E63F4" w:rsidP="00E05C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Pr="006C55E4" w:rsidRDefault="000E63F4" w:rsidP="006C55E4">
    <w:pPr>
      <w:pStyle w:val="Footer"/>
    </w:pPr>
    <w:r>
      <w:fldChar w:fldCharType="begin"/>
    </w:r>
    <w:r>
      <w:instrText xml:space="preserve"> PAGE   \* MERGEFORMAT </w:instrText>
    </w:r>
    <w:r>
      <w:fldChar w:fldCharType="separate"/>
    </w:r>
    <w:r w:rsidR="00D83E53">
      <w:rPr>
        <w:noProof/>
      </w:rPr>
      <w:t>126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Pr="008E68DD" w:rsidRDefault="000E63F4" w:rsidP="00E05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63" w:rsidRDefault="006A1F63" w:rsidP="001D2979">
      <w:pPr>
        <w:spacing w:after="0" w:line="240" w:lineRule="auto"/>
      </w:pPr>
      <w:r>
        <w:separator/>
      </w:r>
    </w:p>
  </w:footnote>
  <w:footnote w:type="continuationSeparator" w:id="0">
    <w:p w:rsidR="006A1F63" w:rsidRDefault="006A1F63" w:rsidP="001D2979">
      <w:pPr>
        <w:spacing w:after="0" w:line="240" w:lineRule="auto"/>
      </w:pPr>
      <w:r>
        <w:continuationSeparator/>
      </w:r>
    </w:p>
  </w:footnote>
  <w:footnote w:id="1">
    <w:p w:rsidR="000E63F4" w:rsidRPr="00E139A1" w:rsidRDefault="000E63F4" w:rsidP="00CB5D2C">
      <w:pPr>
        <w:pStyle w:val="FootnoteText"/>
        <w:jc w:val="both"/>
        <w:rPr>
          <w:rFonts w:ascii="Times New Roman" w:hAnsi="Times New Roman"/>
        </w:rPr>
      </w:pPr>
      <w:r w:rsidRPr="00E139A1">
        <w:rPr>
          <w:rStyle w:val="FootnoteReference"/>
          <w:rFonts w:ascii="Times New Roman" w:hAnsi="Times New Roman"/>
        </w:rPr>
        <w:footnoteRef/>
      </w:r>
      <w:r w:rsidRPr="007F4869">
        <w:rPr>
          <w:rFonts w:ascii="Times New Roman" w:hAnsi="Times New Roman"/>
        </w:rPr>
        <w:t>U skladu s terminologijom e</w:t>
      </w:r>
      <w:r>
        <w:rPr>
          <w:rFonts w:ascii="Times New Roman" w:hAnsi="Times New Roman"/>
        </w:rPr>
        <w:t>v</w:t>
      </w:r>
      <w:r w:rsidRPr="007F4869">
        <w:rPr>
          <w:rFonts w:ascii="Times New Roman" w:hAnsi="Times New Roman"/>
        </w:rPr>
        <w:t>ropskih institucija, o</w:t>
      </w:r>
      <w:r>
        <w:rPr>
          <w:rFonts w:ascii="Times New Roman" w:hAnsi="Times New Roman"/>
        </w:rPr>
        <w:t>vdj</w:t>
      </w:r>
      <w:r w:rsidRPr="007F4869">
        <w:rPr>
          <w:rFonts w:ascii="Times New Roman" w:hAnsi="Times New Roman"/>
        </w:rPr>
        <w:t xml:space="preserve">e se koristi krovni pojam „Romi“ </w:t>
      </w:r>
      <w:r>
        <w:rPr>
          <w:rFonts w:ascii="Times New Roman" w:hAnsi="Times New Roman"/>
        </w:rPr>
        <w:t>za niz različitih grupa</w:t>
      </w:r>
      <w:r w:rsidRPr="007F4869">
        <w:rPr>
          <w:rFonts w:ascii="Times New Roman" w:hAnsi="Times New Roman"/>
        </w:rPr>
        <w:t xml:space="preserve">, </w:t>
      </w:r>
      <w:r>
        <w:rPr>
          <w:rFonts w:ascii="Times New Roman" w:hAnsi="Times New Roman"/>
        </w:rPr>
        <w:t xml:space="preserve">bez negiranja njihovih </w:t>
      </w:r>
      <w:r w:rsidRPr="007F4869">
        <w:rPr>
          <w:rFonts w:ascii="Times New Roman" w:hAnsi="Times New Roman"/>
        </w:rPr>
        <w:t>specifičnosti</w:t>
      </w:r>
      <w:r w:rsidRPr="002335FF">
        <w:rPr>
          <w:rFonts w:ascii="Times New Roman" w:hAnsi="Times New Roman"/>
          <w:iCs/>
        </w:rPr>
        <w:t>.</w:t>
      </w:r>
    </w:p>
  </w:footnote>
  <w:footnote w:id="2">
    <w:p w:rsidR="00CC1811" w:rsidRPr="007C63DB" w:rsidRDefault="00CC1811" w:rsidP="00CC1811">
      <w:pPr>
        <w:pStyle w:val="FootnoteText"/>
        <w:spacing w:after="0" w:line="240" w:lineRule="auto"/>
        <w:jc w:val="both"/>
        <w:rPr>
          <w:lang w:val="en-IE"/>
        </w:rPr>
      </w:pPr>
      <w:r w:rsidRPr="007C63DB">
        <w:rPr>
          <w:rStyle w:val="FootnoteReference"/>
          <w:rFonts w:ascii="Symbol" w:hAnsi="Symbol"/>
        </w:rPr>
        <w:sym w:font="Symbol" w:char="F02A"/>
      </w:r>
      <w:r>
        <w:t xml:space="preserve"> </w:t>
      </w:r>
      <w:r>
        <w:rPr>
          <w:rFonts w:ascii="Times New Roman" w:hAnsi="Times New Roman"/>
          <w:iCs/>
        </w:rPr>
        <w:t>Ova oznaka je bez prejudiciranja stavova o statusu, i u skladu je s Rezolucijom 1244 Savjeta bezbjednosti Ujedinjenih nacija i mišljenjem Međunarodnog suda pravde o kosovskoj Deklaraciji o nezavisnosti</w:t>
      </w:r>
      <w:r w:rsidRPr="007C63DB">
        <w:rPr>
          <w:rFonts w:ascii="Times New Roman" w:hAnsi="Times New Roman"/>
          <w:iCs/>
        </w:rPr>
        <w:t>.</w:t>
      </w:r>
    </w:p>
  </w:footnote>
  <w:footnote w:id="3">
    <w:p w:rsidR="000E63F4" w:rsidRPr="00743604" w:rsidRDefault="000E63F4" w:rsidP="00622A95">
      <w:pPr>
        <w:spacing w:after="120" w:line="240" w:lineRule="auto"/>
        <w:jc w:val="both"/>
        <w:rPr>
          <w:rFonts w:eastAsia="Calibri" w:cs="Times New Roman"/>
          <w:sz w:val="18"/>
          <w:szCs w:val="18"/>
        </w:rPr>
      </w:pPr>
      <w:r w:rsidRPr="00C17BAF">
        <w:rPr>
          <w:rStyle w:val="FootnoteReference"/>
          <w:sz w:val="20"/>
          <w:szCs w:val="20"/>
        </w:rPr>
        <w:footnoteRef/>
      </w:r>
      <w:r w:rsidRPr="00743604">
        <w:rPr>
          <w:rFonts w:eastAsia="Calibri" w:cs="Times New Roman"/>
          <w:sz w:val="20"/>
          <w:szCs w:val="20"/>
        </w:rPr>
        <w:t>Crna Gora takođe učestvuje u procesu „Brdo-Brijuni“, Evropskom zajedničkom vazdušnom prostoru, Regionalnoj školi za državnu upravu (ReSPA), itd.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F4" w:rsidRDefault="000E6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256391C"/>
    <w:multiLevelType w:val="hybridMultilevel"/>
    <w:tmpl w:val="4F62CDF2"/>
    <w:lvl w:ilvl="0" w:tplc="54BC28B2">
      <w:start w:val="1"/>
      <w:numFmt w:val="bullet"/>
      <w:lvlText w:val=""/>
      <w:lvlJc w:val="left"/>
      <w:pPr>
        <w:ind w:left="360" w:hanging="360"/>
      </w:pPr>
      <w:rPr>
        <w:rFonts w:ascii="Symbol" w:hAnsi="Symbol" w:hint="default"/>
      </w:rPr>
    </w:lvl>
    <w:lvl w:ilvl="1" w:tplc="A0D0DFB0">
      <w:start w:val="1"/>
      <w:numFmt w:val="bullet"/>
      <w:lvlText w:val="o"/>
      <w:lvlJc w:val="left"/>
      <w:pPr>
        <w:ind w:left="1080" w:hanging="360"/>
      </w:pPr>
      <w:rPr>
        <w:rFonts w:ascii="Courier New" w:hAnsi="Courier New" w:cs="Courier New" w:hint="default"/>
      </w:rPr>
    </w:lvl>
    <w:lvl w:ilvl="2" w:tplc="240E8A14">
      <w:start w:val="1"/>
      <w:numFmt w:val="bullet"/>
      <w:lvlText w:val=""/>
      <w:lvlJc w:val="left"/>
      <w:pPr>
        <w:ind w:left="1800" w:hanging="360"/>
      </w:pPr>
      <w:rPr>
        <w:rFonts w:ascii="Wingdings" w:hAnsi="Wingdings" w:hint="default"/>
      </w:rPr>
    </w:lvl>
    <w:lvl w:ilvl="3" w:tplc="9AB0DBF0">
      <w:start w:val="1"/>
      <w:numFmt w:val="bullet"/>
      <w:lvlText w:val=""/>
      <w:lvlJc w:val="left"/>
      <w:pPr>
        <w:ind w:left="2520" w:hanging="360"/>
      </w:pPr>
      <w:rPr>
        <w:rFonts w:ascii="Symbol" w:hAnsi="Symbol" w:hint="default"/>
      </w:rPr>
    </w:lvl>
    <w:lvl w:ilvl="4" w:tplc="2B70BC60">
      <w:start w:val="1"/>
      <w:numFmt w:val="bullet"/>
      <w:lvlText w:val="o"/>
      <w:lvlJc w:val="left"/>
      <w:pPr>
        <w:ind w:left="3240" w:hanging="360"/>
      </w:pPr>
      <w:rPr>
        <w:rFonts w:ascii="Courier New" w:hAnsi="Courier New" w:cs="Courier New" w:hint="default"/>
      </w:rPr>
    </w:lvl>
    <w:lvl w:ilvl="5" w:tplc="5CFCBD38">
      <w:start w:val="1"/>
      <w:numFmt w:val="bullet"/>
      <w:lvlText w:val=""/>
      <w:lvlJc w:val="left"/>
      <w:pPr>
        <w:ind w:left="3960" w:hanging="360"/>
      </w:pPr>
      <w:rPr>
        <w:rFonts w:ascii="Wingdings" w:hAnsi="Wingdings" w:hint="default"/>
      </w:rPr>
    </w:lvl>
    <w:lvl w:ilvl="6" w:tplc="7D466012">
      <w:start w:val="1"/>
      <w:numFmt w:val="bullet"/>
      <w:lvlText w:val=""/>
      <w:lvlJc w:val="left"/>
      <w:pPr>
        <w:ind w:left="4680" w:hanging="360"/>
      </w:pPr>
      <w:rPr>
        <w:rFonts w:ascii="Symbol" w:hAnsi="Symbol" w:hint="default"/>
      </w:rPr>
    </w:lvl>
    <w:lvl w:ilvl="7" w:tplc="20F4852C">
      <w:start w:val="1"/>
      <w:numFmt w:val="bullet"/>
      <w:lvlText w:val="o"/>
      <w:lvlJc w:val="left"/>
      <w:pPr>
        <w:ind w:left="5400" w:hanging="360"/>
      </w:pPr>
      <w:rPr>
        <w:rFonts w:ascii="Courier New" w:hAnsi="Courier New" w:cs="Courier New" w:hint="default"/>
      </w:rPr>
    </w:lvl>
    <w:lvl w:ilvl="8" w:tplc="644C3E94">
      <w:start w:val="1"/>
      <w:numFmt w:val="bullet"/>
      <w:lvlText w:val=""/>
      <w:lvlJc w:val="left"/>
      <w:pPr>
        <w:ind w:left="612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21305C"/>
    <w:multiLevelType w:val="hybridMultilevel"/>
    <w:tmpl w:val="D04A4CE4"/>
    <w:lvl w:ilvl="0" w:tplc="BB0A01DC">
      <w:start w:val="1"/>
      <w:numFmt w:val="bullet"/>
      <w:lvlText w:val=""/>
      <w:lvlJc w:val="left"/>
      <w:pPr>
        <w:ind w:left="360" w:hanging="360"/>
      </w:pPr>
      <w:rPr>
        <w:rFonts w:ascii="Symbol" w:hAnsi="Symbol" w:hint="default"/>
      </w:rPr>
    </w:lvl>
    <w:lvl w:ilvl="1" w:tplc="C8F046E4" w:tentative="1">
      <w:start w:val="1"/>
      <w:numFmt w:val="bullet"/>
      <w:lvlText w:val="o"/>
      <w:lvlJc w:val="left"/>
      <w:pPr>
        <w:ind w:left="1080" w:hanging="360"/>
      </w:pPr>
      <w:rPr>
        <w:rFonts w:ascii="Courier New" w:hAnsi="Courier New" w:cs="Courier New" w:hint="default"/>
      </w:rPr>
    </w:lvl>
    <w:lvl w:ilvl="2" w:tplc="0BE0EA0C" w:tentative="1">
      <w:start w:val="1"/>
      <w:numFmt w:val="bullet"/>
      <w:lvlText w:val=""/>
      <w:lvlJc w:val="left"/>
      <w:pPr>
        <w:ind w:left="1800" w:hanging="360"/>
      </w:pPr>
      <w:rPr>
        <w:rFonts w:ascii="Wingdings" w:hAnsi="Wingdings" w:hint="default"/>
      </w:rPr>
    </w:lvl>
    <w:lvl w:ilvl="3" w:tplc="6060CC7A" w:tentative="1">
      <w:start w:val="1"/>
      <w:numFmt w:val="bullet"/>
      <w:lvlText w:val=""/>
      <w:lvlJc w:val="left"/>
      <w:pPr>
        <w:ind w:left="2520" w:hanging="360"/>
      </w:pPr>
      <w:rPr>
        <w:rFonts w:ascii="Symbol" w:hAnsi="Symbol" w:hint="default"/>
      </w:rPr>
    </w:lvl>
    <w:lvl w:ilvl="4" w:tplc="E90E8666" w:tentative="1">
      <w:start w:val="1"/>
      <w:numFmt w:val="bullet"/>
      <w:lvlText w:val="o"/>
      <w:lvlJc w:val="left"/>
      <w:pPr>
        <w:ind w:left="3240" w:hanging="360"/>
      </w:pPr>
      <w:rPr>
        <w:rFonts w:ascii="Courier New" w:hAnsi="Courier New" w:cs="Courier New" w:hint="default"/>
      </w:rPr>
    </w:lvl>
    <w:lvl w:ilvl="5" w:tplc="9156F4EA" w:tentative="1">
      <w:start w:val="1"/>
      <w:numFmt w:val="bullet"/>
      <w:lvlText w:val=""/>
      <w:lvlJc w:val="left"/>
      <w:pPr>
        <w:ind w:left="3960" w:hanging="360"/>
      </w:pPr>
      <w:rPr>
        <w:rFonts w:ascii="Wingdings" w:hAnsi="Wingdings" w:hint="default"/>
      </w:rPr>
    </w:lvl>
    <w:lvl w:ilvl="6" w:tplc="7B1EB7A2" w:tentative="1">
      <w:start w:val="1"/>
      <w:numFmt w:val="bullet"/>
      <w:lvlText w:val=""/>
      <w:lvlJc w:val="left"/>
      <w:pPr>
        <w:ind w:left="4680" w:hanging="360"/>
      </w:pPr>
      <w:rPr>
        <w:rFonts w:ascii="Symbol" w:hAnsi="Symbol" w:hint="default"/>
      </w:rPr>
    </w:lvl>
    <w:lvl w:ilvl="7" w:tplc="419A4146" w:tentative="1">
      <w:start w:val="1"/>
      <w:numFmt w:val="bullet"/>
      <w:lvlText w:val="o"/>
      <w:lvlJc w:val="left"/>
      <w:pPr>
        <w:ind w:left="5400" w:hanging="360"/>
      </w:pPr>
      <w:rPr>
        <w:rFonts w:ascii="Courier New" w:hAnsi="Courier New" w:cs="Courier New" w:hint="default"/>
      </w:rPr>
    </w:lvl>
    <w:lvl w:ilvl="8" w:tplc="B0707016" w:tentative="1">
      <w:start w:val="1"/>
      <w:numFmt w:val="bullet"/>
      <w:lvlText w:val=""/>
      <w:lvlJc w:val="left"/>
      <w:pPr>
        <w:ind w:left="6120" w:hanging="360"/>
      </w:pPr>
      <w:rPr>
        <w:rFonts w:ascii="Wingdings" w:hAnsi="Wingdings" w:hint="default"/>
      </w:rPr>
    </w:lvl>
  </w:abstractNum>
  <w:abstractNum w:abstractNumId="8" w15:restartNumberingAfterBreak="0">
    <w:nsid w:val="0F24786B"/>
    <w:multiLevelType w:val="hybridMultilevel"/>
    <w:tmpl w:val="CF4AC03A"/>
    <w:lvl w:ilvl="0" w:tplc="1D56E0E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96BC1"/>
    <w:multiLevelType w:val="hybridMultilevel"/>
    <w:tmpl w:val="47EE0624"/>
    <w:lvl w:ilvl="0" w:tplc="5BA07B56">
      <w:start w:val="1"/>
      <w:numFmt w:val="bullet"/>
      <w:lvlText w:val=""/>
      <w:lvlJc w:val="left"/>
      <w:pPr>
        <w:ind w:left="360" w:hanging="360"/>
      </w:pPr>
      <w:rPr>
        <w:rFonts w:ascii="Symbol" w:hAnsi="Symbol" w:hint="default"/>
      </w:rPr>
    </w:lvl>
    <w:lvl w:ilvl="1" w:tplc="3984CB3C" w:tentative="1">
      <w:start w:val="1"/>
      <w:numFmt w:val="bullet"/>
      <w:lvlText w:val="o"/>
      <w:lvlJc w:val="left"/>
      <w:pPr>
        <w:ind w:left="1080" w:hanging="360"/>
      </w:pPr>
      <w:rPr>
        <w:rFonts w:ascii="Courier New" w:hAnsi="Courier New" w:cs="Courier New" w:hint="default"/>
      </w:rPr>
    </w:lvl>
    <w:lvl w:ilvl="2" w:tplc="39EA3A3C" w:tentative="1">
      <w:start w:val="1"/>
      <w:numFmt w:val="bullet"/>
      <w:lvlText w:val=""/>
      <w:lvlJc w:val="left"/>
      <w:pPr>
        <w:ind w:left="1800" w:hanging="360"/>
      </w:pPr>
      <w:rPr>
        <w:rFonts w:ascii="Wingdings" w:hAnsi="Wingdings" w:hint="default"/>
      </w:rPr>
    </w:lvl>
    <w:lvl w:ilvl="3" w:tplc="5C5EDE0A" w:tentative="1">
      <w:start w:val="1"/>
      <w:numFmt w:val="bullet"/>
      <w:lvlText w:val=""/>
      <w:lvlJc w:val="left"/>
      <w:pPr>
        <w:ind w:left="2520" w:hanging="360"/>
      </w:pPr>
      <w:rPr>
        <w:rFonts w:ascii="Symbol" w:hAnsi="Symbol" w:hint="default"/>
      </w:rPr>
    </w:lvl>
    <w:lvl w:ilvl="4" w:tplc="A2B4864E" w:tentative="1">
      <w:start w:val="1"/>
      <w:numFmt w:val="bullet"/>
      <w:lvlText w:val="o"/>
      <w:lvlJc w:val="left"/>
      <w:pPr>
        <w:ind w:left="3240" w:hanging="360"/>
      </w:pPr>
      <w:rPr>
        <w:rFonts w:ascii="Courier New" w:hAnsi="Courier New" w:cs="Courier New" w:hint="default"/>
      </w:rPr>
    </w:lvl>
    <w:lvl w:ilvl="5" w:tplc="CD1AD4C0" w:tentative="1">
      <w:start w:val="1"/>
      <w:numFmt w:val="bullet"/>
      <w:lvlText w:val=""/>
      <w:lvlJc w:val="left"/>
      <w:pPr>
        <w:ind w:left="3960" w:hanging="360"/>
      </w:pPr>
      <w:rPr>
        <w:rFonts w:ascii="Wingdings" w:hAnsi="Wingdings" w:hint="default"/>
      </w:rPr>
    </w:lvl>
    <w:lvl w:ilvl="6" w:tplc="5808B932" w:tentative="1">
      <w:start w:val="1"/>
      <w:numFmt w:val="bullet"/>
      <w:lvlText w:val=""/>
      <w:lvlJc w:val="left"/>
      <w:pPr>
        <w:ind w:left="4680" w:hanging="360"/>
      </w:pPr>
      <w:rPr>
        <w:rFonts w:ascii="Symbol" w:hAnsi="Symbol" w:hint="default"/>
      </w:rPr>
    </w:lvl>
    <w:lvl w:ilvl="7" w:tplc="6B4837B4" w:tentative="1">
      <w:start w:val="1"/>
      <w:numFmt w:val="bullet"/>
      <w:lvlText w:val="o"/>
      <w:lvlJc w:val="left"/>
      <w:pPr>
        <w:ind w:left="5400" w:hanging="360"/>
      </w:pPr>
      <w:rPr>
        <w:rFonts w:ascii="Courier New" w:hAnsi="Courier New" w:cs="Courier New" w:hint="default"/>
      </w:rPr>
    </w:lvl>
    <w:lvl w:ilvl="8" w:tplc="62D029EA" w:tentative="1">
      <w:start w:val="1"/>
      <w:numFmt w:val="bullet"/>
      <w:lvlText w:val=""/>
      <w:lvlJc w:val="left"/>
      <w:pPr>
        <w:ind w:left="6120" w:hanging="360"/>
      </w:pPr>
      <w:rPr>
        <w:rFonts w:ascii="Wingdings" w:hAnsi="Wingdings" w:hint="default"/>
      </w:rPr>
    </w:lvl>
  </w:abstractNum>
  <w:abstractNum w:abstractNumId="10" w15:restartNumberingAfterBreak="0">
    <w:nsid w:val="10E835CC"/>
    <w:multiLevelType w:val="hybridMultilevel"/>
    <w:tmpl w:val="3BA6A7A0"/>
    <w:lvl w:ilvl="0" w:tplc="84E8265E">
      <w:start w:val="1"/>
      <w:numFmt w:val="bullet"/>
      <w:lvlText w:val=""/>
      <w:lvlJc w:val="left"/>
      <w:pPr>
        <w:ind w:left="360" w:hanging="360"/>
      </w:pPr>
      <w:rPr>
        <w:rFonts w:ascii="Symbol" w:hAnsi="Symbol" w:hint="default"/>
      </w:rPr>
    </w:lvl>
    <w:lvl w:ilvl="1" w:tplc="39E0C2F8">
      <w:start w:val="1"/>
      <w:numFmt w:val="bullet"/>
      <w:lvlText w:val="o"/>
      <w:lvlJc w:val="left"/>
      <w:pPr>
        <w:ind w:left="1080" w:hanging="360"/>
      </w:pPr>
      <w:rPr>
        <w:rFonts w:ascii="Courier New" w:hAnsi="Courier New" w:cs="Courier New" w:hint="default"/>
      </w:rPr>
    </w:lvl>
    <w:lvl w:ilvl="2" w:tplc="3FB0BFEA">
      <w:start w:val="1"/>
      <w:numFmt w:val="bullet"/>
      <w:lvlText w:val=""/>
      <w:lvlJc w:val="left"/>
      <w:pPr>
        <w:ind w:left="1800" w:hanging="360"/>
      </w:pPr>
      <w:rPr>
        <w:rFonts w:ascii="Wingdings" w:hAnsi="Wingdings" w:hint="default"/>
      </w:rPr>
    </w:lvl>
    <w:lvl w:ilvl="3" w:tplc="1C486AC6">
      <w:start w:val="1"/>
      <w:numFmt w:val="bullet"/>
      <w:lvlText w:val=""/>
      <w:lvlJc w:val="left"/>
      <w:pPr>
        <w:ind w:left="2520" w:hanging="360"/>
      </w:pPr>
      <w:rPr>
        <w:rFonts w:ascii="Symbol" w:hAnsi="Symbol" w:hint="default"/>
      </w:rPr>
    </w:lvl>
    <w:lvl w:ilvl="4" w:tplc="BB2C08E2">
      <w:start w:val="1"/>
      <w:numFmt w:val="bullet"/>
      <w:lvlText w:val="o"/>
      <w:lvlJc w:val="left"/>
      <w:pPr>
        <w:ind w:left="3240" w:hanging="360"/>
      </w:pPr>
      <w:rPr>
        <w:rFonts w:ascii="Courier New" w:hAnsi="Courier New" w:cs="Courier New" w:hint="default"/>
      </w:rPr>
    </w:lvl>
    <w:lvl w:ilvl="5" w:tplc="24F06E8A">
      <w:start w:val="1"/>
      <w:numFmt w:val="bullet"/>
      <w:lvlText w:val=""/>
      <w:lvlJc w:val="left"/>
      <w:pPr>
        <w:ind w:left="3960" w:hanging="360"/>
      </w:pPr>
      <w:rPr>
        <w:rFonts w:ascii="Wingdings" w:hAnsi="Wingdings" w:hint="default"/>
      </w:rPr>
    </w:lvl>
    <w:lvl w:ilvl="6" w:tplc="4420DD4C">
      <w:start w:val="1"/>
      <w:numFmt w:val="bullet"/>
      <w:lvlText w:val=""/>
      <w:lvlJc w:val="left"/>
      <w:pPr>
        <w:ind w:left="4680" w:hanging="360"/>
      </w:pPr>
      <w:rPr>
        <w:rFonts w:ascii="Symbol" w:hAnsi="Symbol" w:hint="default"/>
      </w:rPr>
    </w:lvl>
    <w:lvl w:ilvl="7" w:tplc="527E295E">
      <w:start w:val="1"/>
      <w:numFmt w:val="bullet"/>
      <w:lvlText w:val="o"/>
      <w:lvlJc w:val="left"/>
      <w:pPr>
        <w:ind w:left="5400" w:hanging="360"/>
      </w:pPr>
      <w:rPr>
        <w:rFonts w:ascii="Courier New" w:hAnsi="Courier New" w:cs="Courier New" w:hint="default"/>
      </w:rPr>
    </w:lvl>
    <w:lvl w:ilvl="8" w:tplc="84CE3ACE">
      <w:start w:val="1"/>
      <w:numFmt w:val="bullet"/>
      <w:lvlText w:val=""/>
      <w:lvlJc w:val="left"/>
      <w:pPr>
        <w:ind w:left="6120" w:hanging="360"/>
      </w:pPr>
      <w:rPr>
        <w:rFonts w:ascii="Wingdings" w:hAnsi="Wingdings" w:hint="default"/>
      </w:rPr>
    </w:lvl>
  </w:abstractNum>
  <w:abstractNum w:abstractNumId="11" w15:restartNumberingAfterBreak="0">
    <w:nsid w:val="1512783D"/>
    <w:multiLevelType w:val="hybridMultilevel"/>
    <w:tmpl w:val="1BE45B6A"/>
    <w:lvl w:ilvl="0" w:tplc="AE9072DA">
      <w:start w:val="1"/>
      <w:numFmt w:val="bullet"/>
      <w:lvlText w:val=""/>
      <w:lvlJc w:val="left"/>
      <w:pPr>
        <w:ind w:left="360" w:hanging="360"/>
      </w:pPr>
      <w:rPr>
        <w:rFonts w:ascii="Symbol" w:hAnsi="Symbol" w:hint="default"/>
      </w:rPr>
    </w:lvl>
    <w:lvl w:ilvl="1" w:tplc="B752720E" w:tentative="1">
      <w:start w:val="1"/>
      <w:numFmt w:val="bullet"/>
      <w:lvlText w:val="o"/>
      <w:lvlJc w:val="left"/>
      <w:pPr>
        <w:ind w:left="1080" w:hanging="360"/>
      </w:pPr>
      <w:rPr>
        <w:rFonts w:ascii="Courier New" w:hAnsi="Courier New" w:cs="Courier New" w:hint="default"/>
      </w:rPr>
    </w:lvl>
    <w:lvl w:ilvl="2" w:tplc="0398542E" w:tentative="1">
      <w:start w:val="1"/>
      <w:numFmt w:val="bullet"/>
      <w:lvlText w:val=""/>
      <w:lvlJc w:val="left"/>
      <w:pPr>
        <w:ind w:left="1800" w:hanging="360"/>
      </w:pPr>
      <w:rPr>
        <w:rFonts w:ascii="Wingdings" w:hAnsi="Wingdings" w:hint="default"/>
      </w:rPr>
    </w:lvl>
    <w:lvl w:ilvl="3" w:tplc="E588142C" w:tentative="1">
      <w:start w:val="1"/>
      <w:numFmt w:val="bullet"/>
      <w:lvlText w:val=""/>
      <w:lvlJc w:val="left"/>
      <w:pPr>
        <w:ind w:left="2520" w:hanging="360"/>
      </w:pPr>
      <w:rPr>
        <w:rFonts w:ascii="Symbol" w:hAnsi="Symbol" w:hint="default"/>
      </w:rPr>
    </w:lvl>
    <w:lvl w:ilvl="4" w:tplc="1ED2C91C" w:tentative="1">
      <w:start w:val="1"/>
      <w:numFmt w:val="bullet"/>
      <w:lvlText w:val="o"/>
      <w:lvlJc w:val="left"/>
      <w:pPr>
        <w:ind w:left="3240" w:hanging="360"/>
      </w:pPr>
      <w:rPr>
        <w:rFonts w:ascii="Courier New" w:hAnsi="Courier New" w:cs="Courier New" w:hint="default"/>
      </w:rPr>
    </w:lvl>
    <w:lvl w:ilvl="5" w:tplc="E4866E7A" w:tentative="1">
      <w:start w:val="1"/>
      <w:numFmt w:val="bullet"/>
      <w:lvlText w:val=""/>
      <w:lvlJc w:val="left"/>
      <w:pPr>
        <w:ind w:left="3960" w:hanging="360"/>
      </w:pPr>
      <w:rPr>
        <w:rFonts w:ascii="Wingdings" w:hAnsi="Wingdings" w:hint="default"/>
      </w:rPr>
    </w:lvl>
    <w:lvl w:ilvl="6" w:tplc="990E2072" w:tentative="1">
      <w:start w:val="1"/>
      <w:numFmt w:val="bullet"/>
      <w:lvlText w:val=""/>
      <w:lvlJc w:val="left"/>
      <w:pPr>
        <w:ind w:left="4680" w:hanging="360"/>
      </w:pPr>
      <w:rPr>
        <w:rFonts w:ascii="Symbol" w:hAnsi="Symbol" w:hint="default"/>
      </w:rPr>
    </w:lvl>
    <w:lvl w:ilvl="7" w:tplc="3D3C9A16" w:tentative="1">
      <w:start w:val="1"/>
      <w:numFmt w:val="bullet"/>
      <w:lvlText w:val="o"/>
      <w:lvlJc w:val="left"/>
      <w:pPr>
        <w:ind w:left="5400" w:hanging="360"/>
      </w:pPr>
      <w:rPr>
        <w:rFonts w:ascii="Courier New" w:hAnsi="Courier New" w:cs="Courier New" w:hint="default"/>
      </w:rPr>
    </w:lvl>
    <w:lvl w:ilvl="8" w:tplc="C696F5CC" w:tentative="1">
      <w:start w:val="1"/>
      <w:numFmt w:val="bullet"/>
      <w:lvlText w:val=""/>
      <w:lvlJc w:val="left"/>
      <w:pPr>
        <w:ind w:left="6120" w:hanging="360"/>
      </w:pPr>
      <w:rPr>
        <w:rFonts w:ascii="Wingdings" w:hAnsi="Wingdings" w:hint="default"/>
      </w:rPr>
    </w:lvl>
  </w:abstractNum>
  <w:abstractNum w:abstractNumId="12" w15:restartNumberingAfterBreak="0">
    <w:nsid w:val="15BA3500"/>
    <w:multiLevelType w:val="hybridMultilevel"/>
    <w:tmpl w:val="051C49B0"/>
    <w:lvl w:ilvl="0" w:tplc="AA203AE2">
      <w:start w:val="1"/>
      <w:numFmt w:val="bullet"/>
      <w:lvlText w:val=""/>
      <w:lvlJc w:val="left"/>
      <w:pPr>
        <w:ind w:left="436" w:hanging="360"/>
      </w:pPr>
      <w:rPr>
        <w:rFonts w:ascii="Symbol" w:hAnsi="Symbol" w:hint="default"/>
      </w:rPr>
    </w:lvl>
    <w:lvl w:ilvl="1" w:tplc="5100047E">
      <w:start w:val="1"/>
      <w:numFmt w:val="bullet"/>
      <w:lvlText w:val="o"/>
      <w:lvlJc w:val="left"/>
      <w:pPr>
        <w:ind w:left="1156" w:hanging="360"/>
      </w:pPr>
      <w:rPr>
        <w:rFonts w:ascii="Courier New" w:hAnsi="Courier New" w:cs="Courier New" w:hint="default"/>
      </w:rPr>
    </w:lvl>
    <w:lvl w:ilvl="2" w:tplc="B5A6572C">
      <w:start w:val="1"/>
      <w:numFmt w:val="bullet"/>
      <w:lvlText w:val=""/>
      <w:lvlJc w:val="left"/>
      <w:pPr>
        <w:ind w:left="1876" w:hanging="360"/>
      </w:pPr>
      <w:rPr>
        <w:rFonts w:ascii="Wingdings" w:hAnsi="Wingdings" w:hint="default"/>
      </w:rPr>
    </w:lvl>
    <w:lvl w:ilvl="3" w:tplc="A01031F2">
      <w:start w:val="1"/>
      <w:numFmt w:val="bullet"/>
      <w:lvlText w:val=""/>
      <w:lvlJc w:val="left"/>
      <w:pPr>
        <w:ind w:left="2596" w:hanging="360"/>
      </w:pPr>
      <w:rPr>
        <w:rFonts w:ascii="Symbol" w:hAnsi="Symbol" w:hint="default"/>
      </w:rPr>
    </w:lvl>
    <w:lvl w:ilvl="4" w:tplc="6410160E">
      <w:start w:val="1"/>
      <w:numFmt w:val="bullet"/>
      <w:lvlText w:val="o"/>
      <w:lvlJc w:val="left"/>
      <w:pPr>
        <w:ind w:left="3316" w:hanging="360"/>
      </w:pPr>
      <w:rPr>
        <w:rFonts w:ascii="Courier New" w:hAnsi="Courier New" w:cs="Courier New" w:hint="default"/>
      </w:rPr>
    </w:lvl>
    <w:lvl w:ilvl="5" w:tplc="73DE92F4">
      <w:start w:val="1"/>
      <w:numFmt w:val="bullet"/>
      <w:lvlText w:val=""/>
      <w:lvlJc w:val="left"/>
      <w:pPr>
        <w:ind w:left="4036" w:hanging="360"/>
      </w:pPr>
      <w:rPr>
        <w:rFonts w:ascii="Wingdings" w:hAnsi="Wingdings" w:hint="default"/>
      </w:rPr>
    </w:lvl>
    <w:lvl w:ilvl="6" w:tplc="27AEC3D8">
      <w:start w:val="1"/>
      <w:numFmt w:val="bullet"/>
      <w:lvlText w:val=""/>
      <w:lvlJc w:val="left"/>
      <w:pPr>
        <w:ind w:left="4756" w:hanging="360"/>
      </w:pPr>
      <w:rPr>
        <w:rFonts w:ascii="Symbol" w:hAnsi="Symbol" w:hint="default"/>
      </w:rPr>
    </w:lvl>
    <w:lvl w:ilvl="7" w:tplc="DAA22A3E">
      <w:start w:val="1"/>
      <w:numFmt w:val="bullet"/>
      <w:lvlText w:val="o"/>
      <w:lvlJc w:val="left"/>
      <w:pPr>
        <w:ind w:left="5476" w:hanging="360"/>
      </w:pPr>
      <w:rPr>
        <w:rFonts w:ascii="Courier New" w:hAnsi="Courier New" w:cs="Courier New" w:hint="default"/>
      </w:rPr>
    </w:lvl>
    <w:lvl w:ilvl="8" w:tplc="DCB465D6">
      <w:start w:val="1"/>
      <w:numFmt w:val="bullet"/>
      <w:lvlText w:val=""/>
      <w:lvlJc w:val="left"/>
      <w:pPr>
        <w:ind w:left="6196" w:hanging="360"/>
      </w:pPr>
      <w:rPr>
        <w:rFonts w:ascii="Wingdings" w:hAnsi="Wingdings" w:hint="default"/>
      </w:rPr>
    </w:lvl>
  </w:abstractNum>
  <w:abstractNum w:abstractNumId="13" w15:restartNumberingAfterBreak="0">
    <w:nsid w:val="20701A94"/>
    <w:multiLevelType w:val="hybridMultilevel"/>
    <w:tmpl w:val="7E145A50"/>
    <w:lvl w:ilvl="0" w:tplc="1E8EA036">
      <w:start w:val="1"/>
      <w:numFmt w:val="bullet"/>
      <w:lvlText w:val=""/>
      <w:lvlJc w:val="left"/>
      <w:pPr>
        <w:ind w:left="360" w:hanging="360"/>
      </w:pPr>
      <w:rPr>
        <w:rFonts w:ascii="Symbol" w:hAnsi="Symbol" w:hint="default"/>
      </w:rPr>
    </w:lvl>
    <w:lvl w:ilvl="1" w:tplc="D2B27428" w:tentative="1">
      <w:start w:val="1"/>
      <w:numFmt w:val="bullet"/>
      <w:lvlText w:val="o"/>
      <w:lvlJc w:val="left"/>
      <w:pPr>
        <w:ind w:left="1080" w:hanging="360"/>
      </w:pPr>
      <w:rPr>
        <w:rFonts w:ascii="Courier New" w:hAnsi="Courier New" w:cs="Courier New" w:hint="default"/>
      </w:rPr>
    </w:lvl>
    <w:lvl w:ilvl="2" w:tplc="80525BEE" w:tentative="1">
      <w:start w:val="1"/>
      <w:numFmt w:val="bullet"/>
      <w:lvlText w:val=""/>
      <w:lvlJc w:val="left"/>
      <w:pPr>
        <w:ind w:left="1800" w:hanging="360"/>
      </w:pPr>
      <w:rPr>
        <w:rFonts w:ascii="Wingdings" w:hAnsi="Wingdings" w:hint="default"/>
      </w:rPr>
    </w:lvl>
    <w:lvl w:ilvl="3" w:tplc="4E64CDC2" w:tentative="1">
      <w:start w:val="1"/>
      <w:numFmt w:val="bullet"/>
      <w:lvlText w:val=""/>
      <w:lvlJc w:val="left"/>
      <w:pPr>
        <w:ind w:left="2520" w:hanging="360"/>
      </w:pPr>
      <w:rPr>
        <w:rFonts w:ascii="Symbol" w:hAnsi="Symbol" w:hint="default"/>
      </w:rPr>
    </w:lvl>
    <w:lvl w:ilvl="4" w:tplc="2EACF00C" w:tentative="1">
      <w:start w:val="1"/>
      <w:numFmt w:val="bullet"/>
      <w:lvlText w:val="o"/>
      <w:lvlJc w:val="left"/>
      <w:pPr>
        <w:ind w:left="3240" w:hanging="360"/>
      </w:pPr>
      <w:rPr>
        <w:rFonts w:ascii="Courier New" w:hAnsi="Courier New" w:cs="Courier New" w:hint="default"/>
      </w:rPr>
    </w:lvl>
    <w:lvl w:ilvl="5" w:tplc="B376468C" w:tentative="1">
      <w:start w:val="1"/>
      <w:numFmt w:val="bullet"/>
      <w:lvlText w:val=""/>
      <w:lvlJc w:val="left"/>
      <w:pPr>
        <w:ind w:left="3960" w:hanging="360"/>
      </w:pPr>
      <w:rPr>
        <w:rFonts w:ascii="Wingdings" w:hAnsi="Wingdings" w:hint="default"/>
      </w:rPr>
    </w:lvl>
    <w:lvl w:ilvl="6" w:tplc="E7229D26" w:tentative="1">
      <w:start w:val="1"/>
      <w:numFmt w:val="bullet"/>
      <w:lvlText w:val=""/>
      <w:lvlJc w:val="left"/>
      <w:pPr>
        <w:ind w:left="4680" w:hanging="360"/>
      </w:pPr>
      <w:rPr>
        <w:rFonts w:ascii="Symbol" w:hAnsi="Symbol" w:hint="default"/>
      </w:rPr>
    </w:lvl>
    <w:lvl w:ilvl="7" w:tplc="2A78CB4C" w:tentative="1">
      <w:start w:val="1"/>
      <w:numFmt w:val="bullet"/>
      <w:lvlText w:val="o"/>
      <w:lvlJc w:val="left"/>
      <w:pPr>
        <w:ind w:left="5400" w:hanging="360"/>
      </w:pPr>
      <w:rPr>
        <w:rFonts w:ascii="Courier New" w:hAnsi="Courier New" w:cs="Courier New" w:hint="default"/>
      </w:rPr>
    </w:lvl>
    <w:lvl w:ilvl="8" w:tplc="B944FA2E" w:tentative="1">
      <w:start w:val="1"/>
      <w:numFmt w:val="bullet"/>
      <w:lvlText w:val=""/>
      <w:lvlJc w:val="left"/>
      <w:pPr>
        <w:ind w:left="6120" w:hanging="360"/>
      </w:pPr>
      <w:rPr>
        <w:rFonts w:ascii="Wingdings" w:hAnsi="Wingdings" w:hint="default"/>
      </w:rPr>
    </w:lvl>
  </w:abstractNum>
  <w:abstractNum w:abstractNumId="14" w15:restartNumberingAfterBreak="0">
    <w:nsid w:val="20F20951"/>
    <w:multiLevelType w:val="hybridMultilevel"/>
    <w:tmpl w:val="44EC879A"/>
    <w:lvl w:ilvl="0" w:tplc="AD8EC364">
      <w:start w:val="1"/>
      <w:numFmt w:val="bullet"/>
      <w:lvlText w:val=""/>
      <w:lvlJc w:val="left"/>
      <w:pPr>
        <w:ind w:left="720" w:hanging="360"/>
      </w:pPr>
      <w:rPr>
        <w:rFonts w:ascii="Symbol" w:hAnsi="Symbol" w:hint="default"/>
      </w:rPr>
    </w:lvl>
    <w:lvl w:ilvl="1" w:tplc="7E8075D0" w:tentative="1">
      <w:start w:val="1"/>
      <w:numFmt w:val="bullet"/>
      <w:lvlText w:val="o"/>
      <w:lvlJc w:val="left"/>
      <w:pPr>
        <w:ind w:left="1440" w:hanging="360"/>
      </w:pPr>
      <w:rPr>
        <w:rFonts w:ascii="Courier New" w:hAnsi="Courier New" w:cs="Courier New" w:hint="default"/>
      </w:rPr>
    </w:lvl>
    <w:lvl w:ilvl="2" w:tplc="2FD8F1F4" w:tentative="1">
      <w:start w:val="1"/>
      <w:numFmt w:val="bullet"/>
      <w:lvlText w:val=""/>
      <w:lvlJc w:val="left"/>
      <w:pPr>
        <w:ind w:left="2160" w:hanging="360"/>
      </w:pPr>
      <w:rPr>
        <w:rFonts w:ascii="Wingdings" w:hAnsi="Wingdings" w:hint="default"/>
      </w:rPr>
    </w:lvl>
    <w:lvl w:ilvl="3" w:tplc="D6AC2B0E" w:tentative="1">
      <w:start w:val="1"/>
      <w:numFmt w:val="bullet"/>
      <w:lvlText w:val=""/>
      <w:lvlJc w:val="left"/>
      <w:pPr>
        <w:ind w:left="2880" w:hanging="360"/>
      </w:pPr>
      <w:rPr>
        <w:rFonts w:ascii="Symbol" w:hAnsi="Symbol" w:hint="default"/>
      </w:rPr>
    </w:lvl>
    <w:lvl w:ilvl="4" w:tplc="27F2C290" w:tentative="1">
      <w:start w:val="1"/>
      <w:numFmt w:val="bullet"/>
      <w:lvlText w:val="o"/>
      <w:lvlJc w:val="left"/>
      <w:pPr>
        <w:ind w:left="3600" w:hanging="360"/>
      </w:pPr>
      <w:rPr>
        <w:rFonts w:ascii="Courier New" w:hAnsi="Courier New" w:cs="Courier New" w:hint="default"/>
      </w:rPr>
    </w:lvl>
    <w:lvl w:ilvl="5" w:tplc="C41E67A2" w:tentative="1">
      <w:start w:val="1"/>
      <w:numFmt w:val="bullet"/>
      <w:lvlText w:val=""/>
      <w:lvlJc w:val="left"/>
      <w:pPr>
        <w:ind w:left="4320" w:hanging="360"/>
      </w:pPr>
      <w:rPr>
        <w:rFonts w:ascii="Wingdings" w:hAnsi="Wingdings" w:hint="default"/>
      </w:rPr>
    </w:lvl>
    <w:lvl w:ilvl="6" w:tplc="52F28AD0" w:tentative="1">
      <w:start w:val="1"/>
      <w:numFmt w:val="bullet"/>
      <w:lvlText w:val=""/>
      <w:lvlJc w:val="left"/>
      <w:pPr>
        <w:ind w:left="5040" w:hanging="360"/>
      </w:pPr>
      <w:rPr>
        <w:rFonts w:ascii="Symbol" w:hAnsi="Symbol" w:hint="default"/>
      </w:rPr>
    </w:lvl>
    <w:lvl w:ilvl="7" w:tplc="D17AB980" w:tentative="1">
      <w:start w:val="1"/>
      <w:numFmt w:val="bullet"/>
      <w:lvlText w:val="o"/>
      <w:lvlJc w:val="left"/>
      <w:pPr>
        <w:ind w:left="5760" w:hanging="360"/>
      </w:pPr>
      <w:rPr>
        <w:rFonts w:ascii="Courier New" w:hAnsi="Courier New" w:cs="Courier New" w:hint="default"/>
      </w:rPr>
    </w:lvl>
    <w:lvl w:ilvl="8" w:tplc="F51E4288" w:tentative="1">
      <w:start w:val="1"/>
      <w:numFmt w:val="bullet"/>
      <w:lvlText w:val=""/>
      <w:lvlJc w:val="left"/>
      <w:pPr>
        <w:ind w:left="6480" w:hanging="360"/>
      </w:pPr>
      <w:rPr>
        <w:rFonts w:ascii="Wingdings" w:hAnsi="Wingdings" w:hint="default"/>
      </w:rPr>
    </w:lvl>
  </w:abstractNum>
  <w:abstractNum w:abstractNumId="15" w15:restartNumberingAfterBreak="0">
    <w:nsid w:val="23A11E36"/>
    <w:multiLevelType w:val="hybridMultilevel"/>
    <w:tmpl w:val="4F0E5D9A"/>
    <w:lvl w:ilvl="0" w:tplc="E5545E58">
      <w:start w:val="1"/>
      <w:numFmt w:val="bullet"/>
      <w:lvlText w:val=""/>
      <w:lvlJc w:val="left"/>
      <w:pPr>
        <w:ind w:left="360" w:hanging="360"/>
      </w:pPr>
      <w:rPr>
        <w:rFonts w:ascii="Symbol" w:hAnsi="Symbol" w:hint="default"/>
      </w:rPr>
    </w:lvl>
    <w:lvl w:ilvl="1" w:tplc="B2FA9574">
      <w:start w:val="1"/>
      <w:numFmt w:val="bullet"/>
      <w:lvlText w:val="o"/>
      <w:lvlJc w:val="left"/>
      <w:pPr>
        <w:ind w:left="1080" w:hanging="360"/>
      </w:pPr>
      <w:rPr>
        <w:rFonts w:ascii="Courier New" w:hAnsi="Courier New" w:cs="Courier New" w:hint="default"/>
      </w:rPr>
    </w:lvl>
    <w:lvl w:ilvl="2" w:tplc="19181AAE">
      <w:start w:val="1"/>
      <w:numFmt w:val="bullet"/>
      <w:lvlText w:val=""/>
      <w:lvlJc w:val="left"/>
      <w:pPr>
        <w:ind w:left="1800" w:hanging="360"/>
      </w:pPr>
      <w:rPr>
        <w:rFonts w:ascii="Wingdings" w:hAnsi="Wingdings" w:hint="default"/>
      </w:rPr>
    </w:lvl>
    <w:lvl w:ilvl="3" w:tplc="D966970A">
      <w:start w:val="1"/>
      <w:numFmt w:val="bullet"/>
      <w:lvlText w:val=""/>
      <w:lvlJc w:val="left"/>
      <w:pPr>
        <w:ind w:left="2520" w:hanging="360"/>
      </w:pPr>
      <w:rPr>
        <w:rFonts w:ascii="Symbol" w:hAnsi="Symbol" w:hint="default"/>
      </w:rPr>
    </w:lvl>
    <w:lvl w:ilvl="4" w:tplc="F47AA892">
      <w:start w:val="1"/>
      <w:numFmt w:val="bullet"/>
      <w:lvlText w:val="o"/>
      <w:lvlJc w:val="left"/>
      <w:pPr>
        <w:ind w:left="3240" w:hanging="360"/>
      </w:pPr>
      <w:rPr>
        <w:rFonts w:ascii="Courier New" w:hAnsi="Courier New" w:cs="Courier New" w:hint="default"/>
      </w:rPr>
    </w:lvl>
    <w:lvl w:ilvl="5" w:tplc="83DAE440">
      <w:start w:val="1"/>
      <w:numFmt w:val="bullet"/>
      <w:lvlText w:val=""/>
      <w:lvlJc w:val="left"/>
      <w:pPr>
        <w:ind w:left="3960" w:hanging="360"/>
      </w:pPr>
      <w:rPr>
        <w:rFonts w:ascii="Wingdings" w:hAnsi="Wingdings" w:hint="default"/>
      </w:rPr>
    </w:lvl>
    <w:lvl w:ilvl="6" w:tplc="0B2004F4">
      <w:start w:val="1"/>
      <w:numFmt w:val="bullet"/>
      <w:lvlText w:val=""/>
      <w:lvlJc w:val="left"/>
      <w:pPr>
        <w:ind w:left="4680" w:hanging="360"/>
      </w:pPr>
      <w:rPr>
        <w:rFonts w:ascii="Symbol" w:hAnsi="Symbol" w:hint="default"/>
      </w:rPr>
    </w:lvl>
    <w:lvl w:ilvl="7" w:tplc="88CA4A90">
      <w:start w:val="1"/>
      <w:numFmt w:val="bullet"/>
      <w:lvlText w:val="o"/>
      <w:lvlJc w:val="left"/>
      <w:pPr>
        <w:ind w:left="5400" w:hanging="360"/>
      </w:pPr>
      <w:rPr>
        <w:rFonts w:ascii="Courier New" w:hAnsi="Courier New" w:cs="Courier New" w:hint="default"/>
      </w:rPr>
    </w:lvl>
    <w:lvl w:ilvl="8" w:tplc="D0EA2B72">
      <w:start w:val="1"/>
      <w:numFmt w:val="bullet"/>
      <w:lvlText w:val=""/>
      <w:lvlJc w:val="left"/>
      <w:pPr>
        <w:ind w:left="6120" w:hanging="360"/>
      </w:pPr>
      <w:rPr>
        <w:rFonts w:ascii="Wingdings" w:hAnsi="Wingdings" w:hint="default"/>
      </w:rPr>
    </w:lvl>
  </w:abstractNum>
  <w:abstractNum w:abstractNumId="16" w15:restartNumberingAfterBreak="0">
    <w:nsid w:val="24E930D7"/>
    <w:multiLevelType w:val="multilevel"/>
    <w:tmpl w:val="EFD2E05E"/>
    <w:name w:val="List Number 2"/>
    <w:lvl w:ilvl="0">
      <w:start w:val="1"/>
      <w:numFmt w:val="decimal"/>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F76E7A"/>
    <w:multiLevelType w:val="singleLevel"/>
    <w:tmpl w:val="C74C5A32"/>
    <w:name w:val="LegalNumbering"/>
    <w:lvl w:ilvl="0">
      <w:start w:val="1"/>
      <w:numFmt w:val="bullet"/>
      <w:lvlText w:val=""/>
      <w:lvlJc w:val="left"/>
      <w:pPr>
        <w:tabs>
          <w:tab w:val="num" w:pos="1417"/>
        </w:tabs>
        <w:ind w:left="1417" w:hanging="567"/>
      </w:pPr>
      <w:rPr>
        <w:rFonts w:ascii="Symbol" w:hAnsi="Symbol" w:hint="default"/>
      </w:rPr>
    </w:lvl>
  </w:abstractNum>
  <w:abstractNum w:abstractNumId="18" w15:restartNumberingAfterBreak="0">
    <w:nsid w:val="2B761A43"/>
    <w:multiLevelType w:val="hybridMultilevel"/>
    <w:tmpl w:val="6C88260C"/>
    <w:lvl w:ilvl="0" w:tplc="311C711A">
      <w:start w:val="1"/>
      <w:numFmt w:val="bullet"/>
      <w:lvlText w:val=""/>
      <w:lvlJc w:val="left"/>
      <w:pPr>
        <w:ind w:left="360" w:hanging="360"/>
      </w:pPr>
      <w:rPr>
        <w:rFonts w:ascii="Symbol" w:hAnsi="Symbol" w:hint="default"/>
      </w:rPr>
    </w:lvl>
    <w:lvl w:ilvl="1" w:tplc="82EAA9FC" w:tentative="1">
      <w:start w:val="1"/>
      <w:numFmt w:val="bullet"/>
      <w:lvlText w:val="o"/>
      <w:lvlJc w:val="left"/>
      <w:pPr>
        <w:ind w:left="1080" w:hanging="360"/>
      </w:pPr>
      <w:rPr>
        <w:rFonts w:ascii="Courier New" w:hAnsi="Courier New" w:cs="Courier New" w:hint="default"/>
      </w:rPr>
    </w:lvl>
    <w:lvl w:ilvl="2" w:tplc="A046283A" w:tentative="1">
      <w:start w:val="1"/>
      <w:numFmt w:val="bullet"/>
      <w:lvlText w:val=""/>
      <w:lvlJc w:val="left"/>
      <w:pPr>
        <w:ind w:left="1800" w:hanging="360"/>
      </w:pPr>
      <w:rPr>
        <w:rFonts w:ascii="Wingdings" w:hAnsi="Wingdings" w:hint="default"/>
      </w:rPr>
    </w:lvl>
    <w:lvl w:ilvl="3" w:tplc="B024C590" w:tentative="1">
      <w:start w:val="1"/>
      <w:numFmt w:val="bullet"/>
      <w:lvlText w:val=""/>
      <w:lvlJc w:val="left"/>
      <w:pPr>
        <w:ind w:left="2520" w:hanging="360"/>
      </w:pPr>
      <w:rPr>
        <w:rFonts w:ascii="Symbol" w:hAnsi="Symbol" w:hint="default"/>
      </w:rPr>
    </w:lvl>
    <w:lvl w:ilvl="4" w:tplc="B55AC84E" w:tentative="1">
      <w:start w:val="1"/>
      <w:numFmt w:val="bullet"/>
      <w:lvlText w:val="o"/>
      <w:lvlJc w:val="left"/>
      <w:pPr>
        <w:ind w:left="3240" w:hanging="360"/>
      </w:pPr>
      <w:rPr>
        <w:rFonts w:ascii="Courier New" w:hAnsi="Courier New" w:cs="Courier New" w:hint="default"/>
      </w:rPr>
    </w:lvl>
    <w:lvl w:ilvl="5" w:tplc="DF44CFB2" w:tentative="1">
      <w:start w:val="1"/>
      <w:numFmt w:val="bullet"/>
      <w:lvlText w:val=""/>
      <w:lvlJc w:val="left"/>
      <w:pPr>
        <w:ind w:left="3960" w:hanging="360"/>
      </w:pPr>
      <w:rPr>
        <w:rFonts w:ascii="Wingdings" w:hAnsi="Wingdings" w:hint="default"/>
      </w:rPr>
    </w:lvl>
    <w:lvl w:ilvl="6" w:tplc="5C966686" w:tentative="1">
      <w:start w:val="1"/>
      <w:numFmt w:val="bullet"/>
      <w:lvlText w:val=""/>
      <w:lvlJc w:val="left"/>
      <w:pPr>
        <w:ind w:left="4680" w:hanging="360"/>
      </w:pPr>
      <w:rPr>
        <w:rFonts w:ascii="Symbol" w:hAnsi="Symbol" w:hint="default"/>
      </w:rPr>
    </w:lvl>
    <w:lvl w:ilvl="7" w:tplc="BCACB3C2" w:tentative="1">
      <w:start w:val="1"/>
      <w:numFmt w:val="bullet"/>
      <w:lvlText w:val="o"/>
      <w:lvlJc w:val="left"/>
      <w:pPr>
        <w:ind w:left="5400" w:hanging="360"/>
      </w:pPr>
      <w:rPr>
        <w:rFonts w:ascii="Courier New" w:hAnsi="Courier New" w:cs="Courier New" w:hint="default"/>
      </w:rPr>
    </w:lvl>
    <w:lvl w:ilvl="8" w:tplc="92C4DA92" w:tentative="1">
      <w:start w:val="1"/>
      <w:numFmt w:val="bullet"/>
      <w:lvlText w:val=""/>
      <w:lvlJc w:val="left"/>
      <w:pPr>
        <w:ind w:left="6120" w:hanging="360"/>
      </w:pPr>
      <w:rPr>
        <w:rFonts w:ascii="Wingdings" w:hAnsi="Wingdings" w:hint="default"/>
      </w:rPr>
    </w:lvl>
  </w:abstractNum>
  <w:abstractNum w:abstractNumId="1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0893E71"/>
    <w:multiLevelType w:val="hybridMultilevel"/>
    <w:tmpl w:val="54887B16"/>
    <w:lvl w:ilvl="0" w:tplc="D564F26A">
      <w:start w:val="1"/>
      <w:numFmt w:val="bullet"/>
      <w:lvlText w:val=""/>
      <w:lvlJc w:val="left"/>
      <w:pPr>
        <w:ind w:left="360" w:hanging="360"/>
      </w:pPr>
      <w:rPr>
        <w:rFonts w:ascii="Symbol" w:hAnsi="Symbol" w:hint="default"/>
      </w:rPr>
    </w:lvl>
    <w:lvl w:ilvl="1" w:tplc="85CA06DA" w:tentative="1">
      <w:start w:val="1"/>
      <w:numFmt w:val="bullet"/>
      <w:lvlText w:val="o"/>
      <w:lvlJc w:val="left"/>
      <w:pPr>
        <w:ind w:left="1080" w:hanging="360"/>
      </w:pPr>
      <w:rPr>
        <w:rFonts w:ascii="Courier New" w:hAnsi="Courier New" w:cs="Courier New" w:hint="default"/>
      </w:rPr>
    </w:lvl>
    <w:lvl w:ilvl="2" w:tplc="34B2E26A" w:tentative="1">
      <w:start w:val="1"/>
      <w:numFmt w:val="bullet"/>
      <w:lvlText w:val=""/>
      <w:lvlJc w:val="left"/>
      <w:pPr>
        <w:ind w:left="1800" w:hanging="360"/>
      </w:pPr>
      <w:rPr>
        <w:rFonts w:ascii="Wingdings" w:hAnsi="Wingdings" w:hint="default"/>
      </w:rPr>
    </w:lvl>
    <w:lvl w:ilvl="3" w:tplc="BADE7FD6" w:tentative="1">
      <w:start w:val="1"/>
      <w:numFmt w:val="bullet"/>
      <w:lvlText w:val=""/>
      <w:lvlJc w:val="left"/>
      <w:pPr>
        <w:ind w:left="2520" w:hanging="360"/>
      </w:pPr>
      <w:rPr>
        <w:rFonts w:ascii="Symbol" w:hAnsi="Symbol" w:hint="default"/>
      </w:rPr>
    </w:lvl>
    <w:lvl w:ilvl="4" w:tplc="A954AA12" w:tentative="1">
      <w:start w:val="1"/>
      <w:numFmt w:val="bullet"/>
      <w:lvlText w:val="o"/>
      <w:lvlJc w:val="left"/>
      <w:pPr>
        <w:ind w:left="3240" w:hanging="360"/>
      </w:pPr>
      <w:rPr>
        <w:rFonts w:ascii="Courier New" w:hAnsi="Courier New" w:cs="Courier New" w:hint="default"/>
      </w:rPr>
    </w:lvl>
    <w:lvl w:ilvl="5" w:tplc="F8B4A464" w:tentative="1">
      <w:start w:val="1"/>
      <w:numFmt w:val="bullet"/>
      <w:lvlText w:val=""/>
      <w:lvlJc w:val="left"/>
      <w:pPr>
        <w:ind w:left="3960" w:hanging="360"/>
      </w:pPr>
      <w:rPr>
        <w:rFonts w:ascii="Wingdings" w:hAnsi="Wingdings" w:hint="default"/>
      </w:rPr>
    </w:lvl>
    <w:lvl w:ilvl="6" w:tplc="003067CE" w:tentative="1">
      <w:start w:val="1"/>
      <w:numFmt w:val="bullet"/>
      <w:lvlText w:val=""/>
      <w:lvlJc w:val="left"/>
      <w:pPr>
        <w:ind w:left="4680" w:hanging="360"/>
      </w:pPr>
      <w:rPr>
        <w:rFonts w:ascii="Symbol" w:hAnsi="Symbol" w:hint="default"/>
      </w:rPr>
    </w:lvl>
    <w:lvl w:ilvl="7" w:tplc="E5767768" w:tentative="1">
      <w:start w:val="1"/>
      <w:numFmt w:val="bullet"/>
      <w:lvlText w:val="o"/>
      <w:lvlJc w:val="left"/>
      <w:pPr>
        <w:ind w:left="5400" w:hanging="360"/>
      </w:pPr>
      <w:rPr>
        <w:rFonts w:ascii="Courier New" w:hAnsi="Courier New" w:cs="Courier New" w:hint="default"/>
      </w:rPr>
    </w:lvl>
    <w:lvl w:ilvl="8" w:tplc="4D147E96" w:tentative="1">
      <w:start w:val="1"/>
      <w:numFmt w:val="bullet"/>
      <w:lvlText w:val=""/>
      <w:lvlJc w:val="left"/>
      <w:pPr>
        <w:ind w:left="6120" w:hanging="360"/>
      </w:pPr>
      <w:rPr>
        <w:rFonts w:ascii="Wingdings" w:hAnsi="Wingdings" w:hint="default"/>
      </w:rPr>
    </w:lvl>
  </w:abstractNum>
  <w:abstractNum w:abstractNumId="21" w15:restartNumberingAfterBreak="0">
    <w:nsid w:val="36593E8A"/>
    <w:multiLevelType w:val="hybridMultilevel"/>
    <w:tmpl w:val="FFA03004"/>
    <w:lvl w:ilvl="0" w:tplc="1DA47CB6">
      <w:start w:val="1"/>
      <w:numFmt w:val="bullet"/>
      <w:lvlText w:val="→"/>
      <w:lvlJc w:val="left"/>
      <w:pPr>
        <w:ind w:left="360" w:hanging="360"/>
      </w:pPr>
      <w:rPr>
        <w:rFonts w:ascii="Times New Roman" w:hAnsi="Times New Roman" w:cs="Times New Roman" w:hint="default"/>
      </w:rPr>
    </w:lvl>
    <w:lvl w:ilvl="1" w:tplc="C0144BC8" w:tentative="1">
      <w:start w:val="1"/>
      <w:numFmt w:val="bullet"/>
      <w:lvlText w:val="o"/>
      <w:lvlJc w:val="left"/>
      <w:pPr>
        <w:ind w:left="1080" w:hanging="360"/>
      </w:pPr>
      <w:rPr>
        <w:rFonts w:ascii="Courier New" w:hAnsi="Courier New" w:cs="Courier New" w:hint="default"/>
      </w:rPr>
    </w:lvl>
    <w:lvl w:ilvl="2" w:tplc="9822C3DA" w:tentative="1">
      <w:start w:val="1"/>
      <w:numFmt w:val="bullet"/>
      <w:lvlText w:val=""/>
      <w:lvlJc w:val="left"/>
      <w:pPr>
        <w:ind w:left="1800" w:hanging="360"/>
      </w:pPr>
      <w:rPr>
        <w:rFonts w:ascii="Wingdings" w:hAnsi="Wingdings" w:hint="default"/>
      </w:rPr>
    </w:lvl>
    <w:lvl w:ilvl="3" w:tplc="FFDE932A" w:tentative="1">
      <w:start w:val="1"/>
      <w:numFmt w:val="bullet"/>
      <w:lvlText w:val=""/>
      <w:lvlJc w:val="left"/>
      <w:pPr>
        <w:ind w:left="2520" w:hanging="360"/>
      </w:pPr>
      <w:rPr>
        <w:rFonts w:ascii="Symbol" w:hAnsi="Symbol" w:hint="default"/>
      </w:rPr>
    </w:lvl>
    <w:lvl w:ilvl="4" w:tplc="521A3BE4" w:tentative="1">
      <w:start w:val="1"/>
      <w:numFmt w:val="bullet"/>
      <w:lvlText w:val="o"/>
      <w:lvlJc w:val="left"/>
      <w:pPr>
        <w:ind w:left="3240" w:hanging="360"/>
      </w:pPr>
      <w:rPr>
        <w:rFonts w:ascii="Courier New" w:hAnsi="Courier New" w:cs="Courier New" w:hint="default"/>
      </w:rPr>
    </w:lvl>
    <w:lvl w:ilvl="5" w:tplc="E8C6751C" w:tentative="1">
      <w:start w:val="1"/>
      <w:numFmt w:val="bullet"/>
      <w:lvlText w:val=""/>
      <w:lvlJc w:val="left"/>
      <w:pPr>
        <w:ind w:left="3960" w:hanging="360"/>
      </w:pPr>
      <w:rPr>
        <w:rFonts w:ascii="Wingdings" w:hAnsi="Wingdings" w:hint="default"/>
      </w:rPr>
    </w:lvl>
    <w:lvl w:ilvl="6" w:tplc="36AA6EFE" w:tentative="1">
      <w:start w:val="1"/>
      <w:numFmt w:val="bullet"/>
      <w:lvlText w:val=""/>
      <w:lvlJc w:val="left"/>
      <w:pPr>
        <w:ind w:left="4680" w:hanging="360"/>
      </w:pPr>
      <w:rPr>
        <w:rFonts w:ascii="Symbol" w:hAnsi="Symbol" w:hint="default"/>
      </w:rPr>
    </w:lvl>
    <w:lvl w:ilvl="7" w:tplc="6ED8BCEC" w:tentative="1">
      <w:start w:val="1"/>
      <w:numFmt w:val="bullet"/>
      <w:lvlText w:val="o"/>
      <w:lvlJc w:val="left"/>
      <w:pPr>
        <w:ind w:left="5400" w:hanging="360"/>
      </w:pPr>
      <w:rPr>
        <w:rFonts w:ascii="Courier New" w:hAnsi="Courier New" w:cs="Courier New" w:hint="default"/>
      </w:rPr>
    </w:lvl>
    <w:lvl w:ilvl="8" w:tplc="1D3C0EBE" w:tentative="1">
      <w:start w:val="1"/>
      <w:numFmt w:val="bullet"/>
      <w:lvlText w:val=""/>
      <w:lvlJc w:val="left"/>
      <w:pPr>
        <w:ind w:left="6120" w:hanging="360"/>
      </w:pPr>
      <w:rPr>
        <w:rFonts w:ascii="Wingdings" w:hAnsi="Wingdings" w:hint="default"/>
      </w:rPr>
    </w:lvl>
  </w:abstractNum>
  <w:abstractNum w:abstractNumId="22" w15:restartNumberingAfterBreak="0">
    <w:nsid w:val="3A5459E8"/>
    <w:multiLevelType w:val="singleLevel"/>
    <w:tmpl w:val="2188C922"/>
    <w:name w:val="Bullet 1"/>
    <w:lvl w:ilvl="0">
      <w:start w:val="1"/>
      <w:numFmt w:val="bullet"/>
      <w:pStyle w:val="Tiret1"/>
      <w:lvlText w:val="–"/>
      <w:lvlJc w:val="left"/>
      <w:pPr>
        <w:tabs>
          <w:tab w:val="num" w:pos="1417"/>
        </w:tabs>
        <w:ind w:left="1417" w:hanging="567"/>
      </w:pPr>
    </w:lvl>
  </w:abstractNum>
  <w:abstractNum w:abstractNumId="23" w15:restartNumberingAfterBreak="0">
    <w:nsid w:val="3B1E2393"/>
    <w:multiLevelType w:val="hybridMultilevel"/>
    <w:tmpl w:val="EBD25626"/>
    <w:lvl w:ilvl="0" w:tplc="3FC4C7AA">
      <w:start w:val="1"/>
      <w:numFmt w:val="bullet"/>
      <w:lvlText w:val=""/>
      <w:lvlJc w:val="left"/>
      <w:pPr>
        <w:ind w:left="360" w:hanging="360"/>
      </w:pPr>
      <w:rPr>
        <w:rFonts w:ascii="Symbol" w:hAnsi="Symbol" w:hint="default"/>
      </w:rPr>
    </w:lvl>
    <w:lvl w:ilvl="1" w:tplc="514C4A72" w:tentative="1">
      <w:start w:val="1"/>
      <w:numFmt w:val="bullet"/>
      <w:lvlText w:val="o"/>
      <w:lvlJc w:val="left"/>
      <w:pPr>
        <w:ind w:left="1080" w:hanging="360"/>
      </w:pPr>
      <w:rPr>
        <w:rFonts w:ascii="Courier New" w:hAnsi="Courier New" w:cs="Courier New" w:hint="default"/>
      </w:rPr>
    </w:lvl>
    <w:lvl w:ilvl="2" w:tplc="6172BD76" w:tentative="1">
      <w:start w:val="1"/>
      <w:numFmt w:val="bullet"/>
      <w:lvlText w:val=""/>
      <w:lvlJc w:val="left"/>
      <w:pPr>
        <w:ind w:left="1800" w:hanging="360"/>
      </w:pPr>
      <w:rPr>
        <w:rFonts w:ascii="Wingdings" w:hAnsi="Wingdings" w:hint="default"/>
      </w:rPr>
    </w:lvl>
    <w:lvl w:ilvl="3" w:tplc="FF9222A0" w:tentative="1">
      <w:start w:val="1"/>
      <w:numFmt w:val="bullet"/>
      <w:lvlText w:val=""/>
      <w:lvlJc w:val="left"/>
      <w:pPr>
        <w:ind w:left="2520" w:hanging="360"/>
      </w:pPr>
      <w:rPr>
        <w:rFonts w:ascii="Symbol" w:hAnsi="Symbol" w:hint="default"/>
      </w:rPr>
    </w:lvl>
    <w:lvl w:ilvl="4" w:tplc="DBE211AE" w:tentative="1">
      <w:start w:val="1"/>
      <w:numFmt w:val="bullet"/>
      <w:lvlText w:val="o"/>
      <w:lvlJc w:val="left"/>
      <w:pPr>
        <w:ind w:left="3240" w:hanging="360"/>
      </w:pPr>
      <w:rPr>
        <w:rFonts w:ascii="Courier New" w:hAnsi="Courier New" w:cs="Courier New" w:hint="default"/>
      </w:rPr>
    </w:lvl>
    <w:lvl w:ilvl="5" w:tplc="C4E88830" w:tentative="1">
      <w:start w:val="1"/>
      <w:numFmt w:val="bullet"/>
      <w:lvlText w:val=""/>
      <w:lvlJc w:val="left"/>
      <w:pPr>
        <w:ind w:left="3960" w:hanging="360"/>
      </w:pPr>
      <w:rPr>
        <w:rFonts w:ascii="Wingdings" w:hAnsi="Wingdings" w:hint="default"/>
      </w:rPr>
    </w:lvl>
    <w:lvl w:ilvl="6" w:tplc="FC027BDC" w:tentative="1">
      <w:start w:val="1"/>
      <w:numFmt w:val="bullet"/>
      <w:lvlText w:val=""/>
      <w:lvlJc w:val="left"/>
      <w:pPr>
        <w:ind w:left="4680" w:hanging="360"/>
      </w:pPr>
      <w:rPr>
        <w:rFonts w:ascii="Symbol" w:hAnsi="Symbol" w:hint="default"/>
      </w:rPr>
    </w:lvl>
    <w:lvl w:ilvl="7" w:tplc="2D2C5C58" w:tentative="1">
      <w:start w:val="1"/>
      <w:numFmt w:val="bullet"/>
      <w:lvlText w:val="o"/>
      <w:lvlJc w:val="left"/>
      <w:pPr>
        <w:ind w:left="5400" w:hanging="360"/>
      </w:pPr>
      <w:rPr>
        <w:rFonts w:ascii="Courier New" w:hAnsi="Courier New" w:cs="Courier New" w:hint="default"/>
      </w:rPr>
    </w:lvl>
    <w:lvl w:ilvl="8" w:tplc="F2F667F0" w:tentative="1">
      <w:start w:val="1"/>
      <w:numFmt w:val="bullet"/>
      <w:lvlText w:val=""/>
      <w:lvlJc w:val="left"/>
      <w:pPr>
        <w:ind w:left="6120" w:hanging="360"/>
      </w:pPr>
      <w:rPr>
        <w:rFonts w:ascii="Wingdings" w:hAnsi="Wingdings" w:hint="default"/>
      </w:rPr>
    </w:lvl>
  </w:abstractNum>
  <w:abstractNum w:abstractNumId="24" w15:restartNumberingAfterBreak="0">
    <w:nsid w:val="3BA736C9"/>
    <w:multiLevelType w:val="singleLevel"/>
    <w:tmpl w:val="F00A6C0C"/>
    <w:lvl w:ilvl="0">
      <w:start w:val="1"/>
      <w:numFmt w:val="bullet"/>
      <w:pStyle w:val="Tiret0"/>
      <w:lvlText w:val="–"/>
      <w:lvlJc w:val="left"/>
      <w:pPr>
        <w:tabs>
          <w:tab w:val="num" w:pos="850"/>
        </w:tabs>
        <w:ind w:left="850" w:hanging="850"/>
      </w:pPr>
    </w:lvl>
  </w:abstractNum>
  <w:abstractNum w:abstractNumId="25" w15:restartNumberingAfterBreak="0">
    <w:nsid w:val="3C90278F"/>
    <w:multiLevelType w:val="singleLevel"/>
    <w:tmpl w:val="0FE08974"/>
    <w:lvl w:ilvl="0">
      <w:start w:val="1"/>
      <w:numFmt w:val="bullet"/>
      <w:pStyle w:val="Tiret3"/>
      <w:lvlText w:val="–"/>
      <w:lvlJc w:val="left"/>
      <w:pPr>
        <w:tabs>
          <w:tab w:val="num" w:pos="2551"/>
        </w:tabs>
        <w:ind w:left="2551" w:hanging="567"/>
      </w:pPr>
    </w:lvl>
  </w:abstractNum>
  <w:abstractNum w:abstractNumId="26"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7" w15:restartNumberingAfterBreak="0">
    <w:nsid w:val="40872A95"/>
    <w:multiLevelType w:val="hybridMultilevel"/>
    <w:tmpl w:val="363C2210"/>
    <w:lvl w:ilvl="0" w:tplc="1E18E9A2">
      <w:start w:val="1"/>
      <w:numFmt w:val="bullet"/>
      <w:lvlText w:val=""/>
      <w:lvlJc w:val="left"/>
      <w:pPr>
        <w:ind w:left="360" w:hanging="360"/>
      </w:pPr>
      <w:rPr>
        <w:rFonts w:ascii="Symbol" w:hAnsi="Symbol" w:hint="default"/>
      </w:rPr>
    </w:lvl>
    <w:lvl w:ilvl="1" w:tplc="8E1A20E8" w:tentative="1">
      <w:start w:val="1"/>
      <w:numFmt w:val="bullet"/>
      <w:lvlText w:val="o"/>
      <w:lvlJc w:val="left"/>
      <w:pPr>
        <w:ind w:left="1080" w:hanging="360"/>
      </w:pPr>
      <w:rPr>
        <w:rFonts w:ascii="Courier New" w:hAnsi="Courier New" w:cs="Courier New" w:hint="default"/>
      </w:rPr>
    </w:lvl>
    <w:lvl w:ilvl="2" w:tplc="D63A12D4" w:tentative="1">
      <w:start w:val="1"/>
      <w:numFmt w:val="bullet"/>
      <w:lvlText w:val=""/>
      <w:lvlJc w:val="left"/>
      <w:pPr>
        <w:ind w:left="1800" w:hanging="360"/>
      </w:pPr>
      <w:rPr>
        <w:rFonts w:ascii="Wingdings" w:hAnsi="Wingdings" w:hint="default"/>
      </w:rPr>
    </w:lvl>
    <w:lvl w:ilvl="3" w:tplc="9062ABCC" w:tentative="1">
      <w:start w:val="1"/>
      <w:numFmt w:val="bullet"/>
      <w:lvlText w:val=""/>
      <w:lvlJc w:val="left"/>
      <w:pPr>
        <w:ind w:left="2520" w:hanging="360"/>
      </w:pPr>
      <w:rPr>
        <w:rFonts w:ascii="Symbol" w:hAnsi="Symbol" w:hint="default"/>
      </w:rPr>
    </w:lvl>
    <w:lvl w:ilvl="4" w:tplc="2632A2EC" w:tentative="1">
      <w:start w:val="1"/>
      <w:numFmt w:val="bullet"/>
      <w:lvlText w:val="o"/>
      <w:lvlJc w:val="left"/>
      <w:pPr>
        <w:ind w:left="3240" w:hanging="360"/>
      </w:pPr>
      <w:rPr>
        <w:rFonts w:ascii="Courier New" w:hAnsi="Courier New" w:cs="Courier New" w:hint="default"/>
      </w:rPr>
    </w:lvl>
    <w:lvl w:ilvl="5" w:tplc="D988EB72" w:tentative="1">
      <w:start w:val="1"/>
      <w:numFmt w:val="bullet"/>
      <w:lvlText w:val=""/>
      <w:lvlJc w:val="left"/>
      <w:pPr>
        <w:ind w:left="3960" w:hanging="360"/>
      </w:pPr>
      <w:rPr>
        <w:rFonts w:ascii="Wingdings" w:hAnsi="Wingdings" w:hint="default"/>
      </w:rPr>
    </w:lvl>
    <w:lvl w:ilvl="6" w:tplc="03A65498" w:tentative="1">
      <w:start w:val="1"/>
      <w:numFmt w:val="bullet"/>
      <w:lvlText w:val=""/>
      <w:lvlJc w:val="left"/>
      <w:pPr>
        <w:ind w:left="4680" w:hanging="360"/>
      </w:pPr>
      <w:rPr>
        <w:rFonts w:ascii="Symbol" w:hAnsi="Symbol" w:hint="default"/>
      </w:rPr>
    </w:lvl>
    <w:lvl w:ilvl="7" w:tplc="C29A14BC" w:tentative="1">
      <w:start w:val="1"/>
      <w:numFmt w:val="bullet"/>
      <w:lvlText w:val="o"/>
      <w:lvlJc w:val="left"/>
      <w:pPr>
        <w:ind w:left="5400" w:hanging="360"/>
      </w:pPr>
      <w:rPr>
        <w:rFonts w:ascii="Courier New" w:hAnsi="Courier New" w:cs="Courier New" w:hint="default"/>
      </w:rPr>
    </w:lvl>
    <w:lvl w:ilvl="8" w:tplc="D4183CB4" w:tentative="1">
      <w:start w:val="1"/>
      <w:numFmt w:val="bullet"/>
      <w:lvlText w:val=""/>
      <w:lvlJc w:val="left"/>
      <w:pPr>
        <w:ind w:left="6120" w:hanging="360"/>
      </w:pPr>
      <w:rPr>
        <w:rFonts w:ascii="Wingdings" w:hAnsi="Wingdings" w:hint="default"/>
      </w:rPr>
    </w:lvl>
  </w:abstractNum>
  <w:abstractNum w:abstractNumId="28" w15:restartNumberingAfterBreak="0">
    <w:nsid w:val="436A0D5D"/>
    <w:multiLevelType w:val="hybridMultilevel"/>
    <w:tmpl w:val="C4F09F7A"/>
    <w:lvl w:ilvl="0" w:tplc="99B4118A">
      <w:start w:val="1"/>
      <w:numFmt w:val="bullet"/>
      <w:lvlText w:val=""/>
      <w:lvlJc w:val="left"/>
      <w:pPr>
        <w:ind w:left="360" w:hanging="360"/>
      </w:pPr>
      <w:rPr>
        <w:rFonts w:ascii="Symbol" w:hAnsi="Symbol" w:hint="default"/>
      </w:rPr>
    </w:lvl>
    <w:lvl w:ilvl="1" w:tplc="308482A4" w:tentative="1">
      <w:start w:val="1"/>
      <w:numFmt w:val="bullet"/>
      <w:lvlText w:val="o"/>
      <w:lvlJc w:val="left"/>
      <w:pPr>
        <w:ind w:left="1080" w:hanging="360"/>
      </w:pPr>
      <w:rPr>
        <w:rFonts w:ascii="Courier New" w:hAnsi="Courier New" w:cs="Courier New" w:hint="default"/>
      </w:rPr>
    </w:lvl>
    <w:lvl w:ilvl="2" w:tplc="2B26B51C" w:tentative="1">
      <w:start w:val="1"/>
      <w:numFmt w:val="bullet"/>
      <w:lvlText w:val=""/>
      <w:lvlJc w:val="left"/>
      <w:pPr>
        <w:ind w:left="1800" w:hanging="360"/>
      </w:pPr>
      <w:rPr>
        <w:rFonts w:ascii="Wingdings" w:hAnsi="Wingdings" w:hint="default"/>
      </w:rPr>
    </w:lvl>
    <w:lvl w:ilvl="3" w:tplc="6A1AFCE8" w:tentative="1">
      <w:start w:val="1"/>
      <w:numFmt w:val="bullet"/>
      <w:lvlText w:val=""/>
      <w:lvlJc w:val="left"/>
      <w:pPr>
        <w:ind w:left="2520" w:hanging="360"/>
      </w:pPr>
      <w:rPr>
        <w:rFonts w:ascii="Symbol" w:hAnsi="Symbol" w:hint="default"/>
      </w:rPr>
    </w:lvl>
    <w:lvl w:ilvl="4" w:tplc="18CC8F32" w:tentative="1">
      <w:start w:val="1"/>
      <w:numFmt w:val="bullet"/>
      <w:lvlText w:val="o"/>
      <w:lvlJc w:val="left"/>
      <w:pPr>
        <w:ind w:left="3240" w:hanging="360"/>
      </w:pPr>
      <w:rPr>
        <w:rFonts w:ascii="Courier New" w:hAnsi="Courier New" w:cs="Courier New" w:hint="default"/>
      </w:rPr>
    </w:lvl>
    <w:lvl w:ilvl="5" w:tplc="EC22858C" w:tentative="1">
      <w:start w:val="1"/>
      <w:numFmt w:val="bullet"/>
      <w:lvlText w:val=""/>
      <w:lvlJc w:val="left"/>
      <w:pPr>
        <w:ind w:left="3960" w:hanging="360"/>
      </w:pPr>
      <w:rPr>
        <w:rFonts w:ascii="Wingdings" w:hAnsi="Wingdings" w:hint="default"/>
      </w:rPr>
    </w:lvl>
    <w:lvl w:ilvl="6" w:tplc="C0DE942E" w:tentative="1">
      <w:start w:val="1"/>
      <w:numFmt w:val="bullet"/>
      <w:lvlText w:val=""/>
      <w:lvlJc w:val="left"/>
      <w:pPr>
        <w:ind w:left="4680" w:hanging="360"/>
      </w:pPr>
      <w:rPr>
        <w:rFonts w:ascii="Symbol" w:hAnsi="Symbol" w:hint="default"/>
      </w:rPr>
    </w:lvl>
    <w:lvl w:ilvl="7" w:tplc="3604BEB2" w:tentative="1">
      <w:start w:val="1"/>
      <w:numFmt w:val="bullet"/>
      <w:lvlText w:val="o"/>
      <w:lvlJc w:val="left"/>
      <w:pPr>
        <w:ind w:left="5400" w:hanging="360"/>
      </w:pPr>
      <w:rPr>
        <w:rFonts w:ascii="Courier New" w:hAnsi="Courier New" w:cs="Courier New" w:hint="default"/>
      </w:rPr>
    </w:lvl>
    <w:lvl w:ilvl="8" w:tplc="46F47C36" w:tentative="1">
      <w:start w:val="1"/>
      <w:numFmt w:val="bullet"/>
      <w:lvlText w:val=""/>
      <w:lvlJc w:val="left"/>
      <w:pPr>
        <w:ind w:left="6120" w:hanging="360"/>
      </w:pPr>
      <w:rPr>
        <w:rFonts w:ascii="Wingdings" w:hAnsi="Wingdings" w:hint="default"/>
      </w:rPr>
    </w:lvl>
  </w:abstractNum>
  <w:abstractNum w:abstractNumId="29" w15:restartNumberingAfterBreak="0">
    <w:nsid w:val="47C176F0"/>
    <w:multiLevelType w:val="hybridMultilevel"/>
    <w:tmpl w:val="366AE936"/>
    <w:lvl w:ilvl="0" w:tplc="47AC0640">
      <w:start w:val="1"/>
      <w:numFmt w:val="bullet"/>
      <w:lvlText w:val=""/>
      <w:lvlJc w:val="left"/>
      <w:pPr>
        <w:ind w:left="360" w:hanging="360"/>
      </w:pPr>
      <w:rPr>
        <w:rFonts w:ascii="Symbol" w:hAnsi="Symbol" w:hint="default"/>
      </w:rPr>
    </w:lvl>
    <w:lvl w:ilvl="1" w:tplc="368C17AC">
      <w:start w:val="1"/>
      <w:numFmt w:val="bullet"/>
      <w:lvlText w:val="o"/>
      <w:lvlJc w:val="left"/>
      <w:pPr>
        <w:ind w:left="1080" w:hanging="360"/>
      </w:pPr>
      <w:rPr>
        <w:rFonts w:ascii="Courier New" w:hAnsi="Courier New" w:cs="Courier New" w:hint="default"/>
      </w:rPr>
    </w:lvl>
    <w:lvl w:ilvl="2" w:tplc="60122C40">
      <w:start w:val="1"/>
      <w:numFmt w:val="bullet"/>
      <w:lvlText w:val=""/>
      <w:lvlJc w:val="left"/>
      <w:pPr>
        <w:ind w:left="1800" w:hanging="360"/>
      </w:pPr>
      <w:rPr>
        <w:rFonts w:ascii="Wingdings" w:hAnsi="Wingdings" w:hint="default"/>
      </w:rPr>
    </w:lvl>
    <w:lvl w:ilvl="3" w:tplc="E19A5D80">
      <w:start w:val="1"/>
      <w:numFmt w:val="bullet"/>
      <w:lvlText w:val=""/>
      <w:lvlJc w:val="left"/>
      <w:pPr>
        <w:ind w:left="2520" w:hanging="360"/>
      </w:pPr>
      <w:rPr>
        <w:rFonts w:ascii="Symbol" w:hAnsi="Symbol" w:hint="default"/>
      </w:rPr>
    </w:lvl>
    <w:lvl w:ilvl="4" w:tplc="919A308A">
      <w:start w:val="1"/>
      <w:numFmt w:val="bullet"/>
      <w:lvlText w:val="o"/>
      <w:lvlJc w:val="left"/>
      <w:pPr>
        <w:ind w:left="3240" w:hanging="360"/>
      </w:pPr>
      <w:rPr>
        <w:rFonts w:ascii="Courier New" w:hAnsi="Courier New" w:cs="Courier New" w:hint="default"/>
      </w:rPr>
    </w:lvl>
    <w:lvl w:ilvl="5" w:tplc="6D828936">
      <w:start w:val="1"/>
      <w:numFmt w:val="bullet"/>
      <w:lvlText w:val=""/>
      <w:lvlJc w:val="left"/>
      <w:pPr>
        <w:ind w:left="3960" w:hanging="360"/>
      </w:pPr>
      <w:rPr>
        <w:rFonts w:ascii="Wingdings" w:hAnsi="Wingdings" w:hint="default"/>
      </w:rPr>
    </w:lvl>
    <w:lvl w:ilvl="6" w:tplc="675CCE0E">
      <w:start w:val="1"/>
      <w:numFmt w:val="bullet"/>
      <w:lvlText w:val=""/>
      <w:lvlJc w:val="left"/>
      <w:pPr>
        <w:ind w:left="4680" w:hanging="360"/>
      </w:pPr>
      <w:rPr>
        <w:rFonts w:ascii="Symbol" w:hAnsi="Symbol" w:hint="default"/>
      </w:rPr>
    </w:lvl>
    <w:lvl w:ilvl="7" w:tplc="8084DE2C">
      <w:start w:val="1"/>
      <w:numFmt w:val="bullet"/>
      <w:lvlText w:val="o"/>
      <w:lvlJc w:val="left"/>
      <w:pPr>
        <w:ind w:left="5400" w:hanging="360"/>
      </w:pPr>
      <w:rPr>
        <w:rFonts w:ascii="Courier New" w:hAnsi="Courier New" w:cs="Courier New" w:hint="default"/>
      </w:rPr>
    </w:lvl>
    <w:lvl w:ilvl="8" w:tplc="EC2AB958">
      <w:start w:val="1"/>
      <w:numFmt w:val="bullet"/>
      <w:lvlText w:val=""/>
      <w:lvlJc w:val="left"/>
      <w:pPr>
        <w:ind w:left="6120" w:hanging="360"/>
      </w:pPr>
      <w:rPr>
        <w:rFonts w:ascii="Wingdings" w:hAnsi="Wingdings" w:hint="default"/>
      </w:rPr>
    </w:lvl>
  </w:abstractNum>
  <w:abstractNum w:abstractNumId="30" w15:restartNumberingAfterBreak="0">
    <w:nsid w:val="48842C30"/>
    <w:multiLevelType w:val="singleLevel"/>
    <w:tmpl w:val="4FA60B90"/>
    <w:name w:val="List Bullet 3"/>
    <w:lvl w:ilvl="0">
      <w:start w:val="1"/>
      <w:numFmt w:val="bullet"/>
      <w:pStyle w:val="Bullet4"/>
      <w:lvlText w:val=""/>
      <w:lvlJc w:val="left"/>
      <w:pPr>
        <w:tabs>
          <w:tab w:val="num" w:pos="3118"/>
        </w:tabs>
        <w:ind w:left="3118" w:hanging="567"/>
      </w:pPr>
      <w:rPr>
        <w:rFonts w:ascii="Symbol" w:hAnsi="Symbol" w:hint="default"/>
      </w:rPr>
    </w:lvl>
  </w:abstractNum>
  <w:abstractNum w:abstractNumId="31" w15:restartNumberingAfterBreak="0">
    <w:nsid w:val="4D2727BA"/>
    <w:multiLevelType w:val="hybridMultilevel"/>
    <w:tmpl w:val="A6D6E1C4"/>
    <w:lvl w:ilvl="0" w:tplc="BDE8E1B0">
      <w:start w:val="1"/>
      <w:numFmt w:val="bullet"/>
      <w:lvlText w:val=""/>
      <w:lvlJc w:val="left"/>
      <w:pPr>
        <w:ind w:left="360" w:hanging="360"/>
      </w:pPr>
      <w:rPr>
        <w:rFonts w:ascii="Symbol" w:hAnsi="Symbol" w:hint="default"/>
      </w:rPr>
    </w:lvl>
    <w:lvl w:ilvl="1" w:tplc="9F3AEA52">
      <w:start w:val="1"/>
      <w:numFmt w:val="bullet"/>
      <w:lvlText w:val="o"/>
      <w:lvlJc w:val="left"/>
      <w:pPr>
        <w:ind w:left="1080" w:hanging="360"/>
      </w:pPr>
      <w:rPr>
        <w:rFonts w:ascii="Courier New" w:hAnsi="Courier New" w:cs="Courier New" w:hint="default"/>
      </w:rPr>
    </w:lvl>
    <w:lvl w:ilvl="2" w:tplc="FF945E28">
      <w:start w:val="1"/>
      <w:numFmt w:val="bullet"/>
      <w:lvlText w:val=""/>
      <w:lvlJc w:val="left"/>
      <w:pPr>
        <w:ind w:left="1800" w:hanging="360"/>
      </w:pPr>
      <w:rPr>
        <w:rFonts w:ascii="Wingdings" w:hAnsi="Wingdings" w:hint="default"/>
      </w:rPr>
    </w:lvl>
    <w:lvl w:ilvl="3" w:tplc="A470FEBC">
      <w:start w:val="1"/>
      <w:numFmt w:val="bullet"/>
      <w:lvlText w:val=""/>
      <w:lvlJc w:val="left"/>
      <w:pPr>
        <w:ind w:left="2520" w:hanging="360"/>
      </w:pPr>
      <w:rPr>
        <w:rFonts w:ascii="Symbol" w:hAnsi="Symbol" w:hint="default"/>
      </w:rPr>
    </w:lvl>
    <w:lvl w:ilvl="4" w:tplc="04FA4D42">
      <w:start w:val="1"/>
      <w:numFmt w:val="bullet"/>
      <w:lvlText w:val="o"/>
      <w:lvlJc w:val="left"/>
      <w:pPr>
        <w:ind w:left="3240" w:hanging="360"/>
      </w:pPr>
      <w:rPr>
        <w:rFonts w:ascii="Courier New" w:hAnsi="Courier New" w:cs="Courier New" w:hint="default"/>
      </w:rPr>
    </w:lvl>
    <w:lvl w:ilvl="5" w:tplc="5214461C">
      <w:start w:val="1"/>
      <w:numFmt w:val="bullet"/>
      <w:lvlText w:val=""/>
      <w:lvlJc w:val="left"/>
      <w:pPr>
        <w:ind w:left="3960" w:hanging="360"/>
      </w:pPr>
      <w:rPr>
        <w:rFonts w:ascii="Wingdings" w:hAnsi="Wingdings" w:hint="default"/>
      </w:rPr>
    </w:lvl>
    <w:lvl w:ilvl="6" w:tplc="279876A2">
      <w:start w:val="1"/>
      <w:numFmt w:val="bullet"/>
      <w:lvlText w:val=""/>
      <w:lvlJc w:val="left"/>
      <w:pPr>
        <w:ind w:left="4680" w:hanging="360"/>
      </w:pPr>
      <w:rPr>
        <w:rFonts w:ascii="Symbol" w:hAnsi="Symbol" w:hint="default"/>
      </w:rPr>
    </w:lvl>
    <w:lvl w:ilvl="7" w:tplc="B83A0CDA">
      <w:start w:val="1"/>
      <w:numFmt w:val="bullet"/>
      <w:lvlText w:val="o"/>
      <w:lvlJc w:val="left"/>
      <w:pPr>
        <w:ind w:left="5400" w:hanging="360"/>
      </w:pPr>
      <w:rPr>
        <w:rFonts w:ascii="Courier New" w:hAnsi="Courier New" w:cs="Courier New" w:hint="default"/>
      </w:rPr>
    </w:lvl>
    <w:lvl w:ilvl="8" w:tplc="4D3411AA">
      <w:start w:val="1"/>
      <w:numFmt w:val="bullet"/>
      <w:lvlText w:val=""/>
      <w:lvlJc w:val="left"/>
      <w:pPr>
        <w:ind w:left="6120" w:hanging="360"/>
      </w:pPr>
      <w:rPr>
        <w:rFonts w:ascii="Wingdings" w:hAnsi="Wingdings" w:hint="default"/>
      </w:rPr>
    </w:lvl>
  </w:abstractNum>
  <w:abstractNum w:abstractNumId="32" w15:restartNumberingAfterBreak="0">
    <w:nsid w:val="4EA72D61"/>
    <w:multiLevelType w:val="hybridMultilevel"/>
    <w:tmpl w:val="4198F1F8"/>
    <w:lvl w:ilvl="0" w:tplc="8A2A1120">
      <w:start w:val="1"/>
      <w:numFmt w:val="bullet"/>
      <w:lvlText w:val=""/>
      <w:lvlJc w:val="left"/>
      <w:pPr>
        <w:ind w:left="360" w:hanging="360"/>
      </w:pPr>
      <w:rPr>
        <w:rFonts w:ascii="Symbol" w:hAnsi="Symbol" w:hint="default"/>
      </w:rPr>
    </w:lvl>
    <w:lvl w:ilvl="1" w:tplc="52ACE8B8" w:tentative="1">
      <w:start w:val="1"/>
      <w:numFmt w:val="bullet"/>
      <w:lvlText w:val="o"/>
      <w:lvlJc w:val="left"/>
      <w:pPr>
        <w:ind w:left="1080" w:hanging="360"/>
      </w:pPr>
      <w:rPr>
        <w:rFonts w:ascii="Courier New" w:hAnsi="Courier New" w:cs="Courier New" w:hint="default"/>
      </w:rPr>
    </w:lvl>
    <w:lvl w:ilvl="2" w:tplc="872042DE" w:tentative="1">
      <w:start w:val="1"/>
      <w:numFmt w:val="bullet"/>
      <w:lvlText w:val=""/>
      <w:lvlJc w:val="left"/>
      <w:pPr>
        <w:ind w:left="1800" w:hanging="360"/>
      </w:pPr>
      <w:rPr>
        <w:rFonts w:ascii="Wingdings" w:hAnsi="Wingdings" w:hint="default"/>
      </w:rPr>
    </w:lvl>
    <w:lvl w:ilvl="3" w:tplc="C28AA84A" w:tentative="1">
      <w:start w:val="1"/>
      <w:numFmt w:val="bullet"/>
      <w:lvlText w:val=""/>
      <w:lvlJc w:val="left"/>
      <w:pPr>
        <w:ind w:left="2520" w:hanging="360"/>
      </w:pPr>
      <w:rPr>
        <w:rFonts w:ascii="Symbol" w:hAnsi="Symbol" w:hint="default"/>
      </w:rPr>
    </w:lvl>
    <w:lvl w:ilvl="4" w:tplc="A8567038" w:tentative="1">
      <w:start w:val="1"/>
      <w:numFmt w:val="bullet"/>
      <w:lvlText w:val="o"/>
      <w:lvlJc w:val="left"/>
      <w:pPr>
        <w:ind w:left="3240" w:hanging="360"/>
      </w:pPr>
      <w:rPr>
        <w:rFonts w:ascii="Courier New" w:hAnsi="Courier New" w:cs="Courier New" w:hint="default"/>
      </w:rPr>
    </w:lvl>
    <w:lvl w:ilvl="5" w:tplc="894E0F2C" w:tentative="1">
      <w:start w:val="1"/>
      <w:numFmt w:val="bullet"/>
      <w:lvlText w:val=""/>
      <w:lvlJc w:val="left"/>
      <w:pPr>
        <w:ind w:left="3960" w:hanging="360"/>
      </w:pPr>
      <w:rPr>
        <w:rFonts w:ascii="Wingdings" w:hAnsi="Wingdings" w:hint="default"/>
      </w:rPr>
    </w:lvl>
    <w:lvl w:ilvl="6" w:tplc="5EB226BA" w:tentative="1">
      <w:start w:val="1"/>
      <w:numFmt w:val="bullet"/>
      <w:lvlText w:val=""/>
      <w:lvlJc w:val="left"/>
      <w:pPr>
        <w:ind w:left="4680" w:hanging="360"/>
      </w:pPr>
      <w:rPr>
        <w:rFonts w:ascii="Symbol" w:hAnsi="Symbol" w:hint="default"/>
      </w:rPr>
    </w:lvl>
    <w:lvl w:ilvl="7" w:tplc="0D388BEA" w:tentative="1">
      <w:start w:val="1"/>
      <w:numFmt w:val="bullet"/>
      <w:lvlText w:val="o"/>
      <w:lvlJc w:val="left"/>
      <w:pPr>
        <w:ind w:left="5400" w:hanging="360"/>
      </w:pPr>
      <w:rPr>
        <w:rFonts w:ascii="Courier New" w:hAnsi="Courier New" w:cs="Courier New" w:hint="default"/>
      </w:rPr>
    </w:lvl>
    <w:lvl w:ilvl="8" w:tplc="2F8C7D40" w:tentative="1">
      <w:start w:val="1"/>
      <w:numFmt w:val="bullet"/>
      <w:lvlText w:val=""/>
      <w:lvlJc w:val="left"/>
      <w:pPr>
        <w:ind w:left="6120" w:hanging="360"/>
      </w:pPr>
      <w:rPr>
        <w:rFonts w:ascii="Wingdings" w:hAnsi="Wingdings" w:hint="default"/>
      </w:rPr>
    </w:lvl>
  </w:abstractNum>
  <w:abstractNum w:abstractNumId="33" w15:restartNumberingAfterBreak="0">
    <w:nsid w:val="518B0FC1"/>
    <w:multiLevelType w:val="hybridMultilevel"/>
    <w:tmpl w:val="3F5E6708"/>
    <w:lvl w:ilvl="0" w:tplc="7FE28AAC">
      <w:start w:val="1"/>
      <w:numFmt w:val="bullet"/>
      <w:lvlText w:val=""/>
      <w:lvlJc w:val="left"/>
      <w:pPr>
        <w:ind w:left="360" w:hanging="360"/>
      </w:pPr>
      <w:rPr>
        <w:rFonts w:ascii="Symbol" w:hAnsi="Symbol" w:hint="default"/>
      </w:rPr>
    </w:lvl>
    <w:lvl w:ilvl="1" w:tplc="659A3326" w:tentative="1">
      <w:start w:val="1"/>
      <w:numFmt w:val="bullet"/>
      <w:lvlText w:val="o"/>
      <w:lvlJc w:val="left"/>
      <w:pPr>
        <w:ind w:left="1080" w:hanging="360"/>
      </w:pPr>
      <w:rPr>
        <w:rFonts w:ascii="Courier New" w:hAnsi="Courier New" w:cs="Courier New" w:hint="default"/>
      </w:rPr>
    </w:lvl>
    <w:lvl w:ilvl="2" w:tplc="B61E50B2" w:tentative="1">
      <w:start w:val="1"/>
      <w:numFmt w:val="bullet"/>
      <w:lvlText w:val=""/>
      <w:lvlJc w:val="left"/>
      <w:pPr>
        <w:ind w:left="1800" w:hanging="360"/>
      </w:pPr>
      <w:rPr>
        <w:rFonts w:ascii="Wingdings" w:hAnsi="Wingdings" w:hint="default"/>
      </w:rPr>
    </w:lvl>
    <w:lvl w:ilvl="3" w:tplc="3CA2A222" w:tentative="1">
      <w:start w:val="1"/>
      <w:numFmt w:val="bullet"/>
      <w:lvlText w:val=""/>
      <w:lvlJc w:val="left"/>
      <w:pPr>
        <w:ind w:left="2520" w:hanging="360"/>
      </w:pPr>
      <w:rPr>
        <w:rFonts w:ascii="Symbol" w:hAnsi="Symbol" w:hint="default"/>
      </w:rPr>
    </w:lvl>
    <w:lvl w:ilvl="4" w:tplc="5DD8915E" w:tentative="1">
      <w:start w:val="1"/>
      <w:numFmt w:val="bullet"/>
      <w:lvlText w:val="o"/>
      <w:lvlJc w:val="left"/>
      <w:pPr>
        <w:ind w:left="3240" w:hanging="360"/>
      </w:pPr>
      <w:rPr>
        <w:rFonts w:ascii="Courier New" w:hAnsi="Courier New" w:cs="Courier New" w:hint="default"/>
      </w:rPr>
    </w:lvl>
    <w:lvl w:ilvl="5" w:tplc="4F3879F0" w:tentative="1">
      <w:start w:val="1"/>
      <w:numFmt w:val="bullet"/>
      <w:lvlText w:val=""/>
      <w:lvlJc w:val="left"/>
      <w:pPr>
        <w:ind w:left="3960" w:hanging="360"/>
      </w:pPr>
      <w:rPr>
        <w:rFonts w:ascii="Wingdings" w:hAnsi="Wingdings" w:hint="default"/>
      </w:rPr>
    </w:lvl>
    <w:lvl w:ilvl="6" w:tplc="52F6283C" w:tentative="1">
      <w:start w:val="1"/>
      <w:numFmt w:val="bullet"/>
      <w:lvlText w:val=""/>
      <w:lvlJc w:val="left"/>
      <w:pPr>
        <w:ind w:left="4680" w:hanging="360"/>
      </w:pPr>
      <w:rPr>
        <w:rFonts w:ascii="Symbol" w:hAnsi="Symbol" w:hint="default"/>
      </w:rPr>
    </w:lvl>
    <w:lvl w:ilvl="7" w:tplc="EA50AB92" w:tentative="1">
      <w:start w:val="1"/>
      <w:numFmt w:val="bullet"/>
      <w:lvlText w:val="o"/>
      <w:lvlJc w:val="left"/>
      <w:pPr>
        <w:ind w:left="5400" w:hanging="360"/>
      </w:pPr>
      <w:rPr>
        <w:rFonts w:ascii="Courier New" w:hAnsi="Courier New" w:cs="Courier New" w:hint="default"/>
      </w:rPr>
    </w:lvl>
    <w:lvl w:ilvl="8" w:tplc="9120F256" w:tentative="1">
      <w:start w:val="1"/>
      <w:numFmt w:val="bullet"/>
      <w:lvlText w:val=""/>
      <w:lvlJc w:val="left"/>
      <w:pPr>
        <w:ind w:left="6120" w:hanging="360"/>
      </w:pPr>
      <w:rPr>
        <w:rFonts w:ascii="Wingdings" w:hAnsi="Wingdings" w:hint="default"/>
      </w:rPr>
    </w:lvl>
  </w:abstractNum>
  <w:abstractNum w:abstractNumId="34" w15:restartNumberingAfterBreak="0">
    <w:nsid w:val="53594639"/>
    <w:multiLevelType w:val="hybridMultilevel"/>
    <w:tmpl w:val="6C209EB8"/>
    <w:lvl w:ilvl="0" w:tplc="8C96C3C8">
      <w:start w:val="1"/>
      <w:numFmt w:val="bullet"/>
      <w:lvlText w:val=""/>
      <w:lvlJc w:val="left"/>
      <w:pPr>
        <w:ind w:left="360" w:hanging="360"/>
      </w:pPr>
      <w:rPr>
        <w:rFonts w:ascii="Symbol" w:hAnsi="Symbol" w:hint="default"/>
      </w:rPr>
    </w:lvl>
    <w:lvl w:ilvl="1" w:tplc="51405F74">
      <w:start w:val="1"/>
      <w:numFmt w:val="bullet"/>
      <w:lvlText w:val="o"/>
      <w:lvlJc w:val="left"/>
      <w:pPr>
        <w:ind w:left="1080" w:hanging="360"/>
      </w:pPr>
      <w:rPr>
        <w:rFonts w:ascii="Courier New" w:hAnsi="Courier New" w:cs="Courier New" w:hint="default"/>
      </w:rPr>
    </w:lvl>
    <w:lvl w:ilvl="2" w:tplc="706E975A">
      <w:start w:val="1"/>
      <w:numFmt w:val="bullet"/>
      <w:lvlText w:val=""/>
      <w:lvlJc w:val="left"/>
      <w:pPr>
        <w:ind w:left="1800" w:hanging="360"/>
      </w:pPr>
      <w:rPr>
        <w:rFonts w:ascii="Wingdings" w:hAnsi="Wingdings" w:hint="default"/>
      </w:rPr>
    </w:lvl>
    <w:lvl w:ilvl="3" w:tplc="03A4030A">
      <w:start w:val="1"/>
      <w:numFmt w:val="bullet"/>
      <w:lvlText w:val=""/>
      <w:lvlJc w:val="left"/>
      <w:pPr>
        <w:ind w:left="2520" w:hanging="360"/>
      </w:pPr>
      <w:rPr>
        <w:rFonts w:ascii="Symbol" w:hAnsi="Symbol" w:hint="default"/>
      </w:rPr>
    </w:lvl>
    <w:lvl w:ilvl="4" w:tplc="D0B066FA">
      <w:start w:val="1"/>
      <w:numFmt w:val="bullet"/>
      <w:lvlText w:val="o"/>
      <w:lvlJc w:val="left"/>
      <w:pPr>
        <w:ind w:left="3240" w:hanging="360"/>
      </w:pPr>
      <w:rPr>
        <w:rFonts w:ascii="Courier New" w:hAnsi="Courier New" w:cs="Courier New" w:hint="default"/>
      </w:rPr>
    </w:lvl>
    <w:lvl w:ilvl="5" w:tplc="F5789086">
      <w:start w:val="1"/>
      <w:numFmt w:val="bullet"/>
      <w:lvlText w:val=""/>
      <w:lvlJc w:val="left"/>
      <w:pPr>
        <w:ind w:left="3960" w:hanging="360"/>
      </w:pPr>
      <w:rPr>
        <w:rFonts w:ascii="Wingdings" w:hAnsi="Wingdings" w:hint="default"/>
      </w:rPr>
    </w:lvl>
    <w:lvl w:ilvl="6" w:tplc="0F4069BA">
      <w:start w:val="1"/>
      <w:numFmt w:val="bullet"/>
      <w:lvlText w:val=""/>
      <w:lvlJc w:val="left"/>
      <w:pPr>
        <w:ind w:left="4680" w:hanging="360"/>
      </w:pPr>
      <w:rPr>
        <w:rFonts w:ascii="Symbol" w:hAnsi="Symbol" w:hint="default"/>
      </w:rPr>
    </w:lvl>
    <w:lvl w:ilvl="7" w:tplc="7792B1C6">
      <w:start w:val="1"/>
      <w:numFmt w:val="bullet"/>
      <w:lvlText w:val="o"/>
      <w:lvlJc w:val="left"/>
      <w:pPr>
        <w:ind w:left="5400" w:hanging="360"/>
      </w:pPr>
      <w:rPr>
        <w:rFonts w:ascii="Courier New" w:hAnsi="Courier New" w:cs="Courier New" w:hint="default"/>
      </w:rPr>
    </w:lvl>
    <w:lvl w:ilvl="8" w:tplc="94E80DF8">
      <w:start w:val="1"/>
      <w:numFmt w:val="bullet"/>
      <w:lvlText w:val=""/>
      <w:lvlJc w:val="left"/>
      <w:pPr>
        <w:ind w:left="6120" w:hanging="360"/>
      </w:pPr>
      <w:rPr>
        <w:rFonts w:ascii="Wingdings" w:hAnsi="Wingdings" w:hint="default"/>
      </w:rPr>
    </w:lvl>
  </w:abstractNum>
  <w:abstractNum w:abstractNumId="35"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36" w15:restartNumberingAfterBreak="0">
    <w:nsid w:val="54713AC1"/>
    <w:multiLevelType w:val="hybridMultilevel"/>
    <w:tmpl w:val="A1C6CC34"/>
    <w:lvl w:ilvl="0" w:tplc="D6C27658">
      <w:start w:val="1"/>
      <w:numFmt w:val="bullet"/>
      <w:lvlText w:val=""/>
      <w:lvlJc w:val="left"/>
      <w:pPr>
        <w:ind w:left="360" w:hanging="360"/>
      </w:pPr>
      <w:rPr>
        <w:rFonts w:ascii="Symbol" w:hAnsi="Symbol" w:hint="default"/>
      </w:rPr>
    </w:lvl>
    <w:lvl w:ilvl="1" w:tplc="9D0A0D32" w:tentative="1">
      <w:start w:val="1"/>
      <w:numFmt w:val="bullet"/>
      <w:lvlText w:val="o"/>
      <w:lvlJc w:val="left"/>
      <w:pPr>
        <w:ind w:left="1080" w:hanging="360"/>
      </w:pPr>
      <w:rPr>
        <w:rFonts w:ascii="Courier New" w:hAnsi="Courier New" w:cs="Courier New" w:hint="default"/>
      </w:rPr>
    </w:lvl>
    <w:lvl w:ilvl="2" w:tplc="7D9E8220" w:tentative="1">
      <w:start w:val="1"/>
      <w:numFmt w:val="bullet"/>
      <w:lvlText w:val=""/>
      <w:lvlJc w:val="left"/>
      <w:pPr>
        <w:ind w:left="1800" w:hanging="360"/>
      </w:pPr>
      <w:rPr>
        <w:rFonts w:ascii="Wingdings" w:hAnsi="Wingdings" w:hint="default"/>
      </w:rPr>
    </w:lvl>
    <w:lvl w:ilvl="3" w:tplc="6D76AED8" w:tentative="1">
      <w:start w:val="1"/>
      <w:numFmt w:val="bullet"/>
      <w:lvlText w:val=""/>
      <w:lvlJc w:val="left"/>
      <w:pPr>
        <w:ind w:left="2520" w:hanging="360"/>
      </w:pPr>
      <w:rPr>
        <w:rFonts w:ascii="Symbol" w:hAnsi="Symbol" w:hint="default"/>
      </w:rPr>
    </w:lvl>
    <w:lvl w:ilvl="4" w:tplc="30628554" w:tentative="1">
      <w:start w:val="1"/>
      <w:numFmt w:val="bullet"/>
      <w:lvlText w:val="o"/>
      <w:lvlJc w:val="left"/>
      <w:pPr>
        <w:ind w:left="3240" w:hanging="360"/>
      </w:pPr>
      <w:rPr>
        <w:rFonts w:ascii="Courier New" w:hAnsi="Courier New" w:cs="Courier New" w:hint="default"/>
      </w:rPr>
    </w:lvl>
    <w:lvl w:ilvl="5" w:tplc="4D38CCF2" w:tentative="1">
      <w:start w:val="1"/>
      <w:numFmt w:val="bullet"/>
      <w:lvlText w:val=""/>
      <w:lvlJc w:val="left"/>
      <w:pPr>
        <w:ind w:left="3960" w:hanging="360"/>
      </w:pPr>
      <w:rPr>
        <w:rFonts w:ascii="Wingdings" w:hAnsi="Wingdings" w:hint="default"/>
      </w:rPr>
    </w:lvl>
    <w:lvl w:ilvl="6" w:tplc="D5ACCF24" w:tentative="1">
      <w:start w:val="1"/>
      <w:numFmt w:val="bullet"/>
      <w:lvlText w:val=""/>
      <w:lvlJc w:val="left"/>
      <w:pPr>
        <w:ind w:left="4680" w:hanging="360"/>
      </w:pPr>
      <w:rPr>
        <w:rFonts w:ascii="Symbol" w:hAnsi="Symbol" w:hint="default"/>
      </w:rPr>
    </w:lvl>
    <w:lvl w:ilvl="7" w:tplc="3978F884" w:tentative="1">
      <w:start w:val="1"/>
      <w:numFmt w:val="bullet"/>
      <w:lvlText w:val="o"/>
      <w:lvlJc w:val="left"/>
      <w:pPr>
        <w:ind w:left="5400" w:hanging="360"/>
      </w:pPr>
      <w:rPr>
        <w:rFonts w:ascii="Courier New" w:hAnsi="Courier New" w:cs="Courier New" w:hint="default"/>
      </w:rPr>
    </w:lvl>
    <w:lvl w:ilvl="8" w:tplc="92320724" w:tentative="1">
      <w:start w:val="1"/>
      <w:numFmt w:val="bullet"/>
      <w:lvlText w:val=""/>
      <w:lvlJc w:val="left"/>
      <w:pPr>
        <w:ind w:left="6120" w:hanging="360"/>
      </w:pPr>
      <w:rPr>
        <w:rFonts w:ascii="Wingdings" w:hAnsi="Wingdings" w:hint="default"/>
      </w:r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64D00B9"/>
    <w:multiLevelType w:val="hybridMultilevel"/>
    <w:tmpl w:val="D9DED6C8"/>
    <w:lvl w:ilvl="0" w:tplc="D9F2CDAA">
      <w:start w:val="1"/>
      <w:numFmt w:val="bullet"/>
      <w:lvlText w:val=""/>
      <w:lvlJc w:val="left"/>
      <w:pPr>
        <w:ind w:left="360" w:hanging="360"/>
      </w:pPr>
      <w:rPr>
        <w:rFonts w:ascii="Symbol" w:hAnsi="Symbol" w:hint="default"/>
      </w:rPr>
    </w:lvl>
    <w:lvl w:ilvl="1" w:tplc="ADB20378" w:tentative="1">
      <w:start w:val="1"/>
      <w:numFmt w:val="bullet"/>
      <w:lvlText w:val="o"/>
      <w:lvlJc w:val="left"/>
      <w:pPr>
        <w:ind w:left="1080" w:hanging="360"/>
      </w:pPr>
      <w:rPr>
        <w:rFonts w:ascii="Courier New" w:hAnsi="Courier New" w:cs="Courier New" w:hint="default"/>
      </w:rPr>
    </w:lvl>
    <w:lvl w:ilvl="2" w:tplc="54500710" w:tentative="1">
      <w:start w:val="1"/>
      <w:numFmt w:val="bullet"/>
      <w:lvlText w:val=""/>
      <w:lvlJc w:val="left"/>
      <w:pPr>
        <w:ind w:left="1800" w:hanging="360"/>
      </w:pPr>
      <w:rPr>
        <w:rFonts w:ascii="Wingdings" w:hAnsi="Wingdings" w:hint="default"/>
      </w:rPr>
    </w:lvl>
    <w:lvl w:ilvl="3" w:tplc="3AE4C92A" w:tentative="1">
      <w:start w:val="1"/>
      <w:numFmt w:val="bullet"/>
      <w:lvlText w:val=""/>
      <w:lvlJc w:val="left"/>
      <w:pPr>
        <w:ind w:left="2520" w:hanging="360"/>
      </w:pPr>
      <w:rPr>
        <w:rFonts w:ascii="Symbol" w:hAnsi="Symbol" w:hint="default"/>
      </w:rPr>
    </w:lvl>
    <w:lvl w:ilvl="4" w:tplc="0714F49A" w:tentative="1">
      <w:start w:val="1"/>
      <w:numFmt w:val="bullet"/>
      <w:lvlText w:val="o"/>
      <w:lvlJc w:val="left"/>
      <w:pPr>
        <w:ind w:left="3240" w:hanging="360"/>
      </w:pPr>
      <w:rPr>
        <w:rFonts w:ascii="Courier New" w:hAnsi="Courier New" w:cs="Courier New" w:hint="default"/>
      </w:rPr>
    </w:lvl>
    <w:lvl w:ilvl="5" w:tplc="3FAAE144" w:tentative="1">
      <w:start w:val="1"/>
      <w:numFmt w:val="bullet"/>
      <w:lvlText w:val=""/>
      <w:lvlJc w:val="left"/>
      <w:pPr>
        <w:ind w:left="3960" w:hanging="360"/>
      </w:pPr>
      <w:rPr>
        <w:rFonts w:ascii="Wingdings" w:hAnsi="Wingdings" w:hint="default"/>
      </w:rPr>
    </w:lvl>
    <w:lvl w:ilvl="6" w:tplc="83C49506" w:tentative="1">
      <w:start w:val="1"/>
      <w:numFmt w:val="bullet"/>
      <w:lvlText w:val=""/>
      <w:lvlJc w:val="left"/>
      <w:pPr>
        <w:ind w:left="4680" w:hanging="360"/>
      </w:pPr>
      <w:rPr>
        <w:rFonts w:ascii="Symbol" w:hAnsi="Symbol" w:hint="default"/>
      </w:rPr>
    </w:lvl>
    <w:lvl w:ilvl="7" w:tplc="AEFC946E" w:tentative="1">
      <w:start w:val="1"/>
      <w:numFmt w:val="bullet"/>
      <w:lvlText w:val="o"/>
      <w:lvlJc w:val="left"/>
      <w:pPr>
        <w:ind w:left="5400" w:hanging="360"/>
      </w:pPr>
      <w:rPr>
        <w:rFonts w:ascii="Courier New" w:hAnsi="Courier New" w:cs="Courier New" w:hint="default"/>
      </w:rPr>
    </w:lvl>
    <w:lvl w:ilvl="8" w:tplc="DC762E8A" w:tentative="1">
      <w:start w:val="1"/>
      <w:numFmt w:val="bullet"/>
      <w:lvlText w:val=""/>
      <w:lvlJc w:val="left"/>
      <w:pPr>
        <w:ind w:left="6120" w:hanging="360"/>
      </w:pPr>
      <w:rPr>
        <w:rFonts w:ascii="Wingdings" w:hAnsi="Wingdings" w:hint="default"/>
      </w:rPr>
    </w:lvl>
  </w:abstractNum>
  <w:abstractNum w:abstractNumId="39" w15:restartNumberingAfterBreak="0">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40"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41" w15:restartNumberingAfterBreak="0">
    <w:nsid w:val="5A181420"/>
    <w:multiLevelType w:val="hybridMultilevel"/>
    <w:tmpl w:val="96D03642"/>
    <w:lvl w:ilvl="0" w:tplc="84A403DA">
      <w:start w:val="1"/>
      <w:numFmt w:val="bullet"/>
      <w:lvlText w:val=""/>
      <w:lvlJc w:val="left"/>
      <w:pPr>
        <w:ind w:left="360" w:hanging="360"/>
      </w:pPr>
      <w:rPr>
        <w:rFonts w:ascii="Symbol" w:hAnsi="Symbol" w:hint="default"/>
      </w:rPr>
    </w:lvl>
    <w:lvl w:ilvl="1" w:tplc="22B28AF2">
      <w:start w:val="1"/>
      <w:numFmt w:val="bullet"/>
      <w:lvlText w:val="o"/>
      <w:lvlJc w:val="left"/>
      <w:pPr>
        <w:ind w:left="1080" w:hanging="360"/>
      </w:pPr>
      <w:rPr>
        <w:rFonts w:ascii="Courier New" w:hAnsi="Courier New" w:cs="Courier New" w:hint="default"/>
      </w:rPr>
    </w:lvl>
    <w:lvl w:ilvl="2" w:tplc="D5BE7924">
      <w:start w:val="1"/>
      <w:numFmt w:val="bullet"/>
      <w:lvlText w:val=""/>
      <w:lvlJc w:val="left"/>
      <w:pPr>
        <w:ind w:left="1800" w:hanging="360"/>
      </w:pPr>
      <w:rPr>
        <w:rFonts w:ascii="Wingdings" w:hAnsi="Wingdings" w:hint="default"/>
      </w:rPr>
    </w:lvl>
    <w:lvl w:ilvl="3" w:tplc="E62CE05C">
      <w:start w:val="1"/>
      <w:numFmt w:val="bullet"/>
      <w:lvlText w:val=""/>
      <w:lvlJc w:val="left"/>
      <w:pPr>
        <w:ind w:left="2520" w:hanging="360"/>
      </w:pPr>
      <w:rPr>
        <w:rFonts w:ascii="Symbol" w:hAnsi="Symbol" w:hint="default"/>
      </w:rPr>
    </w:lvl>
    <w:lvl w:ilvl="4" w:tplc="DAC8DE7C">
      <w:start w:val="1"/>
      <w:numFmt w:val="bullet"/>
      <w:lvlText w:val="o"/>
      <w:lvlJc w:val="left"/>
      <w:pPr>
        <w:ind w:left="3240" w:hanging="360"/>
      </w:pPr>
      <w:rPr>
        <w:rFonts w:ascii="Courier New" w:hAnsi="Courier New" w:cs="Courier New" w:hint="default"/>
      </w:rPr>
    </w:lvl>
    <w:lvl w:ilvl="5" w:tplc="D18EB788">
      <w:start w:val="1"/>
      <w:numFmt w:val="bullet"/>
      <w:lvlText w:val=""/>
      <w:lvlJc w:val="left"/>
      <w:pPr>
        <w:ind w:left="3960" w:hanging="360"/>
      </w:pPr>
      <w:rPr>
        <w:rFonts w:ascii="Wingdings" w:hAnsi="Wingdings" w:hint="default"/>
      </w:rPr>
    </w:lvl>
    <w:lvl w:ilvl="6" w:tplc="8D6CE7D0">
      <w:start w:val="1"/>
      <w:numFmt w:val="bullet"/>
      <w:lvlText w:val=""/>
      <w:lvlJc w:val="left"/>
      <w:pPr>
        <w:ind w:left="4680" w:hanging="360"/>
      </w:pPr>
      <w:rPr>
        <w:rFonts w:ascii="Symbol" w:hAnsi="Symbol" w:hint="default"/>
      </w:rPr>
    </w:lvl>
    <w:lvl w:ilvl="7" w:tplc="BFC8CE26">
      <w:start w:val="1"/>
      <w:numFmt w:val="bullet"/>
      <w:lvlText w:val="o"/>
      <w:lvlJc w:val="left"/>
      <w:pPr>
        <w:ind w:left="5400" w:hanging="360"/>
      </w:pPr>
      <w:rPr>
        <w:rFonts w:ascii="Courier New" w:hAnsi="Courier New" w:cs="Courier New" w:hint="default"/>
      </w:rPr>
    </w:lvl>
    <w:lvl w:ilvl="8" w:tplc="1166C276">
      <w:start w:val="1"/>
      <w:numFmt w:val="bullet"/>
      <w:lvlText w:val=""/>
      <w:lvlJc w:val="left"/>
      <w:pPr>
        <w:ind w:left="6120" w:hanging="360"/>
      </w:pPr>
      <w:rPr>
        <w:rFonts w:ascii="Wingdings" w:hAnsi="Wingdings" w:hint="default"/>
      </w:rPr>
    </w:lvl>
  </w:abstractNum>
  <w:abstractNum w:abstractNumId="42" w15:restartNumberingAfterBreak="0">
    <w:nsid w:val="5A467819"/>
    <w:multiLevelType w:val="hybridMultilevel"/>
    <w:tmpl w:val="39864490"/>
    <w:lvl w:ilvl="0" w:tplc="2C04E952">
      <w:start w:val="1"/>
      <w:numFmt w:val="bullet"/>
      <w:lvlText w:val=""/>
      <w:lvlJc w:val="left"/>
      <w:pPr>
        <w:ind w:left="434" w:hanging="360"/>
      </w:pPr>
      <w:rPr>
        <w:rFonts w:ascii="Symbol" w:hAnsi="Symbol" w:hint="default"/>
      </w:rPr>
    </w:lvl>
    <w:lvl w:ilvl="1" w:tplc="7DC0CA3E" w:tentative="1">
      <w:start w:val="1"/>
      <w:numFmt w:val="bullet"/>
      <w:lvlText w:val="o"/>
      <w:lvlJc w:val="left"/>
      <w:pPr>
        <w:ind w:left="1154" w:hanging="360"/>
      </w:pPr>
      <w:rPr>
        <w:rFonts w:ascii="Courier New" w:hAnsi="Courier New" w:cs="Courier New" w:hint="default"/>
      </w:rPr>
    </w:lvl>
    <w:lvl w:ilvl="2" w:tplc="4176CF9E" w:tentative="1">
      <w:start w:val="1"/>
      <w:numFmt w:val="bullet"/>
      <w:lvlText w:val=""/>
      <w:lvlJc w:val="left"/>
      <w:pPr>
        <w:ind w:left="1874" w:hanging="360"/>
      </w:pPr>
      <w:rPr>
        <w:rFonts w:ascii="Wingdings" w:hAnsi="Wingdings" w:hint="default"/>
      </w:rPr>
    </w:lvl>
    <w:lvl w:ilvl="3" w:tplc="6D7CC32A" w:tentative="1">
      <w:start w:val="1"/>
      <w:numFmt w:val="bullet"/>
      <w:lvlText w:val=""/>
      <w:lvlJc w:val="left"/>
      <w:pPr>
        <w:ind w:left="2594" w:hanging="360"/>
      </w:pPr>
      <w:rPr>
        <w:rFonts w:ascii="Symbol" w:hAnsi="Symbol" w:hint="default"/>
      </w:rPr>
    </w:lvl>
    <w:lvl w:ilvl="4" w:tplc="AE2A0DDC" w:tentative="1">
      <w:start w:val="1"/>
      <w:numFmt w:val="bullet"/>
      <w:lvlText w:val="o"/>
      <w:lvlJc w:val="left"/>
      <w:pPr>
        <w:ind w:left="3314" w:hanging="360"/>
      </w:pPr>
      <w:rPr>
        <w:rFonts w:ascii="Courier New" w:hAnsi="Courier New" w:cs="Courier New" w:hint="default"/>
      </w:rPr>
    </w:lvl>
    <w:lvl w:ilvl="5" w:tplc="1B9A62AE" w:tentative="1">
      <w:start w:val="1"/>
      <w:numFmt w:val="bullet"/>
      <w:lvlText w:val=""/>
      <w:lvlJc w:val="left"/>
      <w:pPr>
        <w:ind w:left="4034" w:hanging="360"/>
      </w:pPr>
      <w:rPr>
        <w:rFonts w:ascii="Wingdings" w:hAnsi="Wingdings" w:hint="default"/>
      </w:rPr>
    </w:lvl>
    <w:lvl w:ilvl="6" w:tplc="4D66D5C8" w:tentative="1">
      <w:start w:val="1"/>
      <w:numFmt w:val="bullet"/>
      <w:lvlText w:val=""/>
      <w:lvlJc w:val="left"/>
      <w:pPr>
        <w:ind w:left="4754" w:hanging="360"/>
      </w:pPr>
      <w:rPr>
        <w:rFonts w:ascii="Symbol" w:hAnsi="Symbol" w:hint="default"/>
      </w:rPr>
    </w:lvl>
    <w:lvl w:ilvl="7" w:tplc="F6A6D206" w:tentative="1">
      <w:start w:val="1"/>
      <w:numFmt w:val="bullet"/>
      <w:lvlText w:val="o"/>
      <w:lvlJc w:val="left"/>
      <w:pPr>
        <w:ind w:left="5474" w:hanging="360"/>
      </w:pPr>
      <w:rPr>
        <w:rFonts w:ascii="Courier New" w:hAnsi="Courier New" w:cs="Courier New" w:hint="default"/>
      </w:rPr>
    </w:lvl>
    <w:lvl w:ilvl="8" w:tplc="B4CC8BB8" w:tentative="1">
      <w:start w:val="1"/>
      <w:numFmt w:val="bullet"/>
      <w:lvlText w:val=""/>
      <w:lvlJc w:val="left"/>
      <w:pPr>
        <w:ind w:left="6194" w:hanging="360"/>
      </w:pPr>
      <w:rPr>
        <w:rFonts w:ascii="Wingdings" w:hAnsi="Wingdings" w:hint="default"/>
      </w:rPr>
    </w:lvl>
  </w:abstractNum>
  <w:abstractNum w:abstractNumId="43" w15:restartNumberingAfterBreak="0">
    <w:nsid w:val="5DA71CDB"/>
    <w:multiLevelType w:val="hybridMultilevel"/>
    <w:tmpl w:val="4DA644FC"/>
    <w:lvl w:ilvl="0" w:tplc="C9C05012">
      <w:start w:val="1"/>
      <w:numFmt w:val="bullet"/>
      <w:lvlText w:val=""/>
      <w:lvlJc w:val="left"/>
      <w:pPr>
        <w:ind w:left="360" w:hanging="360"/>
      </w:pPr>
      <w:rPr>
        <w:rFonts w:ascii="Symbol" w:hAnsi="Symbol" w:hint="default"/>
      </w:rPr>
    </w:lvl>
    <w:lvl w:ilvl="1" w:tplc="18921642" w:tentative="1">
      <w:start w:val="1"/>
      <w:numFmt w:val="bullet"/>
      <w:lvlText w:val="o"/>
      <w:lvlJc w:val="left"/>
      <w:pPr>
        <w:ind w:left="1080" w:hanging="360"/>
      </w:pPr>
      <w:rPr>
        <w:rFonts w:ascii="Courier New" w:hAnsi="Courier New" w:cs="Courier New" w:hint="default"/>
      </w:rPr>
    </w:lvl>
    <w:lvl w:ilvl="2" w:tplc="47A63C1C" w:tentative="1">
      <w:start w:val="1"/>
      <w:numFmt w:val="bullet"/>
      <w:lvlText w:val=""/>
      <w:lvlJc w:val="left"/>
      <w:pPr>
        <w:ind w:left="1800" w:hanging="360"/>
      </w:pPr>
      <w:rPr>
        <w:rFonts w:ascii="Wingdings" w:hAnsi="Wingdings" w:hint="default"/>
      </w:rPr>
    </w:lvl>
    <w:lvl w:ilvl="3" w:tplc="59A0D8FE" w:tentative="1">
      <w:start w:val="1"/>
      <w:numFmt w:val="bullet"/>
      <w:lvlText w:val=""/>
      <w:lvlJc w:val="left"/>
      <w:pPr>
        <w:ind w:left="2520" w:hanging="360"/>
      </w:pPr>
      <w:rPr>
        <w:rFonts w:ascii="Symbol" w:hAnsi="Symbol" w:hint="default"/>
      </w:rPr>
    </w:lvl>
    <w:lvl w:ilvl="4" w:tplc="0AB2B690" w:tentative="1">
      <w:start w:val="1"/>
      <w:numFmt w:val="bullet"/>
      <w:lvlText w:val="o"/>
      <w:lvlJc w:val="left"/>
      <w:pPr>
        <w:ind w:left="3240" w:hanging="360"/>
      </w:pPr>
      <w:rPr>
        <w:rFonts w:ascii="Courier New" w:hAnsi="Courier New" w:cs="Courier New" w:hint="default"/>
      </w:rPr>
    </w:lvl>
    <w:lvl w:ilvl="5" w:tplc="47E69CC4" w:tentative="1">
      <w:start w:val="1"/>
      <w:numFmt w:val="bullet"/>
      <w:lvlText w:val=""/>
      <w:lvlJc w:val="left"/>
      <w:pPr>
        <w:ind w:left="3960" w:hanging="360"/>
      </w:pPr>
      <w:rPr>
        <w:rFonts w:ascii="Wingdings" w:hAnsi="Wingdings" w:hint="default"/>
      </w:rPr>
    </w:lvl>
    <w:lvl w:ilvl="6" w:tplc="7F80CDAA" w:tentative="1">
      <w:start w:val="1"/>
      <w:numFmt w:val="bullet"/>
      <w:lvlText w:val=""/>
      <w:lvlJc w:val="left"/>
      <w:pPr>
        <w:ind w:left="4680" w:hanging="360"/>
      </w:pPr>
      <w:rPr>
        <w:rFonts w:ascii="Symbol" w:hAnsi="Symbol" w:hint="default"/>
      </w:rPr>
    </w:lvl>
    <w:lvl w:ilvl="7" w:tplc="89C0F71A" w:tentative="1">
      <w:start w:val="1"/>
      <w:numFmt w:val="bullet"/>
      <w:lvlText w:val="o"/>
      <w:lvlJc w:val="left"/>
      <w:pPr>
        <w:ind w:left="5400" w:hanging="360"/>
      </w:pPr>
      <w:rPr>
        <w:rFonts w:ascii="Courier New" w:hAnsi="Courier New" w:cs="Courier New" w:hint="default"/>
      </w:rPr>
    </w:lvl>
    <w:lvl w:ilvl="8" w:tplc="3468F7FC" w:tentative="1">
      <w:start w:val="1"/>
      <w:numFmt w:val="bullet"/>
      <w:lvlText w:val=""/>
      <w:lvlJc w:val="left"/>
      <w:pPr>
        <w:ind w:left="6120" w:hanging="360"/>
      </w:pPr>
      <w:rPr>
        <w:rFonts w:ascii="Wingdings" w:hAnsi="Wingdings" w:hint="default"/>
      </w:rPr>
    </w:lvl>
  </w:abstractNum>
  <w:abstractNum w:abstractNumId="44" w15:restartNumberingAfterBreak="0">
    <w:nsid w:val="5E28608B"/>
    <w:multiLevelType w:val="hybridMultilevel"/>
    <w:tmpl w:val="13BA42EA"/>
    <w:lvl w:ilvl="0" w:tplc="8CCAB5B4">
      <w:start w:val="1"/>
      <w:numFmt w:val="bullet"/>
      <w:lvlText w:val=""/>
      <w:lvlJc w:val="left"/>
      <w:pPr>
        <w:ind w:left="720" w:hanging="360"/>
      </w:pPr>
      <w:rPr>
        <w:rFonts w:ascii="Symbol" w:hAnsi="Symbol" w:hint="default"/>
      </w:rPr>
    </w:lvl>
    <w:lvl w:ilvl="1" w:tplc="63ECEBB2" w:tentative="1">
      <w:start w:val="1"/>
      <w:numFmt w:val="bullet"/>
      <w:lvlText w:val="o"/>
      <w:lvlJc w:val="left"/>
      <w:pPr>
        <w:ind w:left="1440" w:hanging="360"/>
      </w:pPr>
      <w:rPr>
        <w:rFonts w:ascii="Courier New" w:hAnsi="Courier New" w:cs="Courier New" w:hint="default"/>
      </w:rPr>
    </w:lvl>
    <w:lvl w:ilvl="2" w:tplc="9FFAC494" w:tentative="1">
      <w:start w:val="1"/>
      <w:numFmt w:val="bullet"/>
      <w:lvlText w:val=""/>
      <w:lvlJc w:val="left"/>
      <w:pPr>
        <w:ind w:left="2160" w:hanging="360"/>
      </w:pPr>
      <w:rPr>
        <w:rFonts w:ascii="Wingdings" w:hAnsi="Wingdings" w:hint="default"/>
      </w:rPr>
    </w:lvl>
    <w:lvl w:ilvl="3" w:tplc="E8E8D47C" w:tentative="1">
      <w:start w:val="1"/>
      <w:numFmt w:val="bullet"/>
      <w:lvlText w:val=""/>
      <w:lvlJc w:val="left"/>
      <w:pPr>
        <w:ind w:left="2880" w:hanging="360"/>
      </w:pPr>
      <w:rPr>
        <w:rFonts w:ascii="Symbol" w:hAnsi="Symbol" w:hint="default"/>
      </w:rPr>
    </w:lvl>
    <w:lvl w:ilvl="4" w:tplc="2B5827A6" w:tentative="1">
      <w:start w:val="1"/>
      <w:numFmt w:val="bullet"/>
      <w:lvlText w:val="o"/>
      <w:lvlJc w:val="left"/>
      <w:pPr>
        <w:ind w:left="3600" w:hanging="360"/>
      </w:pPr>
      <w:rPr>
        <w:rFonts w:ascii="Courier New" w:hAnsi="Courier New" w:cs="Courier New" w:hint="default"/>
      </w:rPr>
    </w:lvl>
    <w:lvl w:ilvl="5" w:tplc="708654BC" w:tentative="1">
      <w:start w:val="1"/>
      <w:numFmt w:val="bullet"/>
      <w:lvlText w:val=""/>
      <w:lvlJc w:val="left"/>
      <w:pPr>
        <w:ind w:left="4320" w:hanging="360"/>
      </w:pPr>
      <w:rPr>
        <w:rFonts w:ascii="Wingdings" w:hAnsi="Wingdings" w:hint="default"/>
      </w:rPr>
    </w:lvl>
    <w:lvl w:ilvl="6" w:tplc="3BAA7BA8" w:tentative="1">
      <w:start w:val="1"/>
      <w:numFmt w:val="bullet"/>
      <w:lvlText w:val=""/>
      <w:lvlJc w:val="left"/>
      <w:pPr>
        <w:ind w:left="5040" w:hanging="360"/>
      </w:pPr>
      <w:rPr>
        <w:rFonts w:ascii="Symbol" w:hAnsi="Symbol" w:hint="default"/>
      </w:rPr>
    </w:lvl>
    <w:lvl w:ilvl="7" w:tplc="4CA0E336" w:tentative="1">
      <w:start w:val="1"/>
      <w:numFmt w:val="bullet"/>
      <w:lvlText w:val="o"/>
      <w:lvlJc w:val="left"/>
      <w:pPr>
        <w:ind w:left="5760" w:hanging="360"/>
      </w:pPr>
      <w:rPr>
        <w:rFonts w:ascii="Courier New" w:hAnsi="Courier New" w:cs="Courier New" w:hint="default"/>
      </w:rPr>
    </w:lvl>
    <w:lvl w:ilvl="8" w:tplc="16B6C818" w:tentative="1">
      <w:start w:val="1"/>
      <w:numFmt w:val="bullet"/>
      <w:lvlText w:val=""/>
      <w:lvlJc w:val="left"/>
      <w:pPr>
        <w:ind w:left="6480" w:hanging="360"/>
      </w:pPr>
      <w:rPr>
        <w:rFonts w:ascii="Wingdings" w:hAnsi="Wingdings" w:hint="default"/>
      </w:rPr>
    </w:lvl>
  </w:abstractNum>
  <w:abstractNum w:abstractNumId="45"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46" w15:restartNumberingAfterBreak="0">
    <w:nsid w:val="5F8C3B69"/>
    <w:multiLevelType w:val="multilevel"/>
    <w:tmpl w:val="9B14DAA8"/>
    <w:name w:val="Tiret 0"/>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F9C40AA"/>
    <w:multiLevelType w:val="singleLevel"/>
    <w:tmpl w:val="B89CB5A2"/>
    <w:name w:val="List Number"/>
    <w:lvl w:ilvl="0">
      <w:start w:val="1"/>
      <w:numFmt w:val="bullet"/>
      <w:pStyle w:val="Bullet2"/>
      <w:lvlText w:val=""/>
      <w:lvlJc w:val="left"/>
      <w:pPr>
        <w:tabs>
          <w:tab w:val="num" w:pos="1984"/>
        </w:tabs>
        <w:ind w:left="1984" w:hanging="567"/>
      </w:pPr>
      <w:rPr>
        <w:rFonts w:ascii="Symbol" w:hAnsi="Symbol" w:hint="default"/>
      </w:rPr>
    </w:lvl>
  </w:abstractNum>
  <w:abstractNum w:abstractNumId="48" w15:restartNumberingAfterBreak="0">
    <w:nsid w:val="62970F71"/>
    <w:multiLevelType w:val="singleLevel"/>
    <w:tmpl w:val="5AFA8C72"/>
    <w:name w:val="Tiret 3"/>
    <w:lvl w:ilvl="0">
      <w:start w:val="1"/>
      <w:numFmt w:val="bullet"/>
      <w:pStyle w:val="Tiret2"/>
      <w:lvlText w:val="–"/>
      <w:lvlJc w:val="left"/>
      <w:pPr>
        <w:tabs>
          <w:tab w:val="num" w:pos="1984"/>
        </w:tabs>
        <w:ind w:left="1984" w:hanging="567"/>
      </w:pPr>
    </w:lvl>
  </w:abstractNum>
  <w:abstractNum w:abstractNumId="49"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50" w15:restartNumberingAfterBreak="0">
    <w:nsid w:val="66C56A60"/>
    <w:multiLevelType w:val="hybridMultilevel"/>
    <w:tmpl w:val="59767FD2"/>
    <w:lvl w:ilvl="0" w:tplc="348C3136">
      <w:start w:val="1"/>
      <w:numFmt w:val="bullet"/>
      <w:lvlText w:val=""/>
      <w:lvlJc w:val="left"/>
      <w:pPr>
        <w:ind w:left="360" w:hanging="360"/>
      </w:pPr>
      <w:rPr>
        <w:rFonts w:ascii="Symbol" w:hAnsi="Symbol" w:hint="default"/>
      </w:rPr>
    </w:lvl>
    <w:lvl w:ilvl="1" w:tplc="624C9B28" w:tentative="1">
      <w:start w:val="1"/>
      <w:numFmt w:val="bullet"/>
      <w:lvlText w:val="o"/>
      <w:lvlJc w:val="left"/>
      <w:pPr>
        <w:ind w:left="1080" w:hanging="360"/>
      </w:pPr>
      <w:rPr>
        <w:rFonts w:ascii="Courier New" w:hAnsi="Courier New" w:cs="Courier New" w:hint="default"/>
      </w:rPr>
    </w:lvl>
    <w:lvl w:ilvl="2" w:tplc="DC2C0912" w:tentative="1">
      <w:start w:val="1"/>
      <w:numFmt w:val="bullet"/>
      <w:lvlText w:val=""/>
      <w:lvlJc w:val="left"/>
      <w:pPr>
        <w:ind w:left="1800" w:hanging="360"/>
      </w:pPr>
      <w:rPr>
        <w:rFonts w:ascii="Wingdings" w:hAnsi="Wingdings" w:hint="default"/>
      </w:rPr>
    </w:lvl>
    <w:lvl w:ilvl="3" w:tplc="6C6E1570" w:tentative="1">
      <w:start w:val="1"/>
      <w:numFmt w:val="bullet"/>
      <w:lvlText w:val=""/>
      <w:lvlJc w:val="left"/>
      <w:pPr>
        <w:ind w:left="2520" w:hanging="360"/>
      </w:pPr>
      <w:rPr>
        <w:rFonts w:ascii="Symbol" w:hAnsi="Symbol" w:hint="default"/>
      </w:rPr>
    </w:lvl>
    <w:lvl w:ilvl="4" w:tplc="E50819A4" w:tentative="1">
      <w:start w:val="1"/>
      <w:numFmt w:val="bullet"/>
      <w:lvlText w:val="o"/>
      <w:lvlJc w:val="left"/>
      <w:pPr>
        <w:ind w:left="3240" w:hanging="360"/>
      </w:pPr>
      <w:rPr>
        <w:rFonts w:ascii="Courier New" w:hAnsi="Courier New" w:cs="Courier New" w:hint="default"/>
      </w:rPr>
    </w:lvl>
    <w:lvl w:ilvl="5" w:tplc="2B06EFD2" w:tentative="1">
      <w:start w:val="1"/>
      <w:numFmt w:val="bullet"/>
      <w:lvlText w:val=""/>
      <w:lvlJc w:val="left"/>
      <w:pPr>
        <w:ind w:left="3960" w:hanging="360"/>
      </w:pPr>
      <w:rPr>
        <w:rFonts w:ascii="Wingdings" w:hAnsi="Wingdings" w:hint="default"/>
      </w:rPr>
    </w:lvl>
    <w:lvl w:ilvl="6" w:tplc="F4D09180" w:tentative="1">
      <w:start w:val="1"/>
      <w:numFmt w:val="bullet"/>
      <w:lvlText w:val=""/>
      <w:lvlJc w:val="left"/>
      <w:pPr>
        <w:ind w:left="4680" w:hanging="360"/>
      </w:pPr>
      <w:rPr>
        <w:rFonts w:ascii="Symbol" w:hAnsi="Symbol" w:hint="default"/>
      </w:rPr>
    </w:lvl>
    <w:lvl w:ilvl="7" w:tplc="53C66B90" w:tentative="1">
      <w:start w:val="1"/>
      <w:numFmt w:val="bullet"/>
      <w:lvlText w:val="o"/>
      <w:lvlJc w:val="left"/>
      <w:pPr>
        <w:ind w:left="5400" w:hanging="360"/>
      </w:pPr>
      <w:rPr>
        <w:rFonts w:ascii="Courier New" w:hAnsi="Courier New" w:cs="Courier New" w:hint="default"/>
      </w:rPr>
    </w:lvl>
    <w:lvl w:ilvl="8" w:tplc="CD281B66" w:tentative="1">
      <w:start w:val="1"/>
      <w:numFmt w:val="bullet"/>
      <w:lvlText w:val=""/>
      <w:lvlJc w:val="left"/>
      <w:pPr>
        <w:ind w:left="6120" w:hanging="360"/>
      </w:pPr>
      <w:rPr>
        <w:rFonts w:ascii="Wingdings" w:hAnsi="Wingdings" w:hint="default"/>
      </w:rPr>
    </w:lvl>
  </w:abstractNum>
  <w:abstractNum w:abstractNumId="51" w15:restartNumberingAfterBreak="0">
    <w:nsid w:val="67740750"/>
    <w:multiLevelType w:val="hybridMultilevel"/>
    <w:tmpl w:val="7E6C75AC"/>
    <w:lvl w:ilvl="0" w:tplc="1C7E6A0C">
      <w:start w:val="1"/>
      <w:numFmt w:val="bullet"/>
      <w:lvlText w:val=""/>
      <w:lvlJc w:val="left"/>
      <w:pPr>
        <w:ind w:left="360" w:hanging="360"/>
      </w:pPr>
      <w:rPr>
        <w:rFonts w:ascii="Symbol" w:hAnsi="Symbol" w:hint="default"/>
      </w:rPr>
    </w:lvl>
    <w:lvl w:ilvl="1" w:tplc="EE025114" w:tentative="1">
      <w:start w:val="1"/>
      <w:numFmt w:val="bullet"/>
      <w:lvlText w:val="o"/>
      <w:lvlJc w:val="left"/>
      <w:pPr>
        <w:ind w:left="1080" w:hanging="360"/>
      </w:pPr>
      <w:rPr>
        <w:rFonts w:ascii="Courier New" w:hAnsi="Courier New" w:cs="Courier New" w:hint="default"/>
      </w:rPr>
    </w:lvl>
    <w:lvl w:ilvl="2" w:tplc="D6982C14" w:tentative="1">
      <w:start w:val="1"/>
      <w:numFmt w:val="bullet"/>
      <w:lvlText w:val=""/>
      <w:lvlJc w:val="left"/>
      <w:pPr>
        <w:ind w:left="1800" w:hanging="360"/>
      </w:pPr>
      <w:rPr>
        <w:rFonts w:ascii="Wingdings" w:hAnsi="Wingdings" w:hint="default"/>
      </w:rPr>
    </w:lvl>
    <w:lvl w:ilvl="3" w:tplc="6E8E9F88" w:tentative="1">
      <w:start w:val="1"/>
      <w:numFmt w:val="bullet"/>
      <w:lvlText w:val=""/>
      <w:lvlJc w:val="left"/>
      <w:pPr>
        <w:ind w:left="2520" w:hanging="360"/>
      </w:pPr>
      <w:rPr>
        <w:rFonts w:ascii="Symbol" w:hAnsi="Symbol" w:hint="default"/>
      </w:rPr>
    </w:lvl>
    <w:lvl w:ilvl="4" w:tplc="B148C054" w:tentative="1">
      <w:start w:val="1"/>
      <w:numFmt w:val="bullet"/>
      <w:lvlText w:val="o"/>
      <w:lvlJc w:val="left"/>
      <w:pPr>
        <w:ind w:left="3240" w:hanging="360"/>
      </w:pPr>
      <w:rPr>
        <w:rFonts w:ascii="Courier New" w:hAnsi="Courier New" w:cs="Courier New" w:hint="default"/>
      </w:rPr>
    </w:lvl>
    <w:lvl w:ilvl="5" w:tplc="0AC20E44" w:tentative="1">
      <w:start w:val="1"/>
      <w:numFmt w:val="bullet"/>
      <w:lvlText w:val=""/>
      <w:lvlJc w:val="left"/>
      <w:pPr>
        <w:ind w:left="3960" w:hanging="360"/>
      </w:pPr>
      <w:rPr>
        <w:rFonts w:ascii="Wingdings" w:hAnsi="Wingdings" w:hint="default"/>
      </w:rPr>
    </w:lvl>
    <w:lvl w:ilvl="6" w:tplc="C10C877C" w:tentative="1">
      <w:start w:val="1"/>
      <w:numFmt w:val="bullet"/>
      <w:lvlText w:val=""/>
      <w:lvlJc w:val="left"/>
      <w:pPr>
        <w:ind w:left="4680" w:hanging="360"/>
      </w:pPr>
      <w:rPr>
        <w:rFonts w:ascii="Symbol" w:hAnsi="Symbol" w:hint="default"/>
      </w:rPr>
    </w:lvl>
    <w:lvl w:ilvl="7" w:tplc="45AA0230" w:tentative="1">
      <w:start w:val="1"/>
      <w:numFmt w:val="bullet"/>
      <w:lvlText w:val="o"/>
      <w:lvlJc w:val="left"/>
      <w:pPr>
        <w:ind w:left="5400" w:hanging="360"/>
      </w:pPr>
      <w:rPr>
        <w:rFonts w:ascii="Courier New" w:hAnsi="Courier New" w:cs="Courier New" w:hint="default"/>
      </w:rPr>
    </w:lvl>
    <w:lvl w:ilvl="8" w:tplc="5DD88C3E" w:tentative="1">
      <w:start w:val="1"/>
      <w:numFmt w:val="bullet"/>
      <w:lvlText w:val=""/>
      <w:lvlJc w:val="left"/>
      <w:pPr>
        <w:ind w:left="6120" w:hanging="360"/>
      </w:pPr>
      <w:rPr>
        <w:rFonts w:ascii="Wingdings" w:hAnsi="Wingdings" w:hint="default"/>
      </w:rPr>
    </w:lvl>
  </w:abstractNum>
  <w:abstractNum w:abstractNumId="52" w15:restartNumberingAfterBreak="0">
    <w:nsid w:val="69995580"/>
    <w:multiLevelType w:val="singleLevel"/>
    <w:tmpl w:val="75CC7CBA"/>
    <w:name w:val="List Dash 1"/>
    <w:lvl w:ilvl="0">
      <w:start w:val="1"/>
      <w:numFmt w:val="decimal"/>
      <w:pStyle w:val="Considrant"/>
      <w:lvlText w:val="(%1)"/>
      <w:lvlJc w:val="left"/>
      <w:pPr>
        <w:tabs>
          <w:tab w:val="num" w:pos="709"/>
        </w:tabs>
        <w:ind w:left="709" w:hanging="709"/>
      </w:pPr>
    </w:lvl>
  </w:abstractNum>
  <w:abstractNum w:abstractNumId="53" w15:restartNumberingAfterBreak="0">
    <w:nsid w:val="6A6901C1"/>
    <w:multiLevelType w:val="singleLevel"/>
    <w:tmpl w:val="208841AE"/>
    <w:name w:val="Bullet 4"/>
    <w:lvl w:ilvl="0">
      <w:start w:val="1"/>
      <w:numFmt w:val="bullet"/>
      <w:pStyle w:val="ListBullet1"/>
      <w:lvlText w:val=""/>
      <w:lvlJc w:val="left"/>
      <w:pPr>
        <w:tabs>
          <w:tab w:val="num" w:pos="1134"/>
        </w:tabs>
        <w:ind w:left="1134" w:hanging="283"/>
      </w:pPr>
      <w:rPr>
        <w:rFonts w:ascii="Symbol" w:hAnsi="Symbol" w:hint="default"/>
      </w:rPr>
    </w:lvl>
  </w:abstractNum>
  <w:abstractNum w:abstractNumId="54" w15:restartNumberingAfterBreak="0">
    <w:nsid w:val="6DDF65C6"/>
    <w:multiLevelType w:val="hybridMultilevel"/>
    <w:tmpl w:val="402C6B62"/>
    <w:lvl w:ilvl="0" w:tplc="877059DC">
      <w:start w:val="1"/>
      <w:numFmt w:val="bullet"/>
      <w:lvlText w:val=""/>
      <w:lvlJc w:val="left"/>
      <w:pPr>
        <w:ind w:left="360" w:hanging="360"/>
      </w:pPr>
      <w:rPr>
        <w:rFonts w:ascii="Symbol" w:hAnsi="Symbol" w:hint="default"/>
      </w:rPr>
    </w:lvl>
    <w:lvl w:ilvl="1" w:tplc="B910212C" w:tentative="1">
      <w:start w:val="1"/>
      <w:numFmt w:val="bullet"/>
      <w:lvlText w:val="o"/>
      <w:lvlJc w:val="left"/>
      <w:pPr>
        <w:ind w:left="1080" w:hanging="360"/>
      </w:pPr>
      <w:rPr>
        <w:rFonts w:ascii="Courier New" w:hAnsi="Courier New" w:cs="Courier New" w:hint="default"/>
      </w:rPr>
    </w:lvl>
    <w:lvl w:ilvl="2" w:tplc="F8F0BCB0" w:tentative="1">
      <w:start w:val="1"/>
      <w:numFmt w:val="bullet"/>
      <w:lvlText w:val=""/>
      <w:lvlJc w:val="left"/>
      <w:pPr>
        <w:ind w:left="1800" w:hanging="360"/>
      </w:pPr>
      <w:rPr>
        <w:rFonts w:ascii="Wingdings" w:hAnsi="Wingdings" w:hint="default"/>
      </w:rPr>
    </w:lvl>
    <w:lvl w:ilvl="3" w:tplc="469078DC" w:tentative="1">
      <w:start w:val="1"/>
      <w:numFmt w:val="bullet"/>
      <w:lvlText w:val=""/>
      <w:lvlJc w:val="left"/>
      <w:pPr>
        <w:ind w:left="2520" w:hanging="360"/>
      </w:pPr>
      <w:rPr>
        <w:rFonts w:ascii="Symbol" w:hAnsi="Symbol" w:hint="default"/>
      </w:rPr>
    </w:lvl>
    <w:lvl w:ilvl="4" w:tplc="01F8C900" w:tentative="1">
      <w:start w:val="1"/>
      <w:numFmt w:val="bullet"/>
      <w:lvlText w:val="o"/>
      <w:lvlJc w:val="left"/>
      <w:pPr>
        <w:ind w:left="3240" w:hanging="360"/>
      </w:pPr>
      <w:rPr>
        <w:rFonts w:ascii="Courier New" w:hAnsi="Courier New" w:cs="Courier New" w:hint="default"/>
      </w:rPr>
    </w:lvl>
    <w:lvl w:ilvl="5" w:tplc="B0DED30E" w:tentative="1">
      <w:start w:val="1"/>
      <w:numFmt w:val="bullet"/>
      <w:lvlText w:val=""/>
      <w:lvlJc w:val="left"/>
      <w:pPr>
        <w:ind w:left="3960" w:hanging="360"/>
      </w:pPr>
      <w:rPr>
        <w:rFonts w:ascii="Wingdings" w:hAnsi="Wingdings" w:hint="default"/>
      </w:rPr>
    </w:lvl>
    <w:lvl w:ilvl="6" w:tplc="4F027722" w:tentative="1">
      <w:start w:val="1"/>
      <w:numFmt w:val="bullet"/>
      <w:lvlText w:val=""/>
      <w:lvlJc w:val="left"/>
      <w:pPr>
        <w:ind w:left="4680" w:hanging="360"/>
      </w:pPr>
      <w:rPr>
        <w:rFonts w:ascii="Symbol" w:hAnsi="Symbol" w:hint="default"/>
      </w:rPr>
    </w:lvl>
    <w:lvl w:ilvl="7" w:tplc="D0A4B32C" w:tentative="1">
      <w:start w:val="1"/>
      <w:numFmt w:val="bullet"/>
      <w:lvlText w:val="o"/>
      <w:lvlJc w:val="left"/>
      <w:pPr>
        <w:ind w:left="5400" w:hanging="360"/>
      </w:pPr>
      <w:rPr>
        <w:rFonts w:ascii="Courier New" w:hAnsi="Courier New" w:cs="Courier New" w:hint="default"/>
      </w:rPr>
    </w:lvl>
    <w:lvl w:ilvl="8" w:tplc="0B32E2C4" w:tentative="1">
      <w:start w:val="1"/>
      <w:numFmt w:val="bullet"/>
      <w:lvlText w:val=""/>
      <w:lvlJc w:val="left"/>
      <w:pPr>
        <w:ind w:left="6120" w:hanging="360"/>
      </w:pPr>
      <w:rPr>
        <w:rFonts w:ascii="Wingdings" w:hAnsi="Wingdings" w:hint="default"/>
      </w:rPr>
    </w:lvl>
  </w:abstractNum>
  <w:abstractNum w:abstractNumId="55" w15:restartNumberingAfterBreak="0">
    <w:nsid w:val="6FCF382E"/>
    <w:multiLevelType w:val="hybridMultilevel"/>
    <w:tmpl w:val="EB280572"/>
    <w:lvl w:ilvl="0" w:tplc="7FE4CABE">
      <w:start w:val="1"/>
      <w:numFmt w:val="bullet"/>
      <w:lvlText w:val=""/>
      <w:lvlJc w:val="left"/>
      <w:pPr>
        <w:ind w:left="360" w:hanging="360"/>
      </w:pPr>
      <w:rPr>
        <w:rFonts w:ascii="Symbol" w:hAnsi="Symbol" w:hint="default"/>
      </w:rPr>
    </w:lvl>
    <w:lvl w:ilvl="1" w:tplc="6402296E" w:tentative="1">
      <w:start w:val="1"/>
      <w:numFmt w:val="bullet"/>
      <w:lvlText w:val="o"/>
      <w:lvlJc w:val="left"/>
      <w:pPr>
        <w:ind w:left="1080" w:hanging="360"/>
      </w:pPr>
      <w:rPr>
        <w:rFonts w:ascii="Courier New" w:hAnsi="Courier New" w:cs="Courier New" w:hint="default"/>
      </w:rPr>
    </w:lvl>
    <w:lvl w:ilvl="2" w:tplc="E74020B8" w:tentative="1">
      <w:start w:val="1"/>
      <w:numFmt w:val="bullet"/>
      <w:lvlText w:val=""/>
      <w:lvlJc w:val="left"/>
      <w:pPr>
        <w:ind w:left="1800" w:hanging="360"/>
      </w:pPr>
      <w:rPr>
        <w:rFonts w:ascii="Wingdings" w:hAnsi="Wingdings" w:hint="default"/>
      </w:rPr>
    </w:lvl>
    <w:lvl w:ilvl="3" w:tplc="A454A9F0" w:tentative="1">
      <w:start w:val="1"/>
      <w:numFmt w:val="bullet"/>
      <w:lvlText w:val=""/>
      <w:lvlJc w:val="left"/>
      <w:pPr>
        <w:ind w:left="2520" w:hanging="360"/>
      </w:pPr>
      <w:rPr>
        <w:rFonts w:ascii="Symbol" w:hAnsi="Symbol" w:hint="default"/>
      </w:rPr>
    </w:lvl>
    <w:lvl w:ilvl="4" w:tplc="FF748D06" w:tentative="1">
      <w:start w:val="1"/>
      <w:numFmt w:val="bullet"/>
      <w:lvlText w:val="o"/>
      <w:lvlJc w:val="left"/>
      <w:pPr>
        <w:ind w:left="3240" w:hanging="360"/>
      </w:pPr>
      <w:rPr>
        <w:rFonts w:ascii="Courier New" w:hAnsi="Courier New" w:cs="Courier New" w:hint="default"/>
      </w:rPr>
    </w:lvl>
    <w:lvl w:ilvl="5" w:tplc="9D6E2630" w:tentative="1">
      <w:start w:val="1"/>
      <w:numFmt w:val="bullet"/>
      <w:lvlText w:val=""/>
      <w:lvlJc w:val="left"/>
      <w:pPr>
        <w:ind w:left="3960" w:hanging="360"/>
      </w:pPr>
      <w:rPr>
        <w:rFonts w:ascii="Wingdings" w:hAnsi="Wingdings" w:hint="default"/>
      </w:rPr>
    </w:lvl>
    <w:lvl w:ilvl="6" w:tplc="6658D730" w:tentative="1">
      <w:start w:val="1"/>
      <w:numFmt w:val="bullet"/>
      <w:lvlText w:val=""/>
      <w:lvlJc w:val="left"/>
      <w:pPr>
        <w:ind w:left="4680" w:hanging="360"/>
      </w:pPr>
      <w:rPr>
        <w:rFonts w:ascii="Symbol" w:hAnsi="Symbol" w:hint="default"/>
      </w:rPr>
    </w:lvl>
    <w:lvl w:ilvl="7" w:tplc="0FBA910C" w:tentative="1">
      <w:start w:val="1"/>
      <w:numFmt w:val="bullet"/>
      <w:lvlText w:val="o"/>
      <w:lvlJc w:val="left"/>
      <w:pPr>
        <w:ind w:left="5400" w:hanging="360"/>
      </w:pPr>
      <w:rPr>
        <w:rFonts w:ascii="Courier New" w:hAnsi="Courier New" w:cs="Courier New" w:hint="default"/>
      </w:rPr>
    </w:lvl>
    <w:lvl w:ilvl="8" w:tplc="E806B6A0" w:tentative="1">
      <w:start w:val="1"/>
      <w:numFmt w:val="bullet"/>
      <w:lvlText w:val=""/>
      <w:lvlJc w:val="left"/>
      <w:pPr>
        <w:ind w:left="6120" w:hanging="360"/>
      </w:pPr>
      <w:rPr>
        <w:rFonts w:ascii="Wingdings" w:hAnsi="Wingdings" w:hint="default"/>
      </w:rPr>
    </w:lvl>
  </w:abstractNum>
  <w:abstractNum w:abstractNumId="56"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367124A"/>
    <w:multiLevelType w:val="hybridMultilevel"/>
    <w:tmpl w:val="A7FE63A4"/>
    <w:lvl w:ilvl="0" w:tplc="C62E5FC4">
      <w:start w:val="1"/>
      <w:numFmt w:val="bullet"/>
      <w:lvlText w:val=""/>
      <w:lvlJc w:val="left"/>
      <w:pPr>
        <w:ind w:left="360" w:hanging="360"/>
      </w:pPr>
      <w:rPr>
        <w:rFonts w:ascii="Symbol" w:hAnsi="Symbol" w:hint="default"/>
      </w:rPr>
    </w:lvl>
    <w:lvl w:ilvl="1" w:tplc="494C4982" w:tentative="1">
      <w:start w:val="1"/>
      <w:numFmt w:val="bullet"/>
      <w:lvlText w:val="o"/>
      <w:lvlJc w:val="left"/>
      <w:pPr>
        <w:ind w:left="1080" w:hanging="360"/>
      </w:pPr>
      <w:rPr>
        <w:rFonts w:ascii="Courier New" w:hAnsi="Courier New" w:cs="Courier New" w:hint="default"/>
      </w:rPr>
    </w:lvl>
    <w:lvl w:ilvl="2" w:tplc="57944AA0" w:tentative="1">
      <w:start w:val="1"/>
      <w:numFmt w:val="bullet"/>
      <w:lvlText w:val=""/>
      <w:lvlJc w:val="left"/>
      <w:pPr>
        <w:ind w:left="1800" w:hanging="360"/>
      </w:pPr>
      <w:rPr>
        <w:rFonts w:ascii="Wingdings" w:hAnsi="Wingdings" w:hint="default"/>
      </w:rPr>
    </w:lvl>
    <w:lvl w:ilvl="3" w:tplc="2AF8EB6C" w:tentative="1">
      <w:start w:val="1"/>
      <w:numFmt w:val="bullet"/>
      <w:lvlText w:val=""/>
      <w:lvlJc w:val="left"/>
      <w:pPr>
        <w:ind w:left="2520" w:hanging="360"/>
      </w:pPr>
      <w:rPr>
        <w:rFonts w:ascii="Symbol" w:hAnsi="Symbol" w:hint="default"/>
      </w:rPr>
    </w:lvl>
    <w:lvl w:ilvl="4" w:tplc="49B28CE0" w:tentative="1">
      <w:start w:val="1"/>
      <w:numFmt w:val="bullet"/>
      <w:lvlText w:val="o"/>
      <w:lvlJc w:val="left"/>
      <w:pPr>
        <w:ind w:left="3240" w:hanging="360"/>
      </w:pPr>
      <w:rPr>
        <w:rFonts w:ascii="Courier New" w:hAnsi="Courier New" w:cs="Courier New" w:hint="default"/>
      </w:rPr>
    </w:lvl>
    <w:lvl w:ilvl="5" w:tplc="DFF2CBA0" w:tentative="1">
      <w:start w:val="1"/>
      <w:numFmt w:val="bullet"/>
      <w:lvlText w:val=""/>
      <w:lvlJc w:val="left"/>
      <w:pPr>
        <w:ind w:left="3960" w:hanging="360"/>
      </w:pPr>
      <w:rPr>
        <w:rFonts w:ascii="Wingdings" w:hAnsi="Wingdings" w:hint="default"/>
      </w:rPr>
    </w:lvl>
    <w:lvl w:ilvl="6" w:tplc="6380AAD0" w:tentative="1">
      <w:start w:val="1"/>
      <w:numFmt w:val="bullet"/>
      <w:lvlText w:val=""/>
      <w:lvlJc w:val="left"/>
      <w:pPr>
        <w:ind w:left="4680" w:hanging="360"/>
      </w:pPr>
      <w:rPr>
        <w:rFonts w:ascii="Symbol" w:hAnsi="Symbol" w:hint="default"/>
      </w:rPr>
    </w:lvl>
    <w:lvl w:ilvl="7" w:tplc="8AAAFC60" w:tentative="1">
      <w:start w:val="1"/>
      <w:numFmt w:val="bullet"/>
      <w:lvlText w:val="o"/>
      <w:lvlJc w:val="left"/>
      <w:pPr>
        <w:ind w:left="5400" w:hanging="360"/>
      </w:pPr>
      <w:rPr>
        <w:rFonts w:ascii="Courier New" w:hAnsi="Courier New" w:cs="Courier New" w:hint="default"/>
      </w:rPr>
    </w:lvl>
    <w:lvl w:ilvl="8" w:tplc="8F288632" w:tentative="1">
      <w:start w:val="1"/>
      <w:numFmt w:val="bullet"/>
      <w:lvlText w:val=""/>
      <w:lvlJc w:val="left"/>
      <w:pPr>
        <w:ind w:left="6120" w:hanging="360"/>
      </w:pPr>
      <w:rPr>
        <w:rFonts w:ascii="Wingdings" w:hAnsi="Wingdings" w:hint="default"/>
      </w:rPr>
    </w:lvl>
  </w:abstractNum>
  <w:abstractNum w:abstractNumId="58" w15:restartNumberingAfterBreak="0">
    <w:nsid w:val="75C26F71"/>
    <w:multiLevelType w:val="multilevel"/>
    <w:tmpl w:val="E01E7708"/>
    <w:name w:val="Default"/>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8A241BD"/>
    <w:multiLevelType w:val="singleLevel"/>
    <w:tmpl w:val="53C4DF32"/>
    <w:name w:val="List Bullet 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60" w15:restartNumberingAfterBreak="0">
    <w:nsid w:val="79C96D36"/>
    <w:multiLevelType w:val="multilevel"/>
    <w:tmpl w:val="BE983CE4"/>
    <w:name w:val="List Dash 3"/>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AA609E8"/>
    <w:multiLevelType w:val="hybridMultilevel"/>
    <w:tmpl w:val="9718DF2A"/>
    <w:lvl w:ilvl="0" w:tplc="C874A574">
      <w:start w:val="1"/>
      <w:numFmt w:val="bullet"/>
      <w:lvlText w:val=""/>
      <w:lvlJc w:val="left"/>
      <w:pPr>
        <w:ind w:left="360" w:hanging="360"/>
      </w:pPr>
      <w:rPr>
        <w:rFonts w:ascii="Symbol" w:hAnsi="Symbol" w:hint="default"/>
      </w:rPr>
    </w:lvl>
    <w:lvl w:ilvl="1" w:tplc="D0F61E9C" w:tentative="1">
      <w:start w:val="1"/>
      <w:numFmt w:val="bullet"/>
      <w:lvlText w:val="o"/>
      <w:lvlJc w:val="left"/>
      <w:pPr>
        <w:ind w:left="1080" w:hanging="360"/>
      </w:pPr>
      <w:rPr>
        <w:rFonts w:ascii="Courier New" w:hAnsi="Courier New" w:cs="Courier New" w:hint="default"/>
      </w:rPr>
    </w:lvl>
    <w:lvl w:ilvl="2" w:tplc="8C8E92CE" w:tentative="1">
      <w:start w:val="1"/>
      <w:numFmt w:val="bullet"/>
      <w:lvlText w:val=""/>
      <w:lvlJc w:val="left"/>
      <w:pPr>
        <w:ind w:left="1800" w:hanging="360"/>
      </w:pPr>
      <w:rPr>
        <w:rFonts w:ascii="Wingdings" w:hAnsi="Wingdings" w:hint="default"/>
      </w:rPr>
    </w:lvl>
    <w:lvl w:ilvl="3" w:tplc="972C1E90" w:tentative="1">
      <w:start w:val="1"/>
      <w:numFmt w:val="bullet"/>
      <w:lvlText w:val=""/>
      <w:lvlJc w:val="left"/>
      <w:pPr>
        <w:ind w:left="2520" w:hanging="360"/>
      </w:pPr>
      <w:rPr>
        <w:rFonts w:ascii="Symbol" w:hAnsi="Symbol" w:hint="default"/>
      </w:rPr>
    </w:lvl>
    <w:lvl w:ilvl="4" w:tplc="CF44F9DC" w:tentative="1">
      <w:start w:val="1"/>
      <w:numFmt w:val="bullet"/>
      <w:lvlText w:val="o"/>
      <w:lvlJc w:val="left"/>
      <w:pPr>
        <w:ind w:left="3240" w:hanging="360"/>
      </w:pPr>
      <w:rPr>
        <w:rFonts w:ascii="Courier New" w:hAnsi="Courier New" w:cs="Courier New" w:hint="default"/>
      </w:rPr>
    </w:lvl>
    <w:lvl w:ilvl="5" w:tplc="2902838C" w:tentative="1">
      <w:start w:val="1"/>
      <w:numFmt w:val="bullet"/>
      <w:lvlText w:val=""/>
      <w:lvlJc w:val="left"/>
      <w:pPr>
        <w:ind w:left="3960" w:hanging="360"/>
      </w:pPr>
      <w:rPr>
        <w:rFonts w:ascii="Wingdings" w:hAnsi="Wingdings" w:hint="default"/>
      </w:rPr>
    </w:lvl>
    <w:lvl w:ilvl="6" w:tplc="21B68D5A" w:tentative="1">
      <w:start w:val="1"/>
      <w:numFmt w:val="bullet"/>
      <w:lvlText w:val=""/>
      <w:lvlJc w:val="left"/>
      <w:pPr>
        <w:ind w:left="4680" w:hanging="360"/>
      </w:pPr>
      <w:rPr>
        <w:rFonts w:ascii="Symbol" w:hAnsi="Symbol" w:hint="default"/>
      </w:rPr>
    </w:lvl>
    <w:lvl w:ilvl="7" w:tplc="3C66A41E" w:tentative="1">
      <w:start w:val="1"/>
      <w:numFmt w:val="bullet"/>
      <w:lvlText w:val="o"/>
      <w:lvlJc w:val="left"/>
      <w:pPr>
        <w:ind w:left="5400" w:hanging="360"/>
      </w:pPr>
      <w:rPr>
        <w:rFonts w:ascii="Courier New" w:hAnsi="Courier New" w:cs="Courier New" w:hint="default"/>
      </w:rPr>
    </w:lvl>
    <w:lvl w:ilvl="8" w:tplc="B3DA4C10" w:tentative="1">
      <w:start w:val="1"/>
      <w:numFmt w:val="bullet"/>
      <w:lvlText w:val=""/>
      <w:lvlJc w:val="left"/>
      <w:pPr>
        <w:ind w:left="6120" w:hanging="360"/>
      </w:pPr>
      <w:rPr>
        <w:rFonts w:ascii="Wingdings" w:hAnsi="Wingdings" w:hint="default"/>
      </w:rPr>
    </w:lvl>
  </w:abstractNum>
  <w:abstractNum w:abstractNumId="62" w15:restartNumberingAfterBreak="0">
    <w:nsid w:val="7BE95D7F"/>
    <w:multiLevelType w:val="multilevel"/>
    <w:tmpl w:val="F126F780"/>
    <w:name w:val="List Number 1"/>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3" w15:restartNumberingAfterBreak="0">
    <w:nsid w:val="7D8820A0"/>
    <w:multiLevelType w:val="singleLevel"/>
    <w:tmpl w:val="54F6C7B4"/>
    <w:name w:val="List Bullet"/>
    <w:lvl w:ilvl="0">
      <w:start w:val="1"/>
      <w:numFmt w:val="bullet"/>
      <w:pStyle w:val="ListDash4"/>
      <w:lvlText w:val="–"/>
      <w:lvlJc w:val="left"/>
      <w:pPr>
        <w:tabs>
          <w:tab w:val="num" w:pos="1134"/>
        </w:tabs>
        <w:ind w:left="1134" w:hanging="283"/>
      </w:pPr>
      <w:rPr>
        <w:rFonts w:ascii="Times New Roman" w:hAnsi="Times New Roman" w:cs="Times New Roman"/>
      </w:rPr>
    </w:lvl>
  </w:abstractNum>
  <w:num w:numId="1">
    <w:abstractNumId w:val="23"/>
  </w:num>
  <w:num w:numId="2">
    <w:abstractNumId w:val="51"/>
  </w:num>
  <w:num w:numId="3">
    <w:abstractNumId w:val="21"/>
  </w:num>
  <w:num w:numId="4">
    <w:abstractNumId w:val="34"/>
  </w:num>
  <w:num w:numId="5">
    <w:abstractNumId w:val="19"/>
  </w:num>
  <w:num w:numId="6">
    <w:abstractNumId w:val="7"/>
  </w:num>
  <w:num w:numId="7">
    <w:abstractNumId w:val="37"/>
  </w:num>
  <w:num w:numId="8">
    <w:abstractNumId w:val="13"/>
  </w:num>
  <w:num w:numId="9">
    <w:abstractNumId w:val="27"/>
  </w:num>
  <w:num w:numId="10">
    <w:abstractNumId w:val="15"/>
  </w:num>
  <w:num w:numId="11">
    <w:abstractNumId w:val="29"/>
  </w:num>
  <w:num w:numId="12">
    <w:abstractNumId w:val="41"/>
  </w:num>
  <w:num w:numId="13">
    <w:abstractNumId w:val="12"/>
  </w:num>
  <w:num w:numId="14">
    <w:abstractNumId w:val="44"/>
  </w:num>
  <w:num w:numId="15">
    <w:abstractNumId w:val="10"/>
  </w:num>
  <w:num w:numId="16">
    <w:abstractNumId w:val="14"/>
  </w:num>
  <w:num w:numId="17">
    <w:abstractNumId w:val="31"/>
  </w:num>
  <w:num w:numId="18">
    <w:abstractNumId w:val="61"/>
  </w:num>
  <w:num w:numId="19">
    <w:abstractNumId w:val="20"/>
  </w:num>
  <w:num w:numId="20">
    <w:abstractNumId w:val="9"/>
  </w:num>
  <w:num w:numId="21">
    <w:abstractNumId w:val="36"/>
  </w:num>
  <w:num w:numId="22">
    <w:abstractNumId w:val="5"/>
  </w:num>
  <w:num w:numId="23">
    <w:abstractNumId w:val="18"/>
  </w:num>
  <w:num w:numId="24">
    <w:abstractNumId w:val="57"/>
  </w:num>
  <w:num w:numId="25">
    <w:abstractNumId w:val="11"/>
  </w:num>
  <w:num w:numId="26">
    <w:abstractNumId w:val="55"/>
  </w:num>
  <w:num w:numId="27">
    <w:abstractNumId w:val="50"/>
  </w:num>
  <w:num w:numId="28">
    <w:abstractNumId w:val="33"/>
  </w:num>
  <w:num w:numId="29">
    <w:abstractNumId w:val="43"/>
  </w:num>
  <w:num w:numId="30">
    <w:abstractNumId w:val="38"/>
  </w:num>
  <w:num w:numId="31">
    <w:abstractNumId w:val="32"/>
  </w:num>
  <w:num w:numId="32">
    <w:abstractNumId w:val="42"/>
  </w:num>
  <w:num w:numId="33">
    <w:abstractNumId w:val="54"/>
  </w:num>
  <w:num w:numId="34">
    <w:abstractNumId w:val="28"/>
  </w:num>
  <w:num w:numId="35">
    <w:abstractNumId w:val="24"/>
  </w:num>
  <w:num w:numId="36">
    <w:abstractNumId w:val="22"/>
  </w:num>
  <w:num w:numId="37">
    <w:abstractNumId w:val="48"/>
  </w:num>
  <w:num w:numId="38">
    <w:abstractNumId w:val="25"/>
  </w:num>
  <w:num w:numId="39">
    <w:abstractNumId w:val="39"/>
  </w:num>
  <w:num w:numId="40">
    <w:abstractNumId w:val="56"/>
  </w:num>
  <w:num w:numId="41">
    <w:abstractNumId w:val="62"/>
  </w:num>
  <w:num w:numId="42">
    <w:abstractNumId w:val="35"/>
  </w:num>
  <w:num w:numId="43">
    <w:abstractNumId w:val="47"/>
  </w:num>
  <w:num w:numId="44">
    <w:abstractNumId w:val="45"/>
  </w:num>
  <w:num w:numId="45">
    <w:abstractNumId w:val="30"/>
  </w:num>
  <w:num w:numId="46">
    <w:abstractNumId w:val="52"/>
  </w:num>
  <w:num w:numId="47">
    <w:abstractNumId w:val="53"/>
  </w:num>
  <w:num w:numId="48">
    <w:abstractNumId w:val="26"/>
  </w:num>
  <w:num w:numId="49">
    <w:abstractNumId w:val="49"/>
  </w:num>
  <w:num w:numId="50">
    <w:abstractNumId w:val="40"/>
  </w:num>
  <w:num w:numId="51">
    <w:abstractNumId w:val="59"/>
  </w:num>
  <w:num w:numId="52">
    <w:abstractNumId w:val="63"/>
  </w:num>
  <w:num w:numId="53">
    <w:abstractNumId w:val="60"/>
  </w:num>
  <w:num w:numId="54">
    <w:abstractNumId w:val="16"/>
  </w:num>
  <w:num w:numId="55">
    <w:abstractNumId w:val="6"/>
  </w:num>
  <w:num w:numId="56">
    <w:abstractNumId w:val="4"/>
  </w:num>
  <w:num w:numId="57">
    <w:abstractNumId w:val="3"/>
  </w:num>
  <w:num w:numId="58">
    <w:abstractNumId w:val="2"/>
  </w:num>
  <w:num w:numId="59">
    <w:abstractNumId w:val="1"/>
  </w:num>
  <w:num w:numId="60">
    <w:abstractNumId w:val="0"/>
  </w:num>
  <w:num w:numId="61">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w:docVar w:name="LW_CORRIGENDUM" w:val="&lt;UNUSED&gt;"/>
    <w:docVar w:name="LW_COVERPAGE_EXISTS" w:val="True"/>
    <w:docVar w:name="LW_COVERPAGE_GUID" w:val="C4CD8E35-3E14-4868-877D-143661058E7C"/>
    <w:docVar w:name="LW_COVERPAGE_TYPE" w:val="1"/>
    <w:docVar w:name="LW_CROSSREFERENCE" w:val="{COM(2020) 660}"/>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25"/>
    <w:docVar w:name="LW_LANGUE" w:val="EN"/>
    <w:docVar w:name="LW_LEVEL_OF_SENSITIVITY" w:val="Sensitive treatment"/>
    <w:docVar w:name="LW_NOM.INST" w:val="EUROPEAN COMMISSION"/>
    <w:docVar w:name="LW_NOM.INST_JOINTDOC" w:val="&lt;EMPTY&gt;"/>
    <w:docVar w:name="LW_OBJETACTEPRINCIPAL.CP" w:val="2020 Communication on EU Enlargement Policy"/>
    <w:docVar w:name="LW_PART_NBR" w:val="1"/>
    <w:docVar w:name="LW_PART_NBR_TOTAL" w:val="1"/>
    <w:docVar w:name="LW_REF.INST.NEW" w:val="SWD"/>
    <w:docVar w:name="LW_REF.INST.NEW_ADOPTED" w:val="&lt;EMPTY&gt;"/>
    <w:docVar w:name="LW_REF.INST.NEW_TEXT" w:val="(2020) 353/2"/>
    <w:docVar w:name="LW_REF.INTERNE" w:val="&lt;UNUSED&gt;"/>
    <w:docVar w:name="LW_SENSITIVITY" w:val="&lt;?xml version=&quot;1.0&quot; encoding=&quot;utf-8&quot;?&gt;_x000d__x000a_&lt;SensitivityLevel xmlns:xsi=&quot;http://www.w3.org/2001/XMLSchema-instance&quot; xmlns:xsd=&quot;http://www.w3.org/2001/XMLSchema&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id=&quot;sensFreeText&quot; markingType=&quot;SensitiveFreeText&quot; displayInHeader=&quot;false&quot;&gt;_x000d__x000a_    &lt;distributionMarking&gt;Cabinets&lt;/distributionMarking&gt;_x000d__x000a_    &lt;text&gt;&amp;lt;FMT:Bold&amp;gt;SENSITIVE&amp;lt;/FMT&amp;gt;&amp;lt;FMT:customFN=*&amp;gt;* Distribution only on a \u8216?Need to know' basis - Do not read or carry openly in public places. Must be stored securely and encrypted in storage and transmission. Destroy copies by shredding or secure deletion. Full handling instructions &amp;lt;FMT:Style_Hyperlink&amp;gt;https://europa.eu/!db43PX&amp;lt;/FMT&amp;gt;&amp;lt;/FMT:FN&amp;gt;&amp;lt;FMT:Bold&amp;gt;: &amp;lt;/FMT&amp;gt;&amp;lt;FMT:Italic&amp;gt;Cabinets&amp;lt;/FMT&amp;gt;&lt;/text&gt;_x000d__x000a_    &lt;footnoteText&gt;Distribution only on a \u8216?Need to know'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ntenegro 2020 Report_x000d__x000d__x000d_"/>
    <w:docVar w:name="LW_TYPE.DOC.CP" w:val="COMMISSION STAFF WORKING DOCUMENT"/>
    <w:docVar w:name="LW_TYPEACTEPRINCIPAL.CP" w:val="Communication from the Commission to the European Parliament, the Council, the European Economic and Social Committee and the Committee of the Regions "/>
  </w:docVars>
  <w:rsids>
    <w:rsidRoot w:val="001D2979"/>
    <w:rsid w:val="0000000B"/>
    <w:rsid w:val="000022E4"/>
    <w:rsid w:val="000075D0"/>
    <w:rsid w:val="000159AB"/>
    <w:rsid w:val="00020456"/>
    <w:rsid w:val="00021EAF"/>
    <w:rsid w:val="00023A0D"/>
    <w:rsid w:val="00024DAB"/>
    <w:rsid w:val="0002523B"/>
    <w:rsid w:val="00025839"/>
    <w:rsid w:val="000278F5"/>
    <w:rsid w:val="00036EC8"/>
    <w:rsid w:val="00040CE0"/>
    <w:rsid w:val="000415A6"/>
    <w:rsid w:val="00041B6B"/>
    <w:rsid w:val="0004470D"/>
    <w:rsid w:val="0004473B"/>
    <w:rsid w:val="00044A3A"/>
    <w:rsid w:val="00046163"/>
    <w:rsid w:val="0004642D"/>
    <w:rsid w:val="00050BA4"/>
    <w:rsid w:val="000657B3"/>
    <w:rsid w:val="00066439"/>
    <w:rsid w:val="00074007"/>
    <w:rsid w:val="000751CA"/>
    <w:rsid w:val="000769BE"/>
    <w:rsid w:val="00082456"/>
    <w:rsid w:val="000868D7"/>
    <w:rsid w:val="000873FE"/>
    <w:rsid w:val="00091DC5"/>
    <w:rsid w:val="000923BD"/>
    <w:rsid w:val="00093838"/>
    <w:rsid w:val="0009556A"/>
    <w:rsid w:val="00095948"/>
    <w:rsid w:val="00097FC2"/>
    <w:rsid w:val="000A06F7"/>
    <w:rsid w:val="000A34B0"/>
    <w:rsid w:val="000B7D22"/>
    <w:rsid w:val="000C0B90"/>
    <w:rsid w:val="000C6CEB"/>
    <w:rsid w:val="000D591B"/>
    <w:rsid w:val="000D5EE1"/>
    <w:rsid w:val="000E0AF1"/>
    <w:rsid w:val="000E5D74"/>
    <w:rsid w:val="000E63F4"/>
    <w:rsid w:val="000F5723"/>
    <w:rsid w:val="000F784C"/>
    <w:rsid w:val="00114E75"/>
    <w:rsid w:val="00124ECC"/>
    <w:rsid w:val="001266FA"/>
    <w:rsid w:val="001271B5"/>
    <w:rsid w:val="001406E1"/>
    <w:rsid w:val="00140FC4"/>
    <w:rsid w:val="00142479"/>
    <w:rsid w:val="001452E2"/>
    <w:rsid w:val="00147D76"/>
    <w:rsid w:val="00157B7C"/>
    <w:rsid w:val="00161A54"/>
    <w:rsid w:val="00163CB4"/>
    <w:rsid w:val="00177D36"/>
    <w:rsid w:val="00193B8C"/>
    <w:rsid w:val="00197F63"/>
    <w:rsid w:val="001A1CAC"/>
    <w:rsid w:val="001B0D31"/>
    <w:rsid w:val="001C7011"/>
    <w:rsid w:val="001C73DC"/>
    <w:rsid w:val="001D07F2"/>
    <w:rsid w:val="001D2979"/>
    <w:rsid w:val="001D6433"/>
    <w:rsid w:val="001E0BB3"/>
    <w:rsid w:val="001E227C"/>
    <w:rsid w:val="001E3793"/>
    <w:rsid w:val="001E56BE"/>
    <w:rsid w:val="001F4EFC"/>
    <w:rsid w:val="001F5C9D"/>
    <w:rsid w:val="001F6309"/>
    <w:rsid w:val="00200DA5"/>
    <w:rsid w:val="002109B4"/>
    <w:rsid w:val="002133E7"/>
    <w:rsid w:val="0021631F"/>
    <w:rsid w:val="00217A9C"/>
    <w:rsid w:val="00220058"/>
    <w:rsid w:val="002214E7"/>
    <w:rsid w:val="00227965"/>
    <w:rsid w:val="002335FF"/>
    <w:rsid w:val="00244B20"/>
    <w:rsid w:val="00246951"/>
    <w:rsid w:val="00246E87"/>
    <w:rsid w:val="002472DD"/>
    <w:rsid w:val="00252149"/>
    <w:rsid w:val="0025291D"/>
    <w:rsid w:val="0025433D"/>
    <w:rsid w:val="002555D7"/>
    <w:rsid w:val="00257AF3"/>
    <w:rsid w:val="00261FA4"/>
    <w:rsid w:val="00262805"/>
    <w:rsid w:val="0026375B"/>
    <w:rsid w:val="00265C49"/>
    <w:rsid w:val="00270D34"/>
    <w:rsid w:val="002753BB"/>
    <w:rsid w:val="00276407"/>
    <w:rsid w:val="00280804"/>
    <w:rsid w:val="00284586"/>
    <w:rsid w:val="00292000"/>
    <w:rsid w:val="00294EA9"/>
    <w:rsid w:val="002960D7"/>
    <w:rsid w:val="002A607C"/>
    <w:rsid w:val="002B6EC3"/>
    <w:rsid w:val="002C1FFA"/>
    <w:rsid w:val="002C3D0D"/>
    <w:rsid w:val="002C3FEA"/>
    <w:rsid w:val="002C4FF1"/>
    <w:rsid w:val="002D5ADB"/>
    <w:rsid w:val="002D5C10"/>
    <w:rsid w:val="002D6A0F"/>
    <w:rsid w:val="002D7298"/>
    <w:rsid w:val="002E1AE4"/>
    <w:rsid w:val="002E3C30"/>
    <w:rsid w:val="002E6397"/>
    <w:rsid w:val="002F3F87"/>
    <w:rsid w:val="00301386"/>
    <w:rsid w:val="003060AE"/>
    <w:rsid w:val="00307D81"/>
    <w:rsid w:val="00310945"/>
    <w:rsid w:val="00311880"/>
    <w:rsid w:val="0031315B"/>
    <w:rsid w:val="00313D53"/>
    <w:rsid w:val="00317B08"/>
    <w:rsid w:val="00320A6E"/>
    <w:rsid w:val="00321B98"/>
    <w:rsid w:val="00331CB5"/>
    <w:rsid w:val="0033399E"/>
    <w:rsid w:val="0033568D"/>
    <w:rsid w:val="00337EF4"/>
    <w:rsid w:val="00341C15"/>
    <w:rsid w:val="00344774"/>
    <w:rsid w:val="00344A9F"/>
    <w:rsid w:val="0035351A"/>
    <w:rsid w:val="00357224"/>
    <w:rsid w:val="003573D5"/>
    <w:rsid w:val="00361C33"/>
    <w:rsid w:val="00362B88"/>
    <w:rsid w:val="00364F42"/>
    <w:rsid w:val="00365464"/>
    <w:rsid w:val="0036610A"/>
    <w:rsid w:val="003672B4"/>
    <w:rsid w:val="00372B1D"/>
    <w:rsid w:val="003738C4"/>
    <w:rsid w:val="00375AC9"/>
    <w:rsid w:val="00384999"/>
    <w:rsid w:val="00387020"/>
    <w:rsid w:val="0039033B"/>
    <w:rsid w:val="00393C6C"/>
    <w:rsid w:val="003958B7"/>
    <w:rsid w:val="0039695B"/>
    <w:rsid w:val="00397D55"/>
    <w:rsid w:val="003A520F"/>
    <w:rsid w:val="003A582A"/>
    <w:rsid w:val="003A6572"/>
    <w:rsid w:val="003A705D"/>
    <w:rsid w:val="003B6C93"/>
    <w:rsid w:val="003B7508"/>
    <w:rsid w:val="003C0AC8"/>
    <w:rsid w:val="003C3AD2"/>
    <w:rsid w:val="003C782F"/>
    <w:rsid w:val="003D5526"/>
    <w:rsid w:val="003D6B7A"/>
    <w:rsid w:val="003D7EB3"/>
    <w:rsid w:val="003E0F5F"/>
    <w:rsid w:val="003E19E4"/>
    <w:rsid w:val="003E4BCF"/>
    <w:rsid w:val="003F08F8"/>
    <w:rsid w:val="003F4A21"/>
    <w:rsid w:val="003F5623"/>
    <w:rsid w:val="003F6FA3"/>
    <w:rsid w:val="0040187E"/>
    <w:rsid w:val="00401B2C"/>
    <w:rsid w:val="004023D5"/>
    <w:rsid w:val="00402F96"/>
    <w:rsid w:val="004105F7"/>
    <w:rsid w:val="0041628A"/>
    <w:rsid w:val="004263A0"/>
    <w:rsid w:val="0043324A"/>
    <w:rsid w:val="00433BEC"/>
    <w:rsid w:val="004346F2"/>
    <w:rsid w:val="00435295"/>
    <w:rsid w:val="00440414"/>
    <w:rsid w:val="0044041D"/>
    <w:rsid w:val="004427FF"/>
    <w:rsid w:val="00460AB1"/>
    <w:rsid w:val="004615BF"/>
    <w:rsid w:val="00461815"/>
    <w:rsid w:val="00461CDC"/>
    <w:rsid w:val="00477B51"/>
    <w:rsid w:val="00486305"/>
    <w:rsid w:val="00491E6E"/>
    <w:rsid w:val="00493A09"/>
    <w:rsid w:val="00494C92"/>
    <w:rsid w:val="004A03A8"/>
    <w:rsid w:val="004A3E09"/>
    <w:rsid w:val="004A6321"/>
    <w:rsid w:val="004B07C5"/>
    <w:rsid w:val="004B475B"/>
    <w:rsid w:val="004C1EEB"/>
    <w:rsid w:val="004C3071"/>
    <w:rsid w:val="004C4328"/>
    <w:rsid w:val="004D1D4D"/>
    <w:rsid w:val="004D3D78"/>
    <w:rsid w:val="004D4718"/>
    <w:rsid w:val="004E061A"/>
    <w:rsid w:val="004E19A3"/>
    <w:rsid w:val="004E3DE3"/>
    <w:rsid w:val="004E683C"/>
    <w:rsid w:val="004E79E2"/>
    <w:rsid w:val="004F1AB7"/>
    <w:rsid w:val="004F34C3"/>
    <w:rsid w:val="004F3B68"/>
    <w:rsid w:val="004F4674"/>
    <w:rsid w:val="004F4EC2"/>
    <w:rsid w:val="004F6CD8"/>
    <w:rsid w:val="00502787"/>
    <w:rsid w:val="0051284F"/>
    <w:rsid w:val="005315E7"/>
    <w:rsid w:val="00540D53"/>
    <w:rsid w:val="00542927"/>
    <w:rsid w:val="00551EB4"/>
    <w:rsid w:val="00554410"/>
    <w:rsid w:val="0055672D"/>
    <w:rsid w:val="00557FD2"/>
    <w:rsid w:val="0056025F"/>
    <w:rsid w:val="00560680"/>
    <w:rsid w:val="005639B8"/>
    <w:rsid w:val="005704F0"/>
    <w:rsid w:val="00571951"/>
    <w:rsid w:val="005723E1"/>
    <w:rsid w:val="00572EB5"/>
    <w:rsid w:val="005747C7"/>
    <w:rsid w:val="00575C99"/>
    <w:rsid w:val="00580258"/>
    <w:rsid w:val="005835BB"/>
    <w:rsid w:val="00585E64"/>
    <w:rsid w:val="00591BFC"/>
    <w:rsid w:val="00593A23"/>
    <w:rsid w:val="005A0657"/>
    <w:rsid w:val="005B09EA"/>
    <w:rsid w:val="005B0A88"/>
    <w:rsid w:val="005B6712"/>
    <w:rsid w:val="005C38C7"/>
    <w:rsid w:val="005C7A29"/>
    <w:rsid w:val="005D18BA"/>
    <w:rsid w:val="005D210A"/>
    <w:rsid w:val="005E134A"/>
    <w:rsid w:val="005E5FCE"/>
    <w:rsid w:val="005F1FF7"/>
    <w:rsid w:val="005F24A2"/>
    <w:rsid w:val="005F2A3D"/>
    <w:rsid w:val="005F62F4"/>
    <w:rsid w:val="005F6735"/>
    <w:rsid w:val="006012DF"/>
    <w:rsid w:val="00604ECC"/>
    <w:rsid w:val="00610677"/>
    <w:rsid w:val="00611B9F"/>
    <w:rsid w:val="00620E1E"/>
    <w:rsid w:val="00622A95"/>
    <w:rsid w:val="00640245"/>
    <w:rsid w:val="00642A1F"/>
    <w:rsid w:val="006452DB"/>
    <w:rsid w:val="00652FFE"/>
    <w:rsid w:val="006620CB"/>
    <w:rsid w:val="0066424A"/>
    <w:rsid w:val="00671DD0"/>
    <w:rsid w:val="0067299F"/>
    <w:rsid w:val="006768CF"/>
    <w:rsid w:val="006776A5"/>
    <w:rsid w:val="00680304"/>
    <w:rsid w:val="0068132F"/>
    <w:rsid w:val="00682B8C"/>
    <w:rsid w:val="00683110"/>
    <w:rsid w:val="00685ACC"/>
    <w:rsid w:val="006926AF"/>
    <w:rsid w:val="00697231"/>
    <w:rsid w:val="006A1434"/>
    <w:rsid w:val="006A1F63"/>
    <w:rsid w:val="006C3AB6"/>
    <w:rsid w:val="006C55E4"/>
    <w:rsid w:val="006D0762"/>
    <w:rsid w:val="006D3550"/>
    <w:rsid w:val="006D6612"/>
    <w:rsid w:val="006E5905"/>
    <w:rsid w:val="006E629B"/>
    <w:rsid w:val="006F16C6"/>
    <w:rsid w:val="006F209B"/>
    <w:rsid w:val="006F34E6"/>
    <w:rsid w:val="006F72B5"/>
    <w:rsid w:val="007006ED"/>
    <w:rsid w:val="007146AC"/>
    <w:rsid w:val="007163A4"/>
    <w:rsid w:val="00716ED6"/>
    <w:rsid w:val="00717399"/>
    <w:rsid w:val="007201A4"/>
    <w:rsid w:val="00730232"/>
    <w:rsid w:val="0073075F"/>
    <w:rsid w:val="00734E06"/>
    <w:rsid w:val="007414AE"/>
    <w:rsid w:val="00742E1F"/>
    <w:rsid w:val="0074436B"/>
    <w:rsid w:val="00751D6A"/>
    <w:rsid w:val="00755D52"/>
    <w:rsid w:val="00756DA7"/>
    <w:rsid w:val="0076491E"/>
    <w:rsid w:val="00767B8B"/>
    <w:rsid w:val="00773205"/>
    <w:rsid w:val="00773B27"/>
    <w:rsid w:val="0078255F"/>
    <w:rsid w:val="007901F1"/>
    <w:rsid w:val="00793BD3"/>
    <w:rsid w:val="007A1B92"/>
    <w:rsid w:val="007B230F"/>
    <w:rsid w:val="007B4C41"/>
    <w:rsid w:val="007B5B86"/>
    <w:rsid w:val="007C014D"/>
    <w:rsid w:val="007C30B7"/>
    <w:rsid w:val="007C5A21"/>
    <w:rsid w:val="007C63DB"/>
    <w:rsid w:val="007C7875"/>
    <w:rsid w:val="007D45E4"/>
    <w:rsid w:val="007D76D5"/>
    <w:rsid w:val="007E48FD"/>
    <w:rsid w:val="007E6A97"/>
    <w:rsid w:val="007F320D"/>
    <w:rsid w:val="007F4869"/>
    <w:rsid w:val="007F5E72"/>
    <w:rsid w:val="007F62B6"/>
    <w:rsid w:val="007F6D60"/>
    <w:rsid w:val="00801E0A"/>
    <w:rsid w:val="008027D8"/>
    <w:rsid w:val="00804EA5"/>
    <w:rsid w:val="008112E6"/>
    <w:rsid w:val="00811B1B"/>
    <w:rsid w:val="00823F1B"/>
    <w:rsid w:val="008339B2"/>
    <w:rsid w:val="00843EC8"/>
    <w:rsid w:val="00852177"/>
    <w:rsid w:val="00857610"/>
    <w:rsid w:val="008847B4"/>
    <w:rsid w:val="00892DFC"/>
    <w:rsid w:val="0089680E"/>
    <w:rsid w:val="008A035E"/>
    <w:rsid w:val="008A1D3F"/>
    <w:rsid w:val="008A5699"/>
    <w:rsid w:val="008A741B"/>
    <w:rsid w:val="008A750C"/>
    <w:rsid w:val="008B4350"/>
    <w:rsid w:val="008C03F1"/>
    <w:rsid w:val="008D17AA"/>
    <w:rsid w:val="008E1A69"/>
    <w:rsid w:val="008E1FAF"/>
    <w:rsid w:val="008E3EEC"/>
    <w:rsid w:val="008E67D2"/>
    <w:rsid w:val="008E68DD"/>
    <w:rsid w:val="008F0581"/>
    <w:rsid w:val="008F705B"/>
    <w:rsid w:val="00901693"/>
    <w:rsid w:val="00902100"/>
    <w:rsid w:val="009038EF"/>
    <w:rsid w:val="00904369"/>
    <w:rsid w:val="00904EDD"/>
    <w:rsid w:val="00905F5D"/>
    <w:rsid w:val="00914ED1"/>
    <w:rsid w:val="00915292"/>
    <w:rsid w:val="0092195A"/>
    <w:rsid w:val="00924B79"/>
    <w:rsid w:val="009264A3"/>
    <w:rsid w:val="009267E7"/>
    <w:rsid w:val="0093177C"/>
    <w:rsid w:val="00932B3B"/>
    <w:rsid w:val="00933016"/>
    <w:rsid w:val="00933832"/>
    <w:rsid w:val="00936C45"/>
    <w:rsid w:val="00937C16"/>
    <w:rsid w:val="00941C88"/>
    <w:rsid w:val="00946776"/>
    <w:rsid w:val="009537C2"/>
    <w:rsid w:val="009542DA"/>
    <w:rsid w:val="00954BA5"/>
    <w:rsid w:val="0095684A"/>
    <w:rsid w:val="00957B27"/>
    <w:rsid w:val="00962F64"/>
    <w:rsid w:val="009630EB"/>
    <w:rsid w:val="009651A7"/>
    <w:rsid w:val="00967EA4"/>
    <w:rsid w:val="009759F9"/>
    <w:rsid w:val="00976180"/>
    <w:rsid w:val="0097635D"/>
    <w:rsid w:val="00980073"/>
    <w:rsid w:val="0098208F"/>
    <w:rsid w:val="00982A6F"/>
    <w:rsid w:val="009830B3"/>
    <w:rsid w:val="0098318D"/>
    <w:rsid w:val="009844EE"/>
    <w:rsid w:val="00985AE4"/>
    <w:rsid w:val="009872E8"/>
    <w:rsid w:val="0099423C"/>
    <w:rsid w:val="00995014"/>
    <w:rsid w:val="0099581A"/>
    <w:rsid w:val="00995A19"/>
    <w:rsid w:val="009A0C03"/>
    <w:rsid w:val="009A2018"/>
    <w:rsid w:val="009A4DF4"/>
    <w:rsid w:val="009A5A86"/>
    <w:rsid w:val="009B080C"/>
    <w:rsid w:val="009B431E"/>
    <w:rsid w:val="009B5C83"/>
    <w:rsid w:val="009C523F"/>
    <w:rsid w:val="009E0C8F"/>
    <w:rsid w:val="009F16E3"/>
    <w:rsid w:val="009F7A83"/>
    <w:rsid w:val="00A01872"/>
    <w:rsid w:val="00A030A3"/>
    <w:rsid w:val="00A0461D"/>
    <w:rsid w:val="00A05C6F"/>
    <w:rsid w:val="00A06734"/>
    <w:rsid w:val="00A11610"/>
    <w:rsid w:val="00A20A2C"/>
    <w:rsid w:val="00A27A5D"/>
    <w:rsid w:val="00A30B42"/>
    <w:rsid w:val="00A37935"/>
    <w:rsid w:val="00A50F99"/>
    <w:rsid w:val="00A51817"/>
    <w:rsid w:val="00A63A32"/>
    <w:rsid w:val="00A63CE4"/>
    <w:rsid w:val="00A64E8F"/>
    <w:rsid w:val="00A67B37"/>
    <w:rsid w:val="00A71174"/>
    <w:rsid w:val="00A72B76"/>
    <w:rsid w:val="00A736C7"/>
    <w:rsid w:val="00A808B2"/>
    <w:rsid w:val="00A87CFC"/>
    <w:rsid w:val="00A902EA"/>
    <w:rsid w:val="00A91BDD"/>
    <w:rsid w:val="00AA1DB8"/>
    <w:rsid w:val="00AA2C5D"/>
    <w:rsid w:val="00AA43A3"/>
    <w:rsid w:val="00AA5243"/>
    <w:rsid w:val="00AB2117"/>
    <w:rsid w:val="00AB26D5"/>
    <w:rsid w:val="00AB2F16"/>
    <w:rsid w:val="00AB4F98"/>
    <w:rsid w:val="00AC1602"/>
    <w:rsid w:val="00AC4B17"/>
    <w:rsid w:val="00AC74F6"/>
    <w:rsid w:val="00AD4952"/>
    <w:rsid w:val="00AE6392"/>
    <w:rsid w:val="00AE693E"/>
    <w:rsid w:val="00AE6E10"/>
    <w:rsid w:val="00AF427F"/>
    <w:rsid w:val="00AF6E67"/>
    <w:rsid w:val="00B11038"/>
    <w:rsid w:val="00B114F3"/>
    <w:rsid w:val="00B211A3"/>
    <w:rsid w:val="00B220AB"/>
    <w:rsid w:val="00B241F7"/>
    <w:rsid w:val="00B30A17"/>
    <w:rsid w:val="00B36E5E"/>
    <w:rsid w:val="00B403D9"/>
    <w:rsid w:val="00B467AC"/>
    <w:rsid w:val="00B46A57"/>
    <w:rsid w:val="00B534C7"/>
    <w:rsid w:val="00B53CF6"/>
    <w:rsid w:val="00B5606F"/>
    <w:rsid w:val="00B67697"/>
    <w:rsid w:val="00B676B0"/>
    <w:rsid w:val="00B715D1"/>
    <w:rsid w:val="00B837FB"/>
    <w:rsid w:val="00B848F0"/>
    <w:rsid w:val="00B8609B"/>
    <w:rsid w:val="00B9184E"/>
    <w:rsid w:val="00B94AB6"/>
    <w:rsid w:val="00B94D6F"/>
    <w:rsid w:val="00BA0EFA"/>
    <w:rsid w:val="00BA1125"/>
    <w:rsid w:val="00BA475A"/>
    <w:rsid w:val="00BA7E7A"/>
    <w:rsid w:val="00BB36E4"/>
    <w:rsid w:val="00BB3AF2"/>
    <w:rsid w:val="00BB4208"/>
    <w:rsid w:val="00BB62A0"/>
    <w:rsid w:val="00BC0386"/>
    <w:rsid w:val="00BC09E0"/>
    <w:rsid w:val="00BC2356"/>
    <w:rsid w:val="00BC3825"/>
    <w:rsid w:val="00BC5480"/>
    <w:rsid w:val="00BC5697"/>
    <w:rsid w:val="00BD0FC4"/>
    <w:rsid w:val="00BD3207"/>
    <w:rsid w:val="00BD4F46"/>
    <w:rsid w:val="00BD6920"/>
    <w:rsid w:val="00BE358F"/>
    <w:rsid w:val="00BE40A1"/>
    <w:rsid w:val="00BE5653"/>
    <w:rsid w:val="00BE593F"/>
    <w:rsid w:val="00BE5983"/>
    <w:rsid w:val="00BE5A64"/>
    <w:rsid w:val="00BF1316"/>
    <w:rsid w:val="00BF1FCF"/>
    <w:rsid w:val="00BF7BED"/>
    <w:rsid w:val="00C004D6"/>
    <w:rsid w:val="00C04B4E"/>
    <w:rsid w:val="00C11134"/>
    <w:rsid w:val="00C15D70"/>
    <w:rsid w:val="00C17BAF"/>
    <w:rsid w:val="00C207E1"/>
    <w:rsid w:val="00C20CD4"/>
    <w:rsid w:val="00C20F95"/>
    <w:rsid w:val="00C21469"/>
    <w:rsid w:val="00C22CE7"/>
    <w:rsid w:val="00C234DF"/>
    <w:rsid w:val="00C3275B"/>
    <w:rsid w:val="00C32B29"/>
    <w:rsid w:val="00C35FD0"/>
    <w:rsid w:val="00C4040F"/>
    <w:rsid w:val="00C41185"/>
    <w:rsid w:val="00C44A28"/>
    <w:rsid w:val="00C45291"/>
    <w:rsid w:val="00C455E0"/>
    <w:rsid w:val="00C46EDC"/>
    <w:rsid w:val="00C51DDA"/>
    <w:rsid w:val="00C55E11"/>
    <w:rsid w:val="00C56E09"/>
    <w:rsid w:val="00C57E24"/>
    <w:rsid w:val="00C75994"/>
    <w:rsid w:val="00C76894"/>
    <w:rsid w:val="00C771E2"/>
    <w:rsid w:val="00C7788F"/>
    <w:rsid w:val="00C8146F"/>
    <w:rsid w:val="00C91FB0"/>
    <w:rsid w:val="00C9678C"/>
    <w:rsid w:val="00CA3E96"/>
    <w:rsid w:val="00CA7C79"/>
    <w:rsid w:val="00CB2AF3"/>
    <w:rsid w:val="00CB43F2"/>
    <w:rsid w:val="00CB4845"/>
    <w:rsid w:val="00CB5D2C"/>
    <w:rsid w:val="00CC1811"/>
    <w:rsid w:val="00CC3C37"/>
    <w:rsid w:val="00CC6AF7"/>
    <w:rsid w:val="00CC7314"/>
    <w:rsid w:val="00CD004C"/>
    <w:rsid w:val="00CD322B"/>
    <w:rsid w:val="00CD3B4E"/>
    <w:rsid w:val="00CD4E49"/>
    <w:rsid w:val="00CD5F2B"/>
    <w:rsid w:val="00CF1F70"/>
    <w:rsid w:val="00CF7C2B"/>
    <w:rsid w:val="00D010EC"/>
    <w:rsid w:val="00D02D19"/>
    <w:rsid w:val="00D05BC4"/>
    <w:rsid w:val="00D070C8"/>
    <w:rsid w:val="00D12D64"/>
    <w:rsid w:val="00D2219D"/>
    <w:rsid w:val="00D22E63"/>
    <w:rsid w:val="00D24495"/>
    <w:rsid w:val="00D254DB"/>
    <w:rsid w:val="00D33A7E"/>
    <w:rsid w:val="00D33BA3"/>
    <w:rsid w:val="00D352AA"/>
    <w:rsid w:val="00D35AC0"/>
    <w:rsid w:val="00D360A3"/>
    <w:rsid w:val="00D370B6"/>
    <w:rsid w:val="00D47497"/>
    <w:rsid w:val="00D51441"/>
    <w:rsid w:val="00D528C6"/>
    <w:rsid w:val="00D53654"/>
    <w:rsid w:val="00D55E44"/>
    <w:rsid w:val="00D64DB6"/>
    <w:rsid w:val="00D65F35"/>
    <w:rsid w:val="00D71D79"/>
    <w:rsid w:val="00D7318D"/>
    <w:rsid w:val="00D83E53"/>
    <w:rsid w:val="00D95D37"/>
    <w:rsid w:val="00DA07D2"/>
    <w:rsid w:val="00DB4BB9"/>
    <w:rsid w:val="00DC0535"/>
    <w:rsid w:val="00DC2161"/>
    <w:rsid w:val="00DC2406"/>
    <w:rsid w:val="00DD15A5"/>
    <w:rsid w:val="00DD4F30"/>
    <w:rsid w:val="00DD689F"/>
    <w:rsid w:val="00DE6A86"/>
    <w:rsid w:val="00DF166C"/>
    <w:rsid w:val="00DF76A1"/>
    <w:rsid w:val="00E0402F"/>
    <w:rsid w:val="00E05C67"/>
    <w:rsid w:val="00E0744D"/>
    <w:rsid w:val="00E10707"/>
    <w:rsid w:val="00E10F10"/>
    <w:rsid w:val="00E11986"/>
    <w:rsid w:val="00E11F6A"/>
    <w:rsid w:val="00E139A1"/>
    <w:rsid w:val="00E1786D"/>
    <w:rsid w:val="00E20A10"/>
    <w:rsid w:val="00E234FD"/>
    <w:rsid w:val="00E27284"/>
    <w:rsid w:val="00E273C7"/>
    <w:rsid w:val="00E318B5"/>
    <w:rsid w:val="00E36936"/>
    <w:rsid w:val="00E41D8F"/>
    <w:rsid w:val="00E42709"/>
    <w:rsid w:val="00E554F1"/>
    <w:rsid w:val="00E555D4"/>
    <w:rsid w:val="00E56B44"/>
    <w:rsid w:val="00E75CA6"/>
    <w:rsid w:val="00EA3E26"/>
    <w:rsid w:val="00EA4204"/>
    <w:rsid w:val="00EA463D"/>
    <w:rsid w:val="00EB1EA4"/>
    <w:rsid w:val="00EB2415"/>
    <w:rsid w:val="00EB2A25"/>
    <w:rsid w:val="00EB55DC"/>
    <w:rsid w:val="00EC1790"/>
    <w:rsid w:val="00EC2FEA"/>
    <w:rsid w:val="00EC6A07"/>
    <w:rsid w:val="00ED0BA6"/>
    <w:rsid w:val="00ED261E"/>
    <w:rsid w:val="00ED2979"/>
    <w:rsid w:val="00ED557F"/>
    <w:rsid w:val="00ED5B1D"/>
    <w:rsid w:val="00ED6CFE"/>
    <w:rsid w:val="00EF1E24"/>
    <w:rsid w:val="00EF21ED"/>
    <w:rsid w:val="00EF2E14"/>
    <w:rsid w:val="00EF3056"/>
    <w:rsid w:val="00EF5835"/>
    <w:rsid w:val="00EF7016"/>
    <w:rsid w:val="00F02045"/>
    <w:rsid w:val="00F030D0"/>
    <w:rsid w:val="00F03C89"/>
    <w:rsid w:val="00F0640F"/>
    <w:rsid w:val="00F16690"/>
    <w:rsid w:val="00F21E77"/>
    <w:rsid w:val="00F266D7"/>
    <w:rsid w:val="00F41367"/>
    <w:rsid w:val="00F51A1B"/>
    <w:rsid w:val="00F51A4B"/>
    <w:rsid w:val="00F65CAF"/>
    <w:rsid w:val="00F71914"/>
    <w:rsid w:val="00F72042"/>
    <w:rsid w:val="00F72254"/>
    <w:rsid w:val="00F72C90"/>
    <w:rsid w:val="00F75563"/>
    <w:rsid w:val="00F7644B"/>
    <w:rsid w:val="00F838C4"/>
    <w:rsid w:val="00F86849"/>
    <w:rsid w:val="00F91F61"/>
    <w:rsid w:val="00F92545"/>
    <w:rsid w:val="00F95800"/>
    <w:rsid w:val="00F963C4"/>
    <w:rsid w:val="00FA051B"/>
    <w:rsid w:val="00FA13E2"/>
    <w:rsid w:val="00FA21C9"/>
    <w:rsid w:val="00FA2474"/>
    <w:rsid w:val="00FA43B6"/>
    <w:rsid w:val="00FB2C2A"/>
    <w:rsid w:val="00FB532F"/>
    <w:rsid w:val="00FB7156"/>
    <w:rsid w:val="00FC093D"/>
    <w:rsid w:val="00FC227B"/>
    <w:rsid w:val="00FC23A3"/>
    <w:rsid w:val="00FC243E"/>
    <w:rsid w:val="00FC264B"/>
    <w:rsid w:val="00FD2C17"/>
    <w:rsid w:val="00FD5BD6"/>
    <w:rsid w:val="00FD5E2B"/>
    <w:rsid w:val="00FE2B3C"/>
    <w:rsid w:val="00FE423A"/>
    <w:rsid w:val="00FE6FB4"/>
    <w:rsid w:val="00FE70B5"/>
    <w:rsid w:val="00FF0B51"/>
    <w:rsid w:val="00FF4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A791"/>
  <w15:docId w15:val="{76E46981-BFCF-4BA9-9B22-57EB19A0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79"/>
    <w:pPr>
      <w:spacing w:after="200" w:line="276" w:lineRule="auto"/>
    </w:pPr>
    <w:rPr>
      <w:rFonts w:ascii="Times New Roman" w:hAnsi="Times New Roman"/>
      <w:sz w:val="24"/>
      <w:lang w:val="en-GB"/>
    </w:rPr>
  </w:style>
  <w:style w:type="paragraph" w:styleId="Heading1">
    <w:name w:val="heading 1"/>
    <w:basedOn w:val="Normal"/>
    <w:next w:val="Normal"/>
    <w:link w:val="Heading1Char"/>
    <w:qFormat/>
    <w:rsid w:val="001D2979"/>
    <w:pPr>
      <w:keepNext/>
      <w:keepLines/>
      <w:spacing w:before="240" w:after="120" w:line="240" w:lineRule="auto"/>
      <w:outlineLvl w:val="0"/>
    </w:pPr>
    <w:rPr>
      <w:rFonts w:eastAsiaTheme="majorEastAsia" w:cstheme="majorBidi"/>
      <w:b/>
      <w:color w:val="000000" w:themeColor="text1"/>
      <w:szCs w:val="32"/>
      <w:lang w:eastAsia="it-IT"/>
    </w:rPr>
  </w:style>
  <w:style w:type="paragraph" w:styleId="Heading2">
    <w:name w:val="heading 2"/>
    <w:basedOn w:val="Normal"/>
    <w:next w:val="Normal"/>
    <w:link w:val="Heading2Char"/>
    <w:unhideWhenUsed/>
    <w:qFormat/>
    <w:rsid w:val="001D2979"/>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1D297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Text1"/>
    <w:link w:val="Heading4Char"/>
    <w:qFormat/>
    <w:rsid w:val="00A67B37"/>
    <w:pPr>
      <w:keepNext/>
      <w:tabs>
        <w:tab w:val="num" w:pos="850"/>
      </w:tabs>
      <w:spacing w:before="120" w:after="120" w:line="240" w:lineRule="auto"/>
      <w:ind w:left="850" w:hanging="850"/>
      <w:jc w:val="both"/>
      <w:outlineLvl w:val="3"/>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979"/>
    <w:rPr>
      <w:rFonts w:ascii="Times New Roman" w:eastAsiaTheme="majorEastAsia" w:hAnsi="Times New Roman" w:cstheme="majorBidi"/>
      <w:b/>
      <w:color w:val="000000" w:themeColor="text1"/>
      <w:sz w:val="24"/>
      <w:szCs w:val="32"/>
      <w:lang w:val="en-GB" w:eastAsia="it-IT"/>
    </w:rPr>
  </w:style>
  <w:style w:type="character" w:customStyle="1" w:styleId="Heading2Char">
    <w:name w:val="Heading 2 Char"/>
    <w:basedOn w:val="DefaultParagraphFont"/>
    <w:link w:val="Heading2"/>
    <w:uiPriority w:val="9"/>
    <w:rsid w:val="001D2979"/>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rsid w:val="001D2979"/>
    <w:rPr>
      <w:rFonts w:asciiTheme="majorHAnsi" w:eastAsiaTheme="majorEastAsia" w:hAnsiTheme="majorHAnsi" w:cstheme="majorBidi"/>
      <w:color w:val="1F4D78" w:themeColor="accent1" w:themeShade="7F"/>
      <w:sz w:val="24"/>
      <w:szCs w:val="24"/>
      <w:lang w:val="en-GB"/>
    </w:rPr>
  </w:style>
  <w:style w:type="character" w:customStyle="1" w:styleId="FootnoteTextChar">
    <w:name w:val="Footnote Text Char"/>
    <w:aliases w:val="AD Char,FOOTNOTES Char,Footnote Text Char Char Char1,Footnote Text Char Char Char Char,Footnote Text Char Char1 Char,Footnote Text Char1 Char Char,Footnote Text Char1 Char Char Char Char Char,Tekst przypisu Char1,f Char,fn Char"/>
    <w:basedOn w:val="DefaultParagraphFont"/>
    <w:link w:val="FootnoteText"/>
    <w:uiPriority w:val="99"/>
    <w:qFormat/>
    <w:locked/>
    <w:rsid w:val="001D2979"/>
    <w:rPr>
      <w:rFonts w:ascii="Calibri" w:eastAsia="Calibri" w:hAnsi="Calibri" w:cs="Times New Roman"/>
      <w:sz w:val="20"/>
      <w:szCs w:val="20"/>
    </w:rPr>
  </w:style>
  <w:style w:type="paragraph" w:styleId="FootnoteText">
    <w:name w:val="footnote text"/>
    <w:aliases w:val="AD,FOOTNOTES,Footnote Text Char Char,Footnote Text Char Char Char,Footnote Text Char Char1,Footnote Text Char1 Char,Footnote Text Char1 Char Char Char Char,Tekst przypisu,Tekst przypisu Char,f,fn,footnote text,ft,single space,~FootnoteText"/>
    <w:basedOn w:val="Normal"/>
    <w:link w:val="FootnoteTextChar"/>
    <w:unhideWhenUsed/>
    <w:qFormat/>
    <w:rsid w:val="001D2979"/>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1D2979"/>
    <w:rPr>
      <w:rFonts w:ascii="Times New Roman" w:hAnsi="Times New Roman"/>
      <w:sz w:val="20"/>
      <w:szCs w:val="20"/>
      <w:lang w:val="en-GB"/>
    </w:rPr>
  </w:style>
  <w:style w:type="paragraph" w:customStyle="1" w:styleId="Default">
    <w:name w:val="Default"/>
    <w:qFormat/>
    <w:rsid w:val="001D2979"/>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tlid-translation">
    <w:name w:val="tlid-translation"/>
    <w:rsid w:val="004C4328"/>
  </w:style>
  <w:style w:type="character" w:styleId="CommentReference">
    <w:name w:val="annotation reference"/>
    <w:basedOn w:val="DefaultParagraphFont"/>
    <w:unhideWhenUsed/>
    <w:qFormat/>
    <w:rsid w:val="00C04B4E"/>
    <w:rPr>
      <w:sz w:val="16"/>
      <w:szCs w:val="16"/>
    </w:rPr>
  </w:style>
  <w:style w:type="paragraph" w:styleId="CommentText">
    <w:name w:val="annotation text"/>
    <w:basedOn w:val="Normal"/>
    <w:link w:val="CommentTextChar"/>
    <w:unhideWhenUsed/>
    <w:qFormat/>
    <w:rsid w:val="00C04B4E"/>
    <w:pPr>
      <w:spacing w:line="240" w:lineRule="auto"/>
    </w:pPr>
    <w:rPr>
      <w:sz w:val="20"/>
      <w:szCs w:val="20"/>
    </w:rPr>
  </w:style>
  <w:style w:type="character" w:customStyle="1" w:styleId="CommentTextChar">
    <w:name w:val="Comment Text Char"/>
    <w:basedOn w:val="DefaultParagraphFont"/>
    <w:link w:val="CommentText"/>
    <w:qFormat/>
    <w:rsid w:val="00C04B4E"/>
    <w:rPr>
      <w:rFonts w:ascii="Times New Roman" w:hAnsi="Times New Roman"/>
      <w:sz w:val="20"/>
      <w:szCs w:val="20"/>
      <w:lang w:val="en-GB"/>
    </w:rPr>
  </w:style>
  <w:style w:type="paragraph" w:styleId="BalloonText">
    <w:name w:val="Balloon Text"/>
    <w:basedOn w:val="Normal"/>
    <w:link w:val="BalloonTextChar"/>
    <w:semiHidden/>
    <w:unhideWhenUsed/>
    <w:rsid w:val="00C0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B4E"/>
    <w:rPr>
      <w:rFonts w:ascii="Segoe UI" w:hAnsi="Segoe UI" w:cs="Segoe UI"/>
      <w:sz w:val="18"/>
      <w:szCs w:val="18"/>
      <w:lang w:val="en-GB"/>
    </w:rPr>
  </w:style>
  <w:style w:type="paragraph" w:styleId="CommentSubject">
    <w:name w:val="annotation subject"/>
    <w:basedOn w:val="CommentText"/>
    <w:next w:val="CommentText"/>
    <w:link w:val="CommentSubjectChar"/>
    <w:semiHidden/>
    <w:unhideWhenUsed/>
    <w:rsid w:val="004D4718"/>
    <w:rPr>
      <w:b/>
      <w:bCs/>
    </w:rPr>
  </w:style>
  <w:style w:type="character" w:customStyle="1" w:styleId="CommentSubjectChar">
    <w:name w:val="Comment Subject Char"/>
    <w:basedOn w:val="CommentTextChar"/>
    <w:link w:val="CommentSubject"/>
    <w:uiPriority w:val="99"/>
    <w:semiHidden/>
    <w:rsid w:val="004D4718"/>
    <w:rPr>
      <w:rFonts w:ascii="Times New Roman" w:hAnsi="Times New Roman"/>
      <w:b/>
      <w:bCs/>
      <w:sz w:val="20"/>
      <w:szCs w:val="20"/>
      <w:lang w:val="en-GB"/>
    </w:rPr>
  </w:style>
  <w:style w:type="paragraph" w:styleId="ListParagraph">
    <w:name w:val="List Paragraph"/>
    <w:aliases w:val="Bullet 1,Bullet Points,Colorful List - Accent 11,Dot pt,F5 List Paragraph,Indicator Text,L,List Paragraph Char Char Char,List Paragraph1,List Paragraph11,List Paragraph12,List Paragraph2,MAIN CONTENT,No Spacing1,Numbered Para 1,OBC Bullet"/>
    <w:basedOn w:val="Normal"/>
    <w:link w:val="ListParagraphChar"/>
    <w:qFormat/>
    <w:rsid w:val="00341C15"/>
    <w:pPr>
      <w:ind w:left="720"/>
      <w:contextualSpacing/>
    </w:pPr>
    <w:rPr>
      <w:rFonts w:asciiTheme="minorHAnsi" w:hAnsiTheme="minorHAnsi"/>
      <w:sz w:val="22"/>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1 Char,List Paragraph12 Char"/>
    <w:link w:val="ListParagraph"/>
    <w:uiPriority w:val="34"/>
    <w:qFormat/>
    <w:locked/>
    <w:rsid w:val="00341C15"/>
    <w:rPr>
      <w:lang w:val="en-GB"/>
    </w:rPr>
  </w:style>
  <w:style w:type="character" w:styleId="FootnoteReference">
    <w:name w:val="footnote reference"/>
    <w:aliases w:val="16 Point,4_G,BVI fnr,Footno,Footnote Reference Number,Footnote Reference_LVL6,Footnote Reference_LVL61,Footnote Reference_LVL62,Footnote Reference_LVL63,Footnote Reference_LVL64,Superscript 6 Point,footnote ref,fr,ftref,Знак сноски-FN"/>
    <w:basedOn w:val="DefaultParagraphFont"/>
    <w:link w:val="BVIfnrChar1CharCharChar"/>
    <w:unhideWhenUsed/>
    <w:qFormat/>
    <w:rsid w:val="001C73DC"/>
    <w:rPr>
      <w:vertAlign w:val="superscript"/>
    </w:rPr>
  </w:style>
  <w:style w:type="paragraph" w:customStyle="1" w:styleId="BVIfnrChar1CharCharChar">
    <w:name w:val="BVI fnr Char1 Char Char Char"/>
    <w:aliases w:val="BVI fnr Car Car Car Car Char Char1 Char Char,BVI fnr Car Car Char1 Char Char Char,BVI fnr Car Char1 Char Char Char"/>
    <w:basedOn w:val="Normal"/>
    <w:link w:val="FootnoteReference"/>
    <w:uiPriority w:val="99"/>
    <w:qFormat/>
    <w:rsid w:val="001C73DC"/>
    <w:pPr>
      <w:spacing w:after="160" w:line="240" w:lineRule="exact"/>
    </w:pPr>
    <w:rPr>
      <w:rFonts w:asciiTheme="minorHAnsi" w:hAnsiTheme="minorHAnsi"/>
      <w:sz w:val="22"/>
      <w:vertAlign w:val="superscript"/>
      <w:lang w:val="en-US"/>
    </w:rPr>
  </w:style>
  <w:style w:type="paragraph" w:customStyle="1" w:styleId="ManualHeading1">
    <w:name w:val="Manual Heading 1"/>
    <w:basedOn w:val="Normal"/>
    <w:next w:val="Normal"/>
    <w:rsid w:val="00751D6A"/>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Normal"/>
    <w:rsid w:val="00751D6A"/>
    <w:pPr>
      <w:keepNext/>
      <w:tabs>
        <w:tab w:val="left" w:pos="850"/>
      </w:tabs>
      <w:spacing w:before="120" w:after="120" w:line="240" w:lineRule="auto"/>
      <w:ind w:left="850" w:hanging="850"/>
      <w:jc w:val="both"/>
      <w:outlineLvl w:val="1"/>
    </w:pPr>
    <w:rPr>
      <w:rFonts w:eastAsia="Times New Roman" w:cs="Times New Roman"/>
      <w:b/>
      <w:szCs w:val="24"/>
    </w:rPr>
  </w:style>
  <w:style w:type="table" w:customStyle="1" w:styleId="TableGrid311">
    <w:name w:val="Table Grid311"/>
    <w:basedOn w:val="TableNormal"/>
    <w:next w:val="TableGrid"/>
    <w:uiPriority w:val="59"/>
    <w:rsid w:val="00751D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751D6A"/>
    <w:rPr>
      <w:shd w:val="clear" w:color="auto" w:fill="FFFFFF"/>
    </w:rPr>
  </w:style>
  <w:style w:type="paragraph" w:customStyle="1" w:styleId="Bodytext20">
    <w:name w:val="Body text (2)"/>
    <w:basedOn w:val="Normal"/>
    <w:link w:val="Bodytext2"/>
    <w:rsid w:val="00751D6A"/>
    <w:pPr>
      <w:shd w:val="clear" w:color="auto" w:fill="FFFFFF"/>
      <w:spacing w:after="1440" w:line="264" w:lineRule="exact"/>
      <w:ind w:hanging="460"/>
    </w:pPr>
    <w:rPr>
      <w:rFonts w:asciiTheme="minorHAnsi" w:hAnsiTheme="minorHAnsi"/>
      <w:sz w:val="22"/>
      <w:lang w:val="en-US"/>
    </w:rPr>
  </w:style>
  <w:style w:type="paragraph" w:customStyle="1" w:styleId="Style">
    <w:name w:val="Style"/>
    <w:uiPriority w:val="99"/>
    <w:rsid w:val="00751D6A"/>
    <w:pPr>
      <w:widowControl w:val="0"/>
      <w:autoSpaceDE w:val="0"/>
      <w:autoSpaceDN w:val="0"/>
      <w:adjustRightInd w:val="0"/>
      <w:spacing w:after="0" w:line="240" w:lineRule="auto"/>
    </w:pPr>
    <w:rPr>
      <w:rFonts w:ascii="Times New Roman" w:eastAsia="Times New Roman" w:hAnsi="Times New Roman" w:cs="Times New Roman"/>
      <w:sz w:val="24"/>
      <w:szCs w:val="24"/>
      <w:lang w:val="bs-Latn-BA" w:eastAsia="zh-CN"/>
    </w:rPr>
  </w:style>
  <w:style w:type="character" w:customStyle="1" w:styleId="Bodytext21">
    <w:name w:val="Body text|2_"/>
    <w:basedOn w:val="DefaultParagraphFont"/>
    <w:link w:val="Bodytext22"/>
    <w:rsid w:val="00751D6A"/>
    <w:rPr>
      <w:shd w:val="clear" w:color="auto" w:fill="FFFFFF"/>
    </w:rPr>
  </w:style>
  <w:style w:type="paragraph" w:customStyle="1" w:styleId="Bodytext22">
    <w:name w:val="Body text|2"/>
    <w:basedOn w:val="Normal"/>
    <w:link w:val="Bodytext21"/>
    <w:qFormat/>
    <w:rsid w:val="00751D6A"/>
    <w:pPr>
      <w:widowControl w:val="0"/>
      <w:shd w:val="clear" w:color="auto" w:fill="FFFFFF"/>
      <w:spacing w:after="1440" w:line="274" w:lineRule="exact"/>
      <w:ind w:hanging="440"/>
    </w:pPr>
    <w:rPr>
      <w:rFonts w:asciiTheme="minorHAnsi" w:hAnsiTheme="minorHAnsi"/>
      <w:sz w:val="22"/>
      <w:lang w:val="en-US"/>
    </w:rPr>
  </w:style>
  <w:style w:type="table" w:customStyle="1" w:styleId="TableGrid31">
    <w:name w:val="Table Grid31"/>
    <w:basedOn w:val="TableNormal"/>
    <w:next w:val="TableGrid"/>
    <w:uiPriority w:val="59"/>
    <w:rsid w:val="00751D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1D6A"/>
    <w:pPr>
      <w:spacing w:after="0" w:line="240" w:lineRule="auto"/>
    </w:pPr>
    <w:rPr>
      <w:rFonts w:ascii="Times New Roman" w:hAnsi="Times New Roman"/>
      <w:sz w:val="24"/>
      <w:lang w:val="en-GB"/>
    </w:rPr>
  </w:style>
  <w:style w:type="table" w:customStyle="1" w:styleId="TableGrid21">
    <w:name w:val="Table Grid21"/>
    <w:basedOn w:val="TableNormal"/>
    <w:uiPriority w:val="59"/>
    <w:rsid w:val="00751D6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D6A"/>
    <w:rPr>
      <w:color w:val="0563C1"/>
      <w:u w:val="single"/>
    </w:rPr>
  </w:style>
  <w:style w:type="character" w:styleId="Strong">
    <w:name w:val="Strong"/>
    <w:basedOn w:val="DefaultParagraphFont"/>
    <w:uiPriority w:val="22"/>
    <w:qFormat/>
    <w:rsid w:val="00751D6A"/>
    <w:rPr>
      <w:b/>
      <w:bCs/>
    </w:rPr>
  </w:style>
  <w:style w:type="paragraph" w:styleId="Header">
    <w:name w:val="header"/>
    <w:basedOn w:val="Normal"/>
    <w:link w:val="HeaderChar"/>
    <w:unhideWhenUsed/>
    <w:rsid w:val="00751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6A"/>
    <w:rPr>
      <w:rFonts w:ascii="Times New Roman" w:hAnsi="Times New Roman"/>
      <w:sz w:val="24"/>
      <w:lang w:val="en-GB"/>
    </w:rPr>
  </w:style>
  <w:style w:type="paragraph" w:styleId="Footer">
    <w:name w:val="footer"/>
    <w:basedOn w:val="Normal"/>
    <w:link w:val="FooterChar"/>
    <w:uiPriority w:val="99"/>
    <w:unhideWhenUsed/>
    <w:rsid w:val="00751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6A"/>
    <w:rPr>
      <w:rFonts w:ascii="Times New Roman" w:hAnsi="Times New Roman"/>
      <w:sz w:val="24"/>
      <w:lang w:val="en-GB"/>
    </w:rPr>
  </w:style>
  <w:style w:type="table" w:customStyle="1" w:styleId="TableGrid1">
    <w:name w:val="Table Grid1"/>
    <w:basedOn w:val="TableNormal"/>
    <w:next w:val="TableGrid"/>
    <w:uiPriority w:val="59"/>
    <w:rsid w:val="00751D6A"/>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NumPar">
    <w:name w:val="LegalNumPar"/>
    <w:basedOn w:val="Normal"/>
    <w:rsid w:val="00985AE4"/>
    <w:pPr>
      <w:numPr>
        <w:numId w:val="5"/>
      </w:numPr>
      <w:spacing w:line="360" w:lineRule="auto"/>
    </w:pPr>
  </w:style>
  <w:style w:type="paragraph" w:customStyle="1" w:styleId="LegalNumPar2">
    <w:name w:val="LegalNumPar2"/>
    <w:basedOn w:val="Normal"/>
    <w:rsid w:val="00985AE4"/>
    <w:pPr>
      <w:numPr>
        <w:ilvl w:val="1"/>
        <w:numId w:val="5"/>
      </w:numPr>
      <w:spacing w:line="360" w:lineRule="auto"/>
    </w:pPr>
  </w:style>
  <w:style w:type="paragraph" w:customStyle="1" w:styleId="LegalNumPar3">
    <w:name w:val="LegalNumPar3"/>
    <w:basedOn w:val="Normal"/>
    <w:rsid w:val="00985AE4"/>
    <w:pPr>
      <w:numPr>
        <w:ilvl w:val="2"/>
        <w:numId w:val="5"/>
      </w:numPr>
      <w:spacing w:line="360" w:lineRule="auto"/>
    </w:pPr>
  </w:style>
  <w:style w:type="character" w:customStyle="1" w:styleId="reference-text">
    <w:name w:val="reference-text"/>
    <w:basedOn w:val="DefaultParagraphFont"/>
    <w:rsid w:val="005B0A88"/>
  </w:style>
  <w:style w:type="paragraph" w:styleId="ListBullet">
    <w:name w:val="List Bullet"/>
    <w:basedOn w:val="Normal"/>
    <w:rsid w:val="005B0A88"/>
    <w:pPr>
      <w:numPr>
        <w:numId w:val="7"/>
      </w:numPr>
      <w:spacing w:after="240" w:line="240" w:lineRule="auto"/>
      <w:jc w:val="both"/>
    </w:pPr>
    <w:rPr>
      <w:rFonts w:eastAsia="Times New Roman" w:cs="Times New Roman"/>
      <w:szCs w:val="20"/>
    </w:rPr>
  </w:style>
  <w:style w:type="paragraph" w:styleId="NoSpacing">
    <w:name w:val="No Spacing"/>
    <w:uiPriority w:val="1"/>
    <w:qFormat/>
    <w:rsid w:val="005B0A88"/>
    <w:pPr>
      <w:spacing w:after="0" w:line="240" w:lineRule="auto"/>
      <w:jc w:val="both"/>
    </w:pPr>
    <w:rPr>
      <w:rFonts w:ascii="Times New Roman" w:eastAsia="Times New Roman" w:hAnsi="Times New Roman" w:cs="Times New Roman"/>
      <w:sz w:val="24"/>
      <w:szCs w:val="20"/>
      <w:lang w:val="en-IE"/>
    </w:rPr>
  </w:style>
  <w:style w:type="paragraph" w:styleId="NormalWeb">
    <w:name w:val="Normal (Web)"/>
    <w:basedOn w:val="Normal"/>
    <w:uiPriority w:val="99"/>
    <w:unhideWhenUsed/>
    <w:rsid w:val="005B0A88"/>
    <w:pPr>
      <w:spacing w:before="100" w:beforeAutospacing="1" w:after="100" w:afterAutospacing="1" w:line="240" w:lineRule="auto"/>
    </w:pPr>
    <w:rPr>
      <w:rFonts w:eastAsia="Times New Roman" w:cs="Times New Roman"/>
      <w:szCs w:val="24"/>
      <w:lang w:eastAsia="en-GB"/>
    </w:rPr>
  </w:style>
  <w:style w:type="table" w:customStyle="1" w:styleId="TableGrid3">
    <w:name w:val="Table Grid3"/>
    <w:basedOn w:val="TableNormal"/>
    <w:next w:val="TableGrid"/>
    <w:uiPriority w:val="59"/>
    <w:rsid w:val="005B0A8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0A8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B0A88"/>
  </w:style>
  <w:style w:type="character" w:customStyle="1" w:styleId="Heading4Char">
    <w:name w:val="Heading 4 Char"/>
    <w:basedOn w:val="DefaultParagraphFont"/>
    <w:link w:val="Heading4"/>
    <w:rsid w:val="00A67B37"/>
    <w:rPr>
      <w:rFonts w:ascii="Times New Roman" w:eastAsia="Times New Roman" w:hAnsi="Times New Roman" w:cs="Times New Roman"/>
      <w:bCs/>
      <w:sz w:val="24"/>
      <w:szCs w:val="28"/>
      <w:lang w:val="en-GB"/>
    </w:rPr>
  </w:style>
  <w:style w:type="paragraph" w:customStyle="1" w:styleId="Text1">
    <w:name w:val="Text 1"/>
    <w:basedOn w:val="Normal"/>
    <w:rsid w:val="00A67B37"/>
    <w:pPr>
      <w:spacing w:before="120" w:after="120" w:line="240" w:lineRule="auto"/>
      <w:ind w:left="850"/>
      <w:jc w:val="both"/>
    </w:pPr>
    <w:rPr>
      <w:rFonts w:eastAsia="Times New Roman" w:cs="Times New Roman"/>
      <w:szCs w:val="24"/>
    </w:rPr>
  </w:style>
  <w:style w:type="paragraph" w:styleId="TOC1">
    <w:name w:val="toc 1"/>
    <w:basedOn w:val="Normal"/>
    <w:next w:val="Normal"/>
    <w:uiPriority w:val="39"/>
    <w:rsid w:val="00A67B37"/>
    <w:pPr>
      <w:tabs>
        <w:tab w:val="right" w:leader="dot" w:pos="9071"/>
      </w:tabs>
      <w:spacing w:before="60" w:after="120" w:line="240" w:lineRule="auto"/>
      <w:ind w:left="850" w:hanging="850"/>
    </w:pPr>
    <w:rPr>
      <w:rFonts w:eastAsia="Times New Roman" w:cs="Times New Roman"/>
      <w:szCs w:val="24"/>
    </w:rPr>
  </w:style>
  <w:style w:type="paragraph" w:styleId="TOC2">
    <w:name w:val="toc 2"/>
    <w:basedOn w:val="Normal"/>
    <w:next w:val="Normal"/>
    <w:uiPriority w:val="39"/>
    <w:rsid w:val="00A67B37"/>
    <w:pPr>
      <w:tabs>
        <w:tab w:val="right" w:leader="dot" w:pos="9071"/>
      </w:tabs>
      <w:spacing w:before="60" w:after="120" w:line="240" w:lineRule="auto"/>
      <w:ind w:left="850" w:hanging="850"/>
    </w:pPr>
    <w:rPr>
      <w:rFonts w:eastAsia="Times New Roman" w:cs="Times New Roman"/>
      <w:szCs w:val="24"/>
    </w:rPr>
  </w:style>
  <w:style w:type="paragraph" w:styleId="TOC3">
    <w:name w:val="toc 3"/>
    <w:basedOn w:val="Normal"/>
    <w:next w:val="Normal"/>
    <w:uiPriority w:val="39"/>
    <w:rsid w:val="00A67B37"/>
    <w:pPr>
      <w:tabs>
        <w:tab w:val="right" w:leader="dot" w:pos="9071"/>
      </w:tabs>
      <w:spacing w:before="60" w:after="120" w:line="240" w:lineRule="auto"/>
      <w:ind w:left="850" w:hanging="850"/>
    </w:pPr>
    <w:rPr>
      <w:rFonts w:eastAsia="Times New Roman" w:cs="Times New Roman"/>
      <w:szCs w:val="24"/>
    </w:rPr>
  </w:style>
  <w:style w:type="paragraph" w:styleId="TOC4">
    <w:name w:val="toc 4"/>
    <w:basedOn w:val="Normal"/>
    <w:next w:val="Normal"/>
    <w:semiHidden/>
    <w:rsid w:val="00A67B37"/>
    <w:pPr>
      <w:tabs>
        <w:tab w:val="right" w:leader="dot" w:pos="9071"/>
      </w:tabs>
      <w:spacing w:before="60" w:after="120" w:line="240" w:lineRule="auto"/>
      <w:ind w:left="850" w:hanging="850"/>
    </w:pPr>
    <w:rPr>
      <w:rFonts w:eastAsia="Times New Roman" w:cs="Times New Roman"/>
      <w:szCs w:val="24"/>
    </w:rPr>
  </w:style>
  <w:style w:type="paragraph" w:styleId="TOC5">
    <w:name w:val="toc 5"/>
    <w:basedOn w:val="Normal"/>
    <w:next w:val="Normal"/>
    <w:semiHidden/>
    <w:rsid w:val="00A67B37"/>
    <w:pPr>
      <w:tabs>
        <w:tab w:val="right" w:leader="dot" w:pos="9071"/>
      </w:tabs>
      <w:spacing w:before="300" w:after="120" w:line="240" w:lineRule="auto"/>
    </w:pPr>
    <w:rPr>
      <w:rFonts w:eastAsia="Times New Roman" w:cs="Times New Roman"/>
      <w:szCs w:val="24"/>
    </w:rPr>
  </w:style>
  <w:style w:type="paragraph" w:styleId="TOC6">
    <w:name w:val="toc 6"/>
    <w:basedOn w:val="Normal"/>
    <w:next w:val="Normal"/>
    <w:semiHidden/>
    <w:rsid w:val="00A67B37"/>
    <w:pPr>
      <w:tabs>
        <w:tab w:val="right" w:leader="dot" w:pos="9071"/>
      </w:tabs>
      <w:spacing w:before="240" w:after="120" w:line="240" w:lineRule="auto"/>
    </w:pPr>
    <w:rPr>
      <w:rFonts w:eastAsia="Times New Roman" w:cs="Times New Roman"/>
      <w:szCs w:val="24"/>
    </w:rPr>
  </w:style>
  <w:style w:type="paragraph" w:styleId="TOC7">
    <w:name w:val="toc 7"/>
    <w:basedOn w:val="Normal"/>
    <w:next w:val="Normal"/>
    <w:semiHidden/>
    <w:rsid w:val="00A67B37"/>
    <w:pPr>
      <w:tabs>
        <w:tab w:val="right" w:leader="dot" w:pos="9071"/>
      </w:tabs>
      <w:spacing w:before="180" w:after="120" w:line="240" w:lineRule="auto"/>
    </w:pPr>
    <w:rPr>
      <w:rFonts w:eastAsia="Times New Roman" w:cs="Times New Roman"/>
      <w:szCs w:val="24"/>
    </w:rPr>
  </w:style>
  <w:style w:type="paragraph" w:styleId="TOC8">
    <w:name w:val="toc 8"/>
    <w:basedOn w:val="Normal"/>
    <w:next w:val="Normal"/>
    <w:semiHidden/>
    <w:rsid w:val="00A67B37"/>
    <w:pPr>
      <w:tabs>
        <w:tab w:val="right" w:leader="dot" w:pos="9071"/>
      </w:tabs>
      <w:spacing w:before="120" w:after="120" w:line="240" w:lineRule="auto"/>
    </w:pPr>
    <w:rPr>
      <w:rFonts w:eastAsia="Times New Roman" w:cs="Times New Roman"/>
      <w:szCs w:val="24"/>
    </w:rPr>
  </w:style>
  <w:style w:type="paragraph" w:styleId="TOC9">
    <w:name w:val="toc 9"/>
    <w:basedOn w:val="Normal"/>
    <w:next w:val="Normal"/>
    <w:semiHidden/>
    <w:rsid w:val="00A67B37"/>
    <w:pPr>
      <w:tabs>
        <w:tab w:val="right" w:leader="dot" w:pos="9071"/>
      </w:tabs>
      <w:spacing w:before="120" w:after="120" w:line="240" w:lineRule="auto"/>
      <w:jc w:val="both"/>
    </w:pPr>
    <w:rPr>
      <w:rFonts w:eastAsia="Times New Roman" w:cs="Times New Roman"/>
      <w:szCs w:val="24"/>
    </w:rPr>
  </w:style>
  <w:style w:type="paragraph" w:customStyle="1" w:styleId="HeaderLandscape">
    <w:name w:val="HeaderLandscape"/>
    <w:basedOn w:val="Normal"/>
    <w:rsid w:val="00A67B37"/>
    <w:pPr>
      <w:tabs>
        <w:tab w:val="center" w:pos="7285"/>
        <w:tab w:val="right" w:pos="14003"/>
      </w:tabs>
      <w:spacing w:after="120" w:line="240" w:lineRule="auto"/>
      <w:jc w:val="both"/>
    </w:pPr>
    <w:rPr>
      <w:rFonts w:eastAsia="Times New Roman" w:cs="Times New Roman"/>
      <w:szCs w:val="24"/>
    </w:rPr>
  </w:style>
  <w:style w:type="paragraph" w:customStyle="1" w:styleId="FooterLandscape">
    <w:name w:val="FooterLandscape"/>
    <w:basedOn w:val="Normal"/>
    <w:rsid w:val="00A67B37"/>
    <w:pPr>
      <w:tabs>
        <w:tab w:val="center" w:pos="7285"/>
        <w:tab w:val="center" w:pos="10913"/>
        <w:tab w:val="right" w:pos="15137"/>
      </w:tabs>
      <w:spacing w:before="360" w:after="0" w:line="240" w:lineRule="auto"/>
      <w:ind w:left="-567" w:right="-567"/>
    </w:pPr>
    <w:rPr>
      <w:rFonts w:eastAsia="Times New Roman" w:cs="Times New Roman"/>
      <w:szCs w:val="24"/>
    </w:rPr>
  </w:style>
  <w:style w:type="paragraph" w:customStyle="1" w:styleId="Text2">
    <w:name w:val="Text 2"/>
    <w:basedOn w:val="Normal"/>
    <w:rsid w:val="00A67B37"/>
    <w:pPr>
      <w:spacing w:before="120" w:after="120" w:line="240" w:lineRule="auto"/>
      <w:ind w:left="1417"/>
      <w:jc w:val="both"/>
    </w:pPr>
    <w:rPr>
      <w:rFonts w:eastAsia="Times New Roman" w:cs="Times New Roman"/>
      <w:szCs w:val="24"/>
    </w:rPr>
  </w:style>
  <w:style w:type="paragraph" w:customStyle="1" w:styleId="Text3">
    <w:name w:val="Text 3"/>
    <w:basedOn w:val="Normal"/>
    <w:rsid w:val="00A67B37"/>
    <w:pPr>
      <w:spacing w:before="120" w:after="120" w:line="240" w:lineRule="auto"/>
      <w:ind w:left="1984"/>
      <w:jc w:val="both"/>
    </w:pPr>
    <w:rPr>
      <w:rFonts w:eastAsia="Times New Roman" w:cs="Times New Roman"/>
      <w:szCs w:val="24"/>
    </w:rPr>
  </w:style>
  <w:style w:type="paragraph" w:customStyle="1" w:styleId="Text4">
    <w:name w:val="Text 4"/>
    <w:basedOn w:val="Normal"/>
    <w:rsid w:val="00A67B37"/>
    <w:pPr>
      <w:spacing w:before="120" w:after="120" w:line="240" w:lineRule="auto"/>
      <w:ind w:left="2551"/>
      <w:jc w:val="both"/>
    </w:pPr>
    <w:rPr>
      <w:rFonts w:eastAsia="Times New Roman" w:cs="Times New Roman"/>
      <w:szCs w:val="24"/>
    </w:rPr>
  </w:style>
  <w:style w:type="paragraph" w:customStyle="1" w:styleId="NormalCentered">
    <w:name w:val="Normal Centered"/>
    <w:basedOn w:val="Normal"/>
    <w:rsid w:val="00A67B37"/>
    <w:pPr>
      <w:spacing w:before="120" w:after="120" w:line="240" w:lineRule="auto"/>
      <w:jc w:val="center"/>
    </w:pPr>
    <w:rPr>
      <w:rFonts w:eastAsia="Times New Roman" w:cs="Times New Roman"/>
      <w:szCs w:val="24"/>
    </w:rPr>
  </w:style>
  <w:style w:type="paragraph" w:customStyle="1" w:styleId="NormalLeft">
    <w:name w:val="Normal Left"/>
    <w:basedOn w:val="Normal"/>
    <w:rsid w:val="00A67B37"/>
    <w:pPr>
      <w:spacing w:before="120" w:after="120" w:line="240" w:lineRule="auto"/>
    </w:pPr>
    <w:rPr>
      <w:rFonts w:eastAsia="Times New Roman" w:cs="Times New Roman"/>
      <w:szCs w:val="24"/>
    </w:rPr>
  </w:style>
  <w:style w:type="paragraph" w:customStyle="1" w:styleId="NormalRight">
    <w:name w:val="Normal Right"/>
    <w:basedOn w:val="Normal"/>
    <w:rsid w:val="00A67B37"/>
    <w:pPr>
      <w:spacing w:before="120" w:after="120" w:line="240" w:lineRule="auto"/>
      <w:jc w:val="right"/>
    </w:pPr>
    <w:rPr>
      <w:rFonts w:eastAsia="Times New Roman" w:cs="Times New Roman"/>
      <w:szCs w:val="24"/>
    </w:rPr>
  </w:style>
  <w:style w:type="paragraph" w:customStyle="1" w:styleId="QuotedText">
    <w:name w:val="Quoted Text"/>
    <w:basedOn w:val="Normal"/>
    <w:rsid w:val="00A67B37"/>
    <w:pPr>
      <w:spacing w:before="120" w:after="120" w:line="240" w:lineRule="auto"/>
      <w:ind w:left="1417"/>
      <w:jc w:val="both"/>
    </w:pPr>
    <w:rPr>
      <w:rFonts w:eastAsia="Times New Roman" w:cs="Times New Roman"/>
      <w:szCs w:val="24"/>
    </w:rPr>
  </w:style>
  <w:style w:type="paragraph" w:customStyle="1" w:styleId="Point0">
    <w:name w:val="Point 0"/>
    <w:basedOn w:val="Normal"/>
    <w:rsid w:val="00A67B37"/>
    <w:pPr>
      <w:spacing w:before="120" w:after="120" w:line="240" w:lineRule="auto"/>
      <w:ind w:left="850" w:hanging="850"/>
      <w:jc w:val="both"/>
    </w:pPr>
    <w:rPr>
      <w:rFonts w:eastAsia="Times New Roman" w:cs="Times New Roman"/>
      <w:szCs w:val="24"/>
    </w:rPr>
  </w:style>
  <w:style w:type="paragraph" w:customStyle="1" w:styleId="Point1">
    <w:name w:val="Point 1"/>
    <w:basedOn w:val="Normal"/>
    <w:rsid w:val="00A67B37"/>
    <w:pPr>
      <w:spacing w:before="120" w:after="120" w:line="240" w:lineRule="auto"/>
      <w:ind w:left="1417" w:hanging="567"/>
      <w:jc w:val="both"/>
    </w:pPr>
    <w:rPr>
      <w:rFonts w:eastAsia="Times New Roman" w:cs="Times New Roman"/>
      <w:szCs w:val="24"/>
    </w:rPr>
  </w:style>
  <w:style w:type="paragraph" w:customStyle="1" w:styleId="Point2">
    <w:name w:val="Point 2"/>
    <w:basedOn w:val="Normal"/>
    <w:rsid w:val="00A67B37"/>
    <w:pPr>
      <w:spacing w:before="120" w:after="120" w:line="240" w:lineRule="auto"/>
      <w:ind w:left="1984" w:hanging="567"/>
      <w:jc w:val="both"/>
    </w:pPr>
    <w:rPr>
      <w:rFonts w:eastAsia="Times New Roman" w:cs="Times New Roman"/>
      <w:szCs w:val="24"/>
    </w:rPr>
  </w:style>
  <w:style w:type="paragraph" w:customStyle="1" w:styleId="Point3">
    <w:name w:val="Point 3"/>
    <w:basedOn w:val="Normal"/>
    <w:rsid w:val="00A67B37"/>
    <w:pPr>
      <w:spacing w:before="120" w:after="120" w:line="240" w:lineRule="auto"/>
      <w:ind w:left="2551" w:hanging="567"/>
      <w:jc w:val="both"/>
    </w:pPr>
    <w:rPr>
      <w:rFonts w:eastAsia="Times New Roman" w:cs="Times New Roman"/>
      <w:szCs w:val="24"/>
    </w:rPr>
  </w:style>
  <w:style w:type="paragraph" w:customStyle="1" w:styleId="Point4">
    <w:name w:val="Point 4"/>
    <w:basedOn w:val="Normal"/>
    <w:rsid w:val="00A67B37"/>
    <w:pPr>
      <w:spacing w:before="120" w:after="120" w:line="240" w:lineRule="auto"/>
      <w:ind w:left="3118" w:hanging="567"/>
      <w:jc w:val="both"/>
    </w:pPr>
    <w:rPr>
      <w:rFonts w:eastAsia="Times New Roman" w:cs="Times New Roman"/>
      <w:szCs w:val="24"/>
    </w:rPr>
  </w:style>
  <w:style w:type="paragraph" w:customStyle="1" w:styleId="Tiret0">
    <w:name w:val="Tiret 0"/>
    <w:basedOn w:val="Point0"/>
    <w:rsid w:val="00A67B37"/>
    <w:pPr>
      <w:numPr>
        <w:numId w:val="35"/>
      </w:numPr>
    </w:pPr>
  </w:style>
  <w:style w:type="paragraph" w:customStyle="1" w:styleId="Tiret1">
    <w:name w:val="Tiret 1"/>
    <w:basedOn w:val="Point1"/>
    <w:rsid w:val="00A67B37"/>
    <w:pPr>
      <w:numPr>
        <w:numId w:val="36"/>
      </w:numPr>
    </w:pPr>
  </w:style>
  <w:style w:type="paragraph" w:customStyle="1" w:styleId="Tiret2">
    <w:name w:val="Tiret 2"/>
    <w:basedOn w:val="Point2"/>
    <w:rsid w:val="00A67B37"/>
    <w:pPr>
      <w:numPr>
        <w:numId w:val="37"/>
      </w:numPr>
    </w:pPr>
  </w:style>
  <w:style w:type="paragraph" w:customStyle="1" w:styleId="Tiret3">
    <w:name w:val="Tiret 3"/>
    <w:basedOn w:val="Point3"/>
    <w:rsid w:val="00A67B37"/>
    <w:pPr>
      <w:numPr>
        <w:numId w:val="38"/>
      </w:numPr>
    </w:pPr>
  </w:style>
  <w:style w:type="paragraph" w:customStyle="1" w:styleId="Tiret4">
    <w:name w:val="Tiret 4"/>
    <w:basedOn w:val="Point4"/>
    <w:rsid w:val="00A67B37"/>
    <w:pPr>
      <w:numPr>
        <w:numId w:val="39"/>
      </w:numPr>
    </w:pPr>
  </w:style>
  <w:style w:type="paragraph" w:customStyle="1" w:styleId="PointDouble0">
    <w:name w:val="PointDouble 0"/>
    <w:basedOn w:val="Normal"/>
    <w:rsid w:val="00A67B37"/>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rsid w:val="00A67B37"/>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rsid w:val="00A67B37"/>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rsid w:val="00A67B37"/>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rsid w:val="00A67B37"/>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rsid w:val="00A67B37"/>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rsid w:val="00A67B37"/>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rsid w:val="00A67B37"/>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rsid w:val="00A67B37"/>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rsid w:val="00A67B37"/>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rsid w:val="00A67B37"/>
    <w:pPr>
      <w:numPr>
        <w:numId w:val="40"/>
      </w:numPr>
      <w:spacing w:before="120" w:after="120" w:line="240" w:lineRule="auto"/>
      <w:jc w:val="both"/>
    </w:pPr>
    <w:rPr>
      <w:rFonts w:eastAsia="Times New Roman" w:cs="Times New Roman"/>
      <w:szCs w:val="24"/>
    </w:rPr>
  </w:style>
  <w:style w:type="paragraph" w:customStyle="1" w:styleId="NumPar2">
    <w:name w:val="NumPar 2"/>
    <w:basedOn w:val="Normal"/>
    <w:next w:val="Text1"/>
    <w:rsid w:val="00A67B37"/>
    <w:pPr>
      <w:numPr>
        <w:ilvl w:val="1"/>
        <w:numId w:val="40"/>
      </w:numPr>
      <w:spacing w:before="120" w:after="120" w:line="240" w:lineRule="auto"/>
      <w:jc w:val="both"/>
    </w:pPr>
    <w:rPr>
      <w:rFonts w:eastAsia="Times New Roman" w:cs="Times New Roman"/>
      <w:szCs w:val="24"/>
    </w:rPr>
  </w:style>
  <w:style w:type="paragraph" w:customStyle="1" w:styleId="NumPar3">
    <w:name w:val="NumPar 3"/>
    <w:basedOn w:val="Normal"/>
    <w:next w:val="Text1"/>
    <w:rsid w:val="00A67B37"/>
    <w:pPr>
      <w:numPr>
        <w:ilvl w:val="2"/>
        <w:numId w:val="40"/>
      </w:numPr>
      <w:spacing w:before="120" w:after="120" w:line="240" w:lineRule="auto"/>
      <w:jc w:val="both"/>
    </w:pPr>
    <w:rPr>
      <w:rFonts w:eastAsia="Times New Roman" w:cs="Times New Roman"/>
      <w:szCs w:val="24"/>
    </w:rPr>
  </w:style>
  <w:style w:type="paragraph" w:customStyle="1" w:styleId="NumPar4">
    <w:name w:val="NumPar 4"/>
    <w:basedOn w:val="Normal"/>
    <w:next w:val="Text1"/>
    <w:rsid w:val="00A67B37"/>
    <w:pPr>
      <w:numPr>
        <w:ilvl w:val="3"/>
        <w:numId w:val="40"/>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rsid w:val="00A67B37"/>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1"/>
    <w:rsid w:val="00A67B37"/>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1"/>
    <w:rsid w:val="00A67B37"/>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1"/>
    <w:rsid w:val="00A67B37"/>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rsid w:val="00A67B37"/>
    <w:pPr>
      <w:spacing w:before="120" w:after="120" w:line="240" w:lineRule="auto"/>
      <w:ind w:left="1417" w:hanging="567"/>
      <w:jc w:val="both"/>
    </w:pPr>
    <w:rPr>
      <w:rFonts w:eastAsia="Times New Roman" w:cs="Times New Roman"/>
      <w:szCs w:val="24"/>
    </w:rPr>
  </w:style>
  <w:style w:type="paragraph" w:customStyle="1" w:styleId="ManualHeading3">
    <w:name w:val="Manual Heading 3"/>
    <w:basedOn w:val="Normal"/>
    <w:next w:val="Text1"/>
    <w:rsid w:val="00A67B37"/>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1"/>
    <w:rsid w:val="00A67B37"/>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rsid w:val="00A67B37"/>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rsid w:val="00A67B37"/>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rsid w:val="00A67B37"/>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rsid w:val="00A67B37"/>
    <w:pPr>
      <w:spacing w:before="120" w:after="120" w:line="240" w:lineRule="auto"/>
      <w:jc w:val="center"/>
    </w:pPr>
    <w:rPr>
      <w:rFonts w:eastAsia="Times New Roman" w:cs="Times New Roman"/>
      <w:b/>
      <w:szCs w:val="24"/>
    </w:rPr>
  </w:style>
  <w:style w:type="character" w:customStyle="1" w:styleId="Marker">
    <w:name w:val="Marker"/>
    <w:rsid w:val="00A67B37"/>
    <w:rPr>
      <w:color w:val="0000FF"/>
      <w:shd w:val="clear" w:color="auto" w:fill="auto"/>
    </w:rPr>
  </w:style>
  <w:style w:type="character" w:customStyle="1" w:styleId="Marker1">
    <w:name w:val="Marker1"/>
    <w:rsid w:val="00A67B37"/>
    <w:rPr>
      <w:color w:val="008000"/>
      <w:shd w:val="clear" w:color="auto" w:fill="auto"/>
    </w:rPr>
  </w:style>
  <w:style w:type="character" w:customStyle="1" w:styleId="Marker2">
    <w:name w:val="Marker2"/>
    <w:rsid w:val="00A67B37"/>
    <w:rPr>
      <w:color w:val="FF0000"/>
      <w:shd w:val="clear" w:color="auto" w:fill="auto"/>
    </w:rPr>
  </w:style>
  <w:style w:type="paragraph" w:styleId="TOCHeading">
    <w:name w:val="TOC Heading"/>
    <w:basedOn w:val="Normal"/>
    <w:next w:val="Normal"/>
    <w:link w:val="TOCHeadingChar"/>
    <w:uiPriority w:val="39"/>
    <w:qFormat/>
    <w:rsid w:val="00A67B37"/>
    <w:pPr>
      <w:spacing w:before="120" w:after="240" w:line="240" w:lineRule="auto"/>
      <w:jc w:val="center"/>
    </w:pPr>
    <w:rPr>
      <w:rFonts w:eastAsia="Times New Roman" w:cs="Times New Roman"/>
      <w:b/>
      <w:sz w:val="28"/>
      <w:szCs w:val="24"/>
    </w:rPr>
  </w:style>
  <w:style w:type="paragraph" w:customStyle="1" w:styleId="Point0number">
    <w:name w:val="Point 0 (number)"/>
    <w:basedOn w:val="Normal"/>
    <w:rsid w:val="00A67B37"/>
    <w:pPr>
      <w:numPr>
        <w:numId w:val="41"/>
      </w:numPr>
      <w:spacing w:before="120" w:after="120" w:line="240" w:lineRule="auto"/>
      <w:jc w:val="both"/>
    </w:pPr>
    <w:rPr>
      <w:rFonts w:eastAsia="Times New Roman" w:cs="Times New Roman"/>
      <w:szCs w:val="24"/>
    </w:rPr>
  </w:style>
  <w:style w:type="paragraph" w:customStyle="1" w:styleId="Point1number">
    <w:name w:val="Point 1 (number)"/>
    <w:basedOn w:val="Normal"/>
    <w:rsid w:val="00A67B37"/>
    <w:pPr>
      <w:numPr>
        <w:ilvl w:val="2"/>
        <w:numId w:val="41"/>
      </w:numPr>
      <w:spacing w:before="120" w:after="120" w:line="240" w:lineRule="auto"/>
      <w:jc w:val="both"/>
    </w:pPr>
    <w:rPr>
      <w:rFonts w:eastAsia="Times New Roman" w:cs="Times New Roman"/>
      <w:szCs w:val="24"/>
    </w:rPr>
  </w:style>
  <w:style w:type="paragraph" w:customStyle="1" w:styleId="Point2number">
    <w:name w:val="Point 2 (number)"/>
    <w:basedOn w:val="Normal"/>
    <w:rsid w:val="00A67B37"/>
    <w:pPr>
      <w:numPr>
        <w:ilvl w:val="4"/>
        <w:numId w:val="41"/>
      </w:numPr>
      <w:spacing w:before="120" w:after="120" w:line="240" w:lineRule="auto"/>
      <w:jc w:val="both"/>
    </w:pPr>
    <w:rPr>
      <w:rFonts w:eastAsia="Times New Roman" w:cs="Times New Roman"/>
      <w:szCs w:val="24"/>
    </w:rPr>
  </w:style>
  <w:style w:type="paragraph" w:customStyle="1" w:styleId="Point3number">
    <w:name w:val="Point 3 (number)"/>
    <w:basedOn w:val="Normal"/>
    <w:rsid w:val="00A67B37"/>
    <w:pPr>
      <w:numPr>
        <w:ilvl w:val="6"/>
        <w:numId w:val="41"/>
      </w:numPr>
      <w:spacing w:before="120" w:after="120" w:line="240" w:lineRule="auto"/>
      <w:jc w:val="both"/>
    </w:pPr>
    <w:rPr>
      <w:rFonts w:eastAsia="Times New Roman" w:cs="Times New Roman"/>
      <w:szCs w:val="24"/>
    </w:rPr>
  </w:style>
  <w:style w:type="paragraph" w:customStyle="1" w:styleId="Point0letter">
    <w:name w:val="Point 0 (letter)"/>
    <w:basedOn w:val="Normal"/>
    <w:rsid w:val="00A67B37"/>
    <w:pPr>
      <w:numPr>
        <w:ilvl w:val="1"/>
        <w:numId w:val="41"/>
      </w:numPr>
      <w:spacing w:before="120" w:after="120" w:line="240" w:lineRule="auto"/>
      <w:jc w:val="both"/>
    </w:pPr>
    <w:rPr>
      <w:rFonts w:eastAsia="Times New Roman" w:cs="Times New Roman"/>
      <w:szCs w:val="24"/>
    </w:rPr>
  </w:style>
  <w:style w:type="paragraph" w:customStyle="1" w:styleId="Point1letter">
    <w:name w:val="Point 1 (letter)"/>
    <w:basedOn w:val="Normal"/>
    <w:rsid w:val="00A67B37"/>
    <w:pPr>
      <w:numPr>
        <w:ilvl w:val="3"/>
        <w:numId w:val="41"/>
      </w:numPr>
      <w:spacing w:before="120" w:after="120" w:line="240" w:lineRule="auto"/>
      <w:jc w:val="both"/>
    </w:pPr>
    <w:rPr>
      <w:rFonts w:eastAsia="Times New Roman" w:cs="Times New Roman"/>
      <w:szCs w:val="24"/>
    </w:rPr>
  </w:style>
  <w:style w:type="paragraph" w:customStyle="1" w:styleId="Point2letter">
    <w:name w:val="Point 2 (letter)"/>
    <w:basedOn w:val="Normal"/>
    <w:rsid w:val="00A67B37"/>
    <w:pPr>
      <w:numPr>
        <w:ilvl w:val="5"/>
        <w:numId w:val="41"/>
      </w:numPr>
      <w:spacing w:before="120" w:after="120" w:line="240" w:lineRule="auto"/>
      <w:jc w:val="both"/>
    </w:pPr>
    <w:rPr>
      <w:rFonts w:eastAsia="Times New Roman" w:cs="Times New Roman"/>
      <w:szCs w:val="24"/>
    </w:rPr>
  </w:style>
  <w:style w:type="paragraph" w:customStyle="1" w:styleId="Point3letter">
    <w:name w:val="Point 3 (letter)"/>
    <w:basedOn w:val="Normal"/>
    <w:rsid w:val="00A67B37"/>
    <w:pPr>
      <w:numPr>
        <w:ilvl w:val="7"/>
        <w:numId w:val="41"/>
      </w:numPr>
      <w:spacing w:before="120" w:after="120" w:line="240" w:lineRule="auto"/>
      <w:jc w:val="both"/>
    </w:pPr>
    <w:rPr>
      <w:rFonts w:eastAsia="Times New Roman" w:cs="Times New Roman"/>
      <w:szCs w:val="24"/>
    </w:rPr>
  </w:style>
  <w:style w:type="paragraph" w:customStyle="1" w:styleId="Point4letter">
    <w:name w:val="Point 4 (letter)"/>
    <w:basedOn w:val="Normal"/>
    <w:rsid w:val="00A67B37"/>
    <w:pPr>
      <w:numPr>
        <w:ilvl w:val="8"/>
        <w:numId w:val="41"/>
      </w:numPr>
      <w:spacing w:before="120" w:after="120" w:line="240" w:lineRule="auto"/>
      <w:jc w:val="both"/>
    </w:pPr>
    <w:rPr>
      <w:rFonts w:eastAsia="Times New Roman" w:cs="Times New Roman"/>
      <w:szCs w:val="24"/>
    </w:rPr>
  </w:style>
  <w:style w:type="paragraph" w:customStyle="1" w:styleId="Bullet0">
    <w:name w:val="Bullet 0"/>
    <w:basedOn w:val="Normal"/>
    <w:rsid w:val="00A67B37"/>
    <w:pPr>
      <w:numPr>
        <w:numId w:val="42"/>
      </w:numPr>
      <w:spacing w:before="120" w:after="120" w:line="240" w:lineRule="auto"/>
      <w:jc w:val="both"/>
    </w:pPr>
    <w:rPr>
      <w:rFonts w:eastAsia="Times New Roman" w:cs="Times New Roman"/>
      <w:szCs w:val="24"/>
    </w:rPr>
  </w:style>
  <w:style w:type="paragraph" w:customStyle="1" w:styleId="Bullet2">
    <w:name w:val="Bullet 2"/>
    <w:basedOn w:val="Normal"/>
    <w:rsid w:val="00A67B37"/>
    <w:pPr>
      <w:numPr>
        <w:numId w:val="43"/>
      </w:numPr>
      <w:spacing w:before="120" w:after="120" w:line="240" w:lineRule="auto"/>
      <w:jc w:val="both"/>
    </w:pPr>
    <w:rPr>
      <w:rFonts w:eastAsia="Times New Roman" w:cs="Times New Roman"/>
      <w:szCs w:val="24"/>
    </w:rPr>
  </w:style>
  <w:style w:type="paragraph" w:customStyle="1" w:styleId="Bullet3">
    <w:name w:val="Bullet 3"/>
    <w:basedOn w:val="Normal"/>
    <w:rsid w:val="00A67B37"/>
    <w:pPr>
      <w:numPr>
        <w:numId w:val="44"/>
      </w:numPr>
      <w:spacing w:before="120" w:after="120" w:line="240" w:lineRule="auto"/>
      <w:jc w:val="both"/>
    </w:pPr>
    <w:rPr>
      <w:rFonts w:eastAsia="Times New Roman" w:cs="Times New Roman"/>
      <w:szCs w:val="24"/>
    </w:rPr>
  </w:style>
  <w:style w:type="paragraph" w:customStyle="1" w:styleId="Bullet4">
    <w:name w:val="Bullet 4"/>
    <w:basedOn w:val="Normal"/>
    <w:rsid w:val="00A67B37"/>
    <w:pPr>
      <w:numPr>
        <w:numId w:val="45"/>
      </w:numPr>
      <w:spacing w:before="120" w:after="120" w:line="240" w:lineRule="auto"/>
      <w:jc w:val="both"/>
    </w:pPr>
    <w:rPr>
      <w:rFonts w:eastAsia="Times New Roman" w:cs="Times New Roman"/>
      <w:szCs w:val="24"/>
    </w:rPr>
  </w:style>
  <w:style w:type="paragraph" w:customStyle="1" w:styleId="Annexetitreexpos">
    <w:name w:val="Annexe titre (exposé)"/>
    <w:basedOn w:val="Normal"/>
    <w:next w:val="Normal"/>
    <w:rsid w:val="00A67B37"/>
    <w:pPr>
      <w:spacing w:before="120" w:after="120" w:line="240" w:lineRule="auto"/>
      <w:jc w:val="center"/>
    </w:pPr>
    <w:rPr>
      <w:rFonts w:eastAsia="Times New Roman" w:cs="Times New Roman"/>
      <w:b/>
      <w:szCs w:val="24"/>
      <w:u w:val="single"/>
    </w:rPr>
  </w:style>
  <w:style w:type="paragraph" w:customStyle="1" w:styleId="Annexetitre">
    <w:name w:val="Annexe titre"/>
    <w:basedOn w:val="Normal"/>
    <w:next w:val="Normal"/>
    <w:rsid w:val="00A67B37"/>
    <w:pPr>
      <w:spacing w:before="120" w:after="120" w:line="240" w:lineRule="auto"/>
      <w:jc w:val="center"/>
    </w:pPr>
    <w:rPr>
      <w:rFonts w:eastAsia="Times New Roman" w:cs="Times New Roman"/>
      <w:b/>
      <w:szCs w:val="24"/>
      <w:u w:val="single"/>
    </w:rPr>
  </w:style>
  <w:style w:type="paragraph" w:customStyle="1" w:styleId="Annexetitrefichefinancire">
    <w:name w:val="Annexe titre (fiche financière)"/>
    <w:basedOn w:val="Normal"/>
    <w:next w:val="Normal"/>
    <w:rsid w:val="00A67B37"/>
    <w:pPr>
      <w:spacing w:before="120" w:after="120" w:line="240" w:lineRule="auto"/>
      <w:jc w:val="center"/>
    </w:pPr>
    <w:rPr>
      <w:rFonts w:eastAsia="Times New Roman" w:cs="Times New Roman"/>
      <w:b/>
      <w:szCs w:val="24"/>
      <w:u w:val="single"/>
    </w:rPr>
  </w:style>
  <w:style w:type="paragraph" w:customStyle="1" w:styleId="Applicationdirecte">
    <w:name w:val="Application directe"/>
    <w:basedOn w:val="Normal"/>
    <w:next w:val="Fait"/>
    <w:rsid w:val="00A67B37"/>
    <w:pPr>
      <w:spacing w:before="480" w:after="120" w:line="240" w:lineRule="auto"/>
      <w:jc w:val="both"/>
    </w:pPr>
    <w:rPr>
      <w:rFonts w:eastAsia="Times New Roman" w:cs="Times New Roman"/>
      <w:szCs w:val="24"/>
    </w:rPr>
  </w:style>
  <w:style w:type="paragraph" w:customStyle="1" w:styleId="Fait">
    <w:name w:val="Fait à"/>
    <w:basedOn w:val="Normal"/>
    <w:next w:val="Institutionquisigne"/>
    <w:rsid w:val="00A67B37"/>
    <w:pPr>
      <w:keepNext/>
      <w:spacing w:before="120" w:after="0" w:line="240" w:lineRule="auto"/>
      <w:jc w:val="both"/>
    </w:pPr>
    <w:rPr>
      <w:rFonts w:eastAsia="Times New Roman" w:cs="Times New Roman"/>
      <w:szCs w:val="24"/>
    </w:rPr>
  </w:style>
  <w:style w:type="paragraph" w:customStyle="1" w:styleId="Institutionquisigne">
    <w:name w:val="Institution qui signe"/>
    <w:basedOn w:val="Normal"/>
    <w:next w:val="Personnequisigne"/>
    <w:rsid w:val="00A67B37"/>
    <w:pPr>
      <w:keepNext/>
      <w:tabs>
        <w:tab w:val="left" w:pos="4252"/>
      </w:tabs>
      <w:spacing w:before="720" w:after="0" w:line="240" w:lineRule="auto"/>
      <w:jc w:val="both"/>
    </w:pPr>
    <w:rPr>
      <w:rFonts w:eastAsia="Times New Roman" w:cs="Times New Roman"/>
      <w:i/>
      <w:szCs w:val="24"/>
    </w:rPr>
  </w:style>
  <w:style w:type="paragraph" w:customStyle="1" w:styleId="Personnequisigne">
    <w:name w:val="Personne qui signe"/>
    <w:basedOn w:val="Normal"/>
    <w:next w:val="Institutionquisigne"/>
    <w:rsid w:val="00A67B37"/>
    <w:pPr>
      <w:tabs>
        <w:tab w:val="left" w:pos="4252"/>
      </w:tabs>
      <w:spacing w:after="0" w:line="240" w:lineRule="auto"/>
    </w:pPr>
    <w:rPr>
      <w:rFonts w:eastAsia="Times New Roman" w:cs="Times New Roman"/>
      <w:i/>
      <w:szCs w:val="24"/>
    </w:rPr>
  </w:style>
  <w:style w:type="paragraph" w:customStyle="1" w:styleId="Avertissementtitre">
    <w:name w:val="Avertissement titre"/>
    <w:basedOn w:val="Normal"/>
    <w:next w:val="Normal"/>
    <w:rsid w:val="00A67B37"/>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rsid w:val="00A67B37"/>
    <w:pPr>
      <w:spacing w:before="360" w:after="120" w:line="240" w:lineRule="auto"/>
      <w:jc w:val="center"/>
    </w:pPr>
    <w:rPr>
      <w:rFonts w:eastAsia="Times New Roman" w:cs="Times New Roman"/>
      <w:szCs w:val="24"/>
    </w:rPr>
  </w:style>
  <w:style w:type="paragraph" w:customStyle="1" w:styleId="Confidentialit">
    <w:name w:val="Confidentialité"/>
    <w:basedOn w:val="Normal"/>
    <w:next w:val="TypedudocumentPagedecouverture"/>
    <w:rsid w:val="00A67B37"/>
    <w:pPr>
      <w:spacing w:before="240" w:after="240" w:line="240" w:lineRule="auto"/>
      <w:ind w:left="5103"/>
      <w:jc w:val="both"/>
    </w:pPr>
    <w:rPr>
      <w:rFonts w:eastAsia="Times New Roman" w:cs="Times New Roman"/>
      <w:i/>
      <w:sz w:val="32"/>
      <w:szCs w:val="24"/>
    </w:rPr>
  </w:style>
  <w:style w:type="paragraph" w:customStyle="1" w:styleId="TypedudocumentPagedecouverture">
    <w:name w:val="Type du document (Page de couverture)"/>
    <w:basedOn w:val="Typedudocument"/>
    <w:next w:val="TitreobjetPagedecouverture"/>
    <w:rsid w:val="00A67B37"/>
  </w:style>
  <w:style w:type="paragraph" w:customStyle="1" w:styleId="Typedudocument">
    <w:name w:val="Type du document"/>
    <w:basedOn w:val="Normal"/>
    <w:next w:val="Titreobjet"/>
    <w:rsid w:val="00A67B37"/>
    <w:pPr>
      <w:spacing w:before="360" w:after="0" w:line="240" w:lineRule="auto"/>
      <w:jc w:val="center"/>
    </w:pPr>
    <w:rPr>
      <w:rFonts w:eastAsia="Times New Roman" w:cs="Times New Roman"/>
      <w:b/>
      <w:szCs w:val="24"/>
    </w:rPr>
  </w:style>
  <w:style w:type="paragraph" w:customStyle="1" w:styleId="Titreobjet">
    <w:name w:val="Titre objet"/>
    <w:basedOn w:val="Normal"/>
    <w:next w:val="Sous-titreobjet"/>
    <w:rsid w:val="00A67B37"/>
    <w:pPr>
      <w:spacing w:before="360" w:after="360" w:line="240" w:lineRule="auto"/>
      <w:jc w:val="center"/>
    </w:pPr>
    <w:rPr>
      <w:rFonts w:eastAsia="Times New Roman" w:cs="Times New Roman"/>
      <w:b/>
      <w:szCs w:val="24"/>
    </w:rPr>
  </w:style>
  <w:style w:type="paragraph" w:customStyle="1" w:styleId="Sous-titreobjet">
    <w:name w:val="Sous-titre objet"/>
    <w:basedOn w:val="Normal"/>
    <w:rsid w:val="00A67B37"/>
    <w:pPr>
      <w:spacing w:after="0" w:line="240" w:lineRule="auto"/>
      <w:jc w:val="center"/>
    </w:pPr>
    <w:rPr>
      <w:rFonts w:eastAsia="Times New Roman" w:cs="Times New Roman"/>
      <w:b/>
      <w:szCs w:val="24"/>
    </w:rPr>
  </w:style>
  <w:style w:type="paragraph" w:customStyle="1" w:styleId="TitreobjetPagedecouverture">
    <w:name w:val="Titre objet (Page de couverture)"/>
    <w:basedOn w:val="Titreobjet"/>
    <w:next w:val="Sous-titreobjetPagedecouverture"/>
    <w:rsid w:val="00A67B37"/>
  </w:style>
  <w:style w:type="paragraph" w:customStyle="1" w:styleId="Sous-titreobjetPagedecouverture">
    <w:name w:val="Sous-titre objet (Page de couverture)"/>
    <w:basedOn w:val="Sous-titreobjet"/>
    <w:rsid w:val="00A67B37"/>
  </w:style>
  <w:style w:type="paragraph" w:customStyle="1" w:styleId="Considrant">
    <w:name w:val="Considérant"/>
    <w:basedOn w:val="Normal"/>
    <w:rsid w:val="00A67B37"/>
    <w:pPr>
      <w:numPr>
        <w:numId w:val="46"/>
      </w:numPr>
      <w:spacing w:before="120" w:after="120" w:line="240" w:lineRule="auto"/>
      <w:jc w:val="both"/>
    </w:pPr>
    <w:rPr>
      <w:rFonts w:eastAsia="Times New Roman" w:cs="Times New Roman"/>
      <w:szCs w:val="24"/>
    </w:rPr>
  </w:style>
  <w:style w:type="paragraph" w:customStyle="1" w:styleId="Corrigendum">
    <w:name w:val="Corrigendum"/>
    <w:basedOn w:val="Normal"/>
    <w:next w:val="Normal"/>
    <w:rsid w:val="00A67B37"/>
    <w:pPr>
      <w:spacing w:after="240" w:line="240" w:lineRule="auto"/>
    </w:pPr>
    <w:rPr>
      <w:rFonts w:eastAsia="Times New Roman" w:cs="Times New Roman"/>
      <w:szCs w:val="24"/>
    </w:rPr>
  </w:style>
  <w:style w:type="paragraph" w:customStyle="1" w:styleId="Datedadoption">
    <w:name w:val="Date d'adoption"/>
    <w:basedOn w:val="Normal"/>
    <w:next w:val="Titreobjet"/>
    <w:rsid w:val="00A67B37"/>
    <w:pPr>
      <w:spacing w:before="360" w:after="0" w:line="240" w:lineRule="auto"/>
      <w:jc w:val="center"/>
    </w:pPr>
    <w:rPr>
      <w:rFonts w:eastAsia="Times New Roman" w:cs="Times New Roman"/>
      <w:b/>
      <w:szCs w:val="24"/>
    </w:rPr>
  </w:style>
  <w:style w:type="paragraph" w:customStyle="1" w:styleId="Emission">
    <w:name w:val="Emission"/>
    <w:basedOn w:val="Normal"/>
    <w:next w:val="Rfrenceinstitutionnelle"/>
    <w:rsid w:val="00A67B37"/>
    <w:pPr>
      <w:spacing w:after="0" w:line="240" w:lineRule="auto"/>
      <w:ind w:left="5103"/>
    </w:pPr>
    <w:rPr>
      <w:rFonts w:eastAsia="Times New Roman" w:cs="Times New Roman"/>
      <w:szCs w:val="24"/>
    </w:rPr>
  </w:style>
  <w:style w:type="paragraph" w:customStyle="1" w:styleId="Rfrenceinstitutionnelle">
    <w:name w:val="Référence institutionnelle"/>
    <w:basedOn w:val="Normal"/>
    <w:next w:val="Confidentialit"/>
    <w:rsid w:val="00A67B37"/>
    <w:pPr>
      <w:spacing w:after="240" w:line="240" w:lineRule="auto"/>
      <w:ind w:left="5103"/>
    </w:pPr>
    <w:rPr>
      <w:rFonts w:eastAsia="Times New Roman" w:cs="Times New Roman"/>
      <w:szCs w:val="24"/>
    </w:rPr>
  </w:style>
  <w:style w:type="paragraph" w:customStyle="1" w:styleId="Exposdesmotifstitre">
    <w:name w:val="Exposé des motifs titre"/>
    <w:basedOn w:val="Normal"/>
    <w:next w:val="Normal"/>
    <w:rsid w:val="00A67B37"/>
    <w:pPr>
      <w:spacing w:before="120" w:after="120" w:line="240" w:lineRule="auto"/>
      <w:jc w:val="center"/>
    </w:pPr>
    <w:rPr>
      <w:rFonts w:eastAsia="Times New Roman" w:cs="Times New Roman"/>
      <w:b/>
      <w:szCs w:val="24"/>
      <w:u w:val="single"/>
    </w:rPr>
  </w:style>
  <w:style w:type="paragraph" w:customStyle="1" w:styleId="Formuledadoption">
    <w:name w:val="Formule d'adoption"/>
    <w:basedOn w:val="Normal"/>
    <w:next w:val="Titrearticle"/>
    <w:rsid w:val="00A67B37"/>
    <w:pPr>
      <w:keepNext/>
      <w:spacing w:before="120" w:after="120" w:line="240" w:lineRule="auto"/>
      <w:jc w:val="both"/>
    </w:pPr>
    <w:rPr>
      <w:rFonts w:eastAsia="Times New Roman" w:cs="Times New Roman"/>
      <w:szCs w:val="24"/>
    </w:rPr>
  </w:style>
  <w:style w:type="paragraph" w:customStyle="1" w:styleId="Titrearticle">
    <w:name w:val="Titre article"/>
    <w:basedOn w:val="Normal"/>
    <w:next w:val="Normal"/>
    <w:rsid w:val="00A67B37"/>
    <w:pPr>
      <w:keepNext/>
      <w:spacing w:before="360" w:after="120" w:line="240" w:lineRule="auto"/>
      <w:jc w:val="center"/>
    </w:pPr>
    <w:rPr>
      <w:rFonts w:eastAsia="Times New Roman" w:cs="Times New Roman"/>
      <w:i/>
      <w:szCs w:val="24"/>
    </w:rPr>
  </w:style>
  <w:style w:type="paragraph" w:customStyle="1" w:styleId="Institutionquiagit">
    <w:name w:val="Institution qui agit"/>
    <w:basedOn w:val="Normal"/>
    <w:next w:val="Normal"/>
    <w:rsid w:val="00A67B37"/>
    <w:pPr>
      <w:keepNext/>
      <w:spacing w:before="600" w:after="120" w:line="240" w:lineRule="auto"/>
      <w:jc w:val="both"/>
    </w:pPr>
    <w:rPr>
      <w:rFonts w:eastAsia="Times New Roman" w:cs="Times New Roman"/>
      <w:szCs w:val="24"/>
    </w:rPr>
  </w:style>
  <w:style w:type="paragraph" w:customStyle="1" w:styleId="Langue">
    <w:name w:val="Langue"/>
    <w:basedOn w:val="Normal"/>
    <w:next w:val="Rfrenceinterne"/>
    <w:rsid w:val="00A67B37"/>
    <w:pPr>
      <w:framePr w:wrap="around" w:vAnchor="page" w:hAnchor="text" w:xAlign="center" w:y="14741"/>
      <w:spacing w:after="600" w:line="240" w:lineRule="auto"/>
      <w:jc w:val="center"/>
    </w:pPr>
    <w:rPr>
      <w:rFonts w:eastAsia="Times New Roman" w:cs="Times New Roman"/>
      <w:b/>
      <w:caps/>
      <w:szCs w:val="24"/>
    </w:rPr>
  </w:style>
  <w:style w:type="paragraph" w:customStyle="1" w:styleId="Rfrenceinterne">
    <w:name w:val="Référence interne"/>
    <w:basedOn w:val="Normal"/>
    <w:next w:val="Rfrenceinterinstitutionnelle"/>
    <w:rsid w:val="00A67B37"/>
    <w:pPr>
      <w:spacing w:after="0" w:line="240" w:lineRule="auto"/>
      <w:ind w:left="5103"/>
    </w:pPr>
    <w:rPr>
      <w:rFonts w:eastAsia="Times New Roman" w:cs="Times New Roman"/>
      <w:szCs w:val="24"/>
    </w:rPr>
  </w:style>
  <w:style w:type="paragraph" w:customStyle="1" w:styleId="Rfrenceinterinstitutionnelle">
    <w:name w:val="Référence interinstitutionnelle"/>
    <w:basedOn w:val="Normal"/>
    <w:next w:val="Statut"/>
    <w:rsid w:val="00A67B37"/>
    <w:pPr>
      <w:spacing w:after="0" w:line="240" w:lineRule="auto"/>
      <w:ind w:left="5103"/>
    </w:pPr>
    <w:rPr>
      <w:rFonts w:eastAsia="Times New Roman" w:cs="Times New Roman"/>
      <w:szCs w:val="24"/>
    </w:rPr>
  </w:style>
  <w:style w:type="paragraph" w:customStyle="1" w:styleId="Statut">
    <w:name w:val="Statut"/>
    <w:basedOn w:val="Normal"/>
    <w:next w:val="Typedudocument"/>
    <w:rsid w:val="00A67B37"/>
    <w:pPr>
      <w:spacing w:before="360" w:after="0" w:line="240" w:lineRule="auto"/>
      <w:jc w:val="center"/>
    </w:pPr>
    <w:rPr>
      <w:rFonts w:eastAsia="Times New Roman" w:cs="Times New Roman"/>
      <w:szCs w:val="24"/>
    </w:rPr>
  </w:style>
  <w:style w:type="paragraph" w:customStyle="1" w:styleId="ManualConsidrant">
    <w:name w:val="Manual Considérant"/>
    <w:basedOn w:val="Normal"/>
    <w:rsid w:val="00A67B37"/>
    <w:pPr>
      <w:spacing w:before="120" w:after="120" w:line="240" w:lineRule="auto"/>
      <w:ind w:left="709" w:hanging="709"/>
      <w:jc w:val="both"/>
    </w:pPr>
    <w:rPr>
      <w:rFonts w:eastAsia="Times New Roman" w:cs="Times New Roman"/>
      <w:szCs w:val="24"/>
    </w:rPr>
  </w:style>
  <w:style w:type="paragraph" w:customStyle="1" w:styleId="Nomdelinstitution">
    <w:name w:val="Nom de l'institution"/>
    <w:basedOn w:val="Normal"/>
    <w:next w:val="Emission"/>
    <w:rsid w:val="00A67B37"/>
    <w:pPr>
      <w:spacing w:after="0" w:line="240" w:lineRule="auto"/>
    </w:pPr>
    <w:rPr>
      <w:rFonts w:ascii="Arial" w:eastAsia="Times New Roman" w:hAnsi="Arial" w:cs="Arial"/>
      <w:szCs w:val="24"/>
    </w:rPr>
  </w:style>
  <w:style w:type="character" w:customStyle="1" w:styleId="Added">
    <w:name w:val="Added"/>
    <w:rsid w:val="00A67B37"/>
    <w:rPr>
      <w:b/>
      <w:u w:val="single"/>
      <w:shd w:val="clear" w:color="auto" w:fill="auto"/>
    </w:rPr>
  </w:style>
  <w:style w:type="character" w:customStyle="1" w:styleId="Deleted">
    <w:name w:val="Deleted"/>
    <w:rsid w:val="00A67B37"/>
    <w:rPr>
      <w:strike/>
      <w:shd w:val="clear" w:color="auto" w:fill="auto"/>
    </w:rPr>
  </w:style>
  <w:style w:type="paragraph" w:customStyle="1" w:styleId="Address">
    <w:name w:val="Address"/>
    <w:basedOn w:val="Normal"/>
    <w:next w:val="Normal"/>
    <w:rsid w:val="00A67B37"/>
    <w:pPr>
      <w:keepLines/>
      <w:spacing w:before="120" w:after="120" w:line="360" w:lineRule="auto"/>
      <w:ind w:left="3402"/>
    </w:pPr>
    <w:rPr>
      <w:rFonts w:eastAsia="Times New Roman" w:cs="Times New Roman"/>
      <w:szCs w:val="24"/>
    </w:rPr>
  </w:style>
  <w:style w:type="paragraph" w:customStyle="1" w:styleId="Objetexterne">
    <w:name w:val="Objet externe"/>
    <w:basedOn w:val="Normal"/>
    <w:next w:val="Normal"/>
    <w:rsid w:val="00A67B37"/>
    <w:pPr>
      <w:spacing w:before="120" w:after="120" w:line="240" w:lineRule="auto"/>
      <w:jc w:val="both"/>
    </w:pPr>
    <w:rPr>
      <w:rFonts w:eastAsia="Times New Roman" w:cs="Times New Roman"/>
      <w:i/>
      <w:caps/>
      <w:szCs w:val="24"/>
    </w:rPr>
  </w:style>
  <w:style w:type="paragraph" w:customStyle="1" w:styleId="Pagedecouverture">
    <w:name w:val="Page de couverture"/>
    <w:basedOn w:val="Normal"/>
    <w:next w:val="Normal"/>
    <w:rsid w:val="00A67B37"/>
    <w:pPr>
      <w:spacing w:after="0" w:line="240" w:lineRule="auto"/>
      <w:jc w:val="both"/>
    </w:pPr>
    <w:rPr>
      <w:rFonts w:eastAsia="Times New Roman" w:cs="Times New Roman"/>
      <w:szCs w:val="24"/>
    </w:rPr>
  </w:style>
  <w:style w:type="paragraph" w:customStyle="1" w:styleId="Supertitre">
    <w:name w:val="Supertitre"/>
    <w:basedOn w:val="Normal"/>
    <w:next w:val="Normal"/>
    <w:rsid w:val="00A67B37"/>
    <w:pPr>
      <w:spacing w:after="600" w:line="240" w:lineRule="auto"/>
      <w:jc w:val="center"/>
    </w:pPr>
    <w:rPr>
      <w:rFonts w:eastAsia="Times New Roman" w:cs="Times New Roman"/>
      <w:b/>
      <w:szCs w:val="24"/>
    </w:rPr>
  </w:style>
  <w:style w:type="paragraph" w:customStyle="1" w:styleId="Languesfaisantfoi">
    <w:name w:val="Langues faisant foi"/>
    <w:basedOn w:val="Normal"/>
    <w:next w:val="Normal"/>
    <w:rsid w:val="00A67B37"/>
    <w:pPr>
      <w:spacing w:before="360" w:after="0" w:line="240" w:lineRule="auto"/>
      <w:jc w:val="center"/>
    </w:pPr>
    <w:rPr>
      <w:rFonts w:eastAsia="Times New Roman" w:cs="Times New Roman"/>
      <w:szCs w:val="24"/>
    </w:rPr>
  </w:style>
  <w:style w:type="paragraph" w:customStyle="1" w:styleId="Rfrencecroise">
    <w:name w:val="Référence croisée"/>
    <w:basedOn w:val="Normal"/>
    <w:rsid w:val="00A67B37"/>
    <w:pPr>
      <w:spacing w:after="0" w:line="240" w:lineRule="auto"/>
      <w:jc w:val="center"/>
    </w:pPr>
    <w:rPr>
      <w:rFonts w:eastAsia="Times New Roman" w:cs="Times New Roman"/>
      <w:szCs w:val="24"/>
    </w:rPr>
  </w:style>
  <w:style w:type="paragraph" w:customStyle="1" w:styleId="Fichefinanciretitre">
    <w:name w:val="Fiche financière titre"/>
    <w:basedOn w:val="Normal"/>
    <w:next w:val="Normal"/>
    <w:rsid w:val="00A67B37"/>
    <w:pPr>
      <w:spacing w:before="120" w:after="120" w:line="240" w:lineRule="auto"/>
      <w:jc w:val="center"/>
    </w:pPr>
    <w:rPr>
      <w:rFonts w:eastAsia="Times New Roman" w:cs="Times New Roman"/>
      <w:b/>
      <w:szCs w:val="24"/>
      <w:u w:val="single"/>
    </w:rPr>
  </w:style>
  <w:style w:type="paragraph" w:customStyle="1" w:styleId="DatedadoptionPagedecouverture">
    <w:name w:val="Date d'adoption (Page de couverture)"/>
    <w:basedOn w:val="Datedadoption"/>
    <w:next w:val="TitreobjetPagedecouverture"/>
    <w:rsid w:val="00A67B37"/>
  </w:style>
  <w:style w:type="paragraph" w:customStyle="1" w:styleId="RfrenceinterinstitutionnellePagedecouverture">
    <w:name w:val="Référence interinstitutionnelle (Page de couverture)"/>
    <w:basedOn w:val="Rfrenceinterinstitutionnelle"/>
    <w:next w:val="Confidentialit"/>
    <w:rsid w:val="00A67B37"/>
  </w:style>
  <w:style w:type="paragraph" w:customStyle="1" w:styleId="StatutPagedecouverture">
    <w:name w:val="Statut (Page de couverture)"/>
    <w:basedOn w:val="Statut"/>
    <w:next w:val="TypedudocumentPagedecouverture"/>
    <w:rsid w:val="00A67B37"/>
  </w:style>
  <w:style w:type="paragraph" w:customStyle="1" w:styleId="Volume">
    <w:name w:val="Volume"/>
    <w:basedOn w:val="Normal"/>
    <w:next w:val="Confidentialit"/>
    <w:rsid w:val="00A67B37"/>
    <w:pPr>
      <w:spacing w:after="240" w:line="240" w:lineRule="auto"/>
      <w:ind w:left="5103"/>
    </w:pPr>
    <w:rPr>
      <w:rFonts w:eastAsia="Times New Roman" w:cs="Times New Roman"/>
      <w:szCs w:val="24"/>
    </w:rPr>
  </w:style>
  <w:style w:type="paragraph" w:customStyle="1" w:styleId="IntrtEEE">
    <w:name w:val="Intérêt EEE"/>
    <w:basedOn w:val="Languesfaisantfoi"/>
    <w:next w:val="Normal"/>
    <w:rsid w:val="00A67B37"/>
    <w:pPr>
      <w:spacing w:after="240"/>
    </w:pPr>
  </w:style>
  <w:style w:type="paragraph" w:customStyle="1" w:styleId="Accompagnant">
    <w:name w:val="Accompagnant"/>
    <w:basedOn w:val="Normal"/>
    <w:next w:val="Typeacteprincipal"/>
    <w:rsid w:val="00A67B37"/>
    <w:pPr>
      <w:spacing w:after="240" w:line="240" w:lineRule="auto"/>
      <w:jc w:val="center"/>
    </w:pPr>
    <w:rPr>
      <w:rFonts w:eastAsia="Times New Roman" w:cs="Times New Roman"/>
      <w:b/>
      <w:i/>
      <w:szCs w:val="24"/>
    </w:rPr>
  </w:style>
  <w:style w:type="paragraph" w:customStyle="1" w:styleId="Typeacteprincipal">
    <w:name w:val="Type acte principal"/>
    <w:basedOn w:val="Normal"/>
    <w:next w:val="Objetacteprincipal"/>
    <w:rsid w:val="00A67B37"/>
    <w:pPr>
      <w:spacing w:after="240" w:line="240" w:lineRule="auto"/>
      <w:jc w:val="center"/>
    </w:pPr>
    <w:rPr>
      <w:rFonts w:eastAsia="Times New Roman" w:cs="Times New Roman"/>
      <w:b/>
      <w:szCs w:val="24"/>
    </w:rPr>
  </w:style>
  <w:style w:type="paragraph" w:customStyle="1" w:styleId="Objetacteprincipal">
    <w:name w:val="Objet acte principal"/>
    <w:basedOn w:val="Normal"/>
    <w:next w:val="Titrearticle"/>
    <w:rsid w:val="00A67B37"/>
    <w:pPr>
      <w:spacing w:after="360" w:line="240" w:lineRule="auto"/>
      <w:jc w:val="center"/>
    </w:pPr>
    <w:rPr>
      <w:rFonts w:eastAsia="Times New Roman" w:cs="Times New Roman"/>
      <w:b/>
      <w:szCs w:val="24"/>
    </w:rPr>
  </w:style>
  <w:style w:type="paragraph" w:customStyle="1" w:styleId="IntrtEEEPagedecouverture">
    <w:name w:val="Intérêt EEE (Page de couverture)"/>
    <w:basedOn w:val="IntrtEEE"/>
    <w:next w:val="Rfrencecroise"/>
    <w:rsid w:val="00A67B37"/>
  </w:style>
  <w:style w:type="paragraph" w:customStyle="1" w:styleId="AccompagnantPagedecouverture">
    <w:name w:val="Accompagnant (Page de couverture)"/>
    <w:basedOn w:val="Accompagnant"/>
    <w:next w:val="TypeacteprincipalPagedecouverture"/>
    <w:rsid w:val="00A67B37"/>
  </w:style>
  <w:style w:type="paragraph" w:customStyle="1" w:styleId="TypeacteprincipalPagedecouverture">
    <w:name w:val="Type acte principal (Page de couverture)"/>
    <w:basedOn w:val="Typeacteprincipal"/>
    <w:next w:val="ObjetacteprincipalPagedecouverture"/>
    <w:rsid w:val="00A67B37"/>
  </w:style>
  <w:style w:type="paragraph" w:customStyle="1" w:styleId="ObjetacteprincipalPagedecouverture">
    <w:name w:val="Objet acte principal (Page de couverture)"/>
    <w:basedOn w:val="Objetacteprincipal"/>
    <w:next w:val="Rfrencecroise"/>
    <w:rsid w:val="00A67B37"/>
  </w:style>
  <w:style w:type="paragraph" w:customStyle="1" w:styleId="LanguesfaisantfoiPagedecouverture">
    <w:name w:val="Langues faisant foi (Page de couverture)"/>
    <w:basedOn w:val="Normal"/>
    <w:next w:val="Normal"/>
    <w:rsid w:val="00A67B37"/>
    <w:pPr>
      <w:spacing w:before="360" w:after="0" w:line="240" w:lineRule="auto"/>
      <w:jc w:val="center"/>
    </w:pPr>
    <w:rPr>
      <w:rFonts w:eastAsia="Times New Roman" w:cs="Times New Roman"/>
      <w:szCs w:val="24"/>
    </w:rPr>
  </w:style>
  <w:style w:type="paragraph" w:styleId="ListBullet2">
    <w:name w:val="List Bullet 2"/>
    <w:basedOn w:val="Normal"/>
    <w:rsid w:val="00A67B37"/>
    <w:pPr>
      <w:numPr>
        <w:numId w:val="54"/>
      </w:numPr>
      <w:tabs>
        <w:tab w:val="clear" w:pos="1560"/>
        <w:tab w:val="num" w:pos="1134"/>
      </w:tabs>
      <w:spacing w:before="120" w:after="120" w:line="240" w:lineRule="auto"/>
      <w:ind w:left="1134" w:hanging="283"/>
      <w:jc w:val="both"/>
    </w:pPr>
    <w:rPr>
      <w:rFonts w:eastAsia="Times New Roman" w:cs="Times New Roman"/>
      <w:szCs w:val="24"/>
      <w:lang w:eastAsia="de-DE"/>
    </w:rPr>
  </w:style>
  <w:style w:type="paragraph" w:styleId="ListBullet3">
    <w:name w:val="List Bullet 3"/>
    <w:basedOn w:val="Normal"/>
    <w:rsid w:val="00A67B37"/>
    <w:pPr>
      <w:numPr>
        <w:numId w:val="55"/>
      </w:numPr>
      <w:tabs>
        <w:tab w:val="clear" w:pos="1560"/>
        <w:tab w:val="num" w:pos="1134"/>
      </w:tabs>
      <w:spacing w:before="120" w:after="120" w:line="240" w:lineRule="auto"/>
      <w:ind w:left="1134" w:hanging="283"/>
      <w:jc w:val="both"/>
    </w:pPr>
    <w:rPr>
      <w:rFonts w:eastAsia="Times New Roman" w:cs="Times New Roman"/>
      <w:szCs w:val="24"/>
      <w:lang w:eastAsia="de-DE"/>
    </w:rPr>
  </w:style>
  <w:style w:type="paragraph" w:styleId="ListBullet4">
    <w:name w:val="List Bullet 4"/>
    <w:basedOn w:val="Normal"/>
    <w:rsid w:val="00A67B37"/>
    <w:pPr>
      <w:numPr>
        <w:numId w:val="56"/>
      </w:numPr>
      <w:tabs>
        <w:tab w:val="clear" w:pos="1560"/>
        <w:tab w:val="num" w:pos="1134"/>
      </w:tabs>
      <w:spacing w:before="120" w:after="120" w:line="240" w:lineRule="auto"/>
      <w:ind w:left="1134" w:hanging="283"/>
      <w:jc w:val="both"/>
    </w:pPr>
    <w:rPr>
      <w:rFonts w:eastAsia="Times New Roman" w:cs="Times New Roman"/>
      <w:szCs w:val="24"/>
      <w:lang w:eastAsia="de-DE"/>
    </w:rPr>
  </w:style>
  <w:style w:type="paragraph" w:customStyle="1" w:styleId="ListBullet1">
    <w:name w:val="List Bullet 1"/>
    <w:basedOn w:val="Normal"/>
    <w:rsid w:val="00A67B37"/>
    <w:pPr>
      <w:numPr>
        <w:numId w:val="47"/>
      </w:numPr>
      <w:spacing w:before="120" w:after="120" w:line="240" w:lineRule="auto"/>
      <w:jc w:val="both"/>
    </w:pPr>
    <w:rPr>
      <w:rFonts w:eastAsia="Times New Roman" w:cs="Times New Roman"/>
      <w:szCs w:val="24"/>
      <w:lang w:eastAsia="de-DE"/>
    </w:rPr>
  </w:style>
  <w:style w:type="paragraph" w:customStyle="1" w:styleId="ListDash">
    <w:name w:val="List Dash"/>
    <w:basedOn w:val="Normal"/>
    <w:rsid w:val="00A67B37"/>
    <w:pPr>
      <w:numPr>
        <w:numId w:val="48"/>
      </w:numPr>
      <w:spacing w:before="120" w:after="120" w:line="240" w:lineRule="auto"/>
      <w:jc w:val="both"/>
    </w:pPr>
    <w:rPr>
      <w:rFonts w:eastAsia="Times New Roman" w:cs="Times New Roman"/>
      <w:szCs w:val="24"/>
      <w:lang w:eastAsia="de-DE"/>
    </w:rPr>
  </w:style>
  <w:style w:type="paragraph" w:customStyle="1" w:styleId="ListDash1">
    <w:name w:val="List Dash 1"/>
    <w:basedOn w:val="Normal"/>
    <w:rsid w:val="00A67B37"/>
    <w:pPr>
      <w:numPr>
        <w:numId w:val="49"/>
      </w:numPr>
      <w:spacing w:before="120" w:after="120" w:line="240" w:lineRule="auto"/>
      <w:jc w:val="both"/>
    </w:pPr>
    <w:rPr>
      <w:rFonts w:eastAsia="Times New Roman" w:cs="Times New Roman"/>
      <w:szCs w:val="24"/>
      <w:lang w:eastAsia="de-DE"/>
    </w:rPr>
  </w:style>
  <w:style w:type="paragraph" w:customStyle="1" w:styleId="ListDash2">
    <w:name w:val="List Dash 2"/>
    <w:basedOn w:val="Normal"/>
    <w:rsid w:val="00A67B37"/>
    <w:pPr>
      <w:numPr>
        <w:numId w:val="50"/>
      </w:numPr>
      <w:spacing w:before="120" w:after="120" w:line="240" w:lineRule="auto"/>
      <w:jc w:val="both"/>
    </w:pPr>
    <w:rPr>
      <w:rFonts w:eastAsia="Times New Roman" w:cs="Times New Roman"/>
      <w:szCs w:val="24"/>
      <w:lang w:eastAsia="de-DE"/>
    </w:rPr>
  </w:style>
  <w:style w:type="paragraph" w:customStyle="1" w:styleId="ListDash3">
    <w:name w:val="List Dash 3"/>
    <w:basedOn w:val="Normal"/>
    <w:rsid w:val="00A67B37"/>
    <w:pPr>
      <w:numPr>
        <w:numId w:val="51"/>
      </w:numPr>
      <w:spacing w:before="120" w:after="120" w:line="240" w:lineRule="auto"/>
      <w:jc w:val="both"/>
    </w:pPr>
    <w:rPr>
      <w:rFonts w:eastAsia="Times New Roman" w:cs="Times New Roman"/>
      <w:szCs w:val="24"/>
      <w:lang w:eastAsia="de-DE"/>
    </w:rPr>
  </w:style>
  <w:style w:type="paragraph" w:customStyle="1" w:styleId="ListDash4">
    <w:name w:val="List Dash 4"/>
    <w:basedOn w:val="Normal"/>
    <w:rsid w:val="00A67B37"/>
    <w:pPr>
      <w:numPr>
        <w:numId w:val="52"/>
      </w:numPr>
      <w:spacing w:before="120" w:after="120" w:line="240" w:lineRule="auto"/>
      <w:jc w:val="both"/>
    </w:pPr>
    <w:rPr>
      <w:rFonts w:eastAsia="Times New Roman" w:cs="Times New Roman"/>
      <w:szCs w:val="24"/>
      <w:lang w:eastAsia="de-DE"/>
    </w:rPr>
  </w:style>
  <w:style w:type="paragraph" w:customStyle="1" w:styleId="ListNumber1">
    <w:name w:val="List Number 1"/>
    <w:basedOn w:val="Text1"/>
    <w:rsid w:val="00A67B37"/>
    <w:pPr>
      <w:numPr>
        <w:numId w:val="53"/>
      </w:numPr>
    </w:pPr>
    <w:rPr>
      <w:lang w:eastAsia="de-DE"/>
    </w:rPr>
  </w:style>
  <w:style w:type="paragraph" w:customStyle="1" w:styleId="ListNumberLevel2">
    <w:name w:val="List Number (Level 2)"/>
    <w:basedOn w:val="Normal"/>
    <w:rsid w:val="00A67B37"/>
    <w:pPr>
      <w:tabs>
        <w:tab w:val="num" w:pos="1417"/>
      </w:tabs>
      <w:spacing w:before="120" w:after="120" w:line="240" w:lineRule="auto"/>
      <w:ind w:left="1417" w:hanging="708"/>
      <w:jc w:val="both"/>
    </w:pPr>
    <w:rPr>
      <w:rFonts w:eastAsia="Times New Roman" w:cs="Times New Roman"/>
      <w:szCs w:val="24"/>
      <w:lang w:eastAsia="de-DE"/>
    </w:rPr>
  </w:style>
  <w:style w:type="paragraph" w:customStyle="1" w:styleId="ListNumber1Level2">
    <w:name w:val="List Number 1 (Level 2)"/>
    <w:basedOn w:val="Text1"/>
    <w:rsid w:val="00A67B37"/>
    <w:pPr>
      <w:numPr>
        <w:ilvl w:val="1"/>
        <w:numId w:val="53"/>
      </w:numPr>
    </w:pPr>
    <w:rPr>
      <w:lang w:eastAsia="de-DE"/>
    </w:rPr>
  </w:style>
  <w:style w:type="paragraph" w:customStyle="1" w:styleId="ListNumber2Level2">
    <w:name w:val="List Number 2 (Level 2)"/>
    <w:basedOn w:val="Text2"/>
    <w:rsid w:val="00A67B37"/>
    <w:pPr>
      <w:numPr>
        <w:ilvl w:val="1"/>
        <w:numId w:val="54"/>
      </w:numPr>
    </w:pPr>
    <w:rPr>
      <w:lang w:eastAsia="de-DE"/>
    </w:rPr>
  </w:style>
  <w:style w:type="paragraph" w:customStyle="1" w:styleId="ListNumber3Level2">
    <w:name w:val="List Number 3 (Level 2)"/>
    <w:basedOn w:val="Text3"/>
    <w:rsid w:val="00A67B37"/>
    <w:pPr>
      <w:numPr>
        <w:ilvl w:val="1"/>
        <w:numId w:val="55"/>
      </w:numPr>
    </w:pPr>
    <w:rPr>
      <w:lang w:eastAsia="de-DE"/>
    </w:rPr>
  </w:style>
  <w:style w:type="paragraph" w:customStyle="1" w:styleId="ListNumber4Level2">
    <w:name w:val="List Number 4 (Level 2)"/>
    <w:basedOn w:val="Text4"/>
    <w:rsid w:val="00A67B37"/>
    <w:pPr>
      <w:numPr>
        <w:ilvl w:val="1"/>
        <w:numId w:val="56"/>
      </w:numPr>
    </w:pPr>
    <w:rPr>
      <w:lang w:eastAsia="de-DE"/>
    </w:rPr>
  </w:style>
  <w:style w:type="paragraph" w:customStyle="1" w:styleId="ListNumberLevel3">
    <w:name w:val="List Number (Level 3)"/>
    <w:basedOn w:val="Normal"/>
    <w:rsid w:val="00A67B37"/>
    <w:pPr>
      <w:tabs>
        <w:tab w:val="num" w:pos="2126"/>
      </w:tabs>
      <w:spacing w:before="120" w:after="120" w:line="240" w:lineRule="auto"/>
      <w:ind w:left="2126" w:hanging="709"/>
      <w:jc w:val="both"/>
    </w:pPr>
    <w:rPr>
      <w:rFonts w:eastAsia="Times New Roman" w:cs="Times New Roman"/>
      <w:szCs w:val="24"/>
      <w:lang w:eastAsia="de-DE"/>
    </w:rPr>
  </w:style>
  <w:style w:type="paragraph" w:customStyle="1" w:styleId="ListNumber1Level3">
    <w:name w:val="List Number 1 (Level 3)"/>
    <w:basedOn w:val="Text1"/>
    <w:rsid w:val="00A67B37"/>
    <w:pPr>
      <w:numPr>
        <w:ilvl w:val="2"/>
        <w:numId w:val="53"/>
      </w:numPr>
    </w:pPr>
    <w:rPr>
      <w:lang w:eastAsia="de-DE"/>
    </w:rPr>
  </w:style>
  <w:style w:type="paragraph" w:customStyle="1" w:styleId="ListNumber2Level3">
    <w:name w:val="List Number 2 (Level 3)"/>
    <w:basedOn w:val="Text2"/>
    <w:rsid w:val="00A67B37"/>
    <w:pPr>
      <w:numPr>
        <w:ilvl w:val="2"/>
        <w:numId w:val="54"/>
      </w:numPr>
    </w:pPr>
    <w:rPr>
      <w:lang w:eastAsia="de-DE"/>
    </w:rPr>
  </w:style>
  <w:style w:type="paragraph" w:customStyle="1" w:styleId="ListNumber3Level3">
    <w:name w:val="List Number 3 (Level 3)"/>
    <w:basedOn w:val="Text3"/>
    <w:rsid w:val="00A67B37"/>
    <w:pPr>
      <w:numPr>
        <w:ilvl w:val="2"/>
        <w:numId w:val="55"/>
      </w:numPr>
    </w:pPr>
    <w:rPr>
      <w:lang w:eastAsia="de-DE"/>
    </w:rPr>
  </w:style>
  <w:style w:type="paragraph" w:customStyle="1" w:styleId="ListNumber4Level3">
    <w:name w:val="List Number 4 (Level 3)"/>
    <w:basedOn w:val="Text4"/>
    <w:rsid w:val="00A67B37"/>
    <w:pPr>
      <w:numPr>
        <w:ilvl w:val="2"/>
        <w:numId w:val="56"/>
      </w:numPr>
    </w:pPr>
    <w:rPr>
      <w:lang w:eastAsia="de-DE"/>
    </w:rPr>
  </w:style>
  <w:style w:type="paragraph" w:customStyle="1" w:styleId="ListNumberLevel4">
    <w:name w:val="List Number (Level 4)"/>
    <w:basedOn w:val="Normal"/>
    <w:rsid w:val="00A67B37"/>
    <w:pPr>
      <w:tabs>
        <w:tab w:val="num" w:pos="2835"/>
      </w:tabs>
      <w:spacing w:before="120" w:after="120" w:line="240" w:lineRule="auto"/>
      <w:ind w:left="2835" w:hanging="709"/>
      <w:jc w:val="both"/>
    </w:pPr>
    <w:rPr>
      <w:rFonts w:eastAsia="Times New Roman" w:cs="Times New Roman"/>
      <w:szCs w:val="24"/>
      <w:lang w:eastAsia="de-DE"/>
    </w:rPr>
  </w:style>
  <w:style w:type="paragraph" w:customStyle="1" w:styleId="ListNumber1Level4">
    <w:name w:val="List Number 1 (Level 4)"/>
    <w:basedOn w:val="Text1"/>
    <w:rsid w:val="00A67B37"/>
    <w:pPr>
      <w:numPr>
        <w:ilvl w:val="3"/>
        <w:numId w:val="53"/>
      </w:numPr>
    </w:pPr>
    <w:rPr>
      <w:lang w:eastAsia="de-DE"/>
    </w:rPr>
  </w:style>
  <w:style w:type="paragraph" w:customStyle="1" w:styleId="ListNumber2Level4">
    <w:name w:val="List Number 2 (Level 4)"/>
    <w:basedOn w:val="Text2"/>
    <w:rsid w:val="00A67B37"/>
    <w:pPr>
      <w:numPr>
        <w:ilvl w:val="3"/>
        <w:numId w:val="54"/>
      </w:numPr>
    </w:pPr>
    <w:rPr>
      <w:lang w:eastAsia="de-DE"/>
    </w:rPr>
  </w:style>
  <w:style w:type="paragraph" w:customStyle="1" w:styleId="ListNumber3Level4">
    <w:name w:val="List Number 3 (Level 4)"/>
    <w:basedOn w:val="Text3"/>
    <w:rsid w:val="00A67B37"/>
    <w:pPr>
      <w:numPr>
        <w:ilvl w:val="3"/>
        <w:numId w:val="55"/>
      </w:numPr>
    </w:pPr>
    <w:rPr>
      <w:lang w:eastAsia="de-DE"/>
    </w:rPr>
  </w:style>
  <w:style w:type="paragraph" w:customStyle="1" w:styleId="ListNumber4Level4">
    <w:name w:val="List Number 4 (Level 4)"/>
    <w:basedOn w:val="Text4"/>
    <w:rsid w:val="00A67B37"/>
    <w:pPr>
      <w:numPr>
        <w:ilvl w:val="3"/>
        <w:numId w:val="56"/>
      </w:numPr>
    </w:pPr>
    <w:rPr>
      <w:lang w:eastAsia="de-DE"/>
    </w:rPr>
  </w:style>
  <w:style w:type="paragraph" w:styleId="Caption">
    <w:name w:val="caption"/>
    <w:basedOn w:val="Normal"/>
    <w:next w:val="Normal"/>
    <w:qFormat/>
    <w:rsid w:val="00A67B37"/>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semiHidden/>
    <w:rsid w:val="00A67B37"/>
    <w:pPr>
      <w:spacing w:before="120" w:after="120" w:line="240" w:lineRule="auto"/>
      <w:jc w:val="both"/>
    </w:pPr>
    <w:rPr>
      <w:rFonts w:eastAsia="Times New Roman" w:cs="Times New Roman"/>
      <w:szCs w:val="24"/>
    </w:rPr>
  </w:style>
  <w:style w:type="paragraph" w:styleId="ListNumber">
    <w:name w:val="List Number"/>
    <w:basedOn w:val="Normal"/>
    <w:rsid w:val="00A67B37"/>
    <w:pPr>
      <w:numPr>
        <w:numId w:val="57"/>
      </w:numPr>
      <w:spacing w:before="120" w:after="120" w:line="240" w:lineRule="auto"/>
      <w:jc w:val="both"/>
    </w:pPr>
    <w:rPr>
      <w:rFonts w:eastAsia="Times New Roman" w:cs="Times New Roman"/>
      <w:szCs w:val="24"/>
    </w:rPr>
  </w:style>
  <w:style w:type="paragraph" w:styleId="ListNumber2">
    <w:name w:val="List Number 2"/>
    <w:basedOn w:val="Normal"/>
    <w:rsid w:val="00A67B37"/>
    <w:pPr>
      <w:numPr>
        <w:numId w:val="58"/>
      </w:numPr>
      <w:spacing w:before="120" w:after="120" w:line="240" w:lineRule="auto"/>
      <w:jc w:val="both"/>
    </w:pPr>
    <w:rPr>
      <w:rFonts w:eastAsia="Times New Roman" w:cs="Times New Roman"/>
      <w:szCs w:val="24"/>
    </w:rPr>
  </w:style>
  <w:style w:type="paragraph" w:styleId="ListNumber3">
    <w:name w:val="List Number 3"/>
    <w:basedOn w:val="Normal"/>
    <w:rsid w:val="00A67B37"/>
    <w:pPr>
      <w:numPr>
        <w:numId w:val="59"/>
      </w:numPr>
      <w:spacing w:before="120" w:after="120" w:line="240" w:lineRule="auto"/>
      <w:jc w:val="both"/>
    </w:pPr>
    <w:rPr>
      <w:rFonts w:eastAsia="Times New Roman" w:cs="Times New Roman"/>
      <w:szCs w:val="24"/>
    </w:rPr>
  </w:style>
  <w:style w:type="paragraph" w:styleId="ListNumber4">
    <w:name w:val="List Number 4"/>
    <w:basedOn w:val="Normal"/>
    <w:rsid w:val="00A67B37"/>
    <w:pPr>
      <w:numPr>
        <w:numId w:val="60"/>
      </w:numPr>
      <w:spacing w:before="120" w:after="120" w:line="240" w:lineRule="auto"/>
      <w:jc w:val="both"/>
    </w:pPr>
    <w:rPr>
      <w:rFonts w:eastAsia="Times New Roman" w:cs="Times New Roman"/>
      <w:szCs w:val="24"/>
    </w:rPr>
  </w:style>
  <w:style w:type="character" w:styleId="FollowedHyperlink">
    <w:name w:val="FollowedHyperlink"/>
    <w:rsid w:val="00A67B37"/>
    <w:rPr>
      <w:color w:val="800080"/>
      <w:u w:val="single"/>
      <w:shd w:val="clear" w:color="auto" w:fill="auto"/>
    </w:rPr>
  </w:style>
  <w:style w:type="paragraph" w:customStyle="1" w:styleId="font5">
    <w:name w:val="font5"/>
    <w:basedOn w:val="Normal"/>
    <w:rsid w:val="00A67B37"/>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A67B37"/>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67">
    <w:name w:val="xl67"/>
    <w:basedOn w:val="Normal"/>
    <w:rsid w:val="00A67B37"/>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2"/>
      <w:lang w:eastAsia="en-GB"/>
    </w:rPr>
  </w:style>
  <w:style w:type="paragraph" w:customStyle="1" w:styleId="xl68">
    <w:name w:val="xl68"/>
    <w:basedOn w:val="Normal"/>
    <w:rsid w:val="00A67B3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69">
    <w:name w:val="xl69"/>
    <w:basedOn w:val="Normal"/>
    <w:rsid w:val="00A67B3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70">
    <w:name w:val="xl70"/>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71">
    <w:name w:val="xl71"/>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2">
    <w:name w:val="xl72"/>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3">
    <w:name w:val="xl73"/>
    <w:basedOn w:val="Normal"/>
    <w:rsid w:val="00A67B37"/>
    <w:pP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74">
    <w:name w:val="xl74"/>
    <w:basedOn w:val="Normal"/>
    <w:rsid w:val="00A67B3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5">
    <w:name w:val="xl75"/>
    <w:basedOn w:val="Normal"/>
    <w:rsid w:val="00A67B37"/>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76">
    <w:name w:val="xl76"/>
    <w:basedOn w:val="Normal"/>
    <w:rsid w:val="00A67B3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7">
    <w:name w:val="xl77"/>
    <w:basedOn w:val="Normal"/>
    <w:rsid w:val="00A67B3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8">
    <w:name w:val="xl78"/>
    <w:basedOn w:val="Normal"/>
    <w:rsid w:val="00A67B3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79">
    <w:name w:val="xl79"/>
    <w:basedOn w:val="Normal"/>
    <w:rsid w:val="00A67B3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0">
    <w:name w:val="xl80"/>
    <w:basedOn w:val="Normal"/>
    <w:rsid w:val="00A67B3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1">
    <w:name w:val="xl81"/>
    <w:basedOn w:val="Normal"/>
    <w:rsid w:val="00A67B3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82">
    <w:name w:val="xl82"/>
    <w:basedOn w:val="Normal"/>
    <w:rsid w:val="00A67B3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3">
    <w:name w:val="xl83"/>
    <w:basedOn w:val="Normal"/>
    <w:rsid w:val="00A67B3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4">
    <w:name w:val="xl84"/>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5">
    <w:name w:val="xl85"/>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6">
    <w:name w:val="xl86"/>
    <w:basedOn w:val="Normal"/>
    <w:rsid w:val="00A67B3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87">
    <w:name w:val="xl87"/>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88">
    <w:name w:val="xl88"/>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9">
    <w:name w:val="xl89"/>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0">
    <w:name w:val="xl90"/>
    <w:basedOn w:val="Normal"/>
    <w:rsid w:val="00A67B37"/>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1">
    <w:name w:val="xl91"/>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2">
    <w:name w:val="xl92"/>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3">
    <w:name w:val="xl93"/>
    <w:basedOn w:val="Normal"/>
    <w:rsid w:val="00A67B3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4">
    <w:name w:val="xl94"/>
    <w:basedOn w:val="Normal"/>
    <w:rsid w:val="00A67B3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5">
    <w:name w:val="xl95"/>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6">
    <w:name w:val="xl96"/>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7">
    <w:name w:val="xl97"/>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8">
    <w:name w:val="xl98"/>
    <w:basedOn w:val="Normal"/>
    <w:rsid w:val="00A67B37"/>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9">
    <w:name w:val="xl99"/>
    <w:basedOn w:val="Normal"/>
    <w:rsid w:val="00A67B3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0">
    <w:name w:val="xl100"/>
    <w:basedOn w:val="Normal"/>
    <w:rsid w:val="00A67B37"/>
    <w:pPr>
      <w:spacing w:before="100" w:beforeAutospacing="1" w:after="100" w:afterAutospacing="1" w:line="240" w:lineRule="auto"/>
      <w:jc w:val="center"/>
      <w:textAlignment w:val="top"/>
    </w:pPr>
    <w:rPr>
      <w:rFonts w:ascii="Arial" w:eastAsia="Times New Roman" w:hAnsi="Arial" w:cs="Arial"/>
      <w:b/>
      <w:bCs/>
      <w:szCs w:val="24"/>
      <w:lang w:eastAsia="en-GB"/>
    </w:rPr>
  </w:style>
  <w:style w:type="paragraph" w:customStyle="1" w:styleId="xl101">
    <w:name w:val="xl101"/>
    <w:basedOn w:val="Normal"/>
    <w:rsid w:val="00A67B3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2">
    <w:name w:val="xl102"/>
    <w:basedOn w:val="Normal"/>
    <w:rsid w:val="00A67B3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3">
    <w:name w:val="xl103"/>
    <w:basedOn w:val="Normal"/>
    <w:rsid w:val="00A67B3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4">
    <w:name w:val="xl104"/>
    <w:basedOn w:val="Normal"/>
    <w:rsid w:val="00A67B3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64">
    <w:name w:val="xl64"/>
    <w:basedOn w:val="Normal"/>
    <w:rsid w:val="00A67B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65">
    <w:name w:val="xl65"/>
    <w:basedOn w:val="Normal"/>
    <w:rsid w:val="00A67B3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FooterCoverPage">
    <w:name w:val="Footer Cover Page"/>
    <w:basedOn w:val="Normal"/>
    <w:link w:val="FooterCoverPageChar"/>
    <w:rsid w:val="006C55E4"/>
    <w:pPr>
      <w:tabs>
        <w:tab w:val="center" w:pos="4535"/>
        <w:tab w:val="right" w:pos="9071"/>
        <w:tab w:val="right" w:pos="9921"/>
      </w:tabs>
      <w:spacing w:before="360" w:after="0" w:line="240" w:lineRule="auto"/>
      <w:ind w:left="-850" w:right="-850"/>
    </w:pPr>
  </w:style>
  <w:style w:type="character" w:customStyle="1" w:styleId="TOCHeadingChar">
    <w:name w:val="TOC Heading Char"/>
    <w:basedOn w:val="DefaultParagraphFont"/>
    <w:link w:val="TOCHeading"/>
    <w:uiPriority w:val="39"/>
    <w:rsid w:val="006C55E4"/>
    <w:rPr>
      <w:rFonts w:ascii="Times New Roman" w:eastAsia="Times New Roman" w:hAnsi="Times New Roman" w:cs="Times New Roman"/>
      <w:b/>
      <w:sz w:val="28"/>
      <w:szCs w:val="24"/>
      <w:lang w:val="en-GB"/>
    </w:rPr>
  </w:style>
  <w:style w:type="character" w:customStyle="1" w:styleId="FooterCoverPageChar">
    <w:name w:val="Footer Cover Page Char"/>
    <w:basedOn w:val="TOCHeadingChar"/>
    <w:link w:val="FooterCoverPage"/>
    <w:rsid w:val="006C55E4"/>
    <w:rPr>
      <w:rFonts w:ascii="Times New Roman" w:eastAsia="Times New Roman" w:hAnsi="Times New Roman" w:cs="Times New Roman"/>
      <w:b w:val="0"/>
      <w:sz w:val="24"/>
      <w:szCs w:val="24"/>
      <w:lang w:val="en-GB"/>
    </w:rPr>
  </w:style>
  <w:style w:type="paragraph" w:customStyle="1" w:styleId="FooterSensitivity">
    <w:name w:val="Footer Sensitivity"/>
    <w:basedOn w:val="Normal"/>
    <w:link w:val="FooterSensitivityChar"/>
    <w:rsid w:val="006C55E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sid w:val="006C55E4"/>
    <w:rPr>
      <w:rFonts w:ascii="Times New Roman" w:eastAsia="Times New Roman" w:hAnsi="Times New Roman" w:cs="Times New Roman"/>
      <w:b/>
      <w:sz w:val="32"/>
      <w:szCs w:val="24"/>
      <w:lang w:val="en-GB"/>
    </w:rPr>
  </w:style>
  <w:style w:type="paragraph" w:customStyle="1" w:styleId="HeaderCoverPage">
    <w:name w:val="Header Cover Page"/>
    <w:basedOn w:val="Normal"/>
    <w:link w:val="HeaderCoverPageChar"/>
    <w:rsid w:val="006C55E4"/>
    <w:pPr>
      <w:tabs>
        <w:tab w:val="center" w:pos="4535"/>
        <w:tab w:val="right" w:pos="9071"/>
      </w:tabs>
      <w:spacing w:after="120" w:line="240" w:lineRule="auto"/>
      <w:jc w:val="both"/>
    </w:pPr>
  </w:style>
  <w:style w:type="character" w:customStyle="1" w:styleId="HeaderCoverPageChar">
    <w:name w:val="Header Cover Page Char"/>
    <w:basedOn w:val="TOCHeadingChar"/>
    <w:link w:val="HeaderCoverPage"/>
    <w:rsid w:val="006C55E4"/>
    <w:rPr>
      <w:rFonts w:ascii="Times New Roman" w:eastAsia="Times New Roman" w:hAnsi="Times New Roman" w:cs="Times New Roman"/>
      <w:b w:val="0"/>
      <w:sz w:val="24"/>
      <w:szCs w:val="24"/>
      <w:lang w:val="en-GB"/>
    </w:rPr>
  </w:style>
  <w:style w:type="paragraph" w:customStyle="1" w:styleId="HeaderSensitivity">
    <w:name w:val="Header Sensitivity"/>
    <w:basedOn w:val="Normal"/>
    <w:link w:val="HeaderSensitivityChar"/>
    <w:rsid w:val="006C55E4"/>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sid w:val="006C55E4"/>
    <w:rPr>
      <w:rFonts w:ascii="Times New Roman" w:eastAsia="Times New Roman" w:hAnsi="Times New Roman" w:cs="Times New Roman"/>
      <w:b/>
      <w:sz w:val="32"/>
      <w:szCs w:val="24"/>
      <w:lang w:val="en-GB"/>
    </w:rPr>
  </w:style>
  <w:style w:type="paragraph" w:customStyle="1" w:styleId="HeaderSensitivityRight">
    <w:name w:val="Header Sensitivity Right"/>
    <w:basedOn w:val="Normal"/>
    <w:link w:val="HeaderSensitivityRightChar"/>
    <w:rsid w:val="006C55E4"/>
    <w:pPr>
      <w:spacing w:after="120" w:line="240" w:lineRule="auto"/>
      <w:jc w:val="right"/>
    </w:pPr>
    <w:rPr>
      <w:sz w:val="28"/>
    </w:rPr>
  </w:style>
  <w:style w:type="character" w:customStyle="1" w:styleId="HeaderSensitivityRightChar">
    <w:name w:val="Header Sensitivity Right Char"/>
    <w:basedOn w:val="TOCHeadingChar"/>
    <w:link w:val="HeaderSensitivityRight"/>
    <w:rsid w:val="006C55E4"/>
    <w:rPr>
      <w:rFonts w:ascii="Times New Roman" w:eastAsia="Times New Roman" w:hAnsi="Times New Roman" w:cs="Times New Roman"/>
      <w:b w:val="0"/>
      <w:sz w:val="28"/>
      <w:szCs w:val="24"/>
      <w:lang w:val="en-GB"/>
    </w:rPr>
  </w:style>
  <w:style w:type="character" w:styleId="Emphasis">
    <w:name w:val="Emphasis"/>
    <w:basedOn w:val="DefaultParagraphFont"/>
    <w:uiPriority w:val="20"/>
    <w:qFormat/>
    <w:rsid w:val="00622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498907">
      <w:bodyDiv w:val="1"/>
      <w:marLeft w:val="0"/>
      <w:marRight w:val="0"/>
      <w:marTop w:val="0"/>
      <w:marBottom w:val="0"/>
      <w:divBdr>
        <w:top w:val="none" w:sz="0" w:space="0" w:color="auto"/>
        <w:left w:val="none" w:sz="0" w:space="0" w:color="auto"/>
        <w:bottom w:val="none" w:sz="0" w:space="0" w:color="auto"/>
        <w:right w:val="none" w:sz="0" w:space="0" w:color="auto"/>
      </w:divBdr>
      <w:divsChild>
        <w:div w:id="1203398496">
          <w:marLeft w:val="0"/>
          <w:marRight w:val="0"/>
          <w:marTop w:val="0"/>
          <w:marBottom w:val="0"/>
          <w:divBdr>
            <w:top w:val="none" w:sz="0" w:space="0" w:color="auto"/>
            <w:left w:val="none" w:sz="0" w:space="0" w:color="auto"/>
            <w:bottom w:val="none" w:sz="0" w:space="0" w:color="auto"/>
            <w:right w:val="none" w:sz="0" w:space="0" w:color="auto"/>
          </w:divBdr>
          <w:divsChild>
            <w:div w:id="730152092">
              <w:marLeft w:val="0"/>
              <w:marRight w:val="0"/>
              <w:marTop w:val="0"/>
              <w:marBottom w:val="0"/>
              <w:divBdr>
                <w:top w:val="none" w:sz="0" w:space="0" w:color="auto"/>
                <w:left w:val="none" w:sz="0" w:space="0" w:color="auto"/>
                <w:bottom w:val="none" w:sz="0" w:space="0" w:color="auto"/>
                <w:right w:val="none" w:sz="0" w:space="0" w:color="auto"/>
              </w:divBdr>
              <w:divsChild>
                <w:div w:id="1240018848">
                  <w:marLeft w:val="0"/>
                  <w:marRight w:val="0"/>
                  <w:marTop w:val="0"/>
                  <w:marBottom w:val="0"/>
                  <w:divBdr>
                    <w:top w:val="none" w:sz="0" w:space="0" w:color="auto"/>
                    <w:left w:val="none" w:sz="0" w:space="0" w:color="auto"/>
                    <w:bottom w:val="none" w:sz="0" w:space="0" w:color="auto"/>
                    <w:right w:val="none" w:sz="0" w:space="0" w:color="auto"/>
                  </w:divBdr>
                  <w:divsChild>
                    <w:div w:id="35471106">
                      <w:marLeft w:val="0"/>
                      <w:marRight w:val="0"/>
                      <w:marTop w:val="0"/>
                      <w:marBottom w:val="0"/>
                      <w:divBdr>
                        <w:top w:val="none" w:sz="0" w:space="0" w:color="auto"/>
                        <w:left w:val="none" w:sz="0" w:space="0" w:color="auto"/>
                        <w:bottom w:val="none" w:sz="0" w:space="0" w:color="auto"/>
                        <w:right w:val="none" w:sz="0" w:space="0" w:color="auto"/>
                      </w:divBdr>
                      <w:divsChild>
                        <w:div w:id="207650391">
                          <w:marLeft w:val="0"/>
                          <w:marRight w:val="0"/>
                          <w:marTop w:val="0"/>
                          <w:marBottom w:val="0"/>
                          <w:divBdr>
                            <w:top w:val="none" w:sz="0" w:space="0" w:color="auto"/>
                            <w:left w:val="none" w:sz="0" w:space="0" w:color="auto"/>
                            <w:bottom w:val="none" w:sz="0" w:space="0" w:color="auto"/>
                            <w:right w:val="none" w:sz="0" w:space="0" w:color="auto"/>
                          </w:divBdr>
                          <w:divsChild>
                            <w:div w:id="68237206">
                              <w:marLeft w:val="0"/>
                              <w:marRight w:val="0"/>
                              <w:marTop w:val="0"/>
                              <w:marBottom w:val="0"/>
                              <w:divBdr>
                                <w:top w:val="none" w:sz="0" w:space="0" w:color="auto"/>
                                <w:left w:val="none" w:sz="0" w:space="0" w:color="auto"/>
                                <w:bottom w:val="none" w:sz="0" w:space="0" w:color="auto"/>
                                <w:right w:val="none" w:sz="0" w:space="0" w:color="auto"/>
                              </w:divBdr>
                              <w:divsChild>
                                <w:div w:id="300964440">
                                  <w:marLeft w:val="0"/>
                                  <w:marRight w:val="0"/>
                                  <w:marTop w:val="0"/>
                                  <w:marBottom w:val="0"/>
                                  <w:divBdr>
                                    <w:top w:val="none" w:sz="0" w:space="0" w:color="auto"/>
                                    <w:left w:val="none" w:sz="0" w:space="0" w:color="auto"/>
                                    <w:bottom w:val="none" w:sz="0" w:space="0" w:color="auto"/>
                                    <w:right w:val="none" w:sz="0" w:space="0" w:color="auto"/>
                                  </w:divBdr>
                                  <w:divsChild>
                                    <w:div w:id="198513015">
                                      <w:marLeft w:val="0"/>
                                      <w:marRight w:val="0"/>
                                      <w:marTop w:val="0"/>
                                      <w:marBottom w:val="0"/>
                                      <w:divBdr>
                                        <w:top w:val="none" w:sz="0" w:space="0" w:color="auto"/>
                                        <w:left w:val="none" w:sz="0" w:space="0" w:color="auto"/>
                                        <w:bottom w:val="none" w:sz="0" w:space="0" w:color="auto"/>
                                        <w:right w:val="none" w:sz="0" w:space="0" w:color="auto"/>
                                      </w:divBdr>
                                      <w:divsChild>
                                        <w:div w:id="430971582">
                                          <w:marLeft w:val="0"/>
                                          <w:marRight w:val="0"/>
                                          <w:marTop w:val="0"/>
                                          <w:marBottom w:val="0"/>
                                          <w:divBdr>
                                            <w:top w:val="none" w:sz="0" w:space="0" w:color="auto"/>
                                            <w:left w:val="none" w:sz="0" w:space="0" w:color="auto"/>
                                            <w:bottom w:val="none" w:sz="0" w:space="0" w:color="auto"/>
                                            <w:right w:val="none" w:sz="0" w:space="0" w:color="auto"/>
                                          </w:divBdr>
                                          <w:divsChild>
                                            <w:div w:id="648675836">
                                              <w:marLeft w:val="0"/>
                                              <w:marRight w:val="0"/>
                                              <w:marTop w:val="0"/>
                                              <w:marBottom w:val="0"/>
                                              <w:divBdr>
                                                <w:top w:val="none" w:sz="0" w:space="0" w:color="auto"/>
                                                <w:left w:val="none" w:sz="0" w:space="0" w:color="auto"/>
                                                <w:bottom w:val="none" w:sz="0" w:space="0" w:color="auto"/>
                                                <w:right w:val="none" w:sz="0" w:space="0" w:color="auto"/>
                                              </w:divBdr>
                                              <w:divsChild>
                                                <w:div w:id="893931737">
                                                  <w:marLeft w:val="0"/>
                                                  <w:marRight w:val="0"/>
                                                  <w:marTop w:val="0"/>
                                                  <w:marBottom w:val="0"/>
                                                  <w:divBdr>
                                                    <w:top w:val="none" w:sz="0" w:space="0" w:color="auto"/>
                                                    <w:left w:val="none" w:sz="0" w:space="0" w:color="auto"/>
                                                    <w:bottom w:val="none" w:sz="0" w:space="0" w:color="auto"/>
                                                    <w:right w:val="none" w:sz="0" w:space="0" w:color="auto"/>
                                                  </w:divBdr>
                                                </w:div>
                                              </w:divsChild>
                                            </w:div>
                                            <w:div w:id="1494368681">
                                              <w:marLeft w:val="0"/>
                                              <w:marRight w:val="0"/>
                                              <w:marTop w:val="0"/>
                                              <w:marBottom w:val="0"/>
                                              <w:divBdr>
                                                <w:top w:val="none" w:sz="0" w:space="0" w:color="auto"/>
                                                <w:left w:val="none" w:sz="0" w:space="0" w:color="auto"/>
                                                <w:bottom w:val="none" w:sz="0" w:space="0" w:color="auto"/>
                                                <w:right w:val="none" w:sz="0" w:space="0" w:color="auto"/>
                                              </w:divBdr>
                                              <w:divsChild>
                                                <w:div w:id="957492012">
                                                  <w:marLeft w:val="0"/>
                                                  <w:marRight w:val="0"/>
                                                  <w:marTop w:val="0"/>
                                                  <w:marBottom w:val="0"/>
                                                  <w:divBdr>
                                                    <w:top w:val="none" w:sz="0" w:space="0" w:color="auto"/>
                                                    <w:left w:val="none" w:sz="0" w:space="0" w:color="auto"/>
                                                    <w:bottom w:val="none" w:sz="0" w:space="0" w:color="auto"/>
                                                    <w:right w:val="none" w:sz="0" w:space="0" w:color="auto"/>
                                                  </w:divBdr>
                                                </w:div>
                                                <w:div w:id="11388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3.me"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5191F-1D9D-48BB-A746-6E074A0D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67277</Words>
  <Characters>383483</Characters>
  <Application>Microsoft Office Word</Application>
  <DocSecurity>0</DocSecurity>
  <Lines>3195</Lines>
  <Paragraphs>899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PEKURI Kirsi (NEAR)</dc:creator>
  <cp:lastModifiedBy>Windows User</cp:lastModifiedBy>
  <cp:revision>2</cp:revision>
  <cp:lastPrinted>2020-10-04T21:03:00Z</cp:lastPrinted>
  <dcterms:created xsi:type="dcterms:W3CDTF">2020-10-13T19:13:00Z</dcterms:created>
  <dcterms:modified xsi:type="dcterms:W3CDTF">2020-10-13T19:13:00Z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TemplateID">
    <vt:lpwstr>CP-025</vt:lpwstr>
  </property>
  <property fmtid="{D5CDD505-2E9C-101B-9397-08002B2CF9AE}" pid="3" name="Created using">
    <vt:lpwstr>LW 7.0.1, Build 20190916</vt:lpwstr>
  </property>
  <property fmtid="{D5CDD505-2E9C-101B-9397-08002B2CF9AE}" pid="4" name="DocStatus">
    <vt:lpwstr>Green</vt:lpwstr>
  </property>
  <property fmtid="{D5CDD505-2E9C-101B-9397-08002B2CF9AE}" pid="5" name="Last edited using">
    <vt:lpwstr>LW 7.0.1, Build 20190916</vt:lpwstr>
  </property>
  <property fmtid="{D5CDD505-2E9C-101B-9397-08002B2CF9AE}" pid="6" name="Level of sensitivity">
    <vt:lpwstr>Sensitive treatment</vt:lpwstr>
  </property>
  <property fmtid="{D5CDD505-2E9C-101B-9397-08002B2CF9AE}" pid="7" name="Part">
    <vt:lpwstr>1</vt:lpwstr>
  </property>
  <property fmtid="{D5CDD505-2E9C-101B-9397-08002B2CF9AE}" pid="8" name="Total parts">
    <vt:lpwstr>1</vt:lpwstr>
  </property>
</Properties>
</file>