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2F6A" w:rsidRPr="00DC2F6A" w:rsidRDefault="00DC2F6A" w:rsidP="00DC2F6A">
      <w:pPr>
        <w:jc w:val="both"/>
        <w:rPr>
          <w:rFonts w:ascii="Times New Roman" w:hAnsi="Times New Roman" w:cs="Times New Roman"/>
          <w:sz w:val="24"/>
          <w:szCs w:val="24"/>
        </w:rPr>
      </w:pPr>
      <w:r>
        <w:rPr>
          <w:rFonts w:ascii="Times New Roman" w:hAnsi="Times New Roman" w:cs="Times New Roman"/>
          <w:sz w:val="24"/>
          <w:szCs w:val="24"/>
        </w:rPr>
        <w:t xml:space="preserve">           </w:t>
      </w:r>
      <w:r w:rsidRPr="00DC2F6A">
        <w:rPr>
          <w:rFonts w:ascii="Times New Roman" w:hAnsi="Times New Roman" w:cs="Times New Roman"/>
          <w:sz w:val="24"/>
          <w:szCs w:val="24"/>
        </w:rPr>
        <w:t>Pursuant to Article 12 of the Regulation on the Government of Montenegro ("Official Gazette of Montenegro", No. 80/08, 14/17, 28/18 and 63/22), the Government of Montenegro, at its session of 15 February 2023, adopted</w:t>
      </w:r>
    </w:p>
    <w:p w:rsidR="00DC2F6A" w:rsidRPr="00DC2F6A" w:rsidRDefault="00DC2F6A" w:rsidP="00DC2F6A">
      <w:pPr>
        <w:jc w:val="both"/>
        <w:rPr>
          <w:rFonts w:ascii="Times New Roman" w:hAnsi="Times New Roman" w:cs="Times New Roman"/>
          <w:sz w:val="24"/>
          <w:szCs w:val="24"/>
        </w:rPr>
      </w:pPr>
    </w:p>
    <w:p w:rsidR="00DC2F6A" w:rsidRPr="00DC2F6A" w:rsidRDefault="00DC2F6A" w:rsidP="00DC2F6A">
      <w:pPr>
        <w:jc w:val="center"/>
        <w:rPr>
          <w:rFonts w:ascii="Times New Roman" w:hAnsi="Times New Roman" w:cs="Times New Roman"/>
          <w:b/>
          <w:sz w:val="24"/>
          <w:szCs w:val="24"/>
        </w:rPr>
      </w:pPr>
      <w:r w:rsidRPr="00DC2F6A">
        <w:rPr>
          <w:rFonts w:ascii="Times New Roman" w:hAnsi="Times New Roman" w:cs="Times New Roman"/>
          <w:b/>
          <w:sz w:val="24"/>
          <w:szCs w:val="24"/>
        </w:rPr>
        <w:t>DECISION</w:t>
      </w:r>
    </w:p>
    <w:p w:rsidR="00DC2F6A" w:rsidRPr="00DC2F6A" w:rsidRDefault="00DC2F6A" w:rsidP="00DC2F6A">
      <w:pPr>
        <w:jc w:val="center"/>
        <w:rPr>
          <w:rFonts w:ascii="Times New Roman" w:hAnsi="Times New Roman" w:cs="Times New Roman"/>
          <w:b/>
          <w:sz w:val="24"/>
          <w:szCs w:val="24"/>
        </w:rPr>
      </w:pPr>
      <w:r w:rsidRPr="00DC2F6A">
        <w:rPr>
          <w:rFonts w:ascii="Times New Roman" w:hAnsi="Times New Roman" w:cs="Times New Roman"/>
          <w:b/>
          <w:sz w:val="24"/>
          <w:szCs w:val="24"/>
        </w:rPr>
        <w:t>ON AMENDMENTS TO THE DECISION ON ESTABLISHING A COORDINATION BODY FOR MONITORING AND MANAGING THE POLICY OF PREVENTION AND COMBATING IRREGULARITIES FOR THE PROTECTION OF THE FINANCIAL INTERESTS OF THE EUROPEAN UNION (AFCOS NETWORK)</w:t>
      </w:r>
    </w:p>
    <w:p w:rsidR="00DC2F6A" w:rsidRPr="00DC2F6A" w:rsidRDefault="00DC2F6A" w:rsidP="00DC2F6A">
      <w:pPr>
        <w:jc w:val="both"/>
        <w:rPr>
          <w:rFonts w:ascii="Times New Roman" w:hAnsi="Times New Roman" w:cs="Times New Roman"/>
          <w:sz w:val="24"/>
          <w:szCs w:val="24"/>
        </w:rPr>
      </w:pP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 xml:space="preserve">1. </w:t>
      </w:r>
      <w:bookmarkStart w:id="0" w:name="_GoBack"/>
      <w:bookmarkEnd w:id="0"/>
      <w:r w:rsidRPr="00DC2F6A">
        <w:rPr>
          <w:rFonts w:ascii="Times New Roman" w:hAnsi="Times New Roman" w:cs="Times New Roman"/>
          <w:sz w:val="24"/>
          <w:szCs w:val="24"/>
        </w:rPr>
        <w:t>Coordination Body for Monitoring and Managing the Policy of Prevention and Combating Irregularities for the Protection of the Financial Interests of the European Union (hereinafter: AFCOS Network) is hereby established, consisting of:</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1) representative of the Ministry of Finance, coordinator;</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2) representative of the Ministry of Finance, deputy coordinator;</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3) representative of the Ministry of Finance, Directorate for Management Structure, member;</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4) representative of the Ministry of Justice, member</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5) representative of the Ministry of European Affairs, member;</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6) representative of the Ministry of Internal Affairs, member;</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7) representative of the Police Administration, member;</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8) representative of the Revenue and Customs Administration, member;</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9) representative of the Audit Authority, member;</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10) representative of the Supreme State Prosecutor's Office, member;</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11) representative of the Anti-Corruption Agency, member.</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1a. The Government of Montenegro shall appoint the coordinator, deputy coordinator and members of the AFCOS network by a special decision.</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2. The tasks of the AFCOS network are:</w:t>
      </w:r>
    </w:p>
    <w:p w:rsid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 Development of the National Anti-Fraud Strategy for the Protection of the Financial Interests of the European Union (hereinafter referred to as the Strategy) and the Action Plan for the Implementation of the Strategy;</w:t>
      </w:r>
    </w:p>
    <w:p w:rsid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 Monitoring the implementation of the Strategy and the Action Plan for its Implementation;</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lastRenderedPageBreak/>
        <w:t>• Initiating the adoption of regulations of importance for the effective protection of the financial interests of the European Union;</w:t>
      </w:r>
    </w:p>
    <w:p w:rsidR="00242572"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 Consideration of possible cases of irregularities and fraud relating to the violation of contracts, provisions and rules, and in relation to the protection of the financial interests of the European Union, based on information and knowledge of the members of the AFCOS network and interested parties;</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 Reporting to the European Anti-Fraud Office (OLAF) on cases of irregularities, i.e. fraud affecting the financial interests of the European Union;</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 Strengthening inter-institutional cooperation and exchange of information between bodies whose representatives are involved in the work of the AFCOS network in order to protect the financial interests of the European Union;</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 Keeping a register of established irregularities, as well as monitoring the implementation of the findings stated in the reports submitted to OLAF;</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 Implementing educational programs in accordance with the needs of the institutions whose representatives are part of the AFCOS network;</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3. Sessions of the AFCOS network are held as needed, and at least quarterly.</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4. The AFCOS network adopts rules of procedure, which regulate in more detail the manner of operation of the AFCOS network.</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5. Administrative and technical affairs for the needs of the AFCOS network will be carried out by the Department for Combating Irregularities and Fraud in the Ministry of Finance.</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6. Representatives of other state administration bodies, institutions and organizations, representatives of IPA beneficiaries, as well as other scientific and professional workers who are not members of the AFCOS network may also attend the sessions of the AFCOS network upon invitation.</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7. The Ministry of Finance shall report to the Government of Montenegro on the functioning of the AFCOS network on a semi-annual basis.</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7.a The Coordinator, Deputy Coordinator and members of the AFCOS network shall be entitled to remuneration for their work in the amount of 15% of the average net salary, which shall be paid from the budget of the body on whose proposal they were appointed.</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8. This decision shall enter into force eight days from the date of its publication in the "Official Gazette of Montenegro".</w:t>
      </w:r>
    </w:p>
    <w:p w:rsidR="00DC2F6A" w:rsidRPr="00DC2F6A" w:rsidRDefault="00DC2F6A" w:rsidP="00DC2F6A">
      <w:pPr>
        <w:rPr>
          <w:rFonts w:ascii="Times New Roman" w:hAnsi="Times New Roman" w:cs="Times New Roman"/>
          <w:b/>
          <w:sz w:val="24"/>
          <w:szCs w:val="24"/>
        </w:rPr>
      </w:pPr>
      <w:r w:rsidRPr="00DC2F6A">
        <w:rPr>
          <w:rFonts w:ascii="Times New Roman" w:hAnsi="Times New Roman" w:cs="Times New Roman"/>
          <w:b/>
          <w:sz w:val="24"/>
          <w:szCs w:val="24"/>
        </w:rPr>
        <w:t>Number: 07-011/23-530/2</w:t>
      </w:r>
    </w:p>
    <w:p w:rsidR="00DC2F6A" w:rsidRPr="00DC2F6A" w:rsidRDefault="00DC2F6A" w:rsidP="00DC2F6A">
      <w:pPr>
        <w:rPr>
          <w:rFonts w:ascii="Times New Roman" w:hAnsi="Times New Roman" w:cs="Times New Roman"/>
          <w:b/>
          <w:sz w:val="24"/>
          <w:szCs w:val="24"/>
        </w:rPr>
      </w:pPr>
      <w:r w:rsidRPr="00DC2F6A">
        <w:rPr>
          <w:rFonts w:ascii="Times New Roman" w:hAnsi="Times New Roman" w:cs="Times New Roman"/>
          <w:b/>
          <w:sz w:val="24"/>
          <w:szCs w:val="24"/>
        </w:rPr>
        <w:t>Podgorica, 15 February 2023</w:t>
      </w:r>
    </w:p>
    <w:p w:rsidR="00DC2F6A" w:rsidRPr="00DC2F6A" w:rsidRDefault="00DC2F6A" w:rsidP="00DC2F6A">
      <w:pPr>
        <w:jc w:val="center"/>
        <w:rPr>
          <w:rFonts w:ascii="Times New Roman" w:hAnsi="Times New Roman" w:cs="Times New Roman"/>
          <w:b/>
          <w:sz w:val="24"/>
          <w:szCs w:val="24"/>
        </w:rPr>
      </w:pPr>
      <w:r w:rsidRPr="00DC2F6A">
        <w:rPr>
          <w:rFonts w:ascii="Times New Roman" w:hAnsi="Times New Roman" w:cs="Times New Roman"/>
          <w:b/>
          <w:sz w:val="24"/>
          <w:szCs w:val="24"/>
        </w:rPr>
        <w:t>Government of Montenegro</w:t>
      </w:r>
    </w:p>
    <w:p w:rsidR="00DC2F6A" w:rsidRPr="00DC2F6A" w:rsidRDefault="00DC2F6A" w:rsidP="00DC2F6A">
      <w:pPr>
        <w:jc w:val="right"/>
        <w:rPr>
          <w:rFonts w:ascii="Times New Roman" w:hAnsi="Times New Roman" w:cs="Times New Roman"/>
          <w:b/>
          <w:sz w:val="24"/>
          <w:szCs w:val="24"/>
        </w:rPr>
      </w:pPr>
      <w:r w:rsidRPr="00DC2F6A">
        <w:rPr>
          <w:rFonts w:ascii="Times New Roman" w:hAnsi="Times New Roman" w:cs="Times New Roman"/>
          <w:b/>
          <w:sz w:val="24"/>
          <w:szCs w:val="24"/>
        </w:rPr>
        <w:lastRenderedPageBreak/>
        <w:t>President,</w:t>
      </w:r>
    </w:p>
    <w:p w:rsidR="00DC2F6A" w:rsidRPr="00DC2F6A" w:rsidRDefault="00DC2F6A" w:rsidP="00DC2F6A">
      <w:pPr>
        <w:jc w:val="right"/>
        <w:rPr>
          <w:rFonts w:ascii="Times New Roman" w:hAnsi="Times New Roman" w:cs="Times New Roman"/>
          <w:b/>
          <w:sz w:val="24"/>
          <w:szCs w:val="24"/>
        </w:rPr>
      </w:pPr>
      <w:proofErr w:type="spellStart"/>
      <w:r w:rsidRPr="00DC2F6A">
        <w:rPr>
          <w:rFonts w:ascii="Times New Roman" w:hAnsi="Times New Roman" w:cs="Times New Roman"/>
          <w:b/>
          <w:sz w:val="24"/>
          <w:szCs w:val="24"/>
        </w:rPr>
        <w:t>Dritan</w:t>
      </w:r>
      <w:proofErr w:type="spellEnd"/>
      <w:r w:rsidRPr="00DC2F6A">
        <w:rPr>
          <w:rFonts w:ascii="Times New Roman" w:hAnsi="Times New Roman" w:cs="Times New Roman"/>
          <w:b/>
          <w:sz w:val="24"/>
          <w:szCs w:val="24"/>
        </w:rPr>
        <w:t xml:space="preserve"> </w:t>
      </w:r>
      <w:proofErr w:type="spellStart"/>
      <w:r w:rsidRPr="00DC2F6A">
        <w:rPr>
          <w:rFonts w:ascii="Times New Roman" w:hAnsi="Times New Roman" w:cs="Times New Roman"/>
          <w:b/>
          <w:sz w:val="24"/>
          <w:szCs w:val="24"/>
        </w:rPr>
        <w:t>Abazović</w:t>
      </w:r>
      <w:proofErr w:type="spellEnd"/>
      <w:r w:rsidRPr="00DC2F6A">
        <w:rPr>
          <w:rFonts w:ascii="Times New Roman" w:hAnsi="Times New Roman" w:cs="Times New Roman"/>
          <w:b/>
          <w:sz w:val="24"/>
          <w:szCs w:val="24"/>
        </w:rPr>
        <w:t>, PhD</w:t>
      </w:r>
    </w:p>
    <w:p w:rsidR="00DC2F6A" w:rsidRPr="00DC2F6A" w:rsidRDefault="00DC2F6A" w:rsidP="00DC2F6A">
      <w:pPr>
        <w:jc w:val="both"/>
        <w:rPr>
          <w:rFonts w:ascii="Times New Roman" w:hAnsi="Times New Roman" w:cs="Times New Roman"/>
          <w:sz w:val="24"/>
          <w:szCs w:val="24"/>
        </w:rPr>
      </w:pPr>
    </w:p>
    <w:p w:rsidR="00DC2F6A" w:rsidRDefault="00DC2F6A" w:rsidP="00DC2F6A">
      <w:pPr>
        <w:jc w:val="both"/>
        <w:rPr>
          <w:rFonts w:ascii="Times New Roman" w:hAnsi="Times New Roman" w:cs="Times New Roman"/>
          <w:sz w:val="24"/>
          <w:szCs w:val="24"/>
        </w:rPr>
      </w:pPr>
    </w:p>
    <w:p w:rsidR="00DC2F6A" w:rsidRDefault="00DC2F6A" w:rsidP="00DC2F6A">
      <w:pPr>
        <w:jc w:val="both"/>
        <w:rPr>
          <w:rFonts w:ascii="Times New Roman" w:hAnsi="Times New Roman" w:cs="Times New Roman"/>
          <w:sz w:val="24"/>
          <w:szCs w:val="24"/>
        </w:rPr>
      </w:pPr>
    </w:p>
    <w:p w:rsidR="00DC2F6A" w:rsidRDefault="00DC2F6A" w:rsidP="00DC2F6A">
      <w:pPr>
        <w:jc w:val="both"/>
        <w:rPr>
          <w:rFonts w:ascii="Times New Roman" w:hAnsi="Times New Roman" w:cs="Times New Roman"/>
          <w:sz w:val="24"/>
          <w:szCs w:val="24"/>
        </w:rPr>
      </w:pPr>
    </w:p>
    <w:p w:rsidR="00DC2F6A" w:rsidRPr="00DC2F6A" w:rsidRDefault="00DC2F6A" w:rsidP="00DC2F6A">
      <w:pPr>
        <w:jc w:val="center"/>
        <w:rPr>
          <w:rFonts w:ascii="Times New Roman" w:hAnsi="Times New Roman" w:cs="Times New Roman"/>
          <w:b/>
          <w:sz w:val="24"/>
          <w:szCs w:val="24"/>
        </w:rPr>
      </w:pPr>
      <w:r w:rsidRPr="00DC2F6A">
        <w:rPr>
          <w:rFonts w:ascii="Times New Roman" w:hAnsi="Times New Roman" w:cs="Times New Roman"/>
          <w:b/>
          <w:sz w:val="24"/>
          <w:szCs w:val="24"/>
        </w:rPr>
        <w:t>EXPLANATION</w:t>
      </w:r>
    </w:p>
    <w:p w:rsidR="00DC2F6A" w:rsidRPr="00DC2F6A" w:rsidRDefault="00DC2F6A" w:rsidP="00DC2F6A">
      <w:pPr>
        <w:jc w:val="both"/>
        <w:rPr>
          <w:rFonts w:ascii="Times New Roman" w:hAnsi="Times New Roman" w:cs="Times New Roman"/>
          <w:sz w:val="24"/>
          <w:szCs w:val="24"/>
        </w:rPr>
      </w:pP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The legal basis for the adoption of the Proposal for a Decision on Amendments to the Decision on the Establishment of the Coordination Body for Monitoring and Managing the Policy for the Prevention and Suppression of Irregularities for the Protection of the Financial Interests of the European Union (AFCOS Network) is contained in Article 12 of the Regulation on the Government of Montenegro ("Official Gazette of Montenegro", No. 80/08, 14/17, 28/18 and 63/22), which, among other things, stipulates that the Government shall establish working bodies to consider issues within its competence and provide opinions and proposals on these issues.</w:t>
      </w:r>
    </w:p>
    <w:p w:rsidR="00DC2F6A" w:rsidRPr="00DC2F6A" w:rsidRDefault="00DC2F6A" w:rsidP="00DC2F6A">
      <w:pPr>
        <w:jc w:val="both"/>
        <w:rPr>
          <w:rFonts w:ascii="Times New Roman" w:hAnsi="Times New Roman" w:cs="Times New Roman"/>
          <w:sz w:val="24"/>
          <w:szCs w:val="24"/>
        </w:rPr>
      </w:pPr>
      <w:r w:rsidRPr="00DC2F6A">
        <w:rPr>
          <w:rFonts w:ascii="Times New Roman" w:hAnsi="Times New Roman" w:cs="Times New Roman"/>
          <w:sz w:val="24"/>
          <w:szCs w:val="24"/>
        </w:rPr>
        <w:t>Considering that the current Decision on the establishment of the Coordination Body for Monitoring and Managing the Policy for the Prevention and Combating of Irregularities for the Protection of the Financial Interests of the European Union (AFCOS Network) has not provided sufficiently good results to respond to the challenges in relation to the prevention of irregularities and fraud that have been observed in practice, in order to further improve the system for the protection of the financial interests of the European Union, timely response and adoption of corrective measures, an amendment to the Decision has been proposed, as well as the introduction of a fee, for the purpose of more efficient operation of the AFCOS Network.</w:t>
      </w:r>
    </w:p>
    <w:sectPr w:rsidR="00DC2F6A" w:rsidRPr="00DC2F6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6A"/>
    <w:rsid w:val="00177F75"/>
    <w:rsid w:val="00242572"/>
    <w:rsid w:val="00682D88"/>
    <w:rsid w:val="00696D6D"/>
    <w:rsid w:val="00867A7C"/>
    <w:rsid w:val="00980EEF"/>
    <w:rsid w:val="00DC2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E4B24"/>
  <w15:chartTrackingRefBased/>
  <w15:docId w15:val="{48B81EC2-5A3A-4D50-AEC3-64F862BD7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C2F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850</Words>
  <Characters>4845</Characters>
  <Application>Microsoft Office Word</Application>
  <DocSecurity>0</DocSecurity>
  <Lines>40</Lines>
  <Paragraphs>11</Paragraphs>
  <ScaleCrop>false</ScaleCrop>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 Soc</dc:creator>
  <cp:keywords/>
  <dc:description/>
  <cp:lastModifiedBy>Niko Soc</cp:lastModifiedBy>
  <cp:revision>4</cp:revision>
  <dcterms:created xsi:type="dcterms:W3CDTF">2026-02-05T12:36:00Z</dcterms:created>
  <dcterms:modified xsi:type="dcterms:W3CDTF">2026-02-05T12:44:00Z</dcterms:modified>
</cp:coreProperties>
</file>