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9B8" w:rsidRDefault="00D249B8" w:rsidP="00841C97">
      <w:pPr>
        <w:tabs>
          <w:tab w:val="left" w:pos="3955"/>
        </w:tabs>
        <w:autoSpaceDE w:val="0"/>
        <w:autoSpaceDN w:val="0"/>
        <w:adjustRightInd w:val="0"/>
        <w:jc w:val="center"/>
        <w:rPr>
          <w:rFonts w:ascii="Arial" w:hAnsi="Arial" w:cs="Arial"/>
          <w:b/>
          <w:sz w:val="28"/>
          <w:szCs w:val="28"/>
          <w:lang w:val="sr-Latn-ME"/>
        </w:rPr>
      </w:pPr>
      <w:bookmarkStart w:id="0" w:name="_GoBack"/>
      <w:bookmarkEnd w:id="0"/>
    </w:p>
    <w:p w:rsidR="00D249B8" w:rsidRDefault="00D249B8" w:rsidP="00841C97">
      <w:pPr>
        <w:tabs>
          <w:tab w:val="left" w:pos="3955"/>
        </w:tabs>
        <w:autoSpaceDE w:val="0"/>
        <w:autoSpaceDN w:val="0"/>
        <w:adjustRightInd w:val="0"/>
        <w:jc w:val="center"/>
        <w:rPr>
          <w:rFonts w:ascii="Arial" w:hAnsi="Arial" w:cs="Arial"/>
          <w:b/>
          <w:sz w:val="28"/>
          <w:szCs w:val="28"/>
          <w:lang w:val="sr-Latn-ME"/>
        </w:rPr>
      </w:pPr>
    </w:p>
    <w:p w:rsidR="00D249B8" w:rsidRDefault="00D249B8" w:rsidP="00841C97">
      <w:pPr>
        <w:tabs>
          <w:tab w:val="left" w:pos="3955"/>
        </w:tabs>
        <w:autoSpaceDE w:val="0"/>
        <w:autoSpaceDN w:val="0"/>
        <w:adjustRightInd w:val="0"/>
        <w:jc w:val="center"/>
        <w:rPr>
          <w:rFonts w:ascii="Arial" w:hAnsi="Arial" w:cs="Arial"/>
          <w:b/>
          <w:sz w:val="28"/>
          <w:szCs w:val="28"/>
          <w:lang w:val="sr-Latn-ME"/>
        </w:rPr>
      </w:pPr>
      <w:r>
        <w:rPr>
          <w:rFonts w:ascii="Arial" w:hAnsi="Arial" w:cs="Arial"/>
          <w:b/>
          <w:sz w:val="28"/>
          <w:szCs w:val="28"/>
          <w:lang w:val="sr-Latn-ME"/>
        </w:rPr>
        <w:t>PRESS VLADA CRNE GORE</w:t>
      </w:r>
    </w:p>
    <w:p w:rsidR="00D249B8" w:rsidRDefault="00D249B8" w:rsidP="00841C97">
      <w:pPr>
        <w:tabs>
          <w:tab w:val="left" w:pos="3955"/>
        </w:tabs>
        <w:autoSpaceDE w:val="0"/>
        <w:autoSpaceDN w:val="0"/>
        <w:adjustRightInd w:val="0"/>
        <w:jc w:val="center"/>
        <w:rPr>
          <w:rFonts w:ascii="Arial" w:hAnsi="Arial" w:cs="Arial"/>
          <w:b/>
          <w:sz w:val="28"/>
          <w:szCs w:val="28"/>
          <w:lang w:val="sr-Latn-ME"/>
        </w:rPr>
      </w:pPr>
    </w:p>
    <w:p w:rsidR="00D249B8" w:rsidRDefault="00D249B8" w:rsidP="00841C97">
      <w:pPr>
        <w:tabs>
          <w:tab w:val="left" w:pos="3955"/>
        </w:tabs>
        <w:autoSpaceDE w:val="0"/>
        <w:autoSpaceDN w:val="0"/>
        <w:adjustRightInd w:val="0"/>
        <w:jc w:val="center"/>
        <w:rPr>
          <w:rFonts w:ascii="Arial" w:hAnsi="Arial" w:cs="Arial"/>
          <w:b/>
          <w:sz w:val="28"/>
          <w:szCs w:val="28"/>
          <w:lang w:val="sr-Latn-ME"/>
        </w:rPr>
      </w:pPr>
      <w:r>
        <w:rPr>
          <w:rFonts w:ascii="Arial" w:hAnsi="Arial" w:cs="Arial"/>
          <w:b/>
          <w:sz w:val="28"/>
          <w:szCs w:val="28"/>
          <w:lang w:val="sr-Latn-ME"/>
        </w:rPr>
        <w:t>ministarka javne uprave</w:t>
      </w:r>
      <w:r w:rsidR="00164C95">
        <w:rPr>
          <w:rFonts w:ascii="Arial" w:hAnsi="Arial" w:cs="Arial"/>
          <w:b/>
          <w:sz w:val="28"/>
          <w:szCs w:val="28"/>
          <w:lang w:val="sr-Latn-ME"/>
        </w:rPr>
        <w:t>, Suzana Pribilović</w:t>
      </w:r>
    </w:p>
    <w:p w:rsidR="00D249B8" w:rsidRDefault="00D249B8" w:rsidP="00841C97">
      <w:pPr>
        <w:tabs>
          <w:tab w:val="left" w:pos="3955"/>
        </w:tabs>
        <w:autoSpaceDE w:val="0"/>
        <w:autoSpaceDN w:val="0"/>
        <w:adjustRightInd w:val="0"/>
        <w:jc w:val="center"/>
        <w:rPr>
          <w:rFonts w:ascii="Arial" w:hAnsi="Arial" w:cs="Arial"/>
          <w:b/>
          <w:sz w:val="28"/>
          <w:szCs w:val="28"/>
          <w:lang w:val="sr-Latn-ME"/>
        </w:rPr>
      </w:pPr>
    </w:p>
    <w:p w:rsidR="00495F86" w:rsidRPr="004430A6" w:rsidRDefault="00495F86" w:rsidP="00841C97">
      <w:pPr>
        <w:tabs>
          <w:tab w:val="left" w:pos="3955"/>
        </w:tabs>
        <w:autoSpaceDE w:val="0"/>
        <w:autoSpaceDN w:val="0"/>
        <w:adjustRightInd w:val="0"/>
        <w:jc w:val="center"/>
        <w:rPr>
          <w:rFonts w:ascii="Arial" w:hAnsi="Arial" w:cs="Arial"/>
          <w:b/>
          <w:sz w:val="28"/>
          <w:szCs w:val="28"/>
          <w:lang w:val="sr-Latn-ME"/>
        </w:rPr>
      </w:pPr>
      <w:r w:rsidRPr="004430A6">
        <w:rPr>
          <w:rFonts w:ascii="Arial" w:hAnsi="Arial" w:cs="Arial"/>
          <w:b/>
          <w:sz w:val="28"/>
          <w:szCs w:val="28"/>
          <w:lang w:val="sr-Latn-ME"/>
        </w:rPr>
        <w:t>Predlog zakona o državnim službenicima i namještenicima</w:t>
      </w:r>
    </w:p>
    <w:p w:rsidR="00495F86" w:rsidRDefault="00FB2A29" w:rsidP="00841C97">
      <w:pPr>
        <w:tabs>
          <w:tab w:val="left" w:pos="3955"/>
        </w:tabs>
        <w:autoSpaceDE w:val="0"/>
        <w:autoSpaceDN w:val="0"/>
        <w:adjustRightInd w:val="0"/>
        <w:jc w:val="center"/>
        <w:rPr>
          <w:rFonts w:ascii="Arial" w:hAnsi="Arial" w:cs="Arial"/>
          <w:b/>
          <w:sz w:val="28"/>
          <w:szCs w:val="28"/>
          <w:lang w:val="sr-Latn-ME"/>
        </w:rPr>
      </w:pPr>
      <w:r w:rsidRPr="004430A6">
        <w:rPr>
          <w:rFonts w:ascii="Arial" w:hAnsi="Arial" w:cs="Arial"/>
          <w:b/>
          <w:sz w:val="28"/>
          <w:szCs w:val="28"/>
          <w:lang w:val="sr-Latn-ME"/>
        </w:rPr>
        <w:t>Izjava za medije</w:t>
      </w:r>
    </w:p>
    <w:p w:rsidR="009531AA" w:rsidRPr="004430A6" w:rsidRDefault="009531AA" w:rsidP="00841C97">
      <w:pPr>
        <w:tabs>
          <w:tab w:val="left" w:pos="3955"/>
        </w:tabs>
        <w:autoSpaceDE w:val="0"/>
        <w:autoSpaceDN w:val="0"/>
        <w:adjustRightInd w:val="0"/>
        <w:jc w:val="center"/>
        <w:rPr>
          <w:rFonts w:ascii="Arial" w:hAnsi="Arial" w:cs="Arial"/>
          <w:b/>
          <w:sz w:val="28"/>
          <w:szCs w:val="28"/>
          <w:lang w:val="sr-Latn-ME"/>
        </w:rPr>
      </w:pPr>
    </w:p>
    <w:p w:rsidR="00FB2A29" w:rsidRPr="004430A6" w:rsidRDefault="00FB2A29" w:rsidP="00841C97">
      <w:pPr>
        <w:tabs>
          <w:tab w:val="left" w:pos="3955"/>
        </w:tabs>
        <w:autoSpaceDE w:val="0"/>
        <w:autoSpaceDN w:val="0"/>
        <w:adjustRightInd w:val="0"/>
        <w:jc w:val="center"/>
        <w:rPr>
          <w:rFonts w:ascii="Arial" w:hAnsi="Arial" w:cs="Arial"/>
          <w:b/>
          <w:sz w:val="28"/>
          <w:szCs w:val="28"/>
          <w:lang w:val="sr-Latn-ME"/>
        </w:rPr>
      </w:pPr>
    </w:p>
    <w:p w:rsidR="00495F86" w:rsidRPr="004430A6" w:rsidRDefault="00841C97" w:rsidP="009531AA">
      <w:pPr>
        <w:tabs>
          <w:tab w:val="left" w:pos="9360"/>
        </w:tabs>
        <w:autoSpaceDE w:val="0"/>
        <w:autoSpaceDN w:val="0"/>
        <w:adjustRightInd w:val="0"/>
        <w:jc w:val="both"/>
        <w:rPr>
          <w:rFonts w:ascii="Arial" w:hAnsi="Arial" w:cs="Arial"/>
          <w:sz w:val="26"/>
          <w:szCs w:val="26"/>
          <w:lang w:val="sr-Latn-ME"/>
        </w:rPr>
      </w:pPr>
      <w:r w:rsidRPr="004430A6">
        <w:rPr>
          <w:rFonts w:ascii="Arial" w:hAnsi="Arial" w:cs="Arial"/>
          <w:sz w:val="26"/>
          <w:szCs w:val="26"/>
          <w:lang w:val="sr-Latn-ME"/>
        </w:rPr>
        <w:t>Poštovani predstavnici medija,</w:t>
      </w:r>
    </w:p>
    <w:p w:rsidR="00495F86" w:rsidRPr="004430A6" w:rsidRDefault="00495F86" w:rsidP="009531AA">
      <w:pPr>
        <w:tabs>
          <w:tab w:val="left" w:pos="9360"/>
        </w:tabs>
        <w:autoSpaceDE w:val="0"/>
        <w:autoSpaceDN w:val="0"/>
        <w:adjustRightInd w:val="0"/>
        <w:jc w:val="both"/>
        <w:rPr>
          <w:rFonts w:ascii="Arial" w:hAnsi="Arial" w:cs="Arial"/>
          <w:sz w:val="26"/>
          <w:szCs w:val="26"/>
          <w:lang w:val="sr-Latn-ME"/>
        </w:rPr>
      </w:pPr>
    </w:p>
    <w:p w:rsidR="004430A6" w:rsidRP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 xml:space="preserve">Na današnjoj sjednici Vlada je utvrdila Predlog zakona o državnim službenicima i namještenicima čijim rješenjima je dodatno unaprijeđen normativni okvir za službenički sistem, stvoreni uslovi za kvalitetnije upravljanje ljudskim </w:t>
      </w:r>
      <w:r>
        <w:rPr>
          <w:rFonts w:ascii="Arial" w:hAnsi="Arial" w:cs="Arial"/>
          <w:color w:val="000000"/>
          <w:sz w:val="26"/>
          <w:szCs w:val="26"/>
          <w:lang w:val="sr-Latn-ME"/>
        </w:rPr>
        <w:t xml:space="preserve">resursima u smislu </w:t>
      </w:r>
      <w:r w:rsidRPr="004430A6">
        <w:rPr>
          <w:rFonts w:ascii="Arial" w:hAnsi="Arial" w:cs="Arial"/>
          <w:color w:val="000000"/>
          <w:sz w:val="26"/>
          <w:szCs w:val="26"/>
          <w:lang w:val="sr-Latn-ME"/>
        </w:rPr>
        <w:t>zapošljavanja i napredovanja po sistemu zasluga, te jačanje profesionalizma, odgovornosti, otvorenosti i efikasnosti, kako na državnom, tako i na lokalnom nivou.</w:t>
      </w:r>
    </w:p>
    <w:p w:rsidR="004430A6" w:rsidRP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Moram da naglasim da je Zakon pripreman u atmosferi otvorenog dijaloga sa svim zainteresovanim javnostima, i mimo onoga što predstavlja našu zakonsku obavezu, pa smo tokom ovog procesa, održali više javnih rasprava i dodatnih konsultacija sa domaćom javnosti, ali i sa Evropskom komisijom, koja je dala punu podršku predloženim rješenjima.</w:t>
      </w:r>
    </w:p>
    <w:p w:rsidR="004430A6" w:rsidRP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Donošenjem ovog zakona u roku planiranom Strategijom reforme javne uprave za period 2016-2020. Vlada pokazuje jasno opredjeljenje i punu posvećenost ostvarenju zacrtanih strateških ciljeva u oblasti reforme javne uprave.</w:t>
      </w:r>
      <w:r w:rsidRPr="004430A6">
        <w:rPr>
          <w:rFonts w:ascii="Arial" w:hAnsi="Arial" w:cs="Arial"/>
          <w:color w:val="000000"/>
          <w:sz w:val="26"/>
          <w:szCs w:val="26"/>
          <w:lang w:val="sr-Latn-ME"/>
        </w:rPr>
        <w:br/>
      </w:r>
      <w:r w:rsidRPr="004430A6">
        <w:rPr>
          <w:rFonts w:ascii="Arial" w:hAnsi="Arial" w:cs="Arial"/>
          <w:color w:val="000000"/>
          <w:sz w:val="26"/>
          <w:szCs w:val="26"/>
          <w:lang w:val="sr-Latn-ME"/>
        </w:rPr>
        <w:br/>
        <w:t>Predloženim rješenjima uvodi se niz novina u oblasti zapošljavanja</w:t>
      </w:r>
      <w:r w:rsidR="00D249B8">
        <w:rPr>
          <w:rFonts w:ascii="Arial" w:hAnsi="Arial" w:cs="Arial"/>
          <w:color w:val="000000"/>
          <w:sz w:val="26"/>
          <w:szCs w:val="26"/>
          <w:lang w:val="sr-Latn-ME"/>
        </w:rPr>
        <w:t>, skraćuju se i pojednostavljuju</w:t>
      </w:r>
      <w:r w:rsidRPr="004430A6">
        <w:rPr>
          <w:rFonts w:ascii="Arial" w:hAnsi="Arial" w:cs="Arial"/>
          <w:color w:val="000000"/>
          <w:sz w:val="26"/>
          <w:szCs w:val="26"/>
          <w:lang w:val="sr-Latn-ME"/>
        </w:rPr>
        <w:t xml:space="preserve"> p</w:t>
      </w:r>
      <w:r w:rsidR="00D249B8">
        <w:rPr>
          <w:rFonts w:ascii="Arial" w:hAnsi="Arial" w:cs="Arial"/>
          <w:color w:val="000000"/>
          <w:sz w:val="26"/>
          <w:szCs w:val="26"/>
          <w:lang w:val="sr-Latn-ME"/>
        </w:rPr>
        <w:t>rocedure zapošljavanja, te unap</w:t>
      </w:r>
      <w:r w:rsidRPr="004430A6">
        <w:rPr>
          <w:rFonts w:ascii="Arial" w:hAnsi="Arial" w:cs="Arial"/>
          <w:color w:val="000000"/>
          <w:sz w:val="26"/>
          <w:szCs w:val="26"/>
          <w:lang w:val="sr-Latn-ME"/>
        </w:rPr>
        <w:t>ređuju interne procedure transfera kadrova između i unutar državne uprave, unapređuje sistem nagrađivanja, a poseban naglasak je stavljen na veću profesionalizaciju i odgovornost najviših rukovodećih kadrova.</w:t>
      </w:r>
    </w:p>
    <w:p w:rsidR="004430A6" w:rsidRP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Najznačajnije novine su:</w:t>
      </w:r>
    </w:p>
    <w:p w:rsidR="004430A6" w:rsidRP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 xml:space="preserve">•        </w:t>
      </w:r>
      <w:r w:rsidR="00D249B8">
        <w:rPr>
          <w:rFonts w:ascii="Arial" w:hAnsi="Arial" w:cs="Arial"/>
          <w:color w:val="000000"/>
          <w:sz w:val="26"/>
          <w:szCs w:val="26"/>
          <w:lang w:val="sr-Latn-ME"/>
        </w:rPr>
        <w:t>S</w:t>
      </w:r>
      <w:r w:rsidRPr="004430A6">
        <w:rPr>
          <w:rFonts w:ascii="Arial" w:hAnsi="Arial" w:cs="Arial"/>
          <w:color w:val="000000"/>
          <w:sz w:val="26"/>
          <w:szCs w:val="26"/>
          <w:lang w:val="sr-Latn-ME"/>
        </w:rPr>
        <w:t xml:space="preserve">tarješine organa </w:t>
      </w:r>
      <w:r w:rsidR="00D249B8">
        <w:rPr>
          <w:rFonts w:ascii="Arial" w:hAnsi="Arial" w:cs="Arial"/>
          <w:color w:val="000000"/>
          <w:sz w:val="26"/>
          <w:szCs w:val="26"/>
          <w:lang w:val="sr-Latn-ME"/>
        </w:rPr>
        <w:t>prepoznate su kao nova i posebna kategorija državnih službenika i izmijenjeni su uslovi za vršenje poslova u svim kategorijama</w:t>
      </w:r>
      <w:r w:rsidRPr="004430A6">
        <w:rPr>
          <w:rFonts w:ascii="Arial" w:hAnsi="Arial" w:cs="Arial"/>
          <w:color w:val="000000"/>
          <w:sz w:val="26"/>
          <w:szCs w:val="26"/>
          <w:lang w:val="sr-Latn-ME"/>
        </w:rPr>
        <w:t>;</w:t>
      </w:r>
    </w:p>
    <w:p w:rsidR="004430A6" w:rsidRP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lastRenderedPageBreak/>
        <w:br/>
        <w:t>•        Predloženo je uvođenje tzv. kompentencija po ugledu na pozitivne evropske prakse;</w:t>
      </w:r>
    </w:p>
    <w:p w:rsidR="004430A6" w:rsidRP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        Takođe, umjesto internog oglasa unutar državnog organa i internog oglasa između državnih organa, predlog zakona sada poznaje samo interni oglas, na koji se pored državnih službenika mogu javiti i lokalni službenici, što će doprinijeti jačoj konkurentnosti pri zapošljavanja i većoj mobilnosti zaposlenih. Na ovaj način skraćena je i procedura zapošljavanja, pa će za popunu radnog mjesta biti potrebno manje vremena;</w:t>
      </w:r>
    </w:p>
    <w:p w:rsidR="004430A6" w:rsidRP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        Postupak selekcije za rad u državnim organima obuhvataće provjeru znanja, vještina, sposobnosti i kompetencija, u zavisnosti od kategorije, što za rezultat treba da ima izbor najkompetentnijih kandidata;</w:t>
      </w:r>
    </w:p>
    <w:p w:rsidR="004430A6" w:rsidRP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        Bitna novina je i da će odluku o izboru u ministarstvima donositi  lice iz kategorije visoki rukovodni kadar (pomoćnici ministara)</w:t>
      </w:r>
      <w:r w:rsidR="00D249B8">
        <w:rPr>
          <w:rFonts w:ascii="Arial" w:hAnsi="Arial" w:cs="Arial"/>
          <w:color w:val="000000"/>
          <w:sz w:val="26"/>
          <w:szCs w:val="26"/>
          <w:lang w:val="sr-Latn-ME"/>
        </w:rPr>
        <w:t xml:space="preserve"> kao i rukovodioci organizacione jedinice</w:t>
      </w:r>
      <w:r w:rsidRPr="004430A6">
        <w:rPr>
          <w:rFonts w:ascii="Arial" w:hAnsi="Arial" w:cs="Arial"/>
          <w:color w:val="000000"/>
          <w:sz w:val="26"/>
          <w:szCs w:val="26"/>
          <w:lang w:val="sr-Latn-ME"/>
        </w:rPr>
        <w:t xml:space="preserve"> u kojoj se vrši popuna radnog mjesta, </w:t>
      </w:r>
      <w:r w:rsidR="00325CCC">
        <w:rPr>
          <w:rFonts w:ascii="Arial" w:hAnsi="Arial" w:cs="Arial"/>
          <w:color w:val="000000"/>
          <w:sz w:val="26"/>
          <w:szCs w:val="26"/>
          <w:lang w:val="sr-Latn-ME"/>
        </w:rPr>
        <w:t xml:space="preserve"> čime </w:t>
      </w:r>
      <w:r w:rsidRPr="004430A6">
        <w:rPr>
          <w:rFonts w:ascii="Arial" w:hAnsi="Arial" w:cs="Arial"/>
          <w:color w:val="000000"/>
          <w:sz w:val="26"/>
          <w:szCs w:val="26"/>
          <w:lang w:val="sr-Latn-ME"/>
        </w:rPr>
        <w:t>se ispunjava jedna od ključnih preporuka EK da se pored transparentnog postupka provjere i na ovaj način obezbijedi profesionalizacija državne administracije.</w:t>
      </w:r>
    </w:p>
    <w:p w:rsidR="004430A6" w:rsidRP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 xml:space="preserve">•        </w:t>
      </w:r>
      <w:r w:rsidR="00D249B8">
        <w:rPr>
          <w:rFonts w:ascii="Arial" w:hAnsi="Arial" w:cs="Arial"/>
          <w:color w:val="000000"/>
          <w:sz w:val="26"/>
          <w:szCs w:val="26"/>
          <w:lang w:val="sr-Latn-ME"/>
        </w:rPr>
        <w:t>Predlogom</w:t>
      </w:r>
      <w:r w:rsidRPr="004430A6">
        <w:rPr>
          <w:rFonts w:ascii="Arial" w:hAnsi="Arial" w:cs="Arial"/>
          <w:color w:val="000000"/>
          <w:sz w:val="26"/>
          <w:szCs w:val="26"/>
          <w:lang w:val="sr-Latn-ME"/>
        </w:rPr>
        <w:t xml:space="preserve"> </w:t>
      </w:r>
      <w:r w:rsidR="00D249B8">
        <w:rPr>
          <w:rFonts w:ascii="Arial" w:hAnsi="Arial" w:cs="Arial"/>
          <w:color w:val="000000"/>
          <w:sz w:val="26"/>
          <w:szCs w:val="26"/>
          <w:lang w:val="sr-Latn-ME"/>
        </w:rPr>
        <w:t>zakona</w:t>
      </w:r>
      <w:r w:rsidRPr="004430A6">
        <w:rPr>
          <w:rFonts w:ascii="Arial" w:hAnsi="Arial" w:cs="Arial"/>
          <w:color w:val="000000"/>
          <w:sz w:val="26"/>
          <w:szCs w:val="26"/>
          <w:lang w:val="sr-Latn-ME"/>
        </w:rPr>
        <w:t xml:space="preserve"> predvidjeli smo pojednostavljenje procedura i smanjenje troškova kandidatima koji apliciraju za rad u državnim organima, jer će uvjerenje o zdravstvenoj sposobnosti dostavljati samo izabrani kandidat, čime se smanjuju troškovi kandidatima;</w:t>
      </w:r>
    </w:p>
    <w:p w:rsidR="001816F4"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        Predložena je izmjena sastava Komisije koja vrši provjeru sposobnosti, na način da je pored predstavnika organa za upravljanje kadrovima, čine predstavnik državnog organa koji, po pravilu, mora biti rukovodilac organizacione jedinice u kojoj se vrši popunjavanje radnog mjesta i stručno lice iz odgovarajuće</w:t>
      </w:r>
      <w:r w:rsidR="001816F4">
        <w:rPr>
          <w:rFonts w:ascii="Arial" w:hAnsi="Arial" w:cs="Arial"/>
          <w:color w:val="000000"/>
          <w:sz w:val="26"/>
          <w:szCs w:val="26"/>
          <w:lang w:val="sr-Latn-ME"/>
        </w:rPr>
        <w:t xml:space="preserve"> oblasti obrazovanja;</w:t>
      </w:r>
    </w:p>
    <w:p w:rsidR="004430A6"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t xml:space="preserve"> </w:t>
      </w:r>
      <w:r w:rsidRPr="004430A6">
        <w:rPr>
          <w:rFonts w:ascii="Arial" w:hAnsi="Arial" w:cs="Arial"/>
          <w:color w:val="000000"/>
          <w:sz w:val="26"/>
          <w:szCs w:val="26"/>
          <w:lang w:val="sr-Latn-ME"/>
        </w:rPr>
        <w:br/>
        <w:t>•       </w:t>
      </w:r>
      <w:r w:rsidR="00325CCC">
        <w:rPr>
          <w:rFonts w:ascii="Arial" w:hAnsi="Arial" w:cs="Arial"/>
          <w:color w:val="000000"/>
          <w:sz w:val="26"/>
          <w:szCs w:val="26"/>
          <w:lang w:val="sr-Latn-ME"/>
        </w:rPr>
        <w:t>Izvršena je</w:t>
      </w:r>
      <w:r w:rsidRPr="004430A6">
        <w:rPr>
          <w:rFonts w:ascii="Arial" w:hAnsi="Arial" w:cs="Arial"/>
          <w:color w:val="000000"/>
          <w:sz w:val="26"/>
          <w:szCs w:val="26"/>
          <w:lang w:val="sr-Latn-ME"/>
        </w:rPr>
        <w:t xml:space="preserve"> </w:t>
      </w:r>
      <w:r w:rsidR="00325CCC">
        <w:rPr>
          <w:rFonts w:ascii="Arial" w:hAnsi="Arial" w:cs="Arial"/>
          <w:color w:val="000000"/>
          <w:sz w:val="26"/>
          <w:szCs w:val="26"/>
          <w:lang w:val="sr-Latn-ME"/>
        </w:rPr>
        <w:t>p</w:t>
      </w:r>
      <w:r w:rsidRPr="004430A6">
        <w:rPr>
          <w:rFonts w:ascii="Arial" w:hAnsi="Arial" w:cs="Arial"/>
          <w:color w:val="000000"/>
          <w:sz w:val="26"/>
          <w:szCs w:val="26"/>
          <w:lang w:val="sr-Latn-ME"/>
        </w:rPr>
        <w:t>romjena kriterijuma za ocjenjivanje državnih službenika i namještenika; te pooštravanje težih povreda službene dužnosti, kao i razlozi za prestanak radnog o</w:t>
      </w:r>
      <w:r w:rsidR="00325CCC">
        <w:rPr>
          <w:rFonts w:ascii="Arial" w:hAnsi="Arial" w:cs="Arial"/>
          <w:color w:val="000000"/>
          <w:sz w:val="26"/>
          <w:szCs w:val="26"/>
          <w:lang w:val="sr-Latn-ME"/>
        </w:rPr>
        <w:t>d</w:t>
      </w:r>
      <w:r w:rsidRPr="004430A6">
        <w:rPr>
          <w:rFonts w:ascii="Arial" w:hAnsi="Arial" w:cs="Arial"/>
          <w:color w:val="000000"/>
          <w:sz w:val="26"/>
          <w:szCs w:val="26"/>
          <w:lang w:val="sr-Latn-ME"/>
        </w:rPr>
        <w:t>nosa po sili zakona, a sa druge strane se uvodi mogućnost napredovanja službenika u više zvanje;</w:t>
      </w:r>
    </w:p>
    <w:p w:rsidR="009531AA" w:rsidRDefault="004430A6" w:rsidP="009531AA">
      <w:pPr>
        <w:jc w:val="both"/>
        <w:rPr>
          <w:rFonts w:ascii="Arial" w:hAnsi="Arial" w:cs="Arial"/>
          <w:color w:val="000000"/>
          <w:sz w:val="26"/>
          <w:szCs w:val="26"/>
          <w:lang w:val="sr-Latn-ME"/>
        </w:rPr>
      </w:pPr>
      <w:r w:rsidRPr="004430A6">
        <w:rPr>
          <w:rFonts w:ascii="Arial" w:hAnsi="Arial" w:cs="Arial"/>
          <w:color w:val="000000"/>
          <w:sz w:val="26"/>
          <w:szCs w:val="26"/>
          <w:lang w:val="sr-Latn-ME"/>
        </w:rPr>
        <w:br/>
        <w:t>•       </w:t>
      </w:r>
      <w:r w:rsidR="00D639B1">
        <w:rPr>
          <w:rFonts w:ascii="Arial" w:hAnsi="Arial" w:cs="Arial"/>
          <w:color w:val="000000"/>
          <w:sz w:val="26"/>
          <w:szCs w:val="26"/>
          <w:lang w:val="sr-Latn-ME"/>
        </w:rPr>
        <w:t>P</w:t>
      </w:r>
      <w:r w:rsidRPr="004430A6">
        <w:rPr>
          <w:rFonts w:ascii="Arial" w:hAnsi="Arial" w:cs="Arial"/>
          <w:color w:val="000000"/>
          <w:sz w:val="26"/>
          <w:szCs w:val="26"/>
          <w:lang w:val="sr-Latn-ME"/>
        </w:rPr>
        <w:t>redlog je da Disciplinska komisija za teže povrede službene dužnosti ima predsjednika i 4 člana koje nakon konkursa Vlada imenuje na period od pet godina i da oni funkciju obavljaju profesionalno</w:t>
      </w:r>
      <w:r w:rsidR="009531AA">
        <w:rPr>
          <w:rFonts w:ascii="Arial" w:hAnsi="Arial" w:cs="Arial"/>
          <w:color w:val="000000"/>
          <w:sz w:val="26"/>
          <w:szCs w:val="26"/>
          <w:lang w:val="sr-Latn-ME"/>
        </w:rPr>
        <w:t>;</w:t>
      </w:r>
    </w:p>
    <w:p w:rsidR="005E0AB3" w:rsidRPr="004430A6" w:rsidRDefault="004430A6" w:rsidP="009531AA">
      <w:pPr>
        <w:jc w:val="both"/>
        <w:rPr>
          <w:rFonts w:ascii="Arial" w:hAnsi="Arial" w:cs="Arial"/>
          <w:sz w:val="26"/>
          <w:szCs w:val="26"/>
          <w:lang w:val="sr-Latn-ME"/>
        </w:rPr>
      </w:pPr>
      <w:r w:rsidRPr="004430A6">
        <w:rPr>
          <w:rFonts w:ascii="Arial" w:hAnsi="Arial" w:cs="Arial"/>
          <w:color w:val="000000"/>
          <w:sz w:val="26"/>
          <w:szCs w:val="26"/>
          <w:lang w:val="sr-Latn-ME"/>
        </w:rPr>
        <w:br/>
        <w:t>•        Takođe, predlaže se da predsjednik i članovi Komisije za žalbe tu funkciju obavljaju profesionalno.</w:t>
      </w:r>
    </w:p>
    <w:sectPr w:rsidR="005E0AB3" w:rsidRPr="004430A6" w:rsidSect="000D2E0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A2" w:rsidRDefault="00A56CA2" w:rsidP="00495F86">
      <w:r>
        <w:separator/>
      </w:r>
    </w:p>
  </w:endnote>
  <w:endnote w:type="continuationSeparator" w:id="0">
    <w:p w:rsidR="00A56CA2" w:rsidRDefault="00A56CA2" w:rsidP="0049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A2" w:rsidRDefault="00A56CA2" w:rsidP="00495F86">
      <w:r>
        <w:separator/>
      </w:r>
    </w:p>
  </w:footnote>
  <w:footnote w:type="continuationSeparator" w:id="0">
    <w:p w:rsidR="00A56CA2" w:rsidRDefault="00A56CA2" w:rsidP="00495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5D91"/>
    <w:multiLevelType w:val="hybridMultilevel"/>
    <w:tmpl w:val="103E9D38"/>
    <w:lvl w:ilvl="0" w:tplc="581CBA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A3E0B"/>
    <w:multiLevelType w:val="hybridMultilevel"/>
    <w:tmpl w:val="E5EE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A05C0"/>
    <w:multiLevelType w:val="hybridMultilevel"/>
    <w:tmpl w:val="A13CF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DD7FC1"/>
    <w:multiLevelType w:val="hybridMultilevel"/>
    <w:tmpl w:val="CCA8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157033"/>
    <w:multiLevelType w:val="hybridMultilevel"/>
    <w:tmpl w:val="5CD25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2A4CD5"/>
    <w:multiLevelType w:val="hybridMultilevel"/>
    <w:tmpl w:val="1472CF92"/>
    <w:lvl w:ilvl="0" w:tplc="0409000B">
      <w:start w:val="1"/>
      <w:numFmt w:val="bullet"/>
      <w:lvlText w:val=""/>
      <w:lvlJc w:val="left"/>
      <w:pPr>
        <w:ind w:left="4754" w:hanging="360"/>
      </w:pPr>
      <w:rPr>
        <w:rFonts w:ascii="Wingdings" w:hAnsi="Wingdings" w:hint="default"/>
      </w:rPr>
    </w:lvl>
    <w:lvl w:ilvl="1" w:tplc="04090003" w:tentative="1">
      <w:start w:val="1"/>
      <w:numFmt w:val="bullet"/>
      <w:lvlText w:val="o"/>
      <w:lvlJc w:val="left"/>
      <w:pPr>
        <w:ind w:left="5474" w:hanging="360"/>
      </w:pPr>
      <w:rPr>
        <w:rFonts w:ascii="Courier New" w:hAnsi="Courier New" w:cs="Courier New" w:hint="default"/>
      </w:rPr>
    </w:lvl>
    <w:lvl w:ilvl="2" w:tplc="04090005" w:tentative="1">
      <w:start w:val="1"/>
      <w:numFmt w:val="bullet"/>
      <w:lvlText w:val=""/>
      <w:lvlJc w:val="left"/>
      <w:pPr>
        <w:ind w:left="6194" w:hanging="360"/>
      </w:pPr>
      <w:rPr>
        <w:rFonts w:ascii="Wingdings" w:hAnsi="Wingdings" w:hint="default"/>
      </w:rPr>
    </w:lvl>
    <w:lvl w:ilvl="3" w:tplc="04090001" w:tentative="1">
      <w:start w:val="1"/>
      <w:numFmt w:val="bullet"/>
      <w:lvlText w:val=""/>
      <w:lvlJc w:val="left"/>
      <w:pPr>
        <w:ind w:left="6914" w:hanging="360"/>
      </w:pPr>
      <w:rPr>
        <w:rFonts w:ascii="Symbol" w:hAnsi="Symbol" w:hint="default"/>
      </w:rPr>
    </w:lvl>
    <w:lvl w:ilvl="4" w:tplc="04090003" w:tentative="1">
      <w:start w:val="1"/>
      <w:numFmt w:val="bullet"/>
      <w:lvlText w:val="o"/>
      <w:lvlJc w:val="left"/>
      <w:pPr>
        <w:ind w:left="7634" w:hanging="360"/>
      </w:pPr>
      <w:rPr>
        <w:rFonts w:ascii="Courier New" w:hAnsi="Courier New" w:cs="Courier New" w:hint="default"/>
      </w:rPr>
    </w:lvl>
    <w:lvl w:ilvl="5" w:tplc="04090005" w:tentative="1">
      <w:start w:val="1"/>
      <w:numFmt w:val="bullet"/>
      <w:lvlText w:val=""/>
      <w:lvlJc w:val="left"/>
      <w:pPr>
        <w:ind w:left="8354" w:hanging="360"/>
      </w:pPr>
      <w:rPr>
        <w:rFonts w:ascii="Wingdings" w:hAnsi="Wingdings" w:hint="default"/>
      </w:rPr>
    </w:lvl>
    <w:lvl w:ilvl="6" w:tplc="04090001" w:tentative="1">
      <w:start w:val="1"/>
      <w:numFmt w:val="bullet"/>
      <w:lvlText w:val=""/>
      <w:lvlJc w:val="left"/>
      <w:pPr>
        <w:ind w:left="9074" w:hanging="360"/>
      </w:pPr>
      <w:rPr>
        <w:rFonts w:ascii="Symbol" w:hAnsi="Symbol" w:hint="default"/>
      </w:rPr>
    </w:lvl>
    <w:lvl w:ilvl="7" w:tplc="04090003" w:tentative="1">
      <w:start w:val="1"/>
      <w:numFmt w:val="bullet"/>
      <w:lvlText w:val="o"/>
      <w:lvlJc w:val="left"/>
      <w:pPr>
        <w:ind w:left="9794" w:hanging="360"/>
      </w:pPr>
      <w:rPr>
        <w:rFonts w:ascii="Courier New" w:hAnsi="Courier New" w:cs="Courier New" w:hint="default"/>
      </w:rPr>
    </w:lvl>
    <w:lvl w:ilvl="8" w:tplc="04090005" w:tentative="1">
      <w:start w:val="1"/>
      <w:numFmt w:val="bullet"/>
      <w:lvlText w:val=""/>
      <w:lvlJc w:val="left"/>
      <w:pPr>
        <w:ind w:left="10514"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86"/>
    <w:rsid w:val="00164C95"/>
    <w:rsid w:val="001816F4"/>
    <w:rsid w:val="00325CCC"/>
    <w:rsid w:val="003736DA"/>
    <w:rsid w:val="004430A6"/>
    <w:rsid w:val="004518BB"/>
    <w:rsid w:val="004818F0"/>
    <w:rsid w:val="00495F86"/>
    <w:rsid w:val="004A6370"/>
    <w:rsid w:val="004C0244"/>
    <w:rsid w:val="005F3C40"/>
    <w:rsid w:val="00655433"/>
    <w:rsid w:val="008340CC"/>
    <w:rsid w:val="00841C97"/>
    <w:rsid w:val="008E1301"/>
    <w:rsid w:val="009531AA"/>
    <w:rsid w:val="00971FAD"/>
    <w:rsid w:val="00A56CA2"/>
    <w:rsid w:val="00BA34EB"/>
    <w:rsid w:val="00C2055C"/>
    <w:rsid w:val="00C77650"/>
    <w:rsid w:val="00D249B8"/>
    <w:rsid w:val="00D639B1"/>
    <w:rsid w:val="00D74D75"/>
    <w:rsid w:val="00FB2A29"/>
    <w:rsid w:val="00FF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8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F86"/>
    <w:pPr>
      <w:ind w:left="720"/>
      <w:contextualSpacing/>
    </w:pPr>
  </w:style>
  <w:style w:type="paragraph" w:styleId="Header">
    <w:name w:val="header"/>
    <w:basedOn w:val="Normal"/>
    <w:link w:val="HeaderChar"/>
    <w:uiPriority w:val="99"/>
    <w:unhideWhenUsed/>
    <w:rsid w:val="00495F86"/>
    <w:pPr>
      <w:tabs>
        <w:tab w:val="center" w:pos="4680"/>
        <w:tab w:val="right" w:pos="9360"/>
      </w:tabs>
    </w:pPr>
  </w:style>
  <w:style w:type="character" w:customStyle="1" w:styleId="HeaderChar">
    <w:name w:val="Header Char"/>
    <w:basedOn w:val="DefaultParagraphFont"/>
    <w:link w:val="Header"/>
    <w:uiPriority w:val="99"/>
    <w:rsid w:val="00495F86"/>
    <w:rPr>
      <w:rFonts w:ascii="Times New Roman" w:eastAsia="Calibri" w:hAnsi="Times New Roman" w:cs="Times New Roman"/>
      <w:sz w:val="24"/>
      <w:szCs w:val="24"/>
    </w:rPr>
  </w:style>
  <w:style w:type="paragraph" w:styleId="Footer">
    <w:name w:val="footer"/>
    <w:basedOn w:val="Normal"/>
    <w:link w:val="FooterChar"/>
    <w:uiPriority w:val="99"/>
    <w:unhideWhenUsed/>
    <w:rsid w:val="00495F86"/>
    <w:pPr>
      <w:tabs>
        <w:tab w:val="center" w:pos="4680"/>
        <w:tab w:val="right" w:pos="9360"/>
      </w:tabs>
    </w:pPr>
  </w:style>
  <w:style w:type="character" w:customStyle="1" w:styleId="FooterChar">
    <w:name w:val="Footer Char"/>
    <w:basedOn w:val="DefaultParagraphFont"/>
    <w:link w:val="Footer"/>
    <w:uiPriority w:val="99"/>
    <w:rsid w:val="00495F86"/>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8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F86"/>
    <w:pPr>
      <w:ind w:left="720"/>
      <w:contextualSpacing/>
    </w:pPr>
  </w:style>
  <w:style w:type="paragraph" w:styleId="Header">
    <w:name w:val="header"/>
    <w:basedOn w:val="Normal"/>
    <w:link w:val="HeaderChar"/>
    <w:uiPriority w:val="99"/>
    <w:unhideWhenUsed/>
    <w:rsid w:val="00495F86"/>
    <w:pPr>
      <w:tabs>
        <w:tab w:val="center" w:pos="4680"/>
        <w:tab w:val="right" w:pos="9360"/>
      </w:tabs>
    </w:pPr>
  </w:style>
  <w:style w:type="character" w:customStyle="1" w:styleId="HeaderChar">
    <w:name w:val="Header Char"/>
    <w:basedOn w:val="DefaultParagraphFont"/>
    <w:link w:val="Header"/>
    <w:uiPriority w:val="99"/>
    <w:rsid w:val="00495F86"/>
    <w:rPr>
      <w:rFonts w:ascii="Times New Roman" w:eastAsia="Calibri" w:hAnsi="Times New Roman" w:cs="Times New Roman"/>
      <w:sz w:val="24"/>
      <w:szCs w:val="24"/>
    </w:rPr>
  </w:style>
  <w:style w:type="paragraph" w:styleId="Footer">
    <w:name w:val="footer"/>
    <w:basedOn w:val="Normal"/>
    <w:link w:val="FooterChar"/>
    <w:uiPriority w:val="99"/>
    <w:unhideWhenUsed/>
    <w:rsid w:val="00495F86"/>
    <w:pPr>
      <w:tabs>
        <w:tab w:val="center" w:pos="4680"/>
        <w:tab w:val="right" w:pos="9360"/>
      </w:tabs>
    </w:pPr>
  </w:style>
  <w:style w:type="character" w:customStyle="1" w:styleId="FooterChar">
    <w:name w:val="Footer Char"/>
    <w:basedOn w:val="DefaultParagraphFont"/>
    <w:link w:val="Footer"/>
    <w:uiPriority w:val="99"/>
    <w:rsid w:val="00495F86"/>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emina.kalac</cp:lastModifiedBy>
  <cp:revision>2</cp:revision>
  <dcterms:created xsi:type="dcterms:W3CDTF">2017-12-07T15:24:00Z</dcterms:created>
  <dcterms:modified xsi:type="dcterms:W3CDTF">2017-12-07T15:24:00Z</dcterms:modified>
</cp:coreProperties>
</file>