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F78E5" w14:textId="77777777" w:rsidR="00451F6C" w:rsidRPr="006C2F5C" w:rsidRDefault="00451F6C" w:rsidP="00EC3328">
      <w:pPr>
        <w:spacing w:before="0" w:after="0" w:line="240" w:lineRule="auto"/>
        <w:rPr>
          <w:rFonts w:asciiTheme="majorHAnsi" w:hAnsiTheme="majorHAnsi" w:cs="Arial"/>
          <w:bCs/>
          <w:lang w:val="hr-HR"/>
        </w:rPr>
      </w:pPr>
    </w:p>
    <w:p w14:paraId="598DE951" w14:textId="77777777" w:rsidR="00A055A2" w:rsidRPr="006C2F5C" w:rsidRDefault="00A055A2" w:rsidP="00EC3328">
      <w:pPr>
        <w:tabs>
          <w:tab w:val="left" w:pos="1134"/>
          <w:tab w:val="left" w:pos="7797"/>
        </w:tabs>
        <w:spacing w:before="0" w:after="0" w:line="240" w:lineRule="auto"/>
        <w:rPr>
          <w:rFonts w:asciiTheme="majorHAnsi" w:hAnsiTheme="majorHAnsi" w:cs="Arial"/>
          <w:bCs/>
          <w:sz w:val="20"/>
          <w:lang w:val="hr-HR"/>
        </w:rPr>
      </w:pPr>
    </w:p>
    <w:p w14:paraId="343CB9A5" w14:textId="77777777" w:rsidR="00A055A2" w:rsidRPr="006C2F5C" w:rsidRDefault="00A055A2" w:rsidP="00EC3328">
      <w:pPr>
        <w:tabs>
          <w:tab w:val="left" w:pos="1134"/>
          <w:tab w:val="left" w:pos="7797"/>
        </w:tabs>
        <w:spacing w:before="0" w:after="0" w:line="240" w:lineRule="auto"/>
        <w:rPr>
          <w:rFonts w:asciiTheme="majorHAnsi" w:hAnsiTheme="majorHAnsi" w:cs="Arial"/>
          <w:bCs/>
          <w:sz w:val="20"/>
          <w:lang w:val="hr-HR"/>
        </w:rPr>
      </w:pPr>
    </w:p>
    <w:p w14:paraId="18AAB407" w14:textId="77777777" w:rsidR="00A055A2" w:rsidRPr="006C2F5C" w:rsidRDefault="00A055A2" w:rsidP="00EC3328">
      <w:pPr>
        <w:tabs>
          <w:tab w:val="left" w:pos="1134"/>
          <w:tab w:val="left" w:pos="7797"/>
        </w:tabs>
        <w:spacing w:before="0" w:after="0" w:line="240" w:lineRule="auto"/>
        <w:jc w:val="center"/>
        <w:rPr>
          <w:rFonts w:asciiTheme="majorHAnsi" w:hAnsiTheme="majorHAnsi" w:cs="Arial"/>
          <w:b/>
          <w:bCs/>
          <w:sz w:val="22"/>
          <w:lang w:val="hr-HR"/>
        </w:rPr>
      </w:pPr>
    </w:p>
    <w:p w14:paraId="67C93626" w14:textId="77777777" w:rsidR="00A055A2" w:rsidRPr="006C2F5C" w:rsidRDefault="00A055A2" w:rsidP="00EC3328">
      <w:pPr>
        <w:tabs>
          <w:tab w:val="left" w:pos="1134"/>
          <w:tab w:val="left" w:pos="7797"/>
        </w:tabs>
        <w:spacing w:before="0" w:after="0" w:line="240" w:lineRule="auto"/>
        <w:rPr>
          <w:rFonts w:asciiTheme="majorHAnsi" w:hAnsiTheme="majorHAnsi" w:cs="Arial"/>
          <w:bCs/>
          <w:sz w:val="20"/>
          <w:lang w:val="hr-HR"/>
        </w:rPr>
      </w:pPr>
    </w:p>
    <w:p w14:paraId="2D2F4631" w14:textId="77777777" w:rsidR="00D52F05" w:rsidRPr="006C2F5C" w:rsidRDefault="00D23B4D" w:rsidP="00EC3328">
      <w:pPr>
        <w:tabs>
          <w:tab w:val="left" w:pos="1134"/>
          <w:tab w:val="left" w:pos="7797"/>
        </w:tabs>
        <w:spacing w:before="0" w:after="0" w:line="240" w:lineRule="auto"/>
        <w:rPr>
          <w:rFonts w:asciiTheme="majorHAnsi" w:hAnsiTheme="majorHAnsi" w:cs="Arial"/>
          <w:sz w:val="22"/>
        </w:rPr>
      </w:pPr>
      <w:r w:rsidRPr="006C2F5C">
        <w:rPr>
          <w:rFonts w:asciiTheme="majorHAnsi" w:hAnsiTheme="majorHAnsi" w:cs="Arial"/>
          <w:bCs/>
          <w:sz w:val="22"/>
          <w:lang w:val="hr-HR"/>
        </w:rPr>
        <w:t>Br</w:t>
      </w:r>
      <w:r w:rsidR="007725CB" w:rsidRPr="006C2F5C">
        <w:rPr>
          <w:rFonts w:asciiTheme="majorHAnsi" w:hAnsiTheme="majorHAnsi" w:cs="Arial"/>
          <w:bCs/>
          <w:sz w:val="22"/>
          <w:lang w:val="hr-HR"/>
        </w:rPr>
        <w:t>oj</w:t>
      </w:r>
      <w:r w:rsidRPr="006C2F5C">
        <w:rPr>
          <w:rFonts w:asciiTheme="majorHAnsi" w:hAnsiTheme="majorHAnsi" w:cs="Arial"/>
          <w:bCs/>
          <w:sz w:val="22"/>
          <w:lang w:val="hr-HR"/>
        </w:rPr>
        <w:t xml:space="preserve">: </w:t>
      </w:r>
    </w:p>
    <w:p w14:paraId="09A49F58" w14:textId="77777777" w:rsidR="0051234C" w:rsidRPr="006C2F5C" w:rsidRDefault="00EC3328" w:rsidP="00EC3328">
      <w:pPr>
        <w:tabs>
          <w:tab w:val="left" w:pos="1134"/>
          <w:tab w:val="left" w:pos="7797"/>
        </w:tabs>
        <w:spacing w:before="0" w:after="0" w:line="240" w:lineRule="auto"/>
        <w:rPr>
          <w:rFonts w:asciiTheme="majorHAnsi" w:hAnsiTheme="majorHAnsi" w:cs="Arial"/>
          <w:bCs/>
          <w:sz w:val="22"/>
          <w:lang w:val="hr-HR"/>
        </w:rPr>
      </w:pPr>
      <w:r w:rsidRPr="006C2F5C">
        <w:rPr>
          <w:rFonts w:asciiTheme="majorHAnsi" w:hAnsiTheme="majorHAnsi" w:cs="Arial"/>
          <w:bCs/>
          <w:sz w:val="22"/>
          <w:lang w:val="hr-HR"/>
        </w:rPr>
        <w:t>Podgorica,</w:t>
      </w:r>
      <w:r w:rsidR="00D23B4D" w:rsidRPr="006C2F5C">
        <w:rPr>
          <w:rFonts w:asciiTheme="majorHAnsi" w:hAnsiTheme="majorHAnsi" w:cs="Arial"/>
          <w:bCs/>
          <w:sz w:val="22"/>
          <w:lang w:val="hr-HR"/>
        </w:rPr>
        <w:t xml:space="preserve"> </w:t>
      </w:r>
    </w:p>
    <w:p w14:paraId="0B81A8C5" w14:textId="77777777" w:rsidR="00C12EAA" w:rsidRPr="006C2F5C" w:rsidRDefault="00C12EAA" w:rsidP="00EC3328">
      <w:pPr>
        <w:tabs>
          <w:tab w:val="left" w:pos="1134"/>
          <w:tab w:val="left" w:pos="7797"/>
        </w:tabs>
        <w:spacing w:before="0" w:after="0" w:line="240" w:lineRule="auto"/>
        <w:rPr>
          <w:rFonts w:asciiTheme="majorHAnsi" w:hAnsiTheme="majorHAnsi" w:cs="Arial"/>
          <w:bCs/>
          <w:sz w:val="22"/>
          <w:lang w:val="hr-HR"/>
        </w:rPr>
      </w:pPr>
    </w:p>
    <w:p w14:paraId="08345115" w14:textId="77777777" w:rsidR="00C12EAA" w:rsidRPr="006C2F5C" w:rsidRDefault="00C12EAA" w:rsidP="00C12EAA">
      <w:pPr>
        <w:jc w:val="center"/>
        <w:rPr>
          <w:rFonts w:asciiTheme="majorHAnsi" w:hAnsiTheme="majorHAnsi"/>
          <w:b/>
        </w:rPr>
      </w:pPr>
      <w:r w:rsidRPr="006C2F5C">
        <w:rPr>
          <w:rFonts w:asciiTheme="majorHAnsi" w:hAnsiTheme="majorHAnsi"/>
          <w:b/>
          <w:sz w:val="36"/>
          <w:szCs w:val="36"/>
        </w:rPr>
        <w:t>S E K T O R S K A   A N A L I Z A</w:t>
      </w:r>
      <w:r w:rsidRPr="006C2F5C">
        <w:rPr>
          <w:rFonts w:asciiTheme="majorHAnsi" w:hAnsiTheme="majorHAnsi"/>
          <w:b/>
          <w:sz w:val="36"/>
          <w:szCs w:val="36"/>
        </w:rPr>
        <w:br/>
      </w:r>
      <w:r w:rsidRPr="006C2F5C">
        <w:rPr>
          <w:rFonts w:asciiTheme="majorHAnsi" w:hAnsiTheme="majorHAnsi"/>
          <w:b/>
        </w:rPr>
        <w:t xml:space="preserve">za utvrđivanje predloga prioritetnih oblasti od javnog interesa i potrebnih sredstava </w:t>
      </w:r>
      <w:r w:rsidRPr="006C2F5C">
        <w:rPr>
          <w:rFonts w:asciiTheme="majorHAnsi" w:hAnsiTheme="majorHAnsi"/>
          <w:b/>
        </w:rPr>
        <w:br/>
        <w:t>za finansiranje projekata i programa nevladinih organizacija</w:t>
      </w:r>
      <w:r w:rsidRPr="006C2F5C">
        <w:rPr>
          <w:rFonts w:asciiTheme="majorHAnsi" w:hAnsiTheme="majorHAnsi"/>
          <w:b/>
        </w:rPr>
        <w:br/>
        <w:t>iz Budžeta Crne Gore u 202</w:t>
      </w:r>
      <w:r w:rsidR="00D52F05" w:rsidRPr="006C2F5C">
        <w:rPr>
          <w:rFonts w:asciiTheme="majorHAnsi" w:hAnsiTheme="majorHAnsi"/>
          <w:b/>
        </w:rPr>
        <w:t>3</w:t>
      </w:r>
      <w:r w:rsidRPr="006C2F5C">
        <w:rPr>
          <w:rFonts w:asciiTheme="majorHAnsi" w:hAnsiTheme="majorHAnsi"/>
          <w:b/>
        </w:rPr>
        <w:t>. godini</w:t>
      </w:r>
    </w:p>
    <w:tbl>
      <w:tblPr>
        <w:tblStyle w:val="TableGrid"/>
        <w:tblW w:w="0" w:type="auto"/>
        <w:tblLook w:val="04A0" w:firstRow="1" w:lastRow="0" w:firstColumn="1" w:lastColumn="0" w:noHBand="0" w:noVBand="1"/>
      </w:tblPr>
      <w:tblGrid>
        <w:gridCol w:w="14538"/>
      </w:tblGrid>
      <w:tr w:rsidR="00C12EAA" w:rsidRPr="006C2F5C" w14:paraId="47F2421D" w14:textId="77777777" w:rsidTr="008671CC">
        <w:tc>
          <w:tcPr>
            <w:tcW w:w="14538" w:type="dxa"/>
            <w:tcBorders>
              <w:bottom w:val="single" w:sz="18" w:space="0" w:color="auto"/>
            </w:tcBorders>
            <w:tcMar>
              <w:top w:w="57" w:type="dxa"/>
              <w:bottom w:w="57" w:type="dxa"/>
            </w:tcMar>
          </w:tcPr>
          <w:p w14:paraId="5A1738FE" w14:textId="77777777" w:rsidR="00C12EAA" w:rsidRPr="006C2F5C" w:rsidRDefault="00C12EAA" w:rsidP="008671CC">
            <w:pPr>
              <w:spacing w:after="0"/>
              <w:rPr>
                <w:rFonts w:asciiTheme="majorHAnsi" w:hAnsiTheme="majorHAnsi"/>
                <w:i/>
                <w:lang w:val="sr-Latn-ME"/>
              </w:rPr>
            </w:pPr>
            <w:r w:rsidRPr="006C2F5C">
              <w:rPr>
                <w:rFonts w:asciiTheme="majorHAnsi" w:hAnsiTheme="majorHAnsi"/>
                <w:i/>
              </w:rPr>
              <w:t>Sektorska</w:t>
            </w:r>
            <w:r w:rsidRPr="006C2F5C">
              <w:rPr>
                <w:rFonts w:asciiTheme="majorHAnsi" w:hAnsiTheme="majorHAnsi"/>
                <w:i/>
                <w:lang w:val="sr-Latn-ME"/>
              </w:rPr>
              <w:t xml:space="preserve"> </w:t>
            </w:r>
            <w:r w:rsidRPr="006C2F5C">
              <w:rPr>
                <w:rFonts w:asciiTheme="majorHAnsi" w:hAnsiTheme="majorHAnsi"/>
                <w:i/>
              </w:rPr>
              <w:t>analiza</w:t>
            </w:r>
            <w:r w:rsidRPr="006C2F5C">
              <w:rPr>
                <w:rFonts w:asciiTheme="majorHAnsi" w:hAnsiTheme="majorHAnsi"/>
                <w:i/>
                <w:lang w:val="sr-Latn-ME"/>
              </w:rPr>
              <w:t xml:space="preserve"> </w:t>
            </w:r>
            <w:r w:rsidRPr="006C2F5C">
              <w:rPr>
                <w:rFonts w:asciiTheme="majorHAnsi" w:hAnsiTheme="majorHAnsi"/>
                <w:i/>
              </w:rPr>
              <w:t>se</w:t>
            </w:r>
            <w:r w:rsidRPr="006C2F5C">
              <w:rPr>
                <w:rFonts w:asciiTheme="majorHAnsi" w:hAnsiTheme="majorHAnsi"/>
                <w:i/>
                <w:lang w:val="sr-Latn-ME"/>
              </w:rPr>
              <w:t xml:space="preserve"> </w:t>
            </w:r>
            <w:r w:rsidRPr="006C2F5C">
              <w:rPr>
                <w:rFonts w:asciiTheme="majorHAnsi" w:hAnsiTheme="majorHAnsi"/>
                <w:i/>
              </w:rPr>
              <w:t>sa</w:t>
            </w:r>
            <w:r w:rsidRPr="006C2F5C">
              <w:rPr>
                <w:rFonts w:asciiTheme="majorHAnsi" w:hAnsiTheme="majorHAnsi"/>
                <w:i/>
                <w:lang w:val="sr-Latn-ME"/>
              </w:rPr>
              <w:t>č</w:t>
            </w:r>
            <w:r w:rsidRPr="006C2F5C">
              <w:rPr>
                <w:rFonts w:asciiTheme="majorHAnsi" w:hAnsiTheme="majorHAnsi"/>
                <w:i/>
              </w:rPr>
              <w:t>injava</w:t>
            </w:r>
            <w:r w:rsidRPr="006C2F5C">
              <w:rPr>
                <w:rFonts w:asciiTheme="majorHAnsi" w:hAnsiTheme="majorHAnsi"/>
                <w:i/>
                <w:lang w:val="sr-Latn-ME"/>
              </w:rPr>
              <w:t xml:space="preserve"> </w:t>
            </w:r>
            <w:r w:rsidRPr="006C2F5C">
              <w:rPr>
                <w:rFonts w:asciiTheme="majorHAnsi" w:hAnsiTheme="majorHAnsi"/>
                <w:i/>
              </w:rPr>
              <w:t>na</w:t>
            </w:r>
            <w:r w:rsidRPr="006C2F5C">
              <w:rPr>
                <w:rFonts w:asciiTheme="majorHAnsi" w:hAnsiTheme="majorHAnsi"/>
                <w:i/>
                <w:lang w:val="sr-Latn-ME"/>
              </w:rPr>
              <w:t xml:space="preserve"> </w:t>
            </w:r>
            <w:r w:rsidRPr="006C2F5C">
              <w:rPr>
                <w:rFonts w:asciiTheme="majorHAnsi" w:hAnsiTheme="majorHAnsi"/>
                <w:i/>
              </w:rPr>
              <w:t>osnovu</w:t>
            </w:r>
            <w:r w:rsidRPr="006C2F5C">
              <w:rPr>
                <w:rFonts w:asciiTheme="majorHAnsi" w:hAnsiTheme="majorHAnsi"/>
                <w:i/>
                <w:lang w:val="sr-Latn-ME"/>
              </w:rPr>
              <w:t xml:space="preserve"> </w:t>
            </w:r>
            <w:r w:rsidRPr="006C2F5C">
              <w:rPr>
                <w:rFonts w:asciiTheme="majorHAnsi" w:hAnsiTheme="majorHAnsi"/>
                <w:i/>
              </w:rPr>
              <w:t>strate</w:t>
            </w:r>
            <w:r w:rsidRPr="006C2F5C">
              <w:rPr>
                <w:rFonts w:asciiTheme="majorHAnsi" w:hAnsiTheme="majorHAnsi"/>
                <w:i/>
                <w:lang w:val="sr-Latn-ME"/>
              </w:rPr>
              <w:t>š</w:t>
            </w:r>
            <w:r w:rsidRPr="006C2F5C">
              <w:rPr>
                <w:rFonts w:asciiTheme="majorHAnsi" w:hAnsiTheme="majorHAnsi"/>
                <w:i/>
              </w:rPr>
              <w:t>kih</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planskih</w:t>
            </w:r>
            <w:r w:rsidRPr="006C2F5C">
              <w:rPr>
                <w:rFonts w:asciiTheme="majorHAnsi" w:hAnsiTheme="majorHAnsi"/>
                <w:i/>
                <w:lang w:val="sr-Latn-ME"/>
              </w:rPr>
              <w:t xml:space="preserve"> </w:t>
            </w:r>
            <w:r w:rsidRPr="006C2F5C">
              <w:rPr>
                <w:rFonts w:asciiTheme="majorHAnsi" w:hAnsiTheme="majorHAnsi"/>
                <w:i/>
              </w:rPr>
              <w:t>dokumenata</w:t>
            </w:r>
            <w:r w:rsidRPr="006C2F5C">
              <w:rPr>
                <w:rFonts w:asciiTheme="majorHAnsi" w:hAnsiTheme="majorHAnsi"/>
                <w:i/>
                <w:lang w:val="sr-Latn-ME"/>
              </w:rPr>
              <w:t xml:space="preserve"> </w:t>
            </w:r>
            <w:r w:rsidRPr="006C2F5C">
              <w:rPr>
                <w:rFonts w:asciiTheme="majorHAnsi" w:hAnsiTheme="majorHAnsi"/>
                <w:i/>
              </w:rPr>
              <w:t>odnosno</w:t>
            </w:r>
            <w:r w:rsidRPr="006C2F5C">
              <w:rPr>
                <w:rFonts w:asciiTheme="majorHAnsi" w:hAnsiTheme="majorHAnsi"/>
                <w:i/>
                <w:lang w:val="sr-Latn-ME"/>
              </w:rPr>
              <w:t xml:space="preserve"> </w:t>
            </w:r>
            <w:r w:rsidRPr="006C2F5C">
              <w:rPr>
                <w:rFonts w:asciiTheme="majorHAnsi" w:hAnsiTheme="majorHAnsi"/>
                <w:i/>
              </w:rPr>
              <w:t>propisa</w:t>
            </w:r>
            <w:r w:rsidRPr="006C2F5C">
              <w:rPr>
                <w:rFonts w:asciiTheme="majorHAnsi" w:hAnsiTheme="majorHAnsi"/>
                <w:i/>
                <w:lang w:val="sr-Latn-ME"/>
              </w:rPr>
              <w:t xml:space="preserve"> </w:t>
            </w:r>
            <w:r w:rsidRPr="006C2F5C">
              <w:rPr>
                <w:rFonts w:asciiTheme="majorHAnsi" w:hAnsiTheme="majorHAnsi"/>
                <w:i/>
              </w:rPr>
              <w:t>u</w:t>
            </w:r>
            <w:r w:rsidRPr="006C2F5C">
              <w:rPr>
                <w:rFonts w:asciiTheme="majorHAnsi" w:hAnsiTheme="majorHAnsi"/>
                <w:i/>
                <w:lang w:val="sr-Latn-ME"/>
              </w:rPr>
              <w:t xml:space="preserve"> </w:t>
            </w:r>
            <w:r w:rsidRPr="006C2F5C">
              <w:rPr>
                <w:rFonts w:asciiTheme="majorHAnsi" w:hAnsiTheme="majorHAnsi"/>
                <w:i/>
              </w:rPr>
              <w:t>odgovaraju</w:t>
            </w:r>
            <w:r w:rsidRPr="006C2F5C">
              <w:rPr>
                <w:rFonts w:asciiTheme="majorHAnsi" w:hAnsiTheme="majorHAnsi"/>
                <w:i/>
                <w:lang w:val="sr-Latn-ME"/>
              </w:rPr>
              <w:t>ć</w:t>
            </w:r>
            <w:r w:rsidRPr="006C2F5C">
              <w:rPr>
                <w:rFonts w:asciiTheme="majorHAnsi" w:hAnsiTheme="majorHAnsi"/>
                <w:i/>
              </w:rPr>
              <w:t>oj</w:t>
            </w:r>
            <w:r w:rsidRPr="006C2F5C">
              <w:rPr>
                <w:rFonts w:asciiTheme="majorHAnsi" w:hAnsiTheme="majorHAnsi"/>
                <w:i/>
                <w:lang w:val="sr-Latn-ME"/>
              </w:rPr>
              <w:t xml:space="preserve"> </w:t>
            </w:r>
            <w:r w:rsidRPr="006C2F5C">
              <w:rPr>
                <w:rFonts w:asciiTheme="majorHAnsi" w:hAnsiTheme="majorHAnsi"/>
                <w:i/>
              </w:rPr>
              <w:t>oblasti</w:t>
            </w:r>
            <w:r w:rsidRPr="006C2F5C">
              <w:rPr>
                <w:rFonts w:asciiTheme="majorHAnsi" w:hAnsiTheme="majorHAnsi"/>
                <w:i/>
                <w:lang w:val="sr-Latn-ME"/>
              </w:rPr>
              <w:t xml:space="preserve"> </w:t>
            </w:r>
            <w:r w:rsidRPr="006C2F5C">
              <w:rPr>
                <w:rFonts w:asciiTheme="majorHAnsi" w:hAnsiTheme="majorHAnsi"/>
                <w:i/>
              </w:rPr>
              <w:t>od</w:t>
            </w:r>
            <w:r w:rsidRPr="006C2F5C">
              <w:rPr>
                <w:rFonts w:asciiTheme="majorHAnsi" w:hAnsiTheme="majorHAnsi"/>
                <w:i/>
                <w:lang w:val="sr-Latn-ME"/>
              </w:rPr>
              <w:t xml:space="preserve"> </w:t>
            </w:r>
            <w:r w:rsidRPr="006C2F5C">
              <w:rPr>
                <w:rFonts w:asciiTheme="majorHAnsi" w:hAnsiTheme="majorHAnsi"/>
                <w:i/>
              </w:rPr>
              <w:t>javnog</w:t>
            </w:r>
            <w:r w:rsidRPr="006C2F5C">
              <w:rPr>
                <w:rFonts w:asciiTheme="majorHAnsi" w:hAnsiTheme="majorHAnsi"/>
                <w:i/>
                <w:lang w:val="sr-Latn-ME"/>
              </w:rPr>
              <w:t xml:space="preserve"> </w:t>
            </w:r>
            <w:r w:rsidRPr="006C2F5C">
              <w:rPr>
                <w:rFonts w:asciiTheme="majorHAnsi" w:hAnsiTheme="majorHAnsi"/>
                <w:i/>
              </w:rPr>
              <w:t>interesa</w:t>
            </w:r>
            <w:r w:rsidRPr="006C2F5C">
              <w:rPr>
                <w:rFonts w:asciiTheme="majorHAnsi" w:hAnsiTheme="majorHAnsi"/>
                <w:i/>
                <w:lang w:val="sr-Latn-ME"/>
              </w:rPr>
              <w:t xml:space="preserve"> </w:t>
            </w:r>
            <w:r w:rsidRPr="006C2F5C">
              <w:rPr>
                <w:rFonts w:asciiTheme="majorHAnsi" w:hAnsiTheme="majorHAnsi"/>
                <w:i/>
              </w:rPr>
              <w:t>uz</w:t>
            </w:r>
            <w:r w:rsidRPr="006C2F5C">
              <w:rPr>
                <w:rFonts w:asciiTheme="majorHAnsi" w:hAnsiTheme="majorHAnsi"/>
                <w:i/>
                <w:lang w:val="sr-Latn-ME"/>
              </w:rPr>
              <w:t xml:space="preserve"> </w:t>
            </w:r>
            <w:r w:rsidRPr="006C2F5C">
              <w:rPr>
                <w:rFonts w:asciiTheme="majorHAnsi" w:hAnsiTheme="majorHAnsi"/>
                <w:i/>
              </w:rPr>
              <w:t>konsultacije</w:t>
            </w:r>
            <w:r w:rsidRPr="006C2F5C">
              <w:rPr>
                <w:rFonts w:asciiTheme="majorHAnsi" w:hAnsiTheme="majorHAnsi"/>
                <w:i/>
                <w:lang w:val="sr-Latn-ME"/>
              </w:rPr>
              <w:t xml:space="preserve"> </w:t>
            </w:r>
            <w:r w:rsidRPr="006C2F5C">
              <w:rPr>
                <w:rFonts w:asciiTheme="majorHAnsi" w:hAnsiTheme="majorHAnsi"/>
                <w:i/>
              </w:rPr>
              <w:t>sa</w:t>
            </w:r>
            <w:r w:rsidRPr="006C2F5C">
              <w:rPr>
                <w:rFonts w:asciiTheme="majorHAnsi" w:hAnsiTheme="majorHAnsi"/>
                <w:i/>
                <w:lang w:val="sr-Latn-ME"/>
              </w:rPr>
              <w:t xml:space="preserve"> </w:t>
            </w:r>
            <w:r w:rsidRPr="006C2F5C">
              <w:rPr>
                <w:rFonts w:asciiTheme="majorHAnsi" w:hAnsiTheme="majorHAnsi"/>
                <w:i/>
              </w:rPr>
              <w:t>zainteresovanim</w:t>
            </w:r>
            <w:r w:rsidRPr="006C2F5C">
              <w:rPr>
                <w:rFonts w:asciiTheme="majorHAnsi" w:hAnsiTheme="majorHAnsi"/>
                <w:i/>
                <w:lang w:val="sr-Latn-ME"/>
              </w:rPr>
              <w:t xml:space="preserve"> </w:t>
            </w:r>
            <w:r w:rsidRPr="006C2F5C">
              <w:rPr>
                <w:rFonts w:asciiTheme="majorHAnsi" w:hAnsiTheme="majorHAnsi"/>
                <w:i/>
              </w:rPr>
              <w:t>nevladinim</w:t>
            </w:r>
            <w:r w:rsidRPr="006C2F5C">
              <w:rPr>
                <w:rFonts w:asciiTheme="majorHAnsi" w:hAnsiTheme="majorHAnsi"/>
                <w:i/>
                <w:lang w:val="sr-Latn-ME"/>
              </w:rPr>
              <w:t xml:space="preserve"> </w:t>
            </w:r>
            <w:r w:rsidRPr="006C2F5C">
              <w:rPr>
                <w:rFonts w:asciiTheme="majorHAnsi" w:hAnsiTheme="majorHAnsi"/>
                <w:i/>
              </w:rPr>
              <w:t>organizacijama</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predstavlja</w:t>
            </w:r>
            <w:r w:rsidRPr="006C2F5C">
              <w:rPr>
                <w:rFonts w:asciiTheme="majorHAnsi" w:hAnsiTheme="majorHAnsi"/>
                <w:i/>
                <w:lang w:val="sr-Latn-ME"/>
              </w:rPr>
              <w:t xml:space="preserve"> </w:t>
            </w:r>
            <w:r w:rsidRPr="006C2F5C">
              <w:rPr>
                <w:rFonts w:asciiTheme="majorHAnsi" w:hAnsiTheme="majorHAnsi"/>
                <w:i/>
              </w:rPr>
              <w:t>osnov</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utvr</w:t>
            </w:r>
            <w:r w:rsidRPr="006C2F5C">
              <w:rPr>
                <w:rFonts w:asciiTheme="majorHAnsi" w:hAnsiTheme="majorHAnsi"/>
                <w:i/>
                <w:lang w:val="sr-Latn-ME"/>
              </w:rPr>
              <w:t>đ</w:t>
            </w:r>
            <w:r w:rsidRPr="006C2F5C">
              <w:rPr>
                <w:rFonts w:asciiTheme="majorHAnsi" w:hAnsiTheme="majorHAnsi"/>
                <w:i/>
              </w:rPr>
              <w:t>ivanje</w:t>
            </w:r>
            <w:r w:rsidRPr="006C2F5C">
              <w:rPr>
                <w:rFonts w:asciiTheme="majorHAnsi" w:hAnsiTheme="majorHAnsi"/>
                <w:i/>
                <w:lang w:val="sr-Latn-ME"/>
              </w:rPr>
              <w:t xml:space="preserve"> </w:t>
            </w:r>
            <w:r w:rsidRPr="006C2F5C">
              <w:rPr>
                <w:rFonts w:asciiTheme="majorHAnsi" w:hAnsiTheme="majorHAnsi"/>
                <w:i/>
              </w:rPr>
              <w:t>prioritetnih</w:t>
            </w:r>
            <w:r w:rsidRPr="006C2F5C">
              <w:rPr>
                <w:rFonts w:asciiTheme="majorHAnsi" w:hAnsiTheme="majorHAnsi"/>
                <w:i/>
                <w:lang w:val="sr-Latn-ME"/>
              </w:rPr>
              <w:t xml:space="preserve"> </w:t>
            </w:r>
            <w:r w:rsidRPr="006C2F5C">
              <w:rPr>
                <w:rFonts w:asciiTheme="majorHAnsi" w:hAnsiTheme="majorHAnsi"/>
                <w:i/>
              </w:rPr>
              <w:t>oblasti</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potrebnih</w:t>
            </w:r>
            <w:r w:rsidRPr="006C2F5C">
              <w:rPr>
                <w:rFonts w:asciiTheme="majorHAnsi" w:hAnsiTheme="majorHAnsi"/>
                <w:i/>
                <w:lang w:val="sr-Latn-ME"/>
              </w:rPr>
              <w:t xml:space="preserve"> </w:t>
            </w:r>
            <w:r w:rsidRPr="006C2F5C">
              <w:rPr>
                <w:rFonts w:asciiTheme="majorHAnsi" w:hAnsiTheme="majorHAnsi"/>
                <w:i/>
              </w:rPr>
              <w:t>sredstava</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finansiranje</w:t>
            </w:r>
            <w:r w:rsidRPr="006C2F5C">
              <w:rPr>
                <w:rFonts w:asciiTheme="majorHAnsi" w:hAnsiTheme="majorHAnsi"/>
                <w:i/>
                <w:lang w:val="sr-Latn-ME"/>
              </w:rPr>
              <w:t xml:space="preserve"> </w:t>
            </w:r>
            <w:r w:rsidRPr="006C2F5C">
              <w:rPr>
                <w:rFonts w:asciiTheme="majorHAnsi" w:hAnsiTheme="majorHAnsi"/>
                <w:i/>
              </w:rPr>
              <w:t>projekata</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programa</w:t>
            </w:r>
            <w:r w:rsidRPr="006C2F5C">
              <w:rPr>
                <w:rFonts w:asciiTheme="majorHAnsi" w:hAnsiTheme="majorHAnsi"/>
                <w:i/>
                <w:lang w:val="sr-Latn-ME"/>
              </w:rPr>
              <w:t xml:space="preserve"> </w:t>
            </w:r>
            <w:r w:rsidRPr="006C2F5C">
              <w:rPr>
                <w:rFonts w:asciiTheme="majorHAnsi" w:hAnsiTheme="majorHAnsi"/>
                <w:i/>
              </w:rPr>
              <w:t>nevladinih</w:t>
            </w:r>
            <w:r w:rsidRPr="006C2F5C">
              <w:rPr>
                <w:rFonts w:asciiTheme="majorHAnsi" w:hAnsiTheme="majorHAnsi"/>
                <w:i/>
                <w:lang w:val="sr-Latn-ME"/>
              </w:rPr>
              <w:t xml:space="preserve"> </w:t>
            </w:r>
            <w:r w:rsidRPr="006C2F5C">
              <w:rPr>
                <w:rFonts w:asciiTheme="majorHAnsi" w:hAnsiTheme="majorHAnsi"/>
                <w:i/>
              </w:rPr>
              <w:t>organizacija</w:t>
            </w:r>
            <w:r w:rsidRPr="006C2F5C">
              <w:rPr>
                <w:rFonts w:asciiTheme="majorHAnsi" w:hAnsiTheme="majorHAnsi"/>
                <w:i/>
                <w:lang w:val="sr-Latn-ME"/>
              </w:rPr>
              <w:t xml:space="preserve"> </w:t>
            </w:r>
            <w:r w:rsidRPr="006C2F5C">
              <w:rPr>
                <w:rFonts w:asciiTheme="majorHAnsi" w:hAnsiTheme="majorHAnsi"/>
                <w:i/>
              </w:rPr>
              <w:t>iz</w:t>
            </w:r>
            <w:r w:rsidRPr="006C2F5C">
              <w:rPr>
                <w:rFonts w:asciiTheme="majorHAnsi" w:hAnsiTheme="majorHAnsi"/>
                <w:i/>
                <w:lang w:val="sr-Latn-ME"/>
              </w:rPr>
              <w:t xml:space="preserve"> </w:t>
            </w:r>
            <w:r w:rsidRPr="006C2F5C">
              <w:rPr>
                <w:rFonts w:asciiTheme="majorHAnsi" w:hAnsiTheme="majorHAnsi"/>
                <w:i/>
              </w:rPr>
              <w:t>dr</w:t>
            </w:r>
            <w:r w:rsidRPr="006C2F5C">
              <w:rPr>
                <w:rFonts w:asciiTheme="majorHAnsi" w:hAnsiTheme="majorHAnsi"/>
                <w:i/>
                <w:lang w:val="sr-Latn-ME"/>
              </w:rPr>
              <w:t>ž</w:t>
            </w:r>
            <w:r w:rsidRPr="006C2F5C">
              <w:rPr>
                <w:rFonts w:asciiTheme="majorHAnsi" w:hAnsiTheme="majorHAnsi"/>
                <w:i/>
              </w:rPr>
              <w:t>avnog</w:t>
            </w:r>
            <w:r w:rsidRPr="006C2F5C">
              <w:rPr>
                <w:rFonts w:asciiTheme="majorHAnsi" w:hAnsiTheme="majorHAnsi"/>
                <w:i/>
                <w:lang w:val="sr-Latn-ME"/>
              </w:rPr>
              <w:t xml:space="preserve"> </w:t>
            </w:r>
            <w:r w:rsidRPr="006C2F5C">
              <w:rPr>
                <w:rFonts w:asciiTheme="majorHAnsi" w:hAnsiTheme="majorHAnsi"/>
                <w:i/>
              </w:rPr>
              <w:t>bud</w:t>
            </w:r>
            <w:r w:rsidRPr="006C2F5C">
              <w:rPr>
                <w:rFonts w:asciiTheme="majorHAnsi" w:hAnsiTheme="majorHAnsi"/>
                <w:i/>
                <w:lang w:val="sr-Latn-ME"/>
              </w:rPr>
              <w:t>ž</w:t>
            </w:r>
            <w:r w:rsidRPr="006C2F5C">
              <w:rPr>
                <w:rFonts w:asciiTheme="majorHAnsi" w:hAnsiTheme="majorHAnsi"/>
                <w:i/>
              </w:rPr>
              <w:t>eta</w:t>
            </w:r>
            <w:r w:rsidRPr="006C2F5C">
              <w:rPr>
                <w:rFonts w:asciiTheme="majorHAnsi" w:hAnsiTheme="majorHAnsi"/>
                <w:i/>
                <w:lang w:val="sr-Latn-ME"/>
              </w:rPr>
              <w:t xml:space="preserve"> </w:t>
            </w:r>
            <w:r w:rsidRPr="006C2F5C">
              <w:rPr>
                <w:rFonts w:asciiTheme="majorHAnsi" w:hAnsiTheme="majorHAnsi"/>
                <w:i/>
              </w:rPr>
              <w:t>u</w:t>
            </w:r>
            <w:r w:rsidRPr="006C2F5C">
              <w:rPr>
                <w:rFonts w:asciiTheme="majorHAnsi" w:hAnsiTheme="majorHAnsi"/>
                <w:i/>
                <w:lang w:val="sr-Latn-ME"/>
              </w:rPr>
              <w:t xml:space="preserve"> </w:t>
            </w:r>
            <w:r w:rsidRPr="006C2F5C">
              <w:rPr>
                <w:rFonts w:asciiTheme="majorHAnsi" w:hAnsiTheme="majorHAnsi"/>
                <w:i/>
              </w:rPr>
              <w:t>narednoj</w:t>
            </w:r>
            <w:r w:rsidRPr="006C2F5C">
              <w:rPr>
                <w:rFonts w:asciiTheme="majorHAnsi" w:hAnsiTheme="majorHAnsi"/>
                <w:i/>
                <w:lang w:val="sr-Latn-ME"/>
              </w:rPr>
              <w:t xml:space="preserve"> </w:t>
            </w:r>
            <w:r w:rsidRPr="006C2F5C">
              <w:rPr>
                <w:rFonts w:asciiTheme="majorHAnsi" w:hAnsiTheme="majorHAnsi"/>
                <w:i/>
              </w:rPr>
              <w:t>godini</w:t>
            </w:r>
            <w:r w:rsidRPr="006C2F5C">
              <w:rPr>
                <w:rFonts w:asciiTheme="majorHAnsi" w:hAnsiTheme="majorHAnsi"/>
                <w:i/>
                <w:lang w:val="sr-Latn-ME"/>
              </w:rPr>
              <w:t xml:space="preserve">, </w:t>
            </w:r>
            <w:r w:rsidRPr="006C2F5C">
              <w:rPr>
                <w:rFonts w:asciiTheme="majorHAnsi" w:hAnsiTheme="majorHAnsi"/>
                <w:i/>
              </w:rPr>
              <w:t>u</w:t>
            </w:r>
            <w:r w:rsidRPr="006C2F5C">
              <w:rPr>
                <w:rFonts w:asciiTheme="majorHAnsi" w:hAnsiTheme="majorHAnsi"/>
                <w:i/>
                <w:lang w:val="sr-Latn-ME"/>
              </w:rPr>
              <w:t xml:space="preserve"> </w:t>
            </w:r>
            <w:r w:rsidRPr="006C2F5C">
              <w:rPr>
                <w:rFonts w:asciiTheme="majorHAnsi" w:hAnsiTheme="majorHAnsi"/>
                <w:i/>
              </w:rPr>
              <w:t>skladu</w:t>
            </w:r>
            <w:r w:rsidRPr="006C2F5C">
              <w:rPr>
                <w:rFonts w:asciiTheme="majorHAnsi" w:hAnsiTheme="majorHAnsi"/>
                <w:i/>
                <w:lang w:val="sr-Latn-ME"/>
              </w:rPr>
              <w:t xml:space="preserve"> </w:t>
            </w:r>
            <w:r w:rsidRPr="006C2F5C">
              <w:rPr>
                <w:rFonts w:asciiTheme="majorHAnsi" w:hAnsiTheme="majorHAnsi"/>
                <w:i/>
              </w:rPr>
              <w:t>sa</w:t>
            </w:r>
            <w:r w:rsidRPr="006C2F5C">
              <w:rPr>
                <w:rFonts w:asciiTheme="majorHAnsi" w:hAnsiTheme="majorHAnsi"/>
                <w:i/>
                <w:lang w:val="sr-Latn-ME"/>
              </w:rPr>
              <w:t xml:space="preserve"> </w:t>
            </w:r>
            <w:r w:rsidRPr="006C2F5C">
              <w:rPr>
                <w:rFonts w:asciiTheme="majorHAnsi" w:hAnsiTheme="majorHAnsi"/>
                <w:i/>
              </w:rPr>
              <w:t>Zakonom</w:t>
            </w:r>
            <w:r w:rsidRPr="006C2F5C">
              <w:rPr>
                <w:rFonts w:asciiTheme="majorHAnsi" w:hAnsiTheme="majorHAnsi"/>
                <w:i/>
                <w:lang w:val="sr-Latn-ME"/>
              </w:rPr>
              <w:t xml:space="preserve"> </w:t>
            </w:r>
            <w:r w:rsidRPr="006C2F5C">
              <w:rPr>
                <w:rFonts w:asciiTheme="majorHAnsi" w:hAnsiTheme="majorHAnsi"/>
                <w:i/>
              </w:rPr>
              <w:t>o</w:t>
            </w:r>
            <w:r w:rsidRPr="006C2F5C">
              <w:rPr>
                <w:rFonts w:asciiTheme="majorHAnsi" w:hAnsiTheme="majorHAnsi"/>
                <w:i/>
                <w:lang w:val="sr-Latn-ME"/>
              </w:rPr>
              <w:t xml:space="preserve"> </w:t>
            </w:r>
            <w:r w:rsidRPr="006C2F5C">
              <w:rPr>
                <w:rFonts w:asciiTheme="majorHAnsi" w:hAnsiTheme="majorHAnsi"/>
                <w:i/>
              </w:rPr>
              <w:t>nevladinim</w:t>
            </w:r>
            <w:r w:rsidRPr="006C2F5C">
              <w:rPr>
                <w:rFonts w:asciiTheme="majorHAnsi" w:hAnsiTheme="majorHAnsi"/>
                <w:i/>
                <w:lang w:val="sr-Latn-ME"/>
              </w:rPr>
              <w:t xml:space="preserve"> </w:t>
            </w:r>
            <w:r w:rsidRPr="006C2F5C">
              <w:rPr>
                <w:rFonts w:asciiTheme="majorHAnsi" w:hAnsiTheme="majorHAnsi"/>
                <w:i/>
              </w:rPr>
              <w:t>organizacijama</w:t>
            </w:r>
            <w:r w:rsidRPr="006C2F5C">
              <w:rPr>
                <w:rFonts w:asciiTheme="majorHAnsi" w:hAnsiTheme="majorHAnsi"/>
                <w:i/>
                <w:lang w:val="sr-Latn-ME"/>
              </w:rPr>
              <w:t xml:space="preserve">. </w:t>
            </w:r>
            <w:r w:rsidRPr="006C2F5C">
              <w:rPr>
                <w:rFonts w:asciiTheme="majorHAnsi" w:hAnsiTheme="majorHAnsi"/>
                <w:i/>
              </w:rPr>
              <w:t>Sektorska</w:t>
            </w:r>
            <w:r w:rsidRPr="006C2F5C">
              <w:rPr>
                <w:rFonts w:asciiTheme="majorHAnsi" w:hAnsiTheme="majorHAnsi"/>
                <w:i/>
                <w:lang w:val="sr-Latn-ME"/>
              </w:rPr>
              <w:t xml:space="preserve"> </w:t>
            </w:r>
            <w:r w:rsidRPr="006C2F5C">
              <w:rPr>
                <w:rFonts w:asciiTheme="majorHAnsi" w:hAnsiTheme="majorHAnsi"/>
                <w:i/>
              </w:rPr>
              <w:t>analiza</w:t>
            </w:r>
            <w:r w:rsidRPr="006C2F5C">
              <w:rPr>
                <w:rFonts w:asciiTheme="majorHAnsi" w:hAnsiTheme="majorHAnsi"/>
                <w:i/>
                <w:lang w:val="sr-Latn-ME"/>
              </w:rPr>
              <w:t xml:space="preserve"> </w:t>
            </w:r>
            <w:r w:rsidRPr="006C2F5C">
              <w:rPr>
                <w:rFonts w:asciiTheme="majorHAnsi" w:hAnsiTheme="majorHAnsi"/>
                <w:i/>
              </w:rPr>
              <w:t>se</w:t>
            </w:r>
            <w:r w:rsidRPr="006C2F5C">
              <w:rPr>
                <w:rFonts w:asciiTheme="majorHAnsi" w:hAnsiTheme="majorHAnsi"/>
                <w:i/>
                <w:lang w:val="sr-Latn-ME"/>
              </w:rPr>
              <w:t xml:space="preserve"> </w:t>
            </w:r>
            <w:r w:rsidRPr="006C2F5C">
              <w:rPr>
                <w:rFonts w:asciiTheme="majorHAnsi" w:hAnsiTheme="majorHAnsi"/>
                <w:i/>
              </w:rPr>
              <w:t>priprema</w:t>
            </w:r>
            <w:r w:rsidRPr="006C2F5C">
              <w:rPr>
                <w:rFonts w:asciiTheme="majorHAnsi" w:hAnsiTheme="majorHAnsi"/>
                <w:i/>
                <w:lang w:val="sr-Latn-ME"/>
              </w:rPr>
              <w:t xml:space="preserve"> </w:t>
            </w:r>
            <w:r w:rsidRPr="006C2F5C">
              <w:rPr>
                <w:rFonts w:asciiTheme="majorHAnsi" w:hAnsiTheme="majorHAnsi"/>
                <w:i/>
              </w:rPr>
              <w:t>u</w:t>
            </w:r>
            <w:r w:rsidRPr="006C2F5C">
              <w:rPr>
                <w:rFonts w:asciiTheme="majorHAnsi" w:hAnsiTheme="majorHAnsi"/>
                <w:i/>
                <w:lang w:val="sr-Latn-ME"/>
              </w:rPr>
              <w:t xml:space="preserve"> </w:t>
            </w:r>
            <w:r w:rsidRPr="006C2F5C">
              <w:rPr>
                <w:rFonts w:asciiTheme="majorHAnsi" w:hAnsiTheme="majorHAnsi"/>
                <w:i/>
              </w:rPr>
              <w:t>teku</w:t>
            </w:r>
            <w:r w:rsidRPr="006C2F5C">
              <w:rPr>
                <w:rFonts w:asciiTheme="majorHAnsi" w:hAnsiTheme="majorHAnsi"/>
                <w:i/>
                <w:lang w:val="sr-Latn-ME"/>
              </w:rPr>
              <w:t>ć</w:t>
            </w:r>
            <w:r w:rsidRPr="006C2F5C">
              <w:rPr>
                <w:rFonts w:asciiTheme="majorHAnsi" w:hAnsiTheme="majorHAnsi"/>
                <w:i/>
              </w:rPr>
              <w:t>oj</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narednu</w:t>
            </w:r>
            <w:r w:rsidRPr="006C2F5C">
              <w:rPr>
                <w:rFonts w:asciiTheme="majorHAnsi" w:hAnsiTheme="majorHAnsi"/>
                <w:i/>
                <w:lang w:val="sr-Latn-ME"/>
              </w:rPr>
              <w:t xml:space="preserve"> </w:t>
            </w:r>
            <w:r w:rsidRPr="006C2F5C">
              <w:rPr>
                <w:rFonts w:asciiTheme="majorHAnsi" w:hAnsiTheme="majorHAnsi"/>
                <w:i/>
              </w:rPr>
              <w:t>kalendarsku</w:t>
            </w:r>
            <w:r w:rsidRPr="006C2F5C">
              <w:rPr>
                <w:rFonts w:asciiTheme="majorHAnsi" w:hAnsiTheme="majorHAnsi"/>
                <w:i/>
                <w:lang w:val="sr-Latn-ME"/>
              </w:rPr>
              <w:t xml:space="preserve"> </w:t>
            </w:r>
            <w:r w:rsidRPr="006C2F5C">
              <w:rPr>
                <w:rFonts w:asciiTheme="majorHAnsi" w:hAnsiTheme="majorHAnsi"/>
                <w:i/>
              </w:rPr>
              <w:t>godinu</w:t>
            </w:r>
            <w:r w:rsidRPr="006C2F5C">
              <w:rPr>
                <w:rFonts w:asciiTheme="majorHAnsi" w:hAnsiTheme="majorHAnsi"/>
                <w:i/>
                <w:lang w:val="sr-Latn-ME"/>
              </w:rPr>
              <w:t xml:space="preserve"> </w:t>
            </w:r>
            <w:r w:rsidRPr="006C2F5C">
              <w:rPr>
                <w:rFonts w:asciiTheme="majorHAnsi" w:hAnsiTheme="majorHAnsi"/>
                <w:i/>
              </w:rPr>
              <w:t>radi</w:t>
            </w:r>
            <w:r w:rsidRPr="006C2F5C">
              <w:rPr>
                <w:rFonts w:asciiTheme="majorHAnsi" w:hAnsiTheme="majorHAnsi"/>
                <w:i/>
                <w:lang w:val="sr-Latn-ME"/>
              </w:rPr>
              <w:t xml:space="preserve"> </w:t>
            </w:r>
            <w:r w:rsidRPr="006C2F5C">
              <w:rPr>
                <w:rFonts w:asciiTheme="majorHAnsi" w:hAnsiTheme="majorHAnsi"/>
                <w:i/>
              </w:rPr>
              <w:t>blagovremenog</w:t>
            </w:r>
            <w:r w:rsidRPr="006C2F5C">
              <w:rPr>
                <w:rFonts w:asciiTheme="majorHAnsi" w:hAnsiTheme="majorHAnsi"/>
                <w:i/>
                <w:lang w:val="sr-Latn-ME"/>
              </w:rPr>
              <w:t xml:space="preserve"> </w:t>
            </w:r>
            <w:r w:rsidRPr="006C2F5C">
              <w:rPr>
                <w:rFonts w:asciiTheme="majorHAnsi" w:hAnsiTheme="majorHAnsi"/>
                <w:i/>
              </w:rPr>
              <w:t>planiranja</w:t>
            </w:r>
            <w:r w:rsidRPr="006C2F5C">
              <w:rPr>
                <w:rFonts w:asciiTheme="majorHAnsi" w:hAnsiTheme="majorHAnsi"/>
                <w:i/>
                <w:lang w:val="sr-Latn-ME"/>
              </w:rPr>
              <w:t xml:space="preserve"> </w:t>
            </w:r>
            <w:r w:rsidRPr="006C2F5C">
              <w:rPr>
                <w:rFonts w:asciiTheme="majorHAnsi" w:hAnsiTheme="majorHAnsi"/>
                <w:i/>
              </w:rPr>
              <w:t>visine</w:t>
            </w:r>
            <w:r w:rsidRPr="006C2F5C">
              <w:rPr>
                <w:rFonts w:asciiTheme="majorHAnsi" w:hAnsiTheme="majorHAnsi"/>
                <w:i/>
                <w:lang w:val="sr-Latn-ME"/>
              </w:rPr>
              <w:t xml:space="preserve"> </w:t>
            </w:r>
            <w:r w:rsidRPr="006C2F5C">
              <w:rPr>
                <w:rFonts w:asciiTheme="majorHAnsi" w:hAnsiTheme="majorHAnsi"/>
                <w:i/>
              </w:rPr>
              <w:t>sredstava</w:t>
            </w:r>
            <w:r w:rsidRPr="006C2F5C">
              <w:rPr>
                <w:rFonts w:asciiTheme="majorHAnsi" w:hAnsiTheme="majorHAnsi"/>
                <w:i/>
                <w:lang w:val="sr-Latn-ME"/>
              </w:rPr>
              <w:t xml:space="preserve"> </w:t>
            </w:r>
            <w:r w:rsidRPr="006C2F5C">
              <w:rPr>
                <w:rFonts w:asciiTheme="majorHAnsi" w:hAnsiTheme="majorHAnsi"/>
                <w:i/>
              </w:rPr>
              <w:t>koja</w:t>
            </w:r>
            <w:r w:rsidRPr="006C2F5C">
              <w:rPr>
                <w:rFonts w:asciiTheme="majorHAnsi" w:hAnsiTheme="majorHAnsi"/>
                <w:i/>
                <w:lang w:val="sr-Latn-ME"/>
              </w:rPr>
              <w:t xml:space="preserve"> ć</w:t>
            </w:r>
            <w:r w:rsidRPr="006C2F5C">
              <w:rPr>
                <w:rFonts w:asciiTheme="majorHAnsi" w:hAnsiTheme="majorHAnsi"/>
                <w:i/>
              </w:rPr>
              <w:t>e</w:t>
            </w:r>
            <w:r w:rsidRPr="006C2F5C">
              <w:rPr>
                <w:rFonts w:asciiTheme="majorHAnsi" w:hAnsiTheme="majorHAnsi"/>
                <w:i/>
                <w:lang w:val="sr-Latn-ME"/>
              </w:rPr>
              <w:t xml:space="preserve"> </w:t>
            </w:r>
            <w:r w:rsidRPr="006C2F5C">
              <w:rPr>
                <w:rFonts w:asciiTheme="majorHAnsi" w:hAnsiTheme="majorHAnsi"/>
                <w:i/>
              </w:rPr>
              <w:t>biti</w:t>
            </w:r>
            <w:r w:rsidRPr="006C2F5C">
              <w:rPr>
                <w:rFonts w:asciiTheme="majorHAnsi" w:hAnsiTheme="majorHAnsi"/>
                <w:i/>
                <w:lang w:val="sr-Latn-ME"/>
              </w:rPr>
              <w:t xml:space="preserve"> </w:t>
            </w:r>
            <w:r w:rsidRPr="006C2F5C">
              <w:rPr>
                <w:rFonts w:asciiTheme="majorHAnsi" w:hAnsiTheme="majorHAnsi"/>
                <w:i/>
              </w:rPr>
              <w:t>opredijeljena</w:t>
            </w:r>
            <w:r w:rsidRPr="006C2F5C">
              <w:rPr>
                <w:rFonts w:asciiTheme="majorHAnsi" w:hAnsiTheme="majorHAnsi"/>
                <w:i/>
                <w:lang w:val="sr-Latn-ME"/>
              </w:rPr>
              <w:t xml:space="preserve"> </w:t>
            </w:r>
            <w:r w:rsidRPr="006C2F5C">
              <w:rPr>
                <w:rFonts w:asciiTheme="majorHAnsi" w:hAnsiTheme="majorHAnsi"/>
                <w:i/>
              </w:rPr>
              <w:t>na</w:t>
            </w:r>
            <w:r w:rsidRPr="006C2F5C">
              <w:rPr>
                <w:rFonts w:asciiTheme="majorHAnsi" w:hAnsiTheme="majorHAnsi"/>
                <w:i/>
                <w:lang w:val="sr-Latn-ME"/>
              </w:rPr>
              <w:t xml:space="preserve"> </w:t>
            </w:r>
            <w:r w:rsidRPr="006C2F5C">
              <w:rPr>
                <w:rFonts w:asciiTheme="majorHAnsi" w:hAnsiTheme="majorHAnsi"/>
                <w:i/>
              </w:rPr>
              <w:t>pozicijama</w:t>
            </w:r>
            <w:r w:rsidRPr="006C2F5C">
              <w:rPr>
                <w:rFonts w:asciiTheme="majorHAnsi" w:hAnsiTheme="majorHAnsi"/>
                <w:i/>
                <w:lang w:val="sr-Latn-ME"/>
              </w:rPr>
              <w:t xml:space="preserve"> </w:t>
            </w:r>
            <w:r w:rsidRPr="006C2F5C">
              <w:rPr>
                <w:rFonts w:asciiTheme="majorHAnsi" w:hAnsiTheme="majorHAnsi"/>
                <w:i/>
              </w:rPr>
              <w:t>ministarstava</w:t>
            </w:r>
            <w:r w:rsidRPr="006C2F5C">
              <w:rPr>
                <w:rFonts w:asciiTheme="majorHAnsi" w:hAnsiTheme="majorHAnsi"/>
                <w:i/>
                <w:lang w:val="sr-Latn-ME"/>
              </w:rPr>
              <w:t xml:space="preserve"> </w:t>
            </w:r>
            <w:r w:rsidRPr="006C2F5C">
              <w:rPr>
                <w:rFonts w:asciiTheme="majorHAnsi" w:hAnsiTheme="majorHAnsi"/>
                <w:i/>
              </w:rPr>
              <w:t>nadle</w:t>
            </w:r>
            <w:r w:rsidRPr="006C2F5C">
              <w:rPr>
                <w:rFonts w:asciiTheme="majorHAnsi" w:hAnsiTheme="majorHAnsi"/>
                <w:i/>
                <w:lang w:val="sr-Latn-ME"/>
              </w:rPr>
              <w:t>ž</w:t>
            </w:r>
            <w:r w:rsidRPr="006C2F5C">
              <w:rPr>
                <w:rFonts w:asciiTheme="majorHAnsi" w:hAnsiTheme="majorHAnsi"/>
                <w:i/>
              </w:rPr>
              <w:t>nih</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oblasti</w:t>
            </w:r>
            <w:r w:rsidRPr="006C2F5C">
              <w:rPr>
                <w:rFonts w:asciiTheme="majorHAnsi" w:hAnsiTheme="majorHAnsi"/>
                <w:i/>
                <w:lang w:val="sr-Latn-ME"/>
              </w:rPr>
              <w:t xml:space="preserve"> </w:t>
            </w:r>
            <w:r w:rsidRPr="006C2F5C">
              <w:rPr>
                <w:rFonts w:asciiTheme="majorHAnsi" w:hAnsiTheme="majorHAnsi"/>
                <w:i/>
              </w:rPr>
              <w:t>koje</w:t>
            </w:r>
            <w:r w:rsidRPr="006C2F5C">
              <w:rPr>
                <w:rFonts w:asciiTheme="majorHAnsi" w:hAnsiTheme="majorHAnsi"/>
                <w:i/>
                <w:lang w:val="sr-Latn-ME"/>
              </w:rPr>
              <w:t xml:space="preserve"> </w:t>
            </w:r>
            <w:r w:rsidRPr="006C2F5C">
              <w:rPr>
                <w:rFonts w:asciiTheme="majorHAnsi" w:hAnsiTheme="majorHAnsi"/>
                <w:i/>
              </w:rPr>
              <w:t>Vlada</w:t>
            </w:r>
            <w:r w:rsidRPr="006C2F5C">
              <w:rPr>
                <w:rFonts w:asciiTheme="majorHAnsi" w:hAnsiTheme="majorHAnsi"/>
                <w:i/>
                <w:lang w:val="sr-Latn-ME"/>
              </w:rPr>
              <w:t xml:space="preserve"> </w:t>
            </w:r>
            <w:r w:rsidRPr="006C2F5C">
              <w:rPr>
                <w:rFonts w:asciiTheme="majorHAnsi" w:hAnsiTheme="majorHAnsi"/>
                <w:i/>
              </w:rPr>
              <w:t>utvrdi</w:t>
            </w:r>
            <w:r w:rsidRPr="006C2F5C">
              <w:rPr>
                <w:rFonts w:asciiTheme="majorHAnsi" w:hAnsiTheme="majorHAnsi"/>
                <w:i/>
                <w:lang w:val="sr-Latn-ME"/>
              </w:rPr>
              <w:t xml:space="preserve"> </w:t>
            </w:r>
            <w:r w:rsidRPr="006C2F5C">
              <w:rPr>
                <w:rFonts w:asciiTheme="majorHAnsi" w:hAnsiTheme="majorHAnsi"/>
                <w:i/>
              </w:rPr>
              <w:t>kao</w:t>
            </w:r>
            <w:r w:rsidRPr="006C2F5C">
              <w:rPr>
                <w:rFonts w:asciiTheme="majorHAnsi" w:hAnsiTheme="majorHAnsi"/>
                <w:i/>
                <w:lang w:val="sr-Latn-ME"/>
              </w:rPr>
              <w:t xml:space="preserve"> </w:t>
            </w:r>
            <w:r w:rsidRPr="006C2F5C">
              <w:rPr>
                <w:rFonts w:asciiTheme="majorHAnsi" w:hAnsiTheme="majorHAnsi"/>
                <w:i/>
              </w:rPr>
              <w:t>prioritetne</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finansiranje</w:t>
            </w:r>
            <w:r w:rsidRPr="006C2F5C">
              <w:rPr>
                <w:rFonts w:asciiTheme="majorHAnsi" w:hAnsiTheme="majorHAnsi"/>
                <w:i/>
                <w:lang w:val="sr-Latn-ME"/>
              </w:rPr>
              <w:t xml:space="preserve"> </w:t>
            </w:r>
            <w:r w:rsidRPr="006C2F5C">
              <w:rPr>
                <w:rFonts w:asciiTheme="majorHAnsi" w:hAnsiTheme="majorHAnsi"/>
                <w:i/>
              </w:rPr>
              <w:t>projekata</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programa</w:t>
            </w:r>
            <w:r w:rsidRPr="006C2F5C">
              <w:rPr>
                <w:rFonts w:asciiTheme="majorHAnsi" w:hAnsiTheme="majorHAnsi"/>
                <w:i/>
                <w:lang w:val="sr-Latn-ME"/>
              </w:rPr>
              <w:t xml:space="preserve"> </w:t>
            </w:r>
            <w:r w:rsidRPr="006C2F5C">
              <w:rPr>
                <w:rFonts w:asciiTheme="majorHAnsi" w:hAnsiTheme="majorHAnsi"/>
                <w:i/>
              </w:rPr>
              <w:t>nevladinih</w:t>
            </w:r>
            <w:r w:rsidRPr="006C2F5C">
              <w:rPr>
                <w:rFonts w:asciiTheme="majorHAnsi" w:hAnsiTheme="majorHAnsi"/>
                <w:i/>
                <w:lang w:val="sr-Latn-ME"/>
              </w:rPr>
              <w:t xml:space="preserve"> </w:t>
            </w:r>
            <w:r w:rsidRPr="006C2F5C">
              <w:rPr>
                <w:rFonts w:asciiTheme="majorHAnsi" w:hAnsiTheme="majorHAnsi"/>
                <w:i/>
              </w:rPr>
              <w:t>organizacija</w:t>
            </w:r>
            <w:r w:rsidRPr="006C2F5C">
              <w:rPr>
                <w:rFonts w:asciiTheme="majorHAnsi" w:hAnsiTheme="majorHAnsi"/>
                <w:i/>
                <w:lang w:val="sr-Latn-ME"/>
              </w:rPr>
              <w:t xml:space="preserve">. </w:t>
            </w:r>
            <w:r w:rsidRPr="006C2F5C">
              <w:rPr>
                <w:rFonts w:asciiTheme="majorHAnsi" w:hAnsiTheme="majorHAnsi"/>
                <w:i/>
              </w:rPr>
              <w:t>Analiza</w:t>
            </w:r>
            <w:r w:rsidRPr="006C2F5C">
              <w:rPr>
                <w:rFonts w:asciiTheme="majorHAnsi" w:hAnsiTheme="majorHAnsi"/>
                <w:i/>
                <w:lang w:val="sr-Latn-ME"/>
              </w:rPr>
              <w:t xml:space="preserve"> ć</w:t>
            </w:r>
            <w:r w:rsidRPr="006C2F5C">
              <w:rPr>
                <w:rFonts w:asciiTheme="majorHAnsi" w:hAnsiTheme="majorHAnsi"/>
                <w:i/>
              </w:rPr>
              <w:t>e</w:t>
            </w:r>
            <w:r w:rsidRPr="006C2F5C">
              <w:rPr>
                <w:rFonts w:asciiTheme="majorHAnsi" w:hAnsiTheme="majorHAnsi"/>
                <w:i/>
                <w:lang w:val="sr-Latn-ME"/>
              </w:rPr>
              <w:t xml:space="preserve"> </w:t>
            </w:r>
            <w:r w:rsidRPr="006C2F5C">
              <w:rPr>
                <w:rFonts w:asciiTheme="majorHAnsi" w:hAnsiTheme="majorHAnsi"/>
                <w:i/>
              </w:rPr>
              <w:t>poslu</w:t>
            </w:r>
            <w:r w:rsidRPr="006C2F5C">
              <w:rPr>
                <w:rFonts w:asciiTheme="majorHAnsi" w:hAnsiTheme="majorHAnsi"/>
                <w:i/>
                <w:lang w:val="sr-Latn-ME"/>
              </w:rPr>
              <w:t>ž</w:t>
            </w:r>
            <w:r w:rsidRPr="006C2F5C">
              <w:rPr>
                <w:rFonts w:asciiTheme="majorHAnsi" w:hAnsiTheme="majorHAnsi"/>
                <w:i/>
              </w:rPr>
              <w:t>iti</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pripremu</w:t>
            </w:r>
            <w:r w:rsidRPr="006C2F5C">
              <w:rPr>
                <w:rFonts w:asciiTheme="majorHAnsi" w:hAnsiTheme="majorHAnsi"/>
                <w:i/>
                <w:lang w:val="sr-Latn-ME"/>
              </w:rPr>
              <w:t xml:space="preserve"> </w:t>
            </w:r>
            <w:r w:rsidRPr="006C2F5C">
              <w:rPr>
                <w:rFonts w:asciiTheme="majorHAnsi" w:hAnsiTheme="majorHAnsi"/>
                <w:i/>
              </w:rPr>
              <w:t>javnih</w:t>
            </w:r>
            <w:r w:rsidRPr="006C2F5C">
              <w:rPr>
                <w:rFonts w:asciiTheme="majorHAnsi" w:hAnsiTheme="majorHAnsi"/>
                <w:i/>
                <w:lang w:val="sr-Latn-ME"/>
              </w:rPr>
              <w:t xml:space="preserve"> </w:t>
            </w:r>
            <w:r w:rsidRPr="006C2F5C">
              <w:rPr>
                <w:rFonts w:asciiTheme="majorHAnsi" w:hAnsiTheme="majorHAnsi"/>
                <w:i/>
              </w:rPr>
              <w:t>konkursa</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raspodjelu</w:t>
            </w:r>
            <w:r w:rsidRPr="006C2F5C">
              <w:rPr>
                <w:rFonts w:asciiTheme="majorHAnsi" w:hAnsiTheme="majorHAnsi"/>
                <w:i/>
                <w:lang w:val="sr-Latn-ME"/>
              </w:rPr>
              <w:t xml:space="preserve"> </w:t>
            </w:r>
            <w:r w:rsidRPr="006C2F5C">
              <w:rPr>
                <w:rFonts w:asciiTheme="majorHAnsi" w:hAnsiTheme="majorHAnsi"/>
                <w:i/>
              </w:rPr>
              <w:t>sredstava</w:t>
            </w:r>
            <w:r w:rsidRPr="006C2F5C">
              <w:rPr>
                <w:rFonts w:asciiTheme="majorHAnsi" w:hAnsiTheme="majorHAnsi"/>
                <w:i/>
                <w:lang w:val="sr-Latn-ME"/>
              </w:rPr>
              <w:t xml:space="preserve"> </w:t>
            </w:r>
            <w:r w:rsidRPr="006C2F5C">
              <w:rPr>
                <w:rFonts w:asciiTheme="majorHAnsi" w:hAnsiTheme="majorHAnsi"/>
                <w:i/>
              </w:rPr>
              <w:t>za</w:t>
            </w:r>
            <w:r w:rsidRPr="006C2F5C">
              <w:rPr>
                <w:rFonts w:asciiTheme="majorHAnsi" w:hAnsiTheme="majorHAnsi"/>
                <w:i/>
                <w:lang w:val="sr-Latn-ME"/>
              </w:rPr>
              <w:t xml:space="preserve"> </w:t>
            </w:r>
            <w:r w:rsidRPr="006C2F5C">
              <w:rPr>
                <w:rFonts w:asciiTheme="majorHAnsi" w:hAnsiTheme="majorHAnsi"/>
                <w:i/>
              </w:rPr>
              <w:t>finansiranje</w:t>
            </w:r>
            <w:r w:rsidRPr="006C2F5C">
              <w:rPr>
                <w:rFonts w:asciiTheme="majorHAnsi" w:hAnsiTheme="majorHAnsi"/>
                <w:i/>
                <w:lang w:val="sr-Latn-ME"/>
              </w:rPr>
              <w:t xml:space="preserve"> </w:t>
            </w:r>
            <w:r w:rsidRPr="006C2F5C">
              <w:rPr>
                <w:rFonts w:asciiTheme="majorHAnsi" w:hAnsiTheme="majorHAnsi"/>
                <w:i/>
              </w:rPr>
              <w:t>projekata</w:t>
            </w:r>
            <w:r w:rsidRPr="006C2F5C">
              <w:rPr>
                <w:rFonts w:asciiTheme="majorHAnsi" w:hAnsiTheme="majorHAnsi"/>
                <w:i/>
                <w:lang w:val="sr-Latn-ME"/>
              </w:rPr>
              <w:t xml:space="preserve"> </w:t>
            </w:r>
            <w:r w:rsidRPr="006C2F5C">
              <w:rPr>
                <w:rFonts w:asciiTheme="majorHAnsi" w:hAnsiTheme="majorHAnsi"/>
                <w:i/>
              </w:rPr>
              <w:t>i</w:t>
            </w:r>
            <w:r w:rsidRPr="006C2F5C">
              <w:rPr>
                <w:rFonts w:asciiTheme="majorHAnsi" w:hAnsiTheme="majorHAnsi"/>
                <w:i/>
                <w:lang w:val="sr-Latn-ME"/>
              </w:rPr>
              <w:t xml:space="preserve"> </w:t>
            </w:r>
            <w:r w:rsidRPr="006C2F5C">
              <w:rPr>
                <w:rFonts w:asciiTheme="majorHAnsi" w:hAnsiTheme="majorHAnsi"/>
                <w:i/>
              </w:rPr>
              <w:t>programa</w:t>
            </w:r>
            <w:r w:rsidRPr="006C2F5C">
              <w:rPr>
                <w:rFonts w:asciiTheme="majorHAnsi" w:hAnsiTheme="majorHAnsi"/>
                <w:i/>
                <w:lang w:val="sr-Latn-ME"/>
              </w:rPr>
              <w:t xml:space="preserve"> </w:t>
            </w:r>
            <w:r w:rsidRPr="006C2F5C">
              <w:rPr>
                <w:rFonts w:asciiTheme="majorHAnsi" w:hAnsiTheme="majorHAnsi"/>
                <w:i/>
              </w:rPr>
              <w:t>nevladinih</w:t>
            </w:r>
            <w:r w:rsidRPr="006C2F5C">
              <w:rPr>
                <w:rFonts w:asciiTheme="majorHAnsi" w:hAnsiTheme="majorHAnsi"/>
                <w:i/>
                <w:lang w:val="sr-Latn-ME"/>
              </w:rPr>
              <w:t xml:space="preserve"> </w:t>
            </w:r>
            <w:r w:rsidRPr="006C2F5C">
              <w:rPr>
                <w:rFonts w:asciiTheme="majorHAnsi" w:hAnsiTheme="majorHAnsi"/>
                <w:i/>
              </w:rPr>
              <w:t>organizacija</w:t>
            </w:r>
            <w:r w:rsidRPr="006C2F5C">
              <w:rPr>
                <w:rFonts w:asciiTheme="majorHAnsi" w:hAnsiTheme="majorHAnsi"/>
                <w:i/>
                <w:lang w:val="sr-Latn-ME"/>
              </w:rPr>
              <w:t xml:space="preserve"> </w:t>
            </w:r>
            <w:r w:rsidRPr="006C2F5C">
              <w:rPr>
                <w:rFonts w:asciiTheme="majorHAnsi" w:hAnsiTheme="majorHAnsi"/>
                <w:i/>
              </w:rPr>
              <w:t>u</w:t>
            </w:r>
            <w:r w:rsidRPr="006C2F5C">
              <w:rPr>
                <w:rFonts w:asciiTheme="majorHAnsi" w:hAnsiTheme="majorHAnsi"/>
                <w:i/>
                <w:lang w:val="sr-Latn-ME"/>
              </w:rPr>
              <w:t xml:space="preserve"> </w:t>
            </w:r>
            <w:r w:rsidRPr="006C2F5C">
              <w:rPr>
                <w:rFonts w:asciiTheme="majorHAnsi" w:hAnsiTheme="majorHAnsi"/>
                <w:i/>
              </w:rPr>
              <w:t>oblasti</w:t>
            </w:r>
            <w:r w:rsidRPr="006C2F5C">
              <w:rPr>
                <w:rFonts w:asciiTheme="majorHAnsi" w:hAnsiTheme="majorHAnsi"/>
                <w:i/>
                <w:lang w:val="sr-Latn-ME"/>
              </w:rPr>
              <w:t xml:space="preserve"> </w:t>
            </w:r>
            <w:r w:rsidRPr="006C2F5C">
              <w:rPr>
                <w:rFonts w:asciiTheme="majorHAnsi" w:hAnsiTheme="majorHAnsi"/>
                <w:i/>
              </w:rPr>
              <w:t>koja</w:t>
            </w:r>
            <w:r w:rsidRPr="006C2F5C">
              <w:rPr>
                <w:rFonts w:asciiTheme="majorHAnsi" w:hAnsiTheme="majorHAnsi"/>
                <w:i/>
                <w:lang w:val="sr-Latn-ME"/>
              </w:rPr>
              <w:t xml:space="preserve"> ć</w:t>
            </w:r>
            <w:r w:rsidRPr="006C2F5C">
              <w:rPr>
                <w:rFonts w:asciiTheme="majorHAnsi" w:hAnsiTheme="majorHAnsi"/>
                <w:i/>
              </w:rPr>
              <w:t>e</w:t>
            </w:r>
            <w:r w:rsidRPr="006C2F5C">
              <w:rPr>
                <w:rFonts w:asciiTheme="majorHAnsi" w:hAnsiTheme="majorHAnsi"/>
                <w:i/>
                <w:lang w:val="sr-Latn-ME"/>
              </w:rPr>
              <w:t xml:space="preserve"> </w:t>
            </w:r>
            <w:r w:rsidRPr="006C2F5C">
              <w:rPr>
                <w:rFonts w:asciiTheme="majorHAnsi" w:hAnsiTheme="majorHAnsi"/>
                <w:i/>
              </w:rPr>
              <w:t>biti</w:t>
            </w:r>
            <w:r w:rsidRPr="006C2F5C">
              <w:rPr>
                <w:rFonts w:asciiTheme="majorHAnsi" w:hAnsiTheme="majorHAnsi"/>
                <w:i/>
                <w:lang w:val="sr-Latn-ME"/>
              </w:rPr>
              <w:t xml:space="preserve"> </w:t>
            </w:r>
            <w:r w:rsidRPr="006C2F5C">
              <w:rPr>
                <w:rFonts w:asciiTheme="majorHAnsi" w:hAnsiTheme="majorHAnsi"/>
                <w:i/>
              </w:rPr>
              <w:t>utvr</w:t>
            </w:r>
            <w:r w:rsidRPr="006C2F5C">
              <w:rPr>
                <w:rFonts w:asciiTheme="majorHAnsi" w:hAnsiTheme="majorHAnsi"/>
                <w:i/>
                <w:lang w:val="sr-Latn-ME"/>
              </w:rPr>
              <w:t>đ</w:t>
            </w:r>
            <w:r w:rsidRPr="006C2F5C">
              <w:rPr>
                <w:rFonts w:asciiTheme="majorHAnsi" w:hAnsiTheme="majorHAnsi"/>
                <w:i/>
              </w:rPr>
              <w:t>ena</w:t>
            </w:r>
            <w:r w:rsidRPr="006C2F5C">
              <w:rPr>
                <w:rFonts w:asciiTheme="majorHAnsi" w:hAnsiTheme="majorHAnsi"/>
                <w:i/>
                <w:lang w:val="sr-Latn-ME"/>
              </w:rPr>
              <w:t xml:space="preserve"> </w:t>
            </w:r>
            <w:r w:rsidRPr="006C2F5C">
              <w:rPr>
                <w:rFonts w:asciiTheme="majorHAnsi" w:hAnsiTheme="majorHAnsi"/>
                <w:i/>
              </w:rPr>
              <w:t>kao</w:t>
            </w:r>
            <w:r w:rsidRPr="006C2F5C">
              <w:rPr>
                <w:rFonts w:asciiTheme="majorHAnsi" w:hAnsiTheme="majorHAnsi"/>
                <w:i/>
                <w:lang w:val="sr-Latn-ME"/>
              </w:rPr>
              <w:t xml:space="preserve"> </w:t>
            </w:r>
            <w:r w:rsidRPr="006C2F5C">
              <w:rPr>
                <w:rFonts w:asciiTheme="majorHAnsi" w:hAnsiTheme="majorHAnsi"/>
                <w:i/>
              </w:rPr>
              <w:t>prioritetna</w:t>
            </w:r>
            <w:r w:rsidRPr="006C2F5C">
              <w:rPr>
                <w:rFonts w:asciiTheme="majorHAnsi" w:hAnsiTheme="majorHAnsi"/>
                <w:i/>
                <w:lang w:val="sr-Latn-ME"/>
              </w:rPr>
              <w:t>.</w:t>
            </w:r>
          </w:p>
        </w:tc>
      </w:tr>
    </w:tbl>
    <w:p w14:paraId="33DF2435" w14:textId="77777777" w:rsidR="00C12EAA" w:rsidRPr="006C2F5C" w:rsidRDefault="00C12EAA" w:rsidP="00C12EAA">
      <w:pPr>
        <w:rPr>
          <w:rFonts w:asciiTheme="majorHAnsi" w:hAnsiTheme="majorHAnsi"/>
        </w:rPr>
      </w:pPr>
    </w:p>
    <w:p w14:paraId="127CDEA5" w14:textId="77777777" w:rsidR="00C12EAA" w:rsidRPr="006C2F5C" w:rsidRDefault="00C12EAA" w:rsidP="00C12EAA">
      <w:pPr>
        <w:rPr>
          <w:rFonts w:asciiTheme="majorHAnsi" w:hAnsiTheme="majorHAnsi"/>
        </w:rPr>
      </w:pPr>
    </w:p>
    <w:p w14:paraId="5B762E2A" w14:textId="77777777" w:rsidR="00C12EAA" w:rsidRPr="006C2F5C" w:rsidRDefault="00C12EAA" w:rsidP="00C12EAA">
      <w:pPr>
        <w:rPr>
          <w:rFonts w:asciiTheme="majorHAnsi" w:hAnsiTheme="majorHAnsi"/>
        </w:rPr>
      </w:pPr>
    </w:p>
    <w:p w14:paraId="5FD5F35F" w14:textId="77777777" w:rsidR="00C12EAA" w:rsidRPr="006C2F5C" w:rsidRDefault="00C12EAA" w:rsidP="00C12EAA">
      <w:pPr>
        <w:pStyle w:val="ListParagraph"/>
        <w:numPr>
          <w:ilvl w:val="0"/>
          <w:numId w:val="5"/>
        </w:numPr>
        <w:rPr>
          <w:rFonts w:asciiTheme="majorHAnsi" w:hAnsiTheme="majorHAnsi"/>
          <w:b/>
          <w:u w:val="single"/>
          <w:lang w:val="es-ES"/>
        </w:rPr>
      </w:pPr>
      <w:r w:rsidRPr="006C2F5C">
        <w:rPr>
          <w:rFonts w:asciiTheme="majorHAnsi" w:hAnsiTheme="majorHAnsi"/>
          <w:b/>
          <w:u w:val="single"/>
          <w:lang w:val="es-ES"/>
        </w:rPr>
        <w:lastRenderedPageBreak/>
        <w:t>OBLASTI OD JAVNOG INTERESA U KOJIMA SE PLANIRA FINANSIJSKA PODRŠKA ZA PROJEKTE I PROGRAME NVO</w:t>
      </w:r>
    </w:p>
    <w:p w14:paraId="2DE675DB" w14:textId="77777777" w:rsidR="00C12EAA" w:rsidRPr="006C2F5C" w:rsidRDefault="00C12EAA" w:rsidP="00C12EAA">
      <w:pPr>
        <w:pStyle w:val="ListParagraph"/>
        <w:numPr>
          <w:ilvl w:val="1"/>
          <w:numId w:val="5"/>
        </w:numPr>
        <w:rPr>
          <w:rFonts w:asciiTheme="majorHAnsi" w:hAnsiTheme="majorHAnsi"/>
          <w:lang w:val="es-ES"/>
        </w:rPr>
      </w:pPr>
      <w:r w:rsidRPr="006C2F5C">
        <w:rPr>
          <w:rFonts w:asciiTheme="majorHAnsi" w:hAnsiTheme="majorHAnsi"/>
          <w:lang w:val="es-ES"/>
        </w:rPr>
        <w:t>Navesti u kojim oblastima od javnog interesa (iz člana 32 Zakona o NVO) iz nadležnosti ministarstva planirate finansijsku podršku iz budžeta za projekte i programe NVO:</w:t>
      </w:r>
    </w:p>
    <w:tbl>
      <w:tblPr>
        <w:tblW w:w="144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C12EAA" w:rsidRPr="006C2F5C" w14:paraId="2CAA7DA5" w14:textId="77777777" w:rsidTr="008671CC">
        <w:trPr>
          <w:cantSplit/>
        </w:trPr>
        <w:tc>
          <w:tcPr>
            <w:tcW w:w="496" w:type="dxa"/>
            <w:tcBorders>
              <w:top w:val="single" w:sz="18" w:space="0" w:color="auto"/>
              <w:right w:val="nil"/>
            </w:tcBorders>
            <w:shd w:val="clear" w:color="auto" w:fill="auto"/>
            <w:tcMar>
              <w:bottom w:w="57" w:type="dxa"/>
            </w:tcMar>
          </w:tcPr>
          <w:p w14:paraId="7D440D13"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top w:val="single" w:sz="18" w:space="0" w:color="auto"/>
              <w:left w:val="nil"/>
            </w:tcBorders>
            <w:shd w:val="clear" w:color="auto" w:fill="auto"/>
            <w:tcMar>
              <w:left w:w="0" w:type="dxa"/>
              <w:bottom w:w="57" w:type="dxa"/>
            </w:tcMar>
          </w:tcPr>
          <w:p w14:paraId="36B68CC9"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socijalna i zdravstvena zaštita</w:t>
            </w:r>
          </w:p>
        </w:tc>
        <w:tc>
          <w:tcPr>
            <w:tcW w:w="568" w:type="dxa"/>
            <w:tcBorders>
              <w:top w:val="single" w:sz="18" w:space="0" w:color="auto"/>
              <w:right w:val="nil"/>
            </w:tcBorders>
            <w:shd w:val="clear" w:color="auto" w:fill="auto"/>
            <w:tcMar>
              <w:bottom w:w="57" w:type="dxa"/>
            </w:tcMar>
          </w:tcPr>
          <w:p w14:paraId="1443D0AA"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402" w:type="dxa"/>
            <w:tcBorders>
              <w:top w:val="single" w:sz="18" w:space="0" w:color="auto"/>
              <w:left w:val="nil"/>
            </w:tcBorders>
            <w:shd w:val="clear" w:color="auto" w:fill="auto"/>
            <w:tcMar>
              <w:left w:w="0" w:type="dxa"/>
              <w:bottom w:w="57" w:type="dxa"/>
            </w:tcMar>
          </w:tcPr>
          <w:p w14:paraId="08A8D4D7"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razvoj civilnog društva i volonterizma</w:t>
            </w:r>
          </w:p>
        </w:tc>
        <w:tc>
          <w:tcPr>
            <w:tcW w:w="568" w:type="dxa"/>
            <w:tcBorders>
              <w:top w:val="single" w:sz="18" w:space="0" w:color="auto"/>
              <w:right w:val="nil"/>
            </w:tcBorders>
            <w:shd w:val="clear" w:color="auto" w:fill="auto"/>
            <w:tcMar>
              <w:bottom w:w="57" w:type="dxa"/>
            </w:tcMar>
          </w:tcPr>
          <w:p w14:paraId="4FF9EFBB"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top w:val="single" w:sz="18" w:space="0" w:color="auto"/>
              <w:left w:val="nil"/>
            </w:tcBorders>
            <w:shd w:val="clear" w:color="auto" w:fill="auto"/>
            <w:tcMar>
              <w:left w:w="0" w:type="dxa"/>
              <w:bottom w:w="57" w:type="dxa"/>
            </w:tcMar>
          </w:tcPr>
          <w:p w14:paraId="426EB88B"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zaštita životne sredine</w:t>
            </w:r>
          </w:p>
        </w:tc>
      </w:tr>
      <w:tr w:rsidR="00C12EAA" w:rsidRPr="006C2F5C" w14:paraId="11476162" w14:textId="77777777" w:rsidTr="008671CC">
        <w:trPr>
          <w:cantSplit/>
        </w:trPr>
        <w:tc>
          <w:tcPr>
            <w:tcW w:w="496" w:type="dxa"/>
            <w:tcBorders>
              <w:right w:val="nil"/>
            </w:tcBorders>
            <w:shd w:val="clear" w:color="auto" w:fill="auto"/>
            <w:tcMar>
              <w:bottom w:w="57" w:type="dxa"/>
            </w:tcMar>
          </w:tcPr>
          <w:p w14:paraId="23A2F1EB"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left w:val="nil"/>
            </w:tcBorders>
            <w:shd w:val="clear" w:color="auto" w:fill="auto"/>
            <w:tcMar>
              <w:left w:w="0" w:type="dxa"/>
              <w:bottom w:w="57" w:type="dxa"/>
            </w:tcMar>
          </w:tcPr>
          <w:p w14:paraId="3D278915"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smanjenje siromaštva</w:t>
            </w:r>
          </w:p>
        </w:tc>
        <w:tc>
          <w:tcPr>
            <w:tcW w:w="568" w:type="dxa"/>
            <w:tcBorders>
              <w:right w:val="nil"/>
            </w:tcBorders>
            <w:shd w:val="clear" w:color="auto" w:fill="auto"/>
            <w:tcMar>
              <w:bottom w:w="57" w:type="dxa"/>
            </w:tcMar>
          </w:tcPr>
          <w:p w14:paraId="30C2B3C3"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402" w:type="dxa"/>
            <w:tcBorders>
              <w:left w:val="nil"/>
            </w:tcBorders>
            <w:shd w:val="clear" w:color="auto" w:fill="auto"/>
            <w:tcMar>
              <w:left w:w="0" w:type="dxa"/>
              <w:bottom w:w="57" w:type="dxa"/>
            </w:tcMar>
          </w:tcPr>
          <w:p w14:paraId="3876FE1B"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evroatlantske i evropske integracije Crne Gore</w:t>
            </w:r>
          </w:p>
        </w:tc>
        <w:tc>
          <w:tcPr>
            <w:tcW w:w="568" w:type="dxa"/>
            <w:tcBorders>
              <w:right w:val="nil"/>
            </w:tcBorders>
            <w:shd w:val="clear" w:color="auto" w:fill="auto"/>
            <w:tcMar>
              <w:bottom w:w="57" w:type="dxa"/>
            </w:tcMar>
          </w:tcPr>
          <w:p w14:paraId="47FF2979"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left w:val="nil"/>
            </w:tcBorders>
            <w:shd w:val="clear" w:color="auto" w:fill="auto"/>
            <w:tcMar>
              <w:left w:w="0" w:type="dxa"/>
              <w:bottom w:w="57" w:type="dxa"/>
            </w:tcMar>
          </w:tcPr>
          <w:p w14:paraId="22E6F4BB"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poljoprivreda i ruralni razvoj</w:t>
            </w:r>
          </w:p>
        </w:tc>
      </w:tr>
      <w:tr w:rsidR="00C12EAA" w:rsidRPr="006C2F5C" w14:paraId="679EB9AE" w14:textId="77777777" w:rsidTr="008671CC">
        <w:trPr>
          <w:cantSplit/>
        </w:trPr>
        <w:tc>
          <w:tcPr>
            <w:tcW w:w="496" w:type="dxa"/>
            <w:tcBorders>
              <w:right w:val="nil"/>
            </w:tcBorders>
            <w:shd w:val="clear" w:color="auto" w:fill="auto"/>
            <w:tcMar>
              <w:bottom w:w="57" w:type="dxa"/>
            </w:tcMar>
          </w:tcPr>
          <w:p w14:paraId="7A6FAFF5"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left w:val="nil"/>
            </w:tcBorders>
            <w:shd w:val="clear" w:color="auto" w:fill="auto"/>
            <w:tcMar>
              <w:left w:w="0" w:type="dxa"/>
              <w:bottom w:w="57" w:type="dxa"/>
            </w:tcMar>
          </w:tcPr>
          <w:p w14:paraId="29BE5586"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zaštita lica sa invaliditetom</w:t>
            </w:r>
          </w:p>
        </w:tc>
        <w:tc>
          <w:tcPr>
            <w:tcW w:w="568" w:type="dxa"/>
            <w:tcBorders>
              <w:right w:val="nil"/>
            </w:tcBorders>
            <w:shd w:val="clear" w:color="auto" w:fill="auto"/>
            <w:tcMar>
              <w:bottom w:w="57" w:type="dxa"/>
            </w:tcMar>
          </w:tcPr>
          <w:p w14:paraId="05E3B18D" w14:textId="77777777" w:rsidR="00C12EAA" w:rsidRPr="006C2F5C" w:rsidRDefault="00D52F05" w:rsidP="00D52F05">
            <w:pPr>
              <w:spacing w:after="0"/>
              <w:rPr>
                <w:rFonts w:asciiTheme="majorHAnsi" w:hAnsiTheme="majorHAnsi" w:cs="Arial"/>
                <w:sz w:val="16"/>
                <w:szCs w:val="16"/>
              </w:rPr>
            </w:pPr>
            <w:r w:rsidRPr="006C2F5C">
              <w:rPr>
                <w:rFonts w:asciiTheme="majorHAnsi" w:hAnsiTheme="majorHAnsi" w:cs="Arial"/>
                <w:sz w:val="16"/>
                <w:szCs w:val="16"/>
              </w:rPr>
              <w:t></w:t>
            </w:r>
            <w:r w:rsidRPr="006C2F5C">
              <w:rPr>
                <w:rFonts w:asciiTheme="majorHAnsi" w:hAnsiTheme="majorHAnsi" w:cs="Arial"/>
                <w:sz w:val="16"/>
                <w:szCs w:val="16"/>
              </w:rPr>
              <w:t></w:t>
            </w:r>
          </w:p>
        </w:tc>
        <w:tc>
          <w:tcPr>
            <w:tcW w:w="4402" w:type="dxa"/>
            <w:tcBorders>
              <w:left w:val="nil"/>
            </w:tcBorders>
            <w:shd w:val="clear" w:color="auto" w:fill="auto"/>
            <w:tcMar>
              <w:left w:w="0" w:type="dxa"/>
              <w:bottom w:w="57" w:type="dxa"/>
            </w:tcMar>
          </w:tcPr>
          <w:p w14:paraId="0B1F26B9"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institucionalno i vaninstitucionalno obrazovanje</w:t>
            </w:r>
          </w:p>
        </w:tc>
        <w:tc>
          <w:tcPr>
            <w:tcW w:w="568" w:type="dxa"/>
            <w:tcBorders>
              <w:right w:val="nil"/>
            </w:tcBorders>
            <w:shd w:val="clear" w:color="auto" w:fill="auto"/>
            <w:tcMar>
              <w:bottom w:w="57" w:type="dxa"/>
            </w:tcMar>
          </w:tcPr>
          <w:p w14:paraId="451D3909"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left w:val="nil"/>
            </w:tcBorders>
            <w:shd w:val="clear" w:color="auto" w:fill="auto"/>
            <w:tcMar>
              <w:left w:w="0" w:type="dxa"/>
              <w:bottom w:w="57" w:type="dxa"/>
            </w:tcMar>
          </w:tcPr>
          <w:p w14:paraId="0D21E018"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održivi razvoj</w:t>
            </w:r>
          </w:p>
        </w:tc>
      </w:tr>
      <w:tr w:rsidR="00C12EAA" w:rsidRPr="006C2F5C" w14:paraId="331D51BE" w14:textId="77777777" w:rsidTr="008671CC">
        <w:trPr>
          <w:cantSplit/>
        </w:trPr>
        <w:tc>
          <w:tcPr>
            <w:tcW w:w="496" w:type="dxa"/>
            <w:tcBorders>
              <w:right w:val="nil"/>
            </w:tcBorders>
            <w:shd w:val="clear" w:color="auto" w:fill="auto"/>
            <w:tcMar>
              <w:bottom w:w="57" w:type="dxa"/>
            </w:tcMar>
          </w:tcPr>
          <w:p w14:paraId="4F46348E"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left w:val="nil"/>
            </w:tcBorders>
            <w:shd w:val="clear" w:color="auto" w:fill="auto"/>
            <w:tcMar>
              <w:left w:w="0" w:type="dxa"/>
              <w:bottom w:w="57" w:type="dxa"/>
            </w:tcMar>
          </w:tcPr>
          <w:p w14:paraId="535B1E73"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društvena briga o djeci i mladima</w:t>
            </w:r>
          </w:p>
        </w:tc>
        <w:tc>
          <w:tcPr>
            <w:tcW w:w="568" w:type="dxa"/>
            <w:tcBorders>
              <w:right w:val="nil"/>
            </w:tcBorders>
            <w:shd w:val="clear" w:color="auto" w:fill="auto"/>
            <w:tcMar>
              <w:bottom w:w="57" w:type="dxa"/>
            </w:tcMar>
          </w:tcPr>
          <w:p w14:paraId="69AC0D13"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402" w:type="dxa"/>
            <w:tcBorders>
              <w:left w:val="nil"/>
            </w:tcBorders>
            <w:shd w:val="clear" w:color="auto" w:fill="auto"/>
            <w:tcMar>
              <w:left w:w="0" w:type="dxa"/>
              <w:bottom w:w="57" w:type="dxa"/>
            </w:tcMar>
          </w:tcPr>
          <w:p w14:paraId="087E6FF1"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nauka</w:t>
            </w:r>
          </w:p>
        </w:tc>
        <w:tc>
          <w:tcPr>
            <w:tcW w:w="568" w:type="dxa"/>
            <w:tcBorders>
              <w:right w:val="nil"/>
            </w:tcBorders>
            <w:shd w:val="clear" w:color="auto" w:fill="auto"/>
            <w:tcMar>
              <w:bottom w:w="57" w:type="dxa"/>
            </w:tcMar>
          </w:tcPr>
          <w:p w14:paraId="75992273"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left w:val="nil"/>
            </w:tcBorders>
            <w:shd w:val="clear" w:color="auto" w:fill="auto"/>
            <w:tcMar>
              <w:left w:w="0" w:type="dxa"/>
              <w:bottom w:w="57" w:type="dxa"/>
            </w:tcMar>
          </w:tcPr>
          <w:p w14:paraId="0ECB94EF"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zaštita potrošača</w:t>
            </w:r>
          </w:p>
        </w:tc>
      </w:tr>
      <w:tr w:rsidR="00C12EAA" w:rsidRPr="006C2F5C" w14:paraId="01DDFB0A" w14:textId="77777777" w:rsidTr="008671CC">
        <w:trPr>
          <w:cantSplit/>
        </w:trPr>
        <w:tc>
          <w:tcPr>
            <w:tcW w:w="496" w:type="dxa"/>
            <w:tcBorders>
              <w:right w:val="nil"/>
            </w:tcBorders>
            <w:shd w:val="clear" w:color="auto" w:fill="auto"/>
            <w:tcMar>
              <w:bottom w:w="57" w:type="dxa"/>
            </w:tcMar>
          </w:tcPr>
          <w:p w14:paraId="06D5B35A"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left w:val="nil"/>
            </w:tcBorders>
            <w:shd w:val="clear" w:color="auto" w:fill="auto"/>
            <w:tcMar>
              <w:left w:w="0" w:type="dxa"/>
              <w:bottom w:w="57" w:type="dxa"/>
            </w:tcMar>
          </w:tcPr>
          <w:p w14:paraId="4F4E488E"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pomoć starijim licima</w:t>
            </w:r>
          </w:p>
        </w:tc>
        <w:tc>
          <w:tcPr>
            <w:tcW w:w="568" w:type="dxa"/>
            <w:tcBorders>
              <w:right w:val="nil"/>
            </w:tcBorders>
            <w:shd w:val="clear" w:color="auto" w:fill="auto"/>
            <w:tcMar>
              <w:bottom w:w="57" w:type="dxa"/>
            </w:tcMar>
          </w:tcPr>
          <w:p w14:paraId="094246A8"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402" w:type="dxa"/>
            <w:tcBorders>
              <w:left w:val="nil"/>
            </w:tcBorders>
            <w:shd w:val="clear" w:color="auto" w:fill="auto"/>
            <w:tcMar>
              <w:left w:w="0" w:type="dxa"/>
              <w:bottom w:w="57" w:type="dxa"/>
            </w:tcMar>
          </w:tcPr>
          <w:p w14:paraId="4E9D510E"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umjetnost</w:t>
            </w:r>
          </w:p>
        </w:tc>
        <w:tc>
          <w:tcPr>
            <w:tcW w:w="568" w:type="dxa"/>
            <w:tcBorders>
              <w:right w:val="nil"/>
            </w:tcBorders>
            <w:shd w:val="clear" w:color="auto" w:fill="auto"/>
            <w:tcMar>
              <w:bottom w:w="57" w:type="dxa"/>
            </w:tcMar>
          </w:tcPr>
          <w:p w14:paraId="043B5E81"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left w:val="nil"/>
            </w:tcBorders>
            <w:shd w:val="clear" w:color="auto" w:fill="auto"/>
            <w:tcMar>
              <w:left w:w="0" w:type="dxa"/>
              <w:bottom w:w="57" w:type="dxa"/>
            </w:tcMar>
          </w:tcPr>
          <w:p w14:paraId="74A53B39"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rodna ravnopravnost</w:t>
            </w:r>
          </w:p>
        </w:tc>
      </w:tr>
      <w:tr w:rsidR="00C12EAA" w:rsidRPr="006C2F5C" w14:paraId="15C13CB3" w14:textId="77777777" w:rsidTr="008671CC">
        <w:trPr>
          <w:cantSplit/>
        </w:trPr>
        <w:tc>
          <w:tcPr>
            <w:tcW w:w="496" w:type="dxa"/>
            <w:tcBorders>
              <w:right w:val="nil"/>
            </w:tcBorders>
            <w:shd w:val="clear" w:color="auto" w:fill="auto"/>
            <w:tcMar>
              <w:bottom w:w="57" w:type="dxa"/>
            </w:tcMar>
          </w:tcPr>
          <w:p w14:paraId="3BF44F87"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left w:val="nil"/>
            </w:tcBorders>
            <w:shd w:val="clear" w:color="auto" w:fill="auto"/>
            <w:tcMar>
              <w:left w:w="0" w:type="dxa"/>
              <w:bottom w:w="57" w:type="dxa"/>
            </w:tcMar>
          </w:tcPr>
          <w:p w14:paraId="269BBDEC"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zaštita i promovisanje ljudskih i manjinskih  prava</w:t>
            </w:r>
          </w:p>
        </w:tc>
        <w:tc>
          <w:tcPr>
            <w:tcW w:w="568" w:type="dxa"/>
            <w:tcBorders>
              <w:right w:val="nil"/>
            </w:tcBorders>
            <w:shd w:val="clear" w:color="auto" w:fill="auto"/>
            <w:tcMar>
              <w:bottom w:w="57" w:type="dxa"/>
            </w:tcMar>
          </w:tcPr>
          <w:p w14:paraId="3FD1C2FA"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402" w:type="dxa"/>
            <w:tcBorders>
              <w:left w:val="nil"/>
            </w:tcBorders>
            <w:shd w:val="clear" w:color="auto" w:fill="auto"/>
            <w:tcMar>
              <w:left w:w="0" w:type="dxa"/>
              <w:bottom w:w="57" w:type="dxa"/>
            </w:tcMar>
          </w:tcPr>
          <w:p w14:paraId="6D31CC28"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kultura</w:t>
            </w:r>
          </w:p>
        </w:tc>
        <w:tc>
          <w:tcPr>
            <w:tcW w:w="568" w:type="dxa"/>
            <w:tcBorders>
              <w:right w:val="nil"/>
            </w:tcBorders>
            <w:shd w:val="clear" w:color="auto" w:fill="auto"/>
            <w:tcMar>
              <w:bottom w:w="57" w:type="dxa"/>
            </w:tcMar>
          </w:tcPr>
          <w:p w14:paraId="2A72047B"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left w:val="nil"/>
            </w:tcBorders>
            <w:shd w:val="clear" w:color="auto" w:fill="auto"/>
            <w:tcMar>
              <w:left w:w="0" w:type="dxa"/>
              <w:bottom w:w="57" w:type="dxa"/>
            </w:tcMar>
          </w:tcPr>
          <w:p w14:paraId="7322B687"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borba protiv korupcije i organizovanog kriminala</w:t>
            </w:r>
          </w:p>
        </w:tc>
      </w:tr>
      <w:tr w:rsidR="00C12EAA" w:rsidRPr="006C2F5C" w14:paraId="43AC1555" w14:textId="77777777" w:rsidTr="008671CC">
        <w:trPr>
          <w:cantSplit/>
        </w:trPr>
        <w:tc>
          <w:tcPr>
            <w:tcW w:w="496" w:type="dxa"/>
            <w:tcBorders>
              <w:right w:val="nil"/>
            </w:tcBorders>
            <w:shd w:val="clear" w:color="auto" w:fill="auto"/>
            <w:tcMar>
              <w:bottom w:w="57" w:type="dxa"/>
            </w:tcMar>
          </w:tcPr>
          <w:p w14:paraId="314268FC"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118" w:type="dxa"/>
            <w:tcBorders>
              <w:left w:val="nil"/>
            </w:tcBorders>
            <w:shd w:val="clear" w:color="auto" w:fill="auto"/>
            <w:tcMar>
              <w:left w:w="0" w:type="dxa"/>
              <w:bottom w:w="57" w:type="dxa"/>
            </w:tcMar>
          </w:tcPr>
          <w:p w14:paraId="5BC249BC"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vladavina  prava</w:t>
            </w:r>
          </w:p>
        </w:tc>
        <w:tc>
          <w:tcPr>
            <w:tcW w:w="568" w:type="dxa"/>
            <w:tcBorders>
              <w:right w:val="nil"/>
            </w:tcBorders>
            <w:shd w:val="clear" w:color="auto" w:fill="auto"/>
            <w:tcMar>
              <w:bottom w:w="57" w:type="dxa"/>
            </w:tcMar>
          </w:tcPr>
          <w:p w14:paraId="4793A85C"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402" w:type="dxa"/>
            <w:tcBorders>
              <w:left w:val="nil"/>
            </w:tcBorders>
            <w:shd w:val="clear" w:color="auto" w:fill="auto"/>
            <w:tcMar>
              <w:left w:w="0" w:type="dxa"/>
              <w:bottom w:w="57" w:type="dxa"/>
            </w:tcMar>
          </w:tcPr>
          <w:p w14:paraId="06AE9CF4"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tehnička kultura</w:t>
            </w:r>
          </w:p>
        </w:tc>
        <w:tc>
          <w:tcPr>
            <w:tcW w:w="568" w:type="dxa"/>
            <w:tcBorders>
              <w:right w:val="nil"/>
            </w:tcBorders>
            <w:shd w:val="clear" w:color="auto" w:fill="auto"/>
            <w:tcMar>
              <w:bottom w:w="57" w:type="dxa"/>
            </w:tcMar>
          </w:tcPr>
          <w:p w14:paraId="73C7F3B6"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4324" w:type="dxa"/>
            <w:tcBorders>
              <w:left w:val="nil"/>
            </w:tcBorders>
            <w:shd w:val="clear" w:color="auto" w:fill="auto"/>
            <w:tcMar>
              <w:left w:w="0" w:type="dxa"/>
              <w:bottom w:w="57" w:type="dxa"/>
            </w:tcMar>
          </w:tcPr>
          <w:p w14:paraId="58DD7A5D" w14:textId="77777777"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borba  protiv  bolesti  zavisnosti</w:t>
            </w:r>
          </w:p>
        </w:tc>
      </w:tr>
      <w:tr w:rsidR="00C12EAA" w:rsidRPr="006C2F5C" w14:paraId="4DF474B1" w14:textId="77777777" w:rsidTr="008671CC">
        <w:trPr>
          <w:cantSplit/>
        </w:trPr>
        <w:tc>
          <w:tcPr>
            <w:tcW w:w="496" w:type="dxa"/>
            <w:tcBorders>
              <w:right w:val="nil"/>
            </w:tcBorders>
            <w:shd w:val="clear" w:color="auto" w:fill="auto"/>
            <w:tcMar>
              <w:bottom w:w="57" w:type="dxa"/>
            </w:tcMar>
          </w:tcPr>
          <w:p w14:paraId="3BBB25A9" w14:textId="77777777" w:rsidR="00C12EAA" w:rsidRPr="006C2F5C" w:rsidRDefault="00C12EAA" w:rsidP="008671CC">
            <w:pPr>
              <w:spacing w:after="0"/>
              <w:jc w:val="center"/>
              <w:rPr>
                <w:rFonts w:asciiTheme="majorHAnsi" w:hAnsiTheme="majorHAnsi" w:cs="Arial"/>
                <w:sz w:val="16"/>
                <w:szCs w:val="16"/>
              </w:rPr>
            </w:pPr>
            <w:r w:rsidRPr="006C2F5C">
              <w:rPr>
                <w:rFonts w:asciiTheme="majorHAnsi" w:hAnsiTheme="majorHAnsi" w:cs="Arial"/>
                <w:sz w:val="16"/>
                <w:szCs w:val="16"/>
              </w:rPr>
              <w:t></w:t>
            </w:r>
          </w:p>
        </w:tc>
        <w:tc>
          <w:tcPr>
            <w:tcW w:w="13980" w:type="dxa"/>
            <w:gridSpan w:val="5"/>
            <w:tcBorders>
              <w:left w:val="nil"/>
            </w:tcBorders>
            <w:shd w:val="clear" w:color="auto" w:fill="auto"/>
            <w:tcMar>
              <w:left w:w="0" w:type="dxa"/>
              <w:bottom w:w="57" w:type="dxa"/>
            </w:tcMar>
          </w:tcPr>
          <w:p w14:paraId="15A09EB0" w14:textId="447A1852" w:rsidR="00C12EAA" w:rsidRPr="006C2F5C" w:rsidRDefault="00C12EAA" w:rsidP="008671CC">
            <w:pPr>
              <w:spacing w:after="0"/>
              <w:rPr>
                <w:rFonts w:asciiTheme="majorHAnsi" w:hAnsiTheme="majorHAnsi" w:cs="Arial"/>
                <w:sz w:val="16"/>
                <w:szCs w:val="16"/>
              </w:rPr>
            </w:pPr>
            <w:r w:rsidRPr="006C2F5C">
              <w:rPr>
                <w:rFonts w:asciiTheme="majorHAnsi" w:hAnsiTheme="majorHAnsi" w:cs="Arial"/>
                <w:sz w:val="16"/>
                <w:szCs w:val="16"/>
              </w:rPr>
              <w:t xml:space="preserve">druge  oblasti  od  javnog  interesa  utvrđene posebnim zakonom (navesti koje):  </w:t>
            </w:r>
            <w:r w:rsidR="002964BD" w:rsidRPr="006C2F5C">
              <w:rPr>
                <w:rFonts w:asciiTheme="majorHAnsi" w:hAnsiTheme="majorHAnsi" w:cs="Arial"/>
                <w:b/>
                <w:szCs w:val="24"/>
              </w:rPr>
              <w:t>Otvorenost javne uprave</w:t>
            </w:r>
            <w:r w:rsidR="00A40A3D" w:rsidRPr="006C2F5C">
              <w:rPr>
                <w:rFonts w:asciiTheme="majorHAnsi" w:hAnsiTheme="majorHAnsi" w:cs="Arial"/>
                <w:b/>
                <w:szCs w:val="24"/>
              </w:rPr>
              <w:t xml:space="preserve"> (Zakon o državnoj upravi, Zakon o slobodnom pristupu informacijama</w:t>
            </w:r>
            <w:r w:rsidR="004F7A38" w:rsidRPr="006C2F5C">
              <w:rPr>
                <w:rFonts w:asciiTheme="majorHAnsi" w:hAnsiTheme="majorHAnsi" w:cs="Arial"/>
                <w:b/>
                <w:szCs w:val="24"/>
              </w:rPr>
              <w:t>, Uredb</w:t>
            </w:r>
            <w:r w:rsidR="00D553C8">
              <w:rPr>
                <w:rFonts w:asciiTheme="majorHAnsi" w:hAnsiTheme="majorHAnsi" w:cs="Arial"/>
                <w:b/>
                <w:szCs w:val="24"/>
              </w:rPr>
              <w:t>a</w:t>
            </w:r>
            <w:r w:rsidR="004F7A38" w:rsidRPr="006C2F5C">
              <w:rPr>
                <w:rFonts w:asciiTheme="majorHAnsi" w:hAnsiTheme="majorHAnsi" w:cs="Arial"/>
                <w:b/>
                <w:szCs w:val="24"/>
              </w:rPr>
              <w:t xml:space="preserve"> o izboru predstavnika nevladinih organizacija u radna tijela organa državne uprave i sprovođenju javne rasprave u pripremi zakona i strategija</w:t>
            </w:r>
            <w:r w:rsidR="00A40A3D" w:rsidRPr="006C2F5C">
              <w:rPr>
                <w:rFonts w:asciiTheme="majorHAnsi" w:hAnsiTheme="majorHAnsi" w:cs="Arial"/>
                <w:b/>
                <w:szCs w:val="24"/>
              </w:rPr>
              <w:t>)</w:t>
            </w:r>
          </w:p>
        </w:tc>
      </w:tr>
    </w:tbl>
    <w:p w14:paraId="362D9154" w14:textId="77777777" w:rsidR="00C12EAA" w:rsidRPr="006C2F5C" w:rsidRDefault="00C12EAA" w:rsidP="00C12EAA">
      <w:pPr>
        <w:pStyle w:val="ListParagraph"/>
        <w:ind w:left="360"/>
        <w:rPr>
          <w:rFonts w:asciiTheme="majorHAnsi" w:hAnsiTheme="majorHAnsi"/>
          <w:b/>
          <w:lang w:val="sr-Latn-ME"/>
        </w:rPr>
      </w:pPr>
    </w:p>
    <w:p w14:paraId="0D2D13FE" w14:textId="77777777" w:rsidR="00C12EAA" w:rsidRPr="006C2F5C" w:rsidRDefault="00C12EAA" w:rsidP="00C12EAA">
      <w:pPr>
        <w:pStyle w:val="ListParagraph"/>
        <w:numPr>
          <w:ilvl w:val="0"/>
          <w:numId w:val="5"/>
        </w:numPr>
        <w:rPr>
          <w:rFonts w:asciiTheme="majorHAnsi" w:hAnsiTheme="majorHAnsi"/>
          <w:b/>
        </w:rPr>
      </w:pPr>
      <w:r w:rsidRPr="006C2F5C">
        <w:rPr>
          <w:rFonts w:asciiTheme="majorHAnsi" w:hAnsiTheme="majorHAnsi"/>
          <w:b/>
          <w:lang w:val="es-ES"/>
        </w:rPr>
        <w:t xml:space="preserve">PRIORITETNI PROBLEMI I POTREBE KOJE TREBA RIJEŠITI U 2021. </w:t>
      </w:r>
      <w:r w:rsidRPr="006C2F5C">
        <w:rPr>
          <w:rFonts w:asciiTheme="majorHAnsi" w:hAnsiTheme="majorHAnsi"/>
          <w:b/>
        </w:rPr>
        <w:t>GODINI FINANSIRANJEM PROJEKATA I PROGRAMA NVO</w:t>
      </w:r>
    </w:p>
    <w:p w14:paraId="1564ADE6" w14:textId="77777777" w:rsidR="00C12EAA" w:rsidRPr="006C2F5C" w:rsidRDefault="00C12EAA" w:rsidP="00C12EAA">
      <w:pPr>
        <w:pStyle w:val="ListParagraph"/>
        <w:numPr>
          <w:ilvl w:val="1"/>
          <w:numId w:val="5"/>
        </w:numPr>
        <w:jc w:val="both"/>
        <w:rPr>
          <w:rFonts w:asciiTheme="majorHAnsi" w:hAnsiTheme="majorHAnsi"/>
          <w:lang w:val="es-ES"/>
        </w:rPr>
      </w:pPr>
      <w:r w:rsidRPr="006C2F5C">
        <w:rPr>
          <w:rFonts w:asciiTheme="majorHAnsi" w:hAnsiTheme="majorHAnsi"/>
          <w:lang w:val="es-ES"/>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15313" w:type="dxa"/>
        <w:tblInd w:w="792" w:type="dxa"/>
        <w:tblLook w:val="04A0" w:firstRow="1" w:lastRow="0" w:firstColumn="1" w:lastColumn="0" w:noHBand="0" w:noVBand="1"/>
      </w:tblPr>
      <w:tblGrid>
        <w:gridCol w:w="6884"/>
        <w:gridCol w:w="8429"/>
      </w:tblGrid>
      <w:tr w:rsidR="00C12EAA" w:rsidRPr="006C2F5C" w14:paraId="30BBBD08" w14:textId="77777777" w:rsidTr="00EC2103">
        <w:tc>
          <w:tcPr>
            <w:tcW w:w="15313" w:type="dxa"/>
            <w:gridSpan w:val="2"/>
            <w:tcBorders>
              <w:top w:val="single" w:sz="18" w:space="0" w:color="auto"/>
            </w:tcBorders>
            <w:shd w:val="clear" w:color="auto" w:fill="F2F2F2" w:themeFill="background1" w:themeFillShade="F2"/>
            <w:tcMar>
              <w:top w:w="57" w:type="dxa"/>
              <w:bottom w:w="57" w:type="dxa"/>
            </w:tcMar>
          </w:tcPr>
          <w:p w14:paraId="527013FD" w14:textId="77777777" w:rsidR="00C12EAA" w:rsidRPr="006C2F5C" w:rsidRDefault="00C12EAA" w:rsidP="008671CC">
            <w:pPr>
              <w:spacing w:after="0"/>
              <w:rPr>
                <w:rFonts w:asciiTheme="majorHAnsi" w:hAnsiTheme="majorHAnsi"/>
              </w:rPr>
            </w:pPr>
            <w:r w:rsidRPr="006C2F5C">
              <w:rPr>
                <w:rFonts w:asciiTheme="majorHAnsi" w:hAnsiTheme="majorHAnsi"/>
              </w:rPr>
              <w:t>Opis problema:</w:t>
            </w:r>
          </w:p>
        </w:tc>
      </w:tr>
      <w:tr w:rsidR="00C12EAA" w:rsidRPr="0079103F" w14:paraId="6C892FC4" w14:textId="77777777" w:rsidTr="00EC2103">
        <w:tc>
          <w:tcPr>
            <w:tcW w:w="15313" w:type="dxa"/>
            <w:gridSpan w:val="2"/>
            <w:tcMar>
              <w:top w:w="57" w:type="dxa"/>
              <w:bottom w:w="57" w:type="dxa"/>
            </w:tcMar>
          </w:tcPr>
          <w:p w14:paraId="2D4FB9DE" w14:textId="78451F17" w:rsidR="0094036E" w:rsidRPr="0079103F" w:rsidRDefault="0094036E" w:rsidP="0094036E">
            <w:pPr>
              <w:rPr>
                <w:rFonts w:asciiTheme="majorHAnsi" w:eastAsia="Calibri" w:hAnsiTheme="majorHAnsi" w:cs="Arial"/>
                <w:color w:val="000000"/>
                <w:lang w:val="sr-Latn-ME"/>
              </w:rPr>
            </w:pPr>
            <w:r w:rsidRPr="006C2F5C">
              <w:rPr>
                <w:rFonts w:asciiTheme="majorHAnsi" w:hAnsiTheme="majorHAnsi" w:cs="Arial"/>
                <w:lang w:val="sr-Latn-ME"/>
              </w:rPr>
              <w:t xml:space="preserve">Uprkos mnogim nastojanjima da se poboljša transparentnost </w:t>
            </w:r>
            <w:r w:rsidR="00A40A3D" w:rsidRPr="006C2F5C">
              <w:rPr>
                <w:rFonts w:asciiTheme="majorHAnsi" w:hAnsiTheme="majorHAnsi" w:cs="Arial"/>
                <w:lang w:val="sr-Latn-ME"/>
              </w:rPr>
              <w:t>javne uprave</w:t>
            </w:r>
            <w:r w:rsidRPr="006C2F5C">
              <w:rPr>
                <w:rFonts w:asciiTheme="majorHAnsi" w:hAnsiTheme="majorHAnsi" w:cs="Arial"/>
                <w:lang w:val="sr-Latn-ME"/>
              </w:rPr>
              <w:t xml:space="preserve"> u Crnoj Gori, ona još uvijek nije na zadovoljavajućem nivou, </w:t>
            </w:r>
            <w:r w:rsidR="00A40A3D" w:rsidRPr="006C2F5C">
              <w:rPr>
                <w:rFonts w:asciiTheme="majorHAnsi" w:hAnsiTheme="majorHAnsi" w:cs="Arial"/>
                <w:lang w:val="sr-Latn-ME"/>
              </w:rPr>
              <w:t xml:space="preserve">a </w:t>
            </w:r>
            <w:r w:rsidRPr="006C2F5C">
              <w:rPr>
                <w:rFonts w:asciiTheme="majorHAnsi" w:hAnsiTheme="majorHAnsi" w:cs="Arial"/>
                <w:lang w:val="sr-Latn-ME"/>
              </w:rPr>
              <w:t xml:space="preserve">ne postoji </w:t>
            </w:r>
            <w:r w:rsidR="00A40A3D" w:rsidRPr="006C2F5C">
              <w:rPr>
                <w:rFonts w:asciiTheme="majorHAnsi" w:hAnsiTheme="majorHAnsi" w:cs="Arial"/>
                <w:lang w:val="sr-Latn-ME"/>
              </w:rPr>
              <w:t>ni</w:t>
            </w:r>
            <w:r w:rsidRPr="006C2F5C">
              <w:rPr>
                <w:rFonts w:asciiTheme="majorHAnsi" w:hAnsiTheme="majorHAnsi" w:cs="Arial"/>
                <w:lang w:val="sr-Latn-ME"/>
              </w:rPr>
              <w:t xml:space="preserve">jedan dokument koji se bavi isključivo pitanjem otvorenosti. Zakonski okvir pitanja otvorenosti sadržan je u Zakonu o državnoj upravi i Zakonu o </w:t>
            </w:r>
            <w:r w:rsidRPr="006C2F5C">
              <w:rPr>
                <w:rFonts w:asciiTheme="majorHAnsi" w:hAnsiTheme="majorHAnsi" w:cs="Arial"/>
                <w:lang w:val="sr-Latn-ME"/>
              </w:rPr>
              <w:lastRenderedPageBreak/>
              <w:t xml:space="preserve">slobodnom pristupu informacijama. Zakon o državnoj upravi djelimično reguliše informisanje o radu organa uprave, javne rasprave i slobodan pristup informacijama. </w:t>
            </w:r>
            <w:r w:rsidRPr="006C2F5C">
              <w:rPr>
                <w:rFonts w:asciiTheme="majorHAnsi" w:eastAsia="Calibri" w:hAnsiTheme="majorHAnsi" w:cs="Arial"/>
                <w:color w:val="000000"/>
                <w:lang w:val="sr-Latn-ME"/>
              </w:rPr>
              <w:t xml:space="preserve">Zakonska obaveza (koja proizilazi iz Zakona o SPI) organa vlasti jeste da proaktivno objavljuju informacije na svojim internet stranicama i da redovno ažuriraju vodiče za slobodan pristup informacijama. </w:t>
            </w:r>
            <w:r w:rsidRPr="00EC2103">
              <w:rPr>
                <w:rFonts w:asciiTheme="majorHAnsi" w:eastAsia="Calibri" w:hAnsiTheme="majorHAnsi" w:cs="Arial"/>
                <w:color w:val="000000"/>
              </w:rPr>
              <w:t>Agencija za zaštitu ličnih podataka i slobodan pristup informacijama</w:t>
            </w:r>
            <w:r w:rsidR="00A40A3D" w:rsidRPr="00EC2103">
              <w:rPr>
                <w:rStyle w:val="FootnoteReference"/>
                <w:rFonts w:asciiTheme="majorHAnsi" w:eastAsia="Calibri" w:hAnsiTheme="majorHAnsi" w:cs="Arial"/>
                <w:color w:val="000000"/>
              </w:rPr>
              <w:footnoteReference w:id="1"/>
            </w:r>
            <w:r w:rsidRPr="00D553C8">
              <w:rPr>
                <w:rFonts w:asciiTheme="majorHAnsi" w:eastAsia="Calibri" w:hAnsiTheme="majorHAnsi" w:cs="Arial"/>
                <w:color w:val="000000"/>
              </w:rPr>
              <w:t xml:space="preserve"> je </w:t>
            </w:r>
            <w:r w:rsidRPr="0079103F">
              <w:rPr>
                <w:rFonts w:asciiTheme="majorHAnsi" w:eastAsia="Calibri" w:hAnsiTheme="majorHAnsi" w:cs="Arial"/>
                <w:color w:val="000000"/>
                <w:lang w:val="sr-Latn-ME"/>
              </w:rPr>
              <w:t xml:space="preserve">nezavisni nadzorni organ nadležan za zaštitu podataka o ličnosti i pristup informacijama. </w:t>
            </w:r>
          </w:p>
          <w:p w14:paraId="669A4AF2" w14:textId="647F509E" w:rsidR="004F7A38" w:rsidRPr="0079103F" w:rsidRDefault="00A40A3D" w:rsidP="0094036E">
            <w:pPr>
              <w:rPr>
                <w:rFonts w:asciiTheme="majorHAnsi" w:hAnsiTheme="majorHAnsi" w:cs="Arial"/>
                <w:lang w:val="sr-Latn-ME"/>
              </w:rPr>
            </w:pPr>
            <w:r w:rsidRPr="0079103F">
              <w:rPr>
                <w:rFonts w:asciiTheme="majorHAnsi" w:hAnsiTheme="majorHAnsi" w:cs="Arial"/>
                <w:lang w:val="sr-Latn-ME"/>
              </w:rPr>
              <w:t xml:space="preserve">Godinama unazad, ukazivano je na nedovoljnu transparentnost izvršne vlasti. </w:t>
            </w:r>
            <w:r w:rsidR="004F7A38" w:rsidRPr="0079103F">
              <w:rPr>
                <w:rFonts w:asciiTheme="majorHAnsi" w:hAnsiTheme="majorHAnsi" w:cs="Arial"/>
                <w:lang w:val="sr-Latn-ME"/>
              </w:rPr>
              <w:t xml:space="preserve">Novina u tom dijelu se odnosi na </w:t>
            </w:r>
            <w:r w:rsidR="0094036E" w:rsidRPr="0079103F">
              <w:rPr>
                <w:rFonts w:asciiTheme="majorHAnsi" w:hAnsiTheme="majorHAnsi" w:cs="Arial"/>
                <w:lang w:val="sr-Latn-ME"/>
              </w:rPr>
              <w:t xml:space="preserve">prenos sjednica </w:t>
            </w:r>
            <w:r w:rsidR="004F7A38" w:rsidRPr="0079103F">
              <w:rPr>
                <w:rFonts w:asciiTheme="majorHAnsi" w:hAnsiTheme="majorHAnsi" w:cs="Arial"/>
                <w:lang w:val="sr-Latn-ME"/>
              </w:rPr>
              <w:t xml:space="preserve">Vlade uživo, </w:t>
            </w:r>
            <w:r w:rsidR="0094036E" w:rsidRPr="0079103F">
              <w:rPr>
                <w:rFonts w:asciiTheme="majorHAnsi" w:hAnsiTheme="majorHAnsi" w:cs="Arial"/>
                <w:lang w:val="sr-Latn-ME"/>
              </w:rPr>
              <w:t>ali je potrebno da napravi korak napr</w:t>
            </w:r>
            <w:r w:rsidR="004F7A38" w:rsidRPr="0079103F">
              <w:rPr>
                <w:rFonts w:asciiTheme="majorHAnsi" w:hAnsiTheme="majorHAnsi" w:cs="Arial"/>
                <w:lang w:val="sr-Latn-ME"/>
              </w:rPr>
              <w:t>ij</w:t>
            </w:r>
            <w:r w:rsidR="0094036E" w:rsidRPr="0079103F">
              <w:rPr>
                <w:rFonts w:asciiTheme="majorHAnsi" w:hAnsiTheme="majorHAnsi" w:cs="Arial"/>
                <w:lang w:val="sr-Latn-ME"/>
              </w:rPr>
              <w:t xml:space="preserve">ed uvođenjem dugoročnih strateških rješenja u oblasti otvorenosti i transparentnosti. </w:t>
            </w:r>
          </w:p>
          <w:p w14:paraId="483A02D3" w14:textId="7EA662F3" w:rsidR="0094036E" w:rsidRPr="0079103F" w:rsidRDefault="0094036E" w:rsidP="0094036E">
            <w:pPr>
              <w:rPr>
                <w:rFonts w:asciiTheme="majorHAnsi" w:hAnsiTheme="majorHAnsi" w:cs="Arial"/>
                <w:lang w:val="sr-Latn-ME"/>
              </w:rPr>
            </w:pPr>
            <w:r w:rsidRPr="0079103F">
              <w:rPr>
                <w:rFonts w:asciiTheme="majorHAnsi" w:hAnsiTheme="majorHAnsi" w:cs="Arial"/>
                <w:lang w:val="sr-Latn-ME"/>
              </w:rPr>
              <w:t xml:space="preserve">Rezultati Regionalnog indeksa otvorenosti CDT-a </w:t>
            </w:r>
            <w:r w:rsidR="004F7A38" w:rsidRPr="0079103F">
              <w:rPr>
                <w:rFonts w:asciiTheme="majorHAnsi" w:hAnsiTheme="majorHAnsi" w:cs="Arial"/>
                <w:lang w:val="sr-Latn-ME"/>
              </w:rPr>
              <w:t>pokazuju da je</w:t>
            </w:r>
            <w:r w:rsidRPr="0079103F">
              <w:rPr>
                <w:rFonts w:asciiTheme="majorHAnsi" w:hAnsiTheme="majorHAnsi" w:cs="Arial"/>
                <w:lang w:val="sr-Latn-ME"/>
              </w:rPr>
              <w:t xml:space="preserve"> Vlada Crne Gore je na trećem mjestu sa 58.16% ispunjenosti indikatora otvorenosti.</w:t>
            </w:r>
          </w:p>
          <w:p w14:paraId="748B3B7B" w14:textId="35AC584B" w:rsidR="0094036E" w:rsidRPr="0079103F" w:rsidRDefault="004F7A38" w:rsidP="0094036E">
            <w:pPr>
              <w:rPr>
                <w:rFonts w:asciiTheme="majorHAnsi" w:hAnsiTheme="majorHAnsi" w:cs="Arial"/>
                <w:lang w:val="sr-Latn-ME"/>
              </w:rPr>
            </w:pPr>
            <w:r w:rsidRPr="0079103F">
              <w:rPr>
                <w:rFonts w:asciiTheme="majorHAnsi" w:hAnsiTheme="majorHAnsi" w:cs="Arial"/>
                <w:lang w:val="sr-Latn-ME"/>
              </w:rPr>
              <w:t>Prema rezultatima njihovog istraživanja, n</w:t>
            </w:r>
            <w:r w:rsidR="0094036E" w:rsidRPr="0079103F">
              <w:rPr>
                <w:rFonts w:asciiTheme="majorHAnsi" w:hAnsiTheme="majorHAnsi" w:cs="Arial"/>
                <w:lang w:val="sr-Latn-ME"/>
              </w:rPr>
              <w:t xml:space="preserve">etransparentna praksa Vlade mahom se odnosi na donošenja odluka bez održavanja sjednica. Javnost nije bila upoznata sa sadržajem jer su se one donosile bez objavljivanja pratećih materijala, izuzev ako nije postojala obaveza njihovog objavljivanja u Službenom listu. Uvedena je praksa održavanja online sjednica bez preciznog i unaprijed utvrđenog rasporeda, iako svi akti i zaključci koje Vlada usvoji moraju biti dostupni javnosti, bez obzira na to da li se donose u redovnoj proceduri. </w:t>
            </w:r>
            <w:r w:rsidRPr="0079103F">
              <w:rPr>
                <w:rFonts w:asciiTheme="majorHAnsi" w:hAnsiTheme="majorHAnsi" w:cs="Arial"/>
                <w:lang w:val="sr-Latn-ME"/>
              </w:rPr>
              <w:t xml:space="preserve">Preporuka je </w:t>
            </w:r>
            <w:r w:rsidR="0094036E" w:rsidRPr="0079103F">
              <w:rPr>
                <w:rFonts w:asciiTheme="majorHAnsi" w:hAnsiTheme="majorHAnsi" w:cs="Arial"/>
                <w:lang w:val="sr-Latn-ME"/>
              </w:rPr>
              <w:t xml:space="preserve">utvrditi precizne procedure transparentnosti odlučivanja u ovakvim situacijama. </w:t>
            </w:r>
          </w:p>
          <w:p w14:paraId="1C75CDEE" w14:textId="2FC3FBAE" w:rsidR="0094036E" w:rsidRPr="0079103F" w:rsidRDefault="0094036E" w:rsidP="0094036E">
            <w:pPr>
              <w:rPr>
                <w:rFonts w:asciiTheme="majorHAnsi" w:hAnsiTheme="majorHAnsi" w:cs="Arial"/>
                <w:lang w:val="sr-Latn-ME"/>
              </w:rPr>
            </w:pPr>
            <w:r w:rsidRPr="0079103F">
              <w:rPr>
                <w:rFonts w:asciiTheme="majorHAnsi" w:hAnsiTheme="majorHAnsi" w:cs="Arial"/>
                <w:lang w:val="sr-Latn-ME"/>
              </w:rPr>
              <w:t>Nevladine organizacije su više puta pozivali donosioce odluka u Vladi Crne Gore da obezbijede transparentnost  odluka koje se donose na sjednicama Vlade, i to kroz: redovno objavljivanje najava sjednica Vlade i dnevnog reda, objavljivanje punog i sveobuhvatnog dnevnog reda sjednica sa svim tačkama o kojima će Vlada raspravljati, uključujući nazive tačaka koje su označene nekim stepenom tajnosti, objavljivanje zapisnika sa sjednica Vlade. Kao sporno je istaknuto i pitanje proglašavanja određenih dokumenata tajnim čiji nazivi nisu bili objavljivani javno.  Veliki prostor za unapredjivanje svih navedenih stavki postoji u donođenju Zakona o Vladi</w:t>
            </w:r>
            <w:r w:rsidR="004F7A38" w:rsidRPr="0079103F">
              <w:rPr>
                <w:rFonts w:asciiTheme="majorHAnsi" w:hAnsiTheme="majorHAnsi" w:cs="Arial"/>
                <w:lang w:val="sr-Latn-ME"/>
              </w:rPr>
              <w:t>, o kojem se trenutno sprovodi javna rasprava</w:t>
            </w:r>
          </w:p>
          <w:p w14:paraId="6E4AAE2A" w14:textId="4C312F16" w:rsidR="008671CC" w:rsidRPr="0079103F" w:rsidRDefault="00C301AC" w:rsidP="0094036E">
            <w:pPr>
              <w:rPr>
                <w:rFonts w:asciiTheme="majorHAnsi" w:hAnsiTheme="majorHAnsi" w:cs="Arial"/>
                <w:lang w:val="sr-Latn-ME"/>
              </w:rPr>
            </w:pPr>
            <w:r w:rsidRPr="0079103F">
              <w:rPr>
                <w:rFonts w:asciiTheme="majorHAnsi" w:hAnsiTheme="majorHAnsi" w:cs="Arial"/>
                <w:lang w:val="sr-Latn-ME"/>
              </w:rPr>
              <w:t>Učešće javnosti u postupku kreiranja javnih politika, kroz javne rasprave i učešće nevladinih organizacija u radnim tijelima organa državne uprave, doprinosi njihovom kvalitetnijem definisanju, kao i unapređenju demokratskih procesa, povećanju transparentnosti i obezbjeđivanju većeg legitimiteta akata kojima se namjeravaju bliže urediti određena pitanja.</w:t>
            </w:r>
          </w:p>
          <w:p w14:paraId="6E69DAD5" w14:textId="5A4FE226" w:rsidR="004F7A38" w:rsidRPr="0079103F" w:rsidRDefault="004F7A38" w:rsidP="00C301AC">
            <w:pPr>
              <w:rPr>
                <w:rFonts w:asciiTheme="majorHAnsi" w:hAnsiTheme="majorHAnsi" w:cs="Arial"/>
                <w:lang w:val="sr-Latn-ME"/>
              </w:rPr>
            </w:pPr>
            <w:r w:rsidRPr="0079103F">
              <w:rPr>
                <w:rFonts w:asciiTheme="majorHAnsi" w:hAnsiTheme="majorHAnsi" w:cs="Arial"/>
                <w:lang w:val="sr-Latn-ME"/>
              </w:rPr>
              <w:t>Kada je u pitanju primjena Uredbe o izboru predstavnika nevladinih organizacija u radna tijela organa državne uprave i sprovođenju javne rasprave u pripremi zakona i strategija („Službeni list CG“, broj: 41/18), postoji prostor za unapređenje iste</w:t>
            </w:r>
            <w:r w:rsidR="00C301AC" w:rsidRPr="0079103F">
              <w:rPr>
                <w:rFonts w:asciiTheme="majorHAnsi" w:hAnsiTheme="majorHAnsi" w:cs="Arial"/>
                <w:lang w:val="sr-Latn-ME"/>
              </w:rPr>
              <w:t>, pogotovo u dijelu objavljivanja spiska zakona i strategija za koje se planira javna rasprava, upotreb</w:t>
            </w:r>
            <w:r w:rsidR="00D553C8">
              <w:rPr>
                <w:rFonts w:asciiTheme="majorHAnsi" w:hAnsiTheme="majorHAnsi" w:cs="Arial"/>
                <w:lang w:val="sr-Latn-ME"/>
              </w:rPr>
              <w:t>i</w:t>
            </w:r>
            <w:r w:rsidR="00C301AC" w:rsidRPr="0079103F">
              <w:rPr>
                <w:rFonts w:asciiTheme="majorHAnsi" w:hAnsiTheme="majorHAnsi" w:cs="Arial"/>
                <w:lang w:val="sr-Latn-ME"/>
              </w:rPr>
              <w:t xml:space="preserve"> mehanizma javnog konsultovanja, objavljivanj</w:t>
            </w:r>
            <w:r w:rsidR="00D553C8">
              <w:rPr>
                <w:rFonts w:asciiTheme="majorHAnsi" w:hAnsiTheme="majorHAnsi" w:cs="Arial"/>
                <w:lang w:val="sr-Latn-ME"/>
              </w:rPr>
              <w:t>u</w:t>
            </w:r>
            <w:r w:rsidR="00C301AC" w:rsidRPr="0079103F">
              <w:rPr>
                <w:rFonts w:asciiTheme="majorHAnsi" w:hAnsiTheme="majorHAnsi" w:cs="Arial"/>
                <w:lang w:val="sr-Latn-ME"/>
              </w:rPr>
              <w:t xml:space="preserve"> RIA obrasca uz nacrte zakona, uključivanja </w:t>
            </w:r>
            <w:r w:rsidR="00C301AC" w:rsidRPr="0079103F">
              <w:rPr>
                <w:rFonts w:asciiTheme="majorHAnsi" w:hAnsiTheme="majorHAnsi" w:cs="Arial"/>
                <w:lang w:val="sr-Latn-ME"/>
              </w:rPr>
              <w:lastRenderedPageBreak/>
              <w:t>predstavnika NVO sektora u pripremu sistemskih zakona, kvalitet</w:t>
            </w:r>
            <w:r w:rsidR="00D553C8">
              <w:rPr>
                <w:rFonts w:asciiTheme="majorHAnsi" w:hAnsiTheme="majorHAnsi" w:cs="Arial"/>
                <w:lang w:val="sr-Latn-ME"/>
              </w:rPr>
              <w:t>u</w:t>
            </w:r>
            <w:r w:rsidR="00C301AC" w:rsidRPr="0079103F">
              <w:rPr>
                <w:rFonts w:asciiTheme="majorHAnsi" w:hAnsiTheme="majorHAnsi" w:cs="Arial"/>
                <w:lang w:val="sr-Latn-ME"/>
              </w:rPr>
              <w:t xml:space="preserve"> izvještaja o </w:t>
            </w:r>
            <w:r w:rsidR="00D553C8" w:rsidRPr="0079103F">
              <w:rPr>
                <w:rFonts w:asciiTheme="majorHAnsi" w:hAnsiTheme="majorHAnsi" w:cs="Arial"/>
                <w:lang w:val="sr-Latn-ME"/>
              </w:rPr>
              <w:t>sproveden</w:t>
            </w:r>
            <w:r w:rsidR="00D553C8">
              <w:rPr>
                <w:rFonts w:asciiTheme="majorHAnsi" w:hAnsiTheme="majorHAnsi" w:cs="Arial"/>
                <w:lang w:val="sr-Latn-ME"/>
              </w:rPr>
              <w:t>im konsultacijama i javnim raspravama</w:t>
            </w:r>
            <w:r w:rsidR="00D553C8" w:rsidRPr="0079103F">
              <w:rPr>
                <w:rFonts w:asciiTheme="majorHAnsi" w:hAnsiTheme="majorHAnsi" w:cs="Arial"/>
                <w:lang w:val="sr-Latn-ME"/>
              </w:rPr>
              <w:t xml:space="preserve"> </w:t>
            </w:r>
            <w:r w:rsidR="00C301AC" w:rsidRPr="0079103F">
              <w:rPr>
                <w:rFonts w:asciiTheme="majorHAnsi" w:hAnsiTheme="majorHAnsi" w:cs="Arial"/>
                <w:lang w:val="sr-Latn-ME"/>
              </w:rPr>
              <w:t>dijelu prikazivanja prihvaćenih/odbijenih komentara sa razlozima njihovog odbijanja.</w:t>
            </w:r>
          </w:p>
          <w:p w14:paraId="75CE10B2" w14:textId="45A3AC16" w:rsidR="00C301AC" w:rsidRPr="0079103F" w:rsidRDefault="00C301AC" w:rsidP="00C301AC">
            <w:pPr>
              <w:rPr>
                <w:rFonts w:asciiTheme="majorHAnsi" w:hAnsiTheme="majorHAnsi" w:cs="Arial"/>
                <w:lang w:val="sr-Latn-ME"/>
              </w:rPr>
            </w:pPr>
            <w:r w:rsidRPr="0079103F">
              <w:rPr>
                <w:rFonts w:asciiTheme="majorHAnsi" w:hAnsiTheme="majorHAnsi" w:cs="Arial"/>
                <w:lang w:val="sr-Latn-ME"/>
              </w:rPr>
              <w:t>Učešće predstavnika NVO u radna tijela organa državne uprave je institut iz Uredbe koji ima najveći stepen primjene od strane organa državne uprave, dok institut javnog konsultovanja u početnoj fazi pripreme zakona/strategije ima najmanji stepen primjene. Ovakva praksa može biti znak oslanjanja javnog sektora na stručnost i ekspertizu koja dolazi iz NVO sektora, ali da u samom kreiranju politika izbjegava da oslušne potrebe javnosti koji će proizaći iz dostavljenih sugestija, stavova, mišljenja i prema tome se jasno odredi u pripremi nacrta</w:t>
            </w:r>
            <w:r w:rsidR="00D553C8">
              <w:rPr>
                <w:rFonts w:asciiTheme="majorHAnsi" w:hAnsiTheme="majorHAnsi" w:cs="Arial"/>
                <w:lang w:val="sr-Latn-ME"/>
              </w:rPr>
              <w:t>.</w:t>
            </w:r>
          </w:p>
          <w:p w14:paraId="298CE427" w14:textId="5EFF5B7B" w:rsidR="00C301AC" w:rsidRPr="0079103F" w:rsidRDefault="00C301AC" w:rsidP="00C301AC">
            <w:pPr>
              <w:rPr>
                <w:rFonts w:asciiTheme="majorHAnsi" w:hAnsiTheme="majorHAnsi" w:cs="Arial"/>
                <w:lang w:val="sr-Latn-ME"/>
              </w:rPr>
            </w:pPr>
            <w:r w:rsidRPr="0079103F">
              <w:rPr>
                <w:rFonts w:asciiTheme="majorHAnsi" w:hAnsiTheme="majorHAnsi" w:cs="Arial"/>
                <w:lang w:val="sr-Latn-ME"/>
              </w:rPr>
              <w:t>Nizak je stepen učešća javnosti u javnim raspravama (od 15 dokumenata koji su bili na javnoj raspravi na samo 7 dokumenata je bilo komentara</w:t>
            </w:r>
            <w:r w:rsidR="00D553C8">
              <w:rPr>
                <w:rFonts w:asciiTheme="majorHAnsi" w:hAnsiTheme="majorHAnsi" w:cs="Arial"/>
                <w:lang w:val="sr-Latn-ME"/>
              </w:rPr>
              <w:t xml:space="preserve"> u 2021. godini</w:t>
            </w:r>
            <w:r w:rsidRPr="0079103F">
              <w:rPr>
                <w:rFonts w:asciiTheme="majorHAnsi" w:hAnsiTheme="majorHAnsi" w:cs="Arial"/>
                <w:lang w:val="sr-Latn-ME"/>
              </w:rPr>
              <w:t>), svjedoči o tome da javnost ili nije adekvatno informisana, da predstavnici NVO nemaju povjerenja u institucije ili zaista nisu zainteresovani da se uključe u kreiranje politika u određenim oblastima;</w:t>
            </w:r>
          </w:p>
          <w:p w14:paraId="2B5CF510" w14:textId="6A568DD0" w:rsidR="00C301AC" w:rsidRPr="0079103F" w:rsidRDefault="00C301AC" w:rsidP="00C301AC">
            <w:pPr>
              <w:rPr>
                <w:rFonts w:asciiTheme="majorHAnsi" w:hAnsiTheme="majorHAnsi" w:cs="Arial"/>
                <w:lang w:val="sr-Latn-ME"/>
              </w:rPr>
            </w:pPr>
            <w:r w:rsidRPr="0079103F">
              <w:rPr>
                <w:rFonts w:asciiTheme="majorHAnsi" w:hAnsiTheme="majorHAnsi" w:cs="Arial"/>
                <w:lang w:val="sr-Latn-ME"/>
              </w:rPr>
              <w:t>Portal eParticipacija nije prepoznat od strane građana</w:t>
            </w:r>
            <w:r w:rsidR="00D553C8">
              <w:rPr>
                <w:rFonts w:asciiTheme="majorHAnsi" w:hAnsiTheme="majorHAnsi" w:cs="Arial"/>
                <w:lang w:val="sr-Latn-ME"/>
              </w:rPr>
              <w:t xml:space="preserve"> i zainteresovane javnosti</w:t>
            </w:r>
            <w:r w:rsidRPr="0079103F">
              <w:rPr>
                <w:rFonts w:asciiTheme="majorHAnsi" w:hAnsiTheme="majorHAnsi" w:cs="Arial"/>
                <w:lang w:val="sr-Latn-ME"/>
              </w:rPr>
              <w:t xml:space="preserve"> kao svrsishodan alat preko kojeg se može voditi dijalog sa organima državne uprave, o čemu svjedoči samo jedan dostavljen komentar preko ovog portala.</w:t>
            </w:r>
          </w:p>
          <w:p w14:paraId="0FE4DE7A" w14:textId="77777777" w:rsidR="006C2F5C" w:rsidRPr="0079103F" w:rsidRDefault="006C2F5C" w:rsidP="006C2F5C">
            <w:pPr>
              <w:rPr>
                <w:rFonts w:asciiTheme="majorHAnsi" w:hAnsiTheme="majorHAnsi" w:cs="Arial"/>
                <w:b/>
                <w:bCs/>
                <w:lang w:val="sr-Latn-ME"/>
              </w:rPr>
            </w:pPr>
            <w:r w:rsidRPr="0079103F">
              <w:rPr>
                <w:rFonts w:asciiTheme="majorHAnsi" w:hAnsiTheme="majorHAnsi" w:cs="Arial"/>
                <w:b/>
                <w:bCs/>
                <w:lang w:val="sr-Latn-ME"/>
              </w:rPr>
              <w:t>Podaci CDT-a iz Izvjestaja:</w:t>
            </w:r>
          </w:p>
          <w:p w14:paraId="671240DE" w14:textId="0BBC4724" w:rsidR="00C301AC" w:rsidRPr="00610964" w:rsidRDefault="006C2F5C" w:rsidP="00C301AC">
            <w:pPr>
              <w:rPr>
                <w:rFonts w:asciiTheme="majorHAnsi" w:hAnsiTheme="majorHAnsi" w:cs="Arial"/>
                <w:i/>
                <w:iCs/>
                <w:lang w:val="sr-Latn-ME"/>
              </w:rPr>
            </w:pPr>
            <w:r w:rsidRPr="0079103F">
              <w:rPr>
                <w:rFonts w:asciiTheme="majorHAnsi" w:hAnsiTheme="majorHAnsi" w:cs="Arial"/>
                <w:lang w:val="sr-Latn-ME"/>
              </w:rPr>
              <w:t>„</w:t>
            </w:r>
            <w:r w:rsidRPr="0079103F">
              <w:rPr>
                <w:rFonts w:asciiTheme="majorHAnsi" w:hAnsiTheme="majorHAnsi" w:cs="Arial"/>
                <w:i/>
                <w:iCs/>
                <w:lang w:val="sr-Latn-ME"/>
              </w:rPr>
              <w:t>Podaci istraživanja ukazuju da ministarstva nijesu poštovala ni obaveze koje se tiču transparentnosti postupka organizovanja javnih rasprava. Čak 80% ministarstva nije objavilo godišnji plan javnih rasprava za 2021. U okviru poziva za javne rasprave, samo oko trećine ministarstava objavljuje i propratne analize uticaja propisa (RIA). Ministarstva nijesu ostvarila zavidan nivo ni u odnosu na poštovanje drugih zakonskih obaveza proaktivnog objavljivanja informacija. Samo tri od 12 ministarstva je objavilo godišnji budžet, a jedno godišnji finansijski izvještaj. Takođe, samo dva ministarstva su na svojim stranicama objavila godišnji plan javnih nabavki, a situacija nije povoljnija ni u odnosu na objavljivanje poziva, odluka i ugovora o javnim nabavkama. Ministarstva nijesu aktivno promovisala ni novi portal javnih nabavki, ali ni portal e-uprave. Sva ministarstva imaju ažurirane vodiče za slobodan pristup informacijama, međutim trećina ministarstava u 2021. godini nije objavljivala informacije kojima je po zahtjevu odobren pristup</w:t>
            </w:r>
            <w:r w:rsidR="00D553C8">
              <w:rPr>
                <w:rFonts w:asciiTheme="majorHAnsi" w:hAnsiTheme="majorHAnsi" w:cs="Arial"/>
                <w:i/>
                <w:iCs/>
                <w:lang w:val="sr-Latn-ME"/>
              </w:rPr>
              <w:t>(</w:t>
            </w:r>
            <w:r w:rsidRPr="0079103F">
              <w:rPr>
                <w:rFonts w:asciiTheme="majorHAnsi" w:hAnsiTheme="majorHAnsi" w:cs="Arial"/>
                <w:lang w:val="sr-Latn-ME"/>
              </w:rPr>
              <w:t>.</w:t>
            </w:r>
            <w:r w:rsidR="00D553C8">
              <w:rPr>
                <w:rFonts w:asciiTheme="majorHAnsi" w:hAnsiTheme="majorHAnsi" w:cs="Arial"/>
                <w:lang w:val="sr-Latn-ME"/>
              </w:rPr>
              <w:t>..)</w:t>
            </w:r>
            <w:r w:rsidRPr="0079103F">
              <w:rPr>
                <w:rFonts w:asciiTheme="majorHAnsi" w:hAnsiTheme="majorHAnsi" w:cs="Arial"/>
                <w:i/>
                <w:iCs/>
                <w:lang w:val="sr-Latn-ME"/>
              </w:rPr>
              <w:t xml:space="preserve">Organi uprave su u 2021. godini u prosjeku ispunjavali 40.82% indikatora otvorenosti. U našem uzorku, koji obuhvata 50% organa uprave, najbolje rezultate u 2021. godini je ostvario Zavod za metrologiju (76.45%), a najslabije Uprava pomorske sigurnosti i upravljanja lukama (20.79%). Napominjemo da Uprava za vode, koja je obuhvaćena na našim istraživanjem, nije imala funkcionalan sajt u periodu od četiri mjeseca koliko je ukupno trajalo istraživanje, što je neprihvatljivo sa stanovišta transparentnosti rada jedne institucije. Pritom, ni u momentu pisanja ove analize, sajt uprave nije bio u funkciji. Osim toga, postoje organi uprave koji već mjesecima, čak i do godinu dana, ne objavljuju aktuelnosti iz svog djelokruga, izuzev za poseban dio koji predstavlja zakonsku obavezu (poput obaveza institucija u odnosu objavljivanja dijela informacija u predizbornom periodu). Organi uprave godinama spadaju u red „najzatvorenijih“ institucija i potrebna je značajna promjena praksi, kao i utvđivanje odgovornosti za sve one koji ignorišu zakonske obaveze proaktivnog </w:t>
            </w:r>
            <w:r w:rsidRPr="0079103F">
              <w:rPr>
                <w:rFonts w:asciiTheme="majorHAnsi" w:hAnsiTheme="majorHAnsi" w:cs="Arial"/>
                <w:i/>
                <w:iCs/>
                <w:lang w:val="sr-Latn-ME"/>
              </w:rPr>
              <w:lastRenderedPageBreak/>
              <w:t>objavljivanja informacija. Zvuči nevjerovatno da pretraživanjem internet stranica organa ne možemo dobiti neke od najbazičnijih informacija o njihovom radu. Objavljivanje finansijskih informacija je više izuzetak nego pravilo. Niti jedan organ uprave iz našeg uzorka nije objavio godišnji budžet, a samo dva su objavila finansijske izvještaje. Slična je situacija i sa objavljivanjem informacija o nabavkama koje organi uprave planiraju i sprovode – godišnji plan je dostupan na internet stranici samo jednog organa uprave, pozive i odluke o javnim nabavkama su objavila samo dva organa, dok nijesu pronađene ni informacije koje bi uputile posjetioce sajta na novi portal javnih nabavki sa detaljnim informacijama o postupcima. Objavljivanje godišnjih programa i izvještaja o radu takođe nije redovna pojava. U našem uzorku, manje od polovine organa uprave (46%) je objavilo godišnji plan rada, dok je njih 61.5% objavilo objavio godišnji izvještaj o radu. 21 Manje od trećine organa uprave (30.7%) ima objavljene ažurirane vodiče za slobodan pristup informacijama i informacije kojima je po zahtjevu odobren pristup. Podsjećamo da je objavljivanje navedenih informacija zakonom propisana obaveza organa uprave, međutim sami izostanak sankcija svakako predstavlja podstrek za ovakvo postupanje institucija. Kada je riječ o aktivnostima na društvenim mrežama, nešto više od polovine organa uprave (53.8%) aktivno koristi Fejsbuk za informisanje javnosti o svom radu, a manje od četvrtine (23%) Tviter.“</w:t>
            </w:r>
          </w:p>
          <w:p w14:paraId="6AB58865" w14:textId="61C0A170" w:rsidR="009C3D0D" w:rsidRPr="0079103F" w:rsidRDefault="004F7A38">
            <w:pPr>
              <w:rPr>
                <w:rFonts w:asciiTheme="majorHAnsi" w:hAnsiTheme="majorHAnsi" w:cs="Arial"/>
                <w:lang w:val="sr-Latn-ME"/>
              </w:rPr>
            </w:pPr>
            <w:r w:rsidRPr="0079103F">
              <w:rPr>
                <w:rFonts w:asciiTheme="majorHAnsi" w:hAnsiTheme="majorHAnsi" w:cs="Arial"/>
                <w:bCs/>
                <w:lang w:val="es-ES"/>
              </w:rPr>
              <w:t>U odnosu na potrebu</w:t>
            </w:r>
            <w:r w:rsidRPr="0079103F">
              <w:rPr>
                <w:rFonts w:asciiTheme="majorHAnsi" w:hAnsiTheme="majorHAnsi" w:cs="Arial"/>
                <w:b/>
                <w:bCs/>
                <w:lang w:val="sr-Latn-ME"/>
              </w:rPr>
              <w:t xml:space="preserve"> jačanja kapaciteta</w:t>
            </w:r>
            <w:r w:rsidRPr="0079103F">
              <w:rPr>
                <w:rFonts w:asciiTheme="majorHAnsi" w:hAnsiTheme="majorHAnsi" w:cs="Arial"/>
                <w:lang w:val="sr-Latn-ME"/>
              </w:rPr>
              <w:t xml:space="preserve"> administracije</w:t>
            </w:r>
            <w:r w:rsidR="0094036E" w:rsidRPr="0079103F">
              <w:rPr>
                <w:rFonts w:asciiTheme="majorHAnsi" w:hAnsiTheme="majorHAnsi" w:cs="Arial"/>
                <w:lang w:val="sr-Latn-ME"/>
              </w:rPr>
              <w:t xml:space="preserve"> evidentiran je i problem dostavljanja informacija i podataka po osnovu zahtjeva za slobodan pristup informacijama. </w:t>
            </w:r>
          </w:p>
          <w:p w14:paraId="7FF4D29F" w14:textId="77777777" w:rsidR="0094036E" w:rsidRPr="0079103F" w:rsidRDefault="0094036E">
            <w:pPr>
              <w:rPr>
                <w:rFonts w:asciiTheme="majorHAnsi" w:hAnsiTheme="majorHAnsi" w:cs="Arial"/>
                <w:lang w:val="sr-Latn-ME"/>
              </w:rPr>
            </w:pPr>
            <w:r w:rsidRPr="0079103F">
              <w:rPr>
                <w:rFonts w:asciiTheme="majorHAnsi" w:hAnsiTheme="majorHAnsi" w:cs="Arial"/>
                <w:lang w:val="sr-Latn-ME"/>
              </w:rPr>
              <w:t xml:space="preserve">Ministarstva Crne Gore su u 2021. godini u prosjeku ispunjavala 48.17% kriterijuma otvorenosti, a najbolje rezultate u 2021. imali su Ministarstvo pravde, ljudskih i manjinskih prava (60.62%) i Ministarstvo javne uprave, digitalnog društva i medija (60.06%). Slijede Ministarstvo ekologije, prostornog planiranja i urbanizma (54.83%), Ministarstvo unutrašnjih poslova (49.61%), Ministarstvo kapitalnih investicija (47.74%), Ministarstvo prosvjete, nauke, kulture i sporta (47.18%), Ministarstvo finansija i socijalnog staranja (47%), Ministarstvo ekonomskog razvoja (45.88%), Ministarstvo vanjskih poslova (45.13%), Ministarstvo poljoprivrede, šumarstva i vodoprivrede (41.77%), Ministarstvo odbrane (39.53%), te Ministarstvo zdravlja (38.79%). </w:t>
            </w:r>
          </w:p>
          <w:p w14:paraId="6E410CA7" w14:textId="77777777" w:rsidR="0094036E" w:rsidRPr="0079103F" w:rsidRDefault="0094036E" w:rsidP="0094036E">
            <w:pPr>
              <w:rPr>
                <w:rFonts w:asciiTheme="majorHAnsi" w:hAnsiTheme="majorHAnsi" w:cs="Arial"/>
                <w:lang w:val="sr-Latn-ME"/>
              </w:rPr>
            </w:pPr>
            <w:r w:rsidRPr="0079103F">
              <w:rPr>
                <w:rFonts w:asciiTheme="majorHAnsi" w:hAnsiTheme="majorHAnsi" w:cs="Arial"/>
                <w:lang w:val="sr-Latn-ME"/>
              </w:rPr>
              <w:t xml:space="preserve">Predlozi koji dolaze iz NVO sektora odnose se i na kreiranje nove politike komunikacija imajući u vidu da niti jedno ministarstvo nije radilo na osnovu posebne komunikacione strategije u 2021. godini. </w:t>
            </w:r>
          </w:p>
          <w:p w14:paraId="34C2190F" w14:textId="77777777" w:rsidR="0094036E" w:rsidRPr="0079103F" w:rsidRDefault="0094036E" w:rsidP="0094036E">
            <w:pPr>
              <w:tabs>
                <w:tab w:val="left" w:pos="850"/>
                <w:tab w:val="left" w:pos="1191"/>
                <w:tab w:val="left" w:pos="1531"/>
              </w:tabs>
              <w:spacing w:before="60" w:after="60" w:line="240" w:lineRule="auto"/>
              <w:ind w:right="-471"/>
              <w:rPr>
                <w:rFonts w:asciiTheme="majorHAnsi" w:eastAsia="Calibri" w:hAnsiTheme="majorHAnsi" w:cs="Arial"/>
                <w:b/>
                <w:color w:val="000000"/>
                <w:lang w:val="sr-Latn-ME"/>
              </w:rPr>
            </w:pPr>
            <w:r w:rsidRPr="0079103F">
              <w:rPr>
                <w:rFonts w:asciiTheme="majorHAnsi" w:eastAsia="Calibri" w:hAnsiTheme="majorHAnsi" w:cs="Arial"/>
                <w:color w:val="000000"/>
                <w:lang w:val="sr-Latn-ME"/>
              </w:rPr>
              <w:t>Istraživanje javnog mnjenja u regionu Zapadnog Balkana – Balkanski barometar</w:t>
            </w:r>
            <w:r w:rsidRPr="0079103F">
              <w:rPr>
                <w:rFonts w:asciiTheme="majorHAnsi" w:eastAsia="Calibri" w:hAnsiTheme="majorHAnsi" w:cs="Arial"/>
                <w:color w:val="000000"/>
                <w:vertAlign w:val="superscript"/>
                <w:lang w:val="sr-Latn-ME"/>
              </w:rPr>
              <w:footnoteReference w:id="2"/>
            </w:r>
            <w:r w:rsidRPr="0079103F">
              <w:rPr>
                <w:rFonts w:asciiTheme="majorHAnsi" w:eastAsia="Calibri" w:hAnsiTheme="majorHAnsi" w:cs="Arial"/>
                <w:color w:val="000000"/>
                <w:lang w:val="sr-Latn-ME"/>
              </w:rPr>
              <w:t xml:space="preserve"> ukazuje na pad pozitivne percepcije građana i privrednog sektora u oblasti informacija od strane javne uprave: 61% građana u Crnoj Gori smatra da organi uprave na zahtjeve za slobodan pristup informacijama odgovaraju blagovremeno u 2019. godini, 63% u 2020. godini, ali samo 46% u 2021. godini. U 2019. godini 65% smatra da je informacija dostavljena od strane organa relevantna i kompletna, 63% u 2020. godini, a 50% u 2021. godini. Da su informacije dostavljene uz razuman trošak smatra 61% građana u 2019. godini, 65% u 2020. godini, a 50% u 2021. godini.</w:t>
            </w:r>
          </w:p>
          <w:p w14:paraId="15481557" w14:textId="77777777" w:rsidR="0094036E" w:rsidRPr="0079103F" w:rsidRDefault="0094036E" w:rsidP="0094036E">
            <w:pPr>
              <w:tabs>
                <w:tab w:val="left" w:pos="850"/>
                <w:tab w:val="left" w:pos="1191"/>
                <w:tab w:val="left" w:pos="1531"/>
              </w:tabs>
              <w:spacing w:before="60" w:after="60" w:line="240" w:lineRule="auto"/>
              <w:ind w:right="-471"/>
              <w:rPr>
                <w:rFonts w:asciiTheme="majorHAnsi" w:eastAsia="Calibri" w:hAnsiTheme="majorHAnsi" w:cs="Arial"/>
                <w:b/>
                <w:color w:val="000000"/>
                <w:lang w:val="sr-Latn-ME"/>
              </w:rPr>
            </w:pPr>
          </w:p>
          <w:p w14:paraId="096769A0" w14:textId="77777777" w:rsidR="0094036E" w:rsidRPr="0079103F" w:rsidRDefault="0094036E" w:rsidP="0094036E">
            <w:pPr>
              <w:tabs>
                <w:tab w:val="left" w:pos="850"/>
                <w:tab w:val="left" w:pos="1191"/>
                <w:tab w:val="left" w:pos="1531"/>
              </w:tabs>
              <w:spacing w:before="60" w:after="60" w:line="240" w:lineRule="auto"/>
              <w:ind w:right="-471"/>
              <w:rPr>
                <w:rFonts w:asciiTheme="majorHAnsi" w:eastAsia="Calibri" w:hAnsiTheme="majorHAnsi" w:cs="Arial"/>
                <w:color w:val="000000"/>
                <w:lang w:val="sr-Latn-ME"/>
              </w:rPr>
            </w:pPr>
            <w:r w:rsidRPr="0079103F">
              <w:rPr>
                <w:rFonts w:asciiTheme="majorHAnsi" w:eastAsia="Calibri" w:hAnsiTheme="majorHAnsi" w:cs="Arial"/>
                <w:color w:val="000000"/>
                <w:lang w:val="sr-Latn-ME"/>
              </w:rPr>
              <w:t xml:space="preserve">Kad je u pitanju stav poslovne zajednice, 60% predstavnika biznisa smatra da organi uprave na zahtjeve za slobodan pristup informacijama odgovaraju blagovremeno u 2019. godini, 42% u 2020. godini, a 35% u 2021. godini. Njih 64%smatra da je informacija dostavljena od strane organa relevantna i kompletna u 2019. godini, 47% u 2020. godini, a 43% u 2021. godini. Da su informacije u posjedu organa vlasti dostavljene uz razuman trošak smatra 66% u 2019. godini, 41% u 2020. godini, a 35% u 2021. godini. </w:t>
            </w:r>
          </w:p>
          <w:p w14:paraId="5F4BC962" w14:textId="77777777" w:rsidR="0094036E" w:rsidRPr="0079103F" w:rsidRDefault="0094036E" w:rsidP="0094036E">
            <w:pPr>
              <w:tabs>
                <w:tab w:val="left" w:pos="850"/>
                <w:tab w:val="left" w:pos="1191"/>
                <w:tab w:val="left" w:pos="1531"/>
              </w:tabs>
              <w:spacing w:before="60" w:after="60" w:line="240" w:lineRule="auto"/>
              <w:ind w:right="-471"/>
              <w:rPr>
                <w:rFonts w:asciiTheme="majorHAnsi" w:eastAsia="Calibri" w:hAnsiTheme="majorHAnsi" w:cs="Arial"/>
                <w:color w:val="000000"/>
                <w:lang w:val="sr-Latn-ME"/>
              </w:rPr>
            </w:pPr>
          </w:p>
          <w:p w14:paraId="26741FD2" w14:textId="70D5B22B" w:rsidR="0094036E" w:rsidRPr="0079103F" w:rsidRDefault="0094036E" w:rsidP="0094036E">
            <w:pPr>
              <w:tabs>
                <w:tab w:val="left" w:pos="850"/>
                <w:tab w:val="left" w:pos="1191"/>
                <w:tab w:val="left" w:pos="1531"/>
              </w:tabs>
              <w:spacing w:before="60" w:after="60" w:line="240" w:lineRule="auto"/>
              <w:ind w:right="-471"/>
              <w:rPr>
                <w:rFonts w:asciiTheme="majorHAnsi" w:eastAsia="Calibri" w:hAnsiTheme="majorHAnsi" w:cs="Arial"/>
                <w:b/>
                <w:color w:val="000000"/>
                <w:lang w:val="sr-Latn-ME"/>
              </w:rPr>
            </w:pPr>
            <w:r w:rsidRPr="0079103F">
              <w:rPr>
                <w:rFonts w:asciiTheme="majorHAnsi" w:eastAsia="Calibri" w:hAnsiTheme="majorHAnsi" w:cs="Arial"/>
                <w:color w:val="000000"/>
                <w:lang w:val="sr-Latn-ME"/>
              </w:rPr>
              <w:t xml:space="preserve">Na Portalu otvorenih podataka </w:t>
            </w:r>
            <w:hyperlink r:id="rId9" w:history="1">
              <w:r w:rsidRPr="0079103F">
                <w:rPr>
                  <w:rStyle w:val="Hyperlink"/>
                  <w:rFonts w:asciiTheme="majorHAnsi" w:eastAsia="Calibri" w:hAnsiTheme="majorHAnsi" w:cs="Arial"/>
                  <w:color w:val="000000"/>
                  <w:lang w:val="sr-Latn-ME"/>
                </w:rPr>
                <w:t>https://data.gov.me/</w:t>
              </w:r>
            </w:hyperlink>
            <w:r w:rsidRPr="0079103F">
              <w:rPr>
                <w:rFonts w:asciiTheme="majorHAnsi" w:eastAsia="Calibri" w:hAnsiTheme="majorHAnsi" w:cs="Arial"/>
                <w:color w:val="000000"/>
                <w:lang w:val="sr-Latn-ME"/>
              </w:rPr>
              <w:t xml:space="preserve"> ukupno je </w:t>
            </w:r>
            <w:r w:rsidR="00945E67" w:rsidRPr="0079103F">
              <w:rPr>
                <w:rFonts w:asciiTheme="majorHAnsi" w:eastAsia="Calibri" w:hAnsiTheme="majorHAnsi" w:cs="Arial"/>
                <w:color w:val="000000"/>
                <w:lang w:val="sr-Latn-ME"/>
              </w:rPr>
              <w:t>197</w:t>
            </w:r>
            <w:r w:rsidRPr="0079103F">
              <w:rPr>
                <w:rFonts w:asciiTheme="majorHAnsi" w:eastAsia="Calibri" w:hAnsiTheme="majorHAnsi" w:cs="Arial"/>
                <w:color w:val="000000"/>
                <w:lang w:val="sr-Latn-ME"/>
              </w:rPr>
              <w:t>data setova,  iz 15 različitih</w:t>
            </w:r>
            <w:r w:rsidR="006C2F5C">
              <w:rPr>
                <w:rFonts w:asciiTheme="majorHAnsi" w:eastAsia="Calibri" w:hAnsiTheme="majorHAnsi" w:cs="Arial"/>
                <w:color w:val="000000"/>
                <w:lang w:val="sr-Latn-ME"/>
              </w:rPr>
              <w:t>tematskih oblasti.</w:t>
            </w:r>
            <w:r w:rsidR="009C3D0D">
              <w:rPr>
                <w:rFonts w:asciiTheme="majorHAnsi" w:eastAsia="Calibri" w:hAnsiTheme="majorHAnsi" w:cs="Arial"/>
                <w:color w:val="000000"/>
                <w:lang w:val="sr-Latn-ME"/>
              </w:rPr>
              <w:t xml:space="preserve"> </w:t>
            </w:r>
            <w:r w:rsidRPr="0079103F">
              <w:rPr>
                <w:rFonts w:asciiTheme="majorHAnsi" w:eastAsia="Calibri" w:hAnsiTheme="majorHAnsi" w:cs="Arial"/>
                <w:color w:val="000000"/>
                <w:lang w:val="sr-Latn-ME"/>
              </w:rPr>
              <w:t xml:space="preserve">Do danas je ukupan broj preuzetih podataka s portala otvorenih podataka 61.672. Podaci na portalu su dostupni u formi </w:t>
            </w:r>
            <w:r w:rsidRPr="0079103F">
              <w:rPr>
                <w:rFonts w:asciiTheme="majorHAnsi" w:eastAsia="Calibri" w:hAnsiTheme="majorHAnsi" w:cs="Arial"/>
                <w:i/>
                <w:color w:val="000000"/>
                <w:lang w:val="sr-Latn-ME"/>
              </w:rPr>
              <w:t>excel</w:t>
            </w:r>
            <w:r w:rsidRPr="0079103F">
              <w:rPr>
                <w:rFonts w:asciiTheme="majorHAnsi" w:eastAsia="Calibri" w:hAnsiTheme="majorHAnsi" w:cs="Arial"/>
                <w:color w:val="000000"/>
                <w:lang w:val="sr-Latn-ME"/>
              </w:rPr>
              <w:t xml:space="preserve">, </w:t>
            </w:r>
            <w:r w:rsidRPr="0079103F">
              <w:rPr>
                <w:rFonts w:asciiTheme="majorHAnsi" w:eastAsia="Calibri" w:hAnsiTheme="majorHAnsi" w:cs="Arial"/>
                <w:i/>
                <w:color w:val="000000"/>
                <w:lang w:val="sr-Latn-ME"/>
              </w:rPr>
              <w:t>cvs, xml, json</w:t>
            </w:r>
            <w:r w:rsidR="00945E67" w:rsidRPr="0079103F">
              <w:rPr>
                <w:rFonts w:asciiTheme="majorHAnsi" w:eastAsia="Calibri" w:hAnsiTheme="majorHAnsi" w:cs="Arial"/>
                <w:i/>
                <w:color w:val="000000"/>
                <w:lang w:val="sr-Latn-ME"/>
              </w:rPr>
              <w:t xml:space="preserve"> formatu. </w:t>
            </w:r>
            <w:r w:rsidR="00945E67" w:rsidRPr="00EC2103">
              <w:rPr>
                <w:rFonts w:asciiTheme="majorHAnsi" w:eastAsia="Calibri" w:hAnsiTheme="majorHAnsi" w:cs="Arial"/>
                <w:color w:val="000000"/>
              </w:rPr>
              <w:t xml:space="preserve">O stanju u upravljanju otvorenim podacima, u martu ove godie, na sjednici Vlade je usvojena posebna </w:t>
            </w:r>
            <w:r w:rsidR="00945E67" w:rsidRPr="009C3D0D">
              <w:rPr>
                <w:rFonts w:asciiTheme="majorHAnsi" w:eastAsia="Calibri" w:hAnsiTheme="majorHAnsi" w:cs="Arial"/>
                <w:i/>
                <w:color w:val="000000"/>
              </w:rPr>
              <w:t>Informacija</w:t>
            </w:r>
            <w:r w:rsidR="00945E67" w:rsidRPr="00EC2103">
              <w:rPr>
                <w:rFonts w:asciiTheme="majorHAnsi" w:eastAsia="Calibri" w:hAnsiTheme="majorHAnsi" w:cs="Arial"/>
                <w:color w:val="000000"/>
              </w:rPr>
              <w:t>-</w:t>
            </w:r>
            <w:r w:rsidR="00945E67" w:rsidRPr="0079103F">
              <w:rPr>
                <w:rFonts w:asciiTheme="majorHAnsi" w:eastAsia="Calibri" w:hAnsiTheme="majorHAnsi" w:cs="Arial"/>
                <w:i/>
                <w:color w:val="000000"/>
                <w:lang w:val="sr-Latn-ME"/>
              </w:rPr>
              <w:t xml:space="preserve"> </w:t>
            </w:r>
            <w:r w:rsidR="00945E67" w:rsidRPr="0079103F">
              <w:rPr>
                <w:rFonts w:asciiTheme="majorHAnsi" w:hAnsiTheme="majorHAnsi"/>
                <w:lang w:val="sr-Latn-ME"/>
              </w:rPr>
              <w:t xml:space="preserve"> </w:t>
            </w:r>
            <w:hyperlink r:id="rId10" w:history="1">
              <w:r w:rsidR="00945E67" w:rsidRPr="0079103F">
                <w:rPr>
                  <w:rStyle w:val="Hyperlink"/>
                  <w:rFonts w:asciiTheme="majorHAnsi" w:eastAsia="Calibri" w:hAnsiTheme="majorHAnsi" w:cs="Arial"/>
                  <w:i/>
                  <w:lang w:val="sr-Latn-ME"/>
                </w:rPr>
                <w:t>https://www.gov.me/en/documents/7a211a06-401c-426c-9d98-85b8f1ae9d88</w:t>
              </w:r>
            </w:hyperlink>
            <w:r w:rsidR="00945E67" w:rsidRPr="0079103F">
              <w:rPr>
                <w:rFonts w:asciiTheme="majorHAnsi" w:eastAsia="Calibri" w:hAnsiTheme="majorHAnsi" w:cs="Arial"/>
                <w:i/>
                <w:color w:val="000000"/>
                <w:lang w:val="sr-Latn-ME"/>
              </w:rPr>
              <w:t xml:space="preserve"> </w:t>
            </w:r>
            <w:r w:rsidR="00945E67" w:rsidRPr="00EC2103">
              <w:rPr>
                <w:rFonts w:asciiTheme="majorHAnsi" w:eastAsia="Calibri" w:hAnsiTheme="majorHAnsi" w:cs="Arial"/>
                <w:color w:val="000000"/>
              </w:rPr>
              <w:t>koja sadrži i SWOT analizu.</w:t>
            </w:r>
          </w:p>
          <w:p w14:paraId="1AFA06B2" w14:textId="4478E9A4" w:rsidR="0094036E" w:rsidRPr="00EC2103" w:rsidRDefault="0094036E" w:rsidP="00EC2103">
            <w:pPr>
              <w:rPr>
                <w:rFonts w:asciiTheme="majorHAnsi" w:eastAsia="Calibri" w:hAnsiTheme="majorHAnsi" w:cs="Arial"/>
                <w:bCs/>
                <w:iCs/>
                <w:color w:val="000000"/>
                <w:lang w:val="sr-Latn-ME"/>
              </w:rPr>
            </w:pPr>
            <w:r w:rsidRPr="00EC2103">
              <w:rPr>
                <w:rFonts w:asciiTheme="majorHAnsi" w:hAnsiTheme="majorHAnsi" w:cs="Arial"/>
                <w:bCs/>
              </w:rPr>
              <w:t xml:space="preserve">U novoj Strategiji reforme javne uprave </w:t>
            </w:r>
            <w:r w:rsidR="00945E67" w:rsidRPr="00EC2103">
              <w:rPr>
                <w:rFonts w:asciiTheme="majorHAnsi" w:hAnsiTheme="majorHAnsi" w:cs="Arial"/>
                <w:bCs/>
              </w:rPr>
              <w:t xml:space="preserve">2022- 2026. </w:t>
            </w:r>
            <w:r w:rsidRPr="00EC2103">
              <w:rPr>
                <w:rFonts w:asciiTheme="majorHAnsi" w:hAnsiTheme="majorHAnsi" w:cs="Arial"/>
                <w:bCs/>
              </w:rPr>
              <w:t>identifikovani su sl</w:t>
            </w:r>
            <w:r w:rsidR="00945E67" w:rsidRPr="00EC2103">
              <w:rPr>
                <w:rFonts w:asciiTheme="majorHAnsi" w:hAnsiTheme="majorHAnsi" w:cs="Arial"/>
                <w:bCs/>
              </w:rPr>
              <w:t>j</w:t>
            </w:r>
            <w:r w:rsidRPr="00EC2103">
              <w:rPr>
                <w:rFonts w:asciiTheme="majorHAnsi" w:hAnsiTheme="majorHAnsi" w:cs="Arial"/>
                <w:bCs/>
              </w:rPr>
              <w:t xml:space="preserve">edeći </w:t>
            </w:r>
            <w:r w:rsidR="009C3D0D" w:rsidRPr="009C3D0D">
              <w:rPr>
                <w:rFonts w:asciiTheme="majorHAnsi" w:eastAsia="Calibri" w:hAnsiTheme="majorHAnsi" w:cs="Arial"/>
                <w:bCs/>
                <w:iCs/>
                <w:color w:val="000000" w:themeColor="text1"/>
              </w:rPr>
              <w:t>izazovi:</w:t>
            </w:r>
          </w:p>
          <w:p w14:paraId="04DF933D" w14:textId="77777777" w:rsidR="0094036E" w:rsidRPr="0079103F" w:rsidRDefault="0094036E" w:rsidP="0094036E">
            <w:pPr>
              <w:pStyle w:val="ListParagraph"/>
              <w:numPr>
                <w:ilvl w:val="0"/>
                <w:numId w:val="8"/>
              </w:numPr>
              <w:tabs>
                <w:tab w:val="left" w:pos="850"/>
                <w:tab w:val="left" w:pos="1191"/>
                <w:tab w:val="left" w:pos="1531"/>
              </w:tabs>
              <w:spacing w:before="60" w:after="60"/>
              <w:ind w:right="-475"/>
              <w:jc w:val="both"/>
              <w:rPr>
                <w:rFonts w:asciiTheme="majorHAnsi" w:eastAsia="Calibri" w:hAnsiTheme="majorHAnsi" w:cs="Arial"/>
                <w:bCs/>
                <w:iCs/>
                <w:color w:val="000000"/>
                <w:lang w:val="sr-Latn-ME"/>
              </w:rPr>
            </w:pPr>
            <w:r w:rsidRPr="0079103F">
              <w:rPr>
                <w:rFonts w:asciiTheme="majorHAnsi" w:eastAsia="Calibri" w:hAnsiTheme="majorHAnsi" w:cs="Arial"/>
                <w:bCs/>
                <w:iCs/>
                <w:color w:val="000000"/>
                <w:lang w:val="sr-Latn-ME"/>
              </w:rPr>
              <w:t>Nedostatak kvaliteta i zakonitosti rada prvostepenih organa u postupcima odlučivanja po zahtjevima za slobodan pristup informacijama</w:t>
            </w:r>
          </w:p>
          <w:p w14:paraId="102043F6" w14:textId="77777777" w:rsidR="0094036E" w:rsidRPr="0079103F" w:rsidRDefault="0094036E" w:rsidP="0094036E">
            <w:pPr>
              <w:pStyle w:val="ListParagraph"/>
              <w:numPr>
                <w:ilvl w:val="0"/>
                <w:numId w:val="8"/>
              </w:numPr>
              <w:tabs>
                <w:tab w:val="left" w:pos="850"/>
                <w:tab w:val="left" w:pos="1191"/>
                <w:tab w:val="left" w:pos="1531"/>
              </w:tabs>
              <w:spacing w:before="120" w:after="120"/>
              <w:ind w:right="-471"/>
              <w:jc w:val="both"/>
              <w:rPr>
                <w:rFonts w:asciiTheme="majorHAnsi" w:eastAsia="Calibri" w:hAnsiTheme="majorHAnsi" w:cs="Arial"/>
                <w:bCs/>
                <w:iCs/>
                <w:color w:val="000000"/>
                <w:lang w:val="sr-Latn-ME"/>
              </w:rPr>
            </w:pPr>
            <w:r w:rsidRPr="0079103F">
              <w:rPr>
                <w:rFonts w:asciiTheme="majorHAnsi" w:eastAsia="Calibri" w:hAnsiTheme="majorHAnsi" w:cs="Arial"/>
                <w:bCs/>
                <w:iCs/>
                <w:color w:val="000000"/>
                <w:lang w:val="sr-Latn-ME"/>
              </w:rPr>
              <w:t>Nedovoljno proaktivno objavljivanje podataka u posjedu organa vlasti, uključujući i mašinski čitljive podatke</w:t>
            </w:r>
          </w:p>
          <w:p w14:paraId="40DBDBB4" w14:textId="77777777" w:rsidR="0094036E" w:rsidRPr="0079103F" w:rsidRDefault="0094036E" w:rsidP="0094036E">
            <w:pPr>
              <w:pStyle w:val="ListParagraph"/>
              <w:numPr>
                <w:ilvl w:val="0"/>
                <w:numId w:val="8"/>
              </w:numPr>
              <w:tabs>
                <w:tab w:val="left" w:pos="850"/>
                <w:tab w:val="left" w:pos="1191"/>
                <w:tab w:val="left" w:pos="1531"/>
              </w:tabs>
              <w:spacing w:before="60" w:after="60"/>
              <w:ind w:right="-471"/>
              <w:jc w:val="both"/>
              <w:rPr>
                <w:rFonts w:asciiTheme="majorHAnsi" w:eastAsia="Calibri" w:hAnsiTheme="majorHAnsi" w:cs="Arial"/>
                <w:bCs/>
                <w:iCs/>
                <w:color w:val="000000"/>
                <w:lang w:val="sr-Latn-ME"/>
              </w:rPr>
            </w:pPr>
            <w:r w:rsidRPr="0079103F">
              <w:rPr>
                <w:rFonts w:asciiTheme="majorHAnsi" w:eastAsia="Calibri" w:hAnsiTheme="majorHAnsi" w:cs="Arial"/>
                <w:bCs/>
                <w:iCs/>
                <w:color w:val="000000"/>
                <w:lang w:val="sr-Latn-ME"/>
              </w:rPr>
              <w:t xml:space="preserve">Mali broj institucija objavljuje data setove na portalu otvorenih podataka </w:t>
            </w:r>
          </w:p>
          <w:p w14:paraId="4D887017" w14:textId="77777777" w:rsidR="0094036E" w:rsidRPr="0079103F" w:rsidRDefault="0094036E" w:rsidP="0094036E">
            <w:pPr>
              <w:pStyle w:val="ListParagraph"/>
              <w:numPr>
                <w:ilvl w:val="0"/>
                <w:numId w:val="8"/>
              </w:numPr>
              <w:tabs>
                <w:tab w:val="left" w:pos="850"/>
                <w:tab w:val="left" w:pos="1191"/>
                <w:tab w:val="left" w:pos="1531"/>
              </w:tabs>
              <w:spacing w:after="120"/>
              <w:ind w:right="-471"/>
              <w:jc w:val="both"/>
              <w:rPr>
                <w:rFonts w:asciiTheme="majorHAnsi" w:eastAsia="Calibri" w:hAnsiTheme="majorHAnsi" w:cs="Arial"/>
                <w:bCs/>
                <w:iCs/>
                <w:color w:val="000000"/>
                <w:lang w:val="sr-Latn-ME"/>
              </w:rPr>
            </w:pPr>
            <w:r w:rsidRPr="0079103F">
              <w:rPr>
                <w:rFonts w:asciiTheme="majorHAnsi" w:eastAsia="Calibri" w:hAnsiTheme="majorHAnsi" w:cs="Arial"/>
                <w:bCs/>
                <w:iCs/>
                <w:color w:val="000000"/>
                <w:lang w:val="sr-Latn-ME"/>
              </w:rPr>
              <w:t>Nedovoljan broj (kvalitetnih) data setova na Portalu otvorenih podataka</w:t>
            </w:r>
          </w:p>
          <w:p w14:paraId="06410B2F" w14:textId="77777777" w:rsidR="0094036E" w:rsidRPr="0079103F" w:rsidRDefault="0094036E" w:rsidP="0094036E">
            <w:pPr>
              <w:rPr>
                <w:rFonts w:asciiTheme="majorHAnsi" w:hAnsiTheme="majorHAnsi" w:cs="Arial"/>
                <w:lang w:val="sr-Latn-ME"/>
              </w:rPr>
            </w:pPr>
          </w:p>
          <w:p w14:paraId="067CA0FE" w14:textId="77777777" w:rsidR="002A30C4" w:rsidRPr="0079103F" w:rsidRDefault="0094036E" w:rsidP="0094036E">
            <w:pPr>
              <w:rPr>
                <w:rFonts w:asciiTheme="majorHAnsi" w:hAnsiTheme="majorHAnsi" w:cs="Arial"/>
                <w:color w:val="3A4C5B"/>
                <w:sz w:val="18"/>
                <w:szCs w:val="18"/>
                <w:lang w:val="sr-Latn-ME"/>
              </w:rPr>
            </w:pPr>
            <w:r w:rsidRPr="0079103F">
              <w:rPr>
                <w:rFonts w:asciiTheme="majorHAnsi" w:hAnsiTheme="majorHAnsi" w:cs="Arial"/>
                <w:lang w:val="sr-Latn-ME"/>
              </w:rPr>
              <w:t>U skladu sa identifikovanim izazovima postavljeni su i sledeći ciljevi:</w:t>
            </w:r>
            <w:r w:rsidR="002A30C4" w:rsidRPr="0079103F">
              <w:rPr>
                <w:rFonts w:asciiTheme="majorHAnsi" w:hAnsiTheme="majorHAnsi" w:cs="Arial"/>
                <w:color w:val="3A4C5B"/>
                <w:sz w:val="18"/>
                <w:szCs w:val="18"/>
                <w:lang w:val="sr-Latn-ME"/>
              </w:rPr>
              <w:t xml:space="preserve"> </w:t>
            </w:r>
          </w:p>
          <w:p w14:paraId="0856C1F9" w14:textId="07E82034" w:rsidR="0094036E" w:rsidRPr="0079103F" w:rsidRDefault="002A30C4" w:rsidP="0079103F">
            <w:pPr>
              <w:pStyle w:val="ListParagraph"/>
              <w:numPr>
                <w:ilvl w:val="0"/>
                <w:numId w:val="11"/>
              </w:numPr>
              <w:rPr>
                <w:rFonts w:asciiTheme="majorHAnsi" w:hAnsiTheme="majorHAnsi" w:cs="Arial"/>
              </w:rPr>
            </w:pPr>
            <w:r w:rsidRPr="0079103F">
              <w:rPr>
                <w:rFonts w:asciiTheme="majorHAnsi" w:hAnsiTheme="majorHAnsi" w:cs="Arial"/>
              </w:rPr>
              <w:t xml:space="preserve">Unapređenje primjene Zakona o SPI od strane obveznika primjene zakona i jačanje kapaciteta korisnika zakona, radi obezbjeđenja adekvatnog ostvarivanja prava na pristup informacijama </w:t>
            </w:r>
          </w:p>
          <w:p w14:paraId="588C8612" w14:textId="33C2BBF1" w:rsidR="002A30C4" w:rsidRPr="0079103F" w:rsidRDefault="002A30C4" w:rsidP="0079103F">
            <w:pPr>
              <w:pStyle w:val="ListParagraph"/>
              <w:numPr>
                <w:ilvl w:val="0"/>
                <w:numId w:val="11"/>
              </w:numPr>
              <w:rPr>
                <w:rFonts w:asciiTheme="majorHAnsi" w:hAnsiTheme="majorHAnsi" w:cs="Arial"/>
              </w:rPr>
            </w:pPr>
            <w:r w:rsidRPr="0079103F">
              <w:rPr>
                <w:rFonts w:asciiTheme="majorHAnsi" w:hAnsiTheme="majorHAnsi" w:cs="Arial"/>
              </w:rPr>
              <w:t xml:space="preserve">Unapređenje ponovne upotrebe informacija i povećanje dostupnosti otvorenih podataka  </w:t>
            </w:r>
          </w:p>
          <w:p w14:paraId="7C914822" w14:textId="77777777" w:rsidR="00C12EAA" w:rsidRPr="0079103F" w:rsidRDefault="00C12EAA" w:rsidP="006C2F5C">
            <w:pPr>
              <w:rPr>
                <w:rFonts w:asciiTheme="majorHAnsi" w:hAnsiTheme="majorHAnsi" w:cs="Arial"/>
                <w:b/>
                <w:sz w:val="28"/>
                <w:szCs w:val="28"/>
                <w:lang w:val="sl-SI"/>
              </w:rPr>
            </w:pPr>
          </w:p>
        </w:tc>
      </w:tr>
      <w:tr w:rsidR="00C12EAA" w:rsidRPr="0079103F" w14:paraId="17D78AB8" w14:textId="77777777" w:rsidTr="00EC2103">
        <w:trPr>
          <w:trHeight w:val="741"/>
        </w:trPr>
        <w:tc>
          <w:tcPr>
            <w:tcW w:w="6884" w:type="dxa"/>
            <w:shd w:val="clear" w:color="auto" w:fill="F2F2F2" w:themeFill="background1" w:themeFillShade="F2"/>
            <w:tcMar>
              <w:top w:w="57" w:type="dxa"/>
              <w:bottom w:w="57" w:type="dxa"/>
            </w:tcMar>
          </w:tcPr>
          <w:p w14:paraId="65FA764D" w14:textId="77777777" w:rsidR="00C12EAA" w:rsidRPr="0079103F" w:rsidRDefault="00C12EAA" w:rsidP="008671CC">
            <w:pPr>
              <w:spacing w:after="0"/>
              <w:rPr>
                <w:rFonts w:asciiTheme="majorHAnsi" w:hAnsiTheme="majorHAnsi"/>
                <w:lang w:val="sr-Latn-ME"/>
              </w:rPr>
            </w:pPr>
            <w:r w:rsidRPr="0079103F">
              <w:rPr>
                <w:rFonts w:asciiTheme="majorHAnsi" w:hAnsiTheme="majorHAnsi"/>
              </w:rPr>
              <w:lastRenderedPageBreak/>
              <w:t>Podaci</w:t>
            </w:r>
            <w:r w:rsidRPr="0079103F">
              <w:rPr>
                <w:rFonts w:asciiTheme="majorHAnsi" w:hAnsiTheme="majorHAnsi"/>
                <w:lang w:val="sr-Latn-ME"/>
              </w:rPr>
              <w:t xml:space="preserve"> (</w:t>
            </w:r>
            <w:r w:rsidRPr="0079103F">
              <w:rPr>
                <w:rFonts w:asciiTheme="majorHAnsi" w:hAnsiTheme="majorHAnsi"/>
              </w:rPr>
              <w:t>analize</w:t>
            </w:r>
            <w:r w:rsidRPr="0079103F">
              <w:rPr>
                <w:rFonts w:asciiTheme="majorHAnsi" w:hAnsiTheme="majorHAnsi"/>
                <w:lang w:val="sr-Latn-ME"/>
              </w:rPr>
              <w:t xml:space="preserve">, </w:t>
            </w:r>
            <w:r w:rsidRPr="0079103F">
              <w:rPr>
                <w:rFonts w:asciiTheme="majorHAnsi" w:hAnsiTheme="majorHAnsi"/>
              </w:rPr>
              <w:t>studije</w:t>
            </w:r>
            <w:r w:rsidRPr="0079103F">
              <w:rPr>
                <w:rFonts w:asciiTheme="majorHAnsi" w:hAnsiTheme="majorHAnsi"/>
                <w:lang w:val="sr-Latn-ME"/>
              </w:rPr>
              <w:t xml:space="preserve">, </w:t>
            </w:r>
            <w:r w:rsidRPr="0079103F">
              <w:rPr>
                <w:rFonts w:asciiTheme="majorHAnsi" w:hAnsiTheme="majorHAnsi"/>
              </w:rPr>
              <w:t>statisti</w:t>
            </w:r>
            <w:r w:rsidRPr="0079103F">
              <w:rPr>
                <w:rFonts w:asciiTheme="majorHAnsi" w:hAnsiTheme="majorHAnsi"/>
                <w:lang w:val="sr-Latn-ME"/>
              </w:rPr>
              <w:t>č</w:t>
            </w:r>
            <w:r w:rsidRPr="0079103F">
              <w:rPr>
                <w:rFonts w:asciiTheme="majorHAnsi" w:hAnsiTheme="majorHAnsi"/>
              </w:rPr>
              <w:t>ki</w:t>
            </w:r>
            <w:r w:rsidRPr="0079103F">
              <w:rPr>
                <w:rFonts w:asciiTheme="majorHAnsi" w:hAnsiTheme="majorHAnsi"/>
                <w:lang w:val="sr-Latn-ME"/>
              </w:rPr>
              <w:t xml:space="preserve"> </w:t>
            </w:r>
            <w:r w:rsidRPr="0079103F">
              <w:rPr>
                <w:rFonts w:asciiTheme="majorHAnsi" w:hAnsiTheme="majorHAnsi"/>
              </w:rPr>
              <w:t>izvje</w:t>
            </w:r>
            <w:r w:rsidRPr="0079103F">
              <w:rPr>
                <w:rFonts w:asciiTheme="majorHAnsi" w:hAnsiTheme="majorHAnsi"/>
                <w:lang w:val="sr-Latn-ME"/>
              </w:rPr>
              <w:t>š</w:t>
            </w:r>
            <w:r w:rsidRPr="0079103F">
              <w:rPr>
                <w:rFonts w:asciiTheme="majorHAnsi" w:hAnsiTheme="majorHAnsi"/>
              </w:rPr>
              <w:t>taji</w:t>
            </w:r>
            <w:r w:rsidRPr="0079103F">
              <w:rPr>
                <w:rFonts w:asciiTheme="majorHAnsi" w:hAnsiTheme="majorHAnsi"/>
                <w:lang w:val="sr-Latn-ME"/>
              </w:rPr>
              <w:t xml:space="preserve">, </w:t>
            </w:r>
            <w:r w:rsidRPr="0079103F">
              <w:rPr>
                <w:rFonts w:asciiTheme="majorHAnsi" w:hAnsiTheme="majorHAnsi"/>
              </w:rPr>
              <w:t>itd</w:t>
            </w:r>
            <w:r w:rsidRPr="0079103F">
              <w:rPr>
                <w:rFonts w:asciiTheme="majorHAnsi" w:hAnsiTheme="majorHAnsi"/>
                <w:lang w:val="sr-Latn-ME"/>
              </w:rPr>
              <w:t xml:space="preserve">.) </w:t>
            </w:r>
            <w:r w:rsidRPr="0079103F">
              <w:rPr>
                <w:rFonts w:asciiTheme="majorHAnsi" w:hAnsiTheme="majorHAnsi"/>
              </w:rPr>
              <w:t>koji</w:t>
            </w:r>
            <w:r w:rsidRPr="0079103F">
              <w:rPr>
                <w:rFonts w:asciiTheme="majorHAnsi" w:hAnsiTheme="majorHAnsi"/>
                <w:lang w:val="sr-Latn-ME"/>
              </w:rPr>
              <w:t xml:space="preserve"> </w:t>
            </w:r>
            <w:r w:rsidRPr="0079103F">
              <w:rPr>
                <w:rFonts w:asciiTheme="majorHAnsi" w:hAnsiTheme="majorHAnsi"/>
              </w:rPr>
              <w:t>poja</w:t>
            </w:r>
            <w:r w:rsidRPr="0079103F">
              <w:rPr>
                <w:rFonts w:asciiTheme="majorHAnsi" w:hAnsiTheme="majorHAnsi"/>
                <w:lang w:val="sr-Latn-ME"/>
              </w:rPr>
              <w:t>š</w:t>
            </w:r>
            <w:r w:rsidRPr="0079103F">
              <w:rPr>
                <w:rFonts w:asciiTheme="majorHAnsi" w:hAnsiTheme="majorHAnsi"/>
              </w:rPr>
              <w:t>njavaju</w:t>
            </w:r>
            <w:r w:rsidRPr="0079103F">
              <w:rPr>
                <w:rFonts w:asciiTheme="majorHAnsi" w:hAnsiTheme="majorHAnsi"/>
                <w:lang w:val="sr-Latn-ME"/>
              </w:rPr>
              <w:t xml:space="preserve"> </w:t>
            </w:r>
            <w:r w:rsidRPr="0079103F">
              <w:rPr>
                <w:rFonts w:asciiTheme="majorHAnsi" w:hAnsiTheme="majorHAnsi"/>
              </w:rPr>
              <w:t>navedeni</w:t>
            </w:r>
            <w:r w:rsidRPr="0079103F">
              <w:rPr>
                <w:rFonts w:asciiTheme="majorHAnsi" w:hAnsiTheme="majorHAnsi"/>
                <w:lang w:val="sr-Latn-ME"/>
              </w:rPr>
              <w:t xml:space="preserve"> </w:t>
            </w:r>
            <w:r w:rsidRPr="0079103F">
              <w:rPr>
                <w:rFonts w:asciiTheme="majorHAnsi" w:hAnsiTheme="majorHAnsi"/>
              </w:rPr>
              <w:t>problem</w:t>
            </w:r>
          </w:p>
        </w:tc>
        <w:tc>
          <w:tcPr>
            <w:tcW w:w="8429" w:type="dxa"/>
            <w:shd w:val="clear" w:color="auto" w:fill="F2F2F2" w:themeFill="background1" w:themeFillShade="F2"/>
            <w:tcMar>
              <w:top w:w="57" w:type="dxa"/>
              <w:bottom w:w="57" w:type="dxa"/>
            </w:tcMar>
          </w:tcPr>
          <w:p w14:paraId="54994ACD" w14:textId="77777777" w:rsidR="00C12EAA" w:rsidRPr="0079103F" w:rsidRDefault="00C12EAA" w:rsidP="008671CC">
            <w:pPr>
              <w:spacing w:after="0"/>
              <w:rPr>
                <w:rFonts w:asciiTheme="majorHAnsi" w:hAnsiTheme="majorHAnsi"/>
              </w:rPr>
            </w:pPr>
            <w:r w:rsidRPr="0079103F">
              <w:rPr>
                <w:rFonts w:asciiTheme="majorHAnsi" w:hAnsiTheme="majorHAnsi"/>
              </w:rPr>
              <w:t>Izvor(i) podataka</w:t>
            </w:r>
          </w:p>
        </w:tc>
      </w:tr>
      <w:tr w:rsidR="00C12EAA" w:rsidRPr="006C2F5C" w14:paraId="6ED05FF9" w14:textId="77777777" w:rsidTr="00EC2103">
        <w:tc>
          <w:tcPr>
            <w:tcW w:w="6884" w:type="dxa"/>
            <w:tcMar>
              <w:top w:w="57" w:type="dxa"/>
              <w:bottom w:w="57" w:type="dxa"/>
            </w:tcMar>
          </w:tcPr>
          <w:p w14:paraId="2FCE1430" w14:textId="77777777" w:rsidR="003F5565" w:rsidRDefault="003F5565" w:rsidP="00FE3951">
            <w:pPr>
              <w:pStyle w:val="FootnoteText"/>
              <w:rPr>
                <w:rFonts w:asciiTheme="majorHAnsi" w:hAnsiTheme="majorHAnsi"/>
                <w:sz w:val="24"/>
                <w:szCs w:val="24"/>
                <w:lang w:val="sr-Latn-ME"/>
              </w:rPr>
            </w:pPr>
          </w:p>
          <w:p w14:paraId="42F16C11" w14:textId="0F8437B2" w:rsidR="00FE3951" w:rsidRDefault="00FE3951" w:rsidP="00FE3951">
            <w:pPr>
              <w:pStyle w:val="FootnoteText"/>
              <w:rPr>
                <w:rFonts w:asciiTheme="majorHAnsi" w:hAnsiTheme="majorHAnsi"/>
                <w:sz w:val="24"/>
                <w:szCs w:val="24"/>
                <w:lang w:val="sr-Latn-ME"/>
              </w:rPr>
            </w:pPr>
            <w:r w:rsidRPr="0079103F">
              <w:rPr>
                <w:rFonts w:asciiTheme="majorHAnsi" w:hAnsiTheme="majorHAnsi"/>
                <w:sz w:val="24"/>
                <w:szCs w:val="24"/>
                <w:lang w:val="sr-Latn-ME"/>
              </w:rPr>
              <w:t xml:space="preserve">Otvorenost izvršne vlasti u regionu i u CG </w:t>
            </w:r>
          </w:p>
          <w:p w14:paraId="5E595538" w14:textId="77777777" w:rsidR="003F5565" w:rsidRPr="0079103F" w:rsidRDefault="003F5565" w:rsidP="00FE3951">
            <w:pPr>
              <w:pStyle w:val="FootnoteText"/>
              <w:rPr>
                <w:rFonts w:asciiTheme="majorHAnsi" w:hAnsiTheme="majorHAnsi"/>
                <w:sz w:val="24"/>
                <w:szCs w:val="24"/>
                <w:lang w:val="sr-Latn-ME"/>
              </w:rPr>
            </w:pPr>
          </w:p>
          <w:p w14:paraId="7CB16529" w14:textId="4758F4C5" w:rsidR="002A30C4" w:rsidRDefault="00A53248" w:rsidP="008671CC">
            <w:pPr>
              <w:spacing w:after="0"/>
              <w:rPr>
                <w:rFonts w:asciiTheme="majorHAnsi" w:eastAsia="Calibri" w:hAnsiTheme="majorHAnsi" w:cstheme="majorHAnsi"/>
                <w:szCs w:val="24"/>
                <w:lang w:val="es-ES"/>
              </w:rPr>
            </w:pPr>
            <w:r w:rsidRPr="0079103F">
              <w:rPr>
                <w:rFonts w:asciiTheme="majorHAnsi" w:eastAsia="Calibri" w:hAnsiTheme="majorHAnsi" w:cstheme="majorHAnsi"/>
                <w:szCs w:val="24"/>
                <w:lang w:val="es-ES"/>
              </w:rPr>
              <w:t xml:space="preserve">Balkan Barometar </w:t>
            </w:r>
          </w:p>
          <w:p w14:paraId="3AB2FA0A" w14:textId="77777777" w:rsidR="003F5565" w:rsidRPr="0079103F" w:rsidRDefault="003F5565" w:rsidP="008671CC">
            <w:pPr>
              <w:spacing w:after="0"/>
              <w:rPr>
                <w:rFonts w:asciiTheme="majorHAnsi" w:eastAsia="Calibri" w:hAnsiTheme="majorHAnsi" w:cstheme="majorHAnsi"/>
                <w:szCs w:val="24"/>
                <w:lang w:val="es-ES"/>
              </w:rPr>
            </w:pPr>
          </w:p>
          <w:p w14:paraId="06452A34" w14:textId="50F6211F" w:rsidR="002A30C4" w:rsidRDefault="002A30C4" w:rsidP="008671CC">
            <w:pPr>
              <w:spacing w:after="0"/>
              <w:rPr>
                <w:rFonts w:asciiTheme="majorHAnsi" w:eastAsia="Calibri" w:hAnsiTheme="majorHAnsi" w:cstheme="majorHAnsi"/>
                <w:szCs w:val="24"/>
                <w:lang w:val="es-ES"/>
              </w:rPr>
            </w:pPr>
            <w:r w:rsidRPr="0079103F">
              <w:rPr>
                <w:rFonts w:asciiTheme="majorHAnsi" w:eastAsia="Calibri" w:hAnsiTheme="majorHAnsi" w:cstheme="majorHAnsi"/>
                <w:szCs w:val="24"/>
                <w:lang w:val="es-ES"/>
              </w:rPr>
              <w:t>Zakon o državnoj upravi</w:t>
            </w:r>
          </w:p>
          <w:p w14:paraId="0D6192E2" w14:textId="77777777" w:rsidR="003F5565" w:rsidRPr="0079103F" w:rsidRDefault="003F5565" w:rsidP="008671CC">
            <w:pPr>
              <w:spacing w:after="0"/>
              <w:rPr>
                <w:rFonts w:asciiTheme="majorHAnsi" w:eastAsia="Calibri" w:hAnsiTheme="majorHAnsi" w:cstheme="majorHAnsi"/>
                <w:szCs w:val="24"/>
                <w:lang w:val="es-ES"/>
              </w:rPr>
            </w:pPr>
          </w:p>
          <w:p w14:paraId="19E36588" w14:textId="0FE94491" w:rsidR="002A30C4" w:rsidRPr="0079103F" w:rsidRDefault="002A30C4" w:rsidP="002A30C4">
            <w:pPr>
              <w:spacing w:after="0"/>
              <w:rPr>
                <w:rFonts w:asciiTheme="majorHAnsi" w:eastAsia="Calibri" w:hAnsiTheme="majorHAnsi" w:cstheme="majorHAnsi"/>
                <w:szCs w:val="24"/>
                <w:lang w:val="es-ES"/>
              </w:rPr>
            </w:pPr>
            <w:r w:rsidRPr="0079103F">
              <w:rPr>
                <w:rFonts w:asciiTheme="majorHAnsi" w:eastAsia="Calibri" w:hAnsiTheme="majorHAnsi" w:cstheme="majorHAnsi"/>
                <w:szCs w:val="24"/>
                <w:lang w:val="es-ES"/>
              </w:rPr>
              <w:t xml:space="preserve">Zakon o </w:t>
            </w:r>
            <w:r w:rsidR="00610964" w:rsidRPr="0079103F">
              <w:rPr>
                <w:rFonts w:asciiTheme="majorHAnsi" w:eastAsia="Calibri" w:hAnsiTheme="majorHAnsi" w:cstheme="majorHAnsi"/>
                <w:szCs w:val="24"/>
                <w:lang w:val="es-ES"/>
              </w:rPr>
              <w:t>S</w:t>
            </w:r>
            <w:r w:rsidR="00610964">
              <w:rPr>
                <w:rFonts w:asciiTheme="majorHAnsi" w:eastAsia="Calibri" w:hAnsiTheme="majorHAnsi" w:cstheme="majorHAnsi"/>
                <w:szCs w:val="24"/>
                <w:lang w:val="es-ES"/>
              </w:rPr>
              <w:t>lobodnom pristupu informacijama</w:t>
            </w:r>
          </w:p>
          <w:p w14:paraId="50A27A15" w14:textId="7BF8BAC5" w:rsidR="002A30C4" w:rsidRDefault="002A30C4" w:rsidP="002A30C4">
            <w:pPr>
              <w:spacing w:after="0"/>
              <w:rPr>
                <w:rFonts w:asciiTheme="majorHAnsi" w:eastAsia="Calibri" w:hAnsiTheme="majorHAnsi" w:cstheme="majorHAnsi"/>
                <w:szCs w:val="24"/>
                <w:lang w:val="es-ES"/>
              </w:rPr>
            </w:pPr>
            <w:r w:rsidRPr="0079103F">
              <w:rPr>
                <w:rFonts w:asciiTheme="majorHAnsi" w:eastAsia="Calibri" w:hAnsiTheme="majorHAnsi" w:cstheme="majorHAnsi"/>
                <w:szCs w:val="24"/>
                <w:lang w:val="es-ES"/>
              </w:rPr>
              <w:t xml:space="preserve">Uredba o izboru predstavnika nevladinih organizacija u radna tijela organa državne uprave i kvalitetu sprovedenih javnih rasprava u pripremi zakona i strategija, za 2020. </w:t>
            </w:r>
            <w:r w:rsidR="00610964" w:rsidRPr="0079103F">
              <w:rPr>
                <w:rFonts w:asciiTheme="majorHAnsi" w:eastAsia="Calibri" w:hAnsiTheme="majorHAnsi" w:cstheme="majorHAnsi"/>
                <w:szCs w:val="24"/>
                <w:lang w:val="es-ES"/>
              </w:rPr>
              <w:t>G</w:t>
            </w:r>
            <w:r w:rsidRPr="0079103F">
              <w:rPr>
                <w:rFonts w:asciiTheme="majorHAnsi" w:eastAsia="Calibri" w:hAnsiTheme="majorHAnsi" w:cstheme="majorHAnsi"/>
                <w:szCs w:val="24"/>
                <w:lang w:val="es-ES"/>
              </w:rPr>
              <w:t>odinu</w:t>
            </w:r>
          </w:p>
          <w:p w14:paraId="362954DC" w14:textId="77777777" w:rsidR="00610964" w:rsidRPr="0079103F" w:rsidRDefault="00610964" w:rsidP="002A30C4">
            <w:pPr>
              <w:spacing w:after="0"/>
              <w:rPr>
                <w:rFonts w:asciiTheme="majorHAnsi" w:eastAsia="Calibri" w:hAnsiTheme="majorHAnsi" w:cstheme="majorHAnsi"/>
                <w:szCs w:val="24"/>
                <w:lang w:val="es-ES"/>
              </w:rPr>
            </w:pPr>
          </w:p>
          <w:p w14:paraId="1852ADCB" w14:textId="3E56901C" w:rsidR="002A30C4" w:rsidRPr="0079103F" w:rsidRDefault="002A30C4" w:rsidP="002A30C4">
            <w:pPr>
              <w:spacing w:after="0"/>
              <w:rPr>
                <w:rFonts w:asciiTheme="majorHAnsi" w:hAnsiTheme="majorHAnsi"/>
                <w:szCs w:val="24"/>
                <w:lang w:val="es-ES"/>
              </w:rPr>
            </w:pPr>
            <w:r w:rsidRPr="0079103F">
              <w:rPr>
                <w:rFonts w:asciiTheme="majorHAnsi" w:hAnsiTheme="majorHAnsi"/>
                <w:szCs w:val="24"/>
                <w:lang w:val="es-ES"/>
              </w:rPr>
              <w:t>Izvještaj o primjeni Uredbe o izboru predstavnika nevladinih organizacija u radna tijela organa državne uprave i kvalitetu sprovedenih javnih rasprava u pripremi zakona i strategija, za 2020. godinu</w:t>
            </w:r>
          </w:p>
        </w:tc>
        <w:tc>
          <w:tcPr>
            <w:tcW w:w="8429" w:type="dxa"/>
            <w:tcMar>
              <w:top w:w="57" w:type="dxa"/>
              <w:bottom w:w="57" w:type="dxa"/>
            </w:tcMar>
          </w:tcPr>
          <w:p w14:paraId="36E1FF57" w14:textId="24272FF8" w:rsidR="00C12EAA" w:rsidRDefault="00B73BEB" w:rsidP="00D52F05">
            <w:pPr>
              <w:rPr>
                <w:rFonts w:asciiTheme="majorHAnsi" w:hAnsiTheme="majorHAnsi"/>
                <w:szCs w:val="24"/>
              </w:rPr>
            </w:pPr>
            <w:hyperlink r:id="rId11" w:history="1">
              <w:r w:rsidR="003F5565" w:rsidRPr="003F5565">
                <w:rPr>
                  <w:rStyle w:val="Hyperlink"/>
                  <w:rFonts w:asciiTheme="majorHAnsi" w:hAnsiTheme="majorHAnsi"/>
                  <w:szCs w:val="24"/>
                </w:rPr>
                <w:t>https://otvoreneinstitucije.cdtmn.org/assets/docs/cg-vlast-22.pdf</w:t>
              </w:r>
            </w:hyperlink>
          </w:p>
          <w:p w14:paraId="0E6802C8" w14:textId="77777777" w:rsidR="003F5565" w:rsidRPr="0079103F" w:rsidRDefault="003F5565" w:rsidP="00D52F05">
            <w:pPr>
              <w:rPr>
                <w:rStyle w:val="Hyperlink"/>
                <w:rFonts w:asciiTheme="majorHAnsi" w:hAnsiTheme="majorHAnsi"/>
                <w:szCs w:val="24"/>
                <w:lang w:val="sr-Latn-ME"/>
              </w:rPr>
            </w:pPr>
          </w:p>
          <w:p w14:paraId="170D8819" w14:textId="2348CB18" w:rsidR="00A53248" w:rsidRPr="0079103F" w:rsidRDefault="00B73BEB" w:rsidP="00D52F05">
            <w:pPr>
              <w:rPr>
                <w:rStyle w:val="Hyperlink"/>
                <w:rFonts w:asciiTheme="majorHAnsi" w:eastAsia="Calibri" w:hAnsiTheme="majorHAnsi" w:cstheme="majorHAnsi"/>
                <w:szCs w:val="24"/>
                <w:lang w:val="sr-Latn-ME"/>
              </w:rPr>
            </w:pPr>
            <w:hyperlink r:id="rId12" w:history="1">
              <w:r w:rsidR="00A53248" w:rsidRPr="006C2F5C">
                <w:rPr>
                  <w:rStyle w:val="Hyperlink"/>
                  <w:rFonts w:asciiTheme="majorHAnsi" w:eastAsia="Calibri" w:hAnsiTheme="majorHAnsi" w:cstheme="majorHAnsi"/>
                  <w:szCs w:val="24"/>
                </w:rPr>
                <w:t>https</w:t>
              </w:r>
              <w:r w:rsidR="00A53248" w:rsidRPr="006C2F5C">
                <w:rPr>
                  <w:rStyle w:val="Hyperlink"/>
                  <w:rFonts w:asciiTheme="majorHAnsi" w:eastAsia="Calibri" w:hAnsiTheme="majorHAnsi" w:cstheme="majorHAnsi"/>
                  <w:szCs w:val="24"/>
                  <w:lang w:val="sr-Latn-ME"/>
                </w:rPr>
                <w:t>://</w:t>
              </w:r>
              <w:r w:rsidR="00A53248" w:rsidRPr="006C2F5C">
                <w:rPr>
                  <w:rStyle w:val="Hyperlink"/>
                  <w:rFonts w:asciiTheme="majorHAnsi" w:eastAsia="Calibri" w:hAnsiTheme="majorHAnsi" w:cstheme="majorHAnsi"/>
                  <w:szCs w:val="24"/>
                </w:rPr>
                <w:t>www</w:t>
              </w:r>
              <w:r w:rsidR="00A53248" w:rsidRPr="006C2F5C">
                <w:rPr>
                  <w:rStyle w:val="Hyperlink"/>
                  <w:rFonts w:asciiTheme="majorHAnsi" w:eastAsia="Calibri" w:hAnsiTheme="majorHAnsi" w:cstheme="majorHAnsi"/>
                  <w:szCs w:val="24"/>
                  <w:lang w:val="sr-Latn-ME"/>
                </w:rPr>
                <w:t>.</w:t>
              </w:r>
              <w:r w:rsidR="00A53248" w:rsidRPr="006C2F5C">
                <w:rPr>
                  <w:rStyle w:val="Hyperlink"/>
                  <w:rFonts w:asciiTheme="majorHAnsi" w:eastAsia="Calibri" w:hAnsiTheme="majorHAnsi" w:cstheme="majorHAnsi"/>
                  <w:szCs w:val="24"/>
                </w:rPr>
                <w:t>rcc</w:t>
              </w:r>
              <w:r w:rsidR="00A53248" w:rsidRPr="006C2F5C">
                <w:rPr>
                  <w:rStyle w:val="Hyperlink"/>
                  <w:rFonts w:asciiTheme="majorHAnsi" w:eastAsia="Calibri" w:hAnsiTheme="majorHAnsi" w:cstheme="majorHAnsi"/>
                  <w:szCs w:val="24"/>
                  <w:lang w:val="sr-Latn-ME"/>
                </w:rPr>
                <w:t>.</w:t>
              </w:r>
              <w:r w:rsidR="00A53248" w:rsidRPr="006C2F5C">
                <w:rPr>
                  <w:rStyle w:val="Hyperlink"/>
                  <w:rFonts w:asciiTheme="majorHAnsi" w:eastAsia="Calibri" w:hAnsiTheme="majorHAnsi" w:cstheme="majorHAnsi"/>
                  <w:szCs w:val="24"/>
                </w:rPr>
                <w:t>int</w:t>
              </w:r>
              <w:r w:rsidR="00A53248" w:rsidRPr="006C2F5C">
                <w:rPr>
                  <w:rStyle w:val="Hyperlink"/>
                  <w:rFonts w:asciiTheme="majorHAnsi" w:eastAsia="Calibri" w:hAnsiTheme="majorHAnsi" w:cstheme="majorHAnsi"/>
                  <w:szCs w:val="24"/>
                  <w:lang w:val="sr-Latn-ME"/>
                </w:rPr>
                <w:t>/</w:t>
              </w:r>
              <w:r w:rsidR="00A53248" w:rsidRPr="006C2F5C">
                <w:rPr>
                  <w:rStyle w:val="Hyperlink"/>
                  <w:rFonts w:asciiTheme="majorHAnsi" w:eastAsia="Calibri" w:hAnsiTheme="majorHAnsi" w:cstheme="majorHAnsi"/>
                  <w:szCs w:val="24"/>
                </w:rPr>
                <w:t>balkanbarometer</w:t>
              </w:r>
              <w:r w:rsidR="00A53248" w:rsidRPr="006C2F5C">
                <w:rPr>
                  <w:rStyle w:val="Hyperlink"/>
                  <w:rFonts w:asciiTheme="majorHAnsi" w:eastAsia="Calibri" w:hAnsiTheme="majorHAnsi" w:cstheme="majorHAnsi"/>
                  <w:szCs w:val="24"/>
                  <w:lang w:val="sr-Latn-ME"/>
                </w:rPr>
                <w:t>/</w:t>
              </w:r>
              <w:r w:rsidR="00A53248" w:rsidRPr="006C2F5C">
                <w:rPr>
                  <w:rStyle w:val="Hyperlink"/>
                  <w:rFonts w:asciiTheme="majorHAnsi" w:eastAsia="Calibri" w:hAnsiTheme="majorHAnsi" w:cstheme="majorHAnsi"/>
                  <w:szCs w:val="24"/>
                </w:rPr>
                <w:t>results</w:t>
              </w:r>
              <w:r w:rsidR="00A53248" w:rsidRPr="006C2F5C">
                <w:rPr>
                  <w:rStyle w:val="Hyperlink"/>
                  <w:rFonts w:asciiTheme="majorHAnsi" w:eastAsia="Calibri" w:hAnsiTheme="majorHAnsi" w:cstheme="majorHAnsi"/>
                  <w:szCs w:val="24"/>
                  <w:lang w:val="sr-Latn-ME"/>
                </w:rPr>
                <w:t>/2/</w:t>
              </w:r>
              <w:r w:rsidR="00A53248" w:rsidRPr="006C2F5C">
                <w:rPr>
                  <w:rStyle w:val="Hyperlink"/>
                  <w:rFonts w:asciiTheme="majorHAnsi" w:eastAsia="Calibri" w:hAnsiTheme="majorHAnsi" w:cstheme="majorHAnsi"/>
                  <w:szCs w:val="24"/>
                </w:rPr>
                <w:t>public</w:t>
              </w:r>
            </w:hyperlink>
            <w:r w:rsidR="00A53248" w:rsidRPr="0079103F">
              <w:rPr>
                <w:rFonts w:asciiTheme="majorHAnsi" w:eastAsia="Calibri" w:hAnsiTheme="majorHAnsi" w:cstheme="majorHAnsi"/>
                <w:szCs w:val="24"/>
                <w:lang w:val="sr-Latn-ME"/>
              </w:rPr>
              <w:t xml:space="preserve"> </w:t>
            </w:r>
            <w:r w:rsidR="003F5565">
              <w:rPr>
                <w:rFonts w:asciiTheme="majorHAnsi" w:eastAsia="Calibri" w:hAnsiTheme="majorHAnsi" w:cstheme="majorHAnsi"/>
                <w:szCs w:val="24"/>
                <w:lang w:val="sr-Latn-ME"/>
              </w:rPr>
              <w:t xml:space="preserve">   </w:t>
            </w:r>
            <w:hyperlink r:id="rId13" w:history="1">
              <w:r w:rsidR="003F5565" w:rsidRPr="003F5565">
                <w:rPr>
                  <w:rStyle w:val="Hyperlink"/>
                  <w:rFonts w:asciiTheme="majorHAnsi" w:eastAsia="Calibri" w:hAnsiTheme="majorHAnsi" w:cstheme="majorHAnsi"/>
                  <w:szCs w:val="24"/>
                </w:rPr>
                <w:t>https</w:t>
              </w:r>
              <w:r w:rsidR="003F5565" w:rsidRPr="009A2643">
                <w:rPr>
                  <w:rStyle w:val="Hyperlink"/>
                  <w:rFonts w:asciiTheme="majorHAnsi" w:eastAsia="Calibri" w:hAnsiTheme="majorHAnsi" w:cstheme="majorHAnsi"/>
                  <w:szCs w:val="24"/>
                </w:rPr>
                <w:t>://</w:t>
              </w:r>
              <w:r w:rsidR="003F5565" w:rsidRPr="003F5565">
                <w:rPr>
                  <w:rStyle w:val="Hyperlink"/>
                  <w:rFonts w:asciiTheme="majorHAnsi" w:eastAsia="Calibri" w:hAnsiTheme="majorHAnsi" w:cstheme="majorHAnsi"/>
                  <w:szCs w:val="24"/>
                </w:rPr>
                <w:t>www</w:t>
              </w:r>
              <w:r w:rsidR="003F5565" w:rsidRPr="009A2643">
                <w:rPr>
                  <w:rStyle w:val="Hyperlink"/>
                  <w:rFonts w:asciiTheme="majorHAnsi" w:eastAsia="Calibri" w:hAnsiTheme="majorHAnsi" w:cstheme="majorHAnsi"/>
                  <w:szCs w:val="24"/>
                </w:rPr>
                <w:t>.</w:t>
              </w:r>
              <w:r w:rsidR="003F5565" w:rsidRPr="003F5565">
                <w:rPr>
                  <w:rStyle w:val="Hyperlink"/>
                  <w:rFonts w:asciiTheme="majorHAnsi" w:eastAsia="Calibri" w:hAnsiTheme="majorHAnsi" w:cstheme="majorHAnsi"/>
                  <w:szCs w:val="24"/>
                </w:rPr>
                <w:t>rcc</w:t>
              </w:r>
              <w:r w:rsidR="003F5565" w:rsidRPr="009A2643">
                <w:rPr>
                  <w:rStyle w:val="Hyperlink"/>
                  <w:rFonts w:asciiTheme="majorHAnsi" w:eastAsia="Calibri" w:hAnsiTheme="majorHAnsi" w:cstheme="majorHAnsi"/>
                  <w:szCs w:val="24"/>
                </w:rPr>
                <w:t>.</w:t>
              </w:r>
              <w:r w:rsidR="003F5565" w:rsidRPr="003F5565">
                <w:rPr>
                  <w:rStyle w:val="Hyperlink"/>
                  <w:rFonts w:asciiTheme="majorHAnsi" w:eastAsia="Calibri" w:hAnsiTheme="majorHAnsi" w:cstheme="majorHAnsi"/>
                  <w:szCs w:val="24"/>
                </w:rPr>
                <w:t>int</w:t>
              </w:r>
              <w:r w:rsidR="003F5565" w:rsidRPr="009A2643">
                <w:rPr>
                  <w:rStyle w:val="Hyperlink"/>
                  <w:rFonts w:asciiTheme="majorHAnsi" w:eastAsia="Calibri" w:hAnsiTheme="majorHAnsi" w:cstheme="majorHAnsi"/>
                  <w:szCs w:val="24"/>
                </w:rPr>
                <w:t>/</w:t>
              </w:r>
              <w:r w:rsidR="003F5565" w:rsidRPr="003F5565">
                <w:rPr>
                  <w:rStyle w:val="Hyperlink"/>
                  <w:rFonts w:asciiTheme="majorHAnsi" w:eastAsia="Calibri" w:hAnsiTheme="majorHAnsi" w:cstheme="majorHAnsi"/>
                  <w:szCs w:val="24"/>
                </w:rPr>
                <w:t>balkanbarometer</w:t>
              </w:r>
              <w:r w:rsidR="003F5565" w:rsidRPr="009A2643">
                <w:rPr>
                  <w:rStyle w:val="Hyperlink"/>
                  <w:rFonts w:asciiTheme="majorHAnsi" w:eastAsia="Calibri" w:hAnsiTheme="majorHAnsi" w:cstheme="majorHAnsi"/>
                  <w:szCs w:val="24"/>
                </w:rPr>
                <w:t>/</w:t>
              </w:r>
              <w:r w:rsidR="003F5565" w:rsidRPr="003F5565">
                <w:rPr>
                  <w:rStyle w:val="Hyperlink"/>
                  <w:rFonts w:asciiTheme="majorHAnsi" w:eastAsia="Calibri" w:hAnsiTheme="majorHAnsi" w:cstheme="majorHAnsi"/>
                  <w:szCs w:val="24"/>
                </w:rPr>
                <w:t>results</w:t>
              </w:r>
              <w:r w:rsidR="003F5565" w:rsidRPr="009A2643">
                <w:rPr>
                  <w:rStyle w:val="Hyperlink"/>
                  <w:rFonts w:asciiTheme="majorHAnsi" w:eastAsia="Calibri" w:hAnsiTheme="majorHAnsi" w:cstheme="majorHAnsi"/>
                  <w:szCs w:val="24"/>
                </w:rPr>
                <w:t>/1/</w:t>
              </w:r>
              <w:r w:rsidR="003F5565" w:rsidRPr="003F5565">
                <w:rPr>
                  <w:rStyle w:val="Hyperlink"/>
                  <w:rFonts w:asciiTheme="majorHAnsi" w:eastAsia="Calibri" w:hAnsiTheme="majorHAnsi" w:cstheme="majorHAnsi"/>
                  <w:szCs w:val="24"/>
                </w:rPr>
                <w:t>business</w:t>
              </w:r>
            </w:hyperlink>
          </w:p>
          <w:p w14:paraId="501C4D32" w14:textId="15745BD2" w:rsidR="003F5565" w:rsidRPr="006C2F5C" w:rsidRDefault="009C3D0D" w:rsidP="00D52F05">
            <w:pPr>
              <w:rPr>
                <w:rFonts w:asciiTheme="majorHAnsi" w:hAnsiTheme="majorHAnsi"/>
                <w:szCs w:val="24"/>
                <w:lang w:val="sr-Latn-ME"/>
              </w:rPr>
            </w:pPr>
            <w:hyperlink r:id="rId14" w:history="1">
              <w:r w:rsidRPr="00801311">
                <w:rPr>
                  <w:rStyle w:val="Hyperlink"/>
                  <w:rFonts w:asciiTheme="majorHAnsi" w:hAnsiTheme="majorHAnsi"/>
                  <w:szCs w:val="24"/>
                </w:rPr>
                <w:t>https://www.paragraf.rs/propisi/zakon_o_drzavnoj_upravi.html</w:t>
              </w:r>
            </w:hyperlink>
            <w:r>
              <w:rPr>
                <w:rFonts w:asciiTheme="majorHAnsi" w:hAnsiTheme="majorHAnsi"/>
                <w:szCs w:val="24"/>
                <w:lang w:val="sr-Latn-ME"/>
              </w:rPr>
              <w:t xml:space="preserve"> </w:t>
            </w:r>
          </w:p>
          <w:p w14:paraId="65D0BCF0" w14:textId="77777777" w:rsidR="003F5565" w:rsidRDefault="003F5565" w:rsidP="00D52F05">
            <w:pPr>
              <w:rPr>
                <w:rFonts w:asciiTheme="majorHAnsi" w:hAnsiTheme="majorHAnsi"/>
                <w:szCs w:val="24"/>
                <w:lang w:val="sr-Latn-ME"/>
              </w:rPr>
            </w:pPr>
          </w:p>
          <w:p w14:paraId="0AE6E290" w14:textId="3A1C6CCC" w:rsidR="003F5565" w:rsidRDefault="009C3D0D" w:rsidP="00D52F05">
            <w:pPr>
              <w:rPr>
                <w:rFonts w:asciiTheme="majorHAnsi" w:hAnsiTheme="majorHAnsi"/>
                <w:szCs w:val="24"/>
                <w:lang w:val="sr-Latn-ME"/>
              </w:rPr>
            </w:pPr>
            <w:hyperlink r:id="rId15" w:history="1">
              <w:r w:rsidRPr="00801311">
                <w:rPr>
                  <w:rStyle w:val="Hyperlink"/>
                  <w:rFonts w:asciiTheme="majorHAnsi" w:hAnsiTheme="majorHAnsi"/>
                  <w:szCs w:val="24"/>
                </w:rPr>
                <w:t>https://www.gov.me/dokumenta/f9dcdea6-e2b9-4b1a-a80c-e243a073d7b4</w:t>
              </w:r>
            </w:hyperlink>
            <w:r>
              <w:rPr>
                <w:rFonts w:asciiTheme="majorHAnsi" w:hAnsiTheme="majorHAnsi"/>
                <w:szCs w:val="24"/>
                <w:lang w:val="sr-Latn-ME"/>
              </w:rPr>
              <w:t xml:space="preserve"> </w:t>
            </w:r>
          </w:p>
          <w:p w14:paraId="6F036B19" w14:textId="114F3BCF" w:rsidR="00610964" w:rsidRDefault="009C3D0D" w:rsidP="00D52F05">
            <w:pPr>
              <w:rPr>
                <w:rFonts w:asciiTheme="majorHAnsi" w:hAnsiTheme="majorHAnsi"/>
                <w:szCs w:val="24"/>
                <w:lang w:val="sr-Latn-ME"/>
              </w:rPr>
            </w:pPr>
            <w:hyperlink r:id="rId16" w:history="1">
              <w:r w:rsidRPr="00801311">
                <w:rPr>
                  <w:rStyle w:val="Hyperlink"/>
                  <w:rFonts w:asciiTheme="majorHAnsi" w:hAnsiTheme="majorHAnsi"/>
                  <w:szCs w:val="24"/>
                </w:rPr>
                <w:t>https://crnvo.me/wp-content/uploads/2021/02/Uredba-o-izboru-predstavnika-nevladinih-organizacija-u-radna-tijela-organa-drzavne-uprave-sprovodjenju-javne-rasprave-u-pripremi-zakona-i-strategija.doc.pdf</w:t>
              </w:r>
            </w:hyperlink>
            <w:r>
              <w:rPr>
                <w:rFonts w:asciiTheme="majorHAnsi" w:hAnsiTheme="majorHAnsi"/>
                <w:szCs w:val="24"/>
                <w:lang w:val="sr-Latn-ME"/>
              </w:rPr>
              <w:t xml:space="preserve"> </w:t>
            </w:r>
          </w:p>
          <w:p w14:paraId="7D2AD23D" w14:textId="5D280C8A" w:rsidR="00945E67" w:rsidRPr="006C2F5C" w:rsidRDefault="009C3D0D" w:rsidP="00D52F05">
            <w:pPr>
              <w:rPr>
                <w:rFonts w:asciiTheme="majorHAnsi" w:hAnsiTheme="majorHAnsi"/>
                <w:szCs w:val="24"/>
                <w:lang w:val="sr-Latn-ME"/>
              </w:rPr>
            </w:pPr>
            <w:hyperlink r:id="rId17" w:history="1">
              <w:r w:rsidRPr="00801311">
                <w:rPr>
                  <w:rStyle w:val="Hyperlink"/>
                  <w:rFonts w:asciiTheme="majorHAnsi" w:hAnsiTheme="majorHAnsi"/>
                  <w:szCs w:val="24"/>
                </w:rPr>
                <w:t>https://www.gov.me/en/documents/04454c92-57ba-4458-bece-0e3f2d737fe9</w:t>
              </w:r>
            </w:hyperlink>
            <w:r>
              <w:rPr>
                <w:rFonts w:asciiTheme="majorHAnsi" w:hAnsiTheme="majorHAnsi"/>
                <w:szCs w:val="24"/>
                <w:lang w:val="sr-Latn-ME"/>
              </w:rPr>
              <w:t xml:space="preserve"> </w:t>
            </w:r>
          </w:p>
        </w:tc>
      </w:tr>
    </w:tbl>
    <w:p w14:paraId="4AFED05D" w14:textId="77777777" w:rsidR="00C12EAA" w:rsidRPr="006C2F5C" w:rsidRDefault="00C12EAA" w:rsidP="00C12EAA">
      <w:pPr>
        <w:ind w:left="792"/>
        <w:rPr>
          <w:rFonts w:asciiTheme="majorHAnsi" w:hAnsiTheme="majorHAnsi"/>
        </w:rPr>
      </w:pPr>
    </w:p>
    <w:p w14:paraId="2C8C51D5" w14:textId="77777777" w:rsidR="00C12EAA" w:rsidRPr="006C2F5C" w:rsidRDefault="00C12EAA" w:rsidP="00C12EAA">
      <w:pPr>
        <w:pStyle w:val="ListParagraph"/>
        <w:numPr>
          <w:ilvl w:val="1"/>
          <w:numId w:val="5"/>
        </w:numPr>
        <w:jc w:val="both"/>
        <w:rPr>
          <w:rFonts w:asciiTheme="majorHAnsi" w:hAnsiTheme="majorHAnsi"/>
          <w:lang w:val="sr-Latn-ME"/>
        </w:rPr>
      </w:pPr>
      <w:r w:rsidRPr="006C2F5C">
        <w:rPr>
          <w:rFonts w:asciiTheme="majorHAnsi" w:hAnsiTheme="majorHAnsi"/>
        </w:rPr>
        <w:t>Navesti</w:t>
      </w:r>
      <w:r w:rsidRPr="006C2F5C">
        <w:rPr>
          <w:rFonts w:asciiTheme="majorHAnsi" w:hAnsiTheme="majorHAnsi"/>
          <w:lang w:val="sr-Latn-ME"/>
        </w:rPr>
        <w:t xml:space="preserve"> </w:t>
      </w:r>
      <w:r w:rsidRPr="006C2F5C">
        <w:rPr>
          <w:rFonts w:asciiTheme="majorHAnsi" w:hAnsiTheme="majorHAnsi"/>
        </w:rPr>
        <w:t>klju</w:t>
      </w:r>
      <w:r w:rsidRPr="006C2F5C">
        <w:rPr>
          <w:rFonts w:asciiTheme="majorHAnsi" w:hAnsiTheme="majorHAnsi"/>
          <w:lang w:val="sr-Latn-ME"/>
        </w:rPr>
        <w:t>č</w:t>
      </w:r>
      <w:r w:rsidRPr="006C2F5C">
        <w:rPr>
          <w:rFonts w:asciiTheme="majorHAnsi" w:hAnsiTheme="majorHAnsi"/>
        </w:rPr>
        <w:t>ne</w:t>
      </w:r>
      <w:r w:rsidRPr="006C2F5C">
        <w:rPr>
          <w:rFonts w:asciiTheme="majorHAnsi" w:hAnsiTheme="majorHAnsi"/>
          <w:lang w:val="sr-Latn-ME"/>
        </w:rPr>
        <w:t xml:space="preserve"> </w:t>
      </w:r>
      <w:r w:rsidRPr="006C2F5C">
        <w:rPr>
          <w:rFonts w:asciiTheme="majorHAnsi" w:hAnsiTheme="majorHAnsi"/>
        </w:rPr>
        <w:t>strate</w:t>
      </w:r>
      <w:r w:rsidRPr="006C2F5C">
        <w:rPr>
          <w:rFonts w:asciiTheme="majorHAnsi" w:hAnsiTheme="majorHAnsi"/>
          <w:lang w:val="sr-Latn-ME"/>
        </w:rPr>
        <w:t>š</w:t>
      </w:r>
      <w:r w:rsidRPr="006C2F5C">
        <w:rPr>
          <w:rFonts w:asciiTheme="majorHAnsi" w:hAnsiTheme="majorHAnsi"/>
        </w:rPr>
        <w:t>ko</w:t>
      </w:r>
      <w:r w:rsidRPr="006C2F5C">
        <w:rPr>
          <w:rFonts w:asciiTheme="majorHAnsi" w:hAnsiTheme="majorHAnsi"/>
          <w:lang w:val="sr-Latn-ME"/>
        </w:rPr>
        <w:t>-</w:t>
      </w:r>
      <w:r w:rsidRPr="006C2F5C">
        <w:rPr>
          <w:rFonts w:asciiTheme="majorHAnsi" w:hAnsiTheme="majorHAnsi"/>
        </w:rPr>
        <w:t>planske</w:t>
      </w:r>
      <w:r w:rsidRPr="006C2F5C">
        <w:rPr>
          <w:rFonts w:asciiTheme="majorHAnsi" w:hAnsiTheme="majorHAnsi"/>
          <w:lang w:val="sr-Latn-ME"/>
        </w:rPr>
        <w:t xml:space="preserve"> </w:t>
      </w:r>
      <w:r w:rsidRPr="006C2F5C">
        <w:rPr>
          <w:rFonts w:asciiTheme="majorHAnsi" w:hAnsiTheme="majorHAnsi"/>
        </w:rPr>
        <w:t>dokumente</w:t>
      </w:r>
      <w:r w:rsidRPr="006C2F5C">
        <w:rPr>
          <w:rFonts w:asciiTheme="majorHAnsi" w:hAnsiTheme="majorHAnsi"/>
          <w:lang w:val="sr-Latn-ME"/>
        </w:rPr>
        <w:t xml:space="preserve"> </w:t>
      </w:r>
      <w:r w:rsidRPr="006C2F5C">
        <w:rPr>
          <w:rFonts w:asciiTheme="majorHAnsi" w:hAnsiTheme="majorHAnsi"/>
        </w:rPr>
        <w:t>odnosno</w:t>
      </w:r>
      <w:r w:rsidRPr="006C2F5C">
        <w:rPr>
          <w:rFonts w:asciiTheme="majorHAnsi" w:hAnsiTheme="majorHAnsi"/>
          <w:lang w:val="sr-Latn-ME"/>
        </w:rPr>
        <w:t xml:space="preserve"> </w:t>
      </w:r>
      <w:r w:rsidRPr="006C2F5C">
        <w:rPr>
          <w:rFonts w:asciiTheme="majorHAnsi" w:hAnsiTheme="majorHAnsi"/>
        </w:rPr>
        <w:t>propise</w:t>
      </w:r>
      <w:r w:rsidRPr="006C2F5C">
        <w:rPr>
          <w:rFonts w:asciiTheme="majorHAnsi" w:hAnsiTheme="majorHAnsi"/>
          <w:lang w:val="sr-Latn-ME"/>
        </w:rPr>
        <w:t xml:space="preserve"> </w:t>
      </w:r>
      <w:r w:rsidRPr="006C2F5C">
        <w:rPr>
          <w:rFonts w:asciiTheme="majorHAnsi" w:hAnsiTheme="majorHAnsi"/>
        </w:rPr>
        <w:t>koji</w:t>
      </w:r>
      <w:r w:rsidRPr="006C2F5C">
        <w:rPr>
          <w:rFonts w:asciiTheme="majorHAnsi" w:hAnsiTheme="majorHAnsi"/>
          <w:lang w:val="sr-Latn-ME"/>
        </w:rPr>
        <w:t xml:space="preserve"> </w:t>
      </w:r>
      <w:r w:rsidRPr="006C2F5C">
        <w:rPr>
          <w:rFonts w:asciiTheme="majorHAnsi" w:hAnsiTheme="majorHAnsi"/>
        </w:rPr>
        <w:t>prepoznaju</w:t>
      </w:r>
      <w:r w:rsidRPr="006C2F5C">
        <w:rPr>
          <w:rFonts w:asciiTheme="majorHAnsi" w:hAnsiTheme="majorHAnsi"/>
          <w:lang w:val="sr-Latn-ME"/>
        </w:rPr>
        <w:t xml:space="preserve"> </w:t>
      </w:r>
      <w:r w:rsidRPr="006C2F5C">
        <w:rPr>
          <w:rFonts w:asciiTheme="majorHAnsi" w:hAnsiTheme="majorHAnsi"/>
        </w:rPr>
        <w:t>va</w:t>
      </w:r>
      <w:r w:rsidRPr="006C2F5C">
        <w:rPr>
          <w:rFonts w:asciiTheme="majorHAnsi" w:hAnsiTheme="majorHAnsi"/>
          <w:lang w:val="sr-Latn-ME"/>
        </w:rPr>
        <w:t>ž</w:t>
      </w:r>
      <w:r w:rsidRPr="006C2F5C">
        <w:rPr>
          <w:rFonts w:asciiTheme="majorHAnsi" w:hAnsiTheme="majorHAnsi"/>
        </w:rPr>
        <w:t>nost</w:t>
      </w:r>
      <w:r w:rsidRPr="006C2F5C">
        <w:rPr>
          <w:rFonts w:asciiTheme="majorHAnsi" w:hAnsiTheme="majorHAnsi"/>
          <w:lang w:val="sr-Latn-ME"/>
        </w:rPr>
        <w:t xml:space="preserve"> </w:t>
      </w:r>
      <w:r w:rsidRPr="006C2F5C">
        <w:rPr>
          <w:rFonts w:asciiTheme="majorHAnsi" w:hAnsiTheme="majorHAnsi"/>
        </w:rPr>
        <w:t>problema</w:t>
      </w:r>
      <w:r w:rsidRPr="006C2F5C">
        <w:rPr>
          <w:rFonts w:asciiTheme="majorHAnsi" w:hAnsiTheme="majorHAnsi"/>
          <w:lang w:val="sr-Latn-ME"/>
        </w:rPr>
        <w:t xml:space="preserve"> </w:t>
      </w:r>
      <w:r w:rsidRPr="006C2F5C">
        <w:rPr>
          <w:rFonts w:asciiTheme="majorHAnsi" w:hAnsiTheme="majorHAnsi"/>
        </w:rPr>
        <w:t>identifikovanih</w:t>
      </w:r>
      <w:r w:rsidRPr="006C2F5C">
        <w:rPr>
          <w:rFonts w:asciiTheme="majorHAnsi" w:hAnsiTheme="majorHAnsi"/>
          <w:lang w:val="sr-Latn-ME"/>
        </w:rPr>
        <w:t xml:space="preserve"> </w:t>
      </w:r>
      <w:r w:rsidRPr="006C2F5C">
        <w:rPr>
          <w:rFonts w:asciiTheme="majorHAnsi" w:hAnsiTheme="majorHAnsi"/>
        </w:rPr>
        <w:t>pod</w:t>
      </w:r>
      <w:r w:rsidRPr="006C2F5C">
        <w:rPr>
          <w:rFonts w:asciiTheme="majorHAnsi" w:hAnsiTheme="majorHAnsi"/>
          <w:lang w:val="sr-Latn-ME"/>
        </w:rPr>
        <w:t xml:space="preserve"> </w:t>
      </w:r>
      <w:r w:rsidRPr="006C2F5C">
        <w:rPr>
          <w:rFonts w:asciiTheme="majorHAnsi" w:hAnsiTheme="majorHAnsi"/>
        </w:rPr>
        <w:t>ta</w:t>
      </w:r>
      <w:r w:rsidRPr="006C2F5C">
        <w:rPr>
          <w:rFonts w:asciiTheme="majorHAnsi" w:hAnsiTheme="majorHAnsi"/>
          <w:lang w:val="sr-Latn-ME"/>
        </w:rPr>
        <w:t>č</w:t>
      </w:r>
      <w:r w:rsidRPr="006C2F5C">
        <w:rPr>
          <w:rFonts w:asciiTheme="majorHAnsi" w:hAnsiTheme="majorHAnsi"/>
        </w:rPr>
        <w:t>kom</w:t>
      </w:r>
      <w:r w:rsidRPr="006C2F5C">
        <w:rPr>
          <w:rFonts w:asciiTheme="majorHAnsi" w:hAnsiTheme="majorHAnsi"/>
          <w:lang w:val="sr-Latn-ME"/>
        </w:rPr>
        <w:t xml:space="preserve"> 2.1. </w:t>
      </w:r>
      <w:r w:rsidRPr="006C2F5C">
        <w:rPr>
          <w:rFonts w:asciiTheme="majorHAnsi" w:hAnsiTheme="majorHAnsi"/>
        </w:rPr>
        <w:t>kao</w:t>
      </w:r>
      <w:r w:rsidRPr="006C2F5C">
        <w:rPr>
          <w:rFonts w:asciiTheme="majorHAnsi" w:hAnsiTheme="majorHAnsi"/>
          <w:lang w:val="sr-Latn-ME"/>
        </w:rPr>
        <w:t xml:space="preserve"> </w:t>
      </w:r>
      <w:r w:rsidRPr="006C2F5C">
        <w:rPr>
          <w:rFonts w:asciiTheme="majorHAnsi" w:hAnsiTheme="majorHAnsi"/>
        </w:rPr>
        <w:t>i</w:t>
      </w:r>
      <w:r w:rsidRPr="006C2F5C">
        <w:rPr>
          <w:rFonts w:asciiTheme="majorHAnsi" w:hAnsiTheme="majorHAnsi"/>
          <w:lang w:val="sr-Latn-ME"/>
        </w:rPr>
        <w:t xml:space="preserve"> </w:t>
      </w:r>
      <w:r w:rsidRPr="006C2F5C">
        <w:rPr>
          <w:rFonts w:asciiTheme="majorHAnsi" w:hAnsiTheme="majorHAnsi"/>
        </w:rPr>
        <w:t>specifi</w:t>
      </w:r>
      <w:r w:rsidRPr="006C2F5C">
        <w:rPr>
          <w:rFonts w:asciiTheme="majorHAnsi" w:hAnsiTheme="majorHAnsi"/>
          <w:lang w:val="sr-Latn-ME"/>
        </w:rPr>
        <w:t>č</w:t>
      </w:r>
      <w:r w:rsidRPr="006C2F5C">
        <w:rPr>
          <w:rFonts w:asciiTheme="majorHAnsi" w:hAnsiTheme="majorHAnsi"/>
        </w:rPr>
        <w:t>ne</w:t>
      </w:r>
      <w:r w:rsidRPr="006C2F5C">
        <w:rPr>
          <w:rFonts w:asciiTheme="majorHAnsi" w:hAnsiTheme="majorHAnsi"/>
          <w:lang w:val="sr-Latn-ME"/>
        </w:rPr>
        <w:t xml:space="preserve"> </w:t>
      </w:r>
      <w:r w:rsidRPr="006C2F5C">
        <w:rPr>
          <w:rFonts w:asciiTheme="majorHAnsi" w:hAnsiTheme="majorHAnsi"/>
        </w:rPr>
        <w:t>mjere</w:t>
      </w:r>
      <w:r w:rsidRPr="006C2F5C">
        <w:rPr>
          <w:rFonts w:asciiTheme="majorHAnsi" w:hAnsiTheme="majorHAnsi"/>
          <w:lang w:val="sr-Latn-ME"/>
        </w:rPr>
        <w:t>/</w:t>
      </w:r>
      <w:r w:rsidRPr="006C2F5C">
        <w:rPr>
          <w:rFonts w:asciiTheme="majorHAnsi" w:hAnsiTheme="majorHAnsi"/>
        </w:rPr>
        <w:t>djelove</w:t>
      </w:r>
      <w:r w:rsidRPr="006C2F5C">
        <w:rPr>
          <w:rFonts w:asciiTheme="majorHAnsi" w:hAnsiTheme="majorHAnsi"/>
          <w:lang w:val="sr-Latn-ME"/>
        </w:rPr>
        <w:t xml:space="preserve"> </w:t>
      </w:r>
      <w:r w:rsidRPr="006C2F5C">
        <w:rPr>
          <w:rFonts w:asciiTheme="majorHAnsi" w:hAnsiTheme="majorHAnsi"/>
        </w:rPr>
        <w:t>tih</w:t>
      </w:r>
      <w:r w:rsidRPr="006C2F5C">
        <w:rPr>
          <w:rFonts w:asciiTheme="majorHAnsi" w:hAnsiTheme="majorHAnsi"/>
          <w:lang w:val="sr-Latn-ME"/>
        </w:rPr>
        <w:t xml:space="preserve"> </w:t>
      </w:r>
      <w:r w:rsidRPr="006C2F5C">
        <w:rPr>
          <w:rFonts w:asciiTheme="majorHAnsi" w:hAnsiTheme="majorHAnsi"/>
        </w:rPr>
        <w:t>dokumenata</w:t>
      </w:r>
      <w:r w:rsidRPr="006C2F5C">
        <w:rPr>
          <w:rFonts w:asciiTheme="majorHAnsi" w:hAnsiTheme="majorHAnsi"/>
          <w:lang w:val="sr-Latn-ME"/>
        </w:rPr>
        <w:t xml:space="preserve"> </w:t>
      </w:r>
      <w:r w:rsidRPr="006C2F5C">
        <w:rPr>
          <w:rFonts w:asciiTheme="majorHAnsi" w:hAnsiTheme="majorHAnsi"/>
        </w:rPr>
        <w:t>koji</w:t>
      </w:r>
      <w:r w:rsidRPr="006C2F5C">
        <w:rPr>
          <w:rFonts w:asciiTheme="majorHAnsi" w:hAnsiTheme="majorHAnsi"/>
          <w:lang w:val="sr-Latn-ME"/>
        </w:rPr>
        <w:t xml:space="preserve"> </w:t>
      </w:r>
      <w:r w:rsidRPr="006C2F5C">
        <w:rPr>
          <w:rFonts w:asciiTheme="majorHAnsi" w:hAnsiTheme="majorHAnsi"/>
        </w:rPr>
        <w:t>su</w:t>
      </w:r>
      <w:r w:rsidRPr="006C2F5C">
        <w:rPr>
          <w:rFonts w:asciiTheme="majorHAnsi" w:hAnsiTheme="majorHAnsi"/>
          <w:lang w:val="sr-Latn-ME"/>
        </w:rPr>
        <w:t xml:space="preserve"> </w:t>
      </w:r>
      <w:r w:rsidRPr="006C2F5C">
        <w:rPr>
          <w:rFonts w:asciiTheme="majorHAnsi" w:hAnsiTheme="majorHAnsi"/>
        </w:rPr>
        <w:t>u</w:t>
      </w:r>
      <w:r w:rsidRPr="006C2F5C">
        <w:rPr>
          <w:rFonts w:asciiTheme="majorHAnsi" w:hAnsiTheme="majorHAnsi"/>
          <w:lang w:val="sr-Latn-ME"/>
        </w:rPr>
        <w:t xml:space="preserve"> </w:t>
      </w:r>
      <w:r w:rsidRPr="006C2F5C">
        <w:rPr>
          <w:rFonts w:asciiTheme="majorHAnsi" w:hAnsiTheme="majorHAnsi"/>
        </w:rPr>
        <w:t>vezi</w:t>
      </w:r>
      <w:r w:rsidRPr="006C2F5C">
        <w:rPr>
          <w:rFonts w:asciiTheme="majorHAnsi" w:hAnsiTheme="majorHAnsi"/>
          <w:lang w:val="sr-Latn-ME"/>
        </w:rPr>
        <w:t xml:space="preserve"> </w:t>
      </w:r>
      <w:r w:rsidRPr="006C2F5C">
        <w:rPr>
          <w:rFonts w:asciiTheme="majorHAnsi" w:hAnsiTheme="majorHAnsi"/>
        </w:rPr>
        <w:t>sa</w:t>
      </w:r>
      <w:r w:rsidRPr="006C2F5C">
        <w:rPr>
          <w:rFonts w:asciiTheme="majorHAnsi" w:hAnsiTheme="majorHAnsi"/>
          <w:lang w:val="sr-Latn-ME"/>
        </w:rPr>
        <w:t xml:space="preserve"> </w:t>
      </w:r>
      <w:r w:rsidRPr="006C2F5C">
        <w:rPr>
          <w:rFonts w:asciiTheme="majorHAnsi" w:hAnsiTheme="majorHAnsi"/>
        </w:rPr>
        <w:t>identifikovanim</w:t>
      </w:r>
      <w:r w:rsidRPr="006C2F5C">
        <w:rPr>
          <w:rFonts w:asciiTheme="majorHAnsi" w:hAnsiTheme="majorHAnsi"/>
          <w:lang w:val="sr-Latn-ME"/>
        </w:rPr>
        <w:t xml:space="preserve"> </w:t>
      </w:r>
      <w:r w:rsidRPr="006C2F5C">
        <w:rPr>
          <w:rFonts w:asciiTheme="majorHAnsi" w:hAnsiTheme="majorHAnsi"/>
        </w:rPr>
        <w:t>problemima</w:t>
      </w:r>
      <w:r w:rsidRPr="006C2F5C">
        <w:rPr>
          <w:rFonts w:asciiTheme="majorHAnsi" w:hAnsiTheme="majorHAnsi"/>
          <w:lang w:val="sr-Latn-ME"/>
        </w:rPr>
        <w:t>.</w:t>
      </w:r>
    </w:p>
    <w:tbl>
      <w:tblPr>
        <w:tblStyle w:val="TableGrid"/>
        <w:tblW w:w="0" w:type="auto"/>
        <w:tblInd w:w="792" w:type="dxa"/>
        <w:tblLook w:val="04A0" w:firstRow="1" w:lastRow="0" w:firstColumn="1" w:lastColumn="0" w:noHBand="0" w:noVBand="1"/>
      </w:tblPr>
      <w:tblGrid>
        <w:gridCol w:w="6884"/>
        <w:gridCol w:w="6862"/>
      </w:tblGrid>
      <w:tr w:rsidR="00C12EAA" w:rsidRPr="006C2F5C" w14:paraId="62CF66A3" w14:textId="77777777" w:rsidTr="008671CC">
        <w:tc>
          <w:tcPr>
            <w:tcW w:w="6884" w:type="dxa"/>
            <w:tcBorders>
              <w:top w:val="single" w:sz="18" w:space="0" w:color="auto"/>
            </w:tcBorders>
            <w:shd w:val="clear" w:color="auto" w:fill="F2F2F2" w:themeFill="background1" w:themeFillShade="F2"/>
            <w:tcMar>
              <w:top w:w="57" w:type="dxa"/>
              <w:bottom w:w="57" w:type="dxa"/>
            </w:tcMar>
          </w:tcPr>
          <w:p w14:paraId="1E2C2E40" w14:textId="77777777" w:rsidR="00C12EAA" w:rsidRPr="006C2F5C" w:rsidRDefault="00C12EAA" w:rsidP="008671CC">
            <w:pPr>
              <w:spacing w:after="0"/>
              <w:rPr>
                <w:rFonts w:asciiTheme="majorHAnsi" w:hAnsiTheme="majorHAnsi"/>
              </w:rPr>
            </w:pPr>
            <w:r w:rsidRPr="006C2F5C">
              <w:rPr>
                <w:rFonts w:asciiTheme="majorHAnsi" w:hAnsiTheme="majorHAnsi"/>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14:paraId="1FF706DF" w14:textId="77777777" w:rsidR="00C12EAA" w:rsidRPr="006C2F5C" w:rsidRDefault="00C12EAA" w:rsidP="008671CC">
            <w:pPr>
              <w:spacing w:after="0"/>
              <w:rPr>
                <w:rFonts w:asciiTheme="majorHAnsi" w:hAnsiTheme="majorHAnsi"/>
              </w:rPr>
            </w:pPr>
            <w:r w:rsidRPr="006C2F5C">
              <w:rPr>
                <w:rFonts w:asciiTheme="majorHAnsi" w:hAnsiTheme="majorHAnsi"/>
              </w:rPr>
              <w:t>Naziv poglavlja/ mjere/ aktivnosti</w:t>
            </w:r>
          </w:p>
        </w:tc>
      </w:tr>
      <w:tr w:rsidR="00C12EAA" w:rsidRPr="006C2F5C" w14:paraId="00D0C714" w14:textId="77777777" w:rsidTr="008671CC">
        <w:tc>
          <w:tcPr>
            <w:tcW w:w="6884" w:type="dxa"/>
            <w:tcMar>
              <w:top w:w="57" w:type="dxa"/>
              <w:bottom w:w="57" w:type="dxa"/>
            </w:tcMar>
          </w:tcPr>
          <w:p w14:paraId="49A15BF2" w14:textId="1F9A3D96" w:rsidR="00C12EAA" w:rsidRPr="006C2F5C" w:rsidRDefault="00A53248" w:rsidP="00D52F05">
            <w:pPr>
              <w:spacing w:after="0"/>
              <w:rPr>
                <w:rFonts w:asciiTheme="majorHAnsi" w:hAnsiTheme="majorHAnsi"/>
                <w:lang w:val="es-ES"/>
              </w:rPr>
            </w:pPr>
            <w:r w:rsidRPr="006C2F5C">
              <w:rPr>
                <w:rFonts w:asciiTheme="majorHAnsi" w:hAnsiTheme="majorHAnsi"/>
                <w:lang w:val="es-ES"/>
              </w:rPr>
              <w:t xml:space="preserve">Strategija reforme javne uprave 2022- 2026, sa Akcionim </w:t>
            </w:r>
            <w:proofErr w:type="gramStart"/>
            <w:r w:rsidRPr="006C2F5C">
              <w:rPr>
                <w:rFonts w:asciiTheme="majorHAnsi" w:hAnsiTheme="majorHAnsi"/>
                <w:lang w:val="es-ES"/>
              </w:rPr>
              <w:t>planom  2022</w:t>
            </w:r>
            <w:proofErr w:type="gramEnd"/>
            <w:r w:rsidRPr="006C2F5C">
              <w:rPr>
                <w:rFonts w:asciiTheme="majorHAnsi" w:hAnsiTheme="majorHAnsi"/>
                <w:lang w:val="es-ES"/>
              </w:rPr>
              <w:t>-2024</w:t>
            </w:r>
            <w:r w:rsidR="002A30C4" w:rsidRPr="006C2F5C">
              <w:rPr>
                <w:rFonts w:asciiTheme="majorHAnsi" w:hAnsiTheme="majorHAnsi"/>
                <w:lang w:val="es-ES"/>
              </w:rPr>
              <w:t>.</w:t>
            </w:r>
          </w:p>
        </w:tc>
        <w:tc>
          <w:tcPr>
            <w:tcW w:w="6862" w:type="dxa"/>
            <w:tcMar>
              <w:top w:w="57" w:type="dxa"/>
              <w:bottom w:w="57" w:type="dxa"/>
            </w:tcMar>
          </w:tcPr>
          <w:p w14:paraId="4E513FDC" w14:textId="3138A507" w:rsidR="005F3B47" w:rsidRDefault="005F3B47" w:rsidP="005F3B47">
            <w:pPr>
              <w:rPr>
                <w:rFonts w:asciiTheme="majorHAnsi" w:hAnsiTheme="majorHAnsi"/>
                <w:lang w:val="es-ES"/>
              </w:rPr>
            </w:pPr>
            <w:r w:rsidRPr="006C2F5C">
              <w:rPr>
                <w:rFonts w:asciiTheme="majorHAnsi" w:hAnsiTheme="majorHAnsi"/>
                <w:lang w:val="es-ES"/>
              </w:rPr>
              <w:t>OPERATIVNI CILJ 4.2.</w:t>
            </w:r>
            <w:r w:rsidRPr="006C2F5C">
              <w:rPr>
                <w:rFonts w:asciiTheme="majorHAnsi" w:hAnsiTheme="majorHAnsi"/>
                <w:lang w:val="es-ES"/>
              </w:rPr>
              <w:tab/>
              <w:t>Unapređenje primjene Zakona o SPI od strane obveznika primjene zakona i jačanje kapaciteta korisnika zakona, radi obezbjeđenja adekvatnog ostvarivanja prava na pristup informacijama</w:t>
            </w:r>
          </w:p>
          <w:p w14:paraId="39A5C97F" w14:textId="77777777" w:rsidR="009A2643" w:rsidRDefault="009A2643" w:rsidP="005F3B47">
            <w:pPr>
              <w:rPr>
                <w:rFonts w:asciiTheme="majorHAnsi" w:hAnsiTheme="majorHAnsi"/>
                <w:lang w:val="es-ES"/>
              </w:rPr>
            </w:pPr>
            <w:r>
              <w:rPr>
                <w:rFonts w:asciiTheme="majorHAnsi" w:hAnsiTheme="majorHAnsi"/>
                <w:lang w:val="es-ES"/>
              </w:rPr>
              <w:lastRenderedPageBreak/>
              <w:t xml:space="preserve">Aktivnosti: </w:t>
            </w:r>
          </w:p>
          <w:p w14:paraId="651FCE94" w14:textId="457B8422" w:rsidR="009A2643" w:rsidRDefault="009A2643" w:rsidP="005F3B47">
            <w:pPr>
              <w:rPr>
                <w:rFonts w:asciiTheme="majorHAnsi" w:hAnsiTheme="majorHAnsi"/>
                <w:lang w:val="es-ES"/>
              </w:rPr>
            </w:pPr>
            <w:r w:rsidRPr="009A2643">
              <w:rPr>
                <w:rFonts w:asciiTheme="majorHAnsi" w:hAnsiTheme="majorHAnsi"/>
                <w:lang w:val="es-ES"/>
              </w:rPr>
              <w:t>Pružanje podrške odabranim organima vlasti sa ciljem unaprjeđenja primjene ZoSPI</w:t>
            </w:r>
            <w:r>
              <w:rPr>
                <w:rFonts w:asciiTheme="majorHAnsi" w:hAnsiTheme="majorHAnsi"/>
                <w:lang w:val="es-ES"/>
              </w:rPr>
              <w:t>;</w:t>
            </w:r>
          </w:p>
          <w:p w14:paraId="4EF6AAED" w14:textId="2E88EE82" w:rsidR="009A2643" w:rsidRDefault="009A2643" w:rsidP="005F3B47">
            <w:pPr>
              <w:rPr>
                <w:rFonts w:ascii="Sitka Text" w:eastAsia="Calibri" w:hAnsi="Sitka Text" w:cs="Arial"/>
                <w:shd w:val="clear" w:color="auto" w:fill="FFFFFF"/>
              </w:rPr>
            </w:pPr>
            <w:r w:rsidRPr="000545E1">
              <w:rPr>
                <w:rFonts w:ascii="Sitka Text" w:eastAsia="Calibri" w:hAnsi="Sitka Text" w:cs="Arial"/>
                <w:shd w:val="clear" w:color="auto" w:fill="FFFFFF"/>
              </w:rPr>
              <w:t>Razvijanje smjernica za primjenu odredaba Zakona o SPI</w:t>
            </w:r>
            <w:r>
              <w:rPr>
                <w:rFonts w:ascii="Sitka Text" w:eastAsia="Calibri" w:hAnsi="Sitka Text" w:cs="Arial"/>
                <w:shd w:val="clear" w:color="auto" w:fill="FFFFFF"/>
              </w:rPr>
              <w:t>;</w:t>
            </w:r>
          </w:p>
          <w:p w14:paraId="21788C11" w14:textId="5632C91E" w:rsidR="009A2643" w:rsidRDefault="009A2643" w:rsidP="005F3B47">
            <w:pPr>
              <w:rPr>
                <w:rFonts w:ascii="Sitka Text" w:eastAsia="Calibri" w:hAnsi="Sitka Text" w:cs="Arial"/>
                <w:shd w:val="clear" w:color="auto" w:fill="FFFFFF"/>
              </w:rPr>
            </w:pPr>
            <w:r w:rsidRPr="000545E1">
              <w:rPr>
                <w:rFonts w:ascii="Sitka Text" w:eastAsia="Calibri" w:hAnsi="Sitka Text" w:cs="Arial"/>
                <w:shd w:val="clear" w:color="auto" w:fill="FFFFFF"/>
              </w:rPr>
              <w:t xml:space="preserve">Razvoj pretraživača odluka o </w:t>
            </w:r>
            <w:proofErr w:type="gramStart"/>
            <w:r w:rsidRPr="000545E1">
              <w:rPr>
                <w:rFonts w:ascii="Sitka Text" w:eastAsia="Calibri" w:hAnsi="Sitka Text" w:cs="Arial"/>
                <w:shd w:val="clear" w:color="auto" w:fill="FFFFFF"/>
              </w:rPr>
              <w:t>SPI  Agencije</w:t>
            </w:r>
            <w:proofErr w:type="gramEnd"/>
            <w:r w:rsidRPr="000545E1">
              <w:rPr>
                <w:rFonts w:ascii="Sitka Text" w:eastAsia="Calibri" w:hAnsi="Sitka Text" w:cs="Arial"/>
                <w:shd w:val="clear" w:color="auto" w:fill="FFFFFF"/>
              </w:rPr>
              <w:t xml:space="preserve"> i sudova, sa opcijom pretraživanja</w:t>
            </w:r>
            <w:r>
              <w:rPr>
                <w:rFonts w:ascii="Sitka Text" w:eastAsia="Calibri" w:hAnsi="Sitka Text" w:cs="Arial"/>
                <w:shd w:val="clear" w:color="auto" w:fill="FFFFFF"/>
              </w:rPr>
              <w:t>;</w:t>
            </w:r>
          </w:p>
          <w:p w14:paraId="5B33BECE" w14:textId="755A6035" w:rsidR="009A2643" w:rsidRP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Priprema priručnika, publikacija i materijala za obuku</w:t>
            </w:r>
            <w:r>
              <w:rPr>
                <w:rFonts w:ascii="Sitka Text" w:eastAsia="Calibri" w:hAnsi="Sitka Text" w:cs="Arial"/>
                <w:shd w:val="clear" w:color="auto" w:fill="FFFFFF"/>
              </w:rPr>
              <w:t>;</w:t>
            </w:r>
            <w:r w:rsidRPr="009A2643">
              <w:rPr>
                <w:rFonts w:ascii="Sitka Text" w:eastAsia="Calibri" w:hAnsi="Sitka Text" w:cs="Arial"/>
                <w:shd w:val="clear" w:color="auto" w:fill="FFFFFF"/>
              </w:rPr>
              <w:t xml:space="preserve"> </w:t>
            </w:r>
          </w:p>
          <w:p w14:paraId="77A04BFC" w14:textId="2729C911" w:rsid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 xml:space="preserve">Obezbjeđene kontinuirane obuke za ovlašćene službenike, rukovodeći kadar i </w:t>
            </w:r>
            <w:proofErr w:type="gramStart"/>
            <w:r w:rsidRPr="009A2643">
              <w:rPr>
                <w:rFonts w:ascii="Sitka Text" w:eastAsia="Calibri" w:hAnsi="Sitka Text" w:cs="Arial"/>
                <w:shd w:val="clear" w:color="auto" w:fill="FFFFFF"/>
              </w:rPr>
              <w:t>druge  službenike</w:t>
            </w:r>
            <w:proofErr w:type="gramEnd"/>
            <w:r w:rsidRPr="009A2643">
              <w:rPr>
                <w:rFonts w:ascii="Sitka Text" w:eastAsia="Calibri" w:hAnsi="Sitka Text" w:cs="Arial"/>
                <w:shd w:val="clear" w:color="auto" w:fill="FFFFFF"/>
              </w:rPr>
              <w:t xml:space="preserve"> organa vlasti </w:t>
            </w:r>
            <w:r>
              <w:rPr>
                <w:rFonts w:ascii="Sitka Text" w:eastAsia="Calibri" w:hAnsi="Sitka Text" w:cs="Arial"/>
                <w:shd w:val="clear" w:color="auto" w:fill="FFFFFF"/>
              </w:rPr>
              <w:t>;</w:t>
            </w:r>
            <w:r w:rsidRPr="009A2643">
              <w:rPr>
                <w:rFonts w:ascii="Sitka Text" w:eastAsia="Calibri" w:hAnsi="Sitka Text" w:cs="Arial"/>
                <w:shd w:val="clear" w:color="auto" w:fill="FFFFFF"/>
              </w:rPr>
              <w:t xml:space="preserve"> </w:t>
            </w:r>
          </w:p>
          <w:p w14:paraId="4B75F281" w14:textId="091355BD" w:rsidR="009A2643" w:rsidRP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Planiranje i sprovođenje kontinuirane edukacije i jačanje svijesti korisnika</w:t>
            </w:r>
            <w:r>
              <w:rPr>
                <w:rFonts w:ascii="Sitka Text" w:eastAsia="Calibri" w:hAnsi="Sitka Text" w:cs="Arial"/>
                <w:shd w:val="clear" w:color="auto" w:fill="FFFFFF"/>
              </w:rPr>
              <w:t>;</w:t>
            </w:r>
          </w:p>
          <w:p w14:paraId="1839D69C" w14:textId="45CCEEDA" w:rsid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Obuka za predavače za primjenu ZSPI</w:t>
            </w:r>
            <w:r>
              <w:rPr>
                <w:rFonts w:ascii="Sitka Text" w:eastAsia="Calibri" w:hAnsi="Sitka Text" w:cs="Arial"/>
                <w:shd w:val="clear" w:color="auto" w:fill="FFFFFF"/>
              </w:rPr>
              <w:t>;</w:t>
            </w:r>
          </w:p>
          <w:p w14:paraId="26748629" w14:textId="61F40E10" w:rsidR="009A2643" w:rsidRP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Razvoj unutrašnjeg ZSPI rukovođenja / radne grupe za unapređenje transparentnosti</w:t>
            </w:r>
            <w:r>
              <w:rPr>
                <w:rFonts w:ascii="Sitka Text" w:eastAsia="Calibri" w:hAnsi="Sitka Text" w:cs="Arial"/>
                <w:shd w:val="clear" w:color="auto" w:fill="FFFFFF"/>
              </w:rPr>
              <w:t>;</w:t>
            </w:r>
          </w:p>
          <w:p w14:paraId="5F4BA4DE" w14:textId="6ACC7917" w:rsidR="009A2643" w:rsidRP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Unapređenje kvaliteta u oblasti slobodnog pristupa informacijama (upitnik o kvalitetu pristupa informacijama za svrhe procjene i unaprjeđenja poštovanja Zakona o SPI)</w:t>
            </w:r>
            <w:r>
              <w:rPr>
                <w:rFonts w:ascii="Sitka Text" w:eastAsia="Calibri" w:hAnsi="Sitka Text" w:cs="Arial"/>
                <w:shd w:val="clear" w:color="auto" w:fill="FFFFFF"/>
              </w:rPr>
              <w:t>;</w:t>
            </w:r>
          </w:p>
          <w:p w14:paraId="7400B30C" w14:textId="414E5C2B" w:rsidR="009A2643" w:rsidRP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Podrška ovlašćenim licima u organima vlasti kroz formiranje mreže ovlašćenih lica</w:t>
            </w:r>
            <w:r>
              <w:rPr>
                <w:rFonts w:ascii="Sitka Text" w:eastAsia="Calibri" w:hAnsi="Sitka Text" w:cs="Arial"/>
                <w:shd w:val="clear" w:color="auto" w:fill="FFFFFF"/>
              </w:rPr>
              <w:t>;</w:t>
            </w:r>
          </w:p>
          <w:p w14:paraId="7A36DA68" w14:textId="6570C49C" w:rsidR="009A2643" w:rsidRDefault="009A2643" w:rsidP="009A2643">
            <w:pPr>
              <w:rPr>
                <w:rFonts w:ascii="Sitka Text" w:eastAsia="Calibri" w:hAnsi="Sitka Text" w:cs="Arial"/>
                <w:shd w:val="clear" w:color="auto" w:fill="FFFFFF"/>
              </w:rPr>
            </w:pPr>
            <w:r w:rsidRPr="009A2643">
              <w:rPr>
                <w:rFonts w:ascii="Sitka Text" w:eastAsia="Calibri" w:hAnsi="Sitka Text" w:cs="Arial"/>
                <w:shd w:val="clear" w:color="auto" w:fill="FFFFFF"/>
              </w:rPr>
              <w:t>Izrada visokokvalitetne fiskalne transparentnost za organe vlasti</w:t>
            </w:r>
            <w:r>
              <w:rPr>
                <w:rFonts w:ascii="Sitka Text" w:eastAsia="Calibri" w:hAnsi="Sitka Text" w:cs="Arial"/>
                <w:shd w:val="clear" w:color="auto" w:fill="FFFFFF"/>
              </w:rPr>
              <w:t>.</w:t>
            </w:r>
          </w:p>
          <w:p w14:paraId="3A113A86" w14:textId="77777777" w:rsidR="002A30C4" w:rsidRPr="006C2F5C" w:rsidRDefault="002A30C4" w:rsidP="005F3B47">
            <w:pPr>
              <w:rPr>
                <w:rFonts w:asciiTheme="majorHAnsi" w:hAnsiTheme="majorHAnsi"/>
                <w:lang w:val="es-ES"/>
              </w:rPr>
            </w:pPr>
          </w:p>
          <w:p w14:paraId="1E0BB8CF" w14:textId="7FA6C9C2" w:rsidR="005F3B47" w:rsidRDefault="005F3B47" w:rsidP="005F3B47">
            <w:pPr>
              <w:rPr>
                <w:rFonts w:asciiTheme="majorHAnsi" w:hAnsiTheme="majorHAnsi"/>
                <w:lang w:val="es-ES"/>
              </w:rPr>
            </w:pPr>
            <w:r w:rsidRPr="006C2F5C">
              <w:rPr>
                <w:rFonts w:asciiTheme="majorHAnsi" w:hAnsiTheme="majorHAnsi"/>
                <w:lang w:val="es-ES"/>
              </w:rPr>
              <w:lastRenderedPageBreak/>
              <w:t>OPERATIVNI CILJ 4.3</w:t>
            </w:r>
            <w:r w:rsidRPr="006C2F5C">
              <w:rPr>
                <w:rFonts w:asciiTheme="majorHAnsi" w:hAnsiTheme="majorHAnsi"/>
                <w:lang w:val="es-ES"/>
              </w:rPr>
              <w:tab/>
              <w:t xml:space="preserve">Unapređenje ponovne upotrebe informacija i povećanje dostupnosti otvorenih podataka  </w:t>
            </w:r>
          </w:p>
          <w:p w14:paraId="3C97210C" w14:textId="0CDB8FB8" w:rsidR="009A2643" w:rsidRDefault="009A2643" w:rsidP="005F3B47">
            <w:pPr>
              <w:rPr>
                <w:rFonts w:asciiTheme="majorHAnsi" w:hAnsiTheme="majorHAnsi"/>
                <w:lang w:val="es-ES"/>
              </w:rPr>
            </w:pPr>
          </w:p>
          <w:p w14:paraId="5E254ED3" w14:textId="53C5ADD6" w:rsidR="009A2643" w:rsidRDefault="009A2643" w:rsidP="005F3B47">
            <w:pPr>
              <w:rPr>
                <w:rFonts w:asciiTheme="majorHAnsi" w:hAnsiTheme="majorHAnsi"/>
                <w:lang w:val="es-ES"/>
              </w:rPr>
            </w:pPr>
            <w:r>
              <w:rPr>
                <w:rFonts w:asciiTheme="majorHAnsi" w:hAnsiTheme="majorHAnsi"/>
                <w:lang w:val="es-ES"/>
              </w:rPr>
              <w:t>Aktivnosti:</w:t>
            </w:r>
          </w:p>
          <w:p w14:paraId="0C15BE25" w14:textId="358148F4" w:rsidR="009A2643" w:rsidRPr="009A2643" w:rsidRDefault="009A2643" w:rsidP="009A2643">
            <w:pPr>
              <w:rPr>
                <w:rFonts w:asciiTheme="majorHAnsi" w:hAnsiTheme="majorHAnsi"/>
                <w:lang w:val="es-ES"/>
              </w:rPr>
            </w:pPr>
            <w:r w:rsidRPr="009A2643">
              <w:rPr>
                <w:rFonts w:asciiTheme="majorHAnsi" w:hAnsiTheme="majorHAnsi"/>
                <w:lang w:val="es-ES"/>
              </w:rPr>
              <w:t>Predlog izmjene ZoSPI u dijelu koji se odnosi na ponovnu upotrebu informacija i otvorene podatke</w:t>
            </w:r>
            <w:r>
              <w:rPr>
                <w:rFonts w:asciiTheme="majorHAnsi" w:hAnsiTheme="majorHAnsi"/>
                <w:lang w:val="es-ES"/>
              </w:rPr>
              <w:t>;</w:t>
            </w:r>
          </w:p>
          <w:p w14:paraId="61AAC9C0" w14:textId="47B4B4C7" w:rsidR="009A2643" w:rsidRDefault="009A2643" w:rsidP="009A2643">
            <w:pPr>
              <w:rPr>
                <w:rFonts w:asciiTheme="majorHAnsi" w:hAnsiTheme="majorHAnsi"/>
                <w:lang w:val="es-ES"/>
              </w:rPr>
            </w:pPr>
            <w:r w:rsidRPr="009A2643">
              <w:rPr>
                <w:rFonts w:asciiTheme="majorHAnsi" w:hAnsiTheme="majorHAnsi"/>
                <w:lang w:val="es-ES"/>
              </w:rPr>
              <w:t xml:space="preserve">Unapređenje portala </w:t>
            </w:r>
            <w:hyperlink r:id="rId18" w:history="1">
              <w:r w:rsidRPr="00801DB2">
                <w:rPr>
                  <w:rStyle w:val="Hyperlink"/>
                  <w:rFonts w:asciiTheme="majorHAnsi" w:hAnsiTheme="majorHAnsi"/>
                  <w:lang w:val="es-ES"/>
                </w:rPr>
                <w:t>www.data.gov.me</w:t>
              </w:r>
            </w:hyperlink>
            <w:r>
              <w:rPr>
                <w:rFonts w:asciiTheme="majorHAnsi" w:hAnsiTheme="majorHAnsi"/>
                <w:lang w:val="es-ES"/>
              </w:rPr>
              <w:t>;</w:t>
            </w:r>
          </w:p>
          <w:p w14:paraId="29BB5C64" w14:textId="4EC7E8CA" w:rsidR="009A2643" w:rsidRPr="009A2643" w:rsidRDefault="009A2643" w:rsidP="009A2643">
            <w:pPr>
              <w:rPr>
                <w:rFonts w:asciiTheme="majorHAnsi" w:hAnsiTheme="majorHAnsi"/>
                <w:lang w:val="es-ES"/>
              </w:rPr>
            </w:pPr>
            <w:r w:rsidRPr="009A2643">
              <w:rPr>
                <w:rFonts w:asciiTheme="majorHAnsi" w:hAnsiTheme="majorHAnsi"/>
                <w:lang w:val="es-ES"/>
              </w:rPr>
              <w:t>Identifikacija i revizija već objavljenih setova podataka</w:t>
            </w:r>
            <w:r>
              <w:rPr>
                <w:rFonts w:asciiTheme="majorHAnsi" w:hAnsiTheme="majorHAnsi"/>
                <w:lang w:val="es-ES"/>
              </w:rPr>
              <w:t>;</w:t>
            </w:r>
          </w:p>
          <w:p w14:paraId="13D420D4" w14:textId="663A6BB7" w:rsidR="009A2643" w:rsidRPr="009A2643" w:rsidRDefault="009A2643" w:rsidP="009A2643">
            <w:pPr>
              <w:rPr>
                <w:rFonts w:asciiTheme="majorHAnsi" w:hAnsiTheme="majorHAnsi"/>
                <w:lang w:val="es-ES"/>
              </w:rPr>
            </w:pPr>
            <w:r w:rsidRPr="009A2643">
              <w:rPr>
                <w:rFonts w:asciiTheme="majorHAnsi" w:hAnsiTheme="majorHAnsi"/>
                <w:lang w:val="es-ES"/>
              </w:rPr>
              <w:t>Identifikacija high value open data setova - pilot inicijative za ključne oblasti poput javnih finansija, geo lokacija, zdravstva, transport</w:t>
            </w:r>
            <w:r>
              <w:rPr>
                <w:rFonts w:asciiTheme="majorHAnsi" w:hAnsiTheme="majorHAnsi"/>
                <w:lang w:val="es-ES"/>
              </w:rPr>
              <w:t>;</w:t>
            </w:r>
          </w:p>
          <w:p w14:paraId="7A1E8617" w14:textId="30EC7F12" w:rsidR="009A2643" w:rsidRDefault="009A2643" w:rsidP="009A2643">
            <w:pPr>
              <w:rPr>
                <w:rFonts w:asciiTheme="majorHAnsi" w:hAnsiTheme="majorHAnsi"/>
                <w:lang w:val="es-ES"/>
              </w:rPr>
            </w:pPr>
            <w:r w:rsidRPr="009A2643">
              <w:rPr>
                <w:rFonts w:asciiTheme="majorHAnsi" w:hAnsiTheme="majorHAnsi"/>
                <w:lang w:val="es-ES"/>
              </w:rPr>
              <w:t>Organizovanje kampanje u cilju podizanja svijesti javnosti i javne uprave o značaju otvorenih podataka i njihovoj vrijednosti</w:t>
            </w:r>
            <w:r>
              <w:rPr>
                <w:rFonts w:asciiTheme="majorHAnsi" w:hAnsiTheme="majorHAnsi"/>
                <w:lang w:val="es-ES"/>
              </w:rPr>
              <w:t>;</w:t>
            </w:r>
          </w:p>
          <w:p w14:paraId="0C06083E" w14:textId="2CD8A648" w:rsidR="009A2643" w:rsidRPr="009A2643" w:rsidRDefault="009A2643" w:rsidP="009A2643">
            <w:pPr>
              <w:rPr>
                <w:rFonts w:asciiTheme="majorHAnsi" w:hAnsiTheme="majorHAnsi"/>
                <w:lang w:val="es-ES"/>
              </w:rPr>
            </w:pPr>
            <w:r w:rsidRPr="009A2643">
              <w:rPr>
                <w:rFonts w:asciiTheme="majorHAnsi" w:hAnsiTheme="majorHAnsi"/>
                <w:lang w:val="es-ES"/>
              </w:rPr>
              <w:t>Unapređenje dostupnosti podataka o rodnoj ravnopravnosti</w:t>
            </w:r>
            <w:r>
              <w:rPr>
                <w:rFonts w:asciiTheme="majorHAnsi" w:hAnsiTheme="majorHAnsi"/>
                <w:lang w:val="es-ES"/>
              </w:rPr>
              <w:t>;</w:t>
            </w:r>
          </w:p>
          <w:p w14:paraId="5E76D883" w14:textId="77777777" w:rsidR="009A2643" w:rsidRPr="009A2643" w:rsidRDefault="009A2643" w:rsidP="009A2643">
            <w:pPr>
              <w:rPr>
                <w:rFonts w:asciiTheme="majorHAnsi" w:hAnsiTheme="majorHAnsi"/>
                <w:lang w:val="es-ES"/>
              </w:rPr>
            </w:pPr>
          </w:p>
          <w:p w14:paraId="7BD393E0" w14:textId="0E6FD7D9" w:rsidR="009A2643" w:rsidRPr="006C2F5C" w:rsidRDefault="009A2643" w:rsidP="009A2643">
            <w:pPr>
              <w:rPr>
                <w:rFonts w:asciiTheme="majorHAnsi" w:hAnsiTheme="majorHAnsi"/>
                <w:lang w:val="es-ES"/>
              </w:rPr>
            </w:pPr>
            <w:r w:rsidRPr="009A2643">
              <w:rPr>
                <w:rFonts w:asciiTheme="majorHAnsi" w:hAnsiTheme="majorHAnsi"/>
                <w:lang w:val="es-ES"/>
              </w:rPr>
              <w:t>Interoperabilnost podataka iz domena rodne ravnopravnosti</w:t>
            </w:r>
            <w:r>
              <w:rPr>
                <w:rFonts w:asciiTheme="majorHAnsi" w:hAnsiTheme="majorHAnsi"/>
                <w:lang w:val="es-ES"/>
              </w:rPr>
              <w:t>.</w:t>
            </w:r>
            <w:r w:rsidRPr="009A2643">
              <w:rPr>
                <w:rFonts w:asciiTheme="majorHAnsi" w:hAnsiTheme="majorHAnsi"/>
                <w:lang w:val="es-ES"/>
              </w:rPr>
              <w:tab/>
            </w:r>
          </w:p>
          <w:p w14:paraId="42BDA787" w14:textId="77777777" w:rsidR="00C12EAA" w:rsidRPr="006C2F5C" w:rsidRDefault="00C12EAA" w:rsidP="00611083">
            <w:pPr>
              <w:rPr>
                <w:rFonts w:asciiTheme="majorHAnsi" w:hAnsiTheme="majorHAnsi"/>
                <w:lang w:val="es-ES"/>
              </w:rPr>
            </w:pPr>
          </w:p>
        </w:tc>
      </w:tr>
    </w:tbl>
    <w:p w14:paraId="6472065B" w14:textId="77777777" w:rsidR="00C12EAA" w:rsidRPr="006C2F5C" w:rsidRDefault="00C12EAA" w:rsidP="00C12EAA">
      <w:pPr>
        <w:ind w:left="792"/>
        <w:rPr>
          <w:rFonts w:asciiTheme="majorHAnsi" w:hAnsiTheme="majorHAnsi"/>
        </w:rPr>
      </w:pPr>
    </w:p>
    <w:p w14:paraId="056AC4D4" w14:textId="77777777" w:rsidR="00C12EAA" w:rsidRPr="006C2F5C" w:rsidRDefault="00C12EAA" w:rsidP="00C12EAA">
      <w:pPr>
        <w:pStyle w:val="ListParagraph"/>
        <w:numPr>
          <w:ilvl w:val="1"/>
          <w:numId w:val="5"/>
        </w:numPr>
        <w:jc w:val="both"/>
        <w:rPr>
          <w:rFonts w:asciiTheme="majorHAnsi" w:hAnsiTheme="majorHAnsi"/>
          <w:lang w:val="sr-Latn-ME"/>
        </w:rPr>
      </w:pPr>
      <w:r w:rsidRPr="006C2F5C">
        <w:rPr>
          <w:rFonts w:asciiTheme="majorHAnsi" w:hAnsiTheme="majorHAnsi"/>
        </w:rPr>
        <w:t>Obrazlo</w:t>
      </w:r>
      <w:r w:rsidRPr="006C2F5C">
        <w:rPr>
          <w:rFonts w:asciiTheme="majorHAnsi" w:hAnsiTheme="majorHAnsi"/>
          <w:lang w:val="sr-Latn-ME"/>
        </w:rPr>
        <w:t>ž</w:t>
      </w:r>
      <w:r w:rsidRPr="006C2F5C">
        <w:rPr>
          <w:rFonts w:asciiTheme="majorHAnsi" w:hAnsiTheme="majorHAnsi"/>
        </w:rPr>
        <w:t>iiti</w:t>
      </w:r>
      <w:r w:rsidRPr="006C2F5C">
        <w:rPr>
          <w:rFonts w:asciiTheme="majorHAnsi" w:hAnsiTheme="majorHAnsi"/>
          <w:lang w:val="sr-Latn-ME"/>
        </w:rPr>
        <w:t xml:space="preserve"> </w:t>
      </w:r>
      <w:r w:rsidRPr="006C2F5C">
        <w:rPr>
          <w:rFonts w:asciiTheme="majorHAnsi" w:hAnsiTheme="majorHAnsi"/>
        </w:rPr>
        <w:t>na</w:t>
      </w:r>
      <w:r w:rsidRPr="006C2F5C">
        <w:rPr>
          <w:rFonts w:asciiTheme="majorHAnsi" w:hAnsiTheme="majorHAnsi"/>
          <w:lang w:val="sr-Latn-ME"/>
        </w:rPr>
        <w:t xml:space="preserve"> </w:t>
      </w:r>
      <w:r w:rsidRPr="006C2F5C">
        <w:rPr>
          <w:rFonts w:asciiTheme="majorHAnsi" w:hAnsiTheme="majorHAnsi"/>
        </w:rPr>
        <w:t>koji</w:t>
      </w:r>
      <w:r w:rsidRPr="006C2F5C">
        <w:rPr>
          <w:rFonts w:asciiTheme="majorHAnsi" w:hAnsiTheme="majorHAnsi"/>
          <w:lang w:val="sr-Latn-ME"/>
        </w:rPr>
        <w:t xml:space="preserve"> </w:t>
      </w:r>
      <w:r w:rsidRPr="006C2F5C">
        <w:rPr>
          <w:rFonts w:asciiTheme="majorHAnsi" w:hAnsiTheme="majorHAnsi"/>
        </w:rPr>
        <w:t>na</w:t>
      </w:r>
      <w:r w:rsidRPr="006C2F5C">
        <w:rPr>
          <w:rFonts w:asciiTheme="majorHAnsi" w:hAnsiTheme="majorHAnsi"/>
          <w:lang w:val="sr-Latn-ME"/>
        </w:rPr>
        <w:t>č</w:t>
      </w:r>
      <w:r w:rsidRPr="006C2F5C">
        <w:rPr>
          <w:rFonts w:asciiTheme="majorHAnsi" w:hAnsiTheme="majorHAnsi"/>
        </w:rPr>
        <w:t>in</w:t>
      </w:r>
      <w:r w:rsidRPr="006C2F5C">
        <w:rPr>
          <w:rFonts w:asciiTheme="majorHAnsi" w:hAnsiTheme="majorHAnsi"/>
          <w:lang w:val="sr-Latn-ME"/>
        </w:rPr>
        <w:t xml:space="preserve"> </w:t>
      </w:r>
      <w:r w:rsidRPr="006C2F5C">
        <w:rPr>
          <w:rFonts w:asciiTheme="majorHAnsi" w:hAnsiTheme="majorHAnsi"/>
        </w:rPr>
        <w:t>nevladine</w:t>
      </w:r>
      <w:r w:rsidRPr="006C2F5C">
        <w:rPr>
          <w:rFonts w:asciiTheme="majorHAnsi" w:hAnsiTheme="majorHAnsi"/>
          <w:lang w:val="sr-Latn-ME"/>
        </w:rPr>
        <w:t xml:space="preserve"> </w:t>
      </w:r>
      <w:r w:rsidRPr="006C2F5C">
        <w:rPr>
          <w:rFonts w:asciiTheme="majorHAnsi" w:hAnsiTheme="majorHAnsi"/>
        </w:rPr>
        <w:t>organizacije</w:t>
      </w:r>
      <w:r w:rsidRPr="006C2F5C">
        <w:rPr>
          <w:rFonts w:asciiTheme="majorHAnsi" w:hAnsiTheme="majorHAnsi"/>
          <w:lang w:val="sr-Latn-ME"/>
        </w:rPr>
        <w:t xml:space="preserve"> </w:t>
      </w:r>
      <w:r w:rsidRPr="006C2F5C">
        <w:rPr>
          <w:rFonts w:asciiTheme="majorHAnsi" w:hAnsiTheme="majorHAnsi"/>
        </w:rPr>
        <w:t>mogu</w:t>
      </w:r>
      <w:r w:rsidRPr="006C2F5C">
        <w:rPr>
          <w:rFonts w:asciiTheme="majorHAnsi" w:hAnsiTheme="majorHAnsi"/>
          <w:lang w:val="sr-Latn-ME"/>
        </w:rPr>
        <w:t xml:space="preserve"> </w:t>
      </w:r>
      <w:r w:rsidRPr="006C2F5C">
        <w:rPr>
          <w:rFonts w:asciiTheme="majorHAnsi" w:hAnsiTheme="majorHAnsi"/>
        </w:rPr>
        <w:t>doprinijeti</w:t>
      </w:r>
      <w:r w:rsidRPr="006C2F5C">
        <w:rPr>
          <w:rFonts w:asciiTheme="majorHAnsi" w:hAnsiTheme="majorHAnsi"/>
          <w:lang w:val="sr-Latn-ME"/>
        </w:rPr>
        <w:t xml:space="preserve"> </w:t>
      </w:r>
      <w:r w:rsidRPr="006C2F5C">
        <w:rPr>
          <w:rFonts w:asciiTheme="majorHAnsi" w:hAnsiTheme="majorHAnsi"/>
        </w:rPr>
        <w:t>rje</w:t>
      </w:r>
      <w:r w:rsidRPr="006C2F5C">
        <w:rPr>
          <w:rFonts w:asciiTheme="majorHAnsi" w:hAnsiTheme="majorHAnsi"/>
          <w:lang w:val="sr-Latn-ME"/>
        </w:rPr>
        <w:t>š</w:t>
      </w:r>
      <w:r w:rsidRPr="006C2F5C">
        <w:rPr>
          <w:rFonts w:asciiTheme="majorHAnsi" w:hAnsiTheme="majorHAnsi"/>
        </w:rPr>
        <w:t>avanju</w:t>
      </w:r>
      <w:r w:rsidRPr="006C2F5C">
        <w:rPr>
          <w:rFonts w:asciiTheme="majorHAnsi" w:hAnsiTheme="majorHAnsi"/>
          <w:lang w:val="sr-Latn-ME"/>
        </w:rPr>
        <w:t xml:space="preserve"> </w:t>
      </w:r>
      <w:r w:rsidRPr="006C2F5C">
        <w:rPr>
          <w:rFonts w:asciiTheme="majorHAnsi" w:hAnsiTheme="majorHAnsi"/>
        </w:rPr>
        <w:t>problema</w:t>
      </w:r>
      <w:r w:rsidRPr="006C2F5C">
        <w:rPr>
          <w:rFonts w:asciiTheme="majorHAnsi" w:hAnsiTheme="majorHAnsi"/>
          <w:lang w:val="sr-Latn-ME"/>
        </w:rPr>
        <w:t xml:space="preserve"> </w:t>
      </w:r>
      <w:r w:rsidRPr="006C2F5C">
        <w:rPr>
          <w:rFonts w:asciiTheme="majorHAnsi" w:hAnsiTheme="majorHAnsi"/>
        </w:rPr>
        <w:t>identifikovanih</w:t>
      </w:r>
      <w:r w:rsidRPr="006C2F5C">
        <w:rPr>
          <w:rFonts w:asciiTheme="majorHAnsi" w:hAnsiTheme="majorHAnsi"/>
          <w:lang w:val="sr-Latn-ME"/>
        </w:rPr>
        <w:t xml:space="preserve"> </w:t>
      </w:r>
      <w:r w:rsidRPr="006C2F5C">
        <w:rPr>
          <w:rFonts w:asciiTheme="majorHAnsi" w:hAnsiTheme="majorHAnsi"/>
        </w:rPr>
        <w:t>pod</w:t>
      </w:r>
      <w:r w:rsidRPr="006C2F5C">
        <w:rPr>
          <w:rFonts w:asciiTheme="majorHAnsi" w:hAnsiTheme="majorHAnsi"/>
          <w:lang w:val="sr-Latn-ME"/>
        </w:rPr>
        <w:t xml:space="preserve"> </w:t>
      </w:r>
      <w:r w:rsidRPr="006C2F5C">
        <w:rPr>
          <w:rFonts w:asciiTheme="majorHAnsi" w:hAnsiTheme="majorHAnsi"/>
        </w:rPr>
        <w:t>ta</w:t>
      </w:r>
      <w:r w:rsidRPr="006C2F5C">
        <w:rPr>
          <w:rFonts w:asciiTheme="majorHAnsi" w:hAnsiTheme="majorHAnsi"/>
          <w:lang w:val="sr-Latn-ME"/>
        </w:rPr>
        <w:t>č</w:t>
      </w:r>
      <w:r w:rsidRPr="006C2F5C">
        <w:rPr>
          <w:rFonts w:asciiTheme="majorHAnsi" w:hAnsiTheme="majorHAnsi"/>
        </w:rPr>
        <w:t>kom</w:t>
      </w:r>
      <w:r w:rsidRPr="006C2F5C">
        <w:rPr>
          <w:rFonts w:asciiTheme="majorHAnsi" w:hAnsiTheme="majorHAnsi"/>
          <w:lang w:val="sr-Latn-ME"/>
        </w:rPr>
        <w:t xml:space="preserve"> 2.1., </w:t>
      </w:r>
      <w:r w:rsidRPr="006C2F5C">
        <w:rPr>
          <w:rFonts w:asciiTheme="majorHAnsi" w:hAnsiTheme="majorHAnsi"/>
        </w:rPr>
        <w:t>koje</w:t>
      </w:r>
      <w:r w:rsidRPr="006C2F5C">
        <w:rPr>
          <w:rFonts w:asciiTheme="majorHAnsi" w:hAnsiTheme="majorHAnsi"/>
          <w:lang w:val="sr-Latn-ME"/>
        </w:rPr>
        <w:t xml:space="preserve"> </w:t>
      </w:r>
      <w:r w:rsidRPr="006C2F5C">
        <w:rPr>
          <w:rFonts w:asciiTheme="majorHAnsi" w:hAnsiTheme="majorHAnsi"/>
        </w:rPr>
        <w:t>aktivnosti</w:t>
      </w:r>
      <w:r w:rsidRPr="006C2F5C">
        <w:rPr>
          <w:rFonts w:asciiTheme="majorHAnsi" w:hAnsiTheme="majorHAnsi"/>
          <w:lang w:val="sr-Latn-ME"/>
        </w:rPr>
        <w:t xml:space="preserve"> </w:t>
      </w:r>
      <w:r w:rsidRPr="006C2F5C">
        <w:rPr>
          <w:rFonts w:asciiTheme="majorHAnsi" w:hAnsiTheme="majorHAnsi"/>
        </w:rPr>
        <w:t>su</w:t>
      </w:r>
      <w:r w:rsidRPr="006C2F5C">
        <w:rPr>
          <w:rFonts w:asciiTheme="majorHAnsi" w:hAnsiTheme="majorHAnsi"/>
          <w:lang w:val="sr-Latn-ME"/>
        </w:rPr>
        <w:t xml:space="preserve"> </w:t>
      </w:r>
      <w:r w:rsidRPr="006C2F5C">
        <w:rPr>
          <w:rFonts w:asciiTheme="majorHAnsi" w:hAnsiTheme="majorHAnsi"/>
        </w:rPr>
        <w:t>prihvatljive</w:t>
      </w:r>
      <w:r w:rsidRPr="006C2F5C">
        <w:rPr>
          <w:rFonts w:asciiTheme="majorHAnsi" w:hAnsiTheme="majorHAnsi"/>
          <w:lang w:val="sr-Latn-ME"/>
        </w:rPr>
        <w:t xml:space="preserve"> </w:t>
      </w:r>
      <w:r w:rsidRPr="006C2F5C">
        <w:rPr>
          <w:rFonts w:asciiTheme="majorHAnsi" w:hAnsiTheme="majorHAnsi"/>
        </w:rPr>
        <w:t>za</w:t>
      </w:r>
      <w:r w:rsidRPr="006C2F5C">
        <w:rPr>
          <w:rFonts w:asciiTheme="majorHAnsi" w:hAnsiTheme="majorHAnsi"/>
          <w:lang w:val="sr-Latn-ME"/>
        </w:rPr>
        <w:t xml:space="preserve"> </w:t>
      </w:r>
      <w:r w:rsidRPr="006C2F5C">
        <w:rPr>
          <w:rFonts w:asciiTheme="majorHAnsi" w:hAnsiTheme="majorHAnsi"/>
        </w:rPr>
        <w:t>postizanje</w:t>
      </w:r>
      <w:r w:rsidRPr="006C2F5C">
        <w:rPr>
          <w:rFonts w:asciiTheme="majorHAnsi" w:hAnsiTheme="majorHAnsi"/>
          <w:lang w:val="sr-Latn-ME"/>
        </w:rPr>
        <w:t xml:space="preserve"> ž</w:t>
      </w:r>
      <w:r w:rsidRPr="006C2F5C">
        <w:rPr>
          <w:rFonts w:asciiTheme="majorHAnsi" w:hAnsiTheme="majorHAnsi"/>
        </w:rPr>
        <w:t>eljenog</w:t>
      </w:r>
      <w:r w:rsidRPr="006C2F5C">
        <w:rPr>
          <w:rFonts w:asciiTheme="majorHAnsi" w:hAnsiTheme="majorHAnsi"/>
          <w:lang w:val="sr-Latn-ME"/>
        </w:rPr>
        <w:t xml:space="preserve"> </w:t>
      </w:r>
      <w:r w:rsidRPr="006C2F5C">
        <w:rPr>
          <w:rFonts w:asciiTheme="majorHAnsi" w:hAnsiTheme="majorHAnsi"/>
        </w:rPr>
        <w:t>rezultata</w:t>
      </w:r>
      <w:r w:rsidRPr="006C2F5C">
        <w:rPr>
          <w:rFonts w:asciiTheme="majorHAnsi" w:hAnsiTheme="majorHAnsi"/>
          <w:lang w:val="sr-Latn-ME"/>
        </w:rPr>
        <w:t xml:space="preserve">, </w:t>
      </w:r>
      <w:r w:rsidRPr="006C2F5C">
        <w:rPr>
          <w:rFonts w:asciiTheme="majorHAnsi" w:hAnsiTheme="majorHAnsi"/>
        </w:rPr>
        <w:t>kako</w:t>
      </w:r>
      <w:r w:rsidRPr="006C2F5C">
        <w:rPr>
          <w:rFonts w:asciiTheme="majorHAnsi" w:hAnsiTheme="majorHAnsi"/>
          <w:lang w:val="sr-Latn-ME"/>
        </w:rPr>
        <w:t xml:space="preserve"> </w:t>
      </w:r>
      <w:r w:rsidRPr="006C2F5C">
        <w:rPr>
          <w:rFonts w:asciiTheme="majorHAnsi" w:hAnsiTheme="majorHAnsi"/>
        </w:rPr>
        <w:t>se</w:t>
      </w:r>
      <w:r w:rsidRPr="006C2F5C">
        <w:rPr>
          <w:rFonts w:asciiTheme="majorHAnsi" w:hAnsiTheme="majorHAnsi"/>
          <w:lang w:val="sr-Latn-ME"/>
        </w:rPr>
        <w:t xml:space="preserve"> </w:t>
      </w:r>
      <w:r w:rsidRPr="006C2F5C">
        <w:rPr>
          <w:rFonts w:asciiTheme="majorHAnsi" w:hAnsiTheme="majorHAnsi"/>
        </w:rPr>
        <w:t>planira</w:t>
      </w:r>
      <w:r w:rsidRPr="006C2F5C">
        <w:rPr>
          <w:rFonts w:asciiTheme="majorHAnsi" w:hAnsiTheme="majorHAnsi"/>
          <w:lang w:val="sr-Latn-ME"/>
        </w:rPr>
        <w:t xml:space="preserve"> </w:t>
      </w:r>
      <w:r w:rsidRPr="006C2F5C">
        <w:rPr>
          <w:rFonts w:asciiTheme="majorHAnsi" w:hAnsiTheme="majorHAnsi"/>
        </w:rPr>
        <w:t>pra</w:t>
      </w:r>
      <w:r w:rsidRPr="006C2F5C">
        <w:rPr>
          <w:rFonts w:asciiTheme="majorHAnsi" w:hAnsiTheme="majorHAnsi"/>
          <w:lang w:val="sr-Latn-ME"/>
        </w:rPr>
        <w:t>ć</w:t>
      </w:r>
      <w:r w:rsidRPr="006C2F5C">
        <w:rPr>
          <w:rFonts w:asciiTheme="majorHAnsi" w:hAnsiTheme="majorHAnsi"/>
        </w:rPr>
        <w:t>enje</w:t>
      </w:r>
      <w:r w:rsidRPr="006C2F5C">
        <w:rPr>
          <w:rFonts w:asciiTheme="majorHAnsi" w:hAnsiTheme="majorHAnsi"/>
          <w:lang w:val="sr-Latn-ME"/>
        </w:rPr>
        <w:t xml:space="preserve"> </w:t>
      </w:r>
      <w:r w:rsidRPr="006C2F5C">
        <w:rPr>
          <w:rFonts w:asciiTheme="majorHAnsi" w:hAnsiTheme="majorHAnsi"/>
        </w:rPr>
        <w:t>i</w:t>
      </w:r>
      <w:r w:rsidRPr="006C2F5C">
        <w:rPr>
          <w:rFonts w:asciiTheme="majorHAnsi" w:hAnsiTheme="majorHAnsi"/>
          <w:lang w:val="sr-Latn-ME"/>
        </w:rPr>
        <w:t xml:space="preserve"> </w:t>
      </w:r>
      <w:r w:rsidRPr="006C2F5C">
        <w:rPr>
          <w:rFonts w:asciiTheme="majorHAnsi" w:hAnsiTheme="majorHAnsi"/>
        </w:rPr>
        <w:t>vrednovanje</w:t>
      </w:r>
      <w:r w:rsidRPr="006C2F5C">
        <w:rPr>
          <w:rFonts w:asciiTheme="majorHAnsi" w:hAnsiTheme="majorHAnsi"/>
          <w:lang w:val="sr-Latn-ME"/>
        </w:rPr>
        <w:t xml:space="preserve"> </w:t>
      </w:r>
      <w:r w:rsidRPr="006C2F5C">
        <w:rPr>
          <w:rFonts w:asciiTheme="majorHAnsi" w:hAnsiTheme="majorHAnsi"/>
        </w:rPr>
        <w:t>doprinosa</w:t>
      </w:r>
      <w:r w:rsidRPr="006C2F5C">
        <w:rPr>
          <w:rFonts w:asciiTheme="majorHAnsi" w:hAnsiTheme="majorHAnsi"/>
          <w:lang w:val="sr-Latn-ME"/>
        </w:rPr>
        <w:t xml:space="preserve"> </w:t>
      </w:r>
      <w:r w:rsidRPr="006C2F5C">
        <w:rPr>
          <w:rFonts w:asciiTheme="majorHAnsi" w:hAnsiTheme="majorHAnsi"/>
        </w:rPr>
        <w:t>rje</w:t>
      </w:r>
      <w:r w:rsidRPr="006C2F5C">
        <w:rPr>
          <w:rFonts w:asciiTheme="majorHAnsi" w:hAnsiTheme="majorHAnsi"/>
          <w:lang w:val="sr-Latn-ME"/>
        </w:rPr>
        <w:t>š</w:t>
      </w:r>
      <w:r w:rsidRPr="006C2F5C">
        <w:rPr>
          <w:rFonts w:asciiTheme="majorHAnsi" w:hAnsiTheme="majorHAnsi"/>
        </w:rPr>
        <w:t>avanju</w:t>
      </w:r>
      <w:r w:rsidRPr="006C2F5C">
        <w:rPr>
          <w:rFonts w:asciiTheme="majorHAnsi" w:hAnsiTheme="majorHAnsi"/>
          <w:lang w:val="sr-Latn-ME"/>
        </w:rPr>
        <w:t xml:space="preserve"> </w:t>
      </w:r>
      <w:r w:rsidRPr="006C2F5C">
        <w:rPr>
          <w:rFonts w:asciiTheme="majorHAnsi" w:hAnsiTheme="majorHAnsi"/>
        </w:rPr>
        <w:t>pomenutih</w:t>
      </w:r>
      <w:r w:rsidRPr="006C2F5C">
        <w:rPr>
          <w:rFonts w:asciiTheme="majorHAnsi" w:hAnsiTheme="majorHAnsi"/>
          <w:lang w:val="sr-Latn-ME"/>
        </w:rPr>
        <w:t xml:space="preserve"> </w:t>
      </w:r>
      <w:r w:rsidRPr="006C2F5C">
        <w:rPr>
          <w:rFonts w:asciiTheme="majorHAnsi" w:hAnsiTheme="majorHAnsi"/>
        </w:rPr>
        <w:t>problema</w:t>
      </w:r>
      <w:r w:rsidRPr="006C2F5C">
        <w:rPr>
          <w:rFonts w:asciiTheme="majorHAnsi" w:hAnsiTheme="majorHAnsi"/>
          <w:lang w:val="sr-Latn-ME"/>
        </w:rPr>
        <w:t xml:space="preserve">. </w:t>
      </w:r>
      <w:r w:rsidRPr="006C2F5C">
        <w:rPr>
          <w:rFonts w:asciiTheme="majorHAnsi" w:hAnsiTheme="majorHAnsi"/>
        </w:rPr>
        <w:t>Navesti</w:t>
      </w:r>
      <w:r w:rsidRPr="006C2F5C">
        <w:rPr>
          <w:rFonts w:asciiTheme="majorHAnsi" w:hAnsiTheme="majorHAnsi"/>
          <w:lang w:val="sr-Latn-ME"/>
        </w:rPr>
        <w:t xml:space="preserve"> </w:t>
      </w:r>
      <w:r w:rsidRPr="006C2F5C">
        <w:rPr>
          <w:rFonts w:asciiTheme="majorHAnsi" w:hAnsiTheme="majorHAnsi"/>
        </w:rPr>
        <w:t>konkretne</w:t>
      </w:r>
      <w:r w:rsidRPr="006C2F5C">
        <w:rPr>
          <w:rFonts w:asciiTheme="majorHAnsi" w:hAnsiTheme="majorHAnsi"/>
          <w:lang w:val="sr-Latn-ME"/>
        </w:rPr>
        <w:t xml:space="preserve"> </w:t>
      </w:r>
      <w:r w:rsidRPr="006C2F5C">
        <w:rPr>
          <w:rFonts w:asciiTheme="majorHAnsi" w:hAnsiTheme="majorHAnsi"/>
        </w:rPr>
        <w:t>mjerljive</w:t>
      </w:r>
      <w:r w:rsidRPr="006C2F5C">
        <w:rPr>
          <w:rFonts w:asciiTheme="majorHAnsi" w:hAnsiTheme="majorHAnsi"/>
          <w:lang w:val="sr-Latn-ME"/>
        </w:rPr>
        <w:t xml:space="preserve"> </w:t>
      </w:r>
      <w:r w:rsidRPr="006C2F5C">
        <w:rPr>
          <w:rFonts w:asciiTheme="majorHAnsi" w:hAnsiTheme="majorHAnsi"/>
        </w:rPr>
        <w:t>pokazatelje</w:t>
      </w:r>
      <w:r w:rsidRPr="006C2F5C">
        <w:rPr>
          <w:rFonts w:asciiTheme="majorHAnsi" w:hAnsiTheme="majorHAnsi"/>
          <w:lang w:val="sr-Latn-ME"/>
        </w:rPr>
        <w:t>/</w:t>
      </w:r>
      <w:r w:rsidRPr="006C2F5C">
        <w:rPr>
          <w:rFonts w:asciiTheme="majorHAnsi" w:hAnsiTheme="majorHAnsi"/>
        </w:rPr>
        <w:t>indikatore</w:t>
      </w:r>
      <w:r w:rsidRPr="006C2F5C">
        <w:rPr>
          <w:rFonts w:asciiTheme="majorHAnsi" w:hAnsiTheme="majorHAnsi"/>
          <w:lang w:val="sr-Latn-ME"/>
        </w:rPr>
        <w:t xml:space="preserve"> </w:t>
      </w:r>
      <w:r w:rsidRPr="006C2F5C">
        <w:rPr>
          <w:rFonts w:asciiTheme="majorHAnsi" w:hAnsiTheme="majorHAnsi"/>
        </w:rPr>
        <w:t>za</w:t>
      </w:r>
      <w:r w:rsidRPr="006C2F5C">
        <w:rPr>
          <w:rFonts w:asciiTheme="majorHAnsi" w:hAnsiTheme="majorHAnsi"/>
          <w:lang w:val="sr-Latn-ME"/>
        </w:rPr>
        <w:t xml:space="preserve"> </w:t>
      </w:r>
      <w:r w:rsidRPr="006C2F5C">
        <w:rPr>
          <w:rFonts w:asciiTheme="majorHAnsi" w:hAnsiTheme="majorHAnsi"/>
        </w:rPr>
        <w:t>pra</w:t>
      </w:r>
      <w:r w:rsidRPr="006C2F5C">
        <w:rPr>
          <w:rFonts w:asciiTheme="majorHAnsi" w:hAnsiTheme="majorHAnsi"/>
          <w:lang w:val="sr-Latn-ME"/>
        </w:rPr>
        <w:t>ć</w:t>
      </w:r>
      <w:r w:rsidRPr="006C2F5C">
        <w:rPr>
          <w:rFonts w:asciiTheme="majorHAnsi" w:hAnsiTheme="majorHAnsi"/>
        </w:rPr>
        <w:t>enje</w:t>
      </w:r>
      <w:r w:rsidRPr="006C2F5C">
        <w:rPr>
          <w:rFonts w:asciiTheme="majorHAnsi" w:hAnsiTheme="majorHAnsi"/>
          <w:lang w:val="sr-Latn-ME"/>
        </w:rPr>
        <w:t xml:space="preserve"> </w:t>
      </w:r>
      <w:r w:rsidRPr="006C2F5C">
        <w:rPr>
          <w:rFonts w:asciiTheme="majorHAnsi" w:hAnsiTheme="majorHAnsi"/>
        </w:rPr>
        <w:t>doprinosa</w:t>
      </w:r>
      <w:r w:rsidRPr="006C2F5C">
        <w:rPr>
          <w:rFonts w:asciiTheme="majorHAnsi" w:hAnsiTheme="majorHAnsi"/>
          <w:lang w:val="sr-Latn-ME"/>
        </w:rPr>
        <w:t xml:space="preserve"> </w:t>
      </w:r>
      <w:r w:rsidRPr="006C2F5C">
        <w:rPr>
          <w:rFonts w:asciiTheme="majorHAnsi" w:hAnsiTheme="majorHAnsi"/>
        </w:rPr>
        <w:t>nevladinih</w:t>
      </w:r>
      <w:r w:rsidRPr="006C2F5C">
        <w:rPr>
          <w:rFonts w:asciiTheme="majorHAnsi" w:hAnsiTheme="majorHAnsi"/>
          <w:lang w:val="sr-Latn-ME"/>
        </w:rPr>
        <w:t xml:space="preserve"> </w:t>
      </w:r>
      <w:r w:rsidRPr="006C2F5C">
        <w:rPr>
          <w:rFonts w:asciiTheme="majorHAnsi" w:hAnsiTheme="majorHAnsi"/>
        </w:rPr>
        <w:t>organizacija</w:t>
      </w:r>
      <w:r w:rsidRPr="006C2F5C">
        <w:rPr>
          <w:rFonts w:asciiTheme="majorHAnsi" w:hAnsiTheme="majorHAnsi"/>
          <w:lang w:val="sr-Latn-ME"/>
        </w:rPr>
        <w:t xml:space="preserve"> </w:t>
      </w:r>
      <w:r w:rsidRPr="006C2F5C">
        <w:rPr>
          <w:rFonts w:asciiTheme="majorHAnsi" w:hAnsiTheme="majorHAnsi"/>
        </w:rPr>
        <w:t>rje</w:t>
      </w:r>
      <w:r w:rsidRPr="006C2F5C">
        <w:rPr>
          <w:rFonts w:asciiTheme="majorHAnsi" w:hAnsiTheme="majorHAnsi"/>
          <w:lang w:val="sr-Latn-ME"/>
        </w:rPr>
        <w:t>š</w:t>
      </w:r>
      <w:r w:rsidRPr="006C2F5C">
        <w:rPr>
          <w:rFonts w:asciiTheme="majorHAnsi" w:hAnsiTheme="majorHAnsi"/>
        </w:rPr>
        <w:t>avanju</w:t>
      </w:r>
      <w:r w:rsidRPr="006C2F5C">
        <w:rPr>
          <w:rFonts w:asciiTheme="majorHAnsi" w:hAnsiTheme="majorHAnsi"/>
          <w:lang w:val="sr-Latn-ME"/>
        </w:rPr>
        <w:t xml:space="preserve"> </w:t>
      </w:r>
      <w:r w:rsidRPr="006C2F5C">
        <w:rPr>
          <w:rFonts w:asciiTheme="majorHAnsi" w:hAnsiTheme="majorHAnsi"/>
        </w:rPr>
        <w:t>identifikovanih</w:t>
      </w:r>
      <w:r w:rsidRPr="006C2F5C">
        <w:rPr>
          <w:rFonts w:asciiTheme="majorHAnsi" w:hAnsiTheme="majorHAnsi"/>
          <w:lang w:val="sr-Latn-ME"/>
        </w:rPr>
        <w:t xml:space="preserve"> </w:t>
      </w:r>
      <w:r w:rsidRPr="006C2F5C">
        <w:rPr>
          <w:rFonts w:asciiTheme="majorHAnsi" w:hAnsiTheme="majorHAnsi"/>
        </w:rPr>
        <w:t>problema</w:t>
      </w:r>
      <w:r w:rsidRPr="006C2F5C">
        <w:rPr>
          <w:rFonts w:asciiTheme="majorHAnsi" w:hAnsiTheme="majorHAnsi"/>
          <w:lang w:val="sr-Latn-ME"/>
        </w:rPr>
        <w:t xml:space="preserve"> </w:t>
      </w:r>
      <w:r w:rsidRPr="006C2F5C">
        <w:rPr>
          <w:rFonts w:asciiTheme="majorHAnsi" w:hAnsiTheme="majorHAnsi"/>
        </w:rPr>
        <w:t>i</w:t>
      </w:r>
      <w:r w:rsidRPr="006C2F5C">
        <w:rPr>
          <w:rFonts w:asciiTheme="majorHAnsi" w:hAnsiTheme="majorHAnsi"/>
          <w:lang w:val="sr-Latn-ME"/>
        </w:rPr>
        <w:t xml:space="preserve"> </w:t>
      </w:r>
      <w:r w:rsidRPr="006C2F5C">
        <w:rPr>
          <w:rFonts w:asciiTheme="majorHAnsi" w:hAnsiTheme="majorHAnsi"/>
        </w:rPr>
        <w:t>izvore</w:t>
      </w:r>
      <w:r w:rsidRPr="006C2F5C">
        <w:rPr>
          <w:rFonts w:asciiTheme="majorHAnsi" w:hAnsiTheme="majorHAnsi"/>
          <w:lang w:val="sr-Latn-ME"/>
        </w:rPr>
        <w:t xml:space="preserve"> </w:t>
      </w:r>
      <w:r w:rsidRPr="006C2F5C">
        <w:rPr>
          <w:rFonts w:asciiTheme="majorHAnsi" w:hAnsiTheme="majorHAnsi"/>
        </w:rPr>
        <w:t>verifikacije</w:t>
      </w:r>
      <w:r w:rsidRPr="006C2F5C">
        <w:rPr>
          <w:rFonts w:asciiTheme="majorHAnsi" w:hAnsiTheme="majorHAnsi"/>
          <w:lang w:val="sr-Latn-ME"/>
        </w:rPr>
        <w:t xml:space="preserve"> </w:t>
      </w:r>
      <w:r w:rsidRPr="006C2F5C">
        <w:rPr>
          <w:rFonts w:asciiTheme="majorHAnsi" w:hAnsiTheme="majorHAnsi"/>
        </w:rPr>
        <w:t>u</w:t>
      </w:r>
      <w:r w:rsidRPr="006C2F5C">
        <w:rPr>
          <w:rFonts w:asciiTheme="majorHAnsi" w:hAnsiTheme="majorHAnsi"/>
          <w:lang w:val="sr-Latn-ME"/>
        </w:rPr>
        <w:t>č</w:t>
      </w:r>
      <w:r w:rsidRPr="006C2F5C">
        <w:rPr>
          <w:rFonts w:asciiTheme="majorHAnsi" w:hAnsiTheme="majorHAnsi"/>
        </w:rPr>
        <w:t>injenog</w:t>
      </w:r>
      <w:r w:rsidRPr="006C2F5C">
        <w:rPr>
          <w:rFonts w:asciiTheme="majorHAnsi" w:hAnsiTheme="majorHAnsi"/>
          <w:lang w:val="sr-Latn-ME"/>
        </w:rPr>
        <w:t>.</w:t>
      </w:r>
    </w:p>
    <w:tbl>
      <w:tblPr>
        <w:tblStyle w:val="TableGrid"/>
        <w:tblW w:w="0" w:type="auto"/>
        <w:tblInd w:w="792" w:type="dxa"/>
        <w:tblLook w:val="04A0" w:firstRow="1" w:lastRow="0" w:firstColumn="1" w:lastColumn="0" w:noHBand="0" w:noVBand="1"/>
      </w:tblPr>
      <w:tblGrid>
        <w:gridCol w:w="4582"/>
        <w:gridCol w:w="4582"/>
        <w:gridCol w:w="4582"/>
      </w:tblGrid>
      <w:tr w:rsidR="00C12EAA" w:rsidRPr="006C2F5C" w14:paraId="44EB632B" w14:textId="77777777" w:rsidTr="008671CC">
        <w:tc>
          <w:tcPr>
            <w:tcW w:w="4582" w:type="dxa"/>
            <w:tcBorders>
              <w:top w:val="single" w:sz="18" w:space="0" w:color="auto"/>
            </w:tcBorders>
            <w:shd w:val="clear" w:color="auto" w:fill="F2F2F2" w:themeFill="background1" w:themeFillShade="F2"/>
            <w:tcMar>
              <w:top w:w="57" w:type="dxa"/>
              <w:bottom w:w="57" w:type="dxa"/>
            </w:tcMar>
          </w:tcPr>
          <w:p w14:paraId="6C0DA9F1" w14:textId="77777777" w:rsidR="00C12EAA" w:rsidRPr="006C2F5C" w:rsidRDefault="00C12EAA" w:rsidP="008671CC">
            <w:pPr>
              <w:spacing w:after="0"/>
              <w:rPr>
                <w:rFonts w:asciiTheme="majorHAnsi" w:hAnsiTheme="majorHAnsi"/>
                <w:lang w:val="es-ES"/>
              </w:rPr>
            </w:pPr>
            <w:r w:rsidRPr="006C2F5C">
              <w:rPr>
                <w:rFonts w:asciiTheme="majorHAnsi" w:hAnsiTheme="majorHAnsi"/>
                <w:lang w:val="es-ES"/>
              </w:rPr>
              <w:lastRenderedPageBreak/>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633D73D7" w14:textId="77777777" w:rsidR="00C12EAA" w:rsidRPr="006C2F5C" w:rsidRDefault="00C12EAA" w:rsidP="008671CC">
            <w:pPr>
              <w:spacing w:after="0"/>
              <w:rPr>
                <w:rFonts w:asciiTheme="majorHAnsi" w:hAnsiTheme="majorHAnsi"/>
                <w:lang w:val="es-ES"/>
              </w:rPr>
            </w:pPr>
            <w:r w:rsidRPr="006C2F5C">
              <w:rPr>
                <w:rFonts w:asciiTheme="majorHAnsi" w:hAnsiTheme="majorHAnsi"/>
                <w:lang w:val="es-ES"/>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14:paraId="4791F185" w14:textId="77777777" w:rsidR="00C12EAA" w:rsidRPr="006C2F5C" w:rsidRDefault="00C12EAA" w:rsidP="008671CC">
            <w:pPr>
              <w:spacing w:after="0"/>
              <w:rPr>
                <w:rFonts w:asciiTheme="majorHAnsi" w:hAnsiTheme="majorHAnsi"/>
              </w:rPr>
            </w:pPr>
            <w:r w:rsidRPr="006C2F5C">
              <w:rPr>
                <w:rFonts w:asciiTheme="majorHAnsi" w:hAnsiTheme="majorHAnsi"/>
              </w:rPr>
              <w:t>Izvor(i) podataka</w:t>
            </w:r>
          </w:p>
        </w:tc>
      </w:tr>
      <w:tr w:rsidR="00C12EAA" w:rsidRPr="006C2F5C" w14:paraId="21AF5E0E" w14:textId="77777777" w:rsidTr="008671CC">
        <w:tc>
          <w:tcPr>
            <w:tcW w:w="4582" w:type="dxa"/>
            <w:tcMar>
              <w:top w:w="57" w:type="dxa"/>
              <w:bottom w:w="57" w:type="dxa"/>
            </w:tcMar>
          </w:tcPr>
          <w:p w14:paraId="15483906" w14:textId="44C44EFE" w:rsidR="009C2721" w:rsidRPr="006C2F5C" w:rsidRDefault="004C15B6" w:rsidP="00D0286F">
            <w:pPr>
              <w:rPr>
                <w:rFonts w:asciiTheme="majorHAnsi" w:eastAsia="Calibri" w:hAnsiTheme="majorHAnsi" w:cs="Arial"/>
                <w:lang w:val="sr-Latn-ME"/>
              </w:rPr>
            </w:pPr>
            <w:r w:rsidRPr="006C2F5C">
              <w:rPr>
                <w:rFonts w:asciiTheme="majorHAnsi" w:eastAsia="Calibri" w:hAnsiTheme="majorHAnsi" w:cs="Arial"/>
              </w:rPr>
              <w:t>Nevladin</w:t>
            </w:r>
            <w:r w:rsidRPr="006C2F5C">
              <w:rPr>
                <w:rFonts w:asciiTheme="majorHAnsi" w:eastAsia="Calibri" w:hAnsiTheme="majorHAnsi" w:cs="Arial"/>
                <w:lang w:val="sr-Latn-ME"/>
              </w:rPr>
              <w:t xml:space="preserve"> </w:t>
            </w:r>
            <w:r w:rsidRPr="006C2F5C">
              <w:rPr>
                <w:rFonts w:asciiTheme="majorHAnsi" w:eastAsia="Calibri" w:hAnsiTheme="majorHAnsi" w:cs="Arial"/>
              </w:rPr>
              <w:t>sektor</w:t>
            </w:r>
            <w:r w:rsidRPr="006C2F5C">
              <w:rPr>
                <w:rFonts w:asciiTheme="majorHAnsi" w:eastAsia="Calibri" w:hAnsiTheme="majorHAnsi" w:cs="Arial"/>
                <w:lang w:val="sr-Latn-ME"/>
              </w:rPr>
              <w:t xml:space="preserve"> </w:t>
            </w:r>
            <w:r w:rsidRPr="006C2F5C">
              <w:rPr>
                <w:rFonts w:asciiTheme="majorHAnsi" w:eastAsia="Calibri" w:hAnsiTheme="majorHAnsi" w:cs="Arial"/>
              </w:rPr>
              <w:t>je</w:t>
            </w:r>
            <w:r w:rsidRPr="006C2F5C">
              <w:rPr>
                <w:rFonts w:asciiTheme="majorHAnsi" w:eastAsia="Calibri" w:hAnsiTheme="majorHAnsi" w:cs="Arial"/>
                <w:lang w:val="sr-Latn-ME"/>
              </w:rPr>
              <w:t xml:space="preserve"> </w:t>
            </w:r>
            <w:r w:rsidRPr="006C2F5C">
              <w:rPr>
                <w:rFonts w:asciiTheme="majorHAnsi" w:eastAsia="Calibri" w:hAnsiTheme="majorHAnsi" w:cs="Arial"/>
              </w:rPr>
              <w:t>klju</w:t>
            </w:r>
            <w:r w:rsidRPr="006C2F5C">
              <w:rPr>
                <w:rFonts w:asciiTheme="majorHAnsi" w:eastAsia="Calibri" w:hAnsiTheme="majorHAnsi" w:cs="Arial"/>
                <w:lang w:val="sr-Latn-ME"/>
              </w:rPr>
              <w:t>č</w:t>
            </w:r>
            <w:r w:rsidRPr="006C2F5C">
              <w:rPr>
                <w:rFonts w:asciiTheme="majorHAnsi" w:eastAsia="Calibri" w:hAnsiTheme="majorHAnsi" w:cs="Arial"/>
              </w:rPr>
              <w:t>ni</w:t>
            </w:r>
            <w:r w:rsidRPr="006C2F5C">
              <w:rPr>
                <w:rFonts w:asciiTheme="majorHAnsi" w:eastAsia="Calibri" w:hAnsiTheme="majorHAnsi" w:cs="Arial"/>
                <w:lang w:val="sr-Latn-ME"/>
              </w:rPr>
              <w:t xml:space="preserve"> </w:t>
            </w:r>
            <w:proofErr w:type="gramStart"/>
            <w:r w:rsidRPr="006C2F5C">
              <w:rPr>
                <w:rFonts w:asciiTheme="majorHAnsi" w:eastAsia="Calibri" w:hAnsiTheme="majorHAnsi" w:cs="Arial"/>
              </w:rPr>
              <w:t>akter</w:t>
            </w:r>
            <w:r w:rsidRPr="006C2F5C">
              <w:rPr>
                <w:rFonts w:asciiTheme="majorHAnsi" w:eastAsia="Calibri" w:hAnsiTheme="majorHAnsi" w:cs="Arial"/>
                <w:lang w:val="sr-Latn-ME"/>
              </w:rPr>
              <w:t xml:space="preserve">  </w:t>
            </w:r>
            <w:r w:rsidRPr="006C2F5C">
              <w:rPr>
                <w:rFonts w:asciiTheme="majorHAnsi" w:eastAsia="Calibri" w:hAnsiTheme="majorHAnsi" w:cs="Arial"/>
              </w:rPr>
              <w:t>koji</w:t>
            </w:r>
            <w:proofErr w:type="gramEnd"/>
            <w:r w:rsidRPr="006C2F5C">
              <w:rPr>
                <w:rFonts w:asciiTheme="majorHAnsi" w:eastAsia="Calibri" w:hAnsiTheme="majorHAnsi" w:cs="Arial"/>
                <w:lang w:val="sr-Latn-ME"/>
              </w:rPr>
              <w:t xml:space="preserve"> </w:t>
            </w:r>
            <w:r w:rsidRPr="006C2F5C">
              <w:rPr>
                <w:rFonts w:asciiTheme="majorHAnsi" w:eastAsia="Calibri" w:hAnsiTheme="majorHAnsi" w:cs="Arial"/>
              </w:rPr>
              <w:t>djeluje</w:t>
            </w:r>
            <w:r w:rsidRPr="006C2F5C">
              <w:rPr>
                <w:rFonts w:asciiTheme="majorHAnsi" w:eastAsia="Calibri" w:hAnsiTheme="majorHAnsi" w:cs="Arial"/>
                <w:lang w:val="sr-Latn-ME"/>
              </w:rPr>
              <w:t xml:space="preserve"> </w:t>
            </w:r>
            <w:r w:rsidRPr="006C2F5C">
              <w:rPr>
                <w:rFonts w:asciiTheme="majorHAnsi" w:eastAsia="Calibri" w:hAnsiTheme="majorHAnsi" w:cs="Arial"/>
              </w:rPr>
              <w:t>u</w:t>
            </w:r>
            <w:r w:rsidRPr="006C2F5C">
              <w:rPr>
                <w:rFonts w:asciiTheme="majorHAnsi" w:eastAsia="Calibri" w:hAnsiTheme="majorHAnsi" w:cs="Arial"/>
                <w:lang w:val="sr-Latn-ME"/>
              </w:rPr>
              <w:t xml:space="preserve"> </w:t>
            </w:r>
            <w:r w:rsidRPr="006C2F5C">
              <w:rPr>
                <w:rFonts w:asciiTheme="majorHAnsi" w:eastAsia="Calibri" w:hAnsiTheme="majorHAnsi" w:cs="Arial"/>
              </w:rPr>
              <w:t>sferi</w:t>
            </w:r>
            <w:r w:rsidRPr="006C2F5C">
              <w:rPr>
                <w:rFonts w:asciiTheme="majorHAnsi" w:eastAsia="Calibri" w:hAnsiTheme="majorHAnsi" w:cs="Arial"/>
                <w:lang w:val="sr-Latn-ME"/>
              </w:rPr>
              <w:t xml:space="preserve"> </w:t>
            </w:r>
            <w:r w:rsidRPr="006C2F5C">
              <w:rPr>
                <w:rFonts w:asciiTheme="majorHAnsi" w:eastAsia="Calibri" w:hAnsiTheme="majorHAnsi" w:cs="Arial"/>
              </w:rPr>
              <w:t>izme</w:t>
            </w:r>
            <w:r w:rsidRPr="006C2F5C">
              <w:rPr>
                <w:rFonts w:asciiTheme="majorHAnsi" w:eastAsia="Calibri" w:hAnsiTheme="majorHAnsi" w:cs="Arial"/>
                <w:lang w:val="sr-Latn-ME"/>
              </w:rPr>
              <w:t>đ</w:t>
            </w:r>
            <w:r w:rsidRPr="006C2F5C">
              <w:rPr>
                <w:rFonts w:asciiTheme="majorHAnsi" w:eastAsia="Calibri" w:hAnsiTheme="majorHAnsi" w:cs="Arial"/>
              </w:rPr>
              <w:t>u</w:t>
            </w:r>
            <w:r w:rsidRPr="006C2F5C">
              <w:rPr>
                <w:rFonts w:asciiTheme="majorHAnsi" w:eastAsia="Calibri" w:hAnsiTheme="majorHAnsi" w:cs="Arial"/>
                <w:lang w:val="sr-Latn-ME"/>
              </w:rPr>
              <w:t xml:space="preserve"> </w:t>
            </w:r>
            <w:r w:rsidRPr="006C2F5C">
              <w:rPr>
                <w:rFonts w:asciiTheme="majorHAnsi" w:eastAsia="Calibri" w:hAnsiTheme="majorHAnsi" w:cs="Arial"/>
              </w:rPr>
              <w:t>dr</w:t>
            </w:r>
            <w:r w:rsidRPr="006C2F5C">
              <w:rPr>
                <w:rFonts w:asciiTheme="majorHAnsi" w:eastAsia="Calibri" w:hAnsiTheme="majorHAnsi" w:cs="Arial"/>
                <w:lang w:val="sr-Latn-ME"/>
              </w:rPr>
              <w:t>ž</w:t>
            </w:r>
            <w:r w:rsidRPr="006C2F5C">
              <w:rPr>
                <w:rFonts w:asciiTheme="majorHAnsi" w:eastAsia="Calibri" w:hAnsiTheme="majorHAnsi" w:cs="Arial"/>
              </w:rPr>
              <w:t>avnih</w:t>
            </w:r>
            <w:r w:rsidRPr="006C2F5C">
              <w:rPr>
                <w:rFonts w:asciiTheme="majorHAnsi" w:eastAsia="Calibri" w:hAnsiTheme="majorHAnsi" w:cs="Arial"/>
                <w:lang w:val="sr-Latn-ME"/>
              </w:rPr>
              <w:t xml:space="preserve"> </w:t>
            </w:r>
            <w:r w:rsidRPr="006C2F5C">
              <w:rPr>
                <w:rFonts w:asciiTheme="majorHAnsi" w:eastAsia="Calibri" w:hAnsiTheme="majorHAnsi" w:cs="Arial"/>
              </w:rPr>
              <w:t>institucija</w:t>
            </w:r>
            <w:r w:rsidR="00D0286F" w:rsidRPr="006C2F5C">
              <w:rPr>
                <w:rFonts w:asciiTheme="majorHAnsi" w:eastAsia="Calibri" w:hAnsiTheme="majorHAnsi" w:cs="Arial"/>
                <w:lang w:val="sr-Latn-ME"/>
              </w:rPr>
              <w:t xml:space="preserve"> </w:t>
            </w:r>
            <w:r w:rsidRPr="006C2F5C">
              <w:rPr>
                <w:rFonts w:asciiTheme="majorHAnsi" w:eastAsia="Calibri" w:hAnsiTheme="majorHAnsi" w:cs="Arial"/>
              </w:rPr>
              <w:t>i</w:t>
            </w:r>
            <w:r w:rsidRPr="006C2F5C">
              <w:rPr>
                <w:rFonts w:asciiTheme="majorHAnsi" w:eastAsia="Calibri" w:hAnsiTheme="majorHAnsi" w:cs="Arial"/>
                <w:lang w:val="sr-Latn-ME"/>
              </w:rPr>
              <w:t xml:space="preserve"> </w:t>
            </w:r>
            <w:r w:rsidRPr="006C2F5C">
              <w:rPr>
                <w:rFonts w:asciiTheme="majorHAnsi" w:eastAsia="Calibri" w:hAnsiTheme="majorHAnsi" w:cs="Arial"/>
              </w:rPr>
              <w:t>gra</w:t>
            </w:r>
            <w:r w:rsidRPr="006C2F5C">
              <w:rPr>
                <w:rFonts w:asciiTheme="majorHAnsi" w:eastAsia="Calibri" w:hAnsiTheme="majorHAnsi" w:cs="Arial"/>
                <w:lang w:val="sr-Latn-ME"/>
              </w:rPr>
              <w:t>đ</w:t>
            </w:r>
            <w:r w:rsidRPr="006C2F5C">
              <w:rPr>
                <w:rFonts w:asciiTheme="majorHAnsi" w:eastAsia="Calibri" w:hAnsiTheme="majorHAnsi" w:cs="Arial"/>
              </w:rPr>
              <w:t>ana</w:t>
            </w:r>
            <w:r w:rsidRPr="006C2F5C">
              <w:rPr>
                <w:rFonts w:asciiTheme="majorHAnsi" w:eastAsia="Calibri" w:hAnsiTheme="majorHAnsi" w:cs="Arial"/>
                <w:lang w:val="sr-Latn-ME"/>
              </w:rPr>
              <w:t xml:space="preserve">  </w:t>
            </w:r>
            <w:r w:rsidRPr="006C2F5C">
              <w:rPr>
                <w:rFonts w:asciiTheme="majorHAnsi" w:eastAsia="Calibri" w:hAnsiTheme="majorHAnsi" w:cs="Arial"/>
              </w:rPr>
              <w:t>s</w:t>
            </w:r>
            <w:r w:rsidRPr="006C2F5C">
              <w:rPr>
                <w:rFonts w:asciiTheme="majorHAnsi" w:eastAsia="Calibri" w:hAnsiTheme="majorHAnsi" w:cs="Arial"/>
                <w:lang w:val="sr-Latn-ME"/>
              </w:rPr>
              <w:t xml:space="preserve"> </w:t>
            </w:r>
            <w:r w:rsidRPr="006C2F5C">
              <w:rPr>
                <w:rFonts w:asciiTheme="majorHAnsi" w:eastAsia="Calibri" w:hAnsiTheme="majorHAnsi" w:cs="Arial"/>
              </w:rPr>
              <w:t>jasnim</w:t>
            </w:r>
            <w:r w:rsidRPr="006C2F5C">
              <w:rPr>
                <w:rFonts w:asciiTheme="majorHAnsi" w:eastAsia="Calibri" w:hAnsiTheme="majorHAnsi" w:cs="Arial"/>
                <w:lang w:val="sr-Latn-ME"/>
              </w:rPr>
              <w:t xml:space="preserve"> </w:t>
            </w:r>
            <w:r w:rsidRPr="006C2F5C">
              <w:rPr>
                <w:rFonts w:asciiTheme="majorHAnsi" w:eastAsia="Calibri" w:hAnsiTheme="majorHAnsi" w:cs="Arial"/>
              </w:rPr>
              <w:t>cijem</w:t>
            </w:r>
            <w:r w:rsidRPr="006C2F5C">
              <w:rPr>
                <w:rFonts w:asciiTheme="majorHAnsi" w:eastAsia="Calibri" w:hAnsiTheme="majorHAnsi" w:cs="Arial"/>
                <w:lang w:val="sr-Latn-ME"/>
              </w:rPr>
              <w:t xml:space="preserve"> </w:t>
            </w:r>
            <w:r w:rsidRPr="006C2F5C">
              <w:rPr>
                <w:rFonts w:asciiTheme="majorHAnsi" w:eastAsia="Calibri" w:hAnsiTheme="majorHAnsi" w:cs="Arial"/>
              </w:rPr>
              <w:t>unapre</w:t>
            </w:r>
            <w:r w:rsidRPr="006C2F5C">
              <w:rPr>
                <w:rFonts w:asciiTheme="majorHAnsi" w:eastAsia="Calibri" w:hAnsiTheme="majorHAnsi" w:cs="Arial"/>
                <w:lang w:val="sr-Latn-ME"/>
              </w:rPr>
              <w:t>đ</w:t>
            </w:r>
            <w:r w:rsidRPr="006C2F5C">
              <w:rPr>
                <w:rFonts w:asciiTheme="majorHAnsi" w:eastAsia="Calibri" w:hAnsiTheme="majorHAnsi" w:cs="Arial"/>
              </w:rPr>
              <w:t>ivanja</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stanja</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u</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razli</w:t>
            </w:r>
            <w:r w:rsidR="002A30C4" w:rsidRPr="006C2F5C">
              <w:rPr>
                <w:rFonts w:asciiTheme="majorHAnsi" w:eastAsia="Calibri" w:hAnsiTheme="majorHAnsi" w:cs="Arial"/>
                <w:lang w:val="sr-Latn-ME"/>
              </w:rPr>
              <w:t>č</w:t>
            </w:r>
            <w:r w:rsidR="002A30C4" w:rsidRPr="006C2F5C">
              <w:rPr>
                <w:rFonts w:asciiTheme="majorHAnsi" w:eastAsia="Calibri" w:hAnsiTheme="majorHAnsi" w:cs="Arial"/>
              </w:rPr>
              <w:t>itim</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oblastima</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od</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javnog</w:t>
            </w:r>
            <w:r w:rsidR="002A30C4" w:rsidRPr="006C2F5C">
              <w:rPr>
                <w:rFonts w:asciiTheme="majorHAnsi" w:eastAsia="Calibri" w:hAnsiTheme="majorHAnsi" w:cs="Arial"/>
                <w:lang w:val="sr-Latn-ME"/>
              </w:rPr>
              <w:t xml:space="preserve"> </w:t>
            </w:r>
            <w:r w:rsidR="002A30C4" w:rsidRPr="006C2F5C">
              <w:rPr>
                <w:rFonts w:asciiTheme="majorHAnsi" w:eastAsia="Calibri" w:hAnsiTheme="majorHAnsi" w:cs="Arial"/>
              </w:rPr>
              <w:t>interesa</w:t>
            </w:r>
            <w:r w:rsidR="002A2EED" w:rsidRPr="006C2F5C">
              <w:rPr>
                <w:rFonts w:asciiTheme="majorHAnsi" w:eastAsia="Calibri" w:hAnsiTheme="majorHAnsi" w:cs="Arial"/>
                <w:lang w:val="sr-Latn-ME"/>
              </w:rPr>
              <w:t>,</w:t>
            </w:r>
            <w:r w:rsidR="00D0286F" w:rsidRPr="006C2F5C">
              <w:rPr>
                <w:rFonts w:asciiTheme="majorHAnsi" w:eastAsia="Calibri" w:hAnsiTheme="majorHAnsi" w:cs="Arial"/>
              </w:rPr>
              <w:t>kako</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bi</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se</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kreirao</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bolji</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prostor</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za</w:t>
            </w:r>
            <w:r w:rsidR="00D0286F" w:rsidRPr="006C2F5C">
              <w:rPr>
                <w:rFonts w:asciiTheme="majorHAnsi" w:eastAsia="Calibri" w:hAnsiTheme="majorHAnsi" w:cs="Arial"/>
                <w:lang w:val="sr-Latn-ME"/>
              </w:rPr>
              <w:t xml:space="preserve"> ž</w:t>
            </w:r>
            <w:r w:rsidR="00D0286F" w:rsidRPr="006C2F5C">
              <w:rPr>
                <w:rFonts w:asciiTheme="majorHAnsi" w:eastAsia="Calibri" w:hAnsiTheme="majorHAnsi" w:cs="Arial"/>
              </w:rPr>
              <w:t>ivot</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svih</w:t>
            </w:r>
            <w:r w:rsidR="00D0286F" w:rsidRPr="006C2F5C">
              <w:rPr>
                <w:rFonts w:asciiTheme="majorHAnsi" w:eastAsia="Calibri" w:hAnsiTheme="majorHAnsi" w:cs="Arial"/>
                <w:lang w:val="sr-Latn-ME"/>
              </w:rPr>
              <w:t xml:space="preserve"> </w:t>
            </w:r>
            <w:r w:rsidR="00D0286F" w:rsidRPr="006C2F5C">
              <w:rPr>
                <w:rFonts w:asciiTheme="majorHAnsi" w:eastAsia="Calibri" w:hAnsiTheme="majorHAnsi" w:cs="Arial"/>
              </w:rPr>
              <w:t>gra</w:t>
            </w:r>
            <w:r w:rsidR="00D0286F" w:rsidRPr="006C2F5C">
              <w:rPr>
                <w:rFonts w:asciiTheme="majorHAnsi" w:eastAsia="Calibri" w:hAnsiTheme="majorHAnsi" w:cs="Arial"/>
                <w:lang w:val="sr-Latn-ME"/>
              </w:rPr>
              <w:t>đ</w:t>
            </w:r>
            <w:r w:rsidR="00D0286F" w:rsidRPr="006C2F5C">
              <w:rPr>
                <w:rFonts w:asciiTheme="majorHAnsi" w:eastAsia="Calibri" w:hAnsiTheme="majorHAnsi" w:cs="Arial"/>
              </w:rPr>
              <w:t>ana</w:t>
            </w:r>
            <w:r w:rsidR="00D0286F" w:rsidRPr="006C2F5C">
              <w:rPr>
                <w:rFonts w:asciiTheme="majorHAnsi" w:eastAsia="Calibri" w:hAnsiTheme="majorHAnsi" w:cs="Arial"/>
                <w:lang w:val="sr-Latn-ME"/>
              </w:rPr>
              <w:t xml:space="preserve">. </w:t>
            </w:r>
          </w:p>
          <w:p w14:paraId="4BA368EB" w14:textId="0C50510F" w:rsidR="002A2EED" w:rsidRPr="006C2F5C" w:rsidRDefault="002A2EED" w:rsidP="00D0286F">
            <w:pPr>
              <w:rPr>
                <w:rFonts w:asciiTheme="majorHAnsi" w:eastAsia="Calibri" w:hAnsiTheme="majorHAnsi" w:cs="Arial"/>
                <w:lang w:val="sr-Latn-ME"/>
              </w:rPr>
            </w:pPr>
            <w:r w:rsidRPr="006C2F5C">
              <w:rPr>
                <w:rFonts w:asciiTheme="majorHAnsi" w:eastAsia="Calibri" w:hAnsiTheme="majorHAnsi" w:cs="Arial"/>
                <w:lang w:val="sr-Latn-ME"/>
              </w:rPr>
              <w:t>Kao osnov svih napora NVO sektora, te zagovaračkih  aktivnosti i istraživanja, koji imaju za cilj unapređenje normativnog okvira i prakse, najčešće je neophodan pristup informacijama u posjedu organa državne uprave.</w:t>
            </w:r>
          </w:p>
          <w:p w14:paraId="0EC04AD6" w14:textId="60F91405" w:rsidR="004C15B6" w:rsidRPr="006C2F5C" w:rsidRDefault="00D0286F" w:rsidP="00D0286F">
            <w:pPr>
              <w:rPr>
                <w:rFonts w:asciiTheme="majorHAnsi" w:eastAsia="Calibri" w:hAnsiTheme="majorHAnsi" w:cs="Arial"/>
                <w:lang w:val="sr-Latn-ME"/>
              </w:rPr>
            </w:pPr>
            <w:r w:rsidRPr="006C2F5C">
              <w:rPr>
                <w:rFonts w:asciiTheme="majorHAnsi" w:eastAsia="Calibri" w:hAnsiTheme="majorHAnsi" w:cs="Arial"/>
              </w:rPr>
              <w:t>Shodno</w:t>
            </w:r>
            <w:r w:rsidRPr="006C2F5C">
              <w:rPr>
                <w:rFonts w:asciiTheme="majorHAnsi" w:eastAsia="Calibri" w:hAnsiTheme="majorHAnsi" w:cs="Arial"/>
                <w:lang w:val="sr-Latn-ME"/>
              </w:rPr>
              <w:t xml:space="preserve"> </w:t>
            </w:r>
            <w:r w:rsidRPr="006C2F5C">
              <w:rPr>
                <w:rFonts w:asciiTheme="majorHAnsi" w:eastAsia="Calibri" w:hAnsiTheme="majorHAnsi" w:cs="Arial"/>
              </w:rPr>
              <w:t>navedenom</w:t>
            </w:r>
            <w:r w:rsidRPr="006C2F5C">
              <w:rPr>
                <w:rFonts w:asciiTheme="majorHAnsi" w:eastAsia="Calibri" w:hAnsiTheme="majorHAnsi" w:cs="Arial"/>
                <w:lang w:val="sr-Latn-ME"/>
              </w:rPr>
              <w:t xml:space="preserve">, </w:t>
            </w:r>
            <w:r w:rsidRPr="006C2F5C">
              <w:rPr>
                <w:rFonts w:asciiTheme="majorHAnsi" w:eastAsia="Calibri" w:hAnsiTheme="majorHAnsi" w:cs="Arial"/>
              </w:rPr>
              <w:t>uloga</w:t>
            </w:r>
            <w:r w:rsidRPr="006C2F5C">
              <w:rPr>
                <w:rFonts w:asciiTheme="majorHAnsi" w:eastAsia="Calibri" w:hAnsiTheme="majorHAnsi" w:cs="Arial"/>
                <w:lang w:val="sr-Latn-ME"/>
              </w:rPr>
              <w:t xml:space="preserve"> </w:t>
            </w:r>
            <w:r w:rsidRPr="006C2F5C">
              <w:rPr>
                <w:rFonts w:asciiTheme="majorHAnsi" w:eastAsia="Calibri" w:hAnsiTheme="majorHAnsi" w:cs="Arial"/>
              </w:rPr>
              <w:t>NVO</w:t>
            </w:r>
            <w:r w:rsidRPr="006C2F5C">
              <w:rPr>
                <w:rFonts w:asciiTheme="majorHAnsi" w:eastAsia="Calibri" w:hAnsiTheme="majorHAnsi" w:cs="Arial"/>
                <w:lang w:val="sr-Latn-ME"/>
              </w:rPr>
              <w:t xml:space="preserve"> </w:t>
            </w:r>
            <w:r w:rsidRPr="006C2F5C">
              <w:rPr>
                <w:rFonts w:asciiTheme="majorHAnsi" w:eastAsia="Calibri" w:hAnsiTheme="majorHAnsi" w:cs="Arial"/>
              </w:rPr>
              <w:t>sektora</w:t>
            </w:r>
            <w:r w:rsidRPr="006C2F5C">
              <w:rPr>
                <w:rFonts w:asciiTheme="majorHAnsi" w:eastAsia="Calibri" w:hAnsiTheme="majorHAnsi" w:cs="Arial"/>
                <w:lang w:val="sr-Latn-ME"/>
              </w:rPr>
              <w:t xml:space="preserve"> </w:t>
            </w:r>
            <w:r w:rsidRPr="006C2F5C">
              <w:rPr>
                <w:rFonts w:asciiTheme="majorHAnsi" w:eastAsia="Calibri" w:hAnsiTheme="majorHAnsi" w:cs="Arial"/>
              </w:rPr>
              <w:t>je</w:t>
            </w:r>
            <w:r w:rsidRPr="006C2F5C">
              <w:rPr>
                <w:rFonts w:asciiTheme="majorHAnsi" w:eastAsia="Calibri" w:hAnsiTheme="majorHAnsi" w:cs="Arial"/>
                <w:lang w:val="sr-Latn-ME"/>
              </w:rPr>
              <w:t xml:space="preserve"> </w:t>
            </w:r>
            <w:r w:rsidRPr="006C2F5C">
              <w:rPr>
                <w:rFonts w:asciiTheme="majorHAnsi" w:eastAsia="Calibri" w:hAnsiTheme="majorHAnsi" w:cs="Arial"/>
              </w:rPr>
              <w:t>u</w:t>
            </w:r>
            <w:r w:rsidRPr="006C2F5C">
              <w:rPr>
                <w:rFonts w:asciiTheme="majorHAnsi" w:eastAsia="Calibri" w:hAnsiTheme="majorHAnsi" w:cs="Arial"/>
                <w:lang w:val="sr-Latn-ME"/>
              </w:rPr>
              <w:t xml:space="preserve"> </w:t>
            </w:r>
            <w:r w:rsidRPr="006C2F5C">
              <w:rPr>
                <w:rFonts w:asciiTheme="majorHAnsi" w:eastAsia="Calibri" w:hAnsiTheme="majorHAnsi" w:cs="Arial"/>
              </w:rPr>
              <w:t>osna</w:t>
            </w:r>
            <w:r w:rsidRPr="006C2F5C">
              <w:rPr>
                <w:rFonts w:asciiTheme="majorHAnsi" w:eastAsia="Calibri" w:hAnsiTheme="majorHAnsi" w:cs="Arial"/>
                <w:lang w:val="sr-Latn-ME"/>
              </w:rPr>
              <w:t>ž</w:t>
            </w:r>
            <w:r w:rsidRPr="006C2F5C">
              <w:rPr>
                <w:rFonts w:asciiTheme="majorHAnsi" w:eastAsia="Calibri" w:hAnsiTheme="majorHAnsi" w:cs="Arial"/>
              </w:rPr>
              <w:t>ivanju</w:t>
            </w:r>
            <w:r w:rsidRPr="006C2F5C">
              <w:rPr>
                <w:rFonts w:asciiTheme="majorHAnsi" w:eastAsia="Calibri" w:hAnsiTheme="majorHAnsi" w:cs="Arial"/>
                <w:lang w:val="sr-Latn-ME"/>
              </w:rPr>
              <w:t xml:space="preserve"> </w:t>
            </w:r>
            <w:r w:rsidRPr="006C2F5C">
              <w:rPr>
                <w:rFonts w:asciiTheme="majorHAnsi" w:eastAsia="Calibri" w:hAnsiTheme="majorHAnsi" w:cs="Arial"/>
              </w:rPr>
              <w:t>svijesti</w:t>
            </w:r>
            <w:r w:rsidRPr="006C2F5C">
              <w:rPr>
                <w:rFonts w:asciiTheme="majorHAnsi" w:eastAsia="Calibri" w:hAnsiTheme="majorHAnsi" w:cs="Arial"/>
                <w:lang w:val="sr-Latn-ME"/>
              </w:rPr>
              <w:t xml:space="preserve"> </w:t>
            </w:r>
            <w:r w:rsidRPr="006C2F5C">
              <w:rPr>
                <w:rFonts w:asciiTheme="majorHAnsi" w:eastAsia="Calibri" w:hAnsiTheme="majorHAnsi" w:cs="Arial"/>
              </w:rPr>
              <w:t>o</w:t>
            </w:r>
            <w:r w:rsidRPr="006C2F5C">
              <w:rPr>
                <w:rFonts w:asciiTheme="majorHAnsi" w:eastAsia="Calibri" w:hAnsiTheme="majorHAnsi" w:cs="Arial"/>
                <w:lang w:val="sr-Latn-ME"/>
              </w:rPr>
              <w:t xml:space="preserve"> </w:t>
            </w:r>
            <w:r w:rsidRPr="006C2F5C">
              <w:rPr>
                <w:rFonts w:asciiTheme="majorHAnsi" w:eastAsia="Calibri" w:hAnsiTheme="majorHAnsi" w:cs="Arial"/>
              </w:rPr>
              <w:t>zna</w:t>
            </w:r>
            <w:r w:rsidRPr="006C2F5C">
              <w:rPr>
                <w:rFonts w:asciiTheme="majorHAnsi" w:eastAsia="Calibri" w:hAnsiTheme="majorHAnsi" w:cs="Arial"/>
                <w:lang w:val="sr-Latn-ME"/>
              </w:rPr>
              <w:t>č</w:t>
            </w:r>
            <w:r w:rsidRPr="006C2F5C">
              <w:rPr>
                <w:rFonts w:asciiTheme="majorHAnsi" w:eastAsia="Calibri" w:hAnsiTheme="majorHAnsi" w:cs="Arial"/>
              </w:rPr>
              <w:t>aju</w:t>
            </w:r>
            <w:r w:rsidRPr="006C2F5C">
              <w:rPr>
                <w:rFonts w:asciiTheme="majorHAnsi" w:eastAsia="Calibri" w:hAnsiTheme="majorHAnsi" w:cs="Arial"/>
                <w:lang w:val="sr-Latn-ME"/>
              </w:rPr>
              <w:t xml:space="preserve"> </w:t>
            </w:r>
            <w:r w:rsidRPr="006C2F5C">
              <w:rPr>
                <w:rFonts w:asciiTheme="majorHAnsi" w:eastAsia="Calibri" w:hAnsiTheme="majorHAnsi" w:cs="Arial"/>
              </w:rPr>
              <w:t>uspostavljanja</w:t>
            </w:r>
            <w:r w:rsidRPr="006C2F5C">
              <w:rPr>
                <w:rFonts w:asciiTheme="majorHAnsi" w:eastAsia="Calibri" w:hAnsiTheme="majorHAnsi" w:cs="Arial"/>
                <w:lang w:val="sr-Latn-ME"/>
              </w:rPr>
              <w:t xml:space="preserve"> </w:t>
            </w:r>
            <w:r w:rsidRPr="006C2F5C">
              <w:rPr>
                <w:rFonts w:asciiTheme="majorHAnsi" w:eastAsia="Calibri" w:hAnsiTheme="majorHAnsi" w:cs="Arial"/>
              </w:rPr>
              <w:t>otvorenije</w:t>
            </w:r>
            <w:r w:rsidRPr="006C2F5C">
              <w:rPr>
                <w:rFonts w:asciiTheme="majorHAnsi" w:eastAsia="Calibri" w:hAnsiTheme="majorHAnsi" w:cs="Arial"/>
                <w:lang w:val="sr-Latn-ME"/>
              </w:rPr>
              <w:t xml:space="preserve"> </w:t>
            </w:r>
            <w:r w:rsidRPr="006C2F5C">
              <w:rPr>
                <w:rFonts w:asciiTheme="majorHAnsi" w:eastAsia="Calibri" w:hAnsiTheme="majorHAnsi" w:cs="Arial"/>
              </w:rPr>
              <w:t>javne</w:t>
            </w:r>
            <w:r w:rsidRPr="006C2F5C">
              <w:rPr>
                <w:rFonts w:asciiTheme="majorHAnsi" w:eastAsia="Calibri" w:hAnsiTheme="majorHAnsi" w:cs="Arial"/>
                <w:lang w:val="sr-Latn-ME"/>
              </w:rPr>
              <w:t xml:space="preserve"> </w:t>
            </w:r>
            <w:r w:rsidRPr="006C2F5C">
              <w:rPr>
                <w:rFonts w:asciiTheme="majorHAnsi" w:eastAsia="Calibri" w:hAnsiTheme="majorHAnsi" w:cs="Arial"/>
              </w:rPr>
              <w:t>uprave</w:t>
            </w:r>
            <w:r w:rsidRPr="006C2F5C">
              <w:rPr>
                <w:rFonts w:asciiTheme="majorHAnsi" w:eastAsia="Calibri" w:hAnsiTheme="majorHAnsi" w:cs="Arial"/>
                <w:lang w:val="sr-Latn-ME"/>
              </w:rPr>
              <w:t xml:space="preserve">. </w:t>
            </w:r>
          </w:p>
          <w:p w14:paraId="2D0CF471" w14:textId="0A1C5A60" w:rsidR="00C12EAA" w:rsidRPr="006C2F5C" w:rsidRDefault="00C12EAA" w:rsidP="009C2721">
            <w:pPr>
              <w:rPr>
                <w:rFonts w:asciiTheme="majorHAnsi" w:eastAsia="Calibri" w:hAnsiTheme="majorHAnsi" w:cs="Arial"/>
                <w:lang w:val="sr-Latn-ME"/>
              </w:rPr>
            </w:pPr>
          </w:p>
          <w:p w14:paraId="0B52AD96" w14:textId="77777777" w:rsidR="002A2EED" w:rsidRPr="006C2F5C" w:rsidRDefault="002A2EED" w:rsidP="009C2721">
            <w:pPr>
              <w:rPr>
                <w:rFonts w:asciiTheme="majorHAnsi" w:eastAsia="Calibri" w:hAnsiTheme="majorHAnsi" w:cs="Arial"/>
                <w:lang w:val="sr-Latn-ME"/>
              </w:rPr>
            </w:pPr>
            <w:r w:rsidRPr="006C2F5C">
              <w:rPr>
                <w:rFonts w:asciiTheme="majorHAnsi" w:eastAsia="Calibri" w:hAnsiTheme="majorHAnsi" w:cs="Arial"/>
                <w:lang w:val="sr-Latn-ME"/>
              </w:rPr>
              <w:t>Otvorenija javna uprava znači ne samo porast potencijala za međusektorsku saradnju, već i jačanje povjerenja građana i drugih zaintersovanih aktera u javnu upravu i nov prostor za kreiranje novih vrijednosti..</w:t>
            </w:r>
          </w:p>
          <w:p w14:paraId="1F33606A" w14:textId="77777777" w:rsidR="002A2EED" w:rsidRPr="006C2F5C" w:rsidRDefault="002A2EED" w:rsidP="009C2721">
            <w:pPr>
              <w:rPr>
                <w:rFonts w:asciiTheme="majorHAnsi" w:eastAsia="Calibri" w:hAnsiTheme="majorHAnsi" w:cs="Arial"/>
                <w:lang w:val="sr-Latn-ME"/>
              </w:rPr>
            </w:pPr>
            <w:r w:rsidRPr="006C2F5C">
              <w:rPr>
                <w:rFonts w:asciiTheme="majorHAnsi" w:eastAsia="Calibri" w:hAnsiTheme="majorHAnsi" w:cs="Arial"/>
                <w:lang w:val="sr-Latn-ME"/>
              </w:rPr>
              <w:lastRenderedPageBreak/>
              <w:t>Niz je aktivnosti koje NVO može realizovati u cilju otvorenije javne uprave.</w:t>
            </w:r>
          </w:p>
          <w:p w14:paraId="42337BD6" w14:textId="3FF4C880" w:rsidR="002A2EED" w:rsidRDefault="009C3D0D" w:rsidP="009C2721">
            <w:pPr>
              <w:rPr>
                <w:rFonts w:asciiTheme="majorHAnsi" w:eastAsia="Calibri" w:hAnsiTheme="majorHAnsi" w:cs="Arial"/>
                <w:lang w:val="sr-Latn-ME"/>
              </w:rPr>
            </w:pPr>
            <w:r>
              <w:rPr>
                <w:rFonts w:asciiTheme="majorHAnsi" w:eastAsia="Calibri" w:hAnsiTheme="majorHAnsi" w:cs="Arial"/>
                <w:lang w:val="sr-Latn-ME"/>
              </w:rPr>
              <w:t>-organizacija aktivnosti usmjerenih na razmjenu informacija i iskustava u oblasti otvorenosti javne uprave</w:t>
            </w:r>
          </w:p>
          <w:p w14:paraId="35182225" w14:textId="06F140F6" w:rsidR="009C3D0D" w:rsidRDefault="009C3D0D" w:rsidP="009C2721">
            <w:pPr>
              <w:rPr>
                <w:rFonts w:asciiTheme="majorHAnsi" w:eastAsia="Calibri" w:hAnsiTheme="majorHAnsi" w:cs="Arial"/>
                <w:lang w:val="sr-Latn-ME"/>
              </w:rPr>
            </w:pPr>
            <w:r>
              <w:rPr>
                <w:rFonts w:asciiTheme="majorHAnsi" w:eastAsia="Calibri" w:hAnsiTheme="majorHAnsi" w:cs="Arial"/>
                <w:lang w:val="sr-Latn-ME"/>
              </w:rPr>
              <w:t>-organizacija promotivnih aktivnosti</w:t>
            </w:r>
          </w:p>
          <w:p w14:paraId="7055D3D6" w14:textId="6F3962C4" w:rsidR="009C3D0D" w:rsidRDefault="009C3D0D" w:rsidP="009C2721">
            <w:pPr>
              <w:rPr>
                <w:rFonts w:asciiTheme="majorHAnsi" w:eastAsia="Calibri" w:hAnsiTheme="majorHAnsi" w:cs="Arial"/>
                <w:lang w:val="sr-Latn-ME"/>
              </w:rPr>
            </w:pPr>
            <w:r>
              <w:rPr>
                <w:rFonts w:asciiTheme="majorHAnsi" w:eastAsia="Calibri" w:hAnsiTheme="majorHAnsi" w:cs="Arial"/>
                <w:lang w:val="sr-Latn-ME"/>
              </w:rPr>
              <w:t>-organizacija edukativnih aktivnosti</w:t>
            </w:r>
          </w:p>
          <w:p w14:paraId="078EE0E8" w14:textId="29EBE38E" w:rsidR="009C3D0D" w:rsidRDefault="009C3D0D" w:rsidP="009C2721">
            <w:pPr>
              <w:rPr>
                <w:rFonts w:asciiTheme="majorHAnsi" w:eastAsia="Calibri" w:hAnsiTheme="majorHAnsi" w:cs="Arial"/>
                <w:lang w:val="sr-Latn-ME"/>
              </w:rPr>
            </w:pPr>
            <w:r>
              <w:rPr>
                <w:rFonts w:asciiTheme="majorHAnsi" w:eastAsia="Calibri" w:hAnsiTheme="majorHAnsi" w:cs="Arial"/>
                <w:lang w:val="sr-Latn-ME"/>
              </w:rPr>
              <w:t>-sprovođenje zagovaračkih aktivnosti kroz kreiranje predloga praktičnih javnih politika, brifova i studija</w:t>
            </w:r>
          </w:p>
          <w:p w14:paraId="124E81B6" w14:textId="310FA2C0" w:rsidR="002A2EED" w:rsidRPr="006C2F5C" w:rsidRDefault="009C3D0D" w:rsidP="009C2721">
            <w:pPr>
              <w:rPr>
                <w:rFonts w:asciiTheme="majorHAnsi" w:eastAsia="Calibri" w:hAnsiTheme="majorHAnsi" w:cs="Arial"/>
                <w:lang w:val="sr-Latn-ME"/>
              </w:rPr>
            </w:pPr>
            <w:r>
              <w:rPr>
                <w:rFonts w:asciiTheme="majorHAnsi" w:eastAsia="Calibri" w:hAnsiTheme="majorHAnsi" w:cs="Arial"/>
                <w:lang w:val="sr-Latn-ME"/>
              </w:rPr>
              <w:t>-sprovođenje istraživanja</w:t>
            </w:r>
          </w:p>
          <w:p w14:paraId="0203BB4E" w14:textId="676CBF51" w:rsidR="002A2EED" w:rsidRPr="006C2F5C" w:rsidRDefault="002A2EED" w:rsidP="009C2721">
            <w:pPr>
              <w:rPr>
                <w:rFonts w:asciiTheme="majorHAnsi" w:eastAsia="Calibri" w:hAnsiTheme="majorHAnsi" w:cs="Arial"/>
                <w:lang w:val="sr-Latn-ME"/>
              </w:rPr>
            </w:pPr>
            <w:r w:rsidRPr="006C2F5C">
              <w:rPr>
                <w:rFonts w:asciiTheme="majorHAnsi" w:eastAsia="Calibri" w:hAnsiTheme="majorHAnsi" w:cs="Arial"/>
                <w:lang w:val="sr-Latn-ME"/>
              </w:rPr>
              <w:t>Ova lista je samo ilustrativna i može biti proširena novim predlozima prihvatljivih aktivnosti.</w:t>
            </w:r>
          </w:p>
        </w:tc>
        <w:tc>
          <w:tcPr>
            <w:tcW w:w="4582" w:type="dxa"/>
            <w:tcBorders>
              <w:right w:val="single" w:sz="2" w:space="0" w:color="auto"/>
            </w:tcBorders>
            <w:tcMar>
              <w:top w:w="57" w:type="dxa"/>
              <w:bottom w:w="57" w:type="dxa"/>
            </w:tcMar>
          </w:tcPr>
          <w:p w14:paraId="64353E5B" w14:textId="5D06F275" w:rsidR="009C2721" w:rsidRPr="006C2F5C" w:rsidRDefault="009C3D0D" w:rsidP="009C2721">
            <w:pPr>
              <w:spacing w:after="0"/>
              <w:rPr>
                <w:rFonts w:asciiTheme="majorHAnsi" w:hAnsiTheme="majorHAnsi"/>
                <w:lang w:val="sr-Latn-ME"/>
              </w:rPr>
            </w:pPr>
            <w:r>
              <w:rPr>
                <w:rFonts w:asciiTheme="majorHAnsi" w:hAnsiTheme="majorHAnsi"/>
                <w:lang w:val="sr-Latn-ME"/>
              </w:rPr>
              <w:lastRenderedPageBreak/>
              <w:t xml:space="preserve">-organizovano 10 aktivnosti </w:t>
            </w:r>
          </w:p>
          <w:p w14:paraId="69A60A8A" w14:textId="6A963C1E" w:rsidR="009C2721" w:rsidRPr="006C2F5C" w:rsidRDefault="009C2721" w:rsidP="009C2721">
            <w:pPr>
              <w:spacing w:after="0"/>
              <w:rPr>
                <w:rFonts w:asciiTheme="majorHAnsi" w:hAnsiTheme="majorHAnsi"/>
                <w:lang w:val="sr-Latn-ME"/>
              </w:rPr>
            </w:pPr>
            <w:r w:rsidRPr="006C2F5C">
              <w:rPr>
                <w:rFonts w:asciiTheme="majorHAnsi" w:hAnsiTheme="majorHAnsi"/>
                <w:lang w:val="sr-Latn-ME"/>
              </w:rPr>
              <w:t>-</w:t>
            </w:r>
            <w:r w:rsidR="009C3D0D">
              <w:rPr>
                <w:rFonts w:asciiTheme="majorHAnsi" w:hAnsiTheme="majorHAnsi"/>
                <w:lang w:val="sr-Latn-ME"/>
              </w:rPr>
              <w:t xml:space="preserve">sprovedene tri velike kampanje </w:t>
            </w:r>
          </w:p>
          <w:p w14:paraId="456AFC9B" w14:textId="484AED4F" w:rsidR="00C12EAA" w:rsidRDefault="009C2721" w:rsidP="009C3D0D">
            <w:pPr>
              <w:spacing w:after="0"/>
              <w:rPr>
                <w:rFonts w:asciiTheme="majorHAnsi" w:hAnsiTheme="majorHAnsi"/>
                <w:lang w:val="sr-Latn-ME"/>
              </w:rPr>
            </w:pPr>
            <w:r w:rsidRPr="006C2F5C">
              <w:rPr>
                <w:rFonts w:asciiTheme="majorHAnsi" w:hAnsiTheme="majorHAnsi"/>
                <w:lang w:val="sr-Latn-ME"/>
              </w:rPr>
              <w:t>-</w:t>
            </w:r>
            <w:r w:rsidR="009C3D0D">
              <w:rPr>
                <w:rFonts w:asciiTheme="majorHAnsi" w:hAnsiTheme="majorHAnsi"/>
                <w:lang w:val="sr-Latn-ME"/>
              </w:rPr>
              <w:t>sprovedeno 20 edukacija na terenu sa različitim ciljnim grupama</w:t>
            </w:r>
          </w:p>
          <w:p w14:paraId="1AC08077" w14:textId="698A77BD" w:rsidR="009C3D0D" w:rsidRDefault="009C3D0D" w:rsidP="009C3D0D">
            <w:pPr>
              <w:spacing w:after="0"/>
              <w:rPr>
                <w:rFonts w:asciiTheme="majorHAnsi" w:hAnsiTheme="majorHAnsi"/>
                <w:lang w:val="es-ES"/>
              </w:rPr>
            </w:pPr>
            <w:r>
              <w:rPr>
                <w:rFonts w:asciiTheme="majorHAnsi" w:hAnsiTheme="majorHAnsi"/>
                <w:lang w:val="es-ES"/>
              </w:rPr>
              <w:t>-broj urađenih studija, brifova i predloga praktičnih javnih politika</w:t>
            </w:r>
          </w:p>
          <w:p w14:paraId="5319EB35" w14:textId="651343B1" w:rsidR="009C3D0D" w:rsidRPr="006C2F5C" w:rsidRDefault="009C3D0D">
            <w:pPr>
              <w:spacing w:after="0"/>
              <w:rPr>
                <w:rFonts w:asciiTheme="majorHAnsi" w:hAnsiTheme="majorHAnsi"/>
                <w:lang w:val="es-ES"/>
              </w:rPr>
            </w:pPr>
            <w:r>
              <w:rPr>
                <w:rFonts w:asciiTheme="majorHAnsi" w:hAnsiTheme="majorHAnsi"/>
                <w:lang w:val="es-ES"/>
              </w:rPr>
              <w:t>-</w:t>
            </w:r>
            <w:r w:rsidR="008B5953">
              <w:rPr>
                <w:rFonts w:asciiTheme="majorHAnsi" w:hAnsiTheme="majorHAnsi"/>
                <w:lang w:val="es-ES"/>
              </w:rPr>
              <w:t>4</w:t>
            </w:r>
            <w:r>
              <w:rPr>
                <w:rFonts w:asciiTheme="majorHAnsi" w:hAnsiTheme="majorHAnsi"/>
                <w:lang w:val="es-ES"/>
              </w:rPr>
              <w:t xml:space="preserve"> sprovedena istraživanja</w:t>
            </w:r>
            <w:r w:rsidR="008B5953">
              <w:rPr>
                <w:rFonts w:asciiTheme="majorHAnsi" w:hAnsiTheme="majorHAnsi"/>
                <w:lang w:val="es-ES"/>
              </w:rPr>
              <w:t xml:space="preserve"> na lokalnom i državnom nivou</w:t>
            </w:r>
          </w:p>
        </w:tc>
        <w:tc>
          <w:tcPr>
            <w:tcW w:w="4582" w:type="dxa"/>
            <w:tcBorders>
              <w:left w:val="single" w:sz="2" w:space="0" w:color="auto"/>
            </w:tcBorders>
          </w:tcPr>
          <w:p w14:paraId="2461346F" w14:textId="02E9F19D" w:rsidR="00BF21CC" w:rsidRDefault="00BF21CC" w:rsidP="00BF21CC">
            <w:pPr>
              <w:rPr>
                <w:rFonts w:asciiTheme="majorHAnsi" w:hAnsiTheme="majorHAnsi"/>
                <w:lang w:val="es-ES"/>
              </w:rPr>
            </w:pPr>
            <w:r w:rsidRPr="006C2F5C">
              <w:rPr>
                <w:rFonts w:asciiTheme="majorHAnsi" w:hAnsiTheme="majorHAnsi"/>
                <w:lang w:val="es-ES"/>
              </w:rPr>
              <w:t>-</w:t>
            </w:r>
            <w:r w:rsidR="008E1A18">
              <w:rPr>
                <w:rFonts w:asciiTheme="majorHAnsi" w:hAnsiTheme="majorHAnsi"/>
                <w:lang w:val="es-ES"/>
              </w:rPr>
              <w:t>press clipping materijali</w:t>
            </w:r>
          </w:p>
          <w:p w14:paraId="2B1CB116" w14:textId="77777777" w:rsidR="008B5953" w:rsidRDefault="008B5953" w:rsidP="008B5953">
            <w:pPr>
              <w:rPr>
                <w:rFonts w:asciiTheme="majorHAnsi" w:hAnsiTheme="majorHAnsi"/>
                <w:lang w:val="es-ES"/>
              </w:rPr>
            </w:pPr>
            <w:r>
              <w:rPr>
                <w:rFonts w:asciiTheme="majorHAnsi" w:hAnsiTheme="majorHAnsi"/>
                <w:lang w:val="es-ES"/>
              </w:rPr>
              <w:t>-primjerci promo materijala</w:t>
            </w:r>
          </w:p>
          <w:p w14:paraId="2D8C2532" w14:textId="674CFFC0" w:rsidR="008E1A18" w:rsidRDefault="008E1A18" w:rsidP="00BF21CC">
            <w:pPr>
              <w:rPr>
                <w:rFonts w:asciiTheme="majorHAnsi" w:hAnsiTheme="majorHAnsi"/>
                <w:lang w:val="es-ES"/>
              </w:rPr>
            </w:pPr>
            <w:r>
              <w:rPr>
                <w:rFonts w:asciiTheme="majorHAnsi" w:hAnsiTheme="majorHAnsi"/>
                <w:lang w:val="es-ES"/>
              </w:rPr>
              <w:t>-izvještaji o realizovanim aktivnostima/projektima</w:t>
            </w:r>
          </w:p>
          <w:p w14:paraId="40255A8B" w14:textId="63E6B91F" w:rsidR="00BF21CC" w:rsidRPr="006C2F5C" w:rsidRDefault="008E1A18" w:rsidP="00BF21CC">
            <w:pPr>
              <w:rPr>
                <w:rFonts w:asciiTheme="majorHAnsi" w:hAnsiTheme="majorHAnsi"/>
                <w:lang w:val="es-ES"/>
              </w:rPr>
            </w:pPr>
            <w:r>
              <w:rPr>
                <w:rFonts w:asciiTheme="majorHAnsi" w:hAnsiTheme="majorHAnsi"/>
                <w:lang w:val="es-ES"/>
              </w:rPr>
              <w:t>-</w:t>
            </w:r>
            <w:r w:rsidR="00BF21CC" w:rsidRPr="006C2F5C">
              <w:rPr>
                <w:rFonts w:asciiTheme="majorHAnsi" w:hAnsiTheme="majorHAnsi"/>
                <w:lang w:val="es-ES"/>
              </w:rPr>
              <w:t xml:space="preserve"> </w:t>
            </w:r>
            <w:r>
              <w:rPr>
                <w:rFonts w:asciiTheme="majorHAnsi" w:hAnsiTheme="majorHAnsi"/>
                <w:lang w:val="es-ES"/>
              </w:rPr>
              <w:t>programi/planovi obuka</w:t>
            </w:r>
          </w:p>
          <w:p w14:paraId="46C0D378" w14:textId="0DB2A9BB" w:rsidR="008E1A18" w:rsidRDefault="008E1A18" w:rsidP="008E1A18">
            <w:pPr>
              <w:rPr>
                <w:rFonts w:asciiTheme="majorHAnsi" w:hAnsiTheme="majorHAnsi"/>
                <w:lang w:val="es-ES"/>
              </w:rPr>
            </w:pPr>
            <w:r>
              <w:rPr>
                <w:rFonts w:asciiTheme="majorHAnsi" w:hAnsiTheme="majorHAnsi"/>
                <w:lang w:val="es-ES"/>
              </w:rPr>
              <w:t>-evaluacije aktivnosti</w:t>
            </w:r>
            <w:r w:rsidR="008B5953">
              <w:rPr>
                <w:rFonts w:asciiTheme="majorHAnsi" w:hAnsiTheme="majorHAnsi"/>
                <w:lang w:val="es-ES"/>
              </w:rPr>
              <w:t>/projekata</w:t>
            </w:r>
          </w:p>
          <w:p w14:paraId="30F5A906" w14:textId="77777777" w:rsidR="008E1A18" w:rsidRDefault="008E1A18" w:rsidP="008E1A18">
            <w:pPr>
              <w:rPr>
                <w:rFonts w:asciiTheme="majorHAnsi" w:hAnsiTheme="majorHAnsi"/>
                <w:lang w:val="es-ES"/>
              </w:rPr>
            </w:pPr>
            <w:r>
              <w:rPr>
                <w:rFonts w:asciiTheme="majorHAnsi" w:hAnsiTheme="majorHAnsi"/>
                <w:lang w:val="es-ES"/>
              </w:rPr>
              <w:t>-linkovi objava studija, brifova…</w:t>
            </w:r>
          </w:p>
          <w:p w14:paraId="740F66A0" w14:textId="5C4095B9" w:rsidR="00BF21CC" w:rsidRPr="00EC2103" w:rsidRDefault="008E1A18">
            <w:pPr>
              <w:rPr>
                <w:rFonts w:asciiTheme="majorHAnsi" w:hAnsiTheme="majorHAnsi"/>
                <w:lang w:val="es-ES"/>
              </w:rPr>
            </w:pPr>
            <w:r>
              <w:rPr>
                <w:rFonts w:asciiTheme="majorHAnsi" w:hAnsiTheme="majorHAnsi"/>
                <w:lang w:val="es-ES"/>
              </w:rPr>
              <w:t>-izvješta</w:t>
            </w:r>
            <w:r w:rsidR="008B5953">
              <w:rPr>
                <w:rFonts w:asciiTheme="majorHAnsi" w:hAnsiTheme="majorHAnsi"/>
                <w:lang w:val="es-ES"/>
              </w:rPr>
              <w:t>j</w:t>
            </w:r>
            <w:r>
              <w:rPr>
                <w:rFonts w:asciiTheme="majorHAnsi" w:hAnsiTheme="majorHAnsi"/>
                <w:lang w:val="es-ES"/>
              </w:rPr>
              <w:t>i o sprovedenim istraživanjima</w:t>
            </w:r>
            <w:r w:rsidR="00BF21CC" w:rsidRPr="00EC2103">
              <w:rPr>
                <w:rFonts w:asciiTheme="majorHAnsi" w:hAnsiTheme="majorHAnsi"/>
                <w:lang w:val="es-ES"/>
              </w:rPr>
              <w:tab/>
            </w:r>
          </w:p>
          <w:p w14:paraId="0D4B6D5E" w14:textId="0845DC0D" w:rsidR="008E1A18" w:rsidRPr="006C2F5C" w:rsidRDefault="008E1A18">
            <w:pPr>
              <w:rPr>
                <w:rFonts w:asciiTheme="majorHAnsi" w:hAnsiTheme="majorHAnsi"/>
                <w:lang w:val="es-ES"/>
              </w:rPr>
            </w:pPr>
          </w:p>
        </w:tc>
      </w:tr>
    </w:tbl>
    <w:p w14:paraId="5FB80DAF" w14:textId="77777777" w:rsidR="00C12EAA" w:rsidRPr="006C2F5C" w:rsidRDefault="00C12EAA" w:rsidP="00C12EAA">
      <w:pPr>
        <w:ind w:left="792"/>
        <w:rPr>
          <w:rFonts w:asciiTheme="majorHAnsi" w:hAnsiTheme="majorHAnsi"/>
        </w:rPr>
      </w:pPr>
    </w:p>
    <w:p w14:paraId="32F1E12B" w14:textId="77777777" w:rsidR="00C12EAA" w:rsidRPr="006C2F5C" w:rsidRDefault="00C12EAA" w:rsidP="00C12EAA">
      <w:pPr>
        <w:rPr>
          <w:rFonts w:asciiTheme="majorHAnsi" w:hAnsiTheme="majorHAnsi"/>
        </w:rPr>
      </w:pPr>
    </w:p>
    <w:p w14:paraId="04580C5C" w14:textId="77777777" w:rsidR="00C12EAA" w:rsidRPr="006C2F5C" w:rsidRDefault="00C12EAA" w:rsidP="00C12EAA">
      <w:pPr>
        <w:pStyle w:val="ListParagraph"/>
        <w:numPr>
          <w:ilvl w:val="0"/>
          <w:numId w:val="5"/>
        </w:numPr>
        <w:rPr>
          <w:rFonts w:asciiTheme="majorHAnsi" w:hAnsiTheme="majorHAnsi"/>
          <w:b/>
        </w:rPr>
      </w:pPr>
      <w:r w:rsidRPr="006C2F5C">
        <w:rPr>
          <w:rFonts w:asciiTheme="majorHAnsi" w:hAnsiTheme="majorHAnsi"/>
          <w:b/>
        </w:rPr>
        <w:t>OSTVARIVANJE STRATEŠKIH CILJEVA</w:t>
      </w:r>
    </w:p>
    <w:p w14:paraId="40DEE1D0" w14:textId="77777777" w:rsidR="00C12EAA" w:rsidRPr="006C2F5C" w:rsidRDefault="00C12EAA" w:rsidP="00C12EAA">
      <w:pPr>
        <w:pStyle w:val="ListParagraph"/>
        <w:numPr>
          <w:ilvl w:val="1"/>
          <w:numId w:val="5"/>
        </w:numPr>
        <w:jc w:val="both"/>
        <w:rPr>
          <w:rFonts w:asciiTheme="majorHAnsi" w:hAnsiTheme="majorHAnsi"/>
        </w:rPr>
      </w:pPr>
      <w:r w:rsidRPr="006C2F5C">
        <w:rPr>
          <w:rFonts w:asciiTheme="majorHAnsi" w:hAnsiTheme="majorHAnsi"/>
        </w:rPr>
        <w:t>Navesti ključne strateške ciljeve iz sektorske nadležnosti čijem će ostvarenju u 202</w:t>
      </w:r>
      <w:r w:rsidR="00D52F05" w:rsidRPr="006C2F5C">
        <w:rPr>
          <w:rFonts w:asciiTheme="majorHAnsi" w:hAnsiTheme="majorHAnsi"/>
        </w:rPr>
        <w:t>3</w:t>
      </w:r>
      <w:r w:rsidRPr="006C2F5C">
        <w:rPr>
          <w:rFonts w:asciiTheme="majorHAnsi" w:hAnsiTheme="majorHAnsi"/>
        </w:rPr>
        <w:t>.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C12EAA" w:rsidRPr="006C2F5C" w14:paraId="4A067039" w14:textId="77777777" w:rsidTr="008671CC">
        <w:tc>
          <w:tcPr>
            <w:tcW w:w="6884" w:type="dxa"/>
            <w:tcBorders>
              <w:top w:val="single" w:sz="18" w:space="0" w:color="auto"/>
            </w:tcBorders>
            <w:shd w:val="clear" w:color="auto" w:fill="F2F2F2" w:themeFill="background1" w:themeFillShade="F2"/>
            <w:tcMar>
              <w:top w:w="57" w:type="dxa"/>
              <w:bottom w:w="57" w:type="dxa"/>
            </w:tcMar>
          </w:tcPr>
          <w:p w14:paraId="4189D1D6" w14:textId="77777777" w:rsidR="00C12EAA" w:rsidRPr="006C2F5C" w:rsidRDefault="00C12EAA" w:rsidP="008671CC">
            <w:pPr>
              <w:spacing w:after="0"/>
              <w:rPr>
                <w:rFonts w:asciiTheme="majorHAnsi" w:hAnsiTheme="majorHAnsi"/>
              </w:rPr>
            </w:pPr>
            <w:r w:rsidRPr="006C2F5C">
              <w:rPr>
                <w:rFonts w:asciiTheme="majorHAnsi" w:hAnsiTheme="majorHAnsi"/>
              </w:rPr>
              <w:t>Strateški cilj(evi) čijem ostvarenju će doprinijeti javni konkurs za projekte i programe nevladinih organizacija u 202</w:t>
            </w:r>
            <w:r w:rsidR="00D52F05" w:rsidRPr="006C2F5C">
              <w:rPr>
                <w:rFonts w:asciiTheme="majorHAnsi" w:hAnsiTheme="majorHAnsi"/>
              </w:rPr>
              <w:t>3</w:t>
            </w:r>
            <w:r w:rsidRPr="006C2F5C">
              <w:rPr>
                <w:rFonts w:asciiTheme="majorHAnsi" w:hAnsiTheme="majorHAnsi"/>
              </w:rPr>
              <w:t>. godini</w:t>
            </w:r>
          </w:p>
        </w:tc>
        <w:tc>
          <w:tcPr>
            <w:tcW w:w="6862" w:type="dxa"/>
            <w:tcBorders>
              <w:top w:val="single" w:sz="18" w:space="0" w:color="auto"/>
            </w:tcBorders>
            <w:shd w:val="clear" w:color="auto" w:fill="F2F2F2" w:themeFill="background1" w:themeFillShade="F2"/>
            <w:tcMar>
              <w:top w:w="57" w:type="dxa"/>
              <w:bottom w:w="57" w:type="dxa"/>
            </w:tcMar>
          </w:tcPr>
          <w:p w14:paraId="5F43E072" w14:textId="77777777" w:rsidR="00C12EAA" w:rsidRPr="006C2F5C" w:rsidRDefault="00C12EAA" w:rsidP="008671CC">
            <w:pPr>
              <w:spacing w:after="0"/>
              <w:rPr>
                <w:rFonts w:asciiTheme="majorHAnsi" w:hAnsiTheme="majorHAnsi"/>
              </w:rPr>
            </w:pPr>
            <w:r w:rsidRPr="006C2F5C">
              <w:rPr>
                <w:rFonts w:asciiTheme="majorHAnsi" w:hAnsiTheme="majorHAnsi"/>
              </w:rPr>
              <w:t>Način na koji će javni konkurs za projekte i programe nevladinih organizacija doprinijeti ostvarenju strateških ciljeva (ukratko opisati)</w:t>
            </w:r>
          </w:p>
        </w:tc>
      </w:tr>
      <w:tr w:rsidR="00C12EAA" w:rsidRPr="006C2F5C" w14:paraId="1EFFEDBC" w14:textId="77777777" w:rsidTr="008671CC">
        <w:tc>
          <w:tcPr>
            <w:tcW w:w="6884" w:type="dxa"/>
            <w:tcMar>
              <w:top w:w="57" w:type="dxa"/>
              <w:bottom w:w="57" w:type="dxa"/>
            </w:tcMar>
          </w:tcPr>
          <w:p w14:paraId="77E89F65" w14:textId="77777777" w:rsidR="0065073B" w:rsidRPr="0065073B" w:rsidRDefault="0065073B" w:rsidP="0065073B">
            <w:pPr>
              <w:spacing w:after="0"/>
              <w:rPr>
                <w:rFonts w:asciiTheme="majorHAnsi" w:hAnsiTheme="majorHAnsi"/>
                <w:lang w:val="sr-Latn-ME"/>
              </w:rPr>
            </w:pPr>
            <w:r w:rsidRPr="0065073B">
              <w:rPr>
                <w:rFonts w:asciiTheme="majorHAnsi" w:hAnsiTheme="majorHAnsi"/>
                <w:lang w:val="sr-Latn-ME"/>
              </w:rPr>
              <w:lastRenderedPageBreak/>
              <w:t>OPERATIVNI CILJ 4.2.</w:t>
            </w:r>
            <w:r w:rsidRPr="0065073B">
              <w:rPr>
                <w:rFonts w:asciiTheme="majorHAnsi" w:hAnsiTheme="majorHAnsi"/>
                <w:lang w:val="sr-Latn-ME"/>
              </w:rPr>
              <w:tab/>
              <w:t>Unapređenje primjene Zakona o SPI od strane obveznika primjene zakona i jačanje kapaciteta korisnika zakona, radi obezbjeđenja adekvatnog ostvarivanja prava na pristup informacijama</w:t>
            </w:r>
          </w:p>
          <w:p w14:paraId="2F26F027" w14:textId="77777777" w:rsidR="0065073B" w:rsidRDefault="0065073B" w:rsidP="0065073B">
            <w:pPr>
              <w:spacing w:after="0"/>
              <w:rPr>
                <w:rFonts w:asciiTheme="majorHAnsi" w:hAnsiTheme="majorHAnsi"/>
                <w:lang w:val="sr-Latn-ME"/>
              </w:rPr>
            </w:pPr>
          </w:p>
          <w:p w14:paraId="3E0AA5D5" w14:textId="51594B52" w:rsidR="00C12EAA" w:rsidRPr="006C2F5C" w:rsidRDefault="0075523B" w:rsidP="008671CC">
            <w:pPr>
              <w:spacing w:after="0"/>
              <w:rPr>
                <w:rFonts w:asciiTheme="majorHAnsi" w:hAnsiTheme="majorHAnsi"/>
                <w:lang w:val="sr-Latn-ME"/>
              </w:rPr>
            </w:pPr>
            <w:r>
              <w:rPr>
                <w:rFonts w:asciiTheme="majorHAnsi" w:hAnsiTheme="majorHAnsi"/>
                <w:lang w:val="sr-Latn-ME"/>
              </w:rPr>
              <w:t>O</w:t>
            </w:r>
            <w:r w:rsidR="0065073B" w:rsidRPr="0065073B">
              <w:rPr>
                <w:rFonts w:asciiTheme="majorHAnsi" w:hAnsiTheme="majorHAnsi"/>
                <w:lang w:val="sr-Latn-ME"/>
              </w:rPr>
              <w:t>PERATIVNI CILJ 4.3</w:t>
            </w:r>
            <w:r w:rsidR="0065073B" w:rsidRPr="0065073B">
              <w:rPr>
                <w:rFonts w:asciiTheme="majorHAnsi" w:hAnsiTheme="majorHAnsi"/>
                <w:lang w:val="sr-Latn-ME"/>
              </w:rPr>
              <w:tab/>
              <w:t xml:space="preserve">Unapređenje ponovne upotrebe informacija i povećanje dostupnosti otvorenih podataka  </w:t>
            </w:r>
          </w:p>
          <w:p w14:paraId="3988C235" w14:textId="77777777" w:rsidR="00C12EAA" w:rsidRPr="006C2F5C" w:rsidRDefault="00C12EAA" w:rsidP="008671CC">
            <w:pPr>
              <w:spacing w:after="0"/>
              <w:rPr>
                <w:rFonts w:asciiTheme="majorHAnsi" w:hAnsiTheme="majorHAnsi"/>
                <w:lang w:val="sr-Latn-ME"/>
              </w:rPr>
            </w:pPr>
          </w:p>
          <w:p w14:paraId="4E8F3F53" w14:textId="77777777" w:rsidR="00C12EAA" w:rsidRPr="006C2F5C" w:rsidRDefault="00C12EAA" w:rsidP="008671CC">
            <w:pPr>
              <w:spacing w:after="0"/>
              <w:rPr>
                <w:rFonts w:asciiTheme="majorHAnsi" w:hAnsiTheme="majorHAnsi"/>
                <w:lang w:val="sr-Latn-ME"/>
              </w:rPr>
            </w:pPr>
          </w:p>
        </w:tc>
        <w:tc>
          <w:tcPr>
            <w:tcW w:w="6862" w:type="dxa"/>
            <w:tcMar>
              <w:top w:w="57" w:type="dxa"/>
              <w:bottom w:w="57" w:type="dxa"/>
            </w:tcMar>
          </w:tcPr>
          <w:p w14:paraId="5EF163F3" w14:textId="7040FD28" w:rsidR="008B5953" w:rsidRDefault="008B5953" w:rsidP="0065073B">
            <w:pPr>
              <w:spacing w:after="0"/>
              <w:rPr>
                <w:rFonts w:asciiTheme="majorHAnsi" w:hAnsiTheme="majorHAnsi" w:cs="Arial"/>
                <w:color w:val="00B0F0"/>
                <w:szCs w:val="24"/>
                <w:lang w:val="sl-SI" w:eastAsia="ja-JP"/>
              </w:rPr>
            </w:pPr>
            <w:r w:rsidRPr="00EC2103">
              <w:rPr>
                <w:rFonts w:asciiTheme="majorHAnsi" w:hAnsiTheme="majorHAnsi" w:cs="Arial"/>
                <w:szCs w:val="24"/>
                <w:lang w:val="sl-SI" w:eastAsia="ja-JP"/>
              </w:rPr>
              <w:t xml:space="preserve">Kroz navedeni set i tip aktivnosti očekuje se da će planirani broj projekata dovesti do željene promjene, u pravcu koji je </w:t>
            </w:r>
            <w:r>
              <w:rPr>
                <w:rFonts w:asciiTheme="majorHAnsi" w:hAnsiTheme="majorHAnsi" w:cs="Arial"/>
                <w:lang w:val="sl-SI"/>
              </w:rPr>
              <w:t xml:space="preserve">naveden </w:t>
            </w:r>
            <w:r w:rsidRPr="00EC2103">
              <w:rPr>
                <w:rFonts w:asciiTheme="majorHAnsi" w:hAnsiTheme="majorHAnsi" w:cs="Arial"/>
                <w:szCs w:val="24"/>
                <w:lang w:val="sl-SI" w:eastAsia="ja-JP"/>
              </w:rPr>
              <w:t>u opisu problema.</w:t>
            </w:r>
          </w:p>
          <w:p w14:paraId="6E5B9526" w14:textId="1CEF4A6C" w:rsidR="008B5953" w:rsidRDefault="008B5953" w:rsidP="0065073B">
            <w:pPr>
              <w:spacing w:after="0"/>
              <w:rPr>
                <w:rFonts w:asciiTheme="majorHAnsi" w:hAnsiTheme="majorHAnsi" w:cs="Arial"/>
                <w:lang w:val="sl-SI" w:eastAsia="ja-JP"/>
              </w:rPr>
            </w:pPr>
            <w:r w:rsidRPr="00EC2103">
              <w:rPr>
                <w:rFonts w:asciiTheme="majorHAnsi" w:hAnsiTheme="majorHAnsi" w:cs="Arial"/>
                <w:lang w:val="sl-SI" w:eastAsia="ja-JP"/>
              </w:rPr>
              <w:t>Cilj je da reali</w:t>
            </w:r>
            <w:r w:rsidR="0075523B" w:rsidRPr="00EC2103">
              <w:rPr>
                <w:rFonts w:asciiTheme="majorHAnsi" w:hAnsiTheme="majorHAnsi" w:cs="Arial"/>
                <w:lang w:val="sl-SI" w:eastAsia="ja-JP"/>
              </w:rPr>
              <w:t>za</w:t>
            </w:r>
            <w:r w:rsidRPr="00EC2103">
              <w:rPr>
                <w:rFonts w:asciiTheme="majorHAnsi" w:hAnsiTheme="majorHAnsi" w:cs="Arial"/>
                <w:lang w:val="sl-SI" w:eastAsia="ja-JP"/>
              </w:rPr>
              <w:t xml:space="preserve">cija projekata izazove promjenu u shvatanju principa otvorene javne uprave, u bojem razumijevanju benefita otvorenosti, te unaprijedi praksu organa u dijelu primjene </w:t>
            </w:r>
            <w:r w:rsidR="0075523B" w:rsidRPr="00EC2103">
              <w:rPr>
                <w:rFonts w:asciiTheme="majorHAnsi" w:hAnsiTheme="majorHAnsi" w:cs="Arial"/>
                <w:lang w:val="sl-SI" w:eastAsia="ja-JP"/>
              </w:rPr>
              <w:t xml:space="preserve">važećih </w:t>
            </w:r>
            <w:r w:rsidRPr="00EC2103">
              <w:rPr>
                <w:rFonts w:asciiTheme="majorHAnsi" w:hAnsiTheme="majorHAnsi" w:cs="Arial"/>
                <w:lang w:val="sl-SI" w:eastAsia="ja-JP"/>
              </w:rPr>
              <w:t>zakona i standarda koji znače bolju informisanost građana i zainteresovanih grupa,  olakšavajući praćenje ciklusa javnih politika</w:t>
            </w:r>
            <w:r w:rsidR="0075523B">
              <w:rPr>
                <w:rFonts w:asciiTheme="majorHAnsi" w:hAnsiTheme="majorHAnsi" w:cs="Arial"/>
                <w:lang w:val="sl-SI" w:eastAsia="ja-JP"/>
              </w:rPr>
              <w:t>, a</w:t>
            </w:r>
            <w:r w:rsidRPr="00EC2103">
              <w:rPr>
                <w:rFonts w:asciiTheme="majorHAnsi" w:hAnsiTheme="majorHAnsi" w:cs="Arial"/>
                <w:lang w:val="sl-SI" w:eastAsia="ja-JP"/>
              </w:rPr>
              <w:t xml:space="preserve"> posebno monitoringa rada institucija</w:t>
            </w:r>
            <w:r w:rsidR="0075523B" w:rsidRPr="00EC2103">
              <w:rPr>
                <w:rFonts w:asciiTheme="majorHAnsi" w:hAnsiTheme="majorHAnsi" w:cs="Arial"/>
                <w:lang w:val="sl-SI" w:eastAsia="ja-JP"/>
              </w:rPr>
              <w:t>.</w:t>
            </w:r>
          </w:p>
          <w:p w14:paraId="74D809E1" w14:textId="02E293E2" w:rsidR="0065073B" w:rsidRPr="006C2F5C" w:rsidRDefault="0075523B" w:rsidP="0065073B">
            <w:pPr>
              <w:spacing w:after="0"/>
              <w:rPr>
                <w:rFonts w:asciiTheme="majorHAnsi" w:hAnsiTheme="majorHAnsi"/>
              </w:rPr>
            </w:pPr>
            <w:r>
              <w:rPr>
                <w:rFonts w:asciiTheme="majorHAnsi" w:hAnsiTheme="majorHAnsi" w:cs="Arial"/>
                <w:lang w:val="sl-SI"/>
              </w:rPr>
              <w:t>Metod realizacije projekata treba da odražava inkluzivnost i odgovornost prema prepoznatim potrebama korisnika.</w:t>
            </w:r>
          </w:p>
        </w:tc>
      </w:tr>
    </w:tbl>
    <w:p w14:paraId="5B4FF579" w14:textId="77777777" w:rsidR="00C12EAA" w:rsidRPr="006C2F5C" w:rsidRDefault="00C12EAA" w:rsidP="00C12EAA">
      <w:pPr>
        <w:rPr>
          <w:rFonts w:asciiTheme="majorHAnsi" w:hAnsiTheme="majorHAnsi"/>
        </w:rPr>
      </w:pPr>
    </w:p>
    <w:p w14:paraId="25891B4B" w14:textId="77777777" w:rsidR="00C12EAA" w:rsidRPr="006C2F5C" w:rsidRDefault="00C12EAA" w:rsidP="00C12EAA">
      <w:pPr>
        <w:rPr>
          <w:rFonts w:asciiTheme="majorHAnsi" w:hAnsiTheme="majorHAnsi"/>
          <w:b/>
        </w:rPr>
      </w:pPr>
      <w:r w:rsidRPr="006C2F5C">
        <w:rPr>
          <w:rFonts w:asciiTheme="majorHAnsi" w:hAnsiTheme="majorHAnsi"/>
          <w:b/>
        </w:rPr>
        <w:t>4. JAVNI KONKURSI ZA FINANSIRANJE PROJEKATA I PROGRAMA NVO - DOPRINOS OSTVARENJU STRATEŠKIH CILJEVA IZ SEKTORSKE NADLEŽNOSTI MINISTARSTVA</w:t>
      </w:r>
    </w:p>
    <w:p w14:paraId="17E8DB26" w14:textId="77777777" w:rsidR="00C12EAA" w:rsidRPr="006C2F5C" w:rsidRDefault="00C12EAA" w:rsidP="00C12EAA">
      <w:pPr>
        <w:rPr>
          <w:rFonts w:asciiTheme="majorHAnsi" w:hAnsiTheme="majorHAnsi"/>
        </w:rPr>
      </w:pPr>
      <w:r w:rsidRPr="006C2F5C">
        <w:rPr>
          <w:rFonts w:asciiTheme="majorHAnsi" w:hAnsiTheme="majorHAnsi"/>
        </w:rPr>
        <w:t>4.1. Navesti javne konkurse koji se predlažu za objavljivanje u 202</w:t>
      </w:r>
      <w:r w:rsidR="00D52F05" w:rsidRPr="006C2F5C">
        <w:rPr>
          <w:rFonts w:asciiTheme="majorHAnsi" w:hAnsiTheme="majorHAnsi"/>
        </w:rPr>
        <w:t>3</w:t>
      </w:r>
      <w:r w:rsidRPr="006C2F5C">
        <w:rPr>
          <w:rFonts w:asciiTheme="majorHAnsi" w:hAnsiTheme="majorHAnsi"/>
        </w:rPr>
        <w:t>.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C12EAA" w:rsidRPr="006C2F5C" w14:paraId="70102CC8" w14:textId="77777777" w:rsidTr="008671CC">
        <w:tc>
          <w:tcPr>
            <w:tcW w:w="6132" w:type="dxa"/>
            <w:tcBorders>
              <w:top w:val="single" w:sz="18" w:space="0" w:color="auto"/>
            </w:tcBorders>
            <w:shd w:val="clear" w:color="auto" w:fill="F2F2F2" w:themeFill="background1" w:themeFillShade="F2"/>
            <w:tcMar>
              <w:top w:w="57" w:type="dxa"/>
              <w:bottom w:w="57" w:type="dxa"/>
            </w:tcMar>
          </w:tcPr>
          <w:p w14:paraId="5B2BFE8B" w14:textId="77777777" w:rsidR="00C12EAA" w:rsidRPr="006C2F5C" w:rsidRDefault="00C12EAA" w:rsidP="008671CC">
            <w:pPr>
              <w:spacing w:after="0"/>
              <w:rPr>
                <w:rFonts w:asciiTheme="majorHAnsi" w:hAnsiTheme="majorHAnsi"/>
              </w:rPr>
            </w:pPr>
            <w:r w:rsidRPr="006C2F5C">
              <w:rPr>
                <w:rFonts w:asciiTheme="majorHAnsi" w:hAnsiTheme="majorHAnsi"/>
              </w:rPr>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14:paraId="41D10E1C" w14:textId="77777777" w:rsidR="00C12EAA" w:rsidRPr="006C2F5C" w:rsidRDefault="00C12EAA" w:rsidP="008671CC">
            <w:pPr>
              <w:spacing w:after="0"/>
              <w:jc w:val="right"/>
              <w:rPr>
                <w:rFonts w:asciiTheme="majorHAnsi" w:hAnsiTheme="majorHAnsi"/>
              </w:rPr>
            </w:pPr>
            <w:r w:rsidRPr="006C2F5C">
              <w:rPr>
                <w:rFonts w:asciiTheme="majorHAnsi" w:hAnsiTheme="majorHAnsi"/>
              </w:rPr>
              <w:t>Iznos</w:t>
            </w:r>
          </w:p>
        </w:tc>
        <w:tc>
          <w:tcPr>
            <w:tcW w:w="5768" w:type="dxa"/>
            <w:tcBorders>
              <w:top w:val="single" w:sz="18" w:space="0" w:color="auto"/>
              <w:left w:val="single" w:sz="2" w:space="0" w:color="auto"/>
            </w:tcBorders>
            <w:shd w:val="clear" w:color="auto" w:fill="F2F2F2" w:themeFill="background1" w:themeFillShade="F2"/>
          </w:tcPr>
          <w:p w14:paraId="0C172C6E" w14:textId="77777777" w:rsidR="00C12EAA" w:rsidRPr="006C2F5C" w:rsidRDefault="00C12EAA" w:rsidP="008671CC">
            <w:pPr>
              <w:spacing w:after="0"/>
              <w:rPr>
                <w:rFonts w:asciiTheme="majorHAnsi" w:hAnsiTheme="majorHAnsi"/>
                <w:lang w:val="es-ES"/>
              </w:rPr>
            </w:pPr>
            <w:r w:rsidRPr="006C2F5C">
              <w:rPr>
                <w:rFonts w:asciiTheme="majorHAnsi" w:hAnsiTheme="majorHAnsi"/>
                <w:lang w:val="es-ES"/>
              </w:rPr>
              <w:t>Drugi donatori s kojima je potrebno koordinirati oblasti finansiranja</w:t>
            </w:r>
          </w:p>
        </w:tc>
      </w:tr>
      <w:tr w:rsidR="00C12EAA" w:rsidRPr="006C2F5C" w14:paraId="3C50F9C7" w14:textId="77777777" w:rsidTr="008671CC">
        <w:tc>
          <w:tcPr>
            <w:tcW w:w="6132" w:type="dxa"/>
            <w:tcMar>
              <w:top w:w="57" w:type="dxa"/>
              <w:bottom w:w="57" w:type="dxa"/>
            </w:tcMar>
          </w:tcPr>
          <w:p w14:paraId="3792F708" w14:textId="77777777" w:rsidR="00C12EAA" w:rsidRPr="006C2F5C" w:rsidRDefault="007741CC" w:rsidP="008671CC">
            <w:pPr>
              <w:spacing w:after="0"/>
              <w:rPr>
                <w:rFonts w:asciiTheme="majorHAnsi" w:hAnsiTheme="majorHAnsi"/>
              </w:rPr>
            </w:pPr>
            <w:r w:rsidRPr="006C2F5C">
              <w:rPr>
                <w:rFonts w:asciiTheme="majorHAnsi" w:hAnsiTheme="majorHAnsi"/>
              </w:rPr>
              <w:t>Javna uprava dostupna svima</w:t>
            </w:r>
          </w:p>
        </w:tc>
        <w:tc>
          <w:tcPr>
            <w:tcW w:w="1846" w:type="dxa"/>
            <w:tcBorders>
              <w:right w:val="single" w:sz="2" w:space="0" w:color="auto"/>
            </w:tcBorders>
            <w:tcMar>
              <w:top w:w="57" w:type="dxa"/>
              <w:bottom w:w="57" w:type="dxa"/>
            </w:tcMar>
          </w:tcPr>
          <w:p w14:paraId="1C1BC9D9" w14:textId="494FFFEC" w:rsidR="00C12EAA" w:rsidRPr="006C2F5C" w:rsidRDefault="0075523B" w:rsidP="008671CC">
            <w:pPr>
              <w:spacing w:after="0"/>
              <w:jc w:val="right"/>
              <w:rPr>
                <w:rFonts w:asciiTheme="majorHAnsi" w:hAnsiTheme="majorHAnsi"/>
              </w:rPr>
            </w:pPr>
            <w:r>
              <w:rPr>
                <w:rFonts w:asciiTheme="majorHAnsi" w:hAnsiTheme="majorHAnsi"/>
              </w:rPr>
              <w:t>200.000</w:t>
            </w:r>
          </w:p>
        </w:tc>
        <w:tc>
          <w:tcPr>
            <w:tcW w:w="5768" w:type="dxa"/>
            <w:tcBorders>
              <w:left w:val="single" w:sz="2" w:space="0" w:color="auto"/>
            </w:tcBorders>
          </w:tcPr>
          <w:p w14:paraId="711B386F" w14:textId="77777777" w:rsidR="00C12EAA" w:rsidRPr="006C2F5C" w:rsidRDefault="007741CC" w:rsidP="008671CC">
            <w:pPr>
              <w:spacing w:after="0"/>
              <w:rPr>
                <w:rFonts w:asciiTheme="majorHAnsi" w:hAnsiTheme="majorHAnsi"/>
              </w:rPr>
            </w:pPr>
            <w:r w:rsidRPr="006C2F5C">
              <w:rPr>
                <w:rFonts w:asciiTheme="majorHAnsi" w:hAnsiTheme="majorHAnsi"/>
              </w:rPr>
              <w:t>/</w:t>
            </w:r>
          </w:p>
        </w:tc>
      </w:tr>
    </w:tbl>
    <w:p w14:paraId="098B2016" w14:textId="77777777" w:rsidR="00C12EAA" w:rsidRPr="006C2F5C" w:rsidRDefault="00C12EAA" w:rsidP="00C12EAA">
      <w:pPr>
        <w:ind w:left="792"/>
        <w:rPr>
          <w:rFonts w:asciiTheme="majorHAnsi" w:hAnsiTheme="majorHAnsi"/>
        </w:rPr>
      </w:pPr>
    </w:p>
    <w:p w14:paraId="395AA8D6" w14:textId="77777777" w:rsidR="00C12EAA" w:rsidRPr="006C2F5C" w:rsidRDefault="00C12EAA" w:rsidP="00C12EAA">
      <w:pPr>
        <w:rPr>
          <w:rFonts w:asciiTheme="majorHAnsi" w:hAnsiTheme="majorHAnsi"/>
        </w:rPr>
      </w:pPr>
      <w:r w:rsidRPr="006C2F5C">
        <w:rPr>
          <w:rFonts w:asciiTheme="majorHAnsi" w:hAnsiTheme="majorHAnsi"/>
        </w:rPr>
        <w:t>4.2. Navesti ko su predviđeni glavni korisnici projekata i programa koji će se finansirati putem javnog konkursa. Ukratko navesti glavna obilježja svake grupe korisnika, njihov broj i njihove potrebe na koje projekti i programi treba da odgovore u 2021. godini.</w:t>
      </w:r>
    </w:p>
    <w:tbl>
      <w:tblPr>
        <w:tblStyle w:val="TableGrid"/>
        <w:tblW w:w="0" w:type="auto"/>
        <w:tblInd w:w="792" w:type="dxa"/>
        <w:tblLook w:val="04A0" w:firstRow="1" w:lastRow="0" w:firstColumn="1" w:lastColumn="0" w:noHBand="0" w:noVBand="1"/>
      </w:tblPr>
      <w:tblGrid>
        <w:gridCol w:w="13746"/>
      </w:tblGrid>
      <w:tr w:rsidR="00C12EAA" w:rsidRPr="006C2F5C" w14:paraId="70A10E6C" w14:textId="77777777" w:rsidTr="008671CC">
        <w:tc>
          <w:tcPr>
            <w:tcW w:w="13746" w:type="dxa"/>
            <w:tcBorders>
              <w:top w:val="single" w:sz="18" w:space="0" w:color="auto"/>
            </w:tcBorders>
            <w:shd w:val="clear" w:color="auto" w:fill="F2F2F2" w:themeFill="background1" w:themeFillShade="F2"/>
            <w:tcMar>
              <w:top w:w="57" w:type="dxa"/>
              <w:bottom w:w="57" w:type="dxa"/>
            </w:tcMar>
          </w:tcPr>
          <w:p w14:paraId="660BE019" w14:textId="77777777" w:rsidR="00C12EAA" w:rsidRPr="006C2F5C" w:rsidRDefault="00C12EAA" w:rsidP="008671CC">
            <w:pPr>
              <w:spacing w:after="0"/>
              <w:rPr>
                <w:rFonts w:asciiTheme="majorHAnsi" w:hAnsiTheme="majorHAnsi"/>
                <w:lang w:val="sr-Latn-ME"/>
              </w:rPr>
            </w:pPr>
            <w:r w:rsidRPr="006C2F5C">
              <w:rPr>
                <w:rFonts w:asciiTheme="majorHAnsi" w:hAnsiTheme="majorHAnsi"/>
              </w:rPr>
              <w:lastRenderedPageBreak/>
              <w:t>Opis</w:t>
            </w:r>
            <w:r w:rsidRPr="006C2F5C">
              <w:rPr>
                <w:rFonts w:asciiTheme="majorHAnsi" w:hAnsiTheme="majorHAnsi"/>
                <w:lang w:val="sr-Latn-ME"/>
              </w:rPr>
              <w:t xml:space="preserve"> </w:t>
            </w:r>
            <w:r w:rsidRPr="006C2F5C">
              <w:rPr>
                <w:rFonts w:asciiTheme="majorHAnsi" w:hAnsiTheme="majorHAnsi"/>
              </w:rPr>
              <w:t>glavnih</w:t>
            </w:r>
            <w:r w:rsidRPr="006C2F5C">
              <w:rPr>
                <w:rFonts w:asciiTheme="majorHAnsi" w:hAnsiTheme="majorHAnsi"/>
                <w:lang w:val="sr-Latn-ME"/>
              </w:rPr>
              <w:t xml:space="preserve"> </w:t>
            </w:r>
            <w:r w:rsidRPr="006C2F5C">
              <w:rPr>
                <w:rFonts w:asciiTheme="majorHAnsi" w:hAnsiTheme="majorHAnsi"/>
              </w:rPr>
              <w:t>grupa</w:t>
            </w:r>
            <w:r w:rsidRPr="006C2F5C">
              <w:rPr>
                <w:rFonts w:asciiTheme="majorHAnsi" w:hAnsiTheme="majorHAnsi"/>
                <w:lang w:val="sr-Latn-ME"/>
              </w:rPr>
              <w:t xml:space="preserve"> </w:t>
            </w:r>
            <w:r w:rsidRPr="006C2F5C">
              <w:rPr>
                <w:rFonts w:asciiTheme="majorHAnsi" w:hAnsiTheme="majorHAnsi"/>
              </w:rPr>
              <w:t>korisnika</w:t>
            </w:r>
            <w:r w:rsidRPr="006C2F5C">
              <w:rPr>
                <w:rFonts w:asciiTheme="majorHAnsi" w:hAnsiTheme="majorHAnsi"/>
                <w:lang w:val="sr-Latn-ME"/>
              </w:rPr>
              <w:t xml:space="preserve">, </w:t>
            </w:r>
            <w:r w:rsidRPr="006C2F5C">
              <w:rPr>
                <w:rFonts w:asciiTheme="majorHAnsi" w:hAnsiTheme="majorHAnsi"/>
              </w:rPr>
              <w:t>njihov</w:t>
            </w:r>
            <w:r w:rsidRPr="006C2F5C">
              <w:rPr>
                <w:rFonts w:asciiTheme="majorHAnsi" w:hAnsiTheme="majorHAnsi"/>
                <w:lang w:val="sr-Latn-ME"/>
              </w:rPr>
              <w:t xml:space="preserve"> </w:t>
            </w:r>
            <w:r w:rsidRPr="006C2F5C">
              <w:rPr>
                <w:rFonts w:asciiTheme="majorHAnsi" w:hAnsiTheme="majorHAnsi"/>
              </w:rPr>
              <w:t>broj</w:t>
            </w:r>
            <w:r w:rsidRPr="006C2F5C">
              <w:rPr>
                <w:rFonts w:asciiTheme="majorHAnsi" w:hAnsiTheme="majorHAnsi"/>
                <w:lang w:val="sr-Latn-ME"/>
              </w:rPr>
              <w:t xml:space="preserve"> </w:t>
            </w:r>
            <w:r w:rsidRPr="006C2F5C">
              <w:rPr>
                <w:rFonts w:asciiTheme="majorHAnsi" w:hAnsiTheme="majorHAnsi"/>
              </w:rPr>
              <w:t>i</w:t>
            </w:r>
            <w:r w:rsidRPr="006C2F5C">
              <w:rPr>
                <w:rFonts w:asciiTheme="majorHAnsi" w:hAnsiTheme="majorHAnsi"/>
                <w:lang w:val="sr-Latn-ME"/>
              </w:rPr>
              <w:t xml:space="preserve"> </w:t>
            </w:r>
            <w:r w:rsidRPr="006C2F5C">
              <w:rPr>
                <w:rFonts w:asciiTheme="majorHAnsi" w:hAnsiTheme="majorHAnsi"/>
              </w:rPr>
              <w:t>potrebe</w:t>
            </w:r>
          </w:p>
        </w:tc>
      </w:tr>
      <w:tr w:rsidR="00C12EAA" w:rsidRPr="006C2F5C" w14:paraId="1102F0DF" w14:textId="77777777" w:rsidTr="008671CC">
        <w:tc>
          <w:tcPr>
            <w:tcW w:w="13746" w:type="dxa"/>
            <w:tcMar>
              <w:top w:w="57" w:type="dxa"/>
              <w:bottom w:w="57" w:type="dxa"/>
            </w:tcMar>
          </w:tcPr>
          <w:p w14:paraId="35E83FD6" w14:textId="1D19CAC5" w:rsidR="00C12EAA" w:rsidRPr="006C2F5C" w:rsidRDefault="0075523B" w:rsidP="008671CC">
            <w:pPr>
              <w:spacing w:after="0"/>
              <w:rPr>
                <w:rFonts w:asciiTheme="majorHAnsi" w:hAnsiTheme="majorHAnsi"/>
                <w:lang w:val="sr-Latn-ME"/>
              </w:rPr>
            </w:pPr>
            <w:r>
              <w:rPr>
                <w:rFonts w:asciiTheme="majorHAnsi" w:hAnsiTheme="majorHAnsi"/>
                <w:lang w:val="sr-Latn-ME"/>
              </w:rPr>
              <w:t xml:space="preserve">Korisnici: </w:t>
            </w:r>
            <w:r w:rsidR="007741CC" w:rsidRPr="006C2F5C">
              <w:rPr>
                <w:rFonts w:asciiTheme="majorHAnsi" w:hAnsiTheme="majorHAnsi"/>
                <w:lang w:val="sr-Latn-ME"/>
              </w:rPr>
              <w:t>Građani</w:t>
            </w:r>
            <w:r>
              <w:rPr>
                <w:rFonts w:asciiTheme="majorHAnsi" w:hAnsiTheme="majorHAnsi"/>
                <w:lang w:val="sr-Latn-ME"/>
              </w:rPr>
              <w:t>, akademska zajednica, IT i</w:t>
            </w:r>
            <w:r w:rsidR="007741CC" w:rsidRPr="006C2F5C">
              <w:rPr>
                <w:rFonts w:asciiTheme="majorHAnsi" w:hAnsiTheme="majorHAnsi"/>
                <w:lang w:val="sr-Latn-ME"/>
              </w:rPr>
              <w:t xml:space="preserve"> NVO </w:t>
            </w:r>
            <w:r w:rsidR="00103B2E" w:rsidRPr="006C2F5C">
              <w:rPr>
                <w:rFonts w:asciiTheme="majorHAnsi" w:hAnsiTheme="majorHAnsi"/>
                <w:lang w:val="sr-Latn-ME"/>
              </w:rPr>
              <w:t>se</w:t>
            </w:r>
            <w:r w:rsidR="00103B2E" w:rsidRPr="006C2F5C">
              <w:rPr>
                <w:rFonts w:asciiTheme="majorHAnsi" w:hAnsiTheme="majorHAnsi"/>
              </w:rPr>
              <w:t>k</w:t>
            </w:r>
            <w:r w:rsidR="00103B2E" w:rsidRPr="006C2F5C">
              <w:rPr>
                <w:rFonts w:asciiTheme="majorHAnsi" w:hAnsiTheme="majorHAnsi"/>
                <w:lang w:val="sr-Latn-ME"/>
              </w:rPr>
              <w:t>tor</w:t>
            </w:r>
            <w:r>
              <w:rPr>
                <w:rFonts w:asciiTheme="majorHAnsi" w:hAnsiTheme="majorHAnsi"/>
                <w:lang w:val="sr-Latn-ME"/>
              </w:rPr>
              <w:t>, kao</w:t>
            </w:r>
            <w:r w:rsidR="00103B2E" w:rsidRPr="006C2F5C">
              <w:rPr>
                <w:rFonts w:asciiTheme="majorHAnsi" w:hAnsiTheme="majorHAnsi"/>
                <w:lang w:val="sr-Latn-ME"/>
              </w:rPr>
              <w:t xml:space="preserve"> </w:t>
            </w:r>
            <w:r w:rsidR="00103B2E" w:rsidRPr="006C2F5C">
              <w:rPr>
                <w:rFonts w:asciiTheme="majorHAnsi" w:hAnsiTheme="majorHAnsi"/>
              </w:rPr>
              <w:t>i institucije javne uprave</w:t>
            </w:r>
            <w:r>
              <w:rPr>
                <w:rFonts w:asciiTheme="majorHAnsi" w:hAnsiTheme="majorHAnsi"/>
              </w:rPr>
              <w:t>.</w:t>
            </w:r>
          </w:p>
          <w:p w14:paraId="531057AC" w14:textId="01849D5E" w:rsidR="00103B2E" w:rsidRPr="006C2F5C" w:rsidRDefault="00103B2E" w:rsidP="00103B2E">
            <w:pPr>
              <w:spacing w:after="0"/>
              <w:rPr>
                <w:rFonts w:asciiTheme="majorHAnsi" w:hAnsiTheme="majorHAnsi"/>
                <w:lang w:val="sr-Latn-ME"/>
              </w:rPr>
            </w:pPr>
            <w:r w:rsidRPr="006C2F5C">
              <w:rPr>
                <w:rFonts w:asciiTheme="majorHAnsi" w:hAnsiTheme="majorHAnsi"/>
              </w:rPr>
              <w:t>Potrebe</w:t>
            </w:r>
            <w:r w:rsidRPr="006C2F5C">
              <w:rPr>
                <w:rFonts w:asciiTheme="majorHAnsi" w:hAnsiTheme="majorHAnsi"/>
                <w:lang w:val="sr-Latn-ME"/>
              </w:rPr>
              <w:t xml:space="preserve">: </w:t>
            </w:r>
            <w:r w:rsidRPr="006C2F5C">
              <w:rPr>
                <w:rFonts w:asciiTheme="majorHAnsi" w:hAnsiTheme="majorHAnsi"/>
              </w:rPr>
              <w:t>prelazak</w:t>
            </w:r>
            <w:r w:rsidRPr="006C2F5C">
              <w:rPr>
                <w:rFonts w:asciiTheme="majorHAnsi" w:hAnsiTheme="majorHAnsi"/>
                <w:lang w:val="sr-Latn-ME"/>
              </w:rPr>
              <w:t xml:space="preserve"> </w:t>
            </w:r>
            <w:r w:rsidRPr="006C2F5C">
              <w:rPr>
                <w:rFonts w:asciiTheme="majorHAnsi" w:hAnsiTheme="majorHAnsi"/>
              </w:rPr>
              <w:t>s</w:t>
            </w:r>
            <w:r w:rsidRPr="006C2F5C">
              <w:rPr>
                <w:rFonts w:asciiTheme="majorHAnsi" w:hAnsiTheme="majorHAnsi"/>
                <w:lang w:val="sr-Latn-ME"/>
              </w:rPr>
              <w:t xml:space="preserve"> </w:t>
            </w:r>
            <w:r w:rsidRPr="006C2F5C">
              <w:rPr>
                <w:rFonts w:asciiTheme="majorHAnsi" w:hAnsiTheme="majorHAnsi"/>
              </w:rPr>
              <w:t>teorijske</w:t>
            </w:r>
            <w:r w:rsidRPr="006C2F5C">
              <w:rPr>
                <w:rFonts w:asciiTheme="majorHAnsi" w:hAnsiTheme="majorHAnsi"/>
                <w:lang w:val="sr-Latn-ME"/>
              </w:rPr>
              <w:t xml:space="preserve"> </w:t>
            </w:r>
            <w:r w:rsidRPr="006C2F5C">
              <w:rPr>
                <w:rFonts w:asciiTheme="majorHAnsi" w:hAnsiTheme="majorHAnsi"/>
              </w:rPr>
              <w:t>na</w:t>
            </w:r>
            <w:r w:rsidRPr="006C2F5C">
              <w:rPr>
                <w:rFonts w:asciiTheme="majorHAnsi" w:hAnsiTheme="majorHAnsi"/>
                <w:lang w:val="sr-Latn-ME"/>
              </w:rPr>
              <w:t xml:space="preserve"> </w:t>
            </w:r>
            <w:r w:rsidRPr="006C2F5C">
              <w:rPr>
                <w:rFonts w:asciiTheme="majorHAnsi" w:hAnsiTheme="majorHAnsi"/>
              </w:rPr>
              <w:t>stvarnu</w:t>
            </w:r>
            <w:r w:rsidRPr="006C2F5C">
              <w:rPr>
                <w:rFonts w:asciiTheme="majorHAnsi" w:hAnsiTheme="majorHAnsi"/>
                <w:lang w:val="sr-Latn-ME"/>
              </w:rPr>
              <w:t xml:space="preserve"> </w:t>
            </w:r>
            <w:r w:rsidRPr="006C2F5C">
              <w:rPr>
                <w:rFonts w:asciiTheme="majorHAnsi" w:hAnsiTheme="majorHAnsi"/>
              </w:rPr>
              <w:t>transparentnost</w:t>
            </w:r>
            <w:r w:rsidRPr="006C2F5C">
              <w:rPr>
                <w:rFonts w:asciiTheme="majorHAnsi" w:hAnsiTheme="majorHAnsi"/>
                <w:lang w:val="sr-Latn-ME"/>
              </w:rPr>
              <w:t xml:space="preserve"> </w:t>
            </w:r>
            <w:r w:rsidRPr="006C2F5C">
              <w:rPr>
                <w:rFonts w:asciiTheme="majorHAnsi" w:hAnsiTheme="majorHAnsi"/>
              </w:rPr>
              <w:t>koja</w:t>
            </w:r>
            <w:r w:rsidRPr="006C2F5C">
              <w:rPr>
                <w:rFonts w:asciiTheme="majorHAnsi" w:hAnsiTheme="majorHAnsi"/>
                <w:lang w:val="sr-Latn-ME"/>
              </w:rPr>
              <w:t xml:space="preserve"> </w:t>
            </w:r>
            <w:r w:rsidRPr="006C2F5C">
              <w:rPr>
                <w:rFonts w:asciiTheme="majorHAnsi" w:hAnsiTheme="majorHAnsi"/>
              </w:rPr>
              <w:t>olak</w:t>
            </w:r>
            <w:r w:rsidRPr="006C2F5C">
              <w:rPr>
                <w:rFonts w:asciiTheme="majorHAnsi" w:hAnsiTheme="majorHAnsi"/>
                <w:lang w:val="sr-Latn-ME"/>
              </w:rPr>
              <w:t>š</w:t>
            </w:r>
            <w:r w:rsidRPr="006C2F5C">
              <w:rPr>
                <w:rFonts w:asciiTheme="majorHAnsi" w:hAnsiTheme="majorHAnsi"/>
              </w:rPr>
              <w:t>ava</w:t>
            </w:r>
            <w:r w:rsidRPr="006C2F5C">
              <w:rPr>
                <w:rFonts w:asciiTheme="majorHAnsi" w:hAnsiTheme="majorHAnsi"/>
                <w:lang w:val="sr-Latn-ME"/>
              </w:rPr>
              <w:t xml:space="preserve"> </w:t>
            </w:r>
            <w:r w:rsidRPr="006C2F5C">
              <w:rPr>
                <w:rFonts w:asciiTheme="majorHAnsi" w:hAnsiTheme="majorHAnsi"/>
              </w:rPr>
              <w:t>shvatanje</w:t>
            </w:r>
            <w:r w:rsidRPr="006C2F5C">
              <w:rPr>
                <w:rFonts w:asciiTheme="majorHAnsi" w:hAnsiTheme="majorHAnsi"/>
                <w:lang w:val="sr-Latn-ME"/>
              </w:rPr>
              <w:t xml:space="preserve"> </w:t>
            </w:r>
            <w:r w:rsidRPr="006C2F5C">
              <w:rPr>
                <w:rFonts w:asciiTheme="majorHAnsi" w:hAnsiTheme="majorHAnsi"/>
              </w:rPr>
              <w:t>rada</w:t>
            </w:r>
            <w:r w:rsidRPr="006C2F5C">
              <w:rPr>
                <w:rFonts w:asciiTheme="majorHAnsi" w:hAnsiTheme="majorHAnsi"/>
                <w:lang w:val="sr-Latn-ME"/>
              </w:rPr>
              <w:t xml:space="preserve"> </w:t>
            </w:r>
            <w:r w:rsidRPr="006C2F5C">
              <w:rPr>
                <w:rFonts w:asciiTheme="majorHAnsi" w:hAnsiTheme="majorHAnsi"/>
              </w:rPr>
              <w:t>javne</w:t>
            </w:r>
            <w:r w:rsidRPr="006C2F5C">
              <w:rPr>
                <w:rFonts w:asciiTheme="majorHAnsi" w:hAnsiTheme="majorHAnsi"/>
                <w:lang w:val="sr-Latn-ME"/>
              </w:rPr>
              <w:t xml:space="preserve"> </w:t>
            </w:r>
            <w:r w:rsidRPr="006C2F5C">
              <w:rPr>
                <w:rFonts w:asciiTheme="majorHAnsi" w:hAnsiTheme="majorHAnsi"/>
              </w:rPr>
              <w:t>uprave</w:t>
            </w:r>
            <w:r w:rsidR="004356A6" w:rsidRPr="006C2F5C">
              <w:rPr>
                <w:rFonts w:asciiTheme="majorHAnsi" w:hAnsiTheme="majorHAnsi"/>
                <w:lang w:val="sr-Latn-ME"/>
              </w:rPr>
              <w:t xml:space="preserve">, </w:t>
            </w:r>
            <w:r w:rsidR="004356A6" w:rsidRPr="006C2F5C">
              <w:rPr>
                <w:rFonts w:asciiTheme="majorHAnsi" w:hAnsiTheme="majorHAnsi"/>
              </w:rPr>
              <w:t>anga</w:t>
            </w:r>
            <w:r w:rsidR="004356A6" w:rsidRPr="006C2F5C">
              <w:rPr>
                <w:rFonts w:asciiTheme="majorHAnsi" w:hAnsiTheme="majorHAnsi"/>
                <w:lang w:val="sr-Latn-ME"/>
              </w:rPr>
              <w:t>ž</w:t>
            </w:r>
            <w:r w:rsidR="004356A6" w:rsidRPr="006C2F5C">
              <w:rPr>
                <w:rFonts w:asciiTheme="majorHAnsi" w:hAnsiTheme="majorHAnsi"/>
              </w:rPr>
              <w:t>man</w:t>
            </w:r>
            <w:r w:rsidR="004356A6" w:rsidRPr="006C2F5C">
              <w:rPr>
                <w:rFonts w:asciiTheme="majorHAnsi" w:hAnsiTheme="majorHAnsi"/>
                <w:lang w:val="sr-Latn-ME"/>
              </w:rPr>
              <w:t xml:space="preserve"> </w:t>
            </w:r>
            <w:r w:rsidR="004356A6" w:rsidRPr="006C2F5C">
              <w:rPr>
                <w:rFonts w:asciiTheme="majorHAnsi" w:hAnsiTheme="majorHAnsi"/>
              </w:rPr>
              <w:t>javnih</w:t>
            </w:r>
            <w:r w:rsidR="004356A6" w:rsidRPr="006C2F5C">
              <w:rPr>
                <w:rFonts w:asciiTheme="majorHAnsi" w:hAnsiTheme="majorHAnsi"/>
                <w:lang w:val="sr-Latn-ME"/>
              </w:rPr>
              <w:t xml:space="preserve"> </w:t>
            </w:r>
            <w:r w:rsidR="004356A6" w:rsidRPr="006C2F5C">
              <w:rPr>
                <w:rFonts w:asciiTheme="majorHAnsi" w:hAnsiTheme="majorHAnsi"/>
              </w:rPr>
              <w:t>slu</w:t>
            </w:r>
            <w:r w:rsidR="004356A6" w:rsidRPr="006C2F5C">
              <w:rPr>
                <w:rFonts w:asciiTheme="majorHAnsi" w:hAnsiTheme="majorHAnsi"/>
                <w:lang w:val="sr-Latn-ME"/>
              </w:rPr>
              <w:t>žbenika u otvaranju javne uprave, povećati integritet javnog sektora i ojačati borbu protiv korupcije, uvećanje znanja i razumijevanja otvorenih podataka kao alata za stvaranje novih vrijednosti.</w:t>
            </w:r>
          </w:p>
          <w:p w14:paraId="7EF96A3C" w14:textId="3E8033C5" w:rsidR="00103B2E" w:rsidRPr="006C2F5C" w:rsidRDefault="004356A6" w:rsidP="008671CC">
            <w:pPr>
              <w:spacing w:after="0"/>
              <w:rPr>
                <w:rFonts w:asciiTheme="majorHAnsi" w:hAnsiTheme="majorHAnsi"/>
                <w:lang w:val="sr-Latn-ME"/>
              </w:rPr>
            </w:pPr>
            <w:r w:rsidRPr="006C2F5C">
              <w:rPr>
                <w:rFonts w:asciiTheme="majorHAnsi" w:hAnsiTheme="majorHAnsi"/>
                <w:lang w:val="sr-Latn-ME"/>
              </w:rPr>
              <w:t xml:space="preserve">Potrebno je i građanima i upravi da se adminsitracija pojednostavi i racionalizuju procesi, pogotovo u postupcima kreiranja politika, kroz dostupne, ali i nove modele e-participacije i na državnom i na lokalnom nivou, i druge metode pristupa različitim ciljnim grupama (efikasnije, prijemčivije, jednostavnije). </w:t>
            </w:r>
          </w:p>
          <w:p w14:paraId="7E1BD84A" w14:textId="00575157" w:rsidR="00103B2E" w:rsidRPr="006C2F5C" w:rsidRDefault="00103B2E" w:rsidP="008671CC">
            <w:pPr>
              <w:spacing w:after="0"/>
              <w:rPr>
                <w:rFonts w:asciiTheme="majorHAnsi" w:hAnsiTheme="majorHAnsi"/>
                <w:lang w:val="sr-Latn-ME"/>
              </w:rPr>
            </w:pPr>
            <w:r w:rsidRPr="006C2F5C">
              <w:rPr>
                <w:rFonts w:asciiTheme="majorHAnsi" w:hAnsiTheme="majorHAnsi"/>
              </w:rPr>
              <w:t>Okviran</w:t>
            </w:r>
            <w:r w:rsidRPr="006C2F5C">
              <w:rPr>
                <w:rFonts w:asciiTheme="majorHAnsi" w:hAnsiTheme="majorHAnsi"/>
                <w:lang w:val="sr-Latn-ME"/>
              </w:rPr>
              <w:t xml:space="preserve"> </w:t>
            </w:r>
            <w:r w:rsidRPr="006C2F5C">
              <w:rPr>
                <w:rFonts w:asciiTheme="majorHAnsi" w:hAnsiTheme="majorHAnsi"/>
              </w:rPr>
              <w:t>broj</w:t>
            </w:r>
            <w:r w:rsidRPr="006C2F5C">
              <w:rPr>
                <w:rFonts w:asciiTheme="majorHAnsi" w:hAnsiTheme="majorHAnsi"/>
                <w:lang w:val="sr-Latn-ME"/>
              </w:rPr>
              <w:t xml:space="preserve"> </w:t>
            </w:r>
            <w:r w:rsidRPr="006C2F5C">
              <w:rPr>
                <w:rFonts w:asciiTheme="majorHAnsi" w:hAnsiTheme="majorHAnsi"/>
              </w:rPr>
              <w:t>direktnih</w:t>
            </w:r>
            <w:r w:rsidRPr="006C2F5C">
              <w:rPr>
                <w:rFonts w:asciiTheme="majorHAnsi" w:hAnsiTheme="majorHAnsi"/>
                <w:lang w:val="sr-Latn-ME"/>
              </w:rPr>
              <w:t xml:space="preserve"> </w:t>
            </w:r>
            <w:r w:rsidRPr="006C2F5C">
              <w:rPr>
                <w:rFonts w:asciiTheme="majorHAnsi" w:hAnsiTheme="majorHAnsi"/>
              </w:rPr>
              <w:t>korisnika</w:t>
            </w:r>
            <w:r w:rsidRPr="006C2F5C">
              <w:rPr>
                <w:rFonts w:asciiTheme="majorHAnsi" w:hAnsiTheme="majorHAnsi"/>
                <w:lang w:val="sr-Latn-ME"/>
              </w:rPr>
              <w:t xml:space="preserve">: 2000 </w:t>
            </w:r>
          </w:p>
          <w:p w14:paraId="6DB3424A" w14:textId="160FE620" w:rsidR="00103B2E" w:rsidRPr="006C2F5C" w:rsidRDefault="00103B2E" w:rsidP="008671CC">
            <w:pPr>
              <w:spacing w:after="0"/>
              <w:rPr>
                <w:rFonts w:asciiTheme="majorHAnsi" w:hAnsiTheme="majorHAnsi"/>
                <w:lang w:val="sr-Latn-ME"/>
              </w:rPr>
            </w:pPr>
            <w:r w:rsidRPr="006C2F5C">
              <w:rPr>
                <w:rFonts w:asciiTheme="majorHAnsi" w:hAnsiTheme="majorHAnsi"/>
              </w:rPr>
              <w:t>Okviran</w:t>
            </w:r>
            <w:r w:rsidRPr="006C2F5C">
              <w:rPr>
                <w:rFonts w:asciiTheme="majorHAnsi" w:hAnsiTheme="majorHAnsi"/>
                <w:lang w:val="sr-Latn-ME"/>
              </w:rPr>
              <w:t xml:space="preserve"> </w:t>
            </w:r>
            <w:r w:rsidRPr="006C2F5C">
              <w:rPr>
                <w:rFonts w:asciiTheme="majorHAnsi" w:hAnsiTheme="majorHAnsi"/>
              </w:rPr>
              <w:t>broj</w:t>
            </w:r>
            <w:r w:rsidRPr="006C2F5C">
              <w:rPr>
                <w:rFonts w:asciiTheme="majorHAnsi" w:hAnsiTheme="majorHAnsi"/>
                <w:lang w:val="sr-Latn-ME"/>
              </w:rPr>
              <w:t xml:space="preserve"> </w:t>
            </w:r>
            <w:r w:rsidRPr="006C2F5C">
              <w:rPr>
                <w:rFonts w:asciiTheme="majorHAnsi" w:hAnsiTheme="majorHAnsi"/>
              </w:rPr>
              <w:t>krajnjih</w:t>
            </w:r>
            <w:r w:rsidRPr="006C2F5C">
              <w:rPr>
                <w:rFonts w:asciiTheme="majorHAnsi" w:hAnsiTheme="majorHAnsi"/>
                <w:lang w:val="sr-Latn-ME"/>
              </w:rPr>
              <w:t xml:space="preserve"> </w:t>
            </w:r>
            <w:r w:rsidRPr="006C2F5C">
              <w:rPr>
                <w:rFonts w:asciiTheme="majorHAnsi" w:hAnsiTheme="majorHAnsi"/>
              </w:rPr>
              <w:t>korisnika</w:t>
            </w:r>
            <w:r w:rsidRPr="006C2F5C">
              <w:rPr>
                <w:rFonts w:asciiTheme="majorHAnsi" w:hAnsiTheme="majorHAnsi"/>
                <w:lang w:val="sr-Latn-ME"/>
              </w:rPr>
              <w:t xml:space="preserve">: </w:t>
            </w:r>
            <w:r w:rsidRPr="006C2F5C">
              <w:rPr>
                <w:rFonts w:asciiTheme="majorHAnsi" w:hAnsiTheme="majorHAnsi"/>
              </w:rPr>
              <w:t>Svi</w:t>
            </w:r>
            <w:r w:rsidRPr="006C2F5C">
              <w:rPr>
                <w:rFonts w:asciiTheme="majorHAnsi" w:hAnsiTheme="majorHAnsi"/>
                <w:lang w:val="sr-Latn-ME"/>
              </w:rPr>
              <w:t xml:space="preserve"> </w:t>
            </w:r>
            <w:r w:rsidRPr="006C2F5C">
              <w:rPr>
                <w:rFonts w:asciiTheme="majorHAnsi" w:hAnsiTheme="majorHAnsi"/>
              </w:rPr>
              <w:t>gra</w:t>
            </w:r>
            <w:r w:rsidRPr="006C2F5C">
              <w:rPr>
                <w:rFonts w:asciiTheme="majorHAnsi" w:hAnsiTheme="majorHAnsi"/>
                <w:lang w:val="sr-Latn-ME"/>
              </w:rPr>
              <w:t>đ</w:t>
            </w:r>
            <w:r w:rsidRPr="006C2F5C">
              <w:rPr>
                <w:rFonts w:asciiTheme="majorHAnsi" w:hAnsiTheme="majorHAnsi"/>
              </w:rPr>
              <w:t>ani</w:t>
            </w:r>
            <w:r w:rsidRPr="006C2F5C">
              <w:rPr>
                <w:rFonts w:asciiTheme="majorHAnsi" w:hAnsiTheme="majorHAnsi"/>
                <w:lang w:val="sr-Latn-ME"/>
              </w:rPr>
              <w:t xml:space="preserve"> </w:t>
            </w:r>
            <w:r w:rsidRPr="006C2F5C">
              <w:rPr>
                <w:rFonts w:asciiTheme="majorHAnsi" w:hAnsiTheme="majorHAnsi"/>
              </w:rPr>
              <w:t>Crne</w:t>
            </w:r>
            <w:r w:rsidRPr="006C2F5C">
              <w:rPr>
                <w:rFonts w:asciiTheme="majorHAnsi" w:hAnsiTheme="majorHAnsi"/>
                <w:lang w:val="sr-Latn-ME"/>
              </w:rPr>
              <w:t xml:space="preserve"> </w:t>
            </w:r>
            <w:r w:rsidRPr="006C2F5C">
              <w:rPr>
                <w:rFonts w:asciiTheme="majorHAnsi" w:hAnsiTheme="majorHAnsi"/>
              </w:rPr>
              <w:t>Gore</w:t>
            </w:r>
          </w:p>
        </w:tc>
      </w:tr>
    </w:tbl>
    <w:p w14:paraId="38DF425A" w14:textId="77777777" w:rsidR="00C12EAA" w:rsidRPr="006C2F5C" w:rsidRDefault="00C12EAA" w:rsidP="00C12EAA">
      <w:pPr>
        <w:ind w:left="792"/>
        <w:rPr>
          <w:rFonts w:asciiTheme="majorHAnsi" w:hAnsiTheme="majorHAnsi"/>
        </w:rPr>
      </w:pPr>
    </w:p>
    <w:p w14:paraId="68013808" w14:textId="77777777" w:rsidR="00C12EAA" w:rsidRPr="006C2F5C" w:rsidRDefault="00C12EAA" w:rsidP="00C12EAA">
      <w:pPr>
        <w:rPr>
          <w:rFonts w:asciiTheme="majorHAnsi" w:hAnsiTheme="majorHAnsi"/>
        </w:rPr>
      </w:pPr>
      <w:r w:rsidRPr="006C2F5C">
        <w:rPr>
          <w:rFonts w:asciiTheme="majorHAnsi" w:hAnsiTheme="majorHAnsi"/>
        </w:rPr>
        <w:t>4.3. 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C12EAA" w:rsidRPr="006C2F5C" w14:paraId="5E97AB31" w14:textId="77777777" w:rsidTr="008671CC">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14:paraId="11CF73BC" w14:textId="77777777" w:rsidR="00C12EAA" w:rsidRPr="006C2F5C" w:rsidRDefault="00C12EAA" w:rsidP="008671CC">
            <w:pPr>
              <w:spacing w:after="0"/>
              <w:jc w:val="center"/>
              <w:rPr>
                <w:rFonts w:asciiTheme="majorHAnsi" w:hAnsiTheme="majorHAnsi"/>
                <w:lang w:val="es-ES"/>
              </w:rPr>
            </w:pPr>
            <w:r w:rsidRPr="006C2F5C">
              <w:rPr>
                <w:rFonts w:asciiTheme="majorHAnsi" w:hAnsiTheme="majorHAnsi"/>
                <w:lang w:val="es-ES"/>
              </w:rPr>
              <w:t>Očekivani broj projekata koji se planira finansirati / broj ugovora koje se planira zaključiti s NVO</w:t>
            </w:r>
          </w:p>
        </w:tc>
      </w:tr>
      <w:tr w:rsidR="00C12EAA" w:rsidRPr="006C2F5C" w14:paraId="2936A96F" w14:textId="77777777" w:rsidTr="008671CC">
        <w:tc>
          <w:tcPr>
            <w:tcW w:w="6884" w:type="dxa"/>
            <w:tcBorders>
              <w:top w:val="single" w:sz="2" w:space="0" w:color="auto"/>
            </w:tcBorders>
            <w:shd w:val="clear" w:color="auto" w:fill="auto"/>
            <w:tcMar>
              <w:top w:w="57" w:type="dxa"/>
              <w:bottom w:w="57" w:type="dxa"/>
            </w:tcMar>
          </w:tcPr>
          <w:p w14:paraId="7B8F63F8" w14:textId="37E6B2FF" w:rsidR="00C12EAA" w:rsidRPr="006C2F5C" w:rsidRDefault="00610964" w:rsidP="008671CC">
            <w:pPr>
              <w:spacing w:after="0"/>
              <w:rPr>
                <w:rFonts w:asciiTheme="majorHAnsi" w:hAnsiTheme="majorHAnsi"/>
              </w:rPr>
            </w:pPr>
            <w:r>
              <w:rPr>
                <w:rFonts w:asciiTheme="majorHAnsi" w:hAnsiTheme="majorHAnsi"/>
              </w:rPr>
              <w:t>3</w:t>
            </w:r>
          </w:p>
        </w:tc>
        <w:tc>
          <w:tcPr>
            <w:tcW w:w="6862" w:type="dxa"/>
            <w:tcBorders>
              <w:top w:val="single" w:sz="2" w:space="0" w:color="auto"/>
            </w:tcBorders>
            <w:shd w:val="clear" w:color="auto" w:fill="auto"/>
            <w:tcMar>
              <w:top w:w="57" w:type="dxa"/>
              <w:bottom w:w="57" w:type="dxa"/>
            </w:tcMar>
          </w:tcPr>
          <w:p w14:paraId="46FB13E2" w14:textId="286DA652" w:rsidR="00C12EAA" w:rsidRPr="006C2F5C" w:rsidRDefault="00610964" w:rsidP="008671CC">
            <w:pPr>
              <w:spacing w:after="0"/>
              <w:rPr>
                <w:rFonts w:asciiTheme="majorHAnsi" w:hAnsiTheme="majorHAnsi"/>
              </w:rPr>
            </w:pPr>
            <w:r>
              <w:rPr>
                <w:rFonts w:asciiTheme="majorHAnsi" w:hAnsiTheme="majorHAnsi"/>
              </w:rPr>
              <w:t>3</w:t>
            </w:r>
          </w:p>
        </w:tc>
      </w:tr>
    </w:tbl>
    <w:p w14:paraId="310EC31E" w14:textId="77777777" w:rsidR="00C12EAA" w:rsidRPr="006C2F5C" w:rsidRDefault="00C12EAA" w:rsidP="00C12EAA">
      <w:pPr>
        <w:rPr>
          <w:rFonts w:asciiTheme="majorHAnsi" w:hAnsiTheme="majorHAnsi"/>
        </w:rPr>
      </w:pPr>
      <w:r w:rsidRPr="006C2F5C">
        <w:rPr>
          <w:rFonts w:asciiTheme="majorHAnsi" w:hAnsiTheme="majorHAnsi"/>
        </w:rPr>
        <w:t>4.4. 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C12EAA" w:rsidRPr="006C2F5C" w14:paraId="6AC97AB1" w14:textId="77777777" w:rsidTr="008671CC">
        <w:trPr>
          <w:trHeight w:val="372"/>
        </w:trPr>
        <w:tc>
          <w:tcPr>
            <w:tcW w:w="13746" w:type="dxa"/>
            <w:gridSpan w:val="2"/>
            <w:tcBorders>
              <w:top w:val="single" w:sz="18" w:space="0" w:color="auto"/>
            </w:tcBorders>
            <w:shd w:val="clear" w:color="auto" w:fill="F2F2F2" w:themeFill="background1" w:themeFillShade="F2"/>
          </w:tcPr>
          <w:p w14:paraId="1E602DCB" w14:textId="77777777" w:rsidR="00C12EAA" w:rsidRPr="006C2F5C" w:rsidRDefault="00C12EAA" w:rsidP="008671CC">
            <w:pPr>
              <w:spacing w:after="0"/>
              <w:rPr>
                <w:rFonts w:asciiTheme="majorHAnsi" w:hAnsiTheme="majorHAnsi"/>
              </w:rPr>
            </w:pPr>
            <w:r w:rsidRPr="006C2F5C">
              <w:rPr>
                <w:rFonts w:asciiTheme="majorHAnsi" w:hAnsiTheme="majorHAnsi"/>
              </w:rPr>
              <w:t>Naziv javnog konkursa:</w:t>
            </w:r>
          </w:p>
        </w:tc>
      </w:tr>
      <w:tr w:rsidR="00C12EAA" w:rsidRPr="006C2F5C" w14:paraId="3668CDA2" w14:textId="77777777" w:rsidTr="008671CC">
        <w:tc>
          <w:tcPr>
            <w:tcW w:w="6876" w:type="dxa"/>
          </w:tcPr>
          <w:p w14:paraId="4E74D01C" w14:textId="77777777" w:rsidR="00C12EAA" w:rsidRPr="006C2F5C" w:rsidRDefault="00C12EAA" w:rsidP="008671CC">
            <w:pPr>
              <w:spacing w:after="0"/>
              <w:rPr>
                <w:rFonts w:asciiTheme="majorHAnsi" w:hAnsiTheme="majorHAnsi"/>
                <w:lang w:val="sr-Latn-ME"/>
              </w:rPr>
            </w:pPr>
            <w:r w:rsidRPr="006C2F5C">
              <w:rPr>
                <w:rFonts w:asciiTheme="majorHAnsi" w:hAnsiTheme="majorHAnsi"/>
              </w:rPr>
              <w:t>Najni</w:t>
            </w:r>
            <w:r w:rsidRPr="006C2F5C">
              <w:rPr>
                <w:rFonts w:asciiTheme="majorHAnsi" w:hAnsiTheme="majorHAnsi"/>
                <w:lang w:val="sr-Latn-ME"/>
              </w:rPr>
              <w:t>ž</w:t>
            </w:r>
            <w:r w:rsidRPr="006C2F5C">
              <w:rPr>
                <w:rFonts w:asciiTheme="majorHAnsi" w:hAnsiTheme="majorHAnsi"/>
              </w:rPr>
              <w:t>i</w:t>
            </w:r>
            <w:r w:rsidRPr="006C2F5C">
              <w:rPr>
                <w:rFonts w:asciiTheme="majorHAnsi" w:hAnsiTheme="majorHAnsi"/>
                <w:lang w:val="sr-Latn-ME"/>
              </w:rPr>
              <w:t xml:space="preserve"> </w:t>
            </w:r>
            <w:r w:rsidRPr="006C2F5C">
              <w:rPr>
                <w:rFonts w:asciiTheme="majorHAnsi" w:hAnsiTheme="majorHAnsi"/>
              </w:rPr>
              <w:t>iznos</w:t>
            </w:r>
            <w:r w:rsidRPr="006C2F5C">
              <w:rPr>
                <w:rFonts w:asciiTheme="majorHAnsi" w:hAnsiTheme="majorHAnsi"/>
                <w:lang w:val="sr-Latn-ME"/>
              </w:rPr>
              <w:t xml:space="preserve"> </w:t>
            </w:r>
            <w:r w:rsidRPr="006C2F5C">
              <w:rPr>
                <w:rFonts w:asciiTheme="majorHAnsi" w:hAnsiTheme="majorHAnsi"/>
              </w:rPr>
              <w:t>finansijske</w:t>
            </w:r>
            <w:r w:rsidRPr="006C2F5C">
              <w:rPr>
                <w:rFonts w:asciiTheme="majorHAnsi" w:hAnsiTheme="majorHAnsi"/>
                <w:lang w:val="sr-Latn-ME"/>
              </w:rPr>
              <w:t xml:space="preserve"> </w:t>
            </w:r>
            <w:r w:rsidRPr="006C2F5C">
              <w:rPr>
                <w:rFonts w:asciiTheme="majorHAnsi" w:hAnsiTheme="majorHAnsi"/>
              </w:rPr>
              <w:t>podr</w:t>
            </w:r>
            <w:r w:rsidRPr="006C2F5C">
              <w:rPr>
                <w:rFonts w:asciiTheme="majorHAnsi" w:hAnsiTheme="majorHAnsi"/>
                <w:lang w:val="sr-Latn-ME"/>
              </w:rPr>
              <w:t>š</w:t>
            </w:r>
            <w:r w:rsidRPr="006C2F5C">
              <w:rPr>
                <w:rFonts w:asciiTheme="majorHAnsi" w:hAnsiTheme="majorHAnsi"/>
              </w:rPr>
              <w:t>ke</w:t>
            </w:r>
            <w:r w:rsidRPr="006C2F5C">
              <w:rPr>
                <w:rFonts w:asciiTheme="majorHAnsi" w:hAnsiTheme="majorHAnsi"/>
                <w:lang w:val="sr-Latn-ME"/>
              </w:rPr>
              <w:t xml:space="preserve"> </w:t>
            </w:r>
            <w:r w:rsidRPr="006C2F5C">
              <w:rPr>
                <w:rFonts w:asciiTheme="majorHAnsi" w:hAnsiTheme="majorHAnsi"/>
              </w:rPr>
              <w:t>koju</w:t>
            </w:r>
            <w:r w:rsidRPr="006C2F5C">
              <w:rPr>
                <w:rFonts w:asciiTheme="majorHAnsi" w:hAnsiTheme="majorHAnsi"/>
                <w:lang w:val="sr-Latn-ME"/>
              </w:rPr>
              <w:t xml:space="preserve"> ć</w:t>
            </w:r>
            <w:r w:rsidRPr="006C2F5C">
              <w:rPr>
                <w:rFonts w:asciiTheme="majorHAnsi" w:hAnsiTheme="majorHAnsi"/>
              </w:rPr>
              <w:t>e</w:t>
            </w:r>
            <w:r w:rsidRPr="006C2F5C">
              <w:rPr>
                <w:rFonts w:asciiTheme="majorHAnsi" w:hAnsiTheme="majorHAnsi"/>
                <w:lang w:val="sr-Latn-ME"/>
              </w:rPr>
              <w:t xml:space="preserve"> </w:t>
            </w:r>
            <w:r w:rsidRPr="006C2F5C">
              <w:rPr>
                <w:rFonts w:asciiTheme="majorHAnsi" w:hAnsiTheme="majorHAnsi"/>
              </w:rPr>
              <w:t>biti</w:t>
            </w:r>
            <w:r w:rsidRPr="006C2F5C">
              <w:rPr>
                <w:rFonts w:asciiTheme="majorHAnsi" w:hAnsiTheme="majorHAnsi"/>
                <w:lang w:val="sr-Latn-ME"/>
              </w:rPr>
              <w:t xml:space="preserve"> </w:t>
            </w:r>
            <w:r w:rsidRPr="006C2F5C">
              <w:rPr>
                <w:rFonts w:asciiTheme="majorHAnsi" w:hAnsiTheme="majorHAnsi"/>
              </w:rPr>
              <w:t>mogu</w:t>
            </w:r>
            <w:r w:rsidRPr="006C2F5C">
              <w:rPr>
                <w:rFonts w:asciiTheme="majorHAnsi" w:hAnsiTheme="majorHAnsi"/>
                <w:lang w:val="sr-Latn-ME"/>
              </w:rPr>
              <w:t>ć</w:t>
            </w:r>
            <w:r w:rsidRPr="006C2F5C">
              <w:rPr>
                <w:rFonts w:asciiTheme="majorHAnsi" w:hAnsiTheme="majorHAnsi"/>
              </w:rPr>
              <w:t>e</w:t>
            </w:r>
            <w:r w:rsidRPr="006C2F5C">
              <w:rPr>
                <w:rFonts w:asciiTheme="majorHAnsi" w:hAnsiTheme="majorHAnsi"/>
                <w:lang w:val="sr-Latn-ME"/>
              </w:rPr>
              <w:t xml:space="preserve"> </w:t>
            </w:r>
            <w:r w:rsidRPr="006C2F5C">
              <w:rPr>
                <w:rFonts w:asciiTheme="majorHAnsi" w:hAnsiTheme="majorHAnsi"/>
              </w:rPr>
              <w:t>ostvariti</w:t>
            </w:r>
            <w:r w:rsidRPr="006C2F5C">
              <w:rPr>
                <w:rFonts w:asciiTheme="majorHAnsi" w:hAnsiTheme="majorHAnsi"/>
                <w:lang w:val="sr-Latn-ME"/>
              </w:rPr>
              <w:t xml:space="preserve"> </w:t>
            </w:r>
            <w:r w:rsidRPr="006C2F5C">
              <w:rPr>
                <w:rFonts w:asciiTheme="majorHAnsi" w:hAnsiTheme="majorHAnsi"/>
              </w:rPr>
              <w:t>na</w:t>
            </w:r>
            <w:r w:rsidRPr="006C2F5C">
              <w:rPr>
                <w:rFonts w:asciiTheme="majorHAnsi" w:hAnsiTheme="majorHAnsi"/>
                <w:lang w:val="sr-Latn-ME"/>
              </w:rPr>
              <w:t xml:space="preserve"> </w:t>
            </w:r>
            <w:r w:rsidRPr="006C2F5C">
              <w:rPr>
                <w:rFonts w:asciiTheme="majorHAnsi" w:hAnsiTheme="majorHAnsi"/>
              </w:rPr>
              <w:t>osnovu</w:t>
            </w:r>
            <w:r w:rsidRPr="006C2F5C">
              <w:rPr>
                <w:rFonts w:asciiTheme="majorHAnsi" w:hAnsiTheme="majorHAnsi"/>
                <w:lang w:val="sr-Latn-ME"/>
              </w:rPr>
              <w:t xml:space="preserve"> </w:t>
            </w:r>
            <w:r w:rsidRPr="006C2F5C">
              <w:rPr>
                <w:rFonts w:asciiTheme="majorHAnsi" w:hAnsiTheme="majorHAnsi"/>
              </w:rPr>
              <w:t>javnog</w:t>
            </w:r>
            <w:r w:rsidRPr="006C2F5C">
              <w:rPr>
                <w:rFonts w:asciiTheme="majorHAnsi" w:hAnsiTheme="majorHAnsi"/>
                <w:lang w:val="sr-Latn-ME"/>
              </w:rPr>
              <w:t xml:space="preserve"> </w:t>
            </w:r>
            <w:r w:rsidRPr="006C2F5C">
              <w:rPr>
                <w:rFonts w:asciiTheme="majorHAnsi" w:hAnsiTheme="majorHAnsi"/>
              </w:rPr>
              <w:t>konkursa</w:t>
            </w:r>
            <w:r w:rsidRPr="006C2F5C">
              <w:rPr>
                <w:rFonts w:asciiTheme="majorHAnsi" w:hAnsiTheme="majorHAnsi"/>
                <w:lang w:val="sr-Latn-ME"/>
              </w:rPr>
              <w:t xml:space="preserve">: </w:t>
            </w:r>
          </w:p>
          <w:p w14:paraId="7260AD17" w14:textId="00BCAFB3" w:rsidR="00C12EAA" w:rsidRPr="006C2F5C" w:rsidRDefault="005C1F14" w:rsidP="008671CC">
            <w:pPr>
              <w:spacing w:after="0"/>
              <w:rPr>
                <w:rFonts w:asciiTheme="majorHAnsi" w:hAnsiTheme="majorHAnsi"/>
                <w:lang w:val="sr-Latn-ME"/>
              </w:rPr>
            </w:pPr>
            <w:r w:rsidRPr="006C2F5C">
              <w:rPr>
                <w:rFonts w:asciiTheme="majorHAnsi" w:hAnsiTheme="majorHAnsi"/>
                <w:lang w:val="sr-Latn-ME"/>
              </w:rPr>
              <w:t>20</w:t>
            </w:r>
            <w:r w:rsidR="004356A6" w:rsidRPr="006C2F5C">
              <w:rPr>
                <w:rFonts w:asciiTheme="majorHAnsi" w:hAnsiTheme="majorHAnsi"/>
                <w:lang w:val="sr-Latn-ME"/>
              </w:rPr>
              <w:t>.000 eura</w:t>
            </w:r>
          </w:p>
        </w:tc>
        <w:tc>
          <w:tcPr>
            <w:tcW w:w="6870" w:type="dxa"/>
            <w:tcMar>
              <w:top w:w="57" w:type="dxa"/>
              <w:bottom w:w="57" w:type="dxa"/>
            </w:tcMar>
          </w:tcPr>
          <w:p w14:paraId="01DD5348" w14:textId="77777777" w:rsidR="00C12EAA" w:rsidRPr="006C2F5C" w:rsidRDefault="00C12EAA" w:rsidP="008671CC">
            <w:pPr>
              <w:spacing w:after="0"/>
              <w:rPr>
                <w:rFonts w:asciiTheme="majorHAnsi" w:hAnsiTheme="majorHAnsi"/>
                <w:lang w:val="sr-Latn-ME"/>
              </w:rPr>
            </w:pPr>
            <w:r w:rsidRPr="006C2F5C">
              <w:rPr>
                <w:rFonts w:asciiTheme="majorHAnsi" w:hAnsiTheme="majorHAnsi"/>
              </w:rPr>
              <w:t>Najvi</w:t>
            </w:r>
            <w:r w:rsidRPr="006C2F5C">
              <w:rPr>
                <w:rFonts w:asciiTheme="majorHAnsi" w:hAnsiTheme="majorHAnsi"/>
                <w:lang w:val="sr-Latn-ME"/>
              </w:rPr>
              <w:t>š</w:t>
            </w:r>
            <w:r w:rsidRPr="006C2F5C">
              <w:rPr>
                <w:rFonts w:asciiTheme="majorHAnsi" w:hAnsiTheme="majorHAnsi"/>
              </w:rPr>
              <w:t>i</w:t>
            </w:r>
            <w:r w:rsidRPr="006C2F5C">
              <w:rPr>
                <w:rFonts w:asciiTheme="majorHAnsi" w:hAnsiTheme="majorHAnsi"/>
                <w:lang w:val="sr-Latn-ME"/>
              </w:rPr>
              <w:t xml:space="preserve"> </w:t>
            </w:r>
            <w:r w:rsidRPr="006C2F5C">
              <w:rPr>
                <w:rFonts w:asciiTheme="majorHAnsi" w:hAnsiTheme="majorHAnsi"/>
              </w:rPr>
              <w:t>iznos</w:t>
            </w:r>
            <w:r w:rsidRPr="006C2F5C">
              <w:rPr>
                <w:rFonts w:asciiTheme="majorHAnsi" w:hAnsiTheme="majorHAnsi"/>
                <w:lang w:val="sr-Latn-ME"/>
              </w:rPr>
              <w:t xml:space="preserve"> </w:t>
            </w:r>
            <w:r w:rsidRPr="006C2F5C">
              <w:rPr>
                <w:rFonts w:asciiTheme="majorHAnsi" w:hAnsiTheme="majorHAnsi"/>
              </w:rPr>
              <w:t>finansijske</w:t>
            </w:r>
            <w:r w:rsidRPr="006C2F5C">
              <w:rPr>
                <w:rFonts w:asciiTheme="majorHAnsi" w:hAnsiTheme="majorHAnsi"/>
                <w:lang w:val="sr-Latn-ME"/>
              </w:rPr>
              <w:t xml:space="preserve"> </w:t>
            </w:r>
            <w:r w:rsidRPr="006C2F5C">
              <w:rPr>
                <w:rFonts w:asciiTheme="majorHAnsi" w:hAnsiTheme="majorHAnsi"/>
              </w:rPr>
              <w:t>podr</w:t>
            </w:r>
            <w:r w:rsidRPr="006C2F5C">
              <w:rPr>
                <w:rFonts w:asciiTheme="majorHAnsi" w:hAnsiTheme="majorHAnsi"/>
                <w:lang w:val="sr-Latn-ME"/>
              </w:rPr>
              <w:t>š</w:t>
            </w:r>
            <w:r w:rsidRPr="006C2F5C">
              <w:rPr>
                <w:rFonts w:asciiTheme="majorHAnsi" w:hAnsiTheme="majorHAnsi"/>
              </w:rPr>
              <w:t>ke</w:t>
            </w:r>
            <w:r w:rsidRPr="006C2F5C">
              <w:rPr>
                <w:rFonts w:asciiTheme="majorHAnsi" w:hAnsiTheme="majorHAnsi"/>
                <w:lang w:val="sr-Latn-ME"/>
              </w:rPr>
              <w:t xml:space="preserve"> </w:t>
            </w:r>
            <w:r w:rsidRPr="006C2F5C">
              <w:rPr>
                <w:rFonts w:asciiTheme="majorHAnsi" w:hAnsiTheme="majorHAnsi"/>
              </w:rPr>
              <w:t>koju</w:t>
            </w:r>
            <w:r w:rsidRPr="006C2F5C">
              <w:rPr>
                <w:rFonts w:asciiTheme="majorHAnsi" w:hAnsiTheme="majorHAnsi"/>
                <w:lang w:val="sr-Latn-ME"/>
              </w:rPr>
              <w:t xml:space="preserve"> ć</w:t>
            </w:r>
            <w:r w:rsidRPr="006C2F5C">
              <w:rPr>
                <w:rFonts w:asciiTheme="majorHAnsi" w:hAnsiTheme="majorHAnsi"/>
              </w:rPr>
              <w:t>e</w:t>
            </w:r>
            <w:r w:rsidRPr="006C2F5C">
              <w:rPr>
                <w:rFonts w:asciiTheme="majorHAnsi" w:hAnsiTheme="majorHAnsi"/>
                <w:lang w:val="sr-Latn-ME"/>
              </w:rPr>
              <w:t xml:space="preserve"> </w:t>
            </w:r>
            <w:r w:rsidRPr="006C2F5C">
              <w:rPr>
                <w:rFonts w:asciiTheme="majorHAnsi" w:hAnsiTheme="majorHAnsi"/>
              </w:rPr>
              <w:t>biti</w:t>
            </w:r>
            <w:r w:rsidRPr="006C2F5C">
              <w:rPr>
                <w:rFonts w:asciiTheme="majorHAnsi" w:hAnsiTheme="majorHAnsi"/>
                <w:lang w:val="sr-Latn-ME"/>
              </w:rPr>
              <w:t xml:space="preserve"> </w:t>
            </w:r>
            <w:r w:rsidRPr="006C2F5C">
              <w:rPr>
                <w:rFonts w:asciiTheme="majorHAnsi" w:hAnsiTheme="majorHAnsi"/>
              </w:rPr>
              <w:t>mogu</w:t>
            </w:r>
            <w:r w:rsidRPr="006C2F5C">
              <w:rPr>
                <w:rFonts w:asciiTheme="majorHAnsi" w:hAnsiTheme="majorHAnsi"/>
                <w:lang w:val="sr-Latn-ME"/>
              </w:rPr>
              <w:t>ć</w:t>
            </w:r>
            <w:r w:rsidRPr="006C2F5C">
              <w:rPr>
                <w:rFonts w:asciiTheme="majorHAnsi" w:hAnsiTheme="majorHAnsi"/>
              </w:rPr>
              <w:t>e</w:t>
            </w:r>
            <w:r w:rsidRPr="006C2F5C">
              <w:rPr>
                <w:rFonts w:asciiTheme="majorHAnsi" w:hAnsiTheme="majorHAnsi"/>
                <w:lang w:val="sr-Latn-ME"/>
              </w:rPr>
              <w:t xml:space="preserve"> </w:t>
            </w:r>
            <w:r w:rsidRPr="006C2F5C">
              <w:rPr>
                <w:rFonts w:asciiTheme="majorHAnsi" w:hAnsiTheme="majorHAnsi"/>
              </w:rPr>
              <w:t>ostvariti</w:t>
            </w:r>
            <w:r w:rsidRPr="006C2F5C">
              <w:rPr>
                <w:rFonts w:asciiTheme="majorHAnsi" w:hAnsiTheme="majorHAnsi"/>
                <w:lang w:val="sr-Latn-ME"/>
              </w:rPr>
              <w:t xml:space="preserve"> </w:t>
            </w:r>
            <w:r w:rsidRPr="006C2F5C">
              <w:rPr>
                <w:rFonts w:asciiTheme="majorHAnsi" w:hAnsiTheme="majorHAnsi"/>
              </w:rPr>
              <w:t>na</w:t>
            </w:r>
            <w:r w:rsidRPr="006C2F5C">
              <w:rPr>
                <w:rFonts w:asciiTheme="majorHAnsi" w:hAnsiTheme="majorHAnsi"/>
                <w:lang w:val="sr-Latn-ME"/>
              </w:rPr>
              <w:t xml:space="preserve"> </w:t>
            </w:r>
            <w:r w:rsidRPr="006C2F5C">
              <w:rPr>
                <w:rFonts w:asciiTheme="majorHAnsi" w:hAnsiTheme="majorHAnsi"/>
              </w:rPr>
              <w:t>osnovu</w:t>
            </w:r>
            <w:r w:rsidRPr="006C2F5C">
              <w:rPr>
                <w:rFonts w:asciiTheme="majorHAnsi" w:hAnsiTheme="majorHAnsi"/>
                <w:lang w:val="sr-Latn-ME"/>
              </w:rPr>
              <w:t xml:space="preserve"> </w:t>
            </w:r>
            <w:r w:rsidRPr="006C2F5C">
              <w:rPr>
                <w:rFonts w:asciiTheme="majorHAnsi" w:hAnsiTheme="majorHAnsi"/>
              </w:rPr>
              <w:t>javnog</w:t>
            </w:r>
            <w:r w:rsidRPr="006C2F5C">
              <w:rPr>
                <w:rFonts w:asciiTheme="majorHAnsi" w:hAnsiTheme="majorHAnsi"/>
                <w:lang w:val="sr-Latn-ME"/>
              </w:rPr>
              <w:t xml:space="preserve"> </w:t>
            </w:r>
            <w:r w:rsidRPr="006C2F5C">
              <w:rPr>
                <w:rFonts w:asciiTheme="majorHAnsi" w:hAnsiTheme="majorHAnsi"/>
              </w:rPr>
              <w:t>konkursa</w:t>
            </w:r>
            <w:r w:rsidRPr="006C2F5C">
              <w:rPr>
                <w:rFonts w:asciiTheme="majorHAnsi" w:hAnsiTheme="majorHAnsi"/>
                <w:lang w:val="sr-Latn-ME"/>
              </w:rPr>
              <w:t xml:space="preserve">:  </w:t>
            </w:r>
          </w:p>
          <w:p w14:paraId="22D09174" w14:textId="5795E2A8" w:rsidR="007741CC" w:rsidRPr="006C2F5C" w:rsidRDefault="0075523B" w:rsidP="008671CC">
            <w:pPr>
              <w:spacing w:after="0"/>
              <w:rPr>
                <w:rFonts w:asciiTheme="majorHAnsi" w:hAnsiTheme="majorHAnsi"/>
                <w:lang w:val="sr-Latn-ME"/>
              </w:rPr>
            </w:pPr>
            <w:r>
              <w:rPr>
                <w:rFonts w:asciiTheme="majorHAnsi" w:hAnsiTheme="majorHAnsi"/>
                <w:lang w:val="sr-Latn-ME"/>
              </w:rPr>
              <w:t>4</w:t>
            </w:r>
            <w:r w:rsidRPr="006C2F5C">
              <w:rPr>
                <w:rFonts w:asciiTheme="majorHAnsi" w:hAnsiTheme="majorHAnsi"/>
                <w:lang w:val="sr-Latn-ME"/>
              </w:rPr>
              <w:t>0</w:t>
            </w:r>
            <w:r w:rsidR="004356A6" w:rsidRPr="006C2F5C">
              <w:rPr>
                <w:rFonts w:asciiTheme="majorHAnsi" w:hAnsiTheme="majorHAnsi"/>
                <w:lang w:val="sr-Latn-ME"/>
              </w:rPr>
              <w:t>.000 eura</w:t>
            </w:r>
          </w:p>
        </w:tc>
      </w:tr>
    </w:tbl>
    <w:p w14:paraId="6DA59D0F" w14:textId="77777777" w:rsidR="00C12EAA" w:rsidRPr="006C2F5C" w:rsidRDefault="00C12EAA" w:rsidP="00C12EAA">
      <w:pPr>
        <w:ind w:left="426" w:hanging="426"/>
        <w:rPr>
          <w:rFonts w:asciiTheme="majorHAnsi" w:hAnsiTheme="majorHAnsi"/>
        </w:rPr>
      </w:pPr>
    </w:p>
    <w:p w14:paraId="048944B3" w14:textId="77777777" w:rsidR="00C12EAA" w:rsidRPr="006C2F5C" w:rsidRDefault="00C12EAA" w:rsidP="00C12EAA">
      <w:pPr>
        <w:ind w:left="426"/>
        <w:rPr>
          <w:rFonts w:asciiTheme="majorHAnsi" w:hAnsiTheme="majorHAnsi"/>
          <w:b/>
          <w:i/>
        </w:rPr>
      </w:pPr>
      <w:r w:rsidRPr="006C2F5C">
        <w:rPr>
          <w:rFonts w:asciiTheme="majorHAnsi" w:hAnsiTheme="majorHAnsi"/>
          <w:b/>
        </w:rPr>
        <w:t>NAPOMENA:</w:t>
      </w:r>
      <w:r w:rsidRPr="006C2F5C">
        <w:rPr>
          <w:rFonts w:asciiTheme="majorHAnsi" w:hAnsiTheme="majorHAnsi"/>
        </w:rPr>
        <w:t xml:space="preserve"> stavom 4 člana 32ž Zakona o NVO, definisano je: </w:t>
      </w:r>
      <w:r w:rsidRPr="006C2F5C">
        <w:rPr>
          <w:rFonts w:asciiTheme="majorHAnsi" w:hAnsiTheme="majorHAnsi"/>
          <w:b/>
          <w:i/>
        </w:rPr>
        <w:t xml:space="preserve">“Ukupan iznos sredstava koja se na osnovu javnog konkursa mogu dodijeliti nevladinoj organizaciji za finansiranje projekta, odnosno programa, ne može preći 20% od ukupno opredijeljenih sredstava koja se raspodjeljuju na osnovu tog konkursa.” </w:t>
      </w:r>
    </w:p>
    <w:p w14:paraId="211D4CDD" w14:textId="77777777" w:rsidR="00C12EAA" w:rsidRPr="006C2F5C" w:rsidRDefault="00C12EAA" w:rsidP="00C12EAA">
      <w:pPr>
        <w:rPr>
          <w:rFonts w:asciiTheme="majorHAnsi" w:hAnsiTheme="majorHAnsi"/>
        </w:rPr>
      </w:pPr>
    </w:p>
    <w:p w14:paraId="7C1A78D9" w14:textId="77777777" w:rsidR="00C12EAA" w:rsidRPr="006C2F5C" w:rsidRDefault="00C12EAA" w:rsidP="00C12EAA">
      <w:pPr>
        <w:rPr>
          <w:rFonts w:asciiTheme="majorHAnsi" w:hAnsiTheme="majorHAnsi"/>
          <w:b/>
        </w:rPr>
      </w:pPr>
      <w:r w:rsidRPr="006C2F5C">
        <w:rPr>
          <w:rFonts w:asciiTheme="majorHAnsi" w:hAnsiTheme="majorHAnsi"/>
          <w:b/>
        </w:rPr>
        <w:t>5. KONSULTACIJE SA ZAINTERESOVANIM NEVLADINIM ORGANIZAICJAMA</w:t>
      </w:r>
    </w:p>
    <w:p w14:paraId="1E9B1060" w14:textId="77777777" w:rsidR="00C12EAA" w:rsidRPr="006C2F5C" w:rsidRDefault="00C12EAA" w:rsidP="00C12EAA">
      <w:pPr>
        <w:rPr>
          <w:rFonts w:asciiTheme="majorHAnsi" w:hAnsiTheme="majorHAnsi"/>
        </w:rPr>
      </w:pPr>
      <w:r w:rsidRPr="006C2F5C">
        <w:rPr>
          <w:rFonts w:asciiTheme="majorHAnsi" w:hAnsiTheme="majorHAnsi"/>
        </w:rPr>
        <w:t>5.1. 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C12EAA" w:rsidRPr="006C2F5C" w14:paraId="29B0152B" w14:textId="77777777" w:rsidTr="008671CC">
        <w:tc>
          <w:tcPr>
            <w:tcW w:w="4582" w:type="dxa"/>
            <w:tcBorders>
              <w:top w:val="single" w:sz="18" w:space="0" w:color="auto"/>
            </w:tcBorders>
            <w:shd w:val="clear" w:color="auto" w:fill="F2F2F2" w:themeFill="background1" w:themeFillShade="F2"/>
            <w:tcMar>
              <w:top w:w="57" w:type="dxa"/>
              <w:bottom w:w="57" w:type="dxa"/>
            </w:tcMar>
          </w:tcPr>
          <w:p w14:paraId="3DCFE9F3" w14:textId="77777777" w:rsidR="00C12EAA" w:rsidRPr="006C2F5C" w:rsidRDefault="00C12EAA" w:rsidP="008671CC">
            <w:pPr>
              <w:spacing w:after="0"/>
              <w:rPr>
                <w:rFonts w:asciiTheme="majorHAnsi" w:hAnsiTheme="majorHAnsi"/>
              </w:rPr>
            </w:pPr>
            <w:r w:rsidRPr="006C2F5C">
              <w:rPr>
                <w:rFonts w:asciiTheme="majorHAnsi" w:hAnsiTheme="majorHAnsi"/>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14:paraId="6C4ED628" w14:textId="77777777" w:rsidR="00C12EAA" w:rsidRPr="006C2F5C" w:rsidRDefault="00C12EAA" w:rsidP="008671CC">
            <w:pPr>
              <w:spacing w:after="0"/>
              <w:rPr>
                <w:rFonts w:asciiTheme="majorHAnsi" w:hAnsiTheme="majorHAnsi"/>
              </w:rPr>
            </w:pPr>
            <w:r w:rsidRPr="006C2F5C">
              <w:rPr>
                <w:rFonts w:asciiTheme="majorHAnsi" w:hAnsiTheme="majorHAnsi"/>
              </w:rPr>
              <w:t>Datumi sprovedenih konsultacija</w:t>
            </w:r>
          </w:p>
        </w:tc>
        <w:tc>
          <w:tcPr>
            <w:tcW w:w="4582" w:type="dxa"/>
            <w:tcBorders>
              <w:top w:val="single" w:sz="18" w:space="0" w:color="auto"/>
              <w:left w:val="single" w:sz="2" w:space="0" w:color="auto"/>
            </w:tcBorders>
            <w:shd w:val="clear" w:color="auto" w:fill="F2F2F2" w:themeFill="background1" w:themeFillShade="F2"/>
          </w:tcPr>
          <w:p w14:paraId="277AB64B" w14:textId="77777777" w:rsidR="00C12EAA" w:rsidRPr="006C2F5C" w:rsidRDefault="00C12EAA" w:rsidP="008671CC">
            <w:pPr>
              <w:spacing w:after="0"/>
              <w:rPr>
                <w:rFonts w:asciiTheme="majorHAnsi" w:hAnsiTheme="majorHAnsi"/>
                <w:lang w:val="es-ES"/>
              </w:rPr>
            </w:pPr>
            <w:proofErr w:type="gramStart"/>
            <w:r w:rsidRPr="006C2F5C">
              <w:rPr>
                <w:rFonts w:asciiTheme="majorHAnsi" w:hAnsiTheme="majorHAnsi"/>
                <w:lang w:val="es-ES"/>
              </w:rPr>
              <w:t>Naziv  NVO</w:t>
            </w:r>
            <w:proofErr w:type="gramEnd"/>
            <w:r w:rsidRPr="006C2F5C">
              <w:rPr>
                <w:rFonts w:asciiTheme="majorHAnsi" w:hAnsiTheme="majorHAnsi"/>
                <w:lang w:val="es-ES"/>
              </w:rPr>
              <w:t xml:space="preserve"> koje su učestvovale u konsultacijama</w:t>
            </w:r>
          </w:p>
        </w:tc>
      </w:tr>
      <w:tr w:rsidR="00C12EAA" w:rsidRPr="006C2F5C" w14:paraId="44A51C77" w14:textId="77777777" w:rsidTr="008671CC">
        <w:tc>
          <w:tcPr>
            <w:tcW w:w="4582" w:type="dxa"/>
            <w:tcMar>
              <w:top w:w="57" w:type="dxa"/>
              <w:bottom w:w="57" w:type="dxa"/>
            </w:tcMar>
          </w:tcPr>
          <w:p w14:paraId="595330CB" w14:textId="77777777" w:rsidR="00C12EAA" w:rsidRPr="006C2F5C" w:rsidRDefault="00720438" w:rsidP="008671CC">
            <w:pPr>
              <w:outlineLvl w:val="0"/>
              <w:rPr>
                <w:rFonts w:asciiTheme="majorHAnsi" w:hAnsiTheme="majorHAnsi" w:cs="Arial"/>
                <w:iCs/>
                <w:lang w:val="es-ES"/>
              </w:rPr>
            </w:pPr>
            <w:r w:rsidRPr="006C2F5C">
              <w:rPr>
                <w:rFonts w:asciiTheme="majorHAnsi" w:hAnsiTheme="majorHAnsi" w:cs="Arial"/>
                <w:iCs/>
                <w:lang w:val="es-ES"/>
              </w:rPr>
              <w:t>Javni poziv</w:t>
            </w:r>
          </w:p>
          <w:p w14:paraId="6328D5C1" w14:textId="0063EB7B" w:rsidR="00720438" w:rsidRPr="006C2F5C" w:rsidRDefault="00720438" w:rsidP="008671CC">
            <w:pPr>
              <w:outlineLvl w:val="0"/>
              <w:rPr>
                <w:rFonts w:asciiTheme="majorHAnsi" w:hAnsiTheme="majorHAnsi" w:cs="Arial"/>
                <w:iCs/>
                <w:lang w:val="es-ES"/>
              </w:rPr>
            </w:pPr>
            <w:r w:rsidRPr="006C2F5C">
              <w:rPr>
                <w:rFonts w:asciiTheme="majorHAnsi" w:hAnsiTheme="majorHAnsi" w:cs="Arial"/>
                <w:iCs/>
                <w:lang w:val="es-ES"/>
              </w:rPr>
              <w:t>E mail</w:t>
            </w:r>
          </w:p>
        </w:tc>
        <w:tc>
          <w:tcPr>
            <w:tcW w:w="4582" w:type="dxa"/>
            <w:tcBorders>
              <w:right w:val="single" w:sz="2" w:space="0" w:color="auto"/>
            </w:tcBorders>
            <w:tcMar>
              <w:top w:w="57" w:type="dxa"/>
              <w:bottom w:w="57" w:type="dxa"/>
            </w:tcMar>
          </w:tcPr>
          <w:p w14:paraId="309D43BA" w14:textId="77777777" w:rsidR="00C12EAA" w:rsidRPr="006C2F5C" w:rsidRDefault="00C12EAA" w:rsidP="00C12EAA">
            <w:pPr>
              <w:rPr>
                <w:rFonts w:asciiTheme="majorHAnsi" w:hAnsiTheme="majorHAnsi"/>
                <w:lang w:val="es-ES"/>
              </w:rPr>
            </w:pPr>
          </w:p>
        </w:tc>
        <w:tc>
          <w:tcPr>
            <w:tcW w:w="4582" w:type="dxa"/>
            <w:tcBorders>
              <w:left w:val="single" w:sz="2" w:space="0" w:color="auto"/>
            </w:tcBorders>
          </w:tcPr>
          <w:p w14:paraId="1C3BFEA7" w14:textId="77777777" w:rsidR="00C12EAA" w:rsidRPr="006C2F5C" w:rsidRDefault="00C12EAA" w:rsidP="008671CC">
            <w:pPr>
              <w:spacing w:after="0"/>
              <w:rPr>
                <w:rFonts w:asciiTheme="majorHAnsi" w:hAnsiTheme="majorHAnsi"/>
                <w:lang w:val="es-ES"/>
              </w:rPr>
            </w:pPr>
          </w:p>
        </w:tc>
      </w:tr>
      <w:tr w:rsidR="00C12EAA" w:rsidRPr="006C2F5C" w14:paraId="66B65162" w14:textId="77777777" w:rsidTr="008671CC">
        <w:tc>
          <w:tcPr>
            <w:tcW w:w="4582" w:type="dxa"/>
            <w:tcMar>
              <w:top w:w="57" w:type="dxa"/>
              <w:bottom w:w="57" w:type="dxa"/>
            </w:tcMar>
          </w:tcPr>
          <w:p w14:paraId="0D41EC3B" w14:textId="77777777" w:rsidR="00C12EAA" w:rsidRPr="006C2F5C" w:rsidRDefault="00C12EAA" w:rsidP="008671CC">
            <w:pPr>
              <w:spacing w:after="0"/>
              <w:rPr>
                <w:rFonts w:asciiTheme="majorHAnsi" w:hAnsiTheme="majorHAnsi"/>
                <w:lang w:val="es-ES"/>
              </w:rPr>
            </w:pPr>
          </w:p>
        </w:tc>
        <w:tc>
          <w:tcPr>
            <w:tcW w:w="4582" w:type="dxa"/>
            <w:tcBorders>
              <w:right w:val="single" w:sz="2" w:space="0" w:color="auto"/>
            </w:tcBorders>
            <w:tcMar>
              <w:top w:w="57" w:type="dxa"/>
              <w:bottom w:w="57" w:type="dxa"/>
            </w:tcMar>
          </w:tcPr>
          <w:p w14:paraId="35105599" w14:textId="77777777" w:rsidR="00C12EAA" w:rsidRPr="006C2F5C" w:rsidRDefault="00C12EAA" w:rsidP="008671CC">
            <w:pPr>
              <w:spacing w:after="0"/>
              <w:rPr>
                <w:rFonts w:asciiTheme="majorHAnsi" w:hAnsiTheme="majorHAnsi"/>
                <w:lang w:val="es-ES"/>
              </w:rPr>
            </w:pPr>
          </w:p>
        </w:tc>
        <w:tc>
          <w:tcPr>
            <w:tcW w:w="4582" w:type="dxa"/>
            <w:tcBorders>
              <w:left w:val="single" w:sz="2" w:space="0" w:color="auto"/>
            </w:tcBorders>
          </w:tcPr>
          <w:p w14:paraId="4EB090F8" w14:textId="77777777" w:rsidR="00C12EAA" w:rsidRPr="006C2F5C" w:rsidRDefault="00C12EAA" w:rsidP="008671CC">
            <w:pPr>
              <w:spacing w:after="0"/>
              <w:rPr>
                <w:rFonts w:asciiTheme="majorHAnsi" w:hAnsiTheme="majorHAnsi"/>
                <w:lang w:val="es-ES"/>
              </w:rPr>
            </w:pPr>
          </w:p>
        </w:tc>
      </w:tr>
      <w:tr w:rsidR="00C12EAA" w:rsidRPr="006C2F5C" w14:paraId="52FA4325" w14:textId="77777777" w:rsidTr="008671CC">
        <w:tc>
          <w:tcPr>
            <w:tcW w:w="4582" w:type="dxa"/>
            <w:tcMar>
              <w:top w:w="57" w:type="dxa"/>
              <w:bottom w:w="57" w:type="dxa"/>
            </w:tcMar>
          </w:tcPr>
          <w:p w14:paraId="7B5D0DE4" w14:textId="77777777" w:rsidR="00C12EAA" w:rsidRPr="006C2F5C" w:rsidRDefault="00C12EAA" w:rsidP="008671CC">
            <w:pPr>
              <w:spacing w:after="0"/>
              <w:rPr>
                <w:rFonts w:asciiTheme="majorHAnsi" w:hAnsiTheme="majorHAnsi"/>
                <w:lang w:val="es-ES"/>
              </w:rPr>
            </w:pPr>
          </w:p>
        </w:tc>
        <w:tc>
          <w:tcPr>
            <w:tcW w:w="4582" w:type="dxa"/>
            <w:tcBorders>
              <w:right w:val="single" w:sz="2" w:space="0" w:color="auto"/>
            </w:tcBorders>
            <w:tcMar>
              <w:top w:w="57" w:type="dxa"/>
              <w:bottom w:w="57" w:type="dxa"/>
            </w:tcMar>
          </w:tcPr>
          <w:p w14:paraId="3BEAD63F" w14:textId="77777777" w:rsidR="00C12EAA" w:rsidRPr="006C2F5C" w:rsidRDefault="00C12EAA" w:rsidP="008671CC">
            <w:pPr>
              <w:spacing w:after="0"/>
              <w:rPr>
                <w:rFonts w:asciiTheme="majorHAnsi" w:hAnsiTheme="majorHAnsi"/>
                <w:lang w:val="es-ES"/>
              </w:rPr>
            </w:pPr>
          </w:p>
        </w:tc>
        <w:tc>
          <w:tcPr>
            <w:tcW w:w="4582" w:type="dxa"/>
            <w:tcBorders>
              <w:left w:val="single" w:sz="2" w:space="0" w:color="auto"/>
            </w:tcBorders>
          </w:tcPr>
          <w:p w14:paraId="3B29F073" w14:textId="77777777" w:rsidR="00C12EAA" w:rsidRPr="006C2F5C" w:rsidRDefault="00C12EAA" w:rsidP="008671CC">
            <w:pPr>
              <w:spacing w:after="0"/>
              <w:rPr>
                <w:rFonts w:asciiTheme="majorHAnsi" w:hAnsiTheme="majorHAnsi"/>
                <w:lang w:val="es-ES"/>
              </w:rPr>
            </w:pPr>
          </w:p>
        </w:tc>
      </w:tr>
    </w:tbl>
    <w:p w14:paraId="65EEB456" w14:textId="77777777" w:rsidR="00C12EAA" w:rsidRPr="006C2F5C" w:rsidRDefault="00C12EAA" w:rsidP="00C12EAA">
      <w:pPr>
        <w:rPr>
          <w:rFonts w:asciiTheme="majorHAnsi" w:hAnsiTheme="majorHAnsi"/>
        </w:rPr>
      </w:pPr>
    </w:p>
    <w:p w14:paraId="1189358A" w14:textId="77777777" w:rsidR="00C12EAA" w:rsidRPr="006C2F5C" w:rsidRDefault="00C12EAA" w:rsidP="00C12EAA">
      <w:pPr>
        <w:rPr>
          <w:rFonts w:asciiTheme="majorHAnsi" w:hAnsiTheme="majorHAnsi"/>
        </w:rPr>
      </w:pPr>
    </w:p>
    <w:p w14:paraId="57D7B0FE" w14:textId="77777777" w:rsidR="00C12EAA" w:rsidRPr="006C2F5C" w:rsidRDefault="00C12EAA" w:rsidP="00C12EAA">
      <w:pPr>
        <w:rPr>
          <w:rFonts w:asciiTheme="majorHAnsi" w:hAnsiTheme="majorHAnsi"/>
          <w:b/>
        </w:rPr>
      </w:pPr>
      <w:r w:rsidRPr="006C2F5C">
        <w:rPr>
          <w:rFonts w:asciiTheme="majorHAnsi" w:hAnsiTheme="majorHAnsi"/>
          <w:b/>
        </w:rPr>
        <w:t>6. KAPACITETI ZA SPROVOĐENJE JAVNOG KONKURSA</w:t>
      </w:r>
    </w:p>
    <w:p w14:paraId="08ADF384" w14:textId="77777777" w:rsidR="00C12EAA" w:rsidRPr="006C2F5C" w:rsidRDefault="00C12EAA" w:rsidP="00C12EAA">
      <w:pPr>
        <w:rPr>
          <w:rFonts w:asciiTheme="majorHAnsi" w:hAnsiTheme="majorHAnsi"/>
        </w:rPr>
      </w:pPr>
      <w:r w:rsidRPr="006C2F5C">
        <w:rPr>
          <w:rFonts w:asciiTheme="majorHAnsi" w:hAnsiTheme="majorHAnsi"/>
        </w:rPr>
        <w:t xml:space="preserve">6.1. 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p w14:paraId="1463D05E" w14:textId="77777777" w:rsidR="00C12EAA" w:rsidRPr="006C2F5C" w:rsidRDefault="00C12EAA" w:rsidP="00C12EAA">
      <w:pPr>
        <w:rPr>
          <w:rFonts w:asciiTheme="majorHAnsi" w:hAnsiTheme="majorHAnsi"/>
        </w:rPr>
      </w:pPr>
    </w:p>
    <w:p w14:paraId="543D6F94" w14:textId="77777777" w:rsidR="00C12EAA" w:rsidRPr="006C2F5C" w:rsidRDefault="00C12EAA" w:rsidP="00C12EAA">
      <w:pPr>
        <w:rPr>
          <w:rFonts w:asciiTheme="majorHAnsi" w:hAnsiTheme="majorHAnsi"/>
        </w:rPr>
      </w:pPr>
    </w:p>
    <w:tbl>
      <w:tblPr>
        <w:tblStyle w:val="TableGrid"/>
        <w:tblW w:w="0" w:type="auto"/>
        <w:jc w:val="center"/>
        <w:tblLook w:val="04A0" w:firstRow="1" w:lastRow="0" w:firstColumn="1" w:lastColumn="0" w:noHBand="0" w:noVBand="1"/>
      </w:tblPr>
      <w:tblGrid>
        <w:gridCol w:w="3436"/>
        <w:gridCol w:w="3437"/>
        <w:gridCol w:w="3437"/>
      </w:tblGrid>
      <w:tr w:rsidR="00C12EAA" w:rsidRPr="006C2F5C" w14:paraId="2F905984" w14:textId="77777777" w:rsidTr="008671CC">
        <w:trPr>
          <w:jc w:val="center"/>
        </w:trPr>
        <w:tc>
          <w:tcPr>
            <w:tcW w:w="3436" w:type="dxa"/>
            <w:tcBorders>
              <w:top w:val="single" w:sz="18" w:space="0" w:color="auto"/>
            </w:tcBorders>
            <w:shd w:val="clear" w:color="auto" w:fill="F2F2F2" w:themeFill="background1" w:themeFillShade="F2"/>
            <w:tcMar>
              <w:top w:w="57" w:type="dxa"/>
              <w:bottom w:w="57" w:type="dxa"/>
            </w:tcMar>
          </w:tcPr>
          <w:p w14:paraId="53EE5AE7" w14:textId="77777777" w:rsidR="00C12EAA" w:rsidRPr="006C2F5C" w:rsidRDefault="00C12EAA" w:rsidP="008671CC">
            <w:pPr>
              <w:spacing w:after="0"/>
              <w:rPr>
                <w:rFonts w:asciiTheme="majorHAnsi" w:hAnsiTheme="majorHAnsi"/>
              </w:rPr>
            </w:pPr>
            <w:r w:rsidRPr="006C2F5C">
              <w:rPr>
                <w:rFonts w:asciiTheme="majorHAnsi" w:hAnsiTheme="majorHAnsi"/>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14:paraId="7A223D76" w14:textId="77777777" w:rsidR="00C12EAA" w:rsidRPr="006C2F5C" w:rsidRDefault="00C12EAA" w:rsidP="008671CC">
            <w:pPr>
              <w:spacing w:after="0"/>
              <w:rPr>
                <w:rFonts w:asciiTheme="majorHAnsi" w:hAnsiTheme="majorHAnsi"/>
              </w:rPr>
            </w:pPr>
            <w:r w:rsidRPr="006C2F5C">
              <w:rPr>
                <w:rFonts w:asciiTheme="majorHAnsi" w:hAnsiTheme="majorHAnsi"/>
              </w:rPr>
              <w:t xml:space="preserve">Broj službenika/ica zaduženih za sprovođenje javnog konkursa i praćenje finansiranih projekata i programa nevladinih organizacija </w:t>
            </w:r>
          </w:p>
        </w:tc>
        <w:tc>
          <w:tcPr>
            <w:tcW w:w="3437" w:type="dxa"/>
            <w:tcBorders>
              <w:top w:val="single" w:sz="18" w:space="0" w:color="auto"/>
              <w:left w:val="single" w:sz="2" w:space="0" w:color="auto"/>
            </w:tcBorders>
            <w:shd w:val="clear" w:color="auto" w:fill="F2F2F2" w:themeFill="background1" w:themeFillShade="F2"/>
          </w:tcPr>
          <w:p w14:paraId="0E9CC724" w14:textId="77777777" w:rsidR="00C12EAA" w:rsidRPr="006C2F5C" w:rsidRDefault="00C12EAA" w:rsidP="008671CC">
            <w:pPr>
              <w:spacing w:after="0"/>
              <w:rPr>
                <w:rFonts w:asciiTheme="majorHAnsi" w:hAnsiTheme="majorHAnsi"/>
              </w:rPr>
            </w:pPr>
            <w:r w:rsidRPr="006C2F5C">
              <w:rPr>
                <w:rFonts w:asciiTheme="majorHAnsi" w:hAnsiTheme="majorHAnsi"/>
              </w:rPr>
              <w:t>Imena službenika/ica zaduženih za sprovođenje javnog konkursa i praćenje finansiranih projekata i programa nevladinih organizacija</w:t>
            </w:r>
          </w:p>
        </w:tc>
      </w:tr>
      <w:tr w:rsidR="00720438" w:rsidRPr="006C2F5C" w14:paraId="42216201" w14:textId="77777777" w:rsidTr="008671CC">
        <w:trPr>
          <w:jc w:val="center"/>
        </w:trPr>
        <w:tc>
          <w:tcPr>
            <w:tcW w:w="3436" w:type="dxa"/>
            <w:vMerge w:val="restart"/>
            <w:tcMar>
              <w:top w:w="57" w:type="dxa"/>
              <w:bottom w:w="57" w:type="dxa"/>
            </w:tcMar>
          </w:tcPr>
          <w:p w14:paraId="4FC6E196" w14:textId="059E9A7B" w:rsidR="00720438" w:rsidRPr="006C2F5C" w:rsidRDefault="006C2F5C" w:rsidP="00D52F05">
            <w:pPr>
              <w:outlineLvl w:val="0"/>
              <w:rPr>
                <w:rFonts w:asciiTheme="majorHAnsi" w:hAnsiTheme="majorHAnsi"/>
              </w:rPr>
            </w:pPr>
            <w:r w:rsidRPr="006C2F5C">
              <w:rPr>
                <w:rFonts w:asciiTheme="majorHAnsi" w:hAnsiTheme="majorHAnsi"/>
              </w:rPr>
              <w:t>Javna uprava dostupna svima</w:t>
            </w:r>
          </w:p>
        </w:tc>
        <w:tc>
          <w:tcPr>
            <w:tcW w:w="3437" w:type="dxa"/>
            <w:vMerge w:val="restart"/>
            <w:tcBorders>
              <w:right w:val="single" w:sz="2" w:space="0" w:color="auto"/>
            </w:tcBorders>
            <w:tcMar>
              <w:top w:w="57" w:type="dxa"/>
              <w:bottom w:w="57" w:type="dxa"/>
            </w:tcMar>
          </w:tcPr>
          <w:p w14:paraId="0DDE2235" w14:textId="2DD9FFF9" w:rsidR="00720438" w:rsidRPr="006C2F5C" w:rsidRDefault="00720438" w:rsidP="009C6D84">
            <w:pPr>
              <w:spacing w:after="0"/>
              <w:rPr>
                <w:rFonts w:asciiTheme="majorHAnsi" w:hAnsiTheme="majorHAnsi"/>
              </w:rPr>
            </w:pPr>
            <w:r w:rsidRPr="006C2F5C">
              <w:rPr>
                <w:rFonts w:asciiTheme="majorHAnsi" w:hAnsiTheme="majorHAnsi"/>
              </w:rPr>
              <w:t>3</w:t>
            </w:r>
          </w:p>
        </w:tc>
        <w:tc>
          <w:tcPr>
            <w:tcW w:w="3437" w:type="dxa"/>
            <w:tcBorders>
              <w:left w:val="single" w:sz="2" w:space="0" w:color="auto"/>
            </w:tcBorders>
          </w:tcPr>
          <w:p w14:paraId="1DD2FC2F" w14:textId="135A7F52" w:rsidR="00720438" w:rsidRPr="006C2F5C" w:rsidRDefault="00720438" w:rsidP="00D52F05">
            <w:pPr>
              <w:spacing w:after="0"/>
              <w:rPr>
                <w:rFonts w:asciiTheme="majorHAnsi" w:hAnsiTheme="majorHAnsi"/>
              </w:rPr>
            </w:pPr>
            <w:r w:rsidRPr="006C2F5C">
              <w:rPr>
                <w:rFonts w:asciiTheme="majorHAnsi" w:hAnsiTheme="majorHAnsi"/>
              </w:rPr>
              <w:t>Lidija Ljumović</w:t>
            </w:r>
          </w:p>
        </w:tc>
      </w:tr>
      <w:tr w:rsidR="00720438" w:rsidRPr="006C2F5C" w14:paraId="6D48394E" w14:textId="77777777" w:rsidTr="008671CC">
        <w:trPr>
          <w:jc w:val="center"/>
        </w:trPr>
        <w:tc>
          <w:tcPr>
            <w:tcW w:w="3436" w:type="dxa"/>
            <w:vMerge/>
            <w:tcMar>
              <w:top w:w="57" w:type="dxa"/>
              <w:bottom w:w="57" w:type="dxa"/>
            </w:tcMar>
          </w:tcPr>
          <w:p w14:paraId="15B98C6B" w14:textId="77777777" w:rsidR="00720438" w:rsidRPr="006C2F5C" w:rsidRDefault="00720438" w:rsidP="008671CC">
            <w:pPr>
              <w:spacing w:after="0"/>
              <w:rPr>
                <w:rFonts w:asciiTheme="majorHAnsi" w:hAnsiTheme="majorHAnsi"/>
              </w:rPr>
            </w:pPr>
          </w:p>
        </w:tc>
        <w:tc>
          <w:tcPr>
            <w:tcW w:w="3437" w:type="dxa"/>
            <w:vMerge/>
            <w:tcBorders>
              <w:right w:val="single" w:sz="2" w:space="0" w:color="auto"/>
            </w:tcBorders>
            <w:tcMar>
              <w:top w:w="57" w:type="dxa"/>
              <w:bottom w:w="57" w:type="dxa"/>
            </w:tcMar>
          </w:tcPr>
          <w:p w14:paraId="0A4CA65D" w14:textId="10429429" w:rsidR="00720438" w:rsidRPr="006C2F5C" w:rsidRDefault="00720438" w:rsidP="008671CC">
            <w:pPr>
              <w:spacing w:after="0"/>
              <w:rPr>
                <w:rFonts w:asciiTheme="majorHAnsi" w:hAnsiTheme="majorHAnsi"/>
              </w:rPr>
            </w:pPr>
          </w:p>
        </w:tc>
        <w:tc>
          <w:tcPr>
            <w:tcW w:w="3437" w:type="dxa"/>
            <w:tcBorders>
              <w:left w:val="single" w:sz="2" w:space="0" w:color="auto"/>
            </w:tcBorders>
          </w:tcPr>
          <w:p w14:paraId="3996E7D2" w14:textId="653A9A92" w:rsidR="00720438" w:rsidRPr="006C2F5C" w:rsidRDefault="00720438" w:rsidP="008671CC">
            <w:pPr>
              <w:spacing w:after="0"/>
              <w:rPr>
                <w:rFonts w:asciiTheme="majorHAnsi" w:hAnsiTheme="majorHAnsi"/>
              </w:rPr>
            </w:pPr>
            <w:r w:rsidRPr="006C2F5C">
              <w:rPr>
                <w:rFonts w:asciiTheme="majorHAnsi" w:hAnsiTheme="majorHAnsi"/>
              </w:rPr>
              <w:t>Ana Gojković</w:t>
            </w:r>
          </w:p>
        </w:tc>
      </w:tr>
      <w:tr w:rsidR="00720438" w:rsidRPr="006C2F5C" w14:paraId="51C1FFB6" w14:textId="77777777" w:rsidTr="008671CC">
        <w:trPr>
          <w:jc w:val="center"/>
        </w:trPr>
        <w:tc>
          <w:tcPr>
            <w:tcW w:w="3436" w:type="dxa"/>
            <w:vMerge/>
            <w:tcMar>
              <w:top w:w="57" w:type="dxa"/>
              <w:bottom w:w="57" w:type="dxa"/>
            </w:tcMar>
          </w:tcPr>
          <w:p w14:paraId="06CB5342" w14:textId="77777777" w:rsidR="00720438" w:rsidRPr="006C2F5C" w:rsidRDefault="00720438" w:rsidP="008671CC">
            <w:pPr>
              <w:spacing w:after="0"/>
              <w:rPr>
                <w:rFonts w:asciiTheme="majorHAnsi" w:hAnsiTheme="majorHAnsi"/>
              </w:rPr>
            </w:pPr>
          </w:p>
        </w:tc>
        <w:tc>
          <w:tcPr>
            <w:tcW w:w="3437" w:type="dxa"/>
            <w:vMerge/>
            <w:tcBorders>
              <w:right w:val="single" w:sz="2" w:space="0" w:color="auto"/>
            </w:tcBorders>
            <w:tcMar>
              <w:top w:w="57" w:type="dxa"/>
              <w:bottom w:w="57" w:type="dxa"/>
            </w:tcMar>
          </w:tcPr>
          <w:p w14:paraId="4145D06F" w14:textId="13FFC35B" w:rsidR="00720438" w:rsidRPr="006C2F5C" w:rsidRDefault="00720438" w:rsidP="008671CC">
            <w:pPr>
              <w:spacing w:after="0"/>
              <w:rPr>
                <w:rFonts w:asciiTheme="majorHAnsi" w:hAnsiTheme="majorHAnsi"/>
              </w:rPr>
            </w:pPr>
          </w:p>
        </w:tc>
        <w:tc>
          <w:tcPr>
            <w:tcW w:w="3437" w:type="dxa"/>
            <w:tcBorders>
              <w:left w:val="single" w:sz="2" w:space="0" w:color="auto"/>
            </w:tcBorders>
          </w:tcPr>
          <w:p w14:paraId="2E5A1AC7" w14:textId="79728A52" w:rsidR="00720438" w:rsidRPr="006C2F5C" w:rsidRDefault="00720438" w:rsidP="008671CC">
            <w:pPr>
              <w:spacing w:after="0"/>
              <w:rPr>
                <w:rFonts w:asciiTheme="majorHAnsi" w:hAnsiTheme="majorHAnsi"/>
              </w:rPr>
            </w:pPr>
            <w:r w:rsidRPr="006C2F5C">
              <w:rPr>
                <w:rFonts w:asciiTheme="majorHAnsi" w:hAnsiTheme="majorHAnsi"/>
              </w:rPr>
              <w:t>Anka Dabanović</w:t>
            </w:r>
            <w:r w:rsidR="0075523B">
              <w:rPr>
                <w:rFonts w:asciiTheme="majorHAnsi" w:hAnsiTheme="majorHAnsi"/>
              </w:rPr>
              <w:t>/ NVO predstavnik/ca</w:t>
            </w:r>
          </w:p>
        </w:tc>
      </w:tr>
    </w:tbl>
    <w:p w14:paraId="1A7BC488" w14:textId="77777777" w:rsidR="00C12EAA" w:rsidRPr="006C2F5C" w:rsidRDefault="00C12EAA" w:rsidP="00C12EAA">
      <w:pPr>
        <w:ind w:left="792"/>
        <w:rPr>
          <w:rFonts w:asciiTheme="majorHAnsi" w:hAnsiTheme="majorHAnsi"/>
        </w:rPr>
      </w:pPr>
    </w:p>
    <w:p w14:paraId="192F5FF6" w14:textId="77777777" w:rsidR="00C12EAA" w:rsidRPr="006C2F5C" w:rsidRDefault="00C12EAA" w:rsidP="00C12EAA">
      <w:pPr>
        <w:ind w:left="720"/>
        <w:jc w:val="center"/>
        <w:rPr>
          <w:rFonts w:asciiTheme="majorHAnsi" w:hAnsiTheme="majorHAnsi"/>
          <w:b/>
        </w:rPr>
      </w:pPr>
      <w:r w:rsidRPr="006C2F5C">
        <w:rPr>
          <w:rFonts w:asciiTheme="majorHAnsi" w:hAnsiTheme="majorHAnsi"/>
          <w:b/>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C12EAA" w:rsidRPr="006C2F5C" w14:paraId="0B2C77F2" w14:textId="77777777" w:rsidTr="008671CC">
        <w:tc>
          <w:tcPr>
            <w:tcW w:w="284" w:type="dxa"/>
            <w:tcBorders>
              <w:top w:val="single" w:sz="18" w:space="0" w:color="auto"/>
              <w:left w:val="single" w:sz="18" w:space="0" w:color="auto"/>
              <w:bottom w:val="nil"/>
            </w:tcBorders>
          </w:tcPr>
          <w:p w14:paraId="49812FF1" w14:textId="77777777" w:rsidR="00C12EAA" w:rsidRPr="006C2F5C" w:rsidRDefault="00C12EAA" w:rsidP="008671CC">
            <w:pPr>
              <w:rPr>
                <w:rFonts w:asciiTheme="majorHAnsi" w:hAnsiTheme="majorHAnsi"/>
              </w:rPr>
            </w:pPr>
          </w:p>
        </w:tc>
        <w:tc>
          <w:tcPr>
            <w:tcW w:w="4260" w:type="dxa"/>
            <w:tcBorders>
              <w:top w:val="single" w:sz="18" w:space="0" w:color="auto"/>
            </w:tcBorders>
          </w:tcPr>
          <w:p w14:paraId="7C1906A4" w14:textId="77777777" w:rsidR="00C12EAA" w:rsidRPr="006C2F5C" w:rsidRDefault="00C12EAA" w:rsidP="008671CC">
            <w:pPr>
              <w:jc w:val="center"/>
              <w:rPr>
                <w:rFonts w:asciiTheme="majorHAnsi" w:hAnsiTheme="majorHAnsi"/>
              </w:rPr>
            </w:pPr>
          </w:p>
          <w:p w14:paraId="6720B677" w14:textId="6293AEAE" w:rsidR="00C12EAA" w:rsidRPr="006C2F5C" w:rsidRDefault="00720438" w:rsidP="008671CC">
            <w:pPr>
              <w:jc w:val="center"/>
              <w:rPr>
                <w:rFonts w:asciiTheme="majorHAnsi" w:hAnsiTheme="majorHAnsi"/>
              </w:rPr>
            </w:pPr>
            <w:r w:rsidRPr="006C2F5C">
              <w:rPr>
                <w:rFonts w:asciiTheme="majorHAnsi" w:hAnsiTheme="majorHAnsi"/>
              </w:rPr>
              <w:t>Mr Marash Dukaj</w:t>
            </w:r>
          </w:p>
        </w:tc>
        <w:tc>
          <w:tcPr>
            <w:tcW w:w="4544" w:type="dxa"/>
            <w:tcBorders>
              <w:top w:val="single" w:sz="18" w:space="0" w:color="auto"/>
              <w:bottom w:val="nil"/>
            </w:tcBorders>
          </w:tcPr>
          <w:p w14:paraId="6D04DADB" w14:textId="77777777" w:rsidR="00C12EAA" w:rsidRPr="006C2F5C" w:rsidRDefault="00C12EAA" w:rsidP="008671CC">
            <w:pPr>
              <w:jc w:val="center"/>
              <w:rPr>
                <w:rFonts w:asciiTheme="majorHAnsi" w:hAnsiTheme="majorHAnsi"/>
              </w:rPr>
            </w:pPr>
          </w:p>
          <w:p w14:paraId="6E4CE56A" w14:textId="77777777" w:rsidR="00C12EAA" w:rsidRPr="006C2F5C" w:rsidRDefault="00C12EAA" w:rsidP="008671CC">
            <w:pPr>
              <w:jc w:val="center"/>
              <w:rPr>
                <w:rFonts w:asciiTheme="majorHAnsi" w:hAnsiTheme="majorHAnsi"/>
              </w:rPr>
            </w:pPr>
          </w:p>
        </w:tc>
        <w:tc>
          <w:tcPr>
            <w:tcW w:w="4396" w:type="dxa"/>
            <w:tcBorders>
              <w:top w:val="single" w:sz="18" w:space="0" w:color="auto"/>
            </w:tcBorders>
          </w:tcPr>
          <w:p w14:paraId="1709F60B" w14:textId="77777777" w:rsidR="00C12EAA" w:rsidRPr="006C2F5C" w:rsidRDefault="00C12EAA" w:rsidP="008671CC">
            <w:pPr>
              <w:jc w:val="center"/>
              <w:rPr>
                <w:rFonts w:asciiTheme="majorHAnsi" w:hAnsiTheme="majorHAnsi"/>
              </w:rPr>
            </w:pPr>
          </w:p>
        </w:tc>
        <w:tc>
          <w:tcPr>
            <w:tcW w:w="236" w:type="dxa"/>
            <w:tcBorders>
              <w:top w:val="single" w:sz="18" w:space="0" w:color="auto"/>
              <w:bottom w:val="nil"/>
              <w:right w:val="single" w:sz="18" w:space="0" w:color="auto"/>
            </w:tcBorders>
          </w:tcPr>
          <w:p w14:paraId="7430B213" w14:textId="77777777" w:rsidR="00C12EAA" w:rsidRPr="006C2F5C" w:rsidRDefault="00C12EAA" w:rsidP="008671CC">
            <w:pPr>
              <w:rPr>
                <w:rFonts w:asciiTheme="majorHAnsi" w:hAnsiTheme="majorHAnsi"/>
              </w:rPr>
            </w:pPr>
          </w:p>
        </w:tc>
      </w:tr>
      <w:tr w:rsidR="00C12EAA" w:rsidRPr="006C2F5C" w14:paraId="27961E64" w14:textId="77777777" w:rsidTr="008671CC">
        <w:tc>
          <w:tcPr>
            <w:tcW w:w="284" w:type="dxa"/>
            <w:tcBorders>
              <w:top w:val="nil"/>
              <w:left w:val="single" w:sz="18" w:space="0" w:color="auto"/>
              <w:bottom w:val="single" w:sz="18" w:space="0" w:color="auto"/>
            </w:tcBorders>
          </w:tcPr>
          <w:p w14:paraId="440227E6" w14:textId="77777777" w:rsidR="00C12EAA" w:rsidRPr="006C2F5C" w:rsidRDefault="00C12EAA" w:rsidP="008671CC">
            <w:pPr>
              <w:rPr>
                <w:rFonts w:asciiTheme="majorHAnsi" w:hAnsiTheme="majorHAnsi"/>
              </w:rPr>
            </w:pPr>
          </w:p>
        </w:tc>
        <w:tc>
          <w:tcPr>
            <w:tcW w:w="4260" w:type="dxa"/>
            <w:tcBorders>
              <w:bottom w:val="single" w:sz="18" w:space="0" w:color="auto"/>
            </w:tcBorders>
          </w:tcPr>
          <w:p w14:paraId="21C18A1C" w14:textId="77777777" w:rsidR="00C12EAA" w:rsidRPr="006C2F5C" w:rsidRDefault="00C12EAA" w:rsidP="008671CC">
            <w:pPr>
              <w:jc w:val="center"/>
              <w:rPr>
                <w:rFonts w:asciiTheme="majorHAnsi" w:hAnsiTheme="majorHAnsi"/>
              </w:rPr>
            </w:pPr>
            <w:r w:rsidRPr="006C2F5C">
              <w:rPr>
                <w:rFonts w:asciiTheme="majorHAnsi" w:hAnsiTheme="majorHAnsi"/>
              </w:rPr>
              <w:t>Ime i prezime</w:t>
            </w:r>
          </w:p>
        </w:tc>
        <w:tc>
          <w:tcPr>
            <w:tcW w:w="4544" w:type="dxa"/>
            <w:tcBorders>
              <w:top w:val="nil"/>
              <w:bottom w:val="single" w:sz="18" w:space="0" w:color="auto"/>
            </w:tcBorders>
          </w:tcPr>
          <w:p w14:paraId="18DC08B3" w14:textId="77777777" w:rsidR="00C12EAA" w:rsidRPr="006C2F5C" w:rsidRDefault="00C12EAA" w:rsidP="008671CC">
            <w:pPr>
              <w:jc w:val="center"/>
              <w:rPr>
                <w:rFonts w:asciiTheme="majorHAnsi" w:hAnsiTheme="majorHAnsi"/>
              </w:rPr>
            </w:pPr>
            <w:r w:rsidRPr="006C2F5C">
              <w:rPr>
                <w:rFonts w:asciiTheme="majorHAnsi" w:hAnsiTheme="majorHAnsi"/>
              </w:rPr>
              <w:t>M.P.</w:t>
            </w:r>
          </w:p>
          <w:p w14:paraId="4C467B2A" w14:textId="77777777" w:rsidR="00C12EAA" w:rsidRPr="006C2F5C" w:rsidRDefault="00C12EAA" w:rsidP="008671CC">
            <w:pPr>
              <w:jc w:val="center"/>
              <w:rPr>
                <w:rFonts w:asciiTheme="majorHAnsi" w:hAnsiTheme="majorHAnsi"/>
              </w:rPr>
            </w:pPr>
          </w:p>
        </w:tc>
        <w:tc>
          <w:tcPr>
            <w:tcW w:w="4396" w:type="dxa"/>
            <w:tcBorders>
              <w:bottom w:val="single" w:sz="18" w:space="0" w:color="auto"/>
            </w:tcBorders>
          </w:tcPr>
          <w:p w14:paraId="46EFE6AE" w14:textId="77777777" w:rsidR="00C12EAA" w:rsidRPr="006C2F5C" w:rsidRDefault="00C12EAA" w:rsidP="008671CC">
            <w:pPr>
              <w:jc w:val="center"/>
              <w:rPr>
                <w:rFonts w:asciiTheme="majorHAnsi" w:hAnsiTheme="majorHAnsi"/>
              </w:rPr>
            </w:pPr>
            <w:r w:rsidRPr="006C2F5C">
              <w:rPr>
                <w:rFonts w:asciiTheme="majorHAnsi" w:hAnsiTheme="majorHAnsi"/>
              </w:rPr>
              <w:t>Potpis</w:t>
            </w:r>
          </w:p>
        </w:tc>
        <w:tc>
          <w:tcPr>
            <w:tcW w:w="236" w:type="dxa"/>
            <w:tcBorders>
              <w:top w:val="nil"/>
              <w:bottom w:val="single" w:sz="18" w:space="0" w:color="auto"/>
              <w:right w:val="single" w:sz="18" w:space="0" w:color="auto"/>
            </w:tcBorders>
          </w:tcPr>
          <w:p w14:paraId="7C7174AD" w14:textId="77777777" w:rsidR="00C12EAA" w:rsidRPr="006C2F5C" w:rsidRDefault="00C12EAA" w:rsidP="008671CC">
            <w:pPr>
              <w:rPr>
                <w:rFonts w:asciiTheme="majorHAnsi" w:hAnsiTheme="majorHAnsi"/>
              </w:rPr>
            </w:pPr>
          </w:p>
        </w:tc>
      </w:tr>
    </w:tbl>
    <w:p w14:paraId="45189A73" w14:textId="77777777" w:rsidR="00C12EAA" w:rsidRPr="006C2F5C" w:rsidRDefault="00C12EAA" w:rsidP="00C12EAA">
      <w:pPr>
        <w:rPr>
          <w:rFonts w:asciiTheme="majorHAnsi" w:hAnsiTheme="majorHAnsi"/>
        </w:rPr>
      </w:pPr>
    </w:p>
    <w:p w14:paraId="5BEA097D" w14:textId="77777777" w:rsidR="00C12EAA" w:rsidRPr="006C2F5C" w:rsidRDefault="00C12EAA" w:rsidP="00EC3328">
      <w:pPr>
        <w:tabs>
          <w:tab w:val="left" w:pos="1134"/>
          <w:tab w:val="left" w:pos="7797"/>
        </w:tabs>
        <w:spacing w:before="0" w:after="0" w:line="240" w:lineRule="auto"/>
        <w:rPr>
          <w:rFonts w:asciiTheme="majorHAnsi" w:hAnsiTheme="majorHAnsi" w:cs="Arial"/>
          <w:bCs/>
          <w:sz w:val="22"/>
          <w:lang w:val="hr-HR"/>
        </w:rPr>
      </w:pPr>
    </w:p>
    <w:p w14:paraId="3C7AE6D6" w14:textId="77777777" w:rsidR="00127B1C" w:rsidRPr="006C2F5C" w:rsidRDefault="00127B1C" w:rsidP="00EC3328">
      <w:pPr>
        <w:tabs>
          <w:tab w:val="left" w:pos="1134"/>
          <w:tab w:val="left" w:pos="7797"/>
        </w:tabs>
        <w:spacing w:before="0" w:after="0" w:line="240" w:lineRule="auto"/>
        <w:rPr>
          <w:rFonts w:asciiTheme="majorHAnsi" w:hAnsiTheme="majorHAnsi" w:cs="Arial"/>
          <w:bCs/>
          <w:sz w:val="22"/>
          <w:lang w:val="hr-HR"/>
        </w:rPr>
      </w:pPr>
    </w:p>
    <w:p w14:paraId="51F68532" w14:textId="77777777" w:rsidR="0065718E" w:rsidRPr="006C2F5C" w:rsidRDefault="007A3D8B" w:rsidP="00C12EAA">
      <w:pPr>
        <w:tabs>
          <w:tab w:val="left" w:pos="1134"/>
        </w:tabs>
        <w:spacing w:before="0" w:after="0" w:line="240" w:lineRule="auto"/>
        <w:ind w:left="1134" w:hanging="1134"/>
        <w:rPr>
          <w:rFonts w:asciiTheme="majorHAnsi" w:hAnsiTheme="majorHAnsi" w:cs="Arial"/>
          <w:sz w:val="22"/>
        </w:rPr>
      </w:pPr>
      <w:r w:rsidRPr="006C2F5C">
        <w:rPr>
          <w:rFonts w:asciiTheme="majorHAnsi" w:hAnsiTheme="majorHAnsi" w:cs="Arial"/>
          <w:b/>
          <w:sz w:val="22"/>
        </w:rPr>
        <w:tab/>
      </w:r>
      <w:r w:rsidRPr="006C2F5C">
        <w:rPr>
          <w:rFonts w:asciiTheme="majorHAnsi" w:hAnsiTheme="majorHAnsi" w:cs="Arial"/>
          <w:b/>
          <w:sz w:val="22"/>
        </w:rPr>
        <w:tab/>
      </w:r>
      <w:r w:rsidRPr="006C2F5C">
        <w:rPr>
          <w:rFonts w:asciiTheme="majorHAnsi" w:hAnsiTheme="majorHAnsi" w:cs="Arial"/>
          <w:b/>
          <w:sz w:val="22"/>
        </w:rPr>
        <w:tab/>
      </w:r>
      <w:r w:rsidRPr="006C2F5C">
        <w:rPr>
          <w:rFonts w:asciiTheme="majorHAnsi" w:hAnsiTheme="majorHAnsi" w:cs="Arial"/>
          <w:b/>
          <w:sz w:val="22"/>
        </w:rPr>
        <w:tab/>
      </w:r>
    </w:p>
    <w:p w14:paraId="7960A6C1" w14:textId="77777777" w:rsidR="0051234C" w:rsidRPr="006C2F5C" w:rsidRDefault="0051234C" w:rsidP="00EC3328">
      <w:pPr>
        <w:spacing w:before="0" w:after="0" w:line="240" w:lineRule="auto"/>
        <w:ind w:firstLine="6379"/>
        <w:rPr>
          <w:rFonts w:asciiTheme="majorHAnsi" w:hAnsiTheme="majorHAnsi" w:cs="Arial"/>
          <w:sz w:val="20"/>
        </w:rPr>
      </w:pPr>
    </w:p>
    <w:p w14:paraId="2DFAEA8A" w14:textId="77777777" w:rsidR="002772B6" w:rsidRPr="006C2F5C" w:rsidRDefault="002772B6" w:rsidP="008C65C5">
      <w:pPr>
        <w:tabs>
          <w:tab w:val="left" w:pos="1134"/>
        </w:tabs>
        <w:spacing w:before="0" w:after="0" w:line="240" w:lineRule="auto"/>
        <w:rPr>
          <w:rFonts w:asciiTheme="majorHAnsi" w:hAnsiTheme="majorHAnsi" w:cs="Arial"/>
          <w:sz w:val="22"/>
        </w:rPr>
      </w:pPr>
      <w:bookmarkStart w:id="0" w:name="_GoBack"/>
      <w:bookmarkEnd w:id="0"/>
    </w:p>
    <w:sectPr w:rsidR="002772B6" w:rsidRPr="006C2F5C" w:rsidSect="00C12EAA">
      <w:headerReference w:type="default" r:id="rId19"/>
      <w:headerReference w:type="first" r:id="rId20"/>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5B727" w14:textId="77777777" w:rsidR="00DC0331" w:rsidRDefault="00DC0331" w:rsidP="00A6505B">
      <w:pPr>
        <w:spacing w:before="0" w:after="0" w:line="240" w:lineRule="auto"/>
      </w:pPr>
      <w:r>
        <w:separator/>
      </w:r>
    </w:p>
  </w:endnote>
  <w:endnote w:type="continuationSeparator" w:id="0">
    <w:p w14:paraId="2189A6FE" w14:textId="77777777" w:rsidR="00DC0331" w:rsidRDefault="00DC0331"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Narrow-Bold">
    <w:altName w:val="Arial"/>
    <w:panose1 w:val="00000000000000000000"/>
    <w:charset w:val="00"/>
    <w:family w:val="swiss"/>
    <w:notTrueType/>
    <w:pitch w:val="default"/>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F3A498" w14:textId="77777777" w:rsidR="00DC0331" w:rsidRDefault="00DC0331" w:rsidP="00A6505B">
      <w:pPr>
        <w:spacing w:before="0" w:after="0" w:line="240" w:lineRule="auto"/>
      </w:pPr>
      <w:r>
        <w:separator/>
      </w:r>
    </w:p>
  </w:footnote>
  <w:footnote w:type="continuationSeparator" w:id="0">
    <w:p w14:paraId="6A1BCD97" w14:textId="77777777" w:rsidR="00DC0331" w:rsidRDefault="00DC0331" w:rsidP="00A6505B">
      <w:pPr>
        <w:spacing w:before="0" w:after="0" w:line="240" w:lineRule="auto"/>
      </w:pPr>
      <w:r>
        <w:continuationSeparator/>
      </w:r>
    </w:p>
  </w:footnote>
  <w:footnote w:id="1">
    <w:p w14:paraId="219394F4" w14:textId="40901D8C" w:rsidR="00A11A98" w:rsidRPr="00A11A98" w:rsidRDefault="00A11A98">
      <w:pPr>
        <w:pStyle w:val="FootnoteText"/>
        <w:rPr>
          <w:lang w:val="es-ES"/>
        </w:rPr>
      </w:pPr>
      <w:r>
        <w:rPr>
          <w:rStyle w:val="FootnoteReference"/>
        </w:rPr>
        <w:footnoteRef/>
      </w:r>
      <w:r w:rsidRPr="00A11A98">
        <w:rPr>
          <w:lang w:val="es-ES"/>
        </w:rPr>
        <w:t xml:space="preserve"> </w:t>
      </w:r>
      <w:hyperlink r:id="rId1" w:history="1">
        <w:r w:rsidR="00D553C8" w:rsidRPr="00801311">
          <w:rPr>
            <w:rStyle w:val="Hyperlink"/>
            <w:lang w:val="es-ES"/>
          </w:rPr>
          <w:t>https://www.azlp.me/me/o-agenciji</w:t>
        </w:r>
      </w:hyperlink>
      <w:r w:rsidR="00D553C8">
        <w:rPr>
          <w:lang w:val="es-ES"/>
        </w:rPr>
        <w:t xml:space="preserve"> </w:t>
      </w:r>
    </w:p>
  </w:footnote>
  <w:footnote w:id="2">
    <w:p w14:paraId="0A3AACAD" w14:textId="77777777" w:rsidR="00A11A98" w:rsidRDefault="00A11A98" w:rsidP="0094036E">
      <w:pPr>
        <w:spacing w:after="0" w:line="240" w:lineRule="auto"/>
        <w:ind w:right="-450"/>
        <w:rPr>
          <w:rFonts w:ascii="Calibri" w:eastAsia="Calibri" w:hAnsi="Calibri" w:cs="Calibri"/>
          <w:color w:val="595959"/>
          <w:sz w:val="16"/>
          <w:szCs w:val="16"/>
        </w:rPr>
      </w:pPr>
      <w:r>
        <w:rPr>
          <w:rStyle w:val="FootnoteReference"/>
          <w:rFonts w:asciiTheme="majorHAnsi" w:hAnsiTheme="majorHAnsi" w:cstheme="majorHAnsi"/>
          <w:sz w:val="16"/>
          <w:szCs w:val="16"/>
        </w:rPr>
        <w:footnoteRef/>
      </w:r>
      <w:r>
        <w:rPr>
          <w:rFonts w:asciiTheme="majorHAnsi" w:eastAsia="Calibri" w:hAnsiTheme="majorHAnsi" w:cstheme="majorHAnsi"/>
          <w:sz w:val="16"/>
          <w:szCs w:val="16"/>
        </w:rPr>
        <w:t xml:space="preserve"> </w:t>
      </w:r>
      <w:r>
        <w:rPr>
          <w:rFonts w:asciiTheme="majorHAnsi" w:eastAsia="Calibri" w:hAnsiTheme="majorHAnsi" w:cstheme="majorHAnsi"/>
          <w:sz w:val="16"/>
          <w:szCs w:val="16"/>
        </w:rPr>
        <w:t xml:space="preserve">Balkan Barometar: </w:t>
      </w:r>
      <w:hyperlink r:id="rId2" w:history="1">
        <w:r>
          <w:rPr>
            <w:rStyle w:val="Hyperlink"/>
            <w:rFonts w:asciiTheme="majorHAnsi" w:eastAsia="Calibri" w:hAnsiTheme="majorHAnsi" w:cstheme="majorHAnsi"/>
            <w:sz w:val="16"/>
            <w:szCs w:val="16"/>
          </w:rPr>
          <w:t>https://www.rcc.int/balkanbarometer/results/2/public</w:t>
        </w:r>
      </w:hyperlink>
      <w:r>
        <w:rPr>
          <w:rFonts w:asciiTheme="majorHAnsi" w:eastAsia="Calibri" w:hAnsiTheme="majorHAnsi" w:cstheme="majorHAnsi"/>
          <w:sz w:val="16"/>
          <w:szCs w:val="16"/>
        </w:rPr>
        <w:t xml:space="preserve"> i </w:t>
      </w:r>
      <w:hyperlink r:id="rId3" w:history="1">
        <w:r>
          <w:rPr>
            <w:rStyle w:val="Hyperlink"/>
            <w:rFonts w:asciiTheme="majorHAnsi" w:eastAsia="Calibri" w:hAnsiTheme="majorHAnsi" w:cstheme="majorHAnsi"/>
            <w:sz w:val="16"/>
            <w:szCs w:val="16"/>
          </w:rPr>
          <w:t>https://www.rcc.int/balkanbarometer/results/1/business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8250D" w14:textId="77777777" w:rsidR="00A11A98" w:rsidRDefault="00A11A98"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CA12" w14:textId="77777777" w:rsidR="00A11A98" w:rsidRPr="00451F6C" w:rsidRDefault="00A11A98" w:rsidP="00451F6C">
    <w:pPr>
      <w:pStyle w:val="Title"/>
      <w:rPr>
        <w:rFonts w:eastAsiaTheme="majorEastAsia" w:cstheme="majorBidi"/>
      </w:rPr>
    </w:pPr>
    <w:r w:rsidRPr="00451F6C">
      <mc:AlternateContent>
        <mc:Choice Requires="wps">
          <w:drawing>
            <wp:anchor distT="45720" distB="45720" distL="114300" distR="114300" simplePos="0" relativeHeight="251662336" behindDoc="0" locked="0" layoutInCell="1" allowOverlap="1" wp14:anchorId="56B77B73" wp14:editId="5807BE79">
              <wp:simplePos x="0" y="0"/>
              <wp:positionH relativeFrom="column">
                <wp:posOffset>7709535</wp:posOffset>
              </wp:positionH>
              <wp:positionV relativeFrom="paragraph">
                <wp:posOffset>89535</wp:posOffset>
              </wp:positionV>
              <wp:extent cx="208343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3435" cy="1404620"/>
                      </a:xfrm>
                      <a:prstGeom prst="rect">
                        <a:avLst/>
                      </a:prstGeom>
                      <a:solidFill>
                        <a:srgbClr val="FFFFFF"/>
                      </a:solidFill>
                      <a:ln w="9525">
                        <a:noFill/>
                        <a:miter lim="800000"/>
                        <a:headEnd/>
                        <a:tailEnd/>
                      </a:ln>
                    </wps:spPr>
                    <wps:txbx>
                      <w:txbxContent>
                        <w:p w14:paraId="3ACB8C2C"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 xml:space="preserve">Adresa: Rimski Trg br 45    </w:t>
                          </w:r>
                        </w:p>
                        <w:p w14:paraId="2DCD4189"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81000 Podgorica, Crna Gora</w:t>
                          </w:r>
                        </w:p>
                        <w:p w14:paraId="3657FE89"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tel: +382 482 131</w:t>
                          </w:r>
                        </w:p>
                        <w:p w14:paraId="68CC9879"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fax: +382 241 790</w:t>
                          </w:r>
                        </w:p>
                        <w:p w14:paraId="0C023779" w14:textId="77777777" w:rsidR="00A11A98" w:rsidRPr="00AF27FF" w:rsidRDefault="00A11A98" w:rsidP="00B003EE">
                          <w:pPr>
                            <w:spacing w:line="240" w:lineRule="auto"/>
                            <w:rPr>
                              <w:sz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B77B73" id="_x0000_t202" coordsize="21600,21600" o:spt="202" path="m,l,21600r21600,l21600,xe">
              <v:stroke joinstyle="miter"/>
              <v:path gradientshapeok="t" o:connecttype="rect"/>
            </v:shapetype>
            <v:shape id="Text Box 2" o:spid="_x0000_s1026" type="#_x0000_t202" style="position:absolute;left:0;text-align:left;margin-left:607.05pt;margin-top:7.05pt;width:164.0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" stroked="f">
              <v:textbox style="mso-fit-shape-to-text:t">
                <w:txbxContent>
                  <w:p w14:paraId="3ACB8C2C"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 xml:space="preserve">Adresa: Rimski Trg br 45    </w:t>
                    </w:r>
                  </w:p>
                  <w:p w14:paraId="2DCD4189"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81000 Podgorica, Crna Gora</w:t>
                    </w:r>
                  </w:p>
                  <w:p w14:paraId="3657FE89"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tel: +382 482 131</w:t>
                    </w:r>
                  </w:p>
                  <w:p w14:paraId="68CC9879" w14:textId="77777777" w:rsidR="00A11A98" w:rsidRPr="00750C06" w:rsidRDefault="00A11A98" w:rsidP="005B2F74">
                    <w:pPr>
                      <w:spacing w:before="0" w:after="0"/>
                      <w:jc w:val="right"/>
                      <w:rPr>
                        <w:rFonts w:ascii="Arial" w:hAnsi="Arial" w:cs="Arial"/>
                        <w:sz w:val="20"/>
                      </w:rPr>
                    </w:pPr>
                    <w:r w:rsidRPr="00750C06">
                      <w:rPr>
                        <w:rFonts w:ascii="Arial" w:hAnsi="Arial" w:cs="Arial"/>
                        <w:sz w:val="20"/>
                      </w:rPr>
                      <w:t>fax: +382 241 790</w:t>
                    </w:r>
                  </w:p>
                  <w:p w14:paraId="0C023779" w14:textId="77777777" w:rsidR="00A11A98" w:rsidRPr="00AF27FF" w:rsidRDefault="00A11A98" w:rsidP="00B003EE">
                    <w:pPr>
                      <w:spacing w:line="240" w:lineRule="auto"/>
                      <w:rPr>
                        <w:sz w:val="20"/>
                      </w:rPr>
                    </w:pPr>
                  </w:p>
                </w:txbxContent>
              </v:textbox>
            </v:shape>
          </w:pict>
        </mc:Fallback>
      </mc:AlternateContent>
    </w:r>
    <w:r w:rsidRPr="00451F6C">
      <mc:AlternateContent>
        <mc:Choice Requires="wps">
          <w:drawing>
            <wp:anchor distT="0" distB="0" distL="114300" distR="114300" simplePos="0" relativeHeight="251659264" behindDoc="0" locked="0" layoutInCell="1" allowOverlap="1" wp14:anchorId="3C22FDAD" wp14:editId="256AA7E5">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51B933"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drawing>
        <wp:anchor distT="0" distB="0" distL="114300" distR="114300" simplePos="0" relativeHeight="251660288" behindDoc="0" locked="0" layoutInCell="1" allowOverlap="1" wp14:anchorId="07B7D210" wp14:editId="3202696F">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14:paraId="3DCDEAC9" w14:textId="77777777" w:rsidR="00A11A98" w:rsidRDefault="00A11A98" w:rsidP="00411076">
    <w:pPr>
      <w:pStyle w:val="Title"/>
      <w:spacing w:after="0"/>
    </w:pPr>
    <w:r>
      <w:t>Ministarstvo javne uprave</w:t>
    </w:r>
  </w:p>
  <w:p w14:paraId="1FB4EE1F" w14:textId="77777777" w:rsidR="00A11A98" w:rsidRPr="00223465" w:rsidRDefault="00A11A98" w:rsidP="00223465">
    <w:pPr>
      <w:rPr>
        <w:lang w:val="en-US"/>
      </w:rPr>
    </w:pPr>
  </w:p>
  <w:p w14:paraId="7B1FF193" w14:textId="77777777" w:rsidR="00A11A98" w:rsidRPr="00F323F6" w:rsidRDefault="00A11A98" w:rsidP="00411076">
    <w:pPr>
      <w:pStyle w:val="Title"/>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60ABA"/>
    <w:multiLevelType w:val="hybridMultilevel"/>
    <w:tmpl w:val="7AF21CF6"/>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 w15:restartNumberingAfterBreak="0">
    <w:nsid w:val="26B2306B"/>
    <w:multiLevelType w:val="hybridMultilevel"/>
    <w:tmpl w:val="6E30A0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3" w15:restartNumberingAfterBreak="0">
    <w:nsid w:val="36DD70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584B43"/>
    <w:multiLevelType w:val="hybridMultilevel"/>
    <w:tmpl w:val="825A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1523C"/>
    <w:multiLevelType w:val="hybridMultilevel"/>
    <w:tmpl w:val="46E8B48A"/>
    <w:lvl w:ilvl="0" w:tplc="192E73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7" w15:restartNumberingAfterBreak="0">
    <w:nsid w:val="6F276EED"/>
    <w:multiLevelType w:val="hybridMultilevel"/>
    <w:tmpl w:val="45D46C0C"/>
    <w:lvl w:ilvl="0" w:tplc="30EE8888">
      <w:numFmt w:val="bullet"/>
      <w:lvlText w:val="-"/>
      <w:lvlJc w:val="left"/>
      <w:pPr>
        <w:ind w:left="720" w:hanging="360"/>
      </w:pPr>
      <w:rPr>
        <w:rFonts w:ascii="Cambria" w:eastAsia="MS Mincho"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9" w15:restartNumberingAfterBreak="0">
    <w:nsid w:val="7FFA65FF"/>
    <w:multiLevelType w:val="hybridMultilevel"/>
    <w:tmpl w:val="08E82C6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8"/>
  </w:num>
  <w:num w:numId="4">
    <w:abstractNumId w:val="2"/>
  </w:num>
  <w:num w:numId="5">
    <w:abstractNumId w:val="3"/>
  </w:num>
  <w:num w:numId="6">
    <w:abstractNumId w:val="0"/>
  </w:num>
  <w:num w:numId="7">
    <w:abstractNumId w:val="9"/>
  </w:num>
  <w:num w:numId="8">
    <w:abstractNumId w:val="1"/>
  </w:num>
  <w:num w:numId="9">
    <w:abstractNumId w:val="4"/>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05B"/>
    <w:rsid w:val="00001178"/>
    <w:rsid w:val="000052DB"/>
    <w:rsid w:val="00020673"/>
    <w:rsid w:val="00021C7A"/>
    <w:rsid w:val="00034096"/>
    <w:rsid w:val="000A02BF"/>
    <w:rsid w:val="000F2AA0"/>
    <w:rsid w:val="000F2B95"/>
    <w:rsid w:val="000F2BFC"/>
    <w:rsid w:val="00103B2E"/>
    <w:rsid w:val="001053EE"/>
    <w:rsid w:val="00107821"/>
    <w:rsid w:val="00127B1C"/>
    <w:rsid w:val="00154D42"/>
    <w:rsid w:val="001822FC"/>
    <w:rsid w:val="001847FD"/>
    <w:rsid w:val="00186243"/>
    <w:rsid w:val="00196664"/>
    <w:rsid w:val="001A79B6"/>
    <w:rsid w:val="001A7E96"/>
    <w:rsid w:val="001C2DA5"/>
    <w:rsid w:val="001C5C9B"/>
    <w:rsid w:val="001D3909"/>
    <w:rsid w:val="001F0259"/>
    <w:rsid w:val="001F75D5"/>
    <w:rsid w:val="00205759"/>
    <w:rsid w:val="00213802"/>
    <w:rsid w:val="0021660B"/>
    <w:rsid w:val="00223465"/>
    <w:rsid w:val="00243237"/>
    <w:rsid w:val="002511E4"/>
    <w:rsid w:val="00252A36"/>
    <w:rsid w:val="0025635B"/>
    <w:rsid w:val="002772B6"/>
    <w:rsid w:val="00292D5E"/>
    <w:rsid w:val="002964BD"/>
    <w:rsid w:val="002A2EED"/>
    <w:rsid w:val="002A30C4"/>
    <w:rsid w:val="002A7CB3"/>
    <w:rsid w:val="002C2F30"/>
    <w:rsid w:val="002F461C"/>
    <w:rsid w:val="00300FF7"/>
    <w:rsid w:val="003025CE"/>
    <w:rsid w:val="00313885"/>
    <w:rsid w:val="003168DA"/>
    <w:rsid w:val="003417B8"/>
    <w:rsid w:val="00350578"/>
    <w:rsid w:val="00354D08"/>
    <w:rsid w:val="00374AF2"/>
    <w:rsid w:val="00375D08"/>
    <w:rsid w:val="003A6DB5"/>
    <w:rsid w:val="003B6596"/>
    <w:rsid w:val="003C6644"/>
    <w:rsid w:val="003F5565"/>
    <w:rsid w:val="00411076"/>
    <w:rsid w:val="004112D5"/>
    <w:rsid w:val="00415FD8"/>
    <w:rsid w:val="00420F3D"/>
    <w:rsid w:val="00427F6A"/>
    <w:rsid w:val="004356A6"/>
    <w:rsid w:val="004378E1"/>
    <w:rsid w:val="00451F6C"/>
    <w:rsid w:val="00451FF9"/>
    <w:rsid w:val="00460E92"/>
    <w:rsid w:val="004679C3"/>
    <w:rsid w:val="004C15B6"/>
    <w:rsid w:val="004E3DA7"/>
    <w:rsid w:val="004F24B0"/>
    <w:rsid w:val="004F2DD9"/>
    <w:rsid w:val="004F7A38"/>
    <w:rsid w:val="0051234C"/>
    <w:rsid w:val="00521FE8"/>
    <w:rsid w:val="00523147"/>
    <w:rsid w:val="00531FDF"/>
    <w:rsid w:val="0053235E"/>
    <w:rsid w:val="005723C7"/>
    <w:rsid w:val="005A4E7E"/>
    <w:rsid w:val="005B2F74"/>
    <w:rsid w:val="005B44BF"/>
    <w:rsid w:val="005C1F14"/>
    <w:rsid w:val="005C4D32"/>
    <w:rsid w:val="005C6F24"/>
    <w:rsid w:val="005D2505"/>
    <w:rsid w:val="005F3B47"/>
    <w:rsid w:val="005F56D9"/>
    <w:rsid w:val="00610964"/>
    <w:rsid w:val="00611083"/>
    <w:rsid w:val="00612213"/>
    <w:rsid w:val="006129C2"/>
    <w:rsid w:val="00630A76"/>
    <w:rsid w:val="0065073B"/>
    <w:rsid w:val="0065718E"/>
    <w:rsid w:val="00657D19"/>
    <w:rsid w:val="006739CA"/>
    <w:rsid w:val="00682930"/>
    <w:rsid w:val="006A24FA"/>
    <w:rsid w:val="006A2C40"/>
    <w:rsid w:val="006B0CEE"/>
    <w:rsid w:val="006C2F5C"/>
    <w:rsid w:val="006C4EFA"/>
    <w:rsid w:val="006C647A"/>
    <w:rsid w:val="006D711E"/>
    <w:rsid w:val="006E262C"/>
    <w:rsid w:val="006E6804"/>
    <w:rsid w:val="00720438"/>
    <w:rsid w:val="00722040"/>
    <w:rsid w:val="0073561A"/>
    <w:rsid w:val="007456B6"/>
    <w:rsid w:val="0075523B"/>
    <w:rsid w:val="00766D2B"/>
    <w:rsid w:val="0077100B"/>
    <w:rsid w:val="007725CB"/>
    <w:rsid w:val="007741CC"/>
    <w:rsid w:val="00776ED1"/>
    <w:rsid w:val="00786F2E"/>
    <w:rsid w:val="007904A7"/>
    <w:rsid w:val="0079103F"/>
    <w:rsid w:val="0079430D"/>
    <w:rsid w:val="00794586"/>
    <w:rsid w:val="007978B6"/>
    <w:rsid w:val="007A3D8B"/>
    <w:rsid w:val="007B2B13"/>
    <w:rsid w:val="00810444"/>
    <w:rsid w:val="008671CC"/>
    <w:rsid w:val="00874B64"/>
    <w:rsid w:val="0088156B"/>
    <w:rsid w:val="00884467"/>
    <w:rsid w:val="00885190"/>
    <w:rsid w:val="008B5953"/>
    <w:rsid w:val="008B5D5F"/>
    <w:rsid w:val="008C65C5"/>
    <w:rsid w:val="008C7F82"/>
    <w:rsid w:val="008E1A18"/>
    <w:rsid w:val="00902E6C"/>
    <w:rsid w:val="00907170"/>
    <w:rsid w:val="009130A0"/>
    <w:rsid w:val="00922A8D"/>
    <w:rsid w:val="0094036E"/>
    <w:rsid w:val="00945E67"/>
    <w:rsid w:val="00946A67"/>
    <w:rsid w:val="00951870"/>
    <w:rsid w:val="0096107C"/>
    <w:rsid w:val="0098531B"/>
    <w:rsid w:val="00997C04"/>
    <w:rsid w:val="009A2643"/>
    <w:rsid w:val="009C2721"/>
    <w:rsid w:val="009C3D0D"/>
    <w:rsid w:val="009C6D84"/>
    <w:rsid w:val="009E797A"/>
    <w:rsid w:val="009F3E70"/>
    <w:rsid w:val="00A055A2"/>
    <w:rsid w:val="00A11A98"/>
    <w:rsid w:val="00A206FF"/>
    <w:rsid w:val="00A32014"/>
    <w:rsid w:val="00A4049A"/>
    <w:rsid w:val="00A40A3D"/>
    <w:rsid w:val="00A53248"/>
    <w:rsid w:val="00A5473B"/>
    <w:rsid w:val="00A6505B"/>
    <w:rsid w:val="00AA7D19"/>
    <w:rsid w:val="00AB3AD6"/>
    <w:rsid w:val="00AC46C1"/>
    <w:rsid w:val="00AF27FF"/>
    <w:rsid w:val="00B003EE"/>
    <w:rsid w:val="00B13AFC"/>
    <w:rsid w:val="00B167AC"/>
    <w:rsid w:val="00B34669"/>
    <w:rsid w:val="00B37D43"/>
    <w:rsid w:val="00B408F5"/>
    <w:rsid w:val="00B40A06"/>
    <w:rsid w:val="00B473C2"/>
    <w:rsid w:val="00B47D2C"/>
    <w:rsid w:val="00B7011B"/>
    <w:rsid w:val="00B73BEB"/>
    <w:rsid w:val="00B83F7A"/>
    <w:rsid w:val="00B84F08"/>
    <w:rsid w:val="00B932D3"/>
    <w:rsid w:val="00BE3206"/>
    <w:rsid w:val="00BE6055"/>
    <w:rsid w:val="00BF21CC"/>
    <w:rsid w:val="00BF464E"/>
    <w:rsid w:val="00C123D2"/>
    <w:rsid w:val="00C12EAA"/>
    <w:rsid w:val="00C176EB"/>
    <w:rsid w:val="00C17D56"/>
    <w:rsid w:val="00C20E0A"/>
    <w:rsid w:val="00C2622E"/>
    <w:rsid w:val="00C301AC"/>
    <w:rsid w:val="00C31F7F"/>
    <w:rsid w:val="00C3221E"/>
    <w:rsid w:val="00C4431F"/>
    <w:rsid w:val="00C73B8C"/>
    <w:rsid w:val="00C84028"/>
    <w:rsid w:val="00CA2D44"/>
    <w:rsid w:val="00CA4058"/>
    <w:rsid w:val="00CC2580"/>
    <w:rsid w:val="00CD159D"/>
    <w:rsid w:val="00CF381F"/>
    <w:rsid w:val="00CF540B"/>
    <w:rsid w:val="00D0286F"/>
    <w:rsid w:val="00D23B4D"/>
    <w:rsid w:val="00D2455F"/>
    <w:rsid w:val="00D41D18"/>
    <w:rsid w:val="00D52F05"/>
    <w:rsid w:val="00D553C8"/>
    <w:rsid w:val="00D853EE"/>
    <w:rsid w:val="00D943D6"/>
    <w:rsid w:val="00DA00E6"/>
    <w:rsid w:val="00DA19BE"/>
    <w:rsid w:val="00DC0331"/>
    <w:rsid w:val="00DC5DF1"/>
    <w:rsid w:val="00DE1C19"/>
    <w:rsid w:val="00DF60F7"/>
    <w:rsid w:val="00E60323"/>
    <w:rsid w:val="00E73A9B"/>
    <w:rsid w:val="00E74F68"/>
    <w:rsid w:val="00E75466"/>
    <w:rsid w:val="00E87EBE"/>
    <w:rsid w:val="00EB4466"/>
    <w:rsid w:val="00EC2103"/>
    <w:rsid w:val="00EC3328"/>
    <w:rsid w:val="00EE0CB8"/>
    <w:rsid w:val="00EE2A26"/>
    <w:rsid w:val="00F074B6"/>
    <w:rsid w:val="00F11865"/>
    <w:rsid w:val="00F127D8"/>
    <w:rsid w:val="00F14B0C"/>
    <w:rsid w:val="00F16D1B"/>
    <w:rsid w:val="00F21A4A"/>
    <w:rsid w:val="00F22EBA"/>
    <w:rsid w:val="00F323F6"/>
    <w:rsid w:val="00F4638D"/>
    <w:rsid w:val="00F63FBA"/>
    <w:rsid w:val="00F66805"/>
    <w:rsid w:val="00FA55F0"/>
    <w:rsid w:val="00FE3951"/>
    <w:rsid w:val="00FE4CFA"/>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0E554"/>
  <w15:docId w15:val="{3276C12F-A076-49F3-8688-72B76B97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C12EA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EAA"/>
    <w:pPr>
      <w:spacing w:before="0" w:after="200" w:line="240" w:lineRule="auto"/>
      <w:ind w:left="720"/>
      <w:contextualSpacing/>
      <w:jc w:val="left"/>
    </w:pPr>
    <w:rPr>
      <w:rFonts w:ascii="Cambria" w:eastAsia="MS Mincho" w:hAnsi="Cambria" w:cs="Times New Roman"/>
      <w:szCs w:val="24"/>
      <w:lang w:val="en-US" w:eastAsia="ja-JP"/>
    </w:rPr>
  </w:style>
  <w:style w:type="paragraph" w:styleId="FootnoteText">
    <w:name w:val="footnote text"/>
    <w:basedOn w:val="Normal"/>
    <w:link w:val="FootnoteTextChar"/>
    <w:uiPriority w:val="99"/>
    <w:semiHidden/>
    <w:rsid w:val="00C12EAA"/>
    <w:pPr>
      <w:spacing w:before="0" w:after="0" w:line="240" w:lineRule="auto"/>
      <w:jc w:val="left"/>
    </w:pPr>
    <w:rPr>
      <w:rFonts w:ascii="Arial" w:eastAsia="Times New Roman" w:hAnsi="Arial" w:cs="Times New Roman"/>
      <w:sz w:val="20"/>
      <w:szCs w:val="20"/>
      <w:lang w:val="en-US"/>
    </w:rPr>
  </w:style>
  <w:style w:type="character" w:customStyle="1" w:styleId="FootnoteTextChar">
    <w:name w:val="Footnote Text Char"/>
    <w:basedOn w:val="DefaultParagraphFont"/>
    <w:link w:val="FootnoteText"/>
    <w:uiPriority w:val="99"/>
    <w:semiHidden/>
    <w:rsid w:val="00C12EAA"/>
    <w:rPr>
      <w:rFonts w:ascii="Arial" w:eastAsia="Times New Roman" w:hAnsi="Arial" w:cs="Times New Roman"/>
      <w:sz w:val="20"/>
      <w:szCs w:val="20"/>
      <w:lang w:val="en-US"/>
    </w:rPr>
  </w:style>
  <w:style w:type="character" w:styleId="FootnoteReference">
    <w:name w:val="footnote reference"/>
    <w:aliases w:val="ftref,List Bullet Char Char,appel Char Char,ftref Char,BVI fnr Char,Footnotes refss,16 Point,Superscript 6 Point,Footnote Reference Number,nota pié di pagina,Times 10 Point,Exposant 3 Point,Footnote symbol,Footnote reference number"/>
    <w:link w:val="BVIfnr"/>
    <w:uiPriority w:val="99"/>
    <w:qFormat/>
    <w:rsid w:val="00C12EAA"/>
    <w:rPr>
      <w:vertAlign w:val="superscript"/>
    </w:rPr>
  </w:style>
  <w:style w:type="paragraph" w:customStyle="1" w:styleId="Default">
    <w:name w:val="Default"/>
    <w:rsid w:val="00C12EAA"/>
    <w:pPr>
      <w:autoSpaceDE w:val="0"/>
      <w:autoSpaceDN w:val="0"/>
      <w:adjustRightInd w:val="0"/>
      <w:spacing w:after="0" w:line="240" w:lineRule="auto"/>
    </w:pPr>
    <w:rPr>
      <w:rFonts w:ascii="ArialNarrow-Bold" w:eastAsia="Times New Roman" w:hAnsi="ArialNarrow-Bold" w:cs="Times New Roman"/>
      <w:sz w:val="20"/>
      <w:szCs w:val="20"/>
      <w:lang w:val="en-US"/>
    </w:rPr>
  </w:style>
  <w:style w:type="character" w:customStyle="1" w:styleId="apple-converted-space">
    <w:name w:val="apple-converted-space"/>
    <w:basedOn w:val="DefaultParagraphFont"/>
    <w:rsid w:val="00C12EAA"/>
  </w:style>
  <w:style w:type="paragraph" w:customStyle="1" w:styleId="n2">
    <w:name w:val="n2"/>
    <w:qFormat/>
    <w:rsid w:val="00C12EAA"/>
    <w:pPr>
      <w:keepNext/>
      <w:spacing w:before="240" w:after="0" w:line="240" w:lineRule="auto"/>
    </w:pPr>
    <w:rPr>
      <w:rFonts w:ascii="Garamond" w:eastAsia="Calibri" w:hAnsi="Garamond" w:cs="Times New Roman"/>
      <w:b/>
      <w:color w:val="000000"/>
      <w:sz w:val="28"/>
      <w:szCs w:val="28"/>
      <w:lang w:val="sr-Latn-CS"/>
    </w:rPr>
  </w:style>
  <w:style w:type="paragraph" w:customStyle="1" w:styleId="BVIfnr">
    <w:name w:val="BVI fnr"/>
    <w:basedOn w:val="Normal"/>
    <w:link w:val="FootnoteReference"/>
    <w:uiPriority w:val="99"/>
    <w:rsid w:val="0094036E"/>
    <w:pPr>
      <w:spacing w:before="0" w:after="160" w:line="240" w:lineRule="exact"/>
      <w:jc w:val="left"/>
    </w:pPr>
    <w:rPr>
      <w:sz w:val="22"/>
      <w:vertAlign w:val="superscript"/>
    </w:rPr>
  </w:style>
  <w:style w:type="table" w:customStyle="1" w:styleId="25">
    <w:name w:val="25"/>
    <w:basedOn w:val="TableNormal"/>
    <w:rsid w:val="0094036E"/>
    <w:pPr>
      <w:spacing w:after="0" w:line="240" w:lineRule="auto"/>
      <w:ind w:left="144" w:right="144"/>
    </w:pPr>
    <w:rPr>
      <w:rFonts w:ascii="Calibri" w:eastAsia="Calibri" w:hAnsi="Calibri" w:cs="Calibri"/>
      <w:b/>
      <w:color w:val="000000"/>
      <w:lang w:val="en-GB"/>
    </w:rPr>
    <w:tblPr>
      <w:tblStyleRowBandSize w:val="1"/>
      <w:tblStyleColBandSize w:val="1"/>
      <w:tblInd w:w="0" w:type="nil"/>
      <w:tblCellMar>
        <w:left w:w="115" w:type="dxa"/>
        <w:right w:w="115" w:type="dxa"/>
      </w:tblCellMar>
    </w:tblPr>
    <w:tcPr>
      <w:shd w:val="clear" w:color="auto" w:fill="EBE9E2"/>
    </w:tcPr>
  </w:style>
  <w:style w:type="table" w:customStyle="1" w:styleId="24">
    <w:name w:val="24"/>
    <w:basedOn w:val="TableNormal"/>
    <w:rsid w:val="0094036E"/>
    <w:pPr>
      <w:spacing w:after="0" w:line="240" w:lineRule="auto"/>
      <w:ind w:left="144" w:right="144"/>
    </w:pPr>
    <w:rPr>
      <w:rFonts w:ascii="Calibri" w:eastAsia="Calibri" w:hAnsi="Calibri" w:cs="Calibri"/>
      <w:b/>
      <w:color w:val="000000"/>
      <w:lang w:val="en-GB"/>
    </w:rPr>
    <w:tblPr>
      <w:tblStyleRowBandSize w:val="1"/>
      <w:tblStyleColBandSize w:val="1"/>
      <w:tblInd w:w="0" w:type="nil"/>
      <w:tblCellMar>
        <w:left w:w="115" w:type="dxa"/>
        <w:right w:w="115" w:type="dxa"/>
      </w:tblCellMar>
    </w:tblPr>
    <w:tcPr>
      <w:shd w:val="clear" w:color="auto" w:fill="EBE9E2"/>
    </w:tcPr>
  </w:style>
  <w:style w:type="character" w:styleId="UnresolvedMention">
    <w:name w:val="Unresolved Mention"/>
    <w:basedOn w:val="DefaultParagraphFont"/>
    <w:uiPriority w:val="99"/>
    <w:semiHidden/>
    <w:unhideWhenUsed/>
    <w:rsid w:val="00945E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27486604">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cc.int/balkanbarometer/results/1/business" TargetMode="External"/><Relationship Id="rId18" Type="http://schemas.openxmlformats.org/officeDocument/2006/relationships/hyperlink" Target="http://www.data.gov.me"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rcc.int/balkanbarometer/results/2/public" TargetMode="External"/><Relationship Id="rId17" Type="http://schemas.openxmlformats.org/officeDocument/2006/relationships/hyperlink" Target="https://www.gov.me/en/documents/04454c92-57ba-4458-bece-0e3f2d737fe9" TargetMode="External"/><Relationship Id="rId2" Type="http://schemas.openxmlformats.org/officeDocument/2006/relationships/customXml" Target="../customXml/item2.xml"/><Relationship Id="rId16" Type="http://schemas.openxmlformats.org/officeDocument/2006/relationships/hyperlink" Target="https://crnvo.me/wp-content/uploads/2021/02/Uredba-o-izboru-predstavnika-nevladinih-organizacija-u-radna-tijela-organa-drzavne-uprave-sprovodjenju-javne-rasprave-u-pripremi-zakona-i-strategija.doc.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tvoreneinstitucije.cdtmn.org/assets/docs/cg-vlast-22.pdf" TargetMode="External"/><Relationship Id="rId5" Type="http://schemas.openxmlformats.org/officeDocument/2006/relationships/settings" Target="settings.xml"/><Relationship Id="rId15" Type="http://schemas.openxmlformats.org/officeDocument/2006/relationships/hyperlink" Target="https://www.gov.me/dokumenta/f9dcdea6-e2b9-4b1a-a80c-e243a073d7b4" TargetMode="External"/><Relationship Id="rId10" Type="http://schemas.openxmlformats.org/officeDocument/2006/relationships/hyperlink" Target="https://www.gov.me/en/documents/7a211a06-401c-426c-9d98-85b8f1ae9d88"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ata.gov.me/" TargetMode="External"/><Relationship Id="rId14" Type="http://schemas.openxmlformats.org/officeDocument/2006/relationships/hyperlink" Target="https://www.paragraf.rs/propisi/zakon_o_drzavnoj_upravi.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cc.int/balkanbarometer/results/1/business" TargetMode="External"/><Relationship Id="rId2" Type="http://schemas.openxmlformats.org/officeDocument/2006/relationships/hyperlink" Target="https://www.rcc.int/balkanbarometer/results/2/public" TargetMode="External"/><Relationship Id="rId1" Type="http://schemas.openxmlformats.org/officeDocument/2006/relationships/hyperlink" Target="https://www.azlp.me/me/o-agencij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477494-12C8-48F7-AEB7-CE83925C2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Ljiljana Novovic</cp:lastModifiedBy>
  <cp:revision>4</cp:revision>
  <cp:lastPrinted>2019-10-29T07:28:00Z</cp:lastPrinted>
  <dcterms:created xsi:type="dcterms:W3CDTF">2022-11-03T14:07:00Z</dcterms:created>
  <dcterms:modified xsi:type="dcterms:W3CDTF">2022-11-03T14:21:00Z</dcterms:modified>
</cp:coreProperties>
</file>