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72D484" w14:textId="002E9A7D" w:rsidR="000871C1" w:rsidRPr="0047122F" w:rsidRDefault="001742E0" w:rsidP="005D7A00">
      <w:pPr>
        <w:pStyle w:val="ListParagraph"/>
        <w:numPr>
          <w:ilvl w:val="0"/>
          <w:numId w:val="9"/>
        </w:numPr>
        <w:spacing w:before="480" w:after="120"/>
        <w:contextualSpacing w:val="0"/>
        <w:jc w:val="both"/>
        <w:rPr>
          <w:b/>
          <w:color w:val="000000"/>
          <w:sz w:val="24"/>
          <w:szCs w:val="24"/>
          <w:lang w:val="uz-Cyrl-UZ"/>
        </w:rPr>
      </w:pPr>
      <w:r w:rsidRPr="0047122F">
        <w:rPr>
          <w:b/>
          <w:color w:val="000000"/>
          <w:sz w:val="24"/>
          <w:szCs w:val="24"/>
          <w:lang w:val="uz-Cyrl-UZ"/>
        </w:rPr>
        <w:t>PODACI O NARUČIOCU:</w:t>
      </w:r>
    </w:p>
    <w:p w14:paraId="0F4FB681" w14:textId="39507DC5" w:rsidR="00EB09EA" w:rsidRPr="0047122F" w:rsidRDefault="004C6A55" w:rsidP="0047122F">
      <w:pPr>
        <w:spacing w:before="60" w:after="60"/>
        <w:jc w:val="both"/>
        <w:rPr>
          <w:rFonts w:cs="Arial"/>
          <w:color w:val="000000"/>
          <w:sz w:val="24"/>
          <w:szCs w:val="24"/>
          <w:lang w:val="uz-Cyrl-UZ"/>
        </w:rPr>
      </w:pPr>
      <w:r>
        <w:rPr>
          <w:color w:val="000000"/>
          <w:sz w:val="24"/>
          <w:szCs w:val="24"/>
          <w:lang w:val="uz-Cyrl-UZ"/>
        </w:rPr>
        <w:t>Uprava</w:t>
      </w:r>
      <w:r w:rsidR="00EB09EA" w:rsidRPr="0047122F">
        <w:rPr>
          <w:color w:val="000000"/>
          <w:sz w:val="24"/>
          <w:szCs w:val="24"/>
          <w:lang w:val="uz-Cyrl-UZ"/>
        </w:rPr>
        <w:t xml:space="preserve"> javnih radova</w:t>
      </w:r>
    </w:p>
    <w:p w14:paraId="00193195" w14:textId="77777777" w:rsidR="00EB09EA" w:rsidRPr="0047122F" w:rsidRDefault="00EB09EA" w:rsidP="0047122F">
      <w:pPr>
        <w:spacing w:before="60" w:after="60"/>
        <w:jc w:val="both"/>
        <w:rPr>
          <w:rFonts w:cs="Arial"/>
          <w:color w:val="000000"/>
          <w:sz w:val="24"/>
          <w:szCs w:val="24"/>
          <w:lang w:val="uz-Cyrl-UZ"/>
        </w:rPr>
      </w:pPr>
      <w:r w:rsidRPr="0047122F">
        <w:rPr>
          <w:color w:val="000000"/>
          <w:sz w:val="24"/>
          <w:szCs w:val="24"/>
          <w:lang w:val="uz-Cyrl-UZ"/>
        </w:rPr>
        <w:t>Novaka Miloševa broj 18</w:t>
      </w:r>
    </w:p>
    <w:p w14:paraId="618FD5E0" w14:textId="77777777" w:rsidR="00EB09EA" w:rsidRPr="0047122F" w:rsidRDefault="00EB09EA" w:rsidP="0047122F">
      <w:pPr>
        <w:spacing w:before="60" w:after="60"/>
        <w:jc w:val="both"/>
        <w:rPr>
          <w:rFonts w:cs="Arial"/>
          <w:color w:val="000000"/>
          <w:sz w:val="24"/>
          <w:szCs w:val="24"/>
          <w:lang w:val="uz-Cyrl-UZ"/>
        </w:rPr>
      </w:pPr>
      <w:r w:rsidRPr="0047122F">
        <w:rPr>
          <w:color w:val="000000"/>
          <w:sz w:val="24"/>
          <w:szCs w:val="24"/>
          <w:lang w:val="uz-Cyrl-UZ"/>
        </w:rPr>
        <w:t>81000 Podgorica</w:t>
      </w:r>
    </w:p>
    <w:p w14:paraId="660CEDC8" w14:textId="77777777" w:rsidR="00EB09EA" w:rsidRPr="0047122F" w:rsidRDefault="00EB09EA" w:rsidP="0047122F">
      <w:pPr>
        <w:spacing w:before="60" w:after="60"/>
        <w:jc w:val="both"/>
        <w:rPr>
          <w:rFonts w:cs="Arial"/>
          <w:color w:val="000000"/>
          <w:sz w:val="24"/>
          <w:szCs w:val="24"/>
          <w:lang w:val="uz-Cyrl-UZ"/>
        </w:rPr>
      </w:pPr>
      <w:r w:rsidRPr="0047122F">
        <w:rPr>
          <w:color w:val="000000"/>
          <w:sz w:val="24"/>
          <w:szCs w:val="24"/>
          <w:lang w:val="uz-Cyrl-UZ"/>
        </w:rPr>
        <w:t>Crna Gora</w:t>
      </w:r>
    </w:p>
    <w:p w14:paraId="190AFF5B" w14:textId="77777777" w:rsidR="00EB09EA" w:rsidRPr="0047122F" w:rsidRDefault="00EB09EA" w:rsidP="0047122F">
      <w:pPr>
        <w:spacing w:before="60" w:after="60"/>
        <w:jc w:val="both"/>
        <w:rPr>
          <w:rFonts w:cs="Arial"/>
          <w:color w:val="000000"/>
          <w:sz w:val="24"/>
          <w:szCs w:val="24"/>
          <w:lang w:val="uz-Cyrl-UZ"/>
        </w:rPr>
      </w:pPr>
      <w:r w:rsidRPr="0047122F">
        <w:rPr>
          <w:color w:val="000000"/>
          <w:sz w:val="24"/>
          <w:szCs w:val="24"/>
          <w:lang w:val="uz-Cyrl-UZ"/>
        </w:rPr>
        <w:t>Faks: +382 20 230 228</w:t>
      </w:r>
    </w:p>
    <w:p w14:paraId="55F2F689" w14:textId="353A6194" w:rsidR="00EB09EA" w:rsidRDefault="00EB09EA" w:rsidP="005D7A00">
      <w:pPr>
        <w:spacing w:after="0"/>
        <w:jc w:val="both"/>
        <w:rPr>
          <w:rStyle w:val="Hyperlink"/>
          <w:color w:val="787F87"/>
          <w:sz w:val="24"/>
          <w:szCs w:val="24"/>
          <w:lang w:val="uz-Cyrl-UZ"/>
        </w:rPr>
      </w:pPr>
      <w:r w:rsidRPr="0047122F">
        <w:rPr>
          <w:color w:val="000000"/>
          <w:sz w:val="24"/>
          <w:szCs w:val="24"/>
          <w:lang w:val="uz-Cyrl-UZ"/>
        </w:rPr>
        <w:t>E-pošta: </w:t>
      </w:r>
      <w:hyperlink r:id="rId9" w:history="1">
        <w:r w:rsidR="00F25E3D" w:rsidRPr="00692954">
          <w:rPr>
            <w:rStyle w:val="Hyperlink"/>
            <w:sz w:val="24"/>
            <w:szCs w:val="24"/>
            <w:lang w:val="uz-Cyrl-UZ"/>
          </w:rPr>
          <w:t>ujr@ujr.gov.me</w:t>
        </w:r>
      </w:hyperlink>
    </w:p>
    <w:p w14:paraId="131BB431" w14:textId="77777777" w:rsidR="00C66C60" w:rsidRPr="0047122F" w:rsidRDefault="00C66C60" w:rsidP="005D7A00">
      <w:pPr>
        <w:spacing w:after="0"/>
        <w:jc w:val="both"/>
        <w:rPr>
          <w:rFonts w:cs="Arial"/>
          <w:color w:val="000000"/>
          <w:sz w:val="24"/>
          <w:szCs w:val="24"/>
          <w:lang w:val="uz-Cyrl-UZ"/>
        </w:rPr>
      </w:pPr>
    </w:p>
    <w:p w14:paraId="530B12D0" w14:textId="034B259E" w:rsidR="00EB09EA" w:rsidRPr="0047122F" w:rsidRDefault="001742E0" w:rsidP="005D7A00">
      <w:pPr>
        <w:pStyle w:val="ListParagraph"/>
        <w:numPr>
          <w:ilvl w:val="0"/>
          <w:numId w:val="9"/>
        </w:numPr>
        <w:spacing w:before="240" w:after="120"/>
        <w:contextualSpacing w:val="0"/>
        <w:jc w:val="both"/>
        <w:rPr>
          <w:rFonts w:eastAsia="Times New Roman" w:cs="Arial"/>
          <w:color w:val="000000"/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t>PROGRAM I</w:t>
      </w:r>
      <w:r w:rsidRPr="0047122F">
        <w:rPr>
          <w:b/>
          <w:sz w:val="24"/>
          <w:szCs w:val="24"/>
          <w:lang w:val="uz-Cyrl-UZ"/>
        </w:rPr>
        <w:t xml:space="preserve"> FINANSIRANJE</w:t>
      </w:r>
      <w:r w:rsidR="00EB09EA" w:rsidRPr="0047122F">
        <w:rPr>
          <w:b/>
          <w:sz w:val="24"/>
          <w:szCs w:val="24"/>
          <w:lang w:val="uz-Cyrl-UZ"/>
        </w:rPr>
        <w:t>:</w:t>
      </w:r>
      <w:r w:rsidR="00EB09EA" w:rsidRPr="0047122F">
        <w:rPr>
          <w:sz w:val="24"/>
          <w:szCs w:val="24"/>
          <w:lang w:val="uz-Cyrl-UZ"/>
        </w:rPr>
        <w:t xml:space="preserve"> </w:t>
      </w:r>
      <w:r w:rsidR="00EB09EA" w:rsidRPr="0047122F">
        <w:rPr>
          <w:rFonts w:eastAsia="Times New Roman" w:cs="Times New Roman"/>
          <w:i/>
          <w:iCs/>
          <w:color w:val="000000"/>
          <w:sz w:val="24"/>
          <w:szCs w:val="24"/>
          <w:lang w:val="uz-Cyrl-UZ"/>
        </w:rPr>
        <w:t>Zajednički regionalni program o trajnim rješenjima za izbeglice i raseljena lica (Regional Housing Programme– RHP/ Program stambenog zbrinjavanja u Crnoj Gori)</w:t>
      </w:r>
    </w:p>
    <w:p w14:paraId="17759682" w14:textId="335EA77C" w:rsidR="00565BA0" w:rsidRPr="00B23E90" w:rsidRDefault="00EB09EA" w:rsidP="00565BA0">
      <w:pPr>
        <w:spacing w:before="60" w:after="6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val="en-GB"/>
        </w:rPr>
      </w:pPr>
      <w:r w:rsidRPr="0047122F">
        <w:rPr>
          <w:rFonts w:eastAsia="Times New Roman" w:cs="Times New Roman"/>
          <w:color w:val="000000"/>
          <w:sz w:val="24"/>
          <w:szCs w:val="24"/>
          <w:lang w:val="uz-Cyrl-UZ"/>
        </w:rPr>
        <w:t>Okvrini ugovor zaključen između Banke za razvoj Savjeta Evrope i Crne Gore o Regionalnom program</w:t>
      </w:r>
      <w:r w:rsidR="0047122F">
        <w:rPr>
          <w:rFonts w:eastAsia="Times New Roman" w:cs="Times New Roman"/>
          <w:color w:val="000000"/>
          <w:sz w:val="24"/>
          <w:szCs w:val="24"/>
          <w:lang w:val="uz-Cyrl-UZ"/>
        </w:rPr>
        <w:t>u</w:t>
      </w:r>
      <w:r w:rsidRPr="0047122F">
        <w:rPr>
          <w:rFonts w:eastAsia="Times New Roman" w:cs="Times New Roman"/>
          <w:color w:val="000000"/>
          <w:sz w:val="24"/>
          <w:szCs w:val="24"/>
          <w:lang w:val="uz-Cyrl-UZ"/>
        </w:rPr>
        <w:t xml:space="preserve"> stambenog zbrin</w:t>
      </w:r>
      <w:r w:rsidR="00565BA0">
        <w:rPr>
          <w:rFonts w:eastAsia="Times New Roman" w:cs="Times New Roman"/>
          <w:color w:val="000000"/>
          <w:sz w:val="24"/>
          <w:szCs w:val="24"/>
          <w:lang w:val="uz-Cyrl-UZ"/>
        </w:rPr>
        <w:t xml:space="preserve">javanja od 04.11.2013. godine, </w:t>
      </w:r>
      <w:r w:rsidRPr="0047122F">
        <w:rPr>
          <w:rFonts w:eastAsia="Times New Roman" w:cs="Times New Roman"/>
          <w:color w:val="000000"/>
          <w:sz w:val="24"/>
          <w:szCs w:val="24"/>
          <w:lang w:val="uz-Cyrl-UZ"/>
        </w:rPr>
        <w:t>Ugovor o donaciji između Banke za razvoj Savjeta Evrope i Crne Gore u vezi sa realizacijom potprojekta Regionalnog programa stambenog zbirnjavanja od 07.10.2014. godine</w:t>
      </w:r>
      <w:r w:rsidR="00565BA0">
        <w:rPr>
          <w:rFonts w:eastAsia="Times New Roman" w:cs="Times New Roman"/>
          <w:color w:val="000000"/>
          <w:sz w:val="24"/>
          <w:szCs w:val="24"/>
          <w:lang w:val="uz-Cyrl-UZ"/>
        </w:rPr>
        <w:t xml:space="preserve"> i </w:t>
      </w:r>
      <w:proofErr w:type="spellStart"/>
      <w:r w:rsidR="00565BA0" w:rsidRPr="00B23E90">
        <w:rPr>
          <w:rFonts w:eastAsia="Times New Roman" w:cs="Times New Roman"/>
          <w:color w:val="000000"/>
          <w:sz w:val="24"/>
          <w:szCs w:val="24"/>
          <w:lang w:val="en-GB"/>
        </w:rPr>
        <w:t>Ugovor</w:t>
      </w:r>
      <w:proofErr w:type="spellEnd"/>
      <w:r w:rsidR="00565BA0" w:rsidRPr="00B23E90">
        <w:rPr>
          <w:rFonts w:eastAsia="Times New Roman" w:cs="Times New Roman"/>
          <w:color w:val="000000"/>
          <w:sz w:val="24"/>
          <w:szCs w:val="24"/>
          <w:lang w:val="en-GB"/>
        </w:rPr>
        <w:t xml:space="preserve"> o </w:t>
      </w:r>
      <w:proofErr w:type="spellStart"/>
      <w:r w:rsidR="00565BA0" w:rsidRPr="00B23E90">
        <w:rPr>
          <w:rFonts w:eastAsia="Times New Roman" w:cs="Times New Roman"/>
          <w:color w:val="000000"/>
          <w:sz w:val="24"/>
          <w:szCs w:val="24"/>
          <w:lang w:val="en-GB"/>
        </w:rPr>
        <w:t>implementaciji</w:t>
      </w:r>
      <w:proofErr w:type="spellEnd"/>
      <w:r w:rsidR="00565BA0" w:rsidRPr="00B23E90">
        <w:rPr>
          <w:rFonts w:eastAsia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565BA0" w:rsidRPr="00B23E90">
        <w:rPr>
          <w:rFonts w:eastAsia="Times New Roman" w:cs="Times New Roman"/>
          <w:color w:val="000000"/>
          <w:sz w:val="24"/>
          <w:szCs w:val="24"/>
          <w:lang w:val="en-GB"/>
        </w:rPr>
        <w:t>Regionalnog</w:t>
      </w:r>
      <w:proofErr w:type="spellEnd"/>
      <w:r w:rsidR="00565BA0" w:rsidRPr="00B23E90">
        <w:rPr>
          <w:rFonts w:eastAsia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565BA0" w:rsidRPr="00B23E90">
        <w:rPr>
          <w:rFonts w:eastAsia="Times New Roman" w:cs="Times New Roman"/>
          <w:color w:val="000000"/>
          <w:sz w:val="24"/>
          <w:szCs w:val="24"/>
          <w:lang w:val="en-GB"/>
        </w:rPr>
        <w:t>stambenog</w:t>
      </w:r>
      <w:proofErr w:type="spellEnd"/>
      <w:r w:rsidR="00565BA0" w:rsidRPr="00B23E90">
        <w:rPr>
          <w:rFonts w:eastAsia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565BA0" w:rsidRPr="00B23E90">
        <w:rPr>
          <w:rFonts w:eastAsia="Times New Roman" w:cs="Times New Roman"/>
          <w:color w:val="000000"/>
          <w:sz w:val="24"/>
          <w:szCs w:val="24"/>
          <w:lang w:val="en-GB"/>
        </w:rPr>
        <w:t>programa</w:t>
      </w:r>
      <w:proofErr w:type="spellEnd"/>
      <w:r w:rsidR="00565BA0" w:rsidRPr="00B23E90">
        <w:rPr>
          <w:rFonts w:eastAsia="Times New Roman" w:cs="Times New Roman"/>
          <w:color w:val="000000"/>
          <w:sz w:val="24"/>
          <w:szCs w:val="24"/>
          <w:lang w:val="en-GB"/>
        </w:rPr>
        <w:t xml:space="preserve">- </w:t>
      </w:r>
      <w:proofErr w:type="spellStart"/>
      <w:r w:rsidR="00565BA0" w:rsidRPr="00B23E90">
        <w:rPr>
          <w:rFonts w:eastAsia="Times New Roman" w:cs="Times New Roman"/>
          <w:color w:val="000000"/>
          <w:sz w:val="24"/>
          <w:szCs w:val="24"/>
          <w:lang w:val="en-GB"/>
        </w:rPr>
        <w:t>nacionalnog</w:t>
      </w:r>
      <w:proofErr w:type="spellEnd"/>
      <w:r w:rsidR="00565BA0" w:rsidRPr="00B23E90">
        <w:rPr>
          <w:rFonts w:eastAsia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565BA0" w:rsidRPr="00B23E90">
        <w:rPr>
          <w:rFonts w:eastAsia="Times New Roman" w:cs="Times New Roman"/>
          <w:color w:val="000000"/>
          <w:sz w:val="24"/>
          <w:szCs w:val="24"/>
          <w:lang w:val="en-GB"/>
        </w:rPr>
        <w:t>stambenog</w:t>
      </w:r>
      <w:proofErr w:type="spellEnd"/>
      <w:r w:rsidR="00565BA0" w:rsidRPr="00B23E90">
        <w:rPr>
          <w:rFonts w:eastAsia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565BA0" w:rsidRPr="00B23E90">
        <w:rPr>
          <w:rFonts w:eastAsia="Times New Roman" w:cs="Times New Roman"/>
          <w:color w:val="000000"/>
          <w:sz w:val="24"/>
          <w:szCs w:val="24"/>
          <w:lang w:val="en-GB"/>
        </w:rPr>
        <w:t>programa</w:t>
      </w:r>
      <w:proofErr w:type="spellEnd"/>
      <w:r w:rsidR="00565BA0" w:rsidRPr="00B23E90">
        <w:rPr>
          <w:rFonts w:eastAsia="Times New Roman" w:cs="Times New Roman"/>
          <w:color w:val="000000"/>
          <w:sz w:val="24"/>
          <w:szCs w:val="24"/>
          <w:lang w:val="en-GB"/>
        </w:rPr>
        <w:t xml:space="preserve"> u </w:t>
      </w:r>
      <w:proofErr w:type="spellStart"/>
      <w:r w:rsidR="00565BA0" w:rsidRPr="00B23E90">
        <w:rPr>
          <w:rFonts w:eastAsia="Times New Roman" w:cs="Times New Roman"/>
          <w:color w:val="000000"/>
          <w:sz w:val="24"/>
          <w:szCs w:val="24"/>
          <w:lang w:val="en-GB"/>
        </w:rPr>
        <w:t>Crnoj</w:t>
      </w:r>
      <w:proofErr w:type="spellEnd"/>
      <w:r w:rsidR="00565BA0" w:rsidRPr="00B23E90">
        <w:rPr>
          <w:rFonts w:eastAsia="Times New Roman" w:cs="Times New Roman"/>
          <w:color w:val="000000"/>
          <w:sz w:val="24"/>
          <w:szCs w:val="24"/>
          <w:lang w:val="en-GB"/>
        </w:rPr>
        <w:t xml:space="preserve"> Gori </w:t>
      </w:r>
      <w:proofErr w:type="spellStart"/>
      <w:r w:rsidR="00565BA0" w:rsidRPr="00B23E90">
        <w:rPr>
          <w:rFonts w:eastAsia="Times New Roman" w:cs="Times New Roman"/>
          <w:color w:val="000000"/>
          <w:sz w:val="24"/>
          <w:szCs w:val="24"/>
          <w:lang w:val="en-GB"/>
        </w:rPr>
        <w:t>zaključen</w:t>
      </w:r>
      <w:proofErr w:type="spellEnd"/>
      <w:r w:rsidR="00565BA0" w:rsidRPr="00B23E90">
        <w:rPr>
          <w:rFonts w:eastAsia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565BA0" w:rsidRPr="00B23E90">
        <w:rPr>
          <w:rFonts w:eastAsia="Times New Roman" w:cs="Times New Roman"/>
          <w:color w:val="000000"/>
          <w:sz w:val="24"/>
          <w:szCs w:val="24"/>
          <w:lang w:val="en-GB"/>
        </w:rPr>
        <w:t>između</w:t>
      </w:r>
      <w:proofErr w:type="spellEnd"/>
      <w:r w:rsidR="00565BA0" w:rsidRPr="00B23E90">
        <w:rPr>
          <w:rFonts w:eastAsia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2D4D01" w:rsidRPr="00B23E90">
        <w:rPr>
          <w:rFonts w:eastAsia="Times New Roman" w:cs="Times New Roman"/>
          <w:color w:val="000000"/>
          <w:sz w:val="24"/>
          <w:szCs w:val="24"/>
          <w:lang w:val="en-GB"/>
        </w:rPr>
        <w:t>Ministarstva</w:t>
      </w:r>
      <w:proofErr w:type="spellEnd"/>
      <w:r w:rsidR="00460DC1" w:rsidRPr="00B23E90">
        <w:rPr>
          <w:rFonts w:eastAsia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460DC1" w:rsidRPr="00B23E90">
        <w:rPr>
          <w:rFonts w:eastAsia="Times New Roman" w:cs="Times New Roman"/>
          <w:color w:val="000000"/>
          <w:sz w:val="24"/>
          <w:szCs w:val="24"/>
          <w:lang w:val="en-GB"/>
        </w:rPr>
        <w:t>rada</w:t>
      </w:r>
      <w:proofErr w:type="spellEnd"/>
      <w:r w:rsidR="00460DC1" w:rsidRPr="00B23E90">
        <w:rPr>
          <w:rFonts w:eastAsia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460DC1" w:rsidRPr="00B23E90">
        <w:rPr>
          <w:rFonts w:eastAsia="Times New Roman" w:cs="Times New Roman"/>
          <w:color w:val="000000"/>
          <w:sz w:val="24"/>
          <w:szCs w:val="24"/>
          <w:lang w:val="en-GB"/>
        </w:rPr>
        <w:t>i</w:t>
      </w:r>
      <w:proofErr w:type="spellEnd"/>
      <w:r w:rsidR="00460DC1" w:rsidRPr="00B23E90">
        <w:rPr>
          <w:rFonts w:eastAsia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460DC1" w:rsidRPr="00B23E90">
        <w:rPr>
          <w:rFonts w:eastAsia="Times New Roman" w:cs="Times New Roman"/>
          <w:color w:val="000000"/>
          <w:sz w:val="24"/>
          <w:szCs w:val="24"/>
          <w:lang w:val="en-GB"/>
        </w:rPr>
        <w:t>socijalnog</w:t>
      </w:r>
      <w:proofErr w:type="spellEnd"/>
      <w:r w:rsidR="00460DC1" w:rsidRPr="00B23E90">
        <w:rPr>
          <w:rFonts w:eastAsia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460DC1" w:rsidRPr="00B23E90">
        <w:rPr>
          <w:rFonts w:eastAsia="Times New Roman" w:cs="Times New Roman"/>
          <w:color w:val="000000"/>
          <w:sz w:val="24"/>
          <w:szCs w:val="24"/>
          <w:lang w:val="en-GB"/>
        </w:rPr>
        <w:t>staranja</w:t>
      </w:r>
      <w:proofErr w:type="spellEnd"/>
      <w:r w:rsidR="00460DC1" w:rsidRPr="00B23E90">
        <w:rPr>
          <w:rFonts w:eastAsia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460DC1" w:rsidRPr="00B23E90">
        <w:rPr>
          <w:rFonts w:eastAsia="Times New Roman" w:cs="Times New Roman"/>
          <w:color w:val="000000"/>
          <w:sz w:val="24"/>
          <w:szCs w:val="24"/>
          <w:lang w:val="en-GB"/>
        </w:rPr>
        <w:t>Crne</w:t>
      </w:r>
      <w:proofErr w:type="spellEnd"/>
      <w:r w:rsidR="00460DC1" w:rsidRPr="00B23E90">
        <w:rPr>
          <w:rFonts w:eastAsia="Times New Roman" w:cs="Times New Roman"/>
          <w:color w:val="000000"/>
          <w:sz w:val="24"/>
          <w:szCs w:val="24"/>
          <w:lang w:val="en-GB"/>
        </w:rPr>
        <w:t xml:space="preserve"> Gore, </w:t>
      </w:r>
      <w:proofErr w:type="spellStart"/>
      <w:r w:rsidR="002D4D01" w:rsidRPr="00B23E90">
        <w:rPr>
          <w:rFonts w:eastAsia="Times New Roman" w:cs="Times New Roman"/>
          <w:color w:val="000000"/>
          <w:sz w:val="24"/>
          <w:szCs w:val="24"/>
          <w:lang w:val="en-GB"/>
        </w:rPr>
        <w:t>Ministarstva</w:t>
      </w:r>
      <w:proofErr w:type="spellEnd"/>
      <w:r w:rsidR="00A45B15" w:rsidRPr="00B23E90">
        <w:rPr>
          <w:rFonts w:eastAsia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A45B15" w:rsidRPr="00B23E90">
        <w:rPr>
          <w:rFonts w:eastAsia="Times New Roman" w:cs="Times New Roman"/>
          <w:color w:val="000000"/>
          <w:sz w:val="24"/>
          <w:szCs w:val="24"/>
          <w:lang w:val="en-GB"/>
        </w:rPr>
        <w:t>održivog</w:t>
      </w:r>
      <w:proofErr w:type="spellEnd"/>
      <w:r w:rsidR="00A45B15" w:rsidRPr="00B23E90">
        <w:rPr>
          <w:rFonts w:eastAsia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A45B15" w:rsidRPr="00B23E90">
        <w:rPr>
          <w:rFonts w:eastAsia="Times New Roman" w:cs="Times New Roman"/>
          <w:color w:val="000000"/>
          <w:sz w:val="24"/>
          <w:szCs w:val="24"/>
          <w:lang w:val="en-GB"/>
        </w:rPr>
        <w:t>razvoja</w:t>
      </w:r>
      <w:proofErr w:type="spellEnd"/>
      <w:r w:rsidR="00A45B15" w:rsidRPr="00B23E90">
        <w:rPr>
          <w:rFonts w:eastAsia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A45B15" w:rsidRPr="00B23E90">
        <w:rPr>
          <w:rFonts w:eastAsia="Times New Roman" w:cs="Times New Roman"/>
          <w:color w:val="000000"/>
          <w:sz w:val="24"/>
          <w:szCs w:val="24"/>
          <w:lang w:val="en-GB"/>
        </w:rPr>
        <w:t>i</w:t>
      </w:r>
      <w:proofErr w:type="spellEnd"/>
      <w:r w:rsidR="00A45B15" w:rsidRPr="00B23E90">
        <w:rPr>
          <w:rFonts w:eastAsia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A45B15" w:rsidRPr="00B23E90">
        <w:rPr>
          <w:rFonts w:eastAsia="Times New Roman" w:cs="Times New Roman"/>
          <w:color w:val="000000"/>
          <w:sz w:val="24"/>
          <w:szCs w:val="24"/>
          <w:lang w:val="en-GB"/>
        </w:rPr>
        <w:t>turizma</w:t>
      </w:r>
      <w:proofErr w:type="spellEnd"/>
      <w:r w:rsidR="00A45B15" w:rsidRPr="00B23E90">
        <w:rPr>
          <w:rFonts w:eastAsia="Times New Roman" w:cs="Times New Roman"/>
          <w:color w:val="000000"/>
          <w:sz w:val="24"/>
          <w:szCs w:val="24"/>
          <w:lang w:val="en-GB"/>
        </w:rPr>
        <w:t xml:space="preserve"> - </w:t>
      </w:r>
      <w:proofErr w:type="spellStart"/>
      <w:r w:rsidR="002D4D01" w:rsidRPr="00B23E90">
        <w:rPr>
          <w:rFonts w:eastAsia="Times New Roman" w:cs="Times New Roman"/>
          <w:color w:val="000000"/>
          <w:sz w:val="24"/>
          <w:szCs w:val="24"/>
          <w:lang w:val="en-GB"/>
        </w:rPr>
        <w:t>Direkcije</w:t>
      </w:r>
      <w:proofErr w:type="spellEnd"/>
      <w:r w:rsidR="00A45B15" w:rsidRPr="00B23E90">
        <w:rPr>
          <w:rFonts w:eastAsia="Times New Roman" w:cs="Times New Roman"/>
          <w:color w:val="000000"/>
          <w:sz w:val="24"/>
          <w:szCs w:val="24"/>
          <w:lang w:val="en-GB"/>
        </w:rPr>
        <w:t xml:space="preserve"> javnih  radova</w:t>
      </w:r>
      <w:r w:rsidR="002D4D01" w:rsidRPr="00B23E90">
        <w:rPr>
          <w:rFonts w:eastAsia="Times New Roman" w:cs="Times New Roman"/>
          <w:b/>
          <w:color w:val="000000"/>
          <w:sz w:val="24"/>
          <w:szCs w:val="24"/>
          <w:lang w:val="en-GB"/>
        </w:rPr>
        <w:t xml:space="preserve"> </w:t>
      </w:r>
      <w:proofErr w:type="spellStart"/>
      <w:r w:rsidR="002D4D01" w:rsidRPr="001F1DE5">
        <w:rPr>
          <w:rFonts w:eastAsia="Times New Roman" w:cs="Times New Roman"/>
          <w:color w:val="000000"/>
          <w:sz w:val="24"/>
          <w:szCs w:val="24"/>
          <w:lang w:val="en-GB"/>
        </w:rPr>
        <w:t>i</w:t>
      </w:r>
      <w:proofErr w:type="spellEnd"/>
      <w:r w:rsidR="002D4D01" w:rsidRPr="00B23E90">
        <w:rPr>
          <w:rFonts w:eastAsia="Times New Roman" w:cs="Times New Roman"/>
          <w:b/>
          <w:color w:val="000000"/>
          <w:sz w:val="24"/>
          <w:szCs w:val="24"/>
          <w:lang w:val="en-GB"/>
        </w:rPr>
        <w:t xml:space="preserve"> </w:t>
      </w:r>
      <w:proofErr w:type="spellStart"/>
      <w:r w:rsidR="001F1DE5">
        <w:rPr>
          <w:rFonts w:eastAsia="Calibri" w:cs="Times New Roman"/>
          <w:sz w:val="24"/>
          <w:szCs w:val="24"/>
          <w:lang w:val="en-GB"/>
        </w:rPr>
        <w:t>Opštine</w:t>
      </w:r>
      <w:proofErr w:type="spellEnd"/>
      <w:r w:rsidR="001F1DE5">
        <w:rPr>
          <w:rFonts w:eastAsia="Calibri" w:cs="Times New Roman"/>
          <w:sz w:val="24"/>
          <w:szCs w:val="24"/>
          <w:lang w:val="en-GB"/>
        </w:rPr>
        <w:t xml:space="preserve"> </w:t>
      </w:r>
      <w:proofErr w:type="spellStart"/>
      <w:r w:rsidR="001F1DE5">
        <w:rPr>
          <w:rFonts w:eastAsia="Calibri" w:cs="Times New Roman"/>
          <w:sz w:val="24"/>
          <w:szCs w:val="24"/>
          <w:lang w:val="en-GB"/>
        </w:rPr>
        <w:t>Herceg</w:t>
      </w:r>
      <w:proofErr w:type="spellEnd"/>
      <w:r w:rsidR="001F1DE5">
        <w:rPr>
          <w:rFonts w:eastAsia="Calibri" w:cs="Times New Roman"/>
          <w:sz w:val="24"/>
          <w:szCs w:val="24"/>
          <w:lang w:val="en-GB"/>
        </w:rPr>
        <w:t xml:space="preserve"> Novi</w:t>
      </w:r>
      <w:r w:rsidR="002D4D01" w:rsidRPr="00B23E90">
        <w:rPr>
          <w:rFonts w:eastAsia="Calibri" w:cs="Times New Roman"/>
          <w:sz w:val="24"/>
          <w:szCs w:val="24"/>
          <w:lang w:val="en-GB"/>
        </w:rPr>
        <w:t>.</w:t>
      </w:r>
    </w:p>
    <w:p w14:paraId="6ADD9B2A" w14:textId="4B8D7800" w:rsidR="00EB09EA" w:rsidRPr="00B23E90" w:rsidRDefault="00EB09EA" w:rsidP="0047122F">
      <w:pPr>
        <w:spacing w:before="60" w:after="60" w:line="240" w:lineRule="auto"/>
        <w:jc w:val="both"/>
        <w:rPr>
          <w:rFonts w:eastAsia="Times New Roman" w:cs="Times New Roman"/>
          <w:color w:val="000000"/>
          <w:sz w:val="24"/>
          <w:szCs w:val="24"/>
          <w:lang w:val="uz-Cyrl-UZ"/>
        </w:rPr>
      </w:pPr>
    </w:p>
    <w:p w14:paraId="6B8CCDCD" w14:textId="77777777" w:rsidR="00B23E90" w:rsidRPr="00B23E90" w:rsidRDefault="00B23E90" w:rsidP="00B23E90">
      <w:pPr>
        <w:spacing w:before="60" w:after="6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B23E90">
        <w:rPr>
          <w:rFonts w:eastAsia="Times New Roman" w:cs="Times New Roman"/>
          <w:color w:val="000000"/>
          <w:sz w:val="24"/>
          <w:szCs w:val="24"/>
        </w:rPr>
        <w:t>"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Zajednički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regionalni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program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trajnih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rješenja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za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izbjeglice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i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raseljena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lica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",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poznat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kao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"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Regionalni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stambeni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projekat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" (RHP)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zajednička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je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inicijativa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Bosne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i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Hercegovine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Hrvatske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Crne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Gore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i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Srbije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("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Partnerskih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zemalja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").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Cilj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ove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regionalne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inicijative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je da se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doprinese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rješavanju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stanja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dugotrajnog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raseljenja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najranjivijih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izbjeglica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i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raseljenih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lica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(RL)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nakon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konfliktnog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perioda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gramStart"/>
      <w:r w:rsidRPr="00B23E90">
        <w:rPr>
          <w:rFonts w:eastAsia="Times New Roman" w:cs="Times New Roman"/>
          <w:color w:val="000000"/>
          <w:sz w:val="24"/>
          <w:szCs w:val="24"/>
        </w:rPr>
        <w:t>od</w:t>
      </w:r>
      <w:proofErr w:type="gramEnd"/>
      <w:r w:rsidRPr="00B23E90">
        <w:rPr>
          <w:rFonts w:eastAsia="Times New Roman" w:cs="Times New Roman"/>
          <w:color w:val="000000"/>
          <w:sz w:val="24"/>
          <w:szCs w:val="24"/>
        </w:rPr>
        <w:t xml:space="preserve"> 1991 - 1995. </w:t>
      </w:r>
      <w:proofErr w:type="spellStart"/>
      <w:proofErr w:type="gramStart"/>
      <w:r w:rsidRPr="00B23E90">
        <w:rPr>
          <w:rFonts w:eastAsia="Times New Roman" w:cs="Times New Roman"/>
          <w:color w:val="000000"/>
          <w:sz w:val="24"/>
          <w:szCs w:val="24"/>
        </w:rPr>
        <w:t>godine</w:t>
      </w:r>
      <w:proofErr w:type="spellEnd"/>
      <w:proofErr w:type="gram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na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teritoriji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bivše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Jugoslavije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uključujući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interno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raseljena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lica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(IRL) u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Crnoj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Gori od 1999. </w:t>
      </w:r>
      <w:proofErr w:type="spellStart"/>
      <w:proofErr w:type="gramStart"/>
      <w:r w:rsidRPr="00B23E90">
        <w:rPr>
          <w:rFonts w:eastAsia="Times New Roman" w:cs="Times New Roman"/>
          <w:color w:val="000000"/>
          <w:sz w:val="24"/>
          <w:szCs w:val="24"/>
        </w:rPr>
        <w:t>godine</w:t>
      </w:r>
      <w:proofErr w:type="spellEnd"/>
      <w:proofErr w:type="gramEnd"/>
      <w:r w:rsidRPr="00B23E90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tako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što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će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im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se,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između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ostalog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obezbijediti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trajna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stambena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rješenja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. RHP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ima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za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cilj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da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pomogne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blizu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74.000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ljudi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odnosno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27.000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domaćinstava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, a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cijena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ovoga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procjenjuje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se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na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približno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584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miliona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eura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za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petogodišnji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period. RHP se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sastoji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B23E90">
        <w:rPr>
          <w:rFonts w:eastAsia="Times New Roman" w:cs="Times New Roman"/>
          <w:color w:val="000000"/>
          <w:sz w:val="24"/>
          <w:szCs w:val="24"/>
        </w:rPr>
        <w:t>od</w:t>
      </w:r>
      <w:proofErr w:type="spellEnd"/>
      <w:proofErr w:type="gram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četiri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stambena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projekta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zemalja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po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jedan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za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svaku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Projektnu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zemlju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koje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svaka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relevantna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Projektna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zemlja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pojedinačno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realizuje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kroz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nekoliko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podprojekata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i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faza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>.  </w:t>
      </w:r>
    </w:p>
    <w:p w14:paraId="13C01056" w14:textId="77777777" w:rsidR="00B23E90" w:rsidRPr="00B23E90" w:rsidRDefault="00B23E90" w:rsidP="00B23E90">
      <w:pPr>
        <w:spacing w:before="60" w:after="6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4A3F6538" w14:textId="77777777" w:rsidR="00B23E90" w:rsidRPr="00B23E90" w:rsidRDefault="00B23E90" w:rsidP="00B23E90">
      <w:pPr>
        <w:spacing w:before="60" w:after="6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B23E90">
        <w:rPr>
          <w:rFonts w:eastAsia="Times New Roman" w:cs="Times New Roman"/>
          <w:color w:val="000000"/>
          <w:sz w:val="24"/>
          <w:szCs w:val="24"/>
        </w:rPr>
        <w:t xml:space="preserve">U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Crnoj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Gori, </w:t>
      </w:r>
      <w:proofErr w:type="gramStart"/>
      <w:r w:rsidRPr="00B23E90">
        <w:rPr>
          <w:rFonts w:eastAsia="Times New Roman" w:cs="Times New Roman"/>
          <w:color w:val="000000"/>
          <w:sz w:val="24"/>
          <w:szCs w:val="24"/>
        </w:rPr>
        <w:t>od</w:t>
      </w:r>
      <w:proofErr w:type="gram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Regionalnog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stambenog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programa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se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očekuje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da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pruži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trajna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stambena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rješenja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za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nekoliko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kategorija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ranjivih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interno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raseljenih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i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raseljenih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lica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kroz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lokalnu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integraciju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u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njihovim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mjestima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raseljenja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ili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u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okviru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institucija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socijalnog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zbrinjavanja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.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Ukupno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, 1.777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domaćinstava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(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odnosno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6.063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pojedinca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)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predstavlja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ciljnu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grupu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Regionalnog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stambenog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projekta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, a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istima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B23E90">
        <w:rPr>
          <w:rFonts w:eastAsia="Times New Roman" w:cs="Times New Roman"/>
          <w:color w:val="000000"/>
          <w:sz w:val="24"/>
          <w:szCs w:val="24"/>
        </w:rPr>
        <w:t>će</w:t>
      </w:r>
      <w:proofErr w:type="spellEnd"/>
      <w:proofErr w:type="gram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biti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obezbijeđena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trajna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stambena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rješenja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kroz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lokalnu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integraciju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u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njihovim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mjestima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raseljenja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>. </w:t>
      </w:r>
    </w:p>
    <w:p w14:paraId="7D1AF519" w14:textId="77777777" w:rsidR="00B23E90" w:rsidRPr="00B23E90" w:rsidRDefault="00B23E90" w:rsidP="00B23E90">
      <w:pPr>
        <w:spacing w:before="60" w:after="6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57A52E4F" w14:textId="62892519" w:rsidR="00B23E90" w:rsidRPr="0047122F" w:rsidRDefault="00B23E90" w:rsidP="00B23E90">
      <w:pPr>
        <w:spacing w:before="60" w:after="60" w:line="240" w:lineRule="auto"/>
        <w:jc w:val="both"/>
        <w:rPr>
          <w:rFonts w:eastAsia="Times New Roman" w:cs="Times New Roman"/>
          <w:color w:val="000000"/>
          <w:sz w:val="24"/>
          <w:szCs w:val="24"/>
          <w:lang w:val="uz-Cyrl-UZ"/>
        </w:rPr>
      </w:pPr>
      <w:proofErr w:type="spellStart"/>
      <w:proofErr w:type="gramStart"/>
      <w:r w:rsidRPr="00B23E90">
        <w:rPr>
          <w:rFonts w:eastAsia="Times New Roman" w:cs="Times New Roman"/>
          <w:color w:val="000000"/>
          <w:sz w:val="24"/>
          <w:szCs w:val="24"/>
        </w:rPr>
        <w:t>Cilj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Poziv</w:t>
      </w:r>
      <w:r w:rsidR="00AB6203">
        <w:rPr>
          <w:rFonts w:eastAsia="Times New Roman" w:cs="Times New Roman"/>
          <w:color w:val="000000"/>
          <w:sz w:val="24"/>
          <w:szCs w:val="24"/>
        </w:rPr>
        <w:t>a</w:t>
      </w:r>
      <w:proofErr w:type="spellEnd"/>
      <w:r w:rsidR="00AB6203">
        <w:rPr>
          <w:rFonts w:eastAsia="Times New Roman" w:cs="Times New Roman"/>
          <w:color w:val="000000"/>
          <w:sz w:val="24"/>
          <w:szCs w:val="24"/>
        </w:rPr>
        <w:t xml:space="preserve"> je </w:t>
      </w:r>
      <w:proofErr w:type="spellStart"/>
      <w:r w:rsidR="00AB6203">
        <w:rPr>
          <w:rFonts w:eastAsia="Times New Roman" w:cs="Times New Roman"/>
          <w:color w:val="000000"/>
          <w:sz w:val="24"/>
          <w:szCs w:val="24"/>
        </w:rPr>
        <w:t>kupovina</w:t>
      </w:r>
      <w:proofErr w:type="spellEnd"/>
      <w:r w:rsidR="00AB6203">
        <w:rPr>
          <w:rFonts w:eastAsia="Times New Roman" w:cs="Times New Roman"/>
          <w:color w:val="000000"/>
          <w:sz w:val="24"/>
          <w:szCs w:val="24"/>
        </w:rPr>
        <w:t xml:space="preserve"> 36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stanova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u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Opštini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Herceg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Novi </w:t>
      </w:r>
      <w:r w:rsidRPr="00B23E90">
        <w:rPr>
          <w:rFonts w:eastAsia="Times New Roman" w:cs="Times New Roman"/>
          <w:color w:val="000000"/>
          <w:sz w:val="24"/>
          <w:szCs w:val="24"/>
        </w:rPr>
        <w:t xml:space="preserve">u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svrhu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AB6203">
        <w:rPr>
          <w:rFonts w:eastAsia="Times New Roman" w:cs="Times New Roman"/>
          <w:color w:val="000000"/>
          <w:sz w:val="24"/>
          <w:szCs w:val="24"/>
        </w:rPr>
        <w:t>stambenog</w:t>
      </w:r>
      <w:proofErr w:type="spellEnd"/>
      <w:r w:rsidR="00AB6203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AB6203">
        <w:rPr>
          <w:rFonts w:eastAsia="Times New Roman" w:cs="Times New Roman"/>
          <w:color w:val="000000"/>
          <w:sz w:val="24"/>
          <w:szCs w:val="24"/>
        </w:rPr>
        <w:t>zbrinjavanja</w:t>
      </w:r>
      <w:proofErr w:type="spellEnd"/>
      <w:r w:rsidR="00AB6203">
        <w:rPr>
          <w:rFonts w:eastAsia="Times New Roman" w:cs="Times New Roman"/>
          <w:color w:val="000000"/>
          <w:sz w:val="24"/>
          <w:szCs w:val="24"/>
        </w:rPr>
        <w:t xml:space="preserve"> 36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porodica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>.</w:t>
      </w:r>
      <w:proofErr w:type="gram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Stanovi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B23E90">
        <w:rPr>
          <w:rFonts w:eastAsia="Times New Roman" w:cs="Times New Roman"/>
          <w:color w:val="000000"/>
          <w:sz w:val="24"/>
          <w:szCs w:val="24"/>
        </w:rPr>
        <w:t>će</w:t>
      </w:r>
      <w:proofErr w:type="spellEnd"/>
      <w:proofErr w:type="gramEnd"/>
      <w:r w:rsidRPr="00B23E90">
        <w:rPr>
          <w:rFonts w:eastAsia="Times New Roman" w:cs="Times New Roman"/>
          <w:color w:val="000000"/>
          <w:sz w:val="24"/>
          <w:szCs w:val="24"/>
        </w:rPr>
        <w:t xml:space="preserve"> se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kupiti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od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zajedničkih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finansijskih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sredstava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RHP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fonda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i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nacionalnog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23E90">
        <w:rPr>
          <w:rFonts w:eastAsia="Times New Roman" w:cs="Times New Roman"/>
          <w:color w:val="000000"/>
          <w:sz w:val="24"/>
          <w:szCs w:val="24"/>
        </w:rPr>
        <w:t>sufinansiranja</w:t>
      </w:r>
      <w:proofErr w:type="spellEnd"/>
      <w:r w:rsidRPr="00B23E90">
        <w:rPr>
          <w:rFonts w:eastAsia="Times New Roman" w:cs="Times New Roman"/>
          <w:color w:val="000000"/>
          <w:sz w:val="24"/>
          <w:szCs w:val="24"/>
        </w:rPr>
        <w:t>.</w:t>
      </w:r>
    </w:p>
    <w:p w14:paraId="72B120A7" w14:textId="0B958C10" w:rsidR="00EB09EA" w:rsidRPr="0047122F" w:rsidRDefault="005D7A00" w:rsidP="005D7A00">
      <w:pPr>
        <w:pStyle w:val="ListParagraph"/>
        <w:numPr>
          <w:ilvl w:val="0"/>
          <w:numId w:val="9"/>
        </w:numPr>
        <w:spacing w:before="240" w:after="120" w:line="240" w:lineRule="auto"/>
        <w:contextualSpacing w:val="0"/>
        <w:jc w:val="both"/>
        <w:rPr>
          <w:rFonts w:eastAsia="Times New Roman" w:cs="Times New Roman"/>
          <w:color w:val="000000"/>
          <w:sz w:val="24"/>
          <w:szCs w:val="24"/>
          <w:lang w:val="uz-Cyrl-UZ"/>
        </w:rPr>
      </w:pPr>
      <w:r w:rsidRPr="0047122F">
        <w:rPr>
          <w:rFonts w:eastAsia="Times New Roman" w:cs="Times New Roman"/>
          <w:b/>
          <w:color w:val="000000"/>
          <w:sz w:val="24"/>
          <w:szCs w:val="24"/>
          <w:lang w:val="uz-Cyrl-UZ"/>
        </w:rPr>
        <w:t>BROJ PUBLIKACIJE</w:t>
      </w:r>
      <w:r w:rsidRPr="0047122F">
        <w:rPr>
          <w:rFonts w:eastAsia="Times New Roman" w:cs="Times New Roman"/>
          <w:color w:val="000000"/>
          <w:sz w:val="24"/>
          <w:szCs w:val="24"/>
          <w:lang w:val="uz-Cyrl-UZ"/>
        </w:rPr>
        <w:t xml:space="preserve">: </w:t>
      </w:r>
      <w:r w:rsidR="00C3584E" w:rsidRPr="0047122F">
        <w:rPr>
          <w:rFonts w:eastAsia="Times New Roman" w:cs="Times New Roman"/>
          <w:color w:val="000000"/>
          <w:sz w:val="24"/>
          <w:szCs w:val="24"/>
          <w:lang w:val="uz-Cyrl-UZ"/>
        </w:rPr>
        <w:t xml:space="preserve">RHP </w:t>
      </w:r>
      <w:r w:rsidR="00EB09EA" w:rsidRPr="0047122F">
        <w:rPr>
          <w:rFonts w:eastAsia="Times New Roman" w:cs="Times New Roman"/>
          <w:color w:val="000000"/>
          <w:sz w:val="24"/>
          <w:szCs w:val="24"/>
          <w:lang w:val="uz-Cyrl-UZ"/>
        </w:rPr>
        <w:t xml:space="preserve">MNE7 – Kupovina stanova </w:t>
      </w:r>
      <w:r w:rsidR="00950072" w:rsidRPr="0047122F">
        <w:rPr>
          <w:rFonts w:eastAsia="Times New Roman" w:cs="Times New Roman"/>
          <w:color w:val="000000"/>
          <w:sz w:val="24"/>
          <w:szCs w:val="24"/>
          <w:lang w:val="uz-Cyrl-UZ"/>
        </w:rPr>
        <w:t xml:space="preserve">na </w:t>
      </w:r>
      <w:r w:rsidR="00EB09EA" w:rsidRPr="0047122F">
        <w:rPr>
          <w:rFonts w:eastAsia="Times New Roman" w:cs="Times New Roman"/>
          <w:color w:val="000000"/>
          <w:sz w:val="24"/>
          <w:szCs w:val="24"/>
          <w:lang w:val="uz-Cyrl-UZ"/>
        </w:rPr>
        <w:t xml:space="preserve"> teritoriji opštine Herceg Novi</w:t>
      </w:r>
      <w:r w:rsidR="00C16624" w:rsidRPr="0047122F">
        <w:rPr>
          <w:rFonts w:eastAsia="Times New Roman" w:cs="Times New Roman"/>
          <w:color w:val="000000"/>
          <w:sz w:val="24"/>
          <w:szCs w:val="24"/>
          <w:lang w:val="uz-Cyrl-UZ"/>
        </w:rPr>
        <w:t xml:space="preserve"> </w:t>
      </w:r>
      <w:r w:rsidR="00950072" w:rsidRPr="0047122F">
        <w:rPr>
          <w:rFonts w:eastAsia="Times New Roman" w:cs="Times New Roman"/>
          <w:color w:val="000000"/>
          <w:sz w:val="24"/>
          <w:szCs w:val="24"/>
          <w:lang w:val="uz-Cyrl-UZ"/>
        </w:rPr>
        <w:t xml:space="preserve">u okviru Regionalnog stambenog </w:t>
      </w:r>
      <w:r w:rsidR="00BE0C85" w:rsidRPr="0047122F">
        <w:rPr>
          <w:rFonts w:eastAsia="Times New Roman" w:cs="Times New Roman"/>
          <w:color w:val="000000"/>
          <w:sz w:val="24"/>
          <w:szCs w:val="24"/>
          <w:lang w:val="uz-Cyrl-UZ"/>
        </w:rPr>
        <w:t>programa</w:t>
      </w:r>
      <w:r w:rsidR="00950072" w:rsidRPr="0047122F">
        <w:rPr>
          <w:rFonts w:eastAsia="Times New Roman" w:cs="Times New Roman"/>
          <w:color w:val="000000"/>
          <w:sz w:val="24"/>
          <w:szCs w:val="24"/>
          <w:lang w:val="uz-Cyrl-UZ"/>
        </w:rPr>
        <w:t>/Program stambenog zbrinjavanja u Crnoj Gori</w:t>
      </w:r>
    </w:p>
    <w:p w14:paraId="4B3351C3" w14:textId="067C466D" w:rsidR="00AE5D7B" w:rsidRPr="0047122F" w:rsidRDefault="00BE0C85" w:rsidP="005D7A00">
      <w:pPr>
        <w:spacing w:after="360"/>
        <w:jc w:val="both"/>
        <w:rPr>
          <w:sz w:val="24"/>
          <w:szCs w:val="24"/>
          <w:lang w:val="uz-Cyrl-UZ"/>
        </w:rPr>
      </w:pPr>
      <w:r w:rsidRPr="0047122F">
        <w:rPr>
          <w:sz w:val="24"/>
          <w:szCs w:val="24"/>
          <w:lang w:val="uz-Cyrl-UZ"/>
        </w:rPr>
        <w:t>U skladu sa g</w:t>
      </w:r>
      <w:r w:rsidR="004C6A55">
        <w:rPr>
          <w:sz w:val="24"/>
          <w:szCs w:val="24"/>
          <w:lang w:val="uz-Cyrl-UZ"/>
        </w:rPr>
        <w:t>ore navedenim podacima, Uprava javnih radova (u daljem tekstu UJR</w:t>
      </w:r>
      <w:r w:rsidR="0047122F">
        <w:rPr>
          <w:sz w:val="24"/>
          <w:szCs w:val="24"/>
          <w:lang w:val="uz-Cyrl-UZ"/>
        </w:rPr>
        <w:t>)</w:t>
      </w:r>
      <w:r w:rsidR="00AE5D7B" w:rsidRPr="0047122F">
        <w:rPr>
          <w:sz w:val="24"/>
          <w:szCs w:val="24"/>
          <w:lang w:val="uz-Cyrl-UZ"/>
        </w:rPr>
        <w:t xml:space="preserve"> raspisuje</w:t>
      </w:r>
    </w:p>
    <w:p w14:paraId="13643CB5" w14:textId="77777777" w:rsidR="00E9797D" w:rsidRPr="0047122F" w:rsidRDefault="00AE5D7B" w:rsidP="0047122F">
      <w:pPr>
        <w:jc w:val="center"/>
        <w:rPr>
          <w:b/>
          <w:i/>
          <w:sz w:val="36"/>
          <w:szCs w:val="36"/>
          <w:lang w:val="uz-Cyrl-UZ"/>
        </w:rPr>
      </w:pPr>
      <w:r w:rsidRPr="0047122F">
        <w:rPr>
          <w:b/>
          <w:i/>
          <w:sz w:val="36"/>
          <w:szCs w:val="36"/>
          <w:lang w:val="uz-Cyrl-UZ"/>
        </w:rPr>
        <w:t>JAVNI POZIV</w:t>
      </w:r>
    </w:p>
    <w:p w14:paraId="686C0B86" w14:textId="50674D17" w:rsidR="0047122F" w:rsidRDefault="008D5C87" w:rsidP="0047122F">
      <w:pPr>
        <w:jc w:val="center"/>
        <w:rPr>
          <w:b/>
          <w:i/>
          <w:sz w:val="28"/>
          <w:szCs w:val="28"/>
          <w:lang w:val="uz-Cyrl-UZ"/>
        </w:rPr>
      </w:pPr>
      <w:r w:rsidRPr="0047122F">
        <w:rPr>
          <w:b/>
          <w:i/>
          <w:sz w:val="28"/>
          <w:szCs w:val="28"/>
          <w:lang w:val="uz-Cyrl-UZ"/>
        </w:rPr>
        <w:t>za prikupljanje ponuda za kupovinu gotovih stanova</w:t>
      </w:r>
      <w:r w:rsidR="003D2CC9" w:rsidRPr="0047122F">
        <w:rPr>
          <w:b/>
          <w:i/>
          <w:sz w:val="28"/>
          <w:szCs w:val="28"/>
          <w:lang w:val="uz-Cyrl-UZ"/>
        </w:rPr>
        <w:t xml:space="preserve"> na području</w:t>
      </w:r>
    </w:p>
    <w:p w14:paraId="0779AA19" w14:textId="1402F46A" w:rsidR="008D5C87" w:rsidRPr="0047122F" w:rsidRDefault="003D2CC9" w:rsidP="005D7A00">
      <w:pPr>
        <w:spacing w:after="360"/>
        <w:jc w:val="center"/>
        <w:rPr>
          <w:b/>
          <w:i/>
          <w:sz w:val="28"/>
          <w:szCs w:val="28"/>
          <w:lang w:val="uz-Cyrl-UZ"/>
        </w:rPr>
      </w:pPr>
      <w:r w:rsidRPr="0047122F">
        <w:rPr>
          <w:b/>
          <w:i/>
          <w:sz w:val="28"/>
          <w:szCs w:val="28"/>
          <w:lang w:val="uz-Cyrl-UZ"/>
        </w:rPr>
        <w:t>Opštine Herceg Novi</w:t>
      </w:r>
    </w:p>
    <w:p w14:paraId="617F395A" w14:textId="13B56DA3" w:rsidR="008D5C87" w:rsidRPr="0047122F" w:rsidRDefault="005D7A00" w:rsidP="005D7A00">
      <w:pPr>
        <w:pStyle w:val="ListParagraph"/>
        <w:numPr>
          <w:ilvl w:val="0"/>
          <w:numId w:val="9"/>
        </w:numPr>
        <w:spacing w:after="120"/>
        <w:contextualSpacing w:val="0"/>
        <w:jc w:val="both"/>
        <w:rPr>
          <w:b/>
          <w:sz w:val="24"/>
          <w:szCs w:val="24"/>
          <w:lang w:val="uz-Cyrl-UZ"/>
        </w:rPr>
      </w:pPr>
      <w:r w:rsidRPr="0047122F">
        <w:rPr>
          <w:b/>
          <w:sz w:val="24"/>
          <w:szCs w:val="24"/>
          <w:lang w:val="uz-Cyrl-UZ"/>
        </w:rPr>
        <w:t>PREDMET KUPOVINE:</w:t>
      </w:r>
    </w:p>
    <w:p w14:paraId="68C81B58" w14:textId="76BA21BC" w:rsidR="00256966" w:rsidRPr="0047122F" w:rsidRDefault="004C6A55" w:rsidP="0047122F">
      <w:pPr>
        <w:jc w:val="both"/>
        <w:rPr>
          <w:sz w:val="24"/>
          <w:szCs w:val="24"/>
          <w:lang w:val="uz-Cyrl-UZ"/>
        </w:rPr>
      </w:pPr>
      <w:proofErr w:type="spellStart"/>
      <w:r>
        <w:rPr>
          <w:rFonts w:eastAsia="Times New Roman" w:cs="Times New Roman"/>
          <w:color w:val="000000"/>
          <w:sz w:val="24"/>
          <w:szCs w:val="24"/>
          <w:lang w:val="en-GB"/>
        </w:rPr>
        <w:t>Uprava</w:t>
      </w:r>
      <w:proofErr w:type="spellEnd"/>
      <w:r>
        <w:rPr>
          <w:rFonts w:eastAsia="Times New Roman" w:cs="Times New Roman"/>
          <w:color w:val="000000"/>
          <w:sz w:val="24"/>
          <w:szCs w:val="24"/>
          <w:lang w:val="en-GB"/>
        </w:rPr>
        <w:t xml:space="preserve"> javnih radova</w:t>
      </w:r>
      <w:r w:rsidR="00D83104" w:rsidRPr="002D4D01">
        <w:rPr>
          <w:rFonts w:eastAsia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D83104" w:rsidRPr="002D4D01">
        <w:rPr>
          <w:rFonts w:eastAsia="Times New Roman" w:cs="Times New Roman"/>
          <w:color w:val="000000"/>
          <w:sz w:val="24"/>
          <w:szCs w:val="24"/>
          <w:lang w:val="en-GB"/>
        </w:rPr>
        <w:t>radova</w:t>
      </w:r>
      <w:proofErr w:type="spellEnd"/>
      <w:r w:rsidR="008D5C87" w:rsidRPr="0047122F">
        <w:rPr>
          <w:sz w:val="24"/>
          <w:szCs w:val="24"/>
          <w:lang w:val="uz-Cyrl-UZ"/>
        </w:rPr>
        <w:t xml:space="preserve"> prikuplja ponude za kupovinu gotovih </w:t>
      </w:r>
      <w:r w:rsidR="00236F50" w:rsidRPr="0047122F">
        <w:rPr>
          <w:sz w:val="24"/>
          <w:szCs w:val="24"/>
          <w:lang w:val="uz-Cyrl-UZ"/>
        </w:rPr>
        <w:t xml:space="preserve">36 (tridest šest) </w:t>
      </w:r>
      <w:r w:rsidR="008D5C87" w:rsidRPr="0047122F">
        <w:rPr>
          <w:sz w:val="24"/>
          <w:szCs w:val="24"/>
          <w:lang w:val="uz-Cyrl-UZ"/>
        </w:rPr>
        <w:t>stanova na području Opštine Herceg Novi</w:t>
      </w:r>
      <w:r w:rsidR="00BE0C85" w:rsidRPr="0047122F">
        <w:rPr>
          <w:sz w:val="24"/>
          <w:szCs w:val="24"/>
          <w:lang w:val="uz-Cyrl-UZ"/>
        </w:rPr>
        <w:t xml:space="preserve"> u okviru Regionalnog stambenog programa/Program stambenog zbrinjavanja u Crnoj Gori.</w:t>
      </w:r>
    </w:p>
    <w:p w14:paraId="5FCDDD27" w14:textId="77777777" w:rsidR="00E9797D" w:rsidRPr="0047122F" w:rsidRDefault="00256966" w:rsidP="0047122F">
      <w:pPr>
        <w:jc w:val="both"/>
        <w:rPr>
          <w:sz w:val="24"/>
          <w:szCs w:val="24"/>
          <w:lang w:val="uz-Cyrl-UZ"/>
        </w:rPr>
      </w:pPr>
      <w:r w:rsidRPr="0047122F">
        <w:rPr>
          <w:sz w:val="24"/>
          <w:szCs w:val="24"/>
          <w:lang w:val="uz-Cyrl-UZ"/>
        </w:rPr>
        <w:t xml:space="preserve">Definisane </w:t>
      </w:r>
      <w:r w:rsidR="00B60873" w:rsidRPr="0047122F">
        <w:rPr>
          <w:sz w:val="24"/>
          <w:szCs w:val="24"/>
          <w:lang w:val="uz-Cyrl-UZ"/>
        </w:rPr>
        <w:t xml:space="preserve">neto </w:t>
      </w:r>
      <w:r w:rsidRPr="0047122F">
        <w:rPr>
          <w:sz w:val="24"/>
          <w:szCs w:val="24"/>
          <w:lang w:val="uz-Cyrl-UZ"/>
        </w:rPr>
        <w:t>površine stanova koji se kupuju su</w:t>
      </w:r>
      <w:r w:rsidR="00BC757C" w:rsidRPr="0047122F">
        <w:rPr>
          <w:sz w:val="24"/>
          <w:szCs w:val="24"/>
          <w:lang w:val="uz-Cyrl-UZ"/>
        </w:rPr>
        <w:t xml:space="preserve"> u skladu </w:t>
      </w:r>
      <w:r w:rsidR="00236F50" w:rsidRPr="0047122F">
        <w:rPr>
          <w:sz w:val="24"/>
          <w:szCs w:val="24"/>
          <w:lang w:val="uz-Cyrl-UZ"/>
        </w:rPr>
        <w:t>sa Zakonom o socijalnom stanovanju</w:t>
      </w:r>
      <w:r w:rsidR="00C00744" w:rsidRPr="0047122F">
        <w:rPr>
          <w:sz w:val="24"/>
          <w:szCs w:val="24"/>
          <w:lang w:val="uz-Cyrl-UZ"/>
        </w:rPr>
        <w:t xml:space="preserve"> </w:t>
      </w:r>
      <w:r w:rsidR="00C00744" w:rsidRPr="0047122F">
        <w:rPr>
          <w:rFonts w:ascii="Calibri" w:hAnsi="Calibri" w:cs="Calibri"/>
          <w:spacing w:val="-2"/>
          <w:sz w:val="24"/>
          <w:szCs w:val="24"/>
          <w:lang w:val="uz-Cyrl-UZ"/>
        </w:rPr>
        <w:t>(</w:t>
      </w:r>
      <w:r w:rsidR="00E83322" w:rsidRPr="0047122F">
        <w:rPr>
          <w:rFonts w:ascii="Calibri" w:hAnsi="Calibri"/>
          <w:sz w:val="24"/>
          <w:szCs w:val="24"/>
          <w:lang w:val="uz-Cyrl-UZ"/>
        </w:rPr>
        <w:t>"Službeni list Crne Gore", br. 035/2013)</w:t>
      </w:r>
      <w:r w:rsidR="00236F50" w:rsidRPr="0047122F">
        <w:rPr>
          <w:sz w:val="24"/>
          <w:szCs w:val="24"/>
          <w:lang w:val="uz-Cyrl-UZ"/>
        </w:rPr>
        <w:t xml:space="preserve"> </w:t>
      </w:r>
      <w:r w:rsidR="009436B5" w:rsidRPr="0047122F">
        <w:rPr>
          <w:sz w:val="24"/>
          <w:szCs w:val="24"/>
          <w:lang w:val="uz-Cyrl-UZ"/>
        </w:rPr>
        <w:t>sa maksimaln</w:t>
      </w:r>
      <w:r w:rsidR="00B60873" w:rsidRPr="0047122F">
        <w:rPr>
          <w:sz w:val="24"/>
          <w:szCs w:val="24"/>
          <w:lang w:val="uz-Cyrl-UZ"/>
        </w:rPr>
        <w:t>o</w:t>
      </w:r>
      <w:r w:rsidR="009436B5" w:rsidRPr="0047122F">
        <w:rPr>
          <w:sz w:val="24"/>
          <w:szCs w:val="24"/>
          <w:lang w:val="uz-Cyrl-UZ"/>
        </w:rPr>
        <w:t xml:space="preserve"> </w:t>
      </w:r>
      <w:r w:rsidR="00236F50" w:rsidRPr="0047122F">
        <w:rPr>
          <w:sz w:val="24"/>
          <w:szCs w:val="24"/>
          <w:lang w:val="uz-Cyrl-UZ"/>
        </w:rPr>
        <w:t xml:space="preserve">dozvoljenim </w:t>
      </w:r>
      <w:r w:rsidR="009436B5" w:rsidRPr="0047122F">
        <w:rPr>
          <w:sz w:val="24"/>
          <w:szCs w:val="24"/>
          <w:lang w:val="uz-Cyrl-UZ"/>
        </w:rPr>
        <w:t>odstupanj</w:t>
      </w:r>
      <w:r w:rsidR="00236F50" w:rsidRPr="0047122F">
        <w:rPr>
          <w:sz w:val="24"/>
          <w:szCs w:val="24"/>
          <w:lang w:val="uz-Cyrl-UZ"/>
        </w:rPr>
        <w:t>ima</w:t>
      </w:r>
      <w:r w:rsidR="00BE0C85" w:rsidRPr="0047122F">
        <w:rPr>
          <w:sz w:val="24"/>
          <w:szCs w:val="24"/>
          <w:lang w:val="uz-Cyrl-UZ"/>
        </w:rPr>
        <w:t xml:space="preserve"> po stambenoj jedinici. </w:t>
      </w:r>
    </w:p>
    <w:p w14:paraId="2FA5E36E" w14:textId="77777777" w:rsidR="00294861" w:rsidRDefault="00BE0C85" w:rsidP="00294861">
      <w:pPr>
        <w:jc w:val="both"/>
        <w:rPr>
          <w:sz w:val="24"/>
          <w:szCs w:val="24"/>
          <w:lang w:val="uz-Cyrl-UZ"/>
        </w:rPr>
      </w:pPr>
      <w:r w:rsidRPr="0047122F">
        <w:rPr>
          <w:sz w:val="24"/>
          <w:szCs w:val="24"/>
          <w:lang w:val="uz-Cyrl-UZ"/>
        </w:rPr>
        <w:t>Maksimalno dozvoljena odstupanja su definisana na osnovu definisane neto površine</w:t>
      </w:r>
      <w:r w:rsidR="00E9797D" w:rsidRPr="0047122F">
        <w:rPr>
          <w:sz w:val="24"/>
          <w:szCs w:val="24"/>
          <w:lang w:val="uz-Cyrl-UZ"/>
        </w:rPr>
        <w:t xml:space="preserve"> stana</w:t>
      </w:r>
      <w:r w:rsidR="00256966" w:rsidRPr="0047122F">
        <w:rPr>
          <w:sz w:val="24"/>
          <w:szCs w:val="24"/>
          <w:lang w:val="uz-Cyrl-UZ"/>
        </w:rPr>
        <w:t>, kako je to prikazano u tabeli ispod</w:t>
      </w:r>
      <w:r w:rsidR="005B08A8" w:rsidRPr="0047122F">
        <w:rPr>
          <w:sz w:val="24"/>
          <w:szCs w:val="24"/>
          <w:lang w:val="uz-Cyrl-UZ"/>
        </w:rPr>
        <w:t>:</w:t>
      </w:r>
    </w:p>
    <w:p w14:paraId="2C7B5B7B" w14:textId="0A12C78F" w:rsidR="008D5C87" w:rsidRPr="00294861" w:rsidRDefault="00236F50" w:rsidP="00294861">
      <w:pPr>
        <w:jc w:val="both"/>
        <w:rPr>
          <w:sz w:val="24"/>
          <w:szCs w:val="24"/>
          <w:lang w:val="uz-Cyrl-UZ"/>
        </w:rPr>
      </w:pPr>
      <w:r w:rsidRPr="0047122F">
        <w:rPr>
          <w:b/>
          <w:sz w:val="24"/>
          <w:szCs w:val="24"/>
          <w:u w:val="single"/>
          <w:lang w:val="uz-Cyrl-UZ"/>
        </w:rPr>
        <w:t xml:space="preserve">Tabelarni prikaz </w:t>
      </w:r>
      <w:r w:rsidR="005B08A8" w:rsidRPr="0047122F">
        <w:rPr>
          <w:b/>
          <w:sz w:val="24"/>
          <w:szCs w:val="24"/>
          <w:u w:val="single"/>
          <w:lang w:val="uz-Cyrl-UZ"/>
        </w:rPr>
        <w:t xml:space="preserve">predviđenih </w:t>
      </w:r>
      <w:r w:rsidRPr="0047122F">
        <w:rPr>
          <w:b/>
          <w:sz w:val="24"/>
          <w:szCs w:val="24"/>
          <w:u w:val="single"/>
          <w:lang w:val="uz-Cyrl-UZ"/>
        </w:rPr>
        <w:t>stanova</w:t>
      </w:r>
      <w:r w:rsidR="00256966" w:rsidRPr="0047122F">
        <w:rPr>
          <w:b/>
          <w:sz w:val="24"/>
          <w:szCs w:val="24"/>
          <w:u w:val="single"/>
          <w:lang w:val="uz-Cyrl-UZ"/>
        </w:rPr>
        <w:t xml:space="preserve"> za kupovinu</w:t>
      </w:r>
      <w:r w:rsidR="00BC757C" w:rsidRPr="0047122F">
        <w:rPr>
          <w:b/>
          <w:sz w:val="24"/>
          <w:szCs w:val="24"/>
          <w:u w:val="single"/>
          <w:lang w:val="uz-Cyrl-UZ"/>
        </w:rPr>
        <w:t>:</w:t>
      </w:r>
    </w:p>
    <w:tbl>
      <w:tblPr>
        <w:tblStyle w:val="TableGrid"/>
        <w:tblW w:w="9900" w:type="dxa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081"/>
        <w:gridCol w:w="1079"/>
        <w:gridCol w:w="1291"/>
        <w:gridCol w:w="1049"/>
        <w:gridCol w:w="1080"/>
        <w:gridCol w:w="1080"/>
        <w:gridCol w:w="1080"/>
        <w:gridCol w:w="1080"/>
        <w:gridCol w:w="1080"/>
      </w:tblGrid>
      <w:tr w:rsidR="00236F50" w:rsidRPr="0047122F" w14:paraId="2C573396" w14:textId="77777777" w:rsidTr="00C02283">
        <w:trPr>
          <w:trHeight w:val="315"/>
        </w:trPr>
        <w:tc>
          <w:tcPr>
            <w:tcW w:w="1081" w:type="dxa"/>
            <w:vMerge w:val="restart"/>
            <w:tcBorders>
              <w:top w:val="single" w:sz="24" w:space="0" w:color="auto"/>
              <w:bottom w:val="single" w:sz="4" w:space="0" w:color="auto"/>
            </w:tcBorders>
            <w:hideMark/>
          </w:tcPr>
          <w:p w14:paraId="137143F8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 xml:space="preserve">Broj članova porodice </w:t>
            </w:r>
          </w:p>
        </w:tc>
        <w:tc>
          <w:tcPr>
            <w:tcW w:w="1079" w:type="dxa"/>
            <w:vMerge w:val="restart"/>
            <w:tcBorders>
              <w:top w:val="single" w:sz="24" w:space="0" w:color="auto"/>
              <w:bottom w:val="single" w:sz="4" w:space="0" w:color="auto"/>
            </w:tcBorders>
            <w:hideMark/>
          </w:tcPr>
          <w:p w14:paraId="7B49431A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>Broj porodica</w:t>
            </w:r>
          </w:p>
        </w:tc>
        <w:tc>
          <w:tcPr>
            <w:tcW w:w="1291" w:type="dxa"/>
            <w:vMerge w:val="restart"/>
            <w:tcBorders>
              <w:top w:val="single" w:sz="24" w:space="0" w:color="auto"/>
              <w:bottom w:val="single" w:sz="4" w:space="0" w:color="auto"/>
            </w:tcBorders>
            <w:hideMark/>
          </w:tcPr>
          <w:p w14:paraId="44A03D9F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>Zakon o socijalnom stanovanju (m2</w:t>
            </w:r>
            <w:r w:rsidRPr="004712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1049" w:type="dxa"/>
            <w:vMerge w:val="restart"/>
            <w:tcBorders>
              <w:top w:val="single" w:sz="24" w:space="0" w:color="auto"/>
              <w:bottom w:val="single" w:sz="4" w:space="0" w:color="auto"/>
            </w:tcBorders>
            <w:shd w:val="clear" w:color="auto" w:fill="D0CECE" w:themeFill="background2" w:themeFillShade="E6"/>
            <w:hideMark/>
          </w:tcPr>
          <w:p w14:paraId="5268DC4B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 xml:space="preserve">25 m2 </w:t>
            </w:r>
          </w:p>
          <w:p w14:paraId="1BD819CA" w14:textId="7D8B935F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  <w:t xml:space="preserve">+ Max </w:t>
            </w:r>
            <w:r w:rsidR="009436B5" w:rsidRPr="0047122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  <w:t xml:space="preserve">5 </w:t>
            </w:r>
            <w:r w:rsidRPr="0047122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  <w:t xml:space="preserve">m2 </w:t>
            </w:r>
            <w:r w:rsidR="00A4523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  <w:t xml:space="preserve"> (neto) </w:t>
            </w:r>
            <w:r w:rsidRPr="0047122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  <w:t>odstupanje</w:t>
            </w:r>
          </w:p>
        </w:tc>
        <w:tc>
          <w:tcPr>
            <w:tcW w:w="1080" w:type="dxa"/>
            <w:vMerge w:val="restart"/>
            <w:tcBorders>
              <w:top w:val="single" w:sz="24" w:space="0" w:color="auto"/>
              <w:bottom w:val="single" w:sz="4" w:space="0" w:color="auto"/>
            </w:tcBorders>
            <w:shd w:val="clear" w:color="auto" w:fill="D0CECE" w:themeFill="background2" w:themeFillShade="E6"/>
            <w:hideMark/>
          </w:tcPr>
          <w:p w14:paraId="4C622D7A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>32 m2</w:t>
            </w:r>
          </w:p>
          <w:p w14:paraId="6D778C04" w14:textId="2FE19E3C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  <w:t xml:space="preserve"> + Max 7 m2  </w:t>
            </w:r>
            <w:r w:rsidR="00A4523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  <w:t xml:space="preserve">(neto) </w:t>
            </w:r>
            <w:r w:rsidRPr="0047122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  <w:t>odstupanje</w:t>
            </w:r>
          </w:p>
        </w:tc>
        <w:tc>
          <w:tcPr>
            <w:tcW w:w="1080" w:type="dxa"/>
            <w:vMerge w:val="restart"/>
            <w:tcBorders>
              <w:top w:val="single" w:sz="24" w:space="0" w:color="auto"/>
              <w:bottom w:val="single" w:sz="4" w:space="0" w:color="auto"/>
            </w:tcBorders>
            <w:shd w:val="clear" w:color="auto" w:fill="D0CECE" w:themeFill="background2" w:themeFillShade="E6"/>
            <w:hideMark/>
          </w:tcPr>
          <w:p w14:paraId="1E436878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>39 m2</w:t>
            </w:r>
          </w:p>
          <w:p w14:paraId="1B0B968B" w14:textId="7D802EDF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  <w:t xml:space="preserve"> +</w:t>
            </w:r>
            <w:r w:rsidR="009436B5" w:rsidRPr="0047122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  <w:t xml:space="preserve"> Max 8 </w:t>
            </w:r>
            <w:r w:rsidRPr="0047122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  <w:t xml:space="preserve">m2 </w:t>
            </w:r>
            <w:r w:rsidR="00A4523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  <w:t xml:space="preserve">(neto) </w:t>
            </w:r>
            <w:r w:rsidRPr="0047122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  <w:t>odstupanje</w:t>
            </w:r>
          </w:p>
        </w:tc>
        <w:tc>
          <w:tcPr>
            <w:tcW w:w="1080" w:type="dxa"/>
            <w:vMerge w:val="restart"/>
            <w:tcBorders>
              <w:top w:val="single" w:sz="24" w:space="0" w:color="auto"/>
              <w:bottom w:val="single" w:sz="4" w:space="0" w:color="auto"/>
            </w:tcBorders>
            <w:shd w:val="clear" w:color="auto" w:fill="D0CECE" w:themeFill="background2" w:themeFillShade="E6"/>
            <w:hideMark/>
          </w:tcPr>
          <w:p w14:paraId="269B08E5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>46 m2</w:t>
            </w:r>
          </w:p>
          <w:p w14:paraId="24B10E16" w14:textId="3993215D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  <w:t xml:space="preserve">+ Max 10 m2 </w:t>
            </w:r>
            <w:r w:rsidR="00A4523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  <w:t xml:space="preserve">(neto) </w:t>
            </w:r>
            <w:r w:rsidRPr="0047122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  <w:t>odstupanje</w:t>
            </w:r>
          </w:p>
        </w:tc>
        <w:tc>
          <w:tcPr>
            <w:tcW w:w="1080" w:type="dxa"/>
            <w:vMerge w:val="restart"/>
            <w:tcBorders>
              <w:top w:val="single" w:sz="24" w:space="0" w:color="auto"/>
              <w:bottom w:val="single" w:sz="4" w:space="0" w:color="auto"/>
            </w:tcBorders>
            <w:shd w:val="clear" w:color="auto" w:fill="D0CECE" w:themeFill="background2" w:themeFillShade="E6"/>
            <w:hideMark/>
          </w:tcPr>
          <w:p w14:paraId="3776341D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 xml:space="preserve">53 m2 </w:t>
            </w:r>
          </w:p>
          <w:p w14:paraId="4CBA195F" w14:textId="5C73CC78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  <w:t xml:space="preserve">+ Max 10 m2 </w:t>
            </w:r>
            <w:r w:rsidR="00A4523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  <w:t xml:space="preserve">(neto) </w:t>
            </w:r>
            <w:r w:rsidRPr="0047122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  <w:t>odstupanje</w:t>
            </w:r>
          </w:p>
        </w:tc>
        <w:tc>
          <w:tcPr>
            <w:tcW w:w="1080" w:type="dxa"/>
            <w:vMerge w:val="restart"/>
            <w:tcBorders>
              <w:top w:val="single" w:sz="24" w:space="0" w:color="auto"/>
              <w:bottom w:val="single" w:sz="4" w:space="0" w:color="auto"/>
            </w:tcBorders>
            <w:shd w:val="clear" w:color="auto" w:fill="D0CECE" w:themeFill="background2" w:themeFillShade="E6"/>
            <w:hideMark/>
          </w:tcPr>
          <w:p w14:paraId="1A6C2D60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lang w:val="uz-Cyrl-UZ"/>
              </w:rPr>
              <w:t>60 m2</w:t>
            </w:r>
          </w:p>
          <w:p w14:paraId="431589E0" w14:textId="6177EFB5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  <w:t xml:space="preserve"> + Max 10 m2 </w:t>
            </w:r>
            <w:r w:rsidR="00A4523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  <w:t xml:space="preserve">(neto) </w:t>
            </w:r>
            <w:r w:rsidRPr="0047122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  <w:t>o</w:t>
            </w:r>
            <w:r w:rsidR="00225117" w:rsidRPr="0047122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  <w:t>d</w:t>
            </w:r>
            <w:r w:rsidRPr="0047122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uz-Cyrl-UZ"/>
              </w:rPr>
              <w:t>stupanje</w:t>
            </w:r>
          </w:p>
        </w:tc>
      </w:tr>
      <w:tr w:rsidR="00236F50" w:rsidRPr="0047122F" w14:paraId="1FEDABD4" w14:textId="77777777" w:rsidTr="00C02283">
        <w:trPr>
          <w:trHeight w:val="300"/>
        </w:trPr>
        <w:tc>
          <w:tcPr>
            <w:tcW w:w="1081" w:type="dxa"/>
            <w:vMerge/>
            <w:tcBorders>
              <w:top w:val="single" w:sz="4" w:space="0" w:color="auto"/>
            </w:tcBorders>
            <w:hideMark/>
          </w:tcPr>
          <w:p w14:paraId="2862D9D6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</w:tcBorders>
            <w:hideMark/>
          </w:tcPr>
          <w:p w14:paraId="734BA022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</w:tcBorders>
            <w:hideMark/>
          </w:tcPr>
          <w:p w14:paraId="374B3DCD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</w:tcBorders>
            <w:shd w:val="clear" w:color="auto" w:fill="D0CECE" w:themeFill="background2" w:themeFillShade="E6"/>
            <w:hideMark/>
          </w:tcPr>
          <w:p w14:paraId="5C8EA847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</w:tcBorders>
            <w:shd w:val="clear" w:color="auto" w:fill="D0CECE" w:themeFill="background2" w:themeFillShade="E6"/>
            <w:hideMark/>
          </w:tcPr>
          <w:p w14:paraId="67DA9E95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</w:tcBorders>
            <w:shd w:val="clear" w:color="auto" w:fill="D0CECE" w:themeFill="background2" w:themeFillShade="E6"/>
            <w:hideMark/>
          </w:tcPr>
          <w:p w14:paraId="49029E75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</w:tcBorders>
            <w:shd w:val="clear" w:color="auto" w:fill="D0CECE" w:themeFill="background2" w:themeFillShade="E6"/>
            <w:hideMark/>
          </w:tcPr>
          <w:p w14:paraId="0485D0AA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</w:tcBorders>
            <w:shd w:val="clear" w:color="auto" w:fill="D0CECE" w:themeFill="background2" w:themeFillShade="E6"/>
            <w:hideMark/>
          </w:tcPr>
          <w:p w14:paraId="1CA2BB4A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</w:tcBorders>
            <w:shd w:val="clear" w:color="auto" w:fill="D0CECE" w:themeFill="background2" w:themeFillShade="E6"/>
            <w:hideMark/>
          </w:tcPr>
          <w:p w14:paraId="29F7BBD5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</w:tr>
      <w:tr w:rsidR="00236F50" w:rsidRPr="0047122F" w14:paraId="4BA4BA72" w14:textId="77777777" w:rsidTr="00C02283">
        <w:trPr>
          <w:trHeight w:val="269"/>
        </w:trPr>
        <w:tc>
          <w:tcPr>
            <w:tcW w:w="1081" w:type="dxa"/>
            <w:vMerge/>
            <w:hideMark/>
          </w:tcPr>
          <w:p w14:paraId="7BE5A87F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1079" w:type="dxa"/>
            <w:vMerge/>
            <w:hideMark/>
          </w:tcPr>
          <w:p w14:paraId="347E1117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1291" w:type="dxa"/>
            <w:vMerge/>
            <w:hideMark/>
          </w:tcPr>
          <w:p w14:paraId="63626A0F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1049" w:type="dxa"/>
            <w:vMerge/>
            <w:shd w:val="clear" w:color="auto" w:fill="D0CECE" w:themeFill="background2" w:themeFillShade="E6"/>
            <w:hideMark/>
          </w:tcPr>
          <w:p w14:paraId="518B9EF5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1080" w:type="dxa"/>
            <w:vMerge/>
            <w:shd w:val="clear" w:color="auto" w:fill="D0CECE" w:themeFill="background2" w:themeFillShade="E6"/>
            <w:hideMark/>
          </w:tcPr>
          <w:p w14:paraId="745E1137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1080" w:type="dxa"/>
            <w:vMerge/>
            <w:shd w:val="clear" w:color="auto" w:fill="D0CECE" w:themeFill="background2" w:themeFillShade="E6"/>
            <w:hideMark/>
          </w:tcPr>
          <w:p w14:paraId="57C7609E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1080" w:type="dxa"/>
            <w:vMerge/>
            <w:shd w:val="clear" w:color="auto" w:fill="D0CECE" w:themeFill="background2" w:themeFillShade="E6"/>
            <w:hideMark/>
          </w:tcPr>
          <w:p w14:paraId="16D26E22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1080" w:type="dxa"/>
            <w:vMerge/>
            <w:shd w:val="clear" w:color="auto" w:fill="D0CECE" w:themeFill="background2" w:themeFillShade="E6"/>
            <w:hideMark/>
          </w:tcPr>
          <w:p w14:paraId="21D7D4F0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1080" w:type="dxa"/>
            <w:vMerge/>
            <w:shd w:val="clear" w:color="auto" w:fill="D0CECE" w:themeFill="background2" w:themeFillShade="E6"/>
            <w:hideMark/>
          </w:tcPr>
          <w:p w14:paraId="7010B2B5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</w:tr>
      <w:tr w:rsidR="00236F50" w:rsidRPr="0047122F" w14:paraId="28E0B70E" w14:textId="77777777" w:rsidTr="00C02283">
        <w:trPr>
          <w:trHeight w:val="269"/>
        </w:trPr>
        <w:tc>
          <w:tcPr>
            <w:tcW w:w="1081" w:type="dxa"/>
            <w:vMerge/>
            <w:hideMark/>
          </w:tcPr>
          <w:p w14:paraId="09918873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1079" w:type="dxa"/>
            <w:vMerge/>
            <w:hideMark/>
          </w:tcPr>
          <w:p w14:paraId="2F2C5FDF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1291" w:type="dxa"/>
            <w:vMerge/>
            <w:hideMark/>
          </w:tcPr>
          <w:p w14:paraId="5466BB69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1049" w:type="dxa"/>
            <w:vMerge/>
            <w:shd w:val="clear" w:color="auto" w:fill="D0CECE" w:themeFill="background2" w:themeFillShade="E6"/>
            <w:hideMark/>
          </w:tcPr>
          <w:p w14:paraId="04309D57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1080" w:type="dxa"/>
            <w:vMerge/>
            <w:shd w:val="clear" w:color="auto" w:fill="D0CECE" w:themeFill="background2" w:themeFillShade="E6"/>
            <w:hideMark/>
          </w:tcPr>
          <w:p w14:paraId="5810BF30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1080" w:type="dxa"/>
            <w:vMerge/>
            <w:shd w:val="clear" w:color="auto" w:fill="D0CECE" w:themeFill="background2" w:themeFillShade="E6"/>
            <w:hideMark/>
          </w:tcPr>
          <w:p w14:paraId="15837134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1080" w:type="dxa"/>
            <w:vMerge/>
            <w:shd w:val="clear" w:color="auto" w:fill="D0CECE" w:themeFill="background2" w:themeFillShade="E6"/>
            <w:hideMark/>
          </w:tcPr>
          <w:p w14:paraId="6E9A866B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1080" w:type="dxa"/>
            <w:vMerge/>
            <w:shd w:val="clear" w:color="auto" w:fill="D0CECE" w:themeFill="background2" w:themeFillShade="E6"/>
            <w:hideMark/>
          </w:tcPr>
          <w:p w14:paraId="3923AF5B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1080" w:type="dxa"/>
            <w:vMerge/>
            <w:shd w:val="clear" w:color="auto" w:fill="D0CECE" w:themeFill="background2" w:themeFillShade="E6"/>
            <w:hideMark/>
          </w:tcPr>
          <w:p w14:paraId="290B12E5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</w:tr>
      <w:tr w:rsidR="00236F50" w:rsidRPr="0047122F" w14:paraId="06248EA1" w14:textId="77777777" w:rsidTr="00C02283">
        <w:trPr>
          <w:trHeight w:val="529"/>
        </w:trPr>
        <w:tc>
          <w:tcPr>
            <w:tcW w:w="1081" w:type="dxa"/>
            <w:vMerge/>
            <w:tcBorders>
              <w:bottom w:val="single" w:sz="18" w:space="0" w:color="auto"/>
            </w:tcBorders>
            <w:hideMark/>
          </w:tcPr>
          <w:p w14:paraId="4FDB6216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1079" w:type="dxa"/>
            <w:vMerge/>
            <w:tcBorders>
              <w:bottom w:val="single" w:sz="18" w:space="0" w:color="auto"/>
            </w:tcBorders>
            <w:hideMark/>
          </w:tcPr>
          <w:p w14:paraId="2E4EC334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1291" w:type="dxa"/>
            <w:vMerge/>
            <w:tcBorders>
              <w:bottom w:val="single" w:sz="18" w:space="0" w:color="auto"/>
            </w:tcBorders>
            <w:hideMark/>
          </w:tcPr>
          <w:p w14:paraId="1EA37A3C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1049" w:type="dxa"/>
            <w:tcBorders>
              <w:bottom w:val="single" w:sz="18" w:space="0" w:color="auto"/>
            </w:tcBorders>
            <w:shd w:val="clear" w:color="auto" w:fill="D0CECE" w:themeFill="background2" w:themeFillShade="E6"/>
            <w:hideMark/>
          </w:tcPr>
          <w:p w14:paraId="00950932" w14:textId="77777777" w:rsidR="008653A8" w:rsidRPr="0047122F" w:rsidRDefault="009436B5" w:rsidP="00C02283">
            <w:pPr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lang w:val="uz-Cyrl-UZ"/>
              </w:rPr>
              <w:t>Broj stanova:</w:t>
            </w:r>
            <w:r w:rsidR="008653A8" w:rsidRPr="0047122F">
              <w:rPr>
                <w:rFonts w:ascii="Calibri" w:eastAsia="Times New Roman" w:hAnsi="Calibri" w:cs="Times New Roman"/>
                <w:color w:val="000000"/>
                <w:lang w:val="uz-Cyrl-UZ"/>
              </w:rPr>
              <w:t xml:space="preserve"> 7</w:t>
            </w:r>
          </w:p>
        </w:tc>
        <w:tc>
          <w:tcPr>
            <w:tcW w:w="1080" w:type="dxa"/>
            <w:tcBorders>
              <w:bottom w:val="single" w:sz="18" w:space="0" w:color="auto"/>
            </w:tcBorders>
            <w:shd w:val="clear" w:color="auto" w:fill="D0CECE" w:themeFill="background2" w:themeFillShade="E6"/>
            <w:hideMark/>
          </w:tcPr>
          <w:p w14:paraId="708E7BE2" w14:textId="77777777" w:rsidR="008653A8" w:rsidRPr="0047122F" w:rsidRDefault="009436B5" w:rsidP="00C02283">
            <w:pPr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lang w:val="uz-Cyrl-UZ"/>
              </w:rPr>
              <w:t xml:space="preserve">Broj stanova: </w:t>
            </w:r>
            <w:r w:rsidR="008653A8" w:rsidRPr="0047122F">
              <w:rPr>
                <w:rFonts w:ascii="Calibri" w:eastAsia="Times New Roman" w:hAnsi="Calibri" w:cs="Times New Roman"/>
                <w:color w:val="000000"/>
                <w:lang w:val="uz-Cyrl-UZ"/>
              </w:rPr>
              <w:t xml:space="preserve"> 6</w:t>
            </w:r>
          </w:p>
        </w:tc>
        <w:tc>
          <w:tcPr>
            <w:tcW w:w="1080" w:type="dxa"/>
            <w:tcBorders>
              <w:bottom w:val="single" w:sz="18" w:space="0" w:color="auto"/>
            </w:tcBorders>
            <w:shd w:val="clear" w:color="auto" w:fill="D0CECE" w:themeFill="background2" w:themeFillShade="E6"/>
            <w:hideMark/>
          </w:tcPr>
          <w:p w14:paraId="25337A33" w14:textId="77777777" w:rsidR="009436B5" w:rsidRPr="0047122F" w:rsidRDefault="009436B5" w:rsidP="00C02283">
            <w:pPr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lang w:val="uz-Cyrl-UZ"/>
              </w:rPr>
              <w:t>Broj stanova:</w:t>
            </w:r>
          </w:p>
          <w:p w14:paraId="42E3C786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lang w:val="uz-Cyrl-UZ"/>
              </w:rPr>
              <w:t>7</w:t>
            </w:r>
          </w:p>
        </w:tc>
        <w:tc>
          <w:tcPr>
            <w:tcW w:w="1080" w:type="dxa"/>
            <w:tcBorders>
              <w:bottom w:val="single" w:sz="18" w:space="0" w:color="auto"/>
            </w:tcBorders>
            <w:shd w:val="clear" w:color="auto" w:fill="D0CECE" w:themeFill="background2" w:themeFillShade="E6"/>
            <w:hideMark/>
          </w:tcPr>
          <w:p w14:paraId="376A4715" w14:textId="77777777" w:rsidR="009436B5" w:rsidRPr="0047122F" w:rsidRDefault="009436B5" w:rsidP="00C02283">
            <w:pPr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lang w:val="uz-Cyrl-UZ"/>
              </w:rPr>
              <w:t>Broj stanova:</w:t>
            </w:r>
          </w:p>
          <w:p w14:paraId="0335BD96" w14:textId="77777777" w:rsidR="008653A8" w:rsidRPr="0047122F" w:rsidRDefault="009436B5" w:rsidP="00C02283">
            <w:pPr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lang w:val="uz-Cyrl-UZ"/>
              </w:rPr>
              <w:t>7</w:t>
            </w:r>
          </w:p>
        </w:tc>
        <w:tc>
          <w:tcPr>
            <w:tcW w:w="1080" w:type="dxa"/>
            <w:tcBorders>
              <w:bottom w:val="single" w:sz="18" w:space="0" w:color="auto"/>
            </w:tcBorders>
            <w:shd w:val="clear" w:color="auto" w:fill="D0CECE" w:themeFill="background2" w:themeFillShade="E6"/>
            <w:hideMark/>
          </w:tcPr>
          <w:p w14:paraId="3FB6C583" w14:textId="77777777" w:rsidR="009436B5" w:rsidRPr="0047122F" w:rsidRDefault="009436B5" w:rsidP="00C02283">
            <w:pPr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lang w:val="uz-Cyrl-UZ"/>
              </w:rPr>
              <w:t>Broj stanova:</w:t>
            </w:r>
          </w:p>
          <w:p w14:paraId="61C3F7E6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lang w:val="uz-Cyrl-UZ"/>
              </w:rPr>
              <w:t>8</w:t>
            </w:r>
          </w:p>
        </w:tc>
        <w:tc>
          <w:tcPr>
            <w:tcW w:w="1080" w:type="dxa"/>
            <w:tcBorders>
              <w:bottom w:val="single" w:sz="18" w:space="0" w:color="auto"/>
            </w:tcBorders>
            <w:shd w:val="clear" w:color="auto" w:fill="D0CECE" w:themeFill="background2" w:themeFillShade="E6"/>
            <w:hideMark/>
          </w:tcPr>
          <w:p w14:paraId="360A2412" w14:textId="77777777" w:rsidR="009436B5" w:rsidRPr="0047122F" w:rsidRDefault="009436B5" w:rsidP="00C02283">
            <w:pPr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lang w:val="uz-Cyrl-UZ"/>
              </w:rPr>
              <w:t>Broj stanova:</w:t>
            </w:r>
          </w:p>
          <w:p w14:paraId="3E16A77F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lang w:val="uz-Cyrl-UZ"/>
              </w:rPr>
              <w:t>1</w:t>
            </w:r>
          </w:p>
        </w:tc>
      </w:tr>
      <w:tr w:rsidR="009436B5" w:rsidRPr="0047122F" w14:paraId="5E054DA9" w14:textId="77777777" w:rsidTr="00C02283">
        <w:trPr>
          <w:trHeight w:val="300"/>
        </w:trPr>
        <w:tc>
          <w:tcPr>
            <w:tcW w:w="1081" w:type="dxa"/>
            <w:tcBorders>
              <w:top w:val="single" w:sz="18" w:space="0" w:color="auto"/>
            </w:tcBorders>
            <w:noWrap/>
            <w:hideMark/>
          </w:tcPr>
          <w:p w14:paraId="438061A6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079" w:type="dxa"/>
            <w:tcBorders>
              <w:top w:val="single" w:sz="18" w:space="0" w:color="auto"/>
            </w:tcBorders>
            <w:noWrap/>
            <w:hideMark/>
          </w:tcPr>
          <w:p w14:paraId="2F2EE8C2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>7</w:t>
            </w:r>
          </w:p>
        </w:tc>
        <w:tc>
          <w:tcPr>
            <w:tcW w:w="1291" w:type="dxa"/>
            <w:tcBorders>
              <w:top w:val="single" w:sz="18" w:space="0" w:color="auto"/>
            </w:tcBorders>
            <w:noWrap/>
            <w:hideMark/>
          </w:tcPr>
          <w:p w14:paraId="35A430F2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>25</w:t>
            </w:r>
          </w:p>
        </w:tc>
        <w:tc>
          <w:tcPr>
            <w:tcW w:w="1049" w:type="dxa"/>
            <w:tcBorders>
              <w:top w:val="single" w:sz="18" w:space="0" w:color="auto"/>
            </w:tcBorders>
            <w:noWrap/>
            <w:hideMark/>
          </w:tcPr>
          <w:p w14:paraId="76F67EEA" w14:textId="77777777" w:rsidR="008653A8" w:rsidRPr="0047122F" w:rsidRDefault="008653A8" w:rsidP="00C02283">
            <w:pPr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lang w:val="uz-Cyrl-UZ"/>
              </w:rPr>
              <w:t>7</w:t>
            </w:r>
          </w:p>
        </w:tc>
        <w:tc>
          <w:tcPr>
            <w:tcW w:w="1080" w:type="dxa"/>
            <w:tcBorders>
              <w:top w:val="single" w:sz="18" w:space="0" w:color="auto"/>
            </w:tcBorders>
            <w:noWrap/>
            <w:hideMark/>
          </w:tcPr>
          <w:p w14:paraId="696FD064" w14:textId="0822E890" w:rsidR="008653A8" w:rsidRPr="0047122F" w:rsidRDefault="008653A8" w:rsidP="00C02283">
            <w:pPr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1080" w:type="dxa"/>
            <w:tcBorders>
              <w:top w:val="single" w:sz="18" w:space="0" w:color="auto"/>
            </w:tcBorders>
            <w:noWrap/>
            <w:hideMark/>
          </w:tcPr>
          <w:p w14:paraId="019A7010" w14:textId="3E409CC0" w:rsidR="008653A8" w:rsidRPr="0047122F" w:rsidRDefault="008653A8" w:rsidP="00C02283">
            <w:pPr>
              <w:jc w:val="center"/>
              <w:rPr>
                <w:rFonts w:ascii="Calibri" w:eastAsia="Times New Roman" w:hAnsi="Calibri" w:cs="Times New Roman"/>
                <w:lang w:val="uz-Cyrl-UZ"/>
              </w:rPr>
            </w:pPr>
          </w:p>
        </w:tc>
        <w:tc>
          <w:tcPr>
            <w:tcW w:w="1080" w:type="dxa"/>
            <w:tcBorders>
              <w:top w:val="single" w:sz="18" w:space="0" w:color="auto"/>
            </w:tcBorders>
            <w:noWrap/>
            <w:hideMark/>
          </w:tcPr>
          <w:p w14:paraId="1CC9C039" w14:textId="4FCA53AE" w:rsidR="008653A8" w:rsidRPr="0047122F" w:rsidRDefault="008653A8" w:rsidP="00C02283">
            <w:pPr>
              <w:jc w:val="center"/>
              <w:rPr>
                <w:rFonts w:ascii="Calibri" w:eastAsia="Times New Roman" w:hAnsi="Calibri" w:cs="Times New Roman"/>
                <w:lang w:val="uz-Cyrl-UZ"/>
              </w:rPr>
            </w:pPr>
          </w:p>
        </w:tc>
        <w:tc>
          <w:tcPr>
            <w:tcW w:w="1080" w:type="dxa"/>
            <w:tcBorders>
              <w:top w:val="single" w:sz="18" w:space="0" w:color="auto"/>
            </w:tcBorders>
            <w:noWrap/>
            <w:hideMark/>
          </w:tcPr>
          <w:p w14:paraId="02E01D35" w14:textId="1FF92390" w:rsidR="008653A8" w:rsidRPr="0047122F" w:rsidRDefault="008653A8" w:rsidP="00C02283">
            <w:pPr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1080" w:type="dxa"/>
            <w:tcBorders>
              <w:top w:val="single" w:sz="18" w:space="0" w:color="auto"/>
            </w:tcBorders>
            <w:noWrap/>
            <w:hideMark/>
          </w:tcPr>
          <w:p w14:paraId="6ACD38B4" w14:textId="33D60DA0" w:rsidR="008653A8" w:rsidRPr="0047122F" w:rsidRDefault="008653A8" w:rsidP="00C02283">
            <w:pPr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</w:tr>
      <w:tr w:rsidR="009436B5" w:rsidRPr="0047122F" w14:paraId="629A05F3" w14:textId="77777777" w:rsidTr="00C02283">
        <w:trPr>
          <w:trHeight w:val="300"/>
        </w:trPr>
        <w:tc>
          <w:tcPr>
            <w:tcW w:w="1081" w:type="dxa"/>
            <w:noWrap/>
            <w:hideMark/>
          </w:tcPr>
          <w:p w14:paraId="0C8133B9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079" w:type="dxa"/>
            <w:noWrap/>
            <w:hideMark/>
          </w:tcPr>
          <w:p w14:paraId="53AA0630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1291" w:type="dxa"/>
            <w:noWrap/>
            <w:hideMark/>
          </w:tcPr>
          <w:p w14:paraId="3CBC524E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>32</w:t>
            </w:r>
          </w:p>
        </w:tc>
        <w:tc>
          <w:tcPr>
            <w:tcW w:w="1049" w:type="dxa"/>
            <w:noWrap/>
            <w:hideMark/>
          </w:tcPr>
          <w:p w14:paraId="1FAE3F46" w14:textId="35D58373" w:rsidR="008653A8" w:rsidRPr="0047122F" w:rsidRDefault="008653A8" w:rsidP="00C02283">
            <w:pPr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1080" w:type="dxa"/>
            <w:noWrap/>
            <w:hideMark/>
          </w:tcPr>
          <w:p w14:paraId="7ABE1819" w14:textId="77777777" w:rsidR="008653A8" w:rsidRPr="0047122F" w:rsidRDefault="008653A8" w:rsidP="00C02283">
            <w:pPr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lang w:val="uz-Cyrl-UZ"/>
              </w:rPr>
              <w:t>6</w:t>
            </w:r>
          </w:p>
        </w:tc>
        <w:tc>
          <w:tcPr>
            <w:tcW w:w="1080" w:type="dxa"/>
            <w:noWrap/>
            <w:hideMark/>
          </w:tcPr>
          <w:p w14:paraId="69AF75B5" w14:textId="5B20A1D3" w:rsidR="008653A8" w:rsidRPr="0047122F" w:rsidRDefault="008653A8" w:rsidP="00C02283">
            <w:pPr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1080" w:type="dxa"/>
            <w:noWrap/>
            <w:hideMark/>
          </w:tcPr>
          <w:p w14:paraId="0B43A010" w14:textId="0DED0DB2" w:rsidR="008653A8" w:rsidRPr="0047122F" w:rsidRDefault="008653A8" w:rsidP="00C02283">
            <w:pPr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1080" w:type="dxa"/>
            <w:noWrap/>
            <w:hideMark/>
          </w:tcPr>
          <w:p w14:paraId="3C602A3A" w14:textId="5A332AAC" w:rsidR="008653A8" w:rsidRPr="0047122F" w:rsidRDefault="008653A8" w:rsidP="00C02283">
            <w:pPr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1080" w:type="dxa"/>
            <w:noWrap/>
            <w:hideMark/>
          </w:tcPr>
          <w:p w14:paraId="5040D78C" w14:textId="77F8ED7C" w:rsidR="008653A8" w:rsidRPr="0047122F" w:rsidRDefault="008653A8" w:rsidP="00C02283">
            <w:pPr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</w:tr>
      <w:tr w:rsidR="00126FE0" w:rsidRPr="0047122F" w14:paraId="2E27C714" w14:textId="77777777" w:rsidTr="00C02283">
        <w:trPr>
          <w:trHeight w:val="300"/>
        </w:trPr>
        <w:tc>
          <w:tcPr>
            <w:tcW w:w="1081" w:type="dxa"/>
            <w:noWrap/>
            <w:hideMark/>
          </w:tcPr>
          <w:p w14:paraId="49E3314A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1079" w:type="dxa"/>
            <w:noWrap/>
            <w:hideMark/>
          </w:tcPr>
          <w:p w14:paraId="2BE6C0F2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>7</w:t>
            </w:r>
          </w:p>
        </w:tc>
        <w:tc>
          <w:tcPr>
            <w:tcW w:w="1291" w:type="dxa"/>
            <w:noWrap/>
            <w:hideMark/>
          </w:tcPr>
          <w:p w14:paraId="4E84CE51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>39</w:t>
            </w:r>
          </w:p>
        </w:tc>
        <w:tc>
          <w:tcPr>
            <w:tcW w:w="1049" w:type="dxa"/>
            <w:noWrap/>
            <w:hideMark/>
          </w:tcPr>
          <w:p w14:paraId="57EBE16D" w14:textId="23BBA88F" w:rsidR="008653A8" w:rsidRPr="0047122F" w:rsidRDefault="008653A8" w:rsidP="00C02283">
            <w:pPr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1080" w:type="dxa"/>
            <w:noWrap/>
            <w:hideMark/>
          </w:tcPr>
          <w:p w14:paraId="0F33F0F0" w14:textId="713E28D3" w:rsidR="008653A8" w:rsidRPr="0047122F" w:rsidRDefault="008653A8" w:rsidP="00C02283">
            <w:pPr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1080" w:type="dxa"/>
            <w:noWrap/>
            <w:hideMark/>
          </w:tcPr>
          <w:p w14:paraId="56AECE99" w14:textId="77777777" w:rsidR="008653A8" w:rsidRPr="0047122F" w:rsidRDefault="008653A8" w:rsidP="00C02283">
            <w:pPr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lang w:val="uz-Cyrl-UZ"/>
              </w:rPr>
              <w:t>7</w:t>
            </w:r>
          </w:p>
        </w:tc>
        <w:tc>
          <w:tcPr>
            <w:tcW w:w="1080" w:type="dxa"/>
            <w:noWrap/>
            <w:hideMark/>
          </w:tcPr>
          <w:p w14:paraId="0B38B241" w14:textId="78B10D4D" w:rsidR="008653A8" w:rsidRPr="0047122F" w:rsidRDefault="008653A8" w:rsidP="00C02283">
            <w:pPr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1080" w:type="dxa"/>
            <w:noWrap/>
            <w:hideMark/>
          </w:tcPr>
          <w:p w14:paraId="191B25F5" w14:textId="3B583D7B" w:rsidR="008653A8" w:rsidRPr="0047122F" w:rsidRDefault="008653A8" w:rsidP="00C02283">
            <w:pPr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1080" w:type="dxa"/>
            <w:noWrap/>
            <w:hideMark/>
          </w:tcPr>
          <w:p w14:paraId="418BE046" w14:textId="433B70EC" w:rsidR="008653A8" w:rsidRPr="0047122F" w:rsidRDefault="008653A8" w:rsidP="00C02283">
            <w:pPr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</w:tr>
      <w:tr w:rsidR="009436B5" w:rsidRPr="0047122F" w14:paraId="7134112C" w14:textId="77777777" w:rsidTr="00C02283">
        <w:trPr>
          <w:trHeight w:val="300"/>
        </w:trPr>
        <w:tc>
          <w:tcPr>
            <w:tcW w:w="1081" w:type="dxa"/>
            <w:noWrap/>
            <w:hideMark/>
          </w:tcPr>
          <w:p w14:paraId="470D2873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1079" w:type="dxa"/>
            <w:noWrap/>
            <w:hideMark/>
          </w:tcPr>
          <w:p w14:paraId="5ED5A9FA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>7</w:t>
            </w:r>
          </w:p>
        </w:tc>
        <w:tc>
          <w:tcPr>
            <w:tcW w:w="1291" w:type="dxa"/>
            <w:noWrap/>
            <w:hideMark/>
          </w:tcPr>
          <w:p w14:paraId="45E6D2BB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>46</w:t>
            </w:r>
          </w:p>
        </w:tc>
        <w:tc>
          <w:tcPr>
            <w:tcW w:w="1049" w:type="dxa"/>
            <w:noWrap/>
            <w:hideMark/>
          </w:tcPr>
          <w:p w14:paraId="432F33E3" w14:textId="5A67F463" w:rsidR="008653A8" w:rsidRPr="0047122F" w:rsidRDefault="008653A8" w:rsidP="00C02283">
            <w:pPr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1080" w:type="dxa"/>
            <w:noWrap/>
            <w:hideMark/>
          </w:tcPr>
          <w:p w14:paraId="04E67125" w14:textId="61174DF5" w:rsidR="008653A8" w:rsidRPr="0047122F" w:rsidRDefault="008653A8" w:rsidP="00C02283">
            <w:pPr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1080" w:type="dxa"/>
            <w:noWrap/>
            <w:hideMark/>
          </w:tcPr>
          <w:p w14:paraId="178F5E94" w14:textId="5616A198" w:rsidR="008653A8" w:rsidRPr="0047122F" w:rsidRDefault="008653A8" w:rsidP="00C02283">
            <w:pPr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1080" w:type="dxa"/>
            <w:noWrap/>
            <w:hideMark/>
          </w:tcPr>
          <w:p w14:paraId="722C07D7" w14:textId="77777777" w:rsidR="008653A8" w:rsidRPr="0047122F" w:rsidRDefault="008653A8" w:rsidP="00C02283">
            <w:pPr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lang w:val="uz-Cyrl-UZ"/>
              </w:rPr>
              <w:t>7</w:t>
            </w:r>
          </w:p>
        </w:tc>
        <w:tc>
          <w:tcPr>
            <w:tcW w:w="1080" w:type="dxa"/>
            <w:noWrap/>
            <w:hideMark/>
          </w:tcPr>
          <w:p w14:paraId="1E35A62A" w14:textId="3D422C25" w:rsidR="008653A8" w:rsidRPr="0047122F" w:rsidRDefault="008653A8" w:rsidP="00C02283">
            <w:pPr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1080" w:type="dxa"/>
            <w:noWrap/>
            <w:hideMark/>
          </w:tcPr>
          <w:p w14:paraId="0B3451D5" w14:textId="2EA45ECF" w:rsidR="008653A8" w:rsidRPr="0047122F" w:rsidRDefault="008653A8" w:rsidP="00C02283">
            <w:pPr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</w:tr>
      <w:tr w:rsidR="009436B5" w:rsidRPr="0047122F" w14:paraId="0BEF4AD2" w14:textId="77777777" w:rsidTr="00C02283">
        <w:trPr>
          <w:trHeight w:val="300"/>
        </w:trPr>
        <w:tc>
          <w:tcPr>
            <w:tcW w:w="1081" w:type="dxa"/>
            <w:noWrap/>
            <w:hideMark/>
          </w:tcPr>
          <w:p w14:paraId="7583B90C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1079" w:type="dxa"/>
            <w:noWrap/>
            <w:hideMark/>
          </w:tcPr>
          <w:p w14:paraId="595EE922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1291" w:type="dxa"/>
            <w:noWrap/>
            <w:hideMark/>
          </w:tcPr>
          <w:p w14:paraId="2922AD39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>53</w:t>
            </w:r>
          </w:p>
        </w:tc>
        <w:tc>
          <w:tcPr>
            <w:tcW w:w="1049" w:type="dxa"/>
            <w:noWrap/>
            <w:hideMark/>
          </w:tcPr>
          <w:p w14:paraId="325C1E74" w14:textId="72D5FD18" w:rsidR="008653A8" w:rsidRPr="0047122F" w:rsidRDefault="008653A8" w:rsidP="00C02283">
            <w:pPr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1080" w:type="dxa"/>
            <w:noWrap/>
            <w:hideMark/>
          </w:tcPr>
          <w:p w14:paraId="13090B34" w14:textId="165B7004" w:rsidR="008653A8" w:rsidRPr="0047122F" w:rsidRDefault="008653A8" w:rsidP="00C02283">
            <w:pPr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1080" w:type="dxa"/>
            <w:noWrap/>
            <w:hideMark/>
          </w:tcPr>
          <w:p w14:paraId="5CFF932B" w14:textId="4CE50B51" w:rsidR="008653A8" w:rsidRPr="0047122F" w:rsidRDefault="008653A8" w:rsidP="00C02283">
            <w:pPr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1080" w:type="dxa"/>
            <w:noWrap/>
            <w:hideMark/>
          </w:tcPr>
          <w:p w14:paraId="53BDCB30" w14:textId="09EFEF4E" w:rsidR="008653A8" w:rsidRPr="0047122F" w:rsidRDefault="008653A8" w:rsidP="00C02283">
            <w:pPr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1080" w:type="dxa"/>
            <w:noWrap/>
            <w:hideMark/>
          </w:tcPr>
          <w:p w14:paraId="3328BFDD" w14:textId="77777777" w:rsidR="008653A8" w:rsidRPr="0047122F" w:rsidRDefault="008653A8" w:rsidP="00C02283">
            <w:pPr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lang w:val="uz-Cyrl-UZ"/>
              </w:rPr>
              <w:t>8</w:t>
            </w:r>
          </w:p>
        </w:tc>
        <w:tc>
          <w:tcPr>
            <w:tcW w:w="1080" w:type="dxa"/>
            <w:noWrap/>
            <w:hideMark/>
          </w:tcPr>
          <w:p w14:paraId="3D554971" w14:textId="54BC44BF" w:rsidR="008653A8" w:rsidRPr="0047122F" w:rsidRDefault="008653A8" w:rsidP="00C02283">
            <w:pPr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</w:tr>
      <w:tr w:rsidR="009436B5" w:rsidRPr="0047122F" w14:paraId="5CE06819" w14:textId="77777777" w:rsidTr="00C02283">
        <w:trPr>
          <w:trHeight w:val="300"/>
        </w:trPr>
        <w:tc>
          <w:tcPr>
            <w:tcW w:w="1081" w:type="dxa"/>
            <w:noWrap/>
            <w:hideMark/>
          </w:tcPr>
          <w:p w14:paraId="76161ACD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lastRenderedPageBreak/>
              <w:t>6</w:t>
            </w:r>
          </w:p>
        </w:tc>
        <w:tc>
          <w:tcPr>
            <w:tcW w:w="1079" w:type="dxa"/>
            <w:noWrap/>
            <w:hideMark/>
          </w:tcPr>
          <w:p w14:paraId="490F135F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291" w:type="dxa"/>
            <w:noWrap/>
            <w:hideMark/>
          </w:tcPr>
          <w:p w14:paraId="626708BD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>60</w:t>
            </w:r>
          </w:p>
        </w:tc>
        <w:tc>
          <w:tcPr>
            <w:tcW w:w="1049" w:type="dxa"/>
            <w:noWrap/>
            <w:hideMark/>
          </w:tcPr>
          <w:p w14:paraId="25C723B6" w14:textId="55A6432E" w:rsidR="008653A8" w:rsidRPr="0047122F" w:rsidRDefault="008653A8" w:rsidP="00C02283">
            <w:pPr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1080" w:type="dxa"/>
            <w:noWrap/>
            <w:hideMark/>
          </w:tcPr>
          <w:p w14:paraId="63B1C9EB" w14:textId="666C15D9" w:rsidR="008653A8" w:rsidRPr="0047122F" w:rsidRDefault="008653A8" w:rsidP="00C02283">
            <w:pPr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1080" w:type="dxa"/>
            <w:noWrap/>
            <w:hideMark/>
          </w:tcPr>
          <w:p w14:paraId="369C1D2E" w14:textId="5B8F1360" w:rsidR="008653A8" w:rsidRPr="0047122F" w:rsidRDefault="008653A8" w:rsidP="00C02283">
            <w:pPr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1080" w:type="dxa"/>
            <w:noWrap/>
            <w:hideMark/>
          </w:tcPr>
          <w:p w14:paraId="1E183B44" w14:textId="1AE73925" w:rsidR="008653A8" w:rsidRPr="0047122F" w:rsidRDefault="008653A8" w:rsidP="00C02283">
            <w:pPr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1080" w:type="dxa"/>
            <w:noWrap/>
            <w:hideMark/>
          </w:tcPr>
          <w:p w14:paraId="22A6531B" w14:textId="3388102B" w:rsidR="008653A8" w:rsidRPr="0047122F" w:rsidRDefault="008653A8" w:rsidP="00C02283">
            <w:pPr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1080" w:type="dxa"/>
            <w:noWrap/>
            <w:hideMark/>
          </w:tcPr>
          <w:p w14:paraId="61CEFD83" w14:textId="77777777" w:rsidR="008653A8" w:rsidRPr="0047122F" w:rsidRDefault="008653A8" w:rsidP="00C02283">
            <w:pPr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lang w:val="uz-Cyrl-UZ"/>
              </w:rPr>
              <w:t>1</w:t>
            </w:r>
          </w:p>
        </w:tc>
      </w:tr>
      <w:tr w:rsidR="009436B5" w:rsidRPr="0047122F" w14:paraId="266B5926" w14:textId="77777777" w:rsidTr="00C02283">
        <w:trPr>
          <w:trHeight w:val="300"/>
        </w:trPr>
        <w:tc>
          <w:tcPr>
            <w:tcW w:w="1081" w:type="dxa"/>
            <w:noWrap/>
            <w:hideMark/>
          </w:tcPr>
          <w:p w14:paraId="28067B4C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>7</w:t>
            </w:r>
          </w:p>
        </w:tc>
        <w:tc>
          <w:tcPr>
            <w:tcW w:w="1079" w:type="dxa"/>
            <w:noWrap/>
            <w:hideMark/>
          </w:tcPr>
          <w:p w14:paraId="1BB4E1E3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291" w:type="dxa"/>
            <w:noWrap/>
            <w:hideMark/>
          </w:tcPr>
          <w:p w14:paraId="054A7BB0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>67</w:t>
            </w:r>
          </w:p>
        </w:tc>
        <w:tc>
          <w:tcPr>
            <w:tcW w:w="1049" w:type="dxa"/>
            <w:noWrap/>
            <w:hideMark/>
          </w:tcPr>
          <w:p w14:paraId="1577C796" w14:textId="05E0FF4A" w:rsidR="008653A8" w:rsidRPr="0047122F" w:rsidRDefault="008653A8" w:rsidP="00C02283">
            <w:pPr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1080" w:type="dxa"/>
            <w:noWrap/>
            <w:hideMark/>
          </w:tcPr>
          <w:p w14:paraId="2F308542" w14:textId="23AE802B" w:rsidR="008653A8" w:rsidRPr="0047122F" w:rsidRDefault="008653A8" w:rsidP="00C02283">
            <w:pPr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1080" w:type="dxa"/>
            <w:noWrap/>
            <w:hideMark/>
          </w:tcPr>
          <w:p w14:paraId="7374FE8E" w14:textId="7877B3A1" w:rsidR="008653A8" w:rsidRPr="0047122F" w:rsidRDefault="008653A8" w:rsidP="00C02283">
            <w:pPr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1080" w:type="dxa"/>
            <w:noWrap/>
            <w:hideMark/>
          </w:tcPr>
          <w:p w14:paraId="6A5675A9" w14:textId="233328AB" w:rsidR="008653A8" w:rsidRPr="0047122F" w:rsidRDefault="008653A8" w:rsidP="00C02283">
            <w:pPr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1080" w:type="dxa"/>
            <w:noWrap/>
            <w:hideMark/>
          </w:tcPr>
          <w:p w14:paraId="11ECB9C7" w14:textId="7CABE14A" w:rsidR="008653A8" w:rsidRPr="0047122F" w:rsidRDefault="008653A8" w:rsidP="00C02283">
            <w:pPr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1080" w:type="dxa"/>
            <w:noWrap/>
            <w:hideMark/>
          </w:tcPr>
          <w:p w14:paraId="419FB18E" w14:textId="68EEC46C" w:rsidR="008653A8" w:rsidRPr="0047122F" w:rsidRDefault="008653A8" w:rsidP="00C02283">
            <w:pPr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</w:tr>
      <w:tr w:rsidR="009436B5" w:rsidRPr="0047122F" w14:paraId="25D0FEC9" w14:textId="77777777" w:rsidTr="00C02283">
        <w:trPr>
          <w:trHeight w:val="300"/>
        </w:trPr>
        <w:tc>
          <w:tcPr>
            <w:tcW w:w="1081" w:type="dxa"/>
            <w:noWrap/>
            <w:hideMark/>
          </w:tcPr>
          <w:p w14:paraId="7F47C1FF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1079" w:type="dxa"/>
            <w:noWrap/>
            <w:hideMark/>
          </w:tcPr>
          <w:p w14:paraId="7EEA4081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291" w:type="dxa"/>
            <w:noWrap/>
            <w:hideMark/>
          </w:tcPr>
          <w:p w14:paraId="7BB99237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>74</w:t>
            </w:r>
          </w:p>
        </w:tc>
        <w:tc>
          <w:tcPr>
            <w:tcW w:w="1049" w:type="dxa"/>
            <w:noWrap/>
            <w:hideMark/>
          </w:tcPr>
          <w:p w14:paraId="192B43D7" w14:textId="2AF25CD8" w:rsidR="008653A8" w:rsidRPr="0047122F" w:rsidRDefault="008653A8" w:rsidP="00C02283">
            <w:pPr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1080" w:type="dxa"/>
            <w:noWrap/>
            <w:hideMark/>
          </w:tcPr>
          <w:p w14:paraId="2BD64C53" w14:textId="2EE09CBE" w:rsidR="008653A8" w:rsidRPr="0047122F" w:rsidRDefault="008653A8" w:rsidP="00C02283">
            <w:pPr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1080" w:type="dxa"/>
            <w:noWrap/>
            <w:hideMark/>
          </w:tcPr>
          <w:p w14:paraId="573ACEFD" w14:textId="79E9E96E" w:rsidR="008653A8" w:rsidRPr="0047122F" w:rsidRDefault="008653A8" w:rsidP="00C02283">
            <w:pPr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1080" w:type="dxa"/>
            <w:noWrap/>
            <w:hideMark/>
          </w:tcPr>
          <w:p w14:paraId="06239AA7" w14:textId="1DAD1AF2" w:rsidR="008653A8" w:rsidRPr="0047122F" w:rsidRDefault="008653A8" w:rsidP="00C02283">
            <w:pPr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1080" w:type="dxa"/>
            <w:noWrap/>
            <w:hideMark/>
          </w:tcPr>
          <w:p w14:paraId="1EF0AADF" w14:textId="14EF84AB" w:rsidR="008653A8" w:rsidRPr="0047122F" w:rsidRDefault="008653A8" w:rsidP="00C02283">
            <w:pPr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1080" w:type="dxa"/>
            <w:noWrap/>
            <w:hideMark/>
          </w:tcPr>
          <w:p w14:paraId="11D7FB51" w14:textId="43C143ED" w:rsidR="008653A8" w:rsidRPr="0047122F" w:rsidRDefault="008653A8" w:rsidP="00C02283">
            <w:pPr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</w:tr>
      <w:tr w:rsidR="009436B5" w:rsidRPr="0047122F" w14:paraId="64B3CB5E" w14:textId="77777777" w:rsidTr="00C02283">
        <w:trPr>
          <w:trHeight w:val="315"/>
        </w:trPr>
        <w:tc>
          <w:tcPr>
            <w:tcW w:w="1081" w:type="dxa"/>
            <w:noWrap/>
            <w:hideMark/>
          </w:tcPr>
          <w:p w14:paraId="5DCB2CE0" w14:textId="77777777" w:rsidR="008653A8" w:rsidRPr="0047122F" w:rsidRDefault="008653A8" w:rsidP="00C02283">
            <w:pPr>
              <w:rPr>
                <w:rFonts w:ascii="Roboto" w:eastAsia="Times New Roman" w:hAnsi="Roboto" w:cs="Times New Roman"/>
                <w:color w:val="000000"/>
                <w:sz w:val="24"/>
                <w:szCs w:val="24"/>
                <w:lang w:val="uz-Cyrl-UZ"/>
              </w:rPr>
            </w:pPr>
            <w:r w:rsidRPr="00C0228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1079" w:type="dxa"/>
            <w:noWrap/>
            <w:hideMark/>
          </w:tcPr>
          <w:p w14:paraId="56856EA2" w14:textId="77777777" w:rsidR="008653A8" w:rsidRPr="0047122F" w:rsidRDefault="008653A8" w:rsidP="00C02283">
            <w:pPr>
              <w:rPr>
                <w:rFonts w:ascii="Roboto" w:eastAsia="Times New Roman" w:hAnsi="Roboto" w:cs="Times New Roman"/>
                <w:color w:val="000000"/>
                <w:sz w:val="24"/>
                <w:szCs w:val="24"/>
                <w:lang w:val="uz-Cyrl-UZ"/>
              </w:rPr>
            </w:pPr>
            <w:r w:rsidRPr="0047122F">
              <w:rPr>
                <w:rFonts w:ascii="Roboto" w:eastAsia="Times New Roman" w:hAnsi="Roboto" w:cs="Times New Roman"/>
                <w:color w:val="000000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291" w:type="dxa"/>
            <w:noWrap/>
            <w:hideMark/>
          </w:tcPr>
          <w:p w14:paraId="57F20DD9" w14:textId="77777777" w:rsidR="008653A8" w:rsidRPr="0047122F" w:rsidRDefault="008653A8" w:rsidP="00C0228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</w:pPr>
            <w:r w:rsidRPr="004712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z-Cyrl-UZ"/>
              </w:rPr>
              <w:t>81 (max 85)</w:t>
            </w:r>
          </w:p>
        </w:tc>
        <w:tc>
          <w:tcPr>
            <w:tcW w:w="1049" w:type="dxa"/>
            <w:noWrap/>
            <w:hideMark/>
          </w:tcPr>
          <w:p w14:paraId="7C0A253B" w14:textId="6857B097" w:rsidR="008653A8" w:rsidRPr="0047122F" w:rsidRDefault="008653A8" w:rsidP="00C02283">
            <w:pPr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1080" w:type="dxa"/>
            <w:noWrap/>
            <w:hideMark/>
          </w:tcPr>
          <w:p w14:paraId="2C433BC0" w14:textId="071E745D" w:rsidR="008653A8" w:rsidRPr="0047122F" w:rsidRDefault="008653A8" w:rsidP="00C02283">
            <w:pPr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1080" w:type="dxa"/>
            <w:noWrap/>
            <w:hideMark/>
          </w:tcPr>
          <w:p w14:paraId="2A57FD35" w14:textId="3662CFA7" w:rsidR="008653A8" w:rsidRPr="0047122F" w:rsidRDefault="008653A8" w:rsidP="00C02283">
            <w:pPr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1080" w:type="dxa"/>
            <w:noWrap/>
            <w:hideMark/>
          </w:tcPr>
          <w:p w14:paraId="0C99A689" w14:textId="07C51888" w:rsidR="008653A8" w:rsidRPr="0047122F" w:rsidRDefault="008653A8" w:rsidP="00C02283">
            <w:pPr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1080" w:type="dxa"/>
            <w:noWrap/>
            <w:hideMark/>
          </w:tcPr>
          <w:p w14:paraId="7D9685CC" w14:textId="2F4ACB3C" w:rsidR="008653A8" w:rsidRPr="0047122F" w:rsidRDefault="008653A8" w:rsidP="00C02283">
            <w:pPr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  <w:tc>
          <w:tcPr>
            <w:tcW w:w="1080" w:type="dxa"/>
            <w:noWrap/>
            <w:hideMark/>
          </w:tcPr>
          <w:p w14:paraId="1297CD83" w14:textId="63638E9E" w:rsidR="008653A8" w:rsidRPr="0047122F" w:rsidRDefault="008653A8" w:rsidP="00C02283">
            <w:pPr>
              <w:jc w:val="center"/>
              <w:rPr>
                <w:rFonts w:ascii="Calibri" w:eastAsia="Times New Roman" w:hAnsi="Calibri" w:cs="Times New Roman"/>
                <w:color w:val="000000"/>
                <w:lang w:val="uz-Cyrl-UZ"/>
              </w:rPr>
            </w:pPr>
          </w:p>
        </w:tc>
      </w:tr>
    </w:tbl>
    <w:p w14:paraId="608DB880" w14:textId="77777777" w:rsidR="003D2CC9" w:rsidRDefault="003D2CC9" w:rsidP="0047122F">
      <w:pPr>
        <w:jc w:val="both"/>
        <w:rPr>
          <w:sz w:val="24"/>
          <w:szCs w:val="24"/>
          <w:lang w:val="uz-Cyrl-UZ"/>
        </w:rPr>
      </w:pPr>
    </w:p>
    <w:p w14:paraId="2C41F7B9" w14:textId="78818888" w:rsidR="008959BB" w:rsidRPr="0047122F" w:rsidRDefault="005C4FD4" w:rsidP="0047122F">
      <w:pPr>
        <w:jc w:val="both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Ukupna procijenjena vrijednost</w:t>
      </w:r>
      <w:r w:rsidR="00DE0A22">
        <w:rPr>
          <w:sz w:val="24"/>
          <w:szCs w:val="24"/>
          <w:lang w:val="uz-Cyrl-UZ"/>
        </w:rPr>
        <w:t xml:space="preserve"> je 953.470,41 euro</w:t>
      </w:r>
      <w:r w:rsidR="00C42A50">
        <w:rPr>
          <w:sz w:val="24"/>
          <w:szCs w:val="24"/>
          <w:lang w:val="uz-Cyrl-UZ"/>
        </w:rPr>
        <w:t xml:space="preserve"> bez PDV-a</w:t>
      </w:r>
      <w:r w:rsidR="00DE0A22">
        <w:rPr>
          <w:sz w:val="24"/>
          <w:szCs w:val="24"/>
          <w:lang w:val="uz-Cyrl-UZ"/>
        </w:rPr>
        <w:t xml:space="preserve">. </w:t>
      </w:r>
      <w:r w:rsidR="00120813">
        <w:rPr>
          <w:sz w:val="24"/>
          <w:szCs w:val="24"/>
          <w:lang w:val="uz-Cyrl-UZ"/>
        </w:rPr>
        <w:t>Maksimalna cijena po m2 neto stambenog prostora je 662,13 eura</w:t>
      </w:r>
      <w:r w:rsidR="00C42A50">
        <w:rPr>
          <w:sz w:val="24"/>
          <w:szCs w:val="24"/>
          <w:lang w:val="uz-Cyrl-UZ"/>
        </w:rPr>
        <w:t xml:space="preserve"> bez PDV-a</w:t>
      </w:r>
      <w:r w:rsidR="00120813">
        <w:rPr>
          <w:sz w:val="24"/>
          <w:szCs w:val="24"/>
          <w:lang w:val="uz-Cyrl-UZ"/>
        </w:rPr>
        <w:t>.</w:t>
      </w:r>
    </w:p>
    <w:p w14:paraId="37EC0129" w14:textId="0DBA25EA" w:rsidR="008653A8" w:rsidRPr="0047122F" w:rsidRDefault="003D2CC9" w:rsidP="005D7A00">
      <w:pPr>
        <w:pStyle w:val="ListParagraph"/>
        <w:numPr>
          <w:ilvl w:val="0"/>
          <w:numId w:val="9"/>
        </w:numPr>
        <w:spacing w:before="240" w:after="120"/>
        <w:contextualSpacing w:val="0"/>
        <w:jc w:val="both"/>
        <w:rPr>
          <w:b/>
          <w:sz w:val="24"/>
          <w:szCs w:val="24"/>
          <w:lang w:val="uz-Cyrl-UZ"/>
        </w:rPr>
      </w:pPr>
      <w:r w:rsidRPr="0047122F">
        <w:rPr>
          <w:b/>
          <w:sz w:val="24"/>
          <w:szCs w:val="24"/>
          <w:lang w:val="uz-Cyrl-UZ"/>
        </w:rPr>
        <w:t xml:space="preserve">PONUDA TREBA DA </w:t>
      </w:r>
      <w:r w:rsidR="00E93B23" w:rsidRPr="0047122F">
        <w:rPr>
          <w:b/>
          <w:sz w:val="24"/>
          <w:szCs w:val="24"/>
          <w:lang w:val="uz-Cyrl-UZ"/>
        </w:rPr>
        <w:t>SADRŽI</w:t>
      </w:r>
      <w:r w:rsidRPr="0047122F">
        <w:rPr>
          <w:b/>
          <w:sz w:val="24"/>
          <w:szCs w:val="24"/>
          <w:lang w:val="uz-Cyrl-UZ"/>
        </w:rPr>
        <w:t xml:space="preserve"> </w:t>
      </w:r>
      <w:r w:rsidR="000A14C2" w:rsidRPr="0047122F">
        <w:rPr>
          <w:b/>
          <w:sz w:val="24"/>
          <w:szCs w:val="24"/>
          <w:lang w:val="uz-Cyrl-UZ"/>
        </w:rPr>
        <w:t xml:space="preserve">SLJEDEĆE </w:t>
      </w:r>
      <w:r w:rsidRPr="0047122F">
        <w:rPr>
          <w:b/>
          <w:sz w:val="24"/>
          <w:szCs w:val="24"/>
          <w:lang w:val="uz-Cyrl-UZ"/>
        </w:rPr>
        <w:t>– ZA SVE PONUĐAČE</w:t>
      </w:r>
    </w:p>
    <w:p w14:paraId="73F542A1" w14:textId="0354285E" w:rsidR="00E83322" w:rsidRPr="0047122F" w:rsidRDefault="00273110" w:rsidP="005D7A00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sz w:val="24"/>
          <w:szCs w:val="24"/>
          <w:lang w:val="uz-Cyrl-UZ"/>
        </w:rPr>
      </w:pPr>
      <w:r w:rsidRPr="0047122F">
        <w:rPr>
          <w:sz w:val="24"/>
          <w:szCs w:val="24"/>
          <w:lang w:val="uz-Cyrl-UZ"/>
        </w:rPr>
        <w:t>Dostaviti i</w:t>
      </w:r>
      <w:r w:rsidR="00E83322" w:rsidRPr="0047122F">
        <w:rPr>
          <w:sz w:val="24"/>
          <w:szCs w:val="24"/>
          <w:lang w:val="uz-Cyrl-UZ"/>
        </w:rPr>
        <w:t>me, prezime, adresa, JMB</w:t>
      </w:r>
      <w:r w:rsidR="0047122F">
        <w:rPr>
          <w:sz w:val="24"/>
          <w:szCs w:val="24"/>
          <w:lang w:val="uz-Cyrl-UZ"/>
        </w:rPr>
        <w:t>G</w:t>
      </w:r>
      <w:r w:rsidR="00E83322" w:rsidRPr="0047122F">
        <w:rPr>
          <w:sz w:val="24"/>
          <w:szCs w:val="24"/>
          <w:lang w:val="uz-Cyrl-UZ"/>
        </w:rPr>
        <w:t xml:space="preserve"> vlasnika (</w:t>
      </w:r>
      <w:r w:rsidR="00F67DAA">
        <w:rPr>
          <w:sz w:val="24"/>
          <w:szCs w:val="24"/>
          <w:lang w:val="uz-Cyrl-UZ"/>
        </w:rPr>
        <w:t>fizičko lice</w:t>
      </w:r>
      <w:r w:rsidR="00E83322" w:rsidRPr="0047122F">
        <w:rPr>
          <w:sz w:val="24"/>
          <w:szCs w:val="24"/>
          <w:lang w:val="uz-Cyrl-UZ"/>
        </w:rPr>
        <w:t>)</w:t>
      </w:r>
      <w:r w:rsidR="00F67DAA">
        <w:rPr>
          <w:sz w:val="24"/>
          <w:szCs w:val="24"/>
          <w:lang w:val="uz-Cyrl-UZ"/>
        </w:rPr>
        <w:t>, odnosno naziv, oblik privrednog društva, sjedište, PIB, ime i prezime ovlašćenog lica</w:t>
      </w:r>
      <w:r w:rsidR="008C402E">
        <w:rPr>
          <w:sz w:val="24"/>
          <w:szCs w:val="24"/>
          <w:lang w:val="uz-Cyrl-UZ"/>
        </w:rPr>
        <w:t xml:space="preserve"> (pravno lice),</w:t>
      </w:r>
      <w:r w:rsidR="00E83322" w:rsidRPr="0047122F">
        <w:rPr>
          <w:sz w:val="24"/>
          <w:szCs w:val="24"/>
          <w:lang w:val="uz-Cyrl-UZ"/>
        </w:rPr>
        <w:t xml:space="preserve"> sa podacima radi uspostavljanja kontakta (tel., fax, e-mail i sl);</w:t>
      </w:r>
    </w:p>
    <w:p w14:paraId="230A184C" w14:textId="77777777" w:rsidR="00EC2EB4" w:rsidRPr="0047122F" w:rsidRDefault="00273110" w:rsidP="005D7A00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cs="Calibri"/>
          <w:sz w:val="24"/>
          <w:szCs w:val="24"/>
          <w:lang w:val="uz-Cyrl-UZ"/>
        </w:rPr>
      </w:pPr>
      <w:r w:rsidRPr="0047122F">
        <w:rPr>
          <w:rFonts w:cs="Calibri"/>
          <w:sz w:val="24"/>
          <w:szCs w:val="24"/>
          <w:lang w:val="uz-Cyrl-UZ"/>
        </w:rPr>
        <w:t>Dostaviti d</w:t>
      </w:r>
      <w:r w:rsidR="00A7351B" w:rsidRPr="0047122F">
        <w:rPr>
          <w:rFonts w:cs="Calibri"/>
          <w:sz w:val="24"/>
          <w:szCs w:val="24"/>
          <w:lang w:val="uz-Cyrl-UZ"/>
        </w:rPr>
        <w:t>okaz o stvarnom vlasništvu bez tereta i ograničenja - List nepokretnosti koji je izvađen najkasnije 15 dana prije datuma prijema ponude</w:t>
      </w:r>
      <w:r w:rsidR="00AF62D0" w:rsidRPr="0047122F">
        <w:rPr>
          <w:rFonts w:cs="Calibri"/>
          <w:sz w:val="24"/>
          <w:szCs w:val="24"/>
          <w:lang w:val="uz-Cyrl-UZ"/>
        </w:rPr>
        <w:t>;</w:t>
      </w:r>
      <w:r w:rsidR="00A7351B" w:rsidRPr="0047122F">
        <w:rPr>
          <w:rFonts w:cs="Calibri"/>
          <w:sz w:val="24"/>
          <w:szCs w:val="24"/>
          <w:lang w:val="uz-Cyrl-UZ"/>
        </w:rPr>
        <w:t xml:space="preserve"> </w:t>
      </w:r>
    </w:p>
    <w:p w14:paraId="711CCEEC" w14:textId="77777777" w:rsidR="004C6A55" w:rsidRPr="004C6A55" w:rsidRDefault="00273110" w:rsidP="004C6A55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cs="Cambria"/>
          <w:sz w:val="24"/>
          <w:szCs w:val="24"/>
          <w:lang w:val="uz-Cyrl-UZ"/>
        </w:rPr>
      </w:pPr>
      <w:r w:rsidRPr="0047122F">
        <w:rPr>
          <w:rFonts w:cs="Calibri"/>
          <w:sz w:val="24"/>
          <w:szCs w:val="24"/>
          <w:lang w:val="uz-Cyrl-UZ"/>
        </w:rPr>
        <w:t>Dostaviti d</w:t>
      </w:r>
      <w:r w:rsidR="0058510B" w:rsidRPr="0047122F">
        <w:rPr>
          <w:rFonts w:cs="Calibri"/>
          <w:sz w:val="24"/>
          <w:szCs w:val="24"/>
          <w:lang w:val="uz-Cyrl-UZ"/>
        </w:rPr>
        <w:t>okaz da je objekat upisan u katastar nepokretnosti u skladu sa članom 104 Zakona o planiranju prostora i izgradnji objekata (Sl.</w:t>
      </w:r>
      <w:r w:rsidR="0047122F">
        <w:rPr>
          <w:rFonts w:cs="Calibri"/>
          <w:sz w:val="24"/>
          <w:szCs w:val="24"/>
          <w:lang w:val="uz-Cyrl-UZ"/>
        </w:rPr>
        <w:t xml:space="preserve"> </w:t>
      </w:r>
      <w:r w:rsidR="0058510B" w:rsidRPr="0047122F">
        <w:rPr>
          <w:rFonts w:cs="Calibri"/>
          <w:sz w:val="24"/>
          <w:szCs w:val="24"/>
          <w:lang w:val="uz-Cyrl-UZ"/>
        </w:rPr>
        <w:t>list</w:t>
      </w:r>
      <w:r w:rsidR="0047122F">
        <w:rPr>
          <w:rFonts w:cs="Calibri"/>
          <w:sz w:val="24"/>
          <w:szCs w:val="24"/>
          <w:lang w:val="uz-Cyrl-UZ"/>
        </w:rPr>
        <w:t xml:space="preserve"> Crne Gore</w:t>
      </w:r>
      <w:r w:rsidR="005D7A00">
        <w:rPr>
          <w:rFonts w:cs="Calibri"/>
          <w:sz w:val="24"/>
          <w:szCs w:val="24"/>
          <w:lang w:val="uz-Cyrl-UZ"/>
        </w:rPr>
        <w:t xml:space="preserve"> 064/17);</w:t>
      </w:r>
    </w:p>
    <w:p w14:paraId="3AD96C76" w14:textId="57277809" w:rsidR="0058510B" w:rsidRPr="004C6A55" w:rsidRDefault="00DC6134" w:rsidP="004C6A55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cs="Cambria"/>
          <w:sz w:val="24"/>
          <w:szCs w:val="24"/>
          <w:lang w:val="uz-Cyrl-UZ"/>
        </w:rPr>
      </w:pPr>
      <w:r w:rsidRPr="004C6A55">
        <w:rPr>
          <w:rFonts w:cs="Calibri"/>
          <w:sz w:val="24"/>
          <w:szCs w:val="24"/>
          <w:lang w:val="uz-Cyrl-UZ"/>
        </w:rPr>
        <w:t>Dostaviti</w:t>
      </w:r>
      <w:r w:rsidR="0058510B" w:rsidRPr="004C6A55">
        <w:rPr>
          <w:rFonts w:cs="Calibri"/>
          <w:sz w:val="24"/>
          <w:szCs w:val="24"/>
          <w:lang w:val="uz-Cyrl-UZ"/>
        </w:rPr>
        <w:t xml:space="preserve"> važeću </w:t>
      </w:r>
      <w:r w:rsidR="00256966" w:rsidRPr="004C6A55">
        <w:rPr>
          <w:rFonts w:cs="Calibri"/>
          <w:sz w:val="24"/>
          <w:szCs w:val="24"/>
          <w:lang w:val="uz-Cyrl-UZ"/>
        </w:rPr>
        <w:t>U</w:t>
      </w:r>
      <w:r w:rsidR="0058510B" w:rsidRPr="004C6A55">
        <w:rPr>
          <w:rFonts w:cs="Calibri"/>
          <w:sz w:val="24"/>
          <w:szCs w:val="24"/>
          <w:lang w:val="uz-Cyrl-UZ"/>
        </w:rPr>
        <w:t>potrebnu dozvolu</w:t>
      </w:r>
      <w:r w:rsidR="0058510B" w:rsidRPr="004C6A55">
        <w:rPr>
          <w:rFonts w:cs="Calibri"/>
          <w:b/>
          <w:sz w:val="24"/>
          <w:szCs w:val="24"/>
          <w:lang w:val="uz-Cyrl-UZ"/>
        </w:rPr>
        <w:t xml:space="preserve"> </w:t>
      </w:r>
      <w:r w:rsidR="0058510B" w:rsidRPr="004C6A55">
        <w:rPr>
          <w:rFonts w:cs="Calibri"/>
          <w:sz w:val="24"/>
          <w:szCs w:val="24"/>
          <w:lang w:val="uz-Cyrl-UZ"/>
        </w:rPr>
        <w:t>u skladu sa članom 121 Zakona o uređenju prostora i izgradnji objekata (Sl.</w:t>
      </w:r>
      <w:r w:rsidR="0047122F" w:rsidRPr="004C6A55">
        <w:rPr>
          <w:rFonts w:cs="Calibri"/>
          <w:sz w:val="24"/>
          <w:szCs w:val="24"/>
          <w:lang w:val="uz-Cyrl-UZ"/>
        </w:rPr>
        <w:t xml:space="preserve"> L</w:t>
      </w:r>
      <w:r w:rsidR="0058510B" w:rsidRPr="004C6A55">
        <w:rPr>
          <w:rFonts w:cs="Calibri"/>
          <w:sz w:val="24"/>
          <w:szCs w:val="24"/>
          <w:lang w:val="uz-Cyrl-UZ"/>
        </w:rPr>
        <w:t>ist</w:t>
      </w:r>
      <w:r w:rsidR="0047122F" w:rsidRPr="004C6A55">
        <w:rPr>
          <w:rFonts w:cs="Calibri"/>
          <w:sz w:val="24"/>
          <w:szCs w:val="24"/>
          <w:lang w:val="uz-Cyrl-UZ"/>
        </w:rPr>
        <w:t xml:space="preserve"> Crne Gore</w:t>
      </w:r>
      <w:r w:rsidR="0058510B" w:rsidRPr="004C6A55">
        <w:rPr>
          <w:rFonts w:cs="Calibri"/>
          <w:sz w:val="24"/>
          <w:szCs w:val="24"/>
          <w:lang w:val="uz-Cyrl-UZ"/>
        </w:rPr>
        <w:t xml:space="preserve"> </w:t>
      </w:r>
      <w:r w:rsidR="0058510B" w:rsidRPr="004C6A55">
        <w:rPr>
          <w:rFonts w:cs="Cambria"/>
          <w:sz w:val="24"/>
          <w:szCs w:val="24"/>
          <w:lang w:val="uz-Cyrl-UZ"/>
        </w:rPr>
        <w:t>40/</w:t>
      </w:r>
      <w:r w:rsidR="00256966" w:rsidRPr="004C6A55">
        <w:rPr>
          <w:rFonts w:cs="Cambria"/>
          <w:sz w:val="24"/>
          <w:szCs w:val="24"/>
          <w:lang w:val="uz-Cyrl-UZ"/>
        </w:rPr>
        <w:t>10, 34/11, 47/11, 35/13, 39/13)</w:t>
      </w:r>
      <w:r w:rsidRPr="004C6A55">
        <w:rPr>
          <w:rFonts w:cs="Cambria"/>
          <w:sz w:val="24"/>
          <w:szCs w:val="24"/>
          <w:lang w:val="uz-Cyrl-UZ"/>
        </w:rPr>
        <w:t>,</w:t>
      </w:r>
      <w:r w:rsidR="009430F8">
        <w:rPr>
          <w:rFonts w:cs="Cambria"/>
          <w:sz w:val="24"/>
          <w:szCs w:val="24"/>
          <w:lang w:val="uz-Cyrl-UZ"/>
        </w:rPr>
        <w:t xml:space="preserve"> </w:t>
      </w:r>
      <w:r w:rsidRPr="004C6A55">
        <w:rPr>
          <w:rFonts w:cs="Cambria"/>
          <w:sz w:val="24"/>
          <w:szCs w:val="24"/>
          <w:lang w:val="uz-Cyrl-UZ"/>
        </w:rPr>
        <w:t>z</w:t>
      </w:r>
      <w:r w:rsidRPr="004C6A55">
        <w:rPr>
          <w:rFonts w:cs="Calibri"/>
          <w:sz w:val="24"/>
          <w:szCs w:val="24"/>
          <w:lang w:val="uz-Cyrl-UZ"/>
        </w:rPr>
        <w:t>a objekte koji su izgrađeni prije početka primjene naprijed navedenog zakona</w:t>
      </w:r>
      <w:r w:rsidR="0058510B" w:rsidRPr="004C6A55">
        <w:rPr>
          <w:rFonts w:cs="Cambria"/>
          <w:sz w:val="24"/>
          <w:szCs w:val="24"/>
          <w:lang w:val="uz-Cyrl-UZ"/>
        </w:rPr>
        <w:t>.</w:t>
      </w:r>
      <w:r w:rsidR="008E5DD1" w:rsidRPr="004C6A55">
        <w:rPr>
          <w:rFonts w:cs="Cambria"/>
          <w:sz w:val="24"/>
          <w:szCs w:val="24"/>
          <w:lang w:val="uz-Cyrl-UZ"/>
        </w:rPr>
        <w:t xml:space="preserve"> </w:t>
      </w:r>
      <w:r w:rsidR="0079576A" w:rsidRPr="004C6A55">
        <w:rPr>
          <w:sz w:val="24"/>
          <w:szCs w:val="24"/>
          <w:lang w:val="uz-Cyrl-UZ"/>
        </w:rPr>
        <w:t xml:space="preserve">Napomena : Upotrebna dozvola nije potrebna za zgrade izgrađene prije 1979. godine; </w:t>
      </w:r>
    </w:p>
    <w:p w14:paraId="0B7E0700" w14:textId="2034DFA4" w:rsidR="00DE22F6" w:rsidRDefault="00A7351B" w:rsidP="00DE22F6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sz w:val="24"/>
          <w:szCs w:val="24"/>
          <w:lang w:val="uz-Cyrl-UZ"/>
        </w:rPr>
      </w:pPr>
      <w:r w:rsidRPr="0047122F">
        <w:rPr>
          <w:sz w:val="24"/>
          <w:szCs w:val="24"/>
          <w:lang w:val="uz-Cyrl-UZ"/>
        </w:rPr>
        <w:t>Ako ponuđač nije vlasnik nekretnine</w:t>
      </w:r>
      <w:r w:rsidR="00256966" w:rsidRPr="0047122F">
        <w:rPr>
          <w:sz w:val="24"/>
          <w:szCs w:val="24"/>
          <w:lang w:val="uz-Cyrl-UZ"/>
        </w:rPr>
        <w:t>, dostaviti</w:t>
      </w:r>
      <w:r w:rsidRPr="0047122F">
        <w:rPr>
          <w:sz w:val="24"/>
          <w:szCs w:val="24"/>
          <w:lang w:val="uz-Cyrl-UZ"/>
        </w:rPr>
        <w:t xml:space="preserve"> Rješenje o registraciji za obavljanje poslova u prometu nekretnina i dokaz o ovlaštenju za obavljanje kupoprodajnih radnji (ugovor, nalog , punomoć</w:t>
      </w:r>
      <w:r w:rsidR="009430F8">
        <w:rPr>
          <w:sz w:val="24"/>
          <w:szCs w:val="24"/>
          <w:lang w:val="uz-Cyrl-UZ"/>
        </w:rPr>
        <w:t>je</w:t>
      </w:r>
      <w:r w:rsidRPr="0047122F">
        <w:rPr>
          <w:sz w:val="24"/>
          <w:szCs w:val="24"/>
          <w:lang w:val="uz-Cyrl-UZ"/>
        </w:rPr>
        <w:t xml:space="preserve"> i sl.)</w:t>
      </w:r>
      <w:r w:rsidR="008E5DD1">
        <w:rPr>
          <w:sz w:val="24"/>
          <w:szCs w:val="24"/>
          <w:lang w:val="uz-Cyrl-UZ"/>
        </w:rPr>
        <w:t xml:space="preserve">. </w:t>
      </w:r>
      <w:r w:rsidR="008E5DD1">
        <w:rPr>
          <w:rFonts w:cs="Calibri"/>
          <w:sz w:val="24"/>
          <w:szCs w:val="24"/>
          <w:lang w:val="uz-Cyrl-UZ"/>
        </w:rPr>
        <w:t>Ovaj dokaz dostavlja samo ponuđač koji je pravno lice.</w:t>
      </w:r>
      <w:r w:rsidRPr="0047122F">
        <w:rPr>
          <w:sz w:val="24"/>
          <w:szCs w:val="24"/>
          <w:lang w:val="uz-Cyrl-UZ"/>
        </w:rPr>
        <w:t>;</w:t>
      </w:r>
    </w:p>
    <w:p w14:paraId="4877213B" w14:textId="7CDF3961" w:rsidR="00A7351B" w:rsidRPr="00DE22F6" w:rsidRDefault="00273110" w:rsidP="00DE22F6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sz w:val="24"/>
          <w:szCs w:val="24"/>
          <w:lang w:val="uz-Cyrl-UZ"/>
        </w:rPr>
      </w:pPr>
      <w:r w:rsidRPr="00DE22F6">
        <w:rPr>
          <w:sz w:val="24"/>
          <w:szCs w:val="24"/>
          <w:lang w:val="uz-Cyrl-UZ"/>
        </w:rPr>
        <w:t>Dostaviti o</w:t>
      </w:r>
      <w:r w:rsidR="00A7351B" w:rsidRPr="00DE22F6">
        <w:rPr>
          <w:sz w:val="24"/>
          <w:szCs w:val="24"/>
          <w:lang w:val="uz-Cyrl-UZ"/>
        </w:rPr>
        <w:t>snovu</w:t>
      </w:r>
      <w:r w:rsidR="002125D9" w:rsidRPr="00DE22F6">
        <w:rPr>
          <w:sz w:val="24"/>
          <w:szCs w:val="24"/>
          <w:lang w:val="uz-Cyrl-UZ"/>
        </w:rPr>
        <w:t xml:space="preserve"> (skicu)</w:t>
      </w:r>
      <w:r w:rsidR="00A7351B" w:rsidRPr="00DE22F6">
        <w:rPr>
          <w:sz w:val="24"/>
          <w:szCs w:val="24"/>
          <w:lang w:val="uz-Cyrl-UZ"/>
        </w:rPr>
        <w:t xml:space="preserve"> nekretnine</w:t>
      </w:r>
      <w:r w:rsidR="00A73C0D" w:rsidRPr="00DE22F6">
        <w:rPr>
          <w:sz w:val="24"/>
          <w:szCs w:val="24"/>
          <w:lang w:val="uz-Cyrl-UZ"/>
        </w:rPr>
        <w:t xml:space="preserve"> - stana</w:t>
      </w:r>
      <w:r w:rsidR="00A7351B" w:rsidRPr="00DE22F6">
        <w:rPr>
          <w:sz w:val="24"/>
          <w:szCs w:val="24"/>
          <w:lang w:val="uz-Cyrl-UZ"/>
        </w:rPr>
        <w:t xml:space="preserve"> sa opisom prostorija i iskazanim </w:t>
      </w:r>
      <w:r w:rsidR="002125D9" w:rsidRPr="00DE22F6">
        <w:rPr>
          <w:sz w:val="24"/>
          <w:szCs w:val="24"/>
          <w:lang w:val="uz-Cyrl-UZ"/>
        </w:rPr>
        <w:t xml:space="preserve">neto </w:t>
      </w:r>
      <w:r w:rsidR="00A7351B" w:rsidRPr="00DE22F6">
        <w:rPr>
          <w:sz w:val="24"/>
          <w:szCs w:val="24"/>
          <w:lang w:val="uz-Cyrl-UZ"/>
        </w:rPr>
        <w:t>površinama</w:t>
      </w:r>
      <w:r w:rsidRPr="00DE22F6">
        <w:rPr>
          <w:sz w:val="24"/>
          <w:szCs w:val="24"/>
          <w:lang w:val="uz-Cyrl-UZ"/>
        </w:rPr>
        <w:t xml:space="preserve"> raspoloživog prostora</w:t>
      </w:r>
      <w:r w:rsidR="00A7351B" w:rsidRPr="00DE22F6">
        <w:rPr>
          <w:sz w:val="24"/>
          <w:szCs w:val="24"/>
          <w:lang w:val="uz-Cyrl-UZ"/>
        </w:rPr>
        <w:t>;</w:t>
      </w:r>
    </w:p>
    <w:p w14:paraId="1D42B17F" w14:textId="77777777" w:rsidR="00A7351B" w:rsidRPr="0047122F" w:rsidRDefault="002C4B91" w:rsidP="005D7A00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sz w:val="24"/>
          <w:szCs w:val="24"/>
          <w:lang w:val="uz-Cyrl-UZ"/>
        </w:rPr>
      </w:pPr>
      <w:r w:rsidRPr="0047122F">
        <w:rPr>
          <w:sz w:val="24"/>
          <w:szCs w:val="24"/>
          <w:lang w:val="uz-Cyrl-UZ"/>
        </w:rPr>
        <w:t>Dostaviti o</w:t>
      </w:r>
      <w:r w:rsidR="00A7351B" w:rsidRPr="0047122F">
        <w:rPr>
          <w:sz w:val="24"/>
          <w:szCs w:val="24"/>
          <w:lang w:val="uz-Cyrl-UZ"/>
        </w:rPr>
        <w:t>pis opreme nekretnine (zidne i podne obloge, grijanje i sl.);</w:t>
      </w:r>
    </w:p>
    <w:p w14:paraId="22A01F8B" w14:textId="77777777" w:rsidR="00A7351B" w:rsidRPr="0047122F" w:rsidRDefault="00273110" w:rsidP="005D7A00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sz w:val="24"/>
          <w:szCs w:val="24"/>
          <w:lang w:val="uz-Cyrl-UZ"/>
        </w:rPr>
      </w:pPr>
      <w:r w:rsidRPr="0047122F">
        <w:rPr>
          <w:sz w:val="24"/>
          <w:szCs w:val="24"/>
          <w:lang w:val="uz-Cyrl-UZ"/>
        </w:rPr>
        <w:t>Dostaviti p</w:t>
      </w:r>
      <w:r w:rsidR="00A7351B" w:rsidRPr="0047122F">
        <w:rPr>
          <w:sz w:val="24"/>
          <w:szCs w:val="24"/>
          <w:lang w:val="uz-Cyrl-UZ"/>
        </w:rPr>
        <w:t>odatak o godini izgradnje objekta u kojoj se stan nalazi;</w:t>
      </w:r>
    </w:p>
    <w:p w14:paraId="7A24CBAF" w14:textId="7C0192E1" w:rsidR="00016DCA" w:rsidRPr="00294F0D" w:rsidRDefault="00273110" w:rsidP="0047122F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uz-Cyrl-UZ"/>
        </w:rPr>
      </w:pPr>
      <w:r w:rsidRPr="007E2E32">
        <w:rPr>
          <w:sz w:val="24"/>
          <w:szCs w:val="24"/>
          <w:lang w:val="uz-Cyrl-UZ"/>
        </w:rPr>
        <w:t>Dostaviti u</w:t>
      </w:r>
      <w:r w:rsidR="008F7071" w:rsidRPr="007E2E32">
        <w:rPr>
          <w:sz w:val="24"/>
          <w:szCs w:val="24"/>
          <w:lang w:val="uz-Cyrl-UZ"/>
        </w:rPr>
        <w:t>kupn</w:t>
      </w:r>
      <w:r w:rsidRPr="007E2E32">
        <w:rPr>
          <w:sz w:val="24"/>
          <w:szCs w:val="24"/>
          <w:lang w:val="uz-Cyrl-UZ"/>
        </w:rPr>
        <w:t>u</w:t>
      </w:r>
      <w:r w:rsidR="008F7071" w:rsidRPr="007E2E32">
        <w:rPr>
          <w:sz w:val="24"/>
          <w:szCs w:val="24"/>
          <w:lang w:val="uz-Cyrl-UZ"/>
        </w:rPr>
        <w:t xml:space="preserve"> cijen</w:t>
      </w:r>
      <w:r w:rsidRPr="007E2E32">
        <w:rPr>
          <w:sz w:val="24"/>
          <w:szCs w:val="24"/>
          <w:lang w:val="uz-Cyrl-UZ"/>
        </w:rPr>
        <w:t>u</w:t>
      </w:r>
      <w:r w:rsidR="00786E82">
        <w:rPr>
          <w:sz w:val="24"/>
          <w:szCs w:val="24"/>
          <w:lang w:val="uz-Cyrl-UZ"/>
        </w:rPr>
        <w:t xml:space="preserve"> za ponuđenu nekretninu</w:t>
      </w:r>
      <w:r w:rsidR="008F7071" w:rsidRPr="007E2E32">
        <w:rPr>
          <w:sz w:val="24"/>
          <w:szCs w:val="24"/>
          <w:lang w:val="uz-Cyrl-UZ"/>
        </w:rPr>
        <w:t xml:space="preserve"> </w:t>
      </w:r>
      <w:r w:rsidR="008F7071" w:rsidRPr="007E2E32">
        <w:rPr>
          <w:b/>
          <w:sz w:val="24"/>
          <w:szCs w:val="24"/>
          <w:lang w:val="uz-Cyrl-UZ"/>
        </w:rPr>
        <w:t>iskazan</w:t>
      </w:r>
      <w:r w:rsidRPr="007E2E32">
        <w:rPr>
          <w:b/>
          <w:sz w:val="24"/>
          <w:szCs w:val="24"/>
          <w:lang w:val="uz-Cyrl-UZ"/>
        </w:rPr>
        <w:t>u</w:t>
      </w:r>
      <w:r w:rsidR="008F7071" w:rsidRPr="007E2E32">
        <w:rPr>
          <w:b/>
          <w:sz w:val="24"/>
          <w:szCs w:val="24"/>
          <w:lang w:val="uz-Cyrl-UZ"/>
        </w:rPr>
        <w:t xml:space="preserve"> u Eurima</w:t>
      </w:r>
      <w:r w:rsidR="00C02283" w:rsidRPr="007E2E32">
        <w:rPr>
          <w:b/>
          <w:sz w:val="24"/>
          <w:szCs w:val="24"/>
          <w:lang w:val="uz-Cyrl-UZ"/>
        </w:rPr>
        <w:t>.</w:t>
      </w:r>
    </w:p>
    <w:p w14:paraId="78B34FC3" w14:textId="613A9586" w:rsidR="00294F0D" w:rsidRDefault="00294F0D" w:rsidP="00294F0D">
      <w:pPr>
        <w:ind w:left="360"/>
        <w:jc w:val="both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Ponuđač je dužan iskazati ukupno ponuđenu cijenu.</w:t>
      </w:r>
    </w:p>
    <w:p w14:paraId="5848F681" w14:textId="636CCCBB" w:rsidR="00862039" w:rsidRDefault="00284F69" w:rsidP="00294F0D">
      <w:pPr>
        <w:ind w:left="360"/>
        <w:jc w:val="both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Fizičko lice kao ponuđa</w:t>
      </w:r>
      <w:r w:rsidR="00786E82">
        <w:rPr>
          <w:sz w:val="24"/>
          <w:szCs w:val="24"/>
          <w:lang w:val="uz-Cyrl-UZ"/>
        </w:rPr>
        <w:t>č</w:t>
      </w:r>
      <w:r>
        <w:rPr>
          <w:sz w:val="24"/>
          <w:szCs w:val="24"/>
          <w:lang w:val="uz-Cyrl-UZ"/>
        </w:rPr>
        <w:t xml:space="preserve"> iskazuje cijenu bez uračunatog PDV-a.</w:t>
      </w:r>
    </w:p>
    <w:p w14:paraId="2EF8F193" w14:textId="4C17D3AB" w:rsidR="00284F69" w:rsidRDefault="00284F69" w:rsidP="00294F0D">
      <w:pPr>
        <w:ind w:left="360"/>
        <w:jc w:val="both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Pravno lice kao ponuđač iskazuje cijenu na slijedeći način:</w:t>
      </w:r>
    </w:p>
    <w:p w14:paraId="1B093A8C" w14:textId="4E6CE723" w:rsidR="00284F69" w:rsidRDefault="00284F69" w:rsidP="00294F0D">
      <w:pPr>
        <w:ind w:left="360"/>
        <w:jc w:val="both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Neto cijena ________ eura</w:t>
      </w:r>
    </w:p>
    <w:p w14:paraId="41F3FC42" w14:textId="42EC0401" w:rsidR="00284F69" w:rsidRDefault="00284F69" w:rsidP="00294F0D">
      <w:pPr>
        <w:ind w:left="360"/>
        <w:jc w:val="both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lastRenderedPageBreak/>
        <w:t>PDV:  _________ eura</w:t>
      </w:r>
    </w:p>
    <w:p w14:paraId="038F3661" w14:textId="77777777" w:rsidR="00A75E50" w:rsidRDefault="00284F69" w:rsidP="00A75E50">
      <w:pPr>
        <w:ind w:left="360"/>
        <w:jc w:val="both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Ukupna ponuđena cijena: ____________ eura.</w:t>
      </w:r>
    </w:p>
    <w:p w14:paraId="0392A47B" w14:textId="76AE6613" w:rsidR="00A75E50" w:rsidRPr="00294F0D" w:rsidRDefault="00A75E50" w:rsidP="00A75E50">
      <w:pPr>
        <w:ind w:left="360"/>
        <w:jc w:val="both"/>
        <w:rPr>
          <w:sz w:val="24"/>
          <w:szCs w:val="24"/>
          <w:lang w:val="uz-Cyrl-UZ"/>
        </w:rPr>
      </w:pPr>
      <w:r>
        <w:rPr>
          <w:sz w:val="24"/>
          <w:szCs w:val="24"/>
          <w:lang w:val="sq-AL"/>
        </w:rPr>
        <w:t>Napomena: Svi Regionalni stambeni projekti</w:t>
      </w:r>
      <w:r w:rsidRPr="00A75E50">
        <w:rPr>
          <w:sz w:val="24"/>
          <w:szCs w:val="24"/>
          <w:lang w:val="sq-AL"/>
        </w:rPr>
        <w:t xml:space="preserve"> su oslobođeni PDV-a</w:t>
      </w:r>
      <w:r w:rsidR="00E078B6">
        <w:rPr>
          <w:sz w:val="24"/>
          <w:szCs w:val="24"/>
          <w:lang w:val="sq-AL"/>
        </w:rPr>
        <w:t xml:space="preserve"> i u tom smislu će biti </w:t>
      </w:r>
      <w:r w:rsidR="00D10BC3">
        <w:rPr>
          <w:sz w:val="24"/>
          <w:szCs w:val="24"/>
          <w:lang w:val="sq-AL"/>
        </w:rPr>
        <w:t>o</w:t>
      </w:r>
      <w:r w:rsidR="00E078B6">
        <w:rPr>
          <w:sz w:val="24"/>
          <w:szCs w:val="24"/>
          <w:lang w:val="sq-AL"/>
        </w:rPr>
        <w:t>bezbijeđena odgovarajuća poreska potvrda</w:t>
      </w:r>
      <w:r w:rsidRPr="00A75E50">
        <w:rPr>
          <w:sz w:val="24"/>
          <w:szCs w:val="24"/>
          <w:lang w:val="sq-AL"/>
        </w:rPr>
        <w:t>.</w:t>
      </w:r>
    </w:p>
    <w:p w14:paraId="70A6ECC9" w14:textId="5D30CCFB" w:rsidR="00C537DF" w:rsidRPr="0047122F" w:rsidRDefault="00C537DF" w:rsidP="005D7A00">
      <w:pPr>
        <w:pStyle w:val="ListParagraph"/>
        <w:numPr>
          <w:ilvl w:val="0"/>
          <w:numId w:val="9"/>
        </w:numPr>
        <w:spacing w:before="360" w:after="120"/>
        <w:contextualSpacing w:val="0"/>
        <w:jc w:val="both"/>
        <w:rPr>
          <w:b/>
          <w:sz w:val="24"/>
          <w:szCs w:val="24"/>
          <w:lang w:val="uz-Cyrl-UZ"/>
        </w:rPr>
      </w:pPr>
      <w:r w:rsidRPr="0047122F">
        <w:rPr>
          <w:b/>
          <w:sz w:val="24"/>
          <w:szCs w:val="24"/>
          <w:lang w:val="uz-Cyrl-UZ"/>
        </w:rPr>
        <w:t>NAČIN DOSTAVLJANJA PONUDA</w:t>
      </w:r>
    </w:p>
    <w:p w14:paraId="79D94F68" w14:textId="77777777" w:rsidR="00841472" w:rsidRPr="00841472" w:rsidRDefault="00841472" w:rsidP="00841472">
      <w:pPr>
        <w:ind w:left="360"/>
        <w:jc w:val="both"/>
        <w:rPr>
          <w:rFonts w:ascii="Calibri" w:hAnsi="Calibri" w:cs="Calibri"/>
          <w:color w:val="000000"/>
          <w:sz w:val="24"/>
          <w:szCs w:val="24"/>
          <w:lang w:val="pl-PL" w:eastAsia="hr-HR"/>
        </w:rPr>
      </w:pPr>
      <w:r w:rsidRPr="00841472">
        <w:rPr>
          <w:rFonts w:ascii="Calibri" w:hAnsi="Calibri" w:cs="Calibri"/>
          <w:color w:val="000000"/>
          <w:sz w:val="24"/>
          <w:szCs w:val="24"/>
          <w:lang w:val="pl-PL" w:eastAsia="hr-HR"/>
        </w:rPr>
        <w:t>Ponude se mogu predati:</w:t>
      </w:r>
    </w:p>
    <w:p w14:paraId="20C83F52" w14:textId="77777777" w:rsidR="00841472" w:rsidRPr="00841472" w:rsidRDefault="00841472" w:rsidP="00841472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color w:val="000000"/>
          <w:sz w:val="24"/>
          <w:szCs w:val="24"/>
          <w:lang w:val="pl-PL" w:eastAsia="hr-HR"/>
        </w:rPr>
      </w:pPr>
      <w:r w:rsidRPr="008A181C">
        <w:rPr>
          <w:lang w:eastAsia="hr-HR"/>
        </w:rPr>
        <w:sym w:font="Wingdings" w:char="F0A8"/>
      </w:r>
      <w:r w:rsidRPr="00841472">
        <w:rPr>
          <w:rFonts w:ascii="Calibri" w:hAnsi="Calibri" w:cs="Calibri"/>
          <w:color w:val="000000"/>
          <w:sz w:val="24"/>
          <w:szCs w:val="24"/>
          <w:lang w:val="pl-PL" w:eastAsia="hr-HR"/>
        </w:rPr>
        <w:t xml:space="preserve"> neposrednom predajom na arhivi naručioca na adresi Novaka Miloševa br. 18, Podgorica i</w:t>
      </w:r>
    </w:p>
    <w:p w14:paraId="79B217FA" w14:textId="7AD8DA09" w:rsidR="00841472" w:rsidRDefault="00841472" w:rsidP="00841472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color w:val="000000"/>
          <w:sz w:val="24"/>
          <w:szCs w:val="24"/>
          <w:lang w:val="pl-PL" w:eastAsia="hr-HR"/>
        </w:rPr>
      </w:pPr>
      <w:r w:rsidRPr="008A181C">
        <w:rPr>
          <w:lang w:eastAsia="hr-HR"/>
        </w:rPr>
        <w:sym w:font="Wingdings" w:char="F0A8"/>
      </w:r>
      <w:r w:rsidRPr="00841472">
        <w:rPr>
          <w:rFonts w:ascii="Calibri" w:hAnsi="Calibri" w:cs="Calibri"/>
          <w:color w:val="000000"/>
          <w:sz w:val="24"/>
          <w:szCs w:val="24"/>
          <w:lang w:val="pl-PL" w:eastAsia="hr-HR"/>
        </w:rPr>
        <w:t xml:space="preserve"> preporučenom pošiljkom sa povratnicom na adresi Novaka Miloševa br. 18, Podgorica.</w:t>
      </w:r>
    </w:p>
    <w:p w14:paraId="7529BF13" w14:textId="16DED715" w:rsidR="00D10BC3" w:rsidRPr="00D10BC3" w:rsidRDefault="00D10BC3" w:rsidP="00D10BC3">
      <w:pPr>
        <w:jc w:val="both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 xml:space="preserve">       </w:t>
      </w:r>
      <w:r w:rsidRPr="0047122F">
        <w:rPr>
          <w:sz w:val="24"/>
          <w:szCs w:val="24"/>
          <w:lang w:val="uz-Cyrl-UZ"/>
        </w:rPr>
        <w:t xml:space="preserve">Ponuda </w:t>
      </w:r>
      <w:r>
        <w:rPr>
          <w:sz w:val="24"/>
          <w:szCs w:val="24"/>
          <w:lang w:val="uz-Cyrl-UZ"/>
        </w:rPr>
        <w:t>treba da sadrži naznaku</w:t>
      </w:r>
      <w:r w:rsidRPr="0047122F">
        <w:rPr>
          <w:sz w:val="24"/>
          <w:szCs w:val="24"/>
          <w:lang w:val="uz-Cyrl-UZ"/>
        </w:rPr>
        <w:t>:</w:t>
      </w:r>
    </w:p>
    <w:p w14:paraId="1B067DA5" w14:textId="4EC7B9C7" w:rsidR="00D10BC3" w:rsidRPr="00AB6203" w:rsidRDefault="00D10BC3" w:rsidP="00D10BC3">
      <w:pPr>
        <w:pStyle w:val="ListParagraph"/>
        <w:numPr>
          <w:ilvl w:val="0"/>
          <w:numId w:val="6"/>
        </w:numPr>
        <w:jc w:val="both"/>
        <w:rPr>
          <w:sz w:val="24"/>
          <w:szCs w:val="24"/>
          <w:lang w:val="uz-Cyrl-UZ"/>
        </w:rPr>
      </w:pPr>
      <w:r w:rsidRPr="0047122F">
        <w:rPr>
          <w:sz w:val="24"/>
          <w:szCs w:val="24"/>
          <w:lang w:val="uz-Cyrl-UZ"/>
        </w:rPr>
        <w:t>NE OTVARATI – Ponuda za prodaju stana na području Opštine Herceg Novi</w:t>
      </w:r>
    </w:p>
    <w:p w14:paraId="38299938" w14:textId="67A7C40C" w:rsidR="00C537DF" w:rsidRPr="0047122F" w:rsidRDefault="00841472" w:rsidP="005D7A00">
      <w:pPr>
        <w:pStyle w:val="ListParagraph"/>
        <w:numPr>
          <w:ilvl w:val="0"/>
          <w:numId w:val="9"/>
        </w:numPr>
        <w:spacing w:before="360" w:after="120"/>
        <w:contextualSpacing w:val="0"/>
        <w:jc w:val="both"/>
        <w:rPr>
          <w:b/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t>VRIJEME I MJESTO PODNOŠENJA PONUDA I JAVNOG OTVARANJA PONUDA</w:t>
      </w:r>
    </w:p>
    <w:p w14:paraId="780CEE1C" w14:textId="4CBA0A00" w:rsidR="008A181C" w:rsidRPr="00841472" w:rsidRDefault="008A181C" w:rsidP="008A181C">
      <w:pPr>
        <w:jc w:val="both"/>
        <w:rPr>
          <w:rFonts w:ascii="Calibri" w:hAnsi="Calibri" w:cs="Calibri"/>
          <w:b/>
          <w:bCs/>
          <w:color w:val="000000"/>
          <w:sz w:val="24"/>
          <w:szCs w:val="24"/>
          <w:lang w:val="pl-PL" w:eastAsia="hr-HR"/>
        </w:rPr>
      </w:pPr>
      <w:r w:rsidRPr="008A181C">
        <w:rPr>
          <w:rFonts w:ascii="Calibri" w:hAnsi="Calibri" w:cs="Calibri"/>
          <w:color w:val="000000"/>
          <w:sz w:val="24"/>
          <w:szCs w:val="24"/>
          <w:lang w:val="pl-PL" w:eastAsia="hr-HR"/>
        </w:rPr>
        <w:t>Ponude se pr</w:t>
      </w:r>
      <w:r w:rsidR="009430F8">
        <w:rPr>
          <w:rFonts w:ascii="Calibri" w:hAnsi="Calibri" w:cs="Calibri"/>
          <w:color w:val="000000"/>
          <w:sz w:val="24"/>
          <w:szCs w:val="24"/>
          <w:lang w:val="pl-PL" w:eastAsia="hr-HR"/>
        </w:rPr>
        <w:t>edaju  radnim danima od 08 do 15</w:t>
      </w:r>
      <w:r w:rsidRPr="008A181C">
        <w:rPr>
          <w:rFonts w:ascii="Calibri" w:hAnsi="Calibri" w:cs="Calibri"/>
          <w:color w:val="000000"/>
          <w:sz w:val="24"/>
          <w:szCs w:val="24"/>
          <w:lang w:val="pl-PL" w:eastAsia="hr-HR"/>
        </w:rPr>
        <w:t xml:space="preserve"> sat</w:t>
      </w:r>
      <w:r w:rsidR="003C68C0">
        <w:rPr>
          <w:rFonts w:ascii="Calibri" w:hAnsi="Calibri" w:cs="Calibri"/>
          <w:color w:val="000000"/>
          <w:sz w:val="24"/>
          <w:szCs w:val="24"/>
          <w:lang w:val="pl-PL" w:eastAsia="hr-HR"/>
        </w:rPr>
        <w:t>i, zaključno sa danom 22</w:t>
      </w:r>
      <w:r w:rsidR="00210C64">
        <w:rPr>
          <w:rFonts w:ascii="Calibri" w:hAnsi="Calibri" w:cs="Calibri"/>
          <w:color w:val="000000"/>
          <w:sz w:val="24"/>
          <w:szCs w:val="24"/>
          <w:lang w:val="pl-PL" w:eastAsia="hr-HR"/>
        </w:rPr>
        <w:t>.04.2019</w:t>
      </w:r>
      <w:r w:rsidR="00841472">
        <w:rPr>
          <w:rFonts w:ascii="Calibri" w:hAnsi="Calibri" w:cs="Calibri"/>
          <w:color w:val="000000"/>
          <w:sz w:val="24"/>
          <w:szCs w:val="24"/>
          <w:lang w:val="pl-PL" w:eastAsia="hr-HR"/>
        </w:rPr>
        <w:t>.</w:t>
      </w:r>
      <w:r w:rsidR="00210C64">
        <w:rPr>
          <w:rFonts w:ascii="Calibri" w:hAnsi="Calibri" w:cs="Calibri"/>
          <w:color w:val="000000"/>
          <w:sz w:val="24"/>
          <w:szCs w:val="24"/>
          <w:lang w:val="pl-PL" w:eastAsia="hr-HR"/>
        </w:rPr>
        <w:t xml:space="preserve"> godine do 12:00</w:t>
      </w:r>
      <w:r w:rsidRPr="008A181C">
        <w:rPr>
          <w:rFonts w:ascii="Calibri" w:hAnsi="Calibri" w:cs="Calibri"/>
          <w:color w:val="000000"/>
          <w:sz w:val="24"/>
          <w:szCs w:val="24"/>
          <w:lang w:val="pl-PL" w:eastAsia="hr-HR"/>
        </w:rPr>
        <w:t xml:space="preserve"> sati.</w:t>
      </w:r>
      <w:r w:rsidR="00841472">
        <w:rPr>
          <w:rFonts w:ascii="Calibri" w:hAnsi="Calibri" w:cs="Calibri"/>
          <w:color w:val="000000"/>
          <w:sz w:val="24"/>
          <w:szCs w:val="24"/>
          <w:lang w:val="pl-PL" w:eastAsia="hr-HR"/>
        </w:rPr>
        <w:t xml:space="preserve"> </w:t>
      </w:r>
    </w:p>
    <w:p w14:paraId="7F42FA9B" w14:textId="143CA7F1" w:rsidR="008A181C" w:rsidRDefault="006035CC" w:rsidP="0047122F">
      <w:pPr>
        <w:jc w:val="both"/>
        <w:rPr>
          <w:rFonts w:ascii="Calibri" w:hAnsi="Calibri" w:cs="Calibri"/>
          <w:color w:val="000000"/>
          <w:sz w:val="24"/>
          <w:szCs w:val="24"/>
          <w:lang w:val="uz-Cyrl-UZ" w:eastAsia="hr-HR"/>
        </w:rPr>
      </w:pPr>
      <w:r w:rsidRPr="0047122F">
        <w:rPr>
          <w:sz w:val="24"/>
          <w:szCs w:val="24"/>
          <w:lang w:val="uz-Cyrl-UZ"/>
        </w:rPr>
        <w:t xml:space="preserve">Napomena: </w:t>
      </w:r>
      <w:r w:rsidRPr="0047122F">
        <w:rPr>
          <w:rFonts w:ascii="Calibri" w:hAnsi="Calibri" w:cs="Calibri"/>
          <w:color w:val="000000"/>
          <w:sz w:val="24"/>
          <w:szCs w:val="24"/>
          <w:lang w:val="uz-Cyrl-UZ" w:eastAsia="hr-HR"/>
        </w:rPr>
        <w:t xml:space="preserve">Ponude podnesene nakon isteka roka za dostavljanje ponuda ne evidentiraju se u registru primljenih ponuda već </w:t>
      </w:r>
      <w:r w:rsidR="00273110" w:rsidRPr="0047122F">
        <w:rPr>
          <w:rFonts w:ascii="Calibri" w:hAnsi="Calibri" w:cs="Calibri"/>
          <w:color w:val="000000"/>
          <w:sz w:val="24"/>
          <w:szCs w:val="24"/>
          <w:lang w:val="uz-Cyrl-UZ" w:eastAsia="hr-HR"/>
        </w:rPr>
        <w:t xml:space="preserve">će </w:t>
      </w:r>
      <w:r w:rsidRPr="0047122F">
        <w:rPr>
          <w:rFonts w:ascii="Calibri" w:hAnsi="Calibri" w:cs="Calibri"/>
          <w:color w:val="000000"/>
          <w:sz w:val="24"/>
          <w:szCs w:val="24"/>
          <w:lang w:val="uz-Cyrl-UZ" w:eastAsia="hr-HR"/>
        </w:rPr>
        <w:t xml:space="preserve">ih </w:t>
      </w:r>
      <w:r w:rsidR="00210C64">
        <w:rPr>
          <w:rFonts w:ascii="Calibri" w:hAnsi="Calibri" w:cs="Calibri"/>
          <w:color w:val="000000"/>
          <w:sz w:val="24"/>
          <w:szCs w:val="24"/>
          <w:lang w:val="uz-Cyrl-UZ" w:eastAsia="hr-HR"/>
        </w:rPr>
        <w:t>Uprava</w:t>
      </w:r>
      <w:r w:rsidR="004318F7">
        <w:rPr>
          <w:rFonts w:ascii="Calibri" w:hAnsi="Calibri" w:cs="Calibri"/>
          <w:color w:val="000000"/>
          <w:sz w:val="24"/>
          <w:szCs w:val="24"/>
          <w:lang w:val="uz-Cyrl-UZ" w:eastAsia="hr-HR"/>
        </w:rPr>
        <w:t xml:space="preserve"> javnih radova</w:t>
      </w:r>
      <w:r w:rsidRPr="0047122F">
        <w:rPr>
          <w:rFonts w:ascii="Calibri" w:hAnsi="Calibri" w:cs="Calibri"/>
          <w:color w:val="000000"/>
          <w:sz w:val="24"/>
          <w:szCs w:val="24"/>
          <w:lang w:val="uz-Cyrl-UZ" w:eastAsia="hr-HR"/>
        </w:rPr>
        <w:t xml:space="preserve"> evidentira</w:t>
      </w:r>
      <w:r w:rsidR="002125D9" w:rsidRPr="0047122F">
        <w:rPr>
          <w:rFonts w:ascii="Calibri" w:hAnsi="Calibri" w:cs="Calibri"/>
          <w:color w:val="000000"/>
          <w:sz w:val="24"/>
          <w:szCs w:val="24"/>
          <w:lang w:val="uz-Cyrl-UZ" w:eastAsia="hr-HR"/>
        </w:rPr>
        <w:t>ti</w:t>
      </w:r>
      <w:r w:rsidR="004318F7">
        <w:rPr>
          <w:rFonts w:ascii="Calibri" w:hAnsi="Calibri" w:cs="Calibri"/>
          <w:color w:val="000000"/>
          <w:sz w:val="24"/>
          <w:szCs w:val="24"/>
          <w:lang w:val="uz-Cyrl-UZ" w:eastAsia="hr-HR"/>
        </w:rPr>
        <w:t xml:space="preserve"> kao neblagovremen</w:t>
      </w:r>
      <w:r w:rsidRPr="0047122F">
        <w:rPr>
          <w:rFonts w:ascii="Calibri" w:hAnsi="Calibri" w:cs="Calibri"/>
          <w:color w:val="000000"/>
          <w:sz w:val="24"/>
          <w:szCs w:val="24"/>
          <w:lang w:val="uz-Cyrl-UZ" w:eastAsia="hr-HR"/>
        </w:rPr>
        <w:t xml:space="preserve"> ponude, </w:t>
      </w:r>
      <w:r w:rsidR="002125D9" w:rsidRPr="0047122F">
        <w:rPr>
          <w:rFonts w:ascii="Calibri" w:hAnsi="Calibri" w:cs="Calibri"/>
          <w:color w:val="000000"/>
          <w:sz w:val="24"/>
          <w:szCs w:val="24"/>
          <w:lang w:val="uz-Cyrl-UZ" w:eastAsia="hr-HR"/>
        </w:rPr>
        <w:t>označiti</w:t>
      </w:r>
      <w:r w:rsidRPr="0047122F">
        <w:rPr>
          <w:rFonts w:ascii="Calibri" w:hAnsi="Calibri" w:cs="Calibri"/>
          <w:color w:val="000000"/>
          <w:sz w:val="24"/>
          <w:szCs w:val="24"/>
          <w:lang w:val="uz-Cyrl-UZ" w:eastAsia="hr-HR"/>
        </w:rPr>
        <w:t xml:space="preserve"> kao takve i odmah </w:t>
      </w:r>
      <w:r w:rsidR="002125D9" w:rsidRPr="0047122F">
        <w:rPr>
          <w:rFonts w:ascii="Calibri" w:hAnsi="Calibri" w:cs="Calibri"/>
          <w:color w:val="000000"/>
          <w:sz w:val="24"/>
          <w:szCs w:val="24"/>
          <w:lang w:val="uz-Cyrl-UZ" w:eastAsia="hr-HR"/>
        </w:rPr>
        <w:t>ih vratiti</w:t>
      </w:r>
      <w:r w:rsidRPr="0047122F">
        <w:rPr>
          <w:rFonts w:ascii="Calibri" w:hAnsi="Calibri" w:cs="Calibri"/>
          <w:color w:val="000000"/>
          <w:sz w:val="24"/>
          <w:szCs w:val="24"/>
          <w:lang w:val="uz-Cyrl-UZ" w:eastAsia="hr-HR"/>
        </w:rPr>
        <w:t xml:space="preserve"> neotvorene pošiljaocu.</w:t>
      </w:r>
    </w:p>
    <w:p w14:paraId="0BB5053F" w14:textId="2FE4DD32" w:rsidR="006035CC" w:rsidRPr="00A45238" w:rsidRDefault="008A181C" w:rsidP="0047122F">
      <w:pPr>
        <w:jc w:val="both"/>
        <w:rPr>
          <w:rFonts w:ascii="Calibri" w:hAnsi="Calibri" w:cs="Calibri"/>
          <w:color w:val="000000"/>
          <w:sz w:val="24"/>
          <w:szCs w:val="24"/>
          <w:lang w:val="pl-PL" w:eastAsia="hr-HR"/>
        </w:rPr>
      </w:pPr>
      <w:r w:rsidRPr="008A181C">
        <w:rPr>
          <w:rFonts w:ascii="Calibri" w:hAnsi="Calibri" w:cs="Calibri"/>
          <w:color w:val="000000"/>
          <w:sz w:val="24"/>
          <w:szCs w:val="24"/>
          <w:lang w:val="pl-PL" w:eastAsia="hr-HR"/>
        </w:rPr>
        <w:t>Javno otvaranje ponuda, kome mogu prisustvovati ovlašćeni predstavnici ponuđača sa priloženim punomoćjem potpisanim od strane ovlašćenog l</w:t>
      </w:r>
      <w:r w:rsidR="003C68C0">
        <w:rPr>
          <w:rFonts w:ascii="Calibri" w:hAnsi="Calibri" w:cs="Calibri"/>
          <w:color w:val="000000"/>
          <w:sz w:val="24"/>
          <w:szCs w:val="24"/>
          <w:lang w:val="pl-PL" w:eastAsia="hr-HR"/>
        </w:rPr>
        <w:t>ica, održaće se dana  22</w:t>
      </w:r>
      <w:bookmarkStart w:id="0" w:name="_GoBack"/>
      <w:bookmarkEnd w:id="0"/>
      <w:r w:rsidR="00210C64">
        <w:rPr>
          <w:rFonts w:ascii="Calibri" w:hAnsi="Calibri" w:cs="Calibri"/>
          <w:color w:val="000000"/>
          <w:sz w:val="24"/>
          <w:szCs w:val="24"/>
          <w:lang w:val="pl-PL" w:eastAsia="hr-HR"/>
        </w:rPr>
        <w:t>.04.2019.godine u 12:30 sati, u prostorijama Uprave</w:t>
      </w:r>
      <w:r w:rsidRPr="008A181C">
        <w:rPr>
          <w:rFonts w:ascii="Calibri" w:hAnsi="Calibri" w:cs="Calibri"/>
          <w:color w:val="000000"/>
          <w:sz w:val="24"/>
          <w:szCs w:val="24"/>
          <w:lang w:val="pl-PL" w:eastAsia="hr-HR"/>
        </w:rPr>
        <w:t xml:space="preserve"> javnih radova, na adresi Novaka Miloševa br. 18, Podgorica.</w:t>
      </w:r>
    </w:p>
    <w:p w14:paraId="3A96EE18" w14:textId="70224448" w:rsidR="00493FB8" w:rsidRPr="0047122F" w:rsidRDefault="0090373F" w:rsidP="005D7A00">
      <w:pPr>
        <w:pStyle w:val="ListParagraph"/>
        <w:numPr>
          <w:ilvl w:val="0"/>
          <w:numId w:val="9"/>
        </w:numPr>
        <w:spacing w:before="360" w:after="120"/>
        <w:contextualSpacing w:val="0"/>
        <w:jc w:val="both"/>
        <w:rPr>
          <w:b/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t>P</w:t>
      </w:r>
      <w:r w:rsidR="001F1DE5">
        <w:rPr>
          <w:b/>
          <w:sz w:val="24"/>
          <w:szCs w:val="24"/>
          <w:lang w:val="uz-Cyrl-UZ"/>
        </w:rPr>
        <w:t>ONUDE PRIMA I OBRAĐUJE UPRAVA</w:t>
      </w:r>
      <w:r>
        <w:rPr>
          <w:b/>
          <w:sz w:val="24"/>
          <w:szCs w:val="24"/>
          <w:lang w:val="uz-Cyrl-UZ"/>
        </w:rPr>
        <w:t xml:space="preserve"> JAVNIH RADOVA</w:t>
      </w:r>
    </w:p>
    <w:p w14:paraId="4B38EF00" w14:textId="23400BFF" w:rsidR="0079576A" w:rsidRPr="0047122F" w:rsidRDefault="00AB6203" w:rsidP="005D7A00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</w:t>
      </w:r>
      <w:r w:rsidR="0079576A" w:rsidRPr="0047122F">
        <w:rPr>
          <w:sz w:val="24"/>
          <w:szCs w:val="24"/>
          <w:lang w:val="uz-Cyrl-UZ"/>
        </w:rPr>
        <w:t xml:space="preserve"> rezultatima nadmetanja kao i o terminu obilaska ponuđenih stanova, ponuđač će biti </w:t>
      </w:r>
      <w:r w:rsidR="00BD79C3" w:rsidRPr="0047122F">
        <w:rPr>
          <w:sz w:val="24"/>
          <w:szCs w:val="24"/>
          <w:lang w:val="uz-Cyrl-UZ"/>
        </w:rPr>
        <w:t xml:space="preserve">blagovremeno </w:t>
      </w:r>
      <w:r w:rsidR="00CB3F99" w:rsidRPr="0047122F">
        <w:rPr>
          <w:sz w:val="24"/>
          <w:szCs w:val="24"/>
          <w:lang w:val="uz-Cyrl-UZ"/>
        </w:rPr>
        <w:t xml:space="preserve">pismeno </w:t>
      </w:r>
      <w:r w:rsidR="0079576A" w:rsidRPr="0047122F">
        <w:rPr>
          <w:sz w:val="24"/>
          <w:szCs w:val="24"/>
          <w:lang w:val="uz-Cyrl-UZ"/>
        </w:rPr>
        <w:t xml:space="preserve"> obaviješten</w:t>
      </w:r>
      <w:r w:rsidR="003F7294" w:rsidRPr="0047122F">
        <w:rPr>
          <w:sz w:val="24"/>
          <w:szCs w:val="24"/>
          <w:lang w:val="uz-Cyrl-UZ"/>
        </w:rPr>
        <w:t>;</w:t>
      </w:r>
    </w:p>
    <w:p w14:paraId="6235BC7F" w14:textId="0551612E" w:rsidR="0079576A" w:rsidRPr="0047122F" w:rsidRDefault="00210C64" w:rsidP="005D7A00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Uprava javnih radova</w:t>
      </w:r>
      <w:r w:rsidR="00AB6203">
        <w:rPr>
          <w:sz w:val="24"/>
          <w:szCs w:val="24"/>
          <w:lang w:val="uz-Cyrl-UZ"/>
        </w:rPr>
        <w:t xml:space="preserve"> zadržava pravo da ne prihvati</w:t>
      </w:r>
      <w:r w:rsidR="0079576A" w:rsidRPr="0047122F">
        <w:rPr>
          <w:sz w:val="24"/>
          <w:szCs w:val="24"/>
          <w:lang w:val="uz-Cyrl-UZ"/>
        </w:rPr>
        <w:t xml:space="preserve"> niti jednu prispjelu</w:t>
      </w:r>
      <w:r w:rsidR="00AB6203">
        <w:rPr>
          <w:sz w:val="24"/>
          <w:szCs w:val="24"/>
          <w:lang w:val="uz-Cyrl-UZ"/>
        </w:rPr>
        <w:t xml:space="preserve"> ponudu</w:t>
      </w:r>
      <w:r w:rsidR="003F7294" w:rsidRPr="0047122F">
        <w:rPr>
          <w:sz w:val="24"/>
          <w:szCs w:val="24"/>
          <w:lang w:val="uz-Cyrl-UZ"/>
        </w:rPr>
        <w:t>;</w:t>
      </w:r>
    </w:p>
    <w:p w14:paraId="428D4AC0" w14:textId="797E0D08" w:rsidR="00C04D69" w:rsidRPr="0047122F" w:rsidRDefault="00C04D69" w:rsidP="005D7A00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sz w:val="24"/>
          <w:szCs w:val="24"/>
          <w:lang w:val="uz-Cyrl-UZ"/>
        </w:rPr>
      </w:pPr>
      <w:r w:rsidRPr="0047122F">
        <w:rPr>
          <w:sz w:val="24"/>
          <w:szCs w:val="24"/>
          <w:lang w:val="uz-Cyrl-UZ"/>
        </w:rPr>
        <w:t xml:space="preserve">Na ovo javno prikupljanje ponuda ne primjenjuju se odredbe </w:t>
      </w:r>
      <w:r w:rsidR="00593486" w:rsidRPr="0047122F">
        <w:rPr>
          <w:sz w:val="24"/>
          <w:szCs w:val="24"/>
          <w:lang w:val="uz-Cyrl-UZ"/>
        </w:rPr>
        <w:t>Z</w:t>
      </w:r>
      <w:r w:rsidR="00210C64">
        <w:rPr>
          <w:sz w:val="24"/>
          <w:szCs w:val="24"/>
          <w:lang w:val="uz-Cyrl-UZ"/>
        </w:rPr>
        <w:t>akona o javnima nabavkama</w:t>
      </w:r>
      <w:r w:rsidR="005D7A00">
        <w:rPr>
          <w:sz w:val="24"/>
          <w:szCs w:val="24"/>
          <w:lang w:val="uz-Cyrl-UZ"/>
        </w:rPr>
        <w:t>.</w:t>
      </w:r>
    </w:p>
    <w:p w14:paraId="41796FD5" w14:textId="77777777" w:rsidR="00C04D69" w:rsidRPr="0047122F" w:rsidRDefault="00C04D69" w:rsidP="005D7A00">
      <w:pPr>
        <w:spacing w:before="240" w:after="120"/>
        <w:jc w:val="both"/>
        <w:rPr>
          <w:b/>
          <w:sz w:val="24"/>
          <w:szCs w:val="24"/>
          <w:lang w:val="uz-Cyrl-UZ"/>
        </w:rPr>
      </w:pPr>
      <w:r w:rsidRPr="0047122F">
        <w:rPr>
          <w:b/>
          <w:sz w:val="24"/>
          <w:szCs w:val="24"/>
          <w:lang w:val="uz-Cyrl-UZ"/>
        </w:rPr>
        <w:t>NAPOMENA:</w:t>
      </w:r>
    </w:p>
    <w:p w14:paraId="6AC40E2D" w14:textId="77777777" w:rsidR="00C04D69" w:rsidRPr="0047122F" w:rsidRDefault="00C04D69" w:rsidP="0047122F">
      <w:pPr>
        <w:jc w:val="both"/>
        <w:rPr>
          <w:sz w:val="24"/>
          <w:szCs w:val="24"/>
          <w:lang w:val="uz-Cyrl-UZ"/>
        </w:rPr>
      </w:pPr>
      <w:r w:rsidRPr="0047122F">
        <w:rPr>
          <w:sz w:val="24"/>
          <w:szCs w:val="24"/>
          <w:lang w:val="uz-Cyrl-UZ"/>
        </w:rPr>
        <w:t>Ponuđeni stan mora biti uredan i primjeren za stanovanje</w:t>
      </w:r>
      <w:r w:rsidR="00593486" w:rsidRPr="0047122F">
        <w:rPr>
          <w:sz w:val="24"/>
          <w:szCs w:val="24"/>
          <w:lang w:val="uz-Cyrl-UZ"/>
        </w:rPr>
        <w:t xml:space="preserve"> – useljiv </w:t>
      </w:r>
      <w:r w:rsidRPr="0047122F">
        <w:rPr>
          <w:sz w:val="24"/>
          <w:szCs w:val="24"/>
          <w:lang w:val="uz-Cyrl-UZ"/>
        </w:rPr>
        <w:t>( podne i zidne obloge i sl.)</w:t>
      </w:r>
    </w:p>
    <w:p w14:paraId="182E0C37" w14:textId="449401A6" w:rsidR="0047122F" w:rsidRPr="0047122F" w:rsidRDefault="0047122F" w:rsidP="0047122F">
      <w:pPr>
        <w:jc w:val="both"/>
        <w:rPr>
          <w:sz w:val="24"/>
          <w:szCs w:val="24"/>
          <w:lang w:val="uz-Cyrl-UZ"/>
        </w:rPr>
      </w:pPr>
    </w:p>
    <w:sectPr w:rsidR="0047122F" w:rsidRPr="0047122F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621F2" w14:textId="77777777" w:rsidR="0067503F" w:rsidRDefault="0067503F" w:rsidP="00AE5D7B">
      <w:pPr>
        <w:spacing w:after="0" w:line="240" w:lineRule="auto"/>
      </w:pPr>
      <w:r>
        <w:separator/>
      </w:r>
    </w:p>
  </w:endnote>
  <w:endnote w:type="continuationSeparator" w:id="0">
    <w:p w14:paraId="5E15562D" w14:textId="77777777" w:rsidR="0067503F" w:rsidRDefault="0067503F" w:rsidP="00AE5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EE"/>
    <w:family w:val="auto"/>
    <w:pitch w:val="variable"/>
    <w:sig w:usb0="00000001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BE983B" w14:textId="77777777" w:rsidR="00210C64" w:rsidRDefault="00210C64" w:rsidP="006929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125E75" w14:textId="77777777" w:rsidR="00210C64" w:rsidRDefault="00210C64" w:rsidP="00210C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5104E" w14:textId="77777777" w:rsidR="00210C64" w:rsidRDefault="00210C64" w:rsidP="006929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68C0">
      <w:rPr>
        <w:rStyle w:val="PageNumber"/>
        <w:noProof/>
      </w:rPr>
      <w:t>5</w:t>
    </w:r>
    <w:r>
      <w:rPr>
        <w:rStyle w:val="PageNumber"/>
      </w:rPr>
      <w:fldChar w:fldCharType="end"/>
    </w:r>
  </w:p>
  <w:p w14:paraId="7B0E42C9" w14:textId="77777777" w:rsidR="00210C64" w:rsidRDefault="00210C64" w:rsidP="00210C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3F594B" w14:textId="77777777" w:rsidR="0067503F" w:rsidRDefault="0067503F" w:rsidP="00AE5D7B">
      <w:pPr>
        <w:spacing w:after="0" w:line="240" w:lineRule="auto"/>
      </w:pPr>
      <w:r>
        <w:separator/>
      </w:r>
    </w:p>
  </w:footnote>
  <w:footnote w:type="continuationSeparator" w:id="0">
    <w:p w14:paraId="57561D8B" w14:textId="77777777" w:rsidR="0067503F" w:rsidRDefault="0067503F" w:rsidP="00AE5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8A91B" w14:textId="77777777" w:rsidR="004C6A55" w:rsidRDefault="004C6A55" w:rsidP="003D2CC9">
    <w:pPr>
      <w:pStyle w:val="Header"/>
    </w:pPr>
    <w:r w:rsidRPr="00773C36">
      <w:rPr>
        <w:rFonts w:ascii="Times New Roman" w:eastAsia="Times New Roman" w:hAnsi="Times New Roman" w:cs="Times New Roman"/>
        <w:noProof/>
        <w:sz w:val="32"/>
        <w:szCs w:val="32"/>
        <w:lang w:val="en-GB" w:eastAsia="en-GB"/>
      </w:rPr>
      <w:drawing>
        <wp:inline distT="0" distB="0" distL="0" distR="0" wp14:anchorId="3DEBBF68" wp14:editId="181AC7D5">
          <wp:extent cx="595122" cy="676275"/>
          <wp:effectExtent l="0" t="0" r="0" b="0"/>
          <wp:docPr id="2" name="Picture 2" descr="grb m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 ma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640" cy="6791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</w:t>
    </w:r>
    <w:r>
      <w:rPr>
        <w:noProof/>
        <w:lang w:val="en-GB" w:eastAsia="en-GB"/>
      </w:rPr>
      <w:drawing>
        <wp:inline distT="0" distB="0" distL="0" distR="0" wp14:anchorId="5671020E" wp14:editId="4868BE75">
          <wp:extent cx="1214755" cy="350622"/>
          <wp:effectExtent l="0" t="0" r="4445" b="0"/>
          <wp:docPr id="6" name="Picture 6" descr="MR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R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585" cy="407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74876"/>
    <w:multiLevelType w:val="hybridMultilevel"/>
    <w:tmpl w:val="CFBCEAE4"/>
    <w:lvl w:ilvl="0" w:tplc="511E4F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04504"/>
    <w:multiLevelType w:val="hybridMultilevel"/>
    <w:tmpl w:val="5832FBC4"/>
    <w:lvl w:ilvl="0" w:tplc="511E4F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21E32"/>
    <w:multiLevelType w:val="hybridMultilevel"/>
    <w:tmpl w:val="3E8A9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132E6A"/>
    <w:multiLevelType w:val="hybridMultilevel"/>
    <w:tmpl w:val="BD40B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2B57B0"/>
    <w:multiLevelType w:val="hybridMultilevel"/>
    <w:tmpl w:val="7690D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736379"/>
    <w:multiLevelType w:val="hybridMultilevel"/>
    <w:tmpl w:val="B2784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ED3EA7"/>
    <w:multiLevelType w:val="hybridMultilevel"/>
    <w:tmpl w:val="2A7E9C70"/>
    <w:lvl w:ilvl="0" w:tplc="943A1050">
      <w:start w:val="6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3054FE"/>
    <w:multiLevelType w:val="hybridMultilevel"/>
    <w:tmpl w:val="DBFCE8D6"/>
    <w:lvl w:ilvl="0" w:tplc="6E4CF3E2">
      <w:start w:val="1"/>
      <w:numFmt w:val="bullet"/>
      <w:pStyle w:val="List2"/>
      <w:lvlText w:val=""/>
      <w:lvlJc w:val="left"/>
      <w:pPr>
        <w:ind w:left="1145" w:hanging="360"/>
      </w:pPr>
      <w:rPr>
        <w:rFonts w:ascii="Symbol" w:hAnsi="Symbol" w:hint="default"/>
        <w:color w:val="E36C0A"/>
      </w:rPr>
    </w:lvl>
    <w:lvl w:ilvl="1" w:tplc="08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>
    <w:nsid w:val="558B0E46"/>
    <w:multiLevelType w:val="hybridMultilevel"/>
    <w:tmpl w:val="AFFA88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49842FC"/>
    <w:multiLevelType w:val="hybridMultilevel"/>
    <w:tmpl w:val="15A60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4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1DC"/>
    <w:rsid w:val="00016DCA"/>
    <w:rsid w:val="00045141"/>
    <w:rsid w:val="0006667D"/>
    <w:rsid w:val="000871C1"/>
    <w:rsid w:val="000A122F"/>
    <w:rsid w:val="000A14C2"/>
    <w:rsid w:val="000A4870"/>
    <w:rsid w:val="000B0950"/>
    <w:rsid w:val="000E11B8"/>
    <w:rsid w:val="00120813"/>
    <w:rsid w:val="00126FE0"/>
    <w:rsid w:val="00151E88"/>
    <w:rsid w:val="001670FF"/>
    <w:rsid w:val="001742E0"/>
    <w:rsid w:val="001F1DE5"/>
    <w:rsid w:val="001F7387"/>
    <w:rsid w:val="00210C64"/>
    <w:rsid w:val="002125D9"/>
    <w:rsid w:val="00225117"/>
    <w:rsid w:val="00236F50"/>
    <w:rsid w:val="00256966"/>
    <w:rsid w:val="00264BE7"/>
    <w:rsid w:val="0027099C"/>
    <w:rsid w:val="00273110"/>
    <w:rsid w:val="00284F69"/>
    <w:rsid w:val="00291AAD"/>
    <w:rsid w:val="00294861"/>
    <w:rsid w:val="00294F0D"/>
    <w:rsid w:val="0029562F"/>
    <w:rsid w:val="002B2BB3"/>
    <w:rsid w:val="002C4B91"/>
    <w:rsid w:val="002C6CF4"/>
    <w:rsid w:val="002D47BB"/>
    <w:rsid w:val="002D4D01"/>
    <w:rsid w:val="003427D3"/>
    <w:rsid w:val="003C68C0"/>
    <w:rsid w:val="003C6DC7"/>
    <w:rsid w:val="003D2CC9"/>
    <w:rsid w:val="003F7294"/>
    <w:rsid w:val="00410332"/>
    <w:rsid w:val="004318F7"/>
    <w:rsid w:val="00444983"/>
    <w:rsid w:val="00460DC1"/>
    <w:rsid w:val="0047122F"/>
    <w:rsid w:val="00493F28"/>
    <w:rsid w:val="00493FB8"/>
    <w:rsid w:val="004C6A55"/>
    <w:rsid w:val="004F57BB"/>
    <w:rsid w:val="00533F24"/>
    <w:rsid w:val="00544CAD"/>
    <w:rsid w:val="00565BA0"/>
    <w:rsid w:val="0058510B"/>
    <w:rsid w:val="00593486"/>
    <w:rsid w:val="005B08A8"/>
    <w:rsid w:val="005C31A1"/>
    <w:rsid w:val="005C4FD4"/>
    <w:rsid w:val="005D7A00"/>
    <w:rsid w:val="006032ED"/>
    <w:rsid w:val="006035CC"/>
    <w:rsid w:val="0064187D"/>
    <w:rsid w:val="00646EF1"/>
    <w:rsid w:val="0067010E"/>
    <w:rsid w:val="0067503F"/>
    <w:rsid w:val="006900CA"/>
    <w:rsid w:val="006F4484"/>
    <w:rsid w:val="0078626B"/>
    <w:rsid w:val="00786E82"/>
    <w:rsid w:val="0079576A"/>
    <w:rsid w:val="007A4DBF"/>
    <w:rsid w:val="007E2E32"/>
    <w:rsid w:val="00841472"/>
    <w:rsid w:val="00862039"/>
    <w:rsid w:val="00864781"/>
    <w:rsid w:val="008653A8"/>
    <w:rsid w:val="00867D15"/>
    <w:rsid w:val="0089145D"/>
    <w:rsid w:val="008959BB"/>
    <w:rsid w:val="008A181C"/>
    <w:rsid w:val="008A40BC"/>
    <w:rsid w:val="008B1EAC"/>
    <w:rsid w:val="008B6CDC"/>
    <w:rsid w:val="008C0B1D"/>
    <w:rsid w:val="008C402E"/>
    <w:rsid w:val="008D5C87"/>
    <w:rsid w:val="008D7C11"/>
    <w:rsid w:val="008E5DD1"/>
    <w:rsid w:val="008F7071"/>
    <w:rsid w:val="0090373F"/>
    <w:rsid w:val="009430F8"/>
    <w:rsid w:val="009436B5"/>
    <w:rsid w:val="00950072"/>
    <w:rsid w:val="00A331DC"/>
    <w:rsid w:val="00A45238"/>
    <w:rsid w:val="00A45B15"/>
    <w:rsid w:val="00A476B5"/>
    <w:rsid w:val="00A5537B"/>
    <w:rsid w:val="00A709DB"/>
    <w:rsid w:val="00A7351B"/>
    <w:rsid w:val="00A73C0D"/>
    <w:rsid w:val="00A75E50"/>
    <w:rsid w:val="00A77ACC"/>
    <w:rsid w:val="00A8062A"/>
    <w:rsid w:val="00AB6203"/>
    <w:rsid w:val="00AC5B1A"/>
    <w:rsid w:val="00AE35B3"/>
    <w:rsid w:val="00AE5D7B"/>
    <w:rsid w:val="00AF62D0"/>
    <w:rsid w:val="00B11EE7"/>
    <w:rsid w:val="00B23E90"/>
    <w:rsid w:val="00B60873"/>
    <w:rsid w:val="00B81B59"/>
    <w:rsid w:val="00BA7E46"/>
    <w:rsid w:val="00BB222C"/>
    <w:rsid w:val="00BC757C"/>
    <w:rsid w:val="00BD0577"/>
    <w:rsid w:val="00BD79C3"/>
    <w:rsid w:val="00BE0C85"/>
    <w:rsid w:val="00C00744"/>
    <w:rsid w:val="00C02283"/>
    <w:rsid w:val="00C04D69"/>
    <w:rsid w:val="00C16624"/>
    <w:rsid w:val="00C306B6"/>
    <w:rsid w:val="00C3584E"/>
    <w:rsid w:val="00C42A50"/>
    <w:rsid w:val="00C463E1"/>
    <w:rsid w:val="00C537DF"/>
    <w:rsid w:val="00C66C60"/>
    <w:rsid w:val="00CA0052"/>
    <w:rsid w:val="00CB3F99"/>
    <w:rsid w:val="00CC5171"/>
    <w:rsid w:val="00CE6404"/>
    <w:rsid w:val="00D10BC3"/>
    <w:rsid w:val="00D271DD"/>
    <w:rsid w:val="00D75E9E"/>
    <w:rsid w:val="00D83104"/>
    <w:rsid w:val="00DA3B39"/>
    <w:rsid w:val="00DC6134"/>
    <w:rsid w:val="00DD532B"/>
    <w:rsid w:val="00DD5643"/>
    <w:rsid w:val="00DE0A22"/>
    <w:rsid w:val="00DE22F6"/>
    <w:rsid w:val="00E078B6"/>
    <w:rsid w:val="00E4211F"/>
    <w:rsid w:val="00E6044D"/>
    <w:rsid w:val="00E83322"/>
    <w:rsid w:val="00E83E23"/>
    <w:rsid w:val="00E93B23"/>
    <w:rsid w:val="00E9797D"/>
    <w:rsid w:val="00EB09EA"/>
    <w:rsid w:val="00EC2EB4"/>
    <w:rsid w:val="00EF2279"/>
    <w:rsid w:val="00F1760B"/>
    <w:rsid w:val="00F25E3D"/>
    <w:rsid w:val="00F67DAA"/>
    <w:rsid w:val="00F75485"/>
    <w:rsid w:val="00F83443"/>
    <w:rsid w:val="00FD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DF16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D7B"/>
  </w:style>
  <w:style w:type="paragraph" w:styleId="Footer">
    <w:name w:val="footer"/>
    <w:basedOn w:val="Normal"/>
    <w:link w:val="FooterChar"/>
    <w:uiPriority w:val="99"/>
    <w:unhideWhenUsed/>
    <w:rsid w:val="00AE5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D7B"/>
  </w:style>
  <w:style w:type="table" w:styleId="TableGrid">
    <w:name w:val="Table Grid"/>
    <w:basedOn w:val="TableNormal"/>
    <w:uiPriority w:val="39"/>
    <w:rsid w:val="00236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3322"/>
    <w:pPr>
      <w:ind w:left="720"/>
      <w:contextualSpacing/>
    </w:pPr>
  </w:style>
  <w:style w:type="paragraph" w:styleId="List2">
    <w:name w:val="List 2"/>
    <w:basedOn w:val="Normal"/>
    <w:rsid w:val="0079576A"/>
    <w:pPr>
      <w:numPr>
        <w:numId w:val="7"/>
      </w:numPr>
      <w:spacing w:after="60" w:line="240" w:lineRule="auto"/>
      <w:jc w:val="both"/>
    </w:pPr>
    <w:rPr>
      <w:rFonts w:ascii="Roboto" w:eastAsia="Times New Roman" w:hAnsi="Roboto" w:cs="Times New Roman"/>
      <w:sz w:val="20"/>
      <w:szCs w:val="20"/>
      <w:lang w:val="en-GB" w:eastAsia="el-GR"/>
    </w:rPr>
  </w:style>
  <w:style w:type="character" w:styleId="Hyperlink">
    <w:name w:val="Hyperlink"/>
    <w:basedOn w:val="DefaultParagraphFont"/>
    <w:uiPriority w:val="99"/>
    <w:unhideWhenUsed/>
    <w:rsid w:val="00EB09E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B09EA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8647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47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47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7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47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781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210C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D7B"/>
  </w:style>
  <w:style w:type="paragraph" w:styleId="Footer">
    <w:name w:val="footer"/>
    <w:basedOn w:val="Normal"/>
    <w:link w:val="FooterChar"/>
    <w:uiPriority w:val="99"/>
    <w:unhideWhenUsed/>
    <w:rsid w:val="00AE5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D7B"/>
  </w:style>
  <w:style w:type="table" w:styleId="TableGrid">
    <w:name w:val="Table Grid"/>
    <w:basedOn w:val="TableNormal"/>
    <w:uiPriority w:val="39"/>
    <w:rsid w:val="00236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3322"/>
    <w:pPr>
      <w:ind w:left="720"/>
      <w:contextualSpacing/>
    </w:pPr>
  </w:style>
  <w:style w:type="paragraph" w:styleId="List2">
    <w:name w:val="List 2"/>
    <w:basedOn w:val="Normal"/>
    <w:rsid w:val="0079576A"/>
    <w:pPr>
      <w:numPr>
        <w:numId w:val="7"/>
      </w:numPr>
      <w:spacing w:after="60" w:line="240" w:lineRule="auto"/>
      <w:jc w:val="both"/>
    </w:pPr>
    <w:rPr>
      <w:rFonts w:ascii="Roboto" w:eastAsia="Times New Roman" w:hAnsi="Roboto" w:cs="Times New Roman"/>
      <w:sz w:val="20"/>
      <w:szCs w:val="20"/>
      <w:lang w:val="en-GB" w:eastAsia="el-GR"/>
    </w:rPr>
  </w:style>
  <w:style w:type="character" w:styleId="Hyperlink">
    <w:name w:val="Hyperlink"/>
    <w:basedOn w:val="DefaultParagraphFont"/>
    <w:uiPriority w:val="99"/>
    <w:unhideWhenUsed/>
    <w:rsid w:val="00EB09E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B09EA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8647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47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47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7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47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781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210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ujr@ujr.gov.m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9976F-9696-43A7-985F-68B1A97F2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1013</Words>
  <Characters>6565</Characters>
  <Application>Microsoft Office Word</Application>
  <DocSecurity>0</DocSecurity>
  <Lines>820</Lines>
  <Paragraphs>329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</dc:creator>
  <cp:lastModifiedBy>Milica Bakic</cp:lastModifiedBy>
  <cp:revision>3</cp:revision>
  <dcterms:created xsi:type="dcterms:W3CDTF">2019-03-06T07:19:00Z</dcterms:created>
  <dcterms:modified xsi:type="dcterms:W3CDTF">2019-03-06T07:20:00Z</dcterms:modified>
</cp:coreProperties>
</file>