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3A3" w:rsidRPr="00107B99" w:rsidRDefault="00A733A3" w:rsidP="00A733A3">
      <w:pPr>
        <w:jc w:val="center"/>
        <w:rPr>
          <w:b/>
          <w:u w:val="single"/>
          <w:lang w:val="sr-Latn-ME"/>
        </w:rPr>
      </w:pPr>
      <w:r w:rsidRPr="00107B99">
        <w:rPr>
          <w:b/>
          <w:u w:val="single"/>
          <w:lang w:val="sr-Latn-ME"/>
        </w:rPr>
        <w:t xml:space="preserve">Izvještaj o izvršenju budžeta Crne Gore za </w:t>
      </w:r>
      <w:r w:rsidR="00AF5E4F" w:rsidRPr="00107B99">
        <w:rPr>
          <w:b/>
          <w:u w:val="single"/>
          <w:lang w:val="sr-Latn-ME"/>
        </w:rPr>
        <w:t>februar</w:t>
      </w:r>
      <w:r w:rsidRPr="00107B99">
        <w:rPr>
          <w:b/>
          <w:u w:val="single"/>
          <w:lang w:val="sr-Latn-ME"/>
        </w:rPr>
        <w:t xml:space="preserve"> 2024. godine</w:t>
      </w:r>
    </w:p>
    <w:p w:rsidR="00B562CB" w:rsidRDefault="00A733A3" w:rsidP="00A733A3">
      <w:pPr>
        <w:jc w:val="both"/>
        <w:rPr>
          <w:lang w:val="sr-Latn-ME"/>
        </w:rPr>
      </w:pPr>
      <w:r w:rsidRPr="00107B99">
        <w:rPr>
          <w:b/>
          <w:lang w:val="sr-Latn-ME"/>
        </w:rPr>
        <w:t>Prihodi budžeta</w:t>
      </w:r>
      <w:r w:rsidRPr="00107B99">
        <w:rPr>
          <w:lang w:val="sr-Latn-ME"/>
        </w:rPr>
        <w:t xml:space="preserve"> </w:t>
      </w:r>
      <w:r w:rsidR="00BD4564" w:rsidRPr="00107B99">
        <w:rPr>
          <w:lang w:val="sr-Latn-ME"/>
        </w:rPr>
        <w:t xml:space="preserve">za prva dva mjeseca </w:t>
      </w:r>
      <w:r w:rsidRPr="00107B99">
        <w:rPr>
          <w:lang w:val="sr-Latn-ME"/>
        </w:rPr>
        <w:t>2024. godine iznosili su</w:t>
      </w:r>
      <w:r w:rsidR="008908F8" w:rsidRPr="00107B99">
        <w:rPr>
          <w:lang w:val="sr-Latn-ME"/>
        </w:rPr>
        <w:t xml:space="preserve"> </w:t>
      </w:r>
      <w:r w:rsidR="00D93310" w:rsidRPr="00107B99">
        <w:rPr>
          <w:lang w:val="sr-Latn-ME"/>
        </w:rPr>
        <w:t xml:space="preserve">333,9 </w:t>
      </w:r>
      <w:r w:rsidRPr="00107B99">
        <w:rPr>
          <w:lang w:val="sr-Latn-ME"/>
        </w:rPr>
        <w:t xml:space="preserve">mil. € ili </w:t>
      </w:r>
      <w:r w:rsidR="00D93310" w:rsidRPr="00107B99">
        <w:rPr>
          <w:lang w:val="sr-Latn-ME"/>
        </w:rPr>
        <w:t>4,7</w:t>
      </w:r>
      <w:r w:rsidRPr="00107B99">
        <w:rPr>
          <w:lang w:val="sr-Latn-ME"/>
        </w:rPr>
        <w:t>% procijenjenog BDP-a (</w:t>
      </w:r>
      <w:r w:rsidR="008908F8" w:rsidRPr="00107B99">
        <w:rPr>
          <w:lang w:val="sr-Latn-ME"/>
        </w:rPr>
        <w:t xml:space="preserve">7.034,0 </w:t>
      </w:r>
      <w:r w:rsidRPr="00107B99">
        <w:rPr>
          <w:lang w:val="sr-Latn-ME"/>
        </w:rPr>
        <w:t xml:space="preserve">mil. €). </w:t>
      </w:r>
      <w:r w:rsidRPr="00C90614">
        <w:rPr>
          <w:b/>
          <w:lang w:val="sr-Latn-ME"/>
        </w:rPr>
        <w:t>U odnosu na planirane, ostvareni prihodi veći su za</w:t>
      </w:r>
      <w:r w:rsidR="008908F8" w:rsidRPr="00C90614">
        <w:rPr>
          <w:b/>
          <w:lang w:val="sr-Latn-ME"/>
        </w:rPr>
        <w:t xml:space="preserve"> </w:t>
      </w:r>
      <w:r w:rsidR="00D93310" w:rsidRPr="00C90614">
        <w:rPr>
          <w:b/>
          <w:lang w:val="sr-Latn-ME"/>
        </w:rPr>
        <w:t xml:space="preserve">27,0 </w:t>
      </w:r>
      <w:r w:rsidRPr="00C90614">
        <w:rPr>
          <w:b/>
          <w:lang w:val="sr-Latn-ME"/>
        </w:rPr>
        <w:t xml:space="preserve">mil. € ili </w:t>
      </w:r>
      <w:r w:rsidR="00D93310" w:rsidRPr="00C90614">
        <w:rPr>
          <w:b/>
          <w:lang w:val="sr-Latn-ME"/>
        </w:rPr>
        <w:t>8,8</w:t>
      </w:r>
      <w:r w:rsidRPr="00C90614">
        <w:rPr>
          <w:b/>
          <w:lang w:val="sr-Latn-ME"/>
        </w:rPr>
        <w:t>%</w:t>
      </w:r>
      <w:r w:rsidR="0080243F" w:rsidRPr="00C90614">
        <w:rPr>
          <w:b/>
          <w:lang w:val="sr-Latn-ME"/>
        </w:rPr>
        <w:t xml:space="preserve"> i </w:t>
      </w:r>
      <w:r w:rsidR="00D93310" w:rsidRPr="00C90614">
        <w:rPr>
          <w:b/>
          <w:lang w:val="sr-Latn-ME"/>
        </w:rPr>
        <w:t xml:space="preserve">23,9 </w:t>
      </w:r>
      <w:r w:rsidR="0080243F" w:rsidRPr="00C90614">
        <w:rPr>
          <w:b/>
          <w:lang w:val="sr-Latn-ME"/>
        </w:rPr>
        <w:t xml:space="preserve">mil. € ili </w:t>
      </w:r>
      <w:r w:rsidR="00D93310" w:rsidRPr="00C90614">
        <w:rPr>
          <w:b/>
          <w:lang w:val="sr-Latn-ME"/>
        </w:rPr>
        <w:t>7,7</w:t>
      </w:r>
      <w:r w:rsidR="0080243F" w:rsidRPr="00C90614">
        <w:rPr>
          <w:b/>
          <w:lang w:val="sr-Latn-ME"/>
        </w:rPr>
        <w:t>% u odnosu na prva dva mjeseca 2023. godine</w:t>
      </w:r>
      <w:r w:rsidR="0080243F" w:rsidRPr="00107B99">
        <w:rPr>
          <w:lang w:val="sr-Latn-ME"/>
        </w:rPr>
        <w:t xml:space="preserve">. </w:t>
      </w:r>
    </w:p>
    <w:p w:rsidR="00543121" w:rsidRPr="00C90614" w:rsidRDefault="00543121" w:rsidP="00A733A3">
      <w:pPr>
        <w:jc w:val="both"/>
        <w:rPr>
          <w:b/>
          <w:lang w:val="sr-Latn-ME"/>
        </w:rPr>
      </w:pPr>
      <w:r w:rsidRPr="00C90614">
        <w:rPr>
          <w:b/>
          <w:lang w:val="sr-Latn-ME"/>
        </w:rPr>
        <w:t>Ukoliko se iz ukupnih prihoda u 2023. i 2024. godini isključe prihodi jednokratnog karaktera, ukupni prihodi za prva dva mjeseca 2024. veći su za 59,8 mil. € ili 2</w:t>
      </w:r>
      <w:r w:rsidR="00963546" w:rsidRPr="00C90614">
        <w:rPr>
          <w:b/>
          <w:lang w:val="sr-Latn-ME"/>
        </w:rPr>
        <w:t>2</w:t>
      </w:r>
      <w:r w:rsidRPr="00C90614">
        <w:rPr>
          <w:b/>
          <w:lang w:val="sr-Latn-ME"/>
        </w:rPr>
        <w:t>%.</w:t>
      </w:r>
    </w:p>
    <w:p w:rsidR="006452D1" w:rsidRDefault="006452D1" w:rsidP="0080243F">
      <w:pPr>
        <w:jc w:val="both"/>
        <w:rPr>
          <w:lang w:val="sr-Latn-ME"/>
        </w:rPr>
      </w:pPr>
      <w:r w:rsidRPr="00107B99">
        <w:rPr>
          <w:noProof/>
        </w:rPr>
        <w:drawing>
          <wp:anchor distT="0" distB="0" distL="114300" distR="114300" simplePos="0" relativeHeight="251663360" behindDoc="0" locked="0" layoutInCell="1" allowOverlap="1" wp14:anchorId="44AF310E" wp14:editId="0FF9B0F1">
            <wp:simplePos x="0" y="0"/>
            <wp:positionH relativeFrom="margin">
              <wp:posOffset>3076575</wp:posOffset>
            </wp:positionH>
            <wp:positionV relativeFrom="page">
              <wp:posOffset>2771775</wp:posOffset>
            </wp:positionV>
            <wp:extent cx="2895600" cy="3009900"/>
            <wp:effectExtent l="0" t="0" r="0" b="0"/>
            <wp:wrapSquare wrapText="bothSides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88A44C05-7F72-4A17-B95D-867CC05B645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7B99">
        <w:rPr>
          <w:noProof/>
          <w:color w:val="FF0000"/>
        </w:rPr>
        <w:drawing>
          <wp:anchor distT="0" distB="0" distL="114300" distR="114300" simplePos="0" relativeHeight="251661312" behindDoc="0" locked="0" layoutInCell="1" allowOverlap="1" wp14:anchorId="68DFCCE9" wp14:editId="6CC5063F">
            <wp:simplePos x="0" y="0"/>
            <wp:positionH relativeFrom="margin">
              <wp:align>left</wp:align>
            </wp:positionH>
            <wp:positionV relativeFrom="page">
              <wp:posOffset>2733675</wp:posOffset>
            </wp:positionV>
            <wp:extent cx="2781300" cy="3105150"/>
            <wp:effectExtent l="0" t="0" r="0" b="0"/>
            <wp:wrapSquare wrapText="bothSides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BA52826D-F4F5-46C8-B52A-B8F1404C1D0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391D" w:rsidRPr="00107B99">
        <w:rPr>
          <w:lang w:val="sr-Latn-ME"/>
        </w:rPr>
        <w:t xml:space="preserve">U posmatranom periodu, i pored značajne naplate prihoda jednokratnog karaktera u 2023. godini, prihodi za period januar – februar 2024. godine ostvarili su snažan rast u odnosu na pomenuti period. </w:t>
      </w:r>
    </w:p>
    <w:p w:rsidR="00052773" w:rsidRDefault="00052773" w:rsidP="0080243F">
      <w:pPr>
        <w:jc w:val="both"/>
        <w:rPr>
          <w:lang w:val="sr-Latn-ME"/>
        </w:rPr>
      </w:pPr>
      <w:r w:rsidRPr="00052773">
        <w:rPr>
          <w:lang w:val="sr-Latn-ME"/>
        </w:rPr>
        <w:t xml:space="preserve">U prva dva mjeseca 2023. godine ostvarena naplata prihoda jednokratnog karaktera iznosila je oko 42 mil. € (implementacija projekta „Ekonomskog državljanstva“ i naknade po osnovu dodjele radio – frekvencije iz 5G pionirskih opsega za javne mobilne elektronske komunikacione mreže). Za prva dva mjeseca 2024 godine, prihodi jednokratnog karaktera iznosili su 5,8 mil. </w:t>
      </w:r>
    </w:p>
    <w:p w:rsidR="0080243F" w:rsidRPr="00107B99" w:rsidRDefault="0080243F" w:rsidP="0080243F">
      <w:pPr>
        <w:jc w:val="both"/>
        <w:rPr>
          <w:lang w:val="sr-Latn-ME"/>
        </w:rPr>
      </w:pPr>
      <w:r w:rsidRPr="00107B99">
        <w:rPr>
          <w:lang w:val="sr-Latn-ME"/>
        </w:rPr>
        <w:t xml:space="preserve">U smislu navedenog, </w:t>
      </w:r>
      <w:r w:rsidR="00052773" w:rsidRPr="00052773">
        <w:rPr>
          <w:lang w:val="sr-Latn-ME"/>
        </w:rPr>
        <w:t xml:space="preserve">prihodi za period januar – februar 2024. godine ostvarili su snažan rast u odnosu </w:t>
      </w:r>
      <w:r w:rsidR="00052773">
        <w:rPr>
          <w:lang w:val="sr-Latn-ME"/>
        </w:rPr>
        <w:t>koji je</w:t>
      </w:r>
      <w:r w:rsidRPr="00107B99">
        <w:rPr>
          <w:lang w:val="sr-Latn-ME"/>
        </w:rPr>
        <w:t xml:space="preserve"> dominantno rezultat dobre naplate kategorija koje su pokazatelj rasta potrošnje, zaposlenosti, ekonomske aktivnosti, smanjenja sive ekonomije i sl.</w:t>
      </w:r>
      <w:r w:rsidR="00361DBE" w:rsidRPr="00107B99">
        <w:rPr>
          <w:lang w:val="sr-Latn-ME"/>
        </w:rPr>
        <w:t xml:space="preserve"> </w:t>
      </w:r>
    </w:p>
    <w:p w:rsidR="00B562CB" w:rsidRPr="00107B99" w:rsidRDefault="00B562CB" w:rsidP="00B562CB">
      <w:pPr>
        <w:spacing w:before="100" w:beforeAutospacing="1" w:after="100" w:afterAutospacing="1"/>
        <w:jc w:val="both"/>
        <w:rPr>
          <w:rFonts w:cstheme="minorHAnsi"/>
          <w:lang w:val="sr-Latn-ME"/>
        </w:rPr>
      </w:pPr>
      <w:bookmarkStart w:id="0" w:name="_GoBack"/>
      <w:bookmarkEnd w:id="0"/>
      <w:r w:rsidRPr="00107B99">
        <w:rPr>
          <w:rFonts w:cstheme="minorHAnsi"/>
          <w:lang w:val="sr-Latn-ME"/>
        </w:rPr>
        <w:t xml:space="preserve">Zaključno sa februarom mjesecom naplaćeno je ukupno 173,6 mil. € </w:t>
      </w:r>
      <w:r w:rsidR="00685D88">
        <w:rPr>
          <w:rFonts w:cstheme="minorHAnsi"/>
          <w:lang w:val="sr-Latn-ME"/>
        </w:rPr>
        <w:t xml:space="preserve">prihoda od </w:t>
      </w:r>
      <w:r w:rsidRPr="00107B99">
        <w:rPr>
          <w:rFonts w:cstheme="minorHAnsi"/>
          <w:b/>
          <w:lang w:val="sr-Latn-ME"/>
        </w:rPr>
        <w:t>PDV</w:t>
      </w:r>
      <w:r w:rsidRPr="00107B99">
        <w:rPr>
          <w:rFonts w:cstheme="minorHAnsi"/>
          <w:lang w:val="sr-Latn-ME"/>
        </w:rPr>
        <w:t xml:space="preserve">-a, što je u odnosu na plan veće za 13,1 mil. € ili 8,1%, kao i 32,7 mil. € ili 23,2% u odnosu na uporedni period 2023. godine. </w:t>
      </w:r>
      <w:r w:rsidRPr="00107B99">
        <w:rPr>
          <w:lang w:val="sr-Latn-ME"/>
        </w:rPr>
        <w:t>Rast prihoda od PDV-a dominantno je rezultat rasta potrošnje</w:t>
      </w:r>
      <w:r w:rsidR="00052773">
        <w:rPr>
          <w:lang w:val="sr-Latn-ME"/>
        </w:rPr>
        <w:t>, što je jednim dijelom rezultat povećanja minimalne penzije</w:t>
      </w:r>
    </w:p>
    <w:p w:rsidR="00B562CB" w:rsidRPr="00107B99" w:rsidRDefault="00B562CB" w:rsidP="0030391D">
      <w:pPr>
        <w:spacing w:before="100" w:beforeAutospacing="1" w:after="100" w:afterAutospacing="1"/>
        <w:jc w:val="both"/>
        <w:rPr>
          <w:rFonts w:cstheme="minorHAnsi"/>
          <w:lang w:val="sr-Latn-ME"/>
        </w:rPr>
      </w:pPr>
      <w:r w:rsidRPr="00107B99">
        <w:rPr>
          <w:rFonts w:cstheme="minorHAnsi"/>
          <w:lang w:val="sr-Latn-ME"/>
        </w:rPr>
        <w:t xml:space="preserve">Kategorija prihoda od </w:t>
      </w:r>
      <w:r w:rsidRPr="00107B99">
        <w:rPr>
          <w:rFonts w:cstheme="minorHAnsi"/>
          <w:b/>
          <w:lang w:val="sr-Latn-ME"/>
        </w:rPr>
        <w:t>akciza</w:t>
      </w:r>
      <w:r w:rsidRPr="00107B99">
        <w:rPr>
          <w:rFonts w:cstheme="minorHAnsi"/>
          <w:lang w:val="sr-Latn-ME"/>
        </w:rPr>
        <w:t>, u navedenom periodu, naplaćena je u iznosu od 44,9 mil. €, što je u odnosu na plan veće za 1,5 mil. € ili 3,5%, odnosno 9,2 mil. € ili 25,9% veće u odnosu na isti period prethodne godine.</w:t>
      </w:r>
      <w:r w:rsidR="0030391D" w:rsidRPr="00107B99">
        <w:rPr>
          <w:rFonts w:cstheme="minorHAnsi"/>
          <w:lang w:val="sr-Latn-ME"/>
        </w:rPr>
        <w:t xml:space="preserve"> </w:t>
      </w:r>
      <w:r w:rsidRPr="00107B99">
        <w:rPr>
          <w:rFonts w:cstheme="minorHAnsi"/>
          <w:lang w:val="sr-Latn-ME"/>
        </w:rPr>
        <w:t xml:space="preserve">Rast akciza u odnosu na prethodnu godinu prevashodno je rezultat rasta </w:t>
      </w:r>
      <w:r w:rsidR="00052773">
        <w:rPr>
          <w:rFonts w:cstheme="minorHAnsi"/>
          <w:lang w:val="sr-Latn-ME"/>
        </w:rPr>
        <w:t>prometa cigareta</w:t>
      </w:r>
      <w:r w:rsidRPr="00107B99">
        <w:rPr>
          <w:rFonts w:cstheme="minorHAnsi"/>
          <w:lang w:val="sr-Latn-ME"/>
        </w:rPr>
        <w:t xml:space="preserve">, ubrzanja akciznog kalendara, </w:t>
      </w:r>
      <w:r w:rsidR="00052773">
        <w:rPr>
          <w:rFonts w:cstheme="minorHAnsi"/>
          <w:lang w:val="sr-Latn-ME"/>
        </w:rPr>
        <w:t>kao</w:t>
      </w:r>
      <w:r w:rsidR="00052773" w:rsidRPr="00107B99">
        <w:rPr>
          <w:rFonts w:cstheme="minorHAnsi"/>
          <w:lang w:val="sr-Latn-ME"/>
        </w:rPr>
        <w:t xml:space="preserve"> </w:t>
      </w:r>
      <w:r w:rsidRPr="00107B99">
        <w:rPr>
          <w:rFonts w:cstheme="minorHAnsi"/>
          <w:lang w:val="sr-Latn-ME"/>
        </w:rPr>
        <w:t>i činjenice da je u prva dva mjeseca 2023. godine još uvijek bila na snazi primjena Odluke o umanjenju iznosa akcize na promet bezolovnog benzina i gasnih ulja.</w:t>
      </w:r>
    </w:p>
    <w:p w:rsidR="0030391D" w:rsidRPr="00107B99" w:rsidRDefault="0030391D" w:rsidP="0030391D">
      <w:pPr>
        <w:jc w:val="both"/>
        <w:rPr>
          <w:color w:val="FF0000"/>
          <w:lang w:val="sr-Latn-ME"/>
        </w:rPr>
      </w:pPr>
      <w:r w:rsidRPr="00107B99">
        <w:rPr>
          <w:lang w:val="sr-Latn-ME"/>
        </w:rPr>
        <w:lastRenderedPageBreak/>
        <w:t xml:space="preserve">Prihodi od </w:t>
      </w:r>
      <w:r w:rsidRPr="00107B99">
        <w:rPr>
          <w:b/>
          <w:lang w:val="sr-Latn-ME"/>
        </w:rPr>
        <w:t>doprinosa</w:t>
      </w:r>
      <w:r w:rsidR="00CD5FAD">
        <w:rPr>
          <w:b/>
          <w:lang w:val="sr-Latn-ME"/>
        </w:rPr>
        <w:t xml:space="preserve"> i poreza na dohodak fizičkih lica</w:t>
      </w:r>
      <w:r w:rsidRPr="00107B99">
        <w:rPr>
          <w:lang w:val="sr-Latn-ME"/>
        </w:rPr>
        <w:t xml:space="preserve"> naplaćeni su u</w:t>
      </w:r>
      <w:r w:rsidR="00CD5FAD">
        <w:rPr>
          <w:lang w:val="sr-Latn-ME"/>
        </w:rPr>
        <w:t xml:space="preserve"> ukupnom</w:t>
      </w:r>
      <w:r w:rsidRPr="00107B99">
        <w:rPr>
          <w:lang w:val="sr-Latn-ME"/>
        </w:rPr>
        <w:t xml:space="preserve"> iznosu od </w:t>
      </w:r>
      <w:r w:rsidR="00934418" w:rsidRPr="00107B99">
        <w:rPr>
          <w:lang w:val="sr-Latn-ME"/>
        </w:rPr>
        <w:t>64,8</w:t>
      </w:r>
      <w:r w:rsidRPr="00107B99">
        <w:rPr>
          <w:lang w:val="sr-Latn-ME"/>
        </w:rPr>
        <w:t xml:space="preserve"> mil. € što je u odnosu na plan </w:t>
      </w:r>
      <w:r w:rsidR="00934418" w:rsidRPr="00107B99">
        <w:rPr>
          <w:lang w:val="sr-Latn-ME"/>
        </w:rPr>
        <w:t>veće</w:t>
      </w:r>
      <w:r w:rsidRPr="00107B99">
        <w:rPr>
          <w:lang w:val="sr-Latn-ME"/>
        </w:rPr>
        <w:t xml:space="preserve"> za </w:t>
      </w:r>
      <w:r w:rsidR="00CD5FAD">
        <w:rPr>
          <w:lang w:val="sr-Latn-ME"/>
        </w:rPr>
        <w:t>6,4</w:t>
      </w:r>
      <w:r w:rsidR="00934418" w:rsidRPr="00107B99">
        <w:rPr>
          <w:lang w:val="sr-Latn-ME"/>
        </w:rPr>
        <w:t xml:space="preserve"> </w:t>
      </w:r>
      <w:r w:rsidRPr="00107B99">
        <w:rPr>
          <w:lang w:val="sr-Latn-ME"/>
        </w:rPr>
        <w:t xml:space="preserve">mil. € ili </w:t>
      </w:r>
      <w:r w:rsidR="00CD5FAD">
        <w:rPr>
          <w:lang w:val="sr-Latn-ME"/>
        </w:rPr>
        <w:t>9,7</w:t>
      </w:r>
      <w:r w:rsidRPr="00107B99">
        <w:rPr>
          <w:lang w:val="sr-Latn-ME"/>
        </w:rPr>
        <w:t>%</w:t>
      </w:r>
      <w:r w:rsidR="00660C9A">
        <w:rPr>
          <w:lang w:val="sr-Latn-ME"/>
        </w:rPr>
        <w:t>, kao</w:t>
      </w:r>
      <w:r w:rsidRPr="00107B99">
        <w:rPr>
          <w:lang w:val="sr-Latn-ME"/>
        </w:rPr>
        <w:t xml:space="preserve"> i </w:t>
      </w:r>
      <w:r w:rsidR="00CD5FAD">
        <w:rPr>
          <w:lang w:val="sr-Latn-ME"/>
        </w:rPr>
        <w:t>10,4</w:t>
      </w:r>
      <w:r w:rsidR="00934418" w:rsidRPr="00107B99">
        <w:rPr>
          <w:lang w:val="sr-Latn-ME"/>
        </w:rPr>
        <w:t xml:space="preserve"> </w:t>
      </w:r>
      <w:r w:rsidRPr="00107B99">
        <w:rPr>
          <w:lang w:val="sr-Latn-ME"/>
        </w:rPr>
        <w:t>mil. € ili 1</w:t>
      </w:r>
      <w:r w:rsidR="00CD5FAD">
        <w:rPr>
          <w:lang w:val="sr-Latn-ME"/>
        </w:rPr>
        <w:t>6,6</w:t>
      </w:r>
      <w:r w:rsidRPr="00107B99">
        <w:rPr>
          <w:lang w:val="sr-Latn-ME"/>
        </w:rPr>
        <w:t xml:space="preserve">% u odnosu na </w:t>
      </w:r>
      <w:r w:rsidR="00934418" w:rsidRPr="00107B99">
        <w:rPr>
          <w:lang w:val="sr-Latn-ME"/>
        </w:rPr>
        <w:t>isti period</w:t>
      </w:r>
      <w:r w:rsidRPr="00107B99">
        <w:rPr>
          <w:lang w:val="sr-Latn-ME"/>
        </w:rPr>
        <w:t xml:space="preserve"> prethodn</w:t>
      </w:r>
      <w:r w:rsidRPr="00CD5774">
        <w:rPr>
          <w:lang w:val="sr-Latn-ME"/>
        </w:rPr>
        <w:t xml:space="preserve">e godine. </w:t>
      </w:r>
    </w:p>
    <w:p w:rsidR="0030391D" w:rsidRPr="002D3E7F" w:rsidRDefault="0030391D" w:rsidP="001C4AB5">
      <w:pPr>
        <w:jc w:val="both"/>
        <w:rPr>
          <w:lang w:val="sr-Latn-ME"/>
        </w:rPr>
      </w:pPr>
      <w:r w:rsidRPr="002D3E7F">
        <w:rPr>
          <w:lang w:val="sr-Latn-ME"/>
        </w:rPr>
        <w:t xml:space="preserve">Kategorija </w:t>
      </w:r>
      <w:r w:rsidRPr="002D3E7F">
        <w:rPr>
          <w:b/>
          <w:lang w:val="sr-Latn-ME"/>
        </w:rPr>
        <w:t>ostalih prihoda</w:t>
      </w:r>
      <w:r w:rsidRPr="002D3E7F">
        <w:rPr>
          <w:lang w:val="sr-Latn-ME"/>
        </w:rPr>
        <w:t xml:space="preserve"> u odnosu na prethodnu godinu manja je za </w:t>
      </w:r>
      <w:r w:rsidR="002D3E7F" w:rsidRPr="002D3E7F">
        <w:rPr>
          <w:lang w:val="sr-Latn-ME"/>
        </w:rPr>
        <w:t>23,6 mil. €</w:t>
      </w:r>
      <w:r w:rsidRPr="002D3E7F">
        <w:rPr>
          <w:lang w:val="sr-Latn-ME"/>
        </w:rPr>
        <w:t xml:space="preserve"> ili </w:t>
      </w:r>
      <w:r w:rsidR="002D3E7F" w:rsidRPr="002D3E7F">
        <w:rPr>
          <w:lang w:val="sr-Latn-ME"/>
        </w:rPr>
        <w:t>64,3</w:t>
      </w:r>
      <w:r w:rsidRPr="002D3E7F">
        <w:rPr>
          <w:lang w:val="sr-Latn-ME"/>
        </w:rPr>
        <w:t>%, prvenstveno kao rezultat prenosa sredstava po osnovu implementacije projekta „Ekonomskog državljanstva“ koji je evidentiran u</w:t>
      </w:r>
      <w:r w:rsidR="00093712">
        <w:rPr>
          <w:lang w:val="sr-Latn-ME"/>
        </w:rPr>
        <w:t xml:space="preserve"> posmatranom periodu</w:t>
      </w:r>
      <w:r w:rsidRPr="002D3E7F">
        <w:rPr>
          <w:lang w:val="sr-Latn-ME"/>
        </w:rPr>
        <w:t xml:space="preserve"> 2023. godine u iznosu od 33,0 mil. €</w:t>
      </w:r>
      <w:r w:rsidR="00374E25">
        <w:rPr>
          <w:lang w:val="sr-Latn-ME"/>
        </w:rPr>
        <w:t xml:space="preserve">, </w:t>
      </w:r>
      <w:r w:rsidRPr="002D3E7F">
        <w:rPr>
          <w:lang w:val="sr-Latn-ME"/>
        </w:rPr>
        <w:t>dok je po istom osnovu u</w:t>
      </w:r>
      <w:r w:rsidR="002D3E7F" w:rsidRPr="002D3E7F">
        <w:rPr>
          <w:lang w:val="sr-Latn-ME"/>
        </w:rPr>
        <w:t xml:space="preserve"> </w:t>
      </w:r>
      <w:r w:rsidRPr="002D3E7F">
        <w:rPr>
          <w:lang w:val="sr-Latn-ME"/>
        </w:rPr>
        <w:t>2024. godin</w:t>
      </w:r>
      <w:r w:rsidR="00093712">
        <w:rPr>
          <w:lang w:val="sr-Latn-ME"/>
        </w:rPr>
        <w:t>i</w:t>
      </w:r>
      <w:r w:rsidRPr="002D3E7F">
        <w:rPr>
          <w:lang w:val="sr-Latn-ME"/>
        </w:rPr>
        <w:t xml:space="preserve"> ukupan prenos sredstava iznosio 3,1 mil. €. </w:t>
      </w:r>
    </w:p>
    <w:p w:rsidR="00B562CB" w:rsidRPr="00107B99" w:rsidRDefault="00B562CB" w:rsidP="00A733A3">
      <w:pPr>
        <w:jc w:val="both"/>
        <w:rPr>
          <w:b/>
          <w:lang w:val="sr-Latn-ME"/>
        </w:rPr>
      </w:pPr>
      <w:r w:rsidRPr="00107B99">
        <w:rPr>
          <w:b/>
          <w:lang w:val="sr-Latn-ME"/>
        </w:rPr>
        <w:t xml:space="preserve">Prihodi budžeta </w:t>
      </w:r>
      <w:r w:rsidRPr="00335035">
        <w:rPr>
          <w:lang w:val="sr-Latn-ME"/>
        </w:rPr>
        <w:t>u februaru</w:t>
      </w:r>
      <w:r w:rsidR="00335035">
        <w:rPr>
          <w:lang w:val="sr-Latn-ME"/>
        </w:rPr>
        <w:t xml:space="preserve"> mjesecu</w:t>
      </w:r>
      <w:r w:rsidRPr="00335035">
        <w:rPr>
          <w:lang w:val="sr-Latn-ME"/>
        </w:rPr>
        <w:t xml:space="preserve"> iznosili su </w:t>
      </w:r>
      <w:r w:rsidR="00934418" w:rsidRPr="00335035">
        <w:rPr>
          <w:lang w:val="sr-Latn-ME"/>
        </w:rPr>
        <w:t>180,2</w:t>
      </w:r>
      <w:r w:rsidRPr="00335035">
        <w:rPr>
          <w:lang w:val="sr-Latn-ME"/>
        </w:rPr>
        <w:t xml:space="preserve"> mil. €, što je u odnosu na isti mjesec prethodne godine veće za 37,</w:t>
      </w:r>
      <w:r w:rsidR="00934418" w:rsidRPr="00335035">
        <w:rPr>
          <w:lang w:val="sr-Latn-ME"/>
        </w:rPr>
        <w:t>8</w:t>
      </w:r>
      <w:r w:rsidRPr="00335035">
        <w:rPr>
          <w:lang w:val="sr-Latn-ME"/>
        </w:rPr>
        <w:t xml:space="preserve"> mil. € ili 26,</w:t>
      </w:r>
      <w:r w:rsidR="00934418" w:rsidRPr="00335035">
        <w:rPr>
          <w:lang w:val="sr-Latn-ME"/>
        </w:rPr>
        <w:t>5</w:t>
      </w:r>
      <w:r w:rsidRPr="00335035">
        <w:rPr>
          <w:lang w:val="sr-Latn-ME"/>
        </w:rPr>
        <w:t>%. U poređenju sa planom za mjesec februar, prihodi su iznad plana za 2</w:t>
      </w:r>
      <w:r w:rsidR="00934418" w:rsidRPr="00335035">
        <w:rPr>
          <w:lang w:val="sr-Latn-ME"/>
        </w:rPr>
        <w:t>2,1</w:t>
      </w:r>
      <w:r w:rsidRPr="00335035">
        <w:rPr>
          <w:lang w:val="sr-Latn-ME"/>
        </w:rPr>
        <w:t xml:space="preserve"> mil. € ili 13,</w:t>
      </w:r>
      <w:r w:rsidR="00934418" w:rsidRPr="00335035">
        <w:rPr>
          <w:lang w:val="sr-Latn-ME"/>
        </w:rPr>
        <w:t>9</w:t>
      </w:r>
      <w:r w:rsidRPr="00335035">
        <w:rPr>
          <w:lang w:val="sr-Latn-ME"/>
        </w:rPr>
        <w:t>%.</w:t>
      </w:r>
    </w:p>
    <w:p w:rsidR="00A733A3" w:rsidRDefault="00A733A3" w:rsidP="00A733A3">
      <w:pPr>
        <w:jc w:val="both"/>
        <w:rPr>
          <w:lang w:val="sr-Latn-ME"/>
        </w:rPr>
      </w:pPr>
      <w:r w:rsidRPr="000A178F">
        <w:rPr>
          <w:b/>
          <w:lang w:val="sr-Latn-ME"/>
        </w:rPr>
        <w:t>Izdaci budžeta</w:t>
      </w:r>
      <w:r w:rsidRPr="000A178F">
        <w:rPr>
          <w:lang w:val="sr-Latn-ME"/>
        </w:rPr>
        <w:t xml:space="preserve"> </w:t>
      </w:r>
      <w:r w:rsidR="002E3703" w:rsidRPr="000A178F">
        <w:rPr>
          <w:lang w:val="sr-Latn-ME"/>
        </w:rPr>
        <w:t>za prva dva mjeseca</w:t>
      </w:r>
      <w:r w:rsidRPr="000A178F">
        <w:rPr>
          <w:lang w:val="sr-Latn-ME"/>
        </w:rPr>
        <w:t xml:space="preserve"> 202</w:t>
      </w:r>
      <w:r w:rsidR="00E16F63" w:rsidRPr="000A178F">
        <w:rPr>
          <w:lang w:val="sr-Latn-ME"/>
        </w:rPr>
        <w:t>4</w:t>
      </w:r>
      <w:r w:rsidRPr="000A178F">
        <w:rPr>
          <w:lang w:val="sr-Latn-ME"/>
        </w:rPr>
        <w:t>. godine iznosili su</w:t>
      </w:r>
      <w:r w:rsidR="007520A9" w:rsidRPr="000A178F">
        <w:rPr>
          <w:lang w:val="sr-Latn-ME"/>
        </w:rPr>
        <w:t xml:space="preserve"> </w:t>
      </w:r>
      <w:r w:rsidR="000A178F" w:rsidRPr="000A178F">
        <w:rPr>
          <w:lang w:val="sr-Latn-ME"/>
        </w:rPr>
        <w:t xml:space="preserve">352,4 </w:t>
      </w:r>
      <w:r w:rsidRPr="000A178F">
        <w:rPr>
          <w:lang w:val="sr-Latn-ME"/>
        </w:rPr>
        <w:t xml:space="preserve">mil. € ili </w:t>
      </w:r>
      <w:r w:rsidR="000A178F" w:rsidRPr="000A178F">
        <w:rPr>
          <w:lang w:val="sr-Latn-ME"/>
        </w:rPr>
        <w:t>5</w:t>
      </w:r>
      <w:r w:rsidRPr="000A178F">
        <w:rPr>
          <w:lang w:val="sr-Latn-ME"/>
        </w:rPr>
        <w:t xml:space="preserve">% procijenjenog BDP-a i u odnosu na planirane </w:t>
      </w:r>
      <w:r w:rsidR="000A178F" w:rsidRPr="000A178F">
        <w:rPr>
          <w:lang w:val="sr-Latn-ME"/>
        </w:rPr>
        <w:t>manji</w:t>
      </w:r>
      <w:r w:rsidRPr="000A178F">
        <w:rPr>
          <w:lang w:val="sr-Latn-ME"/>
        </w:rPr>
        <w:t xml:space="preserve"> su za</w:t>
      </w:r>
      <w:r w:rsidR="007520A9" w:rsidRPr="000A178F">
        <w:rPr>
          <w:lang w:val="sr-Latn-ME"/>
        </w:rPr>
        <w:t xml:space="preserve"> </w:t>
      </w:r>
      <w:r w:rsidR="000A178F" w:rsidRPr="000A178F">
        <w:rPr>
          <w:lang w:val="sr-Latn-ME"/>
        </w:rPr>
        <w:t>65,</w:t>
      </w:r>
      <w:r w:rsidR="00722568">
        <w:rPr>
          <w:lang w:val="sr-Latn-ME"/>
        </w:rPr>
        <w:t>2</w:t>
      </w:r>
      <w:r w:rsidR="000A178F" w:rsidRPr="000A178F">
        <w:rPr>
          <w:lang w:val="sr-Latn-ME"/>
        </w:rPr>
        <w:t xml:space="preserve"> </w:t>
      </w:r>
      <w:r w:rsidRPr="000A178F">
        <w:rPr>
          <w:lang w:val="sr-Latn-ME"/>
        </w:rPr>
        <w:t xml:space="preserve">mil. € ili </w:t>
      </w:r>
      <w:r w:rsidR="000A178F" w:rsidRPr="000A178F">
        <w:rPr>
          <w:lang w:val="sr-Latn-ME"/>
        </w:rPr>
        <w:t>15,6</w:t>
      </w:r>
      <w:r w:rsidRPr="000A178F">
        <w:rPr>
          <w:lang w:val="sr-Latn-ME"/>
        </w:rPr>
        <w:t xml:space="preserve">%. U odnosu na posmatrani </w:t>
      </w:r>
      <w:r w:rsidR="000D1E34" w:rsidRPr="000A178F">
        <w:rPr>
          <w:lang w:val="sr-Latn-ME"/>
        </w:rPr>
        <w:t>period</w:t>
      </w:r>
      <w:r w:rsidRPr="000A178F">
        <w:rPr>
          <w:lang w:val="sr-Latn-ME"/>
        </w:rPr>
        <w:t xml:space="preserve"> prethodne godine, izdaci su </w:t>
      </w:r>
      <w:r w:rsidR="007520A9" w:rsidRPr="000A178F">
        <w:rPr>
          <w:lang w:val="sr-Latn-ME"/>
        </w:rPr>
        <w:t>veći</w:t>
      </w:r>
      <w:r w:rsidRPr="000A178F">
        <w:rPr>
          <w:lang w:val="sr-Latn-ME"/>
        </w:rPr>
        <w:t xml:space="preserve"> za</w:t>
      </w:r>
      <w:r w:rsidR="007520A9" w:rsidRPr="000A178F">
        <w:rPr>
          <w:lang w:val="sr-Latn-ME"/>
        </w:rPr>
        <w:t xml:space="preserve"> </w:t>
      </w:r>
      <w:r w:rsidR="000A178F" w:rsidRPr="000A178F">
        <w:rPr>
          <w:lang w:val="sr-Latn-ME"/>
        </w:rPr>
        <w:t xml:space="preserve">66,8 </w:t>
      </w:r>
      <w:r w:rsidRPr="000A178F">
        <w:rPr>
          <w:lang w:val="sr-Latn-ME"/>
        </w:rPr>
        <w:t xml:space="preserve">mil € odnosno </w:t>
      </w:r>
      <w:r w:rsidR="000A178F" w:rsidRPr="000A178F">
        <w:rPr>
          <w:lang w:val="sr-Latn-ME"/>
        </w:rPr>
        <w:t>23,4</w:t>
      </w:r>
      <w:r w:rsidRPr="000A178F">
        <w:rPr>
          <w:lang w:val="sr-Latn-ME"/>
        </w:rPr>
        <w:t>%.</w:t>
      </w:r>
    </w:p>
    <w:p w:rsidR="009054F5" w:rsidRPr="009054F5" w:rsidRDefault="009054F5" w:rsidP="00A733A3">
      <w:pPr>
        <w:jc w:val="both"/>
        <w:rPr>
          <w:lang w:val="sr-Latn-ME"/>
        </w:rPr>
      </w:pPr>
      <w:r>
        <w:rPr>
          <w:lang w:val="sr-Latn-ME"/>
        </w:rPr>
        <w:t xml:space="preserve">Rast izdataka </w:t>
      </w:r>
      <w:r w:rsidR="006452D1">
        <w:rPr>
          <w:lang w:val="sr-Latn-ME"/>
        </w:rPr>
        <w:t>-</w:t>
      </w:r>
      <w:r>
        <w:rPr>
          <w:lang w:val="sr-Latn-ME"/>
        </w:rPr>
        <w:t>u najvećoj mjeri uslovljen je rastom izdvajanja za isplatu prava iz oblasti penzijskog i invalidskog osiguranja primarno usljed povećanja minimalne penzije</w:t>
      </w:r>
      <w:r w:rsidR="00E849B0">
        <w:rPr>
          <w:lang w:val="sr-Latn-ME"/>
        </w:rPr>
        <w:t xml:space="preserve"> kao i</w:t>
      </w:r>
      <w:r>
        <w:rPr>
          <w:lang w:val="sr-Latn-ME"/>
        </w:rPr>
        <w:t xml:space="preserve"> rasta izdvajanja za bruto zarade </w:t>
      </w:r>
      <w:r>
        <w:t>(</w:t>
      </w:r>
      <w:proofErr w:type="spellStart"/>
      <w:r>
        <w:t>usljed</w:t>
      </w:r>
      <w:proofErr w:type="spellEnd"/>
      <w:r>
        <w:t xml:space="preserve"> </w:t>
      </w:r>
      <w:proofErr w:type="spellStart"/>
      <w:r>
        <w:t>rasta</w:t>
      </w:r>
      <w:proofErr w:type="spellEnd"/>
      <w:r>
        <w:t xml:space="preserve"> </w:t>
      </w:r>
      <w:proofErr w:type="spellStart"/>
      <w:r>
        <w:t>broja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 </w:t>
      </w:r>
      <w:proofErr w:type="spellStart"/>
      <w:r>
        <w:t>tokom</w:t>
      </w:r>
      <w:proofErr w:type="spellEnd"/>
      <w:r>
        <w:t xml:space="preserve"> 2023. </w:t>
      </w:r>
      <w:proofErr w:type="spellStart"/>
      <w:r>
        <w:t>godine</w:t>
      </w:r>
      <w:proofErr w:type="spellEnd"/>
      <w:r>
        <w:t xml:space="preserve"> i </w:t>
      </w:r>
      <w:proofErr w:type="spellStart"/>
      <w:r>
        <w:t>usvajanja</w:t>
      </w:r>
      <w:proofErr w:type="spellEnd"/>
      <w:r>
        <w:t xml:space="preserve"> </w:t>
      </w:r>
      <w:proofErr w:type="spellStart"/>
      <w:r>
        <w:t>granskih</w:t>
      </w:r>
      <w:proofErr w:type="spellEnd"/>
      <w:r>
        <w:t xml:space="preserve"> </w:t>
      </w:r>
      <w:proofErr w:type="spellStart"/>
      <w:r>
        <w:t>kolektivnih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povećane</w:t>
      </w:r>
      <w:proofErr w:type="spellEnd"/>
      <w:r>
        <w:t xml:space="preserve"> </w:t>
      </w:r>
      <w:proofErr w:type="spellStart"/>
      <w:r>
        <w:t>zarade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 u </w:t>
      </w:r>
      <w:proofErr w:type="spellStart"/>
      <w:r>
        <w:t>javnom</w:t>
      </w:r>
      <w:proofErr w:type="spellEnd"/>
      <w:r>
        <w:t xml:space="preserve"> </w:t>
      </w:r>
      <w:proofErr w:type="spellStart"/>
      <w:r>
        <w:t>sektoru</w:t>
      </w:r>
      <w:proofErr w:type="spellEnd"/>
      <w:r>
        <w:t xml:space="preserve"> u 2023. </w:t>
      </w:r>
      <w:proofErr w:type="spellStart"/>
      <w:r>
        <w:t>godini</w:t>
      </w:r>
      <w:proofErr w:type="spellEnd"/>
      <w:r>
        <w:t>)</w:t>
      </w:r>
      <w:r w:rsidR="00E849B0">
        <w:t>.</w:t>
      </w:r>
    </w:p>
    <w:p w:rsidR="001224DF" w:rsidRDefault="00A733A3" w:rsidP="00A733A3">
      <w:pPr>
        <w:jc w:val="both"/>
        <w:rPr>
          <w:color w:val="FF0000"/>
          <w:lang w:val="sr-Latn-ME"/>
        </w:rPr>
      </w:pPr>
      <w:r w:rsidRPr="003D0DDD">
        <w:rPr>
          <w:lang w:val="sr-Latn-ME"/>
        </w:rPr>
        <w:t xml:space="preserve">U strukturi ukupne potrošnje, </w:t>
      </w:r>
      <w:r w:rsidRPr="003D0DDD">
        <w:rPr>
          <w:b/>
          <w:lang w:val="sr-Latn-ME"/>
        </w:rPr>
        <w:t>tekući izdaci</w:t>
      </w:r>
      <w:r w:rsidRPr="003D0DDD">
        <w:rPr>
          <w:lang w:val="sr-Latn-ME"/>
        </w:rPr>
        <w:t xml:space="preserve"> u januaru ostvareni su u iznosu od</w:t>
      </w:r>
      <w:r w:rsidR="007520A9" w:rsidRPr="003D0DDD">
        <w:rPr>
          <w:lang w:val="sr-Latn-ME"/>
        </w:rPr>
        <w:t xml:space="preserve"> </w:t>
      </w:r>
      <w:r w:rsidR="003D0DDD" w:rsidRPr="003D0DDD">
        <w:rPr>
          <w:lang w:val="sr-Latn-ME"/>
        </w:rPr>
        <w:t xml:space="preserve">143,7 </w:t>
      </w:r>
      <w:r w:rsidRPr="003D0DDD">
        <w:rPr>
          <w:lang w:val="sr-Latn-ME"/>
        </w:rPr>
        <w:t>mil. € što je za</w:t>
      </w:r>
      <w:r w:rsidR="007520A9" w:rsidRPr="003D0DDD">
        <w:rPr>
          <w:lang w:val="sr-Latn-ME"/>
        </w:rPr>
        <w:t xml:space="preserve"> </w:t>
      </w:r>
      <w:r w:rsidR="003D0DDD" w:rsidRPr="003D0DDD">
        <w:rPr>
          <w:lang w:val="sr-Latn-ME"/>
        </w:rPr>
        <w:t xml:space="preserve">31,1 </w:t>
      </w:r>
      <w:r w:rsidRPr="003D0DDD">
        <w:rPr>
          <w:lang w:val="sr-Latn-ME"/>
        </w:rPr>
        <w:t xml:space="preserve">mil. € ili </w:t>
      </w:r>
      <w:r w:rsidR="003D0DDD" w:rsidRPr="003D0DDD">
        <w:rPr>
          <w:lang w:val="sr-Latn-ME"/>
        </w:rPr>
        <w:t>17,8</w:t>
      </w:r>
      <w:r w:rsidRPr="003D0DDD">
        <w:rPr>
          <w:lang w:val="sr-Latn-ME"/>
        </w:rPr>
        <w:t>% manje od plana</w:t>
      </w:r>
      <w:r w:rsidR="007520A9" w:rsidRPr="003D0DDD">
        <w:rPr>
          <w:lang w:val="sr-Latn-ME"/>
        </w:rPr>
        <w:t xml:space="preserve">, </w:t>
      </w:r>
      <w:r w:rsidR="00D56A8A" w:rsidRPr="003D0DDD">
        <w:rPr>
          <w:lang w:val="sr-Latn-ME"/>
        </w:rPr>
        <w:t>usljed sporije dinamike plaćanja u odnosu na plan</w:t>
      </w:r>
      <w:r w:rsidR="003A5469" w:rsidRPr="003D0DDD">
        <w:rPr>
          <w:lang w:val="sr-Latn-ME"/>
        </w:rPr>
        <w:t>, dominant</w:t>
      </w:r>
      <w:r w:rsidR="000D1E34" w:rsidRPr="003D0DDD">
        <w:rPr>
          <w:lang w:val="sr-Latn-ME"/>
        </w:rPr>
        <w:t>n</w:t>
      </w:r>
      <w:r w:rsidR="003A5469" w:rsidRPr="003D0DDD">
        <w:rPr>
          <w:lang w:val="sr-Latn-ME"/>
        </w:rPr>
        <w:t>o u okviru pozicije Ostali izdaci</w:t>
      </w:r>
      <w:r w:rsidR="00881944">
        <w:rPr>
          <w:lang w:val="sr-Latn-ME"/>
        </w:rPr>
        <w:t xml:space="preserve">, odnosno </w:t>
      </w:r>
      <w:r w:rsidR="00881944" w:rsidRPr="00881944">
        <w:rPr>
          <w:lang w:val="sr-Latn-ME"/>
        </w:rPr>
        <w:t>Izdaci po osnovu isplate ugovora o djelu</w:t>
      </w:r>
      <w:r w:rsidR="00881944">
        <w:rPr>
          <w:lang w:val="sr-Latn-ME"/>
        </w:rPr>
        <w:t xml:space="preserve"> i izdaci vezani za </w:t>
      </w:r>
      <w:r w:rsidR="00881944" w:rsidRPr="00881944">
        <w:rPr>
          <w:lang w:val="sr-Latn-ME"/>
        </w:rPr>
        <w:t>Izrad</w:t>
      </w:r>
      <w:r w:rsidR="00881944">
        <w:rPr>
          <w:lang w:val="sr-Latn-ME"/>
        </w:rPr>
        <w:t>u</w:t>
      </w:r>
      <w:r w:rsidR="00881944" w:rsidRPr="00881944">
        <w:rPr>
          <w:lang w:val="sr-Latn-ME"/>
        </w:rPr>
        <w:t xml:space="preserve"> i održavanje softvera</w:t>
      </w:r>
      <w:r w:rsidR="00D56A8A" w:rsidRPr="003D0DDD">
        <w:rPr>
          <w:lang w:val="sr-Latn-ME"/>
        </w:rPr>
        <w:t xml:space="preserve">. </w:t>
      </w:r>
    </w:p>
    <w:p w:rsidR="00A733A3" w:rsidRDefault="00D56A8A" w:rsidP="00A733A3">
      <w:pPr>
        <w:jc w:val="both"/>
        <w:rPr>
          <w:lang w:val="sr-Latn-ME"/>
        </w:rPr>
      </w:pPr>
      <w:r w:rsidRPr="00D82A6C">
        <w:rPr>
          <w:lang w:val="sr-Latn-ME"/>
        </w:rPr>
        <w:t xml:space="preserve">Pored navedenog, niže ostvarenje od plana je evidentirano kod </w:t>
      </w:r>
      <w:r w:rsidRPr="008B31D7">
        <w:rPr>
          <w:b/>
          <w:lang w:val="sr-Latn-ME"/>
        </w:rPr>
        <w:t>transfera za socijalnu zaštitu</w:t>
      </w:r>
      <w:r w:rsidR="00D82A6C" w:rsidRPr="00D82A6C">
        <w:rPr>
          <w:lang w:val="sr-Latn-ME"/>
        </w:rPr>
        <w:t xml:space="preserve"> u iznosu od 9,6 mil. € ili 6%</w:t>
      </w:r>
      <w:r w:rsidRPr="00D82A6C">
        <w:rPr>
          <w:lang w:val="sr-Latn-ME"/>
        </w:rPr>
        <w:t>,</w:t>
      </w:r>
      <w:r w:rsidR="008B31D7">
        <w:rPr>
          <w:lang w:val="sr-Latn-ME"/>
        </w:rPr>
        <w:t xml:space="preserve"> kao i 25,4 mil. € ili 20,4% u odnosu na posmatrani period 2023. godine, a</w:t>
      </w:r>
      <w:r w:rsidRPr="00D82A6C">
        <w:rPr>
          <w:lang w:val="sr-Latn-ME"/>
        </w:rPr>
        <w:t xml:space="preserve"> </w:t>
      </w:r>
      <w:r w:rsidR="00543B8F" w:rsidRPr="00D82A6C">
        <w:rPr>
          <w:lang w:val="sr-Latn-ME"/>
        </w:rPr>
        <w:t xml:space="preserve">u skladu sa stvarnim obračunom i </w:t>
      </w:r>
      <w:r w:rsidR="00543B8F" w:rsidRPr="008B31D7">
        <w:rPr>
          <w:lang w:val="sr-Latn-ME"/>
        </w:rPr>
        <w:t>redovnim u</w:t>
      </w:r>
      <w:r w:rsidR="001224DF" w:rsidRPr="008B31D7">
        <w:rPr>
          <w:lang w:val="sr-Latn-ME"/>
        </w:rPr>
        <w:t>s</w:t>
      </w:r>
      <w:r w:rsidR="00543B8F" w:rsidRPr="008B31D7">
        <w:rPr>
          <w:lang w:val="sr-Latn-ME"/>
        </w:rPr>
        <w:t xml:space="preserve">klađivanjem. Dodatno, sredstva </w:t>
      </w:r>
      <w:r w:rsidR="00D82A6C" w:rsidRPr="008B31D7">
        <w:rPr>
          <w:lang w:val="sr-Latn-ME"/>
        </w:rPr>
        <w:t>u okviru kategorije izdataka</w:t>
      </w:r>
      <w:r w:rsidR="00543B8F" w:rsidRPr="008B31D7">
        <w:rPr>
          <w:lang w:val="sr-Latn-ME"/>
        </w:rPr>
        <w:t xml:space="preserve"> </w:t>
      </w:r>
      <w:r w:rsidR="00543B8F" w:rsidRPr="008B31D7">
        <w:rPr>
          <w:b/>
          <w:lang w:val="sr-Latn-ME"/>
        </w:rPr>
        <w:t>Transferi institucijama, pojedincima, nevladinom i javnom sektoru</w:t>
      </w:r>
      <w:r w:rsidR="00543B8F" w:rsidRPr="008B31D7">
        <w:rPr>
          <w:lang w:val="sr-Latn-ME"/>
        </w:rPr>
        <w:t xml:space="preserve"> os</w:t>
      </w:r>
      <w:r w:rsidR="00A16DAC" w:rsidRPr="008B31D7">
        <w:rPr>
          <w:lang w:val="sr-Latn-ME"/>
        </w:rPr>
        <w:t>t</w:t>
      </w:r>
      <w:r w:rsidR="00543B8F" w:rsidRPr="008B31D7">
        <w:rPr>
          <w:lang w:val="sr-Latn-ME"/>
        </w:rPr>
        <w:t>varen</w:t>
      </w:r>
      <w:r w:rsidR="00D82A6C" w:rsidRPr="008B31D7">
        <w:rPr>
          <w:lang w:val="sr-Latn-ME"/>
        </w:rPr>
        <w:t>a</w:t>
      </w:r>
      <w:r w:rsidR="00543B8F" w:rsidRPr="008B31D7">
        <w:rPr>
          <w:lang w:val="sr-Latn-ME"/>
        </w:rPr>
        <w:t xml:space="preserve"> je </w:t>
      </w:r>
      <w:r w:rsidR="00D82A6C" w:rsidRPr="008B31D7">
        <w:rPr>
          <w:lang w:val="sr-Latn-ME"/>
        </w:rPr>
        <w:t>takođe</w:t>
      </w:r>
      <w:r w:rsidR="008B31D7" w:rsidRPr="008B31D7">
        <w:rPr>
          <w:lang w:val="sr-Latn-ME"/>
        </w:rPr>
        <w:t xml:space="preserve"> u</w:t>
      </w:r>
      <w:r w:rsidR="00543B8F" w:rsidRPr="008B31D7">
        <w:rPr>
          <w:lang w:val="sr-Latn-ME"/>
        </w:rPr>
        <w:t xml:space="preserve"> iznosu</w:t>
      </w:r>
      <w:r w:rsidR="00D82A6C" w:rsidRPr="008B31D7">
        <w:rPr>
          <w:lang w:val="sr-Latn-ME"/>
        </w:rPr>
        <w:t xml:space="preserve"> nižem</w:t>
      </w:r>
      <w:r w:rsidR="00543B8F" w:rsidRPr="008B31D7">
        <w:rPr>
          <w:lang w:val="sr-Latn-ME"/>
        </w:rPr>
        <w:t xml:space="preserve"> od plana</w:t>
      </w:r>
      <w:r w:rsidR="008B31D7" w:rsidRPr="008B31D7">
        <w:rPr>
          <w:lang w:val="sr-Latn-ME"/>
        </w:rPr>
        <w:t xml:space="preserve"> </w:t>
      </w:r>
      <w:r w:rsidR="00D82A6C" w:rsidRPr="008B31D7">
        <w:rPr>
          <w:lang w:val="sr-Latn-ME"/>
        </w:rPr>
        <w:t>i to</w:t>
      </w:r>
      <w:r w:rsidR="00543B8F" w:rsidRPr="008B31D7">
        <w:rPr>
          <w:lang w:val="sr-Latn-ME"/>
        </w:rPr>
        <w:t xml:space="preserve"> za </w:t>
      </w:r>
      <w:r w:rsidR="003A5469" w:rsidRPr="008B31D7">
        <w:rPr>
          <w:lang w:val="sr-Latn-ME"/>
        </w:rPr>
        <w:t>1</w:t>
      </w:r>
      <w:r w:rsidR="00D82A6C" w:rsidRPr="008B31D7">
        <w:rPr>
          <w:lang w:val="sr-Latn-ME"/>
        </w:rPr>
        <w:t>8,7</w:t>
      </w:r>
      <w:r w:rsidR="00543B8F" w:rsidRPr="008B31D7">
        <w:rPr>
          <w:lang w:val="sr-Latn-ME"/>
        </w:rPr>
        <w:t xml:space="preserve"> mil</w:t>
      </w:r>
      <w:r w:rsidR="008B31D7">
        <w:rPr>
          <w:lang w:val="sr-Latn-ME"/>
        </w:rPr>
        <w:t>.</w:t>
      </w:r>
      <w:r w:rsidR="00543B8F" w:rsidRPr="008B31D7">
        <w:rPr>
          <w:lang w:val="sr-Latn-ME"/>
        </w:rPr>
        <w:t xml:space="preserve"> € </w:t>
      </w:r>
      <w:r w:rsidR="00D82A6C" w:rsidRPr="008B31D7">
        <w:rPr>
          <w:lang w:val="sr-Latn-ME"/>
        </w:rPr>
        <w:t>ili 32,5%</w:t>
      </w:r>
      <w:r w:rsidR="00543B8F" w:rsidRPr="008B31D7">
        <w:rPr>
          <w:lang w:val="sr-Latn-ME"/>
        </w:rPr>
        <w:t xml:space="preserve">, </w:t>
      </w:r>
      <w:r w:rsidR="00D825AF">
        <w:rPr>
          <w:lang w:val="sr-Latn-ME"/>
        </w:rPr>
        <w:t xml:space="preserve">dominantno u dijelu trasfera obrazovanju, ostalih transfera pojedincima i Ostalih transfera institucijama. U odnosu na isti period 2023. godine, izdaci za navedene namjene veći su za </w:t>
      </w:r>
      <w:r w:rsidR="00D82A6C" w:rsidRPr="008B31D7">
        <w:rPr>
          <w:lang w:val="sr-Latn-ME"/>
        </w:rPr>
        <w:t>12,1</w:t>
      </w:r>
      <w:r w:rsidR="008B31D7">
        <w:rPr>
          <w:lang w:val="sr-Latn-ME"/>
        </w:rPr>
        <w:t xml:space="preserve"> mil. €</w:t>
      </w:r>
      <w:r w:rsidR="00D82A6C" w:rsidRPr="008B31D7">
        <w:rPr>
          <w:lang w:val="sr-Latn-ME"/>
        </w:rPr>
        <w:t xml:space="preserve"> ili 45,1</w:t>
      </w:r>
      <w:r w:rsidR="008B31D7" w:rsidRPr="008B31D7">
        <w:rPr>
          <w:lang w:val="sr-Latn-ME"/>
        </w:rPr>
        <w:t>%</w:t>
      </w:r>
      <w:r w:rsidR="003A5469" w:rsidRPr="008B31D7">
        <w:rPr>
          <w:lang w:val="sr-Latn-ME"/>
        </w:rPr>
        <w:t>.</w:t>
      </w:r>
      <w:r w:rsidRPr="008B31D7">
        <w:rPr>
          <w:lang w:val="sr-Latn-ME"/>
        </w:rPr>
        <w:t xml:space="preserve"> </w:t>
      </w:r>
    </w:p>
    <w:p w:rsidR="000A37B4" w:rsidRDefault="000A37B4" w:rsidP="00A733A3">
      <w:pPr>
        <w:jc w:val="both"/>
        <w:rPr>
          <w:lang w:val="sr-Latn-ME"/>
        </w:rPr>
      </w:pPr>
      <w:r w:rsidRPr="000A37B4">
        <w:rPr>
          <w:b/>
          <w:lang w:val="sr-Latn-ME"/>
        </w:rPr>
        <w:t>Kapitalni budžet</w:t>
      </w:r>
      <w:r>
        <w:rPr>
          <w:lang w:val="sr-Latn-ME"/>
        </w:rPr>
        <w:t xml:space="preserve"> realizovan je u iznosu od 10.7 mil €, što predstavlja 69% plana i čija realizacije je očekivano da bude intezivirana u narednom perio</w:t>
      </w:r>
      <w:r w:rsidR="006452D1">
        <w:rPr>
          <w:lang w:val="sr-Latn-ME"/>
        </w:rPr>
        <w:t>d</w:t>
      </w:r>
      <w:r>
        <w:rPr>
          <w:lang w:val="sr-Latn-ME"/>
        </w:rPr>
        <w:t>u, nakon finalizacije tenderskih postupaka za izvođenje radov</w:t>
      </w:r>
      <w:r w:rsidR="006452D1">
        <w:rPr>
          <w:lang w:val="sr-Latn-ME"/>
        </w:rPr>
        <w:t>a</w:t>
      </w:r>
      <w:r>
        <w:rPr>
          <w:lang w:val="sr-Latn-ME"/>
        </w:rPr>
        <w:t xml:space="preserve"> pojedinih ka</w:t>
      </w:r>
      <w:r w:rsidR="006452D1">
        <w:rPr>
          <w:lang w:val="sr-Latn-ME"/>
        </w:rPr>
        <w:t>p</w:t>
      </w:r>
      <w:r>
        <w:rPr>
          <w:lang w:val="sr-Latn-ME"/>
        </w:rPr>
        <w:t>italnih projekata.</w:t>
      </w:r>
    </w:p>
    <w:p w:rsidR="00335035" w:rsidRPr="00CD5774" w:rsidRDefault="00335035" w:rsidP="00A733A3">
      <w:pPr>
        <w:jc w:val="both"/>
        <w:rPr>
          <w:lang w:val="sr-Latn-ME"/>
        </w:rPr>
      </w:pPr>
      <w:r w:rsidRPr="00CD5774">
        <w:rPr>
          <w:b/>
          <w:lang w:val="sr-Latn-ME"/>
        </w:rPr>
        <w:t>Izdaci budžeta</w:t>
      </w:r>
      <w:r w:rsidRPr="00CD5774">
        <w:rPr>
          <w:lang w:val="sr-Latn-ME"/>
        </w:rPr>
        <w:t xml:space="preserve"> u februaru mjesecu iznosili su 214,5 mil. €, što je u odnosu na planirane manje za 18,1 mil. € ili 7,8%, dok su u odnosu na isti mjesec prethodne godine veći za 43,9 mil. €ili 25,8%. </w:t>
      </w:r>
    </w:p>
    <w:p w:rsidR="00373105" w:rsidRPr="00CD5774" w:rsidRDefault="00A733A3" w:rsidP="00A733A3">
      <w:pPr>
        <w:jc w:val="both"/>
        <w:rPr>
          <w:lang w:val="sr-Latn-ME"/>
        </w:rPr>
      </w:pPr>
      <w:r w:rsidRPr="00CD5774">
        <w:rPr>
          <w:lang w:val="sr-Latn-ME"/>
        </w:rPr>
        <w:t xml:space="preserve">Uzimajući u obzir ostvarene prihode i izvršene rashode, u </w:t>
      </w:r>
      <w:r w:rsidR="00A15C57" w:rsidRPr="00CD5774">
        <w:rPr>
          <w:lang w:val="sr-Latn-ME"/>
        </w:rPr>
        <w:t>prva dva</w:t>
      </w:r>
      <w:r w:rsidRPr="00CD5774">
        <w:rPr>
          <w:lang w:val="sr-Latn-ME"/>
        </w:rPr>
        <w:t xml:space="preserve"> mjesec</w:t>
      </w:r>
      <w:r w:rsidR="00A15C57" w:rsidRPr="00CD5774">
        <w:rPr>
          <w:lang w:val="sr-Latn-ME"/>
        </w:rPr>
        <w:t>a</w:t>
      </w:r>
      <w:r w:rsidR="005912A9" w:rsidRPr="00CD5774">
        <w:rPr>
          <w:lang w:val="sr-Latn-ME"/>
        </w:rPr>
        <w:t xml:space="preserve"> 2024. godine</w:t>
      </w:r>
      <w:r w:rsidRPr="00CD5774">
        <w:rPr>
          <w:lang w:val="sr-Latn-ME"/>
        </w:rPr>
        <w:t xml:space="preserve"> je ostvaren </w:t>
      </w:r>
      <w:r w:rsidRPr="00CD5774">
        <w:rPr>
          <w:b/>
          <w:lang w:val="sr-Latn-ME"/>
        </w:rPr>
        <w:t xml:space="preserve">budžetski </w:t>
      </w:r>
      <w:r w:rsidR="00A15C57" w:rsidRPr="00CD5774">
        <w:rPr>
          <w:b/>
          <w:lang w:val="sr-Latn-ME"/>
        </w:rPr>
        <w:t>deficit</w:t>
      </w:r>
      <w:r w:rsidRPr="00CD5774">
        <w:rPr>
          <w:lang w:val="sr-Latn-ME"/>
        </w:rPr>
        <w:t xml:space="preserve"> u iznosu od</w:t>
      </w:r>
      <w:r w:rsidR="007520A9" w:rsidRPr="00CD5774">
        <w:rPr>
          <w:lang w:val="sr-Latn-ME"/>
        </w:rPr>
        <w:t xml:space="preserve"> </w:t>
      </w:r>
      <w:r w:rsidR="00CD5774" w:rsidRPr="00CD5774">
        <w:rPr>
          <w:lang w:val="sr-Latn-ME"/>
        </w:rPr>
        <w:t>18,</w:t>
      </w:r>
      <w:r w:rsidR="006452D1">
        <w:rPr>
          <w:lang w:val="sr-Latn-ME"/>
        </w:rPr>
        <w:t>5</w:t>
      </w:r>
      <w:r w:rsidR="00CD5774" w:rsidRPr="00CD5774">
        <w:rPr>
          <w:lang w:val="sr-Latn-ME"/>
        </w:rPr>
        <w:t xml:space="preserve"> </w:t>
      </w:r>
      <w:r w:rsidRPr="00CD5774">
        <w:rPr>
          <w:lang w:val="sr-Latn-ME"/>
        </w:rPr>
        <w:t xml:space="preserve">mil € odnosno </w:t>
      </w:r>
      <w:r w:rsidR="00CD5774" w:rsidRPr="00CD5774">
        <w:rPr>
          <w:lang w:val="sr-Latn-ME"/>
        </w:rPr>
        <w:t>0,3</w:t>
      </w:r>
      <w:r w:rsidRPr="00CD5774">
        <w:rPr>
          <w:lang w:val="sr-Latn-ME"/>
        </w:rPr>
        <w:t>% BDP-a.</w:t>
      </w:r>
      <w:r w:rsidR="000A37B4">
        <w:rPr>
          <w:lang w:val="sr-Latn-ME"/>
        </w:rPr>
        <w:t xml:space="preserve"> U februaru mjesecu ostvaren je deficit potrošnje od </w:t>
      </w:r>
      <w:r w:rsidR="00B71197">
        <w:rPr>
          <w:lang w:val="sr-Latn-ME"/>
        </w:rPr>
        <w:t>34,3</w:t>
      </w:r>
      <w:r w:rsidR="000A37B4">
        <w:rPr>
          <w:lang w:val="sr-Latn-ME"/>
        </w:rPr>
        <w:t xml:space="preserve"> mil €, odnosno 0.</w:t>
      </w:r>
      <w:r w:rsidR="00D83CBC">
        <w:rPr>
          <w:lang w:val="sr-Latn-ME"/>
        </w:rPr>
        <w:t>5</w:t>
      </w:r>
      <w:r w:rsidR="000A37B4">
        <w:rPr>
          <w:lang w:val="sr-Latn-ME"/>
        </w:rPr>
        <w:t>% BDP-a</w:t>
      </w:r>
      <w:r w:rsidR="00A5289A">
        <w:rPr>
          <w:lang w:val="sr-Latn-ME"/>
        </w:rPr>
        <w:t>.</w:t>
      </w:r>
    </w:p>
    <w:sectPr w:rsidR="00373105" w:rsidRPr="00CD5774" w:rsidSect="00754F09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731"/>
    <w:rsid w:val="00022516"/>
    <w:rsid w:val="00052773"/>
    <w:rsid w:val="00093712"/>
    <w:rsid w:val="000A178F"/>
    <w:rsid w:val="000A37B4"/>
    <w:rsid w:val="000A7884"/>
    <w:rsid w:val="000D1E34"/>
    <w:rsid w:val="001018DB"/>
    <w:rsid w:val="00107B99"/>
    <w:rsid w:val="001224DF"/>
    <w:rsid w:val="001377FB"/>
    <w:rsid w:val="00153BEC"/>
    <w:rsid w:val="00163AA2"/>
    <w:rsid w:val="001961D1"/>
    <w:rsid w:val="001C4AB5"/>
    <w:rsid w:val="001C4E94"/>
    <w:rsid w:val="001D4D26"/>
    <w:rsid w:val="001E7361"/>
    <w:rsid w:val="00216D17"/>
    <w:rsid w:val="002603A6"/>
    <w:rsid w:val="002626E8"/>
    <w:rsid w:val="00285B3B"/>
    <w:rsid w:val="002D3E7F"/>
    <w:rsid w:val="002E3703"/>
    <w:rsid w:val="002F25B4"/>
    <w:rsid w:val="002F3ABC"/>
    <w:rsid w:val="0030391D"/>
    <w:rsid w:val="00323051"/>
    <w:rsid w:val="003272E3"/>
    <w:rsid w:val="00335035"/>
    <w:rsid w:val="00361DBE"/>
    <w:rsid w:val="00374E25"/>
    <w:rsid w:val="003A5469"/>
    <w:rsid w:val="003B7D51"/>
    <w:rsid w:val="003D0DDD"/>
    <w:rsid w:val="003E107E"/>
    <w:rsid w:val="00420120"/>
    <w:rsid w:val="0048715D"/>
    <w:rsid w:val="004C7FD8"/>
    <w:rsid w:val="00527F8C"/>
    <w:rsid w:val="00543121"/>
    <w:rsid w:val="00543B8F"/>
    <w:rsid w:val="005805AC"/>
    <w:rsid w:val="005912A9"/>
    <w:rsid w:val="005C4C84"/>
    <w:rsid w:val="00603731"/>
    <w:rsid w:val="006452D1"/>
    <w:rsid w:val="00660C9A"/>
    <w:rsid w:val="00685D88"/>
    <w:rsid w:val="006D6438"/>
    <w:rsid w:val="00722568"/>
    <w:rsid w:val="00744251"/>
    <w:rsid w:val="007520A9"/>
    <w:rsid w:val="00754F09"/>
    <w:rsid w:val="00762CCA"/>
    <w:rsid w:val="00795985"/>
    <w:rsid w:val="007B5678"/>
    <w:rsid w:val="007D5050"/>
    <w:rsid w:val="007F3866"/>
    <w:rsid w:val="0080243F"/>
    <w:rsid w:val="0084669B"/>
    <w:rsid w:val="00881944"/>
    <w:rsid w:val="008908F8"/>
    <w:rsid w:val="008A74FF"/>
    <w:rsid w:val="008B31D7"/>
    <w:rsid w:val="009054F5"/>
    <w:rsid w:val="00934418"/>
    <w:rsid w:val="0093613F"/>
    <w:rsid w:val="0094776C"/>
    <w:rsid w:val="00963546"/>
    <w:rsid w:val="009635B0"/>
    <w:rsid w:val="009777A0"/>
    <w:rsid w:val="009A4724"/>
    <w:rsid w:val="00A15C57"/>
    <w:rsid w:val="00A16DAC"/>
    <w:rsid w:val="00A5289A"/>
    <w:rsid w:val="00A733A3"/>
    <w:rsid w:val="00AA0D03"/>
    <w:rsid w:val="00AB552D"/>
    <w:rsid w:val="00AF5E4F"/>
    <w:rsid w:val="00B562CB"/>
    <w:rsid w:val="00B6078E"/>
    <w:rsid w:val="00B61516"/>
    <w:rsid w:val="00B71197"/>
    <w:rsid w:val="00B82090"/>
    <w:rsid w:val="00B97464"/>
    <w:rsid w:val="00BB7015"/>
    <w:rsid w:val="00BD3298"/>
    <w:rsid w:val="00BD4564"/>
    <w:rsid w:val="00BE7363"/>
    <w:rsid w:val="00C86378"/>
    <w:rsid w:val="00C90614"/>
    <w:rsid w:val="00CD5774"/>
    <w:rsid w:val="00CD5FAD"/>
    <w:rsid w:val="00CD6DA1"/>
    <w:rsid w:val="00CE609A"/>
    <w:rsid w:val="00CF2572"/>
    <w:rsid w:val="00D469DC"/>
    <w:rsid w:val="00D50541"/>
    <w:rsid w:val="00D56A8A"/>
    <w:rsid w:val="00D825AF"/>
    <w:rsid w:val="00D82A6C"/>
    <w:rsid w:val="00D83CBC"/>
    <w:rsid w:val="00D93310"/>
    <w:rsid w:val="00DE5505"/>
    <w:rsid w:val="00E16F63"/>
    <w:rsid w:val="00E50FF1"/>
    <w:rsid w:val="00E57B73"/>
    <w:rsid w:val="00E849B0"/>
    <w:rsid w:val="00F0549A"/>
    <w:rsid w:val="00FA43EC"/>
    <w:rsid w:val="00FB0F52"/>
    <w:rsid w:val="00FB7F24"/>
    <w:rsid w:val="00FE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926978-3518-4A82-A355-796385F81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4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F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0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cap="none" spc="5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sr-Latn-ME" sz="1000">
                <a:latin typeface="+mn-lt"/>
              </a:rPr>
              <a:t>Prihodi jednokratnog karaktera</a:t>
            </a:r>
          </a:p>
        </c:rich>
      </c:tx>
      <c:layout>
        <c:manualLayout>
          <c:xMode val="edge"/>
          <c:yMode val="edge"/>
          <c:x val="0.16258771929824561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cap="none" spc="50" normalizeH="0" baseline="0">
              <a:solidFill>
                <a:schemeClr val="tx1">
                  <a:lumMod val="65000"/>
                  <a:lumOff val="35000"/>
                </a:schemeClr>
              </a:solidFill>
              <a:latin typeface="+mj-lt"/>
              <a:ea typeface="+mj-ea"/>
              <a:cs typeface="+mj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'Jednokratni prihodi jan-feb'!$G$15</c:f>
              <c:strCache>
                <c:ptCount val="1"/>
                <c:pt idx="0">
                  <c:v>Ostvarenje jan-feb 2023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noFill/>
            </a:ln>
            <a:effectLst/>
          </c:spPr>
          <c:invertIfNegative val="0"/>
          <c:cat>
            <c:strRef>
              <c:f>'Jednokratni prihodi jan-feb'!$F$16</c:f>
              <c:strCache>
                <c:ptCount val="1"/>
                <c:pt idx="0">
                  <c:v>Jednokratni prihodi</c:v>
                </c:pt>
              </c:strCache>
            </c:strRef>
          </c:cat>
          <c:val>
            <c:numRef>
              <c:f>'Jednokratni prihodi jan-feb'!$G$16</c:f>
              <c:numCache>
                <c:formatCode>0.00,,</c:formatCode>
                <c:ptCount val="1"/>
                <c:pt idx="0">
                  <c:v>41835995.799999997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78A-454E-AA46-7649D7E3D311}"/>
            </c:ext>
          </c:extLst>
        </c:ser>
        <c:ser>
          <c:idx val="1"/>
          <c:order val="1"/>
          <c:tx>
            <c:strRef>
              <c:f>'Jednokratni prihodi jan-feb'!$H$15</c:f>
              <c:strCache>
                <c:ptCount val="1"/>
                <c:pt idx="0">
                  <c:v>Ostvarenje jan-feb 2024</c:v>
                </c:pt>
              </c:strCache>
            </c:strRef>
          </c:tx>
          <c:spPr>
            <a:solidFill>
              <a:schemeClr val="accent2">
                <a:alpha val="70000"/>
              </a:schemeClr>
            </a:solidFill>
            <a:ln>
              <a:noFill/>
            </a:ln>
            <a:effectLst/>
          </c:spPr>
          <c:invertIfNegative val="0"/>
          <c:cat>
            <c:strRef>
              <c:f>'Jednokratni prihodi jan-feb'!$F$16</c:f>
              <c:strCache>
                <c:ptCount val="1"/>
                <c:pt idx="0">
                  <c:v>Jednokratni prihodi</c:v>
                </c:pt>
              </c:strCache>
            </c:strRef>
          </c:cat>
          <c:val>
            <c:numRef>
              <c:f>'Jednokratni prihodi jan-feb'!$H$16</c:f>
              <c:numCache>
                <c:formatCode>0.00,,</c:formatCode>
                <c:ptCount val="1"/>
                <c:pt idx="0">
                  <c:v>5828851.7599999998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78A-454E-AA46-7649D7E3D3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overlap val="25"/>
        <c:axId val="1023648703"/>
        <c:axId val="881611551"/>
      </c:barChart>
      <c:catAx>
        <c:axId val="102364870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587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cap="none" spc="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81611551"/>
        <c:crosses val="autoZero"/>
        <c:auto val="1"/>
        <c:lblAlgn val="ctr"/>
        <c:lblOffset val="100"/>
        <c:noMultiLvlLbl val="0"/>
      </c:catAx>
      <c:valAx>
        <c:axId val="881611551"/>
        <c:scaling>
          <c:orientation val="minMax"/>
        </c:scaling>
        <c:delete val="0"/>
        <c:axPos val="l"/>
        <c:numFmt formatCode="0.00,,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2364870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4.5555670672744866E-2"/>
          <c:y val="0.91246328251521747"/>
          <c:w val="0.9"/>
          <c:h val="8.333391659375911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cap="none" spc="5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sr-Latn-ME" sz="1000">
                <a:latin typeface="+mn-lt"/>
              </a:rPr>
              <a:t>Kretanje glavnih kategorija prihoda budžeta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cap="none" spc="50" normalizeH="0" baseline="0">
              <a:solidFill>
                <a:schemeClr val="tx1">
                  <a:lumMod val="65000"/>
                  <a:lumOff val="35000"/>
                </a:schemeClr>
              </a:solidFill>
              <a:latin typeface="+mj-lt"/>
              <a:ea typeface="+mj-ea"/>
              <a:cs typeface="+mj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Period!$D$3</c:f>
              <c:strCache>
                <c:ptCount val="1"/>
                <c:pt idx="0">
                  <c:v>Ostvarenje jan-feb 2023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noFill/>
            </a:ln>
            <a:effectLst/>
          </c:spPr>
          <c:invertIfNegative val="0"/>
          <c:cat>
            <c:strRef>
              <c:f>Period!$C$4:$C$13</c:f>
              <c:strCache>
                <c:ptCount val="5"/>
                <c:pt idx="0">
                  <c:v>Porez na dohodak fizičkih lica</c:v>
                </c:pt>
                <c:pt idx="1">
                  <c:v>Porez na dobit pravnih lica</c:v>
                </c:pt>
                <c:pt idx="2">
                  <c:v>Porez na dodatu vrijednost</c:v>
                </c:pt>
                <c:pt idx="3">
                  <c:v>Akcize </c:v>
                </c:pt>
                <c:pt idx="4">
                  <c:v>Doprinosi</c:v>
                </c:pt>
              </c:strCache>
            </c:strRef>
          </c:cat>
          <c:val>
            <c:numRef>
              <c:f>Period!$D$4:$D$13</c:f>
              <c:numCache>
                <c:formatCode>0.00,,</c:formatCode>
                <c:ptCount val="5"/>
                <c:pt idx="0">
                  <c:v>5426063.1100000003</c:v>
                </c:pt>
                <c:pt idx="1">
                  <c:v>5023656.74</c:v>
                </c:pt>
                <c:pt idx="2">
                  <c:v>140839826.09</c:v>
                </c:pt>
                <c:pt idx="3">
                  <c:v>35684591.109999999</c:v>
                </c:pt>
                <c:pt idx="4">
                  <c:v>57112208.890000001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744-40AD-8FDA-0244C500A103}"/>
            </c:ext>
          </c:extLst>
        </c:ser>
        <c:ser>
          <c:idx val="1"/>
          <c:order val="1"/>
          <c:tx>
            <c:strRef>
              <c:f>Period!$E$3</c:f>
              <c:strCache>
                <c:ptCount val="1"/>
                <c:pt idx="0">
                  <c:v>Ostvarenje jan-feb 2024</c:v>
                </c:pt>
              </c:strCache>
            </c:strRef>
          </c:tx>
          <c:spPr>
            <a:solidFill>
              <a:schemeClr val="accent2">
                <a:alpha val="70000"/>
              </a:schemeClr>
            </a:solidFill>
            <a:ln>
              <a:noFill/>
            </a:ln>
            <a:effectLst/>
          </c:spPr>
          <c:invertIfNegative val="0"/>
          <c:cat>
            <c:strRef>
              <c:f>Period!$C$4:$C$13</c:f>
              <c:strCache>
                <c:ptCount val="5"/>
                <c:pt idx="0">
                  <c:v>Porez na dohodak fizičkih lica</c:v>
                </c:pt>
                <c:pt idx="1">
                  <c:v>Porez na dobit pravnih lica</c:v>
                </c:pt>
                <c:pt idx="2">
                  <c:v>Porez na dodatu vrijednost</c:v>
                </c:pt>
                <c:pt idx="3">
                  <c:v>Akcize </c:v>
                </c:pt>
                <c:pt idx="4">
                  <c:v>Doprinosi</c:v>
                </c:pt>
              </c:strCache>
            </c:strRef>
          </c:cat>
          <c:val>
            <c:numRef>
              <c:f>Period!$E$4:$E$13</c:f>
              <c:numCache>
                <c:formatCode>0.00,,</c:formatCode>
                <c:ptCount val="5"/>
                <c:pt idx="0">
                  <c:v>8160835.0599999996</c:v>
                </c:pt>
                <c:pt idx="1">
                  <c:v>7723192.8399999999</c:v>
                </c:pt>
                <c:pt idx="2">
                  <c:v>173553046.88999999</c:v>
                </c:pt>
                <c:pt idx="3">
                  <c:v>44923191.509999998</c:v>
                </c:pt>
                <c:pt idx="4">
                  <c:v>64757515.379999988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744-40AD-8FDA-0244C500A1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overlap val="25"/>
        <c:axId val="891505327"/>
        <c:axId val="878973519"/>
      </c:barChart>
      <c:catAx>
        <c:axId val="89150532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587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cap="none" spc="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78973519"/>
        <c:crosses val="autoZero"/>
        <c:auto val="1"/>
        <c:lblAlgn val="ctr"/>
        <c:lblOffset val="100"/>
        <c:noMultiLvlLbl val="0"/>
      </c:catAx>
      <c:valAx>
        <c:axId val="878973519"/>
        <c:scaling>
          <c:orientation val="minMax"/>
        </c:scaling>
        <c:delete val="0"/>
        <c:axPos val="l"/>
        <c:numFmt formatCode="0.00,,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9150532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9163893173147172E-2"/>
          <c:y val="0.8502500345351568"/>
          <c:w val="0.89999981961017761"/>
          <c:h val="8.458705819667278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 cap="none" spc="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>
            <a:alpha val="70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 baseline="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1600" b="0" i="0" kern="1200" cap="none" spc="5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1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 cap="none" spc="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>
            <a:alpha val="70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 baseline="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1600" b="0" i="0" kern="1200" cap="none" spc="5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Stanisic</dc:creator>
  <cp:keywords/>
  <dc:description/>
  <cp:lastModifiedBy>Bojan Paunovic</cp:lastModifiedBy>
  <cp:revision>2</cp:revision>
  <cp:lastPrinted>2024-03-29T16:54:00Z</cp:lastPrinted>
  <dcterms:created xsi:type="dcterms:W3CDTF">2024-03-31T09:52:00Z</dcterms:created>
  <dcterms:modified xsi:type="dcterms:W3CDTF">2024-03-31T09:52:00Z</dcterms:modified>
</cp:coreProperties>
</file>