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1"/>
        <w:gridCol w:w="3740"/>
      </w:tblGrid>
      <w:tr w:rsidR="006F10A3">
        <w:trPr>
          <w:trHeight w:val="1702"/>
        </w:trPr>
        <w:tc>
          <w:tcPr>
            <w:tcW w:w="5531" w:type="dxa"/>
            <w:tcBorders>
              <w:top w:val="nil"/>
              <w:left w:val="nil"/>
              <w:bottom w:val="single" w:sz="24" w:space="0" w:color="000080"/>
              <w:right w:val="nil"/>
            </w:tcBorders>
            <w:shd w:val="clear" w:color="auto" w:fill="auto"/>
            <w:tcMar>
              <w:top w:w="80" w:type="dxa"/>
              <w:left w:w="80" w:type="dxa"/>
              <w:bottom w:w="80" w:type="dxa"/>
              <w:right w:w="80" w:type="dxa"/>
            </w:tcMar>
          </w:tcPr>
          <w:p w:rsidR="006F10A3" w:rsidRDefault="008308CF">
            <w:pPr>
              <w:pStyle w:val="Header"/>
            </w:pPr>
            <w:r>
              <w:rPr>
                <w:rFonts w:ascii="Cambria" w:eastAsia="Cambria" w:hAnsi="Cambria" w:cs="Cambria"/>
                <w:noProof/>
                <w:sz w:val="24"/>
                <w:szCs w:val="24"/>
              </w:rPr>
              <w:drawing>
                <wp:inline distT="0" distB="0" distL="0" distR="0">
                  <wp:extent cx="907958" cy="1028544"/>
                  <wp:effectExtent l="0" t="0" r="0" b="0"/>
                  <wp:docPr id="1073741825" name="officeArt object" descr="02KOLORB"/>
                  <wp:cNvGraphicFramePr/>
                  <a:graphic xmlns:a="http://schemas.openxmlformats.org/drawingml/2006/main">
                    <a:graphicData uri="http://schemas.openxmlformats.org/drawingml/2006/picture">
                      <pic:pic xmlns:pic="http://schemas.openxmlformats.org/drawingml/2006/picture">
                        <pic:nvPicPr>
                          <pic:cNvPr id="1073741825" name="02KOLORB.png" descr="02KOLORB"/>
                          <pic:cNvPicPr>
                            <a:picLocks noChangeAspect="1"/>
                          </pic:cNvPicPr>
                        </pic:nvPicPr>
                        <pic:blipFill>
                          <a:blip r:embed="rId7">
                            <a:extLst/>
                          </a:blip>
                          <a:stretch>
                            <a:fillRect/>
                          </a:stretch>
                        </pic:blipFill>
                        <pic:spPr>
                          <a:xfrm>
                            <a:off x="0" y="0"/>
                            <a:ext cx="907958" cy="1028544"/>
                          </a:xfrm>
                          <a:prstGeom prst="rect">
                            <a:avLst/>
                          </a:prstGeom>
                          <a:ln w="12700" cap="flat">
                            <a:noFill/>
                            <a:miter lim="400000"/>
                          </a:ln>
                          <a:effectLst/>
                        </pic:spPr>
                      </pic:pic>
                    </a:graphicData>
                  </a:graphic>
                </wp:inline>
              </w:drawing>
            </w:r>
          </w:p>
        </w:tc>
        <w:tc>
          <w:tcPr>
            <w:tcW w:w="3740" w:type="dxa"/>
            <w:tcBorders>
              <w:top w:val="nil"/>
              <w:left w:val="nil"/>
              <w:bottom w:val="single" w:sz="24" w:space="0" w:color="000080"/>
              <w:right w:val="nil"/>
            </w:tcBorders>
            <w:shd w:val="clear" w:color="auto" w:fill="auto"/>
            <w:tcMar>
              <w:top w:w="80" w:type="dxa"/>
              <w:left w:w="80" w:type="dxa"/>
              <w:bottom w:w="80" w:type="dxa"/>
              <w:right w:w="80" w:type="dxa"/>
            </w:tcMar>
          </w:tcPr>
          <w:p w:rsidR="006F10A3" w:rsidRDefault="006F10A3">
            <w:pPr>
              <w:pStyle w:val="Header"/>
              <w:rPr>
                <w:lang w:val="en-US"/>
              </w:rPr>
            </w:pPr>
          </w:p>
          <w:p w:rsidR="006F10A3" w:rsidRDefault="006F10A3">
            <w:pPr>
              <w:pStyle w:val="Header"/>
              <w:rPr>
                <w:lang w:val="en-US"/>
              </w:rPr>
            </w:pPr>
          </w:p>
          <w:p w:rsidR="006F10A3" w:rsidRDefault="006F10A3">
            <w:pPr>
              <w:pStyle w:val="Header"/>
              <w:rPr>
                <w:lang w:val="en-US"/>
              </w:rPr>
            </w:pPr>
          </w:p>
          <w:p w:rsidR="006F10A3" w:rsidRDefault="008308CF">
            <w:pPr>
              <w:pStyle w:val="Header"/>
              <w:jc w:val="center"/>
            </w:pPr>
            <w:r>
              <w:rPr>
                <w:b/>
                <w:bCs/>
                <w:lang w:val="en-US"/>
              </w:rPr>
              <w:t xml:space="preserve">10. </w:t>
            </w:r>
            <w:proofErr w:type="spellStart"/>
            <w:proofErr w:type="gramStart"/>
            <w:r>
              <w:rPr>
                <w:b/>
                <w:bCs/>
                <w:lang w:val="en-US"/>
              </w:rPr>
              <w:t>septembar</w:t>
            </w:r>
            <w:proofErr w:type="spellEnd"/>
            <w:proofErr w:type="gramEnd"/>
            <w:r>
              <w:rPr>
                <w:b/>
                <w:bCs/>
                <w:lang w:val="en-US"/>
              </w:rPr>
              <w:t xml:space="preserve"> 2016. </w:t>
            </w:r>
            <w:proofErr w:type="spellStart"/>
            <w:r>
              <w:rPr>
                <w:b/>
                <w:bCs/>
                <w:lang w:val="en-US"/>
              </w:rPr>
              <w:t>godine</w:t>
            </w:r>
            <w:proofErr w:type="spellEnd"/>
          </w:p>
        </w:tc>
      </w:tr>
      <w:tr w:rsidR="006F10A3" w:rsidRPr="00CD1DC4">
        <w:trPr>
          <w:trHeight w:val="690"/>
        </w:trPr>
        <w:tc>
          <w:tcPr>
            <w:tcW w:w="5531" w:type="dxa"/>
            <w:tcBorders>
              <w:top w:val="single" w:sz="24" w:space="0" w:color="000080"/>
              <w:left w:val="nil"/>
              <w:bottom w:val="nil"/>
              <w:right w:val="nil"/>
            </w:tcBorders>
            <w:shd w:val="clear" w:color="auto" w:fill="auto"/>
            <w:tcMar>
              <w:top w:w="80" w:type="dxa"/>
              <w:left w:w="80" w:type="dxa"/>
              <w:bottom w:w="80" w:type="dxa"/>
              <w:right w:w="80" w:type="dxa"/>
            </w:tcMar>
          </w:tcPr>
          <w:p w:rsidR="006F10A3" w:rsidRPr="00CD1DC4" w:rsidRDefault="008308CF">
            <w:pPr>
              <w:pStyle w:val="Header"/>
              <w:rPr>
                <w:b/>
                <w:bCs/>
                <w:lang w:val="sr-Cyrl-ME"/>
              </w:rPr>
            </w:pPr>
            <w:r w:rsidRPr="00CD1DC4">
              <w:rPr>
                <w:b/>
                <w:bCs/>
                <w:lang w:val="sr-Cyrl-ME"/>
              </w:rPr>
              <w:t>Vlada Crne Gore</w:t>
            </w:r>
          </w:p>
          <w:p w:rsidR="006F10A3" w:rsidRPr="00CD1DC4" w:rsidRDefault="008308CF">
            <w:pPr>
              <w:pStyle w:val="Header"/>
              <w:rPr>
                <w:lang w:val="sr-Cyrl-ME"/>
              </w:rPr>
            </w:pPr>
            <w:r w:rsidRPr="00CD1DC4">
              <w:rPr>
                <w:lang w:val="sr-Cyrl-ME"/>
              </w:rPr>
              <w:t xml:space="preserve">Potpredsjednik Vlade prof. dr Petar Ivanović   </w:t>
            </w:r>
          </w:p>
        </w:tc>
        <w:tc>
          <w:tcPr>
            <w:tcW w:w="3740" w:type="dxa"/>
            <w:tcBorders>
              <w:top w:val="single" w:sz="24" w:space="0" w:color="000080"/>
              <w:left w:val="nil"/>
              <w:bottom w:val="nil"/>
              <w:right w:val="nil"/>
            </w:tcBorders>
            <w:shd w:val="clear" w:color="auto" w:fill="auto"/>
            <w:tcMar>
              <w:top w:w="80" w:type="dxa"/>
              <w:left w:w="80" w:type="dxa"/>
              <w:bottom w:w="80" w:type="dxa"/>
              <w:right w:w="80" w:type="dxa"/>
            </w:tcMar>
          </w:tcPr>
          <w:p w:rsidR="006F10A3" w:rsidRPr="00CD1DC4" w:rsidRDefault="006F10A3">
            <w:pPr>
              <w:pStyle w:val="Header"/>
              <w:rPr>
                <w:lang w:val="sr-Cyrl-ME"/>
              </w:rPr>
            </w:pPr>
          </w:p>
          <w:p w:rsidR="006F10A3" w:rsidRPr="00CD1DC4" w:rsidRDefault="008308CF">
            <w:pPr>
              <w:pStyle w:val="Header"/>
              <w:jc w:val="center"/>
              <w:rPr>
                <w:lang w:val="sr-Cyrl-ME"/>
              </w:rPr>
            </w:pPr>
            <w:r w:rsidRPr="00CD1DC4">
              <w:rPr>
                <w:b/>
                <w:bCs/>
                <w:color w:val="BF0026"/>
                <w:sz w:val="36"/>
                <w:szCs w:val="36"/>
                <w:u w:color="BF0026"/>
                <w:lang w:val="sr-Cyrl-ME"/>
              </w:rPr>
              <w:t>PRESS</w:t>
            </w:r>
          </w:p>
        </w:tc>
      </w:tr>
    </w:tbl>
    <w:p w:rsidR="006F10A3" w:rsidRPr="00CD1DC4" w:rsidRDefault="006F10A3">
      <w:pPr>
        <w:widowControl w:val="0"/>
        <w:rPr>
          <w:lang w:val="sr-Cyrl-ME"/>
        </w:rPr>
      </w:pPr>
    </w:p>
    <w:p w:rsidR="006F10A3" w:rsidRPr="00CD1DC4" w:rsidRDefault="006F10A3">
      <w:pPr>
        <w:rPr>
          <w:rFonts w:ascii="Calibri" w:eastAsia="Calibri" w:hAnsi="Calibri" w:cs="Calibri"/>
          <w:sz w:val="22"/>
          <w:szCs w:val="22"/>
          <w:lang w:val="sr-Cyrl-ME"/>
        </w:rPr>
      </w:pPr>
    </w:p>
    <w:p w:rsidR="006F10A3" w:rsidRPr="00CD1DC4" w:rsidRDefault="006F10A3">
      <w:pPr>
        <w:jc w:val="both"/>
        <w:rPr>
          <w:rFonts w:ascii="Calibri" w:eastAsia="Calibri" w:hAnsi="Calibri" w:cs="Calibri"/>
          <w:lang w:val="sr-Cyrl-ME"/>
        </w:rPr>
      </w:pPr>
    </w:p>
    <w:p w:rsidR="006F10A3" w:rsidRPr="00CD1DC4" w:rsidRDefault="006F10A3">
      <w:pPr>
        <w:jc w:val="both"/>
        <w:rPr>
          <w:rFonts w:ascii="Calibri" w:eastAsia="Calibri" w:hAnsi="Calibri" w:cs="Calibri"/>
          <w:lang w:val="sr-Cyrl-ME"/>
        </w:rPr>
      </w:pPr>
    </w:p>
    <w:p w:rsidR="006F10A3" w:rsidRPr="00CD1DC4" w:rsidRDefault="006F10A3">
      <w:pPr>
        <w:jc w:val="both"/>
        <w:rPr>
          <w:rFonts w:ascii="Calibri" w:eastAsia="Calibri" w:hAnsi="Calibri" w:cs="Calibri"/>
          <w:lang w:val="sr-Cyrl-ME"/>
        </w:rPr>
      </w:pPr>
    </w:p>
    <w:p w:rsidR="006F10A3" w:rsidRPr="00CD1DC4" w:rsidRDefault="008308CF">
      <w:pPr>
        <w:spacing w:line="360" w:lineRule="auto"/>
        <w:jc w:val="both"/>
        <w:rPr>
          <w:rFonts w:ascii="Calibri" w:eastAsia="Calibri" w:hAnsi="Calibri" w:cs="Calibri"/>
          <w:lang w:val="sr-Cyrl-ME"/>
        </w:rPr>
      </w:pPr>
      <w:r w:rsidRPr="00CD1DC4">
        <w:rPr>
          <w:rFonts w:ascii="Calibri" w:eastAsia="Calibri" w:hAnsi="Calibri" w:cs="Calibri"/>
          <w:lang w:val="sr-Cyrl-ME"/>
        </w:rPr>
        <w:t>Poštovane dame i gospodo,</w:t>
      </w:r>
    </w:p>
    <w:p w:rsidR="006F10A3" w:rsidRPr="00CD1DC4" w:rsidRDefault="006F10A3">
      <w:pPr>
        <w:spacing w:line="360" w:lineRule="auto"/>
        <w:jc w:val="both"/>
        <w:rPr>
          <w:rFonts w:ascii="Calibri" w:eastAsia="Calibri" w:hAnsi="Calibri" w:cs="Calibri"/>
          <w:lang w:val="sr-Cyrl-ME"/>
        </w:rPr>
      </w:pPr>
    </w:p>
    <w:p w:rsidR="006F10A3" w:rsidRPr="00CD1DC4" w:rsidRDefault="008308CF">
      <w:pPr>
        <w:widowControl w:val="0"/>
        <w:spacing w:line="360" w:lineRule="auto"/>
        <w:jc w:val="both"/>
        <w:rPr>
          <w:rFonts w:ascii="Calibri" w:eastAsia="Calibri" w:hAnsi="Calibri" w:cs="Calibri"/>
          <w:lang w:val="sr-Cyrl-ME"/>
        </w:rPr>
      </w:pPr>
      <w:r w:rsidRPr="00CD1DC4">
        <w:rPr>
          <w:rFonts w:ascii="Calibri" w:eastAsia="Calibri" w:hAnsi="Calibri" w:cs="Calibri"/>
          <w:lang w:val="sr-Cyrl-ME"/>
        </w:rPr>
        <w:t>Hvala na interesovanju i vremenu koje ste izdvojili da propratite današnju press-konferenciju.</w:t>
      </w:r>
    </w:p>
    <w:p w:rsidR="006F10A3" w:rsidRPr="00CD1DC4" w:rsidRDefault="006F10A3">
      <w:pPr>
        <w:widowControl w:val="0"/>
        <w:spacing w:line="360" w:lineRule="auto"/>
        <w:jc w:val="both"/>
        <w:rPr>
          <w:rFonts w:ascii="Calibri" w:eastAsia="Calibri" w:hAnsi="Calibri" w:cs="Calibri"/>
          <w:lang w:val="sr-Cyrl-ME"/>
        </w:rPr>
      </w:pPr>
    </w:p>
    <w:p w:rsidR="006F10A3" w:rsidRPr="00CD1DC4" w:rsidRDefault="006F10A3">
      <w:pPr>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 xml:space="preserve">U Crnoj Gori postoje </w:t>
      </w:r>
      <w:r w:rsidRPr="00CD1DC4">
        <w:rPr>
          <w:rFonts w:ascii="Calibri" w:eastAsia="Calibri" w:hAnsi="Calibri" w:cs="Calibri"/>
          <w:lang w:val="sr-Cyrl-ME"/>
        </w:rPr>
        <w:t xml:space="preserve">mnoge zablude. Neke razumijem, jer su posledica procesa tranzicije kroz koji kao društvo prolazimo. Neke ne razumijem, i priznajem, vjerovatno ih nikada neću razumjeti. Ipak, od svih zabluda najčudnovatije su dvije. </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Prva je shvatanja da je čovjekova sreć</w:t>
      </w:r>
      <w:r w:rsidRPr="00CD1DC4">
        <w:rPr>
          <w:rFonts w:ascii="Calibri" w:eastAsia="Calibri" w:hAnsi="Calibri" w:cs="Calibri"/>
          <w:lang w:val="sr-Cyrl-ME"/>
        </w:rPr>
        <w:t xml:space="preserve">a u tome da ne radi ništa, da neko drugi treba da radi. Na crnogorskoj javnoj sceni raste broj onih koji vrlo svjesno šire ovakvu zabludu. Duboko vjerujem da, kada hoćemo, ne postoji problem koji ne možemo da riješimo. Vjerujem da smo vrijedni, sposobni i </w:t>
      </w:r>
      <w:r w:rsidRPr="00CD1DC4">
        <w:rPr>
          <w:rFonts w:ascii="Calibri" w:eastAsia="Calibri" w:hAnsi="Calibri" w:cs="Calibri"/>
          <w:lang w:val="sr-Cyrl-ME"/>
        </w:rPr>
        <w:t>snalažljivi. Vjerujem da smo stvaraoci i da svi zajedno možemo da damo veliki doprinos uvećanju društvenog bogatstva. To je odlika svih naroda koji nijesu živjeli u izobilju, već su imali ograničene resurse i borili se kroz istoriju da prežive.</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Druga zabluda prisutna je kod jednog dijela medija koji vjeruju da će upornim ponavljanjem laži, obmanama i podmetanjima nametnuti svoju "istinu". Vjerujem da građani Crne Gore znaju da prepoznaju ovakve pokušaje, i da mogu da naprave razliku između onih k</w:t>
      </w:r>
      <w:r w:rsidRPr="00CD1DC4">
        <w:rPr>
          <w:rFonts w:ascii="Calibri" w:eastAsia="Calibri" w:hAnsi="Calibri" w:cs="Calibri"/>
          <w:lang w:val="sr-Cyrl-ME"/>
        </w:rPr>
        <w:t>oji rade i onih koji ne rade, onih koji vuku naprijed i onih koju vuku nazad, onih koji bi da rješavaju probleme i onih koji bi da stalno odlažu rješavanje problema.... pa i da su itekako u stanju da razumiju providne političke igre neodgovornih pojedinaca</w:t>
      </w:r>
      <w:r w:rsidRPr="00CD1DC4">
        <w:rPr>
          <w:rFonts w:ascii="Calibri" w:eastAsia="Calibri" w:hAnsi="Calibri" w:cs="Calibri"/>
          <w:lang w:val="sr-Cyrl-ME"/>
        </w:rPr>
        <w:t xml:space="preserve"> kojima je očigledno važnije da partijski obilježe goveda po Crnoj Gori, nego da pomognu poljoprivrednim proizvođačima da što prije riješe muku koja ih je zadesila.... neodgovornih pojedinaca kojima je očigledno važnije ko će obznaniti kakvu vijest nadajuć</w:t>
      </w:r>
      <w:r w:rsidRPr="00CD1DC4">
        <w:rPr>
          <w:rFonts w:ascii="Calibri" w:eastAsia="Calibri" w:hAnsi="Calibri" w:cs="Calibri"/>
          <w:lang w:val="sr-Cyrl-ME"/>
        </w:rPr>
        <w:t xml:space="preserve">i se da će na taj način steći neki glas više, od toga da kao država što prije pomognemo poljoprivrednim proizvođačima koje je zadesila nevolja.... neodgovornih pojedinaca kojima je važnije da poslije sjednice Vlade brže bolje otrče do medija, a primijetio </w:t>
      </w:r>
      <w:r w:rsidRPr="00CD1DC4">
        <w:rPr>
          <w:rFonts w:ascii="Calibri" w:eastAsia="Calibri" w:hAnsi="Calibri" w:cs="Calibri"/>
          <w:lang w:val="sr-Cyrl-ME"/>
        </w:rPr>
        <w:t xml:space="preserve">sam da je to onaj dio medija koji ne plaća porez, a proziva druge za neplaćanje poreza, kako bi smislili neku optužbu koja će prema njihovim zamislima okrenuti javnost protiv Vlade i države, umesto da prihvate staru narodnu izreku: sve što možeš danas, ne </w:t>
      </w:r>
      <w:r w:rsidRPr="00CD1DC4">
        <w:rPr>
          <w:rFonts w:ascii="Calibri" w:eastAsia="Calibri" w:hAnsi="Calibri" w:cs="Calibri"/>
          <w:lang w:val="sr-Cyrl-ME"/>
        </w:rPr>
        <w:t>ostavljaj za sjutra!</w:t>
      </w:r>
    </w:p>
    <w:p w:rsidR="006F10A3" w:rsidRPr="00CD1DC4" w:rsidRDefault="006F10A3">
      <w:pPr>
        <w:rPr>
          <w:rFonts w:ascii="Calibri" w:eastAsia="Calibri" w:hAnsi="Calibri" w:cs="Calibri"/>
          <w:lang w:val="sr-Cyrl-ME"/>
        </w:rPr>
      </w:pPr>
    </w:p>
    <w:p w:rsidR="006F10A3" w:rsidRPr="00CD1DC4" w:rsidRDefault="008308CF">
      <w:pPr>
        <w:rPr>
          <w:rFonts w:ascii="Calibri" w:eastAsia="Calibri" w:hAnsi="Calibri" w:cs="Calibri"/>
          <w:lang w:val="sr-Cyrl-ME"/>
        </w:rPr>
      </w:pPr>
      <w:r w:rsidRPr="00CD1DC4">
        <w:rPr>
          <w:rFonts w:ascii="Calibri" w:eastAsia="Calibri" w:hAnsi="Calibri" w:cs="Calibri"/>
          <w:lang w:val="sr-Cyrl-ME"/>
        </w:rPr>
        <w:t>Mi smo odgovorni za ono što radimo, ali i za ono što ne radimo. Zato mi dopustite da još jednom pojasnim nekoliko stvari:</w:t>
      </w:r>
    </w:p>
    <w:p w:rsidR="006F10A3" w:rsidRPr="00CD1DC4" w:rsidRDefault="006F10A3">
      <w:pPr>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Prvo, od 19. maja nisam ministar poljoprivrede, već potpredsjednik Vlade. Od 19. maja postoje dva ministra polj</w:t>
      </w:r>
      <w:r w:rsidRPr="00CD1DC4">
        <w:rPr>
          <w:rFonts w:ascii="Calibri" w:eastAsia="Calibri" w:hAnsi="Calibri" w:cs="Calibri"/>
          <w:lang w:val="sr-Cyrl-ME"/>
        </w:rPr>
        <w:t>oprivrede iz redova opozicije koja su, u resoru koji pokrivaju, shodno Ustavu i zakonima odgovorna za sve što rade, ali i za sve što ne rade.</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Drugo, kao odgovoran čovjek, shodno Poslovniku o radu Vlade informisao sam 18. maja Vladina tijela o rizicima poj</w:t>
      </w:r>
      <w:r w:rsidRPr="00CD1DC4">
        <w:rPr>
          <w:rFonts w:ascii="Calibri" w:eastAsia="Calibri" w:hAnsi="Calibri" w:cs="Calibri"/>
          <w:lang w:val="sr-Cyrl-ME"/>
        </w:rPr>
        <w:t>ave bolesti kvrgave kože goveda. To je 65 dana prije nego što je evidentiran prvi slučaj bolesti. Takođe, moje kolege i ja, više puta smo upoznali novog ministra poljoprivrede o  problemu i mogućem razvoju situacije. To znači da je resorni ministar iz redo</w:t>
      </w:r>
      <w:r w:rsidRPr="00CD1DC4">
        <w:rPr>
          <w:rFonts w:ascii="Calibri" w:eastAsia="Calibri" w:hAnsi="Calibri" w:cs="Calibri"/>
          <w:lang w:val="sr-Cyrl-ME"/>
        </w:rPr>
        <w:t>va opozicije znao za rizike pojave ove bolesti, kao što su znali i svi koji imaju pristup portalu Komisije za ekonomska pitanja.</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Treće, poštujući proceduru i zakone, uputio sam dopis Mnistarstvu finansija u kojem tražim da se sa pozicije budžetske rezerve</w:t>
      </w:r>
      <w:r w:rsidRPr="00CD1DC4">
        <w:rPr>
          <w:rFonts w:ascii="Calibri" w:eastAsia="Calibri" w:hAnsi="Calibri" w:cs="Calibri"/>
          <w:lang w:val="sr-Cyrl-ME"/>
        </w:rPr>
        <w:t xml:space="preserve"> isplati 29.000 eura, ne za štampanje letaka, kako je to u više navrata pokušao da obesmisli resorni ministar, već za zakonom predviđene preventivne mjere. Na taj dopis Ministar finansija nije odgovorio 28 dana.</w:t>
      </w:r>
    </w:p>
    <w:p w:rsidR="006F10A3" w:rsidRPr="00CD1DC4" w:rsidRDefault="006F10A3">
      <w:pPr>
        <w:rPr>
          <w:rFonts w:ascii="Calibri" w:eastAsia="Calibri" w:hAnsi="Calibri" w:cs="Calibri"/>
          <w:lang w:val="sr-Cyrl-ME"/>
        </w:rPr>
      </w:pPr>
    </w:p>
    <w:p w:rsidR="006F10A3" w:rsidRPr="00CD1DC4" w:rsidRDefault="008308CF">
      <w:pPr>
        <w:rPr>
          <w:rFonts w:ascii="Calibri" w:eastAsia="Calibri" w:hAnsi="Calibri" w:cs="Calibri"/>
          <w:lang w:val="sr-Cyrl-ME"/>
        </w:rPr>
      </w:pPr>
      <w:r w:rsidRPr="00CD1DC4">
        <w:rPr>
          <w:rFonts w:ascii="Calibri" w:eastAsia="Calibri" w:hAnsi="Calibri" w:cs="Calibri"/>
          <w:lang w:val="sr-Cyrl-ME"/>
        </w:rPr>
        <w:t>Konkretno:</w:t>
      </w:r>
    </w:p>
    <w:p w:rsidR="006F10A3" w:rsidRPr="00CD1DC4" w:rsidRDefault="008308CF">
      <w:pPr>
        <w:widowControl w:val="0"/>
        <w:numPr>
          <w:ilvl w:val="0"/>
          <w:numId w:val="2"/>
        </w:numPr>
        <w:jc w:val="both"/>
        <w:rPr>
          <w:rFonts w:ascii="Calibri" w:eastAsia="Calibri" w:hAnsi="Calibri" w:cs="Calibri"/>
          <w:lang w:val="sr-Cyrl-ME"/>
        </w:rPr>
      </w:pPr>
      <w:r w:rsidRPr="00CD1DC4">
        <w:rPr>
          <w:rFonts w:ascii="Calibri" w:eastAsia="Calibri" w:hAnsi="Calibri" w:cs="Calibri"/>
          <w:i/>
          <w:iCs/>
          <w:lang w:val="sr-Cyrl-ME"/>
        </w:rPr>
        <w:t>Zakon o bud</w:t>
      </w:r>
      <w:r w:rsidRPr="00CD1DC4">
        <w:rPr>
          <w:rFonts w:ascii="Calibri" w:eastAsia="Calibri" w:hAnsi="Calibri" w:cs="Calibri"/>
          <w:i/>
          <w:iCs/>
          <w:lang w:val="sr-Cyrl-ME"/>
        </w:rPr>
        <w:t>ž</w:t>
      </w:r>
      <w:r w:rsidRPr="00CD1DC4">
        <w:rPr>
          <w:rFonts w:ascii="Calibri" w:eastAsia="Calibri" w:hAnsi="Calibri" w:cs="Calibri"/>
          <w:i/>
          <w:iCs/>
          <w:lang w:val="sr-Cyrl-ME"/>
        </w:rPr>
        <w:t xml:space="preserve">etu i fiskalnoj </w:t>
      </w:r>
      <w:r w:rsidRPr="00CD1DC4">
        <w:rPr>
          <w:rFonts w:ascii="Calibri" w:eastAsia="Calibri" w:hAnsi="Calibri" w:cs="Calibri"/>
          <w:i/>
          <w:iCs/>
          <w:lang w:val="sr-Cyrl-ME"/>
        </w:rPr>
        <w:t>odgovornosti</w:t>
      </w:r>
      <w:r w:rsidRPr="00CD1DC4">
        <w:rPr>
          <w:rFonts w:ascii="Calibri" w:eastAsia="Calibri" w:hAnsi="Calibri" w:cs="Calibri"/>
          <w:lang w:val="sr-Cyrl-ME"/>
        </w:rPr>
        <w:t xml:space="preserve"> (primjenjuje se od 01.01.2014.) </w:t>
      </w:r>
    </w:p>
    <w:p w:rsidR="006F10A3" w:rsidRPr="00CD1DC4" w:rsidRDefault="006F10A3">
      <w:pPr>
        <w:rPr>
          <w:rFonts w:ascii="Calibri" w:eastAsia="Calibri" w:hAnsi="Calibri" w:cs="Calibri"/>
          <w:lang w:val="sr-Cyrl-ME"/>
        </w:rPr>
      </w:pPr>
    </w:p>
    <w:p w:rsidR="006F10A3" w:rsidRPr="00CD1DC4" w:rsidRDefault="008308CF">
      <w:pPr>
        <w:widowControl w:val="0"/>
        <w:jc w:val="both"/>
        <w:rPr>
          <w:rFonts w:ascii="Calibri" w:eastAsia="Calibri" w:hAnsi="Calibri" w:cs="Calibri"/>
          <w:lang w:val="sr-Cyrl-ME"/>
        </w:rPr>
      </w:pPr>
      <w:r w:rsidRPr="00CD1DC4">
        <w:rPr>
          <w:rFonts w:ascii="Calibri" w:eastAsia="Calibri" w:hAnsi="Calibri" w:cs="Calibri"/>
          <w:lang w:val="sr-Cyrl-ME"/>
        </w:rPr>
        <w:t>Član 43 - Tekuća i stalna budžetska rezerva</w:t>
      </w:r>
    </w:p>
    <w:p w:rsidR="006F10A3" w:rsidRPr="00CD1DC4" w:rsidRDefault="008308CF">
      <w:pPr>
        <w:widowControl w:val="0"/>
        <w:numPr>
          <w:ilvl w:val="0"/>
          <w:numId w:val="4"/>
        </w:numPr>
        <w:jc w:val="both"/>
        <w:rPr>
          <w:rFonts w:ascii="Calibri" w:eastAsia="Calibri" w:hAnsi="Calibri" w:cs="Calibri"/>
          <w:lang w:val="sr-Cyrl-ME"/>
        </w:rPr>
      </w:pPr>
      <w:r w:rsidRPr="00CD1DC4">
        <w:rPr>
          <w:rFonts w:ascii="Calibri" w:eastAsia="Calibri" w:hAnsi="Calibri" w:cs="Calibri"/>
          <w:lang w:val="sr-Cyrl-ME"/>
        </w:rPr>
        <w:t>Za neplanirane i nedovoljno planirane izdatke tokom fiskalne godine koriste se sredstva tekuće rezerve.</w:t>
      </w:r>
    </w:p>
    <w:p w:rsidR="006F10A3" w:rsidRPr="00CD1DC4" w:rsidRDefault="008308CF">
      <w:pPr>
        <w:widowControl w:val="0"/>
        <w:numPr>
          <w:ilvl w:val="0"/>
          <w:numId w:val="4"/>
        </w:numPr>
        <w:jc w:val="both"/>
        <w:rPr>
          <w:rFonts w:ascii="Calibri" w:eastAsia="Calibri" w:hAnsi="Calibri" w:cs="Calibri"/>
          <w:lang w:val="sr-Cyrl-ME"/>
        </w:rPr>
      </w:pPr>
      <w:r w:rsidRPr="00CD1DC4">
        <w:rPr>
          <w:rFonts w:ascii="Calibri" w:eastAsia="Calibri" w:hAnsi="Calibri" w:cs="Calibri"/>
          <w:lang w:val="sr-Cyrl-ME"/>
        </w:rPr>
        <w:t>Za hitne i nepredviđene izdatke tokom fiskalne godine korist</w:t>
      </w:r>
      <w:r w:rsidRPr="00CD1DC4">
        <w:rPr>
          <w:rFonts w:ascii="Calibri" w:eastAsia="Calibri" w:hAnsi="Calibri" w:cs="Calibri"/>
          <w:lang w:val="sr-Cyrl-ME"/>
        </w:rPr>
        <w:t>e se sredstva stalne rezerve.</w:t>
      </w:r>
    </w:p>
    <w:p w:rsidR="006F10A3" w:rsidRPr="00CD1DC4" w:rsidRDefault="008308CF">
      <w:pPr>
        <w:widowControl w:val="0"/>
        <w:numPr>
          <w:ilvl w:val="0"/>
          <w:numId w:val="4"/>
        </w:numPr>
        <w:jc w:val="both"/>
        <w:rPr>
          <w:rFonts w:ascii="Calibri" w:eastAsia="Calibri" w:hAnsi="Calibri" w:cs="Calibri"/>
          <w:lang w:val="sr-Cyrl-ME"/>
        </w:rPr>
      </w:pPr>
      <w:r w:rsidRPr="00CD1DC4">
        <w:rPr>
          <w:rFonts w:ascii="Calibri" w:eastAsia="Calibri" w:hAnsi="Calibri" w:cs="Calibri"/>
          <w:lang w:val="sr-Cyrl-ME"/>
        </w:rPr>
        <w:t>O korišćenju sredstava tekuće i stalne rezerve, uz prethodnu saglasnost Vlade, odlučuje Ministartsvo finansija.</w:t>
      </w:r>
    </w:p>
    <w:p w:rsidR="006F10A3" w:rsidRPr="00CD1DC4" w:rsidRDefault="006F10A3">
      <w:pPr>
        <w:rPr>
          <w:rFonts w:ascii="Calibri" w:eastAsia="Calibri" w:hAnsi="Calibri" w:cs="Calibri"/>
          <w:lang w:val="sr-Cyrl-ME"/>
        </w:rPr>
      </w:pPr>
    </w:p>
    <w:p w:rsidR="006F10A3" w:rsidRPr="00CD1DC4" w:rsidRDefault="008308CF">
      <w:pPr>
        <w:rPr>
          <w:rFonts w:ascii="Calibri" w:eastAsia="Calibri" w:hAnsi="Calibri" w:cs="Calibri"/>
          <w:lang w:val="sr-Cyrl-ME"/>
        </w:rPr>
      </w:pPr>
      <w:r w:rsidRPr="00CD1DC4">
        <w:rPr>
          <w:rFonts w:ascii="Calibri" w:eastAsia="Calibri" w:hAnsi="Calibri" w:cs="Calibri"/>
          <w:lang w:val="sr-Cyrl-ME"/>
        </w:rPr>
        <w:t>A da bi Vlada dala saglasnost, potrebno je pribaviti mišljenje Ministarstva finansija.</w:t>
      </w:r>
    </w:p>
    <w:p w:rsidR="006F10A3" w:rsidRPr="00CD1DC4" w:rsidRDefault="008308CF">
      <w:pPr>
        <w:widowControl w:val="0"/>
        <w:numPr>
          <w:ilvl w:val="0"/>
          <w:numId w:val="2"/>
        </w:numPr>
        <w:jc w:val="both"/>
        <w:rPr>
          <w:rFonts w:ascii="Calibri" w:eastAsia="Calibri" w:hAnsi="Calibri" w:cs="Calibri"/>
          <w:lang w:val="sr-Cyrl-ME"/>
        </w:rPr>
      </w:pPr>
      <w:r w:rsidRPr="00CD1DC4">
        <w:rPr>
          <w:rFonts w:ascii="Calibri" w:eastAsia="Calibri" w:hAnsi="Calibri" w:cs="Calibri"/>
          <w:i/>
          <w:iCs/>
          <w:lang w:val="sr-Cyrl-ME"/>
        </w:rPr>
        <w:t xml:space="preserve">Poslovnik i radu Vlade </w:t>
      </w:r>
      <w:r w:rsidRPr="00CD1DC4">
        <w:rPr>
          <w:rFonts w:ascii="Calibri" w:eastAsia="Calibri" w:hAnsi="Calibri" w:cs="Calibri"/>
          <w:lang w:val="sr-Cyrl-ME"/>
        </w:rPr>
        <w:t>-</w:t>
      </w:r>
      <w:r w:rsidRPr="00CD1DC4">
        <w:rPr>
          <w:rFonts w:ascii="Calibri" w:eastAsia="Calibri" w:hAnsi="Calibri" w:cs="Calibri"/>
          <w:lang w:val="sr-Cyrl-ME"/>
        </w:rPr>
        <w:t xml:space="preserve"> član 16. djelokrug rada KEP i član 40 potrebna MIŠLJENJA.</w:t>
      </w:r>
    </w:p>
    <w:p w:rsidR="006F10A3" w:rsidRPr="00CD1DC4" w:rsidRDefault="006F10A3">
      <w:pPr>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Četvrto, u ponedjeljak 05.09.2016. Predsjednik Vlade je sazvao sjednicu Užeg kabineta kojoj su prisustvovali svi potpredsjednici, izuzev gospodina Lazovića koji je bio u inostranstvu. Nakon što sm</w:t>
      </w:r>
      <w:r w:rsidRPr="00CD1DC4">
        <w:rPr>
          <w:rFonts w:ascii="Calibri" w:eastAsia="Calibri" w:hAnsi="Calibri" w:cs="Calibri"/>
          <w:lang w:val="sr-Cyrl-ME"/>
        </w:rPr>
        <w:t xml:space="preserve">o obavili konsultacije oko mogužih rješenja, zaključak Užeg kabineta bio je da pripremim pisani materijal i kandidujem ga na sjednici Vlade. </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Peto, nije neuobičajeno da se na Komisijama ili sjednicama Vlade kandiduju dopunske tačke dnevnog reda. Tokom pos</w:t>
      </w:r>
      <w:r w:rsidRPr="00CD1DC4">
        <w:rPr>
          <w:rFonts w:ascii="Calibri" w:eastAsia="Calibri" w:hAnsi="Calibri" w:cs="Calibri"/>
          <w:lang w:val="sr-Cyrl-ME"/>
        </w:rPr>
        <w:t>lednjih 10 sjednica na 9 je to učinio Ministar finansija, a na svih deset predstavnici opozicije kandidovali su razne dopunke tačke. To čak i nije problem. Problem je što su u svega dva slučaja tačke dogovorene na Užem kabinetu, koje predstavlja posebno ti</w:t>
      </w:r>
      <w:r w:rsidRPr="00CD1DC4">
        <w:rPr>
          <w:rFonts w:ascii="Calibri" w:eastAsia="Calibri" w:hAnsi="Calibri" w:cs="Calibri"/>
          <w:lang w:val="sr-Cyrl-ME"/>
        </w:rPr>
        <w:t>jelo na kojem se raspravljaju najbitnija pitanja kao priprema za sjednicu Vlade.</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 xml:space="preserve">Šesto, ni od koga nisam ništa "pozajmio" kako to podmeću mediji koji ne plaćaju porez. Za dvoje svojih kolega pripremio sam Informaciju i shodno zaključku sa sjednice Užeg </w:t>
      </w:r>
      <w:r w:rsidRPr="00CD1DC4">
        <w:rPr>
          <w:rFonts w:ascii="Calibri" w:eastAsia="Calibri" w:hAnsi="Calibri" w:cs="Calibri"/>
          <w:lang w:val="sr-Cyrl-ME"/>
        </w:rPr>
        <w:t>kabineta dostavio je Vladi. Dodatno, na to nas je obavezivao i zaključak Vlade, a koji je ministra finansija pokušao da ospori i odloži. Teško je ne primijetiti da je uvaženi ministar finansija nekada radio za medij koji ne plaća porez i da je sada kao min</w:t>
      </w:r>
      <w:r w:rsidRPr="00CD1DC4">
        <w:rPr>
          <w:rFonts w:ascii="Calibri" w:eastAsia="Calibri" w:hAnsi="Calibri" w:cs="Calibri"/>
          <w:lang w:val="sr-Cyrl-ME"/>
        </w:rPr>
        <w:t>star brže-bolje potpisao odluku o odlaganju milionskog poreskog duga.</w:t>
      </w:r>
    </w:p>
    <w:p w:rsidR="006F10A3" w:rsidRPr="00CD1DC4" w:rsidRDefault="006F10A3">
      <w:pPr>
        <w:jc w:val="both"/>
        <w:rPr>
          <w:rFonts w:ascii="Calibri" w:eastAsia="Calibri" w:hAnsi="Calibri" w:cs="Calibri"/>
          <w:lang w:val="sr-Cyrl-ME"/>
        </w:rPr>
      </w:pPr>
    </w:p>
    <w:p w:rsidR="006F10A3" w:rsidRPr="00CD1DC4" w:rsidRDefault="006F10A3">
      <w:pPr>
        <w:jc w:val="both"/>
        <w:rPr>
          <w:rFonts w:ascii="Calibri" w:eastAsia="Calibri" w:hAnsi="Calibri" w:cs="Calibri"/>
          <w:lang w:val="sr-Cyrl-ME"/>
        </w:rPr>
      </w:pP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lastRenderedPageBreak/>
        <w:t>Sedmo, Biro za odnose sa javnošču demantovao je navode koji je objavio medij koji ne plaća porez. Demant nije objavljen. Jasna je i provdina igra ovog medija. I ovom prilikom želim da</w:t>
      </w:r>
      <w:r w:rsidRPr="00CD1DC4">
        <w:rPr>
          <w:rFonts w:ascii="Calibri" w:eastAsia="Calibri" w:hAnsi="Calibri" w:cs="Calibri"/>
          <w:lang w:val="sr-Cyrl-ME"/>
        </w:rPr>
        <w:t xml:space="preserve"> napravim razliku između časnih novinara i onih koji im naređuju šta da rade i vide svoje privatne ratove. </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Osmo, bolest kvrgave kože goveda je regionalni problem. To nije problem isključivo Crne Gore. Zato je potrebna još jača regionalna saradnja, ne sam</w:t>
      </w:r>
      <w:r w:rsidRPr="00CD1DC4">
        <w:rPr>
          <w:rFonts w:ascii="Calibri" w:eastAsia="Calibri" w:hAnsi="Calibri" w:cs="Calibri"/>
          <w:lang w:val="sr-Cyrl-ME"/>
        </w:rPr>
        <w:t>o kada je u pitanju rješavanje ovog, već i drugih problema. Zbog organizacije sistema, načina rada, brzine reakcije i posvećenosti pitanjima bolesti, Crna Gora pretenduje da bude regionani lider. Potrebno je povećati izdvajanja za istraživanje. Bez istraži</w:t>
      </w:r>
      <w:r w:rsidRPr="00CD1DC4">
        <w:rPr>
          <w:rFonts w:ascii="Calibri" w:eastAsia="Calibri" w:hAnsi="Calibri" w:cs="Calibri"/>
          <w:lang w:val="sr-Cyrl-ME"/>
        </w:rPr>
        <w:t>vanja nećemo dublje razumjeti prirodu ove i drugih bolesti. Takođe, potrebno je izmijeniti pravnu regulativu EU (utvrditi jasna pravila za ograničavanje kretanje stoke, tranzit, vakcinaciju, kontrolu, itd). Crna Gora u kontinuitetu radi sa Evropskom komisi</w:t>
      </w:r>
      <w:r w:rsidRPr="00CD1DC4">
        <w:rPr>
          <w:rFonts w:ascii="Calibri" w:eastAsia="Calibri" w:hAnsi="Calibri" w:cs="Calibri"/>
          <w:lang w:val="sr-Cyrl-ME"/>
        </w:rPr>
        <w:t>jom oko nadoknade troškova.</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Deveto, jadna je strategija koja se zasniva na zaustavljanju onih koji žele da rade, da ponude rješenja u interesu SVIH i koji otvaraju prostore svima da rade ZAJEDNO.</w:t>
      </w:r>
    </w:p>
    <w:p w:rsidR="006F10A3" w:rsidRPr="00CD1DC4" w:rsidRDefault="006F10A3">
      <w:pPr>
        <w:jc w:val="both"/>
        <w:rPr>
          <w:rFonts w:ascii="Calibri" w:eastAsia="Calibri" w:hAnsi="Calibri" w:cs="Calibri"/>
          <w:lang w:val="sr-Cyrl-ME"/>
        </w:rPr>
      </w:pPr>
    </w:p>
    <w:p w:rsidR="006F10A3" w:rsidRPr="00CD1DC4" w:rsidRDefault="008308CF">
      <w:pPr>
        <w:jc w:val="both"/>
        <w:rPr>
          <w:rFonts w:ascii="Calibri" w:eastAsia="Calibri" w:hAnsi="Calibri" w:cs="Calibri"/>
          <w:lang w:val="sr-Cyrl-ME"/>
        </w:rPr>
      </w:pPr>
      <w:r w:rsidRPr="00CD1DC4">
        <w:rPr>
          <w:rFonts w:ascii="Calibri" w:eastAsia="Calibri" w:hAnsi="Calibri" w:cs="Calibri"/>
          <w:lang w:val="sr-Cyrl-ME"/>
        </w:rPr>
        <w:t>Primjera nerada ima koliko god želite: Izvještaj o radu Vl</w:t>
      </w:r>
      <w:r w:rsidRPr="00CD1DC4">
        <w:rPr>
          <w:rFonts w:ascii="Calibri" w:eastAsia="Calibri" w:hAnsi="Calibri" w:cs="Calibri"/>
          <w:lang w:val="sr-Cyrl-ME"/>
        </w:rPr>
        <w:t>ade, PPC i realizacije zaključaka.</w:t>
      </w:r>
    </w:p>
    <w:p w:rsidR="006F10A3" w:rsidRPr="00CD1DC4" w:rsidRDefault="006F10A3">
      <w:pPr>
        <w:jc w:val="both"/>
        <w:rPr>
          <w:rFonts w:ascii="Calibri" w:eastAsia="Calibri" w:hAnsi="Calibri" w:cs="Calibri"/>
          <w:lang w:val="sr-Cyrl-ME"/>
        </w:rPr>
      </w:pPr>
    </w:p>
    <w:p w:rsidR="006F10A3" w:rsidRPr="00CD1DC4" w:rsidRDefault="008308CF">
      <w:pPr>
        <w:rPr>
          <w:rFonts w:ascii="Calibri" w:eastAsia="Calibri" w:hAnsi="Calibri" w:cs="Calibri"/>
          <w:lang w:val="sr-Cyrl-ME"/>
        </w:rPr>
      </w:pPr>
      <w:r w:rsidRPr="00CD1DC4">
        <w:rPr>
          <w:rFonts w:ascii="Calibri" w:eastAsia="Calibri" w:hAnsi="Calibri" w:cs="Calibri"/>
          <w:lang w:val="sr-Cyrl-ME"/>
        </w:rPr>
        <w:t>Jasan jezik kojinkoristim svjedoči o mojoj mirnoj savjesti. A oni koji imaju nemir u savjest, neka komplikuju inpodmeću. Drugo i ne umiju.</w:t>
      </w:r>
    </w:p>
    <w:p w:rsidR="006F10A3" w:rsidRPr="00CD1DC4" w:rsidRDefault="006F10A3">
      <w:pPr>
        <w:rPr>
          <w:rFonts w:ascii="Calibri" w:eastAsia="Calibri" w:hAnsi="Calibri" w:cs="Calibri"/>
          <w:lang w:val="sr-Cyrl-ME"/>
        </w:rPr>
      </w:pPr>
    </w:p>
    <w:p w:rsidR="006F10A3" w:rsidRPr="00CD1DC4" w:rsidRDefault="008308CF">
      <w:pPr>
        <w:rPr>
          <w:rFonts w:ascii="Calibri" w:eastAsia="Calibri" w:hAnsi="Calibri" w:cs="Calibri"/>
          <w:lang w:val="sr-Cyrl-ME"/>
        </w:rPr>
      </w:pPr>
      <w:r w:rsidRPr="00CD1DC4">
        <w:rPr>
          <w:rFonts w:ascii="Calibri" w:eastAsia="Calibri" w:hAnsi="Calibri" w:cs="Calibri"/>
          <w:lang w:val="sr-Cyrl-ME"/>
        </w:rPr>
        <w:t>Tamo gdje se postoje ljudi koji su spemni da po partijskoj liniji obilježavaju g</w:t>
      </w:r>
      <w:r w:rsidRPr="00CD1DC4">
        <w:rPr>
          <w:rFonts w:ascii="Calibri" w:eastAsia="Calibri" w:hAnsi="Calibri" w:cs="Calibri"/>
          <w:lang w:val="sr-Cyrl-ME"/>
        </w:rPr>
        <w:t>oveda, umjesto da se što prije riješi problem, teško da može biti povjerenja.</w:t>
      </w:r>
    </w:p>
    <w:p w:rsidR="006F10A3" w:rsidRPr="00CD1DC4" w:rsidRDefault="006F10A3">
      <w:pPr>
        <w:rPr>
          <w:rFonts w:ascii="Calibri" w:eastAsia="Calibri" w:hAnsi="Calibri" w:cs="Calibri"/>
          <w:lang w:val="sr-Cyrl-ME"/>
        </w:rPr>
      </w:pPr>
    </w:p>
    <w:p w:rsidR="006F10A3" w:rsidRPr="00CD1DC4" w:rsidRDefault="008308CF">
      <w:pPr>
        <w:rPr>
          <w:rFonts w:ascii="Calibri" w:eastAsia="Calibri" w:hAnsi="Calibri" w:cs="Calibri"/>
          <w:lang w:val="sr-Cyrl-ME"/>
        </w:rPr>
      </w:pPr>
      <w:r w:rsidRPr="00CD1DC4">
        <w:rPr>
          <w:rFonts w:ascii="Calibri" w:eastAsia="Calibri" w:hAnsi="Calibri" w:cs="Calibri"/>
          <w:lang w:val="sr-Cyrl-ME"/>
        </w:rPr>
        <w:t>Najmanji interes treba da bude: da uradimo najbolje što mož</w:t>
      </w:r>
      <w:bookmarkStart w:id="0" w:name="_GoBack"/>
      <w:bookmarkEnd w:id="0"/>
      <w:r w:rsidRPr="00CD1DC4">
        <w:rPr>
          <w:rFonts w:ascii="Calibri" w:eastAsia="Calibri" w:hAnsi="Calibri" w:cs="Calibri"/>
          <w:lang w:val="sr-Cyrl-ME"/>
        </w:rPr>
        <w:t>emo u najkraćem mogućem roku.</w:t>
      </w:r>
    </w:p>
    <w:sectPr w:rsidR="006F10A3" w:rsidRPr="00CD1DC4">
      <w:headerReference w:type="default" r:id="rId8"/>
      <w:footerReference w:type="default" r:id="rId9"/>
      <w:pgSz w:w="11900" w:h="16840"/>
      <w:pgMar w:top="1134"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8CF" w:rsidRDefault="008308CF">
      <w:r>
        <w:separator/>
      </w:r>
    </w:p>
  </w:endnote>
  <w:endnote w:type="continuationSeparator" w:id="0">
    <w:p w:rsidR="008308CF" w:rsidRDefault="0083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A3" w:rsidRDefault="006F10A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8CF" w:rsidRDefault="008308CF">
      <w:r>
        <w:separator/>
      </w:r>
    </w:p>
  </w:footnote>
  <w:footnote w:type="continuationSeparator" w:id="0">
    <w:p w:rsidR="008308CF" w:rsidRDefault="0083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A3" w:rsidRDefault="006F10A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D13BE"/>
    <w:multiLevelType w:val="hybridMultilevel"/>
    <w:tmpl w:val="3090499C"/>
    <w:styleLink w:val="ImportedStyle1"/>
    <w:lvl w:ilvl="0" w:tplc="4C06159C">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29CE76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0AE691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8A8320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16C81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4FC895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05ACDE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962C1F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C3CB0C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D747E1"/>
    <w:multiLevelType w:val="hybridMultilevel"/>
    <w:tmpl w:val="3090499C"/>
    <w:numStyleLink w:val="ImportedStyle1"/>
  </w:abstractNum>
  <w:abstractNum w:abstractNumId="2" w15:restartNumberingAfterBreak="0">
    <w:nsid w:val="70F066B7"/>
    <w:multiLevelType w:val="hybridMultilevel"/>
    <w:tmpl w:val="C22A76DA"/>
    <w:numStyleLink w:val="ImportedStyle2"/>
  </w:abstractNum>
  <w:abstractNum w:abstractNumId="3" w15:restartNumberingAfterBreak="0">
    <w:nsid w:val="71297AF8"/>
    <w:multiLevelType w:val="hybridMultilevel"/>
    <w:tmpl w:val="C22A76DA"/>
    <w:styleLink w:val="ImportedStyle2"/>
    <w:lvl w:ilvl="0" w:tplc="F4AACEEE">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242D97A">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2581FA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F92A61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C3A2E6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89A528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9AC2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410F54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472EA3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A3"/>
    <w:rsid w:val="006F10A3"/>
    <w:rsid w:val="008308CF"/>
    <w:rsid w:val="00CD1DC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B282D-CAE8-4610-BDE8-0FC3F05D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r-Latn-ME" w:eastAsia="sr-Latn-M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pPr>
      <w:widowControl w:val="0"/>
      <w:tabs>
        <w:tab w:val="center" w:pos="4703"/>
        <w:tab w:val="right" w:pos="9406"/>
      </w:tabs>
      <w:jc w:val="both"/>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6009</Characters>
  <Application>Microsoft Office Word</Application>
  <DocSecurity>0</DocSecurity>
  <Lines>50</Lines>
  <Paragraphs>14</Paragraphs>
  <ScaleCrop>false</ScaleCrop>
  <Company>Hewlett-Packard Company</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Melisa Pepic</cp:lastModifiedBy>
  <cp:revision>2</cp:revision>
  <dcterms:created xsi:type="dcterms:W3CDTF">2016-09-10T10:49:00Z</dcterms:created>
  <dcterms:modified xsi:type="dcterms:W3CDTF">2016-09-10T10:49:00Z</dcterms:modified>
</cp:coreProperties>
</file>