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9AFDA4" w:rsidR="00D426DE" w:rsidRDefault="00DD2CCD" w:rsidP="00EB791D">
      <w:pPr>
        <w:rPr>
          <w:sz w:val="20"/>
          <w:szCs w:val="20"/>
        </w:rPr>
      </w:pPr>
      <w:r>
        <w:rPr>
          <w:sz w:val="20"/>
          <w:szCs w:val="20"/>
        </w:rPr>
        <w:br/>
      </w:r>
    </w:p>
    <w:p w14:paraId="00000002" w14:textId="77777777" w:rsidR="00D426DE" w:rsidRDefault="00DD2CCD">
      <w:pPr>
        <w:jc w:val="center"/>
        <w:rPr>
          <w:b/>
          <w:sz w:val="28"/>
          <w:szCs w:val="28"/>
        </w:rPr>
      </w:pPr>
      <w:r>
        <w:rPr>
          <w:b/>
          <w:sz w:val="28"/>
          <w:szCs w:val="28"/>
        </w:rPr>
        <w:t>CONTRACT NOTICE</w:t>
      </w:r>
    </w:p>
    <w:p w14:paraId="00000003" w14:textId="77777777" w:rsidR="00D426DE" w:rsidRDefault="00DD2CCD">
      <w:pPr>
        <w:spacing w:before="280" w:after="280"/>
        <w:rPr>
          <w:b/>
          <w:sz w:val="22"/>
          <w:szCs w:val="22"/>
        </w:rPr>
      </w:pPr>
      <w:r>
        <w:rPr>
          <w:b/>
          <w:sz w:val="22"/>
          <w:szCs w:val="22"/>
          <w:u w:val="single"/>
        </w:rPr>
        <w:t>CALL FOR TENDER: GENERAL INFORMATION</w:t>
      </w:r>
      <w:r>
        <w:rPr>
          <w:b/>
          <w:sz w:val="22"/>
          <w:szCs w:val="22"/>
          <w:u w:val="single"/>
        </w:rPr>
        <w:br/>
      </w:r>
      <w:r>
        <w:rPr>
          <w:sz w:val="22"/>
          <w:szCs w:val="22"/>
          <w:u w:val="single"/>
        </w:rPr>
        <w:br/>
      </w:r>
      <w:r>
        <w:rPr>
          <w:b/>
          <w:sz w:val="22"/>
          <w:szCs w:val="22"/>
          <w:u w:val="single"/>
        </w:rPr>
        <w:br/>
        <w:t>II.1.1) Information Notice Title</w:t>
      </w:r>
      <w:r>
        <w:rPr>
          <w:b/>
          <w:sz w:val="22"/>
          <w:szCs w:val="22"/>
        </w:rPr>
        <w:t xml:space="preserve">: </w:t>
      </w:r>
      <w:r>
        <w:rPr>
          <w:sz w:val="22"/>
          <w:szCs w:val="22"/>
        </w:rPr>
        <w:t xml:space="preserve">Purchase of Robotic System and Mobile Transport Center </w:t>
      </w:r>
      <w:r>
        <w:rPr>
          <w:sz w:val="22"/>
          <w:szCs w:val="22"/>
          <w:u w:val="single"/>
        </w:rPr>
        <w:br/>
      </w:r>
      <w:r>
        <w:rPr>
          <w:b/>
          <w:sz w:val="22"/>
          <w:szCs w:val="22"/>
          <w:u w:val="single"/>
        </w:rPr>
        <w:t>II.1.1) Information Notice Reference Number:</w:t>
      </w:r>
      <w:r>
        <w:rPr>
          <w:sz w:val="22"/>
          <w:szCs w:val="22"/>
          <w:u w:val="single"/>
        </w:rPr>
        <w:t xml:space="preserve"> </w:t>
      </w:r>
      <w:r>
        <w:rPr>
          <w:sz w:val="22"/>
          <w:szCs w:val="22"/>
        </w:rPr>
        <w:t>04-2020</w:t>
      </w:r>
    </w:p>
    <w:p w14:paraId="00000004" w14:textId="77777777" w:rsidR="00D426DE" w:rsidRDefault="00DD2CCD">
      <w:pPr>
        <w:rPr>
          <w:b/>
          <w:sz w:val="22"/>
          <w:szCs w:val="22"/>
          <w:u w:val="single"/>
        </w:rPr>
      </w:pPr>
      <w:r>
        <w:rPr>
          <w:b/>
          <w:sz w:val="22"/>
          <w:szCs w:val="22"/>
          <w:u w:val="single"/>
        </w:rPr>
        <w:t>I.1) Name and address Contracting Authority</w:t>
      </w:r>
    </w:p>
    <w:p w14:paraId="00000005" w14:textId="4AAAC393" w:rsidR="00D426DE" w:rsidRDefault="00DD2CCD">
      <w:pPr>
        <w:rPr>
          <w:sz w:val="22"/>
          <w:szCs w:val="22"/>
        </w:rPr>
      </w:pPr>
      <w:r>
        <w:rPr>
          <w:sz w:val="22"/>
          <w:szCs w:val="22"/>
        </w:rPr>
        <w:t xml:space="preserve">Official name: Ministry of </w:t>
      </w:r>
      <w:r w:rsidR="00052658">
        <w:rPr>
          <w:sz w:val="22"/>
          <w:szCs w:val="22"/>
        </w:rPr>
        <w:t>Interior</w:t>
      </w:r>
      <w:r>
        <w:rPr>
          <w:sz w:val="22"/>
          <w:szCs w:val="22"/>
        </w:rPr>
        <w:t xml:space="preserve"> - Directorate for emergency management</w:t>
      </w:r>
    </w:p>
    <w:p w14:paraId="1A4CE9F8" w14:textId="4397B57C" w:rsidR="00052658" w:rsidRPr="00052658" w:rsidRDefault="00DD2CCD">
      <w:pPr>
        <w:rPr>
          <w:color w:val="1155CC"/>
          <w:sz w:val="22"/>
          <w:szCs w:val="22"/>
          <w:u w:val="single"/>
        </w:rPr>
      </w:pPr>
      <w:r>
        <w:rPr>
          <w:sz w:val="22"/>
          <w:szCs w:val="22"/>
        </w:rPr>
        <w:t xml:space="preserve">Postal address: Bul. </w:t>
      </w:r>
      <w:proofErr w:type="spellStart"/>
      <w:r>
        <w:rPr>
          <w:sz w:val="22"/>
          <w:szCs w:val="22"/>
        </w:rPr>
        <w:t>Sv</w:t>
      </w:r>
      <w:proofErr w:type="spellEnd"/>
      <w:r>
        <w:rPr>
          <w:sz w:val="22"/>
          <w:szCs w:val="22"/>
        </w:rPr>
        <w:t xml:space="preserve">. Petra </w:t>
      </w:r>
      <w:proofErr w:type="spellStart"/>
      <w:r>
        <w:rPr>
          <w:sz w:val="22"/>
          <w:szCs w:val="22"/>
        </w:rPr>
        <w:t>Cetinjskog</w:t>
      </w:r>
      <w:proofErr w:type="spellEnd"/>
      <w:r>
        <w:rPr>
          <w:sz w:val="22"/>
          <w:szCs w:val="22"/>
        </w:rPr>
        <w:t xml:space="preserve"> 22</w:t>
      </w:r>
      <w:r>
        <w:rPr>
          <w:sz w:val="22"/>
          <w:szCs w:val="22"/>
        </w:rPr>
        <w:br/>
        <w:t>Town: Podgorica</w:t>
      </w:r>
      <w:r>
        <w:rPr>
          <w:sz w:val="22"/>
          <w:szCs w:val="22"/>
        </w:rPr>
        <w:br/>
        <w:t>Postal Code: 81000</w:t>
      </w:r>
      <w:r>
        <w:rPr>
          <w:sz w:val="22"/>
          <w:szCs w:val="22"/>
        </w:rPr>
        <w:br/>
        <w:t xml:space="preserve">E-mail: </w:t>
      </w:r>
      <w:hyperlink r:id="rId8">
        <w:r>
          <w:rPr>
            <w:color w:val="1155CC"/>
            <w:sz w:val="22"/>
            <w:szCs w:val="22"/>
            <w:u w:val="single"/>
          </w:rPr>
          <w:t>radomir.scepanovic@mup.gov.me</w:t>
        </w:r>
      </w:hyperlink>
      <w:r>
        <w:rPr>
          <w:sz w:val="22"/>
          <w:szCs w:val="22"/>
        </w:rPr>
        <w:br/>
        <w:t>Internet address:</w:t>
      </w:r>
      <w:r w:rsidR="00052658">
        <w:rPr>
          <w:sz w:val="22"/>
          <w:szCs w:val="22"/>
        </w:rPr>
        <w:t xml:space="preserve"> </w:t>
      </w:r>
      <w:hyperlink r:id="rId9" w:history="1">
        <w:r w:rsidR="00052658" w:rsidRPr="00B82C44">
          <w:rPr>
            <w:rStyle w:val="Hyperlink"/>
            <w:sz w:val="22"/>
            <w:szCs w:val="22"/>
          </w:rPr>
          <w:t>http://www.mup.gov.me/</w:t>
        </w:r>
      </w:hyperlink>
    </w:p>
    <w:p w14:paraId="00000007" w14:textId="2BC0B0D7" w:rsidR="00D426DE" w:rsidRPr="00052658" w:rsidRDefault="00DD2CCD">
      <w:pPr>
        <w:rPr>
          <w:sz w:val="22"/>
          <w:szCs w:val="22"/>
          <w:highlight w:val="yellow"/>
        </w:rPr>
      </w:pPr>
      <w:r>
        <w:rPr>
          <w:b/>
          <w:sz w:val="22"/>
          <w:szCs w:val="22"/>
          <w:highlight w:val="lightGray"/>
          <w:u w:val="single"/>
        </w:rPr>
        <w:br/>
      </w:r>
      <w:r>
        <w:rPr>
          <w:b/>
          <w:sz w:val="22"/>
          <w:szCs w:val="22"/>
          <w:u w:val="single"/>
        </w:rPr>
        <w:t>II.1.1) Title:</w:t>
      </w:r>
      <w:r>
        <w:rPr>
          <w:sz w:val="22"/>
          <w:szCs w:val="22"/>
        </w:rPr>
        <w:t xml:space="preserve"> </w:t>
      </w:r>
      <w:r>
        <w:rPr>
          <w:sz w:val="22"/>
          <w:szCs w:val="22"/>
        </w:rPr>
        <w:br/>
        <w:t>Purchase of robotic system and Mobile transport center</w:t>
      </w:r>
      <w:r>
        <w:rPr>
          <w:sz w:val="22"/>
          <w:szCs w:val="22"/>
        </w:rPr>
        <w:br/>
      </w:r>
      <w:r>
        <w:rPr>
          <w:b/>
          <w:sz w:val="22"/>
          <w:szCs w:val="22"/>
          <w:u w:val="single"/>
        </w:rPr>
        <w:br/>
        <w:t>II.1.4) Short description of the contract</w:t>
      </w:r>
    </w:p>
    <w:p w14:paraId="0000000B" w14:textId="11E37E6D" w:rsidR="00D426DE" w:rsidRDefault="00093C0F">
      <w:pPr>
        <w:spacing w:before="240" w:after="240"/>
        <w:jc w:val="both"/>
        <w:rPr>
          <w:sz w:val="22"/>
          <w:szCs w:val="22"/>
        </w:rPr>
      </w:pPr>
      <w:r>
        <w:rPr>
          <w:sz w:val="22"/>
          <w:szCs w:val="22"/>
        </w:rPr>
        <w:t>D</w:t>
      </w:r>
      <w:r w:rsidR="00DD2CCD">
        <w:rPr>
          <w:sz w:val="22"/>
          <w:szCs w:val="22"/>
        </w:rPr>
        <w:t>elivery of multifunctional robotic system for extinguishing fires in life threatening conditions and inaccessible areas as well as Mobile center vehicle for the transport of the robotic system.</w:t>
      </w:r>
      <w:r>
        <w:rPr>
          <w:sz w:val="22"/>
          <w:szCs w:val="22"/>
        </w:rPr>
        <w:t xml:space="preserve"> </w:t>
      </w:r>
      <w:r w:rsidR="00DD2CCD">
        <w:rPr>
          <w:sz w:val="22"/>
          <w:szCs w:val="22"/>
        </w:rPr>
        <w:t xml:space="preserve">The system needs to be operated from a safe distance by using remote-control technology. </w:t>
      </w:r>
      <w:r>
        <w:rPr>
          <w:sz w:val="22"/>
          <w:szCs w:val="22"/>
        </w:rPr>
        <w:t>The</w:t>
      </w:r>
      <w:r w:rsidR="00DD2CCD">
        <w:rPr>
          <w:sz w:val="22"/>
          <w:szCs w:val="22"/>
        </w:rPr>
        <w:t xml:space="preserve"> system is required to be able to survive hazardous operations in the most demanding and destructive environments and to be equipped with the modern fire-fighting technologies, with containers for water and foam. Remote control technology needs to function at minimum 1000m distance in line of sight and include video system, that allows the operator to have full control of the vehicle movement during operation.</w:t>
      </w:r>
      <w:r>
        <w:rPr>
          <w:sz w:val="22"/>
          <w:szCs w:val="22"/>
        </w:rPr>
        <w:t xml:space="preserve"> </w:t>
      </w:r>
      <w:r w:rsidR="00DD2CCD">
        <w:rPr>
          <w:sz w:val="22"/>
          <w:szCs w:val="22"/>
        </w:rPr>
        <w:t>Mobile center vehicle for the transport of the robotic system is a command vehicle and a loading/transport platform.</w:t>
      </w:r>
      <w:r>
        <w:rPr>
          <w:sz w:val="22"/>
          <w:szCs w:val="22"/>
        </w:rPr>
        <w:t xml:space="preserve"> </w:t>
      </w:r>
      <w:r w:rsidR="00DD2CCD">
        <w:rPr>
          <w:sz w:val="22"/>
          <w:szCs w:val="22"/>
        </w:rPr>
        <w:t xml:space="preserve">The delivery is </w:t>
      </w:r>
      <w:r w:rsidR="00052658">
        <w:rPr>
          <w:sz w:val="22"/>
          <w:szCs w:val="22"/>
        </w:rPr>
        <w:t>DDP</w:t>
      </w:r>
      <w:r w:rsidR="00DD2CCD">
        <w:rPr>
          <w:sz w:val="22"/>
          <w:szCs w:val="22"/>
        </w:rPr>
        <w:t xml:space="preserve"> Montenegro, at the location provided by the Contracting Authority. The delivery also includes Training in the use of machinery and equipment for 10 people</w:t>
      </w:r>
      <w:r>
        <w:rPr>
          <w:sz w:val="22"/>
          <w:szCs w:val="22"/>
        </w:rPr>
        <w:t>.</w:t>
      </w:r>
    </w:p>
    <w:p w14:paraId="0000000C" w14:textId="77777777" w:rsidR="00D426DE" w:rsidRDefault="00DD2CCD">
      <w:pPr>
        <w:rPr>
          <w:b/>
          <w:sz w:val="22"/>
          <w:szCs w:val="22"/>
          <w:u w:val="single"/>
        </w:rPr>
      </w:pPr>
      <w:r>
        <w:rPr>
          <w:b/>
          <w:sz w:val="22"/>
          <w:szCs w:val="22"/>
          <w:highlight w:val="lightGray"/>
        </w:rPr>
        <w:br/>
      </w:r>
      <w:r>
        <w:rPr>
          <w:b/>
          <w:sz w:val="22"/>
          <w:szCs w:val="22"/>
          <w:u w:val="single"/>
        </w:rPr>
        <w:t>II.1.5) Estimated total value</w:t>
      </w:r>
    </w:p>
    <w:p w14:paraId="0000000D" w14:textId="2AB6DE5E" w:rsidR="00D426DE" w:rsidRDefault="00DD2CCD">
      <w:pPr>
        <w:rPr>
          <w:sz w:val="22"/>
          <w:szCs w:val="22"/>
        </w:rPr>
      </w:pPr>
      <w:r>
        <w:rPr>
          <w:sz w:val="22"/>
          <w:szCs w:val="22"/>
        </w:rPr>
        <w:t>Value excluding VAT:</w:t>
      </w:r>
      <w:r w:rsidR="00052658">
        <w:rPr>
          <w:sz w:val="22"/>
          <w:szCs w:val="22"/>
        </w:rPr>
        <w:t xml:space="preserve"> 950,000</w:t>
      </w:r>
      <w:r w:rsidR="00052658">
        <w:rPr>
          <w:sz w:val="22"/>
          <w:szCs w:val="22"/>
        </w:rPr>
        <w:tab/>
      </w:r>
      <w:r w:rsidR="00052658">
        <w:rPr>
          <w:sz w:val="22"/>
          <w:szCs w:val="22"/>
        </w:rPr>
        <w:tab/>
      </w:r>
      <w:r>
        <w:rPr>
          <w:sz w:val="22"/>
          <w:szCs w:val="22"/>
        </w:rPr>
        <w:t>Currency: EUR</w:t>
      </w:r>
    </w:p>
    <w:p w14:paraId="0000000E" w14:textId="77777777" w:rsidR="00D426DE" w:rsidRDefault="00DD2CCD">
      <w:pPr>
        <w:rPr>
          <w:b/>
          <w:sz w:val="22"/>
          <w:szCs w:val="22"/>
          <w:u w:val="single"/>
        </w:rPr>
      </w:pPr>
      <w:r>
        <w:rPr>
          <w:b/>
          <w:sz w:val="22"/>
          <w:szCs w:val="22"/>
          <w:u w:val="single"/>
        </w:rPr>
        <w:br/>
        <w:t>IV.1.1.) Type of Procedure</w:t>
      </w:r>
    </w:p>
    <w:p w14:paraId="0000000F" w14:textId="447D7F6F" w:rsidR="00D426DE" w:rsidRDefault="00DD2CCD">
      <w:pPr>
        <w:rPr>
          <w:b/>
          <w:sz w:val="22"/>
          <w:szCs w:val="22"/>
          <w:u w:val="single"/>
        </w:rPr>
      </w:pPr>
      <w:r>
        <w:rPr>
          <w:sz w:val="22"/>
          <w:szCs w:val="22"/>
          <w:u w:val="single"/>
        </w:rPr>
        <w:t>Open</w:t>
      </w:r>
      <w:r>
        <w:rPr>
          <w:sz w:val="22"/>
          <w:szCs w:val="22"/>
          <w:u w:val="single"/>
        </w:rPr>
        <w:br/>
      </w:r>
    </w:p>
    <w:p w14:paraId="1D8EA383" w14:textId="77777777" w:rsidR="00052658" w:rsidRDefault="00052658">
      <w:pPr>
        <w:rPr>
          <w:b/>
          <w:sz w:val="22"/>
          <w:szCs w:val="22"/>
          <w:u w:val="single"/>
        </w:rPr>
      </w:pPr>
    </w:p>
    <w:p w14:paraId="00000010" w14:textId="77777777" w:rsidR="00D426DE" w:rsidRDefault="00DD2CCD">
      <w:pPr>
        <w:rPr>
          <w:b/>
          <w:sz w:val="22"/>
          <w:szCs w:val="22"/>
          <w:u w:val="single"/>
        </w:rPr>
      </w:pPr>
      <w:r>
        <w:rPr>
          <w:b/>
          <w:sz w:val="22"/>
          <w:szCs w:val="22"/>
          <w:u w:val="single"/>
        </w:rPr>
        <w:t>IV.2.1) Previous publication concerning this procedure</w:t>
      </w:r>
    </w:p>
    <w:p w14:paraId="00000011" w14:textId="77777777" w:rsidR="00D426DE" w:rsidRDefault="00DD2CCD">
      <w:pPr>
        <w:rPr>
          <w:b/>
          <w:sz w:val="22"/>
          <w:szCs w:val="22"/>
          <w:u w:val="single"/>
        </w:rPr>
      </w:pPr>
      <w:r>
        <w:rPr>
          <w:sz w:val="22"/>
          <w:szCs w:val="22"/>
        </w:rPr>
        <w:t>Notice number in the OJ S:</w:t>
      </w:r>
    </w:p>
    <w:p w14:paraId="00000012" w14:textId="77777777" w:rsidR="00D426DE" w:rsidRDefault="00DD2CCD">
      <w:pPr>
        <w:rPr>
          <w:b/>
          <w:sz w:val="22"/>
          <w:szCs w:val="22"/>
        </w:rPr>
      </w:pPr>
      <w:r>
        <w:rPr>
          <w:b/>
          <w:sz w:val="22"/>
          <w:szCs w:val="22"/>
        </w:rPr>
        <w:t xml:space="preserve">2020/S 149-366516 </w:t>
      </w:r>
    </w:p>
    <w:p w14:paraId="00000013" w14:textId="77777777" w:rsidR="00D426DE" w:rsidRDefault="00DD2CCD">
      <w:pPr>
        <w:rPr>
          <w:b/>
          <w:sz w:val="22"/>
          <w:szCs w:val="22"/>
          <w:highlight w:val="lightGray"/>
          <w:u w:val="single"/>
        </w:rPr>
      </w:pPr>
      <w:r>
        <w:rPr>
          <w:b/>
          <w:sz w:val="22"/>
          <w:szCs w:val="22"/>
          <w:highlight w:val="lightGray"/>
        </w:rPr>
        <w:br/>
      </w:r>
      <w:r>
        <w:rPr>
          <w:b/>
          <w:sz w:val="22"/>
          <w:szCs w:val="22"/>
          <w:u w:val="single"/>
        </w:rPr>
        <w:lastRenderedPageBreak/>
        <w:t>II.1.6) Information about lots</w:t>
      </w:r>
    </w:p>
    <w:p w14:paraId="00000014" w14:textId="68F4DF4D" w:rsidR="00D426DE" w:rsidRDefault="00DD2CCD">
      <w:pPr>
        <w:rPr>
          <w:b/>
          <w:sz w:val="22"/>
          <w:szCs w:val="22"/>
          <w:u w:val="single"/>
        </w:rPr>
      </w:pPr>
      <w:r>
        <w:rPr>
          <w:sz w:val="22"/>
          <w:szCs w:val="22"/>
        </w:rPr>
        <w:t xml:space="preserve">This contract is divided into lots: </w:t>
      </w:r>
      <w:r w:rsidR="00052658">
        <w:rPr>
          <w:sz w:val="22"/>
          <w:szCs w:val="22"/>
        </w:rPr>
        <w:t>N</w:t>
      </w:r>
      <w:r>
        <w:rPr>
          <w:sz w:val="22"/>
          <w:szCs w:val="22"/>
        </w:rPr>
        <w:t>o</w:t>
      </w:r>
      <w:r>
        <w:rPr>
          <w:b/>
          <w:sz w:val="22"/>
          <w:szCs w:val="22"/>
        </w:rPr>
        <w:br/>
      </w:r>
      <w:r>
        <w:rPr>
          <w:b/>
          <w:sz w:val="22"/>
          <w:szCs w:val="22"/>
          <w:u w:val="single"/>
        </w:rPr>
        <w:br/>
        <w:t>CALL FOR TENDER</w:t>
      </w:r>
    </w:p>
    <w:p w14:paraId="00000015" w14:textId="77777777" w:rsidR="00D426DE" w:rsidRDefault="00D426DE">
      <w:pPr>
        <w:rPr>
          <w:b/>
          <w:sz w:val="22"/>
          <w:szCs w:val="22"/>
        </w:rPr>
      </w:pPr>
    </w:p>
    <w:p w14:paraId="00000016" w14:textId="77777777" w:rsidR="00D426DE" w:rsidRDefault="00DD2CCD">
      <w:pPr>
        <w:rPr>
          <w:b/>
          <w:sz w:val="22"/>
          <w:szCs w:val="22"/>
        </w:rPr>
      </w:pPr>
      <w:r>
        <w:rPr>
          <w:b/>
          <w:sz w:val="22"/>
          <w:szCs w:val="22"/>
          <w:u w:val="single"/>
        </w:rPr>
        <w:t>II.2) Description</w:t>
      </w:r>
      <w:r>
        <w:rPr>
          <w:b/>
          <w:sz w:val="22"/>
          <w:szCs w:val="22"/>
          <w:u w:val="single"/>
        </w:rPr>
        <w:br/>
      </w:r>
    </w:p>
    <w:p w14:paraId="00000017" w14:textId="77777777" w:rsidR="00D426DE" w:rsidRDefault="00DD2CCD">
      <w:pPr>
        <w:rPr>
          <w:b/>
          <w:sz w:val="22"/>
          <w:szCs w:val="22"/>
          <w:u w:val="single"/>
        </w:rPr>
      </w:pPr>
      <w:r>
        <w:rPr>
          <w:b/>
          <w:sz w:val="22"/>
          <w:szCs w:val="22"/>
          <w:u w:val="single"/>
        </w:rPr>
        <w:t>II.1.3) Type of contract</w:t>
      </w:r>
    </w:p>
    <w:p w14:paraId="00000018" w14:textId="77777777" w:rsidR="00D426DE" w:rsidRDefault="00DD2CCD">
      <w:pPr>
        <w:pBdr>
          <w:top w:val="nil"/>
          <w:left w:val="nil"/>
          <w:bottom w:val="nil"/>
          <w:right w:val="nil"/>
          <w:between w:val="nil"/>
        </w:pBdr>
        <w:ind w:right="360"/>
        <w:jc w:val="both"/>
        <w:rPr>
          <w:i/>
          <w:color w:val="000000"/>
          <w:sz w:val="22"/>
          <w:szCs w:val="22"/>
        </w:rPr>
      </w:pPr>
      <w:r>
        <w:rPr>
          <w:color w:val="000000"/>
          <w:sz w:val="22"/>
          <w:szCs w:val="22"/>
        </w:rPr>
        <w:t>Supplies</w:t>
      </w:r>
    </w:p>
    <w:p w14:paraId="00000019" w14:textId="77777777" w:rsidR="00D426DE" w:rsidRDefault="00DD2CCD">
      <w:pPr>
        <w:rPr>
          <w:b/>
          <w:sz w:val="22"/>
          <w:szCs w:val="22"/>
          <w:highlight w:val="lightGray"/>
          <w:u w:val="single"/>
        </w:rPr>
      </w:pPr>
      <w:r>
        <w:rPr>
          <w:b/>
          <w:sz w:val="22"/>
          <w:szCs w:val="22"/>
        </w:rPr>
        <w:br/>
      </w:r>
      <w:r>
        <w:rPr>
          <w:b/>
          <w:sz w:val="22"/>
          <w:szCs w:val="22"/>
          <w:u w:val="single"/>
        </w:rPr>
        <w:t>II.2.3) Place performance</w:t>
      </w:r>
    </w:p>
    <w:p w14:paraId="0000001A" w14:textId="77777777" w:rsidR="00D426DE" w:rsidRDefault="00DD2CCD">
      <w:pPr>
        <w:rPr>
          <w:sz w:val="22"/>
          <w:szCs w:val="22"/>
        </w:rPr>
      </w:pPr>
      <w:r>
        <w:rPr>
          <w:sz w:val="22"/>
          <w:szCs w:val="22"/>
        </w:rPr>
        <w:t xml:space="preserve">Geographical zone benefitting from the action: Montenegro </w:t>
      </w:r>
    </w:p>
    <w:p w14:paraId="0000001B" w14:textId="77777777" w:rsidR="00D426DE" w:rsidRDefault="00DD2CCD">
      <w:pPr>
        <w:rPr>
          <w:b/>
          <w:sz w:val="22"/>
          <w:szCs w:val="22"/>
          <w:u w:val="single"/>
        </w:rPr>
      </w:pPr>
      <w:r>
        <w:rPr>
          <w:b/>
          <w:sz w:val="22"/>
          <w:szCs w:val="22"/>
          <w:highlight w:val="lightGray"/>
        </w:rPr>
        <w:br/>
      </w:r>
      <w:r>
        <w:rPr>
          <w:b/>
          <w:sz w:val="22"/>
          <w:szCs w:val="22"/>
          <w:u w:val="single"/>
        </w:rPr>
        <w:t>II.2.5</w:t>
      </w:r>
      <w:proofErr w:type="gramStart"/>
      <w:r>
        <w:rPr>
          <w:b/>
          <w:sz w:val="22"/>
          <w:szCs w:val="22"/>
          <w:u w:val="single"/>
        </w:rPr>
        <w:t>)  Award</w:t>
      </w:r>
      <w:proofErr w:type="gramEnd"/>
      <w:r>
        <w:rPr>
          <w:b/>
          <w:sz w:val="22"/>
          <w:szCs w:val="22"/>
          <w:u w:val="single"/>
        </w:rPr>
        <w:t xml:space="preserve"> Criteria</w:t>
      </w:r>
    </w:p>
    <w:p w14:paraId="0000001C" w14:textId="77777777" w:rsidR="00D426DE" w:rsidRDefault="00DD2CCD">
      <w:pPr>
        <w:rPr>
          <w:sz w:val="22"/>
          <w:szCs w:val="22"/>
        </w:rPr>
      </w:pPr>
      <w:r>
        <w:rPr>
          <w:sz w:val="22"/>
          <w:szCs w:val="22"/>
        </w:rPr>
        <w:t>Price</w:t>
      </w:r>
      <w:r>
        <w:rPr>
          <w:sz w:val="22"/>
          <w:szCs w:val="22"/>
        </w:rPr>
        <w:br/>
      </w:r>
      <w:r>
        <w:rPr>
          <w:b/>
          <w:sz w:val="22"/>
          <w:szCs w:val="22"/>
        </w:rPr>
        <w:br/>
      </w:r>
      <w:r>
        <w:rPr>
          <w:b/>
          <w:sz w:val="22"/>
          <w:szCs w:val="22"/>
          <w:u w:val="single"/>
        </w:rPr>
        <w:t>II.2.6 Estimated value</w:t>
      </w:r>
    </w:p>
    <w:p w14:paraId="0000001D" w14:textId="7B630F7F" w:rsidR="00D426DE" w:rsidRDefault="00DD2CCD">
      <w:pPr>
        <w:rPr>
          <w:sz w:val="22"/>
          <w:szCs w:val="22"/>
        </w:rPr>
      </w:pPr>
      <w:r>
        <w:rPr>
          <w:sz w:val="22"/>
          <w:szCs w:val="22"/>
        </w:rPr>
        <w:t xml:space="preserve">Value excluding VAT: </w:t>
      </w:r>
      <w:r w:rsidR="00052658">
        <w:rPr>
          <w:sz w:val="22"/>
          <w:szCs w:val="22"/>
        </w:rPr>
        <w:t xml:space="preserve">950,000 </w:t>
      </w:r>
      <w:r w:rsidR="00052658">
        <w:rPr>
          <w:sz w:val="22"/>
          <w:szCs w:val="22"/>
        </w:rPr>
        <w:tab/>
      </w:r>
      <w:r w:rsidR="00052658">
        <w:rPr>
          <w:sz w:val="22"/>
          <w:szCs w:val="22"/>
        </w:rPr>
        <w:tab/>
      </w:r>
      <w:r>
        <w:rPr>
          <w:sz w:val="22"/>
          <w:szCs w:val="22"/>
        </w:rPr>
        <w:t>Currency: EUR</w:t>
      </w:r>
    </w:p>
    <w:p w14:paraId="0000001E" w14:textId="77777777" w:rsidR="00D426DE" w:rsidRDefault="00DD2CCD">
      <w:pPr>
        <w:rPr>
          <w:sz w:val="22"/>
          <w:szCs w:val="22"/>
        </w:rPr>
      </w:pPr>
      <w:r>
        <w:rPr>
          <w:b/>
          <w:sz w:val="22"/>
          <w:szCs w:val="22"/>
          <w:u w:val="single"/>
        </w:rPr>
        <w:br/>
      </w:r>
      <w:r>
        <w:rPr>
          <w:sz w:val="22"/>
          <w:szCs w:val="22"/>
        </w:rPr>
        <w:t>provided the new services or works are in conformity with the same basic project.</w:t>
      </w:r>
    </w:p>
    <w:p w14:paraId="0000001F" w14:textId="77777777" w:rsidR="00D426DE" w:rsidRDefault="00DD2CCD">
      <w:pPr>
        <w:rPr>
          <w:b/>
          <w:sz w:val="22"/>
          <w:szCs w:val="22"/>
          <w:u w:val="single"/>
        </w:rPr>
      </w:pPr>
      <w:r>
        <w:rPr>
          <w:b/>
          <w:sz w:val="22"/>
          <w:szCs w:val="22"/>
        </w:rPr>
        <w:br/>
      </w:r>
      <w:r>
        <w:rPr>
          <w:b/>
          <w:sz w:val="22"/>
          <w:szCs w:val="22"/>
          <w:u w:val="single"/>
        </w:rPr>
        <w:t xml:space="preserve">IV.2.2) Time limit for submission of tenders </w:t>
      </w:r>
    </w:p>
    <w:p w14:paraId="00000020" w14:textId="00A2188D" w:rsidR="00D426DE" w:rsidRDefault="00DD2CCD">
      <w:pPr>
        <w:rPr>
          <w:sz w:val="22"/>
          <w:szCs w:val="22"/>
        </w:rPr>
      </w:pPr>
      <w:r w:rsidRPr="006961F3">
        <w:rPr>
          <w:sz w:val="22"/>
          <w:szCs w:val="22"/>
        </w:rPr>
        <w:t xml:space="preserve">Date: </w:t>
      </w:r>
      <w:r w:rsidR="006961F3" w:rsidRPr="006961F3">
        <w:rPr>
          <w:sz w:val="22"/>
          <w:szCs w:val="22"/>
        </w:rPr>
        <w:t>09</w:t>
      </w:r>
      <w:r w:rsidRPr="006961F3">
        <w:rPr>
          <w:sz w:val="22"/>
          <w:szCs w:val="22"/>
        </w:rPr>
        <w:t>/</w:t>
      </w:r>
      <w:r w:rsidR="006961F3" w:rsidRPr="006961F3">
        <w:rPr>
          <w:sz w:val="22"/>
          <w:szCs w:val="22"/>
        </w:rPr>
        <w:t>12/</w:t>
      </w:r>
      <w:r w:rsidRPr="006961F3">
        <w:rPr>
          <w:sz w:val="22"/>
          <w:szCs w:val="22"/>
        </w:rPr>
        <w:t xml:space="preserve">2020 </w:t>
      </w:r>
      <w:r w:rsidRPr="006961F3">
        <w:rPr>
          <w:sz w:val="22"/>
          <w:szCs w:val="22"/>
        </w:rPr>
        <w:br/>
        <w:t>Local Time: 1</w:t>
      </w:r>
      <w:r w:rsidR="006961F3" w:rsidRPr="006961F3">
        <w:rPr>
          <w:sz w:val="22"/>
          <w:szCs w:val="22"/>
        </w:rPr>
        <w:t>4</w:t>
      </w:r>
      <w:r w:rsidRPr="006961F3">
        <w:rPr>
          <w:sz w:val="22"/>
          <w:szCs w:val="22"/>
        </w:rPr>
        <w:t>:00h</w:t>
      </w:r>
    </w:p>
    <w:p w14:paraId="00000021" w14:textId="77777777" w:rsidR="00D426DE" w:rsidRDefault="00DD2CCD">
      <w:pPr>
        <w:rPr>
          <w:b/>
          <w:sz w:val="22"/>
          <w:szCs w:val="22"/>
          <w:u w:val="single"/>
        </w:rPr>
      </w:pPr>
      <w:r>
        <w:rPr>
          <w:b/>
          <w:sz w:val="22"/>
          <w:szCs w:val="22"/>
        </w:rPr>
        <w:br/>
      </w:r>
      <w:r>
        <w:rPr>
          <w:b/>
          <w:sz w:val="22"/>
          <w:szCs w:val="22"/>
          <w:u w:val="single"/>
        </w:rPr>
        <w:t>IV.2.6) Minimum time frame during which the tenderer must maintain the tender</w:t>
      </w:r>
    </w:p>
    <w:p w14:paraId="00000022" w14:textId="70C17727" w:rsidR="00D426DE" w:rsidRDefault="00DD2CCD">
      <w:pPr>
        <w:rPr>
          <w:sz w:val="22"/>
          <w:szCs w:val="22"/>
        </w:rPr>
      </w:pPr>
      <w:r>
        <w:rPr>
          <w:sz w:val="22"/>
          <w:szCs w:val="22"/>
        </w:rPr>
        <w:t xml:space="preserve">Duration in months: </w:t>
      </w:r>
      <w:r w:rsidRPr="00052658">
        <w:rPr>
          <w:sz w:val="22"/>
          <w:szCs w:val="22"/>
        </w:rPr>
        <w:t xml:space="preserve">3 </w:t>
      </w:r>
      <w:r>
        <w:rPr>
          <w:sz w:val="22"/>
          <w:szCs w:val="22"/>
        </w:rPr>
        <w:t>(from the date stated for receipt of tender)</w:t>
      </w:r>
    </w:p>
    <w:p w14:paraId="00000023" w14:textId="77777777" w:rsidR="00D426DE" w:rsidRDefault="00DD2CCD">
      <w:pPr>
        <w:rPr>
          <w:b/>
          <w:sz w:val="22"/>
          <w:szCs w:val="22"/>
          <w:u w:val="single"/>
        </w:rPr>
      </w:pPr>
      <w:r>
        <w:rPr>
          <w:b/>
          <w:sz w:val="22"/>
          <w:szCs w:val="22"/>
          <w:u w:val="single"/>
        </w:rPr>
        <w:br/>
        <w:t xml:space="preserve">IV.2.7) Conditions for opening of tenders </w:t>
      </w:r>
    </w:p>
    <w:p w14:paraId="00000024" w14:textId="36115789" w:rsidR="00D426DE" w:rsidRDefault="00DD2CCD">
      <w:pPr>
        <w:rPr>
          <w:b/>
          <w:sz w:val="22"/>
          <w:szCs w:val="22"/>
          <w:u w:val="single"/>
        </w:rPr>
      </w:pPr>
      <w:r w:rsidRPr="006961F3">
        <w:rPr>
          <w:sz w:val="22"/>
          <w:szCs w:val="22"/>
        </w:rPr>
        <w:t>Date:</w:t>
      </w:r>
      <w:r w:rsidRPr="006961F3">
        <w:rPr>
          <w:sz w:val="22"/>
          <w:szCs w:val="22"/>
          <w:u w:val="single"/>
        </w:rPr>
        <w:t xml:space="preserve"> </w:t>
      </w:r>
      <w:r w:rsidR="006961F3" w:rsidRPr="006961F3">
        <w:rPr>
          <w:sz w:val="22"/>
          <w:szCs w:val="22"/>
          <w:u w:val="single"/>
        </w:rPr>
        <w:t>11/12</w:t>
      </w:r>
      <w:r w:rsidRPr="006961F3">
        <w:rPr>
          <w:sz w:val="22"/>
          <w:szCs w:val="22"/>
          <w:u w:val="single"/>
        </w:rPr>
        <w:t>/2020</w:t>
      </w:r>
      <w:r w:rsidRPr="006961F3">
        <w:rPr>
          <w:sz w:val="22"/>
          <w:szCs w:val="22"/>
          <w:u w:val="single"/>
        </w:rPr>
        <w:br/>
      </w:r>
      <w:r w:rsidRPr="006961F3">
        <w:rPr>
          <w:sz w:val="22"/>
          <w:szCs w:val="22"/>
        </w:rPr>
        <w:t>Local time</w:t>
      </w:r>
      <w:r w:rsidRPr="006961F3">
        <w:rPr>
          <w:sz w:val="22"/>
          <w:szCs w:val="22"/>
          <w:u w:val="single"/>
        </w:rPr>
        <w:t xml:space="preserve">: </w:t>
      </w:r>
      <w:r w:rsidR="006961F3" w:rsidRPr="006961F3">
        <w:rPr>
          <w:sz w:val="22"/>
          <w:szCs w:val="22"/>
          <w:u w:val="single"/>
        </w:rPr>
        <w:t>13</w:t>
      </w:r>
      <w:r w:rsidRPr="006961F3">
        <w:rPr>
          <w:sz w:val="22"/>
          <w:szCs w:val="22"/>
          <w:u w:val="single"/>
        </w:rPr>
        <w:t>.</w:t>
      </w:r>
      <w:r w:rsidR="006961F3" w:rsidRPr="006961F3">
        <w:rPr>
          <w:sz w:val="22"/>
          <w:szCs w:val="22"/>
          <w:u w:val="single"/>
        </w:rPr>
        <w:t>00h</w:t>
      </w:r>
      <w:r>
        <w:rPr>
          <w:b/>
          <w:sz w:val="22"/>
          <w:szCs w:val="22"/>
          <w:u w:val="single"/>
        </w:rPr>
        <w:br/>
      </w:r>
      <w:r>
        <w:rPr>
          <w:sz w:val="22"/>
          <w:szCs w:val="22"/>
        </w:rPr>
        <w:t>Place: Ministry of Interior - Directorate for Emergency</w:t>
      </w:r>
      <w:r w:rsidR="00052658">
        <w:rPr>
          <w:sz w:val="22"/>
          <w:szCs w:val="22"/>
        </w:rPr>
        <w:t xml:space="preserve"> Man</w:t>
      </w:r>
      <w:r w:rsidR="00052658" w:rsidRPr="00052658">
        <w:rPr>
          <w:sz w:val="22"/>
          <w:szCs w:val="22"/>
        </w:rPr>
        <w:t>agement</w:t>
      </w:r>
      <w:r w:rsidRPr="00052658">
        <w:rPr>
          <w:sz w:val="22"/>
          <w:szCs w:val="22"/>
        </w:rPr>
        <w:t xml:space="preserve">, Bul. Jovana </w:t>
      </w:r>
      <w:proofErr w:type="spellStart"/>
      <w:r w:rsidRPr="00052658">
        <w:rPr>
          <w:sz w:val="22"/>
          <w:szCs w:val="22"/>
        </w:rPr>
        <w:t>Tomaševića</w:t>
      </w:r>
      <w:proofErr w:type="spellEnd"/>
      <w:r w:rsidRPr="00052658">
        <w:rPr>
          <w:sz w:val="22"/>
          <w:szCs w:val="22"/>
        </w:rPr>
        <w:t xml:space="preserve"> bb, Podgorica, </w:t>
      </w:r>
      <w:r w:rsidR="00052658" w:rsidRPr="00052658">
        <w:rPr>
          <w:sz w:val="22"/>
          <w:szCs w:val="22"/>
        </w:rPr>
        <w:t>first floor, Conference room</w:t>
      </w:r>
      <w:r>
        <w:rPr>
          <w:sz w:val="22"/>
          <w:szCs w:val="22"/>
        </w:rPr>
        <w:br/>
        <w:t xml:space="preserve">Information about </w:t>
      </w:r>
      <w:r w:rsidR="00052658">
        <w:rPr>
          <w:sz w:val="22"/>
          <w:szCs w:val="22"/>
        </w:rPr>
        <w:t>authorized</w:t>
      </w:r>
      <w:r>
        <w:rPr>
          <w:sz w:val="22"/>
          <w:szCs w:val="22"/>
        </w:rPr>
        <w:t xml:space="preserve"> persons and opening procedure:</w:t>
      </w:r>
      <w:r>
        <w:t xml:space="preserve"> </w:t>
      </w:r>
      <w:r>
        <w:rPr>
          <w:sz w:val="22"/>
          <w:szCs w:val="22"/>
        </w:rPr>
        <w:t>See Internet address provided in Section I.3.</w:t>
      </w:r>
      <w:r>
        <w:rPr>
          <w:b/>
          <w:sz w:val="22"/>
          <w:szCs w:val="22"/>
          <w:u w:val="single"/>
        </w:rPr>
        <w:br/>
      </w:r>
    </w:p>
    <w:p w14:paraId="00000025" w14:textId="77777777" w:rsidR="00D426DE" w:rsidRDefault="00D426DE">
      <w:pPr>
        <w:rPr>
          <w:i/>
          <w:color w:val="000000"/>
          <w:sz w:val="22"/>
          <w:szCs w:val="22"/>
        </w:rPr>
      </w:pPr>
    </w:p>
    <w:sectPr w:rsidR="00D426DE">
      <w:headerReference w:type="even" r:id="rId10"/>
      <w:headerReference w:type="default" r:id="rId11"/>
      <w:footerReference w:type="even" r:id="rId12"/>
      <w:footerReference w:type="default" r:id="rId13"/>
      <w:headerReference w:type="first" r:id="rId14"/>
      <w:footerReference w:type="first" r:id="rId15"/>
      <w:pgSz w:w="12240" w:h="15840"/>
      <w:pgMar w:top="709" w:right="1440" w:bottom="1276" w:left="1418" w:header="851" w:footer="6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81D3A" w14:textId="77777777" w:rsidR="00AA2279" w:rsidRDefault="00AA2279">
      <w:pPr>
        <w:spacing w:before="0" w:after="0"/>
      </w:pPr>
      <w:r>
        <w:separator/>
      </w:r>
    </w:p>
  </w:endnote>
  <w:endnote w:type="continuationSeparator" w:id="0">
    <w:p w14:paraId="075CBA15" w14:textId="77777777" w:rsidR="00AA2279" w:rsidRDefault="00AA22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9" w14:textId="77777777" w:rsidR="00D426DE" w:rsidRDefault="00D426DE">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B" w14:textId="77777777" w:rsidR="00D426DE" w:rsidRDefault="00DD2CCD">
    <w:pPr>
      <w:pBdr>
        <w:top w:val="nil"/>
        <w:left w:val="nil"/>
        <w:bottom w:val="nil"/>
        <w:right w:val="nil"/>
        <w:between w:val="nil"/>
      </w:pBdr>
      <w:tabs>
        <w:tab w:val="center" w:pos="4320"/>
        <w:tab w:val="right" w:pos="8640"/>
        <w:tab w:val="right" w:pos="9214"/>
      </w:tabs>
      <w:spacing w:before="120" w:after="0"/>
      <w:rPr>
        <w:b/>
        <w:color w:val="000000"/>
        <w:sz w:val="18"/>
        <w:szCs w:val="18"/>
      </w:rPr>
    </w:pPr>
    <w:r>
      <w:rPr>
        <w:b/>
        <w:color w:val="000000"/>
        <w:sz w:val="18"/>
        <w:szCs w:val="18"/>
      </w:rPr>
      <w:t>August 2020</w:t>
    </w:r>
  </w:p>
  <w:p w14:paraId="0000002C" w14:textId="32120B83" w:rsidR="00D426DE" w:rsidRDefault="00DD2CCD">
    <w:pPr>
      <w:pBdr>
        <w:top w:val="nil"/>
        <w:left w:val="nil"/>
        <w:bottom w:val="nil"/>
        <w:right w:val="nil"/>
        <w:between w:val="nil"/>
      </w:pBdr>
      <w:tabs>
        <w:tab w:val="center" w:pos="4320"/>
        <w:tab w:val="right" w:pos="8640"/>
        <w:tab w:val="right" w:pos="9214"/>
      </w:tabs>
      <w:spacing w:before="0" w:after="0"/>
      <w:rPr>
        <w:b/>
        <w:color w:val="000000"/>
        <w:sz w:val="20"/>
        <w:szCs w:val="20"/>
      </w:rPr>
    </w:pPr>
    <w:r>
      <w:rPr>
        <w:color w:val="000000"/>
        <w:sz w:val="18"/>
        <w:szCs w:val="18"/>
      </w:rPr>
      <w:t>a5e_contractnotice_enotices_en.doc</w:t>
    </w:r>
    <w:r>
      <w:rPr>
        <w:color w:val="000000"/>
        <w:sz w:val="18"/>
        <w:szCs w:val="18"/>
      </w:rPr>
      <w:tab/>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052658">
      <w:rPr>
        <w:noProof/>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052658">
      <w:rPr>
        <w:noProof/>
        <w:color w:val="000000"/>
        <w:sz w:val="18"/>
        <w:szCs w:val="18"/>
      </w:rPr>
      <w:t>2</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A" w14:textId="77777777" w:rsidR="00D426DE" w:rsidRDefault="00D426D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C4C1C" w14:textId="77777777" w:rsidR="00AA2279" w:rsidRDefault="00AA2279">
      <w:pPr>
        <w:spacing w:before="0" w:after="0"/>
      </w:pPr>
      <w:r>
        <w:separator/>
      </w:r>
    </w:p>
  </w:footnote>
  <w:footnote w:type="continuationSeparator" w:id="0">
    <w:p w14:paraId="73180A60" w14:textId="77777777" w:rsidR="00AA2279" w:rsidRDefault="00AA22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7" w14:textId="77777777" w:rsidR="00D426DE" w:rsidRDefault="00D426D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6" w14:textId="77777777" w:rsidR="00D426DE" w:rsidRDefault="00D426DE">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8" w14:textId="77777777" w:rsidR="00D426DE" w:rsidRDefault="00D426DE">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E16BC"/>
    <w:multiLevelType w:val="multilevel"/>
    <w:tmpl w:val="AAA88C9E"/>
    <w:lvl w:ilvl="0">
      <w:start w:val="1"/>
      <w:numFmt w:val="decimal"/>
      <w:pStyle w:val="PRAG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6DE"/>
    <w:rsid w:val="00052658"/>
    <w:rsid w:val="00093C0F"/>
    <w:rsid w:val="006961F3"/>
    <w:rsid w:val="009B3CAF"/>
    <w:rsid w:val="00A6695C"/>
    <w:rsid w:val="00AA2279"/>
    <w:rsid w:val="00B07ADA"/>
    <w:rsid w:val="00D426DE"/>
    <w:rsid w:val="00DD2CCD"/>
    <w:rsid w:val="00EB7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86A85"/>
  <w15:docId w15:val="{152BF42F-C351-4DF7-B349-3D15EE1C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pPr>
        <w:widowControl w:val="0"/>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napToGrid w:val="0"/>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D6292"/>
    <w:pPr>
      <w:keepNext/>
      <w:widowControl/>
      <w:spacing w:before="120" w:after="120"/>
      <w:outlineLvl w:val="1"/>
    </w:pPr>
    <w:rPr>
      <w:rFonts w:ascii="Arial" w:hAnsi="Arial"/>
      <w:sz w:val="20"/>
      <w:lang w:val="fr-B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val="0"/>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1"/>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val="0"/>
      <w:lang w:val="en-US" w:eastAsia="en-US"/>
    </w:rPr>
  </w:style>
  <w:style w:type="paragraph" w:styleId="Subtitle">
    <w:name w:val="Subtitle"/>
    <w:basedOn w:val="Normal"/>
    <w:next w:val="Normal"/>
    <w:link w:val="SubtitleChar"/>
    <w:uiPriority w:val="11"/>
    <w:qFormat/>
    <w:pPr>
      <w:widowControl/>
      <w:spacing w:before="120" w:after="120"/>
      <w:jc w:val="center"/>
    </w:pPr>
    <w:rPr>
      <w:rFonts w:ascii="Arial" w:eastAsia="Arial" w:hAnsi="Arial" w:cs="Arial"/>
      <w:b/>
      <w:sz w:val="28"/>
      <w:szCs w:val="28"/>
    </w:rPr>
  </w:style>
  <w:style w:type="character" w:customStyle="1" w:styleId="SubtitleChar">
    <w:name w:val="Subtitle Char"/>
    <w:basedOn w:val="DefaultParagraphFont"/>
    <w:link w:val="Subtitle"/>
    <w:rsid w:val="00EF74CF"/>
    <w:rPr>
      <w:rFonts w:ascii="Arial" w:hAnsi="Arial"/>
      <w:b/>
      <w:snapToGrid w:val="0"/>
      <w:sz w:val="28"/>
      <w:lang w:eastAsia="en-US"/>
    </w:rPr>
  </w:style>
  <w:style w:type="character" w:styleId="UnresolvedMention">
    <w:name w:val="Unresolved Mention"/>
    <w:basedOn w:val="DefaultParagraphFont"/>
    <w:uiPriority w:val="99"/>
    <w:semiHidden/>
    <w:unhideWhenUsed/>
    <w:rsid w:val="00052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mirscepanovic@mup.gov.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up.gov.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u6cXxqG7WrAMWTGCSNzXZFYwxQ==">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ramatje</dc:creator>
  <cp:lastModifiedBy>Lenovo</cp:lastModifiedBy>
  <cp:revision>6</cp:revision>
  <dcterms:created xsi:type="dcterms:W3CDTF">2020-07-13T18:49:00Z</dcterms:created>
  <dcterms:modified xsi:type="dcterms:W3CDTF">2020-10-08T12:00:00Z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