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38" w:rsidRPr="00F17488" w:rsidRDefault="000B3B0C" w:rsidP="000B3B0C">
      <w:pPr>
        <w:rPr>
          <w:b/>
          <w:sz w:val="28"/>
          <w:szCs w:val="28"/>
        </w:rPr>
      </w:pPr>
      <w:r w:rsidRPr="00F17488">
        <w:rPr>
          <w:b/>
          <w:sz w:val="28"/>
          <w:szCs w:val="28"/>
        </w:rPr>
        <w:t>UVOD</w:t>
      </w:r>
    </w:p>
    <w:p w:rsidR="00854CCD" w:rsidRPr="0057002F" w:rsidRDefault="00854CCD" w:rsidP="000B3B0C">
      <w:pPr>
        <w:rPr>
          <w:sz w:val="28"/>
          <w:szCs w:val="28"/>
        </w:rPr>
      </w:pPr>
    </w:p>
    <w:p w:rsidR="00EA53E1" w:rsidRPr="0057002F" w:rsidRDefault="009E39E1" w:rsidP="002C19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ab/>
      </w:r>
      <w:r w:rsidR="0057292C" w:rsidRPr="0057002F">
        <w:rPr>
          <w:sz w:val="28"/>
          <w:szCs w:val="28"/>
        </w:rPr>
        <w:t xml:space="preserve">Saglasno članu </w:t>
      </w:r>
      <w:r w:rsidR="00EA53E1" w:rsidRPr="0057002F">
        <w:rPr>
          <w:sz w:val="28"/>
          <w:szCs w:val="28"/>
        </w:rPr>
        <w:t xml:space="preserve">52a Uredbe o organizaciji i načinu rada državne uprave („Službeni list CG“, br. </w:t>
      </w:r>
      <w:hyperlink r:id="rId8" w:anchor="zk5/12" w:history="1">
        <w:r w:rsidR="00EA53E1" w:rsidRPr="0057002F">
          <w:rPr>
            <w:sz w:val="28"/>
            <w:szCs w:val="28"/>
          </w:rPr>
          <w:t>5/12</w:t>
        </w:r>
      </w:hyperlink>
      <w:r w:rsidR="00EA53E1" w:rsidRPr="0057002F">
        <w:rPr>
          <w:sz w:val="28"/>
          <w:szCs w:val="28"/>
        </w:rPr>
        <w:t xml:space="preserve">, </w:t>
      </w:r>
      <w:hyperlink r:id="rId9" w:anchor="zk25/12" w:history="1">
        <w:r w:rsidR="00EA53E1" w:rsidRPr="0057002F">
          <w:rPr>
            <w:sz w:val="28"/>
            <w:szCs w:val="28"/>
          </w:rPr>
          <w:t>25/12</w:t>
        </w:r>
      </w:hyperlink>
      <w:r w:rsidR="00EA53E1" w:rsidRPr="0057002F">
        <w:rPr>
          <w:sz w:val="28"/>
          <w:szCs w:val="28"/>
        </w:rPr>
        <w:t xml:space="preserve">, </w:t>
      </w:r>
      <w:hyperlink r:id="rId10" w:anchor="zk61/12" w:history="1">
        <w:r w:rsidR="00EA53E1" w:rsidRPr="0057002F">
          <w:rPr>
            <w:sz w:val="28"/>
            <w:szCs w:val="28"/>
          </w:rPr>
          <w:t>61/12</w:t>
        </w:r>
      </w:hyperlink>
      <w:r w:rsidR="00EA53E1" w:rsidRPr="0057002F">
        <w:rPr>
          <w:sz w:val="28"/>
          <w:szCs w:val="28"/>
        </w:rPr>
        <w:t xml:space="preserve">, </w:t>
      </w:r>
      <w:hyperlink r:id="rId11" w:anchor="zk20/13" w:history="1">
        <w:r w:rsidR="00EA53E1" w:rsidRPr="0057002F">
          <w:rPr>
            <w:sz w:val="28"/>
            <w:szCs w:val="28"/>
          </w:rPr>
          <w:t>20/13</w:t>
        </w:r>
      </w:hyperlink>
      <w:r w:rsidR="00EA53E1" w:rsidRPr="0057002F">
        <w:rPr>
          <w:sz w:val="28"/>
          <w:szCs w:val="28"/>
        </w:rPr>
        <w:t xml:space="preserve"> i </w:t>
      </w:r>
      <w:hyperlink r:id="rId12" w:anchor="zk17/14" w:history="1">
        <w:r w:rsidR="00EA53E1" w:rsidRPr="0057002F">
          <w:rPr>
            <w:sz w:val="28"/>
            <w:szCs w:val="28"/>
          </w:rPr>
          <w:t>17/14</w:t>
        </w:r>
      </w:hyperlink>
      <w:r w:rsidR="0057292C" w:rsidRPr="0057002F">
        <w:rPr>
          <w:sz w:val="28"/>
          <w:szCs w:val="28"/>
        </w:rPr>
        <w:t>) pripremljen je</w:t>
      </w:r>
      <w:r w:rsidR="00F72DCA">
        <w:rPr>
          <w:sz w:val="28"/>
          <w:szCs w:val="28"/>
        </w:rPr>
        <w:t xml:space="preserve"> </w:t>
      </w:r>
      <w:r w:rsidR="004311A3" w:rsidRPr="0057002F">
        <w:rPr>
          <w:sz w:val="28"/>
          <w:szCs w:val="28"/>
        </w:rPr>
        <w:t>I</w:t>
      </w:r>
      <w:r w:rsidR="00EA53E1" w:rsidRPr="0057002F">
        <w:rPr>
          <w:sz w:val="28"/>
          <w:szCs w:val="28"/>
        </w:rPr>
        <w:t>zvještaj o radu</w:t>
      </w:r>
      <w:r w:rsidR="0057292C" w:rsidRPr="0057002F">
        <w:rPr>
          <w:sz w:val="28"/>
          <w:szCs w:val="28"/>
        </w:rPr>
        <w:t xml:space="preserve"> Sekretarijata za zakonodavstvo u</w:t>
      </w:r>
      <w:r w:rsidR="00EA53E1" w:rsidRPr="0057002F">
        <w:rPr>
          <w:sz w:val="28"/>
          <w:szCs w:val="28"/>
        </w:rPr>
        <w:t xml:space="preserve"> 2014. godin</w:t>
      </w:r>
      <w:r w:rsidR="007A647E">
        <w:rPr>
          <w:sz w:val="28"/>
          <w:szCs w:val="28"/>
        </w:rPr>
        <w:t>i</w:t>
      </w:r>
      <w:r w:rsidR="00EA53E1" w:rsidRPr="0057002F">
        <w:rPr>
          <w:sz w:val="28"/>
          <w:szCs w:val="28"/>
        </w:rPr>
        <w:t xml:space="preserve">. </w:t>
      </w:r>
    </w:p>
    <w:p w:rsidR="00877238" w:rsidRPr="0057002F" w:rsidRDefault="002C19DD" w:rsidP="002775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Izvještaj </w:t>
      </w:r>
      <w:r w:rsidR="0057292C" w:rsidRPr="0057002F">
        <w:rPr>
          <w:sz w:val="28"/>
          <w:szCs w:val="28"/>
        </w:rPr>
        <w:t>sadrži najznačajnije</w:t>
      </w:r>
      <w:r w:rsidRPr="0057002F">
        <w:rPr>
          <w:sz w:val="28"/>
          <w:szCs w:val="28"/>
        </w:rPr>
        <w:t xml:space="preserve"> aktivnosti</w:t>
      </w:r>
      <w:r w:rsidR="00B128F4" w:rsidRPr="0057002F">
        <w:rPr>
          <w:sz w:val="28"/>
          <w:szCs w:val="28"/>
        </w:rPr>
        <w:t xml:space="preserve"> Sekretarijata </w:t>
      </w:r>
      <w:r w:rsidRPr="0057002F">
        <w:rPr>
          <w:sz w:val="28"/>
          <w:szCs w:val="28"/>
        </w:rPr>
        <w:t>tokom protekle godine</w:t>
      </w:r>
      <w:r w:rsidR="00877238" w:rsidRPr="0057002F">
        <w:rPr>
          <w:sz w:val="28"/>
          <w:szCs w:val="28"/>
        </w:rPr>
        <w:t xml:space="preserve">, </w:t>
      </w:r>
      <w:r w:rsidR="0057292C" w:rsidRPr="0057002F">
        <w:rPr>
          <w:sz w:val="28"/>
          <w:szCs w:val="28"/>
        </w:rPr>
        <w:t xml:space="preserve">uz </w:t>
      </w:r>
      <w:r w:rsidR="00B0222B" w:rsidRPr="0057002F">
        <w:rPr>
          <w:sz w:val="28"/>
          <w:szCs w:val="28"/>
        </w:rPr>
        <w:t>kratak osvrt na</w:t>
      </w:r>
      <w:r w:rsidR="00F72DCA">
        <w:rPr>
          <w:sz w:val="28"/>
          <w:szCs w:val="28"/>
        </w:rPr>
        <w:t xml:space="preserve"> </w:t>
      </w:r>
      <w:r w:rsidR="00B0222B" w:rsidRPr="0057002F">
        <w:rPr>
          <w:sz w:val="28"/>
          <w:szCs w:val="28"/>
        </w:rPr>
        <w:t>njegovu organizaci</w:t>
      </w:r>
      <w:r w:rsidR="0057292C" w:rsidRPr="0057002F">
        <w:rPr>
          <w:sz w:val="28"/>
          <w:szCs w:val="28"/>
        </w:rPr>
        <w:t xml:space="preserve">ju i kadrovske resurse. </w:t>
      </w:r>
    </w:p>
    <w:p w:rsidR="001706AF" w:rsidRPr="0057002F" w:rsidRDefault="001F1E6B" w:rsidP="002C19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002F">
        <w:rPr>
          <w:i/>
          <w:sz w:val="28"/>
          <w:szCs w:val="28"/>
        </w:rPr>
        <w:tab/>
      </w:r>
      <w:r w:rsidR="0057292C" w:rsidRPr="0057002F">
        <w:rPr>
          <w:sz w:val="28"/>
          <w:szCs w:val="28"/>
        </w:rPr>
        <w:t>Najznačajnije</w:t>
      </w:r>
      <w:r w:rsidR="00FF0AC4" w:rsidRPr="0057002F">
        <w:rPr>
          <w:sz w:val="28"/>
          <w:szCs w:val="28"/>
        </w:rPr>
        <w:t xml:space="preserve"> aktivnosti </w:t>
      </w:r>
      <w:r w:rsidR="0057292C" w:rsidRPr="0057002F">
        <w:rPr>
          <w:sz w:val="28"/>
          <w:szCs w:val="28"/>
        </w:rPr>
        <w:t xml:space="preserve">u 2014. godini, </w:t>
      </w:r>
      <w:r w:rsidR="00877238" w:rsidRPr="0057002F">
        <w:rPr>
          <w:sz w:val="28"/>
          <w:szCs w:val="28"/>
        </w:rPr>
        <w:t xml:space="preserve">Sekretarijat </w:t>
      </w:r>
      <w:r w:rsidR="00B128F4" w:rsidRPr="0057002F">
        <w:rPr>
          <w:sz w:val="28"/>
          <w:szCs w:val="28"/>
        </w:rPr>
        <w:t xml:space="preserve">za zakonodavstvo </w:t>
      </w:r>
      <w:r w:rsidR="00877238" w:rsidRPr="0057002F">
        <w:rPr>
          <w:sz w:val="28"/>
          <w:szCs w:val="28"/>
        </w:rPr>
        <w:t>kao samostaln</w:t>
      </w:r>
      <w:r w:rsidR="0057292C" w:rsidRPr="0057002F">
        <w:rPr>
          <w:sz w:val="28"/>
          <w:szCs w:val="28"/>
        </w:rPr>
        <w:t xml:space="preserve">i </w:t>
      </w:r>
      <w:r w:rsidR="00877238" w:rsidRPr="0057002F">
        <w:rPr>
          <w:sz w:val="28"/>
          <w:szCs w:val="28"/>
        </w:rPr>
        <w:t xml:space="preserve">organ uprave, </w:t>
      </w:r>
      <w:r w:rsidR="0057292C" w:rsidRPr="0057002F">
        <w:rPr>
          <w:sz w:val="28"/>
          <w:szCs w:val="28"/>
        </w:rPr>
        <w:t>preduzimao je i sprovodio u p</w:t>
      </w:r>
      <w:r w:rsidR="00FF0AC4" w:rsidRPr="0057002F">
        <w:rPr>
          <w:sz w:val="28"/>
          <w:szCs w:val="28"/>
        </w:rPr>
        <w:t>ravcu</w:t>
      </w:r>
      <w:r w:rsidR="00EF5089" w:rsidRPr="0057002F">
        <w:rPr>
          <w:sz w:val="28"/>
          <w:szCs w:val="28"/>
        </w:rPr>
        <w:t xml:space="preserve"> ispunjavanj</w:t>
      </w:r>
      <w:r w:rsidR="00FF0AC4" w:rsidRPr="0057002F">
        <w:rPr>
          <w:sz w:val="28"/>
          <w:szCs w:val="28"/>
        </w:rPr>
        <w:t>a</w:t>
      </w:r>
      <w:r w:rsidR="00EF5089" w:rsidRPr="0057002F">
        <w:rPr>
          <w:sz w:val="28"/>
          <w:szCs w:val="28"/>
        </w:rPr>
        <w:t xml:space="preserve"> ciljeva Vlade u zakonodavnom procesu, </w:t>
      </w:r>
      <w:r w:rsidR="00877238" w:rsidRPr="0057002F">
        <w:rPr>
          <w:sz w:val="28"/>
          <w:szCs w:val="28"/>
        </w:rPr>
        <w:t>definisa</w:t>
      </w:r>
      <w:r w:rsidR="00EF5089" w:rsidRPr="0057002F">
        <w:rPr>
          <w:sz w:val="28"/>
          <w:szCs w:val="28"/>
        </w:rPr>
        <w:t>nih Programom rada Vlade</w:t>
      </w:r>
      <w:r w:rsidR="0050783D" w:rsidRPr="0057002F">
        <w:rPr>
          <w:sz w:val="28"/>
          <w:szCs w:val="28"/>
        </w:rPr>
        <w:t xml:space="preserve"> Crne Gore</w:t>
      </w:r>
      <w:r w:rsidR="00EF5089" w:rsidRPr="0057002F">
        <w:rPr>
          <w:sz w:val="28"/>
          <w:szCs w:val="28"/>
        </w:rPr>
        <w:t xml:space="preserve"> za 201</w:t>
      </w:r>
      <w:r w:rsidR="005B112F" w:rsidRPr="0057002F">
        <w:rPr>
          <w:sz w:val="28"/>
          <w:szCs w:val="28"/>
        </w:rPr>
        <w:t>4</w:t>
      </w:r>
      <w:r w:rsidR="00EF5089" w:rsidRPr="0057002F">
        <w:rPr>
          <w:sz w:val="28"/>
          <w:szCs w:val="28"/>
        </w:rPr>
        <w:t xml:space="preserve">. </w:t>
      </w:r>
      <w:r w:rsidR="001706AF" w:rsidRPr="0057002F">
        <w:rPr>
          <w:sz w:val="28"/>
          <w:szCs w:val="28"/>
        </w:rPr>
        <w:t>g</w:t>
      </w:r>
      <w:r w:rsidR="00EF5089" w:rsidRPr="0057002F">
        <w:rPr>
          <w:sz w:val="28"/>
          <w:szCs w:val="28"/>
        </w:rPr>
        <w:t>odinu</w:t>
      </w:r>
      <w:r w:rsidR="001706AF" w:rsidRPr="0057002F">
        <w:rPr>
          <w:sz w:val="28"/>
          <w:szCs w:val="28"/>
        </w:rPr>
        <w:t xml:space="preserve">, </w:t>
      </w:r>
      <w:r w:rsidR="00B128F4" w:rsidRPr="0057002F">
        <w:rPr>
          <w:sz w:val="28"/>
          <w:szCs w:val="28"/>
        </w:rPr>
        <w:t>kao i planovim</w:t>
      </w:r>
      <w:r w:rsidR="001706AF" w:rsidRPr="0057002F">
        <w:rPr>
          <w:sz w:val="28"/>
          <w:szCs w:val="28"/>
        </w:rPr>
        <w:t xml:space="preserve">a </w:t>
      </w:r>
      <w:r w:rsidR="00B128F4" w:rsidRPr="0057002F">
        <w:rPr>
          <w:sz w:val="28"/>
          <w:szCs w:val="28"/>
        </w:rPr>
        <w:t xml:space="preserve">i programima rada ministarstava. </w:t>
      </w:r>
      <w:r w:rsidR="005B28B8" w:rsidRPr="0057002F">
        <w:rPr>
          <w:sz w:val="28"/>
          <w:szCs w:val="28"/>
        </w:rPr>
        <w:t xml:space="preserve">Pojačane aktivnosti Sekretarijata </w:t>
      </w:r>
      <w:r w:rsidR="000D24A1" w:rsidRPr="0057002F">
        <w:rPr>
          <w:sz w:val="28"/>
          <w:szCs w:val="28"/>
        </w:rPr>
        <w:t xml:space="preserve">proistekle su iz </w:t>
      </w:r>
      <w:r w:rsidR="00B128F4" w:rsidRPr="0057002F">
        <w:rPr>
          <w:sz w:val="28"/>
          <w:szCs w:val="28"/>
        </w:rPr>
        <w:t xml:space="preserve">utvrđenih prioriteta u izvršavanju obaveza normativne prirode definisanih u pregovaračkim poglavljima u procesu pristupanja Evropskoj uniji, </w:t>
      </w:r>
      <w:r w:rsidR="005B28B8" w:rsidRPr="0057002F">
        <w:rPr>
          <w:sz w:val="28"/>
          <w:szCs w:val="28"/>
        </w:rPr>
        <w:t xml:space="preserve">naročito </w:t>
      </w:r>
      <w:r w:rsidR="000D24A1" w:rsidRPr="0057002F">
        <w:rPr>
          <w:sz w:val="28"/>
          <w:szCs w:val="28"/>
        </w:rPr>
        <w:t xml:space="preserve">otvaranjem </w:t>
      </w:r>
      <w:r w:rsidR="00A40E3D" w:rsidRPr="0057002F">
        <w:rPr>
          <w:sz w:val="28"/>
          <w:szCs w:val="28"/>
        </w:rPr>
        <w:t>poglavlj</w:t>
      </w:r>
      <w:r w:rsidR="000D24A1" w:rsidRPr="0057002F">
        <w:rPr>
          <w:sz w:val="28"/>
          <w:szCs w:val="28"/>
        </w:rPr>
        <w:t>a</w:t>
      </w:r>
      <w:r w:rsidR="00A40E3D" w:rsidRPr="0057002F">
        <w:rPr>
          <w:sz w:val="28"/>
          <w:szCs w:val="28"/>
        </w:rPr>
        <w:t xml:space="preserve"> 23 i 24</w:t>
      </w:r>
      <w:r w:rsidR="0057292C" w:rsidRPr="0057002F">
        <w:rPr>
          <w:sz w:val="28"/>
          <w:szCs w:val="28"/>
        </w:rPr>
        <w:t>.</w:t>
      </w:r>
    </w:p>
    <w:p w:rsidR="00FC5583" w:rsidRDefault="0057292C" w:rsidP="00B128F4">
      <w:pPr>
        <w:ind w:firstLine="720"/>
        <w:jc w:val="both"/>
        <w:rPr>
          <w:b/>
          <w:sz w:val="28"/>
          <w:szCs w:val="28"/>
        </w:rPr>
      </w:pPr>
      <w:r w:rsidRPr="00C33CD0">
        <w:rPr>
          <w:sz w:val="28"/>
          <w:szCs w:val="28"/>
        </w:rPr>
        <w:t xml:space="preserve">Na takav intenzivan rad ukazuju podaci da je </w:t>
      </w:r>
      <w:r w:rsidRPr="006B493E">
        <w:rPr>
          <w:b/>
          <w:sz w:val="28"/>
          <w:szCs w:val="28"/>
        </w:rPr>
        <w:t xml:space="preserve">u </w:t>
      </w:r>
      <w:r w:rsidR="00B153CB" w:rsidRPr="006B493E">
        <w:rPr>
          <w:b/>
          <w:sz w:val="28"/>
          <w:szCs w:val="28"/>
        </w:rPr>
        <w:t>2014. godini</w:t>
      </w:r>
      <w:r w:rsidR="00B153CB" w:rsidRPr="00513B34">
        <w:rPr>
          <w:b/>
          <w:sz w:val="28"/>
          <w:szCs w:val="28"/>
        </w:rPr>
        <w:t xml:space="preserve"> </w:t>
      </w:r>
      <w:r w:rsidR="00297CB9" w:rsidRPr="00513B34">
        <w:rPr>
          <w:b/>
          <w:sz w:val="28"/>
          <w:szCs w:val="28"/>
        </w:rPr>
        <w:t xml:space="preserve">u </w:t>
      </w:r>
      <w:r w:rsidR="001F1E6B" w:rsidRPr="00513B34">
        <w:rPr>
          <w:b/>
          <w:sz w:val="28"/>
          <w:szCs w:val="28"/>
        </w:rPr>
        <w:t>Sekretarijat</w:t>
      </w:r>
      <w:r w:rsidR="00297CB9" w:rsidRPr="00513B34">
        <w:rPr>
          <w:b/>
          <w:sz w:val="28"/>
          <w:szCs w:val="28"/>
        </w:rPr>
        <w:t>u</w:t>
      </w:r>
      <w:r w:rsidR="001F5231" w:rsidRPr="00513B34">
        <w:rPr>
          <w:b/>
          <w:sz w:val="28"/>
          <w:szCs w:val="28"/>
        </w:rPr>
        <w:t xml:space="preserve"> </w:t>
      </w:r>
      <w:r w:rsidR="001F1E6B" w:rsidRPr="00513B34">
        <w:rPr>
          <w:b/>
          <w:sz w:val="28"/>
          <w:szCs w:val="28"/>
        </w:rPr>
        <w:t>u radu</w:t>
      </w:r>
      <w:r w:rsidR="00297CB9" w:rsidRPr="00513B34">
        <w:rPr>
          <w:b/>
          <w:sz w:val="28"/>
          <w:szCs w:val="28"/>
        </w:rPr>
        <w:t xml:space="preserve"> bilo</w:t>
      </w:r>
      <w:r w:rsidR="001F5231">
        <w:rPr>
          <w:sz w:val="28"/>
          <w:szCs w:val="28"/>
        </w:rPr>
        <w:t xml:space="preserve"> </w:t>
      </w:r>
      <w:r w:rsidR="00513B34">
        <w:rPr>
          <w:b/>
          <w:sz w:val="28"/>
          <w:szCs w:val="28"/>
        </w:rPr>
        <w:t>767</w:t>
      </w:r>
      <w:r w:rsidR="001F5231">
        <w:rPr>
          <w:b/>
          <w:sz w:val="28"/>
          <w:szCs w:val="28"/>
        </w:rPr>
        <w:t xml:space="preserve"> </w:t>
      </w:r>
      <w:r w:rsidR="006B493E" w:rsidRPr="006B493E">
        <w:rPr>
          <w:b/>
          <w:sz w:val="28"/>
          <w:szCs w:val="28"/>
        </w:rPr>
        <w:t>propisa</w:t>
      </w:r>
      <w:r w:rsidR="001F1E6B" w:rsidRPr="006B493E">
        <w:rPr>
          <w:b/>
          <w:sz w:val="28"/>
          <w:szCs w:val="28"/>
        </w:rPr>
        <w:t xml:space="preserve">, </w:t>
      </w:r>
      <w:r w:rsidR="001F1E6B" w:rsidRPr="006B493E">
        <w:rPr>
          <w:sz w:val="28"/>
          <w:szCs w:val="28"/>
        </w:rPr>
        <w:t>od čega</w:t>
      </w:r>
      <w:r w:rsidR="001F5231">
        <w:rPr>
          <w:sz w:val="28"/>
          <w:szCs w:val="28"/>
        </w:rPr>
        <w:t xml:space="preserve"> </w:t>
      </w:r>
      <w:r w:rsidR="000D7A95" w:rsidRPr="006B493E">
        <w:rPr>
          <w:b/>
          <w:sz w:val="28"/>
          <w:szCs w:val="28"/>
        </w:rPr>
        <w:t>13</w:t>
      </w:r>
      <w:r w:rsidR="00FC5583">
        <w:rPr>
          <w:b/>
          <w:sz w:val="28"/>
          <w:szCs w:val="28"/>
        </w:rPr>
        <w:t>8</w:t>
      </w:r>
      <w:r w:rsidR="001F5231">
        <w:rPr>
          <w:b/>
          <w:sz w:val="28"/>
          <w:szCs w:val="28"/>
        </w:rPr>
        <w:t xml:space="preserve"> </w:t>
      </w:r>
      <w:r w:rsidR="001F1E6B" w:rsidRPr="006B493E">
        <w:rPr>
          <w:b/>
          <w:sz w:val="28"/>
          <w:szCs w:val="28"/>
        </w:rPr>
        <w:t>zakon</w:t>
      </w:r>
      <w:r w:rsidR="008A6487" w:rsidRPr="006B493E">
        <w:rPr>
          <w:b/>
          <w:sz w:val="28"/>
          <w:szCs w:val="28"/>
        </w:rPr>
        <w:t>a</w:t>
      </w:r>
      <w:r w:rsidR="006A6611" w:rsidRPr="006B493E">
        <w:rPr>
          <w:b/>
          <w:sz w:val="28"/>
          <w:szCs w:val="28"/>
        </w:rPr>
        <w:t xml:space="preserve">, a </w:t>
      </w:r>
      <w:r w:rsidR="00513B34">
        <w:rPr>
          <w:b/>
          <w:sz w:val="28"/>
          <w:szCs w:val="28"/>
        </w:rPr>
        <w:t>629</w:t>
      </w:r>
      <w:r w:rsidR="001F5231">
        <w:rPr>
          <w:b/>
          <w:sz w:val="28"/>
          <w:szCs w:val="28"/>
        </w:rPr>
        <w:t xml:space="preserve"> </w:t>
      </w:r>
      <w:r w:rsidR="006A6611" w:rsidRPr="006B493E">
        <w:rPr>
          <w:b/>
          <w:sz w:val="28"/>
          <w:szCs w:val="28"/>
        </w:rPr>
        <w:t>podzakonskih i drugih akata.</w:t>
      </w:r>
      <w:r w:rsidR="001F5231">
        <w:rPr>
          <w:b/>
          <w:sz w:val="28"/>
          <w:szCs w:val="28"/>
        </w:rPr>
        <w:t xml:space="preserve"> </w:t>
      </w:r>
    </w:p>
    <w:p w:rsidR="002C19DD" w:rsidRPr="00C33CD0" w:rsidRDefault="000F1C17" w:rsidP="00B128F4">
      <w:pPr>
        <w:ind w:firstLine="720"/>
        <w:jc w:val="both"/>
        <w:rPr>
          <w:sz w:val="28"/>
          <w:szCs w:val="28"/>
        </w:rPr>
      </w:pPr>
      <w:r w:rsidRPr="00C33CD0">
        <w:rPr>
          <w:sz w:val="28"/>
          <w:szCs w:val="28"/>
        </w:rPr>
        <w:t>Postupajući po tim predmetima,</w:t>
      </w:r>
      <w:r w:rsidR="001F1E6B" w:rsidRPr="00C33CD0">
        <w:rPr>
          <w:sz w:val="28"/>
          <w:szCs w:val="28"/>
        </w:rPr>
        <w:t xml:space="preserve"> da</w:t>
      </w:r>
      <w:r w:rsidRPr="00C33CD0">
        <w:rPr>
          <w:sz w:val="28"/>
          <w:szCs w:val="28"/>
        </w:rPr>
        <w:t>t</w:t>
      </w:r>
      <w:r w:rsidR="001F1E6B" w:rsidRPr="00C33CD0">
        <w:rPr>
          <w:sz w:val="28"/>
          <w:szCs w:val="28"/>
        </w:rPr>
        <w:t>o</w:t>
      </w:r>
      <w:r w:rsidRPr="00C33CD0">
        <w:rPr>
          <w:sz w:val="28"/>
          <w:szCs w:val="28"/>
        </w:rPr>
        <w:t xml:space="preserve"> je</w:t>
      </w:r>
      <w:r w:rsidR="004775A0">
        <w:rPr>
          <w:sz w:val="28"/>
          <w:szCs w:val="28"/>
        </w:rPr>
        <w:t xml:space="preserve"> </w:t>
      </w:r>
      <w:r w:rsidR="004775A0" w:rsidRPr="00513B34">
        <w:rPr>
          <w:b/>
          <w:sz w:val="28"/>
          <w:szCs w:val="28"/>
        </w:rPr>
        <w:t>86</w:t>
      </w:r>
      <w:r w:rsidR="00A3485A" w:rsidRPr="00513B34">
        <w:rPr>
          <w:b/>
          <w:sz w:val="28"/>
          <w:szCs w:val="28"/>
        </w:rPr>
        <w:t xml:space="preserve">6 </w:t>
      </w:r>
      <w:r w:rsidR="001F1E6B" w:rsidRPr="00C33CD0">
        <w:rPr>
          <w:sz w:val="28"/>
          <w:szCs w:val="28"/>
        </w:rPr>
        <w:t xml:space="preserve">mišljenja sa primjedbama i sugestijama u neposrednoj saradnji ili pisanim putem i </w:t>
      </w:r>
      <w:r w:rsidR="00E31488" w:rsidRPr="00513B34">
        <w:rPr>
          <w:b/>
          <w:sz w:val="28"/>
          <w:szCs w:val="28"/>
        </w:rPr>
        <w:t>60</w:t>
      </w:r>
      <w:r w:rsidR="009705BB">
        <w:rPr>
          <w:b/>
          <w:sz w:val="28"/>
          <w:szCs w:val="28"/>
        </w:rPr>
        <w:t>8</w:t>
      </w:r>
      <w:r w:rsidR="001F1E6B" w:rsidRPr="00C33CD0">
        <w:rPr>
          <w:sz w:val="28"/>
          <w:szCs w:val="28"/>
        </w:rPr>
        <w:t xml:space="preserve"> konačnih mišljenja.</w:t>
      </w:r>
    </w:p>
    <w:p w:rsidR="00414552" w:rsidRPr="00414552" w:rsidRDefault="00FC5583" w:rsidP="00B128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Navedenim podacima nijesu obuhvaćeni predmeti u kojima je, </w:t>
      </w:r>
      <w:r w:rsidR="00414552">
        <w:rPr>
          <w:sz w:val="28"/>
          <w:szCs w:val="28"/>
        </w:rPr>
        <w:t xml:space="preserve"> Sekretarijat</w:t>
      </w:r>
      <w:r>
        <w:rPr>
          <w:sz w:val="28"/>
          <w:szCs w:val="28"/>
        </w:rPr>
        <w:t xml:space="preserve"> sa aspekta svoje nadležnosti učestvovao u davanju mišljenja sa resornim ministarstvima na predlog</w:t>
      </w:r>
      <w:r w:rsidR="004C1721">
        <w:rPr>
          <w:sz w:val="28"/>
          <w:szCs w:val="28"/>
        </w:rPr>
        <w:t>e</w:t>
      </w:r>
      <w:r>
        <w:rPr>
          <w:sz w:val="28"/>
          <w:szCs w:val="28"/>
        </w:rPr>
        <w:t xml:space="preserve"> zakona čiji su predlagači poslanici i na amandmane na predloge zakona čiji je predlagač Vlada (</w:t>
      </w:r>
      <w:r w:rsidRPr="00513B34">
        <w:rPr>
          <w:b/>
          <w:sz w:val="28"/>
          <w:szCs w:val="28"/>
        </w:rPr>
        <w:t>35</w:t>
      </w:r>
      <w:r>
        <w:rPr>
          <w:sz w:val="28"/>
          <w:szCs w:val="28"/>
        </w:rPr>
        <w:t>) i povodom zahtjeva o rješavanju sukoba nadležnosti (</w:t>
      </w:r>
      <w:r w:rsidRPr="00513B34">
        <w:rPr>
          <w:b/>
          <w:sz w:val="28"/>
          <w:szCs w:val="28"/>
        </w:rPr>
        <w:t>8</w:t>
      </w:r>
      <w:r>
        <w:rPr>
          <w:sz w:val="28"/>
          <w:szCs w:val="28"/>
        </w:rPr>
        <w:t>)</w:t>
      </w:r>
      <w:r w:rsidR="00DB4AE3" w:rsidRPr="00DB4AE3">
        <w:rPr>
          <w:sz w:val="28"/>
          <w:szCs w:val="28"/>
        </w:rPr>
        <w:t>,</w:t>
      </w:r>
      <w:r>
        <w:rPr>
          <w:sz w:val="28"/>
          <w:szCs w:val="28"/>
        </w:rPr>
        <w:t xml:space="preserve"> kao i predmeta u kojima se Sekretarijat oglasio nenadležnim.</w:t>
      </w:r>
    </w:p>
    <w:p w:rsidR="00B128F4" w:rsidRPr="00C33CD0" w:rsidRDefault="00B128F4" w:rsidP="00B128F4">
      <w:pPr>
        <w:ind w:firstLine="720"/>
        <w:jc w:val="both"/>
        <w:rPr>
          <w:sz w:val="28"/>
          <w:szCs w:val="28"/>
        </w:rPr>
      </w:pPr>
      <w:r w:rsidRPr="00C33CD0">
        <w:rPr>
          <w:sz w:val="28"/>
          <w:szCs w:val="28"/>
        </w:rPr>
        <w:t xml:space="preserve">Takođe, </w:t>
      </w:r>
      <w:r w:rsidRPr="00FC5583">
        <w:rPr>
          <w:b/>
          <w:sz w:val="28"/>
          <w:szCs w:val="28"/>
        </w:rPr>
        <w:t>Sekretarijat je realizovao sve zaključke Vlade koji su se odnosili na ovaj organ uprave</w:t>
      </w:r>
      <w:r w:rsidRPr="00C33CD0">
        <w:rPr>
          <w:sz w:val="28"/>
          <w:szCs w:val="28"/>
        </w:rPr>
        <w:t>.</w:t>
      </w:r>
    </w:p>
    <w:p w:rsidR="00E358B3" w:rsidRPr="0057002F" w:rsidRDefault="00E358B3" w:rsidP="00B128F4">
      <w:pPr>
        <w:ind w:firstLine="720"/>
        <w:jc w:val="both"/>
        <w:rPr>
          <w:sz w:val="28"/>
          <w:szCs w:val="28"/>
        </w:rPr>
      </w:pPr>
      <w:r w:rsidRPr="00C33CD0">
        <w:rPr>
          <w:sz w:val="28"/>
          <w:szCs w:val="28"/>
        </w:rPr>
        <w:t>Ispunjavanje svih ovih obaveza pratilo je izuzetno i dodatno angažovanje svih zaposlenih u Sekretarijatu za zakonodavstvo kako bi se postigao kvalitet i blagovremenost</w:t>
      </w:r>
      <w:r w:rsidR="001F5231">
        <w:rPr>
          <w:sz w:val="28"/>
          <w:szCs w:val="28"/>
        </w:rPr>
        <w:t xml:space="preserve"> </w:t>
      </w:r>
      <w:r w:rsidR="00B128F4" w:rsidRPr="0057002F">
        <w:rPr>
          <w:sz w:val="28"/>
          <w:szCs w:val="28"/>
        </w:rPr>
        <w:t xml:space="preserve">u postupku pripreme </w:t>
      </w:r>
      <w:r w:rsidR="007A647E">
        <w:rPr>
          <w:sz w:val="28"/>
          <w:szCs w:val="28"/>
        </w:rPr>
        <w:t>zakona i drugih propisa</w:t>
      </w:r>
      <w:r w:rsidRPr="0057002F">
        <w:rPr>
          <w:sz w:val="28"/>
          <w:szCs w:val="28"/>
        </w:rPr>
        <w:t xml:space="preserve">. </w:t>
      </w:r>
    </w:p>
    <w:p w:rsidR="00AA6E0E" w:rsidRPr="0057002F" w:rsidRDefault="00AA6E0E" w:rsidP="00AA6E0E">
      <w:pPr>
        <w:ind w:firstLine="720"/>
        <w:jc w:val="both"/>
        <w:rPr>
          <w:color w:val="000000"/>
          <w:sz w:val="28"/>
          <w:szCs w:val="28"/>
        </w:rPr>
      </w:pPr>
      <w:r w:rsidRPr="0057002F">
        <w:rPr>
          <w:color w:val="000000"/>
          <w:sz w:val="28"/>
          <w:szCs w:val="28"/>
        </w:rPr>
        <w:t xml:space="preserve">Nadzor nad zakonitošću i cjelishodnošću rada Sekretarijata za zakonodavstvo vrši Vlada preko generalnog </w:t>
      </w:r>
      <w:r w:rsidRPr="0057002F">
        <w:rPr>
          <w:sz w:val="28"/>
          <w:szCs w:val="28"/>
        </w:rPr>
        <w:t>sekretara Vlade</w:t>
      </w:r>
      <w:r w:rsidRPr="0057002F">
        <w:rPr>
          <w:color w:val="000000"/>
          <w:sz w:val="28"/>
          <w:szCs w:val="28"/>
        </w:rPr>
        <w:t>.</w:t>
      </w:r>
    </w:p>
    <w:p w:rsidR="00C80CD0" w:rsidRPr="0057002F" w:rsidRDefault="000A6B6B" w:rsidP="00AA6E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ab/>
      </w:r>
      <w:r w:rsidR="00C80CD0" w:rsidRPr="0057002F">
        <w:rPr>
          <w:sz w:val="28"/>
          <w:szCs w:val="28"/>
        </w:rPr>
        <w:t xml:space="preserve">Prilog godišnjeg izvještaja o radu Sekretarijata čini tabelarni prikaz predmeta po sektorima rada. </w:t>
      </w:r>
    </w:p>
    <w:p w:rsidR="00FA0A91" w:rsidRPr="0057002F" w:rsidRDefault="00FA0A91" w:rsidP="00C80C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62D1" w:rsidRPr="00F17488" w:rsidRDefault="008362D1" w:rsidP="009C30A6">
      <w:pPr>
        <w:jc w:val="both"/>
        <w:rPr>
          <w:b/>
          <w:color w:val="000000"/>
          <w:sz w:val="28"/>
          <w:szCs w:val="28"/>
        </w:rPr>
      </w:pPr>
    </w:p>
    <w:p w:rsidR="004B6EFF" w:rsidRPr="00B26B0B" w:rsidRDefault="00B26B0B" w:rsidP="00B26B0B">
      <w:pPr>
        <w:ind w:right="-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I. </w:t>
      </w:r>
      <w:r w:rsidR="00514463" w:rsidRPr="00B26B0B">
        <w:rPr>
          <w:b/>
          <w:sz w:val="28"/>
          <w:szCs w:val="28"/>
        </w:rPr>
        <w:t>ORGANIZACI</w:t>
      </w:r>
      <w:r w:rsidR="00E358B3" w:rsidRPr="00B26B0B">
        <w:rPr>
          <w:b/>
          <w:sz w:val="28"/>
          <w:szCs w:val="28"/>
        </w:rPr>
        <w:t xml:space="preserve">JA I KADROVSKI RESURSI </w:t>
      </w:r>
    </w:p>
    <w:p w:rsidR="001B2AA9" w:rsidRPr="0057002F" w:rsidRDefault="001B2AA9" w:rsidP="006F54F1">
      <w:pPr>
        <w:rPr>
          <w:color w:val="000000"/>
          <w:sz w:val="28"/>
          <w:szCs w:val="28"/>
        </w:rPr>
      </w:pPr>
    </w:p>
    <w:p w:rsidR="004B6EFF" w:rsidRPr="0057002F" w:rsidRDefault="00254830" w:rsidP="00EB7F2F">
      <w:pPr>
        <w:ind w:firstLine="720"/>
        <w:jc w:val="both"/>
        <w:rPr>
          <w:sz w:val="28"/>
          <w:szCs w:val="28"/>
        </w:rPr>
      </w:pPr>
      <w:r w:rsidRPr="0057002F">
        <w:rPr>
          <w:color w:val="000000"/>
          <w:sz w:val="28"/>
          <w:szCs w:val="28"/>
        </w:rPr>
        <w:t>Sekreta</w:t>
      </w:r>
      <w:r w:rsidR="00E358B3" w:rsidRPr="0057002F">
        <w:rPr>
          <w:color w:val="000000"/>
          <w:sz w:val="28"/>
          <w:szCs w:val="28"/>
        </w:rPr>
        <w:t>rijat</w:t>
      </w:r>
      <w:r w:rsidRPr="0057002F">
        <w:rPr>
          <w:color w:val="000000"/>
          <w:sz w:val="28"/>
          <w:szCs w:val="28"/>
        </w:rPr>
        <w:t xml:space="preserve"> za zakonodavstvo </w:t>
      </w:r>
      <w:r w:rsidR="00E358B3" w:rsidRPr="0057002F">
        <w:rPr>
          <w:color w:val="000000"/>
          <w:sz w:val="28"/>
          <w:szCs w:val="28"/>
        </w:rPr>
        <w:t>je poslove iz svoje nadležnosti</w:t>
      </w:r>
      <w:r w:rsidR="00EB7F2F" w:rsidRPr="0057002F">
        <w:rPr>
          <w:color w:val="000000"/>
          <w:sz w:val="28"/>
          <w:szCs w:val="28"/>
        </w:rPr>
        <w:t>,</w:t>
      </w:r>
      <w:r w:rsidR="00E358B3" w:rsidRPr="0057002F">
        <w:rPr>
          <w:color w:val="000000"/>
          <w:sz w:val="28"/>
          <w:szCs w:val="28"/>
        </w:rPr>
        <w:t xml:space="preserve"> koja je </w:t>
      </w:r>
      <w:r w:rsidRPr="0057002F">
        <w:rPr>
          <w:color w:val="000000"/>
          <w:sz w:val="28"/>
          <w:szCs w:val="28"/>
        </w:rPr>
        <w:t>utvrđena Uredbom o organizaciji i načinu rada državne uprave (</w:t>
      </w:r>
      <w:r w:rsidRPr="0057002F">
        <w:rPr>
          <w:sz w:val="28"/>
          <w:szCs w:val="28"/>
        </w:rPr>
        <w:t xml:space="preserve">''Službeni list CG'', br. 5/12, 25/12, 61/12 </w:t>
      </w:r>
      <w:r w:rsidR="006A2D60" w:rsidRPr="0057002F">
        <w:rPr>
          <w:sz w:val="28"/>
          <w:szCs w:val="28"/>
        </w:rPr>
        <w:t>,</w:t>
      </w:r>
      <w:r w:rsidRPr="0057002F">
        <w:rPr>
          <w:sz w:val="28"/>
          <w:szCs w:val="28"/>
        </w:rPr>
        <w:t xml:space="preserve"> 20/13</w:t>
      </w:r>
      <w:r w:rsidR="006A2D60" w:rsidRPr="0057002F">
        <w:rPr>
          <w:sz w:val="28"/>
          <w:szCs w:val="28"/>
        </w:rPr>
        <w:t xml:space="preserve"> i 17/14</w:t>
      </w:r>
      <w:r w:rsidRPr="0057002F">
        <w:rPr>
          <w:color w:val="000000"/>
          <w:sz w:val="28"/>
          <w:szCs w:val="28"/>
        </w:rPr>
        <w:t xml:space="preserve">) i Poslovnikom Vlade Crne Gore </w:t>
      </w:r>
      <w:r w:rsidRPr="0057002F">
        <w:rPr>
          <w:sz w:val="28"/>
          <w:szCs w:val="28"/>
        </w:rPr>
        <w:t xml:space="preserve">(''Službeni list CG'', broj 3/12), kao i </w:t>
      </w:r>
      <w:r w:rsidRPr="0057002F">
        <w:rPr>
          <w:color w:val="000000"/>
          <w:sz w:val="28"/>
          <w:szCs w:val="28"/>
        </w:rPr>
        <w:t xml:space="preserve">Zakonom o objavljivanju propisa i drugih akata </w:t>
      </w:r>
      <w:r w:rsidRPr="0057002F">
        <w:rPr>
          <w:sz w:val="28"/>
          <w:szCs w:val="28"/>
        </w:rPr>
        <w:t>(''Službeni list CG'', broj 5/08) i Zakonom o zaključivanju i izvršavanju međunarodnih ugovora („Službeni list CG“, broj 77/08)</w:t>
      </w:r>
      <w:r w:rsidR="00E358B3" w:rsidRPr="0057002F">
        <w:rPr>
          <w:color w:val="000000"/>
          <w:sz w:val="28"/>
          <w:szCs w:val="28"/>
        </w:rPr>
        <w:t>, vršio</w:t>
      </w:r>
      <w:r w:rsidR="00B51797" w:rsidRPr="0057002F">
        <w:rPr>
          <w:color w:val="000000"/>
          <w:sz w:val="28"/>
          <w:szCs w:val="28"/>
        </w:rPr>
        <w:t xml:space="preserve"> u okviru četiri sektora</w:t>
      </w:r>
      <w:r w:rsidR="00261CF5" w:rsidRPr="0057002F">
        <w:rPr>
          <w:color w:val="000000"/>
          <w:sz w:val="28"/>
          <w:szCs w:val="28"/>
        </w:rPr>
        <w:t>,</w:t>
      </w:r>
      <w:r w:rsidR="00EB7F2F" w:rsidRPr="0057002F">
        <w:rPr>
          <w:color w:val="000000"/>
          <w:sz w:val="28"/>
          <w:szCs w:val="28"/>
        </w:rPr>
        <w:t xml:space="preserve"> kojim</w:t>
      </w:r>
      <w:r w:rsidR="00261CF5" w:rsidRPr="0057002F">
        <w:rPr>
          <w:color w:val="000000"/>
          <w:sz w:val="28"/>
          <w:szCs w:val="28"/>
        </w:rPr>
        <w:t>a</w:t>
      </w:r>
      <w:r w:rsidR="00EB7F2F" w:rsidRPr="0057002F">
        <w:rPr>
          <w:color w:val="000000"/>
          <w:sz w:val="28"/>
          <w:szCs w:val="28"/>
        </w:rPr>
        <w:t xml:space="preserve"> su</w:t>
      </w:r>
      <w:r w:rsidR="005020A6">
        <w:rPr>
          <w:color w:val="000000"/>
          <w:sz w:val="28"/>
          <w:szCs w:val="28"/>
        </w:rPr>
        <w:t xml:space="preserve"> </w:t>
      </w:r>
      <w:r w:rsidR="001B2AA9" w:rsidRPr="0057002F">
        <w:rPr>
          <w:sz w:val="28"/>
          <w:szCs w:val="28"/>
        </w:rPr>
        <w:t>obuhva</w:t>
      </w:r>
      <w:r w:rsidR="0065504E" w:rsidRPr="0057002F">
        <w:rPr>
          <w:sz w:val="28"/>
          <w:szCs w:val="28"/>
        </w:rPr>
        <w:t xml:space="preserve">ćene </w:t>
      </w:r>
      <w:r w:rsidR="001B2AA9" w:rsidRPr="0057002F">
        <w:rPr>
          <w:sz w:val="28"/>
          <w:szCs w:val="28"/>
        </w:rPr>
        <w:t xml:space="preserve">sve oblasti čije je normativno uređivanje </w:t>
      </w:r>
      <w:r w:rsidR="005020A6">
        <w:rPr>
          <w:sz w:val="28"/>
          <w:szCs w:val="28"/>
        </w:rPr>
        <w:t xml:space="preserve"> </w:t>
      </w:r>
      <w:r w:rsidR="001B2AA9" w:rsidRPr="0057002F">
        <w:rPr>
          <w:sz w:val="28"/>
          <w:szCs w:val="28"/>
        </w:rPr>
        <w:t xml:space="preserve">(priprema zakona i donošenje podzakonskih akata) u nadležnosti organa državne uprave.  </w:t>
      </w:r>
    </w:p>
    <w:p w:rsidR="00E358B3" w:rsidRPr="0057002F" w:rsidRDefault="0065504E" w:rsidP="004B6EFF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Navedena </w:t>
      </w:r>
      <w:r w:rsidR="00254830" w:rsidRPr="0057002F">
        <w:rPr>
          <w:sz w:val="28"/>
          <w:szCs w:val="28"/>
        </w:rPr>
        <w:t xml:space="preserve">organizacija uspostavljena je Pravilnikom o unutrašnjoj organizaciji i sistematizaciji Sekretarijata, </w:t>
      </w:r>
      <w:r w:rsidR="007279E8" w:rsidRPr="0057002F">
        <w:rPr>
          <w:sz w:val="28"/>
          <w:szCs w:val="28"/>
        </w:rPr>
        <w:t xml:space="preserve">utvrđenom </w:t>
      </w:r>
      <w:r w:rsidR="00254830" w:rsidRPr="0057002F">
        <w:rPr>
          <w:sz w:val="28"/>
          <w:szCs w:val="28"/>
        </w:rPr>
        <w:t>na sjednici</w:t>
      </w:r>
      <w:r w:rsidR="007279E8" w:rsidRPr="0057002F">
        <w:rPr>
          <w:sz w:val="28"/>
          <w:szCs w:val="28"/>
        </w:rPr>
        <w:t xml:space="preserve"> Vlade</w:t>
      </w:r>
      <w:r w:rsidR="00254830" w:rsidRPr="0057002F">
        <w:rPr>
          <w:sz w:val="28"/>
          <w:szCs w:val="28"/>
        </w:rPr>
        <w:t xml:space="preserve"> od 28. </w:t>
      </w:r>
      <w:r w:rsidR="007279E8" w:rsidRPr="0057002F">
        <w:rPr>
          <w:sz w:val="28"/>
          <w:szCs w:val="28"/>
        </w:rPr>
        <w:t>f</w:t>
      </w:r>
      <w:r w:rsidR="00254830" w:rsidRPr="0057002F">
        <w:rPr>
          <w:sz w:val="28"/>
          <w:szCs w:val="28"/>
        </w:rPr>
        <w:t xml:space="preserve">ebruara 2013. </w:t>
      </w:r>
      <w:r w:rsidR="00E358B3" w:rsidRPr="0057002F">
        <w:rPr>
          <w:sz w:val="28"/>
          <w:szCs w:val="28"/>
        </w:rPr>
        <w:t xml:space="preserve">godine. </w:t>
      </w:r>
    </w:p>
    <w:p w:rsidR="000F082E" w:rsidRPr="0057002F" w:rsidRDefault="00E358B3" w:rsidP="000572C0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Ovim pravilnikom </w:t>
      </w:r>
      <w:r w:rsidR="007279E8" w:rsidRPr="0057002F">
        <w:rPr>
          <w:sz w:val="28"/>
          <w:szCs w:val="28"/>
        </w:rPr>
        <w:t>sistematizovana</w:t>
      </w:r>
      <w:r w:rsidRPr="0057002F">
        <w:rPr>
          <w:sz w:val="28"/>
          <w:szCs w:val="28"/>
        </w:rPr>
        <w:t xml:space="preserve"> su</w:t>
      </w:r>
      <w:r w:rsidR="007279E8" w:rsidRPr="0057002F">
        <w:rPr>
          <w:sz w:val="28"/>
          <w:szCs w:val="28"/>
        </w:rPr>
        <w:t xml:space="preserve"> službenička mjesta za 28 izvršilaca</w:t>
      </w:r>
      <w:r w:rsidRPr="0057002F">
        <w:rPr>
          <w:sz w:val="28"/>
          <w:szCs w:val="28"/>
        </w:rPr>
        <w:t xml:space="preserve">, a </w:t>
      </w:r>
      <w:r w:rsidRPr="008424A4">
        <w:rPr>
          <w:b/>
          <w:sz w:val="28"/>
          <w:szCs w:val="28"/>
        </w:rPr>
        <w:t>u</w:t>
      </w:r>
      <w:r w:rsidR="005020A6">
        <w:rPr>
          <w:b/>
          <w:sz w:val="28"/>
          <w:szCs w:val="28"/>
        </w:rPr>
        <w:t xml:space="preserve"> </w:t>
      </w:r>
      <w:r w:rsidRPr="008424A4">
        <w:rPr>
          <w:b/>
          <w:sz w:val="28"/>
          <w:szCs w:val="28"/>
        </w:rPr>
        <w:t>prethodnoj godini</w:t>
      </w:r>
      <w:r w:rsidR="000F082E" w:rsidRPr="008424A4">
        <w:rPr>
          <w:b/>
          <w:sz w:val="28"/>
          <w:szCs w:val="28"/>
        </w:rPr>
        <w:t xml:space="preserve"> poslove iz nadležnosti Sekretarijata je obavljalo 1</w:t>
      </w:r>
      <w:r w:rsidR="00EB7F2F" w:rsidRPr="008424A4">
        <w:rPr>
          <w:b/>
          <w:sz w:val="28"/>
          <w:szCs w:val="28"/>
        </w:rPr>
        <w:t>8</w:t>
      </w:r>
      <w:r w:rsidR="000F082E" w:rsidRPr="008424A4">
        <w:rPr>
          <w:b/>
          <w:sz w:val="28"/>
          <w:szCs w:val="28"/>
        </w:rPr>
        <w:t xml:space="preserve"> službenika</w:t>
      </w:r>
      <w:r w:rsidR="00122D46" w:rsidRPr="008424A4">
        <w:rPr>
          <w:b/>
          <w:sz w:val="28"/>
          <w:szCs w:val="28"/>
        </w:rPr>
        <w:t>/ce</w:t>
      </w:r>
      <w:r w:rsidR="00D562F3" w:rsidRPr="008424A4">
        <w:rPr>
          <w:b/>
          <w:sz w:val="28"/>
          <w:szCs w:val="28"/>
        </w:rPr>
        <w:t xml:space="preserve"> (uključujući sekretara i pomoćnike/ce sekretara)</w:t>
      </w:r>
      <w:r w:rsidR="005020A6">
        <w:rPr>
          <w:b/>
          <w:sz w:val="28"/>
          <w:szCs w:val="28"/>
        </w:rPr>
        <w:t xml:space="preserve"> </w:t>
      </w:r>
      <w:r w:rsidR="00D562F3">
        <w:rPr>
          <w:sz w:val="28"/>
          <w:szCs w:val="28"/>
        </w:rPr>
        <w:t>i četiri službenika/ce na administrativnim poslovima.</w:t>
      </w:r>
      <w:r w:rsidR="005020A6">
        <w:rPr>
          <w:sz w:val="28"/>
          <w:szCs w:val="28"/>
        </w:rPr>
        <w:t xml:space="preserve"> </w:t>
      </w:r>
      <w:r w:rsidR="00F3603D" w:rsidRPr="0057002F">
        <w:rPr>
          <w:sz w:val="28"/>
          <w:szCs w:val="28"/>
        </w:rPr>
        <w:t xml:space="preserve">Naime, </w:t>
      </w:r>
      <w:r w:rsidR="000558E4" w:rsidRPr="0057002F">
        <w:rPr>
          <w:sz w:val="28"/>
          <w:szCs w:val="28"/>
        </w:rPr>
        <w:t>u protekloj godini u Sekretarijatu</w:t>
      </w:r>
      <w:r w:rsidR="00967BEF" w:rsidRPr="0057002F">
        <w:rPr>
          <w:sz w:val="28"/>
          <w:szCs w:val="28"/>
        </w:rPr>
        <w:t xml:space="preserve"> za zakonodavstvo</w:t>
      </w:r>
      <w:r w:rsidR="005020A6">
        <w:rPr>
          <w:sz w:val="28"/>
          <w:szCs w:val="28"/>
        </w:rPr>
        <w:t xml:space="preserve"> </w:t>
      </w:r>
      <w:r w:rsidR="0065504E" w:rsidRPr="0057002F">
        <w:rPr>
          <w:sz w:val="28"/>
          <w:szCs w:val="28"/>
        </w:rPr>
        <w:t xml:space="preserve">radni odnos su </w:t>
      </w:r>
      <w:r w:rsidR="000558E4" w:rsidRPr="0057002F">
        <w:rPr>
          <w:sz w:val="28"/>
          <w:szCs w:val="28"/>
        </w:rPr>
        <w:t xml:space="preserve">zasnovala </w:t>
      </w:r>
      <w:r w:rsidR="0065504E" w:rsidRPr="0057002F">
        <w:rPr>
          <w:sz w:val="28"/>
          <w:szCs w:val="28"/>
        </w:rPr>
        <w:t xml:space="preserve">četiri </w:t>
      </w:r>
      <w:r w:rsidR="000558E4" w:rsidRPr="0057002F">
        <w:rPr>
          <w:sz w:val="28"/>
          <w:szCs w:val="28"/>
        </w:rPr>
        <w:t>službenika</w:t>
      </w:r>
      <w:r w:rsidR="009E3611" w:rsidRPr="0057002F">
        <w:rPr>
          <w:sz w:val="28"/>
          <w:szCs w:val="28"/>
        </w:rPr>
        <w:t xml:space="preserve">/ce, a </w:t>
      </w:r>
      <w:r w:rsidR="00A570CE" w:rsidRPr="0057002F">
        <w:rPr>
          <w:sz w:val="28"/>
          <w:szCs w:val="28"/>
        </w:rPr>
        <w:t xml:space="preserve">istovremeno </w:t>
      </w:r>
      <w:r w:rsidR="000F082E" w:rsidRPr="0057002F">
        <w:rPr>
          <w:sz w:val="28"/>
          <w:szCs w:val="28"/>
        </w:rPr>
        <w:t xml:space="preserve">je </w:t>
      </w:r>
      <w:r w:rsidR="00A570CE" w:rsidRPr="0057002F">
        <w:rPr>
          <w:sz w:val="28"/>
          <w:szCs w:val="28"/>
        </w:rPr>
        <w:t>dv</w:t>
      </w:r>
      <w:r w:rsidR="009E3611" w:rsidRPr="0057002F">
        <w:rPr>
          <w:sz w:val="28"/>
          <w:szCs w:val="28"/>
        </w:rPr>
        <w:t>jem</w:t>
      </w:r>
      <w:r w:rsidR="00A570CE" w:rsidRPr="0057002F">
        <w:rPr>
          <w:sz w:val="28"/>
          <w:szCs w:val="28"/>
        </w:rPr>
        <w:t>a službeni</w:t>
      </w:r>
      <w:r w:rsidR="009E3611" w:rsidRPr="0057002F">
        <w:rPr>
          <w:sz w:val="28"/>
          <w:szCs w:val="28"/>
        </w:rPr>
        <w:t>cama</w:t>
      </w:r>
      <w:r w:rsidR="005020A6">
        <w:rPr>
          <w:sz w:val="28"/>
          <w:szCs w:val="28"/>
        </w:rPr>
        <w:t xml:space="preserve"> </w:t>
      </w:r>
      <w:r w:rsidR="000F082E" w:rsidRPr="0057002F">
        <w:rPr>
          <w:sz w:val="28"/>
          <w:szCs w:val="28"/>
        </w:rPr>
        <w:t>prestao</w:t>
      </w:r>
      <w:r w:rsidR="00DA3BA4" w:rsidRPr="0057002F">
        <w:rPr>
          <w:sz w:val="28"/>
          <w:szCs w:val="28"/>
        </w:rPr>
        <w:t xml:space="preserve"> radni odnos u</w:t>
      </w:r>
      <w:r w:rsidR="0065504E" w:rsidRPr="0057002F">
        <w:rPr>
          <w:sz w:val="28"/>
          <w:szCs w:val="28"/>
        </w:rPr>
        <w:t xml:space="preserve"> Sekretarijat</w:t>
      </w:r>
      <w:r w:rsidR="00DA3BA4" w:rsidRPr="0057002F">
        <w:rPr>
          <w:sz w:val="28"/>
          <w:szCs w:val="28"/>
        </w:rPr>
        <w:t>u</w:t>
      </w:r>
      <w:r w:rsidR="00BF2803">
        <w:rPr>
          <w:sz w:val="28"/>
          <w:szCs w:val="28"/>
        </w:rPr>
        <w:t xml:space="preserve"> zbog zasnivanja radnog odnosa u drugim organima državne uprave, </w:t>
      </w:r>
      <w:r w:rsidR="0065504E" w:rsidRPr="0057002F">
        <w:rPr>
          <w:sz w:val="28"/>
          <w:szCs w:val="28"/>
        </w:rPr>
        <w:t xml:space="preserve">pa je </w:t>
      </w:r>
      <w:r w:rsidR="000558E4" w:rsidRPr="0057002F">
        <w:rPr>
          <w:sz w:val="28"/>
          <w:szCs w:val="28"/>
        </w:rPr>
        <w:t>n</w:t>
      </w:r>
      <w:r w:rsidR="00D935D7" w:rsidRPr="0057002F">
        <w:rPr>
          <w:sz w:val="28"/>
          <w:szCs w:val="28"/>
        </w:rPr>
        <w:t>a stručnim poslovima iz nadležnosti Sekretarij</w:t>
      </w:r>
      <w:r w:rsidR="00B20D5C" w:rsidRPr="0057002F">
        <w:rPr>
          <w:sz w:val="28"/>
          <w:szCs w:val="28"/>
        </w:rPr>
        <w:t>ata radi</w:t>
      </w:r>
      <w:r w:rsidR="000558E4" w:rsidRPr="0057002F">
        <w:rPr>
          <w:sz w:val="28"/>
          <w:szCs w:val="28"/>
        </w:rPr>
        <w:t xml:space="preserve">lo </w:t>
      </w:r>
      <w:r w:rsidR="0065504E" w:rsidRPr="0057002F">
        <w:rPr>
          <w:sz w:val="28"/>
          <w:szCs w:val="28"/>
        </w:rPr>
        <w:t>1</w:t>
      </w:r>
      <w:r w:rsidR="00EB7F2F" w:rsidRPr="0057002F">
        <w:rPr>
          <w:sz w:val="28"/>
          <w:szCs w:val="28"/>
        </w:rPr>
        <w:t>8</w:t>
      </w:r>
      <w:r w:rsidR="00571DEB">
        <w:rPr>
          <w:sz w:val="28"/>
          <w:szCs w:val="28"/>
        </w:rPr>
        <w:t xml:space="preserve"> </w:t>
      </w:r>
      <w:r w:rsidR="00B20D5C" w:rsidRPr="0057002F">
        <w:rPr>
          <w:sz w:val="28"/>
          <w:szCs w:val="28"/>
        </w:rPr>
        <w:t>državnih službenika</w:t>
      </w:r>
      <w:r w:rsidR="00647386" w:rsidRPr="0057002F">
        <w:rPr>
          <w:sz w:val="28"/>
          <w:szCs w:val="28"/>
        </w:rPr>
        <w:t>/ce</w:t>
      </w:r>
      <w:r w:rsidR="009E3611" w:rsidRPr="0057002F">
        <w:rPr>
          <w:sz w:val="28"/>
          <w:szCs w:val="28"/>
        </w:rPr>
        <w:t>.</w:t>
      </w:r>
    </w:p>
    <w:p w:rsidR="00F919A8" w:rsidRPr="0057002F" w:rsidRDefault="007602B8" w:rsidP="00571D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Navedeni</w:t>
      </w:r>
      <w:r w:rsidR="00571DEB">
        <w:rPr>
          <w:sz w:val="28"/>
          <w:szCs w:val="28"/>
        </w:rPr>
        <w:t xml:space="preserve"> </w:t>
      </w:r>
      <w:r w:rsidR="009E3611" w:rsidRPr="008424A4">
        <w:rPr>
          <w:b/>
          <w:sz w:val="28"/>
          <w:szCs w:val="28"/>
        </w:rPr>
        <w:t>broj državnih službenika/ca pravnika/ca koji rade na normativno - pravnim poslovima nije dovoljan</w:t>
      </w:r>
      <w:r w:rsidR="009E3611" w:rsidRPr="0057002F">
        <w:rPr>
          <w:sz w:val="28"/>
          <w:szCs w:val="28"/>
        </w:rPr>
        <w:t>, i</w:t>
      </w:r>
      <w:r w:rsidR="000F082E" w:rsidRPr="0057002F">
        <w:rPr>
          <w:sz w:val="28"/>
          <w:szCs w:val="28"/>
        </w:rPr>
        <w:t xml:space="preserve">majući u vidu zahtjevne </w:t>
      </w:r>
      <w:r w:rsidR="009E3611" w:rsidRPr="0057002F">
        <w:rPr>
          <w:sz w:val="28"/>
          <w:szCs w:val="28"/>
        </w:rPr>
        <w:t xml:space="preserve">i </w:t>
      </w:r>
      <w:r w:rsidR="000F082E" w:rsidRPr="0057002F">
        <w:rPr>
          <w:sz w:val="28"/>
          <w:szCs w:val="28"/>
        </w:rPr>
        <w:t>inte</w:t>
      </w:r>
      <w:r w:rsidR="00967BEF" w:rsidRPr="0057002F">
        <w:rPr>
          <w:sz w:val="28"/>
          <w:szCs w:val="28"/>
        </w:rPr>
        <w:t>n</w:t>
      </w:r>
      <w:r w:rsidR="000F082E" w:rsidRPr="0057002F">
        <w:rPr>
          <w:sz w:val="28"/>
          <w:szCs w:val="28"/>
        </w:rPr>
        <w:t>zi</w:t>
      </w:r>
      <w:r w:rsidR="00967BEF" w:rsidRPr="0057002F">
        <w:rPr>
          <w:sz w:val="28"/>
          <w:szCs w:val="28"/>
        </w:rPr>
        <w:t>vne aktivnosti i obaveze Sekretarijata za zakonodavstvo u pripremi zakona i drugih propisa, kao i potrebu za unapređivanjem kvaliteta vršenja normativno pr</w:t>
      </w:r>
      <w:r w:rsidR="009E3611" w:rsidRPr="0057002F">
        <w:rPr>
          <w:sz w:val="28"/>
          <w:szCs w:val="28"/>
        </w:rPr>
        <w:t>avnih poslova, odnosno podizanjem</w:t>
      </w:r>
      <w:r w:rsidR="00967BEF" w:rsidRPr="0057002F">
        <w:rPr>
          <w:sz w:val="28"/>
          <w:szCs w:val="28"/>
        </w:rPr>
        <w:t xml:space="preserve"> kvaliteta zakona i drugih propisa</w:t>
      </w:r>
      <w:r w:rsidR="002F349D">
        <w:rPr>
          <w:sz w:val="28"/>
          <w:szCs w:val="28"/>
        </w:rPr>
        <w:t>. Stoga je bilo neophodno</w:t>
      </w:r>
      <w:r w:rsidR="009E3611" w:rsidRPr="0057002F">
        <w:rPr>
          <w:sz w:val="28"/>
          <w:szCs w:val="28"/>
        </w:rPr>
        <w:t xml:space="preserve"> i u protekloj godini, dodatno </w:t>
      </w:r>
      <w:r w:rsidR="0065504E" w:rsidRPr="0057002F">
        <w:rPr>
          <w:sz w:val="28"/>
          <w:szCs w:val="28"/>
        </w:rPr>
        <w:t>angažovanje zaposlenih van radnog vremena i za vrijeme nedjeljnog odmora i državnih praznika.</w:t>
      </w:r>
    </w:p>
    <w:p w:rsidR="00727E08" w:rsidRPr="0057002F" w:rsidRDefault="00967BEF" w:rsidP="00FC011E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Iz </w:t>
      </w:r>
      <w:r w:rsidR="009E3611" w:rsidRPr="0057002F">
        <w:rPr>
          <w:sz w:val="28"/>
          <w:szCs w:val="28"/>
        </w:rPr>
        <w:t>navedenih</w:t>
      </w:r>
      <w:r w:rsidRPr="0057002F">
        <w:rPr>
          <w:sz w:val="28"/>
          <w:szCs w:val="28"/>
        </w:rPr>
        <w:t xml:space="preserve"> razloga</w:t>
      </w:r>
      <w:r w:rsidR="009E3611" w:rsidRPr="0057002F">
        <w:rPr>
          <w:sz w:val="28"/>
          <w:szCs w:val="28"/>
        </w:rPr>
        <w:t>,</w:t>
      </w:r>
      <w:r w:rsidRPr="0057002F">
        <w:rPr>
          <w:sz w:val="28"/>
          <w:szCs w:val="28"/>
        </w:rPr>
        <w:t xml:space="preserve"> kadrovsko jačanje u Sekretarijatu za zakonodavstvo podržano je od strane Vlade</w:t>
      </w:r>
      <w:r w:rsidR="009E3611" w:rsidRPr="0057002F">
        <w:rPr>
          <w:sz w:val="28"/>
          <w:szCs w:val="28"/>
        </w:rPr>
        <w:t>,</w:t>
      </w:r>
      <w:r w:rsidRPr="0057002F">
        <w:rPr>
          <w:sz w:val="28"/>
          <w:szCs w:val="28"/>
        </w:rPr>
        <w:t xml:space="preserve"> posebnim vrednovanjem obavljanja </w:t>
      </w:r>
      <w:r w:rsidR="009E3611" w:rsidRPr="0057002F">
        <w:rPr>
          <w:sz w:val="28"/>
          <w:szCs w:val="28"/>
        </w:rPr>
        <w:t xml:space="preserve">normativno – pravnih </w:t>
      </w:r>
      <w:r w:rsidRPr="0057002F">
        <w:rPr>
          <w:sz w:val="28"/>
          <w:szCs w:val="28"/>
        </w:rPr>
        <w:t>poslova u Sekretarijatu</w:t>
      </w:r>
      <w:r w:rsidR="001B63BC">
        <w:rPr>
          <w:sz w:val="28"/>
          <w:szCs w:val="28"/>
        </w:rPr>
        <w:t>,</w:t>
      </w:r>
      <w:r w:rsidRPr="0057002F">
        <w:rPr>
          <w:sz w:val="28"/>
          <w:szCs w:val="28"/>
        </w:rPr>
        <w:t xml:space="preserve"> što ima za cilj zadržavanje postojećeg kadra i istovremeno </w:t>
      </w:r>
      <w:r w:rsidR="009E3611" w:rsidRPr="0057002F">
        <w:rPr>
          <w:sz w:val="28"/>
          <w:szCs w:val="28"/>
        </w:rPr>
        <w:t>podsticaj</w:t>
      </w:r>
      <w:r w:rsidRPr="0057002F">
        <w:rPr>
          <w:sz w:val="28"/>
          <w:szCs w:val="28"/>
        </w:rPr>
        <w:t xml:space="preserve"> za zapošljavanje kvalitetnog kadra. </w:t>
      </w:r>
    </w:p>
    <w:p w:rsidR="00D35B1E" w:rsidRPr="0057002F" w:rsidRDefault="00967BEF" w:rsidP="00F37816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P</w:t>
      </w:r>
      <w:r w:rsidR="00D35B1E" w:rsidRPr="0057002F">
        <w:rPr>
          <w:sz w:val="28"/>
          <w:szCs w:val="28"/>
        </w:rPr>
        <w:t>odaci o kadrovima</w:t>
      </w:r>
      <w:r w:rsidR="000C5256" w:rsidRPr="0057002F">
        <w:rPr>
          <w:sz w:val="28"/>
          <w:szCs w:val="28"/>
        </w:rPr>
        <w:t xml:space="preserve"> Sekretarijata</w:t>
      </w:r>
      <w:r w:rsidR="0014341D">
        <w:rPr>
          <w:sz w:val="28"/>
          <w:szCs w:val="28"/>
        </w:rPr>
        <w:t xml:space="preserve"> </w:t>
      </w:r>
      <w:r w:rsidRPr="0057002F">
        <w:rPr>
          <w:sz w:val="28"/>
          <w:szCs w:val="28"/>
        </w:rPr>
        <w:t xml:space="preserve">se </w:t>
      </w:r>
      <w:r w:rsidR="00D35B1E" w:rsidRPr="0057002F">
        <w:rPr>
          <w:sz w:val="28"/>
          <w:szCs w:val="28"/>
        </w:rPr>
        <w:t xml:space="preserve">redovno </w:t>
      </w:r>
      <w:r w:rsidRPr="0057002F">
        <w:rPr>
          <w:sz w:val="28"/>
          <w:szCs w:val="28"/>
        </w:rPr>
        <w:t xml:space="preserve">i blagovremeno </w:t>
      </w:r>
      <w:r w:rsidR="000C5256" w:rsidRPr="0057002F">
        <w:rPr>
          <w:sz w:val="28"/>
          <w:szCs w:val="28"/>
        </w:rPr>
        <w:t>unose i vrši njihovo</w:t>
      </w:r>
      <w:r w:rsidR="00D35B1E" w:rsidRPr="0057002F">
        <w:rPr>
          <w:sz w:val="28"/>
          <w:szCs w:val="28"/>
        </w:rPr>
        <w:t xml:space="preserve"> ažurira</w:t>
      </w:r>
      <w:r w:rsidR="000C5256" w:rsidRPr="0057002F">
        <w:rPr>
          <w:sz w:val="28"/>
          <w:szCs w:val="28"/>
        </w:rPr>
        <w:t>nje</w:t>
      </w:r>
      <w:r w:rsidR="00D35B1E" w:rsidRPr="0057002F">
        <w:rPr>
          <w:sz w:val="28"/>
          <w:szCs w:val="28"/>
        </w:rPr>
        <w:t xml:space="preserve"> u Centralnoj kadrovskoj evidenciji</w:t>
      </w:r>
      <w:r w:rsidR="000C5256" w:rsidRPr="0057002F">
        <w:rPr>
          <w:sz w:val="28"/>
          <w:szCs w:val="28"/>
        </w:rPr>
        <w:t>, koju vodi Uprava za kadrove</w:t>
      </w:r>
      <w:r w:rsidR="00D35B1E" w:rsidRPr="0057002F">
        <w:rPr>
          <w:sz w:val="28"/>
          <w:szCs w:val="28"/>
        </w:rPr>
        <w:t>.</w:t>
      </w:r>
    </w:p>
    <w:p w:rsidR="00584101" w:rsidRPr="0057002F" w:rsidRDefault="00584101" w:rsidP="00A67FFD">
      <w:pPr>
        <w:rPr>
          <w:sz w:val="28"/>
          <w:szCs w:val="28"/>
        </w:rPr>
      </w:pPr>
    </w:p>
    <w:p w:rsidR="0089315B" w:rsidRPr="00F17488" w:rsidRDefault="004C434C" w:rsidP="00B153CB">
      <w:pPr>
        <w:ind w:right="-90"/>
        <w:jc w:val="both"/>
        <w:rPr>
          <w:b/>
          <w:sz w:val="28"/>
          <w:szCs w:val="28"/>
        </w:rPr>
      </w:pPr>
      <w:r w:rsidRPr="00F17488">
        <w:rPr>
          <w:b/>
          <w:sz w:val="28"/>
          <w:szCs w:val="28"/>
        </w:rPr>
        <w:lastRenderedPageBreak/>
        <w:t xml:space="preserve">II. </w:t>
      </w:r>
      <w:r w:rsidR="0086631E" w:rsidRPr="00F17488">
        <w:rPr>
          <w:b/>
          <w:sz w:val="28"/>
          <w:szCs w:val="28"/>
        </w:rPr>
        <w:t xml:space="preserve">IZVRŠAVANJE </w:t>
      </w:r>
      <w:r w:rsidR="00000D88" w:rsidRPr="00F17488">
        <w:rPr>
          <w:b/>
          <w:sz w:val="28"/>
          <w:szCs w:val="28"/>
        </w:rPr>
        <w:t>POSLOV</w:t>
      </w:r>
      <w:r w:rsidR="0086631E" w:rsidRPr="00F17488">
        <w:rPr>
          <w:b/>
          <w:sz w:val="28"/>
          <w:szCs w:val="28"/>
        </w:rPr>
        <w:t>A</w:t>
      </w:r>
      <w:r w:rsidR="00000D88" w:rsidRPr="00F17488">
        <w:rPr>
          <w:b/>
          <w:sz w:val="28"/>
          <w:szCs w:val="28"/>
        </w:rPr>
        <w:t xml:space="preserve"> IZ NADLEŽNOSTI SEKRETARIJATA</w:t>
      </w:r>
    </w:p>
    <w:p w:rsidR="00584101" w:rsidRPr="00F17488" w:rsidRDefault="00584101" w:rsidP="00D926D1">
      <w:pPr>
        <w:jc w:val="both"/>
        <w:rPr>
          <w:b/>
          <w:sz w:val="28"/>
          <w:szCs w:val="28"/>
        </w:rPr>
      </w:pPr>
    </w:p>
    <w:p w:rsidR="00584101" w:rsidRPr="00F17488" w:rsidRDefault="00584101" w:rsidP="00584101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F17488">
        <w:rPr>
          <w:b/>
          <w:sz w:val="28"/>
          <w:szCs w:val="28"/>
        </w:rPr>
        <w:t xml:space="preserve"> Mišljenja na zakone, druge propise i opšte akte  </w:t>
      </w:r>
    </w:p>
    <w:p w:rsidR="00584101" w:rsidRPr="0057002F" w:rsidRDefault="00584101" w:rsidP="006F54F1">
      <w:pPr>
        <w:rPr>
          <w:sz w:val="28"/>
          <w:szCs w:val="28"/>
        </w:rPr>
      </w:pPr>
    </w:p>
    <w:p w:rsidR="00584101" w:rsidRPr="0057002F" w:rsidRDefault="00584101" w:rsidP="00584101">
      <w:pPr>
        <w:tabs>
          <w:tab w:val="left" w:pos="0"/>
        </w:tabs>
        <w:jc w:val="both"/>
        <w:rPr>
          <w:color w:val="000000"/>
          <w:sz w:val="28"/>
          <w:szCs w:val="28"/>
          <w:lang w:val="sr-Latn-BA"/>
        </w:rPr>
      </w:pPr>
      <w:r w:rsidRPr="0057002F">
        <w:rPr>
          <w:color w:val="000000"/>
          <w:sz w:val="28"/>
          <w:szCs w:val="28"/>
          <w:lang w:val="sr-Latn-BA"/>
        </w:rPr>
        <w:tab/>
        <w:t xml:space="preserve">Osnovna funkcija Sekretarijata za zakonodavstvo je davanje mišljenja o usaglašenosti </w:t>
      </w:r>
      <w:r w:rsidRPr="0057002F">
        <w:rPr>
          <w:sz w:val="28"/>
          <w:szCs w:val="28"/>
        </w:rPr>
        <w:t>zakona i podzakonskih akata, koja pripremaju, predlažu i donose ministarstva i Vlada, sa Ustavom i pravnim sistemom Crne Gore, odnosno o njihovoj međusobnoj usklađenosti</w:t>
      </w:r>
      <w:r w:rsidRPr="0057002F">
        <w:rPr>
          <w:color w:val="000000"/>
          <w:sz w:val="28"/>
          <w:szCs w:val="28"/>
          <w:lang w:val="sr-Latn-BA"/>
        </w:rPr>
        <w:t>.</w:t>
      </w:r>
    </w:p>
    <w:p w:rsidR="006F54F1" w:rsidRPr="009C0CC1" w:rsidRDefault="00584101" w:rsidP="000B3360">
      <w:pPr>
        <w:ind w:firstLine="720"/>
        <w:jc w:val="both"/>
        <w:rPr>
          <w:sz w:val="28"/>
          <w:szCs w:val="28"/>
        </w:rPr>
      </w:pPr>
      <w:r w:rsidRPr="00B23AAA">
        <w:rPr>
          <w:b/>
          <w:sz w:val="28"/>
          <w:szCs w:val="28"/>
        </w:rPr>
        <w:t xml:space="preserve">U toku 2014. godine u Sekretarijatu za zakonodavstvo bilo je u radu ukupno </w:t>
      </w:r>
      <w:r w:rsidR="009705BB">
        <w:rPr>
          <w:b/>
          <w:sz w:val="28"/>
          <w:szCs w:val="28"/>
        </w:rPr>
        <w:t>767</w:t>
      </w:r>
      <w:r w:rsidRPr="00B23AAA">
        <w:rPr>
          <w:b/>
          <w:sz w:val="28"/>
          <w:szCs w:val="28"/>
        </w:rPr>
        <w:t xml:space="preserve"> propisa i drugih akata.</w:t>
      </w:r>
      <w:r w:rsidRPr="0057002F">
        <w:rPr>
          <w:sz w:val="28"/>
          <w:szCs w:val="28"/>
        </w:rPr>
        <w:t xml:space="preserve"> Struktura obrađe</w:t>
      </w:r>
      <w:r w:rsidR="00B23AAA">
        <w:rPr>
          <w:sz w:val="28"/>
          <w:szCs w:val="28"/>
        </w:rPr>
        <w:t>nih predmeta iskazana</w:t>
      </w:r>
      <w:r w:rsidR="00AB4F96">
        <w:rPr>
          <w:sz w:val="28"/>
          <w:szCs w:val="28"/>
        </w:rPr>
        <w:t xml:space="preserve"> je u </w:t>
      </w:r>
      <w:r w:rsidR="00AB4F96" w:rsidRPr="009C0CC1">
        <w:rPr>
          <w:sz w:val="28"/>
          <w:szCs w:val="28"/>
        </w:rPr>
        <w:t>Tabeli 1.</w:t>
      </w:r>
    </w:p>
    <w:p w:rsidR="009C0CC1" w:rsidRDefault="009C0CC1" w:rsidP="00AB4F96">
      <w:pPr>
        <w:jc w:val="both"/>
        <w:rPr>
          <w:sz w:val="20"/>
          <w:szCs w:val="20"/>
        </w:rPr>
      </w:pPr>
    </w:p>
    <w:p w:rsidR="000E5E34" w:rsidRPr="009C0CC1" w:rsidRDefault="00AB4F96" w:rsidP="00AB4F96">
      <w:pPr>
        <w:jc w:val="both"/>
        <w:rPr>
          <w:sz w:val="20"/>
          <w:szCs w:val="20"/>
        </w:rPr>
      </w:pPr>
      <w:r w:rsidRPr="009C0CC1">
        <w:rPr>
          <w:sz w:val="20"/>
          <w:szCs w:val="20"/>
        </w:rPr>
        <w:t>Tabela 1</w:t>
      </w:r>
    </w:p>
    <w:tbl>
      <w:tblPr>
        <w:tblW w:w="8640" w:type="dxa"/>
        <w:tblInd w:w="93" w:type="dxa"/>
        <w:tblLook w:val="04A0"/>
      </w:tblPr>
      <w:tblGrid>
        <w:gridCol w:w="2880"/>
        <w:gridCol w:w="1920"/>
        <w:gridCol w:w="1920"/>
        <w:gridCol w:w="1920"/>
      </w:tblGrid>
      <w:tr w:rsidR="000B3360" w:rsidRPr="000B3360" w:rsidTr="000B3360">
        <w:trPr>
          <w:trHeight w:val="192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noWrap/>
            <w:vAlign w:val="center"/>
            <w:hideMark/>
          </w:tcPr>
          <w:p w:rsidR="000B3360" w:rsidRPr="00725399" w:rsidRDefault="000B3360" w:rsidP="000B3360">
            <w:pPr>
              <w:jc w:val="center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Vrste akata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0B3360" w:rsidRPr="00725399" w:rsidRDefault="000B3360" w:rsidP="000B3360">
            <w:pPr>
              <w:jc w:val="center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Primljeno predmeta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0B3360" w:rsidRPr="00725399" w:rsidRDefault="000B3360" w:rsidP="000B3360">
            <w:pPr>
              <w:jc w:val="center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Mišljenja sa primjedbama i sugestijama datim u neposrednoj saradnji ili pisanim putem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0B3360" w:rsidRPr="00725399" w:rsidRDefault="00816088" w:rsidP="000B3360">
            <w:pPr>
              <w:jc w:val="center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Konačna</w:t>
            </w:r>
            <w:r w:rsidR="000B3360"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 xml:space="preserve"> mišljenja</w:t>
            </w:r>
          </w:p>
        </w:tc>
      </w:tr>
      <w:tr w:rsidR="000B3360" w:rsidRPr="000B3360" w:rsidTr="000B3360">
        <w:trPr>
          <w:trHeight w:val="42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noWrap/>
            <w:vAlign w:val="center"/>
            <w:hideMark/>
          </w:tcPr>
          <w:p w:rsidR="000B3360" w:rsidRPr="00725399" w:rsidRDefault="000B3360" w:rsidP="000B3360">
            <w:pPr>
              <w:jc w:val="center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Zakoni</w:t>
            </w:r>
          </w:p>
        </w:tc>
      </w:tr>
      <w:tr w:rsidR="000B3360" w:rsidRPr="000B3360" w:rsidTr="000B3360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360" w:rsidRPr="00725399" w:rsidRDefault="000B3360" w:rsidP="00725399">
            <w:pPr>
              <w:rPr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noProof w:val="0"/>
                <w:color w:val="000000"/>
                <w:sz w:val="26"/>
                <w:szCs w:val="26"/>
                <w:lang w:val="en-US"/>
              </w:rPr>
              <w:t>Nacrti zakona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60" w:rsidRPr="00725399" w:rsidRDefault="00434504" w:rsidP="00316A96">
            <w:pPr>
              <w:jc w:val="right"/>
              <w:rPr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noProof w:val="0"/>
                <w:color w:val="000000"/>
                <w:sz w:val="26"/>
                <w:szCs w:val="26"/>
                <w:lang w:val="en-US"/>
              </w:rPr>
              <w:t>53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16</w:t>
            </w:r>
          </w:p>
        </w:tc>
      </w:tr>
      <w:tr w:rsidR="000B3360" w:rsidRPr="000B3360" w:rsidTr="000B3360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360" w:rsidRPr="00725399" w:rsidRDefault="000B3360" w:rsidP="00725399">
            <w:pPr>
              <w:rPr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noProof w:val="0"/>
                <w:color w:val="000000"/>
                <w:sz w:val="26"/>
                <w:szCs w:val="26"/>
                <w:lang w:val="en-US"/>
              </w:rPr>
              <w:t>Predlozi zakona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11</w:t>
            </w:r>
            <w:r w:rsidR="009705BB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434504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DB4AE3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238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11</w:t>
            </w:r>
            <w:r w:rsidR="009705BB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5</w:t>
            </w:r>
          </w:p>
        </w:tc>
      </w:tr>
      <w:tr w:rsidR="000B3360" w:rsidRPr="000B3360" w:rsidTr="000B3360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noWrap/>
            <w:vAlign w:val="center"/>
            <w:hideMark/>
          </w:tcPr>
          <w:p w:rsidR="000B3360" w:rsidRPr="00725399" w:rsidRDefault="000B3360" w:rsidP="00725399">
            <w:pPr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Ukupno</w:t>
            </w:r>
            <w:r w:rsidR="006E2D85"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 xml:space="preserve"> zakona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13</w:t>
            </w:r>
            <w:r w:rsidR="009705BB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B3360" w:rsidRPr="00725399" w:rsidRDefault="00434504" w:rsidP="00316A96">
            <w:pPr>
              <w:jc w:val="right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291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13</w:t>
            </w:r>
            <w:r w:rsidR="009705BB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0B3360" w:rsidRPr="000B3360" w:rsidTr="000B3360">
        <w:trPr>
          <w:trHeight w:val="315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noWrap/>
            <w:vAlign w:val="center"/>
            <w:hideMark/>
          </w:tcPr>
          <w:p w:rsidR="000B3360" w:rsidRPr="00725399" w:rsidRDefault="000B3360" w:rsidP="000B3360">
            <w:pPr>
              <w:jc w:val="center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Podzakonski i drugi akti</w:t>
            </w:r>
          </w:p>
        </w:tc>
      </w:tr>
      <w:tr w:rsidR="000B3360" w:rsidRPr="000B3360" w:rsidTr="000B3360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60" w:rsidRPr="00725399" w:rsidRDefault="000B3360" w:rsidP="000B3360">
            <w:pPr>
              <w:rPr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noProof w:val="0"/>
                <w:color w:val="000000"/>
                <w:sz w:val="26"/>
                <w:szCs w:val="26"/>
                <w:lang w:val="en-US"/>
              </w:rPr>
              <w:t>Predlozi uredbe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64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434504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71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55</w:t>
            </w:r>
          </w:p>
        </w:tc>
      </w:tr>
      <w:tr w:rsidR="000B3360" w:rsidRPr="000B3360" w:rsidTr="000B3360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60" w:rsidRPr="00725399" w:rsidRDefault="000B3360" w:rsidP="000B3360">
            <w:pPr>
              <w:rPr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noProof w:val="0"/>
                <w:color w:val="000000"/>
                <w:sz w:val="26"/>
                <w:szCs w:val="26"/>
                <w:lang w:val="en-US"/>
              </w:rPr>
              <w:t>Predlozi odluke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167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434504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108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131</w:t>
            </w:r>
          </w:p>
        </w:tc>
      </w:tr>
      <w:tr w:rsidR="000B3360" w:rsidRPr="000B3360" w:rsidTr="000B3360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60" w:rsidRPr="00725399" w:rsidRDefault="00BE2AFE" w:rsidP="000B3360">
            <w:pPr>
              <w:rPr>
                <w:noProof w:val="0"/>
                <w:color w:val="000000"/>
                <w:sz w:val="26"/>
                <w:szCs w:val="26"/>
                <w:lang w:val="en-US"/>
              </w:rPr>
            </w:pPr>
            <w:r>
              <w:rPr>
                <w:noProof w:val="0"/>
                <w:color w:val="000000"/>
                <w:sz w:val="26"/>
                <w:szCs w:val="26"/>
                <w:lang w:val="en-US"/>
              </w:rPr>
              <w:t>Predlozi pravilnika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246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434504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354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216</w:t>
            </w:r>
          </w:p>
        </w:tc>
      </w:tr>
      <w:tr w:rsidR="000B3360" w:rsidRPr="000B3360" w:rsidTr="000B3360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60" w:rsidRPr="00725399" w:rsidRDefault="000B3360" w:rsidP="000B3360">
            <w:pPr>
              <w:rPr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noProof w:val="0"/>
                <w:color w:val="000000"/>
                <w:sz w:val="26"/>
                <w:szCs w:val="26"/>
                <w:lang w:val="en-US"/>
              </w:rPr>
              <w:t>Predlozi uputstva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434504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0B3360" w:rsidRPr="000B3360" w:rsidTr="000B3360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60" w:rsidRPr="00725399" w:rsidRDefault="000B3360" w:rsidP="000B3360">
            <w:pPr>
              <w:rPr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noProof w:val="0"/>
                <w:color w:val="000000"/>
                <w:sz w:val="26"/>
                <w:szCs w:val="26"/>
                <w:lang w:val="en-US"/>
              </w:rPr>
              <w:t>Predlozi naredbi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434504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 w:rsidR="000B3360" w:rsidRPr="000B3360" w:rsidTr="000B3360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60" w:rsidRPr="00725399" w:rsidRDefault="000B3360" w:rsidP="000B3360">
            <w:pPr>
              <w:rPr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noProof w:val="0"/>
                <w:color w:val="000000"/>
                <w:sz w:val="26"/>
                <w:szCs w:val="26"/>
                <w:lang w:val="en-US"/>
              </w:rPr>
              <w:t>Predlozi drugih akata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DB4AE3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1</w:t>
            </w:r>
            <w:r w:rsidR="000E4EF6" w:rsidRPr="00DB4AE3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0</w:t>
            </w:r>
            <w:r w:rsidR="000E4EF6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434504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32</w:t>
            </w:r>
          </w:p>
        </w:tc>
      </w:tr>
      <w:tr w:rsidR="000B3360" w:rsidRPr="000B3360" w:rsidTr="000B3360">
        <w:trPr>
          <w:trHeight w:val="94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360" w:rsidRPr="00725399" w:rsidRDefault="00866006" w:rsidP="000B3360">
            <w:pPr>
              <w:rPr>
                <w:noProof w:val="0"/>
                <w:color w:val="000000"/>
                <w:sz w:val="26"/>
                <w:szCs w:val="26"/>
                <w:lang w:val="en-US"/>
              </w:rPr>
            </w:pPr>
            <w:r>
              <w:rPr>
                <w:noProof w:val="0"/>
                <w:color w:val="000000"/>
                <w:sz w:val="26"/>
                <w:szCs w:val="26"/>
                <w:lang w:val="en-US"/>
              </w:rPr>
              <w:t>Inicijative/predlozi</w:t>
            </w:r>
            <w:r w:rsidR="000B3360" w:rsidRPr="00725399">
              <w:rPr>
                <w:noProof w:val="0"/>
                <w:color w:val="000000"/>
                <w:sz w:val="26"/>
                <w:szCs w:val="26"/>
                <w:lang w:val="en-US"/>
              </w:rPr>
              <w:t xml:space="preserve"> za pokretanje postupka za ocjenu ustavnosti i zakonitosti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60" w:rsidRPr="00725399" w:rsidRDefault="00442753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Cs/>
                <w:noProof w:val="0"/>
                <w:color w:val="000000"/>
                <w:sz w:val="26"/>
                <w:szCs w:val="26"/>
                <w:lang w:val="en-US"/>
              </w:rPr>
              <w:t>34</w:t>
            </w:r>
          </w:p>
        </w:tc>
      </w:tr>
      <w:tr w:rsidR="000B3360" w:rsidRPr="000B3360" w:rsidTr="000B3360">
        <w:trPr>
          <w:trHeight w:val="6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0B3360" w:rsidRPr="00725399" w:rsidRDefault="000B3360" w:rsidP="00725399">
            <w:pPr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Ukupno podzakonskih i drugih akata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6</w:t>
            </w:r>
            <w:r w:rsidR="000E4EF6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B3360" w:rsidRPr="00725399" w:rsidRDefault="00434504" w:rsidP="00316A96">
            <w:pPr>
              <w:jc w:val="right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575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4</w:t>
            </w:r>
            <w:r w:rsidR="004775A0"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7</w:t>
            </w: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7</w:t>
            </w:r>
          </w:p>
        </w:tc>
      </w:tr>
      <w:tr w:rsidR="000B3360" w:rsidRPr="000B3360" w:rsidTr="000B3360">
        <w:trPr>
          <w:trHeight w:val="6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0B3360" w:rsidRPr="00725399" w:rsidRDefault="00725399" w:rsidP="00725399">
            <w:pPr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UKUPNO ZAKONA, PODZAKONSKIH I DRUGIH AKATA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B3360" w:rsidRPr="00725399" w:rsidRDefault="000E4EF6" w:rsidP="00316A96">
            <w:pPr>
              <w:jc w:val="right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767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B3360" w:rsidRPr="00725399" w:rsidRDefault="00434504" w:rsidP="00316A96">
            <w:pPr>
              <w:jc w:val="right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866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0B3360" w:rsidRPr="00725399" w:rsidRDefault="000B3360" w:rsidP="00316A96">
            <w:pPr>
              <w:jc w:val="right"/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725399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60</w:t>
            </w:r>
            <w:r w:rsidR="000E4EF6">
              <w:rPr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8</w:t>
            </w:r>
          </w:p>
        </w:tc>
      </w:tr>
    </w:tbl>
    <w:p w:rsidR="001535A6" w:rsidRPr="00AC3BE3" w:rsidRDefault="001535A6" w:rsidP="00AC3BE3">
      <w:pPr>
        <w:jc w:val="both"/>
        <w:rPr>
          <w:sz w:val="28"/>
          <w:szCs w:val="28"/>
          <w:highlight w:val="yellow"/>
        </w:rPr>
      </w:pPr>
    </w:p>
    <w:p w:rsidR="00CE68B6" w:rsidRPr="00A22CB4" w:rsidRDefault="00584101" w:rsidP="00A22CB4">
      <w:pPr>
        <w:ind w:firstLine="720"/>
        <w:jc w:val="both"/>
        <w:rPr>
          <w:sz w:val="28"/>
          <w:szCs w:val="28"/>
        </w:rPr>
      </w:pPr>
      <w:r w:rsidRPr="00434504">
        <w:rPr>
          <w:sz w:val="28"/>
          <w:szCs w:val="28"/>
        </w:rPr>
        <w:lastRenderedPageBreak/>
        <w:t xml:space="preserve">Dakle, kao što se može vidjeti iz </w:t>
      </w:r>
      <w:r w:rsidR="00E90757" w:rsidRPr="00434504">
        <w:rPr>
          <w:sz w:val="28"/>
          <w:szCs w:val="28"/>
        </w:rPr>
        <w:t>navedene</w:t>
      </w:r>
      <w:r w:rsidR="00AC3BE3">
        <w:rPr>
          <w:sz w:val="28"/>
          <w:szCs w:val="28"/>
        </w:rPr>
        <w:t xml:space="preserve"> tabele</w:t>
      </w:r>
      <w:r w:rsidRPr="00434504">
        <w:rPr>
          <w:sz w:val="28"/>
          <w:szCs w:val="28"/>
        </w:rPr>
        <w:t xml:space="preserve">, </w:t>
      </w:r>
      <w:r w:rsidR="00CE68B6" w:rsidRPr="008B6A4C">
        <w:rPr>
          <w:b/>
          <w:sz w:val="28"/>
          <w:szCs w:val="28"/>
        </w:rPr>
        <w:t xml:space="preserve">Sekretarijat  je u 2014. godini dao </w:t>
      </w:r>
      <w:r w:rsidR="00434504" w:rsidRPr="008B6A4C">
        <w:rPr>
          <w:b/>
          <w:sz w:val="28"/>
          <w:szCs w:val="28"/>
        </w:rPr>
        <w:t>866</w:t>
      </w:r>
      <w:r w:rsidR="00CE68B6" w:rsidRPr="008B6A4C">
        <w:rPr>
          <w:b/>
          <w:sz w:val="28"/>
          <w:szCs w:val="28"/>
        </w:rPr>
        <w:t xml:space="preserve"> mišljenja sa primjedbama i sugestijama datim u neposrednoj saradnji ili pisanim </w:t>
      </w:r>
      <w:r w:rsidR="00CE68B6" w:rsidRPr="00434504">
        <w:rPr>
          <w:b/>
          <w:sz w:val="28"/>
          <w:szCs w:val="28"/>
        </w:rPr>
        <w:t>putem</w:t>
      </w:r>
      <w:r w:rsidR="0014341D">
        <w:rPr>
          <w:b/>
          <w:sz w:val="28"/>
          <w:szCs w:val="28"/>
        </w:rPr>
        <w:t xml:space="preserve"> </w:t>
      </w:r>
      <w:r w:rsidR="00017961">
        <w:rPr>
          <w:b/>
          <w:bCs/>
          <w:noProof w:val="0"/>
          <w:lang w:val="en-US"/>
        </w:rPr>
        <w:t>(</w:t>
      </w:r>
      <w:r w:rsidR="00434504" w:rsidRPr="00434504">
        <w:rPr>
          <w:sz w:val="28"/>
          <w:szCs w:val="28"/>
        </w:rPr>
        <w:t>291</w:t>
      </w:r>
      <w:r w:rsidR="00017961">
        <w:rPr>
          <w:sz w:val="28"/>
          <w:szCs w:val="28"/>
        </w:rPr>
        <w:t xml:space="preserve"> na nacrte /predloge zakona i </w:t>
      </w:r>
      <w:r w:rsidR="00434504" w:rsidRPr="00434504">
        <w:rPr>
          <w:sz w:val="28"/>
          <w:szCs w:val="28"/>
        </w:rPr>
        <w:t>575</w:t>
      </w:r>
      <w:r w:rsidR="00CE68B6" w:rsidRPr="00434504">
        <w:rPr>
          <w:sz w:val="28"/>
          <w:szCs w:val="28"/>
        </w:rPr>
        <w:t xml:space="preserve"> na predloge podzakonskih i drugih akata</w:t>
      </w:r>
      <w:r w:rsidR="00017961">
        <w:rPr>
          <w:sz w:val="28"/>
          <w:szCs w:val="28"/>
        </w:rPr>
        <w:t>)</w:t>
      </w:r>
      <w:r w:rsidR="00A22CB4">
        <w:rPr>
          <w:sz w:val="28"/>
          <w:szCs w:val="28"/>
        </w:rPr>
        <w:t xml:space="preserve"> i</w:t>
      </w:r>
      <w:r w:rsidR="0014341D">
        <w:rPr>
          <w:sz w:val="28"/>
          <w:szCs w:val="28"/>
        </w:rPr>
        <w:t xml:space="preserve"> </w:t>
      </w:r>
      <w:r w:rsidR="000E4EF6">
        <w:rPr>
          <w:b/>
          <w:sz w:val="28"/>
          <w:szCs w:val="28"/>
        </w:rPr>
        <w:t>608</w:t>
      </w:r>
      <w:r w:rsidR="00A22CB4">
        <w:rPr>
          <w:b/>
          <w:sz w:val="28"/>
          <w:szCs w:val="28"/>
        </w:rPr>
        <w:t xml:space="preserve"> konačnih miš</w:t>
      </w:r>
      <w:r w:rsidR="00CE68B6" w:rsidRPr="00CE68B6">
        <w:rPr>
          <w:b/>
          <w:sz w:val="28"/>
          <w:szCs w:val="28"/>
        </w:rPr>
        <w:t>ljenja</w:t>
      </w:r>
      <w:r w:rsidR="0014341D">
        <w:rPr>
          <w:b/>
          <w:sz w:val="28"/>
          <w:szCs w:val="28"/>
        </w:rPr>
        <w:t xml:space="preserve"> </w:t>
      </w:r>
      <w:r w:rsidR="00A22CB4">
        <w:rPr>
          <w:sz w:val="28"/>
          <w:szCs w:val="28"/>
        </w:rPr>
        <w:t>(</w:t>
      </w:r>
      <w:r w:rsidR="000E4EF6">
        <w:rPr>
          <w:sz w:val="28"/>
          <w:szCs w:val="28"/>
        </w:rPr>
        <w:t>131</w:t>
      </w:r>
      <w:r w:rsidR="00CE68B6" w:rsidRPr="00CE68B6">
        <w:rPr>
          <w:sz w:val="28"/>
          <w:szCs w:val="28"/>
        </w:rPr>
        <w:t xml:space="preserve"> </w:t>
      </w:r>
      <w:r w:rsidR="00A22CB4">
        <w:rPr>
          <w:sz w:val="28"/>
          <w:szCs w:val="28"/>
        </w:rPr>
        <w:t>na nacrte</w:t>
      </w:r>
      <w:r w:rsidR="00CE68B6" w:rsidRPr="00CE68B6">
        <w:rPr>
          <w:sz w:val="28"/>
          <w:szCs w:val="28"/>
        </w:rPr>
        <w:t>/pred</w:t>
      </w:r>
      <w:r w:rsidR="00A22CB4">
        <w:rPr>
          <w:sz w:val="28"/>
          <w:szCs w:val="28"/>
        </w:rPr>
        <w:t xml:space="preserve">loge zakona i </w:t>
      </w:r>
      <w:r w:rsidR="00CE68B6" w:rsidRPr="00CE68B6">
        <w:rPr>
          <w:sz w:val="28"/>
          <w:szCs w:val="28"/>
        </w:rPr>
        <w:t>477 na predl</w:t>
      </w:r>
      <w:r w:rsidR="00A22CB4">
        <w:rPr>
          <w:sz w:val="28"/>
          <w:szCs w:val="28"/>
        </w:rPr>
        <w:t>oge podzakonskih i drugih akata).</w:t>
      </w:r>
    </w:p>
    <w:p w:rsidR="00E720D4" w:rsidRPr="00AA12B0" w:rsidRDefault="00E720D4" w:rsidP="00BD65F5">
      <w:pPr>
        <w:ind w:firstLine="720"/>
        <w:jc w:val="both"/>
        <w:rPr>
          <w:b/>
          <w:sz w:val="28"/>
          <w:szCs w:val="28"/>
        </w:rPr>
      </w:pPr>
      <w:r w:rsidRPr="00AA12B0">
        <w:rPr>
          <w:b/>
          <w:color w:val="000000"/>
          <w:sz w:val="28"/>
          <w:szCs w:val="28"/>
        </w:rPr>
        <w:t>Ovako uočljiva razlika između broj</w:t>
      </w:r>
      <w:r w:rsidR="00BC1CF2" w:rsidRPr="00AA12B0">
        <w:rPr>
          <w:b/>
          <w:color w:val="000000"/>
          <w:sz w:val="28"/>
          <w:szCs w:val="28"/>
        </w:rPr>
        <w:t>a</w:t>
      </w:r>
      <w:r w:rsidR="000E4EF6">
        <w:rPr>
          <w:b/>
          <w:color w:val="000000"/>
          <w:sz w:val="28"/>
          <w:szCs w:val="28"/>
        </w:rPr>
        <w:t xml:space="preserve"> primljenih propisa (767</w:t>
      </w:r>
      <w:r w:rsidRPr="00AA12B0">
        <w:rPr>
          <w:b/>
          <w:color w:val="000000"/>
          <w:sz w:val="28"/>
          <w:szCs w:val="28"/>
        </w:rPr>
        <w:t>)</w:t>
      </w:r>
      <w:r w:rsidR="00BC1CF2" w:rsidRPr="00AA12B0">
        <w:rPr>
          <w:b/>
          <w:color w:val="000000"/>
          <w:sz w:val="28"/>
          <w:szCs w:val="28"/>
        </w:rPr>
        <w:t xml:space="preserve"> i broja </w:t>
      </w:r>
      <w:r w:rsidRPr="00AA12B0">
        <w:rPr>
          <w:b/>
          <w:color w:val="000000"/>
          <w:sz w:val="28"/>
          <w:szCs w:val="28"/>
        </w:rPr>
        <w:t xml:space="preserve">mišljenja </w:t>
      </w:r>
      <w:r w:rsidR="00BC1CF2" w:rsidRPr="00AA12B0">
        <w:rPr>
          <w:b/>
          <w:color w:val="000000"/>
          <w:sz w:val="28"/>
          <w:szCs w:val="28"/>
        </w:rPr>
        <w:t>datih u neposrednoj saradnji ili pisanim putem (866) nastala je iz razlog</w:t>
      </w:r>
      <w:r w:rsidR="00226752" w:rsidRPr="00AA12B0">
        <w:rPr>
          <w:b/>
          <w:color w:val="000000"/>
          <w:sz w:val="28"/>
          <w:szCs w:val="28"/>
        </w:rPr>
        <w:t>a</w:t>
      </w:r>
      <w:r w:rsidR="00BC1CF2" w:rsidRPr="00AA12B0">
        <w:rPr>
          <w:b/>
          <w:color w:val="000000"/>
          <w:sz w:val="28"/>
          <w:szCs w:val="28"/>
        </w:rPr>
        <w:t xml:space="preserve"> što </w:t>
      </w:r>
      <w:r w:rsidR="00666657" w:rsidRPr="00AA12B0">
        <w:rPr>
          <w:b/>
          <w:sz w:val="28"/>
          <w:szCs w:val="28"/>
        </w:rPr>
        <w:t xml:space="preserve">prilikom pripreme propisa nijesu u potpunosti primijenjena Pravno-tehnička pravila za izradu propisa, pa je prije davanja konačnog mišljenja Sekretarijat na isti zakon ili propis u više navrata davao mišljenje (primjedbe, predloge i sugestije) i u pisanoj formi i u neposrednoj saradnji. </w:t>
      </w:r>
    </w:p>
    <w:p w:rsidR="000916F8" w:rsidRPr="000916F8" w:rsidRDefault="000916F8" w:rsidP="00E720D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Aktivnosti Sekretarijata bliže su izražene i precizno naznačene po sektorima rada u tabelama koje su prilog ovog izvještaja. </w:t>
      </w:r>
    </w:p>
    <w:p w:rsidR="00352C88" w:rsidRPr="0057002F" w:rsidRDefault="002076C2" w:rsidP="00352C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U okviru ostvarivanja utvrđenih nadležnosti</w:t>
      </w:r>
      <w:r w:rsidR="00D67849">
        <w:rPr>
          <w:sz w:val="28"/>
          <w:szCs w:val="28"/>
        </w:rPr>
        <w:t>,</w:t>
      </w:r>
      <w:r w:rsidR="0014341D">
        <w:rPr>
          <w:sz w:val="28"/>
          <w:szCs w:val="28"/>
        </w:rPr>
        <w:t xml:space="preserve"> </w:t>
      </w:r>
      <w:r w:rsidR="00D67849" w:rsidRPr="0057002F">
        <w:rPr>
          <w:sz w:val="28"/>
          <w:szCs w:val="28"/>
        </w:rPr>
        <w:t xml:space="preserve">Sekretarijat </w:t>
      </w:r>
      <w:r w:rsidR="00D67849">
        <w:rPr>
          <w:sz w:val="28"/>
          <w:szCs w:val="28"/>
        </w:rPr>
        <w:t>n</w:t>
      </w:r>
      <w:r w:rsidR="00352C88" w:rsidRPr="0057002F">
        <w:rPr>
          <w:sz w:val="28"/>
          <w:szCs w:val="28"/>
        </w:rPr>
        <w:t>akon prijema teksta</w:t>
      </w:r>
      <w:r w:rsidR="00854CCD" w:rsidRPr="0057002F">
        <w:rPr>
          <w:sz w:val="28"/>
          <w:szCs w:val="28"/>
        </w:rPr>
        <w:t xml:space="preserve"> nacrta/</w:t>
      </w:r>
      <w:r w:rsidR="00352C88" w:rsidRPr="0057002F">
        <w:rPr>
          <w:sz w:val="28"/>
          <w:szCs w:val="28"/>
        </w:rPr>
        <w:t xml:space="preserve">predloga zakona ili drugog propisa, dostavljeni tekst </w:t>
      </w:r>
      <w:r w:rsidR="00CE68B6" w:rsidRPr="0057002F">
        <w:rPr>
          <w:sz w:val="28"/>
          <w:szCs w:val="28"/>
        </w:rPr>
        <w:t xml:space="preserve">cjelovito i svestrano </w:t>
      </w:r>
      <w:r w:rsidR="00352C88" w:rsidRPr="0057002F">
        <w:rPr>
          <w:sz w:val="28"/>
          <w:szCs w:val="28"/>
        </w:rPr>
        <w:t>sagledava sa aspekta nadležnosti ovog organa, poslije čega se</w:t>
      </w:r>
      <w:r w:rsidR="0014341D">
        <w:rPr>
          <w:sz w:val="28"/>
          <w:szCs w:val="28"/>
        </w:rPr>
        <w:t xml:space="preserve"> </w:t>
      </w:r>
      <w:r w:rsidR="00352C88" w:rsidRPr="0057002F">
        <w:rPr>
          <w:sz w:val="28"/>
          <w:szCs w:val="28"/>
        </w:rPr>
        <w:t>obrađivaču, odnosno ministarstvu daju odgovarajuće primjedbe i sugestije.</w:t>
      </w:r>
    </w:p>
    <w:p w:rsidR="00C224C5" w:rsidRPr="0057002F" w:rsidRDefault="00F77AB4" w:rsidP="00352C88">
      <w:pPr>
        <w:ind w:firstLine="720"/>
        <w:jc w:val="both"/>
        <w:rPr>
          <w:sz w:val="28"/>
          <w:szCs w:val="28"/>
        </w:rPr>
      </w:pPr>
      <w:r w:rsidRPr="00F85B47">
        <w:rPr>
          <w:b/>
          <w:sz w:val="28"/>
          <w:szCs w:val="28"/>
        </w:rPr>
        <w:t>Z</w:t>
      </w:r>
      <w:r w:rsidR="00EC2F6C" w:rsidRPr="00F85B47">
        <w:rPr>
          <w:b/>
          <w:sz w:val="28"/>
          <w:szCs w:val="28"/>
        </w:rPr>
        <w:t>avisno od stepena kvaliteta obrade dostavljenog akta i objektivnih okolnosti</w:t>
      </w:r>
      <w:r w:rsidR="0014341D">
        <w:rPr>
          <w:b/>
          <w:sz w:val="28"/>
          <w:szCs w:val="28"/>
        </w:rPr>
        <w:t xml:space="preserve"> </w:t>
      </w:r>
      <w:r w:rsidR="00B5585B" w:rsidRPr="0057002F">
        <w:rPr>
          <w:sz w:val="28"/>
          <w:szCs w:val="28"/>
        </w:rPr>
        <w:t xml:space="preserve">(koje se </w:t>
      </w:r>
      <w:r w:rsidR="00E339A3" w:rsidRPr="0057002F">
        <w:rPr>
          <w:sz w:val="28"/>
          <w:szCs w:val="28"/>
        </w:rPr>
        <w:t xml:space="preserve">najčešće </w:t>
      </w:r>
      <w:r w:rsidR="00B5585B" w:rsidRPr="0057002F">
        <w:rPr>
          <w:sz w:val="28"/>
          <w:szCs w:val="28"/>
        </w:rPr>
        <w:t>odnose na</w:t>
      </w:r>
      <w:r w:rsidR="0014341D">
        <w:rPr>
          <w:sz w:val="28"/>
          <w:szCs w:val="28"/>
        </w:rPr>
        <w:t xml:space="preserve"> </w:t>
      </w:r>
      <w:r w:rsidR="00EC2F6C" w:rsidRPr="00752A11">
        <w:rPr>
          <w:b/>
          <w:sz w:val="28"/>
          <w:szCs w:val="28"/>
        </w:rPr>
        <w:t>hitnost</w:t>
      </w:r>
      <w:r w:rsidR="00B5585B" w:rsidRPr="0057002F">
        <w:rPr>
          <w:sz w:val="28"/>
          <w:szCs w:val="28"/>
        </w:rPr>
        <w:t>)</w:t>
      </w:r>
      <w:r w:rsidR="00EC2F6C" w:rsidRPr="0057002F">
        <w:rPr>
          <w:sz w:val="28"/>
          <w:szCs w:val="28"/>
        </w:rPr>
        <w:t xml:space="preserve">, </w:t>
      </w:r>
      <w:r w:rsidR="00EC2F6C" w:rsidRPr="00F85B47">
        <w:rPr>
          <w:b/>
          <w:sz w:val="28"/>
          <w:szCs w:val="28"/>
        </w:rPr>
        <w:t xml:space="preserve">Sekretarijat </w:t>
      </w:r>
      <w:r w:rsidRPr="00F85B47">
        <w:rPr>
          <w:b/>
          <w:sz w:val="28"/>
          <w:szCs w:val="28"/>
        </w:rPr>
        <w:t xml:space="preserve">primjedbe i sugestije </w:t>
      </w:r>
      <w:r w:rsidR="00EC2F6C" w:rsidRPr="00F85B47">
        <w:rPr>
          <w:b/>
          <w:sz w:val="28"/>
          <w:szCs w:val="28"/>
        </w:rPr>
        <w:t>daje u pisanom obliku ili u neposrednoj saradnji sa predstavnicima obrađivača, što podrazumijeva</w:t>
      </w:r>
      <w:r w:rsidR="00C224C5" w:rsidRPr="00F85B47">
        <w:rPr>
          <w:b/>
          <w:sz w:val="28"/>
          <w:szCs w:val="28"/>
        </w:rPr>
        <w:t xml:space="preserve"> ukazivanje na potrebu otklanjanja određenih neusklađenosti ili preispitivanja predloženih rješenja </w:t>
      </w:r>
      <w:r w:rsidR="00EC2F6C" w:rsidRPr="00F85B47">
        <w:rPr>
          <w:b/>
          <w:sz w:val="28"/>
          <w:szCs w:val="28"/>
        </w:rPr>
        <w:t>i pomoć u formulisanju konkretnih rješenja</w:t>
      </w:r>
      <w:r w:rsidR="00EC2F6C" w:rsidRPr="0057002F">
        <w:rPr>
          <w:sz w:val="28"/>
          <w:szCs w:val="28"/>
        </w:rPr>
        <w:t xml:space="preserve">, za koja se obrađivač opredijelio u okviru svoje nadležnosti. </w:t>
      </w:r>
    </w:p>
    <w:p w:rsidR="00352C88" w:rsidRPr="00181D3D" w:rsidRDefault="00F77AB4" w:rsidP="00352C88">
      <w:pPr>
        <w:ind w:firstLine="720"/>
        <w:jc w:val="both"/>
        <w:rPr>
          <w:b/>
          <w:sz w:val="28"/>
          <w:szCs w:val="28"/>
        </w:rPr>
      </w:pPr>
      <w:r w:rsidRPr="0057002F">
        <w:rPr>
          <w:sz w:val="28"/>
          <w:szCs w:val="28"/>
        </w:rPr>
        <w:t>Sekretarijat za zakonodavstvo p</w:t>
      </w:r>
      <w:r w:rsidR="008C621D" w:rsidRPr="0057002F">
        <w:rPr>
          <w:sz w:val="28"/>
          <w:szCs w:val="28"/>
        </w:rPr>
        <w:t xml:space="preserve">isane primjedbe </w:t>
      </w:r>
      <w:r w:rsidR="00352C88" w:rsidRPr="0057002F">
        <w:rPr>
          <w:sz w:val="28"/>
          <w:szCs w:val="28"/>
        </w:rPr>
        <w:t xml:space="preserve">zavisno od kvaliteta obrade teksta propisa, daje kao </w:t>
      </w:r>
      <w:r w:rsidR="00352C88" w:rsidRPr="00181D3D">
        <w:rPr>
          <w:b/>
          <w:sz w:val="28"/>
          <w:szCs w:val="28"/>
        </w:rPr>
        <w:t xml:space="preserve">opšte (načelne) i/ili primjedbe na pojedine odredbe. </w:t>
      </w:r>
      <w:r w:rsidRPr="00181D3D">
        <w:rPr>
          <w:b/>
          <w:sz w:val="28"/>
          <w:szCs w:val="28"/>
        </w:rPr>
        <w:t>N</w:t>
      </w:r>
      <w:r w:rsidR="00352C88" w:rsidRPr="00181D3D">
        <w:rPr>
          <w:b/>
          <w:sz w:val="28"/>
          <w:szCs w:val="28"/>
        </w:rPr>
        <w:t>akon otklanjanja suštinskih nedostataka</w:t>
      </w:r>
      <w:r w:rsidR="00352C88" w:rsidRPr="0057002F">
        <w:rPr>
          <w:sz w:val="28"/>
          <w:szCs w:val="28"/>
        </w:rPr>
        <w:t xml:space="preserve"> koji se odnose na neusklađenost sa Ustavom i pravnim sistemom</w:t>
      </w:r>
      <w:r w:rsidR="00402AF4" w:rsidRPr="0057002F">
        <w:rPr>
          <w:sz w:val="28"/>
          <w:szCs w:val="28"/>
        </w:rPr>
        <w:t xml:space="preserve"> Crne Gore</w:t>
      </w:r>
      <w:r w:rsidR="00AE2015">
        <w:rPr>
          <w:sz w:val="28"/>
          <w:szCs w:val="28"/>
        </w:rPr>
        <w:t xml:space="preserve">, </w:t>
      </w:r>
      <w:r w:rsidR="007A050B">
        <w:rPr>
          <w:b/>
          <w:sz w:val="28"/>
          <w:szCs w:val="28"/>
        </w:rPr>
        <w:t>vrše</w:t>
      </w:r>
      <w:r w:rsidR="00AE2015" w:rsidRPr="00181D3D">
        <w:rPr>
          <w:b/>
          <w:sz w:val="28"/>
          <w:szCs w:val="28"/>
        </w:rPr>
        <w:t xml:space="preserve"> se pravno-tehnička</w:t>
      </w:r>
      <w:r w:rsidRPr="00181D3D">
        <w:rPr>
          <w:b/>
          <w:sz w:val="28"/>
          <w:szCs w:val="28"/>
        </w:rPr>
        <w:t xml:space="preserve"> i jezička poboljšanja dostavljenog teksta.</w:t>
      </w:r>
    </w:p>
    <w:p w:rsidR="00104C7D" w:rsidRPr="0057002F" w:rsidRDefault="009878C3" w:rsidP="00104C7D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Dakle, d</w:t>
      </w:r>
      <w:r w:rsidR="00104C7D" w:rsidRPr="0057002F">
        <w:rPr>
          <w:sz w:val="28"/>
          <w:szCs w:val="28"/>
        </w:rPr>
        <w:t xml:space="preserve">avanje mišljenja podrazumijeva i pomoć koju Sekretarijat pruža ministarstvima prilikom izrade zakona i drugih propisa </w:t>
      </w:r>
      <w:r w:rsidR="003A4323" w:rsidRPr="0057002F">
        <w:rPr>
          <w:sz w:val="28"/>
          <w:szCs w:val="28"/>
        </w:rPr>
        <w:t>u odnosu</w:t>
      </w:r>
      <w:r w:rsidR="00104C7D" w:rsidRPr="0057002F">
        <w:rPr>
          <w:color w:val="000000"/>
          <w:sz w:val="28"/>
          <w:szCs w:val="28"/>
          <w:lang w:val="sr-Latn-BA"/>
        </w:rPr>
        <w:t xml:space="preserve"> na strukturu, sistematiku, jezik i stil propisa, kao i na primjenu drugih pravno-tehničkih pravila kojima se obezbjeđuje stručno-metodološko jedinstvo u postupku njihove pripreme i doprinosi njihovom kvalitetu.</w:t>
      </w:r>
    </w:p>
    <w:p w:rsidR="00F77AB4" w:rsidRPr="003D44D7" w:rsidRDefault="006A6EEE" w:rsidP="00F77AB4">
      <w:pPr>
        <w:ind w:firstLine="720"/>
        <w:jc w:val="both"/>
        <w:rPr>
          <w:b/>
          <w:sz w:val="28"/>
          <w:szCs w:val="28"/>
        </w:rPr>
      </w:pPr>
      <w:r w:rsidRPr="0057002F">
        <w:rPr>
          <w:sz w:val="28"/>
          <w:szCs w:val="28"/>
        </w:rPr>
        <w:t>R</w:t>
      </w:r>
      <w:r w:rsidR="00F77AB4" w:rsidRPr="0057002F">
        <w:rPr>
          <w:sz w:val="28"/>
          <w:szCs w:val="28"/>
        </w:rPr>
        <w:t>adi svestranijeg sagledavanja spornih pitanja i zauzimanja stavova po tim pitanjima, a što je u funkciji kvaliteta,</w:t>
      </w:r>
      <w:r w:rsidRPr="0057002F">
        <w:rPr>
          <w:sz w:val="28"/>
          <w:szCs w:val="28"/>
        </w:rPr>
        <w:t xml:space="preserve"> u Sekretarijatu se</w:t>
      </w:r>
      <w:r w:rsidR="0014341D">
        <w:rPr>
          <w:sz w:val="28"/>
          <w:szCs w:val="28"/>
        </w:rPr>
        <w:t xml:space="preserve"> </w:t>
      </w:r>
      <w:r w:rsidR="00F77AB4" w:rsidRPr="003D44D7">
        <w:rPr>
          <w:b/>
          <w:sz w:val="28"/>
          <w:szCs w:val="28"/>
        </w:rPr>
        <w:t>u okviru sektora radi timski</w:t>
      </w:r>
      <w:r w:rsidR="00F77AB4" w:rsidRPr="0057002F">
        <w:rPr>
          <w:sz w:val="28"/>
          <w:szCs w:val="28"/>
        </w:rPr>
        <w:t xml:space="preserve">, po potrebi se organizuje i </w:t>
      </w:r>
      <w:r w:rsidR="00F77AB4" w:rsidRPr="003D44D7">
        <w:rPr>
          <w:b/>
          <w:sz w:val="28"/>
          <w:szCs w:val="28"/>
        </w:rPr>
        <w:t xml:space="preserve">međusektorski rad, a kad </w:t>
      </w:r>
      <w:r w:rsidR="00F77AB4" w:rsidRPr="003D44D7">
        <w:rPr>
          <w:b/>
          <w:sz w:val="28"/>
          <w:szCs w:val="28"/>
        </w:rPr>
        <w:lastRenderedPageBreak/>
        <w:t>se radi o naročito složenim pitanjima, stavovi o tim pitanjima zauzimaju se na kolegijumu.</w:t>
      </w:r>
    </w:p>
    <w:p w:rsidR="00AB036B" w:rsidRPr="0057002F" w:rsidRDefault="00AB036B" w:rsidP="00AB036B">
      <w:pPr>
        <w:tabs>
          <w:tab w:val="left" w:pos="3885"/>
        </w:tabs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Posebno ističemo da je </w:t>
      </w:r>
      <w:r w:rsidRPr="00381158">
        <w:rPr>
          <w:b/>
          <w:sz w:val="28"/>
          <w:szCs w:val="28"/>
        </w:rPr>
        <w:t>tokom 2014. godine</w:t>
      </w:r>
      <w:r w:rsidRPr="0057002F">
        <w:rPr>
          <w:sz w:val="28"/>
          <w:szCs w:val="28"/>
        </w:rPr>
        <w:t xml:space="preserve">, </w:t>
      </w:r>
      <w:r w:rsidRPr="00381158">
        <w:rPr>
          <w:b/>
          <w:sz w:val="28"/>
          <w:szCs w:val="28"/>
        </w:rPr>
        <w:t xml:space="preserve">uvedena praksa da </w:t>
      </w:r>
      <w:r w:rsidR="006A6EEE" w:rsidRPr="00381158">
        <w:rPr>
          <w:b/>
          <w:sz w:val="28"/>
          <w:szCs w:val="28"/>
        </w:rPr>
        <w:t xml:space="preserve">obrađivač na nacrt/predlog zakona, </w:t>
      </w:r>
      <w:r w:rsidRPr="00381158">
        <w:rPr>
          <w:b/>
          <w:sz w:val="28"/>
          <w:szCs w:val="28"/>
        </w:rPr>
        <w:t>prije dostavljanja Evropskoj komisiji</w:t>
      </w:r>
      <w:r w:rsidR="006A6EEE" w:rsidRPr="00381158">
        <w:rPr>
          <w:b/>
          <w:sz w:val="28"/>
          <w:szCs w:val="28"/>
        </w:rPr>
        <w:t>,</w:t>
      </w:r>
      <w:r w:rsidRPr="00381158">
        <w:rPr>
          <w:b/>
          <w:sz w:val="28"/>
          <w:szCs w:val="28"/>
        </w:rPr>
        <w:t xml:space="preserve"> zahtijeva mišljenje Sekretarijata</w:t>
      </w:r>
      <w:r w:rsidRPr="0057002F">
        <w:rPr>
          <w:sz w:val="28"/>
          <w:szCs w:val="28"/>
        </w:rPr>
        <w:t xml:space="preserve"> za zakonodavstvo, odnosno neposrednu saradnju radi poboljšanja teksta zakona. Nakon usklađivanja teksta nacrta/predloga zakona sa mišljenjima, sugestijama i predlozima Evropske komisije obrađivač</w:t>
      </w:r>
      <w:r w:rsidR="0091634C">
        <w:rPr>
          <w:sz w:val="28"/>
          <w:szCs w:val="28"/>
        </w:rPr>
        <w:t>,</w:t>
      </w:r>
      <w:r w:rsidR="00DB4AE3">
        <w:rPr>
          <w:sz w:val="28"/>
          <w:szCs w:val="28"/>
        </w:rPr>
        <w:t xml:space="preserve"> </w:t>
      </w:r>
      <w:r w:rsidRPr="009776AF">
        <w:rPr>
          <w:b/>
          <w:sz w:val="28"/>
          <w:szCs w:val="28"/>
        </w:rPr>
        <w:t>inovirani tekst ponovo dostavlja Sekretarijatu</w:t>
      </w:r>
      <w:r w:rsidR="0014341D">
        <w:rPr>
          <w:b/>
          <w:sz w:val="28"/>
          <w:szCs w:val="28"/>
        </w:rPr>
        <w:t xml:space="preserve"> </w:t>
      </w:r>
      <w:r w:rsidRPr="009776AF">
        <w:rPr>
          <w:b/>
          <w:sz w:val="28"/>
          <w:szCs w:val="28"/>
        </w:rPr>
        <w:t>na mišljenje</w:t>
      </w:r>
      <w:r w:rsidRPr="0057002F">
        <w:rPr>
          <w:sz w:val="28"/>
          <w:szCs w:val="28"/>
        </w:rPr>
        <w:t xml:space="preserve">, što zahtijeva dodatan napor i pojačan rad za službenike Sekretarijata. </w:t>
      </w:r>
      <w:r w:rsidRPr="0057002F">
        <w:rPr>
          <w:sz w:val="28"/>
          <w:szCs w:val="28"/>
        </w:rPr>
        <w:tab/>
      </w:r>
    </w:p>
    <w:p w:rsidR="006A6EEE" w:rsidRPr="0057002F" w:rsidRDefault="006A6EEE" w:rsidP="006A6EEE">
      <w:pPr>
        <w:ind w:firstLine="720"/>
        <w:jc w:val="both"/>
        <w:rPr>
          <w:sz w:val="28"/>
          <w:szCs w:val="28"/>
        </w:rPr>
      </w:pPr>
      <w:r w:rsidRPr="000E4EF6">
        <w:rPr>
          <w:b/>
          <w:sz w:val="28"/>
          <w:szCs w:val="28"/>
        </w:rPr>
        <w:t>Konačno mišljenje</w:t>
      </w:r>
      <w:r w:rsidRPr="0057002F">
        <w:rPr>
          <w:sz w:val="28"/>
          <w:szCs w:val="28"/>
        </w:rPr>
        <w:t xml:space="preserve">, a to podrazumijeva mišljenje da je tekst predloga zakona, drugog propisa ili opšteg akta usklađen sa Ustavom i pravnim sistemom Crne Gore, odnosno da nema primjedaba i sugestija iz okvira svojih nadležnosti, </w:t>
      </w:r>
      <w:r w:rsidRPr="000E4EF6">
        <w:rPr>
          <w:b/>
          <w:sz w:val="28"/>
          <w:szCs w:val="28"/>
        </w:rPr>
        <w:t>Sekretarijat daje nakon što obrađivač odnosno ministarstvo, u jednoj ili više faza, izvrši usklađivanje dostavljenog teksta nacrta/predloga zakona, drugog propisa ili opšteg akta sa datim sugestijama</w:t>
      </w:r>
      <w:r w:rsidRPr="0057002F">
        <w:rPr>
          <w:sz w:val="28"/>
          <w:szCs w:val="28"/>
        </w:rPr>
        <w:t xml:space="preserve">. </w:t>
      </w:r>
      <w:r w:rsidRPr="0057002F">
        <w:rPr>
          <w:sz w:val="28"/>
          <w:szCs w:val="28"/>
        </w:rPr>
        <w:tab/>
      </w:r>
    </w:p>
    <w:p w:rsidR="006A6EEE" w:rsidRPr="0057002F" w:rsidRDefault="006A6EEE" w:rsidP="006A6EEE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Sekretarijat, takođe, u skladu sa Zakonom o zaključivanju i izvršavanju međunarodnih ugovora, </w:t>
      </w:r>
      <w:r w:rsidRPr="00E37F13">
        <w:rPr>
          <w:b/>
          <w:sz w:val="28"/>
          <w:szCs w:val="28"/>
        </w:rPr>
        <w:t>daje mišljenja na predloge zakona o potvrđivanju međunarodnog ugovora.</w:t>
      </w:r>
    </w:p>
    <w:p w:rsidR="00AB036B" w:rsidRPr="0057002F" w:rsidRDefault="00AB036B" w:rsidP="00AB036B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Takođe, i u ovom Izvještaju ukazujemo da je, radi unapređenja rada na pripremi propisa, pored edukacija službenika koje Sekretarijat sprovodi preko Uprave za kadrove, neophodno da se, u skladu sa opredjeljenjima i ciljevima Strategije reforme javne uprave u Crnoj Gori za period 2011–2016. godine, u ministarstvima specijalizuju službenici koji će raditi na izradi propisa. Time bi se doprinijelo kvalitetu propisa, a naročito efikasnosti rada Vlade.</w:t>
      </w:r>
    </w:p>
    <w:p w:rsidR="008C35E9" w:rsidRPr="0057002F" w:rsidRDefault="008C35E9" w:rsidP="00C5521E">
      <w:pPr>
        <w:ind w:firstLine="720"/>
        <w:jc w:val="both"/>
        <w:rPr>
          <w:sz w:val="28"/>
          <w:szCs w:val="28"/>
        </w:rPr>
      </w:pPr>
    </w:p>
    <w:p w:rsidR="006267F3" w:rsidRPr="0057002F" w:rsidRDefault="006267F3" w:rsidP="006267F3">
      <w:pPr>
        <w:jc w:val="center"/>
        <w:rPr>
          <w:sz w:val="28"/>
          <w:szCs w:val="28"/>
        </w:rPr>
      </w:pPr>
    </w:p>
    <w:p w:rsidR="007E4EA0" w:rsidRPr="00F17488" w:rsidRDefault="007E4EA0" w:rsidP="00AB036B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F17488">
        <w:rPr>
          <w:b/>
          <w:sz w:val="28"/>
          <w:szCs w:val="28"/>
        </w:rPr>
        <w:t xml:space="preserve">Pravno tehnička obrada nakon usvajanja </w:t>
      </w:r>
      <w:r w:rsidR="00AB036B" w:rsidRPr="00F17488">
        <w:rPr>
          <w:b/>
          <w:sz w:val="28"/>
          <w:szCs w:val="28"/>
        </w:rPr>
        <w:t xml:space="preserve">propisa </w:t>
      </w:r>
      <w:r w:rsidRPr="00F17488">
        <w:rPr>
          <w:b/>
          <w:sz w:val="28"/>
          <w:szCs w:val="28"/>
        </w:rPr>
        <w:t>od strane Vlade</w:t>
      </w:r>
    </w:p>
    <w:p w:rsidR="007E4EA0" w:rsidRPr="0057002F" w:rsidRDefault="007E4EA0" w:rsidP="007E4EA0">
      <w:pPr>
        <w:jc w:val="both"/>
        <w:rPr>
          <w:sz w:val="28"/>
          <w:szCs w:val="28"/>
        </w:rPr>
      </w:pPr>
    </w:p>
    <w:p w:rsidR="006267F3" w:rsidRPr="0057002F" w:rsidRDefault="002B7925" w:rsidP="007E4EA0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P</w:t>
      </w:r>
      <w:r w:rsidR="006267F3" w:rsidRPr="0057002F">
        <w:rPr>
          <w:sz w:val="28"/>
          <w:szCs w:val="28"/>
        </w:rPr>
        <w:t>rije potpisivanja teksta propisa ili drugog opšteg akta od strane predsjednika Vlade</w:t>
      </w:r>
      <w:r w:rsidR="00F7166B" w:rsidRPr="0057002F">
        <w:rPr>
          <w:sz w:val="28"/>
          <w:szCs w:val="28"/>
        </w:rPr>
        <w:t>,</w:t>
      </w:r>
      <w:r w:rsidR="00FC5583">
        <w:rPr>
          <w:sz w:val="28"/>
          <w:szCs w:val="28"/>
        </w:rPr>
        <w:t xml:space="preserve"> </w:t>
      </w:r>
      <w:r w:rsidR="00F7166B" w:rsidRPr="0057002F">
        <w:rPr>
          <w:sz w:val="28"/>
          <w:szCs w:val="28"/>
        </w:rPr>
        <w:t>Sekretarijat za zakonodavstvo</w:t>
      </w:r>
      <w:r w:rsidRPr="0057002F">
        <w:rPr>
          <w:sz w:val="28"/>
          <w:szCs w:val="28"/>
        </w:rPr>
        <w:t xml:space="preserve">, saglasno Poslovniku Vlade, </w:t>
      </w:r>
      <w:r w:rsidR="006267F3" w:rsidRPr="0057002F">
        <w:rPr>
          <w:sz w:val="28"/>
          <w:szCs w:val="28"/>
        </w:rPr>
        <w:t xml:space="preserve">provjerava </w:t>
      </w:r>
      <w:r w:rsidR="009A07F8" w:rsidRPr="0057002F">
        <w:rPr>
          <w:sz w:val="28"/>
          <w:szCs w:val="28"/>
        </w:rPr>
        <w:t xml:space="preserve">i daje mišljenje </w:t>
      </w:r>
      <w:r w:rsidR="006267F3" w:rsidRPr="0057002F">
        <w:rPr>
          <w:sz w:val="28"/>
          <w:szCs w:val="28"/>
        </w:rPr>
        <w:t>da li je taj propis ili drugi opšti akt obrađivač pripremio u tekstu u kojem ga je Vlada donijela. Ukoliko tekst propisa ili opšteg akta nije pripremljen u tekstu u kojem je usvojen na sjednici Vlade, Sekretarijat na to ukazuje obrađivaču, najčešće u neposrednoj saradnji.</w:t>
      </w:r>
    </w:p>
    <w:p w:rsidR="00AB036B" w:rsidRPr="00D74FA4" w:rsidRDefault="00AB036B" w:rsidP="00C33CD0">
      <w:pPr>
        <w:jc w:val="both"/>
        <w:rPr>
          <w:b/>
          <w:sz w:val="28"/>
          <w:szCs w:val="28"/>
        </w:rPr>
      </w:pPr>
      <w:r w:rsidRPr="0057002F">
        <w:rPr>
          <w:sz w:val="28"/>
          <w:szCs w:val="28"/>
        </w:rPr>
        <w:lastRenderedPageBreak/>
        <w:tab/>
      </w:r>
      <w:r w:rsidRPr="00C33CD0">
        <w:rPr>
          <w:sz w:val="28"/>
          <w:szCs w:val="28"/>
        </w:rPr>
        <w:t xml:space="preserve">Postupajući </w:t>
      </w:r>
      <w:r w:rsidRPr="00D74FA4">
        <w:rPr>
          <w:b/>
          <w:sz w:val="28"/>
          <w:szCs w:val="28"/>
        </w:rPr>
        <w:t>u sklad</w:t>
      </w:r>
      <w:r w:rsidR="00EE7A31">
        <w:rPr>
          <w:b/>
          <w:sz w:val="28"/>
          <w:szCs w:val="28"/>
        </w:rPr>
        <w:t xml:space="preserve">u sa članom 65 Poslovnika Vlade, </w:t>
      </w:r>
      <w:r w:rsidRPr="00D74FA4">
        <w:rPr>
          <w:b/>
          <w:sz w:val="28"/>
          <w:szCs w:val="28"/>
        </w:rPr>
        <w:t xml:space="preserve">Sekretarijat je dao </w:t>
      </w:r>
      <w:r w:rsidR="00BB33D2" w:rsidRPr="00D74FA4">
        <w:rPr>
          <w:b/>
          <w:sz w:val="28"/>
          <w:szCs w:val="28"/>
        </w:rPr>
        <w:t>186</w:t>
      </w:r>
      <w:r w:rsidRPr="00D74FA4">
        <w:rPr>
          <w:b/>
          <w:sz w:val="28"/>
          <w:szCs w:val="28"/>
        </w:rPr>
        <w:t xml:space="preserve"> mišljenja, </w:t>
      </w:r>
      <w:r w:rsidRPr="00DB4AE3">
        <w:rPr>
          <w:sz w:val="28"/>
          <w:szCs w:val="28"/>
        </w:rPr>
        <w:t>i to na:</w:t>
      </w:r>
      <w:r w:rsidRPr="00D74FA4">
        <w:rPr>
          <w:b/>
          <w:sz w:val="28"/>
          <w:szCs w:val="28"/>
        </w:rPr>
        <w:t xml:space="preserve"> uredbe</w:t>
      </w:r>
      <w:r w:rsidR="00BB33D2" w:rsidRPr="00D74FA4">
        <w:rPr>
          <w:b/>
          <w:sz w:val="28"/>
          <w:szCs w:val="28"/>
        </w:rPr>
        <w:t xml:space="preserve"> 49, odluke 132</w:t>
      </w:r>
      <w:r w:rsidRPr="00D74FA4">
        <w:rPr>
          <w:b/>
          <w:sz w:val="28"/>
          <w:szCs w:val="28"/>
        </w:rPr>
        <w:t xml:space="preserve"> i druge akte </w:t>
      </w:r>
      <w:r w:rsidR="00BB33D2" w:rsidRPr="00D74FA4">
        <w:rPr>
          <w:b/>
          <w:sz w:val="28"/>
          <w:szCs w:val="28"/>
        </w:rPr>
        <w:t>5</w:t>
      </w:r>
      <w:r w:rsidRPr="00D74FA4">
        <w:rPr>
          <w:b/>
          <w:sz w:val="28"/>
          <w:szCs w:val="28"/>
        </w:rPr>
        <w:t xml:space="preserve"> mišljenja.</w:t>
      </w:r>
    </w:p>
    <w:p w:rsidR="00550C16" w:rsidRPr="0057002F" w:rsidRDefault="00550C16" w:rsidP="00AB036B">
      <w:pPr>
        <w:ind w:firstLine="450"/>
        <w:jc w:val="both"/>
        <w:rPr>
          <w:sz w:val="28"/>
          <w:szCs w:val="28"/>
        </w:rPr>
      </w:pPr>
    </w:p>
    <w:p w:rsidR="009261D7" w:rsidRPr="0057002F" w:rsidRDefault="009261D7" w:rsidP="006267F3">
      <w:pPr>
        <w:jc w:val="both"/>
        <w:rPr>
          <w:sz w:val="28"/>
          <w:szCs w:val="28"/>
        </w:rPr>
      </w:pPr>
    </w:p>
    <w:p w:rsidR="00FE483B" w:rsidRPr="00F17488" w:rsidRDefault="00FE483B" w:rsidP="00AB036B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F17488">
        <w:rPr>
          <w:b/>
          <w:sz w:val="28"/>
          <w:szCs w:val="28"/>
        </w:rPr>
        <w:t>Objavljivanje propisa i drugih akata</w:t>
      </w:r>
    </w:p>
    <w:p w:rsidR="00FE483B" w:rsidRPr="0057002F" w:rsidRDefault="00FE483B" w:rsidP="00FE483B">
      <w:pPr>
        <w:ind w:firstLine="720"/>
        <w:jc w:val="both"/>
        <w:rPr>
          <w:sz w:val="28"/>
          <w:szCs w:val="28"/>
        </w:rPr>
      </w:pPr>
    </w:p>
    <w:p w:rsidR="00803050" w:rsidRPr="0057002F" w:rsidRDefault="00AB036B" w:rsidP="00FE483B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U skladu sa Zakonom</w:t>
      </w:r>
      <w:r w:rsidR="002B7925" w:rsidRPr="0057002F">
        <w:rPr>
          <w:sz w:val="28"/>
          <w:szCs w:val="28"/>
        </w:rPr>
        <w:t xml:space="preserve"> o objavljivanju propisa i drugih akata, </w:t>
      </w:r>
      <w:r w:rsidR="00F7166B" w:rsidRPr="0057002F">
        <w:rPr>
          <w:sz w:val="28"/>
          <w:szCs w:val="28"/>
        </w:rPr>
        <w:t>Sekretarijat za zakonodavstvo</w:t>
      </w:r>
      <w:r w:rsidR="0055427C">
        <w:rPr>
          <w:sz w:val="28"/>
          <w:szCs w:val="28"/>
        </w:rPr>
        <w:t xml:space="preserve"> </w:t>
      </w:r>
      <w:r w:rsidR="006267F3" w:rsidRPr="0057002F">
        <w:rPr>
          <w:sz w:val="28"/>
          <w:szCs w:val="28"/>
        </w:rPr>
        <w:t>stara</w:t>
      </w:r>
      <w:r w:rsidR="0055427C">
        <w:rPr>
          <w:sz w:val="28"/>
          <w:szCs w:val="28"/>
        </w:rPr>
        <w:t xml:space="preserve"> </w:t>
      </w:r>
      <w:r w:rsidR="002B7925" w:rsidRPr="0057002F">
        <w:rPr>
          <w:sz w:val="28"/>
          <w:szCs w:val="28"/>
        </w:rPr>
        <w:t>se</w:t>
      </w:r>
      <w:r w:rsidR="0055427C">
        <w:rPr>
          <w:sz w:val="28"/>
          <w:szCs w:val="28"/>
        </w:rPr>
        <w:t xml:space="preserve"> </w:t>
      </w:r>
      <w:r w:rsidR="006267F3" w:rsidRPr="0057002F">
        <w:rPr>
          <w:sz w:val="28"/>
          <w:szCs w:val="28"/>
        </w:rPr>
        <w:t>o objavljivanju uredbi, odluka i drugih akata</w:t>
      </w:r>
      <w:r w:rsidR="00402AF4" w:rsidRPr="0057002F">
        <w:rPr>
          <w:sz w:val="28"/>
          <w:szCs w:val="28"/>
        </w:rPr>
        <w:t xml:space="preserve"> koje donosi Vlada</w:t>
      </w:r>
      <w:r w:rsidR="006267F3" w:rsidRPr="0057002F">
        <w:rPr>
          <w:sz w:val="28"/>
          <w:szCs w:val="28"/>
        </w:rPr>
        <w:t>, kao i podzakonskih i drugih akata koje donose ministarstva</w:t>
      </w:r>
      <w:r w:rsidR="00F7166B" w:rsidRPr="0057002F">
        <w:rPr>
          <w:sz w:val="28"/>
          <w:szCs w:val="28"/>
        </w:rPr>
        <w:t>. Naime,</w:t>
      </w:r>
      <w:r w:rsidR="0055427C">
        <w:rPr>
          <w:sz w:val="28"/>
          <w:szCs w:val="28"/>
        </w:rPr>
        <w:t xml:space="preserve"> </w:t>
      </w:r>
      <w:r w:rsidR="00F7166B" w:rsidRPr="0057002F">
        <w:rPr>
          <w:sz w:val="28"/>
          <w:szCs w:val="28"/>
        </w:rPr>
        <w:t xml:space="preserve">Sekretarijat </w:t>
      </w:r>
      <w:r w:rsidR="006267F3" w:rsidRPr="0057002F">
        <w:rPr>
          <w:sz w:val="28"/>
          <w:szCs w:val="28"/>
        </w:rPr>
        <w:t>se stara da se navedeni akti objave u izvornom tekstu, što provjerava u svakom konkretnom slučaju, nakon prijema akta od njegovog donosioca, a zatim dostavljeni akt uz nalog za objavljivanje dostav</w:t>
      </w:r>
      <w:r w:rsidR="005B03FD" w:rsidRPr="0057002F">
        <w:rPr>
          <w:sz w:val="28"/>
          <w:szCs w:val="28"/>
        </w:rPr>
        <w:t>lja</w:t>
      </w:r>
      <w:r w:rsidR="006267F3" w:rsidRPr="0057002F">
        <w:rPr>
          <w:sz w:val="28"/>
          <w:szCs w:val="28"/>
        </w:rPr>
        <w:t xml:space="preserve"> Javnoj ustanovi Službeni </w:t>
      </w:r>
      <w:r w:rsidR="00613896" w:rsidRPr="0057002F">
        <w:rPr>
          <w:sz w:val="28"/>
          <w:szCs w:val="28"/>
        </w:rPr>
        <w:t>list Crne Gore na objavljivanje. P</w:t>
      </w:r>
      <w:r w:rsidR="006267F3" w:rsidRPr="0057002F">
        <w:rPr>
          <w:sz w:val="28"/>
          <w:szCs w:val="28"/>
        </w:rPr>
        <w:t>ri</w:t>
      </w:r>
      <w:r w:rsidR="005B03FD" w:rsidRPr="0057002F">
        <w:rPr>
          <w:sz w:val="28"/>
          <w:szCs w:val="28"/>
        </w:rPr>
        <w:t xml:space="preserve"> tome,</w:t>
      </w:r>
      <w:r w:rsidR="00613896" w:rsidRPr="0057002F">
        <w:rPr>
          <w:sz w:val="28"/>
          <w:szCs w:val="28"/>
        </w:rPr>
        <w:t xml:space="preserve"> Sekretarijat</w:t>
      </w:r>
      <w:r w:rsidR="006267F3" w:rsidRPr="0057002F">
        <w:rPr>
          <w:sz w:val="28"/>
          <w:szCs w:val="28"/>
        </w:rPr>
        <w:t xml:space="preserve"> vodi računa da li je donosilac akta zahtijevao prednost</w:t>
      </w:r>
      <w:r w:rsidR="001E3343" w:rsidRPr="0057002F">
        <w:rPr>
          <w:sz w:val="28"/>
          <w:szCs w:val="28"/>
        </w:rPr>
        <w:t>,</w:t>
      </w:r>
      <w:r w:rsidR="0055427C">
        <w:rPr>
          <w:sz w:val="28"/>
          <w:szCs w:val="28"/>
        </w:rPr>
        <w:t xml:space="preserve"> </w:t>
      </w:r>
      <w:r w:rsidR="001E3343" w:rsidRPr="0057002F">
        <w:rPr>
          <w:sz w:val="28"/>
          <w:szCs w:val="28"/>
        </w:rPr>
        <w:t xml:space="preserve">odnosno hitnost </w:t>
      </w:r>
      <w:r w:rsidR="006267F3" w:rsidRPr="0057002F">
        <w:rPr>
          <w:sz w:val="28"/>
          <w:szCs w:val="28"/>
        </w:rPr>
        <w:t xml:space="preserve">pri objavljivanju, što mora da naznači u nalogu za objavljivanje. </w:t>
      </w:r>
      <w:r w:rsidR="005B03FD" w:rsidRPr="0057002F">
        <w:rPr>
          <w:sz w:val="28"/>
          <w:szCs w:val="28"/>
        </w:rPr>
        <w:t>S tim u vezi</w:t>
      </w:r>
      <w:r w:rsidR="00803050" w:rsidRPr="0057002F">
        <w:rPr>
          <w:sz w:val="28"/>
          <w:szCs w:val="28"/>
        </w:rPr>
        <w:t xml:space="preserve">, Sekretarijat </w:t>
      </w:r>
      <w:r w:rsidR="0080317A" w:rsidRPr="0057002F">
        <w:rPr>
          <w:sz w:val="28"/>
          <w:szCs w:val="28"/>
        </w:rPr>
        <w:t>s</w:t>
      </w:r>
      <w:r w:rsidR="00803050" w:rsidRPr="0057002F">
        <w:rPr>
          <w:sz w:val="28"/>
          <w:szCs w:val="28"/>
        </w:rPr>
        <w:t xml:space="preserve">e, saglasno Uredbi o Pravno-informacionom sistemu, </w:t>
      </w:r>
      <w:r w:rsidR="0080317A" w:rsidRPr="0057002F">
        <w:rPr>
          <w:sz w:val="28"/>
          <w:szCs w:val="28"/>
        </w:rPr>
        <w:t>stara da obrađivači uz akta za objavljivanje dostave i popunjene obrasce sa klasifikacijom tih akata po oblastima i podoblastima, kao i pregovaračkim poglavljima i potpoglavljima prava EU.</w:t>
      </w:r>
    </w:p>
    <w:p w:rsidR="00AB036B" w:rsidRPr="0057002F" w:rsidRDefault="002A1C11" w:rsidP="006267F3">
      <w:pPr>
        <w:jc w:val="both"/>
        <w:rPr>
          <w:sz w:val="28"/>
          <w:szCs w:val="28"/>
        </w:rPr>
      </w:pPr>
      <w:r w:rsidRPr="0057002F">
        <w:rPr>
          <w:sz w:val="28"/>
          <w:szCs w:val="28"/>
        </w:rPr>
        <w:tab/>
      </w:r>
    </w:p>
    <w:p w:rsidR="00F17488" w:rsidRPr="00314426" w:rsidRDefault="00F17488" w:rsidP="00AB036B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Saglasno</w:t>
      </w:r>
      <w:r w:rsidR="00AB036B" w:rsidRPr="0057002F">
        <w:rPr>
          <w:sz w:val="28"/>
          <w:szCs w:val="28"/>
        </w:rPr>
        <w:t xml:space="preserve"> Zakon</w:t>
      </w:r>
      <w:r>
        <w:rPr>
          <w:sz w:val="28"/>
          <w:szCs w:val="28"/>
        </w:rPr>
        <w:t>u</w:t>
      </w:r>
      <w:r w:rsidR="00AB036B" w:rsidRPr="0057002F">
        <w:rPr>
          <w:sz w:val="28"/>
          <w:szCs w:val="28"/>
        </w:rPr>
        <w:t xml:space="preserve"> o objavljivanju propisa i drugih akata,</w:t>
      </w:r>
      <w:r>
        <w:rPr>
          <w:sz w:val="28"/>
          <w:szCs w:val="28"/>
        </w:rPr>
        <w:t xml:space="preserve"> tokom 2014. </w:t>
      </w:r>
      <w:r w:rsidR="007602B8">
        <w:rPr>
          <w:sz w:val="28"/>
          <w:szCs w:val="28"/>
        </w:rPr>
        <w:t>g</w:t>
      </w:r>
      <w:r>
        <w:rPr>
          <w:sz w:val="28"/>
          <w:szCs w:val="28"/>
        </w:rPr>
        <w:t>odine</w:t>
      </w:r>
      <w:r w:rsidR="007602B8">
        <w:rPr>
          <w:sz w:val="28"/>
          <w:szCs w:val="28"/>
        </w:rPr>
        <w:t>,</w:t>
      </w:r>
      <w:r w:rsidR="00AB036B" w:rsidRPr="0057002F">
        <w:rPr>
          <w:sz w:val="28"/>
          <w:szCs w:val="28"/>
        </w:rPr>
        <w:t xml:space="preserve"> Sekretarijat je Javnoj ustanovi Službeni list Crne Gore uputio </w:t>
      </w:r>
      <w:r w:rsidR="003C0239" w:rsidRPr="00314426">
        <w:rPr>
          <w:b/>
          <w:sz w:val="28"/>
          <w:szCs w:val="28"/>
        </w:rPr>
        <w:t>407</w:t>
      </w:r>
      <w:r w:rsidR="00AB036B" w:rsidRPr="00314426">
        <w:rPr>
          <w:b/>
          <w:sz w:val="28"/>
          <w:szCs w:val="28"/>
        </w:rPr>
        <w:t xml:space="preserve"> naloga za objavljivanje</w:t>
      </w:r>
      <w:r w:rsidR="0055427C">
        <w:rPr>
          <w:b/>
          <w:sz w:val="28"/>
          <w:szCs w:val="28"/>
        </w:rPr>
        <w:t xml:space="preserve"> </w:t>
      </w:r>
      <w:r w:rsidR="003C0239" w:rsidRPr="00314426">
        <w:rPr>
          <w:b/>
          <w:sz w:val="28"/>
          <w:szCs w:val="28"/>
        </w:rPr>
        <w:t>uredbi, odluka, pravilnika, uputstava i naredbi</w:t>
      </w:r>
      <w:r w:rsidR="00225F64" w:rsidRPr="00314426">
        <w:rPr>
          <w:b/>
          <w:sz w:val="28"/>
          <w:szCs w:val="28"/>
        </w:rPr>
        <w:t>.</w:t>
      </w:r>
    </w:p>
    <w:p w:rsidR="00823F2C" w:rsidRDefault="00823F2C" w:rsidP="00F17488">
      <w:pPr>
        <w:ind w:firstLine="360"/>
        <w:jc w:val="both"/>
        <w:rPr>
          <w:sz w:val="28"/>
          <w:szCs w:val="28"/>
        </w:rPr>
      </w:pPr>
    </w:p>
    <w:p w:rsidR="00F17488" w:rsidRDefault="008A244F" w:rsidP="00F1748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Pored ovih propisa</w:t>
      </w:r>
      <w:r w:rsidR="00F17488" w:rsidRPr="0057002F">
        <w:rPr>
          <w:sz w:val="28"/>
          <w:szCs w:val="28"/>
        </w:rPr>
        <w:t>, u toku 2014. godine iz domena rada ovog Sekretarijata, dati su nalozi za objavljivanje</w:t>
      </w:r>
      <w:r w:rsidR="009944BE">
        <w:rPr>
          <w:sz w:val="28"/>
          <w:szCs w:val="28"/>
        </w:rPr>
        <w:t xml:space="preserve"> drugih akata i to</w:t>
      </w:r>
      <w:r w:rsidR="00F17488" w:rsidRPr="0057002F">
        <w:rPr>
          <w:sz w:val="28"/>
          <w:szCs w:val="28"/>
        </w:rPr>
        <w:t xml:space="preserve">: </w:t>
      </w:r>
    </w:p>
    <w:p w:rsidR="003C0239" w:rsidRPr="003C0239" w:rsidRDefault="003C0239" w:rsidP="003C0239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Izmjena i dopuna Sudskog poslovnika,</w:t>
      </w:r>
    </w:p>
    <w:p w:rsidR="003C0239" w:rsidRPr="0073606C" w:rsidRDefault="0073606C" w:rsidP="003C0239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 oglasa i 2 konkursa za imenovanje na određene funkcije koje je dostavilo Ministarstvo pravde,</w:t>
      </w:r>
    </w:p>
    <w:p w:rsidR="0073606C" w:rsidRPr="0073606C" w:rsidRDefault="0073606C" w:rsidP="003C0239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29 odluka o imenovanju javnih izvršitelja i 1 odluka o konstataciji da određeno lice nije imenovano za javnog izvršitelja,</w:t>
      </w:r>
    </w:p>
    <w:p w:rsidR="0073606C" w:rsidRPr="0073606C" w:rsidRDefault="0073606C" w:rsidP="003C0239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Opšteg kolektivnog ugovora,</w:t>
      </w:r>
    </w:p>
    <w:p w:rsidR="0073606C" w:rsidRPr="0073606C" w:rsidRDefault="0073606C" w:rsidP="003C0239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7 programa, 4 plana, </w:t>
      </w:r>
      <w:r w:rsidR="00AC5C9D">
        <w:rPr>
          <w:sz w:val="28"/>
          <w:szCs w:val="28"/>
        </w:rPr>
        <w:t xml:space="preserve">1 </w:t>
      </w:r>
      <w:r>
        <w:rPr>
          <w:sz w:val="28"/>
          <w:szCs w:val="28"/>
        </w:rPr>
        <w:t>liste,</w:t>
      </w:r>
    </w:p>
    <w:p w:rsidR="0073606C" w:rsidRPr="00AC5C9D" w:rsidRDefault="0073606C" w:rsidP="003C0239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 statuta,</w:t>
      </w:r>
    </w:p>
    <w:p w:rsidR="00AC5C9D" w:rsidRPr="00AC5C9D" w:rsidRDefault="00AC5C9D" w:rsidP="003C0239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 w:rsidRPr="0057002F">
        <w:rPr>
          <w:sz w:val="28"/>
          <w:szCs w:val="28"/>
        </w:rPr>
        <w:t>23 odluke o davanju prethodne saglasnosti opšt</w:t>
      </w:r>
      <w:r>
        <w:rPr>
          <w:sz w:val="28"/>
          <w:szCs w:val="28"/>
        </w:rPr>
        <w:t>inama za otuđenje nepokretnosti,</w:t>
      </w:r>
    </w:p>
    <w:p w:rsidR="00AC5C9D" w:rsidRPr="0057002F" w:rsidRDefault="00AC5C9D" w:rsidP="003C0239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O</w:t>
      </w:r>
      <w:r w:rsidRPr="0073606C">
        <w:rPr>
          <w:sz w:val="28"/>
          <w:szCs w:val="28"/>
        </w:rPr>
        <w:t>dluke o davanju na privremeno korišćenje nepokretnosti u svojini Crne Gore Opštini Berane bez naknade,</w:t>
      </w:r>
    </w:p>
    <w:p w:rsidR="00AC5C9D" w:rsidRPr="00AC5C9D" w:rsidRDefault="00F17488" w:rsidP="0073606C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 w:rsidRPr="0057002F">
        <w:rPr>
          <w:sz w:val="28"/>
          <w:szCs w:val="28"/>
        </w:rPr>
        <w:t>13  rješenja o potvrđivanju baze podataka katastra nepokretnosti</w:t>
      </w:r>
      <w:r w:rsidR="00AC5C9D">
        <w:rPr>
          <w:sz w:val="28"/>
          <w:szCs w:val="28"/>
        </w:rPr>
        <w:t>,</w:t>
      </w:r>
    </w:p>
    <w:p w:rsidR="0073606C" w:rsidRPr="0073606C" w:rsidRDefault="00AC5C9D" w:rsidP="0073606C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4 rješenja</w:t>
      </w:r>
      <w:r w:rsidR="0073606C">
        <w:rPr>
          <w:sz w:val="28"/>
          <w:szCs w:val="28"/>
        </w:rPr>
        <w:t xml:space="preserve"> o izradi procjene uticaja</w:t>
      </w:r>
      <w:r w:rsidR="0073606C" w:rsidRPr="0073606C">
        <w:rPr>
          <w:sz w:val="28"/>
          <w:szCs w:val="28"/>
        </w:rPr>
        <w:t xml:space="preserve"> na životnu sredinu,</w:t>
      </w:r>
    </w:p>
    <w:p w:rsidR="0073606C" w:rsidRPr="00AC5C9D" w:rsidRDefault="00AC5C9D" w:rsidP="0073606C">
      <w:pPr>
        <w:numPr>
          <w:ilvl w:val="0"/>
          <w:numId w:val="8"/>
        </w:numPr>
        <w:jc w:val="both"/>
        <w:rPr>
          <w:sz w:val="28"/>
          <w:szCs w:val="28"/>
        </w:rPr>
      </w:pPr>
      <w:r w:rsidRPr="00AC5C9D">
        <w:rPr>
          <w:sz w:val="28"/>
          <w:szCs w:val="28"/>
        </w:rPr>
        <w:t>Rješenja o odeđivanju kategorije turističkog mjesta,</w:t>
      </w:r>
    </w:p>
    <w:p w:rsidR="00AC5C9D" w:rsidRPr="00AC5C9D" w:rsidRDefault="0073606C" w:rsidP="00AC5C9D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Izvještaj</w:t>
      </w:r>
      <w:r w:rsidR="00AC5C9D">
        <w:rPr>
          <w:sz w:val="28"/>
          <w:szCs w:val="28"/>
        </w:rPr>
        <w:t>a</w:t>
      </w:r>
      <w:r>
        <w:rPr>
          <w:sz w:val="28"/>
          <w:szCs w:val="28"/>
        </w:rPr>
        <w:t xml:space="preserve"> o stanju uređenja prostora za 2013. godinu,</w:t>
      </w:r>
    </w:p>
    <w:p w:rsidR="0073606C" w:rsidRPr="0073606C" w:rsidRDefault="0073606C" w:rsidP="0073606C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Školskog kalendara za 2014/2015. godinu,</w:t>
      </w:r>
    </w:p>
    <w:p w:rsidR="0073606C" w:rsidRPr="00AC5C9D" w:rsidRDefault="00AC5C9D" w:rsidP="0073606C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16 rješenja o licenciranju obrazovnih programa i organizatora obrazovanja, 9 </w:t>
      </w:r>
      <w:r w:rsidR="0055427C">
        <w:rPr>
          <w:sz w:val="28"/>
          <w:szCs w:val="28"/>
        </w:rPr>
        <w:t xml:space="preserve"> </w:t>
      </w:r>
      <w:r>
        <w:rPr>
          <w:sz w:val="28"/>
          <w:szCs w:val="28"/>
        </w:rPr>
        <w:t>rješenja o standardima</w:t>
      </w:r>
      <w:r w:rsidR="005542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zanimanja </w:t>
      </w:r>
      <w:r w:rsidR="0055427C">
        <w:rPr>
          <w:sz w:val="28"/>
          <w:szCs w:val="28"/>
        </w:rPr>
        <w:t xml:space="preserve"> </w:t>
      </w:r>
      <w:r>
        <w:rPr>
          <w:sz w:val="28"/>
          <w:szCs w:val="28"/>
        </w:rPr>
        <w:t>i 2 rješenja o javno važećim obrazovnim programima,</w:t>
      </w:r>
    </w:p>
    <w:p w:rsidR="00AC5C9D" w:rsidRPr="0073606C" w:rsidRDefault="00AC5C9D" w:rsidP="0073606C">
      <w:pPr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Rješenja o dodjeli statusa istaknutog kulturnog stvaraoca,</w:t>
      </w:r>
    </w:p>
    <w:p w:rsidR="00F17488" w:rsidRPr="0057002F" w:rsidRDefault="00F17488" w:rsidP="00F17488">
      <w:pPr>
        <w:numPr>
          <w:ilvl w:val="0"/>
          <w:numId w:val="8"/>
        </w:numPr>
        <w:jc w:val="both"/>
        <w:rPr>
          <w:sz w:val="28"/>
          <w:szCs w:val="28"/>
        </w:rPr>
      </w:pPr>
      <w:r w:rsidRPr="0057002F">
        <w:rPr>
          <w:sz w:val="28"/>
          <w:szCs w:val="28"/>
        </w:rPr>
        <w:t>velikog broja rješenja o imenovanju i postavljenju od strane Vlade.</w:t>
      </w:r>
    </w:p>
    <w:p w:rsidR="00F17488" w:rsidRDefault="00F17488" w:rsidP="00AB036B">
      <w:pPr>
        <w:ind w:firstLine="360"/>
        <w:jc w:val="both"/>
        <w:rPr>
          <w:sz w:val="28"/>
          <w:szCs w:val="28"/>
        </w:rPr>
      </w:pPr>
    </w:p>
    <w:p w:rsidR="00F17488" w:rsidRDefault="00225F64" w:rsidP="00AB036B">
      <w:pPr>
        <w:ind w:firstLine="360"/>
        <w:jc w:val="both"/>
        <w:rPr>
          <w:sz w:val="28"/>
          <w:szCs w:val="28"/>
        </w:rPr>
      </w:pPr>
      <w:r w:rsidRPr="00C33CD0">
        <w:rPr>
          <w:sz w:val="28"/>
          <w:szCs w:val="28"/>
        </w:rPr>
        <w:t>Dakle, ukupno je upućeno</w:t>
      </w:r>
      <w:r w:rsidR="0055427C">
        <w:rPr>
          <w:sz w:val="28"/>
          <w:szCs w:val="28"/>
        </w:rPr>
        <w:t xml:space="preserve"> </w:t>
      </w:r>
      <w:r w:rsidRPr="009C0CC1">
        <w:rPr>
          <w:b/>
          <w:sz w:val="28"/>
          <w:szCs w:val="28"/>
        </w:rPr>
        <w:t>5</w:t>
      </w:r>
      <w:r w:rsidR="00AB6B7D" w:rsidRPr="009C0CC1">
        <w:rPr>
          <w:b/>
          <w:sz w:val="28"/>
          <w:szCs w:val="28"/>
        </w:rPr>
        <w:t>29</w:t>
      </w:r>
      <w:r w:rsidR="0055427C">
        <w:rPr>
          <w:b/>
          <w:sz w:val="28"/>
          <w:szCs w:val="28"/>
        </w:rPr>
        <w:t xml:space="preserve"> </w:t>
      </w:r>
      <w:r w:rsidRPr="00C33CD0">
        <w:rPr>
          <w:b/>
          <w:sz w:val="28"/>
          <w:szCs w:val="28"/>
        </w:rPr>
        <w:t>naloga za objavljivanje</w:t>
      </w:r>
      <w:r w:rsidRPr="00C33CD0">
        <w:rPr>
          <w:sz w:val="28"/>
          <w:szCs w:val="28"/>
        </w:rPr>
        <w:t xml:space="preserve"> u ,,Službenom listu Crne Gore“ (ne računajući naloge za objavljivanje rješenja o imenovanju, postavljenju i razrješenju od strane Vlade).</w:t>
      </w:r>
    </w:p>
    <w:p w:rsidR="00225F64" w:rsidRDefault="00225F64" w:rsidP="005B23C2">
      <w:pPr>
        <w:jc w:val="both"/>
        <w:rPr>
          <w:sz w:val="28"/>
          <w:szCs w:val="28"/>
        </w:rPr>
      </w:pPr>
    </w:p>
    <w:p w:rsidR="00AB036B" w:rsidRDefault="00956463" w:rsidP="00AB036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AB036B" w:rsidRPr="0057002F">
        <w:rPr>
          <w:sz w:val="28"/>
          <w:szCs w:val="28"/>
        </w:rPr>
        <w:t xml:space="preserve">truktura upućenih naloga prikazana je u </w:t>
      </w:r>
      <w:r>
        <w:rPr>
          <w:sz w:val="28"/>
          <w:szCs w:val="28"/>
        </w:rPr>
        <w:t>Tabeli 2</w:t>
      </w:r>
      <w:r w:rsidR="00C67AC5">
        <w:rPr>
          <w:sz w:val="28"/>
          <w:szCs w:val="28"/>
        </w:rPr>
        <w:t>.</w:t>
      </w:r>
    </w:p>
    <w:p w:rsidR="00907E5F" w:rsidRPr="00230F0F" w:rsidRDefault="00907E5F" w:rsidP="002C6079">
      <w:pPr>
        <w:jc w:val="both"/>
        <w:rPr>
          <w:sz w:val="28"/>
          <w:szCs w:val="28"/>
        </w:rPr>
      </w:pPr>
    </w:p>
    <w:p w:rsidR="00230F0F" w:rsidRPr="007310B3" w:rsidRDefault="00AB6B7D" w:rsidP="00AB036B">
      <w:pPr>
        <w:jc w:val="both"/>
        <w:rPr>
          <w:sz w:val="22"/>
          <w:szCs w:val="22"/>
        </w:rPr>
      </w:pPr>
      <w:r w:rsidRPr="009C0CC1">
        <w:rPr>
          <w:sz w:val="22"/>
          <w:szCs w:val="22"/>
        </w:rPr>
        <w:t>Tabela 2</w:t>
      </w:r>
      <w:r w:rsidR="005B23C2">
        <w:rPr>
          <w:sz w:val="28"/>
          <w:szCs w:val="28"/>
        </w:rPr>
        <w:tab/>
      </w:r>
    </w:p>
    <w:tbl>
      <w:tblPr>
        <w:tblStyle w:val="GridTable6Colorful"/>
        <w:tblW w:w="8755" w:type="dxa"/>
        <w:tblLayout w:type="fixed"/>
        <w:tblLook w:val="04A0"/>
      </w:tblPr>
      <w:tblGrid>
        <w:gridCol w:w="1962"/>
        <w:gridCol w:w="1041"/>
        <w:gridCol w:w="1041"/>
        <w:gridCol w:w="1243"/>
        <w:gridCol w:w="1243"/>
        <w:gridCol w:w="1165"/>
        <w:gridCol w:w="1060"/>
      </w:tblGrid>
      <w:tr w:rsidR="0030639B" w:rsidTr="00F13A9B">
        <w:trPr>
          <w:cnfStyle w:val="100000000000"/>
        </w:trPr>
        <w:tc>
          <w:tcPr>
            <w:cnfStyle w:val="001000000000"/>
            <w:tcW w:w="1962" w:type="dxa"/>
            <w:vMerge w:val="restart"/>
          </w:tcPr>
          <w:p w:rsidR="0030639B" w:rsidRDefault="0030639B" w:rsidP="00AB03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3" w:type="dxa"/>
            <w:gridSpan w:val="6"/>
          </w:tcPr>
          <w:p w:rsidR="00517944" w:rsidRDefault="00517944" w:rsidP="0030639B">
            <w:pPr>
              <w:jc w:val="center"/>
              <w:cnfStyle w:val="100000000000"/>
              <w:rPr>
                <w:sz w:val="28"/>
                <w:szCs w:val="28"/>
              </w:rPr>
            </w:pPr>
          </w:p>
          <w:p w:rsidR="0030639B" w:rsidRDefault="0030639B" w:rsidP="0030639B">
            <w:pPr>
              <w:jc w:val="center"/>
              <w:cnfStyle w:val="100000000000"/>
              <w:rPr>
                <w:bCs w:val="0"/>
                <w:noProof w:val="0"/>
                <w:color w:val="000000"/>
                <w:lang w:val="en-US"/>
              </w:rPr>
            </w:pPr>
            <w:r w:rsidRPr="00517944">
              <w:rPr>
                <w:sz w:val="28"/>
                <w:szCs w:val="28"/>
              </w:rPr>
              <w:t>Nalozi</w:t>
            </w:r>
            <w:r w:rsidRPr="00517944">
              <w:rPr>
                <w:bCs w:val="0"/>
                <w:noProof w:val="0"/>
                <w:color w:val="000000"/>
                <w:lang w:val="en-US"/>
              </w:rPr>
              <w:t xml:space="preserve"> za objavljivanje u "Službenom listu Crne Gore"</w:t>
            </w:r>
          </w:p>
          <w:p w:rsidR="00517944" w:rsidRPr="00517944" w:rsidRDefault="00517944" w:rsidP="0030639B">
            <w:pPr>
              <w:jc w:val="center"/>
              <w:cnfStyle w:val="100000000000"/>
              <w:rPr>
                <w:sz w:val="28"/>
                <w:szCs w:val="28"/>
              </w:rPr>
            </w:pPr>
          </w:p>
        </w:tc>
      </w:tr>
      <w:tr w:rsidR="0030639B" w:rsidTr="00F13A9B">
        <w:trPr>
          <w:cnfStyle w:val="000000100000"/>
        </w:trPr>
        <w:tc>
          <w:tcPr>
            <w:cnfStyle w:val="001000000000"/>
            <w:tcW w:w="1962" w:type="dxa"/>
            <w:vMerge/>
          </w:tcPr>
          <w:p w:rsidR="0030639B" w:rsidRDefault="0030639B" w:rsidP="00AB03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3" w:type="dxa"/>
            <w:gridSpan w:val="5"/>
          </w:tcPr>
          <w:p w:rsidR="0030639B" w:rsidRPr="00517944" w:rsidRDefault="0030639B" w:rsidP="0030639B">
            <w:pPr>
              <w:jc w:val="center"/>
              <w:cnfStyle w:val="000000100000"/>
              <w:rPr>
                <w:b/>
                <w:noProof w:val="0"/>
                <w:color w:val="000000"/>
                <w:lang w:val="en-US"/>
              </w:rPr>
            </w:pPr>
            <w:r w:rsidRPr="00517944">
              <w:rPr>
                <w:b/>
                <w:noProof w:val="0"/>
                <w:color w:val="000000"/>
                <w:lang w:val="en-US"/>
              </w:rPr>
              <w:t>Podzakonski akti</w:t>
            </w:r>
          </w:p>
          <w:p w:rsidR="0030639B" w:rsidRPr="00517944" w:rsidRDefault="0030639B" w:rsidP="0030639B">
            <w:pPr>
              <w:jc w:val="center"/>
              <w:cnfStyle w:val="000000100000"/>
              <w:rPr>
                <w:b/>
                <w:noProof w:val="0"/>
                <w:color w:val="000000"/>
                <w:lang w:val="en-US"/>
              </w:rPr>
            </w:pPr>
          </w:p>
        </w:tc>
        <w:tc>
          <w:tcPr>
            <w:tcW w:w="1060" w:type="dxa"/>
          </w:tcPr>
          <w:p w:rsidR="0030639B" w:rsidRPr="00517944" w:rsidRDefault="0030639B" w:rsidP="0030639B">
            <w:pPr>
              <w:jc w:val="center"/>
              <w:cnfStyle w:val="000000100000"/>
              <w:rPr>
                <w:b/>
                <w:noProof w:val="0"/>
                <w:color w:val="000000"/>
                <w:lang w:val="en-US"/>
              </w:rPr>
            </w:pPr>
            <w:r w:rsidRPr="00517944">
              <w:rPr>
                <w:b/>
                <w:noProof w:val="0"/>
                <w:color w:val="000000"/>
                <w:lang w:val="en-US"/>
              </w:rPr>
              <w:t>Drugi akti</w:t>
            </w:r>
          </w:p>
        </w:tc>
      </w:tr>
      <w:tr w:rsidR="00E27850" w:rsidTr="00F13A9B">
        <w:tc>
          <w:tcPr>
            <w:cnfStyle w:val="001000000000"/>
            <w:tcW w:w="1962" w:type="dxa"/>
            <w:vMerge/>
          </w:tcPr>
          <w:p w:rsidR="00E27850" w:rsidRDefault="00E27850" w:rsidP="00AB03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:rsidR="00E27850" w:rsidRPr="00517944" w:rsidRDefault="00E27850" w:rsidP="0030639B">
            <w:pPr>
              <w:jc w:val="center"/>
              <w:cnfStyle w:val="000000000000"/>
              <w:rPr>
                <w:noProof w:val="0"/>
                <w:color w:val="000000"/>
                <w:lang w:val="en-US"/>
              </w:rPr>
            </w:pPr>
            <w:r w:rsidRPr="00517944">
              <w:rPr>
                <w:noProof w:val="0"/>
                <w:color w:val="000000"/>
                <w:lang w:val="en-US"/>
              </w:rPr>
              <w:t>Uredba</w:t>
            </w:r>
          </w:p>
        </w:tc>
        <w:tc>
          <w:tcPr>
            <w:tcW w:w="1041" w:type="dxa"/>
          </w:tcPr>
          <w:p w:rsidR="00E27850" w:rsidRPr="00517944" w:rsidRDefault="00E27850" w:rsidP="0030639B">
            <w:pPr>
              <w:jc w:val="center"/>
              <w:cnfStyle w:val="000000000000"/>
              <w:rPr>
                <w:noProof w:val="0"/>
                <w:color w:val="000000"/>
                <w:lang w:val="en-US"/>
              </w:rPr>
            </w:pPr>
            <w:r w:rsidRPr="00517944">
              <w:rPr>
                <w:noProof w:val="0"/>
                <w:color w:val="000000"/>
                <w:lang w:val="en-US"/>
              </w:rPr>
              <w:t>Odluka</w:t>
            </w:r>
          </w:p>
        </w:tc>
        <w:tc>
          <w:tcPr>
            <w:tcW w:w="1243" w:type="dxa"/>
          </w:tcPr>
          <w:p w:rsidR="00E27850" w:rsidRPr="00517944" w:rsidRDefault="00E27850" w:rsidP="0030639B">
            <w:pPr>
              <w:jc w:val="center"/>
              <w:cnfStyle w:val="000000000000"/>
              <w:rPr>
                <w:noProof w:val="0"/>
                <w:color w:val="000000"/>
                <w:lang w:val="en-US"/>
              </w:rPr>
            </w:pPr>
            <w:r w:rsidRPr="00517944">
              <w:rPr>
                <w:noProof w:val="0"/>
                <w:color w:val="000000"/>
                <w:lang w:val="en-US"/>
              </w:rPr>
              <w:t>Pravilnik</w:t>
            </w:r>
          </w:p>
        </w:tc>
        <w:tc>
          <w:tcPr>
            <w:tcW w:w="1243" w:type="dxa"/>
          </w:tcPr>
          <w:p w:rsidR="00E27850" w:rsidRPr="00517944" w:rsidRDefault="00E27850" w:rsidP="0030639B">
            <w:pPr>
              <w:jc w:val="center"/>
              <w:cnfStyle w:val="000000000000"/>
              <w:rPr>
                <w:noProof w:val="0"/>
                <w:color w:val="000000"/>
                <w:lang w:val="en-US"/>
              </w:rPr>
            </w:pPr>
            <w:r w:rsidRPr="00517944">
              <w:rPr>
                <w:noProof w:val="0"/>
                <w:color w:val="000000"/>
                <w:lang w:val="en-US"/>
              </w:rPr>
              <w:t>Uputstvo</w:t>
            </w:r>
          </w:p>
        </w:tc>
        <w:tc>
          <w:tcPr>
            <w:tcW w:w="1165" w:type="dxa"/>
          </w:tcPr>
          <w:p w:rsidR="00E27850" w:rsidRPr="00517944" w:rsidRDefault="00E27850" w:rsidP="0030639B">
            <w:pPr>
              <w:jc w:val="center"/>
              <w:cnfStyle w:val="000000000000"/>
              <w:rPr>
                <w:noProof w:val="0"/>
                <w:color w:val="000000"/>
                <w:lang w:val="en-US"/>
              </w:rPr>
            </w:pPr>
            <w:r w:rsidRPr="00517944">
              <w:rPr>
                <w:noProof w:val="0"/>
                <w:color w:val="000000"/>
                <w:lang w:val="en-US"/>
              </w:rPr>
              <w:t>Naredba</w:t>
            </w:r>
          </w:p>
        </w:tc>
        <w:tc>
          <w:tcPr>
            <w:tcW w:w="1060" w:type="dxa"/>
            <w:vMerge w:val="restart"/>
          </w:tcPr>
          <w:p w:rsidR="00E27850" w:rsidRPr="0030639B" w:rsidRDefault="00E27850" w:rsidP="0030639B">
            <w:pPr>
              <w:jc w:val="center"/>
              <w:cnfStyle w:val="000000000000"/>
              <w:rPr>
                <w:sz w:val="28"/>
                <w:szCs w:val="28"/>
              </w:rPr>
            </w:pPr>
          </w:p>
          <w:p w:rsidR="00E27850" w:rsidRDefault="00E27850" w:rsidP="0030639B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</w:p>
          <w:p w:rsidR="00E27850" w:rsidRPr="0030639B" w:rsidRDefault="00E27850" w:rsidP="0030639B">
            <w:pPr>
              <w:jc w:val="center"/>
              <w:cnfStyle w:val="000000000000"/>
              <w:rPr>
                <w:sz w:val="28"/>
                <w:szCs w:val="28"/>
              </w:rPr>
            </w:pPr>
            <w:r w:rsidRPr="0030639B">
              <w:rPr>
                <w:b/>
                <w:sz w:val="28"/>
                <w:szCs w:val="28"/>
              </w:rPr>
              <w:t>122</w:t>
            </w:r>
          </w:p>
        </w:tc>
      </w:tr>
      <w:tr w:rsidR="00E27850" w:rsidTr="00F13A9B">
        <w:trPr>
          <w:cnfStyle w:val="000000100000"/>
          <w:trHeight w:val="373"/>
        </w:trPr>
        <w:tc>
          <w:tcPr>
            <w:cnfStyle w:val="001000000000"/>
            <w:tcW w:w="1962" w:type="dxa"/>
            <w:vMerge/>
          </w:tcPr>
          <w:p w:rsidR="00E27850" w:rsidRDefault="00E27850" w:rsidP="00AB03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:rsidR="00E27850" w:rsidRPr="00517944" w:rsidRDefault="00E27850" w:rsidP="0030639B">
            <w:pPr>
              <w:jc w:val="center"/>
              <w:cnfStyle w:val="000000100000"/>
              <w:rPr>
                <w:noProof w:val="0"/>
                <w:color w:val="000000"/>
                <w:lang w:val="en-US"/>
              </w:rPr>
            </w:pPr>
            <w:r w:rsidRPr="00517944">
              <w:rPr>
                <w:noProof w:val="0"/>
                <w:color w:val="000000"/>
                <w:lang w:val="en-US"/>
              </w:rPr>
              <w:t>50</w:t>
            </w:r>
          </w:p>
        </w:tc>
        <w:tc>
          <w:tcPr>
            <w:tcW w:w="1041" w:type="dxa"/>
          </w:tcPr>
          <w:p w:rsidR="00E27850" w:rsidRPr="00517944" w:rsidRDefault="00E27850" w:rsidP="0030639B">
            <w:pPr>
              <w:jc w:val="center"/>
              <w:cnfStyle w:val="000000100000"/>
              <w:rPr>
                <w:noProof w:val="0"/>
                <w:color w:val="000000"/>
                <w:lang w:val="en-US"/>
              </w:rPr>
            </w:pPr>
            <w:r w:rsidRPr="00517944">
              <w:rPr>
                <w:noProof w:val="0"/>
                <w:color w:val="000000"/>
                <w:lang w:val="en-US"/>
              </w:rPr>
              <w:t>139</w:t>
            </w:r>
          </w:p>
        </w:tc>
        <w:tc>
          <w:tcPr>
            <w:tcW w:w="1243" w:type="dxa"/>
          </w:tcPr>
          <w:p w:rsidR="00E27850" w:rsidRPr="00517944" w:rsidRDefault="00E27850" w:rsidP="0030639B">
            <w:pPr>
              <w:jc w:val="center"/>
              <w:cnfStyle w:val="000000100000"/>
              <w:rPr>
                <w:noProof w:val="0"/>
                <w:color w:val="000000"/>
                <w:lang w:val="en-US"/>
              </w:rPr>
            </w:pPr>
            <w:r w:rsidRPr="00517944">
              <w:rPr>
                <w:noProof w:val="0"/>
                <w:color w:val="000000"/>
                <w:lang w:val="en-US"/>
              </w:rPr>
              <w:t>208</w:t>
            </w:r>
          </w:p>
        </w:tc>
        <w:tc>
          <w:tcPr>
            <w:tcW w:w="1243" w:type="dxa"/>
          </w:tcPr>
          <w:p w:rsidR="00E27850" w:rsidRPr="00517944" w:rsidRDefault="00E27850" w:rsidP="0030639B">
            <w:pPr>
              <w:jc w:val="center"/>
              <w:cnfStyle w:val="000000100000"/>
              <w:rPr>
                <w:noProof w:val="0"/>
                <w:color w:val="000000"/>
                <w:lang w:val="en-US"/>
              </w:rPr>
            </w:pPr>
            <w:r w:rsidRPr="00517944">
              <w:rPr>
                <w:noProof w:val="0"/>
                <w:color w:val="000000"/>
                <w:lang w:val="en-US"/>
              </w:rPr>
              <w:t>3</w:t>
            </w:r>
          </w:p>
        </w:tc>
        <w:tc>
          <w:tcPr>
            <w:tcW w:w="1165" w:type="dxa"/>
          </w:tcPr>
          <w:p w:rsidR="00E27850" w:rsidRPr="00517944" w:rsidRDefault="00E27850" w:rsidP="0030639B">
            <w:pPr>
              <w:jc w:val="center"/>
              <w:cnfStyle w:val="000000100000"/>
              <w:rPr>
                <w:noProof w:val="0"/>
                <w:color w:val="000000"/>
                <w:lang w:val="en-US"/>
              </w:rPr>
            </w:pPr>
            <w:r w:rsidRPr="00517944">
              <w:rPr>
                <w:noProof w:val="0"/>
                <w:color w:val="000000"/>
                <w:lang w:val="en-US"/>
              </w:rPr>
              <w:t>7</w:t>
            </w:r>
          </w:p>
        </w:tc>
        <w:tc>
          <w:tcPr>
            <w:tcW w:w="1060" w:type="dxa"/>
            <w:vMerge/>
          </w:tcPr>
          <w:p w:rsidR="00E27850" w:rsidRDefault="00E27850" w:rsidP="0030639B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</w:tr>
      <w:tr w:rsidR="00E27850" w:rsidTr="00F13A9B">
        <w:tc>
          <w:tcPr>
            <w:cnfStyle w:val="001000000000"/>
            <w:tcW w:w="1962" w:type="dxa"/>
          </w:tcPr>
          <w:p w:rsidR="00E27850" w:rsidRDefault="00517944" w:rsidP="00AB036B">
            <w:pPr>
              <w:jc w:val="both"/>
              <w:rPr>
                <w:sz w:val="28"/>
                <w:szCs w:val="28"/>
              </w:rPr>
            </w:pPr>
            <w:r w:rsidRPr="00517944">
              <w:rPr>
                <w:bCs w:val="0"/>
                <w:noProof w:val="0"/>
                <w:color w:val="000000"/>
                <w:lang w:val="en-US"/>
              </w:rPr>
              <w:t>Ukupno podzakonskih akata</w:t>
            </w:r>
          </w:p>
        </w:tc>
        <w:tc>
          <w:tcPr>
            <w:tcW w:w="5733" w:type="dxa"/>
            <w:gridSpan w:val="5"/>
          </w:tcPr>
          <w:p w:rsidR="00E27850" w:rsidRPr="0030639B" w:rsidRDefault="00E27850" w:rsidP="0030639B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30639B">
              <w:rPr>
                <w:b/>
                <w:sz w:val="28"/>
                <w:szCs w:val="28"/>
              </w:rPr>
              <w:t>407</w:t>
            </w:r>
          </w:p>
        </w:tc>
        <w:tc>
          <w:tcPr>
            <w:tcW w:w="1060" w:type="dxa"/>
            <w:vMerge/>
          </w:tcPr>
          <w:p w:rsidR="00E27850" w:rsidRPr="0030639B" w:rsidRDefault="00E27850" w:rsidP="0030639B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</w:p>
        </w:tc>
      </w:tr>
      <w:tr w:rsidR="0030639B" w:rsidTr="00F13A9B">
        <w:trPr>
          <w:cnfStyle w:val="000000100000"/>
        </w:trPr>
        <w:tc>
          <w:tcPr>
            <w:cnfStyle w:val="001000000000"/>
            <w:tcW w:w="1962" w:type="dxa"/>
          </w:tcPr>
          <w:p w:rsidR="0030639B" w:rsidRPr="0030639B" w:rsidRDefault="0030639B" w:rsidP="00AB036B">
            <w:pPr>
              <w:jc w:val="both"/>
              <w:rPr>
                <w:b w:val="0"/>
                <w:sz w:val="28"/>
                <w:szCs w:val="28"/>
              </w:rPr>
            </w:pPr>
            <w:r w:rsidRPr="00517944">
              <w:rPr>
                <w:bCs w:val="0"/>
                <w:noProof w:val="0"/>
                <w:color w:val="000000"/>
                <w:lang w:val="en-US"/>
              </w:rPr>
              <w:t>UKUPNO</w:t>
            </w:r>
            <w:r w:rsidR="00E27850" w:rsidRPr="00517944">
              <w:rPr>
                <w:bCs w:val="0"/>
                <w:noProof w:val="0"/>
                <w:color w:val="000000"/>
                <w:lang w:val="en-US"/>
              </w:rPr>
              <w:t xml:space="preserve"> SVIH NALOGA</w:t>
            </w:r>
          </w:p>
        </w:tc>
        <w:tc>
          <w:tcPr>
            <w:tcW w:w="6793" w:type="dxa"/>
            <w:gridSpan w:val="6"/>
          </w:tcPr>
          <w:p w:rsidR="0030639B" w:rsidRPr="0030639B" w:rsidRDefault="0030639B" w:rsidP="0030639B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 w:rsidRPr="0030639B">
              <w:rPr>
                <w:b/>
                <w:sz w:val="28"/>
                <w:szCs w:val="28"/>
              </w:rPr>
              <w:t>529</w:t>
            </w:r>
          </w:p>
        </w:tc>
      </w:tr>
    </w:tbl>
    <w:p w:rsidR="00823F2C" w:rsidRDefault="00823F2C" w:rsidP="00AB036B">
      <w:pPr>
        <w:jc w:val="both"/>
        <w:rPr>
          <w:sz w:val="28"/>
          <w:szCs w:val="28"/>
        </w:rPr>
      </w:pPr>
    </w:p>
    <w:p w:rsidR="00956463" w:rsidRPr="0057002F" w:rsidRDefault="00AB61B1" w:rsidP="00230F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956463" w:rsidRPr="0057002F">
        <w:rPr>
          <w:sz w:val="28"/>
          <w:szCs w:val="28"/>
        </w:rPr>
        <w:t xml:space="preserve">akon objavljivanja </w:t>
      </w:r>
      <w:r>
        <w:rPr>
          <w:sz w:val="28"/>
          <w:szCs w:val="28"/>
        </w:rPr>
        <w:t xml:space="preserve">navedenih </w:t>
      </w:r>
      <w:r w:rsidR="00956463" w:rsidRPr="0057002F">
        <w:rPr>
          <w:sz w:val="28"/>
          <w:szCs w:val="28"/>
        </w:rPr>
        <w:t>akata, ovaj organ utvrđuje da li su ti akti objavljeni u izvornom tekstu i, ako utvrdi da tekst u „Službenom listu Crne Gore“ ne odgovara izvornom tekstu, priprema njihovu ispravku.</w:t>
      </w:r>
    </w:p>
    <w:p w:rsidR="002A1C11" w:rsidRPr="0057002F" w:rsidRDefault="00956463" w:rsidP="00AB03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Napominjemo, </w:t>
      </w:r>
      <w:r w:rsidR="005B03FD" w:rsidRPr="0057002F">
        <w:rPr>
          <w:sz w:val="28"/>
          <w:szCs w:val="28"/>
        </w:rPr>
        <w:t xml:space="preserve">da </w:t>
      </w:r>
      <w:r w:rsidR="005B03FD" w:rsidRPr="00E451CD">
        <w:rPr>
          <w:b/>
          <w:sz w:val="28"/>
          <w:szCs w:val="28"/>
        </w:rPr>
        <w:t xml:space="preserve">ni u protekloj godini, </w:t>
      </w:r>
      <w:r w:rsidR="002A1C11" w:rsidRPr="00E451CD">
        <w:rPr>
          <w:b/>
          <w:sz w:val="28"/>
          <w:szCs w:val="28"/>
        </w:rPr>
        <w:t>Sekretarijat</w:t>
      </w:r>
      <w:r w:rsidR="002A1C11" w:rsidRPr="0057002F">
        <w:rPr>
          <w:sz w:val="28"/>
          <w:szCs w:val="28"/>
        </w:rPr>
        <w:t xml:space="preserve"> za zakonodavstvo </w:t>
      </w:r>
      <w:r w:rsidR="002A1C11" w:rsidRPr="00E451CD">
        <w:rPr>
          <w:b/>
          <w:sz w:val="28"/>
          <w:szCs w:val="28"/>
        </w:rPr>
        <w:t>nije</w:t>
      </w:r>
      <w:r w:rsidR="005B03FD" w:rsidRPr="00E451CD">
        <w:rPr>
          <w:b/>
          <w:sz w:val="28"/>
          <w:szCs w:val="28"/>
        </w:rPr>
        <w:t xml:space="preserve"> bio</w:t>
      </w:r>
      <w:r w:rsidR="002A1C11" w:rsidRPr="00E451CD">
        <w:rPr>
          <w:b/>
          <w:sz w:val="28"/>
          <w:szCs w:val="28"/>
        </w:rPr>
        <w:t xml:space="preserve"> u mogućnosti da akte o čijem se objavljivanju</w:t>
      </w:r>
      <w:r w:rsidR="00585C90" w:rsidRPr="00E451CD">
        <w:rPr>
          <w:b/>
          <w:sz w:val="28"/>
          <w:szCs w:val="28"/>
        </w:rPr>
        <w:t xml:space="preserve"> stara</w:t>
      </w:r>
      <w:r w:rsidR="00907D44" w:rsidRPr="0057002F">
        <w:rPr>
          <w:sz w:val="28"/>
          <w:szCs w:val="28"/>
        </w:rPr>
        <w:t>,</w:t>
      </w:r>
      <w:r w:rsidR="002A1C11" w:rsidRPr="0057002F">
        <w:rPr>
          <w:sz w:val="28"/>
          <w:szCs w:val="28"/>
        </w:rPr>
        <w:t xml:space="preserve"> saglasno Zakonu o objavljivanju propisa i drugih akata</w:t>
      </w:r>
      <w:r w:rsidR="00907D44" w:rsidRPr="0057002F">
        <w:rPr>
          <w:sz w:val="28"/>
          <w:szCs w:val="28"/>
        </w:rPr>
        <w:t>,</w:t>
      </w:r>
      <w:r w:rsidR="00DB4AE3">
        <w:rPr>
          <w:sz w:val="28"/>
          <w:szCs w:val="28"/>
        </w:rPr>
        <w:t xml:space="preserve"> </w:t>
      </w:r>
      <w:r w:rsidR="00907D44" w:rsidRPr="00E451CD">
        <w:rPr>
          <w:b/>
          <w:sz w:val="28"/>
          <w:szCs w:val="28"/>
        </w:rPr>
        <w:t>dostavlja Javnoj ustanovi</w:t>
      </w:r>
      <w:r w:rsidR="00907D44" w:rsidRPr="0057002F">
        <w:rPr>
          <w:sz w:val="28"/>
          <w:szCs w:val="28"/>
        </w:rPr>
        <w:t xml:space="preserve"> Službeni list Crne Gore </w:t>
      </w:r>
      <w:r w:rsidR="00907D44" w:rsidRPr="00E451CD">
        <w:rPr>
          <w:b/>
          <w:sz w:val="28"/>
          <w:szCs w:val="28"/>
        </w:rPr>
        <w:t>u elektronskoj formi potpisane naprednim elektronskim potpisom, iz razloga što od donosilaca te ak</w:t>
      </w:r>
      <w:r w:rsidR="004A27D3" w:rsidRPr="00E451CD">
        <w:rPr>
          <w:b/>
          <w:sz w:val="28"/>
          <w:szCs w:val="28"/>
        </w:rPr>
        <w:t>te</w:t>
      </w:r>
      <w:r w:rsidR="00907D44" w:rsidRPr="00E451CD">
        <w:rPr>
          <w:b/>
          <w:sz w:val="28"/>
          <w:szCs w:val="28"/>
        </w:rPr>
        <w:t xml:space="preserve"> ne dobija u propisanoj elektronskoj formi</w:t>
      </w:r>
      <w:r w:rsidR="005B03FD" w:rsidRPr="00E451CD">
        <w:rPr>
          <w:b/>
          <w:sz w:val="28"/>
          <w:szCs w:val="28"/>
        </w:rPr>
        <w:t>, već isključivo u štampanom obliku</w:t>
      </w:r>
      <w:r w:rsidR="00907D44" w:rsidRPr="00E451CD">
        <w:rPr>
          <w:b/>
          <w:sz w:val="28"/>
          <w:szCs w:val="28"/>
        </w:rPr>
        <w:t xml:space="preserve">. </w:t>
      </w:r>
    </w:p>
    <w:p w:rsidR="00907E5F" w:rsidRDefault="00907E5F" w:rsidP="000841A6">
      <w:pPr>
        <w:jc w:val="both"/>
        <w:rPr>
          <w:sz w:val="28"/>
          <w:szCs w:val="28"/>
        </w:rPr>
      </w:pPr>
    </w:p>
    <w:p w:rsidR="00BF55B6" w:rsidRPr="0057002F" w:rsidRDefault="00BF55B6" w:rsidP="006267F3">
      <w:pPr>
        <w:ind w:firstLine="720"/>
        <w:jc w:val="both"/>
        <w:rPr>
          <w:sz w:val="28"/>
          <w:szCs w:val="28"/>
        </w:rPr>
      </w:pPr>
    </w:p>
    <w:p w:rsidR="00FE483B" w:rsidRPr="00EF4E48" w:rsidRDefault="000841A6" w:rsidP="00AB036B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Davanje mišljenja u saradnji</w:t>
      </w:r>
      <w:r w:rsidR="00DB4AE3">
        <w:rPr>
          <w:b/>
          <w:sz w:val="28"/>
          <w:szCs w:val="28"/>
        </w:rPr>
        <w:t xml:space="preserve"> </w:t>
      </w:r>
      <w:r w:rsidR="00FE483B" w:rsidRPr="00EF4E48">
        <w:rPr>
          <w:b/>
          <w:sz w:val="28"/>
          <w:szCs w:val="28"/>
        </w:rPr>
        <w:t>sa ministarstvima</w:t>
      </w:r>
    </w:p>
    <w:p w:rsidR="00FE483B" w:rsidRPr="0057002F" w:rsidRDefault="00FE483B" w:rsidP="00FE483B">
      <w:pPr>
        <w:ind w:left="1080"/>
        <w:jc w:val="both"/>
        <w:rPr>
          <w:sz w:val="28"/>
          <w:szCs w:val="28"/>
        </w:rPr>
      </w:pPr>
    </w:p>
    <w:p w:rsidR="00FE483B" w:rsidRPr="0057002F" w:rsidRDefault="006267F3" w:rsidP="000C3AC0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Sekretarijat za zakonodavstvo učestvuje </w:t>
      </w:r>
      <w:bookmarkStart w:id="0" w:name="OLE_LINK1"/>
      <w:bookmarkStart w:id="1" w:name="OLE_LINK2"/>
      <w:r w:rsidRPr="0057002F">
        <w:rPr>
          <w:sz w:val="28"/>
          <w:szCs w:val="28"/>
        </w:rPr>
        <w:t>sa ministarstvima</w:t>
      </w:r>
      <w:bookmarkEnd w:id="0"/>
      <w:bookmarkEnd w:id="1"/>
      <w:r w:rsidRPr="0057002F">
        <w:rPr>
          <w:sz w:val="28"/>
          <w:szCs w:val="28"/>
        </w:rPr>
        <w:t xml:space="preserve"> u davanju mišljenja na inicijative, odnosno </w:t>
      </w:r>
      <w:r w:rsidRPr="00C33CD0">
        <w:rPr>
          <w:sz w:val="28"/>
          <w:szCs w:val="28"/>
        </w:rPr>
        <w:t>predloge</w:t>
      </w:r>
      <w:r w:rsidR="0055427C">
        <w:rPr>
          <w:sz w:val="28"/>
          <w:szCs w:val="28"/>
        </w:rPr>
        <w:t xml:space="preserve"> </w:t>
      </w:r>
      <w:r w:rsidRPr="00C33CD0">
        <w:rPr>
          <w:sz w:val="28"/>
          <w:szCs w:val="28"/>
        </w:rPr>
        <w:t>za</w:t>
      </w:r>
      <w:r w:rsidRPr="0057002F">
        <w:rPr>
          <w:sz w:val="28"/>
          <w:szCs w:val="28"/>
        </w:rPr>
        <w:t xml:space="preserve"> pokretanje postupka za ocjenu ustavnosti zakona, odnosno ustavnosti i zakonitosti drugih propisa, koje su pripremala, odnosno donijela ta ministarstva</w:t>
      </w:r>
      <w:r w:rsidR="00F51167" w:rsidRPr="0057002F">
        <w:rPr>
          <w:sz w:val="28"/>
          <w:szCs w:val="28"/>
        </w:rPr>
        <w:t>.</w:t>
      </w:r>
      <w:r w:rsidR="00505FCC" w:rsidRPr="0057002F">
        <w:rPr>
          <w:sz w:val="28"/>
          <w:szCs w:val="28"/>
        </w:rPr>
        <w:t xml:space="preserve"> Takođe, saradnja sa ministarstvima se ostvaruje povodom davanja mišljenja na amandmane podnijete</w:t>
      </w:r>
      <w:r w:rsidR="00085A7E" w:rsidRPr="0057002F">
        <w:rPr>
          <w:sz w:val="28"/>
          <w:szCs w:val="28"/>
        </w:rPr>
        <w:t xml:space="preserve"> u Skupštini</w:t>
      </w:r>
      <w:r w:rsidR="00505FCC" w:rsidRPr="0057002F">
        <w:rPr>
          <w:sz w:val="28"/>
          <w:szCs w:val="28"/>
        </w:rPr>
        <w:t xml:space="preserve"> na predloge zakona čiji je predlagač Vlada, kao i na pripremi mišljenja na zakone</w:t>
      </w:r>
      <w:r w:rsidR="000C3AC0" w:rsidRPr="0057002F">
        <w:rPr>
          <w:sz w:val="28"/>
          <w:szCs w:val="28"/>
        </w:rPr>
        <w:t xml:space="preserve"> čiji su predlagači poslanici. </w:t>
      </w:r>
    </w:p>
    <w:p w:rsidR="00102148" w:rsidRPr="0057002F" w:rsidRDefault="00102148" w:rsidP="00102148">
      <w:pPr>
        <w:ind w:firstLine="720"/>
        <w:jc w:val="both"/>
        <w:rPr>
          <w:sz w:val="28"/>
          <w:szCs w:val="28"/>
        </w:rPr>
      </w:pPr>
    </w:p>
    <w:p w:rsidR="00102148" w:rsidRPr="0057002F" w:rsidRDefault="00102148" w:rsidP="00102148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U toku 2014. godine Sekretarijat je u saradnji sa resornim ministarstvima dao: </w:t>
      </w:r>
    </w:p>
    <w:p w:rsidR="00102148" w:rsidRPr="0057002F" w:rsidRDefault="000C619D" w:rsidP="001021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2148" w:rsidRPr="000C619D">
        <w:rPr>
          <w:b/>
          <w:sz w:val="28"/>
          <w:szCs w:val="28"/>
        </w:rPr>
        <w:t>28 mišljenja na predloge zakona</w:t>
      </w:r>
      <w:r w:rsidR="00102148" w:rsidRPr="0057002F">
        <w:rPr>
          <w:sz w:val="28"/>
          <w:szCs w:val="28"/>
        </w:rPr>
        <w:t xml:space="preserve"> koje su Skupštini podnijeli poslanici, </w:t>
      </w:r>
    </w:p>
    <w:p w:rsidR="00102148" w:rsidRPr="0057002F" w:rsidRDefault="00102148" w:rsidP="00102148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- </w:t>
      </w:r>
      <w:r w:rsidR="000C619D">
        <w:rPr>
          <w:b/>
          <w:sz w:val="28"/>
          <w:szCs w:val="28"/>
        </w:rPr>
        <w:t xml:space="preserve">7 mišljenja na amandmane </w:t>
      </w:r>
      <w:r w:rsidRPr="000C619D">
        <w:rPr>
          <w:b/>
          <w:sz w:val="28"/>
          <w:szCs w:val="28"/>
        </w:rPr>
        <w:t>na predloge zakona</w:t>
      </w:r>
      <w:r w:rsidRPr="0057002F">
        <w:rPr>
          <w:sz w:val="28"/>
          <w:szCs w:val="28"/>
        </w:rPr>
        <w:t xml:space="preserve"> čiji je predlagač Vlada, i </w:t>
      </w:r>
    </w:p>
    <w:p w:rsidR="00EE6913" w:rsidRPr="0057002F" w:rsidRDefault="00102148" w:rsidP="00102148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- </w:t>
      </w:r>
      <w:r w:rsidRPr="000C619D">
        <w:rPr>
          <w:b/>
          <w:sz w:val="28"/>
          <w:szCs w:val="28"/>
        </w:rPr>
        <w:t>8 mišljenja na zahtjeve o rješavanju sukoba nadležnosti</w:t>
      </w:r>
      <w:r w:rsidRPr="0057002F">
        <w:rPr>
          <w:sz w:val="28"/>
          <w:szCs w:val="28"/>
        </w:rPr>
        <w:t>.</w:t>
      </w:r>
    </w:p>
    <w:p w:rsidR="00EE6913" w:rsidRPr="0057002F" w:rsidRDefault="00EE6913" w:rsidP="00CC3986">
      <w:pPr>
        <w:ind w:firstLine="720"/>
        <w:jc w:val="both"/>
        <w:rPr>
          <w:color w:val="000000"/>
          <w:sz w:val="28"/>
          <w:szCs w:val="28"/>
        </w:rPr>
      </w:pPr>
    </w:p>
    <w:p w:rsidR="00EF4E48" w:rsidRPr="0057002F" w:rsidRDefault="00EF4E48" w:rsidP="000C619D">
      <w:pPr>
        <w:rPr>
          <w:sz w:val="28"/>
          <w:szCs w:val="28"/>
        </w:rPr>
      </w:pPr>
    </w:p>
    <w:p w:rsidR="00EF4E48" w:rsidRPr="00EF4E48" w:rsidRDefault="00EF4E48" w:rsidP="00EF4E48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EF4E48">
        <w:rPr>
          <w:b/>
          <w:sz w:val="28"/>
          <w:szCs w:val="28"/>
        </w:rPr>
        <w:t>Postupanje po zahtjevima koji nijesu iz nadležnosti Sekretarijata</w:t>
      </w:r>
    </w:p>
    <w:p w:rsidR="00EF4E48" w:rsidRPr="0057002F" w:rsidRDefault="00EF4E48" w:rsidP="00EF4E48">
      <w:pPr>
        <w:spacing w:after="120"/>
        <w:ind w:left="450"/>
        <w:jc w:val="both"/>
        <w:rPr>
          <w:i/>
          <w:sz w:val="28"/>
          <w:szCs w:val="28"/>
        </w:rPr>
      </w:pPr>
    </w:p>
    <w:p w:rsidR="00EF4E48" w:rsidRPr="0057002F" w:rsidRDefault="00EF4E48" w:rsidP="00EF4E48">
      <w:pPr>
        <w:spacing w:after="12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Pr="0057002F">
        <w:rPr>
          <w:sz w:val="28"/>
          <w:szCs w:val="28"/>
        </w:rPr>
        <w:t xml:space="preserve"> proteklom periodu Sekretarijatu su dostavljani i drugi akti o kojima se ovaj organ, saglasno svojim nadležnostima ne izjašnjava. </w:t>
      </w:r>
    </w:p>
    <w:p w:rsidR="00EF4E48" w:rsidRPr="0057002F" w:rsidRDefault="00EF4E48" w:rsidP="00EF4E48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Tako su Sekretarijatu</w:t>
      </w:r>
      <w:r w:rsidR="0055427C">
        <w:rPr>
          <w:sz w:val="28"/>
          <w:szCs w:val="28"/>
        </w:rPr>
        <w:t xml:space="preserve"> </w:t>
      </w:r>
      <w:r w:rsidRPr="0057002F">
        <w:rPr>
          <w:sz w:val="28"/>
          <w:szCs w:val="28"/>
        </w:rPr>
        <w:t>dostavljeni na mišljenje jedan predlog međunarodnog sporazuma i jedan nacrt deklaracije. S obzirom da Sekretarijat za zakonodavstvo, saglasno Zakonu o zaključivanju i izvršavanju međunarodnih ugovora, nije nadležan da daje mišljenja na navedene akte, nadležna ministarstva su pisanim putem o tome obaviještena.</w:t>
      </w:r>
    </w:p>
    <w:p w:rsidR="00EF4E48" w:rsidRPr="0057002F" w:rsidRDefault="00EF4E48" w:rsidP="00EF4E48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Od Sekretarijata se zahtijevalo i da se izjasni na sugestije Evropske službe za vanjske poslove koje se odnose na Zakon o međunarodnim restriktivnim </w:t>
      </w:r>
      <w:r w:rsidR="0055427C">
        <w:rPr>
          <w:sz w:val="28"/>
          <w:szCs w:val="28"/>
        </w:rPr>
        <w:t xml:space="preserve"> </w:t>
      </w:r>
      <w:r w:rsidRPr="0057002F">
        <w:rPr>
          <w:sz w:val="28"/>
          <w:szCs w:val="28"/>
        </w:rPr>
        <w:t>mjerama, kao i na Okvirni sporazum između Crne Gore koju predstavlja Vlada Crne Gore i Evropske komisije o pravilima za sprovođenje finansijske pomoći Unije Crnoj Gori u okviru instrumenta pretpristupne podrške (IPA II), pa su tim povodom obrađivači obaviješteni da ovaj Sekretarijat nije nadležan da daje mišljenje o tome.</w:t>
      </w:r>
    </w:p>
    <w:p w:rsidR="00EF4E48" w:rsidRPr="0057002F" w:rsidRDefault="00EF4E48" w:rsidP="00EF4E48">
      <w:pPr>
        <w:spacing w:after="120"/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Takođe, </w:t>
      </w:r>
      <w:r w:rsidR="00585C90">
        <w:rPr>
          <w:sz w:val="28"/>
          <w:szCs w:val="28"/>
        </w:rPr>
        <w:t>u toku 2014. g</w:t>
      </w:r>
      <w:r w:rsidR="00A46179">
        <w:rPr>
          <w:sz w:val="28"/>
          <w:szCs w:val="28"/>
        </w:rPr>
        <w:t>odine, primljena</w:t>
      </w:r>
      <w:r w:rsidR="00E31488">
        <w:rPr>
          <w:sz w:val="28"/>
          <w:szCs w:val="28"/>
        </w:rPr>
        <w:t xml:space="preserve"> su</w:t>
      </w:r>
      <w:r w:rsidR="0055427C">
        <w:rPr>
          <w:sz w:val="28"/>
          <w:szCs w:val="28"/>
        </w:rPr>
        <w:t xml:space="preserve"> </w:t>
      </w:r>
      <w:r w:rsidRPr="002D3A15">
        <w:rPr>
          <w:b/>
          <w:sz w:val="28"/>
          <w:szCs w:val="28"/>
        </w:rPr>
        <w:t xml:space="preserve">dva zahtjeva </w:t>
      </w:r>
      <w:r w:rsidRPr="0057002F">
        <w:rPr>
          <w:sz w:val="28"/>
          <w:szCs w:val="28"/>
        </w:rPr>
        <w:t xml:space="preserve">za davanje mišljenja u vezi primjene pojedinih odredaba određenih propisa, što  nije u nadležnosti Sekretarijata za zakonodavstvo, pa su ti zahtjevi upućeni </w:t>
      </w:r>
      <w:r w:rsidRPr="0057002F">
        <w:rPr>
          <w:sz w:val="28"/>
          <w:szCs w:val="28"/>
        </w:rPr>
        <w:lastRenderedPageBreak/>
        <w:t xml:space="preserve">nadležnim ministarstvima na postupanje, o čemu su podnosioci tih zahtjeva odmah obaviješteni. </w:t>
      </w:r>
    </w:p>
    <w:p w:rsidR="00CC3986" w:rsidRPr="00EF4E48" w:rsidRDefault="00CC3986" w:rsidP="00F43552">
      <w:pPr>
        <w:ind w:firstLine="720"/>
        <w:jc w:val="both"/>
        <w:rPr>
          <w:b/>
          <w:sz w:val="28"/>
          <w:szCs w:val="28"/>
        </w:rPr>
      </w:pPr>
    </w:p>
    <w:p w:rsidR="00B076CD" w:rsidRPr="00EF4E48" w:rsidRDefault="00D24089" w:rsidP="00B076CD">
      <w:pPr>
        <w:jc w:val="both"/>
        <w:rPr>
          <w:b/>
          <w:sz w:val="28"/>
          <w:szCs w:val="28"/>
        </w:rPr>
      </w:pPr>
      <w:r w:rsidRPr="00EF4E48">
        <w:rPr>
          <w:b/>
          <w:sz w:val="28"/>
          <w:szCs w:val="28"/>
        </w:rPr>
        <w:t>I</w:t>
      </w:r>
      <w:r w:rsidR="00683EE7" w:rsidRPr="00EF4E48">
        <w:rPr>
          <w:b/>
          <w:sz w:val="28"/>
          <w:szCs w:val="28"/>
        </w:rPr>
        <w:t>II</w:t>
      </w:r>
      <w:r w:rsidRPr="00EF4E48">
        <w:rPr>
          <w:b/>
          <w:sz w:val="28"/>
          <w:szCs w:val="28"/>
        </w:rPr>
        <w:t xml:space="preserve">. </w:t>
      </w:r>
      <w:r w:rsidR="00B076CD" w:rsidRPr="00EF4E48">
        <w:rPr>
          <w:b/>
          <w:sz w:val="28"/>
          <w:szCs w:val="28"/>
        </w:rPr>
        <w:t xml:space="preserve">DRUGE AKTIVNOSTI </w:t>
      </w:r>
      <w:r w:rsidR="001B6D56" w:rsidRPr="00EF4E48">
        <w:rPr>
          <w:b/>
          <w:sz w:val="28"/>
          <w:szCs w:val="28"/>
        </w:rPr>
        <w:t>SEKRETARIJATA</w:t>
      </w:r>
    </w:p>
    <w:p w:rsidR="009E6A12" w:rsidRPr="00EF4E48" w:rsidRDefault="009E6A12" w:rsidP="00B076CD">
      <w:pPr>
        <w:jc w:val="both"/>
        <w:rPr>
          <w:b/>
          <w:sz w:val="28"/>
          <w:szCs w:val="28"/>
        </w:rPr>
      </w:pPr>
    </w:p>
    <w:p w:rsidR="009E6A12" w:rsidRPr="00EF4E48" w:rsidRDefault="009E6A12" w:rsidP="009E6A12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EF4E48">
        <w:rPr>
          <w:b/>
          <w:sz w:val="28"/>
          <w:szCs w:val="28"/>
        </w:rPr>
        <w:t xml:space="preserve">Poslovi u vezi nadzora nad zakonitošću i cjelishodnošću rada Javne ustanove Službeni list Crne Gore </w:t>
      </w:r>
    </w:p>
    <w:p w:rsidR="009E6A12" w:rsidRPr="0057002F" w:rsidRDefault="009E6A12" w:rsidP="009E6A12">
      <w:pPr>
        <w:ind w:left="720"/>
        <w:jc w:val="both"/>
        <w:rPr>
          <w:sz w:val="28"/>
          <w:szCs w:val="28"/>
        </w:rPr>
      </w:pPr>
    </w:p>
    <w:p w:rsidR="00333521" w:rsidRPr="0057002F" w:rsidRDefault="00333521" w:rsidP="00333521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Sekretarijat je, u okviru poslova nadzora nad zakonitošću i cjelishodnošću rada Javne ustanove Službeni list Crne Gore, u toku 2014. godine, Vladi dostavio Godišnji izvještaj o radu i poslovanju ove Javne ustanove, sa Izvještajem nezavisnog revizora o finansijskim iskazima za 2013. godinu, koji je Vlada razmotrila i usvojila na sjednici od 3. aprila</w:t>
      </w:r>
      <w:r w:rsidR="0055427C">
        <w:rPr>
          <w:sz w:val="28"/>
          <w:szCs w:val="28"/>
        </w:rPr>
        <w:t xml:space="preserve"> </w:t>
      </w:r>
      <w:r w:rsidR="00A46179">
        <w:rPr>
          <w:sz w:val="28"/>
          <w:szCs w:val="28"/>
        </w:rPr>
        <w:t>2014</w:t>
      </w:r>
      <w:r w:rsidRPr="0057002F">
        <w:rPr>
          <w:sz w:val="28"/>
          <w:szCs w:val="28"/>
        </w:rPr>
        <w:t xml:space="preserve">. godine. </w:t>
      </w:r>
      <w:r w:rsidRPr="0057002F">
        <w:rPr>
          <w:sz w:val="28"/>
          <w:szCs w:val="28"/>
        </w:rPr>
        <w:tab/>
      </w:r>
    </w:p>
    <w:p w:rsidR="00333521" w:rsidRPr="0057002F" w:rsidRDefault="00333521" w:rsidP="00EF4E48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Osim toga, preko predstavnika Sekretarijata u Upravnom odboru ove Javne ustanove, kontinuirano se prati objavljivanje propisa i drugih akata u Službenom listu i aktivnosti na unapređenju Pravno-informacionog sistema.  </w:t>
      </w:r>
    </w:p>
    <w:p w:rsidR="00333521" w:rsidRPr="0057002F" w:rsidRDefault="00333521" w:rsidP="00333521">
      <w:pPr>
        <w:pStyle w:val="ListParagraph"/>
        <w:ind w:left="0"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Na</w:t>
      </w:r>
      <w:r w:rsidR="00EF4E48">
        <w:rPr>
          <w:sz w:val="28"/>
          <w:szCs w:val="28"/>
        </w:rPr>
        <w:t xml:space="preserve">pominjemo, da se </w:t>
      </w:r>
      <w:r w:rsidRPr="0057002F">
        <w:rPr>
          <w:sz w:val="28"/>
          <w:szCs w:val="28"/>
        </w:rPr>
        <w:t xml:space="preserve">propisi i drugi akti </w:t>
      </w:r>
      <w:r w:rsidR="00EF4E48">
        <w:rPr>
          <w:sz w:val="28"/>
          <w:szCs w:val="28"/>
        </w:rPr>
        <w:t xml:space="preserve">i dalje </w:t>
      </w:r>
      <w:r w:rsidRPr="0057002F">
        <w:rPr>
          <w:sz w:val="28"/>
          <w:szCs w:val="28"/>
        </w:rPr>
        <w:t xml:space="preserve">ne dostavljaju na objavljivanje u skladu sa Uredbom o načinu i rokovima dostavljanja propisa i drugih akata na objavljivanje u „Službenom listu Crne Gore“ ("Službeni list CG", broj 33/08), u elektronskom obliku, potpisani naprednim elektronskim potpisom, čime bi se obezbijedila potpuna realizacija zakonom utvrđene obaveze Javne ustanove da te propise i akte objavi u elektronskom izdanju u autentičnom tekstu u kojem su joj dostavljeni. </w:t>
      </w:r>
    </w:p>
    <w:p w:rsidR="00C90D18" w:rsidRPr="0057002F" w:rsidRDefault="00C90D18" w:rsidP="00B076CD">
      <w:pPr>
        <w:jc w:val="both"/>
        <w:rPr>
          <w:sz w:val="28"/>
          <w:szCs w:val="28"/>
        </w:rPr>
      </w:pPr>
    </w:p>
    <w:p w:rsidR="00E26B70" w:rsidRPr="00EF4E48" w:rsidRDefault="0032018E" w:rsidP="0049358C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EF4E48">
        <w:rPr>
          <w:b/>
          <w:sz w:val="28"/>
          <w:szCs w:val="28"/>
        </w:rPr>
        <w:t>Učešće u radu stalnih i pri</w:t>
      </w:r>
      <w:r w:rsidR="00E26B70" w:rsidRPr="00EF4E48">
        <w:rPr>
          <w:b/>
          <w:sz w:val="28"/>
          <w:szCs w:val="28"/>
        </w:rPr>
        <w:t xml:space="preserve">vremenih radnih tijela Vlade i </w:t>
      </w:r>
      <w:r w:rsidR="00C65FCA" w:rsidRPr="00EF4E48">
        <w:rPr>
          <w:b/>
          <w:sz w:val="28"/>
          <w:szCs w:val="28"/>
        </w:rPr>
        <w:t>drugi</w:t>
      </w:r>
      <w:r w:rsidR="006343E8" w:rsidRPr="00EF4E48">
        <w:rPr>
          <w:b/>
          <w:sz w:val="28"/>
          <w:szCs w:val="28"/>
        </w:rPr>
        <w:t>h organ</w:t>
      </w:r>
      <w:r w:rsidR="00C65FCA" w:rsidRPr="00EF4E48">
        <w:rPr>
          <w:b/>
          <w:sz w:val="28"/>
          <w:szCs w:val="28"/>
        </w:rPr>
        <w:t>a</w:t>
      </w:r>
    </w:p>
    <w:p w:rsidR="00C65FCA" w:rsidRPr="0057002F" w:rsidRDefault="00C65FCA" w:rsidP="00C65FCA">
      <w:pPr>
        <w:ind w:left="720"/>
        <w:jc w:val="both"/>
        <w:rPr>
          <w:sz w:val="28"/>
          <w:szCs w:val="28"/>
        </w:rPr>
      </w:pPr>
    </w:p>
    <w:p w:rsidR="00910A2F" w:rsidRPr="0057002F" w:rsidRDefault="00AD480A" w:rsidP="00C65FCA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Predstavnici </w:t>
      </w:r>
      <w:r w:rsidR="00B076CD" w:rsidRPr="0057002F">
        <w:rPr>
          <w:sz w:val="28"/>
          <w:szCs w:val="28"/>
        </w:rPr>
        <w:t xml:space="preserve">Sekretarijata za zakonodavstvo su </w:t>
      </w:r>
      <w:r w:rsidR="00102148" w:rsidRPr="0057002F">
        <w:rPr>
          <w:sz w:val="28"/>
          <w:szCs w:val="28"/>
        </w:rPr>
        <w:t xml:space="preserve">i u protekloj godini </w:t>
      </w:r>
      <w:r w:rsidR="00042E71" w:rsidRPr="0057002F">
        <w:rPr>
          <w:sz w:val="28"/>
          <w:szCs w:val="28"/>
        </w:rPr>
        <w:t xml:space="preserve">bili </w:t>
      </w:r>
      <w:r w:rsidR="00B076CD" w:rsidRPr="0057002F">
        <w:rPr>
          <w:sz w:val="28"/>
          <w:szCs w:val="28"/>
        </w:rPr>
        <w:t xml:space="preserve">članovi stalnih </w:t>
      </w:r>
      <w:r w:rsidR="00A05C90" w:rsidRPr="0057002F">
        <w:rPr>
          <w:sz w:val="28"/>
          <w:szCs w:val="28"/>
        </w:rPr>
        <w:t xml:space="preserve">radnih tijela Vlade (Komisija za politički sistem, unutrašnju i </w:t>
      </w:r>
      <w:r w:rsidR="0049358C" w:rsidRPr="0057002F">
        <w:rPr>
          <w:sz w:val="28"/>
          <w:szCs w:val="28"/>
        </w:rPr>
        <w:t>vanjsku</w:t>
      </w:r>
      <w:r w:rsidR="00D24089" w:rsidRPr="0057002F">
        <w:rPr>
          <w:sz w:val="28"/>
          <w:szCs w:val="28"/>
        </w:rPr>
        <w:t xml:space="preserve"> politiku i</w:t>
      </w:r>
      <w:r w:rsidR="00A05C90" w:rsidRPr="0057002F">
        <w:rPr>
          <w:sz w:val="28"/>
          <w:szCs w:val="28"/>
        </w:rPr>
        <w:t xml:space="preserve"> Komisija za ekonomsk</w:t>
      </w:r>
      <w:r w:rsidR="00AB1F82" w:rsidRPr="0057002F">
        <w:rPr>
          <w:sz w:val="28"/>
          <w:szCs w:val="28"/>
        </w:rPr>
        <w:t>u politiku i finansijski sistem</w:t>
      </w:r>
      <w:r w:rsidR="00A05C90" w:rsidRPr="0057002F">
        <w:rPr>
          <w:sz w:val="28"/>
          <w:szCs w:val="28"/>
        </w:rPr>
        <w:t>) i drugih radnih tijela Vlade</w:t>
      </w:r>
      <w:r w:rsidR="00102148" w:rsidRPr="0057002F">
        <w:rPr>
          <w:sz w:val="28"/>
          <w:szCs w:val="28"/>
        </w:rPr>
        <w:t xml:space="preserve"> i ministarstava</w:t>
      </w:r>
      <w:r w:rsidR="00A05C90" w:rsidRPr="0057002F">
        <w:rPr>
          <w:sz w:val="28"/>
          <w:szCs w:val="28"/>
        </w:rPr>
        <w:t xml:space="preserve"> (Savjet za </w:t>
      </w:r>
      <w:r w:rsidR="006B3D9E" w:rsidRPr="0057002F">
        <w:rPr>
          <w:sz w:val="28"/>
          <w:szCs w:val="28"/>
        </w:rPr>
        <w:t>članstvo u NATO</w:t>
      </w:r>
      <w:r w:rsidR="00A05C90" w:rsidRPr="0057002F">
        <w:rPr>
          <w:sz w:val="28"/>
          <w:szCs w:val="28"/>
        </w:rPr>
        <w:t xml:space="preserve">, Savjet </w:t>
      </w:r>
      <w:r w:rsidR="005869B5" w:rsidRPr="0057002F">
        <w:rPr>
          <w:sz w:val="28"/>
          <w:szCs w:val="28"/>
        </w:rPr>
        <w:t>za unapređenje poslovnog ambijenta</w:t>
      </w:r>
      <w:r w:rsidR="00A05C90" w:rsidRPr="0057002F">
        <w:rPr>
          <w:sz w:val="28"/>
          <w:szCs w:val="28"/>
        </w:rPr>
        <w:t>,</w:t>
      </w:r>
      <w:r w:rsidR="005869B5" w:rsidRPr="0057002F">
        <w:rPr>
          <w:sz w:val="28"/>
          <w:szCs w:val="28"/>
        </w:rPr>
        <w:t xml:space="preserve"> regulatornih i strukturnih reformi,</w:t>
      </w:r>
      <w:r w:rsidR="008D5DA2">
        <w:rPr>
          <w:sz w:val="28"/>
          <w:szCs w:val="28"/>
        </w:rPr>
        <w:t xml:space="preserve"> </w:t>
      </w:r>
      <w:r w:rsidR="00EB0706" w:rsidRPr="0057002F">
        <w:rPr>
          <w:sz w:val="28"/>
          <w:szCs w:val="28"/>
        </w:rPr>
        <w:t>Savjet za brigu o licima sa invaliditetom</w:t>
      </w:r>
      <w:r w:rsidR="000B6B97" w:rsidRPr="0057002F">
        <w:rPr>
          <w:sz w:val="28"/>
          <w:szCs w:val="28"/>
        </w:rPr>
        <w:t>,</w:t>
      </w:r>
      <w:r w:rsidR="00EB0706" w:rsidRPr="0057002F">
        <w:rPr>
          <w:sz w:val="28"/>
          <w:szCs w:val="28"/>
        </w:rPr>
        <w:t xml:space="preserve"> </w:t>
      </w:r>
      <w:r w:rsidR="008D5DA2">
        <w:rPr>
          <w:sz w:val="28"/>
          <w:szCs w:val="28"/>
        </w:rPr>
        <w:t xml:space="preserve"> </w:t>
      </w:r>
      <w:r w:rsidR="00EB0706" w:rsidRPr="0057002F">
        <w:rPr>
          <w:sz w:val="28"/>
          <w:szCs w:val="28"/>
        </w:rPr>
        <w:t xml:space="preserve">Savjet za brigu o djeci, </w:t>
      </w:r>
      <w:r w:rsidR="005869B5" w:rsidRPr="0057002F">
        <w:rPr>
          <w:sz w:val="28"/>
          <w:szCs w:val="28"/>
        </w:rPr>
        <w:t>Interresorna</w:t>
      </w:r>
      <w:r w:rsidR="006B3D9E" w:rsidRPr="0057002F">
        <w:rPr>
          <w:sz w:val="28"/>
          <w:szCs w:val="28"/>
        </w:rPr>
        <w:t xml:space="preserve"> komisij</w:t>
      </w:r>
      <w:r w:rsidR="00365259" w:rsidRPr="0057002F">
        <w:rPr>
          <w:sz w:val="28"/>
          <w:szCs w:val="28"/>
        </w:rPr>
        <w:t>a</w:t>
      </w:r>
      <w:r w:rsidR="006B3D9E" w:rsidRPr="0057002F">
        <w:rPr>
          <w:sz w:val="28"/>
          <w:szCs w:val="28"/>
        </w:rPr>
        <w:t xml:space="preserve"> za članstvo Crne Gore u NATO</w:t>
      </w:r>
      <w:r w:rsidR="005869B5" w:rsidRPr="0057002F">
        <w:rPr>
          <w:sz w:val="28"/>
          <w:szCs w:val="28"/>
        </w:rPr>
        <w:t>, Komisija za evropske integracije</w:t>
      </w:r>
      <w:r w:rsidR="00910A2F" w:rsidRPr="0057002F">
        <w:rPr>
          <w:sz w:val="28"/>
          <w:szCs w:val="28"/>
        </w:rPr>
        <w:t>),</w:t>
      </w:r>
      <w:r w:rsidR="00CE3E25" w:rsidRPr="0057002F">
        <w:rPr>
          <w:sz w:val="28"/>
          <w:szCs w:val="28"/>
        </w:rPr>
        <w:t xml:space="preserve"> kao i </w:t>
      </w:r>
      <w:r w:rsidR="00B03614" w:rsidRPr="0057002F">
        <w:rPr>
          <w:sz w:val="28"/>
          <w:szCs w:val="28"/>
        </w:rPr>
        <w:t xml:space="preserve">članovi </w:t>
      </w:r>
      <w:r w:rsidR="008778A4" w:rsidRPr="0057002F">
        <w:rPr>
          <w:sz w:val="28"/>
          <w:szCs w:val="28"/>
        </w:rPr>
        <w:t>organa upravljanja pojedinih javnih ustanova</w:t>
      </w:r>
      <w:r w:rsidR="00CE3E25" w:rsidRPr="0057002F">
        <w:rPr>
          <w:sz w:val="28"/>
          <w:szCs w:val="28"/>
        </w:rPr>
        <w:t xml:space="preserve">. </w:t>
      </w:r>
    </w:p>
    <w:p w:rsidR="00EC01A9" w:rsidRPr="0057002F" w:rsidRDefault="00F74DE1" w:rsidP="00F74DE1">
      <w:pPr>
        <w:jc w:val="both"/>
        <w:rPr>
          <w:sz w:val="28"/>
          <w:szCs w:val="28"/>
        </w:rPr>
      </w:pPr>
      <w:r w:rsidRPr="0057002F">
        <w:rPr>
          <w:sz w:val="28"/>
          <w:szCs w:val="28"/>
        </w:rPr>
        <w:tab/>
        <w:t xml:space="preserve">Takođe, predstavnik Sekretarijata je </w:t>
      </w:r>
      <w:r w:rsidR="009749A2">
        <w:rPr>
          <w:sz w:val="28"/>
          <w:szCs w:val="28"/>
        </w:rPr>
        <w:t xml:space="preserve">do oktobra 2014. godine </w:t>
      </w:r>
      <w:r w:rsidR="00860035" w:rsidRPr="0057002F">
        <w:rPr>
          <w:sz w:val="28"/>
          <w:szCs w:val="28"/>
        </w:rPr>
        <w:t xml:space="preserve">bio </w:t>
      </w:r>
      <w:r w:rsidRPr="0057002F">
        <w:rPr>
          <w:sz w:val="28"/>
          <w:szCs w:val="28"/>
        </w:rPr>
        <w:t xml:space="preserve">član Državne izborne komisije. </w:t>
      </w:r>
    </w:p>
    <w:p w:rsidR="0014470C" w:rsidRPr="0057002F" w:rsidRDefault="0014470C" w:rsidP="00F74DE1">
      <w:pPr>
        <w:jc w:val="both"/>
        <w:rPr>
          <w:sz w:val="28"/>
          <w:szCs w:val="28"/>
        </w:rPr>
      </w:pPr>
    </w:p>
    <w:p w:rsidR="007B0E73" w:rsidRPr="00EF4E48" w:rsidRDefault="004C7D47" w:rsidP="00E66E9E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EF4E48">
        <w:rPr>
          <w:b/>
          <w:sz w:val="28"/>
          <w:szCs w:val="28"/>
        </w:rPr>
        <w:lastRenderedPageBreak/>
        <w:t>Učešće Sekretarijata u drugim aktivnostima</w:t>
      </w:r>
      <w:r w:rsidR="003B794A" w:rsidRPr="00EF4E48">
        <w:rPr>
          <w:b/>
          <w:sz w:val="28"/>
          <w:szCs w:val="28"/>
        </w:rPr>
        <w:t xml:space="preserve"> značajnim za unapređenje pravnog sistema</w:t>
      </w:r>
    </w:p>
    <w:p w:rsidR="004C7D47" w:rsidRPr="0057002F" w:rsidRDefault="004C7D47" w:rsidP="004C7D47">
      <w:pPr>
        <w:ind w:left="810"/>
        <w:jc w:val="both"/>
        <w:rPr>
          <w:sz w:val="28"/>
          <w:szCs w:val="28"/>
        </w:rPr>
      </w:pPr>
    </w:p>
    <w:p w:rsidR="001A612B" w:rsidRPr="0057002F" w:rsidRDefault="001A612B" w:rsidP="001A612B">
      <w:pPr>
        <w:pStyle w:val="ListParagraph"/>
        <w:ind w:left="0" w:firstLine="720"/>
        <w:contextualSpacing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U protekloj godini predstavnici Sekretarijata za zakonodavstvo </w:t>
      </w:r>
      <w:r w:rsidR="00EF4E48">
        <w:rPr>
          <w:sz w:val="28"/>
          <w:szCs w:val="28"/>
        </w:rPr>
        <w:t>nastavili su sa učešćem</w:t>
      </w:r>
      <w:r w:rsidRPr="0057002F">
        <w:rPr>
          <w:sz w:val="28"/>
          <w:szCs w:val="28"/>
        </w:rPr>
        <w:t xml:space="preserve"> u svim aktivnostima koje su od značaja za unapređenje pravnog sistema Crne Gore, zajedno sa ostalim predstavnicima državne uprave. </w:t>
      </w:r>
    </w:p>
    <w:p w:rsidR="001A612B" w:rsidRPr="0057002F" w:rsidRDefault="001A612B" w:rsidP="001A612B">
      <w:pPr>
        <w:pStyle w:val="ListParagraph"/>
        <w:ind w:left="0" w:firstLine="720"/>
        <w:contextualSpacing/>
        <w:jc w:val="both"/>
        <w:rPr>
          <w:sz w:val="28"/>
          <w:szCs w:val="28"/>
        </w:rPr>
      </w:pPr>
      <w:r w:rsidRPr="0057002F">
        <w:rPr>
          <w:sz w:val="28"/>
          <w:szCs w:val="28"/>
        </w:rPr>
        <w:t>To se naročito odnosi na aktivno učešće predstavnika Sekretarijata na radionicama i sastancima koje je tokom 2014. godine, preko Uprave za kadrove organizovala SIGMA/OECD na temu „Kreiranje politika i koordinacija“ koja je započeta prethodne godine, i na temu „Izgradnja kapaciteta za izradu propisa“, kao i davanjem mišljenja na materijale koje je povodom navedenih tema pripremila ova organizacija, sa as</w:t>
      </w:r>
      <w:r w:rsidR="00D33465" w:rsidRPr="0057002F">
        <w:rPr>
          <w:sz w:val="28"/>
          <w:szCs w:val="28"/>
        </w:rPr>
        <w:t xml:space="preserve">pekta pravnog sistema Crne Gore </w:t>
      </w:r>
      <w:r w:rsidR="008D5DA2">
        <w:rPr>
          <w:sz w:val="28"/>
          <w:szCs w:val="28"/>
        </w:rPr>
        <w:t xml:space="preserve"> </w:t>
      </w:r>
      <w:r w:rsidR="00D33465" w:rsidRPr="0057002F">
        <w:rPr>
          <w:sz w:val="28"/>
          <w:szCs w:val="28"/>
        </w:rPr>
        <w:t>(kao što su</w:t>
      </w:r>
      <w:r w:rsidRPr="0057002F">
        <w:rPr>
          <w:sz w:val="28"/>
          <w:szCs w:val="28"/>
        </w:rPr>
        <w:t xml:space="preserve"> „Pregled izrade javnih politika – Crna Gora“ i Zapisnik sa radionice o izgradnji kapaciteta za izradu propisa iz koje je proizašao Nacrt programa obuke za izradu propisa u Crnoj Gori</w:t>
      </w:r>
      <w:r w:rsidR="00D33465" w:rsidRPr="0057002F">
        <w:rPr>
          <w:sz w:val="28"/>
          <w:szCs w:val="28"/>
        </w:rPr>
        <w:t>)</w:t>
      </w:r>
      <w:r w:rsidRPr="0057002F">
        <w:rPr>
          <w:sz w:val="28"/>
          <w:szCs w:val="28"/>
        </w:rPr>
        <w:t>.</w:t>
      </w:r>
    </w:p>
    <w:p w:rsidR="0007051F" w:rsidRPr="0057002F" w:rsidRDefault="0007051F" w:rsidP="000435DC">
      <w:pPr>
        <w:pStyle w:val="ListParagraph"/>
        <w:ind w:left="0" w:firstLine="720"/>
        <w:contextualSpacing/>
        <w:jc w:val="both"/>
        <w:rPr>
          <w:i/>
          <w:color w:val="FF0000"/>
          <w:sz w:val="28"/>
          <w:szCs w:val="28"/>
        </w:rPr>
      </w:pPr>
    </w:p>
    <w:p w:rsidR="002D4A33" w:rsidRPr="00EF4E48" w:rsidRDefault="002D4A33" w:rsidP="00E66E9E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EF4E48">
        <w:rPr>
          <w:b/>
          <w:sz w:val="28"/>
          <w:szCs w:val="28"/>
        </w:rPr>
        <w:t xml:space="preserve">Saradnja sa nevladinim </w:t>
      </w:r>
      <w:r w:rsidR="00082A1F" w:rsidRPr="00EF4E48">
        <w:rPr>
          <w:b/>
          <w:sz w:val="28"/>
          <w:szCs w:val="28"/>
        </w:rPr>
        <w:t>organizacijama</w:t>
      </w:r>
    </w:p>
    <w:p w:rsidR="0051214E" w:rsidRPr="0057002F" w:rsidRDefault="0051214E" w:rsidP="002D4A33">
      <w:pPr>
        <w:ind w:firstLine="720"/>
        <w:jc w:val="both"/>
        <w:rPr>
          <w:color w:val="000000"/>
          <w:sz w:val="28"/>
          <w:szCs w:val="28"/>
        </w:rPr>
      </w:pPr>
    </w:p>
    <w:p w:rsidR="00A62A01" w:rsidRPr="0057002F" w:rsidRDefault="00A62A01" w:rsidP="00A62A01">
      <w:pPr>
        <w:ind w:firstLine="720"/>
        <w:jc w:val="both"/>
        <w:rPr>
          <w:rFonts w:eastAsia="Calibri"/>
          <w:sz w:val="28"/>
          <w:szCs w:val="28"/>
        </w:rPr>
      </w:pPr>
      <w:r w:rsidRPr="0057002F">
        <w:rPr>
          <w:rFonts w:eastAsia="Calibri"/>
          <w:color w:val="000000"/>
          <w:sz w:val="28"/>
          <w:szCs w:val="28"/>
        </w:rPr>
        <w:t>Budući da je predmet interesovanja nevladinih organizacija prevashodno uključivanje u proces javnih politika (strategija i analiza stanja u određenoj oblasti, nacrta i predloga zakona, drugih propisa i podzakonskih akata kojima se uređuje način ostvarivanja sloboda i prava građana), koje su u nadležnosti ministarstava, Sekretarijat nije u poziciji da u tom domenu ostvaruje saradnju sa nevladinim organizacijama</w:t>
      </w:r>
      <w:r w:rsidRPr="0057002F">
        <w:rPr>
          <w:rFonts w:eastAsia="Calibri"/>
          <w:sz w:val="28"/>
          <w:szCs w:val="28"/>
        </w:rPr>
        <w:t xml:space="preserve">. </w:t>
      </w:r>
    </w:p>
    <w:p w:rsidR="002D5010" w:rsidRPr="0057002F" w:rsidRDefault="00A62A01" w:rsidP="00D33465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Međutim, saradnja sa nevladinim organizacijama ogleda se kroz postupanje po njihovim zahtjevima  </w:t>
      </w:r>
      <w:r w:rsidR="002D5010" w:rsidRPr="0057002F">
        <w:rPr>
          <w:sz w:val="28"/>
          <w:szCs w:val="28"/>
        </w:rPr>
        <w:t>za slobodan pristup informacijama</w:t>
      </w:r>
      <w:r w:rsidRPr="0057002F">
        <w:rPr>
          <w:sz w:val="28"/>
          <w:szCs w:val="28"/>
        </w:rPr>
        <w:t xml:space="preserve">. U 2014. </w:t>
      </w:r>
      <w:r w:rsidR="00EF4E48">
        <w:rPr>
          <w:sz w:val="28"/>
          <w:szCs w:val="28"/>
        </w:rPr>
        <w:t>g</w:t>
      </w:r>
      <w:r w:rsidRPr="0057002F">
        <w:rPr>
          <w:sz w:val="28"/>
          <w:szCs w:val="28"/>
        </w:rPr>
        <w:t>odini</w:t>
      </w:r>
      <w:r w:rsidR="00EF4E48">
        <w:rPr>
          <w:sz w:val="28"/>
          <w:szCs w:val="28"/>
        </w:rPr>
        <w:t>,</w:t>
      </w:r>
      <w:r w:rsidR="008D5DA2">
        <w:rPr>
          <w:sz w:val="28"/>
          <w:szCs w:val="28"/>
        </w:rPr>
        <w:t xml:space="preserve"> </w:t>
      </w:r>
      <w:r w:rsidR="00D33465" w:rsidRPr="0057002F">
        <w:rPr>
          <w:sz w:val="28"/>
          <w:szCs w:val="28"/>
        </w:rPr>
        <w:t>Sekretarijat za zakonodavstvo je blagovremeno postupao po zahtjevima nevladinih organizacija (</w:t>
      </w:r>
      <w:r w:rsidR="002D5010" w:rsidRPr="0057002F">
        <w:rPr>
          <w:sz w:val="28"/>
          <w:szCs w:val="28"/>
        </w:rPr>
        <w:t xml:space="preserve">Institut alternativa, Centar za monitoring i istraživanje, Centar za demokratsku tranziciju, </w:t>
      </w:r>
      <w:r w:rsidR="00585C90">
        <w:rPr>
          <w:sz w:val="28"/>
          <w:szCs w:val="28"/>
        </w:rPr>
        <w:t>Centar za građansko obrazovanje i</w:t>
      </w:r>
      <w:r w:rsidR="002D5010" w:rsidRPr="0057002F">
        <w:rPr>
          <w:sz w:val="28"/>
          <w:szCs w:val="28"/>
        </w:rPr>
        <w:t xml:space="preserve"> Udruženje priređivača igara na sreću Crne Gore</w:t>
      </w:r>
      <w:r w:rsidR="00D33465" w:rsidRPr="0057002F">
        <w:rPr>
          <w:sz w:val="28"/>
          <w:szCs w:val="28"/>
        </w:rPr>
        <w:t>)</w:t>
      </w:r>
      <w:r w:rsidR="007310B5">
        <w:rPr>
          <w:sz w:val="28"/>
          <w:szCs w:val="28"/>
        </w:rPr>
        <w:t>.</w:t>
      </w:r>
    </w:p>
    <w:p w:rsidR="002D5010" w:rsidRPr="0057002F" w:rsidRDefault="002D5010" w:rsidP="002D5010">
      <w:pPr>
        <w:ind w:firstLine="720"/>
        <w:jc w:val="both"/>
        <w:rPr>
          <w:rFonts w:eastAsia="Calibri"/>
          <w:sz w:val="28"/>
          <w:szCs w:val="28"/>
        </w:rPr>
      </w:pPr>
      <w:r w:rsidRPr="0057002F">
        <w:rPr>
          <w:rFonts w:eastAsia="Calibri"/>
          <w:sz w:val="28"/>
          <w:szCs w:val="28"/>
        </w:rPr>
        <w:t>Polugodišnje izvještaje o saradnji sa nevladinim organizacijama, Sekretarijat redovno dostavlja Kancelariji za saradnju sa nevladinim organizacijama</w:t>
      </w:r>
      <w:r w:rsidRPr="0057002F">
        <w:rPr>
          <w:sz w:val="28"/>
          <w:szCs w:val="28"/>
        </w:rPr>
        <w:t>.</w:t>
      </w:r>
    </w:p>
    <w:p w:rsidR="0035005B" w:rsidRPr="0057002F" w:rsidRDefault="0035005B" w:rsidP="00AE010B">
      <w:pPr>
        <w:pStyle w:val="ListParagraph"/>
        <w:spacing w:line="360" w:lineRule="auto"/>
        <w:contextualSpacing/>
        <w:rPr>
          <w:color w:val="FF0000"/>
        </w:rPr>
      </w:pPr>
    </w:p>
    <w:p w:rsidR="00F46DA9" w:rsidRPr="00EF4E48" w:rsidRDefault="00F46DA9" w:rsidP="00E8469F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EF4E48">
        <w:rPr>
          <w:b/>
          <w:sz w:val="28"/>
          <w:szCs w:val="28"/>
        </w:rPr>
        <w:t>Slobodan pristup informacija</w:t>
      </w:r>
      <w:r w:rsidR="003427E9" w:rsidRPr="00EF4E48">
        <w:rPr>
          <w:b/>
          <w:sz w:val="28"/>
          <w:szCs w:val="28"/>
        </w:rPr>
        <w:t>ma</w:t>
      </w:r>
    </w:p>
    <w:p w:rsidR="00E4417C" w:rsidRPr="0057002F" w:rsidRDefault="00E4417C" w:rsidP="00EF11C4">
      <w:pPr>
        <w:jc w:val="both"/>
        <w:rPr>
          <w:sz w:val="28"/>
          <w:szCs w:val="28"/>
        </w:rPr>
      </w:pPr>
    </w:p>
    <w:p w:rsidR="002D5010" w:rsidRPr="0057002F" w:rsidRDefault="00117AF1" w:rsidP="00A963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02F">
        <w:rPr>
          <w:color w:val="000000"/>
          <w:sz w:val="28"/>
          <w:szCs w:val="28"/>
        </w:rPr>
        <w:t>U</w:t>
      </w:r>
      <w:r w:rsidR="002D5010" w:rsidRPr="0057002F">
        <w:rPr>
          <w:sz w:val="28"/>
          <w:szCs w:val="28"/>
        </w:rPr>
        <w:t xml:space="preserve"> toku 2014. godine u Sekretarijatu za zakonodavstvo primljeno je </w:t>
      </w:r>
      <w:r w:rsidR="002D5010" w:rsidRPr="00C63ABA">
        <w:rPr>
          <w:b/>
          <w:sz w:val="28"/>
          <w:szCs w:val="28"/>
        </w:rPr>
        <w:t>devet zahtjeva za pristup informacijama, kojima je tražen pristup većem broju informacija.</w:t>
      </w:r>
    </w:p>
    <w:p w:rsidR="00CB45CC" w:rsidRPr="0057002F" w:rsidRDefault="002D5010" w:rsidP="002D5010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lastRenderedPageBreak/>
        <w:t xml:space="preserve">Sekretarijat je, saglasno Zakonu o slobodnom pristupu informacijama, postupio po podnesenim zahtjevima, </w:t>
      </w:r>
      <w:r w:rsidR="00CB45CC" w:rsidRPr="0057002F">
        <w:rPr>
          <w:sz w:val="28"/>
          <w:szCs w:val="28"/>
        </w:rPr>
        <w:t xml:space="preserve">i to na </w:t>
      </w:r>
      <w:r w:rsidR="00117AF1" w:rsidRPr="0057002F">
        <w:rPr>
          <w:sz w:val="28"/>
          <w:szCs w:val="28"/>
        </w:rPr>
        <w:t>sljedeći način</w:t>
      </w:r>
      <w:r w:rsidR="00CB45CC" w:rsidRPr="0057002F">
        <w:rPr>
          <w:sz w:val="28"/>
          <w:szCs w:val="28"/>
        </w:rPr>
        <w:t>:</w:t>
      </w:r>
    </w:p>
    <w:p w:rsidR="004D74CE" w:rsidRPr="0057002F" w:rsidRDefault="00A9633D" w:rsidP="00CB45CC">
      <w:pPr>
        <w:numPr>
          <w:ilvl w:val="0"/>
          <w:numId w:val="8"/>
        </w:numPr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za jedan zahtjev je </w:t>
      </w:r>
      <w:r w:rsidR="002D5010" w:rsidRPr="0057002F">
        <w:rPr>
          <w:sz w:val="28"/>
          <w:szCs w:val="28"/>
        </w:rPr>
        <w:t>dozvo</w:t>
      </w:r>
      <w:r w:rsidR="00CB45CC" w:rsidRPr="0057002F">
        <w:rPr>
          <w:sz w:val="28"/>
          <w:szCs w:val="28"/>
        </w:rPr>
        <w:t xml:space="preserve">ljen </w:t>
      </w:r>
      <w:r w:rsidR="002D5010" w:rsidRPr="0057002F">
        <w:rPr>
          <w:sz w:val="28"/>
          <w:szCs w:val="28"/>
        </w:rPr>
        <w:t>pristup informacijama</w:t>
      </w:r>
      <w:r w:rsidR="00CB45CC" w:rsidRPr="0057002F">
        <w:rPr>
          <w:sz w:val="28"/>
          <w:szCs w:val="28"/>
        </w:rPr>
        <w:t>;</w:t>
      </w:r>
    </w:p>
    <w:p w:rsidR="004D74CE" w:rsidRPr="0057002F" w:rsidRDefault="00A9633D" w:rsidP="00CB45CC">
      <w:pPr>
        <w:numPr>
          <w:ilvl w:val="0"/>
          <w:numId w:val="8"/>
        </w:numPr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za jedan zahtjev je </w:t>
      </w:r>
      <w:r w:rsidR="00CB45CC" w:rsidRPr="0057002F">
        <w:rPr>
          <w:sz w:val="28"/>
          <w:szCs w:val="28"/>
        </w:rPr>
        <w:t>d</w:t>
      </w:r>
      <w:r w:rsidR="002D5010" w:rsidRPr="0057002F">
        <w:rPr>
          <w:sz w:val="28"/>
          <w:szCs w:val="28"/>
        </w:rPr>
        <w:t>a</w:t>
      </w:r>
      <w:r w:rsidR="00CB45CC" w:rsidRPr="0057002F">
        <w:rPr>
          <w:sz w:val="28"/>
          <w:szCs w:val="28"/>
        </w:rPr>
        <w:t>t</w:t>
      </w:r>
      <w:r w:rsidR="002D5010" w:rsidRPr="0057002F">
        <w:rPr>
          <w:sz w:val="28"/>
          <w:szCs w:val="28"/>
        </w:rPr>
        <w:t>o obavještenje da su tražene informacije objavljene i dostupne na internet stranici Sekretarijata za zakonodavstvo</w:t>
      </w:r>
      <w:r w:rsidR="00CB45CC" w:rsidRPr="0057002F">
        <w:rPr>
          <w:sz w:val="28"/>
          <w:szCs w:val="28"/>
        </w:rPr>
        <w:t>;</w:t>
      </w:r>
    </w:p>
    <w:p w:rsidR="004D74CE" w:rsidRPr="0057002F" w:rsidRDefault="00A9633D" w:rsidP="00CB45CC">
      <w:pPr>
        <w:numPr>
          <w:ilvl w:val="0"/>
          <w:numId w:val="8"/>
        </w:numPr>
        <w:jc w:val="both"/>
        <w:rPr>
          <w:sz w:val="28"/>
          <w:szCs w:val="28"/>
        </w:rPr>
      </w:pPr>
      <w:r w:rsidRPr="0057002F">
        <w:rPr>
          <w:sz w:val="28"/>
          <w:szCs w:val="28"/>
        </w:rPr>
        <w:t>tri</w:t>
      </w:r>
      <w:r w:rsidR="00CB45CC" w:rsidRPr="0057002F">
        <w:rPr>
          <w:sz w:val="28"/>
          <w:szCs w:val="28"/>
        </w:rPr>
        <w:t xml:space="preserve"> zahtjeva </w:t>
      </w:r>
      <w:r w:rsidRPr="0057002F">
        <w:rPr>
          <w:sz w:val="28"/>
          <w:szCs w:val="28"/>
        </w:rPr>
        <w:t xml:space="preserve">su </w:t>
      </w:r>
      <w:r w:rsidR="00CB45CC" w:rsidRPr="0057002F">
        <w:rPr>
          <w:sz w:val="28"/>
          <w:szCs w:val="28"/>
        </w:rPr>
        <w:t>odbijena;</w:t>
      </w:r>
    </w:p>
    <w:p w:rsidR="00CB45CC" w:rsidRPr="0057002F" w:rsidRDefault="00A9633D" w:rsidP="00A9633D">
      <w:pPr>
        <w:numPr>
          <w:ilvl w:val="0"/>
          <w:numId w:val="8"/>
        </w:numPr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za dva zahtjeva u </w:t>
      </w:r>
      <w:r w:rsidR="00553E4B">
        <w:rPr>
          <w:sz w:val="28"/>
          <w:szCs w:val="28"/>
        </w:rPr>
        <w:t>odnosu na jedan dio</w:t>
      </w:r>
      <w:r w:rsidRPr="0057002F">
        <w:rPr>
          <w:sz w:val="28"/>
          <w:szCs w:val="28"/>
        </w:rPr>
        <w:t xml:space="preserve"> zahtjeva </w:t>
      </w:r>
      <w:r w:rsidR="00DD5B91" w:rsidRPr="0057002F">
        <w:rPr>
          <w:sz w:val="28"/>
          <w:szCs w:val="28"/>
        </w:rPr>
        <w:t xml:space="preserve">podnosilac </w:t>
      </w:r>
      <w:r w:rsidR="009801B1">
        <w:rPr>
          <w:sz w:val="28"/>
          <w:szCs w:val="28"/>
        </w:rPr>
        <w:t xml:space="preserve">je </w:t>
      </w:r>
      <w:r w:rsidRPr="0057002F">
        <w:rPr>
          <w:sz w:val="28"/>
          <w:szCs w:val="28"/>
        </w:rPr>
        <w:t>obaviješten</w:t>
      </w:r>
      <w:r w:rsidR="002D5010" w:rsidRPr="0057002F">
        <w:rPr>
          <w:sz w:val="28"/>
          <w:szCs w:val="28"/>
        </w:rPr>
        <w:t xml:space="preserve"> da su tražene informacije objavljene i dostupne na internet stranici Sekretarijata za zakonodavstvo, a </w:t>
      </w:r>
      <w:r w:rsidR="00553E4B">
        <w:rPr>
          <w:sz w:val="28"/>
          <w:szCs w:val="28"/>
        </w:rPr>
        <w:t>drugi dio</w:t>
      </w:r>
      <w:r w:rsidR="002D5010" w:rsidRPr="0057002F">
        <w:rPr>
          <w:sz w:val="28"/>
          <w:szCs w:val="28"/>
        </w:rPr>
        <w:t xml:space="preserve"> zahtjeva je odbi</w:t>
      </w:r>
      <w:r w:rsidRPr="0057002F">
        <w:rPr>
          <w:sz w:val="28"/>
          <w:szCs w:val="28"/>
        </w:rPr>
        <w:t>jen</w:t>
      </w:r>
      <w:r w:rsidR="002D5010" w:rsidRPr="0057002F">
        <w:rPr>
          <w:sz w:val="28"/>
          <w:szCs w:val="28"/>
        </w:rPr>
        <w:t xml:space="preserve">; </w:t>
      </w:r>
    </w:p>
    <w:p w:rsidR="004D74CE" w:rsidRPr="0057002F" w:rsidRDefault="00A9633D" w:rsidP="00A9633D">
      <w:pPr>
        <w:numPr>
          <w:ilvl w:val="0"/>
          <w:numId w:val="8"/>
        </w:numPr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za jedan zahtjev je </w:t>
      </w:r>
      <w:r w:rsidR="002D5010" w:rsidRPr="0057002F">
        <w:rPr>
          <w:sz w:val="28"/>
          <w:szCs w:val="28"/>
        </w:rPr>
        <w:t>u dijelu zahtjeva omoguć</w:t>
      </w:r>
      <w:r w:rsidRPr="0057002F">
        <w:rPr>
          <w:sz w:val="28"/>
          <w:szCs w:val="28"/>
        </w:rPr>
        <w:t>en</w:t>
      </w:r>
      <w:r w:rsidR="002D5010" w:rsidRPr="0057002F">
        <w:rPr>
          <w:sz w:val="28"/>
          <w:szCs w:val="28"/>
        </w:rPr>
        <w:t xml:space="preserve"> pristup informaciji, a u odnosu n</w:t>
      </w:r>
      <w:r w:rsidRPr="0057002F">
        <w:rPr>
          <w:sz w:val="28"/>
          <w:szCs w:val="28"/>
        </w:rPr>
        <w:t>a drugi dio zahtjeva obaviješten je podnosilac</w:t>
      </w:r>
      <w:r w:rsidR="002D5010" w:rsidRPr="0057002F">
        <w:rPr>
          <w:sz w:val="28"/>
          <w:szCs w:val="28"/>
        </w:rPr>
        <w:t xml:space="preserve"> zahtjeva da su tražene informacije objavljene i dostupne na internet stranici drugog organa, </w:t>
      </w:r>
      <w:r w:rsidR="004D74CE" w:rsidRPr="0057002F">
        <w:rPr>
          <w:sz w:val="28"/>
          <w:szCs w:val="28"/>
        </w:rPr>
        <w:t>i</w:t>
      </w:r>
    </w:p>
    <w:p w:rsidR="00EF4E48" w:rsidRPr="00824833" w:rsidRDefault="00A9633D" w:rsidP="00B87775">
      <w:pPr>
        <w:numPr>
          <w:ilvl w:val="0"/>
          <w:numId w:val="8"/>
        </w:numPr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za jedan zahtjev je </w:t>
      </w:r>
      <w:r w:rsidR="002D5010" w:rsidRPr="0057002F">
        <w:rPr>
          <w:sz w:val="28"/>
          <w:szCs w:val="28"/>
        </w:rPr>
        <w:t xml:space="preserve">u dijelu zahtjeva omogućen pristup informaciji, a u dijelu zahtjev odbijen. </w:t>
      </w:r>
    </w:p>
    <w:p w:rsidR="00CB45CC" w:rsidRPr="005D1B77" w:rsidRDefault="00EF4E48" w:rsidP="005D1B77">
      <w:pPr>
        <w:ind w:firstLine="720"/>
        <w:jc w:val="both"/>
        <w:rPr>
          <w:sz w:val="28"/>
          <w:szCs w:val="28"/>
        </w:rPr>
      </w:pPr>
      <w:r w:rsidRPr="005D1B77">
        <w:rPr>
          <w:sz w:val="28"/>
          <w:szCs w:val="28"/>
        </w:rPr>
        <w:t xml:space="preserve">Na rješenja Sekretarijata po zahtjevu za slobodan pristup informacijama nije bilo žalbi. </w:t>
      </w:r>
    </w:p>
    <w:p w:rsidR="002D5010" w:rsidRPr="0057002F" w:rsidRDefault="002D5010" w:rsidP="002D5010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O postupanjima povodom podnesenih zahtjeva Sekretarijat je, u skladu sa Zakonom</w:t>
      </w:r>
      <w:r w:rsidR="00117AF1" w:rsidRPr="0057002F">
        <w:rPr>
          <w:sz w:val="28"/>
          <w:szCs w:val="28"/>
        </w:rPr>
        <w:t xml:space="preserve"> o slobodnom pristupu informacijama</w:t>
      </w:r>
      <w:r w:rsidRPr="0057002F">
        <w:rPr>
          <w:sz w:val="28"/>
          <w:szCs w:val="28"/>
        </w:rPr>
        <w:t>, obavijestio i dostavio podatke Agenciji za zaštitu ličnih podataka i slobodan pristup informacijama.</w:t>
      </w:r>
    </w:p>
    <w:p w:rsidR="00CB45CC" w:rsidRPr="0057002F" w:rsidRDefault="00177C98" w:rsidP="00DD5B9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7002F">
        <w:rPr>
          <w:color w:val="000000"/>
          <w:sz w:val="28"/>
          <w:szCs w:val="28"/>
        </w:rPr>
        <w:t>N</w:t>
      </w:r>
      <w:r w:rsidR="002D5010" w:rsidRPr="0057002F">
        <w:rPr>
          <w:color w:val="000000"/>
          <w:sz w:val="28"/>
          <w:szCs w:val="28"/>
        </w:rPr>
        <w:t xml:space="preserve">a internet  stranici Sekretarijata objavljeni su i ažurirani i drugi dokumenti i informacije u posjedu Sekretarijata, čija je obaveza objavljivanja </w:t>
      </w:r>
      <w:r w:rsidR="00A9633D" w:rsidRPr="0057002F">
        <w:rPr>
          <w:color w:val="000000"/>
          <w:sz w:val="28"/>
          <w:szCs w:val="28"/>
        </w:rPr>
        <w:t xml:space="preserve">propisana Zakonom o slobodnom pristupu informacijama, </w:t>
      </w:r>
      <w:r w:rsidRPr="0057002F">
        <w:rPr>
          <w:color w:val="000000"/>
          <w:sz w:val="28"/>
          <w:szCs w:val="28"/>
        </w:rPr>
        <w:t xml:space="preserve">Vodičem za slobodan pristup informacijama, </w:t>
      </w:r>
      <w:r w:rsidR="00A9633D" w:rsidRPr="0057002F">
        <w:rPr>
          <w:color w:val="000000"/>
          <w:sz w:val="28"/>
          <w:szCs w:val="28"/>
        </w:rPr>
        <w:t>kao i Zakonom o javnim nabavkama i Zakonom o finansiranju političkih partija</w:t>
      </w:r>
      <w:r w:rsidR="004D74CE" w:rsidRPr="0057002F">
        <w:rPr>
          <w:color w:val="000000"/>
          <w:sz w:val="28"/>
          <w:szCs w:val="28"/>
        </w:rPr>
        <w:t xml:space="preserve">. </w:t>
      </w:r>
      <w:r w:rsidR="004D74CE" w:rsidRPr="0057002F">
        <w:rPr>
          <w:color w:val="000000"/>
          <w:sz w:val="28"/>
          <w:szCs w:val="28"/>
        </w:rPr>
        <w:tab/>
      </w:r>
    </w:p>
    <w:p w:rsidR="00117AF1" w:rsidRPr="0057002F" w:rsidRDefault="00177C98" w:rsidP="00177C98">
      <w:pPr>
        <w:jc w:val="both"/>
        <w:rPr>
          <w:color w:val="000000"/>
          <w:sz w:val="28"/>
          <w:szCs w:val="28"/>
        </w:rPr>
      </w:pPr>
      <w:r w:rsidRPr="0057002F">
        <w:rPr>
          <w:color w:val="000000"/>
          <w:sz w:val="28"/>
          <w:szCs w:val="28"/>
          <w:lang w:val="en-GB"/>
        </w:rPr>
        <w:tab/>
      </w:r>
      <w:r w:rsidR="00117AF1" w:rsidRPr="0057002F">
        <w:rPr>
          <w:color w:val="000000"/>
          <w:sz w:val="28"/>
          <w:szCs w:val="28"/>
          <w:lang w:val="en-GB"/>
        </w:rPr>
        <w:t>Radi obe</w:t>
      </w:r>
      <w:r w:rsidR="00117AF1" w:rsidRPr="0057002F">
        <w:rPr>
          <w:color w:val="000000"/>
          <w:sz w:val="28"/>
          <w:szCs w:val="28"/>
        </w:rPr>
        <w:t xml:space="preserve">zbjeđenja lakšeg podnošenja zahtjeva za slobodan pristup informacijama  građana i drugih subjekata </w:t>
      </w:r>
      <w:r w:rsidR="00117AF1" w:rsidRPr="0057002F">
        <w:rPr>
          <w:color w:val="000000"/>
          <w:sz w:val="28"/>
          <w:szCs w:val="28"/>
          <w:lang w:val="en-GB"/>
        </w:rPr>
        <w:t>na Portalu eUprave je kreirana i objavljena usluga “Zahtjev za slobodan pristup informacijama u nadleznosti Sekretarijata za zakonodavstvo”.</w:t>
      </w:r>
    </w:p>
    <w:p w:rsidR="00010AB7" w:rsidRPr="006F39E7" w:rsidRDefault="00010AB7" w:rsidP="008007FC">
      <w:pPr>
        <w:ind w:left="900"/>
        <w:rPr>
          <w:sz w:val="28"/>
          <w:szCs w:val="28"/>
          <w:u w:val="single"/>
        </w:rPr>
      </w:pPr>
    </w:p>
    <w:p w:rsidR="00010AB7" w:rsidRPr="0057002F" w:rsidRDefault="00010AB7" w:rsidP="00010AB7">
      <w:pPr>
        <w:ind w:left="900"/>
        <w:rPr>
          <w:sz w:val="28"/>
          <w:szCs w:val="28"/>
        </w:rPr>
      </w:pPr>
      <w:bookmarkStart w:id="2" w:name="SADRZAJ_419"/>
    </w:p>
    <w:bookmarkEnd w:id="2"/>
    <w:p w:rsidR="009E6D57" w:rsidRPr="00F851DA" w:rsidRDefault="009E6D57" w:rsidP="00E66E9E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F851DA">
        <w:rPr>
          <w:b/>
          <w:sz w:val="28"/>
          <w:szCs w:val="28"/>
        </w:rPr>
        <w:t>Edukacije</w:t>
      </w:r>
    </w:p>
    <w:p w:rsidR="00E32807" w:rsidRPr="00F851DA" w:rsidRDefault="00E32807" w:rsidP="00E32807">
      <w:pPr>
        <w:ind w:firstLine="720"/>
        <w:jc w:val="both"/>
        <w:rPr>
          <w:b/>
          <w:sz w:val="28"/>
          <w:szCs w:val="28"/>
        </w:rPr>
      </w:pPr>
    </w:p>
    <w:p w:rsidR="00462F28" w:rsidRPr="00F851DA" w:rsidRDefault="00462F28" w:rsidP="00462F28">
      <w:pPr>
        <w:pStyle w:val="ListParagraph"/>
        <w:numPr>
          <w:ilvl w:val="0"/>
          <w:numId w:val="25"/>
        </w:numPr>
        <w:contextualSpacing/>
        <w:jc w:val="both"/>
        <w:rPr>
          <w:b/>
          <w:i/>
          <w:sz w:val="28"/>
          <w:szCs w:val="28"/>
        </w:rPr>
      </w:pPr>
      <w:r w:rsidRPr="00F851DA">
        <w:rPr>
          <w:b/>
          <w:i/>
          <w:sz w:val="28"/>
          <w:szCs w:val="28"/>
        </w:rPr>
        <w:t>Edukacije koje je spr</w:t>
      </w:r>
      <w:r w:rsidR="00696AA1" w:rsidRPr="00F851DA">
        <w:rPr>
          <w:b/>
          <w:i/>
          <w:sz w:val="28"/>
          <w:szCs w:val="28"/>
        </w:rPr>
        <w:t>o</w:t>
      </w:r>
      <w:r w:rsidRPr="00F851DA">
        <w:rPr>
          <w:b/>
          <w:i/>
          <w:sz w:val="28"/>
          <w:szCs w:val="28"/>
        </w:rPr>
        <w:t>veo Sekretarijat</w:t>
      </w:r>
    </w:p>
    <w:p w:rsidR="00462F28" w:rsidRPr="0057002F" w:rsidRDefault="00462F28" w:rsidP="00462F28">
      <w:pPr>
        <w:ind w:firstLine="720"/>
        <w:jc w:val="both"/>
        <w:rPr>
          <w:i/>
          <w:sz w:val="28"/>
          <w:szCs w:val="28"/>
        </w:rPr>
      </w:pPr>
    </w:p>
    <w:p w:rsidR="00AA47B4" w:rsidRPr="0057002F" w:rsidRDefault="00416C77" w:rsidP="001144BE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U skladu sa Programom obuke državnih službenika i namještenika koji je utvrdila Uprava za kadrove, predstavnici Sekretarijata za </w:t>
      </w:r>
      <w:r w:rsidRPr="0057002F">
        <w:rPr>
          <w:sz w:val="28"/>
          <w:szCs w:val="28"/>
        </w:rPr>
        <w:lastRenderedPageBreak/>
        <w:t xml:space="preserve">zakonodavstvo su, </w:t>
      </w:r>
      <w:r w:rsidR="00177C98" w:rsidRPr="0057002F">
        <w:rPr>
          <w:sz w:val="28"/>
          <w:szCs w:val="28"/>
        </w:rPr>
        <w:t xml:space="preserve">u organizaciji Uprave za kadrove, </w:t>
      </w:r>
      <w:r w:rsidRPr="0057002F">
        <w:rPr>
          <w:sz w:val="28"/>
          <w:szCs w:val="28"/>
        </w:rPr>
        <w:t>15. maja 2014. godine, održali seminar na temu “Pravno-tehnička pravila za izradu propisa sa Smjernicama za usklađivanje propisa Crne Gore sa pravnim poretkom Evropske unije“.</w:t>
      </w:r>
    </w:p>
    <w:p w:rsidR="004D74CE" w:rsidRPr="0057002F" w:rsidRDefault="00416C77" w:rsidP="001144BE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Cilj seminara je postizanje većeg kvaliteta zakona i drugih propisa, kao i efikasnost i racionalnost u njihovoj pripremi.</w:t>
      </w:r>
    </w:p>
    <w:p w:rsidR="00416C77" w:rsidRPr="0057002F" w:rsidRDefault="00416C77" w:rsidP="001144BE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Seminaru su prisustvovali predstavnici Ministarstva održivog razvoja i turizma, Ministarstva unutrašnjih poslova i Ministarstva saobraćaja i pomorstva i predstavnici drugih organa uprave</w:t>
      </w:r>
      <w:r w:rsidR="00EF4E48">
        <w:rPr>
          <w:sz w:val="28"/>
          <w:szCs w:val="28"/>
        </w:rPr>
        <w:t>,</w:t>
      </w:r>
      <w:r w:rsidRPr="0057002F">
        <w:rPr>
          <w:sz w:val="28"/>
          <w:szCs w:val="28"/>
        </w:rPr>
        <w:t xml:space="preserve"> kao i predstavnici Centralne banke Crne Gore i Agen</w:t>
      </w:r>
      <w:r w:rsidR="00AA47B4" w:rsidRPr="0057002F">
        <w:rPr>
          <w:sz w:val="28"/>
          <w:szCs w:val="28"/>
        </w:rPr>
        <w:t>cije za zaštitu ličnih podataka i slobodan pristup informacijama.</w:t>
      </w:r>
    </w:p>
    <w:p w:rsidR="00416C77" w:rsidRPr="0057002F" w:rsidRDefault="00416C77" w:rsidP="001144BE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Na seminar</w:t>
      </w:r>
      <w:r w:rsidR="00EF4E48">
        <w:rPr>
          <w:sz w:val="28"/>
          <w:szCs w:val="28"/>
        </w:rPr>
        <w:t>ima održani</w:t>
      </w:r>
      <w:r w:rsidRPr="0057002F">
        <w:rPr>
          <w:sz w:val="28"/>
          <w:szCs w:val="28"/>
        </w:rPr>
        <w:t xml:space="preserve">m 12. juna 2014. </w:t>
      </w:r>
      <w:r w:rsidR="00EF4E48">
        <w:rPr>
          <w:sz w:val="28"/>
          <w:szCs w:val="28"/>
        </w:rPr>
        <w:t>g</w:t>
      </w:r>
      <w:r w:rsidRPr="0057002F">
        <w:rPr>
          <w:sz w:val="28"/>
          <w:szCs w:val="28"/>
        </w:rPr>
        <w:t>odine</w:t>
      </w:r>
      <w:r w:rsidR="00EF4E48">
        <w:rPr>
          <w:sz w:val="28"/>
          <w:szCs w:val="28"/>
        </w:rPr>
        <w:t xml:space="preserve"> i </w:t>
      </w:r>
      <w:r w:rsidR="00DB0B23" w:rsidRPr="0057002F">
        <w:rPr>
          <w:sz w:val="28"/>
          <w:szCs w:val="28"/>
        </w:rPr>
        <w:t>8. oktobra 2014. godine</w:t>
      </w:r>
      <w:r w:rsidRPr="0057002F">
        <w:rPr>
          <w:sz w:val="28"/>
          <w:szCs w:val="28"/>
        </w:rPr>
        <w:t xml:space="preserve"> u Upravi za kadrove, na temu “Zaključivanje, potvrđivanje i izvršavanje međunarodnih ugovora”, </w:t>
      </w:r>
      <w:r w:rsidRPr="00BD0813">
        <w:rPr>
          <w:b/>
          <w:sz w:val="28"/>
          <w:szCs w:val="28"/>
        </w:rPr>
        <w:t>kao jedan od predavača učestvovao je i predstavnik Sekretarijata za zakonodavstvo.</w:t>
      </w:r>
    </w:p>
    <w:p w:rsidR="00EF4E48" w:rsidRDefault="00416C77" w:rsidP="00DB0B23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Prezentacija predstavnika Sekretarijata za zakonodavstvo odnosila se na karakter i sadržinu akta o potvrđivanju međunarodnog ugovora, proceduru potvrđivanja i objavljivanja međunarodnog ugovora, mjesto potvrđenih međunarodnih ugovora u pravnom sistemu Crne Gore, kao i način obezbjeđivanja primjene potvrđenih i objavljenih međunarodnih ugovora kroz norme zakona.</w:t>
      </w:r>
    </w:p>
    <w:p w:rsidR="00DB0B23" w:rsidRPr="0057002F" w:rsidRDefault="00DB0B23" w:rsidP="00DB0B23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Na navedenim seminarima prisustvovalo </w:t>
      </w:r>
      <w:r w:rsidR="00EF4E48">
        <w:rPr>
          <w:sz w:val="28"/>
          <w:szCs w:val="28"/>
        </w:rPr>
        <w:t xml:space="preserve">je </w:t>
      </w:r>
      <w:r w:rsidRPr="0057002F">
        <w:rPr>
          <w:sz w:val="28"/>
          <w:szCs w:val="28"/>
        </w:rPr>
        <w:t xml:space="preserve">30 </w:t>
      </w:r>
      <w:r w:rsidR="00416C77" w:rsidRPr="0057002F">
        <w:rPr>
          <w:sz w:val="28"/>
          <w:szCs w:val="28"/>
        </w:rPr>
        <w:t>državnih službenika iz ministarstava</w:t>
      </w:r>
      <w:r w:rsidRPr="0057002F">
        <w:rPr>
          <w:sz w:val="28"/>
          <w:szCs w:val="28"/>
        </w:rPr>
        <w:t xml:space="preserve"> zaduženih za poslove međunarodne saradnje i implementaciju Zakona o zaključivanju i izvršavanju međunarodnih ugovora, kao i drugi zainteresovani službenici. </w:t>
      </w:r>
    </w:p>
    <w:p w:rsidR="00462F28" w:rsidRPr="0057002F" w:rsidRDefault="00462F28" w:rsidP="005B32BB">
      <w:pPr>
        <w:jc w:val="both"/>
        <w:rPr>
          <w:sz w:val="28"/>
          <w:szCs w:val="28"/>
        </w:rPr>
      </w:pPr>
    </w:p>
    <w:p w:rsidR="00462F28" w:rsidRPr="00F851DA" w:rsidRDefault="00462F28" w:rsidP="00462F28">
      <w:pPr>
        <w:pStyle w:val="ListParagraph"/>
        <w:numPr>
          <w:ilvl w:val="0"/>
          <w:numId w:val="25"/>
        </w:numPr>
        <w:contextualSpacing/>
        <w:jc w:val="both"/>
        <w:rPr>
          <w:b/>
          <w:i/>
          <w:sz w:val="28"/>
          <w:szCs w:val="28"/>
        </w:rPr>
      </w:pPr>
      <w:r w:rsidRPr="00F851DA">
        <w:rPr>
          <w:b/>
          <w:i/>
          <w:sz w:val="28"/>
          <w:szCs w:val="28"/>
        </w:rPr>
        <w:t xml:space="preserve">Edukacije službenika Sekretarijata </w:t>
      </w:r>
    </w:p>
    <w:p w:rsidR="00462F28" w:rsidRPr="0057002F" w:rsidRDefault="00462F28" w:rsidP="00462F28">
      <w:pPr>
        <w:jc w:val="both"/>
        <w:rPr>
          <w:sz w:val="28"/>
          <w:szCs w:val="28"/>
        </w:rPr>
      </w:pPr>
    </w:p>
    <w:p w:rsidR="0083231E" w:rsidRPr="0057002F" w:rsidRDefault="009E6E07" w:rsidP="00BA5DD2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U okviru programa saradnje Vlade Crne Gore i Vlade NR Kine d</w:t>
      </w:r>
      <w:r w:rsidR="0083231E" w:rsidRPr="0057002F">
        <w:rPr>
          <w:sz w:val="28"/>
          <w:szCs w:val="28"/>
        </w:rPr>
        <w:t xml:space="preserve">va službenika Sekretarijata za zakonodavstvo su u 2014. godini </w:t>
      </w:r>
      <w:r w:rsidRPr="0057002F">
        <w:rPr>
          <w:sz w:val="28"/>
          <w:szCs w:val="28"/>
        </w:rPr>
        <w:t xml:space="preserve">bili </w:t>
      </w:r>
      <w:r w:rsidR="0083231E" w:rsidRPr="0057002F">
        <w:rPr>
          <w:sz w:val="28"/>
          <w:szCs w:val="28"/>
        </w:rPr>
        <w:t>polaznici seminara u organizaciji</w:t>
      </w:r>
      <w:r w:rsidR="00E45556" w:rsidRPr="0057002F">
        <w:rPr>
          <w:sz w:val="28"/>
          <w:szCs w:val="28"/>
        </w:rPr>
        <w:t xml:space="preserve"> Vlade</w:t>
      </w:r>
      <w:r w:rsidRPr="0057002F">
        <w:rPr>
          <w:sz w:val="28"/>
          <w:szCs w:val="28"/>
        </w:rPr>
        <w:t xml:space="preserve"> NR Kine</w:t>
      </w:r>
      <w:r w:rsidR="00D50CBC" w:rsidRPr="0057002F">
        <w:rPr>
          <w:sz w:val="28"/>
          <w:szCs w:val="28"/>
        </w:rPr>
        <w:t xml:space="preserve">, i to na </w:t>
      </w:r>
      <w:r w:rsidR="00AB7F92" w:rsidRPr="0057002F">
        <w:rPr>
          <w:sz w:val="28"/>
          <w:szCs w:val="28"/>
        </w:rPr>
        <w:t xml:space="preserve">bilateralnom </w:t>
      </w:r>
      <w:r w:rsidR="0083231E" w:rsidRPr="0057002F">
        <w:rPr>
          <w:sz w:val="28"/>
          <w:szCs w:val="28"/>
        </w:rPr>
        <w:t>seminaru na temu „Razvoj ekonomskih zona“, koji se održao u periodu od 8</w:t>
      </w:r>
      <w:r w:rsidRPr="0057002F">
        <w:rPr>
          <w:sz w:val="28"/>
          <w:szCs w:val="28"/>
        </w:rPr>
        <w:t>.</w:t>
      </w:r>
      <w:r w:rsidR="0083231E" w:rsidRPr="0057002F">
        <w:rPr>
          <w:sz w:val="28"/>
          <w:szCs w:val="28"/>
        </w:rPr>
        <w:t xml:space="preserve"> do 21</w:t>
      </w:r>
      <w:r w:rsidR="00DB4AE3">
        <w:rPr>
          <w:sz w:val="28"/>
          <w:szCs w:val="28"/>
        </w:rPr>
        <w:t>.</w:t>
      </w:r>
      <w:r w:rsidR="0083231E" w:rsidRPr="0057002F">
        <w:rPr>
          <w:sz w:val="28"/>
          <w:szCs w:val="28"/>
        </w:rPr>
        <w:t xml:space="preserve"> maja 2014. godine u Pekingu, Kina</w:t>
      </w:r>
      <w:r w:rsidR="00AB7F92" w:rsidRPr="0057002F">
        <w:rPr>
          <w:sz w:val="28"/>
          <w:szCs w:val="28"/>
        </w:rPr>
        <w:t xml:space="preserve"> (sa studijskim posjetama pr</w:t>
      </w:r>
      <w:r w:rsidR="00D50CBC" w:rsidRPr="0057002F">
        <w:rPr>
          <w:sz w:val="28"/>
          <w:szCs w:val="28"/>
        </w:rPr>
        <w:t>ovinciji Wuhan i gradu Shangai) i n</w:t>
      </w:r>
      <w:r w:rsidR="00656265" w:rsidRPr="0057002F">
        <w:rPr>
          <w:sz w:val="28"/>
          <w:szCs w:val="28"/>
        </w:rPr>
        <w:t xml:space="preserve">a </w:t>
      </w:r>
      <w:r w:rsidR="00D50CBC" w:rsidRPr="0057002F">
        <w:rPr>
          <w:sz w:val="28"/>
          <w:szCs w:val="28"/>
        </w:rPr>
        <w:t>s</w:t>
      </w:r>
      <w:r w:rsidR="00656265" w:rsidRPr="0057002F">
        <w:rPr>
          <w:sz w:val="28"/>
          <w:szCs w:val="28"/>
        </w:rPr>
        <w:t xml:space="preserve">eminaru o modernom upravljanju agroekonomijom za zemlje u razvoju, u periodu od 31. oktobra do 8. novembra 2014. </w:t>
      </w:r>
      <w:r w:rsidR="00D50CBC" w:rsidRPr="0057002F">
        <w:rPr>
          <w:sz w:val="28"/>
          <w:szCs w:val="28"/>
        </w:rPr>
        <w:t>g</w:t>
      </w:r>
      <w:r w:rsidR="00656265" w:rsidRPr="0057002F">
        <w:rPr>
          <w:sz w:val="28"/>
          <w:szCs w:val="28"/>
        </w:rPr>
        <w:t>odine</w:t>
      </w:r>
      <w:r w:rsidR="00D50CBC" w:rsidRPr="0057002F">
        <w:rPr>
          <w:sz w:val="28"/>
          <w:szCs w:val="28"/>
        </w:rPr>
        <w:t xml:space="preserve"> (u gradu Xi’an, sa studijskom posjetom Pekingu)</w:t>
      </w:r>
      <w:r w:rsidR="00656265" w:rsidRPr="0057002F">
        <w:rPr>
          <w:sz w:val="28"/>
          <w:szCs w:val="28"/>
        </w:rPr>
        <w:t xml:space="preserve">. </w:t>
      </w:r>
    </w:p>
    <w:p w:rsidR="003B2457" w:rsidRPr="0057002F" w:rsidRDefault="0083231E" w:rsidP="00BA5DD2">
      <w:pPr>
        <w:ind w:firstLine="72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>Takođe, s</w:t>
      </w:r>
      <w:r w:rsidR="003B2457" w:rsidRPr="0057002F">
        <w:rPr>
          <w:sz w:val="28"/>
          <w:szCs w:val="28"/>
        </w:rPr>
        <w:t xml:space="preserve">lužbenici Sekretarijata učestvuju u stalnom stručnom usavršavanju koje organizuje Uprava za kadrove i drugi državni organi i organizacije. </w:t>
      </w:r>
      <w:r w:rsidRPr="0057002F">
        <w:rPr>
          <w:sz w:val="28"/>
          <w:szCs w:val="28"/>
        </w:rPr>
        <w:t xml:space="preserve">U okviru navedenog, </w:t>
      </w:r>
      <w:r w:rsidR="003B2457" w:rsidRPr="0057002F">
        <w:rPr>
          <w:sz w:val="28"/>
          <w:szCs w:val="28"/>
        </w:rPr>
        <w:t>službenici Sekretarijata su učestvovali:</w:t>
      </w:r>
    </w:p>
    <w:p w:rsidR="00656265" w:rsidRPr="0057002F" w:rsidRDefault="00656265" w:rsidP="00E31488">
      <w:pPr>
        <w:numPr>
          <w:ilvl w:val="0"/>
          <w:numId w:val="42"/>
        </w:numPr>
        <w:jc w:val="both"/>
        <w:rPr>
          <w:sz w:val="28"/>
          <w:szCs w:val="28"/>
        </w:rPr>
      </w:pPr>
      <w:r w:rsidRPr="0057002F">
        <w:rPr>
          <w:sz w:val="28"/>
          <w:szCs w:val="28"/>
        </w:rPr>
        <w:lastRenderedPageBreak/>
        <w:t xml:space="preserve">u programu obuke za sticanje i unapređivanje znanja i vještina za uvođenje u posao, koji je sproveden od strane Uprave za kadrove i predavača iz raznih organa državne uprave, u periodu od aprila do maja 2014. </w:t>
      </w:r>
      <w:r w:rsidR="00AB1877" w:rsidRPr="0057002F">
        <w:rPr>
          <w:sz w:val="28"/>
          <w:szCs w:val="28"/>
        </w:rPr>
        <w:t>g</w:t>
      </w:r>
      <w:r w:rsidRPr="0057002F">
        <w:rPr>
          <w:sz w:val="28"/>
          <w:szCs w:val="28"/>
        </w:rPr>
        <w:t>odine</w:t>
      </w:r>
      <w:r w:rsidR="00AB1877" w:rsidRPr="0057002F">
        <w:rPr>
          <w:sz w:val="28"/>
          <w:szCs w:val="28"/>
        </w:rPr>
        <w:t>, odnosno oktobra do novembra 2014. godine</w:t>
      </w:r>
      <w:r w:rsidRPr="0057002F">
        <w:rPr>
          <w:sz w:val="28"/>
          <w:szCs w:val="28"/>
        </w:rPr>
        <w:t>;</w:t>
      </w:r>
    </w:p>
    <w:p w:rsidR="00656265" w:rsidRPr="0057002F" w:rsidRDefault="00AB7F92" w:rsidP="00656265">
      <w:pPr>
        <w:pStyle w:val="ListParagraph"/>
        <w:numPr>
          <w:ilvl w:val="0"/>
          <w:numId w:val="4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na </w:t>
      </w:r>
      <w:r w:rsidR="00656265" w:rsidRPr="0057002F">
        <w:rPr>
          <w:sz w:val="28"/>
          <w:szCs w:val="28"/>
        </w:rPr>
        <w:t>seminar</w:t>
      </w:r>
      <w:r w:rsidRPr="0057002F">
        <w:rPr>
          <w:sz w:val="28"/>
          <w:szCs w:val="28"/>
        </w:rPr>
        <w:t>u</w:t>
      </w:r>
      <w:r w:rsidR="00656265" w:rsidRPr="0057002F">
        <w:rPr>
          <w:sz w:val="28"/>
          <w:szCs w:val="28"/>
        </w:rPr>
        <w:t xml:space="preserve"> na temu ,,Pravno-tehnička pravila za izradu propisa sa smjernicama za usklađivanje propisa sa pravnim poretkom Evropske unije’’ održan 15. maja 2014. godine;</w:t>
      </w:r>
    </w:p>
    <w:p w:rsidR="00656265" w:rsidRPr="0057002F" w:rsidRDefault="00AB7F92" w:rsidP="00656265">
      <w:pPr>
        <w:pStyle w:val="ListParagraph"/>
        <w:numPr>
          <w:ilvl w:val="0"/>
          <w:numId w:val="4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na </w:t>
      </w:r>
      <w:r w:rsidR="00656265" w:rsidRPr="0057002F">
        <w:rPr>
          <w:sz w:val="28"/>
          <w:szCs w:val="28"/>
        </w:rPr>
        <w:t>seminar</w:t>
      </w:r>
      <w:r w:rsidRPr="0057002F">
        <w:rPr>
          <w:sz w:val="28"/>
          <w:szCs w:val="28"/>
        </w:rPr>
        <w:t>u</w:t>
      </w:r>
      <w:r w:rsidR="00656265" w:rsidRPr="0057002F">
        <w:rPr>
          <w:sz w:val="28"/>
          <w:szCs w:val="28"/>
        </w:rPr>
        <w:t xml:space="preserve"> na temu ,,Izrada i donošenje zakona’’ koji je održan 4. juna 2014. godine;</w:t>
      </w:r>
    </w:p>
    <w:p w:rsidR="004E5150" w:rsidRPr="0057002F" w:rsidRDefault="00AB1877" w:rsidP="00656265">
      <w:pPr>
        <w:pStyle w:val="ListParagraph"/>
        <w:numPr>
          <w:ilvl w:val="0"/>
          <w:numId w:val="4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57002F">
        <w:rPr>
          <w:sz w:val="28"/>
          <w:szCs w:val="28"/>
        </w:rPr>
        <w:t>na seminaru na temu „Zaštita podataka o ličnosti – Presude evropskog suda za ljudska prava“, održan dana 7.oktobra</w:t>
      </w:r>
      <w:r w:rsidR="00BD33CB">
        <w:rPr>
          <w:sz w:val="28"/>
          <w:szCs w:val="28"/>
        </w:rPr>
        <w:t xml:space="preserve"> 2014. godine</w:t>
      </w:r>
      <w:r w:rsidRPr="0057002F">
        <w:rPr>
          <w:sz w:val="28"/>
          <w:szCs w:val="28"/>
        </w:rPr>
        <w:t>;</w:t>
      </w:r>
    </w:p>
    <w:p w:rsidR="00656265" w:rsidRPr="0057002F" w:rsidRDefault="00AB7F92" w:rsidP="00656265">
      <w:pPr>
        <w:pStyle w:val="ListParagraph"/>
        <w:numPr>
          <w:ilvl w:val="0"/>
          <w:numId w:val="4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na </w:t>
      </w:r>
      <w:r w:rsidR="00656265" w:rsidRPr="0057002F">
        <w:rPr>
          <w:sz w:val="28"/>
          <w:szCs w:val="28"/>
        </w:rPr>
        <w:t>seminar</w:t>
      </w:r>
      <w:r w:rsidRPr="0057002F">
        <w:rPr>
          <w:sz w:val="28"/>
          <w:szCs w:val="28"/>
        </w:rPr>
        <w:t>u</w:t>
      </w:r>
      <w:r w:rsidR="00656265" w:rsidRPr="0057002F">
        <w:rPr>
          <w:sz w:val="28"/>
          <w:szCs w:val="28"/>
        </w:rPr>
        <w:t xml:space="preserve"> n</w:t>
      </w:r>
      <w:r w:rsidRPr="0057002F">
        <w:rPr>
          <w:sz w:val="28"/>
          <w:szCs w:val="28"/>
        </w:rPr>
        <w:t>a</w:t>
      </w:r>
      <w:r w:rsidR="00656265" w:rsidRPr="0057002F">
        <w:rPr>
          <w:sz w:val="28"/>
          <w:szCs w:val="28"/>
        </w:rPr>
        <w:t xml:space="preserve"> temu ,,Zaključivanje međunarodnih ugovora’’ koji je održan 8. oktobra 2014. godine.</w:t>
      </w:r>
    </w:p>
    <w:p w:rsidR="00471886" w:rsidRPr="0057002F" w:rsidRDefault="00471886" w:rsidP="0055369C">
      <w:pPr>
        <w:ind w:firstLine="540"/>
        <w:jc w:val="both"/>
        <w:rPr>
          <w:sz w:val="28"/>
          <w:szCs w:val="28"/>
        </w:rPr>
      </w:pPr>
      <w:r w:rsidRPr="0057002F">
        <w:rPr>
          <w:sz w:val="28"/>
          <w:szCs w:val="28"/>
        </w:rPr>
        <w:t xml:space="preserve">Takođe, </w:t>
      </w:r>
      <w:r w:rsidR="00AB7F92" w:rsidRPr="0057002F">
        <w:rPr>
          <w:sz w:val="28"/>
          <w:szCs w:val="28"/>
        </w:rPr>
        <w:t>šest</w:t>
      </w:r>
      <w:r w:rsidRPr="0057002F">
        <w:rPr>
          <w:sz w:val="28"/>
          <w:szCs w:val="28"/>
        </w:rPr>
        <w:t xml:space="preserve"> službenika Sekretarijata za zakonodavstvo je pohađalo kurs </w:t>
      </w:r>
      <w:r w:rsidR="00E45556" w:rsidRPr="0057002F">
        <w:rPr>
          <w:sz w:val="28"/>
          <w:szCs w:val="28"/>
        </w:rPr>
        <w:t xml:space="preserve">i dobilo </w:t>
      </w:r>
      <w:r w:rsidRPr="0057002F">
        <w:rPr>
          <w:sz w:val="28"/>
          <w:szCs w:val="28"/>
        </w:rPr>
        <w:t>EC</w:t>
      </w:r>
      <w:r w:rsidR="00EF4E48" w:rsidRPr="0057002F">
        <w:rPr>
          <w:sz w:val="28"/>
          <w:szCs w:val="28"/>
        </w:rPr>
        <w:t>D</w:t>
      </w:r>
      <w:r w:rsidR="00EF4E48">
        <w:rPr>
          <w:sz w:val="28"/>
          <w:szCs w:val="28"/>
        </w:rPr>
        <w:t xml:space="preserve">L sertifikat </w:t>
      </w:r>
      <w:r w:rsidRPr="0057002F">
        <w:rPr>
          <w:sz w:val="28"/>
          <w:szCs w:val="28"/>
        </w:rPr>
        <w:t>(European</w:t>
      </w:r>
      <w:r w:rsidR="00AA47B4" w:rsidRPr="0057002F">
        <w:rPr>
          <w:sz w:val="28"/>
          <w:szCs w:val="28"/>
        </w:rPr>
        <w:t xml:space="preserve"> Computer Driving Licence), </w:t>
      </w:r>
      <w:r w:rsidRPr="0057002F">
        <w:rPr>
          <w:sz w:val="28"/>
          <w:szCs w:val="28"/>
        </w:rPr>
        <w:t xml:space="preserve">koji se dobija za pokazano znanje o informacionim tehnologijama u korišćenju personalnog računara. </w:t>
      </w:r>
    </w:p>
    <w:p w:rsidR="00471886" w:rsidRPr="0057002F" w:rsidRDefault="00471886" w:rsidP="00B61003">
      <w:pPr>
        <w:ind w:firstLine="360"/>
        <w:jc w:val="both"/>
        <w:rPr>
          <w:sz w:val="28"/>
          <w:szCs w:val="28"/>
        </w:rPr>
      </w:pPr>
    </w:p>
    <w:p w:rsidR="00FA623B" w:rsidRPr="0057002F" w:rsidRDefault="00FA623B" w:rsidP="00B61003">
      <w:pPr>
        <w:ind w:firstLine="360"/>
        <w:jc w:val="both"/>
        <w:rPr>
          <w:sz w:val="28"/>
          <w:szCs w:val="28"/>
        </w:rPr>
      </w:pPr>
    </w:p>
    <w:p w:rsidR="004A115B" w:rsidRPr="00F851DA" w:rsidRDefault="002D128C" w:rsidP="004A115B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F851DA">
        <w:rPr>
          <w:b/>
          <w:sz w:val="28"/>
          <w:szCs w:val="28"/>
        </w:rPr>
        <w:t>Raspolaganje sredstvima opredijeljenih Budžetom</w:t>
      </w:r>
    </w:p>
    <w:p w:rsidR="00A74458" w:rsidRPr="0057002F" w:rsidRDefault="00A74458" w:rsidP="00A74458">
      <w:pPr>
        <w:ind w:firstLine="360"/>
        <w:jc w:val="both"/>
        <w:rPr>
          <w:color w:val="FF0000"/>
          <w:sz w:val="28"/>
          <w:szCs w:val="28"/>
        </w:rPr>
      </w:pPr>
    </w:p>
    <w:p w:rsidR="00A74458" w:rsidRPr="0057002F" w:rsidRDefault="00A74458" w:rsidP="00A74458">
      <w:pPr>
        <w:tabs>
          <w:tab w:val="left" w:pos="8640"/>
        </w:tabs>
        <w:ind w:firstLine="810"/>
        <w:jc w:val="both"/>
        <w:rPr>
          <w:bCs/>
          <w:sz w:val="28"/>
          <w:szCs w:val="28"/>
        </w:rPr>
      </w:pPr>
      <w:r w:rsidRPr="0057002F">
        <w:rPr>
          <w:bCs/>
          <w:sz w:val="28"/>
          <w:szCs w:val="28"/>
        </w:rPr>
        <w:t>Zakonom o Budžetu Crne Gore za 201</w:t>
      </w:r>
      <w:r w:rsidR="00C179E5" w:rsidRPr="0057002F">
        <w:rPr>
          <w:bCs/>
          <w:sz w:val="28"/>
          <w:szCs w:val="28"/>
        </w:rPr>
        <w:t>4</w:t>
      </w:r>
      <w:r w:rsidRPr="0057002F">
        <w:rPr>
          <w:bCs/>
          <w:sz w:val="28"/>
          <w:szCs w:val="28"/>
        </w:rPr>
        <w:t>. godinu,</w:t>
      </w:r>
      <w:r w:rsidR="003449BC" w:rsidRPr="0057002F">
        <w:rPr>
          <w:bCs/>
          <w:sz w:val="28"/>
          <w:szCs w:val="28"/>
        </w:rPr>
        <w:t xml:space="preserve"> Sekretarijatu za zakonodavstvo su</w:t>
      </w:r>
      <w:r w:rsidRPr="0057002F">
        <w:rPr>
          <w:bCs/>
          <w:sz w:val="28"/>
          <w:szCs w:val="28"/>
        </w:rPr>
        <w:t xml:space="preserve"> za program</w:t>
      </w:r>
      <w:r w:rsidR="0003501D" w:rsidRPr="0057002F">
        <w:rPr>
          <w:bCs/>
          <w:sz w:val="28"/>
          <w:szCs w:val="28"/>
        </w:rPr>
        <w:t xml:space="preserve"> -</w:t>
      </w:r>
      <w:r w:rsidRPr="0057002F">
        <w:rPr>
          <w:bCs/>
          <w:sz w:val="28"/>
          <w:szCs w:val="28"/>
        </w:rPr>
        <w:t xml:space="preserve"> Unapređenje pravnog sistema, odobrena budžetska sredstva u iznosu od </w:t>
      </w:r>
      <w:r w:rsidR="00972D00" w:rsidRPr="0057002F">
        <w:rPr>
          <w:bCs/>
          <w:sz w:val="28"/>
          <w:szCs w:val="28"/>
        </w:rPr>
        <w:t>333</w:t>
      </w:r>
      <w:r w:rsidRPr="0057002F">
        <w:rPr>
          <w:bCs/>
          <w:sz w:val="28"/>
          <w:szCs w:val="28"/>
        </w:rPr>
        <w:t>.</w:t>
      </w:r>
      <w:r w:rsidR="00972D00" w:rsidRPr="0057002F">
        <w:rPr>
          <w:bCs/>
          <w:sz w:val="28"/>
          <w:szCs w:val="28"/>
        </w:rPr>
        <w:t>383</w:t>
      </w:r>
      <w:r w:rsidRPr="0057002F">
        <w:rPr>
          <w:bCs/>
          <w:sz w:val="28"/>
          <w:szCs w:val="28"/>
        </w:rPr>
        <w:t>.</w:t>
      </w:r>
      <w:r w:rsidR="00972D00" w:rsidRPr="0057002F">
        <w:rPr>
          <w:bCs/>
          <w:sz w:val="28"/>
          <w:szCs w:val="28"/>
        </w:rPr>
        <w:t>48</w:t>
      </w:r>
      <w:r w:rsidR="008854ED">
        <w:rPr>
          <w:bCs/>
          <w:sz w:val="28"/>
          <w:szCs w:val="28"/>
        </w:rPr>
        <w:t xml:space="preserve"> eura,</w:t>
      </w:r>
      <w:r w:rsidRPr="0057002F">
        <w:rPr>
          <w:bCs/>
          <w:sz w:val="28"/>
          <w:szCs w:val="28"/>
        </w:rPr>
        <w:t xml:space="preserve"> a realizovana su u iznosu od </w:t>
      </w:r>
      <w:r w:rsidR="002D7DEA">
        <w:rPr>
          <w:bCs/>
          <w:sz w:val="28"/>
          <w:szCs w:val="28"/>
        </w:rPr>
        <w:t>293.772,66</w:t>
      </w:r>
      <w:r w:rsidR="00DB4AE3">
        <w:rPr>
          <w:bCs/>
          <w:sz w:val="28"/>
          <w:szCs w:val="28"/>
        </w:rPr>
        <w:t xml:space="preserve"> </w:t>
      </w:r>
      <w:r w:rsidR="008854ED">
        <w:rPr>
          <w:bCs/>
          <w:sz w:val="28"/>
          <w:szCs w:val="28"/>
        </w:rPr>
        <w:t>eura</w:t>
      </w:r>
      <w:r w:rsidRPr="0057002F">
        <w:rPr>
          <w:bCs/>
          <w:sz w:val="28"/>
          <w:szCs w:val="28"/>
        </w:rPr>
        <w:t>.</w:t>
      </w:r>
    </w:p>
    <w:p w:rsidR="0003501D" w:rsidRPr="00BA2020" w:rsidRDefault="0003501D" w:rsidP="00BA2020">
      <w:pPr>
        <w:tabs>
          <w:tab w:val="left" w:pos="8640"/>
        </w:tabs>
        <w:ind w:firstLine="810"/>
        <w:jc w:val="both"/>
        <w:rPr>
          <w:b/>
          <w:sz w:val="28"/>
          <w:szCs w:val="28"/>
        </w:rPr>
      </w:pPr>
      <w:r w:rsidRPr="0057002F">
        <w:rPr>
          <w:sz w:val="28"/>
          <w:szCs w:val="28"/>
        </w:rPr>
        <w:t xml:space="preserve">U skladu sa </w:t>
      </w:r>
      <w:r w:rsidR="00A74458" w:rsidRPr="0057002F">
        <w:rPr>
          <w:sz w:val="28"/>
          <w:szCs w:val="28"/>
        </w:rPr>
        <w:t>Planom  javnih nabavki Sekretarijata za zakonodavstvo za 201</w:t>
      </w:r>
      <w:r w:rsidR="00C179E5" w:rsidRPr="0057002F">
        <w:rPr>
          <w:sz w:val="28"/>
          <w:szCs w:val="28"/>
        </w:rPr>
        <w:t>4</w:t>
      </w:r>
      <w:r w:rsidR="00A74458" w:rsidRPr="0057002F">
        <w:rPr>
          <w:sz w:val="28"/>
          <w:szCs w:val="28"/>
        </w:rPr>
        <w:t>. godinu (</w:t>
      </w:r>
      <w:r w:rsidRPr="0057002F">
        <w:rPr>
          <w:sz w:val="28"/>
          <w:szCs w:val="28"/>
        </w:rPr>
        <w:t>br</w:t>
      </w:r>
      <w:r w:rsidR="00972D00" w:rsidRPr="0057002F">
        <w:rPr>
          <w:sz w:val="28"/>
          <w:szCs w:val="28"/>
        </w:rPr>
        <w:t xml:space="preserve">oj </w:t>
      </w:r>
      <w:r w:rsidRPr="0057002F">
        <w:rPr>
          <w:sz w:val="28"/>
          <w:szCs w:val="28"/>
        </w:rPr>
        <w:t>01-</w:t>
      </w:r>
      <w:r w:rsidR="000E7E67" w:rsidRPr="0057002F">
        <w:rPr>
          <w:sz w:val="28"/>
          <w:szCs w:val="28"/>
        </w:rPr>
        <w:t xml:space="preserve">49 </w:t>
      </w:r>
      <w:r w:rsidRPr="0057002F">
        <w:rPr>
          <w:sz w:val="28"/>
          <w:szCs w:val="28"/>
        </w:rPr>
        <w:t xml:space="preserve">od </w:t>
      </w:r>
      <w:r w:rsidR="000E7E67" w:rsidRPr="0057002F">
        <w:rPr>
          <w:sz w:val="28"/>
          <w:szCs w:val="28"/>
        </w:rPr>
        <w:t>20</w:t>
      </w:r>
      <w:r w:rsidRPr="0057002F">
        <w:rPr>
          <w:sz w:val="28"/>
          <w:szCs w:val="28"/>
        </w:rPr>
        <w:t>.</w:t>
      </w:r>
      <w:r w:rsidR="00DB4AE3">
        <w:rPr>
          <w:sz w:val="28"/>
          <w:szCs w:val="28"/>
        </w:rPr>
        <w:t xml:space="preserve"> </w:t>
      </w:r>
      <w:r w:rsidR="000E7E67" w:rsidRPr="0057002F">
        <w:rPr>
          <w:sz w:val="28"/>
          <w:szCs w:val="28"/>
        </w:rPr>
        <w:t>januara 2014</w:t>
      </w:r>
      <w:r w:rsidRPr="0057002F">
        <w:rPr>
          <w:sz w:val="28"/>
          <w:szCs w:val="28"/>
        </w:rPr>
        <w:t>. godine</w:t>
      </w:r>
      <w:r w:rsidR="00A74458" w:rsidRPr="0057002F">
        <w:rPr>
          <w:sz w:val="28"/>
          <w:szCs w:val="28"/>
        </w:rPr>
        <w:t>), u toku 201</w:t>
      </w:r>
      <w:r w:rsidR="00C179E5" w:rsidRPr="0057002F">
        <w:rPr>
          <w:sz w:val="28"/>
          <w:szCs w:val="28"/>
        </w:rPr>
        <w:t>4</w:t>
      </w:r>
      <w:r w:rsidR="00A74458" w:rsidRPr="0057002F">
        <w:rPr>
          <w:sz w:val="28"/>
          <w:szCs w:val="28"/>
        </w:rPr>
        <w:t xml:space="preserve">. godine za potrebe ovog Sekretarijata, sproveden je jedan pregovarački postupak bez prethodnog objavljivanja poziva za javno nadmetanje i pet postupaka zahtjevom </w:t>
      </w:r>
      <w:r w:rsidRPr="0057002F">
        <w:rPr>
          <w:sz w:val="28"/>
          <w:szCs w:val="28"/>
        </w:rPr>
        <w:t>za dostavljanje ponuda šopingom</w:t>
      </w:r>
      <w:r w:rsidR="00A74458" w:rsidRPr="0057002F">
        <w:rPr>
          <w:sz w:val="28"/>
          <w:szCs w:val="28"/>
        </w:rPr>
        <w:t xml:space="preserve">. </w:t>
      </w:r>
      <w:r w:rsidR="007E57C6">
        <w:rPr>
          <w:bCs/>
          <w:sz w:val="28"/>
          <w:szCs w:val="28"/>
        </w:rPr>
        <w:t xml:space="preserve">Planom javnih nabavki za 2014. godinu predviđene su nabavke u vrijednosti od </w:t>
      </w:r>
      <w:r w:rsidR="007E57C6" w:rsidRPr="007E57C6">
        <w:rPr>
          <w:b/>
          <w:sz w:val="28"/>
          <w:szCs w:val="28"/>
        </w:rPr>
        <w:t>22.700</w:t>
      </w:r>
      <w:r w:rsidR="002D7DEA">
        <w:rPr>
          <w:b/>
          <w:sz w:val="28"/>
          <w:szCs w:val="28"/>
        </w:rPr>
        <w:t>,00</w:t>
      </w:r>
      <w:r w:rsidR="00DB4AE3">
        <w:rPr>
          <w:b/>
          <w:sz w:val="28"/>
          <w:szCs w:val="28"/>
        </w:rPr>
        <w:t xml:space="preserve"> </w:t>
      </w:r>
      <w:r w:rsidR="008854ED">
        <w:rPr>
          <w:bCs/>
          <w:sz w:val="28"/>
          <w:szCs w:val="28"/>
        </w:rPr>
        <w:t>eura</w:t>
      </w:r>
      <w:r w:rsidR="007E57C6" w:rsidRPr="007E57C6">
        <w:rPr>
          <w:sz w:val="28"/>
          <w:szCs w:val="28"/>
        </w:rPr>
        <w:t>,</w:t>
      </w:r>
      <w:r w:rsidR="007E57C6">
        <w:rPr>
          <w:bCs/>
          <w:sz w:val="28"/>
          <w:szCs w:val="28"/>
        </w:rPr>
        <w:t xml:space="preserve"> dok su </w:t>
      </w:r>
      <w:r w:rsidR="007E57C6">
        <w:rPr>
          <w:sz w:val="28"/>
          <w:szCs w:val="28"/>
        </w:rPr>
        <w:t>r</w:t>
      </w:r>
      <w:r w:rsidRPr="0057002F">
        <w:rPr>
          <w:sz w:val="28"/>
          <w:szCs w:val="28"/>
        </w:rPr>
        <w:t>ealizovane javne nabavke, uključujući n</w:t>
      </w:r>
      <w:r w:rsidR="007E57C6">
        <w:rPr>
          <w:sz w:val="28"/>
          <w:szCs w:val="28"/>
        </w:rPr>
        <w:t xml:space="preserve">eposredni sporazum, iznosile </w:t>
      </w:r>
      <w:r w:rsidR="001A0872" w:rsidRPr="001A0872">
        <w:rPr>
          <w:b/>
          <w:bCs/>
          <w:sz w:val="28"/>
          <w:szCs w:val="28"/>
        </w:rPr>
        <w:t>21.195,54</w:t>
      </w:r>
      <w:r w:rsidR="008854ED">
        <w:rPr>
          <w:b/>
          <w:bCs/>
          <w:sz w:val="28"/>
          <w:szCs w:val="28"/>
        </w:rPr>
        <w:t xml:space="preserve"> eura</w:t>
      </w:r>
      <w:r w:rsidRPr="001A0872">
        <w:rPr>
          <w:b/>
          <w:sz w:val="28"/>
          <w:szCs w:val="28"/>
        </w:rPr>
        <w:t>.</w:t>
      </w:r>
      <w:r w:rsidR="00DB4AE3">
        <w:rPr>
          <w:b/>
          <w:sz w:val="28"/>
          <w:szCs w:val="28"/>
        </w:rPr>
        <w:t xml:space="preserve"> </w:t>
      </w:r>
      <w:r w:rsidR="00480958">
        <w:rPr>
          <w:sz w:val="28"/>
          <w:szCs w:val="28"/>
        </w:rPr>
        <w:t xml:space="preserve">Napominjemo da </w:t>
      </w:r>
      <w:r w:rsidR="00412D1C">
        <w:rPr>
          <w:sz w:val="28"/>
          <w:szCs w:val="28"/>
        </w:rPr>
        <w:t xml:space="preserve">je </w:t>
      </w:r>
      <w:r w:rsidR="00297904">
        <w:rPr>
          <w:sz w:val="28"/>
          <w:szCs w:val="28"/>
        </w:rPr>
        <w:t>prilikom</w:t>
      </w:r>
      <w:r w:rsidR="00DB4AE3">
        <w:rPr>
          <w:sz w:val="28"/>
          <w:szCs w:val="28"/>
        </w:rPr>
        <w:t xml:space="preserve"> </w:t>
      </w:r>
      <w:r w:rsidR="00480958">
        <w:rPr>
          <w:sz w:val="28"/>
          <w:szCs w:val="28"/>
        </w:rPr>
        <w:t xml:space="preserve">inspekcijskog pregleda konstatovano da u postupku </w:t>
      </w:r>
      <w:r w:rsidR="00C327DF">
        <w:rPr>
          <w:sz w:val="28"/>
          <w:szCs w:val="28"/>
        </w:rPr>
        <w:t>sprovođenja</w:t>
      </w:r>
      <w:r w:rsidR="00DB4AE3">
        <w:rPr>
          <w:sz w:val="28"/>
          <w:szCs w:val="28"/>
        </w:rPr>
        <w:t xml:space="preserve"> </w:t>
      </w:r>
      <w:r w:rsidR="00616028">
        <w:rPr>
          <w:sz w:val="28"/>
          <w:szCs w:val="28"/>
        </w:rPr>
        <w:t xml:space="preserve">ovih </w:t>
      </w:r>
      <w:r w:rsidR="006E26BA">
        <w:rPr>
          <w:sz w:val="28"/>
          <w:szCs w:val="28"/>
        </w:rPr>
        <w:t>javnih nabavki u Sekretarijatu</w:t>
      </w:r>
      <w:r w:rsidR="00821A89">
        <w:rPr>
          <w:sz w:val="28"/>
          <w:szCs w:val="28"/>
        </w:rPr>
        <w:t xml:space="preserve"> nijesu utvrđene nepravilnosti. </w:t>
      </w:r>
    </w:p>
    <w:p w:rsidR="00C2164B" w:rsidRPr="0057002F" w:rsidRDefault="00BD33CB" w:rsidP="00BA2020">
      <w:pPr>
        <w:tabs>
          <w:tab w:val="left" w:pos="8640"/>
        </w:tabs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Sekretarijat za </w:t>
      </w:r>
      <w:r w:rsidRPr="0057002F">
        <w:rPr>
          <w:sz w:val="28"/>
          <w:szCs w:val="28"/>
        </w:rPr>
        <w:t xml:space="preserve">zakonodavstvo </w:t>
      </w:r>
      <w:r w:rsidR="004E5150" w:rsidRPr="0057002F">
        <w:rPr>
          <w:sz w:val="28"/>
          <w:szCs w:val="28"/>
        </w:rPr>
        <w:t xml:space="preserve">je </w:t>
      </w:r>
      <w:r w:rsidR="003449BC" w:rsidRPr="0057002F">
        <w:rPr>
          <w:sz w:val="28"/>
          <w:szCs w:val="28"/>
        </w:rPr>
        <w:t>i u protekloj godini</w:t>
      </w:r>
      <w:r w:rsidR="00A74458" w:rsidRPr="0057002F">
        <w:rPr>
          <w:sz w:val="28"/>
          <w:szCs w:val="28"/>
        </w:rPr>
        <w:t xml:space="preserve"> racionalno postupao u trošenju sredstava opredijeljenih Budžetom za rad i ostva</w:t>
      </w:r>
      <w:r w:rsidR="00BA2020">
        <w:rPr>
          <w:sz w:val="28"/>
          <w:szCs w:val="28"/>
        </w:rPr>
        <w:t>rivanje nadležnosti ovog organa.</w:t>
      </w:r>
      <w:bookmarkStart w:id="3" w:name="_GoBack"/>
      <w:bookmarkEnd w:id="3"/>
    </w:p>
    <w:sectPr w:rsidR="00C2164B" w:rsidRPr="0057002F" w:rsidSect="009C0CC1">
      <w:footerReference w:type="even" r:id="rId13"/>
      <w:footerReference w:type="default" r:id="rId14"/>
      <w:headerReference w:type="first" r:id="rId15"/>
      <w:pgSz w:w="12240" w:h="15840"/>
      <w:pgMar w:top="1440" w:right="1800" w:bottom="113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606" w:rsidRDefault="00637606">
      <w:r>
        <w:separator/>
      </w:r>
    </w:p>
  </w:endnote>
  <w:endnote w:type="continuationSeparator" w:id="1">
    <w:p w:rsidR="00637606" w:rsidRDefault="00637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848" w:rsidRDefault="00ED1E5F" w:rsidP="00D70D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48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4848" w:rsidRDefault="004A4848" w:rsidP="004B355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8" w:rsidRDefault="00ED1E5F">
    <w:pPr>
      <w:pStyle w:val="Footer"/>
      <w:jc w:val="right"/>
    </w:pPr>
    <w:r>
      <w:fldChar w:fldCharType="begin"/>
    </w:r>
    <w:r w:rsidR="00887C12">
      <w:instrText xml:space="preserve"> PAGE   \* MERGEFORMAT </w:instrText>
    </w:r>
    <w:r>
      <w:fldChar w:fldCharType="separate"/>
    </w:r>
    <w:r w:rsidR="00DB4AE3">
      <w:t>13</w:t>
    </w:r>
    <w:r>
      <w:fldChar w:fldCharType="end"/>
    </w:r>
  </w:p>
  <w:p w:rsidR="004A4848" w:rsidRDefault="004A4848" w:rsidP="004B355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606" w:rsidRDefault="00637606">
      <w:r>
        <w:separator/>
      </w:r>
    </w:p>
  </w:footnote>
  <w:footnote w:type="continuationSeparator" w:id="1">
    <w:p w:rsidR="00637606" w:rsidRDefault="00637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AE3" w:rsidRPr="00F17488" w:rsidRDefault="00DB4AE3" w:rsidP="00DB4AE3">
    <w:pPr>
      <w:jc w:val="center"/>
      <w:rPr>
        <w:b/>
        <w:sz w:val="32"/>
        <w:szCs w:val="32"/>
      </w:rPr>
    </w:pPr>
    <w:r w:rsidRPr="00F17488">
      <w:rPr>
        <w:b/>
        <w:sz w:val="32"/>
        <w:szCs w:val="32"/>
      </w:rPr>
      <w:t>IZVJEŠTAJ O RADU SEKRETARIJATA ZA ZAKONODAVSTVO U 2014. GODINI</w:t>
    </w:r>
  </w:p>
  <w:p w:rsidR="00DB4AE3" w:rsidRDefault="00DB4A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C60"/>
    <w:multiLevelType w:val="hybridMultilevel"/>
    <w:tmpl w:val="D706A7A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E538B9"/>
    <w:multiLevelType w:val="hybridMultilevel"/>
    <w:tmpl w:val="037E4EAA"/>
    <w:lvl w:ilvl="0" w:tplc="1D301E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8A26C3D"/>
    <w:multiLevelType w:val="hybridMultilevel"/>
    <w:tmpl w:val="D81E7A72"/>
    <w:lvl w:ilvl="0" w:tplc="FDAA20D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240E1"/>
    <w:multiLevelType w:val="hybridMultilevel"/>
    <w:tmpl w:val="2A92894C"/>
    <w:lvl w:ilvl="0" w:tplc="E01668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02515D"/>
    <w:multiLevelType w:val="hybridMultilevel"/>
    <w:tmpl w:val="6EA8A43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6421A0"/>
    <w:multiLevelType w:val="hybridMultilevel"/>
    <w:tmpl w:val="933E1FAE"/>
    <w:lvl w:ilvl="0" w:tplc="00EEF0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BD066B2"/>
    <w:multiLevelType w:val="hybridMultilevel"/>
    <w:tmpl w:val="B70AA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543E6"/>
    <w:multiLevelType w:val="hybridMultilevel"/>
    <w:tmpl w:val="1FBA66BC"/>
    <w:lvl w:ilvl="0" w:tplc="D8B4FBD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E62635"/>
    <w:multiLevelType w:val="hybridMultilevel"/>
    <w:tmpl w:val="9378F820"/>
    <w:lvl w:ilvl="0" w:tplc="18584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D16CE"/>
    <w:multiLevelType w:val="hybridMultilevel"/>
    <w:tmpl w:val="43AC6CB2"/>
    <w:lvl w:ilvl="0" w:tplc="4FF832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EB4A69"/>
    <w:multiLevelType w:val="hybridMultilevel"/>
    <w:tmpl w:val="634851CE"/>
    <w:lvl w:ilvl="0" w:tplc="E00E0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D448D9"/>
    <w:multiLevelType w:val="hybridMultilevel"/>
    <w:tmpl w:val="F4B8C2DA"/>
    <w:lvl w:ilvl="0" w:tplc="3216EA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F53524"/>
    <w:multiLevelType w:val="hybridMultilevel"/>
    <w:tmpl w:val="94BC5E1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D2B1E"/>
    <w:multiLevelType w:val="hybridMultilevel"/>
    <w:tmpl w:val="1CA8BCAE"/>
    <w:lvl w:ilvl="0" w:tplc="06AE97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BE115C"/>
    <w:multiLevelType w:val="hybridMultilevel"/>
    <w:tmpl w:val="0C741DB8"/>
    <w:lvl w:ilvl="0" w:tplc="9E78D4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CC54C9"/>
    <w:multiLevelType w:val="hybridMultilevel"/>
    <w:tmpl w:val="BD8064D8"/>
    <w:lvl w:ilvl="0" w:tplc="3216EA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468DD"/>
    <w:multiLevelType w:val="hybridMultilevel"/>
    <w:tmpl w:val="D616BEE2"/>
    <w:lvl w:ilvl="0" w:tplc="E300F878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4DD5086"/>
    <w:multiLevelType w:val="hybridMultilevel"/>
    <w:tmpl w:val="D9B0E698"/>
    <w:lvl w:ilvl="0" w:tplc="91BC5B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069E1"/>
    <w:multiLevelType w:val="hybridMultilevel"/>
    <w:tmpl w:val="1E702F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A2571A"/>
    <w:multiLevelType w:val="hybridMultilevel"/>
    <w:tmpl w:val="63B826EA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D3CF3"/>
    <w:multiLevelType w:val="hybridMultilevel"/>
    <w:tmpl w:val="1B52A234"/>
    <w:lvl w:ilvl="0" w:tplc="E4F40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8F28AD"/>
    <w:multiLevelType w:val="hybridMultilevel"/>
    <w:tmpl w:val="D076BBE4"/>
    <w:lvl w:ilvl="0" w:tplc="AA26E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F86A1C"/>
    <w:multiLevelType w:val="hybridMultilevel"/>
    <w:tmpl w:val="F2B46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546F5"/>
    <w:multiLevelType w:val="hybridMultilevel"/>
    <w:tmpl w:val="520AC714"/>
    <w:lvl w:ilvl="0" w:tplc="B4942C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6447AA"/>
    <w:multiLevelType w:val="hybridMultilevel"/>
    <w:tmpl w:val="F99A23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6655144"/>
    <w:multiLevelType w:val="hybridMultilevel"/>
    <w:tmpl w:val="831410E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D11CD"/>
    <w:multiLevelType w:val="hybridMultilevel"/>
    <w:tmpl w:val="2272EBD8"/>
    <w:lvl w:ilvl="0" w:tplc="5372A0B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A10B61"/>
    <w:multiLevelType w:val="hybridMultilevel"/>
    <w:tmpl w:val="7218A2EC"/>
    <w:lvl w:ilvl="0" w:tplc="5338DD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8F51F80"/>
    <w:multiLevelType w:val="hybridMultilevel"/>
    <w:tmpl w:val="92DEBC1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FD49B0"/>
    <w:multiLevelType w:val="hybridMultilevel"/>
    <w:tmpl w:val="97F05106"/>
    <w:lvl w:ilvl="0" w:tplc="64661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255508"/>
    <w:multiLevelType w:val="hybridMultilevel"/>
    <w:tmpl w:val="3A949518"/>
    <w:lvl w:ilvl="0" w:tplc="3216EA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DE4E33"/>
    <w:multiLevelType w:val="hybridMultilevel"/>
    <w:tmpl w:val="9A005B8C"/>
    <w:lvl w:ilvl="0" w:tplc="7272F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23661"/>
    <w:multiLevelType w:val="hybridMultilevel"/>
    <w:tmpl w:val="6D8AD4C8"/>
    <w:lvl w:ilvl="0" w:tplc="68F049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CF550F"/>
    <w:multiLevelType w:val="hybridMultilevel"/>
    <w:tmpl w:val="7652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7F7611"/>
    <w:multiLevelType w:val="hybridMultilevel"/>
    <w:tmpl w:val="05BE85BC"/>
    <w:lvl w:ilvl="0" w:tplc="F5660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A23A2F"/>
    <w:multiLevelType w:val="multilevel"/>
    <w:tmpl w:val="5D2E1D9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2160"/>
      </w:pPr>
      <w:rPr>
        <w:rFonts w:hint="default"/>
      </w:rPr>
    </w:lvl>
  </w:abstractNum>
  <w:abstractNum w:abstractNumId="36">
    <w:nsid w:val="5F410FEB"/>
    <w:multiLevelType w:val="hybridMultilevel"/>
    <w:tmpl w:val="2924ADFA"/>
    <w:lvl w:ilvl="0" w:tplc="73CCC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A910B0"/>
    <w:multiLevelType w:val="hybridMultilevel"/>
    <w:tmpl w:val="037E4EAA"/>
    <w:lvl w:ilvl="0" w:tplc="1D301E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5676DC2"/>
    <w:multiLevelType w:val="hybridMultilevel"/>
    <w:tmpl w:val="01241062"/>
    <w:lvl w:ilvl="0" w:tplc="D72663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4832E6"/>
    <w:multiLevelType w:val="hybridMultilevel"/>
    <w:tmpl w:val="9A1492DA"/>
    <w:lvl w:ilvl="0" w:tplc="9376AC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C651FCC"/>
    <w:multiLevelType w:val="hybridMultilevel"/>
    <w:tmpl w:val="F79CD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627482"/>
    <w:multiLevelType w:val="hybridMultilevel"/>
    <w:tmpl w:val="F79CD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B77DFE"/>
    <w:multiLevelType w:val="hybridMultilevel"/>
    <w:tmpl w:val="C2386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614DAD"/>
    <w:multiLevelType w:val="hybridMultilevel"/>
    <w:tmpl w:val="F2B46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060D3E"/>
    <w:multiLevelType w:val="hybridMultilevel"/>
    <w:tmpl w:val="037E4EAA"/>
    <w:lvl w:ilvl="0" w:tplc="1D301E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>
    <w:nsid w:val="738171ED"/>
    <w:multiLevelType w:val="hybridMultilevel"/>
    <w:tmpl w:val="EE9A4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B340EA"/>
    <w:multiLevelType w:val="hybridMultilevel"/>
    <w:tmpl w:val="95182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316959"/>
    <w:multiLevelType w:val="hybridMultilevel"/>
    <w:tmpl w:val="296A4458"/>
    <w:lvl w:ilvl="0" w:tplc="250A69D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EA2710D"/>
    <w:multiLevelType w:val="hybridMultilevel"/>
    <w:tmpl w:val="998AD45A"/>
    <w:lvl w:ilvl="0" w:tplc="D24400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BA63CA"/>
    <w:multiLevelType w:val="hybridMultilevel"/>
    <w:tmpl w:val="C6F05EB6"/>
    <w:lvl w:ilvl="0" w:tplc="6602B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42"/>
  </w:num>
  <w:num w:numId="4">
    <w:abstractNumId w:val="35"/>
  </w:num>
  <w:num w:numId="5">
    <w:abstractNumId w:val="45"/>
  </w:num>
  <w:num w:numId="6">
    <w:abstractNumId w:val="21"/>
  </w:num>
  <w:num w:numId="7">
    <w:abstractNumId w:val="32"/>
  </w:num>
  <w:num w:numId="8">
    <w:abstractNumId w:val="9"/>
  </w:num>
  <w:num w:numId="9">
    <w:abstractNumId w:val="40"/>
  </w:num>
  <w:num w:numId="10">
    <w:abstractNumId w:val="41"/>
  </w:num>
  <w:num w:numId="11">
    <w:abstractNumId w:val="43"/>
  </w:num>
  <w:num w:numId="12">
    <w:abstractNumId w:val="22"/>
  </w:num>
  <w:num w:numId="13">
    <w:abstractNumId w:val="25"/>
  </w:num>
  <w:num w:numId="14">
    <w:abstractNumId w:val="28"/>
  </w:num>
  <w:num w:numId="15">
    <w:abstractNumId w:val="12"/>
  </w:num>
  <w:num w:numId="16">
    <w:abstractNumId w:val="19"/>
  </w:num>
  <w:num w:numId="17">
    <w:abstractNumId w:val="33"/>
  </w:num>
  <w:num w:numId="18">
    <w:abstractNumId w:val="18"/>
  </w:num>
  <w:num w:numId="19">
    <w:abstractNumId w:val="4"/>
  </w:num>
  <w:num w:numId="20">
    <w:abstractNumId w:val="30"/>
  </w:num>
  <w:num w:numId="21">
    <w:abstractNumId w:val="15"/>
  </w:num>
  <w:num w:numId="22">
    <w:abstractNumId w:val="11"/>
  </w:num>
  <w:num w:numId="23">
    <w:abstractNumId w:val="24"/>
  </w:num>
  <w:num w:numId="24">
    <w:abstractNumId w:val="34"/>
  </w:num>
  <w:num w:numId="25">
    <w:abstractNumId w:val="29"/>
  </w:num>
  <w:num w:numId="26">
    <w:abstractNumId w:val="10"/>
  </w:num>
  <w:num w:numId="27">
    <w:abstractNumId w:val="0"/>
  </w:num>
  <w:num w:numId="28">
    <w:abstractNumId w:val="8"/>
  </w:num>
  <w:num w:numId="29">
    <w:abstractNumId w:val="46"/>
  </w:num>
  <w:num w:numId="30">
    <w:abstractNumId w:val="1"/>
  </w:num>
  <w:num w:numId="31">
    <w:abstractNumId w:val="31"/>
  </w:num>
  <w:num w:numId="32">
    <w:abstractNumId w:val="7"/>
  </w:num>
  <w:num w:numId="33">
    <w:abstractNumId w:val="48"/>
  </w:num>
  <w:num w:numId="34">
    <w:abstractNumId w:val="37"/>
  </w:num>
  <w:num w:numId="35">
    <w:abstractNumId w:val="44"/>
  </w:num>
  <w:num w:numId="36">
    <w:abstractNumId w:val="38"/>
  </w:num>
  <w:num w:numId="37">
    <w:abstractNumId w:val="47"/>
  </w:num>
  <w:num w:numId="38">
    <w:abstractNumId w:val="49"/>
  </w:num>
  <w:num w:numId="39">
    <w:abstractNumId w:val="3"/>
  </w:num>
  <w:num w:numId="40">
    <w:abstractNumId w:val="16"/>
  </w:num>
  <w:num w:numId="41">
    <w:abstractNumId w:val="20"/>
  </w:num>
  <w:num w:numId="42">
    <w:abstractNumId w:val="17"/>
  </w:num>
  <w:num w:numId="43">
    <w:abstractNumId w:val="2"/>
  </w:num>
  <w:num w:numId="44">
    <w:abstractNumId w:val="5"/>
  </w:num>
  <w:num w:numId="4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39"/>
  </w:num>
  <w:num w:numId="48">
    <w:abstractNumId w:val="36"/>
  </w:num>
  <w:num w:numId="49">
    <w:abstractNumId w:val="27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422D8"/>
    <w:rsid w:val="000009F4"/>
    <w:rsid w:val="00000D88"/>
    <w:rsid w:val="000039F2"/>
    <w:rsid w:val="00004F76"/>
    <w:rsid w:val="00005D3C"/>
    <w:rsid w:val="00006822"/>
    <w:rsid w:val="00007E54"/>
    <w:rsid w:val="00010AB7"/>
    <w:rsid w:val="000131BB"/>
    <w:rsid w:val="0001690B"/>
    <w:rsid w:val="00016D89"/>
    <w:rsid w:val="00017397"/>
    <w:rsid w:val="00017961"/>
    <w:rsid w:val="00017F41"/>
    <w:rsid w:val="000204C2"/>
    <w:rsid w:val="00021590"/>
    <w:rsid w:val="0002238E"/>
    <w:rsid w:val="000234FD"/>
    <w:rsid w:val="00024104"/>
    <w:rsid w:val="00024D8F"/>
    <w:rsid w:val="00027D2E"/>
    <w:rsid w:val="00032401"/>
    <w:rsid w:val="00032678"/>
    <w:rsid w:val="00033230"/>
    <w:rsid w:val="000332B1"/>
    <w:rsid w:val="000342B8"/>
    <w:rsid w:val="0003501D"/>
    <w:rsid w:val="00035607"/>
    <w:rsid w:val="00042992"/>
    <w:rsid w:val="00042E71"/>
    <w:rsid w:val="000435DC"/>
    <w:rsid w:val="000439E2"/>
    <w:rsid w:val="000456A2"/>
    <w:rsid w:val="000465AA"/>
    <w:rsid w:val="0004716F"/>
    <w:rsid w:val="00051035"/>
    <w:rsid w:val="000514DB"/>
    <w:rsid w:val="000554DB"/>
    <w:rsid w:val="000558E4"/>
    <w:rsid w:val="000565AD"/>
    <w:rsid w:val="00056EA0"/>
    <w:rsid w:val="00057230"/>
    <w:rsid w:val="000572C0"/>
    <w:rsid w:val="000605CB"/>
    <w:rsid w:val="00061EA1"/>
    <w:rsid w:val="00063E73"/>
    <w:rsid w:val="00066265"/>
    <w:rsid w:val="0007051F"/>
    <w:rsid w:val="00070BE1"/>
    <w:rsid w:val="00077670"/>
    <w:rsid w:val="000779DA"/>
    <w:rsid w:val="00077F1E"/>
    <w:rsid w:val="000802CF"/>
    <w:rsid w:val="000822F3"/>
    <w:rsid w:val="00082A1F"/>
    <w:rsid w:val="00082FA0"/>
    <w:rsid w:val="00083E10"/>
    <w:rsid w:val="000841A6"/>
    <w:rsid w:val="00085292"/>
    <w:rsid w:val="00085A7E"/>
    <w:rsid w:val="00091144"/>
    <w:rsid w:val="00091284"/>
    <w:rsid w:val="000916F8"/>
    <w:rsid w:val="00092642"/>
    <w:rsid w:val="00092B66"/>
    <w:rsid w:val="00095B4A"/>
    <w:rsid w:val="000A189D"/>
    <w:rsid w:val="000A1FF8"/>
    <w:rsid w:val="000A3392"/>
    <w:rsid w:val="000A35C6"/>
    <w:rsid w:val="000A393A"/>
    <w:rsid w:val="000A66E0"/>
    <w:rsid w:val="000A6B6B"/>
    <w:rsid w:val="000B0EDF"/>
    <w:rsid w:val="000B29D3"/>
    <w:rsid w:val="000B3360"/>
    <w:rsid w:val="000B375D"/>
    <w:rsid w:val="000B3B0C"/>
    <w:rsid w:val="000B4D07"/>
    <w:rsid w:val="000B55B6"/>
    <w:rsid w:val="000B5A42"/>
    <w:rsid w:val="000B6B97"/>
    <w:rsid w:val="000C0B67"/>
    <w:rsid w:val="000C0C82"/>
    <w:rsid w:val="000C3AC0"/>
    <w:rsid w:val="000C427A"/>
    <w:rsid w:val="000C4C00"/>
    <w:rsid w:val="000C5256"/>
    <w:rsid w:val="000C5D67"/>
    <w:rsid w:val="000C619D"/>
    <w:rsid w:val="000C633D"/>
    <w:rsid w:val="000C7E9E"/>
    <w:rsid w:val="000D1295"/>
    <w:rsid w:val="000D195B"/>
    <w:rsid w:val="000D21F1"/>
    <w:rsid w:val="000D24A1"/>
    <w:rsid w:val="000D26E1"/>
    <w:rsid w:val="000D5D94"/>
    <w:rsid w:val="000D6FEF"/>
    <w:rsid w:val="000D7A95"/>
    <w:rsid w:val="000E0AE4"/>
    <w:rsid w:val="000E0CBD"/>
    <w:rsid w:val="000E41EA"/>
    <w:rsid w:val="000E4EF6"/>
    <w:rsid w:val="000E5E34"/>
    <w:rsid w:val="000E6924"/>
    <w:rsid w:val="000E7E67"/>
    <w:rsid w:val="000F082E"/>
    <w:rsid w:val="000F1C17"/>
    <w:rsid w:val="000F50B3"/>
    <w:rsid w:val="000F5162"/>
    <w:rsid w:val="000F6099"/>
    <w:rsid w:val="000F743E"/>
    <w:rsid w:val="000F7E15"/>
    <w:rsid w:val="00100D99"/>
    <w:rsid w:val="00101790"/>
    <w:rsid w:val="00102148"/>
    <w:rsid w:val="00104C7D"/>
    <w:rsid w:val="001059EF"/>
    <w:rsid w:val="00107E7A"/>
    <w:rsid w:val="001117A3"/>
    <w:rsid w:val="00111FC0"/>
    <w:rsid w:val="00112A33"/>
    <w:rsid w:val="001144BE"/>
    <w:rsid w:val="00116578"/>
    <w:rsid w:val="00117A41"/>
    <w:rsid w:val="00117AF1"/>
    <w:rsid w:val="00120A51"/>
    <w:rsid w:val="00121AF6"/>
    <w:rsid w:val="00122B37"/>
    <w:rsid w:val="00122D46"/>
    <w:rsid w:val="0012325B"/>
    <w:rsid w:val="00123633"/>
    <w:rsid w:val="00124F49"/>
    <w:rsid w:val="001300A3"/>
    <w:rsid w:val="00131DFD"/>
    <w:rsid w:val="0013241E"/>
    <w:rsid w:val="0013464D"/>
    <w:rsid w:val="001360F9"/>
    <w:rsid w:val="001373D3"/>
    <w:rsid w:val="00137C16"/>
    <w:rsid w:val="00137CAF"/>
    <w:rsid w:val="00137F64"/>
    <w:rsid w:val="00140921"/>
    <w:rsid w:val="00141204"/>
    <w:rsid w:val="00141A13"/>
    <w:rsid w:val="00141DD5"/>
    <w:rsid w:val="001433BF"/>
    <w:rsid w:val="0014341D"/>
    <w:rsid w:val="00143BD2"/>
    <w:rsid w:val="00143D19"/>
    <w:rsid w:val="0014470C"/>
    <w:rsid w:val="00144CDA"/>
    <w:rsid w:val="0014537B"/>
    <w:rsid w:val="00145E24"/>
    <w:rsid w:val="0015000E"/>
    <w:rsid w:val="00150F26"/>
    <w:rsid w:val="001526EA"/>
    <w:rsid w:val="001535A6"/>
    <w:rsid w:val="001566CA"/>
    <w:rsid w:val="0016371F"/>
    <w:rsid w:val="00165B7F"/>
    <w:rsid w:val="00166D44"/>
    <w:rsid w:val="00167B01"/>
    <w:rsid w:val="0017062B"/>
    <w:rsid w:val="001706AF"/>
    <w:rsid w:val="00174C1E"/>
    <w:rsid w:val="00176598"/>
    <w:rsid w:val="00177C98"/>
    <w:rsid w:val="00177DC4"/>
    <w:rsid w:val="00180668"/>
    <w:rsid w:val="00181A11"/>
    <w:rsid w:val="00181D3D"/>
    <w:rsid w:val="001828CD"/>
    <w:rsid w:val="00183339"/>
    <w:rsid w:val="001834EE"/>
    <w:rsid w:val="001840A7"/>
    <w:rsid w:val="001846EF"/>
    <w:rsid w:val="001866CC"/>
    <w:rsid w:val="00186F3F"/>
    <w:rsid w:val="0018779E"/>
    <w:rsid w:val="00187D2A"/>
    <w:rsid w:val="0019163D"/>
    <w:rsid w:val="00191D58"/>
    <w:rsid w:val="00192A5C"/>
    <w:rsid w:val="00193CD5"/>
    <w:rsid w:val="00195ECA"/>
    <w:rsid w:val="001A0872"/>
    <w:rsid w:val="001A4C29"/>
    <w:rsid w:val="001A4FB4"/>
    <w:rsid w:val="001A54E1"/>
    <w:rsid w:val="001A612B"/>
    <w:rsid w:val="001B2AA9"/>
    <w:rsid w:val="001B32F1"/>
    <w:rsid w:val="001B45AA"/>
    <w:rsid w:val="001B4E42"/>
    <w:rsid w:val="001B6113"/>
    <w:rsid w:val="001B63BC"/>
    <w:rsid w:val="001B6D56"/>
    <w:rsid w:val="001B7267"/>
    <w:rsid w:val="001C3202"/>
    <w:rsid w:val="001D0386"/>
    <w:rsid w:val="001D1D3E"/>
    <w:rsid w:val="001D418C"/>
    <w:rsid w:val="001D5148"/>
    <w:rsid w:val="001D5F71"/>
    <w:rsid w:val="001D612C"/>
    <w:rsid w:val="001E304D"/>
    <w:rsid w:val="001E3343"/>
    <w:rsid w:val="001E4ED8"/>
    <w:rsid w:val="001E5A8B"/>
    <w:rsid w:val="001E6599"/>
    <w:rsid w:val="001E6C39"/>
    <w:rsid w:val="001E6DE8"/>
    <w:rsid w:val="001F019A"/>
    <w:rsid w:val="001F0DBD"/>
    <w:rsid w:val="001F131B"/>
    <w:rsid w:val="001F1E6B"/>
    <w:rsid w:val="001F2190"/>
    <w:rsid w:val="001F3029"/>
    <w:rsid w:val="001F3DC7"/>
    <w:rsid w:val="001F41C2"/>
    <w:rsid w:val="001F5231"/>
    <w:rsid w:val="001F61FE"/>
    <w:rsid w:val="00200100"/>
    <w:rsid w:val="00203343"/>
    <w:rsid w:val="00203F42"/>
    <w:rsid w:val="002054D3"/>
    <w:rsid w:val="002076C2"/>
    <w:rsid w:val="00207875"/>
    <w:rsid w:val="00207C15"/>
    <w:rsid w:val="00210FD8"/>
    <w:rsid w:val="00213148"/>
    <w:rsid w:val="002140C0"/>
    <w:rsid w:val="002152F1"/>
    <w:rsid w:val="002157DD"/>
    <w:rsid w:val="002219A5"/>
    <w:rsid w:val="00222F91"/>
    <w:rsid w:val="00225CAC"/>
    <w:rsid w:val="00225F64"/>
    <w:rsid w:val="0022648F"/>
    <w:rsid w:val="00226752"/>
    <w:rsid w:val="00226E91"/>
    <w:rsid w:val="00227D63"/>
    <w:rsid w:val="00230F0F"/>
    <w:rsid w:val="00231E85"/>
    <w:rsid w:val="00235F34"/>
    <w:rsid w:val="00236499"/>
    <w:rsid w:val="00240456"/>
    <w:rsid w:val="00245F7E"/>
    <w:rsid w:val="002467AD"/>
    <w:rsid w:val="00247460"/>
    <w:rsid w:val="002510AF"/>
    <w:rsid w:val="00251A97"/>
    <w:rsid w:val="00251F79"/>
    <w:rsid w:val="00252451"/>
    <w:rsid w:val="00253A2C"/>
    <w:rsid w:val="00254830"/>
    <w:rsid w:val="002555CC"/>
    <w:rsid w:val="0025671D"/>
    <w:rsid w:val="0025733D"/>
    <w:rsid w:val="002577F3"/>
    <w:rsid w:val="002606A3"/>
    <w:rsid w:val="00261CF5"/>
    <w:rsid w:val="002623CA"/>
    <w:rsid w:val="00265888"/>
    <w:rsid w:val="00265A96"/>
    <w:rsid w:val="00271542"/>
    <w:rsid w:val="00271C3A"/>
    <w:rsid w:val="00273904"/>
    <w:rsid w:val="00275D93"/>
    <w:rsid w:val="002775E5"/>
    <w:rsid w:val="00280439"/>
    <w:rsid w:val="00280A28"/>
    <w:rsid w:val="00283EB0"/>
    <w:rsid w:val="00283F03"/>
    <w:rsid w:val="002841D0"/>
    <w:rsid w:val="00285DF5"/>
    <w:rsid w:val="00287467"/>
    <w:rsid w:val="00287AAA"/>
    <w:rsid w:val="002919D9"/>
    <w:rsid w:val="00292138"/>
    <w:rsid w:val="00293A11"/>
    <w:rsid w:val="00293E5A"/>
    <w:rsid w:val="00294A37"/>
    <w:rsid w:val="00294F00"/>
    <w:rsid w:val="00295A7B"/>
    <w:rsid w:val="00296F70"/>
    <w:rsid w:val="002971B4"/>
    <w:rsid w:val="00297904"/>
    <w:rsid w:val="00297CB9"/>
    <w:rsid w:val="002A1C11"/>
    <w:rsid w:val="002A2916"/>
    <w:rsid w:val="002A6A96"/>
    <w:rsid w:val="002A6FF7"/>
    <w:rsid w:val="002B086A"/>
    <w:rsid w:val="002B36D7"/>
    <w:rsid w:val="002B3725"/>
    <w:rsid w:val="002B429E"/>
    <w:rsid w:val="002B4C39"/>
    <w:rsid w:val="002B4FC7"/>
    <w:rsid w:val="002B6B2A"/>
    <w:rsid w:val="002B7925"/>
    <w:rsid w:val="002C19DD"/>
    <w:rsid w:val="002C1A0E"/>
    <w:rsid w:val="002C2DF7"/>
    <w:rsid w:val="002C3636"/>
    <w:rsid w:val="002C3E9F"/>
    <w:rsid w:val="002C3F53"/>
    <w:rsid w:val="002C464D"/>
    <w:rsid w:val="002C5B20"/>
    <w:rsid w:val="002C5F43"/>
    <w:rsid w:val="002C6079"/>
    <w:rsid w:val="002C7B5E"/>
    <w:rsid w:val="002D03F2"/>
    <w:rsid w:val="002D128C"/>
    <w:rsid w:val="002D2E5D"/>
    <w:rsid w:val="002D39E8"/>
    <w:rsid w:val="002D3A15"/>
    <w:rsid w:val="002D3A4E"/>
    <w:rsid w:val="002D4A33"/>
    <w:rsid w:val="002D5010"/>
    <w:rsid w:val="002D6CD6"/>
    <w:rsid w:val="002D7AC1"/>
    <w:rsid w:val="002D7DEA"/>
    <w:rsid w:val="002E1785"/>
    <w:rsid w:val="002E1DFF"/>
    <w:rsid w:val="002E1FC5"/>
    <w:rsid w:val="002E6251"/>
    <w:rsid w:val="002E7274"/>
    <w:rsid w:val="002F0D37"/>
    <w:rsid w:val="002F18AD"/>
    <w:rsid w:val="002F1F3D"/>
    <w:rsid w:val="002F349D"/>
    <w:rsid w:val="002F3755"/>
    <w:rsid w:val="002F6659"/>
    <w:rsid w:val="002F6D73"/>
    <w:rsid w:val="002F7ECC"/>
    <w:rsid w:val="00301410"/>
    <w:rsid w:val="003037CB"/>
    <w:rsid w:val="00304291"/>
    <w:rsid w:val="00304672"/>
    <w:rsid w:val="0030585F"/>
    <w:rsid w:val="0030639B"/>
    <w:rsid w:val="003070D0"/>
    <w:rsid w:val="00307AC7"/>
    <w:rsid w:val="00307FF6"/>
    <w:rsid w:val="00310D45"/>
    <w:rsid w:val="00311266"/>
    <w:rsid w:val="003118E2"/>
    <w:rsid w:val="0031194C"/>
    <w:rsid w:val="00314426"/>
    <w:rsid w:val="00314761"/>
    <w:rsid w:val="00315472"/>
    <w:rsid w:val="00316229"/>
    <w:rsid w:val="003166B6"/>
    <w:rsid w:val="00316A96"/>
    <w:rsid w:val="003177A2"/>
    <w:rsid w:val="00317D07"/>
    <w:rsid w:val="003200DB"/>
    <w:rsid w:val="0032018E"/>
    <w:rsid w:val="00321812"/>
    <w:rsid w:val="00321B30"/>
    <w:rsid w:val="003253EE"/>
    <w:rsid w:val="0032706B"/>
    <w:rsid w:val="00327D05"/>
    <w:rsid w:val="00331908"/>
    <w:rsid w:val="00332B74"/>
    <w:rsid w:val="00333064"/>
    <w:rsid w:val="00333521"/>
    <w:rsid w:val="0033372D"/>
    <w:rsid w:val="00333E8A"/>
    <w:rsid w:val="00334432"/>
    <w:rsid w:val="0033690C"/>
    <w:rsid w:val="003422D8"/>
    <w:rsid w:val="003427E9"/>
    <w:rsid w:val="003433F9"/>
    <w:rsid w:val="003449BC"/>
    <w:rsid w:val="00345B37"/>
    <w:rsid w:val="00345F41"/>
    <w:rsid w:val="003464EE"/>
    <w:rsid w:val="003467B7"/>
    <w:rsid w:val="0035005B"/>
    <w:rsid w:val="00352C88"/>
    <w:rsid w:val="00354F28"/>
    <w:rsid w:val="00355599"/>
    <w:rsid w:val="003561A6"/>
    <w:rsid w:val="003566C7"/>
    <w:rsid w:val="00357C63"/>
    <w:rsid w:val="003608F6"/>
    <w:rsid w:val="00361876"/>
    <w:rsid w:val="00362F4E"/>
    <w:rsid w:val="00362FB5"/>
    <w:rsid w:val="00363619"/>
    <w:rsid w:val="00363CEE"/>
    <w:rsid w:val="00365259"/>
    <w:rsid w:val="00366B1A"/>
    <w:rsid w:val="00366E7C"/>
    <w:rsid w:val="0036768E"/>
    <w:rsid w:val="003718DB"/>
    <w:rsid w:val="00372DEC"/>
    <w:rsid w:val="00372FA4"/>
    <w:rsid w:val="00373862"/>
    <w:rsid w:val="00374433"/>
    <w:rsid w:val="003750AC"/>
    <w:rsid w:val="00376A54"/>
    <w:rsid w:val="00381158"/>
    <w:rsid w:val="003838E9"/>
    <w:rsid w:val="00383FA7"/>
    <w:rsid w:val="00387DBC"/>
    <w:rsid w:val="00387E09"/>
    <w:rsid w:val="00390478"/>
    <w:rsid w:val="00391E83"/>
    <w:rsid w:val="003924FC"/>
    <w:rsid w:val="00393F9C"/>
    <w:rsid w:val="00394480"/>
    <w:rsid w:val="00396E02"/>
    <w:rsid w:val="0039715C"/>
    <w:rsid w:val="00397B9F"/>
    <w:rsid w:val="003A2B93"/>
    <w:rsid w:val="003A4323"/>
    <w:rsid w:val="003A6C6D"/>
    <w:rsid w:val="003A6FB9"/>
    <w:rsid w:val="003A76FE"/>
    <w:rsid w:val="003B02C7"/>
    <w:rsid w:val="003B049D"/>
    <w:rsid w:val="003B13C9"/>
    <w:rsid w:val="003B2457"/>
    <w:rsid w:val="003B553A"/>
    <w:rsid w:val="003B772E"/>
    <w:rsid w:val="003B794A"/>
    <w:rsid w:val="003C0239"/>
    <w:rsid w:val="003C081B"/>
    <w:rsid w:val="003C1DA3"/>
    <w:rsid w:val="003C5E40"/>
    <w:rsid w:val="003D2975"/>
    <w:rsid w:val="003D35E8"/>
    <w:rsid w:val="003D41A5"/>
    <w:rsid w:val="003D44D7"/>
    <w:rsid w:val="003D4AFD"/>
    <w:rsid w:val="003D4DCA"/>
    <w:rsid w:val="003D4DEF"/>
    <w:rsid w:val="003D5044"/>
    <w:rsid w:val="003D52DA"/>
    <w:rsid w:val="003D65EE"/>
    <w:rsid w:val="003D758C"/>
    <w:rsid w:val="003E3C94"/>
    <w:rsid w:val="003E456F"/>
    <w:rsid w:val="003E5DF0"/>
    <w:rsid w:val="003E7B83"/>
    <w:rsid w:val="003F048D"/>
    <w:rsid w:val="003F493D"/>
    <w:rsid w:val="003F4C65"/>
    <w:rsid w:val="003F59F0"/>
    <w:rsid w:val="003F6A2B"/>
    <w:rsid w:val="003F749A"/>
    <w:rsid w:val="00402018"/>
    <w:rsid w:val="004024B2"/>
    <w:rsid w:val="00402AF4"/>
    <w:rsid w:val="00402D05"/>
    <w:rsid w:val="00402E81"/>
    <w:rsid w:val="004065E6"/>
    <w:rsid w:val="00407C43"/>
    <w:rsid w:val="00411C18"/>
    <w:rsid w:val="00412D1C"/>
    <w:rsid w:val="00414552"/>
    <w:rsid w:val="00415F25"/>
    <w:rsid w:val="00416C77"/>
    <w:rsid w:val="00417600"/>
    <w:rsid w:val="00422CD9"/>
    <w:rsid w:val="004243BA"/>
    <w:rsid w:val="00424870"/>
    <w:rsid w:val="004263EB"/>
    <w:rsid w:val="00430EDF"/>
    <w:rsid w:val="004311A3"/>
    <w:rsid w:val="004322AC"/>
    <w:rsid w:val="00434504"/>
    <w:rsid w:val="00441C2E"/>
    <w:rsid w:val="00442753"/>
    <w:rsid w:val="0044457A"/>
    <w:rsid w:val="0044476A"/>
    <w:rsid w:val="00445907"/>
    <w:rsid w:val="0044707E"/>
    <w:rsid w:val="004477D5"/>
    <w:rsid w:val="00447E2E"/>
    <w:rsid w:val="004515F8"/>
    <w:rsid w:val="004521AB"/>
    <w:rsid w:val="00453D5F"/>
    <w:rsid w:val="00455B46"/>
    <w:rsid w:val="00455E3B"/>
    <w:rsid w:val="004606CA"/>
    <w:rsid w:val="00460EEF"/>
    <w:rsid w:val="00461605"/>
    <w:rsid w:val="0046271A"/>
    <w:rsid w:val="00462F28"/>
    <w:rsid w:val="0046321E"/>
    <w:rsid w:val="00464A9E"/>
    <w:rsid w:val="00464B2C"/>
    <w:rsid w:val="0046626B"/>
    <w:rsid w:val="00466981"/>
    <w:rsid w:val="00470B58"/>
    <w:rsid w:val="00471886"/>
    <w:rsid w:val="004729C1"/>
    <w:rsid w:val="004739B8"/>
    <w:rsid w:val="00473D11"/>
    <w:rsid w:val="00475056"/>
    <w:rsid w:val="004760A8"/>
    <w:rsid w:val="004761BF"/>
    <w:rsid w:val="004775A0"/>
    <w:rsid w:val="00477DDC"/>
    <w:rsid w:val="0048003C"/>
    <w:rsid w:val="00480958"/>
    <w:rsid w:val="00481EB4"/>
    <w:rsid w:val="00483514"/>
    <w:rsid w:val="00485857"/>
    <w:rsid w:val="00485B66"/>
    <w:rsid w:val="0048727F"/>
    <w:rsid w:val="00491B93"/>
    <w:rsid w:val="0049358C"/>
    <w:rsid w:val="00493893"/>
    <w:rsid w:val="0049458F"/>
    <w:rsid w:val="004974C5"/>
    <w:rsid w:val="004A0223"/>
    <w:rsid w:val="004A0CC9"/>
    <w:rsid w:val="004A115B"/>
    <w:rsid w:val="004A1361"/>
    <w:rsid w:val="004A18F1"/>
    <w:rsid w:val="004A1AA8"/>
    <w:rsid w:val="004A27D3"/>
    <w:rsid w:val="004A2B3A"/>
    <w:rsid w:val="004A3044"/>
    <w:rsid w:val="004A353A"/>
    <w:rsid w:val="004A3F7C"/>
    <w:rsid w:val="004A4848"/>
    <w:rsid w:val="004A5398"/>
    <w:rsid w:val="004A691C"/>
    <w:rsid w:val="004A7E2B"/>
    <w:rsid w:val="004A7FCF"/>
    <w:rsid w:val="004B0250"/>
    <w:rsid w:val="004B2267"/>
    <w:rsid w:val="004B311E"/>
    <w:rsid w:val="004B355C"/>
    <w:rsid w:val="004B45DB"/>
    <w:rsid w:val="004B4EA8"/>
    <w:rsid w:val="004B6775"/>
    <w:rsid w:val="004B6EFF"/>
    <w:rsid w:val="004B7F7B"/>
    <w:rsid w:val="004C1721"/>
    <w:rsid w:val="004C1FB9"/>
    <w:rsid w:val="004C26FD"/>
    <w:rsid w:val="004C2DB2"/>
    <w:rsid w:val="004C434C"/>
    <w:rsid w:val="004C5FDD"/>
    <w:rsid w:val="004C6B59"/>
    <w:rsid w:val="004C7D47"/>
    <w:rsid w:val="004D11E2"/>
    <w:rsid w:val="004D1516"/>
    <w:rsid w:val="004D234E"/>
    <w:rsid w:val="004D2C10"/>
    <w:rsid w:val="004D6147"/>
    <w:rsid w:val="004D67DF"/>
    <w:rsid w:val="004D74CE"/>
    <w:rsid w:val="004E12D5"/>
    <w:rsid w:val="004E1770"/>
    <w:rsid w:val="004E29E7"/>
    <w:rsid w:val="004E2A36"/>
    <w:rsid w:val="004E2C27"/>
    <w:rsid w:val="004E3274"/>
    <w:rsid w:val="004E34D0"/>
    <w:rsid w:val="004E3A9D"/>
    <w:rsid w:val="004E42C0"/>
    <w:rsid w:val="004E4F3F"/>
    <w:rsid w:val="004E5150"/>
    <w:rsid w:val="004E66EB"/>
    <w:rsid w:val="004E7223"/>
    <w:rsid w:val="004F3AD5"/>
    <w:rsid w:val="004F4822"/>
    <w:rsid w:val="004F4D2A"/>
    <w:rsid w:val="004F4DE6"/>
    <w:rsid w:val="004F5F72"/>
    <w:rsid w:val="004F6E00"/>
    <w:rsid w:val="004F7546"/>
    <w:rsid w:val="00500BF9"/>
    <w:rsid w:val="005020A6"/>
    <w:rsid w:val="00503F51"/>
    <w:rsid w:val="0050405E"/>
    <w:rsid w:val="00505FCC"/>
    <w:rsid w:val="005076B1"/>
    <w:rsid w:val="0050783D"/>
    <w:rsid w:val="0051048F"/>
    <w:rsid w:val="00510625"/>
    <w:rsid w:val="00511177"/>
    <w:rsid w:val="0051214E"/>
    <w:rsid w:val="005125D1"/>
    <w:rsid w:val="00513861"/>
    <w:rsid w:val="00513B34"/>
    <w:rsid w:val="00514463"/>
    <w:rsid w:val="00514818"/>
    <w:rsid w:val="00514B16"/>
    <w:rsid w:val="005151C6"/>
    <w:rsid w:val="005171C5"/>
    <w:rsid w:val="00517944"/>
    <w:rsid w:val="00521F86"/>
    <w:rsid w:val="00523795"/>
    <w:rsid w:val="00523C2C"/>
    <w:rsid w:val="00524774"/>
    <w:rsid w:val="005276A6"/>
    <w:rsid w:val="0053064C"/>
    <w:rsid w:val="00531084"/>
    <w:rsid w:val="00531A91"/>
    <w:rsid w:val="005342A1"/>
    <w:rsid w:val="005351DD"/>
    <w:rsid w:val="00536F35"/>
    <w:rsid w:val="00537FB9"/>
    <w:rsid w:val="0054059B"/>
    <w:rsid w:val="00540B87"/>
    <w:rsid w:val="00545A99"/>
    <w:rsid w:val="00550B23"/>
    <w:rsid w:val="00550C16"/>
    <w:rsid w:val="005531CC"/>
    <w:rsid w:val="0055369C"/>
    <w:rsid w:val="00553E4B"/>
    <w:rsid w:val="0055427C"/>
    <w:rsid w:val="00554B14"/>
    <w:rsid w:val="005554A6"/>
    <w:rsid w:val="005574CE"/>
    <w:rsid w:val="005624ED"/>
    <w:rsid w:val="005628D9"/>
    <w:rsid w:val="00565673"/>
    <w:rsid w:val="00566617"/>
    <w:rsid w:val="0057002F"/>
    <w:rsid w:val="00571DEB"/>
    <w:rsid w:val="0057292C"/>
    <w:rsid w:val="00572975"/>
    <w:rsid w:val="00572CD6"/>
    <w:rsid w:val="00573E75"/>
    <w:rsid w:val="00573F67"/>
    <w:rsid w:val="00574AC2"/>
    <w:rsid w:val="005760A7"/>
    <w:rsid w:val="00577783"/>
    <w:rsid w:val="00580F61"/>
    <w:rsid w:val="00581C67"/>
    <w:rsid w:val="00582CC8"/>
    <w:rsid w:val="00582DC2"/>
    <w:rsid w:val="0058348A"/>
    <w:rsid w:val="00583AAB"/>
    <w:rsid w:val="005840C3"/>
    <w:rsid w:val="00584101"/>
    <w:rsid w:val="00585726"/>
    <w:rsid w:val="00585C90"/>
    <w:rsid w:val="00586315"/>
    <w:rsid w:val="005869B5"/>
    <w:rsid w:val="00587C43"/>
    <w:rsid w:val="00590209"/>
    <w:rsid w:val="0059101C"/>
    <w:rsid w:val="0059175F"/>
    <w:rsid w:val="005926DF"/>
    <w:rsid w:val="00593C1A"/>
    <w:rsid w:val="005948D0"/>
    <w:rsid w:val="00594B1C"/>
    <w:rsid w:val="005955FA"/>
    <w:rsid w:val="0059675A"/>
    <w:rsid w:val="0059706D"/>
    <w:rsid w:val="005A0936"/>
    <w:rsid w:val="005A1BF9"/>
    <w:rsid w:val="005A2A64"/>
    <w:rsid w:val="005A494C"/>
    <w:rsid w:val="005A7F38"/>
    <w:rsid w:val="005B03FD"/>
    <w:rsid w:val="005B0C96"/>
    <w:rsid w:val="005B112F"/>
    <w:rsid w:val="005B231E"/>
    <w:rsid w:val="005B23C2"/>
    <w:rsid w:val="005B28B8"/>
    <w:rsid w:val="005B32BB"/>
    <w:rsid w:val="005B64E4"/>
    <w:rsid w:val="005C1BD2"/>
    <w:rsid w:val="005C2D8C"/>
    <w:rsid w:val="005C372E"/>
    <w:rsid w:val="005C437E"/>
    <w:rsid w:val="005C4D15"/>
    <w:rsid w:val="005C5E38"/>
    <w:rsid w:val="005D1A8F"/>
    <w:rsid w:val="005D1B77"/>
    <w:rsid w:val="005D2245"/>
    <w:rsid w:val="005D34D1"/>
    <w:rsid w:val="005D3935"/>
    <w:rsid w:val="005D3C80"/>
    <w:rsid w:val="005D5549"/>
    <w:rsid w:val="005D6459"/>
    <w:rsid w:val="005D6889"/>
    <w:rsid w:val="005E0418"/>
    <w:rsid w:val="005E07B5"/>
    <w:rsid w:val="005E1B15"/>
    <w:rsid w:val="005E252E"/>
    <w:rsid w:val="005E30C0"/>
    <w:rsid w:val="005E3E55"/>
    <w:rsid w:val="005E42A2"/>
    <w:rsid w:val="005E71DF"/>
    <w:rsid w:val="005F10D2"/>
    <w:rsid w:val="005F19D3"/>
    <w:rsid w:val="005F19D5"/>
    <w:rsid w:val="005F27BE"/>
    <w:rsid w:val="005F3346"/>
    <w:rsid w:val="005F608F"/>
    <w:rsid w:val="005F627B"/>
    <w:rsid w:val="005F733E"/>
    <w:rsid w:val="005F765E"/>
    <w:rsid w:val="005F7DFB"/>
    <w:rsid w:val="006023C3"/>
    <w:rsid w:val="00602BBD"/>
    <w:rsid w:val="00603837"/>
    <w:rsid w:val="00603A03"/>
    <w:rsid w:val="00604295"/>
    <w:rsid w:val="00604B4A"/>
    <w:rsid w:val="00607FD1"/>
    <w:rsid w:val="0061112F"/>
    <w:rsid w:val="0061238E"/>
    <w:rsid w:val="0061246A"/>
    <w:rsid w:val="0061337C"/>
    <w:rsid w:val="00613896"/>
    <w:rsid w:val="00614F92"/>
    <w:rsid w:val="00615413"/>
    <w:rsid w:val="00616028"/>
    <w:rsid w:val="00617F12"/>
    <w:rsid w:val="0062083A"/>
    <w:rsid w:val="00620998"/>
    <w:rsid w:val="00622EA0"/>
    <w:rsid w:val="006241B2"/>
    <w:rsid w:val="0062558B"/>
    <w:rsid w:val="0062587F"/>
    <w:rsid w:val="006267F3"/>
    <w:rsid w:val="00627A34"/>
    <w:rsid w:val="00627C2F"/>
    <w:rsid w:val="006313BA"/>
    <w:rsid w:val="00631FC1"/>
    <w:rsid w:val="00633BFC"/>
    <w:rsid w:val="006343E8"/>
    <w:rsid w:val="00635FC0"/>
    <w:rsid w:val="00637069"/>
    <w:rsid w:val="00637606"/>
    <w:rsid w:val="00640257"/>
    <w:rsid w:val="00643B90"/>
    <w:rsid w:val="00644FBF"/>
    <w:rsid w:val="006455A5"/>
    <w:rsid w:val="00647386"/>
    <w:rsid w:val="00647F96"/>
    <w:rsid w:val="00650F01"/>
    <w:rsid w:val="00651D8D"/>
    <w:rsid w:val="0065255B"/>
    <w:rsid w:val="00652EC8"/>
    <w:rsid w:val="0065373F"/>
    <w:rsid w:val="00654A88"/>
    <w:rsid w:val="0065504E"/>
    <w:rsid w:val="00656167"/>
    <w:rsid w:val="00656265"/>
    <w:rsid w:val="0065680F"/>
    <w:rsid w:val="00662B1A"/>
    <w:rsid w:val="00664A02"/>
    <w:rsid w:val="00664E9F"/>
    <w:rsid w:val="00665F93"/>
    <w:rsid w:val="00666545"/>
    <w:rsid w:val="00666657"/>
    <w:rsid w:val="00670EAA"/>
    <w:rsid w:val="00671511"/>
    <w:rsid w:val="00672E23"/>
    <w:rsid w:val="00674301"/>
    <w:rsid w:val="00674F53"/>
    <w:rsid w:val="006774AD"/>
    <w:rsid w:val="00683EE7"/>
    <w:rsid w:val="0068501B"/>
    <w:rsid w:val="00686704"/>
    <w:rsid w:val="00691597"/>
    <w:rsid w:val="006940CD"/>
    <w:rsid w:val="00695634"/>
    <w:rsid w:val="00696AA1"/>
    <w:rsid w:val="006975C8"/>
    <w:rsid w:val="006A03B5"/>
    <w:rsid w:val="006A056B"/>
    <w:rsid w:val="006A14FE"/>
    <w:rsid w:val="006A2D60"/>
    <w:rsid w:val="006A4A3F"/>
    <w:rsid w:val="006A6611"/>
    <w:rsid w:val="006A6DA1"/>
    <w:rsid w:val="006A6EEE"/>
    <w:rsid w:val="006A6F08"/>
    <w:rsid w:val="006A725D"/>
    <w:rsid w:val="006A72E1"/>
    <w:rsid w:val="006B1933"/>
    <w:rsid w:val="006B3D9E"/>
    <w:rsid w:val="006B3E26"/>
    <w:rsid w:val="006B493E"/>
    <w:rsid w:val="006B4CB7"/>
    <w:rsid w:val="006B7D57"/>
    <w:rsid w:val="006C03DA"/>
    <w:rsid w:val="006C3471"/>
    <w:rsid w:val="006C447F"/>
    <w:rsid w:val="006C48D0"/>
    <w:rsid w:val="006C5DF9"/>
    <w:rsid w:val="006C6A99"/>
    <w:rsid w:val="006D002F"/>
    <w:rsid w:val="006D0734"/>
    <w:rsid w:val="006D1EC6"/>
    <w:rsid w:val="006D23A0"/>
    <w:rsid w:val="006D41DA"/>
    <w:rsid w:val="006D4A8B"/>
    <w:rsid w:val="006D671F"/>
    <w:rsid w:val="006D782E"/>
    <w:rsid w:val="006D793F"/>
    <w:rsid w:val="006D7B30"/>
    <w:rsid w:val="006E03D1"/>
    <w:rsid w:val="006E09FA"/>
    <w:rsid w:val="006E14DF"/>
    <w:rsid w:val="006E1A79"/>
    <w:rsid w:val="006E2482"/>
    <w:rsid w:val="006E26BA"/>
    <w:rsid w:val="006E2D85"/>
    <w:rsid w:val="006E3E2A"/>
    <w:rsid w:val="006E60EE"/>
    <w:rsid w:val="006E6C80"/>
    <w:rsid w:val="006E7DC3"/>
    <w:rsid w:val="006F2BD8"/>
    <w:rsid w:val="006F37E9"/>
    <w:rsid w:val="006F39E7"/>
    <w:rsid w:val="006F54F1"/>
    <w:rsid w:val="006F64C6"/>
    <w:rsid w:val="007010C7"/>
    <w:rsid w:val="007032A2"/>
    <w:rsid w:val="00703E74"/>
    <w:rsid w:val="00704790"/>
    <w:rsid w:val="00704FB8"/>
    <w:rsid w:val="007055C4"/>
    <w:rsid w:val="007072C1"/>
    <w:rsid w:val="007074BD"/>
    <w:rsid w:val="00710148"/>
    <w:rsid w:val="00713203"/>
    <w:rsid w:val="00714D1C"/>
    <w:rsid w:val="00714EDD"/>
    <w:rsid w:val="00716575"/>
    <w:rsid w:val="00723AF1"/>
    <w:rsid w:val="00725399"/>
    <w:rsid w:val="007260A8"/>
    <w:rsid w:val="007268CF"/>
    <w:rsid w:val="007273F8"/>
    <w:rsid w:val="007279E8"/>
    <w:rsid w:val="00727E08"/>
    <w:rsid w:val="0073042A"/>
    <w:rsid w:val="0073076E"/>
    <w:rsid w:val="007310B3"/>
    <w:rsid w:val="007310B5"/>
    <w:rsid w:val="007319DE"/>
    <w:rsid w:val="00732442"/>
    <w:rsid w:val="00733188"/>
    <w:rsid w:val="0073606C"/>
    <w:rsid w:val="00740AFC"/>
    <w:rsid w:val="0074118D"/>
    <w:rsid w:val="0074552F"/>
    <w:rsid w:val="00750622"/>
    <w:rsid w:val="00752A11"/>
    <w:rsid w:val="00753753"/>
    <w:rsid w:val="0075411E"/>
    <w:rsid w:val="00756601"/>
    <w:rsid w:val="007602B8"/>
    <w:rsid w:val="00761B52"/>
    <w:rsid w:val="00762939"/>
    <w:rsid w:val="00762C20"/>
    <w:rsid w:val="00763FF3"/>
    <w:rsid w:val="00764F90"/>
    <w:rsid w:val="007667D8"/>
    <w:rsid w:val="00766B90"/>
    <w:rsid w:val="00770747"/>
    <w:rsid w:val="00772225"/>
    <w:rsid w:val="00772848"/>
    <w:rsid w:val="00774F57"/>
    <w:rsid w:val="00775F56"/>
    <w:rsid w:val="00780A42"/>
    <w:rsid w:val="00784702"/>
    <w:rsid w:val="00791FC4"/>
    <w:rsid w:val="007935D4"/>
    <w:rsid w:val="00796258"/>
    <w:rsid w:val="007A03E6"/>
    <w:rsid w:val="007A050B"/>
    <w:rsid w:val="007A29DA"/>
    <w:rsid w:val="007A30C3"/>
    <w:rsid w:val="007A4932"/>
    <w:rsid w:val="007A6106"/>
    <w:rsid w:val="007A647E"/>
    <w:rsid w:val="007B09AF"/>
    <w:rsid w:val="007B0E73"/>
    <w:rsid w:val="007B0F2B"/>
    <w:rsid w:val="007B4EA1"/>
    <w:rsid w:val="007B5579"/>
    <w:rsid w:val="007B7838"/>
    <w:rsid w:val="007C0E17"/>
    <w:rsid w:val="007C225A"/>
    <w:rsid w:val="007C24D6"/>
    <w:rsid w:val="007C2C52"/>
    <w:rsid w:val="007C6B2E"/>
    <w:rsid w:val="007C6CEE"/>
    <w:rsid w:val="007D06AD"/>
    <w:rsid w:val="007D0DA1"/>
    <w:rsid w:val="007D1069"/>
    <w:rsid w:val="007D1378"/>
    <w:rsid w:val="007D1E3F"/>
    <w:rsid w:val="007D2E53"/>
    <w:rsid w:val="007D3ABC"/>
    <w:rsid w:val="007D45E9"/>
    <w:rsid w:val="007E0D18"/>
    <w:rsid w:val="007E0D27"/>
    <w:rsid w:val="007E11DF"/>
    <w:rsid w:val="007E2DF8"/>
    <w:rsid w:val="007E4EA0"/>
    <w:rsid w:val="007E57C6"/>
    <w:rsid w:val="007E5F08"/>
    <w:rsid w:val="007E66D5"/>
    <w:rsid w:val="007E6CA6"/>
    <w:rsid w:val="007E7711"/>
    <w:rsid w:val="007E7C1E"/>
    <w:rsid w:val="007F1555"/>
    <w:rsid w:val="007F16D7"/>
    <w:rsid w:val="007F4176"/>
    <w:rsid w:val="007F4555"/>
    <w:rsid w:val="007F6895"/>
    <w:rsid w:val="008006F1"/>
    <w:rsid w:val="008007FC"/>
    <w:rsid w:val="008008F4"/>
    <w:rsid w:val="00803050"/>
    <w:rsid w:val="0080317A"/>
    <w:rsid w:val="00804CBA"/>
    <w:rsid w:val="00805DFD"/>
    <w:rsid w:val="00810190"/>
    <w:rsid w:val="00812BBB"/>
    <w:rsid w:val="00813389"/>
    <w:rsid w:val="00816088"/>
    <w:rsid w:val="008162EA"/>
    <w:rsid w:val="00816B1A"/>
    <w:rsid w:val="008202E8"/>
    <w:rsid w:val="008205F2"/>
    <w:rsid w:val="008216D8"/>
    <w:rsid w:val="00821A89"/>
    <w:rsid w:val="00821D67"/>
    <w:rsid w:val="00823F2C"/>
    <w:rsid w:val="008240E7"/>
    <w:rsid w:val="00824833"/>
    <w:rsid w:val="00826086"/>
    <w:rsid w:val="008263ED"/>
    <w:rsid w:val="008306D8"/>
    <w:rsid w:val="0083231E"/>
    <w:rsid w:val="00833956"/>
    <w:rsid w:val="00833FC0"/>
    <w:rsid w:val="008362D1"/>
    <w:rsid w:val="008364D7"/>
    <w:rsid w:val="00836B4F"/>
    <w:rsid w:val="00840A05"/>
    <w:rsid w:val="0084215C"/>
    <w:rsid w:val="008424A4"/>
    <w:rsid w:val="00842BA0"/>
    <w:rsid w:val="008460C8"/>
    <w:rsid w:val="00847478"/>
    <w:rsid w:val="0084756C"/>
    <w:rsid w:val="008479CE"/>
    <w:rsid w:val="00850ED6"/>
    <w:rsid w:val="00854278"/>
    <w:rsid w:val="00854CCD"/>
    <w:rsid w:val="00860035"/>
    <w:rsid w:val="00861099"/>
    <w:rsid w:val="008641A5"/>
    <w:rsid w:val="00864832"/>
    <w:rsid w:val="00864DED"/>
    <w:rsid w:val="00866006"/>
    <w:rsid w:val="0086631E"/>
    <w:rsid w:val="00866F83"/>
    <w:rsid w:val="00877238"/>
    <w:rsid w:val="008778A4"/>
    <w:rsid w:val="00877E56"/>
    <w:rsid w:val="00883633"/>
    <w:rsid w:val="008839CA"/>
    <w:rsid w:val="008852FC"/>
    <w:rsid w:val="008854ED"/>
    <w:rsid w:val="0088721D"/>
    <w:rsid w:val="00887C12"/>
    <w:rsid w:val="00890C20"/>
    <w:rsid w:val="0089114E"/>
    <w:rsid w:val="0089315B"/>
    <w:rsid w:val="00896D7E"/>
    <w:rsid w:val="00897CCB"/>
    <w:rsid w:val="008A1F49"/>
    <w:rsid w:val="008A244F"/>
    <w:rsid w:val="008A2C28"/>
    <w:rsid w:val="008A35D3"/>
    <w:rsid w:val="008A3CFB"/>
    <w:rsid w:val="008A4931"/>
    <w:rsid w:val="008A4CDF"/>
    <w:rsid w:val="008A6487"/>
    <w:rsid w:val="008A770C"/>
    <w:rsid w:val="008A7F81"/>
    <w:rsid w:val="008B3E78"/>
    <w:rsid w:val="008B4549"/>
    <w:rsid w:val="008B53AD"/>
    <w:rsid w:val="008B6A4C"/>
    <w:rsid w:val="008C0076"/>
    <w:rsid w:val="008C097D"/>
    <w:rsid w:val="008C2347"/>
    <w:rsid w:val="008C35E9"/>
    <w:rsid w:val="008C42E8"/>
    <w:rsid w:val="008C48AD"/>
    <w:rsid w:val="008C5300"/>
    <w:rsid w:val="008C59C4"/>
    <w:rsid w:val="008C621D"/>
    <w:rsid w:val="008C6C0E"/>
    <w:rsid w:val="008C756E"/>
    <w:rsid w:val="008D0D96"/>
    <w:rsid w:val="008D2911"/>
    <w:rsid w:val="008D3C7F"/>
    <w:rsid w:val="008D574C"/>
    <w:rsid w:val="008D5AD6"/>
    <w:rsid w:val="008D5DA2"/>
    <w:rsid w:val="008D6C55"/>
    <w:rsid w:val="008E1707"/>
    <w:rsid w:val="008E18A3"/>
    <w:rsid w:val="008E3858"/>
    <w:rsid w:val="008E4D55"/>
    <w:rsid w:val="008E5EC4"/>
    <w:rsid w:val="008F1206"/>
    <w:rsid w:val="008F1DAB"/>
    <w:rsid w:val="008F1E06"/>
    <w:rsid w:val="008F336D"/>
    <w:rsid w:val="008F3669"/>
    <w:rsid w:val="008F3A50"/>
    <w:rsid w:val="008F40C9"/>
    <w:rsid w:val="008F522A"/>
    <w:rsid w:val="008F74A3"/>
    <w:rsid w:val="008F7F3D"/>
    <w:rsid w:val="009009AB"/>
    <w:rsid w:val="009041CD"/>
    <w:rsid w:val="00905259"/>
    <w:rsid w:val="00905430"/>
    <w:rsid w:val="00905566"/>
    <w:rsid w:val="00906837"/>
    <w:rsid w:val="00906ACC"/>
    <w:rsid w:val="0090754B"/>
    <w:rsid w:val="00907D44"/>
    <w:rsid w:val="00907E5F"/>
    <w:rsid w:val="00910A2F"/>
    <w:rsid w:val="00911FF1"/>
    <w:rsid w:val="009144F5"/>
    <w:rsid w:val="00914ACF"/>
    <w:rsid w:val="0091634C"/>
    <w:rsid w:val="00917769"/>
    <w:rsid w:val="009215A9"/>
    <w:rsid w:val="009234C3"/>
    <w:rsid w:val="00925DD1"/>
    <w:rsid w:val="00925F18"/>
    <w:rsid w:val="009261D7"/>
    <w:rsid w:val="00927E73"/>
    <w:rsid w:val="00930A92"/>
    <w:rsid w:val="0093206F"/>
    <w:rsid w:val="00933082"/>
    <w:rsid w:val="0093636D"/>
    <w:rsid w:val="00945379"/>
    <w:rsid w:val="009453F2"/>
    <w:rsid w:val="009479C0"/>
    <w:rsid w:val="009500D2"/>
    <w:rsid w:val="00950B81"/>
    <w:rsid w:val="00951D55"/>
    <w:rsid w:val="00951EFC"/>
    <w:rsid w:val="00953780"/>
    <w:rsid w:val="00955283"/>
    <w:rsid w:val="0095556C"/>
    <w:rsid w:val="00956463"/>
    <w:rsid w:val="009575F7"/>
    <w:rsid w:val="009601B2"/>
    <w:rsid w:val="0096186D"/>
    <w:rsid w:val="00965DBA"/>
    <w:rsid w:val="00966C1D"/>
    <w:rsid w:val="00967BEF"/>
    <w:rsid w:val="0097057B"/>
    <w:rsid w:val="009705BB"/>
    <w:rsid w:val="00971F2A"/>
    <w:rsid w:val="00972BE3"/>
    <w:rsid w:val="00972D00"/>
    <w:rsid w:val="009749A2"/>
    <w:rsid w:val="009767C8"/>
    <w:rsid w:val="009776AF"/>
    <w:rsid w:val="009801B1"/>
    <w:rsid w:val="00981854"/>
    <w:rsid w:val="00982027"/>
    <w:rsid w:val="00984059"/>
    <w:rsid w:val="0098435B"/>
    <w:rsid w:val="009857E5"/>
    <w:rsid w:val="009872FF"/>
    <w:rsid w:val="009878C3"/>
    <w:rsid w:val="00987EA3"/>
    <w:rsid w:val="00991C1D"/>
    <w:rsid w:val="00993508"/>
    <w:rsid w:val="00993B64"/>
    <w:rsid w:val="009944BE"/>
    <w:rsid w:val="00997605"/>
    <w:rsid w:val="009A07F8"/>
    <w:rsid w:val="009A169C"/>
    <w:rsid w:val="009A19FF"/>
    <w:rsid w:val="009A330B"/>
    <w:rsid w:val="009A3D7D"/>
    <w:rsid w:val="009A496F"/>
    <w:rsid w:val="009A6658"/>
    <w:rsid w:val="009B2364"/>
    <w:rsid w:val="009B2846"/>
    <w:rsid w:val="009B679F"/>
    <w:rsid w:val="009B6F42"/>
    <w:rsid w:val="009C00BE"/>
    <w:rsid w:val="009C0CC1"/>
    <w:rsid w:val="009C1904"/>
    <w:rsid w:val="009C2650"/>
    <w:rsid w:val="009C30A6"/>
    <w:rsid w:val="009C5158"/>
    <w:rsid w:val="009C5744"/>
    <w:rsid w:val="009D328C"/>
    <w:rsid w:val="009D432E"/>
    <w:rsid w:val="009D4E12"/>
    <w:rsid w:val="009D5168"/>
    <w:rsid w:val="009D55AD"/>
    <w:rsid w:val="009D656E"/>
    <w:rsid w:val="009E2983"/>
    <w:rsid w:val="009E3611"/>
    <w:rsid w:val="009E39E1"/>
    <w:rsid w:val="009E46AA"/>
    <w:rsid w:val="009E50F6"/>
    <w:rsid w:val="009E6A12"/>
    <w:rsid w:val="009E6D57"/>
    <w:rsid w:val="009E6E07"/>
    <w:rsid w:val="009E77BD"/>
    <w:rsid w:val="009F0356"/>
    <w:rsid w:val="009F12DE"/>
    <w:rsid w:val="009F7517"/>
    <w:rsid w:val="00A0107A"/>
    <w:rsid w:val="00A014DC"/>
    <w:rsid w:val="00A0371F"/>
    <w:rsid w:val="00A05003"/>
    <w:rsid w:val="00A05B08"/>
    <w:rsid w:val="00A05C90"/>
    <w:rsid w:val="00A062E5"/>
    <w:rsid w:val="00A067F3"/>
    <w:rsid w:val="00A071AF"/>
    <w:rsid w:val="00A07A29"/>
    <w:rsid w:val="00A11E91"/>
    <w:rsid w:val="00A15553"/>
    <w:rsid w:val="00A15EEB"/>
    <w:rsid w:val="00A17810"/>
    <w:rsid w:val="00A211B0"/>
    <w:rsid w:val="00A2211B"/>
    <w:rsid w:val="00A22893"/>
    <w:rsid w:val="00A22CB4"/>
    <w:rsid w:val="00A23C6F"/>
    <w:rsid w:val="00A25DA7"/>
    <w:rsid w:val="00A30276"/>
    <w:rsid w:val="00A30A21"/>
    <w:rsid w:val="00A30C76"/>
    <w:rsid w:val="00A30D9E"/>
    <w:rsid w:val="00A32A00"/>
    <w:rsid w:val="00A34037"/>
    <w:rsid w:val="00A3485A"/>
    <w:rsid w:val="00A36E3D"/>
    <w:rsid w:val="00A4019E"/>
    <w:rsid w:val="00A403F7"/>
    <w:rsid w:val="00A40E3D"/>
    <w:rsid w:val="00A420A0"/>
    <w:rsid w:val="00A4334D"/>
    <w:rsid w:val="00A43BA7"/>
    <w:rsid w:val="00A442AE"/>
    <w:rsid w:val="00A4435A"/>
    <w:rsid w:val="00A46179"/>
    <w:rsid w:val="00A4627C"/>
    <w:rsid w:val="00A46E09"/>
    <w:rsid w:val="00A47072"/>
    <w:rsid w:val="00A478C6"/>
    <w:rsid w:val="00A518CE"/>
    <w:rsid w:val="00A52836"/>
    <w:rsid w:val="00A52F45"/>
    <w:rsid w:val="00A53997"/>
    <w:rsid w:val="00A55985"/>
    <w:rsid w:val="00A568AB"/>
    <w:rsid w:val="00A570CE"/>
    <w:rsid w:val="00A575F5"/>
    <w:rsid w:val="00A57696"/>
    <w:rsid w:val="00A57920"/>
    <w:rsid w:val="00A57D70"/>
    <w:rsid w:val="00A600B4"/>
    <w:rsid w:val="00A60450"/>
    <w:rsid w:val="00A6137B"/>
    <w:rsid w:val="00A61A7E"/>
    <w:rsid w:val="00A62A01"/>
    <w:rsid w:val="00A62E63"/>
    <w:rsid w:val="00A6382E"/>
    <w:rsid w:val="00A65D9A"/>
    <w:rsid w:val="00A67FFD"/>
    <w:rsid w:val="00A70EC8"/>
    <w:rsid w:val="00A7295F"/>
    <w:rsid w:val="00A74458"/>
    <w:rsid w:val="00A745B2"/>
    <w:rsid w:val="00A7613C"/>
    <w:rsid w:val="00A7624D"/>
    <w:rsid w:val="00A76DF3"/>
    <w:rsid w:val="00A772F6"/>
    <w:rsid w:val="00A81CB7"/>
    <w:rsid w:val="00A81CC7"/>
    <w:rsid w:val="00A83B47"/>
    <w:rsid w:val="00A83DCC"/>
    <w:rsid w:val="00A84041"/>
    <w:rsid w:val="00A84C50"/>
    <w:rsid w:val="00A865A7"/>
    <w:rsid w:val="00A875BB"/>
    <w:rsid w:val="00A877C3"/>
    <w:rsid w:val="00A87F98"/>
    <w:rsid w:val="00A9094F"/>
    <w:rsid w:val="00A91088"/>
    <w:rsid w:val="00A91EFE"/>
    <w:rsid w:val="00A943EE"/>
    <w:rsid w:val="00A94BF4"/>
    <w:rsid w:val="00A95D63"/>
    <w:rsid w:val="00A9633D"/>
    <w:rsid w:val="00AA09B7"/>
    <w:rsid w:val="00AA1287"/>
    <w:rsid w:val="00AA12B0"/>
    <w:rsid w:val="00AA3069"/>
    <w:rsid w:val="00AA36B2"/>
    <w:rsid w:val="00AA47B4"/>
    <w:rsid w:val="00AA6E0E"/>
    <w:rsid w:val="00AB030C"/>
    <w:rsid w:val="00AB036B"/>
    <w:rsid w:val="00AB1248"/>
    <w:rsid w:val="00AB1877"/>
    <w:rsid w:val="00AB1DD9"/>
    <w:rsid w:val="00AB1F82"/>
    <w:rsid w:val="00AB283E"/>
    <w:rsid w:val="00AB2E28"/>
    <w:rsid w:val="00AB4F96"/>
    <w:rsid w:val="00AB61B1"/>
    <w:rsid w:val="00AB687C"/>
    <w:rsid w:val="00AB6B7D"/>
    <w:rsid w:val="00AB6D07"/>
    <w:rsid w:val="00AB7B88"/>
    <w:rsid w:val="00AB7BCF"/>
    <w:rsid w:val="00AB7F92"/>
    <w:rsid w:val="00AC21F6"/>
    <w:rsid w:val="00AC3BE3"/>
    <w:rsid w:val="00AC4291"/>
    <w:rsid w:val="00AC44CF"/>
    <w:rsid w:val="00AC5C9D"/>
    <w:rsid w:val="00AD0F19"/>
    <w:rsid w:val="00AD11C1"/>
    <w:rsid w:val="00AD480A"/>
    <w:rsid w:val="00AD6B2B"/>
    <w:rsid w:val="00AD74D0"/>
    <w:rsid w:val="00AE010B"/>
    <w:rsid w:val="00AE041F"/>
    <w:rsid w:val="00AE0F84"/>
    <w:rsid w:val="00AE2015"/>
    <w:rsid w:val="00AE2A5F"/>
    <w:rsid w:val="00AE4A25"/>
    <w:rsid w:val="00AE7112"/>
    <w:rsid w:val="00AF03C8"/>
    <w:rsid w:val="00AF3322"/>
    <w:rsid w:val="00AF33EF"/>
    <w:rsid w:val="00AF421B"/>
    <w:rsid w:val="00AF55FE"/>
    <w:rsid w:val="00AF6493"/>
    <w:rsid w:val="00AF64F0"/>
    <w:rsid w:val="00AF7562"/>
    <w:rsid w:val="00B00463"/>
    <w:rsid w:val="00B00EF9"/>
    <w:rsid w:val="00B0222B"/>
    <w:rsid w:val="00B02654"/>
    <w:rsid w:val="00B0343A"/>
    <w:rsid w:val="00B03614"/>
    <w:rsid w:val="00B03680"/>
    <w:rsid w:val="00B06061"/>
    <w:rsid w:val="00B076CD"/>
    <w:rsid w:val="00B1146E"/>
    <w:rsid w:val="00B11BDD"/>
    <w:rsid w:val="00B122A8"/>
    <w:rsid w:val="00B128F4"/>
    <w:rsid w:val="00B1368E"/>
    <w:rsid w:val="00B149D3"/>
    <w:rsid w:val="00B153CB"/>
    <w:rsid w:val="00B16A1F"/>
    <w:rsid w:val="00B20D5C"/>
    <w:rsid w:val="00B21025"/>
    <w:rsid w:val="00B21987"/>
    <w:rsid w:val="00B21FDF"/>
    <w:rsid w:val="00B23AAA"/>
    <w:rsid w:val="00B241F8"/>
    <w:rsid w:val="00B24E45"/>
    <w:rsid w:val="00B26B0B"/>
    <w:rsid w:val="00B31F50"/>
    <w:rsid w:val="00B34655"/>
    <w:rsid w:val="00B37930"/>
    <w:rsid w:val="00B40EB9"/>
    <w:rsid w:val="00B42CE5"/>
    <w:rsid w:val="00B437B4"/>
    <w:rsid w:val="00B47444"/>
    <w:rsid w:val="00B479AE"/>
    <w:rsid w:val="00B50951"/>
    <w:rsid w:val="00B51797"/>
    <w:rsid w:val="00B51D1E"/>
    <w:rsid w:val="00B5211F"/>
    <w:rsid w:val="00B5263C"/>
    <w:rsid w:val="00B53616"/>
    <w:rsid w:val="00B53D34"/>
    <w:rsid w:val="00B5585B"/>
    <w:rsid w:val="00B55A92"/>
    <w:rsid w:val="00B55E32"/>
    <w:rsid w:val="00B56D60"/>
    <w:rsid w:val="00B57BDB"/>
    <w:rsid w:val="00B6068B"/>
    <w:rsid w:val="00B61003"/>
    <w:rsid w:val="00B61D63"/>
    <w:rsid w:val="00B63BDF"/>
    <w:rsid w:val="00B64736"/>
    <w:rsid w:val="00B66522"/>
    <w:rsid w:val="00B715DE"/>
    <w:rsid w:val="00B73AF8"/>
    <w:rsid w:val="00B7404E"/>
    <w:rsid w:val="00B74972"/>
    <w:rsid w:val="00B7512F"/>
    <w:rsid w:val="00B757CE"/>
    <w:rsid w:val="00B769D0"/>
    <w:rsid w:val="00B76C3B"/>
    <w:rsid w:val="00B818C1"/>
    <w:rsid w:val="00B82EB3"/>
    <w:rsid w:val="00B83833"/>
    <w:rsid w:val="00B86CA0"/>
    <w:rsid w:val="00B87090"/>
    <w:rsid w:val="00B87608"/>
    <w:rsid w:val="00B87775"/>
    <w:rsid w:val="00B877CF"/>
    <w:rsid w:val="00B92504"/>
    <w:rsid w:val="00B92D38"/>
    <w:rsid w:val="00B935D5"/>
    <w:rsid w:val="00B9468D"/>
    <w:rsid w:val="00B95C74"/>
    <w:rsid w:val="00B97409"/>
    <w:rsid w:val="00B975A2"/>
    <w:rsid w:val="00BA2020"/>
    <w:rsid w:val="00BA2DFB"/>
    <w:rsid w:val="00BA33DC"/>
    <w:rsid w:val="00BA567C"/>
    <w:rsid w:val="00BA5DD2"/>
    <w:rsid w:val="00BA6A94"/>
    <w:rsid w:val="00BA723A"/>
    <w:rsid w:val="00BB18ED"/>
    <w:rsid w:val="00BB23D2"/>
    <w:rsid w:val="00BB2BF3"/>
    <w:rsid w:val="00BB33D2"/>
    <w:rsid w:val="00BB341E"/>
    <w:rsid w:val="00BB41F2"/>
    <w:rsid w:val="00BB44C9"/>
    <w:rsid w:val="00BB4A83"/>
    <w:rsid w:val="00BB4DB4"/>
    <w:rsid w:val="00BB633C"/>
    <w:rsid w:val="00BB691B"/>
    <w:rsid w:val="00BB7001"/>
    <w:rsid w:val="00BC1CF2"/>
    <w:rsid w:val="00BC70B5"/>
    <w:rsid w:val="00BD0813"/>
    <w:rsid w:val="00BD33CB"/>
    <w:rsid w:val="00BD65F5"/>
    <w:rsid w:val="00BD6871"/>
    <w:rsid w:val="00BD7A50"/>
    <w:rsid w:val="00BE1E28"/>
    <w:rsid w:val="00BE243F"/>
    <w:rsid w:val="00BE2AFE"/>
    <w:rsid w:val="00BE3649"/>
    <w:rsid w:val="00BE4CF3"/>
    <w:rsid w:val="00BE6B89"/>
    <w:rsid w:val="00BF2325"/>
    <w:rsid w:val="00BF2803"/>
    <w:rsid w:val="00BF284B"/>
    <w:rsid w:val="00BF55B6"/>
    <w:rsid w:val="00BF6023"/>
    <w:rsid w:val="00C002EF"/>
    <w:rsid w:val="00C0040F"/>
    <w:rsid w:val="00C00635"/>
    <w:rsid w:val="00C020E6"/>
    <w:rsid w:val="00C04041"/>
    <w:rsid w:val="00C05534"/>
    <w:rsid w:val="00C11964"/>
    <w:rsid w:val="00C11EEB"/>
    <w:rsid w:val="00C12056"/>
    <w:rsid w:val="00C12DCC"/>
    <w:rsid w:val="00C13597"/>
    <w:rsid w:val="00C13BC7"/>
    <w:rsid w:val="00C15A96"/>
    <w:rsid w:val="00C179E5"/>
    <w:rsid w:val="00C17CE7"/>
    <w:rsid w:val="00C20D43"/>
    <w:rsid w:val="00C21222"/>
    <w:rsid w:val="00C21362"/>
    <w:rsid w:val="00C2164B"/>
    <w:rsid w:val="00C224C5"/>
    <w:rsid w:val="00C253F7"/>
    <w:rsid w:val="00C27113"/>
    <w:rsid w:val="00C320FD"/>
    <w:rsid w:val="00C327DF"/>
    <w:rsid w:val="00C33C70"/>
    <w:rsid w:val="00C33CD0"/>
    <w:rsid w:val="00C3511F"/>
    <w:rsid w:val="00C35398"/>
    <w:rsid w:val="00C37D82"/>
    <w:rsid w:val="00C4073D"/>
    <w:rsid w:val="00C44623"/>
    <w:rsid w:val="00C4782F"/>
    <w:rsid w:val="00C47B40"/>
    <w:rsid w:val="00C51727"/>
    <w:rsid w:val="00C5197F"/>
    <w:rsid w:val="00C52AE0"/>
    <w:rsid w:val="00C54749"/>
    <w:rsid w:val="00C547A8"/>
    <w:rsid w:val="00C5521E"/>
    <w:rsid w:val="00C57536"/>
    <w:rsid w:val="00C60E9C"/>
    <w:rsid w:val="00C620D9"/>
    <w:rsid w:val="00C62709"/>
    <w:rsid w:val="00C62D03"/>
    <w:rsid w:val="00C63424"/>
    <w:rsid w:val="00C63ABA"/>
    <w:rsid w:val="00C63D79"/>
    <w:rsid w:val="00C64F50"/>
    <w:rsid w:val="00C65FCA"/>
    <w:rsid w:val="00C677EE"/>
    <w:rsid w:val="00C67AC5"/>
    <w:rsid w:val="00C7193D"/>
    <w:rsid w:val="00C71E78"/>
    <w:rsid w:val="00C7251B"/>
    <w:rsid w:val="00C73F1C"/>
    <w:rsid w:val="00C7548F"/>
    <w:rsid w:val="00C76675"/>
    <w:rsid w:val="00C76934"/>
    <w:rsid w:val="00C77DF7"/>
    <w:rsid w:val="00C80CD0"/>
    <w:rsid w:val="00C8107B"/>
    <w:rsid w:val="00C81795"/>
    <w:rsid w:val="00C81C8F"/>
    <w:rsid w:val="00C827D0"/>
    <w:rsid w:val="00C83D0E"/>
    <w:rsid w:val="00C845CE"/>
    <w:rsid w:val="00C8738D"/>
    <w:rsid w:val="00C87446"/>
    <w:rsid w:val="00C901D3"/>
    <w:rsid w:val="00C90D18"/>
    <w:rsid w:val="00C9144E"/>
    <w:rsid w:val="00C91F5E"/>
    <w:rsid w:val="00C92630"/>
    <w:rsid w:val="00C92AF3"/>
    <w:rsid w:val="00C94612"/>
    <w:rsid w:val="00C968E9"/>
    <w:rsid w:val="00C96E26"/>
    <w:rsid w:val="00C97D2D"/>
    <w:rsid w:val="00CA00FC"/>
    <w:rsid w:val="00CA1C0A"/>
    <w:rsid w:val="00CA346B"/>
    <w:rsid w:val="00CA5863"/>
    <w:rsid w:val="00CA6CA0"/>
    <w:rsid w:val="00CB1405"/>
    <w:rsid w:val="00CB14F6"/>
    <w:rsid w:val="00CB1B19"/>
    <w:rsid w:val="00CB4487"/>
    <w:rsid w:val="00CB45CC"/>
    <w:rsid w:val="00CB48B7"/>
    <w:rsid w:val="00CB5292"/>
    <w:rsid w:val="00CB6AC0"/>
    <w:rsid w:val="00CB79E1"/>
    <w:rsid w:val="00CB7C82"/>
    <w:rsid w:val="00CC1CCC"/>
    <w:rsid w:val="00CC3986"/>
    <w:rsid w:val="00CC405B"/>
    <w:rsid w:val="00CC4286"/>
    <w:rsid w:val="00CC4ABA"/>
    <w:rsid w:val="00CC517C"/>
    <w:rsid w:val="00CC543D"/>
    <w:rsid w:val="00CC5623"/>
    <w:rsid w:val="00CC7FF1"/>
    <w:rsid w:val="00CD016E"/>
    <w:rsid w:val="00CD12AC"/>
    <w:rsid w:val="00CD14BE"/>
    <w:rsid w:val="00CD19CE"/>
    <w:rsid w:val="00CD1B7A"/>
    <w:rsid w:val="00CD2069"/>
    <w:rsid w:val="00CD4E68"/>
    <w:rsid w:val="00CD5FFA"/>
    <w:rsid w:val="00CD65B3"/>
    <w:rsid w:val="00CD6AAA"/>
    <w:rsid w:val="00CE3B90"/>
    <w:rsid w:val="00CE3E25"/>
    <w:rsid w:val="00CE59DB"/>
    <w:rsid w:val="00CE5FFB"/>
    <w:rsid w:val="00CE68B6"/>
    <w:rsid w:val="00CE73E0"/>
    <w:rsid w:val="00CF02A2"/>
    <w:rsid w:val="00CF07F4"/>
    <w:rsid w:val="00CF0836"/>
    <w:rsid w:val="00CF0E0C"/>
    <w:rsid w:val="00CF13A3"/>
    <w:rsid w:val="00CF664B"/>
    <w:rsid w:val="00CF7AC3"/>
    <w:rsid w:val="00D00A37"/>
    <w:rsid w:val="00D02830"/>
    <w:rsid w:val="00D02F5E"/>
    <w:rsid w:val="00D0495F"/>
    <w:rsid w:val="00D04980"/>
    <w:rsid w:val="00D049F6"/>
    <w:rsid w:val="00D0540C"/>
    <w:rsid w:val="00D06707"/>
    <w:rsid w:val="00D12B31"/>
    <w:rsid w:val="00D12F77"/>
    <w:rsid w:val="00D140F6"/>
    <w:rsid w:val="00D1476C"/>
    <w:rsid w:val="00D15FBA"/>
    <w:rsid w:val="00D233F1"/>
    <w:rsid w:val="00D23CD9"/>
    <w:rsid w:val="00D24089"/>
    <w:rsid w:val="00D24AAF"/>
    <w:rsid w:val="00D2593D"/>
    <w:rsid w:val="00D262AE"/>
    <w:rsid w:val="00D26B37"/>
    <w:rsid w:val="00D32DB2"/>
    <w:rsid w:val="00D33465"/>
    <w:rsid w:val="00D35247"/>
    <w:rsid w:val="00D35B1E"/>
    <w:rsid w:val="00D36318"/>
    <w:rsid w:val="00D36434"/>
    <w:rsid w:val="00D37176"/>
    <w:rsid w:val="00D40578"/>
    <w:rsid w:val="00D428FF"/>
    <w:rsid w:val="00D45BA2"/>
    <w:rsid w:val="00D46ED6"/>
    <w:rsid w:val="00D50CBC"/>
    <w:rsid w:val="00D50CF3"/>
    <w:rsid w:val="00D51AC8"/>
    <w:rsid w:val="00D562F3"/>
    <w:rsid w:val="00D56F06"/>
    <w:rsid w:val="00D570F2"/>
    <w:rsid w:val="00D627DE"/>
    <w:rsid w:val="00D630EF"/>
    <w:rsid w:val="00D651DA"/>
    <w:rsid w:val="00D663BC"/>
    <w:rsid w:val="00D666EF"/>
    <w:rsid w:val="00D66733"/>
    <w:rsid w:val="00D66761"/>
    <w:rsid w:val="00D66E4E"/>
    <w:rsid w:val="00D67849"/>
    <w:rsid w:val="00D70D5B"/>
    <w:rsid w:val="00D71FC6"/>
    <w:rsid w:val="00D72084"/>
    <w:rsid w:val="00D73445"/>
    <w:rsid w:val="00D74FA4"/>
    <w:rsid w:val="00D76115"/>
    <w:rsid w:val="00D800FF"/>
    <w:rsid w:val="00D8178A"/>
    <w:rsid w:val="00D84233"/>
    <w:rsid w:val="00D8509F"/>
    <w:rsid w:val="00D85B78"/>
    <w:rsid w:val="00D867DA"/>
    <w:rsid w:val="00D86ED9"/>
    <w:rsid w:val="00D87463"/>
    <w:rsid w:val="00D874DA"/>
    <w:rsid w:val="00D90E77"/>
    <w:rsid w:val="00D926D1"/>
    <w:rsid w:val="00D92BBA"/>
    <w:rsid w:val="00D935D7"/>
    <w:rsid w:val="00D93E33"/>
    <w:rsid w:val="00D947C2"/>
    <w:rsid w:val="00D947F2"/>
    <w:rsid w:val="00DA2B97"/>
    <w:rsid w:val="00DA2E98"/>
    <w:rsid w:val="00DA3BA4"/>
    <w:rsid w:val="00DA3E12"/>
    <w:rsid w:val="00DA4119"/>
    <w:rsid w:val="00DA51DB"/>
    <w:rsid w:val="00DA54E2"/>
    <w:rsid w:val="00DA5FDA"/>
    <w:rsid w:val="00DA6881"/>
    <w:rsid w:val="00DB063B"/>
    <w:rsid w:val="00DB0B23"/>
    <w:rsid w:val="00DB1444"/>
    <w:rsid w:val="00DB2D87"/>
    <w:rsid w:val="00DB307B"/>
    <w:rsid w:val="00DB3AE2"/>
    <w:rsid w:val="00DB4AE3"/>
    <w:rsid w:val="00DB73AE"/>
    <w:rsid w:val="00DB7E9E"/>
    <w:rsid w:val="00DC05DC"/>
    <w:rsid w:val="00DC1282"/>
    <w:rsid w:val="00DC1579"/>
    <w:rsid w:val="00DC36BB"/>
    <w:rsid w:val="00DC54EF"/>
    <w:rsid w:val="00DC580B"/>
    <w:rsid w:val="00DC6660"/>
    <w:rsid w:val="00DC7419"/>
    <w:rsid w:val="00DD0A2B"/>
    <w:rsid w:val="00DD11EB"/>
    <w:rsid w:val="00DD3C17"/>
    <w:rsid w:val="00DD4A6C"/>
    <w:rsid w:val="00DD5B91"/>
    <w:rsid w:val="00DE1CB4"/>
    <w:rsid w:val="00DE6238"/>
    <w:rsid w:val="00DE73F8"/>
    <w:rsid w:val="00DF0464"/>
    <w:rsid w:val="00DF1728"/>
    <w:rsid w:val="00DF33D1"/>
    <w:rsid w:val="00DF4E52"/>
    <w:rsid w:val="00DF63D7"/>
    <w:rsid w:val="00DF6798"/>
    <w:rsid w:val="00DF6DF3"/>
    <w:rsid w:val="00DF7B01"/>
    <w:rsid w:val="00E00D6F"/>
    <w:rsid w:val="00E02F24"/>
    <w:rsid w:val="00E0586C"/>
    <w:rsid w:val="00E05C0C"/>
    <w:rsid w:val="00E0707D"/>
    <w:rsid w:val="00E07B2F"/>
    <w:rsid w:val="00E07BDB"/>
    <w:rsid w:val="00E1000E"/>
    <w:rsid w:val="00E10D35"/>
    <w:rsid w:val="00E15692"/>
    <w:rsid w:val="00E165D7"/>
    <w:rsid w:val="00E1795A"/>
    <w:rsid w:val="00E20502"/>
    <w:rsid w:val="00E207D0"/>
    <w:rsid w:val="00E22378"/>
    <w:rsid w:val="00E22576"/>
    <w:rsid w:val="00E25F77"/>
    <w:rsid w:val="00E2684F"/>
    <w:rsid w:val="00E26B70"/>
    <w:rsid w:val="00E27850"/>
    <w:rsid w:val="00E300C2"/>
    <w:rsid w:val="00E31488"/>
    <w:rsid w:val="00E316E1"/>
    <w:rsid w:val="00E317DD"/>
    <w:rsid w:val="00E31E98"/>
    <w:rsid w:val="00E32039"/>
    <w:rsid w:val="00E32807"/>
    <w:rsid w:val="00E32E9D"/>
    <w:rsid w:val="00E339A3"/>
    <w:rsid w:val="00E358B3"/>
    <w:rsid w:val="00E36D9A"/>
    <w:rsid w:val="00E37F13"/>
    <w:rsid w:val="00E428AC"/>
    <w:rsid w:val="00E4417C"/>
    <w:rsid w:val="00E451CD"/>
    <w:rsid w:val="00E45556"/>
    <w:rsid w:val="00E45950"/>
    <w:rsid w:val="00E45DB3"/>
    <w:rsid w:val="00E46D83"/>
    <w:rsid w:val="00E507B0"/>
    <w:rsid w:val="00E51DE7"/>
    <w:rsid w:val="00E52B75"/>
    <w:rsid w:val="00E546B1"/>
    <w:rsid w:val="00E548B2"/>
    <w:rsid w:val="00E564EA"/>
    <w:rsid w:val="00E57351"/>
    <w:rsid w:val="00E60398"/>
    <w:rsid w:val="00E609B7"/>
    <w:rsid w:val="00E61754"/>
    <w:rsid w:val="00E62763"/>
    <w:rsid w:val="00E629C5"/>
    <w:rsid w:val="00E65AC9"/>
    <w:rsid w:val="00E66E9E"/>
    <w:rsid w:val="00E676A8"/>
    <w:rsid w:val="00E708D1"/>
    <w:rsid w:val="00E720D4"/>
    <w:rsid w:val="00E72684"/>
    <w:rsid w:val="00E72D5B"/>
    <w:rsid w:val="00E74B49"/>
    <w:rsid w:val="00E81563"/>
    <w:rsid w:val="00E81DE3"/>
    <w:rsid w:val="00E8469F"/>
    <w:rsid w:val="00E84CA1"/>
    <w:rsid w:val="00E8664D"/>
    <w:rsid w:val="00E900E6"/>
    <w:rsid w:val="00E90757"/>
    <w:rsid w:val="00E91ABF"/>
    <w:rsid w:val="00E9247F"/>
    <w:rsid w:val="00E93823"/>
    <w:rsid w:val="00E94275"/>
    <w:rsid w:val="00E95736"/>
    <w:rsid w:val="00EA021A"/>
    <w:rsid w:val="00EA0568"/>
    <w:rsid w:val="00EA1B08"/>
    <w:rsid w:val="00EA53E1"/>
    <w:rsid w:val="00EB0706"/>
    <w:rsid w:val="00EB0846"/>
    <w:rsid w:val="00EB2541"/>
    <w:rsid w:val="00EB2ABE"/>
    <w:rsid w:val="00EB2C70"/>
    <w:rsid w:val="00EB478C"/>
    <w:rsid w:val="00EB72AD"/>
    <w:rsid w:val="00EB7F2F"/>
    <w:rsid w:val="00EC01A9"/>
    <w:rsid w:val="00EC0691"/>
    <w:rsid w:val="00EC15DF"/>
    <w:rsid w:val="00EC1CFD"/>
    <w:rsid w:val="00EC23C0"/>
    <w:rsid w:val="00EC2F6C"/>
    <w:rsid w:val="00EC58D3"/>
    <w:rsid w:val="00EC58EB"/>
    <w:rsid w:val="00EC6E0F"/>
    <w:rsid w:val="00ED1E5F"/>
    <w:rsid w:val="00ED5C2F"/>
    <w:rsid w:val="00EE1460"/>
    <w:rsid w:val="00EE15D4"/>
    <w:rsid w:val="00EE34FB"/>
    <w:rsid w:val="00EE54C6"/>
    <w:rsid w:val="00EE6913"/>
    <w:rsid w:val="00EE7A31"/>
    <w:rsid w:val="00EF11C4"/>
    <w:rsid w:val="00EF2B7B"/>
    <w:rsid w:val="00EF3591"/>
    <w:rsid w:val="00EF446A"/>
    <w:rsid w:val="00EF46AA"/>
    <w:rsid w:val="00EF4DDA"/>
    <w:rsid w:val="00EF4E48"/>
    <w:rsid w:val="00EF5089"/>
    <w:rsid w:val="00EF6B85"/>
    <w:rsid w:val="00EF6B95"/>
    <w:rsid w:val="00EF7736"/>
    <w:rsid w:val="00EF7BA1"/>
    <w:rsid w:val="00F01DAF"/>
    <w:rsid w:val="00F0261B"/>
    <w:rsid w:val="00F029F2"/>
    <w:rsid w:val="00F04E19"/>
    <w:rsid w:val="00F05223"/>
    <w:rsid w:val="00F07D12"/>
    <w:rsid w:val="00F10024"/>
    <w:rsid w:val="00F11DAB"/>
    <w:rsid w:val="00F1229C"/>
    <w:rsid w:val="00F13A9B"/>
    <w:rsid w:val="00F16170"/>
    <w:rsid w:val="00F17488"/>
    <w:rsid w:val="00F21204"/>
    <w:rsid w:val="00F21A5E"/>
    <w:rsid w:val="00F21F5B"/>
    <w:rsid w:val="00F22C92"/>
    <w:rsid w:val="00F26E45"/>
    <w:rsid w:val="00F26EDA"/>
    <w:rsid w:val="00F3397E"/>
    <w:rsid w:val="00F34F32"/>
    <w:rsid w:val="00F3603D"/>
    <w:rsid w:val="00F37638"/>
    <w:rsid w:val="00F37816"/>
    <w:rsid w:val="00F40495"/>
    <w:rsid w:val="00F41C1D"/>
    <w:rsid w:val="00F41E9C"/>
    <w:rsid w:val="00F43552"/>
    <w:rsid w:val="00F43D39"/>
    <w:rsid w:val="00F46DA9"/>
    <w:rsid w:val="00F47631"/>
    <w:rsid w:val="00F47B5F"/>
    <w:rsid w:val="00F47EC4"/>
    <w:rsid w:val="00F51167"/>
    <w:rsid w:val="00F52F4F"/>
    <w:rsid w:val="00F568DB"/>
    <w:rsid w:val="00F57126"/>
    <w:rsid w:val="00F606E3"/>
    <w:rsid w:val="00F609A5"/>
    <w:rsid w:val="00F617DF"/>
    <w:rsid w:val="00F6661E"/>
    <w:rsid w:val="00F678CB"/>
    <w:rsid w:val="00F67C74"/>
    <w:rsid w:val="00F70CFD"/>
    <w:rsid w:val="00F7166B"/>
    <w:rsid w:val="00F71B38"/>
    <w:rsid w:val="00F72DCA"/>
    <w:rsid w:val="00F72EC6"/>
    <w:rsid w:val="00F74C30"/>
    <w:rsid w:val="00F74DE1"/>
    <w:rsid w:val="00F76EDD"/>
    <w:rsid w:val="00F77AB4"/>
    <w:rsid w:val="00F80B7B"/>
    <w:rsid w:val="00F80E8C"/>
    <w:rsid w:val="00F8249B"/>
    <w:rsid w:val="00F8254A"/>
    <w:rsid w:val="00F82733"/>
    <w:rsid w:val="00F834F9"/>
    <w:rsid w:val="00F84003"/>
    <w:rsid w:val="00F851DA"/>
    <w:rsid w:val="00F855BD"/>
    <w:rsid w:val="00F85B47"/>
    <w:rsid w:val="00F86BBF"/>
    <w:rsid w:val="00F8750F"/>
    <w:rsid w:val="00F90595"/>
    <w:rsid w:val="00F906DA"/>
    <w:rsid w:val="00F919A8"/>
    <w:rsid w:val="00F93377"/>
    <w:rsid w:val="00F938A5"/>
    <w:rsid w:val="00F93D8C"/>
    <w:rsid w:val="00F94D43"/>
    <w:rsid w:val="00F97808"/>
    <w:rsid w:val="00F97FB9"/>
    <w:rsid w:val="00FA0A91"/>
    <w:rsid w:val="00FA29E0"/>
    <w:rsid w:val="00FA3623"/>
    <w:rsid w:val="00FA381F"/>
    <w:rsid w:val="00FA4F8E"/>
    <w:rsid w:val="00FA5869"/>
    <w:rsid w:val="00FA5B6F"/>
    <w:rsid w:val="00FA623B"/>
    <w:rsid w:val="00FA62EC"/>
    <w:rsid w:val="00FA7A56"/>
    <w:rsid w:val="00FB0EEF"/>
    <w:rsid w:val="00FB1E22"/>
    <w:rsid w:val="00FB29FB"/>
    <w:rsid w:val="00FB2A3D"/>
    <w:rsid w:val="00FB3A68"/>
    <w:rsid w:val="00FB5BF9"/>
    <w:rsid w:val="00FB7BF1"/>
    <w:rsid w:val="00FC011E"/>
    <w:rsid w:val="00FC0572"/>
    <w:rsid w:val="00FC13C6"/>
    <w:rsid w:val="00FC14D9"/>
    <w:rsid w:val="00FC259F"/>
    <w:rsid w:val="00FC2838"/>
    <w:rsid w:val="00FC2A50"/>
    <w:rsid w:val="00FC5583"/>
    <w:rsid w:val="00FC61C7"/>
    <w:rsid w:val="00FC7920"/>
    <w:rsid w:val="00FD1C4D"/>
    <w:rsid w:val="00FD2031"/>
    <w:rsid w:val="00FD39AA"/>
    <w:rsid w:val="00FD3CE7"/>
    <w:rsid w:val="00FD3D27"/>
    <w:rsid w:val="00FD4174"/>
    <w:rsid w:val="00FD42C0"/>
    <w:rsid w:val="00FD5FC7"/>
    <w:rsid w:val="00FD68E8"/>
    <w:rsid w:val="00FD785E"/>
    <w:rsid w:val="00FE0912"/>
    <w:rsid w:val="00FE1BC2"/>
    <w:rsid w:val="00FE3079"/>
    <w:rsid w:val="00FE3592"/>
    <w:rsid w:val="00FE483B"/>
    <w:rsid w:val="00FE7256"/>
    <w:rsid w:val="00FF0AC4"/>
    <w:rsid w:val="00FF3E01"/>
    <w:rsid w:val="00FF677D"/>
    <w:rsid w:val="00FF6C78"/>
    <w:rsid w:val="00FF7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CC"/>
    <w:rPr>
      <w:noProof/>
      <w:sz w:val="24"/>
      <w:szCs w:val="24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48F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noProof w:val="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61337C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character" w:customStyle="1" w:styleId="tekst">
    <w:name w:val="tekst"/>
    <w:basedOn w:val="DefaultParagraphFont"/>
    <w:rsid w:val="000D26E1"/>
  </w:style>
  <w:style w:type="character" w:customStyle="1" w:styleId="goog-gtc-translatablegoog-gtc-from-mt">
    <w:name w:val="goog-gtc-translatable goog-gtc-from-mt"/>
    <w:basedOn w:val="DefaultParagraphFont"/>
    <w:rsid w:val="00EF11C4"/>
  </w:style>
  <w:style w:type="paragraph" w:styleId="Footer">
    <w:name w:val="footer"/>
    <w:basedOn w:val="Normal"/>
    <w:link w:val="FooterChar"/>
    <w:uiPriority w:val="99"/>
    <w:rsid w:val="004B35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86D"/>
    <w:rPr>
      <w:noProof/>
      <w:sz w:val="24"/>
      <w:szCs w:val="24"/>
      <w:lang w:val="sr-Latn-CS"/>
    </w:rPr>
  </w:style>
  <w:style w:type="character" w:styleId="PageNumber">
    <w:name w:val="page number"/>
    <w:basedOn w:val="DefaultParagraphFont"/>
    <w:rsid w:val="004B355C"/>
  </w:style>
  <w:style w:type="paragraph" w:styleId="ListParagraph">
    <w:name w:val="List Paragraph"/>
    <w:basedOn w:val="Normal"/>
    <w:uiPriority w:val="34"/>
    <w:qFormat/>
    <w:rsid w:val="00307FF6"/>
    <w:pPr>
      <w:ind w:left="720"/>
    </w:pPr>
  </w:style>
  <w:style w:type="paragraph" w:styleId="Header">
    <w:name w:val="header"/>
    <w:basedOn w:val="Normal"/>
    <w:link w:val="HeaderChar"/>
    <w:rsid w:val="0096186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96186D"/>
    <w:rPr>
      <w:noProof/>
      <w:sz w:val="24"/>
      <w:szCs w:val="24"/>
      <w:lang w:val="sr-Latn-CS"/>
    </w:rPr>
  </w:style>
  <w:style w:type="paragraph" w:styleId="EndnoteText">
    <w:name w:val="endnote text"/>
    <w:basedOn w:val="Normal"/>
    <w:link w:val="EndnoteTextChar"/>
    <w:rsid w:val="00070B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70BE1"/>
    <w:rPr>
      <w:noProof/>
      <w:lang w:val="sr-Latn-CS"/>
    </w:rPr>
  </w:style>
  <w:style w:type="character" w:styleId="EndnoteReference">
    <w:name w:val="endnote reference"/>
    <w:basedOn w:val="DefaultParagraphFont"/>
    <w:rsid w:val="00070BE1"/>
    <w:rPr>
      <w:vertAlign w:val="superscript"/>
    </w:rPr>
  </w:style>
  <w:style w:type="paragraph" w:styleId="FootnoteText">
    <w:name w:val="footnote text"/>
    <w:basedOn w:val="Normal"/>
    <w:link w:val="FootnoteTextChar"/>
    <w:rsid w:val="001F30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3029"/>
    <w:rPr>
      <w:noProof/>
      <w:lang w:val="sr-Latn-CS"/>
    </w:rPr>
  </w:style>
  <w:style w:type="character" w:styleId="FootnoteReference">
    <w:name w:val="footnote reference"/>
    <w:basedOn w:val="DefaultParagraphFont"/>
    <w:rsid w:val="001F3029"/>
    <w:rPr>
      <w:vertAlign w:val="superscript"/>
    </w:rPr>
  </w:style>
  <w:style w:type="paragraph" w:customStyle="1" w:styleId="2zakon">
    <w:name w:val="2zakon"/>
    <w:basedOn w:val="Normal"/>
    <w:rsid w:val="00455E3B"/>
    <w:pPr>
      <w:spacing w:before="100" w:beforeAutospacing="1" w:after="100" w:afterAutospacing="1"/>
      <w:jc w:val="center"/>
    </w:pPr>
    <w:rPr>
      <w:rFonts w:ascii="Arial" w:hAnsi="Arial" w:cs="Arial"/>
      <w:noProof w:val="0"/>
      <w:color w:val="0033CC"/>
      <w:sz w:val="36"/>
      <w:szCs w:val="36"/>
      <w:lang w:val="en-US"/>
    </w:rPr>
  </w:style>
  <w:style w:type="paragraph" w:customStyle="1" w:styleId="1tekst">
    <w:name w:val="1tekst"/>
    <w:basedOn w:val="Normal"/>
    <w:rsid w:val="00F568DB"/>
    <w:pPr>
      <w:ind w:left="375" w:right="375" w:firstLine="240"/>
      <w:jc w:val="both"/>
    </w:pPr>
    <w:rPr>
      <w:rFonts w:ascii="Arial" w:hAnsi="Arial" w:cs="Arial"/>
      <w:noProof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D0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F19"/>
    <w:rPr>
      <w:rFonts w:ascii="Tahoma" w:hAnsi="Tahoma" w:cs="Tahoma"/>
      <w:noProof/>
      <w:sz w:val="16"/>
      <w:szCs w:val="16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51048F"/>
    <w:rPr>
      <w:rFonts w:ascii="Cambria" w:hAnsi="Cambria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56EA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975C8"/>
  </w:style>
  <w:style w:type="character" w:customStyle="1" w:styleId="apple-converted-space">
    <w:name w:val="apple-converted-space"/>
    <w:basedOn w:val="DefaultParagraphFont"/>
    <w:rsid w:val="006975C8"/>
  </w:style>
  <w:style w:type="table" w:styleId="TableGrid">
    <w:name w:val="Table Grid"/>
    <w:basedOn w:val="TableNormal"/>
    <w:rsid w:val="008C53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2D5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5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5010"/>
    <w:rPr>
      <w:noProof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rsid w:val="002D5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5010"/>
    <w:rPr>
      <w:b/>
      <w:bCs/>
      <w:noProof/>
      <w:lang w:val="sr-Latn-CS"/>
    </w:rPr>
  </w:style>
  <w:style w:type="paragraph" w:styleId="NormalWeb">
    <w:name w:val="Normal (Web)"/>
    <w:basedOn w:val="Normal"/>
    <w:uiPriority w:val="99"/>
    <w:unhideWhenUsed/>
    <w:rsid w:val="00471886"/>
    <w:pPr>
      <w:spacing w:before="100" w:beforeAutospacing="1" w:after="100" w:afterAutospacing="1"/>
    </w:pPr>
    <w:rPr>
      <w:noProof w:val="0"/>
      <w:lang w:val="en-US"/>
    </w:rPr>
  </w:style>
  <w:style w:type="table" w:customStyle="1" w:styleId="GridTable6Colorful">
    <w:name w:val="Grid Table 6 Colorful"/>
    <w:basedOn w:val="TableNormal"/>
    <w:uiPriority w:val="51"/>
    <w:rsid w:val="0051794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5D1B77"/>
    <w:rPr>
      <w:noProof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ragoljub.nikolic\Local%20Settings\AppData\Local\Microsoft\Windows\Temporary%20Internet%20Files\Vukcevici\AppData\Local\Ing-Pro\IngProPaket5P\40214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dragoljub.nikolic\Local%20Settings\AppData\Local\Microsoft\Windows\Temporary%20Internet%20Files\Vukcevici\AppData\Local\Ing-Pro\IngProPaket5P\40214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dragoljub.nikolic\Local%20Settings\AppData\Local\Microsoft\Windows\Temporary%20Internet%20Files\Vukcevici\AppData\Local\Ing-Pro\IngProPaket5P\40214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dragoljub.nikolic\Local%20Settings\AppData\Local\Microsoft\Windows\Temporary%20Internet%20Files\Vukcevici\AppData\Local\Ing-Pro\IngProPaket5P\40214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ragoljub.nikolic\Local%20Settings\AppData\Local\Microsoft\Windows\Temporary%20Internet%20Files\Vukcevici\AppData\Local\Ing-Pro\IngProPaket5P\40214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BB45-2034-4067-BAA2-B7EBA72E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4129</Words>
  <Characters>23538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Zakoni o potvrđivanju međunarodnih ugovora za 2009</vt:lpstr>
    </vt:vector>
  </TitlesOfParts>
  <Company/>
  <LinksUpToDate>false</LinksUpToDate>
  <CharactersWithSpaces>27612</CharactersWithSpaces>
  <SharedDoc>false</SharedDoc>
  <HLinks>
    <vt:vector size="30" baseType="variant">
      <vt:variant>
        <vt:i4>917573</vt:i4>
      </vt:variant>
      <vt:variant>
        <vt:i4>12</vt:i4>
      </vt:variant>
      <vt:variant>
        <vt:i4>0</vt:i4>
      </vt:variant>
      <vt:variant>
        <vt:i4>5</vt:i4>
      </vt:variant>
      <vt:variant>
        <vt:lpwstr>../Local Settings/AppData/Local/Microsoft/Windows/Temporary Internet Files/Vukcevici/AppData/Local/Ing-Pro/IngProPaket5P/40214.htm</vt:lpwstr>
      </vt:variant>
      <vt:variant>
        <vt:lpwstr>zk17/14</vt:lpwstr>
      </vt:variant>
      <vt:variant>
        <vt:i4>589894</vt:i4>
      </vt:variant>
      <vt:variant>
        <vt:i4>9</vt:i4>
      </vt:variant>
      <vt:variant>
        <vt:i4>0</vt:i4>
      </vt:variant>
      <vt:variant>
        <vt:i4>5</vt:i4>
      </vt:variant>
      <vt:variant>
        <vt:lpwstr>../Local Settings/AppData/Local/Microsoft/Windows/Temporary Internet Files/Vukcevici/AppData/Local/Ing-Pro/IngProPaket5P/40214.htm</vt:lpwstr>
      </vt:variant>
      <vt:variant>
        <vt:lpwstr>zk20/13</vt:lpwstr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../Local Settings/AppData/Local/Microsoft/Windows/Temporary Internet Files/Vukcevici/AppData/Local/Ing-Pro/IngProPaket5P/40214.htm</vt:lpwstr>
      </vt:variant>
      <vt:variant>
        <vt:lpwstr>zk61/12</vt:lpwstr>
      </vt:variant>
      <vt:variant>
        <vt:i4>786502</vt:i4>
      </vt:variant>
      <vt:variant>
        <vt:i4>3</vt:i4>
      </vt:variant>
      <vt:variant>
        <vt:i4>0</vt:i4>
      </vt:variant>
      <vt:variant>
        <vt:i4>5</vt:i4>
      </vt:variant>
      <vt:variant>
        <vt:lpwstr>../Local Settings/AppData/Local/Microsoft/Windows/Temporary Internet Files/Vukcevici/AppData/Local/Ing-Pro/IngProPaket5P/40214.htm</vt:lpwstr>
      </vt:variant>
      <vt:variant>
        <vt:lpwstr>zk25/12</vt:lpwstr>
      </vt:variant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../Local Settings/AppData/Local/Microsoft/Windows/Temporary Internet Files/Vukcevici/AppData/Local/Ing-Pro/IngProPaket5P/40214.htm</vt:lpwstr>
      </vt:variant>
      <vt:variant>
        <vt:lpwstr>zk5/12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Zakoni o potvrđivanju međunarodnih ugovora za 2009</dc:title>
  <dc:creator>Tetka</dc:creator>
  <cp:lastModifiedBy>natasa.zivaljevic</cp:lastModifiedBy>
  <cp:revision>3</cp:revision>
  <cp:lastPrinted>2015-02-02T11:48:00Z</cp:lastPrinted>
  <dcterms:created xsi:type="dcterms:W3CDTF">2015-02-02T12:27:00Z</dcterms:created>
  <dcterms:modified xsi:type="dcterms:W3CDTF">2015-02-02T14:43:00Z</dcterms:modified>
</cp:coreProperties>
</file>