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3.xml" ContentType="application/vnd.openxmlformats-officedocument.drawingml.chartshapes+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1.xml" ContentType="application/vnd.openxmlformats-officedocument.themeOverride+xml"/>
  <Override PartName="/word/charts/chart11.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2.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3.xml" ContentType="application/vnd.openxmlformats-officedocument.drawingml.chart+xml"/>
  <Override PartName="/word/charts/style12.xml" ContentType="application/vnd.ms-office.chartstyle+xml"/>
  <Override PartName="/word/charts/colors12.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A91CFD" w14:textId="2F265ED8" w:rsidR="0014031B" w:rsidRDefault="0014031B" w:rsidP="0014031B">
      <w:pPr>
        <w:jc w:val="both"/>
        <w:rPr>
          <w:rFonts w:cstheme="minorHAnsi"/>
          <w:b/>
          <w:bCs/>
        </w:rPr>
      </w:pPr>
      <w:bookmarkStart w:id="0" w:name="_Toc125545783"/>
    </w:p>
    <w:p w14:paraId="0B38AF7E" w14:textId="77777777" w:rsidR="00496FAD" w:rsidRDefault="00496FAD" w:rsidP="00496FAD">
      <w:pPr>
        <w:jc w:val="both"/>
        <w:rPr>
          <w:rFonts w:cstheme="minorHAnsi"/>
          <w:b/>
          <w:bCs/>
        </w:rPr>
      </w:pPr>
      <w:r w:rsidRPr="00451F6C">
        <w:rPr>
          <w:noProof/>
          <w:lang w:val="en-GB" w:eastAsia="en-GB"/>
        </w:rPr>
        <w:drawing>
          <wp:anchor distT="0" distB="0" distL="114300" distR="114300" simplePos="0" relativeHeight="251659264" behindDoc="0" locked="0" layoutInCell="1" allowOverlap="1" wp14:anchorId="10C203F6" wp14:editId="7E1E9B7A">
            <wp:simplePos x="0" y="0"/>
            <wp:positionH relativeFrom="column">
              <wp:posOffset>2590800</wp:posOffset>
            </wp:positionH>
            <wp:positionV relativeFrom="paragraph">
              <wp:posOffset>95250</wp:posOffset>
            </wp:positionV>
            <wp:extent cx="539115" cy="621665"/>
            <wp:effectExtent l="0" t="0" r="0" b="6985"/>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p>
    <w:p w14:paraId="18B121F5" w14:textId="77777777" w:rsidR="00496FAD" w:rsidRDefault="00496FAD" w:rsidP="00496FAD">
      <w:pPr>
        <w:jc w:val="both"/>
        <w:rPr>
          <w:rFonts w:cstheme="minorHAnsi"/>
          <w:b/>
          <w:bCs/>
        </w:rPr>
      </w:pPr>
    </w:p>
    <w:p w14:paraId="5E707BC9" w14:textId="77777777" w:rsidR="00496FAD" w:rsidRDefault="00496FAD" w:rsidP="00496FAD">
      <w:pPr>
        <w:jc w:val="both"/>
        <w:rPr>
          <w:rFonts w:cstheme="minorHAnsi"/>
          <w:b/>
          <w:bCs/>
        </w:rPr>
      </w:pPr>
    </w:p>
    <w:p w14:paraId="1C49A850" w14:textId="77777777" w:rsidR="00496FAD" w:rsidRDefault="00496FAD" w:rsidP="00496FAD">
      <w:pPr>
        <w:jc w:val="center"/>
        <w:rPr>
          <w:rFonts w:cstheme="minorHAnsi"/>
          <w:b/>
          <w:bCs/>
          <w:sz w:val="32"/>
          <w:szCs w:val="32"/>
        </w:rPr>
      </w:pPr>
      <w:r w:rsidRPr="007E26A5">
        <w:rPr>
          <w:rFonts w:cstheme="minorHAnsi"/>
          <w:b/>
          <w:bCs/>
          <w:sz w:val="32"/>
          <w:szCs w:val="32"/>
        </w:rPr>
        <w:t>Vlada Crne Gore</w:t>
      </w:r>
    </w:p>
    <w:p w14:paraId="50CAB3D1" w14:textId="77777777" w:rsidR="00496FAD" w:rsidRPr="007E26A5" w:rsidRDefault="00496FAD" w:rsidP="00496FAD">
      <w:pPr>
        <w:jc w:val="center"/>
        <w:rPr>
          <w:rFonts w:cstheme="minorHAnsi"/>
          <w:b/>
          <w:bCs/>
          <w:sz w:val="32"/>
          <w:szCs w:val="32"/>
        </w:rPr>
      </w:pPr>
      <w:r>
        <w:rPr>
          <w:rFonts w:cstheme="minorHAnsi"/>
          <w:b/>
          <w:bCs/>
          <w:sz w:val="32"/>
          <w:szCs w:val="32"/>
        </w:rPr>
        <w:t xml:space="preserve">Ministarstvo finansija </w:t>
      </w:r>
    </w:p>
    <w:p w14:paraId="0B613FF5" w14:textId="57CE1D2D" w:rsidR="00496FAD" w:rsidRPr="00F46936" w:rsidRDefault="0091749D" w:rsidP="00496FAD">
      <w:pPr>
        <w:jc w:val="right"/>
        <w:rPr>
          <w:rFonts w:cstheme="minorHAnsi"/>
          <w:b/>
          <w:bCs/>
          <w:sz w:val="28"/>
          <w:szCs w:val="28"/>
        </w:rPr>
      </w:pPr>
      <w:r>
        <w:rPr>
          <w:rFonts w:cstheme="minorHAnsi"/>
          <w:b/>
          <w:bCs/>
          <w:sz w:val="28"/>
          <w:szCs w:val="28"/>
        </w:rPr>
        <w:t>Nacrt</w:t>
      </w:r>
    </w:p>
    <w:p w14:paraId="2CDF441D" w14:textId="77777777" w:rsidR="00496FAD" w:rsidRPr="007E26A5" w:rsidRDefault="00496FAD" w:rsidP="00496FAD">
      <w:pPr>
        <w:jc w:val="both"/>
        <w:rPr>
          <w:rFonts w:cstheme="minorHAnsi"/>
          <w:b/>
          <w:bCs/>
          <w:sz w:val="32"/>
          <w:szCs w:val="32"/>
        </w:rPr>
      </w:pPr>
    </w:p>
    <w:p w14:paraId="5325E3FE" w14:textId="30142370" w:rsidR="00496FAD" w:rsidRDefault="00496FAD" w:rsidP="00496FAD">
      <w:pPr>
        <w:jc w:val="center"/>
        <w:rPr>
          <w:rFonts w:cstheme="minorHAnsi"/>
          <w:b/>
          <w:iCs/>
          <w:sz w:val="32"/>
          <w:szCs w:val="32"/>
        </w:rPr>
      </w:pPr>
    </w:p>
    <w:p w14:paraId="0FA0424D" w14:textId="121C49CF" w:rsidR="00D075E2" w:rsidRDefault="00D075E2" w:rsidP="00496FAD">
      <w:pPr>
        <w:jc w:val="center"/>
        <w:rPr>
          <w:rFonts w:cstheme="minorHAnsi"/>
          <w:b/>
          <w:iCs/>
          <w:sz w:val="32"/>
          <w:szCs w:val="32"/>
        </w:rPr>
      </w:pPr>
    </w:p>
    <w:p w14:paraId="624848C3" w14:textId="0B7AF5FE" w:rsidR="00D075E2" w:rsidRDefault="00D075E2" w:rsidP="00496FAD">
      <w:pPr>
        <w:jc w:val="center"/>
        <w:rPr>
          <w:rFonts w:cstheme="minorHAnsi"/>
          <w:b/>
          <w:iCs/>
          <w:sz w:val="32"/>
          <w:szCs w:val="32"/>
        </w:rPr>
      </w:pPr>
    </w:p>
    <w:p w14:paraId="073BC68D" w14:textId="77777777" w:rsidR="00D075E2" w:rsidRDefault="00D075E2" w:rsidP="00496FAD">
      <w:pPr>
        <w:jc w:val="center"/>
        <w:rPr>
          <w:rFonts w:cstheme="minorHAnsi"/>
          <w:b/>
          <w:iCs/>
          <w:sz w:val="32"/>
          <w:szCs w:val="32"/>
        </w:rPr>
      </w:pPr>
    </w:p>
    <w:p w14:paraId="6FA85891" w14:textId="548B9E37" w:rsidR="00496FAD" w:rsidRPr="007E26A5" w:rsidRDefault="00496FAD" w:rsidP="00496FAD">
      <w:pPr>
        <w:jc w:val="center"/>
        <w:rPr>
          <w:rFonts w:cstheme="minorHAnsi"/>
          <w:b/>
          <w:sz w:val="32"/>
          <w:szCs w:val="32"/>
        </w:rPr>
      </w:pPr>
      <w:r w:rsidRPr="007E26A5">
        <w:rPr>
          <w:rFonts w:cstheme="minorHAnsi"/>
          <w:b/>
          <w:iCs/>
          <w:sz w:val="32"/>
          <w:szCs w:val="32"/>
        </w:rPr>
        <w:t>Program ekonomskih reformi</w:t>
      </w:r>
      <w:r>
        <w:rPr>
          <w:rFonts w:cstheme="minorHAnsi"/>
          <w:b/>
          <w:sz w:val="32"/>
          <w:szCs w:val="32"/>
        </w:rPr>
        <w:t xml:space="preserve"> 202</w:t>
      </w:r>
      <w:r w:rsidR="00BD1980">
        <w:rPr>
          <w:rFonts w:cstheme="minorHAnsi"/>
          <w:b/>
          <w:sz w:val="32"/>
          <w:szCs w:val="32"/>
        </w:rPr>
        <w:t>4</w:t>
      </w:r>
      <w:r>
        <w:rPr>
          <w:rFonts w:cstheme="minorHAnsi"/>
          <w:b/>
          <w:sz w:val="32"/>
          <w:szCs w:val="32"/>
        </w:rPr>
        <w:t>-202</w:t>
      </w:r>
      <w:r w:rsidR="00BD1980">
        <w:rPr>
          <w:rFonts w:cstheme="minorHAnsi"/>
          <w:b/>
          <w:sz w:val="32"/>
          <w:szCs w:val="32"/>
        </w:rPr>
        <w:t>6</w:t>
      </w:r>
      <w:r w:rsidRPr="007E26A5">
        <w:rPr>
          <w:rFonts w:cstheme="minorHAnsi"/>
          <w:b/>
          <w:sz w:val="32"/>
          <w:szCs w:val="32"/>
        </w:rPr>
        <w:t>. godina</w:t>
      </w:r>
    </w:p>
    <w:p w14:paraId="285AB5F4" w14:textId="77777777" w:rsidR="00496FAD" w:rsidRPr="007E26A5" w:rsidRDefault="00496FAD" w:rsidP="00496FAD">
      <w:pPr>
        <w:rPr>
          <w:rFonts w:cstheme="minorHAnsi"/>
          <w:b/>
          <w:bCs/>
          <w:sz w:val="32"/>
          <w:szCs w:val="32"/>
        </w:rPr>
      </w:pPr>
    </w:p>
    <w:p w14:paraId="3B030E1C" w14:textId="77777777" w:rsidR="00496FAD" w:rsidRPr="007E26A5" w:rsidRDefault="00496FAD" w:rsidP="00496FAD">
      <w:pPr>
        <w:rPr>
          <w:rFonts w:cstheme="minorHAnsi"/>
          <w:b/>
          <w:bCs/>
          <w:sz w:val="32"/>
          <w:szCs w:val="32"/>
        </w:rPr>
      </w:pPr>
    </w:p>
    <w:p w14:paraId="7F41120C" w14:textId="77777777" w:rsidR="00496FAD" w:rsidRPr="007E26A5" w:rsidRDefault="00496FAD" w:rsidP="00496FAD">
      <w:pPr>
        <w:rPr>
          <w:rFonts w:cstheme="minorHAnsi"/>
          <w:b/>
          <w:bCs/>
          <w:sz w:val="32"/>
          <w:szCs w:val="32"/>
        </w:rPr>
      </w:pPr>
    </w:p>
    <w:p w14:paraId="2D866050" w14:textId="77777777" w:rsidR="00496FAD" w:rsidRPr="007E26A5" w:rsidRDefault="00496FAD" w:rsidP="00496FAD">
      <w:pPr>
        <w:rPr>
          <w:rFonts w:cstheme="minorHAnsi"/>
          <w:b/>
          <w:bCs/>
          <w:sz w:val="32"/>
          <w:szCs w:val="32"/>
        </w:rPr>
      </w:pPr>
    </w:p>
    <w:p w14:paraId="1729B4CE" w14:textId="77777777" w:rsidR="00496FAD" w:rsidRPr="007E26A5" w:rsidRDefault="00496FAD" w:rsidP="00496FAD">
      <w:pPr>
        <w:rPr>
          <w:rFonts w:cstheme="minorHAnsi"/>
          <w:b/>
          <w:bCs/>
          <w:sz w:val="32"/>
          <w:szCs w:val="32"/>
        </w:rPr>
      </w:pPr>
    </w:p>
    <w:p w14:paraId="360A1136" w14:textId="0A1C5462" w:rsidR="00496FAD" w:rsidRDefault="00496FAD" w:rsidP="00496FAD">
      <w:pPr>
        <w:jc w:val="center"/>
        <w:rPr>
          <w:rFonts w:cstheme="minorHAnsi"/>
          <w:b/>
          <w:bCs/>
          <w:sz w:val="32"/>
          <w:szCs w:val="32"/>
        </w:rPr>
      </w:pPr>
    </w:p>
    <w:p w14:paraId="7BDDEA85" w14:textId="77777777" w:rsidR="00D075E2" w:rsidRPr="007E26A5" w:rsidRDefault="00D075E2" w:rsidP="00496FAD">
      <w:pPr>
        <w:jc w:val="center"/>
        <w:rPr>
          <w:rFonts w:cstheme="minorHAnsi"/>
          <w:b/>
          <w:bCs/>
          <w:sz w:val="32"/>
          <w:szCs w:val="32"/>
        </w:rPr>
      </w:pPr>
    </w:p>
    <w:p w14:paraId="3B431E4F" w14:textId="77777777" w:rsidR="00496FAD" w:rsidRPr="007E26A5" w:rsidRDefault="00496FAD" w:rsidP="00496FAD">
      <w:pPr>
        <w:jc w:val="center"/>
        <w:rPr>
          <w:rFonts w:cstheme="minorHAnsi"/>
          <w:b/>
          <w:bCs/>
          <w:sz w:val="32"/>
          <w:szCs w:val="32"/>
        </w:rPr>
      </w:pPr>
    </w:p>
    <w:p w14:paraId="18EE8070" w14:textId="5C968D95" w:rsidR="00496FAD" w:rsidRPr="007E26A5" w:rsidRDefault="00496FAD" w:rsidP="00496FAD">
      <w:pPr>
        <w:jc w:val="center"/>
        <w:rPr>
          <w:rFonts w:cstheme="minorHAnsi"/>
          <w:b/>
          <w:bCs/>
          <w:sz w:val="32"/>
          <w:szCs w:val="32"/>
        </w:rPr>
      </w:pPr>
      <w:r w:rsidRPr="007E26A5">
        <w:rPr>
          <w:rFonts w:cstheme="minorHAnsi"/>
          <w:b/>
          <w:bCs/>
          <w:sz w:val="32"/>
          <w:szCs w:val="32"/>
        </w:rPr>
        <w:t>Podgorica, decembar</w:t>
      </w:r>
      <w:r>
        <w:rPr>
          <w:rFonts w:cstheme="minorHAnsi"/>
          <w:b/>
          <w:bCs/>
          <w:sz w:val="32"/>
          <w:szCs w:val="32"/>
        </w:rPr>
        <w:t xml:space="preserve"> 2023</w:t>
      </w:r>
      <w:r w:rsidRPr="007E26A5">
        <w:rPr>
          <w:rFonts w:cstheme="minorHAnsi"/>
          <w:b/>
          <w:bCs/>
          <w:sz w:val="32"/>
          <w:szCs w:val="32"/>
        </w:rPr>
        <w:t>. godine</w:t>
      </w:r>
    </w:p>
    <w:p w14:paraId="68FDB386" w14:textId="77777777" w:rsidR="006118C4" w:rsidRDefault="006118C4" w:rsidP="002D4036">
      <w:pPr>
        <w:jc w:val="center"/>
        <w:rPr>
          <w:rFonts w:cstheme="minorHAnsi"/>
          <w:b/>
          <w:bCs/>
          <w:color w:val="002465"/>
          <w:sz w:val="28"/>
          <w:szCs w:val="28"/>
        </w:rPr>
      </w:pPr>
    </w:p>
    <w:p w14:paraId="253944AB" w14:textId="77777777" w:rsidR="006118C4" w:rsidRDefault="006118C4" w:rsidP="002D4036">
      <w:pPr>
        <w:jc w:val="center"/>
        <w:rPr>
          <w:rFonts w:cstheme="minorHAnsi"/>
          <w:b/>
          <w:bCs/>
          <w:color w:val="002465"/>
          <w:sz w:val="28"/>
          <w:szCs w:val="28"/>
        </w:rPr>
      </w:pPr>
    </w:p>
    <w:bookmarkEnd w:id="0"/>
    <w:p w14:paraId="4A3A57F9" w14:textId="150B97C3" w:rsidR="0065415E" w:rsidRDefault="0065415E" w:rsidP="002D4036">
      <w:pPr>
        <w:jc w:val="center"/>
        <w:rPr>
          <w:rFonts w:cstheme="minorHAnsi"/>
          <w:b/>
          <w:bCs/>
          <w:color w:val="002465"/>
          <w:sz w:val="28"/>
          <w:szCs w:val="28"/>
        </w:rPr>
      </w:pPr>
    </w:p>
    <w:p w14:paraId="78C9DEFD" w14:textId="7BD12812" w:rsidR="00496FAD" w:rsidRDefault="00496FAD" w:rsidP="002D4036">
      <w:pPr>
        <w:jc w:val="center"/>
        <w:rPr>
          <w:rFonts w:cstheme="minorHAnsi"/>
          <w:b/>
          <w:bCs/>
          <w:color w:val="002465"/>
          <w:sz w:val="28"/>
          <w:szCs w:val="28"/>
        </w:rPr>
      </w:pPr>
    </w:p>
    <w:p w14:paraId="21FB2B15" w14:textId="3BB097E0" w:rsidR="00496FAD" w:rsidRDefault="00496FAD" w:rsidP="002D4036">
      <w:pPr>
        <w:jc w:val="center"/>
        <w:rPr>
          <w:rFonts w:cstheme="minorHAnsi"/>
          <w:b/>
          <w:bCs/>
          <w:color w:val="002465"/>
          <w:sz w:val="28"/>
          <w:szCs w:val="28"/>
        </w:rPr>
      </w:pPr>
    </w:p>
    <w:p w14:paraId="3448A73E" w14:textId="77777777" w:rsidR="0065415E" w:rsidRDefault="0065415E" w:rsidP="0065415E">
      <w:pPr>
        <w:rPr>
          <w:b/>
          <w:bCs/>
          <w:noProof/>
          <w:color w:val="002060"/>
          <w:sz w:val="20"/>
          <w:szCs w:val="20"/>
          <w:lang w:val="pl-PL"/>
        </w:rPr>
      </w:pPr>
    </w:p>
    <w:sdt>
      <w:sdtPr>
        <w:rPr>
          <w:rFonts w:asciiTheme="minorHAnsi" w:eastAsiaTheme="minorHAnsi" w:hAnsiTheme="minorHAnsi" w:cstheme="minorBidi"/>
          <w:color w:val="auto"/>
          <w:kern w:val="2"/>
          <w:sz w:val="22"/>
          <w:szCs w:val="22"/>
          <w14:ligatures w14:val="standardContextual"/>
        </w:rPr>
        <w:id w:val="678927572"/>
        <w:docPartObj>
          <w:docPartGallery w:val="Table of Contents"/>
          <w:docPartUnique/>
        </w:docPartObj>
      </w:sdtPr>
      <w:sdtEndPr>
        <w:rPr>
          <w:noProof/>
        </w:rPr>
      </w:sdtEndPr>
      <w:sdtContent>
        <w:p w14:paraId="0FA26C4B" w14:textId="57C85527" w:rsidR="009D0E01" w:rsidRDefault="002D4036">
          <w:pPr>
            <w:pStyle w:val="TOCHeading"/>
          </w:pPr>
          <w:r>
            <w:t>Sadržaj</w:t>
          </w:r>
        </w:p>
        <w:p w14:paraId="3B2709E3" w14:textId="0FF04275" w:rsidR="00BF5BB1" w:rsidRDefault="009D0E01">
          <w:pPr>
            <w:pStyle w:val="TOC1"/>
            <w:tabs>
              <w:tab w:val="right" w:leader="dot" w:pos="9016"/>
            </w:tabs>
            <w:rPr>
              <w:rFonts w:eastAsiaTheme="minorEastAsia"/>
              <w:noProof/>
              <w:kern w:val="0"/>
              <w:lang w:val="en-GB" w:eastAsia="en-GB"/>
              <w14:ligatures w14:val="none"/>
            </w:rPr>
          </w:pPr>
          <w:r w:rsidRPr="00335470">
            <w:fldChar w:fldCharType="begin"/>
          </w:r>
          <w:r w:rsidRPr="00335470">
            <w:instrText xml:space="preserve"> TOC \o "1-3" \h \z \u </w:instrText>
          </w:r>
          <w:r w:rsidRPr="00335470">
            <w:fldChar w:fldCharType="separate"/>
          </w:r>
          <w:hyperlink w:anchor="_Toc153305320" w:history="1">
            <w:r w:rsidR="00BF5BB1" w:rsidRPr="00DB6CF1">
              <w:rPr>
                <w:rStyle w:val="Hyperlink"/>
                <w:noProof/>
                <w:lang w:val="pl-PL"/>
              </w:rPr>
              <w:t>Lista skraćenica</w:t>
            </w:r>
            <w:r w:rsidR="00BF5BB1">
              <w:rPr>
                <w:noProof/>
                <w:webHidden/>
              </w:rPr>
              <w:tab/>
            </w:r>
            <w:r w:rsidR="00BF5BB1">
              <w:rPr>
                <w:noProof/>
                <w:webHidden/>
              </w:rPr>
              <w:fldChar w:fldCharType="begin"/>
            </w:r>
            <w:r w:rsidR="00BF5BB1">
              <w:rPr>
                <w:noProof/>
                <w:webHidden/>
              </w:rPr>
              <w:instrText xml:space="preserve"> PAGEREF _Toc153305320 \h </w:instrText>
            </w:r>
            <w:r w:rsidR="00BF5BB1">
              <w:rPr>
                <w:noProof/>
                <w:webHidden/>
              </w:rPr>
            </w:r>
            <w:r w:rsidR="00BF5BB1">
              <w:rPr>
                <w:noProof/>
                <w:webHidden/>
              </w:rPr>
              <w:fldChar w:fldCharType="separate"/>
            </w:r>
            <w:r w:rsidR="00300D53">
              <w:rPr>
                <w:noProof/>
                <w:webHidden/>
              </w:rPr>
              <w:t>3</w:t>
            </w:r>
            <w:r w:rsidR="00BF5BB1">
              <w:rPr>
                <w:noProof/>
                <w:webHidden/>
              </w:rPr>
              <w:fldChar w:fldCharType="end"/>
            </w:r>
          </w:hyperlink>
        </w:p>
        <w:p w14:paraId="63B31BE2" w14:textId="726BE20D" w:rsidR="00BF5BB1" w:rsidRDefault="00BF5BB1">
          <w:pPr>
            <w:pStyle w:val="TOC1"/>
            <w:tabs>
              <w:tab w:val="right" w:leader="dot" w:pos="9016"/>
            </w:tabs>
            <w:rPr>
              <w:rFonts w:eastAsiaTheme="minorEastAsia"/>
              <w:noProof/>
              <w:kern w:val="0"/>
              <w:lang w:val="en-GB" w:eastAsia="en-GB"/>
              <w14:ligatures w14:val="none"/>
            </w:rPr>
          </w:pPr>
          <w:hyperlink w:anchor="_Toc153305321" w:history="1">
            <w:r w:rsidRPr="00DB6CF1">
              <w:rPr>
                <w:rStyle w:val="Hyperlink"/>
                <w:b/>
                <w:noProof/>
              </w:rPr>
              <w:t>1. OPŠTI OKVIR I CILJEVI POLITIKE</w:t>
            </w:r>
            <w:r>
              <w:rPr>
                <w:noProof/>
                <w:webHidden/>
              </w:rPr>
              <w:tab/>
            </w:r>
            <w:r>
              <w:rPr>
                <w:noProof/>
                <w:webHidden/>
              </w:rPr>
              <w:fldChar w:fldCharType="begin"/>
            </w:r>
            <w:r>
              <w:rPr>
                <w:noProof/>
                <w:webHidden/>
              </w:rPr>
              <w:instrText xml:space="preserve"> PAGEREF _Toc153305321 \h </w:instrText>
            </w:r>
            <w:r>
              <w:rPr>
                <w:noProof/>
                <w:webHidden/>
              </w:rPr>
            </w:r>
            <w:r>
              <w:rPr>
                <w:noProof/>
                <w:webHidden/>
              </w:rPr>
              <w:fldChar w:fldCharType="separate"/>
            </w:r>
            <w:r w:rsidR="00300D53">
              <w:rPr>
                <w:noProof/>
                <w:webHidden/>
              </w:rPr>
              <w:t>3</w:t>
            </w:r>
            <w:r>
              <w:rPr>
                <w:noProof/>
                <w:webHidden/>
              </w:rPr>
              <w:fldChar w:fldCharType="end"/>
            </w:r>
          </w:hyperlink>
        </w:p>
        <w:p w14:paraId="6941A5CF" w14:textId="429FCBD7" w:rsidR="00BF5BB1" w:rsidRDefault="00BF5BB1">
          <w:pPr>
            <w:pStyle w:val="TOC1"/>
            <w:tabs>
              <w:tab w:val="right" w:leader="dot" w:pos="9016"/>
            </w:tabs>
            <w:rPr>
              <w:rFonts w:eastAsiaTheme="minorEastAsia"/>
              <w:noProof/>
              <w:kern w:val="0"/>
              <w:lang w:val="en-GB" w:eastAsia="en-GB"/>
              <w14:ligatures w14:val="none"/>
            </w:rPr>
          </w:pPr>
          <w:hyperlink w:anchor="_Toc153305322" w:history="1">
            <w:r w:rsidRPr="00DB6CF1">
              <w:rPr>
                <w:rStyle w:val="Hyperlink"/>
                <w:b/>
                <w:noProof/>
              </w:rPr>
              <w:t>2. IMPLEMENTACIJA PREPORUKA SA MINISTARSKOG DIJALOGA</w:t>
            </w:r>
            <w:r>
              <w:rPr>
                <w:noProof/>
                <w:webHidden/>
              </w:rPr>
              <w:tab/>
            </w:r>
            <w:r>
              <w:rPr>
                <w:noProof/>
                <w:webHidden/>
              </w:rPr>
              <w:fldChar w:fldCharType="begin"/>
            </w:r>
            <w:r>
              <w:rPr>
                <w:noProof/>
                <w:webHidden/>
              </w:rPr>
              <w:instrText xml:space="preserve"> PAGEREF _Toc153305322 \h </w:instrText>
            </w:r>
            <w:r>
              <w:rPr>
                <w:noProof/>
                <w:webHidden/>
              </w:rPr>
            </w:r>
            <w:r>
              <w:rPr>
                <w:noProof/>
                <w:webHidden/>
              </w:rPr>
              <w:fldChar w:fldCharType="separate"/>
            </w:r>
            <w:r w:rsidR="00300D53">
              <w:rPr>
                <w:noProof/>
                <w:webHidden/>
              </w:rPr>
              <w:t>4</w:t>
            </w:r>
            <w:r>
              <w:rPr>
                <w:noProof/>
                <w:webHidden/>
              </w:rPr>
              <w:fldChar w:fldCharType="end"/>
            </w:r>
          </w:hyperlink>
        </w:p>
        <w:p w14:paraId="1682E7F1" w14:textId="6A29318A" w:rsidR="00BF5BB1" w:rsidRDefault="00BF5BB1">
          <w:pPr>
            <w:pStyle w:val="TOC1"/>
            <w:tabs>
              <w:tab w:val="right" w:leader="dot" w:pos="9016"/>
            </w:tabs>
            <w:rPr>
              <w:rFonts w:eastAsiaTheme="minorEastAsia"/>
              <w:noProof/>
              <w:kern w:val="0"/>
              <w:lang w:val="en-GB" w:eastAsia="en-GB"/>
              <w14:ligatures w14:val="none"/>
            </w:rPr>
          </w:pPr>
          <w:hyperlink w:anchor="_Toc153305323" w:history="1">
            <w:r w:rsidRPr="00DB6CF1">
              <w:rPr>
                <w:rStyle w:val="Hyperlink"/>
                <w:rFonts w:eastAsia="Calibri Light"/>
                <w:b/>
                <w:noProof/>
                <w:lang w:val="sr-Latn-ME" w:eastAsia="sr-Latn-ME"/>
              </w:rPr>
              <w:t>3. MAKROEKONOMSKI OKVIR</w:t>
            </w:r>
            <w:r>
              <w:rPr>
                <w:noProof/>
                <w:webHidden/>
              </w:rPr>
              <w:tab/>
            </w:r>
            <w:r>
              <w:rPr>
                <w:noProof/>
                <w:webHidden/>
              </w:rPr>
              <w:fldChar w:fldCharType="begin"/>
            </w:r>
            <w:r>
              <w:rPr>
                <w:noProof/>
                <w:webHidden/>
              </w:rPr>
              <w:instrText xml:space="preserve"> PAGEREF _Toc153305323 \h </w:instrText>
            </w:r>
            <w:r>
              <w:rPr>
                <w:noProof/>
                <w:webHidden/>
              </w:rPr>
            </w:r>
            <w:r>
              <w:rPr>
                <w:noProof/>
                <w:webHidden/>
              </w:rPr>
              <w:fldChar w:fldCharType="separate"/>
            </w:r>
            <w:r w:rsidR="00300D53">
              <w:rPr>
                <w:noProof/>
                <w:webHidden/>
              </w:rPr>
              <w:t>12</w:t>
            </w:r>
            <w:r>
              <w:rPr>
                <w:noProof/>
                <w:webHidden/>
              </w:rPr>
              <w:fldChar w:fldCharType="end"/>
            </w:r>
          </w:hyperlink>
        </w:p>
        <w:p w14:paraId="5927017C" w14:textId="44DFEFC1" w:rsidR="00BF5BB1" w:rsidRDefault="00BF5BB1">
          <w:pPr>
            <w:pStyle w:val="TOC1"/>
            <w:tabs>
              <w:tab w:val="right" w:leader="dot" w:pos="9016"/>
            </w:tabs>
            <w:rPr>
              <w:rFonts w:eastAsiaTheme="minorEastAsia"/>
              <w:noProof/>
              <w:kern w:val="0"/>
              <w:lang w:val="en-GB" w:eastAsia="en-GB"/>
              <w14:ligatures w14:val="none"/>
            </w:rPr>
          </w:pPr>
          <w:hyperlink w:anchor="_Toc153305345" w:history="1">
            <w:r w:rsidRPr="00DB6CF1">
              <w:rPr>
                <w:rStyle w:val="Hyperlink"/>
                <w:b/>
                <w:noProof/>
              </w:rPr>
              <w:t>4. FISKALNI OKVIR</w:t>
            </w:r>
            <w:r>
              <w:rPr>
                <w:noProof/>
                <w:webHidden/>
              </w:rPr>
              <w:tab/>
            </w:r>
            <w:r>
              <w:rPr>
                <w:noProof/>
                <w:webHidden/>
              </w:rPr>
              <w:fldChar w:fldCharType="begin"/>
            </w:r>
            <w:r>
              <w:rPr>
                <w:noProof/>
                <w:webHidden/>
              </w:rPr>
              <w:instrText xml:space="preserve"> PAGEREF _Toc153305345 \h </w:instrText>
            </w:r>
            <w:r>
              <w:rPr>
                <w:noProof/>
                <w:webHidden/>
              </w:rPr>
            </w:r>
            <w:r>
              <w:rPr>
                <w:noProof/>
                <w:webHidden/>
              </w:rPr>
              <w:fldChar w:fldCharType="separate"/>
            </w:r>
            <w:r w:rsidR="00300D53">
              <w:rPr>
                <w:noProof/>
                <w:webHidden/>
              </w:rPr>
              <w:t>29</w:t>
            </w:r>
            <w:r>
              <w:rPr>
                <w:noProof/>
                <w:webHidden/>
              </w:rPr>
              <w:fldChar w:fldCharType="end"/>
            </w:r>
          </w:hyperlink>
        </w:p>
        <w:p w14:paraId="1573EBEF" w14:textId="67349F8A" w:rsidR="00BF5BB1" w:rsidRDefault="00BF5BB1">
          <w:pPr>
            <w:pStyle w:val="TOC1"/>
            <w:tabs>
              <w:tab w:val="right" w:leader="dot" w:pos="9016"/>
            </w:tabs>
            <w:rPr>
              <w:rFonts w:eastAsiaTheme="minorEastAsia"/>
              <w:noProof/>
              <w:kern w:val="0"/>
              <w:lang w:val="en-GB" w:eastAsia="en-GB"/>
              <w14:ligatures w14:val="none"/>
            </w:rPr>
          </w:pPr>
          <w:hyperlink w:anchor="_Toc153305362" w:history="1">
            <w:r w:rsidRPr="00DB6CF1">
              <w:rPr>
                <w:rStyle w:val="Hyperlink"/>
                <w:b/>
                <w:noProof/>
              </w:rPr>
              <w:t>5. STRUKTURNE REFORME U 2024-2026.</w:t>
            </w:r>
            <w:r>
              <w:rPr>
                <w:noProof/>
                <w:webHidden/>
              </w:rPr>
              <w:tab/>
            </w:r>
            <w:r>
              <w:rPr>
                <w:noProof/>
                <w:webHidden/>
              </w:rPr>
              <w:fldChar w:fldCharType="begin"/>
            </w:r>
            <w:r>
              <w:rPr>
                <w:noProof/>
                <w:webHidden/>
              </w:rPr>
              <w:instrText xml:space="preserve"> PAGEREF _Toc153305362 \h </w:instrText>
            </w:r>
            <w:r>
              <w:rPr>
                <w:noProof/>
                <w:webHidden/>
              </w:rPr>
            </w:r>
            <w:r>
              <w:rPr>
                <w:noProof/>
                <w:webHidden/>
              </w:rPr>
              <w:fldChar w:fldCharType="separate"/>
            </w:r>
            <w:r w:rsidR="00300D53">
              <w:rPr>
                <w:noProof/>
                <w:webHidden/>
              </w:rPr>
              <w:t>58</w:t>
            </w:r>
            <w:r>
              <w:rPr>
                <w:noProof/>
                <w:webHidden/>
              </w:rPr>
              <w:fldChar w:fldCharType="end"/>
            </w:r>
          </w:hyperlink>
        </w:p>
        <w:p w14:paraId="1B2EF2AA" w14:textId="7770B256" w:rsidR="00BF5BB1" w:rsidRDefault="00BF5BB1">
          <w:pPr>
            <w:pStyle w:val="TOC1"/>
            <w:tabs>
              <w:tab w:val="right" w:leader="dot" w:pos="9016"/>
            </w:tabs>
            <w:rPr>
              <w:rFonts w:eastAsiaTheme="minorEastAsia"/>
              <w:noProof/>
              <w:kern w:val="0"/>
              <w:lang w:val="en-GB" w:eastAsia="en-GB"/>
              <w14:ligatures w14:val="none"/>
            </w:rPr>
          </w:pPr>
          <w:hyperlink w:anchor="_Toc153305363" w:history="1">
            <w:r w:rsidRPr="00DB6CF1">
              <w:rPr>
                <w:rStyle w:val="Hyperlink"/>
                <w:b/>
                <w:bCs/>
                <w:noProof/>
              </w:rPr>
              <w:t>5.1 Konkurentnost</w:t>
            </w:r>
            <w:r>
              <w:rPr>
                <w:noProof/>
                <w:webHidden/>
              </w:rPr>
              <w:tab/>
            </w:r>
            <w:r>
              <w:rPr>
                <w:noProof/>
                <w:webHidden/>
              </w:rPr>
              <w:fldChar w:fldCharType="begin"/>
            </w:r>
            <w:r>
              <w:rPr>
                <w:noProof/>
                <w:webHidden/>
              </w:rPr>
              <w:instrText xml:space="preserve"> PAGEREF _Toc153305363 \h </w:instrText>
            </w:r>
            <w:r>
              <w:rPr>
                <w:noProof/>
                <w:webHidden/>
              </w:rPr>
            </w:r>
            <w:r>
              <w:rPr>
                <w:noProof/>
                <w:webHidden/>
              </w:rPr>
              <w:fldChar w:fldCharType="separate"/>
            </w:r>
            <w:r w:rsidR="00300D53">
              <w:rPr>
                <w:noProof/>
                <w:webHidden/>
              </w:rPr>
              <w:t>58</w:t>
            </w:r>
            <w:r>
              <w:rPr>
                <w:noProof/>
                <w:webHidden/>
              </w:rPr>
              <w:fldChar w:fldCharType="end"/>
            </w:r>
          </w:hyperlink>
        </w:p>
        <w:p w14:paraId="73201821" w14:textId="11FDD8AE" w:rsidR="00BF5BB1" w:rsidRDefault="00BF5BB1">
          <w:pPr>
            <w:pStyle w:val="TOC1"/>
            <w:tabs>
              <w:tab w:val="right" w:leader="dot" w:pos="9016"/>
            </w:tabs>
            <w:rPr>
              <w:rFonts w:eastAsiaTheme="minorEastAsia"/>
              <w:noProof/>
              <w:kern w:val="0"/>
              <w:lang w:val="en-GB" w:eastAsia="en-GB"/>
              <w14:ligatures w14:val="none"/>
            </w:rPr>
          </w:pPr>
          <w:hyperlink w:anchor="_Toc153305364" w:history="1">
            <w:r w:rsidRPr="00DB6CF1">
              <w:rPr>
                <w:rStyle w:val="Hyperlink"/>
                <w:b/>
                <w:bCs/>
                <w:noProof/>
                <w:lang w:val="sr-Latn-ME"/>
              </w:rPr>
              <w:t>5.2 Održivost i otpornost</w:t>
            </w:r>
            <w:r>
              <w:rPr>
                <w:noProof/>
                <w:webHidden/>
              </w:rPr>
              <w:tab/>
            </w:r>
            <w:r>
              <w:rPr>
                <w:noProof/>
                <w:webHidden/>
              </w:rPr>
              <w:fldChar w:fldCharType="begin"/>
            </w:r>
            <w:r>
              <w:rPr>
                <w:noProof/>
                <w:webHidden/>
              </w:rPr>
              <w:instrText xml:space="preserve"> PAGEREF _Toc153305364 \h </w:instrText>
            </w:r>
            <w:r>
              <w:rPr>
                <w:noProof/>
                <w:webHidden/>
              </w:rPr>
            </w:r>
            <w:r>
              <w:rPr>
                <w:noProof/>
                <w:webHidden/>
              </w:rPr>
              <w:fldChar w:fldCharType="separate"/>
            </w:r>
            <w:r w:rsidR="00300D53">
              <w:rPr>
                <w:noProof/>
                <w:webHidden/>
              </w:rPr>
              <w:t>66</w:t>
            </w:r>
            <w:r>
              <w:rPr>
                <w:noProof/>
                <w:webHidden/>
              </w:rPr>
              <w:fldChar w:fldCharType="end"/>
            </w:r>
          </w:hyperlink>
        </w:p>
        <w:p w14:paraId="314AA8EB" w14:textId="6E2AAC48" w:rsidR="00BF5BB1" w:rsidRDefault="00BF5BB1">
          <w:pPr>
            <w:pStyle w:val="TOC1"/>
            <w:tabs>
              <w:tab w:val="right" w:leader="dot" w:pos="9016"/>
            </w:tabs>
            <w:rPr>
              <w:rFonts w:eastAsiaTheme="minorEastAsia"/>
              <w:noProof/>
              <w:kern w:val="0"/>
              <w:lang w:val="en-GB" w:eastAsia="en-GB"/>
              <w14:ligatures w14:val="none"/>
            </w:rPr>
          </w:pPr>
          <w:hyperlink w:anchor="_Toc153305365" w:history="1">
            <w:r w:rsidRPr="00DB6CF1">
              <w:rPr>
                <w:rStyle w:val="Hyperlink"/>
                <w:b/>
                <w:bCs/>
                <w:noProof/>
                <w:lang w:val="sr-Latn-ME"/>
              </w:rPr>
              <w:t>5.3 Ljudski kapital i socijalne politike</w:t>
            </w:r>
            <w:r>
              <w:rPr>
                <w:noProof/>
                <w:webHidden/>
              </w:rPr>
              <w:tab/>
            </w:r>
            <w:r>
              <w:rPr>
                <w:noProof/>
                <w:webHidden/>
              </w:rPr>
              <w:fldChar w:fldCharType="begin"/>
            </w:r>
            <w:r>
              <w:rPr>
                <w:noProof/>
                <w:webHidden/>
              </w:rPr>
              <w:instrText xml:space="preserve"> PAGEREF _Toc153305365 \h </w:instrText>
            </w:r>
            <w:r>
              <w:rPr>
                <w:noProof/>
                <w:webHidden/>
              </w:rPr>
            </w:r>
            <w:r>
              <w:rPr>
                <w:noProof/>
                <w:webHidden/>
              </w:rPr>
              <w:fldChar w:fldCharType="separate"/>
            </w:r>
            <w:r w:rsidR="00300D53">
              <w:rPr>
                <w:noProof/>
                <w:webHidden/>
              </w:rPr>
              <w:t>81</w:t>
            </w:r>
            <w:r>
              <w:rPr>
                <w:noProof/>
                <w:webHidden/>
              </w:rPr>
              <w:fldChar w:fldCharType="end"/>
            </w:r>
          </w:hyperlink>
        </w:p>
        <w:p w14:paraId="183F0DD3" w14:textId="4F3AE8F7" w:rsidR="00BF5BB1" w:rsidRDefault="00BF5BB1">
          <w:pPr>
            <w:pStyle w:val="TOC1"/>
            <w:tabs>
              <w:tab w:val="right" w:leader="dot" w:pos="9016"/>
            </w:tabs>
            <w:rPr>
              <w:rFonts w:eastAsiaTheme="minorEastAsia"/>
              <w:noProof/>
              <w:kern w:val="0"/>
              <w:lang w:val="en-GB" w:eastAsia="en-GB"/>
              <w14:ligatures w14:val="none"/>
            </w:rPr>
          </w:pPr>
          <w:hyperlink w:anchor="_Toc153305366" w:history="1">
            <w:r w:rsidRPr="00BF5BB1">
              <w:rPr>
                <w:rStyle w:val="Hyperlink"/>
                <w:rFonts w:eastAsia="Calibri"/>
                <w:b/>
                <w:noProof/>
                <w:lang w:val="sr-Latn-RS" w:eastAsia="sr-Cyrl-CS" w:bidi="sr-Cyrl-CS"/>
              </w:rPr>
              <w:t>5.4  Sažetak reformskih mjera</w:t>
            </w:r>
            <w:r>
              <w:rPr>
                <w:noProof/>
                <w:webHidden/>
              </w:rPr>
              <w:tab/>
            </w:r>
            <w:r>
              <w:rPr>
                <w:noProof/>
                <w:webHidden/>
              </w:rPr>
              <w:fldChar w:fldCharType="begin"/>
            </w:r>
            <w:r>
              <w:rPr>
                <w:noProof/>
                <w:webHidden/>
              </w:rPr>
              <w:instrText xml:space="preserve"> PAGEREF _Toc153305366 \h </w:instrText>
            </w:r>
            <w:r>
              <w:rPr>
                <w:noProof/>
                <w:webHidden/>
              </w:rPr>
            </w:r>
            <w:r>
              <w:rPr>
                <w:noProof/>
                <w:webHidden/>
              </w:rPr>
              <w:fldChar w:fldCharType="separate"/>
            </w:r>
            <w:r w:rsidR="00300D53">
              <w:rPr>
                <w:noProof/>
                <w:webHidden/>
              </w:rPr>
              <w:t>92</w:t>
            </w:r>
            <w:r>
              <w:rPr>
                <w:noProof/>
                <w:webHidden/>
              </w:rPr>
              <w:fldChar w:fldCharType="end"/>
            </w:r>
          </w:hyperlink>
        </w:p>
        <w:p w14:paraId="460211F2" w14:textId="2CE9AB79" w:rsidR="00BF5BB1" w:rsidRDefault="00BF5BB1">
          <w:pPr>
            <w:pStyle w:val="TOC1"/>
            <w:tabs>
              <w:tab w:val="right" w:leader="dot" w:pos="9016"/>
            </w:tabs>
            <w:rPr>
              <w:rFonts w:eastAsiaTheme="minorEastAsia"/>
              <w:noProof/>
              <w:kern w:val="0"/>
              <w:lang w:val="en-GB" w:eastAsia="en-GB"/>
              <w14:ligatures w14:val="none"/>
            </w:rPr>
          </w:pPr>
          <w:hyperlink w:anchor="_Toc153305367" w:history="1">
            <w:r w:rsidRPr="00DB6CF1">
              <w:rPr>
                <w:rStyle w:val="Hyperlink"/>
                <w:b/>
                <w:noProof/>
              </w:rPr>
              <w:t>6. TROŠKOVI I FINANSIRANJE STRUKTURNIH REFORMI</w:t>
            </w:r>
            <w:r>
              <w:rPr>
                <w:noProof/>
                <w:webHidden/>
              </w:rPr>
              <w:tab/>
            </w:r>
            <w:r>
              <w:rPr>
                <w:noProof/>
                <w:webHidden/>
              </w:rPr>
              <w:fldChar w:fldCharType="begin"/>
            </w:r>
            <w:r>
              <w:rPr>
                <w:noProof/>
                <w:webHidden/>
              </w:rPr>
              <w:instrText xml:space="preserve"> PAGEREF _Toc153305367 \h </w:instrText>
            </w:r>
            <w:r>
              <w:rPr>
                <w:noProof/>
                <w:webHidden/>
              </w:rPr>
            </w:r>
            <w:r>
              <w:rPr>
                <w:noProof/>
                <w:webHidden/>
              </w:rPr>
              <w:fldChar w:fldCharType="separate"/>
            </w:r>
            <w:r w:rsidR="00300D53">
              <w:rPr>
                <w:noProof/>
                <w:webHidden/>
              </w:rPr>
              <w:t>93</w:t>
            </w:r>
            <w:r>
              <w:rPr>
                <w:noProof/>
                <w:webHidden/>
              </w:rPr>
              <w:fldChar w:fldCharType="end"/>
            </w:r>
          </w:hyperlink>
        </w:p>
        <w:p w14:paraId="652127C6" w14:textId="4124C85A" w:rsidR="009D0E01" w:rsidRPr="00335470" w:rsidRDefault="009D0E01">
          <w:r w:rsidRPr="00335470">
            <w:rPr>
              <w:noProof/>
            </w:rPr>
            <w:fldChar w:fldCharType="end"/>
          </w:r>
        </w:p>
      </w:sdtContent>
    </w:sdt>
    <w:p w14:paraId="0604A6C1" w14:textId="77777777" w:rsidR="0065415E" w:rsidRDefault="0065415E" w:rsidP="0065415E">
      <w:pPr>
        <w:rPr>
          <w:b/>
          <w:bCs/>
          <w:noProof/>
          <w:color w:val="002060"/>
          <w:sz w:val="20"/>
          <w:szCs w:val="20"/>
          <w:lang w:val="pl-PL"/>
        </w:rPr>
      </w:pPr>
    </w:p>
    <w:p w14:paraId="26C625E9" w14:textId="3AE3CD5E" w:rsidR="0065415E" w:rsidRDefault="0065415E" w:rsidP="0065415E">
      <w:pPr>
        <w:rPr>
          <w:b/>
          <w:bCs/>
          <w:noProof/>
          <w:color w:val="002060"/>
          <w:sz w:val="20"/>
          <w:szCs w:val="20"/>
          <w:lang w:val="pl-PL"/>
        </w:rPr>
      </w:pPr>
    </w:p>
    <w:p w14:paraId="504A531C" w14:textId="4C0F9F9D" w:rsidR="00BF5BB1" w:rsidRDefault="00BF5BB1" w:rsidP="0065415E">
      <w:pPr>
        <w:rPr>
          <w:b/>
          <w:bCs/>
          <w:noProof/>
          <w:color w:val="002060"/>
          <w:sz w:val="20"/>
          <w:szCs w:val="20"/>
          <w:lang w:val="pl-PL"/>
        </w:rPr>
      </w:pPr>
      <w:bookmarkStart w:id="1" w:name="_GoBack"/>
      <w:bookmarkEnd w:id="1"/>
    </w:p>
    <w:p w14:paraId="0E6B2693" w14:textId="05945BEA" w:rsidR="00BF5BB1" w:rsidRDefault="00BF5BB1" w:rsidP="0065415E">
      <w:pPr>
        <w:rPr>
          <w:b/>
          <w:bCs/>
          <w:noProof/>
          <w:color w:val="002060"/>
          <w:sz w:val="20"/>
          <w:szCs w:val="20"/>
          <w:lang w:val="pl-PL"/>
        </w:rPr>
      </w:pPr>
    </w:p>
    <w:p w14:paraId="2796C4F3" w14:textId="12780A24" w:rsidR="00BF5BB1" w:rsidRDefault="00BF5BB1" w:rsidP="0065415E">
      <w:pPr>
        <w:rPr>
          <w:b/>
          <w:bCs/>
          <w:noProof/>
          <w:color w:val="002060"/>
          <w:sz w:val="20"/>
          <w:szCs w:val="20"/>
          <w:lang w:val="pl-PL"/>
        </w:rPr>
      </w:pPr>
    </w:p>
    <w:p w14:paraId="2229B131" w14:textId="44254356" w:rsidR="00BF5BB1" w:rsidRDefault="00BF5BB1" w:rsidP="0065415E">
      <w:pPr>
        <w:rPr>
          <w:b/>
          <w:bCs/>
          <w:noProof/>
          <w:color w:val="002060"/>
          <w:sz w:val="20"/>
          <w:szCs w:val="20"/>
          <w:lang w:val="pl-PL"/>
        </w:rPr>
      </w:pPr>
    </w:p>
    <w:p w14:paraId="64950A57" w14:textId="0447E20E" w:rsidR="00BF5BB1" w:rsidRDefault="00BF5BB1" w:rsidP="0065415E">
      <w:pPr>
        <w:rPr>
          <w:b/>
          <w:bCs/>
          <w:noProof/>
          <w:color w:val="002060"/>
          <w:sz w:val="20"/>
          <w:szCs w:val="20"/>
          <w:lang w:val="pl-PL"/>
        </w:rPr>
      </w:pPr>
    </w:p>
    <w:p w14:paraId="54B7F386" w14:textId="0025229D" w:rsidR="00BF5BB1" w:rsidRDefault="00BF5BB1" w:rsidP="0065415E">
      <w:pPr>
        <w:rPr>
          <w:b/>
          <w:bCs/>
          <w:noProof/>
          <w:color w:val="002060"/>
          <w:sz w:val="20"/>
          <w:szCs w:val="20"/>
          <w:lang w:val="pl-PL"/>
        </w:rPr>
      </w:pPr>
    </w:p>
    <w:p w14:paraId="2BAD83BB" w14:textId="247E534C" w:rsidR="00BF5BB1" w:rsidRDefault="00BF5BB1" w:rsidP="0065415E">
      <w:pPr>
        <w:rPr>
          <w:b/>
          <w:bCs/>
          <w:noProof/>
          <w:color w:val="002060"/>
          <w:sz w:val="20"/>
          <w:szCs w:val="20"/>
          <w:lang w:val="pl-PL"/>
        </w:rPr>
      </w:pPr>
    </w:p>
    <w:p w14:paraId="1D4E614E" w14:textId="6179E5E1" w:rsidR="00BF5BB1" w:rsidRDefault="00BF5BB1" w:rsidP="0065415E">
      <w:pPr>
        <w:rPr>
          <w:b/>
          <w:bCs/>
          <w:noProof/>
          <w:color w:val="002060"/>
          <w:sz w:val="20"/>
          <w:szCs w:val="20"/>
          <w:lang w:val="pl-PL"/>
        </w:rPr>
      </w:pPr>
    </w:p>
    <w:p w14:paraId="1C74C37B" w14:textId="329BB281" w:rsidR="00BF5BB1" w:rsidRDefault="00BF5BB1" w:rsidP="0065415E">
      <w:pPr>
        <w:rPr>
          <w:b/>
          <w:bCs/>
          <w:noProof/>
          <w:color w:val="002060"/>
          <w:sz w:val="20"/>
          <w:szCs w:val="20"/>
          <w:lang w:val="pl-PL"/>
        </w:rPr>
      </w:pPr>
    </w:p>
    <w:p w14:paraId="1A1BDACE" w14:textId="542ADF24" w:rsidR="00BF5BB1" w:rsidRDefault="00BF5BB1" w:rsidP="0065415E">
      <w:pPr>
        <w:rPr>
          <w:b/>
          <w:bCs/>
          <w:noProof/>
          <w:color w:val="002060"/>
          <w:sz w:val="20"/>
          <w:szCs w:val="20"/>
          <w:lang w:val="pl-PL"/>
        </w:rPr>
      </w:pPr>
    </w:p>
    <w:p w14:paraId="0BBF5A46" w14:textId="6C7F8D5A" w:rsidR="00BF5BB1" w:rsidRDefault="00BF5BB1" w:rsidP="0065415E">
      <w:pPr>
        <w:rPr>
          <w:b/>
          <w:bCs/>
          <w:noProof/>
          <w:color w:val="002060"/>
          <w:sz w:val="20"/>
          <w:szCs w:val="20"/>
          <w:lang w:val="pl-PL"/>
        </w:rPr>
      </w:pPr>
    </w:p>
    <w:p w14:paraId="745EA6FC" w14:textId="2B798F10" w:rsidR="00BF5BB1" w:rsidRDefault="00BF5BB1" w:rsidP="0065415E">
      <w:pPr>
        <w:rPr>
          <w:b/>
          <w:bCs/>
          <w:noProof/>
          <w:color w:val="002060"/>
          <w:sz w:val="20"/>
          <w:szCs w:val="20"/>
          <w:lang w:val="pl-PL"/>
        </w:rPr>
      </w:pPr>
    </w:p>
    <w:p w14:paraId="717229F5" w14:textId="77777777" w:rsidR="00BF5BB1" w:rsidRDefault="00BF5BB1" w:rsidP="0065415E">
      <w:pPr>
        <w:rPr>
          <w:b/>
          <w:bCs/>
          <w:noProof/>
          <w:color w:val="002060"/>
          <w:sz w:val="20"/>
          <w:szCs w:val="20"/>
          <w:lang w:val="pl-PL"/>
        </w:rPr>
      </w:pPr>
    </w:p>
    <w:p w14:paraId="67EBADED" w14:textId="77777777" w:rsidR="0065415E" w:rsidRDefault="0065415E" w:rsidP="0065415E">
      <w:pPr>
        <w:rPr>
          <w:b/>
          <w:bCs/>
          <w:noProof/>
          <w:color w:val="002060"/>
          <w:sz w:val="20"/>
          <w:szCs w:val="20"/>
          <w:lang w:val="pl-PL"/>
        </w:rPr>
      </w:pPr>
    </w:p>
    <w:p w14:paraId="226EBCA6" w14:textId="7B4F2061" w:rsidR="0065415E" w:rsidRPr="0065415E" w:rsidRDefault="0065415E" w:rsidP="0065415E">
      <w:pPr>
        <w:pStyle w:val="Heading1"/>
        <w:rPr>
          <w:noProof/>
          <w:lang w:val="pl-PL"/>
        </w:rPr>
      </w:pPr>
      <w:bookmarkStart w:id="2" w:name="_Toc153305320"/>
      <w:r w:rsidRPr="0065415E">
        <w:rPr>
          <w:noProof/>
          <w:lang w:val="pl-PL"/>
        </w:rPr>
        <w:lastRenderedPageBreak/>
        <w:t>Lista skraćenica</w:t>
      </w:r>
      <w:bookmarkEnd w:id="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4"/>
        <w:gridCol w:w="3714"/>
        <w:gridCol w:w="966"/>
        <w:gridCol w:w="3252"/>
      </w:tblGrid>
      <w:tr w:rsidR="00EB23BD" w:rsidRPr="008219ED" w14:paraId="012E22F3" w14:textId="77777777" w:rsidTr="00EB23BD">
        <w:tc>
          <w:tcPr>
            <w:tcW w:w="1105" w:type="dxa"/>
          </w:tcPr>
          <w:p w14:paraId="33E8E5E1" w14:textId="77777777" w:rsidR="00EB23BD" w:rsidRPr="008219ED" w:rsidRDefault="00EB23BD" w:rsidP="003A5377">
            <w:pPr>
              <w:rPr>
                <w:rFonts w:cstheme="minorHAnsi"/>
                <w:sz w:val="18"/>
                <w:szCs w:val="18"/>
              </w:rPr>
            </w:pPr>
            <w:bookmarkStart w:id="3" w:name="_Hlk152331730"/>
            <w:r w:rsidRPr="008219ED">
              <w:rPr>
                <w:rFonts w:cstheme="minorHAnsi"/>
                <w:sz w:val="18"/>
                <w:szCs w:val="18"/>
              </w:rPr>
              <w:t>ARS</w:t>
            </w:r>
          </w:p>
        </w:tc>
        <w:tc>
          <w:tcPr>
            <w:tcW w:w="3881" w:type="dxa"/>
          </w:tcPr>
          <w:p w14:paraId="08C7BA90" w14:textId="77777777" w:rsidR="00EB23BD" w:rsidRPr="008219ED" w:rsidRDefault="00EB23BD" w:rsidP="003A5377">
            <w:pPr>
              <w:jc w:val="both"/>
              <w:rPr>
                <w:rFonts w:cstheme="minorHAnsi"/>
                <w:sz w:val="18"/>
                <w:szCs w:val="18"/>
              </w:rPr>
            </w:pPr>
            <w:r w:rsidRPr="008219ED">
              <w:rPr>
                <w:rFonts w:cstheme="minorHAnsi"/>
                <w:sz w:val="18"/>
                <w:szCs w:val="18"/>
              </w:rPr>
              <w:t>Anketa o radnoj snazi</w:t>
            </w:r>
          </w:p>
        </w:tc>
        <w:tc>
          <w:tcPr>
            <w:tcW w:w="975" w:type="dxa"/>
          </w:tcPr>
          <w:p w14:paraId="714CE746" w14:textId="77777777" w:rsidR="00EB23BD" w:rsidRPr="008219ED" w:rsidRDefault="00EB23BD" w:rsidP="003A5377">
            <w:pPr>
              <w:rPr>
                <w:rFonts w:cstheme="minorHAnsi"/>
                <w:sz w:val="18"/>
                <w:szCs w:val="18"/>
              </w:rPr>
            </w:pPr>
            <w:r w:rsidRPr="008219ED">
              <w:rPr>
                <w:rFonts w:cstheme="minorHAnsi"/>
                <w:sz w:val="18"/>
                <w:szCs w:val="18"/>
              </w:rPr>
              <w:t xml:space="preserve">MEIR   </w:t>
            </w:r>
          </w:p>
        </w:tc>
        <w:tc>
          <w:tcPr>
            <w:tcW w:w="3389" w:type="dxa"/>
          </w:tcPr>
          <w:p w14:paraId="2E5154C7" w14:textId="77777777" w:rsidR="00EB23BD" w:rsidRPr="008219ED" w:rsidRDefault="00EB23BD" w:rsidP="003A5377">
            <w:pPr>
              <w:jc w:val="both"/>
              <w:rPr>
                <w:rFonts w:cstheme="minorHAnsi"/>
                <w:sz w:val="18"/>
                <w:szCs w:val="18"/>
              </w:rPr>
            </w:pPr>
            <w:r w:rsidRPr="008219ED">
              <w:rPr>
                <w:rFonts w:cstheme="minorHAnsi"/>
                <w:sz w:val="18"/>
                <w:szCs w:val="18"/>
              </w:rPr>
              <w:t>Ministarstvo energetike i rudarstva</w:t>
            </w:r>
          </w:p>
        </w:tc>
      </w:tr>
      <w:tr w:rsidR="00EB23BD" w:rsidRPr="008219ED" w14:paraId="5B5AC638" w14:textId="77777777" w:rsidTr="00EB23BD">
        <w:tc>
          <w:tcPr>
            <w:tcW w:w="1105" w:type="dxa"/>
          </w:tcPr>
          <w:p w14:paraId="61FF70C8" w14:textId="77777777" w:rsidR="00EB23BD" w:rsidRPr="008219ED" w:rsidRDefault="00EB23BD" w:rsidP="003A5377">
            <w:pPr>
              <w:rPr>
                <w:rFonts w:cstheme="minorHAnsi"/>
                <w:sz w:val="18"/>
                <w:szCs w:val="18"/>
              </w:rPr>
            </w:pPr>
            <w:r w:rsidRPr="008219ED">
              <w:rPr>
                <w:rFonts w:cstheme="minorHAnsi"/>
                <w:sz w:val="18"/>
                <w:szCs w:val="18"/>
              </w:rPr>
              <w:t>AQR</w:t>
            </w:r>
          </w:p>
        </w:tc>
        <w:tc>
          <w:tcPr>
            <w:tcW w:w="3881" w:type="dxa"/>
          </w:tcPr>
          <w:p w14:paraId="1F96A4D1" w14:textId="77777777" w:rsidR="00EB23BD" w:rsidRPr="008219ED" w:rsidRDefault="00EB23BD" w:rsidP="003A5377">
            <w:pPr>
              <w:jc w:val="both"/>
              <w:rPr>
                <w:rFonts w:cstheme="minorHAnsi"/>
                <w:sz w:val="18"/>
                <w:szCs w:val="18"/>
              </w:rPr>
            </w:pPr>
            <w:r w:rsidRPr="008219ED">
              <w:rPr>
                <w:rFonts w:cstheme="minorHAnsi"/>
                <w:sz w:val="18"/>
                <w:szCs w:val="18"/>
              </w:rPr>
              <w:t>Pregled kvaliteta aktive</w:t>
            </w:r>
          </w:p>
        </w:tc>
        <w:tc>
          <w:tcPr>
            <w:tcW w:w="975" w:type="dxa"/>
          </w:tcPr>
          <w:p w14:paraId="713DA40A" w14:textId="77777777" w:rsidR="00EB23BD" w:rsidRPr="008219ED" w:rsidRDefault="00EB23BD" w:rsidP="003A5377">
            <w:pPr>
              <w:rPr>
                <w:rFonts w:cstheme="minorHAnsi"/>
                <w:sz w:val="18"/>
                <w:szCs w:val="18"/>
              </w:rPr>
            </w:pPr>
            <w:r w:rsidRPr="008219ED">
              <w:rPr>
                <w:rFonts w:cstheme="minorHAnsi"/>
                <w:sz w:val="18"/>
                <w:szCs w:val="18"/>
              </w:rPr>
              <w:t>MPNI</w:t>
            </w:r>
          </w:p>
        </w:tc>
        <w:tc>
          <w:tcPr>
            <w:tcW w:w="3389" w:type="dxa"/>
          </w:tcPr>
          <w:p w14:paraId="64CB03B9" w14:textId="77777777" w:rsidR="00EB23BD" w:rsidRPr="008219ED" w:rsidRDefault="00EB23BD" w:rsidP="003A5377">
            <w:pPr>
              <w:jc w:val="both"/>
              <w:rPr>
                <w:rFonts w:cstheme="minorHAnsi"/>
                <w:sz w:val="18"/>
                <w:szCs w:val="18"/>
              </w:rPr>
            </w:pPr>
            <w:r w:rsidRPr="008219ED">
              <w:rPr>
                <w:rFonts w:cstheme="minorHAnsi"/>
                <w:sz w:val="18"/>
                <w:szCs w:val="18"/>
              </w:rPr>
              <w:t>Ministarstvo prosvjete, nauke i inovacija</w:t>
            </w:r>
          </w:p>
        </w:tc>
      </w:tr>
      <w:tr w:rsidR="00EB23BD" w:rsidRPr="008219ED" w14:paraId="7B8676EF" w14:textId="77777777" w:rsidTr="00EB23BD">
        <w:tc>
          <w:tcPr>
            <w:tcW w:w="1105" w:type="dxa"/>
          </w:tcPr>
          <w:p w14:paraId="44732F68" w14:textId="77777777" w:rsidR="00EB23BD" w:rsidRPr="008219ED" w:rsidRDefault="00EB23BD" w:rsidP="003A5377">
            <w:pPr>
              <w:rPr>
                <w:rFonts w:cstheme="minorHAnsi"/>
                <w:sz w:val="18"/>
                <w:szCs w:val="18"/>
              </w:rPr>
            </w:pPr>
            <w:r w:rsidRPr="008219ED">
              <w:rPr>
                <w:rFonts w:cstheme="minorHAnsi"/>
                <w:sz w:val="18"/>
                <w:szCs w:val="18"/>
              </w:rPr>
              <w:t>BDP</w:t>
            </w:r>
          </w:p>
        </w:tc>
        <w:tc>
          <w:tcPr>
            <w:tcW w:w="3881" w:type="dxa"/>
          </w:tcPr>
          <w:p w14:paraId="11EE7330" w14:textId="77777777" w:rsidR="00EB23BD" w:rsidRPr="008219ED" w:rsidRDefault="00EB23BD" w:rsidP="003A5377">
            <w:pPr>
              <w:jc w:val="both"/>
              <w:rPr>
                <w:rFonts w:cstheme="minorHAnsi"/>
                <w:sz w:val="18"/>
                <w:szCs w:val="18"/>
              </w:rPr>
            </w:pPr>
            <w:r w:rsidRPr="008219ED">
              <w:rPr>
                <w:rFonts w:cstheme="minorHAnsi"/>
                <w:sz w:val="18"/>
                <w:szCs w:val="18"/>
              </w:rPr>
              <w:t>Bruto domaći proizvod</w:t>
            </w:r>
          </w:p>
        </w:tc>
        <w:tc>
          <w:tcPr>
            <w:tcW w:w="975" w:type="dxa"/>
          </w:tcPr>
          <w:p w14:paraId="03C5BA14" w14:textId="77777777" w:rsidR="00EB23BD" w:rsidRPr="008219ED" w:rsidRDefault="00EB23BD" w:rsidP="003A5377">
            <w:pPr>
              <w:rPr>
                <w:rFonts w:cstheme="minorHAnsi"/>
                <w:sz w:val="18"/>
                <w:szCs w:val="18"/>
              </w:rPr>
            </w:pPr>
            <w:r w:rsidRPr="008219ED">
              <w:rPr>
                <w:rFonts w:cstheme="minorHAnsi"/>
                <w:sz w:val="18"/>
                <w:szCs w:val="18"/>
              </w:rPr>
              <w:t>MPŠV</w:t>
            </w:r>
          </w:p>
        </w:tc>
        <w:tc>
          <w:tcPr>
            <w:tcW w:w="3389" w:type="dxa"/>
          </w:tcPr>
          <w:p w14:paraId="5380493C" w14:textId="77777777" w:rsidR="00EB23BD" w:rsidRPr="008219ED" w:rsidRDefault="00EB23BD" w:rsidP="003A5377">
            <w:pPr>
              <w:jc w:val="both"/>
              <w:rPr>
                <w:rFonts w:cstheme="minorHAnsi"/>
                <w:sz w:val="18"/>
                <w:szCs w:val="18"/>
              </w:rPr>
            </w:pPr>
            <w:r w:rsidRPr="008219ED">
              <w:rPr>
                <w:rFonts w:cstheme="minorHAnsi"/>
                <w:sz w:val="18"/>
                <w:szCs w:val="18"/>
              </w:rPr>
              <w:t>Ministarstvo poljoprivrede, šumarstva i vodoprivrede</w:t>
            </w:r>
          </w:p>
        </w:tc>
      </w:tr>
      <w:tr w:rsidR="00EB23BD" w:rsidRPr="008219ED" w14:paraId="7459E229" w14:textId="77777777" w:rsidTr="00EB23BD">
        <w:tc>
          <w:tcPr>
            <w:tcW w:w="1105" w:type="dxa"/>
          </w:tcPr>
          <w:p w14:paraId="708D9D7E" w14:textId="77777777" w:rsidR="00EB23BD" w:rsidRPr="008219ED" w:rsidRDefault="00EB23BD" w:rsidP="003A5377">
            <w:pPr>
              <w:rPr>
                <w:rFonts w:cstheme="minorHAnsi"/>
                <w:sz w:val="18"/>
                <w:szCs w:val="18"/>
              </w:rPr>
            </w:pPr>
            <w:r w:rsidRPr="008219ED">
              <w:rPr>
                <w:rFonts w:cstheme="minorHAnsi"/>
                <w:sz w:val="18"/>
                <w:szCs w:val="18"/>
              </w:rPr>
              <w:t>CBCG</w:t>
            </w:r>
          </w:p>
        </w:tc>
        <w:tc>
          <w:tcPr>
            <w:tcW w:w="3881" w:type="dxa"/>
          </w:tcPr>
          <w:p w14:paraId="03DFCF8E" w14:textId="77777777" w:rsidR="00EB23BD" w:rsidRPr="008219ED" w:rsidRDefault="00EB23BD" w:rsidP="003A5377">
            <w:pPr>
              <w:jc w:val="both"/>
              <w:rPr>
                <w:rFonts w:cstheme="minorHAnsi"/>
                <w:sz w:val="18"/>
                <w:szCs w:val="18"/>
              </w:rPr>
            </w:pPr>
            <w:r w:rsidRPr="008219ED">
              <w:rPr>
                <w:rFonts w:cstheme="minorHAnsi"/>
                <w:sz w:val="18"/>
                <w:szCs w:val="18"/>
              </w:rPr>
              <w:t>Centralna banka Crne Gore</w:t>
            </w:r>
          </w:p>
        </w:tc>
        <w:tc>
          <w:tcPr>
            <w:tcW w:w="975" w:type="dxa"/>
          </w:tcPr>
          <w:p w14:paraId="3C2A39E7" w14:textId="77777777" w:rsidR="00EB23BD" w:rsidRPr="008219ED" w:rsidRDefault="00EB23BD" w:rsidP="003A5377">
            <w:pPr>
              <w:rPr>
                <w:rFonts w:cstheme="minorHAnsi"/>
                <w:sz w:val="18"/>
                <w:szCs w:val="18"/>
              </w:rPr>
            </w:pPr>
            <w:r w:rsidRPr="008219ED">
              <w:rPr>
                <w:rFonts w:cstheme="minorHAnsi"/>
                <w:sz w:val="18"/>
                <w:szCs w:val="18"/>
              </w:rPr>
              <w:t>MSP</w:t>
            </w:r>
          </w:p>
        </w:tc>
        <w:tc>
          <w:tcPr>
            <w:tcW w:w="3389" w:type="dxa"/>
          </w:tcPr>
          <w:p w14:paraId="3AFC190D" w14:textId="77777777" w:rsidR="00EB23BD" w:rsidRPr="008219ED" w:rsidRDefault="00EB23BD" w:rsidP="003A5377">
            <w:pPr>
              <w:jc w:val="both"/>
              <w:rPr>
                <w:rFonts w:cstheme="minorHAnsi"/>
                <w:sz w:val="18"/>
                <w:szCs w:val="18"/>
              </w:rPr>
            </w:pPr>
            <w:r w:rsidRPr="008219ED">
              <w:rPr>
                <w:rFonts w:cstheme="minorHAnsi"/>
                <w:sz w:val="18"/>
                <w:szCs w:val="18"/>
              </w:rPr>
              <w:t>Ministarstvo saobraćaja i pomorstva</w:t>
            </w:r>
          </w:p>
        </w:tc>
      </w:tr>
      <w:tr w:rsidR="00EB23BD" w:rsidRPr="008219ED" w14:paraId="3FE23EF9" w14:textId="77777777" w:rsidTr="00EB23BD">
        <w:tc>
          <w:tcPr>
            <w:tcW w:w="1105" w:type="dxa"/>
          </w:tcPr>
          <w:p w14:paraId="374621F3" w14:textId="77777777" w:rsidR="00EB23BD" w:rsidRPr="008219ED" w:rsidRDefault="00EB23BD" w:rsidP="003A5377">
            <w:pPr>
              <w:rPr>
                <w:rFonts w:cstheme="minorHAnsi"/>
                <w:sz w:val="18"/>
                <w:szCs w:val="18"/>
              </w:rPr>
            </w:pPr>
            <w:r w:rsidRPr="008219ED">
              <w:rPr>
                <w:rFonts w:cstheme="minorHAnsi"/>
                <w:sz w:val="18"/>
                <w:szCs w:val="18"/>
              </w:rPr>
              <w:t xml:space="preserve">CEFTA  </w:t>
            </w:r>
          </w:p>
        </w:tc>
        <w:tc>
          <w:tcPr>
            <w:tcW w:w="3881" w:type="dxa"/>
          </w:tcPr>
          <w:p w14:paraId="18914637" w14:textId="77777777" w:rsidR="00EB23BD" w:rsidRPr="008219ED" w:rsidRDefault="00EB23BD" w:rsidP="003A5377">
            <w:pPr>
              <w:jc w:val="both"/>
              <w:rPr>
                <w:rFonts w:cstheme="minorHAnsi"/>
                <w:sz w:val="18"/>
                <w:szCs w:val="18"/>
              </w:rPr>
            </w:pPr>
            <w:r w:rsidRPr="008219ED">
              <w:rPr>
                <w:rFonts w:cstheme="minorHAnsi"/>
                <w:sz w:val="18"/>
                <w:szCs w:val="18"/>
              </w:rPr>
              <w:t>Centralno-evropski sporazum o slobodnoj trgovini</w:t>
            </w:r>
          </w:p>
        </w:tc>
        <w:tc>
          <w:tcPr>
            <w:tcW w:w="975" w:type="dxa"/>
          </w:tcPr>
          <w:p w14:paraId="183F64C7" w14:textId="77777777" w:rsidR="00EB23BD" w:rsidRPr="008219ED" w:rsidRDefault="00EB23BD" w:rsidP="003A5377">
            <w:pPr>
              <w:rPr>
                <w:rFonts w:cstheme="minorHAnsi"/>
                <w:sz w:val="18"/>
                <w:szCs w:val="18"/>
              </w:rPr>
            </w:pPr>
            <w:r w:rsidRPr="008219ED">
              <w:rPr>
                <w:rFonts w:cstheme="minorHAnsi"/>
                <w:sz w:val="18"/>
                <w:szCs w:val="18"/>
              </w:rPr>
              <w:t>MMF</w:t>
            </w:r>
          </w:p>
        </w:tc>
        <w:tc>
          <w:tcPr>
            <w:tcW w:w="3389" w:type="dxa"/>
          </w:tcPr>
          <w:p w14:paraId="5309F3FE" w14:textId="77777777" w:rsidR="00EB23BD" w:rsidRPr="008219ED" w:rsidRDefault="00EB23BD" w:rsidP="003A5377">
            <w:pPr>
              <w:jc w:val="both"/>
              <w:rPr>
                <w:rFonts w:cstheme="minorHAnsi"/>
                <w:sz w:val="18"/>
                <w:szCs w:val="18"/>
              </w:rPr>
            </w:pPr>
            <w:r w:rsidRPr="008219ED">
              <w:rPr>
                <w:rFonts w:cstheme="minorHAnsi"/>
                <w:sz w:val="18"/>
                <w:szCs w:val="18"/>
              </w:rPr>
              <w:t>Međunarodni monetarni fond</w:t>
            </w:r>
          </w:p>
        </w:tc>
      </w:tr>
      <w:tr w:rsidR="00EB23BD" w:rsidRPr="008219ED" w14:paraId="2E71128C" w14:textId="77777777" w:rsidTr="00EB23BD">
        <w:tc>
          <w:tcPr>
            <w:tcW w:w="1105" w:type="dxa"/>
          </w:tcPr>
          <w:p w14:paraId="6596BF48" w14:textId="77777777" w:rsidR="00EB23BD" w:rsidRPr="008219ED" w:rsidRDefault="00EB23BD" w:rsidP="003A5377">
            <w:pPr>
              <w:rPr>
                <w:rFonts w:cstheme="minorHAnsi"/>
                <w:sz w:val="18"/>
                <w:szCs w:val="18"/>
              </w:rPr>
            </w:pPr>
            <w:r w:rsidRPr="008219ED">
              <w:rPr>
                <w:rFonts w:cstheme="minorHAnsi"/>
                <w:sz w:val="18"/>
                <w:szCs w:val="18"/>
              </w:rPr>
              <w:t xml:space="preserve">DP </w:t>
            </w:r>
          </w:p>
        </w:tc>
        <w:tc>
          <w:tcPr>
            <w:tcW w:w="3881" w:type="dxa"/>
          </w:tcPr>
          <w:p w14:paraId="63350B6A" w14:textId="77777777" w:rsidR="00EB23BD" w:rsidRPr="008219ED" w:rsidRDefault="00EB23BD" w:rsidP="003A5377">
            <w:pPr>
              <w:jc w:val="both"/>
              <w:rPr>
                <w:rFonts w:cstheme="minorHAnsi"/>
                <w:sz w:val="18"/>
                <w:szCs w:val="18"/>
              </w:rPr>
            </w:pPr>
            <w:r w:rsidRPr="008219ED">
              <w:rPr>
                <w:rFonts w:cstheme="minorHAnsi"/>
                <w:sz w:val="18"/>
                <w:szCs w:val="18"/>
              </w:rPr>
              <w:t>Državna preduzeća</w:t>
            </w:r>
          </w:p>
        </w:tc>
        <w:tc>
          <w:tcPr>
            <w:tcW w:w="975" w:type="dxa"/>
          </w:tcPr>
          <w:p w14:paraId="0503CEAF" w14:textId="77777777" w:rsidR="00EB23BD" w:rsidRPr="008219ED" w:rsidRDefault="00EB23BD" w:rsidP="003A5377">
            <w:pPr>
              <w:rPr>
                <w:rFonts w:cstheme="minorHAnsi"/>
                <w:sz w:val="18"/>
                <w:szCs w:val="18"/>
              </w:rPr>
            </w:pPr>
            <w:r w:rsidRPr="008219ED">
              <w:rPr>
                <w:rFonts w:cstheme="minorHAnsi"/>
                <w:sz w:val="18"/>
                <w:szCs w:val="18"/>
              </w:rPr>
              <w:t xml:space="preserve">Monstat  </w:t>
            </w:r>
          </w:p>
        </w:tc>
        <w:tc>
          <w:tcPr>
            <w:tcW w:w="3389" w:type="dxa"/>
          </w:tcPr>
          <w:p w14:paraId="7E1CB5A2" w14:textId="77777777" w:rsidR="00EB23BD" w:rsidRPr="008219ED" w:rsidRDefault="00EB23BD" w:rsidP="003A5377">
            <w:pPr>
              <w:jc w:val="both"/>
              <w:rPr>
                <w:rFonts w:cstheme="minorHAnsi"/>
                <w:sz w:val="18"/>
                <w:szCs w:val="18"/>
              </w:rPr>
            </w:pPr>
            <w:r w:rsidRPr="008219ED">
              <w:rPr>
                <w:rFonts w:cstheme="minorHAnsi"/>
                <w:sz w:val="18"/>
                <w:szCs w:val="18"/>
              </w:rPr>
              <w:t>Uprava za statistiku CG</w:t>
            </w:r>
          </w:p>
        </w:tc>
      </w:tr>
      <w:tr w:rsidR="00EB23BD" w:rsidRPr="008219ED" w14:paraId="03FC203E" w14:textId="77777777" w:rsidTr="00EB23BD">
        <w:tc>
          <w:tcPr>
            <w:tcW w:w="1105" w:type="dxa"/>
          </w:tcPr>
          <w:p w14:paraId="42E140BA" w14:textId="77777777" w:rsidR="00EB23BD" w:rsidRPr="008219ED" w:rsidRDefault="00EB23BD" w:rsidP="003A5377">
            <w:pPr>
              <w:rPr>
                <w:rFonts w:cstheme="minorHAnsi"/>
                <w:sz w:val="18"/>
                <w:szCs w:val="18"/>
              </w:rPr>
            </w:pPr>
            <w:r w:rsidRPr="008219ED">
              <w:rPr>
                <w:rFonts w:cstheme="minorHAnsi"/>
                <w:sz w:val="18"/>
                <w:szCs w:val="18"/>
              </w:rPr>
              <w:t>EK</w:t>
            </w:r>
          </w:p>
        </w:tc>
        <w:tc>
          <w:tcPr>
            <w:tcW w:w="3881" w:type="dxa"/>
          </w:tcPr>
          <w:p w14:paraId="567CFE6E" w14:textId="77777777" w:rsidR="00EB23BD" w:rsidRPr="008219ED" w:rsidRDefault="00EB23BD" w:rsidP="003A5377">
            <w:pPr>
              <w:jc w:val="both"/>
              <w:rPr>
                <w:rFonts w:cstheme="minorHAnsi"/>
                <w:sz w:val="18"/>
                <w:szCs w:val="18"/>
              </w:rPr>
            </w:pPr>
            <w:r w:rsidRPr="008219ED">
              <w:rPr>
                <w:rFonts w:cstheme="minorHAnsi"/>
                <w:sz w:val="18"/>
                <w:szCs w:val="18"/>
              </w:rPr>
              <w:t>Evropska komisija</w:t>
            </w:r>
          </w:p>
        </w:tc>
        <w:tc>
          <w:tcPr>
            <w:tcW w:w="975" w:type="dxa"/>
          </w:tcPr>
          <w:p w14:paraId="14399A28" w14:textId="77777777" w:rsidR="00EB23BD" w:rsidRPr="008219ED" w:rsidRDefault="00EB23BD" w:rsidP="003A5377">
            <w:pPr>
              <w:rPr>
                <w:rFonts w:cstheme="minorHAnsi"/>
                <w:sz w:val="18"/>
                <w:szCs w:val="18"/>
              </w:rPr>
            </w:pPr>
            <w:r w:rsidRPr="008219ED">
              <w:rPr>
                <w:rFonts w:cstheme="minorHAnsi"/>
                <w:sz w:val="18"/>
                <w:szCs w:val="18"/>
              </w:rPr>
              <w:t>MF</w:t>
            </w:r>
          </w:p>
        </w:tc>
        <w:tc>
          <w:tcPr>
            <w:tcW w:w="3389" w:type="dxa"/>
          </w:tcPr>
          <w:p w14:paraId="00DB9BFE" w14:textId="77777777" w:rsidR="00EB23BD" w:rsidRPr="008219ED" w:rsidRDefault="00EB23BD" w:rsidP="003A5377">
            <w:pPr>
              <w:jc w:val="both"/>
              <w:rPr>
                <w:rFonts w:cstheme="minorHAnsi"/>
                <w:sz w:val="18"/>
                <w:szCs w:val="18"/>
              </w:rPr>
            </w:pPr>
            <w:r w:rsidRPr="008219ED">
              <w:rPr>
                <w:rFonts w:cstheme="minorHAnsi"/>
                <w:sz w:val="18"/>
                <w:szCs w:val="18"/>
              </w:rPr>
              <w:t>Ministarstvo finansija</w:t>
            </w:r>
            <w:r w:rsidRPr="008219ED">
              <w:rPr>
                <w:rFonts w:cstheme="minorHAnsi"/>
                <w:sz w:val="18"/>
                <w:szCs w:val="18"/>
              </w:rPr>
              <w:tab/>
            </w:r>
          </w:p>
        </w:tc>
      </w:tr>
      <w:tr w:rsidR="00EB23BD" w:rsidRPr="008219ED" w14:paraId="74AF1901" w14:textId="77777777" w:rsidTr="00EB23BD">
        <w:tc>
          <w:tcPr>
            <w:tcW w:w="1105" w:type="dxa"/>
          </w:tcPr>
          <w:p w14:paraId="7A6D8A24" w14:textId="77777777" w:rsidR="00EB23BD" w:rsidRPr="008219ED" w:rsidRDefault="00EB23BD" w:rsidP="003A5377">
            <w:pPr>
              <w:rPr>
                <w:rFonts w:cstheme="minorHAnsi"/>
                <w:sz w:val="18"/>
                <w:szCs w:val="18"/>
              </w:rPr>
            </w:pPr>
            <w:r w:rsidRPr="008219ED">
              <w:rPr>
                <w:rFonts w:cstheme="minorHAnsi"/>
                <w:sz w:val="18"/>
                <w:szCs w:val="18"/>
              </w:rPr>
              <w:t>EU</w:t>
            </w:r>
          </w:p>
        </w:tc>
        <w:tc>
          <w:tcPr>
            <w:tcW w:w="3881" w:type="dxa"/>
          </w:tcPr>
          <w:p w14:paraId="57598570" w14:textId="77777777" w:rsidR="00EB23BD" w:rsidRPr="008219ED" w:rsidRDefault="00EB23BD" w:rsidP="003A5377">
            <w:pPr>
              <w:jc w:val="both"/>
              <w:rPr>
                <w:rFonts w:cstheme="minorHAnsi"/>
                <w:sz w:val="18"/>
                <w:szCs w:val="18"/>
              </w:rPr>
            </w:pPr>
            <w:r w:rsidRPr="008219ED">
              <w:rPr>
                <w:rFonts w:cstheme="minorHAnsi"/>
                <w:sz w:val="18"/>
                <w:szCs w:val="18"/>
              </w:rPr>
              <w:t>Evropska unija</w:t>
            </w:r>
          </w:p>
        </w:tc>
        <w:tc>
          <w:tcPr>
            <w:tcW w:w="975" w:type="dxa"/>
          </w:tcPr>
          <w:p w14:paraId="20610C1B" w14:textId="77777777" w:rsidR="00EB23BD" w:rsidRPr="008219ED" w:rsidRDefault="00EB23BD" w:rsidP="003A5377">
            <w:pPr>
              <w:rPr>
                <w:rFonts w:cstheme="minorHAnsi"/>
                <w:sz w:val="18"/>
                <w:szCs w:val="18"/>
              </w:rPr>
            </w:pPr>
            <w:r w:rsidRPr="008219ED">
              <w:rPr>
                <w:rFonts w:cstheme="minorHAnsi"/>
                <w:sz w:val="18"/>
                <w:szCs w:val="18"/>
              </w:rPr>
              <w:t>MEEP</w:t>
            </w:r>
          </w:p>
        </w:tc>
        <w:tc>
          <w:tcPr>
            <w:tcW w:w="3389" w:type="dxa"/>
          </w:tcPr>
          <w:p w14:paraId="461A294C" w14:textId="77777777" w:rsidR="00EB23BD" w:rsidRPr="008219ED" w:rsidRDefault="00EB23BD" w:rsidP="003A5377">
            <w:pPr>
              <w:jc w:val="both"/>
              <w:rPr>
                <w:rFonts w:cstheme="minorHAnsi"/>
                <w:sz w:val="18"/>
                <w:szCs w:val="18"/>
              </w:rPr>
            </w:pPr>
            <w:r w:rsidRPr="008219ED">
              <w:rPr>
                <w:rFonts w:cstheme="minorHAnsi"/>
                <w:sz w:val="18"/>
                <w:szCs w:val="18"/>
              </w:rPr>
              <w:t xml:space="preserve">Projekat energetske efikasnosti Crne Gore </w:t>
            </w:r>
          </w:p>
        </w:tc>
      </w:tr>
      <w:tr w:rsidR="00EB23BD" w:rsidRPr="008219ED" w14:paraId="69E9A904" w14:textId="77777777" w:rsidTr="00EB23BD">
        <w:tc>
          <w:tcPr>
            <w:tcW w:w="1105" w:type="dxa"/>
          </w:tcPr>
          <w:p w14:paraId="7C5F37BE" w14:textId="77777777" w:rsidR="00EB23BD" w:rsidRPr="008219ED" w:rsidRDefault="00EB23BD" w:rsidP="003A5377">
            <w:pPr>
              <w:rPr>
                <w:rFonts w:cstheme="minorHAnsi"/>
                <w:sz w:val="18"/>
                <w:szCs w:val="18"/>
              </w:rPr>
            </w:pPr>
            <w:r w:rsidRPr="008219ED">
              <w:rPr>
                <w:rFonts w:cstheme="minorHAnsi"/>
                <w:sz w:val="18"/>
                <w:szCs w:val="18"/>
              </w:rPr>
              <w:t>IPA</w:t>
            </w:r>
          </w:p>
        </w:tc>
        <w:tc>
          <w:tcPr>
            <w:tcW w:w="3881" w:type="dxa"/>
          </w:tcPr>
          <w:p w14:paraId="6BEA61F1" w14:textId="77777777" w:rsidR="00EB23BD" w:rsidRPr="008219ED" w:rsidRDefault="00EB23BD" w:rsidP="003A5377">
            <w:pPr>
              <w:jc w:val="both"/>
              <w:rPr>
                <w:rFonts w:cstheme="minorHAnsi"/>
                <w:sz w:val="18"/>
                <w:szCs w:val="18"/>
              </w:rPr>
            </w:pPr>
            <w:r w:rsidRPr="008219ED">
              <w:rPr>
                <w:rFonts w:cstheme="minorHAnsi"/>
                <w:sz w:val="18"/>
                <w:szCs w:val="18"/>
              </w:rPr>
              <w:t>Pretpristupni instrument</w:t>
            </w:r>
          </w:p>
        </w:tc>
        <w:tc>
          <w:tcPr>
            <w:tcW w:w="975" w:type="dxa"/>
          </w:tcPr>
          <w:p w14:paraId="19BC4660" w14:textId="77777777" w:rsidR="00EB23BD" w:rsidRPr="008219ED" w:rsidRDefault="00EB23BD" w:rsidP="003A5377">
            <w:pPr>
              <w:rPr>
                <w:rFonts w:cstheme="minorHAnsi"/>
                <w:sz w:val="18"/>
                <w:szCs w:val="18"/>
              </w:rPr>
            </w:pPr>
            <w:r w:rsidRPr="008219ED">
              <w:rPr>
                <w:rFonts w:cstheme="minorHAnsi"/>
                <w:sz w:val="18"/>
                <w:szCs w:val="18"/>
              </w:rPr>
              <w:t>NSFR</w:t>
            </w:r>
          </w:p>
        </w:tc>
        <w:tc>
          <w:tcPr>
            <w:tcW w:w="3389" w:type="dxa"/>
          </w:tcPr>
          <w:p w14:paraId="66E49309" w14:textId="77777777" w:rsidR="00EB23BD" w:rsidRPr="008219ED" w:rsidRDefault="00EB23BD" w:rsidP="003A5377">
            <w:pPr>
              <w:jc w:val="both"/>
              <w:rPr>
                <w:rFonts w:cstheme="minorHAnsi"/>
                <w:sz w:val="18"/>
                <w:szCs w:val="18"/>
              </w:rPr>
            </w:pPr>
            <w:r w:rsidRPr="008219ED">
              <w:rPr>
                <w:rFonts w:cstheme="minorHAnsi"/>
                <w:sz w:val="18"/>
                <w:szCs w:val="18"/>
              </w:rPr>
              <w:t>Koeficijent neto stabilnih izvora finansiranja</w:t>
            </w:r>
          </w:p>
        </w:tc>
      </w:tr>
      <w:tr w:rsidR="00EB23BD" w:rsidRPr="008219ED" w14:paraId="1A523350" w14:textId="77777777" w:rsidTr="00EB23BD">
        <w:tc>
          <w:tcPr>
            <w:tcW w:w="1105" w:type="dxa"/>
          </w:tcPr>
          <w:p w14:paraId="4405FC1C" w14:textId="77777777" w:rsidR="00EB23BD" w:rsidRPr="008219ED" w:rsidRDefault="00EB23BD" w:rsidP="003A5377">
            <w:pPr>
              <w:rPr>
                <w:rFonts w:cstheme="minorHAnsi"/>
                <w:sz w:val="18"/>
                <w:szCs w:val="18"/>
              </w:rPr>
            </w:pPr>
            <w:r w:rsidRPr="008219ED">
              <w:rPr>
                <w:rFonts w:cstheme="minorHAnsi"/>
                <w:sz w:val="18"/>
                <w:szCs w:val="18"/>
              </w:rPr>
              <w:t>IRF</w:t>
            </w:r>
          </w:p>
        </w:tc>
        <w:tc>
          <w:tcPr>
            <w:tcW w:w="3881" w:type="dxa"/>
          </w:tcPr>
          <w:p w14:paraId="34A5891A" w14:textId="77777777" w:rsidR="00EB23BD" w:rsidRPr="008219ED" w:rsidRDefault="00EB23BD" w:rsidP="003A5377">
            <w:pPr>
              <w:jc w:val="both"/>
              <w:rPr>
                <w:rFonts w:cstheme="minorHAnsi"/>
                <w:sz w:val="18"/>
                <w:szCs w:val="18"/>
              </w:rPr>
            </w:pPr>
            <w:r w:rsidRPr="008219ED">
              <w:rPr>
                <w:rFonts w:cstheme="minorHAnsi"/>
                <w:sz w:val="18"/>
                <w:szCs w:val="18"/>
              </w:rPr>
              <w:t>Investiciono-razvojni fond Crne Gore</w:t>
            </w:r>
          </w:p>
        </w:tc>
        <w:tc>
          <w:tcPr>
            <w:tcW w:w="975" w:type="dxa"/>
          </w:tcPr>
          <w:p w14:paraId="4D89767F" w14:textId="77777777" w:rsidR="00EB23BD" w:rsidRPr="008219ED" w:rsidRDefault="00EB23BD" w:rsidP="003A5377">
            <w:pPr>
              <w:rPr>
                <w:rFonts w:cstheme="minorHAnsi"/>
                <w:sz w:val="18"/>
                <w:szCs w:val="18"/>
              </w:rPr>
            </w:pPr>
            <w:r w:rsidRPr="008219ED">
              <w:rPr>
                <w:rFonts w:cstheme="minorHAnsi"/>
                <w:sz w:val="18"/>
                <w:szCs w:val="18"/>
              </w:rPr>
              <w:t>NECP</w:t>
            </w:r>
          </w:p>
        </w:tc>
        <w:tc>
          <w:tcPr>
            <w:tcW w:w="3389" w:type="dxa"/>
          </w:tcPr>
          <w:p w14:paraId="2D93CDFD" w14:textId="77777777" w:rsidR="00EB23BD" w:rsidRPr="008219ED" w:rsidRDefault="00EB23BD" w:rsidP="003A5377">
            <w:pPr>
              <w:jc w:val="both"/>
              <w:rPr>
                <w:rFonts w:cstheme="minorHAnsi"/>
                <w:sz w:val="18"/>
                <w:szCs w:val="18"/>
              </w:rPr>
            </w:pPr>
            <w:r w:rsidRPr="008219ED">
              <w:rPr>
                <w:rFonts w:cstheme="minorHAnsi"/>
                <w:sz w:val="18"/>
                <w:szCs w:val="18"/>
              </w:rPr>
              <w:t>Nacionalni energetski i klimatski plan</w:t>
            </w:r>
          </w:p>
        </w:tc>
      </w:tr>
      <w:tr w:rsidR="00EB23BD" w:rsidRPr="008219ED" w14:paraId="0846448C" w14:textId="77777777" w:rsidTr="00EB23BD">
        <w:tc>
          <w:tcPr>
            <w:tcW w:w="1105" w:type="dxa"/>
          </w:tcPr>
          <w:p w14:paraId="5E8733B7" w14:textId="77777777" w:rsidR="00EB23BD" w:rsidRPr="008219ED" w:rsidRDefault="00EB23BD" w:rsidP="003A5377">
            <w:pPr>
              <w:rPr>
                <w:rFonts w:cstheme="minorHAnsi"/>
                <w:sz w:val="18"/>
                <w:szCs w:val="18"/>
              </w:rPr>
            </w:pPr>
            <w:r w:rsidRPr="008219ED">
              <w:rPr>
                <w:rFonts w:cstheme="minorHAnsi"/>
                <w:sz w:val="18"/>
                <w:szCs w:val="18"/>
              </w:rPr>
              <w:t>IRMS</w:t>
            </w:r>
          </w:p>
        </w:tc>
        <w:tc>
          <w:tcPr>
            <w:tcW w:w="3881" w:type="dxa"/>
          </w:tcPr>
          <w:p w14:paraId="03D7E167" w14:textId="77777777" w:rsidR="00EB23BD" w:rsidRPr="008219ED" w:rsidRDefault="00EB23BD" w:rsidP="003A5377">
            <w:pPr>
              <w:jc w:val="both"/>
              <w:rPr>
                <w:rFonts w:cstheme="minorHAnsi"/>
                <w:sz w:val="18"/>
                <w:szCs w:val="18"/>
              </w:rPr>
            </w:pPr>
            <w:r w:rsidRPr="008219ED">
              <w:rPr>
                <w:rFonts w:cstheme="minorHAnsi"/>
                <w:sz w:val="18"/>
                <w:szCs w:val="18"/>
              </w:rPr>
              <w:t>Integrisani sistem upravljanja prihodima</w:t>
            </w:r>
          </w:p>
        </w:tc>
        <w:tc>
          <w:tcPr>
            <w:tcW w:w="975" w:type="dxa"/>
          </w:tcPr>
          <w:p w14:paraId="0BEEF1CE" w14:textId="77777777" w:rsidR="00EB23BD" w:rsidRPr="008219ED" w:rsidRDefault="00EB23BD" w:rsidP="003A5377">
            <w:pPr>
              <w:rPr>
                <w:rFonts w:cstheme="minorHAnsi"/>
                <w:sz w:val="18"/>
                <w:szCs w:val="18"/>
              </w:rPr>
            </w:pPr>
            <w:r w:rsidRPr="008219ED">
              <w:rPr>
                <w:rFonts w:cstheme="minorHAnsi"/>
                <w:sz w:val="18"/>
                <w:szCs w:val="18"/>
              </w:rPr>
              <w:t>OECD</w:t>
            </w:r>
          </w:p>
        </w:tc>
        <w:tc>
          <w:tcPr>
            <w:tcW w:w="3389" w:type="dxa"/>
          </w:tcPr>
          <w:p w14:paraId="68BF26F4" w14:textId="77777777" w:rsidR="00EB23BD" w:rsidRPr="008219ED" w:rsidRDefault="00EB23BD" w:rsidP="003A5377">
            <w:pPr>
              <w:jc w:val="both"/>
              <w:rPr>
                <w:rFonts w:cstheme="minorHAnsi"/>
                <w:sz w:val="18"/>
                <w:szCs w:val="18"/>
              </w:rPr>
            </w:pPr>
            <w:r w:rsidRPr="008219ED">
              <w:rPr>
                <w:rFonts w:cstheme="minorHAnsi"/>
                <w:sz w:val="18"/>
                <w:szCs w:val="18"/>
              </w:rPr>
              <w:t>Organizacija za ekonomski razvoj i saradnju</w:t>
            </w:r>
          </w:p>
        </w:tc>
      </w:tr>
      <w:tr w:rsidR="00EB23BD" w:rsidRPr="008219ED" w14:paraId="3EC2A6D0" w14:textId="77777777" w:rsidTr="00EB23BD">
        <w:tc>
          <w:tcPr>
            <w:tcW w:w="1105" w:type="dxa"/>
          </w:tcPr>
          <w:p w14:paraId="0AC0638A" w14:textId="77777777" w:rsidR="00EB23BD" w:rsidRPr="008219ED" w:rsidRDefault="00EB23BD" w:rsidP="003A5377">
            <w:pPr>
              <w:rPr>
                <w:rFonts w:cstheme="minorHAnsi"/>
                <w:sz w:val="18"/>
                <w:szCs w:val="18"/>
              </w:rPr>
            </w:pPr>
            <w:r w:rsidRPr="008219ED">
              <w:rPr>
                <w:rFonts w:cstheme="minorHAnsi"/>
                <w:sz w:val="18"/>
                <w:szCs w:val="18"/>
              </w:rPr>
              <w:t>JLS</w:t>
            </w:r>
          </w:p>
        </w:tc>
        <w:tc>
          <w:tcPr>
            <w:tcW w:w="3881" w:type="dxa"/>
          </w:tcPr>
          <w:p w14:paraId="11B74CD9" w14:textId="77777777" w:rsidR="00EB23BD" w:rsidRPr="008219ED" w:rsidRDefault="00EB23BD" w:rsidP="003A5377">
            <w:pPr>
              <w:jc w:val="both"/>
              <w:rPr>
                <w:rFonts w:cstheme="minorHAnsi"/>
                <w:sz w:val="18"/>
                <w:szCs w:val="18"/>
              </w:rPr>
            </w:pPr>
            <w:r w:rsidRPr="008219ED">
              <w:rPr>
                <w:rFonts w:cstheme="minorHAnsi"/>
                <w:sz w:val="18"/>
                <w:szCs w:val="18"/>
              </w:rPr>
              <w:t>Jedinica lokalne samouprave</w:t>
            </w:r>
          </w:p>
        </w:tc>
        <w:tc>
          <w:tcPr>
            <w:tcW w:w="975" w:type="dxa"/>
          </w:tcPr>
          <w:p w14:paraId="400BDEA6" w14:textId="77777777" w:rsidR="00EB23BD" w:rsidRPr="008219ED" w:rsidRDefault="00EB23BD" w:rsidP="003A5377">
            <w:pPr>
              <w:rPr>
                <w:rFonts w:cstheme="minorHAnsi"/>
                <w:sz w:val="18"/>
                <w:szCs w:val="18"/>
              </w:rPr>
            </w:pPr>
            <w:r w:rsidRPr="008219ED">
              <w:rPr>
                <w:rFonts w:eastAsia="Calibri" w:cstheme="minorHAnsi"/>
                <w:sz w:val="18"/>
                <w:szCs w:val="18"/>
              </w:rPr>
              <w:t>PIMA</w:t>
            </w:r>
          </w:p>
        </w:tc>
        <w:tc>
          <w:tcPr>
            <w:tcW w:w="3389" w:type="dxa"/>
          </w:tcPr>
          <w:p w14:paraId="22695A87" w14:textId="77777777" w:rsidR="00EB23BD" w:rsidRPr="008219ED" w:rsidRDefault="00EB23BD" w:rsidP="003A5377">
            <w:pPr>
              <w:jc w:val="both"/>
              <w:rPr>
                <w:rFonts w:cstheme="minorHAnsi"/>
                <w:sz w:val="18"/>
                <w:szCs w:val="18"/>
              </w:rPr>
            </w:pPr>
            <w:r w:rsidRPr="008219ED">
              <w:rPr>
                <w:rFonts w:eastAsia="Calibri" w:cstheme="minorHAnsi"/>
                <w:sz w:val="18"/>
                <w:szCs w:val="18"/>
                <w:lang w:val="sr-Latn-ME"/>
              </w:rPr>
              <w:t xml:space="preserve">Procjena upravljanja javnim investicijama </w:t>
            </w:r>
          </w:p>
        </w:tc>
      </w:tr>
      <w:tr w:rsidR="00EB23BD" w:rsidRPr="008219ED" w14:paraId="06603047" w14:textId="77777777" w:rsidTr="00EB23BD">
        <w:tc>
          <w:tcPr>
            <w:tcW w:w="1105" w:type="dxa"/>
          </w:tcPr>
          <w:p w14:paraId="4C865520" w14:textId="77777777" w:rsidR="00EB23BD" w:rsidRPr="008219ED" w:rsidRDefault="00EB23BD" w:rsidP="003A5377">
            <w:pPr>
              <w:rPr>
                <w:rFonts w:cstheme="minorHAnsi"/>
                <w:sz w:val="18"/>
                <w:szCs w:val="18"/>
              </w:rPr>
            </w:pPr>
            <w:r w:rsidRPr="008219ED">
              <w:rPr>
                <w:rFonts w:cstheme="minorHAnsi"/>
                <w:iCs/>
                <w:sz w:val="18"/>
                <w:szCs w:val="18"/>
              </w:rPr>
              <w:t>MREL</w:t>
            </w:r>
          </w:p>
        </w:tc>
        <w:tc>
          <w:tcPr>
            <w:tcW w:w="3881" w:type="dxa"/>
          </w:tcPr>
          <w:p w14:paraId="587C851D" w14:textId="77777777" w:rsidR="00EB23BD" w:rsidRPr="008219ED" w:rsidRDefault="00EB23BD" w:rsidP="003A5377">
            <w:pPr>
              <w:jc w:val="both"/>
              <w:rPr>
                <w:rFonts w:cstheme="minorHAnsi"/>
                <w:sz w:val="18"/>
                <w:szCs w:val="18"/>
              </w:rPr>
            </w:pPr>
            <w:r w:rsidRPr="008219ED">
              <w:rPr>
                <w:rFonts w:cstheme="minorHAnsi"/>
                <w:iCs/>
                <w:sz w:val="18"/>
                <w:szCs w:val="18"/>
              </w:rPr>
              <w:t xml:space="preserve">Minimalni zahtjev za regulatornim kapitalom i kvalifikovanim obavezama </w:t>
            </w:r>
          </w:p>
        </w:tc>
        <w:tc>
          <w:tcPr>
            <w:tcW w:w="975" w:type="dxa"/>
          </w:tcPr>
          <w:p w14:paraId="3C0B973B" w14:textId="77777777" w:rsidR="00EB23BD" w:rsidRPr="008219ED" w:rsidRDefault="00EB23BD" w:rsidP="003A5377">
            <w:pPr>
              <w:rPr>
                <w:rFonts w:cstheme="minorHAnsi"/>
                <w:sz w:val="18"/>
                <w:szCs w:val="18"/>
              </w:rPr>
            </w:pPr>
            <w:r w:rsidRPr="008219ED">
              <w:rPr>
                <w:rFonts w:cstheme="minorHAnsi"/>
                <w:sz w:val="18"/>
                <w:szCs w:val="18"/>
              </w:rPr>
              <w:t>PKCG</w:t>
            </w:r>
          </w:p>
        </w:tc>
        <w:tc>
          <w:tcPr>
            <w:tcW w:w="3389" w:type="dxa"/>
          </w:tcPr>
          <w:p w14:paraId="23B58947" w14:textId="77777777" w:rsidR="00EB23BD" w:rsidRPr="008219ED" w:rsidRDefault="00EB23BD" w:rsidP="003A5377">
            <w:pPr>
              <w:jc w:val="both"/>
              <w:rPr>
                <w:rFonts w:cstheme="minorHAnsi"/>
                <w:sz w:val="18"/>
                <w:szCs w:val="18"/>
              </w:rPr>
            </w:pPr>
            <w:r w:rsidRPr="008219ED">
              <w:rPr>
                <w:rFonts w:cstheme="minorHAnsi"/>
                <w:sz w:val="18"/>
                <w:szCs w:val="18"/>
              </w:rPr>
              <w:t>Privredna komora Crne Gore</w:t>
            </w:r>
          </w:p>
        </w:tc>
      </w:tr>
      <w:tr w:rsidR="00EB23BD" w:rsidRPr="008219ED" w14:paraId="17A694E8" w14:textId="77777777" w:rsidTr="00EB23BD">
        <w:tc>
          <w:tcPr>
            <w:tcW w:w="1105" w:type="dxa"/>
          </w:tcPr>
          <w:p w14:paraId="3328D236" w14:textId="77777777" w:rsidR="00EB23BD" w:rsidRPr="008219ED" w:rsidRDefault="00EB23BD" w:rsidP="003A5377">
            <w:pPr>
              <w:rPr>
                <w:rFonts w:cstheme="minorHAnsi"/>
                <w:sz w:val="18"/>
                <w:szCs w:val="18"/>
              </w:rPr>
            </w:pPr>
            <w:r w:rsidRPr="008219ED">
              <w:rPr>
                <w:rFonts w:cstheme="minorHAnsi"/>
                <w:sz w:val="18"/>
                <w:szCs w:val="18"/>
              </w:rPr>
              <w:t>MRSS</w:t>
            </w:r>
          </w:p>
        </w:tc>
        <w:tc>
          <w:tcPr>
            <w:tcW w:w="3881" w:type="dxa"/>
          </w:tcPr>
          <w:p w14:paraId="401520DB" w14:textId="77777777" w:rsidR="00EB23BD" w:rsidRPr="008219ED" w:rsidRDefault="00EB23BD" w:rsidP="003A5377">
            <w:pPr>
              <w:jc w:val="both"/>
              <w:rPr>
                <w:rFonts w:cstheme="minorHAnsi"/>
                <w:sz w:val="18"/>
                <w:szCs w:val="18"/>
              </w:rPr>
            </w:pPr>
            <w:r w:rsidRPr="008219ED">
              <w:rPr>
                <w:rFonts w:cstheme="minorHAnsi"/>
                <w:sz w:val="18"/>
                <w:szCs w:val="18"/>
              </w:rPr>
              <w:t>Ministarstvo rada i socijalnog staranja</w:t>
            </w:r>
          </w:p>
        </w:tc>
        <w:tc>
          <w:tcPr>
            <w:tcW w:w="975" w:type="dxa"/>
          </w:tcPr>
          <w:p w14:paraId="059A5717" w14:textId="77777777" w:rsidR="00EB23BD" w:rsidRPr="008219ED" w:rsidRDefault="00EB23BD" w:rsidP="003A5377">
            <w:pPr>
              <w:rPr>
                <w:rFonts w:cstheme="minorHAnsi"/>
                <w:sz w:val="18"/>
                <w:szCs w:val="18"/>
              </w:rPr>
            </w:pPr>
            <w:r w:rsidRPr="008219ED">
              <w:rPr>
                <w:rFonts w:cstheme="minorHAnsi"/>
                <w:sz w:val="18"/>
                <w:szCs w:val="18"/>
              </w:rPr>
              <w:t>PEEPB</w:t>
            </w:r>
          </w:p>
        </w:tc>
        <w:tc>
          <w:tcPr>
            <w:tcW w:w="3389" w:type="dxa"/>
          </w:tcPr>
          <w:p w14:paraId="0D0BC58E" w14:textId="77777777" w:rsidR="00EB23BD" w:rsidRPr="008219ED" w:rsidRDefault="00EB23BD" w:rsidP="003A5377">
            <w:pPr>
              <w:jc w:val="both"/>
              <w:rPr>
                <w:rFonts w:cstheme="minorHAnsi"/>
                <w:sz w:val="18"/>
                <w:szCs w:val="18"/>
              </w:rPr>
            </w:pPr>
            <w:r w:rsidRPr="008219ED">
              <w:rPr>
                <w:rFonts w:cstheme="minorHAnsi"/>
                <w:sz w:val="18"/>
                <w:szCs w:val="18"/>
              </w:rPr>
              <w:t>Promocija energetske efikasnosti u javnim zgradama</w:t>
            </w:r>
          </w:p>
        </w:tc>
      </w:tr>
      <w:tr w:rsidR="00EB23BD" w:rsidRPr="008219ED" w14:paraId="21B0AC2C" w14:textId="77777777" w:rsidTr="00EB23BD">
        <w:tc>
          <w:tcPr>
            <w:tcW w:w="1105" w:type="dxa"/>
          </w:tcPr>
          <w:p w14:paraId="6CAB4439" w14:textId="77777777" w:rsidR="00EB23BD" w:rsidRPr="008219ED" w:rsidRDefault="00EB23BD" w:rsidP="003A5377">
            <w:pPr>
              <w:rPr>
                <w:rFonts w:cstheme="minorHAnsi"/>
                <w:sz w:val="18"/>
                <w:szCs w:val="18"/>
              </w:rPr>
            </w:pPr>
            <w:r w:rsidRPr="008219ED">
              <w:rPr>
                <w:rFonts w:cstheme="minorHAnsi"/>
                <w:sz w:val="18"/>
                <w:szCs w:val="18"/>
              </w:rPr>
              <w:t>MZ</w:t>
            </w:r>
          </w:p>
        </w:tc>
        <w:tc>
          <w:tcPr>
            <w:tcW w:w="3881" w:type="dxa"/>
          </w:tcPr>
          <w:p w14:paraId="0165248A" w14:textId="77777777" w:rsidR="00EB23BD" w:rsidRPr="008219ED" w:rsidRDefault="00EB23BD" w:rsidP="003A5377">
            <w:pPr>
              <w:jc w:val="both"/>
              <w:rPr>
                <w:rFonts w:cstheme="minorHAnsi"/>
                <w:sz w:val="18"/>
                <w:szCs w:val="18"/>
              </w:rPr>
            </w:pPr>
            <w:r w:rsidRPr="008219ED">
              <w:rPr>
                <w:rFonts w:cstheme="minorHAnsi"/>
                <w:sz w:val="18"/>
                <w:szCs w:val="18"/>
              </w:rPr>
              <w:t>Ministarstvo zdravlja</w:t>
            </w:r>
          </w:p>
        </w:tc>
        <w:tc>
          <w:tcPr>
            <w:tcW w:w="975" w:type="dxa"/>
          </w:tcPr>
          <w:p w14:paraId="20376FEB" w14:textId="77777777" w:rsidR="00EB23BD" w:rsidRPr="008219ED" w:rsidRDefault="00EB23BD" w:rsidP="003A5377">
            <w:pPr>
              <w:rPr>
                <w:rFonts w:cstheme="minorHAnsi"/>
                <w:sz w:val="18"/>
                <w:szCs w:val="18"/>
              </w:rPr>
            </w:pPr>
            <w:r w:rsidRPr="008219ED">
              <w:rPr>
                <w:rFonts w:cstheme="minorHAnsi"/>
                <w:sz w:val="18"/>
                <w:szCs w:val="18"/>
              </w:rPr>
              <w:t xml:space="preserve">SDI        </w:t>
            </w:r>
          </w:p>
        </w:tc>
        <w:tc>
          <w:tcPr>
            <w:tcW w:w="3389" w:type="dxa"/>
          </w:tcPr>
          <w:p w14:paraId="09CD3D2D" w14:textId="77777777" w:rsidR="00EB23BD" w:rsidRPr="008219ED" w:rsidRDefault="00EB23BD" w:rsidP="003A5377">
            <w:pPr>
              <w:jc w:val="both"/>
              <w:rPr>
                <w:rFonts w:cstheme="minorHAnsi"/>
                <w:sz w:val="18"/>
                <w:szCs w:val="18"/>
              </w:rPr>
            </w:pPr>
            <w:r w:rsidRPr="008219ED">
              <w:rPr>
                <w:rFonts w:cstheme="minorHAnsi"/>
                <w:sz w:val="18"/>
                <w:szCs w:val="18"/>
              </w:rPr>
              <w:t>Strane direktne investicije</w:t>
            </w:r>
          </w:p>
        </w:tc>
      </w:tr>
      <w:tr w:rsidR="00EB23BD" w:rsidRPr="008219ED" w14:paraId="0671BF30" w14:textId="77777777" w:rsidTr="00EB23BD">
        <w:tc>
          <w:tcPr>
            <w:tcW w:w="1105" w:type="dxa"/>
          </w:tcPr>
          <w:p w14:paraId="11C9D463" w14:textId="77777777" w:rsidR="00EB23BD" w:rsidRPr="008219ED" w:rsidRDefault="00EB23BD" w:rsidP="003A5377">
            <w:pPr>
              <w:rPr>
                <w:rFonts w:cstheme="minorHAnsi"/>
                <w:sz w:val="18"/>
                <w:szCs w:val="18"/>
              </w:rPr>
            </w:pPr>
            <w:r w:rsidRPr="008219ED">
              <w:rPr>
                <w:rFonts w:cstheme="minorHAnsi"/>
                <w:sz w:val="18"/>
                <w:szCs w:val="18"/>
              </w:rPr>
              <w:t>MJU</w:t>
            </w:r>
          </w:p>
        </w:tc>
        <w:tc>
          <w:tcPr>
            <w:tcW w:w="3881" w:type="dxa"/>
          </w:tcPr>
          <w:p w14:paraId="06E5A53C" w14:textId="77777777" w:rsidR="00EB23BD" w:rsidRPr="008219ED" w:rsidRDefault="00EB23BD" w:rsidP="003A5377">
            <w:pPr>
              <w:jc w:val="both"/>
              <w:rPr>
                <w:rFonts w:cstheme="minorHAnsi"/>
                <w:sz w:val="18"/>
                <w:szCs w:val="18"/>
              </w:rPr>
            </w:pPr>
            <w:r w:rsidRPr="008219ED">
              <w:rPr>
                <w:rFonts w:cstheme="minorHAnsi"/>
                <w:sz w:val="18"/>
                <w:szCs w:val="18"/>
              </w:rPr>
              <w:t>Ministarstvo javne uprave</w:t>
            </w:r>
          </w:p>
        </w:tc>
        <w:tc>
          <w:tcPr>
            <w:tcW w:w="975" w:type="dxa"/>
          </w:tcPr>
          <w:p w14:paraId="3300A0AA" w14:textId="77777777" w:rsidR="00EB23BD" w:rsidRPr="008219ED" w:rsidRDefault="00EB23BD" w:rsidP="003A5377">
            <w:pPr>
              <w:rPr>
                <w:rFonts w:cstheme="minorHAnsi"/>
                <w:sz w:val="18"/>
                <w:szCs w:val="18"/>
              </w:rPr>
            </w:pPr>
            <w:r w:rsidRPr="008219ED">
              <w:rPr>
                <w:rFonts w:cstheme="minorHAnsi"/>
                <w:sz w:val="18"/>
                <w:szCs w:val="18"/>
              </w:rPr>
              <w:t xml:space="preserve">SRB </w:t>
            </w:r>
          </w:p>
        </w:tc>
        <w:tc>
          <w:tcPr>
            <w:tcW w:w="3389" w:type="dxa"/>
          </w:tcPr>
          <w:p w14:paraId="3A205BE2" w14:textId="77777777" w:rsidR="00EB23BD" w:rsidRPr="008219ED" w:rsidRDefault="00EB23BD" w:rsidP="003A5377">
            <w:pPr>
              <w:jc w:val="both"/>
              <w:rPr>
                <w:rFonts w:cstheme="minorHAnsi"/>
                <w:sz w:val="18"/>
                <w:szCs w:val="18"/>
              </w:rPr>
            </w:pPr>
            <w:r w:rsidRPr="008219ED">
              <w:rPr>
                <w:rFonts w:cstheme="minorHAnsi"/>
                <w:sz w:val="18"/>
                <w:szCs w:val="18"/>
              </w:rPr>
              <w:t>Jedinstveni odbor za sanaciju</w:t>
            </w:r>
          </w:p>
        </w:tc>
      </w:tr>
      <w:tr w:rsidR="00EB23BD" w:rsidRPr="008219ED" w14:paraId="02F5655D" w14:textId="77777777" w:rsidTr="00EB23BD">
        <w:tc>
          <w:tcPr>
            <w:tcW w:w="1105" w:type="dxa"/>
          </w:tcPr>
          <w:p w14:paraId="54C05A92" w14:textId="77777777" w:rsidR="00EB23BD" w:rsidRPr="008219ED" w:rsidRDefault="00EB23BD" w:rsidP="003A5377">
            <w:pPr>
              <w:rPr>
                <w:rFonts w:cstheme="minorHAnsi"/>
                <w:sz w:val="18"/>
                <w:szCs w:val="18"/>
              </w:rPr>
            </w:pPr>
            <w:r w:rsidRPr="008219ED">
              <w:rPr>
                <w:rFonts w:cstheme="minorHAnsi"/>
                <w:sz w:val="18"/>
                <w:szCs w:val="18"/>
              </w:rPr>
              <w:t>MER</w:t>
            </w:r>
          </w:p>
        </w:tc>
        <w:tc>
          <w:tcPr>
            <w:tcW w:w="3881" w:type="dxa"/>
          </w:tcPr>
          <w:p w14:paraId="725F6D7A" w14:textId="77777777" w:rsidR="00EB23BD" w:rsidRPr="008219ED" w:rsidRDefault="00EB23BD" w:rsidP="003A5377">
            <w:pPr>
              <w:jc w:val="both"/>
              <w:rPr>
                <w:rFonts w:cstheme="minorHAnsi"/>
                <w:sz w:val="18"/>
                <w:szCs w:val="18"/>
              </w:rPr>
            </w:pPr>
            <w:r w:rsidRPr="008219ED">
              <w:rPr>
                <w:rFonts w:cstheme="minorHAnsi"/>
                <w:sz w:val="18"/>
                <w:szCs w:val="18"/>
              </w:rPr>
              <w:t>Ministarstvo ekonomskog razvoja</w:t>
            </w:r>
          </w:p>
        </w:tc>
        <w:tc>
          <w:tcPr>
            <w:tcW w:w="975" w:type="dxa"/>
          </w:tcPr>
          <w:p w14:paraId="51F7C460" w14:textId="77777777" w:rsidR="00EB23BD" w:rsidRPr="008219ED" w:rsidRDefault="00EB23BD" w:rsidP="003A5377">
            <w:pPr>
              <w:rPr>
                <w:rFonts w:cstheme="minorHAnsi"/>
                <w:sz w:val="18"/>
                <w:szCs w:val="18"/>
              </w:rPr>
            </w:pPr>
            <w:r w:rsidRPr="008219ED">
              <w:rPr>
                <w:rFonts w:cstheme="minorHAnsi"/>
                <w:sz w:val="18"/>
                <w:szCs w:val="18"/>
              </w:rPr>
              <w:t>UNEP</w:t>
            </w:r>
          </w:p>
        </w:tc>
        <w:tc>
          <w:tcPr>
            <w:tcW w:w="3389" w:type="dxa"/>
          </w:tcPr>
          <w:p w14:paraId="293575D0" w14:textId="77777777" w:rsidR="00EB23BD" w:rsidRPr="008219ED" w:rsidRDefault="00EB23BD" w:rsidP="003A5377">
            <w:pPr>
              <w:jc w:val="both"/>
              <w:rPr>
                <w:rFonts w:cstheme="minorHAnsi"/>
                <w:sz w:val="18"/>
                <w:szCs w:val="18"/>
              </w:rPr>
            </w:pPr>
            <w:r w:rsidRPr="008219ED">
              <w:rPr>
                <w:rFonts w:cstheme="minorHAnsi"/>
                <w:sz w:val="18"/>
                <w:szCs w:val="18"/>
              </w:rPr>
              <w:t>Ujedinjene nacije za životnu sredinu</w:t>
            </w:r>
          </w:p>
        </w:tc>
      </w:tr>
      <w:tr w:rsidR="00EB23BD" w:rsidRPr="008219ED" w14:paraId="70A6C10D" w14:textId="77777777" w:rsidTr="00EB23BD">
        <w:tc>
          <w:tcPr>
            <w:tcW w:w="1105" w:type="dxa"/>
          </w:tcPr>
          <w:p w14:paraId="1B3E4820" w14:textId="77777777" w:rsidR="00EB23BD" w:rsidRPr="008219ED" w:rsidRDefault="00EB23BD" w:rsidP="003A5377">
            <w:pPr>
              <w:rPr>
                <w:rFonts w:cstheme="minorHAnsi"/>
                <w:sz w:val="18"/>
                <w:szCs w:val="18"/>
              </w:rPr>
            </w:pPr>
            <w:r w:rsidRPr="008219ED">
              <w:rPr>
                <w:rFonts w:cstheme="minorHAnsi"/>
                <w:sz w:val="18"/>
                <w:szCs w:val="18"/>
              </w:rPr>
              <w:t>MTEORRS</w:t>
            </w:r>
          </w:p>
        </w:tc>
        <w:tc>
          <w:tcPr>
            <w:tcW w:w="3881" w:type="dxa"/>
          </w:tcPr>
          <w:p w14:paraId="3F61B4F7" w14:textId="77777777" w:rsidR="00EB23BD" w:rsidRPr="008219ED" w:rsidRDefault="00EB23BD" w:rsidP="003A5377">
            <w:pPr>
              <w:jc w:val="both"/>
              <w:rPr>
                <w:rFonts w:cstheme="minorHAnsi"/>
                <w:sz w:val="18"/>
                <w:szCs w:val="18"/>
              </w:rPr>
            </w:pPr>
            <w:r w:rsidRPr="008219ED">
              <w:rPr>
                <w:rFonts w:cstheme="minorHAnsi"/>
                <w:sz w:val="18"/>
                <w:szCs w:val="18"/>
              </w:rPr>
              <w:t>Ministarstvo turizma, ekologije, održivog razvoja i razvoja sjevera</w:t>
            </w:r>
          </w:p>
        </w:tc>
        <w:tc>
          <w:tcPr>
            <w:tcW w:w="975" w:type="dxa"/>
          </w:tcPr>
          <w:p w14:paraId="22684132" w14:textId="77777777" w:rsidR="00EB23BD" w:rsidRPr="008219ED" w:rsidRDefault="00EB23BD" w:rsidP="003A5377">
            <w:pPr>
              <w:rPr>
                <w:rFonts w:cstheme="minorHAnsi"/>
                <w:sz w:val="18"/>
                <w:szCs w:val="18"/>
              </w:rPr>
            </w:pPr>
            <w:r w:rsidRPr="008219ED">
              <w:rPr>
                <w:rFonts w:cstheme="minorHAnsi"/>
                <w:sz w:val="18"/>
                <w:szCs w:val="18"/>
              </w:rPr>
              <w:t>UPC</w:t>
            </w:r>
          </w:p>
        </w:tc>
        <w:tc>
          <w:tcPr>
            <w:tcW w:w="3389" w:type="dxa"/>
          </w:tcPr>
          <w:p w14:paraId="1499F05C" w14:textId="77777777" w:rsidR="00EB23BD" w:rsidRPr="008219ED" w:rsidRDefault="00EB23BD" w:rsidP="003A5377">
            <w:pPr>
              <w:jc w:val="both"/>
              <w:rPr>
                <w:rFonts w:cstheme="minorHAnsi"/>
                <w:sz w:val="18"/>
                <w:szCs w:val="18"/>
              </w:rPr>
            </w:pPr>
            <w:r w:rsidRPr="008219ED">
              <w:rPr>
                <w:rFonts w:cstheme="minorHAnsi"/>
                <w:sz w:val="18"/>
                <w:szCs w:val="18"/>
              </w:rPr>
              <w:t>Uprava prihoda i carina</w:t>
            </w:r>
          </w:p>
        </w:tc>
      </w:tr>
      <w:tr w:rsidR="00EB23BD" w:rsidRPr="008219ED" w14:paraId="0FB78BF9" w14:textId="77777777" w:rsidTr="00EB23BD">
        <w:tc>
          <w:tcPr>
            <w:tcW w:w="1105" w:type="dxa"/>
          </w:tcPr>
          <w:p w14:paraId="48490270" w14:textId="77777777" w:rsidR="00EB23BD" w:rsidRPr="008219ED" w:rsidRDefault="00EB23BD" w:rsidP="003A5377">
            <w:pPr>
              <w:rPr>
                <w:rFonts w:cstheme="minorHAnsi"/>
                <w:sz w:val="18"/>
                <w:szCs w:val="18"/>
              </w:rPr>
            </w:pPr>
            <w:r w:rsidRPr="008219ED">
              <w:rPr>
                <w:rFonts w:cstheme="minorHAnsi"/>
                <w:sz w:val="18"/>
                <w:szCs w:val="18"/>
              </w:rPr>
              <w:t>MPPUDI</w:t>
            </w:r>
          </w:p>
        </w:tc>
        <w:tc>
          <w:tcPr>
            <w:tcW w:w="3881" w:type="dxa"/>
          </w:tcPr>
          <w:p w14:paraId="33EF6020" w14:textId="77777777" w:rsidR="00EB23BD" w:rsidRPr="008219ED" w:rsidRDefault="00EB23BD" w:rsidP="003A5377">
            <w:pPr>
              <w:jc w:val="both"/>
              <w:rPr>
                <w:rFonts w:cstheme="minorHAnsi"/>
                <w:sz w:val="18"/>
                <w:szCs w:val="18"/>
              </w:rPr>
            </w:pPr>
            <w:r w:rsidRPr="008219ED">
              <w:rPr>
                <w:rFonts w:cstheme="minorHAnsi"/>
                <w:sz w:val="18"/>
                <w:szCs w:val="18"/>
              </w:rPr>
              <w:t>Ministarstvo prostornog planiranja, urbanizma i državne imovine</w:t>
            </w:r>
          </w:p>
        </w:tc>
        <w:tc>
          <w:tcPr>
            <w:tcW w:w="975" w:type="dxa"/>
          </w:tcPr>
          <w:p w14:paraId="01477283" w14:textId="77777777" w:rsidR="00EB23BD" w:rsidRPr="008219ED" w:rsidRDefault="00EB23BD" w:rsidP="003A5377">
            <w:pPr>
              <w:rPr>
                <w:rFonts w:cstheme="minorHAnsi"/>
                <w:sz w:val="18"/>
                <w:szCs w:val="18"/>
              </w:rPr>
            </w:pPr>
            <w:r w:rsidRPr="008219ED">
              <w:rPr>
                <w:rFonts w:cstheme="minorHAnsi"/>
                <w:sz w:val="18"/>
                <w:szCs w:val="18"/>
              </w:rPr>
              <w:t>ZZZCG</w:t>
            </w:r>
          </w:p>
        </w:tc>
        <w:tc>
          <w:tcPr>
            <w:tcW w:w="3389" w:type="dxa"/>
          </w:tcPr>
          <w:p w14:paraId="2D00B8A0" w14:textId="77777777" w:rsidR="00EB23BD" w:rsidRPr="008219ED" w:rsidRDefault="00EB23BD" w:rsidP="003A5377">
            <w:pPr>
              <w:jc w:val="both"/>
              <w:rPr>
                <w:rFonts w:cstheme="minorHAnsi"/>
                <w:sz w:val="18"/>
                <w:szCs w:val="18"/>
              </w:rPr>
            </w:pPr>
            <w:r w:rsidRPr="008219ED">
              <w:rPr>
                <w:rFonts w:cstheme="minorHAnsi"/>
                <w:sz w:val="18"/>
                <w:szCs w:val="18"/>
              </w:rPr>
              <w:t>Zavod za zapošljavanje Crne Gore</w:t>
            </w:r>
          </w:p>
        </w:tc>
      </w:tr>
      <w:bookmarkEnd w:id="3"/>
    </w:tbl>
    <w:p w14:paraId="3EDC85BB" w14:textId="77777777" w:rsidR="0065415E" w:rsidRPr="0065415E" w:rsidRDefault="0065415E" w:rsidP="0065415E">
      <w:pPr>
        <w:rPr>
          <w:rFonts w:cstheme="minorHAnsi"/>
          <w:b/>
          <w:bCs/>
          <w:sz w:val="18"/>
          <w:szCs w:val="18"/>
        </w:rPr>
      </w:pPr>
    </w:p>
    <w:p w14:paraId="2D032B3B" w14:textId="77777777" w:rsidR="0065415E" w:rsidRPr="0065415E" w:rsidRDefault="0065415E" w:rsidP="0065415E">
      <w:pPr>
        <w:rPr>
          <w:rFonts w:cstheme="minorHAnsi"/>
          <w:color w:val="002060"/>
          <w:sz w:val="24"/>
          <w:szCs w:val="24"/>
        </w:rPr>
      </w:pPr>
    </w:p>
    <w:p w14:paraId="4C7197DF" w14:textId="77777777" w:rsidR="00E41591" w:rsidRDefault="00E41591">
      <w:pPr>
        <w:rPr>
          <w:rFonts w:cstheme="minorHAnsi"/>
          <w:b/>
          <w:bCs/>
          <w:color w:val="002465"/>
          <w:sz w:val="24"/>
          <w:szCs w:val="24"/>
        </w:rPr>
      </w:pPr>
    </w:p>
    <w:p w14:paraId="623AB153" w14:textId="77777777" w:rsidR="00E41591" w:rsidRDefault="00E41591">
      <w:pPr>
        <w:rPr>
          <w:rFonts w:cstheme="minorHAnsi"/>
          <w:b/>
          <w:bCs/>
          <w:color w:val="002465"/>
          <w:sz w:val="24"/>
          <w:szCs w:val="24"/>
        </w:rPr>
      </w:pPr>
    </w:p>
    <w:p w14:paraId="53294EB4" w14:textId="77777777" w:rsidR="0065415E" w:rsidRDefault="0065415E">
      <w:pPr>
        <w:rPr>
          <w:rFonts w:cstheme="minorHAnsi"/>
          <w:b/>
          <w:bCs/>
          <w:color w:val="002465"/>
          <w:sz w:val="24"/>
          <w:szCs w:val="24"/>
        </w:rPr>
      </w:pPr>
    </w:p>
    <w:p w14:paraId="61E5BFEF" w14:textId="77777777" w:rsidR="0065415E" w:rsidRDefault="0065415E">
      <w:pPr>
        <w:rPr>
          <w:rFonts w:cstheme="minorHAnsi"/>
          <w:b/>
          <w:bCs/>
          <w:color w:val="002465"/>
          <w:sz w:val="24"/>
          <w:szCs w:val="24"/>
        </w:rPr>
      </w:pPr>
    </w:p>
    <w:p w14:paraId="3524DA03" w14:textId="63EE82BF" w:rsidR="0065415E" w:rsidRDefault="0065415E">
      <w:pPr>
        <w:rPr>
          <w:rFonts w:cstheme="minorHAnsi"/>
          <w:b/>
          <w:bCs/>
          <w:color w:val="002465"/>
          <w:sz w:val="24"/>
          <w:szCs w:val="24"/>
        </w:rPr>
      </w:pPr>
    </w:p>
    <w:p w14:paraId="501AC13D" w14:textId="1C44A1A7" w:rsidR="0092632C" w:rsidRDefault="0092632C">
      <w:pPr>
        <w:rPr>
          <w:rFonts w:cstheme="minorHAnsi"/>
          <w:b/>
          <w:bCs/>
          <w:color w:val="002465"/>
          <w:sz w:val="24"/>
          <w:szCs w:val="24"/>
        </w:rPr>
      </w:pPr>
    </w:p>
    <w:p w14:paraId="0FFA490E" w14:textId="0FD15935" w:rsidR="0092632C" w:rsidRDefault="0092632C">
      <w:pPr>
        <w:rPr>
          <w:rFonts w:cstheme="minorHAnsi"/>
          <w:b/>
          <w:bCs/>
          <w:color w:val="002465"/>
          <w:sz w:val="24"/>
          <w:szCs w:val="24"/>
        </w:rPr>
      </w:pPr>
    </w:p>
    <w:p w14:paraId="6D5805CA" w14:textId="64E317C8" w:rsidR="0092632C" w:rsidRDefault="0092632C">
      <w:pPr>
        <w:rPr>
          <w:rFonts w:cstheme="minorHAnsi"/>
          <w:b/>
          <w:bCs/>
          <w:color w:val="002465"/>
          <w:sz w:val="24"/>
          <w:szCs w:val="24"/>
        </w:rPr>
      </w:pPr>
    </w:p>
    <w:p w14:paraId="7714482B" w14:textId="602184C4" w:rsidR="0092632C" w:rsidRDefault="0092632C">
      <w:pPr>
        <w:rPr>
          <w:rFonts w:cstheme="minorHAnsi"/>
          <w:b/>
          <w:bCs/>
          <w:color w:val="002465"/>
          <w:sz w:val="24"/>
          <w:szCs w:val="24"/>
        </w:rPr>
      </w:pPr>
    </w:p>
    <w:p w14:paraId="00EF49D2" w14:textId="77777777" w:rsidR="0092632C" w:rsidRDefault="0092632C">
      <w:pPr>
        <w:rPr>
          <w:rFonts w:cstheme="minorHAnsi"/>
          <w:b/>
          <w:bCs/>
          <w:color w:val="002465"/>
          <w:sz w:val="24"/>
          <w:szCs w:val="24"/>
        </w:rPr>
      </w:pPr>
    </w:p>
    <w:p w14:paraId="0B06062E" w14:textId="77777777" w:rsidR="003C61D6" w:rsidRDefault="003C61D6">
      <w:pPr>
        <w:rPr>
          <w:rFonts w:cstheme="minorHAnsi"/>
          <w:b/>
          <w:bCs/>
          <w:color w:val="002465"/>
          <w:sz w:val="24"/>
          <w:szCs w:val="24"/>
        </w:rPr>
      </w:pPr>
    </w:p>
    <w:p w14:paraId="06AFCB37" w14:textId="77777777" w:rsidR="003C61D6" w:rsidRDefault="003C61D6">
      <w:pPr>
        <w:rPr>
          <w:rFonts w:cstheme="minorHAnsi"/>
          <w:b/>
          <w:bCs/>
          <w:color w:val="002465"/>
          <w:sz w:val="24"/>
          <w:szCs w:val="24"/>
        </w:rPr>
      </w:pPr>
    </w:p>
    <w:p w14:paraId="039FA556" w14:textId="1E9673A4" w:rsidR="00A60C23" w:rsidRDefault="00A60C23">
      <w:pPr>
        <w:rPr>
          <w:rFonts w:cstheme="minorHAnsi"/>
          <w:b/>
          <w:bCs/>
          <w:color w:val="002465"/>
          <w:sz w:val="24"/>
          <w:szCs w:val="24"/>
        </w:rPr>
      </w:pPr>
    </w:p>
    <w:p w14:paraId="0E8560CC" w14:textId="17AB049B" w:rsidR="0090338A" w:rsidRDefault="00BE4674" w:rsidP="00BE4674">
      <w:pPr>
        <w:pStyle w:val="Heading1"/>
        <w:shd w:val="clear" w:color="auto" w:fill="B4C6E7" w:themeFill="accent1" w:themeFillTint="66"/>
        <w:rPr>
          <w:b/>
        </w:rPr>
      </w:pPr>
      <w:bookmarkStart w:id="4" w:name="_Toc153305321"/>
      <w:r w:rsidRPr="00BE4674">
        <w:rPr>
          <w:b/>
        </w:rPr>
        <w:lastRenderedPageBreak/>
        <w:t xml:space="preserve">1. </w:t>
      </w:r>
      <w:r w:rsidR="0090338A" w:rsidRPr="00BE4674">
        <w:rPr>
          <w:b/>
        </w:rPr>
        <w:t>OPŠTI OKVIR I CILJEVI POLITIKE</w:t>
      </w:r>
      <w:bookmarkEnd w:id="4"/>
    </w:p>
    <w:p w14:paraId="2DDF36F8" w14:textId="11589C01" w:rsidR="0090338A" w:rsidRPr="00D47349" w:rsidRDefault="0090338A" w:rsidP="0090338A">
      <w:pPr>
        <w:spacing w:line="276" w:lineRule="auto"/>
        <w:jc w:val="both"/>
        <w:rPr>
          <w:sz w:val="24"/>
          <w:szCs w:val="24"/>
          <w:lang w:val="sr-Latn-ME"/>
        </w:rPr>
      </w:pPr>
      <w:r w:rsidRPr="00D47349">
        <w:rPr>
          <w:sz w:val="24"/>
          <w:szCs w:val="24"/>
          <w:lang w:val="sr-Latn-ME"/>
        </w:rPr>
        <w:t>Program ekonomskih reformi</w:t>
      </w:r>
      <w:r w:rsidR="00867F1A">
        <w:rPr>
          <w:sz w:val="24"/>
          <w:szCs w:val="24"/>
          <w:lang w:val="sr-Latn-ME"/>
        </w:rPr>
        <w:t xml:space="preserve"> (</w:t>
      </w:r>
      <w:r w:rsidR="00F86D05">
        <w:rPr>
          <w:sz w:val="24"/>
          <w:szCs w:val="24"/>
          <w:lang w:val="sr-Latn-ME"/>
        </w:rPr>
        <w:t>P</w:t>
      </w:r>
      <w:r w:rsidR="00867F1A">
        <w:rPr>
          <w:sz w:val="24"/>
          <w:szCs w:val="24"/>
          <w:lang w:val="sr-Latn-ME"/>
        </w:rPr>
        <w:t>ER)</w:t>
      </w:r>
      <w:r w:rsidRPr="00D47349">
        <w:rPr>
          <w:sz w:val="24"/>
          <w:szCs w:val="24"/>
          <w:lang w:val="sr-Latn-ME"/>
        </w:rPr>
        <w:t>, koji Crna Gora priprema</w:t>
      </w:r>
      <w:r>
        <w:rPr>
          <w:sz w:val="24"/>
          <w:szCs w:val="24"/>
          <w:lang w:val="sr-Latn-ME"/>
        </w:rPr>
        <w:t xml:space="preserve"> </w:t>
      </w:r>
      <w:r w:rsidRPr="00D47349">
        <w:rPr>
          <w:sz w:val="24"/>
          <w:szCs w:val="24"/>
          <w:lang w:val="sr-Latn-ME"/>
        </w:rPr>
        <w:t>od 2015.</w:t>
      </w:r>
      <w:r w:rsidR="003F186B">
        <w:rPr>
          <w:sz w:val="24"/>
          <w:szCs w:val="24"/>
          <w:lang w:val="sr-Latn-ME"/>
        </w:rPr>
        <w:t xml:space="preserve"> </w:t>
      </w:r>
      <w:r w:rsidRPr="00D47349">
        <w:rPr>
          <w:sz w:val="24"/>
          <w:szCs w:val="24"/>
          <w:lang w:val="sr-Latn-ME"/>
        </w:rPr>
        <w:t>godine na godišnjem nivou, predstavlja instrument za planiranje ekonomske politike zemlje i upravljanje reformam</w:t>
      </w:r>
      <w:r w:rsidR="00DD6D00">
        <w:rPr>
          <w:sz w:val="24"/>
          <w:szCs w:val="24"/>
          <w:lang w:val="sr-Latn-ME"/>
        </w:rPr>
        <w:t>a.</w:t>
      </w:r>
      <w:r w:rsidRPr="00D47349">
        <w:rPr>
          <w:sz w:val="24"/>
          <w:szCs w:val="24"/>
          <w:lang w:val="sr-Latn-ME"/>
        </w:rPr>
        <w:t xml:space="preserve"> PER je  najvažniji dokument u ispunjavanju ekonomskih kriterijuma u pregovorima za čanstvo u EU. </w:t>
      </w:r>
    </w:p>
    <w:p w14:paraId="2D01688C" w14:textId="2497A862" w:rsidR="00496445" w:rsidRDefault="000228CB" w:rsidP="00496445">
      <w:pPr>
        <w:spacing w:line="276" w:lineRule="auto"/>
        <w:jc w:val="both"/>
        <w:rPr>
          <w:sz w:val="24"/>
          <w:szCs w:val="24"/>
        </w:rPr>
      </w:pPr>
      <w:r w:rsidRPr="000228CB">
        <w:rPr>
          <w:sz w:val="24"/>
          <w:szCs w:val="24"/>
        </w:rPr>
        <w:t xml:space="preserve">Da bi mala i otvorena ekonomija </w:t>
      </w:r>
      <w:r>
        <w:rPr>
          <w:sz w:val="24"/>
          <w:szCs w:val="24"/>
        </w:rPr>
        <w:t>Crne Gore</w:t>
      </w:r>
      <w:r w:rsidRPr="000228CB">
        <w:rPr>
          <w:sz w:val="24"/>
          <w:szCs w:val="24"/>
        </w:rPr>
        <w:t xml:space="preserve"> ostala održiva i da bi izdržala spoljne šokove, potrebno je razviti nove sektore rasta</w:t>
      </w:r>
      <w:r w:rsidR="00F86D05">
        <w:rPr>
          <w:sz w:val="24"/>
          <w:szCs w:val="24"/>
        </w:rPr>
        <w:t xml:space="preserve"> i povećati stepen dverzifikacije </w:t>
      </w:r>
      <w:r>
        <w:rPr>
          <w:sz w:val="24"/>
          <w:szCs w:val="24"/>
        </w:rPr>
        <w:t>u najvećoj mogućoj mjeri.</w:t>
      </w:r>
      <w:r w:rsidRPr="000228CB">
        <w:rPr>
          <w:rFonts w:ascii="inherit" w:eastAsia="Times New Roman" w:hAnsi="inherit" w:cs="Courier New"/>
          <w:color w:val="70757A"/>
          <w:kern w:val="0"/>
          <w:sz w:val="24"/>
          <w:szCs w:val="24"/>
          <w14:ligatures w14:val="none"/>
        </w:rPr>
        <w:t xml:space="preserve"> </w:t>
      </w:r>
      <w:r w:rsidRPr="000228CB">
        <w:rPr>
          <w:sz w:val="24"/>
          <w:szCs w:val="24"/>
        </w:rPr>
        <w:t xml:space="preserve">Snažan ekonomski učinak poslednjih godina </w:t>
      </w:r>
      <w:r>
        <w:rPr>
          <w:sz w:val="24"/>
          <w:szCs w:val="24"/>
        </w:rPr>
        <w:t>ubrzao je konvergenciju crn</w:t>
      </w:r>
      <w:r w:rsidR="00867F1A">
        <w:rPr>
          <w:sz w:val="24"/>
          <w:szCs w:val="24"/>
        </w:rPr>
        <w:t>o</w:t>
      </w:r>
      <w:r>
        <w:rPr>
          <w:sz w:val="24"/>
          <w:szCs w:val="24"/>
        </w:rPr>
        <w:t xml:space="preserve">gorskog BDP </w:t>
      </w:r>
      <w:r w:rsidR="007E6917">
        <w:rPr>
          <w:sz w:val="24"/>
          <w:szCs w:val="24"/>
        </w:rPr>
        <w:t xml:space="preserve">per capita sa onim u EU. </w:t>
      </w:r>
      <w:r w:rsidRPr="000228CB">
        <w:rPr>
          <w:sz w:val="24"/>
          <w:szCs w:val="24"/>
        </w:rPr>
        <w:t xml:space="preserve"> </w:t>
      </w:r>
      <w:r w:rsidR="007E6917">
        <w:rPr>
          <w:sz w:val="24"/>
          <w:szCs w:val="24"/>
        </w:rPr>
        <w:t xml:space="preserve">Procijenjena stopa rasta ekonomije u 2023. godini je 5,8%, a njenom ostvarenju su </w:t>
      </w:r>
      <w:r w:rsidR="00867F1A">
        <w:rPr>
          <w:sz w:val="24"/>
          <w:szCs w:val="24"/>
        </w:rPr>
        <w:t xml:space="preserve">značajno </w:t>
      </w:r>
      <w:r w:rsidR="007E6917">
        <w:rPr>
          <w:sz w:val="24"/>
          <w:szCs w:val="24"/>
        </w:rPr>
        <w:t xml:space="preserve">doprinijele </w:t>
      </w:r>
      <w:r w:rsidR="00496445">
        <w:rPr>
          <w:sz w:val="24"/>
          <w:szCs w:val="24"/>
        </w:rPr>
        <w:t>mjere ekonomske politike iz 2022.</w:t>
      </w:r>
      <w:r w:rsidR="007E6917" w:rsidRPr="007E6917">
        <w:rPr>
          <w:sz w:val="24"/>
          <w:szCs w:val="24"/>
        </w:rPr>
        <w:t xml:space="preserve"> </w:t>
      </w:r>
      <w:r w:rsidR="007E6917">
        <w:rPr>
          <w:sz w:val="24"/>
          <w:szCs w:val="24"/>
        </w:rPr>
        <w:t xml:space="preserve">koje su uticale na </w:t>
      </w:r>
      <w:r w:rsidR="007E6917" w:rsidRPr="007E6917">
        <w:rPr>
          <w:sz w:val="24"/>
          <w:szCs w:val="24"/>
        </w:rPr>
        <w:t>rast raspoloživog dohotk</w:t>
      </w:r>
      <w:r w:rsidR="007E6917">
        <w:rPr>
          <w:sz w:val="24"/>
          <w:szCs w:val="24"/>
        </w:rPr>
        <w:t xml:space="preserve">a.  </w:t>
      </w:r>
      <w:r w:rsidR="00F86D05">
        <w:rPr>
          <w:sz w:val="24"/>
          <w:szCs w:val="24"/>
        </w:rPr>
        <w:t>Rastu je d</w:t>
      </w:r>
      <w:r w:rsidR="007E6917">
        <w:rPr>
          <w:sz w:val="24"/>
          <w:szCs w:val="24"/>
        </w:rPr>
        <w:t>odatno je doprinio i</w:t>
      </w:r>
      <w:r w:rsidR="007E6917" w:rsidRPr="007E6917">
        <w:rPr>
          <w:sz w:val="24"/>
          <w:szCs w:val="24"/>
        </w:rPr>
        <w:t xml:space="preserve"> veliki priliv nerezidenata u protekle dvije godine </w:t>
      </w:r>
      <w:r w:rsidR="007E6917">
        <w:rPr>
          <w:sz w:val="24"/>
          <w:szCs w:val="24"/>
        </w:rPr>
        <w:t xml:space="preserve">usljed </w:t>
      </w:r>
      <w:r w:rsidR="007E6917" w:rsidRPr="007E6917">
        <w:rPr>
          <w:sz w:val="24"/>
          <w:szCs w:val="24"/>
        </w:rPr>
        <w:t>invazije Ruske Federacije na Ukrajinu</w:t>
      </w:r>
      <w:r w:rsidR="004316DD">
        <w:rPr>
          <w:sz w:val="24"/>
          <w:szCs w:val="24"/>
        </w:rPr>
        <w:t>.</w:t>
      </w:r>
    </w:p>
    <w:p w14:paraId="601E83E3" w14:textId="514AA38F" w:rsidR="00496445" w:rsidRPr="00496445" w:rsidRDefault="00496445" w:rsidP="00496445">
      <w:pPr>
        <w:spacing w:line="276" w:lineRule="auto"/>
        <w:jc w:val="both"/>
        <w:rPr>
          <w:sz w:val="24"/>
          <w:szCs w:val="24"/>
        </w:rPr>
      </w:pPr>
      <w:r w:rsidRPr="007E459F">
        <w:rPr>
          <w:sz w:val="24"/>
          <w:szCs w:val="24"/>
        </w:rPr>
        <w:t>Polazeći</w:t>
      </w:r>
      <w:r w:rsidRPr="00496445">
        <w:rPr>
          <w:sz w:val="24"/>
          <w:szCs w:val="24"/>
        </w:rPr>
        <w:t xml:space="preserve"> od identifikovanih strukturnih ograničenja crnogorske ekonomije, stepena njene konkurentnosti u regionalnom i međunarodnom kontekstu, preuzetim obavezama u oblasti integracije u Evropsku uniju kao i vizije budućeg razvoja, mjere ekonomske politike u </w:t>
      </w:r>
      <w:r w:rsidR="00836E05">
        <w:rPr>
          <w:sz w:val="24"/>
          <w:szCs w:val="24"/>
        </w:rPr>
        <w:t>srednjem roku</w:t>
      </w:r>
      <w:r w:rsidRPr="00496445">
        <w:rPr>
          <w:sz w:val="24"/>
          <w:szCs w:val="24"/>
        </w:rPr>
        <w:t xml:space="preserve"> biće usmjerene na postizanje sljedećih ciljeva:</w:t>
      </w:r>
      <w:r>
        <w:rPr>
          <w:sz w:val="24"/>
          <w:szCs w:val="24"/>
        </w:rPr>
        <w:t xml:space="preserve"> (i)</w:t>
      </w:r>
      <w:r w:rsidRPr="00496445">
        <w:rPr>
          <w:sz w:val="24"/>
          <w:szCs w:val="24"/>
        </w:rPr>
        <w:t>diversifikaciju ekonomske aktivnosti i povećanje konkurentnosti privrede;</w:t>
      </w:r>
      <w:r>
        <w:rPr>
          <w:sz w:val="24"/>
          <w:szCs w:val="24"/>
        </w:rPr>
        <w:t xml:space="preserve"> (ii)</w:t>
      </w:r>
      <w:r w:rsidR="004316DD">
        <w:rPr>
          <w:sz w:val="24"/>
          <w:szCs w:val="24"/>
        </w:rPr>
        <w:t xml:space="preserve"> </w:t>
      </w:r>
      <w:r w:rsidRPr="00496445">
        <w:rPr>
          <w:sz w:val="24"/>
          <w:szCs w:val="24"/>
        </w:rPr>
        <w:t>jačanje otpornosti crnogorske ekonomije na eksterne šokove;</w:t>
      </w:r>
      <w:r>
        <w:rPr>
          <w:sz w:val="24"/>
          <w:szCs w:val="24"/>
        </w:rPr>
        <w:t xml:space="preserve"> (iii) </w:t>
      </w:r>
      <w:r w:rsidRPr="00496445">
        <w:rPr>
          <w:sz w:val="24"/>
          <w:szCs w:val="24"/>
        </w:rPr>
        <w:t>obezbjeđivanje makroekonomske i fiskalne stabilnosti;</w:t>
      </w:r>
      <w:r>
        <w:rPr>
          <w:sz w:val="24"/>
          <w:szCs w:val="24"/>
        </w:rPr>
        <w:t xml:space="preserve"> (iv) </w:t>
      </w:r>
      <w:r w:rsidRPr="00496445">
        <w:rPr>
          <w:sz w:val="24"/>
          <w:szCs w:val="24"/>
        </w:rPr>
        <w:t xml:space="preserve">unapređenje poslovnog ambijenta </w:t>
      </w:r>
      <w:r>
        <w:rPr>
          <w:sz w:val="24"/>
          <w:szCs w:val="24"/>
        </w:rPr>
        <w:t xml:space="preserve">i (v) </w:t>
      </w:r>
      <w:r w:rsidRPr="00496445">
        <w:rPr>
          <w:sz w:val="24"/>
          <w:szCs w:val="24"/>
        </w:rPr>
        <w:t>pokretanje snažnog investicionog ciklusa.</w:t>
      </w:r>
      <w:r w:rsidR="0098419E">
        <w:rPr>
          <w:sz w:val="24"/>
          <w:szCs w:val="24"/>
        </w:rPr>
        <w:t xml:space="preserve"> </w:t>
      </w:r>
    </w:p>
    <w:p w14:paraId="1AB79EED" w14:textId="77777777" w:rsidR="004316DD" w:rsidRDefault="0090338A" w:rsidP="0090338A">
      <w:pPr>
        <w:spacing w:line="276" w:lineRule="auto"/>
        <w:jc w:val="both"/>
        <w:rPr>
          <w:sz w:val="24"/>
          <w:szCs w:val="24"/>
        </w:rPr>
      </w:pPr>
      <w:r>
        <w:rPr>
          <w:sz w:val="24"/>
          <w:szCs w:val="24"/>
        </w:rPr>
        <w:t>Perspektive ekonomskog rasta</w:t>
      </w:r>
      <w:r w:rsidRPr="00DE5FB6">
        <w:rPr>
          <w:sz w:val="24"/>
          <w:szCs w:val="24"/>
        </w:rPr>
        <w:t xml:space="preserve"> u srednjem roku podržan</w:t>
      </w:r>
      <w:r>
        <w:rPr>
          <w:sz w:val="24"/>
          <w:szCs w:val="24"/>
        </w:rPr>
        <w:t>e</w:t>
      </w:r>
      <w:r w:rsidRPr="00DE5FB6">
        <w:rPr>
          <w:sz w:val="24"/>
          <w:szCs w:val="24"/>
        </w:rPr>
        <w:t xml:space="preserve"> su prioritetima ka ispunjavanju EU agende u procesu pristupanja Crne Gore. U tom smislu, </w:t>
      </w:r>
      <w:r>
        <w:rPr>
          <w:sz w:val="24"/>
          <w:szCs w:val="24"/>
        </w:rPr>
        <w:t xml:space="preserve">posebnu važnost ima </w:t>
      </w:r>
      <w:r w:rsidRPr="00DE5FB6">
        <w:rPr>
          <w:sz w:val="24"/>
          <w:szCs w:val="24"/>
        </w:rPr>
        <w:t xml:space="preserve">nova inicijativa Evropske unije pod nazivom - </w:t>
      </w:r>
      <w:r w:rsidRPr="002602E3">
        <w:rPr>
          <w:b/>
          <w:sz w:val="24"/>
          <w:szCs w:val="24"/>
        </w:rPr>
        <w:t>Novi plan rasta za Zapadni Balkan</w:t>
      </w:r>
      <w:r>
        <w:rPr>
          <w:bCs/>
          <w:sz w:val="24"/>
          <w:szCs w:val="24"/>
        </w:rPr>
        <w:t xml:space="preserve"> k</w:t>
      </w:r>
      <w:r>
        <w:rPr>
          <w:sz w:val="24"/>
          <w:szCs w:val="24"/>
        </w:rPr>
        <w:t>oji treba da omogući</w:t>
      </w:r>
      <w:r w:rsidRPr="00FB4884">
        <w:rPr>
          <w:sz w:val="24"/>
          <w:szCs w:val="24"/>
        </w:rPr>
        <w:t xml:space="preserve"> </w:t>
      </w:r>
      <w:r>
        <w:rPr>
          <w:sz w:val="24"/>
          <w:szCs w:val="24"/>
        </w:rPr>
        <w:t>ubrzanje</w:t>
      </w:r>
      <w:r w:rsidRPr="00FB4884">
        <w:rPr>
          <w:sz w:val="24"/>
          <w:szCs w:val="24"/>
        </w:rPr>
        <w:t xml:space="preserve"> reforme i investicije kako bi značajno ubrzali proces proširenja i rast njihovih ekonomija. </w:t>
      </w:r>
    </w:p>
    <w:p w14:paraId="10B0D693" w14:textId="5C5F5306" w:rsidR="0090338A" w:rsidRPr="004316DD" w:rsidRDefault="00867F1A" w:rsidP="0090338A">
      <w:pPr>
        <w:spacing w:line="276" w:lineRule="auto"/>
        <w:jc w:val="both"/>
        <w:rPr>
          <w:sz w:val="24"/>
          <w:szCs w:val="24"/>
        </w:rPr>
      </w:pPr>
      <w:r>
        <w:rPr>
          <w:sz w:val="24"/>
          <w:szCs w:val="24"/>
        </w:rPr>
        <w:t xml:space="preserve">Projektovana </w:t>
      </w:r>
      <w:r w:rsidR="0090338A">
        <w:rPr>
          <w:sz w:val="24"/>
          <w:szCs w:val="24"/>
        </w:rPr>
        <w:t>stopa rasta</w:t>
      </w:r>
      <w:r w:rsidR="0090338A" w:rsidRPr="00D47349">
        <w:rPr>
          <w:sz w:val="24"/>
          <w:szCs w:val="24"/>
        </w:rPr>
        <w:t xml:space="preserve"> </w:t>
      </w:r>
      <w:r w:rsidR="0090338A">
        <w:rPr>
          <w:sz w:val="24"/>
          <w:szCs w:val="24"/>
        </w:rPr>
        <w:t xml:space="preserve">crnogorske </w:t>
      </w:r>
      <w:r w:rsidR="0090338A" w:rsidRPr="00D47349">
        <w:rPr>
          <w:sz w:val="24"/>
          <w:szCs w:val="24"/>
        </w:rPr>
        <w:t xml:space="preserve">ekonomije </w:t>
      </w:r>
      <w:r w:rsidR="0090338A">
        <w:rPr>
          <w:sz w:val="24"/>
          <w:szCs w:val="24"/>
        </w:rPr>
        <w:t xml:space="preserve">periodu </w:t>
      </w:r>
      <w:r w:rsidR="0090338A" w:rsidRPr="00D47349">
        <w:rPr>
          <w:sz w:val="24"/>
          <w:szCs w:val="24"/>
        </w:rPr>
        <w:t>2024-2026.  je nešto niž</w:t>
      </w:r>
      <w:r w:rsidR="0090338A">
        <w:rPr>
          <w:sz w:val="24"/>
          <w:szCs w:val="24"/>
        </w:rPr>
        <w:t xml:space="preserve">a </w:t>
      </w:r>
      <w:r w:rsidR="0090338A" w:rsidRPr="00D47349">
        <w:rPr>
          <w:sz w:val="24"/>
          <w:szCs w:val="24"/>
        </w:rPr>
        <w:t>u odnosu na 2023.</w:t>
      </w:r>
      <w:r w:rsidR="0090338A">
        <w:rPr>
          <w:sz w:val="24"/>
          <w:szCs w:val="24"/>
        </w:rPr>
        <w:t xml:space="preserve"> </w:t>
      </w:r>
      <w:r w:rsidR="0090338A" w:rsidRPr="00D47349">
        <w:rPr>
          <w:sz w:val="24"/>
          <w:szCs w:val="24"/>
        </w:rPr>
        <w:t xml:space="preserve">godinu, </w:t>
      </w:r>
      <w:r w:rsidR="0090338A">
        <w:rPr>
          <w:sz w:val="24"/>
          <w:szCs w:val="24"/>
        </w:rPr>
        <w:t>i iznosiće oko</w:t>
      </w:r>
      <w:r w:rsidR="0090338A" w:rsidRPr="00D47349">
        <w:rPr>
          <w:sz w:val="24"/>
          <w:szCs w:val="24"/>
        </w:rPr>
        <w:t xml:space="preserve"> 3,2%</w:t>
      </w:r>
      <w:r w:rsidR="0090338A">
        <w:rPr>
          <w:sz w:val="24"/>
          <w:szCs w:val="24"/>
        </w:rPr>
        <w:t>. Rast će se bazirati</w:t>
      </w:r>
      <w:r w:rsidR="0090338A" w:rsidRPr="00D47349">
        <w:rPr>
          <w:sz w:val="24"/>
          <w:szCs w:val="24"/>
        </w:rPr>
        <w:t xml:space="preserve"> na nastavku visoke privatne i javne potrošnje</w:t>
      </w:r>
      <w:r>
        <w:rPr>
          <w:sz w:val="24"/>
          <w:szCs w:val="24"/>
        </w:rPr>
        <w:t xml:space="preserve"> koja će uključiti i investicije</w:t>
      </w:r>
      <w:r w:rsidR="0090338A" w:rsidRPr="00D47349">
        <w:rPr>
          <w:sz w:val="24"/>
          <w:szCs w:val="24"/>
        </w:rPr>
        <w:t xml:space="preserve">, </w:t>
      </w:r>
      <w:r w:rsidR="0090338A">
        <w:rPr>
          <w:sz w:val="24"/>
          <w:szCs w:val="24"/>
        </w:rPr>
        <w:t>povećanju</w:t>
      </w:r>
      <w:r w:rsidR="0090338A" w:rsidRPr="00D47349">
        <w:rPr>
          <w:sz w:val="24"/>
          <w:szCs w:val="24"/>
        </w:rPr>
        <w:t xml:space="preserve"> zaposlenosti i najavljeno</w:t>
      </w:r>
      <w:r>
        <w:rPr>
          <w:sz w:val="24"/>
          <w:szCs w:val="24"/>
        </w:rPr>
        <w:t>m</w:t>
      </w:r>
      <w:r w:rsidR="0090338A" w:rsidRPr="00D47349">
        <w:rPr>
          <w:sz w:val="24"/>
          <w:szCs w:val="24"/>
        </w:rPr>
        <w:t xml:space="preserve"> povećanj</w:t>
      </w:r>
      <w:r>
        <w:rPr>
          <w:sz w:val="24"/>
          <w:szCs w:val="24"/>
        </w:rPr>
        <w:t>u</w:t>
      </w:r>
      <w:r w:rsidR="0090338A" w:rsidRPr="00D47349">
        <w:rPr>
          <w:sz w:val="24"/>
          <w:szCs w:val="24"/>
        </w:rPr>
        <w:t xml:space="preserve"> minimalne penzije, od 1. januara 2024. </w:t>
      </w:r>
      <w:r w:rsidR="00457575">
        <w:rPr>
          <w:sz w:val="24"/>
          <w:szCs w:val="24"/>
        </w:rPr>
        <w:t>godine.</w:t>
      </w:r>
      <w:r w:rsidR="0090338A">
        <w:rPr>
          <w:sz w:val="24"/>
          <w:szCs w:val="24"/>
        </w:rPr>
        <w:t xml:space="preserve"> </w:t>
      </w:r>
      <w:r w:rsidR="0090338A" w:rsidRPr="00DE5FB6">
        <w:rPr>
          <w:sz w:val="24"/>
          <w:szCs w:val="24"/>
        </w:rPr>
        <w:t>Projektovani rast uklju</w:t>
      </w:r>
      <w:r w:rsidR="0090338A">
        <w:rPr>
          <w:sz w:val="24"/>
          <w:szCs w:val="24"/>
        </w:rPr>
        <w:t>č</w:t>
      </w:r>
      <w:r w:rsidR="0090338A" w:rsidRPr="00DE5FB6">
        <w:rPr>
          <w:sz w:val="24"/>
          <w:szCs w:val="24"/>
        </w:rPr>
        <w:t>uje i uticaj šest strukturnih reformi prik</w:t>
      </w:r>
      <w:r w:rsidR="0090338A">
        <w:rPr>
          <w:sz w:val="24"/>
          <w:szCs w:val="24"/>
        </w:rPr>
        <w:t>a</w:t>
      </w:r>
      <w:r w:rsidR="0090338A" w:rsidRPr="00DE5FB6">
        <w:rPr>
          <w:sz w:val="24"/>
          <w:szCs w:val="24"/>
        </w:rPr>
        <w:t>zanih u pogla</w:t>
      </w:r>
      <w:r w:rsidR="0090338A">
        <w:rPr>
          <w:sz w:val="24"/>
          <w:szCs w:val="24"/>
        </w:rPr>
        <w:t>vlju</w:t>
      </w:r>
      <w:r w:rsidR="0090338A" w:rsidRPr="00DE5FB6">
        <w:rPr>
          <w:sz w:val="24"/>
          <w:szCs w:val="24"/>
        </w:rPr>
        <w:t xml:space="preserve"> 5 ovog pr</w:t>
      </w:r>
      <w:r w:rsidR="0090338A">
        <w:rPr>
          <w:sz w:val="24"/>
          <w:szCs w:val="24"/>
        </w:rPr>
        <w:t>ograma</w:t>
      </w:r>
      <w:r>
        <w:rPr>
          <w:sz w:val="24"/>
          <w:szCs w:val="24"/>
        </w:rPr>
        <w:t xml:space="preserve"> u iznosu od oko 0,3% BDP</w:t>
      </w:r>
      <w:r w:rsidR="00F86D05">
        <w:rPr>
          <w:sz w:val="24"/>
          <w:szCs w:val="24"/>
        </w:rPr>
        <w:t>.</w:t>
      </w:r>
      <w:r w:rsidR="007E6917">
        <w:rPr>
          <w:sz w:val="24"/>
          <w:szCs w:val="24"/>
        </w:rPr>
        <w:t xml:space="preserve"> Reforme su fokusirane</w:t>
      </w:r>
      <w:r w:rsidR="004316DD">
        <w:rPr>
          <w:sz w:val="24"/>
          <w:szCs w:val="24"/>
        </w:rPr>
        <w:t xml:space="preserve"> </w:t>
      </w:r>
      <w:r w:rsidR="0090338A">
        <w:rPr>
          <w:sz w:val="24"/>
          <w:szCs w:val="24"/>
        </w:rPr>
        <w:t xml:space="preserve">na unapređenje poslovnog okruženja </w:t>
      </w:r>
      <w:r w:rsidR="007E6917">
        <w:rPr>
          <w:sz w:val="24"/>
          <w:szCs w:val="24"/>
        </w:rPr>
        <w:t xml:space="preserve">važnog za rast </w:t>
      </w:r>
      <w:r w:rsidR="007E6917" w:rsidRPr="007E6917">
        <w:rPr>
          <w:sz w:val="24"/>
          <w:szCs w:val="24"/>
        </w:rPr>
        <w:t xml:space="preserve">malih i srednjih preduzeća (MSP) </w:t>
      </w:r>
      <w:r w:rsidR="007E6917">
        <w:rPr>
          <w:sz w:val="24"/>
          <w:szCs w:val="24"/>
        </w:rPr>
        <w:t xml:space="preserve">i </w:t>
      </w:r>
      <w:r w:rsidR="007E6917" w:rsidRPr="007E6917">
        <w:rPr>
          <w:sz w:val="24"/>
          <w:szCs w:val="24"/>
        </w:rPr>
        <w:t>njihov potencijal da podstiču inovacije u ekonomiji</w:t>
      </w:r>
      <w:r w:rsidR="007E6917">
        <w:rPr>
          <w:sz w:val="24"/>
          <w:szCs w:val="24"/>
        </w:rPr>
        <w:t xml:space="preserve">; </w:t>
      </w:r>
      <w:r w:rsidR="0090338A">
        <w:rPr>
          <w:sz w:val="24"/>
          <w:szCs w:val="24"/>
        </w:rPr>
        <w:t>borbu protiv neformalne ekonomije</w:t>
      </w:r>
      <w:r w:rsidR="007E6917">
        <w:rPr>
          <w:sz w:val="24"/>
          <w:szCs w:val="24"/>
        </w:rPr>
        <w:t>;</w:t>
      </w:r>
      <w:r w:rsidR="0090338A">
        <w:rPr>
          <w:sz w:val="24"/>
          <w:szCs w:val="24"/>
        </w:rPr>
        <w:t xml:space="preserve"> reformu državnih preuzeća</w:t>
      </w:r>
      <w:r w:rsidR="007E6917">
        <w:rPr>
          <w:sz w:val="24"/>
          <w:szCs w:val="24"/>
        </w:rPr>
        <w:t>;</w:t>
      </w:r>
      <w:r w:rsidR="0090338A">
        <w:rPr>
          <w:sz w:val="24"/>
          <w:szCs w:val="24"/>
        </w:rPr>
        <w:t xml:space="preserve"> </w:t>
      </w:r>
      <w:r w:rsidR="0090338A" w:rsidRPr="004316DD">
        <w:rPr>
          <w:rFonts w:cstheme="minorHAnsi"/>
          <w:sz w:val="24"/>
          <w:szCs w:val="24"/>
        </w:rPr>
        <w:t>jačanje energetske otprnosti</w:t>
      </w:r>
      <w:r w:rsidRPr="004316DD">
        <w:rPr>
          <w:rFonts w:cstheme="minorHAnsi"/>
          <w:sz w:val="24"/>
          <w:szCs w:val="24"/>
        </w:rPr>
        <w:t>, zelenu traziciju,</w:t>
      </w:r>
      <w:r w:rsidR="004316DD">
        <w:rPr>
          <w:rFonts w:cstheme="minorHAnsi"/>
          <w:sz w:val="24"/>
          <w:szCs w:val="24"/>
        </w:rPr>
        <w:t xml:space="preserve"> </w:t>
      </w:r>
      <w:r w:rsidR="0090338A" w:rsidRPr="004316DD">
        <w:rPr>
          <w:rFonts w:cstheme="minorHAnsi"/>
          <w:sz w:val="24"/>
          <w:szCs w:val="24"/>
        </w:rPr>
        <w:t xml:space="preserve">digitalnu transformaciju kao i na </w:t>
      </w:r>
      <w:r w:rsidR="00434DB6" w:rsidRPr="004316DD">
        <w:rPr>
          <w:rFonts w:cstheme="minorHAnsi"/>
          <w:sz w:val="24"/>
          <w:szCs w:val="24"/>
        </w:rPr>
        <w:t>j</w:t>
      </w:r>
      <w:r w:rsidR="00836E05" w:rsidRPr="004316DD">
        <w:rPr>
          <w:rFonts w:cstheme="minorHAnsi"/>
          <w:sz w:val="24"/>
          <w:szCs w:val="24"/>
        </w:rPr>
        <w:t>ačanje ljudskog kapitala.</w:t>
      </w:r>
    </w:p>
    <w:p w14:paraId="0ADEBC07" w14:textId="6C4FA237" w:rsidR="004316DD" w:rsidRPr="004316DD" w:rsidRDefault="00434DB6" w:rsidP="004316DD">
      <w:pPr>
        <w:spacing w:after="120" w:line="256" w:lineRule="auto"/>
        <w:jc w:val="both"/>
        <w:rPr>
          <w:rFonts w:cstheme="minorHAnsi"/>
          <w:sz w:val="24"/>
          <w:szCs w:val="24"/>
        </w:rPr>
      </w:pPr>
      <w:r w:rsidRPr="004316DD">
        <w:rPr>
          <w:rFonts w:cstheme="minorHAnsi"/>
          <w:sz w:val="24"/>
          <w:szCs w:val="24"/>
          <w:lang w:val="sr-Latn-ME"/>
        </w:rPr>
        <w:t xml:space="preserve">U </w:t>
      </w:r>
      <w:r w:rsidR="0090338A" w:rsidRPr="004316DD">
        <w:rPr>
          <w:rFonts w:cstheme="minorHAnsi"/>
          <w:sz w:val="24"/>
          <w:szCs w:val="24"/>
          <w:lang w:val="sr-Latn-ME"/>
        </w:rPr>
        <w:t xml:space="preserve">kombinaciji sa setom strukturnih  reformi, PER sadrži i mjere fiskalne </w:t>
      </w:r>
      <w:r w:rsidR="00496445" w:rsidRPr="004316DD">
        <w:rPr>
          <w:rFonts w:cstheme="minorHAnsi"/>
          <w:sz w:val="24"/>
          <w:szCs w:val="24"/>
          <w:lang w:val="sr-Latn-ME"/>
        </w:rPr>
        <w:t xml:space="preserve">politike </w:t>
      </w:r>
      <w:r w:rsidR="0090338A" w:rsidRPr="004316DD">
        <w:rPr>
          <w:rFonts w:cstheme="minorHAnsi"/>
          <w:sz w:val="24"/>
          <w:szCs w:val="24"/>
          <w:lang w:val="sr-Latn-ME"/>
        </w:rPr>
        <w:t xml:space="preserve">usmjerene na smanjenje </w:t>
      </w:r>
      <w:r w:rsidR="004316DD" w:rsidRPr="004316DD">
        <w:rPr>
          <w:rFonts w:cstheme="minorHAnsi"/>
          <w:sz w:val="24"/>
          <w:szCs w:val="24"/>
        </w:rPr>
        <w:t xml:space="preserve">smanjenje budžetskog deficita na ispod 3% BDP-a prosječno u naredne tri godine, što je u skladu sa pravilima fiskalne odgovornosti. Istovremeno se projektuje ostvarenje primarnog suficita u 2026. godini </w:t>
      </w:r>
      <w:r w:rsidR="004316DD">
        <w:rPr>
          <w:rFonts w:cstheme="minorHAnsi"/>
          <w:sz w:val="24"/>
          <w:szCs w:val="24"/>
        </w:rPr>
        <w:t>i</w:t>
      </w:r>
      <w:r w:rsidR="004316DD" w:rsidRPr="004316DD">
        <w:rPr>
          <w:rFonts w:cstheme="minorHAnsi"/>
          <w:sz w:val="24"/>
          <w:szCs w:val="24"/>
        </w:rPr>
        <w:t xml:space="preserve"> silazni trend javnog duga.</w:t>
      </w:r>
    </w:p>
    <w:p w14:paraId="7F6BD38E" w14:textId="77777777" w:rsidR="00496445" w:rsidRPr="004316DD" w:rsidRDefault="00496445" w:rsidP="0090338A">
      <w:pPr>
        <w:spacing w:line="276" w:lineRule="auto"/>
        <w:jc w:val="both"/>
        <w:rPr>
          <w:rFonts w:cstheme="minorHAnsi"/>
          <w:sz w:val="24"/>
          <w:szCs w:val="24"/>
          <w:lang w:val="sr-Latn-ME"/>
        </w:rPr>
      </w:pPr>
    </w:p>
    <w:p w14:paraId="6E379AE4" w14:textId="7E8D07C9" w:rsidR="00CA7341" w:rsidRPr="0047692E" w:rsidRDefault="00CA7341" w:rsidP="00BE4674">
      <w:pPr>
        <w:pStyle w:val="Heading1"/>
        <w:shd w:val="clear" w:color="auto" w:fill="B4C6E7" w:themeFill="accent1" w:themeFillTint="66"/>
        <w:rPr>
          <w:b/>
        </w:rPr>
      </w:pPr>
      <w:bookmarkStart w:id="5" w:name="_Toc125545748"/>
      <w:bookmarkStart w:id="6" w:name="_Toc153305322"/>
      <w:r w:rsidRPr="0047692E">
        <w:rPr>
          <w:b/>
        </w:rPr>
        <w:lastRenderedPageBreak/>
        <w:t xml:space="preserve">2. IMPLEMENTACIJA </w:t>
      </w:r>
      <w:bookmarkEnd w:id="5"/>
      <w:r w:rsidR="00BE4674" w:rsidRPr="0047692E">
        <w:rPr>
          <w:b/>
        </w:rPr>
        <w:t>PREPORUKA SA MINISTARSKOG DIJALOGA</w:t>
      </w:r>
      <w:bookmarkEnd w:id="6"/>
    </w:p>
    <w:p w14:paraId="663E032E" w14:textId="1FBE0816" w:rsidR="00CA7341" w:rsidRPr="00C408A7" w:rsidRDefault="00CA7341" w:rsidP="00CA7341">
      <w:pPr>
        <w:jc w:val="both"/>
        <w:rPr>
          <w:sz w:val="24"/>
          <w:szCs w:val="24"/>
          <w:lang w:val="sr-Latn-ME"/>
        </w:rPr>
      </w:pPr>
      <w:r w:rsidRPr="00C408A7">
        <w:rPr>
          <w:sz w:val="24"/>
          <w:szCs w:val="24"/>
          <w:lang w:val="sr-Latn-ME"/>
        </w:rPr>
        <w:t>U ovom poglavlju je prikazan odgovor Crne Gore na zajedničke zaključke sa ministarskog sastanka iz maja 202</w:t>
      </w:r>
      <w:r w:rsidRPr="00E95EB6">
        <w:rPr>
          <w:sz w:val="24"/>
          <w:szCs w:val="24"/>
          <w:lang w:val="sr-Latn-ME"/>
        </w:rPr>
        <w:t>3</w:t>
      </w:r>
      <w:r w:rsidRPr="00C408A7">
        <w:rPr>
          <w:sz w:val="24"/>
          <w:szCs w:val="24"/>
          <w:lang w:val="sr-Latn-ME"/>
        </w:rPr>
        <w:t>. godine, u okviru ekonomskog i finansijskog dijaloga EU sa zemljama Zapadnog Balkana i Turskom. Naredna tabela prikazuje pregled aktivnosti i reformskih mjera Vlade Crne Gore u odgovoru na navedene preporuke EU sa ministarskog sastanka 202</w:t>
      </w:r>
      <w:r w:rsidRPr="00E95EB6">
        <w:rPr>
          <w:sz w:val="24"/>
          <w:szCs w:val="24"/>
          <w:lang w:val="sr-Latn-ME"/>
        </w:rPr>
        <w:t>3</w:t>
      </w:r>
      <w:r w:rsidRPr="00C408A7">
        <w:rPr>
          <w:sz w:val="24"/>
          <w:szCs w:val="24"/>
          <w:lang w:val="sr-Latn-ME"/>
        </w:rPr>
        <w:t xml:space="preserve">. godine. Takođe, prikazuje i </w:t>
      </w:r>
      <w:r w:rsidRPr="00E95EB6">
        <w:rPr>
          <w:sz w:val="24"/>
          <w:szCs w:val="24"/>
          <w:lang w:val="sr-Latn-ME"/>
        </w:rPr>
        <w:t>suštinu strukturnih reformi sadržanih</w:t>
      </w:r>
      <w:r w:rsidRPr="00C408A7">
        <w:rPr>
          <w:sz w:val="24"/>
          <w:szCs w:val="24"/>
          <w:lang w:val="sr-Latn-ME"/>
        </w:rPr>
        <w:t xml:space="preserve"> u PER-u 202</w:t>
      </w:r>
      <w:r w:rsidRPr="00E95EB6">
        <w:rPr>
          <w:sz w:val="24"/>
          <w:szCs w:val="24"/>
          <w:lang w:val="sr-Latn-ME"/>
        </w:rPr>
        <w:t>4</w:t>
      </w:r>
      <w:r w:rsidRPr="00C408A7">
        <w:rPr>
          <w:sz w:val="24"/>
          <w:szCs w:val="24"/>
          <w:lang w:val="sr-Latn-ME"/>
        </w:rPr>
        <w:t>-202</w:t>
      </w:r>
      <w:r w:rsidRPr="00E95EB6">
        <w:rPr>
          <w:sz w:val="24"/>
          <w:szCs w:val="24"/>
          <w:lang w:val="sr-Latn-ME"/>
        </w:rPr>
        <w:t>6</w:t>
      </w:r>
      <w:r w:rsidRPr="00C408A7">
        <w:rPr>
          <w:sz w:val="24"/>
          <w:szCs w:val="24"/>
          <w:lang w:val="sr-Latn-ME"/>
        </w:rPr>
        <w:t xml:space="preserve">. godine </w:t>
      </w:r>
      <w:r w:rsidRPr="00E95EB6">
        <w:rPr>
          <w:sz w:val="24"/>
          <w:szCs w:val="24"/>
          <w:lang w:val="sr-Latn-ME"/>
        </w:rPr>
        <w:t xml:space="preserve">kao odgovora </w:t>
      </w:r>
      <w:r w:rsidRPr="00C408A7">
        <w:rPr>
          <w:sz w:val="24"/>
          <w:szCs w:val="24"/>
          <w:lang w:val="sr-Latn-ME"/>
        </w:rPr>
        <w:t>na date preporuke.</w:t>
      </w:r>
    </w:p>
    <w:p w14:paraId="740CDA58" w14:textId="77777777" w:rsidR="00CA7341" w:rsidRPr="00C408A7" w:rsidRDefault="00CA7341" w:rsidP="00CA7341">
      <w:pPr>
        <w:jc w:val="both"/>
        <w:rPr>
          <w:b/>
          <w:bCs/>
          <w:sz w:val="24"/>
          <w:szCs w:val="24"/>
          <w:lang w:val="sr-Latn-ME"/>
        </w:rPr>
      </w:pPr>
      <w:r w:rsidRPr="00C408A7">
        <w:rPr>
          <w:b/>
          <w:bCs/>
          <w:sz w:val="24"/>
          <w:szCs w:val="24"/>
          <w:lang w:val="sr-Latn-ME"/>
        </w:rPr>
        <w:t>Tabela 2.1: Preporuke EU Crnoj Gori za PER 202</w:t>
      </w:r>
      <w:r w:rsidRPr="00E95EB6">
        <w:rPr>
          <w:b/>
          <w:bCs/>
          <w:sz w:val="24"/>
          <w:szCs w:val="24"/>
          <w:lang w:val="sr-Latn-ME"/>
        </w:rPr>
        <w:t>4</w:t>
      </w:r>
      <w:r w:rsidRPr="00C408A7">
        <w:rPr>
          <w:b/>
          <w:bCs/>
          <w:sz w:val="24"/>
          <w:szCs w:val="24"/>
          <w:lang w:val="sr-Latn-ME"/>
        </w:rPr>
        <w:t>-202</w:t>
      </w:r>
      <w:r w:rsidRPr="00E95EB6">
        <w:rPr>
          <w:b/>
          <w:bCs/>
          <w:sz w:val="24"/>
          <w:szCs w:val="24"/>
          <w:lang w:val="sr-Latn-ME"/>
        </w:rPr>
        <w:t>6</w:t>
      </w:r>
      <w:r w:rsidRPr="00C408A7">
        <w:rPr>
          <w:b/>
          <w:bCs/>
          <w:sz w:val="24"/>
          <w:szCs w:val="24"/>
          <w:lang w:val="sr-Latn-ME"/>
        </w:rPr>
        <w:t xml:space="preserve">. </w:t>
      </w:r>
      <w:r w:rsidRPr="00E95EB6">
        <w:rPr>
          <w:b/>
          <w:bCs/>
          <w:sz w:val="24"/>
          <w:szCs w:val="24"/>
          <w:lang w:val="sr-Latn-ME"/>
        </w:rPr>
        <w:t xml:space="preserve">i </w:t>
      </w:r>
      <w:r w:rsidRPr="00C408A7">
        <w:rPr>
          <w:b/>
          <w:bCs/>
          <w:sz w:val="24"/>
          <w:szCs w:val="24"/>
          <w:lang w:val="sr-Latn-ME"/>
        </w:rPr>
        <w:t>odgovor na preporuke.</w:t>
      </w:r>
    </w:p>
    <w:tbl>
      <w:tblPr>
        <w:tblStyle w:val="TableGrid"/>
        <w:tblW w:w="9175" w:type="dxa"/>
        <w:tblLook w:val="04A0" w:firstRow="1" w:lastRow="0" w:firstColumn="1" w:lastColumn="0" w:noHBand="0" w:noVBand="1"/>
      </w:tblPr>
      <w:tblGrid>
        <w:gridCol w:w="9175"/>
      </w:tblGrid>
      <w:tr w:rsidR="00CA7341" w:rsidRPr="00C408A7" w14:paraId="145ECABC" w14:textId="77777777" w:rsidTr="0092632C">
        <w:tc>
          <w:tcPr>
            <w:tcW w:w="9175" w:type="dxa"/>
            <w:shd w:val="clear" w:color="auto" w:fill="D9E2F3" w:themeFill="accent1" w:themeFillTint="33"/>
            <w:tcMar>
              <w:top w:w="144" w:type="dxa"/>
              <w:left w:w="58" w:type="dxa"/>
              <w:bottom w:w="144" w:type="dxa"/>
              <w:right w:w="58" w:type="dxa"/>
            </w:tcMar>
          </w:tcPr>
          <w:p w14:paraId="2C214B9F" w14:textId="77777777" w:rsidR="00CA7341" w:rsidRPr="000A6EEB" w:rsidRDefault="00CA7341" w:rsidP="00E448C6">
            <w:pPr>
              <w:pStyle w:val="NormalWeb"/>
              <w:spacing w:after="160" w:line="256" w:lineRule="auto"/>
              <w:jc w:val="both"/>
              <w:rPr>
                <w:rFonts w:asciiTheme="minorHAnsi" w:hAnsiTheme="minorHAnsi" w:cstheme="minorHAnsi"/>
              </w:rPr>
            </w:pPr>
            <w:r w:rsidRPr="000A6EEB">
              <w:rPr>
                <w:rFonts w:asciiTheme="minorHAnsi" w:hAnsiTheme="minorHAnsi" w:cstheme="minorHAnsi"/>
                <w:b/>
                <w:bCs/>
                <w:i/>
                <w:iCs/>
                <w:lang w:val="sr-Latn-ME"/>
              </w:rPr>
              <w:t>Preporuka 1</w:t>
            </w:r>
            <w:r w:rsidRPr="000A6EEB">
              <w:rPr>
                <w:rFonts w:asciiTheme="minorHAnsi" w:hAnsiTheme="minorHAnsi" w:cstheme="minorHAnsi"/>
                <w:b/>
                <w:bCs/>
                <w:i/>
              </w:rPr>
              <w:t xml:space="preserve">. </w:t>
            </w:r>
            <w:r w:rsidRPr="000A6EEB">
              <w:rPr>
                <w:rFonts w:asciiTheme="minorHAnsi" w:eastAsia="Calibri" w:hAnsiTheme="minorHAnsi" w:cstheme="minorHAnsi"/>
              </w:rPr>
              <w:t>Usvojiti odgovarajuć</w:t>
            </w:r>
            <w:r w:rsidRPr="000A6EEB">
              <w:rPr>
                <w:rFonts w:asciiTheme="minorHAnsi" w:eastAsia="Calibri" w:hAnsiTheme="minorHAnsi" w:cstheme="minorHAnsi"/>
                <w:lang w:val="sr-Latn-ME"/>
              </w:rPr>
              <w:t xml:space="preserve">e fiskalno stanje u </w:t>
            </w:r>
            <w:r w:rsidRPr="000A6EEB">
              <w:rPr>
                <w:rFonts w:asciiTheme="minorHAnsi" w:eastAsia="Calibri" w:hAnsiTheme="minorHAnsi" w:cstheme="minorHAnsi"/>
              </w:rPr>
              <w:t xml:space="preserve">2023. godine kako bi se pomoglo </w:t>
            </w:r>
            <w:r w:rsidRPr="000A6EEB">
              <w:rPr>
                <w:rFonts w:asciiTheme="minorHAnsi" w:eastAsia="Calibri" w:hAnsiTheme="minorHAnsi" w:cstheme="minorHAnsi"/>
                <w:lang w:val="sr-Latn-ME"/>
              </w:rPr>
              <w:t>smanjenju inflacije</w:t>
            </w:r>
            <w:r w:rsidRPr="000A6EEB">
              <w:rPr>
                <w:rFonts w:asciiTheme="minorHAnsi" w:eastAsia="Calibri" w:hAnsiTheme="minorHAnsi" w:cstheme="minorHAnsi"/>
              </w:rPr>
              <w:t xml:space="preserve">, istovremeno pružajući </w:t>
            </w:r>
            <w:r w:rsidRPr="000A6EEB">
              <w:rPr>
                <w:rFonts w:asciiTheme="minorHAnsi" w:eastAsia="Calibri" w:hAnsiTheme="minorHAnsi" w:cstheme="minorHAnsi"/>
                <w:lang w:val="sr-Latn-ME"/>
              </w:rPr>
              <w:t>p</w:t>
            </w:r>
            <w:r w:rsidRPr="000A6EEB">
              <w:rPr>
                <w:rFonts w:asciiTheme="minorHAnsi" w:eastAsia="Calibri" w:hAnsiTheme="minorHAnsi" w:cstheme="minorHAnsi"/>
              </w:rPr>
              <w:t>odršk</w:t>
            </w:r>
            <w:r w:rsidRPr="000A6EEB">
              <w:rPr>
                <w:rFonts w:asciiTheme="minorHAnsi" w:eastAsia="Calibri" w:hAnsiTheme="minorHAnsi" w:cstheme="minorHAnsi"/>
                <w:lang w:val="sr-Latn-ME"/>
              </w:rPr>
              <w:t>u</w:t>
            </w:r>
            <w:r w:rsidRPr="000A6EEB">
              <w:rPr>
                <w:rFonts w:asciiTheme="minorHAnsi" w:eastAsia="Calibri" w:hAnsiTheme="minorHAnsi" w:cstheme="minorHAnsi"/>
              </w:rPr>
              <w:t xml:space="preserve"> ugroženim domaćinstvima i firmama</w:t>
            </w:r>
            <w:r w:rsidRPr="000A6EEB">
              <w:rPr>
                <w:rFonts w:asciiTheme="minorHAnsi" w:eastAsia="Calibri" w:hAnsiTheme="minorHAnsi" w:cstheme="minorHAnsi"/>
                <w:lang w:val="sr-Latn-ME"/>
              </w:rPr>
              <w:t xml:space="preserve">, ukoliko je potrebno.Usvojiti novu srednjoročnu </w:t>
            </w:r>
            <w:r w:rsidRPr="000A6EEB">
              <w:rPr>
                <w:rFonts w:asciiTheme="minorHAnsi" w:eastAsia="Calibri" w:hAnsiTheme="minorHAnsi" w:cstheme="minorHAnsi"/>
              </w:rPr>
              <w:t>fiskaln</w:t>
            </w:r>
            <w:r w:rsidRPr="000A6EEB">
              <w:rPr>
                <w:rFonts w:asciiTheme="minorHAnsi" w:eastAsia="Calibri" w:hAnsiTheme="minorHAnsi" w:cstheme="minorHAnsi"/>
                <w:lang w:val="sr-Latn-ME"/>
              </w:rPr>
              <w:t>u</w:t>
            </w:r>
            <w:r w:rsidRPr="000A6EEB">
              <w:rPr>
                <w:rFonts w:asciiTheme="minorHAnsi" w:eastAsia="Calibri" w:hAnsiTheme="minorHAnsi" w:cstheme="minorHAnsi"/>
              </w:rPr>
              <w:t xml:space="preserve"> strategij</w:t>
            </w:r>
            <w:r w:rsidRPr="000A6EEB">
              <w:rPr>
                <w:rFonts w:asciiTheme="minorHAnsi" w:eastAsia="Calibri" w:hAnsiTheme="minorHAnsi" w:cstheme="minorHAnsi"/>
                <w:lang w:val="sr-Latn-ME"/>
              </w:rPr>
              <w:t>u</w:t>
            </w:r>
            <w:r w:rsidRPr="000A6EEB">
              <w:rPr>
                <w:rFonts w:asciiTheme="minorHAnsi" w:eastAsia="Calibri" w:hAnsiTheme="minorHAnsi" w:cstheme="minorHAnsi"/>
              </w:rPr>
              <w:t xml:space="preserve"> sa budžetom za 2024. godinu, uključujući konkretne m</w:t>
            </w:r>
            <w:r w:rsidRPr="000A6EEB">
              <w:rPr>
                <w:rFonts w:asciiTheme="minorHAnsi" w:eastAsia="Calibri" w:hAnsiTheme="minorHAnsi" w:cstheme="minorHAnsi"/>
                <w:lang w:val="sr-Latn-ME"/>
              </w:rPr>
              <w:t>j</w:t>
            </w:r>
            <w:r w:rsidRPr="000A6EEB">
              <w:rPr>
                <w:rFonts w:asciiTheme="minorHAnsi" w:eastAsia="Calibri" w:hAnsiTheme="minorHAnsi" w:cstheme="minorHAnsi"/>
              </w:rPr>
              <w:t xml:space="preserve">ere konsolidacije </w:t>
            </w:r>
            <w:r w:rsidRPr="000A6EEB">
              <w:rPr>
                <w:rFonts w:asciiTheme="minorHAnsi" w:eastAsia="Calibri" w:hAnsiTheme="minorHAnsi" w:cstheme="minorHAnsi"/>
                <w:lang w:val="sr-Latn-ME"/>
              </w:rPr>
              <w:t>koje treba da dovedu do primarnog suficita o</w:t>
            </w:r>
            <w:r w:rsidRPr="000A6EEB">
              <w:rPr>
                <w:rFonts w:asciiTheme="minorHAnsi" w:eastAsia="Calibri" w:hAnsiTheme="minorHAnsi" w:cstheme="minorHAnsi"/>
              </w:rPr>
              <w:t>d 2025. godine i smanjenje javnog dug</w:t>
            </w:r>
            <w:r w:rsidRPr="000A6EEB">
              <w:rPr>
                <w:rFonts w:asciiTheme="minorHAnsi" w:eastAsia="Calibri" w:hAnsiTheme="minorHAnsi" w:cstheme="minorHAnsi"/>
                <w:lang w:val="sr-Latn-ME"/>
              </w:rPr>
              <w:t>a</w:t>
            </w:r>
            <w:r w:rsidRPr="000A6EEB">
              <w:rPr>
                <w:rFonts w:asciiTheme="minorHAnsi" w:eastAsia="Calibri" w:hAnsiTheme="minorHAnsi" w:cstheme="minorHAnsi"/>
              </w:rPr>
              <w:t xml:space="preserve"> u srednjoročnom periodu.Obezb</w:t>
            </w:r>
            <w:r w:rsidRPr="000A6EEB">
              <w:rPr>
                <w:rFonts w:asciiTheme="minorHAnsi" w:eastAsia="Calibri" w:hAnsiTheme="minorHAnsi" w:cstheme="minorHAnsi"/>
                <w:lang w:val="sr-Latn-ME"/>
              </w:rPr>
              <w:t>ijediti</w:t>
            </w:r>
            <w:r w:rsidRPr="000A6EEB">
              <w:rPr>
                <w:rFonts w:asciiTheme="minorHAnsi" w:eastAsia="Calibri" w:hAnsiTheme="minorHAnsi" w:cstheme="minorHAnsi"/>
              </w:rPr>
              <w:t xml:space="preserve"> odgovarajuć</w:t>
            </w:r>
            <w:r w:rsidRPr="000A6EEB">
              <w:rPr>
                <w:rFonts w:asciiTheme="minorHAnsi" w:eastAsia="Calibri" w:hAnsiTheme="minorHAnsi" w:cstheme="minorHAnsi"/>
                <w:lang w:val="sr-Latn-ME"/>
              </w:rPr>
              <w:t>a</w:t>
            </w:r>
            <w:r w:rsidRPr="000A6EEB">
              <w:rPr>
                <w:rFonts w:asciiTheme="minorHAnsi" w:eastAsia="Calibri" w:hAnsiTheme="minorHAnsi" w:cstheme="minorHAnsi"/>
              </w:rPr>
              <w:t xml:space="preserve"> </w:t>
            </w:r>
            <w:r w:rsidRPr="000A6EEB">
              <w:rPr>
                <w:rFonts w:asciiTheme="minorHAnsi" w:eastAsia="Calibri" w:hAnsiTheme="minorHAnsi" w:cstheme="minorHAnsi"/>
                <w:lang w:val="sr-Latn-ME"/>
              </w:rPr>
              <w:t>sredstva</w:t>
            </w:r>
            <w:r w:rsidRPr="000A6EEB">
              <w:rPr>
                <w:rFonts w:asciiTheme="minorHAnsi" w:eastAsia="Calibri" w:hAnsiTheme="minorHAnsi" w:cstheme="minorHAnsi"/>
              </w:rPr>
              <w:t xml:space="preserve"> za nove fiskalne inicijative pr</w:t>
            </w:r>
            <w:r w:rsidRPr="000A6EEB">
              <w:rPr>
                <w:rFonts w:asciiTheme="minorHAnsi" w:eastAsia="Calibri" w:hAnsiTheme="minorHAnsi" w:cstheme="minorHAnsi"/>
                <w:lang w:val="sr-Latn-ME"/>
              </w:rPr>
              <w:t>ije njihovog usvajanja</w:t>
            </w:r>
            <w:r w:rsidRPr="000A6EEB">
              <w:rPr>
                <w:rFonts w:asciiTheme="minorHAnsi" w:eastAsia="Calibri" w:hAnsiTheme="minorHAnsi" w:cstheme="minorHAnsi"/>
              </w:rPr>
              <w:t>.</w:t>
            </w:r>
          </w:p>
        </w:tc>
      </w:tr>
      <w:tr w:rsidR="00CA7341" w:rsidRPr="00C408A7" w14:paraId="0F492BA4" w14:textId="77777777" w:rsidTr="0092632C">
        <w:tc>
          <w:tcPr>
            <w:tcW w:w="9175" w:type="dxa"/>
            <w:tcMar>
              <w:top w:w="144" w:type="dxa"/>
              <w:left w:w="58" w:type="dxa"/>
              <w:bottom w:w="144" w:type="dxa"/>
              <w:right w:w="58" w:type="dxa"/>
            </w:tcMar>
          </w:tcPr>
          <w:p w14:paraId="4D108EF5" w14:textId="2341FC50" w:rsidR="00CA7341" w:rsidRPr="004316DD" w:rsidRDefault="004316DD" w:rsidP="000A6EEB">
            <w:pPr>
              <w:jc w:val="both"/>
              <w:rPr>
                <w:bCs/>
                <w:sz w:val="24"/>
                <w:szCs w:val="24"/>
                <w:lang w:val="en-US"/>
              </w:rPr>
            </w:pPr>
            <w:r w:rsidRPr="004316DD">
              <w:rPr>
                <w:bCs/>
                <w:sz w:val="24"/>
                <w:szCs w:val="24"/>
              </w:rPr>
              <w:t xml:space="preserve">Budžetom za 2024. godinu predviđene su mjere fiskalne konsolidacije koje rezultiraju ostvarivanjem suficita tekuće budžetske potrošnje u periodu 2024 – 2026. godine i ostvarivanjem primarnog budžetskog suficita u 2026. godini, </w:t>
            </w:r>
            <w:r w:rsidR="00CA7341" w:rsidRPr="004316DD">
              <w:rPr>
                <w:bCs/>
                <w:sz w:val="24"/>
                <w:szCs w:val="24"/>
              </w:rPr>
              <w:t>Vlada Crne Gore</w:t>
            </w:r>
            <w:r w:rsidR="00D63A29" w:rsidRPr="004316DD">
              <w:rPr>
                <w:bCs/>
                <w:sz w:val="24"/>
                <w:szCs w:val="24"/>
              </w:rPr>
              <w:t xml:space="preserve"> će tokom drugog kvartala</w:t>
            </w:r>
            <w:r w:rsidR="000A6EEB" w:rsidRPr="004316DD">
              <w:rPr>
                <w:bCs/>
                <w:sz w:val="24"/>
                <w:szCs w:val="24"/>
              </w:rPr>
              <w:t xml:space="preserve"> 2024. </w:t>
            </w:r>
            <w:r w:rsidR="003A75FC" w:rsidRPr="004316DD">
              <w:rPr>
                <w:bCs/>
                <w:sz w:val="24"/>
                <w:szCs w:val="24"/>
              </w:rPr>
              <w:t xml:space="preserve">predložiti </w:t>
            </w:r>
            <w:r w:rsidR="000A6EEB" w:rsidRPr="004316DD">
              <w:rPr>
                <w:bCs/>
                <w:sz w:val="24"/>
                <w:szCs w:val="24"/>
              </w:rPr>
              <w:t xml:space="preserve">usvajanje </w:t>
            </w:r>
            <w:r w:rsidR="003A75FC" w:rsidRPr="004316DD">
              <w:rPr>
                <w:bCs/>
                <w:sz w:val="24"/>
                <w:szCs w:val="24"/>
                <w:lang w:val="en-US"/>
              </w:rPr>
              <w:t xml:space="preserve">Fiskalne strategije. U skladu sa Članom 17 Zakona o budžetu i fiskalnoj odgovornosti ("Sl.list CG", br: 070/21) propisano </w:t>
            </w:r>
            <w:r w:rsidR="003A75FC" w:rsidRPr="00047658">
              <w:rPr>
                <w:bCs/>
                <w:sz w:val="24"/>
                <w:szCs w:val="24"/>
                <w:lang w:val="en-US"/>
              </w:rPr>
              <w:t xml:space="preserve">je pripremanje Fiskalne strategije za period trajanja mandata Vlade, i ista se dostavlja Skupštini na usvajanje. </w:t>
            </w:r>
            <w:r w:rsidR="000A6EEB" w:rsidRPr="00047658">
              <w:rPr>
                <w:bCs/>
                <w:sz w:val="24"/>
                <w:szCs w:val="24"/>
                <w:lang w:val="en-US"/>
              </w:rPr>
              <w:t xml:space="preserve">Fiskalna strategija </w:t>
            </w:r>
            <w:r w:rsidR="00047658" w:rsidRPr="00047658">
              <w:rPr>
                <w:sz w:val="24"/>
                <w:szCs w:val="24"/>
              </w:rPr>
              <w:t xml:space="preserve"> će sadržati dodatne politike fiskalnog prilagođavanja kroz predlaganje ključnih reformskih rješenja u oblastima: socijalnog, zdravstvenog i penzijskog sistema kao i poreske politike</w:t>
            </w:r>
            <w:r w:rsidR="00047658">
              <w:rPr>
                <w:sz w:val="24"/>
                <w:szCs w:val="24"/>
              </w:rPr>
              <w:t>.</w:t>
            </w:r>
          </w:p>
        </w:tc>
      </w:tr>
      <w:tr w:rsidR="00CA7341" w:rsidRPr="00C408A7" w14:paraId="1CB3FD79" w14:textId="77777777" w:rsidTr="0092632C">
        <w:tc>
          <w:tcPr>
            <w:tcW w:w="9175" w:type="dxa"/>
            <w:shd w:val="clear" w:color="auto" w:fill="D9E2F3" w:themeFill="accent1" w:themeFillTint="33"/>
            <w:tcMar>
              <w:top w:w="144" w:type="dxa"/>
              <w:left w:w="58" w:type="dxa"/>
              <w:bottom w:w="144" w:type="dxa"/>
              <w:right w:w="58" w:type="dxa"/>
            </w:tcMar>
          </w:tcPr>
          <w:p w14:paraId="051BF5DE" w14:textId="77777777" w:rsidR="00CA7341" w:rsidRPr="00C408A7" w:rsidRDefault="00CA7341" w:rsidP="00E448C6">
            <w:pPr>
              <w:pStyle w:val="NormalWeb"/>
              <w:spacing w:after="160" w:line="256" w:lineRule="auto"/>
              <w:jc w:val="both"/>
              <w:rPr>
                <w:rFonts w:asciiTheme="minorHAnsi" w:hAnsiTheme="minorHAnsi" w:cstheme="minorHAnsi"/>
              </w:rPr>
            </w:pPr>
            <w:r w:rsidRPr="00C408A7">
              <w:rPr>
                <w:rFonts w:asciiTheme="minorHAnsi" w:hAnsiTheme="minorHAnsi" w:cstheme="minorHAnsi"/>
                <w:b/>
                <w:bCs/>
                <w:i/>
                <w:iCs/>
                <w:lang w:val="sr-Latn-ME"/>
              </w:rPr>
              <w:t xml:space="preserve">Preporuka 2. </w:t>
            </w:r>
            <w:r w:rsidRPr="000E7A59">
              <w:rPr>
                <w:rFonts w:asciiTheme="minorHAnsi" w:eastAsia="Calibri" w:hAnsiTheme="minorHAnsi" w:cstheme="minorHAnsi"/>
                <w:lang w:val="sr-Latn-ME"/>
              </w:rPr>
              <w:t xml:space="preserve">Implementirati procjenu upravljanja javnim investicijama </w:t>
            </w:r>
            <w:r w:rsidRPr="000E7A59">
              <w:rPr>
                <w:rFonts w:asciiTheme="minorHAnsi" w:eastAsia="Calibri" w:hAnsiTheme="minorHAnsi" w:cstheme="minorHAnsi"/>
              </w:rPr>
              <w:t xml:space="preserve">(PIMA), uz </w:t>
            </w:r>
            <w:r w:rsidRPr="000E7A59">
              <w:rPr>
                <w:rFonts w:asciiTheme="minorHAnsi" w:eastAsia="Calibri" w:hAnsiTheme="minorHAnsi" w:cstheme="minorHAnsi"/>
                <w:lang w:val="sr-Latn-ME"/>
              </w:rPr>
              <w:t>stavljanje prioriteta na ključne javne infrastrukturne radove u okviru raspoloživog fiskalnog prostora i izbjegavanje izuzetaka kod selekcije projekata.</w:t>
            </w:r>
            <w:r w:rsidRPr="000E7A59">
              <w:rPr>
                <w:rFonts w:asciiTheme="minorHAnsi" w:hAnsiTheme="minorHAnsi" w:cstheme="minorHAnsi"/>
                <w:lang w:val="sr-Latn-ME"/>
              </w:rPr>
              <w:t xml:space="preserve"> </w:t>
            </w:r>
            <w:r w:rsidRPr="000E7A59">
              <w:rPr>
                <w:rFonts w:asciiTheme="minorHAnsi" w:eastAsia="Calibri" w:hAnsiTheme="minorHAnsi" w:cstheme="minorHAnsi"/>
                <w:lang w:val="sr-Latn-ME"/>
              </w:rPr>
              <w:t xml:space="preserve">Usvojiti planirane amandmane na Zakon o budžetu i fiskalnoj odgovornosti </w:t>
            </w:r>
            <w:r w:rsidRPr="000E7A59">
              <w:rPr>
                <w:rFonts w:asciiTheme="minorHAnsi" w:eastAsia="Calibri" w:hAnsiTheme="minorHAnsi" w:cstheme="minorHAnsi"/>
              </w:rPr>
              <w:t xml:space="preserve">i </w:t>
            </w:r>
            <w:r w:rsidRPr="000E7A59">
              <w:rPr>
                <w:rFonts w:asciiTheme="minorHAnsi" w:eastAsia="Calibri" w:hAnsiTheme="minorHAnsi" w:cstheme="minorHAnsi"/>
                <w:lang w:val="sr-Latn-ME"/>
              </w:rPr>
              <w:t>preduzeti konkretne korake</w:t>
            </w:r>
            <w:r w:rsidRPr="000E7A59">
              <w:rPr>
                <w:rFonts w:asciiTheme="minorHAnsi" w:eastAsia="Calibri" w:hAnsiTheme="minorHAnsi" w:cstheme="minorHAnsi"/>
              </w:rPr>
              <w:t xml:space="preserve"> ka formiranju fiskalnog sav</w:t>
            </w:r>
            <w:r w:rsidRPr="000E7A59">
              <w:rPr>
                <w:rFonts w:asciiTheme="minorHAnsi" w:eastAsia="Calibri" w:hAnsiTheme="minorHAnsi" w:cstheme="minorHAnsi"/>
                <w:lang w:val="sr-Latn-ME"/>
              </w:rPr>
              <w:t>j</w:t>
            </w:r>
            <w:r w:rsidRPr="000E7A59">
              <w:rPr>
                <w:rFonts w:asciiTheme="minorHAnsi" w:eastAsia="Calibri" w:hAnsiTheme="minorHAnsi" w:cstheme="minorHAnsi"/>
              </w:rPr>
              <w:t xml:space="preserve">eta. </w:t>
            </w:r>
            <w:r w:rsidRPr="000E7A59">
              <w:rPr>
                <w:rFonts w:asciiTheme="minorHAnsi" w:eastAsia="Calibri" w:hAnsiTheme="minorHAnsi" w:cstheme="minorHAnsi"/>
                <w:lang w:val="sr-Latn-ME"/>
              </w:rPr>
              <w:t xml:space="preserve">Na osnovu analize  </w:t>
            </w:r>
            <w:r w:rsidRPr="000E7A59">
              <w:rPr>
                <w:rFonts w:asciiTheme="minorHAnsi" w:eastAsia="Calibri" w:hAnsiTheme="minorHAnsi" w:cstheme="minorHAnsi"/>
              </w:rPr>
              <w:t>ekonomskog i fiskalnog uticaja svih poreskih rashoda</w:t>
            </w:r>
            <w:r w:rsidRPr="000E7A59">
              <w:rPr>
                <w:rFonts w:asciiTheme="minorHAnsi" w:eastAsia="Calibri" w:hAnsiTheme="minorHAnsi" w:cstheme="minorHAnsi"/>
                <w:lang w:val="sr-Latn-ME"/>
              </w:rPr>
              <w:t>, koju treba podijeliti sa Komisijom, pripremiti budžetske preporuke za smanjenje poreskih rashoda (kao što su izuzeća, umanjenja, krediti, odlaganja obaveza).</w:t>
            </w:r>
          </w:p>
        </w:tc>
      </w:tr>
      <w:tr w:rsidR="00CA7341" w:rsidRPr="00C408A7" w14:paraId="2CEF5D3A" w14:textId="77777777" w:rsidTr="0092632C">
        <w:tc>
          <w:tcPr>
            <w:tcW w:w="9175" w:type="dxa"/>
            <w:tcMar>
              <w:top w:w="144" w:type="dxa"/>
              <w:left w:w="58" w:type="dxa"/>
              <w:bottom w:w="144" w:type="dxa"/>
              <w:right w:w="58" w:type="dxa"/>
            </w:tcMar>
          </w:tcPr>
          <w:p w14:paraId="400FCACC" w14:textId="77777777" w:rsidR="00CA7341" w:rsidRPr="000E7A59" w:rsidRDefault="00CA7341" w:rsidP="00E448C6">
            <w:pPr>
              <w:rPr>
                <w:sz w:val="24"/>
                <w:szCs w:val="24"/>
              </w:rPr>
            </w:pPr>
            <w:r w:rsidRPr="000E7A59">
              <w:rPr>
                <w:sz w:val="24"/>
                <w:szCs w:val="24"/>
              </w:rPr>
              <w:t>Ministarstvo finansija je u saradnji sa MMF-om definisalo ključne prioritete u cilju poboljšanja stanja u oblasti planiranja kapitalnog budžeta. U komunikaciji sa MMF-om ugovorena je tehnička pomoć za sprovođenje preporuka i aktivnosti u skladu sa Akcionim planom i m</w:t>
            </w:r>
            <w:r>
              <w:rPr>
                <w:sz w:val="24"/>
                <w:szCs w:val="24"/>
              </w:rPr>
              <w:t>j</w:t>
            </w:r>
            <w:r w:rsidRPr="000E7A59">
              <w:rPr>
                <w:sz w:val="24"/>
                <w:szCs w:val="24"/>
              </w:rPr>
              <w:t>erama koje treba sprovesti u cilju jačanja upravljanja javnim investicijama u srednjem roku.</w:t>
            </w:r>
          </w:p>
          <w:p w14:paraId="38E3C4A8" w14:textId="11DBE3FA" w:rsidR="00CA7341" w:rsidRPr="000E7A59" w:rsidRDefault="00CA7341" w:rsidP="00E448C6">
            <w:pPr>
              <w:jc w:val="both"/>
              <w:rPr>
                <w:sz w:val="24"/>
                <w:szCs w:val="24"/>
              </w:rPr>
            </w:pPr>
            <w:r w:rsidRPr="000E7A59">
              <w:rPr>
                <w:sz w:val="24"/>
                <w:szCs w:val="24"/>
              </w:rPr>
              <w:t>Skupština Crne Gore usvojila je Zakon o izmjenama i dopunama Zakona o budžetu i fiskalnoj odgovornosti (Sl. list CG, br. 27/23), kojim je definisano formiranje Fiskalnog savjeta, djelokrug rada, postupak i uslovi za imenovanje članova Fiskalnog savjeta</w:t>
            </w:r>
            <w:r>
              <w:rPr>
                <w:sz w:val="24"/>
                <w:szCs w:val="24"/>
              </w:rPr>
              <w:t>,</w:t>
            </w:r>
            <w:r w:rsidRPr="000E7A59">
              <w:rPr>
                <w:sz w:val="24"/>
                <w:szCs w:val="24"/>
              </w:rPr>
              <w:t xml:space="preserve"> način odlučivanja, pristup podacima, statut, finansiranje i obavljanje administrativnih poslova u okviru Sav</w:t>
            </w:r>
            <w:r w:rsidR="007956E7">
              <w:rPr>
                <w:sz w:val="24"/>
                <w:szCs w:val="24"/>
              </w:rPr>
              <w:t>j</w:t>
            </w:r>
            <w:r w:rsidRPr="000E7A59">
              <w:rPr>
                <w:sz w:val="24"/>
                <w:szCs w:val="24"/>
              </w:rPr>
              <w:t>eta.</w:t>
            </w:r>
          </w:p>
          <w:p w14:paraId="0C5451FC" w14:textId="1DAAE60B" w:rsidR="007956E7" w:rsidRPr="007956E7" w:rsidRDefault="00CA7341" w:rsidP="007956E7">
            <w:pPr>
              <w:jc w:val="both"/>
              <w:rPr>
                <w:sz w:val="24"/>
                <w:szCs w:val="24"/>
                <w:lang w:val="sr-Latn-ME"/>
              </w:rPr>
            </w:pPr>
            <w:r w:rsidRPr="000E7A59">
              <w:rPr>
                <w:sz w:val="24"/>
                <w:szCs w:val="24"/>
              </w:rPr>
              <w:lastRenderedPageBreak/>
              <w:t xml:space="preserve">U skladu sa navedenim, skupštinski Odbor za ekonomiju, finansije i budžet je u aprilu 2023. godine raspisao javni poziv za imenovanje tri člana Fiskalnog savjeta Crne Gore. Imajući u vidu da javni poziv nije uspješno okončan, </w:t>
            </w:r>
            <w:r w:rsidR="007956E7">
              <w:rPr>
                <w:sz w:val="24"/>
                <w:szCs w:val="24"/>
              </w:rPr>
              <w:t>u</w:t>
            </w:r>
            <w:r w:rsidR="007956E7" w:rsidRPr="007956E7">
              <w:rPr>
                <w:sz w:val="24"/>
                <w:szCs w:val="24"/>
                <w:lang w:val="sr-Latn-ME"/>
              </w:rPr>
              <w:t xml:space="preserve"> narednom peri</w:t>
            </w:r>
            <w:r w:rsidR="007956E7">
              <w:rPr>
                <w:sz w:val="24"/>
                <w:szCs w:val="24"/>
                <w:lang w:val="sr-Latn-ME"/>
              </w:rPr>
              <w:t>od</w:t>
            </w:r>
            <w:r w:rsidR="007956E7" w:rsidRPr="007956E7">
              <w:rPr>
                <w:sz w:val="24"/>
                <w:szCs w:val="24"/>
                <w:lang w:val="sr-Latn-ME"/>
              </w:rPr>
              <w:t>u potrebno je uložiti napore na izboru članova i funkcionalnom osposobljavanju Fiskalnog savjeta što će takođe doprinjeti i ispunjavanju obaveza utvrđenih pravnom tekovinom EU, odnosno člana 6 Direktive Savjeta 2011/85/EU od 8. novembara 2011. godine kojim se propisuje potreba postojanja efektivnog i pravovremenog nadzora nad primjenom fiskalnih pravila. Očekuje se da će Fiskalni savjet biti formiran i otpočeti sa radom u 2024. godini.</w:t>
            </w:r>
          </w:p>
          <w:p w14:paraId="14FC44FD" w14:textId="19D9DF3B" w:rsidR="00CA7341" w:rsidRPr="00C408A7" w:rsidRDefault="00CA7341" w:rsidP="00E448C6">
            <w:pPr>
              <w:jc w:val="both"/>
              <w:rPr>
                <w:sz w:val="24"/>
                <w:szCs w:val="24"/>
              </w:rPr>
            </w:pPr>
          </w:p>
        </w:tc>
      </w:tr>
      <w:tr w:rsidR="00CA7341" w:rsidRPr="00C408A7" w14:paraId="0423E555" w14:textId="77777777" w:rsidTr="0092632C">
        <w:tc>
          <w:tcPr>
            <w:tcW w:w="9175" w:type="dxa"/>
            <w:shd w:val="clear" w:color="auto" w:fill="D9E2F3" w:themeFill="accent1" w:themeFillTint="33"/>
            <w:tcMar>
              <w:top w:w="144" w:type="dxa"/>
              <w:left w:w="58" w:type="dxa"/>
              <w:bottom w:w="144" w:type="dxa"/>
              <w:right w:w="58" w:type="dxa"/>
            </w:tcMar>
          </w:tcPr>
          <w:p w14:paraId="75D84033" w14:textId="77777777" w:rsidR="00CA7341" w:rsidRPr="00C408A7" w:rsidRDefault="00CA7341" w:rsidP="00E448C6">
            <w:pPr>
              <w:pStyle w:val="NormalWeb"/>
              <w:spacing w:after="160" w:line="256" w:lineRule="auto"/>
              <w:jc w:val="both"/>
              <w:rPr>
                <w:rFonts w:asciiTheme="minorHAnsi" w:hAnsiTheme="minorHAnsi" w:cstheme="minorHAnsi"/>
              </w:rPr>
            </w:pPr>
            <w:r w:rsidRPr="00C408A7">
              <w:rPr>
                <w:rFonts w:asciiTheme="minorHAnsi" w:hAnsiTheme="minorHAnsi" w:cstheme="minorHAnsi"/>
                <w:b/>
                <w:bCs/>
                <w:lang w:val="sr-Latn-ME"/>
              </w:rPr>
              <w:lastRenderedPageBreak/>
              <w:t xml:space="preserve">Preporuka 3. </w:t>
            </w:r>
            <w:r w:rsidRPr="00E95EB6">
              <w:rPr>
                <w:rFonts w:asciiTheme="minorHAnsi" w:eastAsia="Calibri" w:hAnsiTheme="minorHAnsi" w:cstheme="minorHAnsi"/>
                <w:lang w:val="sr-Latn-ME"/>
              </w:rPr>
              <w:t xml:space="preserve">Nastaviti sa pažljivom analizom </w:t>
            </w:r>
            <w:r w:rsidRPr="00E95EB6">
              <w:rPr>
                <w:rFonts w:asciiTheme="minorHAnsi" w:eastAsia="Calibri" w:hAnsiTheme="minorHAnsi" w:cstheme="minorHAnsi"/>
              </w:rPr>
              <w:t xml:space="preserve">kretanja cijena i </w:t>
            </w:r>
            <w:r w:rsidRPr="00E95EB6">
              <w:rPr>
                <w:rFonts w:asciiTheme="minorHAnsi" w:eastAsia="+mn-ea" w:hAnsiTheme="minorHAnsi" w:cstheme="minorHAnsi"/>
              </w:rPr>
              <w:t>p</w:t>
            </w:r>
            <w:r w:rsidRPr="00E95EB6">
              <w:rPr>
                <w:rFonts w:asciiTheme="minorHAnsi" w:eastAsia="Calibri" w:hAnsiTheme="minorHAnsi" w:cstheme="minorHAnsi"/>
              </w:rPr>
              <w:t>ri</w:t>
            </w:r>
            <w:r w:rsidRPr="00E95EB6">
              <w:rPr>
                <w:rFonts w:asciiTheme="minorHAnsi" w:eastAsia="Calibri" w:hAnsiTheme="minorHAnsi" w:cstheme="minorHAnsi"/>
                <w:lang w:val="sr-Latn-ME"/>
              </w:rPr>
              <w:t>p</w:t>
            </w:r>
            <w:r w:rsidRPr="00E95EB6">
              <w:rPr>
                <w:rFonts w:asciiTheme="minorHAnsi" w:eastAsia="Calibri" w:hAnsiTheme="minorHAnsi" w:cstheme="minorHAnsi"/>
              </w:rPr>
              <w:t>remiti se za kori</w:t>
            </w:r>
            <w:r w:rsidRPr="00E95EB6">
              <w:rPr>
                <w:rFonts w:asciiTheme="minorHAnsi" w:eastAsia="Calibri" w:hAnsiTheme="minorHAnsi" w:cstheme="minorHAnsi"/>
                <w:lang w:val="sr-Latn-ME"/>
              </w:rPr>
              <w:t>šćenje</w:t>
            </w:r>
            <w:r w:rsidRPr="00E95EB6">
              <w:rPr>
                <w:rFonts w:asciiTheme="minorHAnsi" w:eastAsia="Calibri" w:hAnsiTheme="minorHAnsi" w:cstheme="minorHAnsi"/>
              </w:rPr>
              <w:t xml:space="preserve"> ograničenih alata koji su dostupni u okviru izabranog monetarnog okvira, kako bi se osigurali stabilnost cijena. </w:t>
            </w:r>
            <w:r w:rsidRPr="00E95EB6">
              <w:rPr>
                <w:rFonts w:asciiTheme="minorHAnsi" w:eastAsia="Calibri" w:hAnsiTheme="minorHAnsi" w:cstheme="minorHAnsi"/>
                <w:lang w:val="sr-Latn-ME"/>
              </w:rPr>
              <w:t>Dalje jačati okvir za izvještavanje i upravljanje rizicima u bankarskom sistemu da bi se osiguralo vjerodostojno izvještavanje o kvalitetu aktive i nastavilo smanjenje gepova u podacima, naročito na tržištu nekretnina. Nastaviti sa unapređenjem i implementacijom legislative za dalje usaglašavanje sa EU okvirom o regulaciji i superviziji, uključujući osiguranje depozita i ubrzanje napora da se obezbijede održiva i pravovremena rješenja za brze i efektivne NPL rezolucije.</w:t>
            </w:r>
          </w:p>
        </w:tc>
      </w:tr>
      <w:tr w:rsidR="00CA7341" w:rsidRPr="00C408A7" w14:paraId="0044C083" w14:textId="77777777" w:rsidTr="0092632C">
        <w:tc>
          <w:tcPr>
            <w:tcW w:w="9175" w:type="dxa"/>
            <w:tcMar>
              <w:top w:w="144" w:type="dxa"/>
              <w:left w:w="58" w:type="dxa"/>
              <w:bottom w:w="144" w:type="dxa"/>
              <w:right w:w="58" w:type="dxa"/>
            </w:tcMar>
          </w:tcPr>
          <w:p w14:paraId="7021AAA5" w14:textId="77777777" w:rsidR="00CA7341" w:rsidRPr="00BA3519" w:rsidRDefault="00CA7341" w:rsidP="00E448C6">
            <w:pPr>
              <w:jc w:val="both"/>
              <w:rPr>
                <w:iCs/>
                <w:sz w:val="24"/>
                <w:szCs w:val="24"/>
              </w:rPr>
            </w:pPr>
            <w:r w:rsidRPr="00BA3519">
              <w:rPr>
                <w:iCs/>
                <w:sz w:val="24"/>
                <w:szCs w:val="24"/>
              </w:rPr>
              <w:t>U cilju realizacije preporuke br. 3 u dijelu: „</w:t>
            </w:r>
            <w:r w:rsidRPr="00BA3519">
              <w:rPr>
                <w:b/>
                <w:iCs/>
                <w:sz w:val="24"/>
                <w:szCs w:val="24"/>
              </w:rPr>
              <w:t>Nastavit</w:t>
            </w:r>
            <w:r>
              <w:rPr>
                <w:b/>
                <w:iCs/>
                <w:sz w:val="24"/>
                <w:szCs w:val="24"/>
              </w:rPr>
              <w:t>i</w:t>
            </w:r>
            <w:r w:rsidRPr="00BA3519">
              <w:rPr>
                <w:b/>
                <w:iCs/>
                <w:sz w:val="24"/>
                <w:szCs w:val="24"/>
              </w:rPr>
              <w:t xml:space="preserve"> da pažljivo</w:t>
            </w:r>
            <w:r>
              <w:rPr>
                <w:b/>
                <w:iCs/>
                <w:sz w:val="24"/>
                <w:szCs w:val="24"/>
              </w:rPr>
              <w:t>m</w:t>
            </w:r>
            <w:r w:rsidRPr="00BA3519">
              <w:rPr>
                <w:b/>
                <w:iCs/>
                <w:sz w:val="24"/>
                <w:szCs w:val="24"/>
              </w:rPr>
              <w:t xml:space="preserve"> procjen</w:t>
            </w:r>
            <w:r>
              <w:rPr>
                <w:b/>
                <w:iCs/>
                <w:sz w:val="24"/>
                <w:szCs w:val="24"/>
              </w:rPr>
              <w:t>om</w:t>
            </w:r>
            <w:r w:rsidRPr="00BA3519">
              <w:rPr>
                <w:b/>
                <w:iCs/>
                <w:sz w:val="24"/>
                <w:szCs w:val="24"/>
              </w:rPr>
              <w:t xml:space="preserve"> i analiz</w:t>
            </w:r>
            <w:r>
              <w:rPr>
                <w:b/>
                <w:iCs/>
                <w:sz w:val="24"/>
                <w:szCs w:val="24"/>
              </w:rPr>
              <w:t>om</w:t>
            </w:r>
            <w:r w:rsidRPr="00BA3519">
              <w:rPr>
                <w:b/>
                <w:iCs/>
                <w:sz w:val="24"/>
                <w:szCs w:val="24"/>
              </w:rPr>
              <w:t xml:space="preserve"> kretanj</w:t>
            </w:r>
            <w:r>
              <w:rPr>
                <w:b/>
                <w:iCs/>
                <w:sz w:val="24"/>
                <w:szCs w:val="24"/>
              </w:rPr>
              <w:t>a</w:t>
            </w:r>
            <w:r w:rsidRPr="00BA3519">
              <w:rPr>
                <w:b/>
                <w:iCs/>
                <w:sz w:val="24"/>
                <w:szCs w:val="24"/>
              </w:rPr>
              <w:t xml:space="preserve"> cijena i </w:t>
            </w:r>
            <w:r>
              <w:rPr>
                <w:b/>
                <w:iCs/>
                <w:sz w:val="24"/>
                <w:szCs w:val="24"/>
              </w:rPr>
              <w:t>pripremiti se za korišćenje ograničenih alata</w:t>
            </w:r>
            <w:r w:rsidRPr="00BA3519">
              <w:rPr>
                <w:b/>
                <w:iCs/>
                <w:sz w:val="24"/>
                <w:szCs w:val="24"/>
              </w:rPr>
              <w:t xml:space="preserve"> koji su dostupni u okviru izabranog monetarnog okvira kako bi</w:t>
            </w:r>
            <w:r>
              <w:rPr>
                <w:b/>
                <w:iCs/>
                <w:sz w:val="24"/>
                <w:szCs w:val="24"/>
              </w:rPr>
              <w:t xml:space="preserve"> se</w:t>
            </w:r>
            <w:r w:rsidRPr="00BA3519">
              <w:rPr>
                <w:b/>
                <w:iCs/>
                <w:sz w:val="24"/>
                <w:szCs w:val="24"/>
              </w:rPr>
              <w:t xml:space="preserve"> osigural</w:t>
            </w:r>
            <w:r>
              <w:rPr>
                <w:b/>
                <w:iCs/>
                <w:sz w:val="24"/>
                <w:szCs w:val="24"/>
              </w:rPr>
              <w:t>a</w:t>
            </w:r>
            <w:r w:rsidRPr="00BA3519">
              <w:rPr>
                <w:b/>
                <w:iCs/>
                <w:sz w:val="24"/>
                <w:szCs w:val="24"/>
              </w:rPr>
              <w:t xml:space="preserve"> stabilnost cijena</w:t>
            </w:r>
            <w:r w:rsidRPr="00BA3519">
              <w:rPr>
                <w:iCs/>
                <w:sz w:val="24"/>
                <w:szCs w:val="24"/>
              </w:rPr>
              <w:t>“, Centralna banka kontinuirano analizira kretanje cijena u Crnoj Gori kako bi održala cjenovnu stabilnost. Sve banke se kvartalno anketiraju o očekivanju cijena, a stratifikovani uzorak preduzeća i rezultati su korišćeni za pripremu kvartalnog Izvještaja o stabilnosti cijena (uključujući komponente potražnje i ponude u razvoju cijena, kao i projekcije inflacije). Pored toga, u trećem kvartalu 2022, zbog značajnog rasta cijena u Crnoj Gori, urađena je posebna radna studija kako bi se analizirao doprinos ponude i tražnje inflaciji cijena. Zaključuje se da je glavni izvor povećanja cijena vezan za uvozne cijene goriva i hrane, dok novi fiskalni program ima manji doprinos. Kako je osnovni zaključak da su uzroci inflacije prvenstveno na strani ponude roba koja se pretežno obezbjeđuje uvozom, Centralna banka je izradila i dostavila Vladi Crne Gore dokument Preporuke za ekonomsku politiku za period 2022-2024. U ovom dokumentu se ukazuje da prioritet ekonomske politike treba da budu mjere usmjerene na suzbijanje inflacije i obezbjeđivanje fiskalne održivosti. Glavne preporuke bile su da se pripremi sveobuhvatan antiinflatorni paket mjera u cilju zaštite životnog standarda domaćinstava, a posebno ugroženih socijalnih kategorija, kao i konkurentnosti i održivosti privrede i preduzetnika. Antiinflatorne mjere, prema preporukama Centralne banke, treba da budu privremenog karaktera, do otklanjanja poremećaja na tržištu i pažljivo profilisane kako bi se izbjegao mogući rast sive ekonomije.</w:t>
            </w:r>
          </w:p>
          <w:p w14:paraId="569C61B1" w14:textId="77777777" w:rsidR="00CA7341" w:rsidRPr="00BA3519" w:rsidRDefault="00CA7341" w:rsidP="00E448C6">
            <w:pPr>
              <w:jc w:val="both"/>
              <w:rPr>
                <w:iCs/>
                <w:sz w:val="24"/>
                <w:szCs w:val="24"/>
              </w:rPr>
            </w:pPr>
            <w:r w:rsidRPr="00BA3519">
              <w:rPr>
                <w:iCs/>
                <w:sz w:val="24"/>
                <w:szCs w:val="24"/>
              </w:rPr>
              <w:t>U cilju realizacije preporuke br. 3 u dijelu: „</w:t>
            </w:r>
            <w:r w:rsidRPr="00BA3519">
              <w:rPr>
                <w:b/>
                <w:iCs/>
                <w:sz w:val="24"/>
                <w:szCs w:val="24"/>
              </w:rPr>
              <w:t>osigurati transparentno i tačno izvještavanje o kvalitetu aktive i adekvatnim rezervama, kao i blagovremeno praćenje nalaza iz Pregleda kvaliteta aktive</w:t>
            </w:r>
            <w:r w:rsidRPr="00BA3519">
              <w:rPr>
                <w:iCs/>
                <w:sz w:val="24"/>
                <w:szCs w:val="24"/>
              </w:rPr>
              <w:t>“, proces AQR</w:t>
            </w:r>
            <w:r w:rsidRPr="00BA3519">
              <w:rPr>
                <w:iCs/>
                <w:sz w:val="24"/>
                <w:szCs w:val="24"/>
                <w:vertAlign w:val="superscript"/>
              </w:rPr>
              <w:footnoteReference w:id="1"/>
            </w:r>
            <w:r w:rsidRPr="00BA3519">
              <w:rPr>
                <w:iCs/>
                <w:sz w:val="24"/>
                <w:szCs w:val="24"/>
              </w:rPr>
              <w:t xml:space="preserve"> završen je 2021. i sve banke su primijenile efekte proizašle iz pojedinačnih radnih blokova na finansijske informacije sa stanjem na dan 31.10.2021. Svi </w:t>
            </w:r>
            <w:r w:rsidRPr="00BA3519">
              <w:rPr>
                <w:iCs/>
                <w:sz w:val="24"/>
                <w:szCs w:val="24"/>
              </w:rPr>
              <w:lastRenderedPageBreak/>
              <w:t>nalazi iz Pregleda kvaliteta aktive su implementirani. Nakon implementacije, adekvatnost kapitala svih banaka je nivou iznad zakonom propisanog. Sprovedeno je testiranje svih banaka u sistemu, a osnovu za stresno testiranje su predstavljali podaci na 31.12.2021, koji su obuhvatili rezultate AQR-a. Rezultati stresnog testiranja ukazuju na zadovoljavajuću otpornost bankarskog sistema Crne Gore na nepovoljna kretanja u makroekonomskom okruženju. Tokom 2022. i 2023, neposrednim kontrolama utvrđuje se ispravnost obračuna adekvatnosti kapitala banaka u skladu sa pravilima regulative propisane Baselom III. Generalno, banke su dobro kapitalizovane i otporne na spoljašnje šokove.</w:t>
            </w:r>
          </w:p>
          <w:p w14:paraId="485CB6EA" w14:textId="77777777" w:rsidR="00CA7341" w:rsidRPr="00BA3519" w:rsidRDefault="00CA7341" w:rsidP="00E448C6">
            <w:pPr>
              <w:jc w:val="both"/>
              <w:rPr>
                <w:iCs/>
                <w:sz w:val="24"/>
                <w:szCs w:val="24"/>
              </w:rPr>
            </w:pPr>
            <w:r w:rsidRPr="00BA3519">
              <w:rPr>
                <w:iCs/>
                <w:sz w:val="24"/>
                <w:szCs w:val="24"/>
              </w:rPr>
              <w:t>U cilju realizacije preporuke br. 3 u dijelu: „</w:t>
            </w:r>
            <w:r w:rsidRPr="00BA3519">
              <w:rPr>
                <w:b/>
                <w:iCs/>
                <w:sz w:val="24"/>
                <w:szCs w:val="24"/>
              </w:rPr>
              <w:t>i nastaviti sa smanjenjem nedostataka u podacima, pogotovo u pogledu sektora nekretnina</w:t>
            </w:r>
            <w:r w:rsidRPr="00BA3519">
              <w:rPr>
                <w:iCs/>
                <w:sz w:val="24"/>
                <w:szCs w:val="24"/>
              </w:rPr>
              <w:t>“, Centralna banka sprovodi godišnju Anketu o subjektivnoj ocjeni vrijednosti nekretnina njenih vlasnika. Na osnovu rezultata ankete i ekonometrijskog modela izračunava se hedonički indeks. Takođe, za potrebe pra</w:t>
            </w:r>
            <w:r w:rsidRPr="00BA3519">
              <w:rPr>
                <w:iCs/>
                <w:sz w:val="24"/>
                <w:szCs w:val="24"/>
                <w:lang w:val="sr-Latn-ME"/>
              </w:rPr>
              <w:t xml:space="preserve">ćenja rizika finansijskog sistema, kreiran je makroprudencijalni indikator koji prati odstupanja cijena nekretnina od njenih fundamenata. </w:t>
            </w:r>
            <w:r w:rsidRPr="00BA3519">
              <w:rPr>
                <w:iCs/>
                <w:sz w:val="24"/>
                <w:szCs w:val="24"/>
              </w:rPr>
              <w:t>U</w:t>
            </w:r>
            <w:r w:rsidRPr="00BA3519">
              <w:rPr>
                <w:iCs/>
                <w:sz w:val="24"/>
                <w:szCs w:val="24"/>
                <w:lang w:val="sr-Latn-ME"/>
              </w:rPr>
              <w:t xml:space="preserve"> </w:t>
            </w:r>
            <w:r w:rsidRPr="00BA3519">
              <w:rPr>
                <w:iCs/>
                <w:sz w:val="24"/>
                <w:szCs w:val="24"/>
              </w:rPr>
              <w:t>cilju</w:t>
            </w:r>
            <w:r w:rsidRPr="00BA3519">
              <w:rPr>
                <w:iCs/>
                <w:sz w:val="24"/>
                <w:szCs w:val="24"/>
                <w:lang w:val="sr-Latn-ME"/>
              </w:rPr>
              <w:t xml:space="preserve"> </w:t>
            </w:r>
            <w:r w:rsidRPr="00BA3519">
              <w:rPr>
                <w:iCs/>
                <w:sz w:val="24"/>
                <w:szCs w:val="24"/>
              </w:rPr>
              <w:t>pobolj</w:t>
            </w:r>
            <w:r w:rsidRPr="00BA3519">
              <w:rPr>
                <w:iCs/>
                <w:sz w:val="24"/>
                <w:szCs w:val="24"/>
                <w:lang w:val="sr-Latn-ME"/>
              </w:rPr>
              <w:t>š</w:t>
            </w:r>
            <w:r w:rsidRPr="00BA3519">
              <w:rPr>
                <w:iCs/>
                <w:sz w:val="24"/>
                <w:szCs w:val="24"/>
              </w:rPr>
              <w:t>anja</w:t>
            </w:r>
            <w:r w:rsidRPr="00BA3519">
              <w:rPr>
                <w:iCs/>
                <w:sz w:val="24"/>
                <w:szCs w:val="24"/>
                <w:lang w:val="sr-Latn-ME"/>
              </w:rPr>
              <w:t xml:space="preserve"> </w:t>
            </w:r>
            <w:r w:rsidRPr="00BA3519">
              <w:rPr>
                <w:iCs/>
                <w:sz w:val="24"/>
                <w:szCs w:val="24"/>
              </w:rPr>
              <w:t>statisti</w:t>
            </w:r>
            <w:r w:rsidRPr="00BA3519">
              <w:rPr>
                <w:iCs/>
                <w:sz w:val="24"/>
                <w:szCs w:val="24"/>
                <w:lang w:val="sr-Latn-ME"/>
              </w:rPr>
              <w:t>č</w:t>
            </w:r>
            <w:r w:rsidRPr="00BA3519">
              <w:rPr>
                <w:iCs/>
                <w:sz w:val="24"/>
                <w:szCs w:val="24"/>
              </w:rPr>
              <w:t>kog</w:t>
            </w:r>
            <w:r w:rsidRPr="00BA3519">
              <w:rPr>
                <w:iCs/>
                <w:sz w:val="24"/>
                <w:szCs w:val="24"/>
                <w:lang w:val="sr-Latn-ME"/>
              </w:rPr>
              <w:t xml:space="preserve"> </w:t>
            </w:r>
            <w:r w:rsidRPr="00BA3519">
              <w:rPr>
                <w:iCs/>
                <w:sz w:val="24"/>
                <w:szCs w:val="24"/>
              </w:rPr>
              <w:t>obuhvata</w:t>
            </w:r>
            <w:r w:rsidRPr="00BA3519">
              <w:rPr>
                <w:iCs/>
                <w:sz w:val="24"/>
                <w:szCs w:val="24"/>
                <w:lang w:val="sr-Latn-ME"/>
              </w:rPr>
              <w:t xml:space="preserve"> </w:t>
            </w:r>
            <w:r w:rsidRPr="00BA3519">
              <w:rPr>
                <w:iCs/>
                <w:sz w:val="24"/>
                <w:szCs w:val="24"/>
              </w:rPr>
              <w:t>o</w:t>
            </w:r>
            <w:r w:rsidRPr="00BA3519">
              <w:rPr>
                <w:iCs/>
                <w:sz w:val="24"/>
                <w:szCs w:val="24"/>
                <w:lang w:val="sr-Latn-ME"/>
              </w:rPr>
              <w:t xml:space="preserve"> </w:t>
            </w:r>
            <w:r w:rsidRPr="00BA3519">
              <w:rPr>
                <w:iCs/>
                <w:sz w:val="24"/>
                <w:szCs w:val="24"/>
              </w:rPr>
              <w:t>cijenama</w:t>
            </w:r>
            <w:r w:rsidRPr="00BA3519">
              <w:rPr>
                <w:iCs/>
                <w:sz w:val="24"/>
                <w:szCs w:val="24"/>
                <w:lang w:val="sr-Latn-ME"/>
              </w:rPr>
              <w:t xml:space="preserve"> </w:t>
            </w:r>
            <w:r w:rsidRPr="00BA3519">
              <w:rPr>
                <w:iCs/>
                <w:sz w:val="24"/>
                <w:szCs w:val="24"/>
              </w:rPr>
              <w:t>nekretnina</w:t>
            </w:r>
            <w:r w:rsidRPr="00BA3519">
              <w:rPr>
                <w:iCs/>
                <w:sz w:val="24"/>
                <w:szCs w:val="24"/>
                <w:lang w:val="sr-Latn-ME"/>
              </w:rPr>
              <w:t xml:space="preserve">, </w:t>
            </w:r>
            <w:r w:rsidRPr="00BA3519">
              <w:rPr>
                <w:iCs/>
                <w:sz w:val="24"/>
                <w:szCs w:val="24"/>
              </w:rPr>
              <w:t>na</w:t>
            </w:r>
            <w:r w:rsidRPr="00BA3519">
              <w:rPr>
                <w:iCs/>
                <w:sz w:val="24"/>
                <w:szCs w:val="24"/>
                <w:lang w:val="sr-Latn-ME"/>
              </w:rPr>
              <w:t xml:space="preserve"> </w:t>
            </w:r>
            <w:r w:rsidRPr="00BA3519">
              <w:rPr>
                <w:iCs/>
                <w:sz w:val="24"/>
                <w:szCs w:val="24"/>
              </w:rPr>
              <w:t>osnovu</w:t>
            </w:r>
            <w:r w:rsidRPr="00BA3519">
              <w:rPr>
                <w:iCs/>
                <w:sz w:val="24"/>
                <w:szCs w:val="24"/>
                <w:lang w:val="sr-Latn-ME"/>
              </w:rPr>
              <w:t xml:space="preserve"> </w:t>
            </w:r>
            <w:r w:rsidRPr="00BA3519">
              <w:rPr>
                <w:iCs/>
                <w:sz w:val="24"/>
                <w:szCs w:val="24"/>
              </w:rPr>
              <w:t>kretanja na</w:t>
            </w:r>
            <w:r w:rsidRPr="00BA3519">
              <w:rPr>
                <w:iCs/>
                <w:sz w:val="24"/>
                <w:szCs w:val="24"/>
                <w:lang w:val="sr-Latn-ME"/>
              </w:rPr>
              <w:t xml:space="preserve"> </w:t>
            </w:r>
            <w:r w:rsidRPr="00BA3519">
              <w:rPr>
                <w:iCs/>
                <w:sz w:val="24"/>
                <w:szCs w:val="24"/>
              </w:rPr>
              <w:t>tr</w:t>
            </w:r>
            <w:r w:rsidRPr="00BA3519">
              <w:rPr>
                <w:iCs/>
                <w:sz w:val="24"/>
                <w:szCs w:val="24"/>
                <w:lang w:val="sr-Latn-ME"/>
              </w:rPr>
              <w:t>ž</w:t>
            </w:r>
            <w:r w:rsidRPr="00BA3519">
              <w:rPr>
                <w:iCs/>
                <w:sz w:val="24"/>
                <w:szCs w:val="24"/>
              </w:rPr>
              <w:t>i</w:t>
            </w:r>
            <w:r w:rsidRPr="00BA3519">
              <w:rPr>
                <w:iCs/>
                <w:sz w:val="24"/>
                <w:szCs w:val="24"/>
                <w:lang w:val="sr-Latn-ME"/>
              </w:rPr>
              <w:t>š</w:t>
            </w:r>
            <w:r w:rsidRPr="00BA3519">
              <w:rPr>
                <w:iCs/>
                <w:sz w:val="24"/>
                <w:szCs w:val="24"/>
              </w:rPr>
              <w:t>tu</w:t>
            </w:r>
            <w:r w:rsidRPr="00BA3519">
              <w:rPr>
                <w:iCs/>
                <w:sz w:val="24"/>
                <w:szCs w:val="24"/>
                <w:lang w:val="sr-Latn-ME"/>
              </w:rPr>
              <w:t xml:space="preserve">, </w:t>
            </w:r>
            <w:r w:rsidRPr="00BA3519">
              <w:rPr>
                <w:iCs/>
                <w:sz w:val="24"/>
                <w:szCs w:val="24"/>
              </w:rPr>
              <w:t>Savjet</w:t>
            </w:r>
            <w:r w:rsidRPr="00BA3519">
              <w:rPr>
                <w:iCs/>
                <w:sz w:val="24"/>
                <w:szCs w:val="24"/>
                <w:lang w:val="sr-Latn-ME"/>
              </w:rPr>
              <w:t xml:space="preserve"> </w:t>
            </w:r>
            <w:r w:rsidRPr="00BA3519">
              <w:rPr>
                <w:iCs/>
                <w:sz w:val="24"/>
                <w:szCs w:val="24"/>
              </w:rPr>
              <w:t>za</w:t>
            </w:r>
            <w:r w:rsidRPr="00BA3519">
              <w:rPr>
                <w:iCs/>
                <w:sz w:val="24"/>
                <w:szCs w:val="24"/>
                <w:lang w:val="sr-Latn-ME"/>
              </w:rPr>
              <w:t xml:space="preserve"> </w:t>
            </w:r>
            <w:r w:rsidRPr="00BA3519">
              <w:rPr>
                <w:iCs/>
                <w:sz w:val="24"/>
                <w:szCs w:val="24"/>
              </w:rPr>
              <w:t>finansijsku</w:t>
            </w:r>
            <w:r w:rsidRPr="00BA3519">
              <w:rPr>
                <w:iCs/>
                <w:sz w:val="24"/>
                <w:szCs w:val="24"/>
                <w:lang w:val="sr-Latn-ME"/>
              </w:rPr>
              <w:t xml:space="preserve"> </w:t>
            </w:r>
            <w:r w:rsidRPr="00BA3519">
              <w:rPr>
                <w:iCs/>
                <w:sz w:val="24"/>
                <w:szCs w:val="24"/>
              </w:rPr>
              <w:t>stabilnost</w:t>
            </w:r>
            <w:r w:rsidRPr="00BA3519">
              <w:rPr>
                <w:iCs/>
                <w:sz w:val="24"/>
                <w:szCs w:val="24"/>
                <w:lang w:val="sr-Latn-ME"/>
              </w:rPr>
              <w:t xml:space="preserve"> </w:t>
            </w:r>
            <w:r w:rsidRPr="00BA3519">
              <w:rPr>
                <w:iCs/>
                <w:sz w:val="24"/>
                <w:szCs w:val="24"/>
              </w:rPr>
              <w:t>je</w:t>
            </w:r>
            <w:r w:rsidRPr="00BA3519">
              <w:rPr>
                <w:iCs/>
                <w:sz w:val="24"/>
                <w:szCs w:val="24"/>
                <w:lang w:val="sr-Latn-ME"/>
              </w:rPr>
              <w:t xml:space="preserve"> </w:t>
            </w:r>
            <w:r w:rsidRPr="00BA3519">
              <w:rPr>
                <w:iCs/>
                <w:sz w:val="24"/>
                <w:szCs w:val="24"/>
              </w:rPr>
              <w:t>donio</w:t>
            </w:r>
            <w:r w:rsidRPr="00BA3519">
              <w:rPr>
                <w:iCs/>
                <w:sz w:val="24"/>
                <w:szCs w:val="24"/>
                <w:lang w:val="sr-Latn-ME"/>
              </w:rPr>
              <w:t xml:space="preserve"> </w:t>
            </w:r>
            <w:r w:rsidRPr="00BA3519">
              <w:rPr>
                <w:iCs/>
                <w:sz w:val="24"/>
                <w:szCs w:val="24"/>
              </w:rPr>
              <w:t>zaklju</w:t>
            </w:r>
            <w:r w:rsidRPr="00BA3519">
              <w:rPr>
                <w:iCs/>
                <w:sz w:val="24"/>
                <w:szCs w:val="24"/>
                <w:lang w:val="sr-Latn-ME"/>
              </w:rPr>
              <w:t>č</w:t>
            </w:r>
            <w:r w:rsidRPr="00BA3519">
              <w:rPr>
                <w:iCs/>
                <w:sz w:val="24"/>
                <w:szCs w:val="24"/>
              </w:rPr>
              <w:t>ak</w:t>
            </w:r>
            <w:r w:rsidRPr="00BA3519">
              <w:rPr>
                <w:iCs/>
                <w:sz w:val="24"/>
                <w:szCs w:val="24"/>
                <w:lang w:val="sr-Latn-ME"/>
              </w:rPr>
              <w:t xml:space="preserve"> </w:t>
            </w:r>
            <w:r w:rsidRPr="00BA3519">
              <w:rPr>
                <w:iCs/>
                <w:sz w:val="24"/>
                <w:szCs w:val="24"/>
              </w:rPr>
              <w:t>o</w:t>
            </w:r>
            <w:r w:rsidRPr="00BA3519">
              <w:rPr>
                <w:iCs/>
                <w:sz w:val="24"/>
                <w:szCs w:val="24"/>
                <w:lang w:val="sr-Latn-ME"/>
              </w:rPr>
              <w:t xml:space="preserve"> </w:t>
            </w:r>
            <w:r w:rsidRPr="00BA3519">
              <w:rPr>
                <w:iCs/>
                <w:sz w:val="24"/>
                <w:szCs w:val="24"/>
              </w:rPr>
              <w:t>uspostavljanju</w:t>
            </w:r>
            <w:r w:rsidRPr="00BA3519">
              <w:rPr>
                <w:iCs/>
                <w:sz w:val="24"/>
                <w:szCs w:val="24"/>
                <w:lang w:val="sr-Latn-ME"/>
              </w:rPr>
              <w:t xml:space="preserve"> </w:t>
            </w:r>
            <w:r w:rsidRPr="00BA3519">
              <w:rPr>
                <w:iCs/>
                <w:sz w:val="24"/>
                <w:szCs w:val="24"/>
              </w:rPr>
              <w:t>Registra</w:t>
            </w:r>
            <w:r w:rsidRPr="00BA3519">
              <w:rPr>
                <w:iCs/>
                <w:sz w:val="24"/>
                <w:szCs w:val="24"/>
                <w:lang w:val="sr-Latn-ME"/>
              </w:rPr>
              <w:t xml:space="preserve"> </w:t>
            </w:r>
            <w:r w:rsidRPr="00BA3519">
              <w:rPr>
                <w:iCs/>
                <w:sz w:val="24"/>
                <w:szCs w:val="24"/>
              </w:rPr>
              <w:t>nepokretnosti</w:t>
            </w:r>
            <w:r w:rsidRPr="00BA3519">
              <w:rPr>
                <w:iCs/>
                <w:sz w:val="24"/>
                <w:szCs w:val="24"/>
                <w:lang w:val="sr-Latn-ME"/>
              </w:rPr>
              <w:t xml:space="preserve"> </w:t>
            </w:r>
            <w:r w:rsidRPr="00BA3519">
              <w:rPr>
                <w:iCs/>
                <w:sz w:val="24"/>
                <w:szCs w:val="24"/>
              </w:rPr>
              <w:t>kojima</w:t>
            </w:r>
            <w:r w:rsidRPr="00BA3519">
              <w:rPr>
                <w:iCs/>
                <w:sz w:val="24"/>
                <w:szCs w:val="24"/>
                <w:lang w:val="sr-Latn-ME"/>
              </w:rPr>
              <w:t xml:space="preserve"> </w:t>
            </w:r>
            <w:r w:rsidRPr="00BA3519">
              <w:rPr>
                <w:iCs/>
                <w:sz w:val="24"/>
                <w:szCs w:val="24"/>
              </w:rPr>
              <w:t>se</w:t>
            </w:r>
            <w:r w:rsidRPr="00BA3519">
              <w:rPr>
                <w:iCs/>
                <w:sz w:val="24"/>
                <w:szCs w:val="24"/>
                <w:lang w:val="sr-Latn-ME"/>
              </w:rPr>
              <w:t xml:space="preserve"> </w:t>
            </w:r>
            <w:r w:rsidRPr="00BA3519">
              <w:rPr>
                <w:iCs/>
                <w:sz w:val="24"/>
                <w:szCs w:val="24"/>
              </w:rPr>
              <w:t>trguje</w:t>
            </w:r>
            <w:r w:rsidRPr="00BA3519">
              <w:rPr>
                <w:iCs/>
                <w:sz w:val="24"/>
                <w:szCs w:val="24"/>
                <w:lang w:val="sr-Latn-ME"/>
              </w:rPr>
              <w:t xml:space="preserve"> </w:t>
            </w:r>
            <w:r w:rsidRPr="00BA3519">
              <w:rPr>
                <w:iCs/>
                <w:sz w:val="24"/>
                <w:szCs w:val="24"/>
              </w:rPr>
              <w:t>u</w:t>
            </w:r>
            <w:r w:rsidRPr="00BA3519">
              <w:rPr>
                <w:iCs/>
                <w:sz w:val="24"/>
                <w:szCs w:val="24"/>
                <w:lang w:val="sr-Latn-ME"/>
              </w:rPr>
              <w:t xml:space="preserve"> </w:t>
            </w:r>
            <w:r w:rsidRPr="00BA3519">
              <w:rPr>
                <w:iCs/>
                <w:sz w:val="24"/>
                <w:szCs w:val="24"/>
              </w:rPr>
              <w:t>Crnoj</w:t>
            </w:r>
            <w:r w:rsidRPr="00BA3519">
              <w:rPr>
                <w:iCs/>
                <w:sz w:val="24"/>
                <w:szCs w:val="24"/>
                <w:lang w:val="sr-Latn-ME"/>
              </w:rPr>
              <w:t xml:space="preserve"> </w:t>
            </w:r>
            <w:r w:rsidRPr="00BA3519">
              <w:rPr>
                <w:iCs/>
                <w:sz w:val="24"/>
                <w:szCs w:val="24"/>
              </w:rPr>
              <w:t>Gori</w:t>
            </w:r>
            <w:r w:rsidRPr="00BA3519">
              <w:rPr>
                <w:iCs/>
                <w:sz w:val="24"/>
                <w:szCs w:val="24"/>
                <w:lang w:val="sr-Latn-ME"/>
              </w:rPr>
              <w:t xml:space="preserve">. </w:t>
            </w:r>
            <w:r w:rsidRPr="00BA3519">
              <w:rPr>
                <w:iCs/>
                <w:sz w:val="24"/>
                <w:szCs w:val="24"/>
              </w:rPr>
              <w:t>Odlučeno je da Registar bude u nadležnosti Uprave za nekretnine (Katastra) i da obuhvati sve nekretnine kojima se trguje na teritoriji Crne Gore.</w:t>
            </w:r>
          </w:p>
          <w:p w14:paraId="27E21343" w14:textId="77777777" w:rsidR="00CA7341" w:rsidRPr="00BA3519" w:rsidRDefault="00CA7341" w:rsidP="00E448C6">
            <w:pPr>
              <w:jc w:val="both"/>
              <w:rPr>
                <w:iCs/>
                <w:sz w:val="24"/>
                <w:szCs w:val="24"/>
              </w:rPr>
            </w:pPr>
            <w:r w:rsidRPr="00BA3519">
              <w:rPr>
                <w:iCs/>
                <w:sz w:val="24"/>
                <w:szCs w:val="24"/>
              </w:rPr>
              <w:t>U cilju realizacije preporuke br. 3 u dijelu: „</w:t>
            </w:r>
            <w:r w:rsidRPr="00BA3519">
              <w:rPr>
                <w:b/>
                <w:iCs/>
                <w:sz w:val="24"/>
                <w:szCs w:val="24"/>
              </w:rPr>
              <w:t>Nastaviti sa poboljšanjem i primjenom zakona radi daljeg usklađivanja sa okvirom EU o regulativi i nadzoru, uključujući zaštitu depozita</w:t>
            </w:r>
            <w:r w:rsidRPr="00BA3519">
              <w:rPr>
                <w:iCs/>
                <w:sz w:val="24"/>
                <w:szCs w:val="24"/>
              </w:rPr>
              <w:t>“, Centralna banka je nastavila sa aktivnostima koje su usmjerene na unapređenje podzakonske regulative donesene u cilju sprovođenja Zakona o kreditnim institucijama</w:t>
            </w:r>
            <w:r w:rsidRPr="00BA3519">
              <w:rPr>
                <w:iCs/>
                <w:sz w:val="24"/>
                <w:szCs w:val="24"/>
                <w:vertAlign w:val="superscript"/>
              </w:rPr>
              <w:footnoteReference w:id="2"/>
            </w:r>
            <w:r w:rsidRPr="00BA3519">
              <w:rPr>
                <w:iCs/>
                <w:sz w:val="24"/>
                <w:szCs w:val="24"/>
              </w:rPr>
              <w:t>, kao i aktivnostima na izradi izmjena i dopuna tog zakona, kojima će biti obuhvaćene sve dalje izmjene trenutno važećih EU propisa. U okviru ranije započetog usklađivanja sa odredbama CRR-a kojima je utvrđen zahtjev za NSFR</w:t>
            </w:r>
            <w:r w:rsidRPr="00BA3519">
              <w:rPr>
                <w:iCs/>
                <w:sz w:val="24"/>
                <w:szCs w:val="24"/>
                <w:vertAlign w:val="superscript"/>
              </w:rPr>
              <w:footnoteReference w:id="3"/>
            </w:r>
            <w:r w:rsidRPr="00BA3519">
              <w:rPr>
                <w:iCs/>
                <w:sz w:val="24"/>
                <w:szCs w:val="24"/>
              </w:rPr>
              <w:t>, privode se kraju aktivnosti za izradu predloga izmjena Odluke o upravljanju rizikom likvidnosti u kreditnim institucijama i sprovođenje kvantitativne studije uticaja (QIS)</w:t>
            </w:r>
            <w:r w:rsidRPr="00BA3519">
              <w:rPr>
                <w:iCs/>
                <w:sz w:val="24"/>
                <w:szCs w:val="24"/>
                <w:vertAlign w:val="superscript"/>
              </w:rPr>
              <w:footnoteReference w:id="4"/>
            </w:r>
            <w:r w:rsidRPr="00BA3519">
              <w:rPr>
                <w:iCs/>
                <w:sz w:val="24"/>
                <w:szCs w:val="24"/>
              </w:rPr>
              <w:t xml:space="preserve"> radi utvrđivanja efekata uvođenja ovog zahtjeva u crnogorski regulatorni okvir, tako da je očekivano da će sve aktivnosti za potpuno usklađivanje sa NSFR zahtjevom biti izvršene do kraja tekuće godine. Dodatno, a u cilju daljeg unapređenja sistema izvještavanja kreditnih institucija, u pripremi su i izmjene i dopune Odluke o izvještajima koji se dostavljaju Centralnoj banci Crne Gore.</w:t>
            </w:r>
          </w:p>
          <w:p w14:paraId="2709CC88" w14:textId="77777777" w:rsidR="00CA7341" w:rsidRPr="00BA3519" w:rsidRDefault="00CA7341" w:rsidP="00E448C6">
            <w:pPr>
              <w:jc w:val="both"/>
              <w:rPr>
                <w:iCs/>
                <w:sz w:val="24"/>
                <w:szCs w:val="24"/>
              </w:rPr>
            </w:pPr>
            <w:r w:rsidRPr="00BA3519">
              <w:rPr>
                <w:iCs/>
                <w:sz w:val="24"/>
                <w:szCs w:val="24"/>
              </w:rPr>
              <w:t>Takođe, nastavljene su aktivnosti na izradi izmjena i dopuna Zakona o kreditnim institucijama, kojima će biti obuhvaćene sve dalje izmjene trenutno važećih EU propisa, nakon čijeg usvajanja će biti izvršena ponovna revizija usklađenosti cjelokupnog domaćeg okvira.</w:t>
            </w:r>
          </w:p>
          <w:p w14:paraId="3DF8330E" w14:textId="77777777" w:rsidR="00CA7341" w:rsidRPr="00BA3519" w:rsidRDefault="00CA7341" w:rsidP="00E448C6">
            <w:pPr>
              <w:jc w:val="both"/>
              <w:rPr>
                <w:iCs/>
                <w:sz w:val="24"/>
                <w:szCs w:val="24"/>
              </w:rPr>
            </w:pPr>
            <w:r w:rsidRPr="00BA3519">
              <w:rPr>
                <w:iCs/>
                <w:sz w:val="24"/>
                <w:szCs w:val="24"/>
              </w:rPr>
              <w:t xml:space="preserve">Centralna banka je nastavila i sa praćenjem sprovođenja makroprudencijalnih mjera uvedenih u cilju sprečavanja negativnih uticaja COVID-19 i situacije u Ukrajini na finansijski sistem.  S obzirom na to da je mjera zabrane isplate dividende, koja je usvojena početkom jula tekuće godine, prestala da važi 31.10.2023., Centralna banka je, preventivno, dana 02.11.2023. uputila kreditnim institucijama upozorenje kojima se iste upozoravaju da prije donošenja odluka o isplati dividende po osnovu stavki neraspoređene dobiti iz regulatornog kapitala i/ili dobiti ostvarene u 2022, dostave Centralnoj banci informacije o namjeravanoj isplati dividende sa dokazima da će nakon isplate dividende zadovoljiti propisane regulatorne </w:t>
            </w:r>
            <w:r w:rsidRPr="00BA3519">
              <w:rPr>
                <w:iCs/>
                <w:sz w:val="24"/>
                <w:szCs w:val="24"/>
              </w:rPr>
              <w:lastRenderedPageBreak/>
              <w:t>zahtjeve, zahtjeve utvrđene supervizorskim procesom i utvrđene interne limite, radi dobijanja mišljenja od strana Centralne banke.</w:t>
            </w:r>
          </w:p>
          <w:p w14:paraId="75CB7C05" w14:textId="77777777" w:rsidR="00CA7341" w:rsidRPr="00BA3519" w:rsidRDefault="00CA7341" w:rsidP="00E448C6">
            <w:pPr>
              <w:jc w:val="both"/>
              <w:rPr>
                <w:iCs/>
                <w:sz w:val="24"/>
                <w:szCs w:val="24"/>
              </w:rPr>
            </w:pPr>
            <w:r w:rsidRPr="00BA3519">
              <w:rPr>
                <w:iCs/>
                <w:sz w:val="24"/>
                <w:szCs w:val="24"/>
              </w:rPr>
              <w:t>U cilju ispunjavanja obaveza o pristupanju Crne Gore Evropskoj uniji koja se odnosi na usklađivanje sa Direktivom 2002/87/EZ o dodatnom nadzoru kreditnih institucija, društava za osiguranje i investicionih društava u finansijskom konglomeratu, nakon TAIEX misije, održane krajem aprila 2023., pripremljeni su konačan predlog zakona i potrebne tabele usklađenosti, i započet rad na preostaloj dokumentaciji za dalju proceduru usvajanja.</w:t>
            </w:r>
          </w:p>
          <w:p w14:paraId="1A61C727" w14:textId="77777777" w:rsidR="00CA7341" w:rsidRPr="00BA3519" w:rsidRDefault="00CA7341" w:rsidP="00E448C6">
            <w:pPr>
              <w:jc w:val="both"/>
              <w:rPr>
                <w:iCs/>
                <w:sz w:val="24"/>
                <w:szCs w:val="24"/>
              </w:rPr>
            </w:pPr>
            <w:r w:rsidRPr="00BA3519">
              <w:rPr>
                <w:iCs/>
                <w:sz w:val="24"/>
                <w:szCs w:val="24"/>
              </w:rPr>
              <w:t>Na kraju, u okviru projekta unapređenja regulatornog okvira kojim se reguliše poslovanje pružaoca finansijskih usluga, zasnovan na Zakonu o finansijskom lizingu, faktoringu, otkupu potraživanja, mikrokreditiranju i kreditno-garantnim poslovima</w:t>
            </w:r>
            <w:r w:rsidRPr="00BA3519">
              <w:rPr>
                <w:iCs/>
                <w:sz w:val="24"/>
                <w:szCs w:val="24"/>
                <w:vertAlign w:val="superscript"/>
              </w:rPr>
              <w:footnoteReference w:id="5"/>
            </w:r>
            <w:r w:rsidRPr="00BA3519">
              <w:rPr>
                <w:iCs/>
                <w:sz w:val="24"/>
                <w:szCs w:val="24"/>
              </w:rPr>
              <w:t xml:space="preserve">, pripremljene su prve radne verzije predloga izmjena i dopuna pomenutog zakona i pratećih podzakonskih propisa. </w:t>
            </w:r>
          </w:p>
          <w:p w14:paraId="3421D60C" w14:textId="77777777" w:rsidR="00CA7341" w:rsidRPr="00BA3519" w:rsidRDefault="00CA7341" w:rsidP="00E448C6">
            <w:pPr>
              <w:jc w:val="both"/>
              <w:rPr>
                <w:b/>
                <w:iCs/>
                <w:sz w:val="24"/>
                <w:szCs w:val="24"/>
              </w:rPr>
            </w:pPr>
            <w:r w:rsidRPr="00BA3519">
              <w:rPr>
                <w:iCs/>
                <w:sz w:val="24"/>
                <w:szCs w:val="24"/>
              </w:rPr>
              <w:t>Centralna banka u kontinuitetu ostvaruje komunikaciju sa kreditnim institucijama i drugim subjektima supervizije u cilju pružanja podrške i neophodne pomoći tim institucijama u primjeni svih postojećih zakonskih i podzakonskih propisa.</w:t>
            </w:r>
          </w:p>
          <w:p w14:paraId="111D4AA7" w14:textId="77777777" w:rsidR="00CA7341" w:rsidRPr="00BA3519" w:rsidRDefault="00CA7341" w:rsidP="00E448C6">
            <w:pPr>
              <w:jc w:val="both"/>
              <w:rPr>
                <w:iCs/>
                <w:sz w:val="24"/>
                <w:szCs w:val="24"/>
              </w:rPr>
            </w:pPr>
            <w:r w:rsidRPr="00BA3519">
              <w:rPr>
                <w:iCs/>
                <w:sz w:val="24"/>
                <w:szCs w:val="24"/>
              </w:rPr>
              <w:t>U skladu sa Zakonom o sanaciji kreditinih institucija, čija primjena je otpočela 1. januara 2022, Centralna banka je pripremila planove sanacije za kreditne institucije i utvrdila minimalni zahtjev za regulatornim kapitalom i kvalifikovanim obavezama (MREL), koji je dovoljan za mogući otpis ili konverziju iznosa regulatornog kapitala i kvalifikovanih obaveza, minimalno u visini zbira iznosa pokrića gubitaka i iznosa dokapitalizacije. Radi obezbjeđenja sredstava za primjenu instrumenata sanacije i sanacionih ovlašćenja utvrđenih ovim Zakonom osnovan je Sanacioni fond kojim upravlja Centralna banka. Novčana sredstva fonda vode se na posebnom računu Centralne banke. Nivo sredstava fonda mora najkasnije do 31. jula 2031. dostići nivo od najmanje 1% iznosa garantovanih depozita svih kreditnih institucija kojima je Centralna banka izdala dozvolu za rad. Sve kreditne institucije su izvršile godišnju uplatu redovnih doprinosa za 2023, u roku koji je propisan Zakonom.</w:t>
            </w:r>
          </w:p>
          <w:p w14:paraId="2BC5964D" w14:textId="77777777" w:rsidR="00CA7341" w:rsidRPr="00BA3519" w:rsidRDefault="00CA7341" w:rsidP="00E448C6">
            <w:pPr>
              <w:jc w:val="both"/>
              <w:rPr>
                <w:iCs/>
                <w:sz w:val="24"/>
                <w:szCs w:val="24"/>
              </w:rPr>
            </w:pPr>
            <w:r w:rsidRPr="00BA3519">
              <w:rPr>
                <w:iCs/>
                <w:sz w:val="24"/>
                <w:szCs w:val="24"/>
              </w:rPr>
              <w:t xml:space="preserve">Uporedo, Centralna banka je nastavila da radi na usaglašavanju Zakona o sanaciji kreditnih institucija sa Direktivom 2019/879/EU o izmjeni Direktive 2014/59/EU u pogledu kapaciteta pokrivanja gubitaka i dokapitalizacije kreditnih institucija i investicionih društava i Direktive 98/26/EZ (BRRD II), sa ciljem poboljšanja operativnog izvršenja sanacije kreditnih institucija, jačanja nadležnosti organa za sanaciju i prevazilaženja zakonskih neizvjesnosti. </w:t>
            </w:r>
          </w:p>
          <w:p w14:paraId="5623D333" w14:textId="77777777" w:rsidR="00CA7341" w:rsidRPr="00BA3519" w:rsidRDefault="00CA7341" w:rsidP="00E448C6">
            <w:pPr>
              <w:jc w:val="both"/>
              <w:rPr>
                <w:iCs/>
                <w:sz w:val="24"/>
                <w:szCs w:val="24"/>
              </w:rPr>
            </w:pPr>
            <w:r w:rsidRPr="00BA3519">
              <w:rPr>
                <w:iCs/>
                <w:sz w:val="24"/>
                <w:szCs w:val="24"/>
              </w:rPr>
              <w:t>U oktobru 2022, Centralna banka i Jedinstveni odbor za sanaciju (SRB</w:t>
            </w:r>
            <w:r w:rsidRPr="00BA3519">
              <w:rPr>
                <w:iCs/>
                <w:sz w:val="24"/>
                <w:szCs w:val="24"/>
                <w:vertAlign w:val="superscript"/>
              </w:rPr>
              <w:footnoteReference w:id="6"/>
            </w:r>
            <w:r w:rsidRPr="00BA3519">
              <w:rPr>
                <w:iCs/>
                <w:sz w:val="24"/>
                <w:szCs w:val="24"/>
              </w:rPr>
              <w:t>) su zaključili Sporazum o saradnji u vezi razmjene informacija i saradnji u vezi sa planiranjem sanacije i implementacijom takvog planiranja u odnosu na prekogranične entitete.</w:t>
            </w:r>
          </w:p>
          <w:p w14:paraId="376A3374" w14:textId="77777777" w:rsidR="00CA7341" w:rsidRPr="00C408A7" w:rsidRDefault="00CA7341" w:rsidP="00E448C6">
            <w:pPr>
              <w:jc w:val="both"/>
              <w:rPr>
                <w:iCs/>
                <w:sz w:val="24"/>
                <w:szCs w:val="24"/>
              </w:rPr>
            </w:pPr>
            <w:r w:rsidRPr="00BA3519">
              <w:rPr>
                <w:iCs/>
                <w:sz w:val="24"/>
                <w:szCs w:val="24"/>
              </w:rPr>
              <w:t>U cilju realizacije preporuke br. 3 u dijelu: „</w:t>
            </w:r>
            <w:r w:rsidRPr="00BA3519">
              <w:rPr>
                <w:b/>
                <w:iCs/>
                <w:sz w:val="24"/>
                <w:szCs w:val="24"/>
              </w:rPr>
              <w:t xml:space="preserve">i ubrzati napore da se obezbijede održiva i pravovremena rješenja za brzo i efikasno rješavanje problematičnih kredita”, </w:t>
            </w:r>
            <w:r w:rsidRPr="00BA3519">
              <w:rPr>
                <w:iCs/>
                <w:sz w:val="24"/>
                <w:szCs w:val="24"/>
              </w:rPr>
              <w:t>podsjećamo da je</w:t>
            </w:r>
            <w:r w:rsidRPr="00BA3519">
              <w:rPr>
                <w:b/>
                <w:iCs/>
                <w:sz w:val="24"/>
                <w:szCs w:val="24"/>
              </w:rPr>
              <w:t xml:space="preserve"> </w:t>
            </w:r>
            <w:r w:rsidRPr="00BA3519">
              <w:rPr>
                <w:iCs/>
                <w:sz w:val="24"/>
                <w:szCs w:val="24"/>
              </w:rPr>
              <w:t>članom 17, stav 7 Odluke o minimalnim standardima za upravljanje rizicima u kreditnim institucijama definisano da su kreditne institucije u obavezi da primjenjuju Smjernice za upravljanje nekvalitetnim i restrukturiranim izloženostima, koje čine sastavni dio ove Odluke.</w:t>
            </w:r>
            <w:r w:rsidRPr="00BA3519">
              <w:rPr>
                <w:b/>
                <w:iCs/>
                <w:sz w:val="24"/>
                <w:szCs w:val="24"/>
              </w:rPr>
              <w:t xml:space="preserve"> </w:t>
            </w:r>
            <w:r w:rsidRPr="00BA3519">
              <w:rPr>
                <w:iCs/>
                <w:sz w:val="24"/>
                <w:szCs w:val="24"/>
              </w:rPr>
              <w:t>Smjernicama je definisano da kreditna institucija kod koje je učešće bruto nekvalitetnih kredita u ukupnim bruto kreditima veće ili jednako od 5% primjenjuje poglavlja II i III ovih smjernica na izloženosti prema licima čije učešće nekvalitetnih kredita u ukupnim kreditima prelazi utvrđeni prag</w:t>
            </w:r>
            <w:r w:rsidRPr="00BA3519">
              <w:rPr>
                <w:iCs/>
                <w:sz w:val="24"/>
                <w:szCs w:val="24"/>
                <w:vertAlign w:val="superscript"/>
              </w:rPr>
              <w:footnoteReference w:id="7"/>
            </w:r>
            <w:r w:rsidRPr="00BA3519">
              <w:rPr>
                <w:iCs/>
                <w:sz w:val="24"/>
                <w:szCs w:val="24"/>
              </w:rPr>
              <w:t>.</w:t>
            </w:r>
            <w:r w:rsidRPr="00BA3519">
              <w:rPr>
                <w:b/>
                <w:iCs/>
                <w:sz w:val="24"/>
                <w:szCs w:val="24"/>
              </w:rPr>
              <w:t xml:space="preserve"> </w:t>
            </w:r>
            <w:r w:rsidRPr="00BA3519">
              <w:rPr>
                <w:iCs/>
                <w:sz w:val="24"/>
                <w:szCs w:val="24"/>
              </w:rPr>
              <w:t xml:space="preserve">Takođe, Smjernicama je propisano da kreditna institucija treba da utvrdi strategiju za nekvalitetne kredite kako bi definisala vremenski ograničeno smanjenje </w:t>
            </w:r>
            <w:r w:rsidRPr="00BA3519">
              <w:rPr>
                <w:iCs/>
                <w:sz w:val="24"/>
                <w:szCs w:val="24"/>
              </w:rPr>
              <w:lastRenderedPageBreak/>
              <w:t>nekvalitetnih kredita u okviru realnog, ali dovoljno ambicioznog vremenskog perioda (ciljevi smanjenja nekvalitetnih kredita)</w:t>
            </w:r>
            <w:r w:rsidRPr="00BA3519">
              <w:rPr>
                <w:iCs/>
                <w:sz w:val="24"/>
                <w:szCs w:val="24"/>
                <w:vertAlign w:val="superscript"/>
              </w:rPr>
              <w:footnoteReference w:id="8"/>
            </w:r>
            <w:r w:rsidRPr="00BA3519">
              <w:rPr>
                <w:iCs/>
                <w:sz w:val="24"/>
                <w:szCs w:val="24"/>
              </w:rPr>
              <w:t>. Ove strategije su predmet kontinuirane kontrole CBCG tokom neposrednih kontrola.</w:t>
            </w:r>
          </w:p>
        </w:tc>
      </w:tr>
      <w:tr w:rsidR="00CA7341" w:rsidRPr="00C408A7" w14:paraId="78F64C8E" w14:textId="77777777" w:rsidTr="0092632C">
        <w:trPr>
          <w:trHeight w:hRule="exact" w:val="2530"/>
        </w:trPr>
        <w:tc>
          <w:tcPr>
            <w:tcW w:w="9175" w:type="dxa"/>
            <w:shd w:val="clear" w:color="auto" w:fill="D9E2F3" w:themeFill="accent1" w:themeFillTint="33"/>
            <w:tcMar>
              <w:top w:w="144" w:type="dxa"/>
              <w:left w:w="58" w:type="dxa"/>
              <w:bottom w:w="144" w:type="dxa"/>
              <w:right w:w="58" w:type="dxa"/>
            </w:tcMar>
          </w:tcPr>
          <w:p w14:paraId="689A0D1F" w14:textId="77777777" w:rsidR="00CA7341" w:rsidRPr="00C408A7" w:rsidRDefault="00CA7341" w:rsidP="00E448C6">
            <w:pPr>
              <w:pStyle w:val="NormalWeb"/>
              <w:spacing w:after="320" w:line="256" w:lineRule="auto"/>
              <w:jc w:val="both"/>
              <w:rPr>
                <w:rFonts w:ascii="Calibri" w:hAnsi="Calibri" w:cs="Calibri"/>
              </w:rPr>
            </w:pPr>
            <w:r w:rsidRPr="00C408A7">
              <w:rPr>
                <w:rFonts w:ascii="Calibri" w:hAnsi="Calibri" w:cs="Calibri"/>
                <w:b/>
                <w:bCs/>
                <w:i/>
              </w:rPr>
              <w:lastRenderedPageBreak/>
              <w:t>Preporuka 4:</w:t>
            </w:r>
            <w:r w:rsidRPr="00155E36">
              <w:rPr>
                <w:rFonts w:ascii="Calibri" w:eastAsia="+mn-ea" w:hAnsi="Calibri" w:cs="Calibri"/>
                <w:spacing w:val="8"/>
              </w:rPr>
              <w:t xml:space="preserve"> Poboljšati institucionalno i regulatorno okruženje i poboljšati energetsku otpornost i prelazak na sprovođenje Zelene agende. Dalje digitaliz</w:t>
            </w:r>
            <w:r w:rsidRPr="00155E36">
              <w:rPr>
                <w:rFonts w:ascii="Calibri" w:eastAsia="+mn-ea" w:hAnsi="Calibri" w:cs="Calibri"/>
                <w:spacing w:val="8"/>
                <w:lang w:val="sr-Latn-ME"/>
              </w:rPr>
              <w:t>ovati</w:t>
            </w:r>
            <w:r w:rsidRPr="00155E36">
              <w:rPr>
                <w:rFonts w:ascii="Calibri" w:eastAsia="+mn-ea" w:hAnsi="Calibri" w:cs="Calibri"/>
                <w:spacing w:val="8"/>
              </w:rPr>
              <w:t xml:space="preserve"> i pojednostavit</w:t>
            </w:r>
            <w:r w:rsidRPr="00155E36">
              <w:rPr>
                <w:rFonts w:ascii="Calibri" w:eastAsia="+mn-ea" w:hAnsi="Calibri" w:cs="Calibri"/>
                <w:spacing w:val="8"/>
                <w:lang w:val="sr-Latn-ME"/>
              </w:rPr>
              <w:t>i</w:t>
            </w:r>
            <w:r w:rsidRPr="00155E36">
              <w:rPr>
                <w:rFonts w:ascii="Calibri" w:eastAsia="+mn-ea" w:hAnsi="Calibri" w:cs="Calibri"/>
                <w:spacing w:val="8"/>
              </w:rPr>
              <w:t xml:space="preserve"> administra</w:t>
            </w:r>
            <w:r w:rsidRPr="00155E36">
              <w:rPr>
                <w:rFonts w:ascii="Calibri" w:eastAsia="+mn-ea" w:hAnsi="Calibri" w:cs="Calibri"/>
                <w:spacing w:val="8"/>
                <w:lang w:val="sr-Latn-ME"/>
              </w:rPr>
              <w:t>tivne</w:t>
            </w:r>
            <w:r w:rsidRPr="00155E36">
              <w:rPr>
                <w:rFonts w:ascii="Calibri" w:eastAsia="+mn-ea" w:hAnsi="Calibri" w:cs="Calibri"/>
                <w:spacing w:val="8"/>
              </w:rPr>
              <w:t xml:space="preserve"> procedure za mikro, mala i srednja preduzeća i </w:t>
            </w:r>
            <w:r w:rsidRPr="00155E36">
              <w:rPr>
                <w:rFonts w:ascii="Calibri" w:eastAsia="+mn-ea" w:hAnsi="Calibri" w:cs="Calibri"/>
                <w:spacing w:val="8"/>
                <w:lang w:val="sr-Latn-ME"/>
              </w:rPr>
              <w:t xml:space="preserve">dati </w:t>
            </w:r>
            <w:r w:rsidRPr="00155E36">
              <w:rPr>
                <w:rFonts w:ascii="Calibri" w:eastAsia="+mn-ea" w:hAnsi="Calibri" w:cs="Calibri"/>
                <w:spacing w:val="8"/>
              </w:rPr>
              <w:t>prioritet sajber bezb</w:t>
            </w:r>
            <w:r w:rsidRPr="00155E36">
              <w:rPr>
                <w:rFonts w:ascii="Calibri" w:eastAsia="+mn-ea" w:hAnsi="Calibri" w:cs="Calibri"/>
                <w:spacing w:val="8"/>
                <w:lang w:val="sr-Latn-ME"/>
              </w:rPr>
              <w:t>j</w:t>
            </w:r>
            <w:r w:rsidRPr="00155E36">
              <w:rPr>
                <w:rFonts w:ascii="Calibri" w:eastAsia="+mn-ea" w:hAnsi="Calibri" w:cs="Calibri"/>
                <w:spacing w:val="8"/>
              </w:rPr>
              <w:t xml:space="preserve">ednosti, </w:t>
            </w:r>
            <w:r w:rsidRPr="00155E36">
              <w:rPr>
                <w:rFonts w:ascii="Calibri" w:eastAsia="+mn-ea" w:hAnsi="Calibri" w:cs="Calibri"/>
                <w:spacing w:val="8"/>
                <w:lang w:val="sr-Latn-ME"/>
              </w:rPr>
              <w:t xml:space="preserve">zaštiti podataka </w:t>
            </w:r>
            <w:r w:rsidRPr="00155E36">
              <w:rPr>
                <w:rFonts w:ascii="Calibri" w:eastAsia="+mn-ea" w:hAnsi="Calibri" w:cs="Calibri"/>
                <w:spacing w:val="8"/>
              </w:rPr>
              <w:t>i kontinuitet</w:t>
            </w:r>
            <w:r w:rsidRPr="00155E36">
              <w:rPr>
                <w:rFonts w:ascii="Calibri" w:eastAsia="+mn-ea" w:hAnsi="Calibri" w:cs="Calibri"/>
                <w:spacing w:val="8"/>
                <w:lang w:val="sr-Latn-ME"/>
              </w:rPr>
              <w:t>u</w:t>
            </w:r>
            <w:r w:rsidRPr="00155E36">
              <w:rPr>
                <w:rFonts w:ascii="Calibri" w:eastAsia="+mn-ea" w:hAnsi="Calibri" w:cs="Calibri"/>
                <w:spacing w:val="8"/>
              </w:rPr>
              <w:t xml:space="preserve"> usluga e-uprave. Pripremi</w:t>
            </w:r>
            <w:r w:rsidRPr="00155E36">
              <w:rPr>
                <w:rFonts w:ascii="Calibri" w:eastAsia="+mn-ea" w:hAnsi="Calibri" w:cs="Calibri"/>
                <w:spacing w:val="8"/>
                <w:lang w:val="sr-Latn-ME"/>
              </w:rPr>
              <w:t>ti</w:t>
            </w:r>
            <w:r w:rsidRPr="00155E36">
              <w:rPr>
                <w:rFonts w:ascii="Calibri" w:eastAsia="+mn-ea" w:hAnsi="Calibri" w:cs="Calibri"/>
                <w:spacing w:val="8"/>
              </w:rPr>
              <w:t xml:space="preserve"> mapu puta za reformisanje državnih preduzeća (DP), pripremiti okvir za praćenje i upravljanj</w:t>
            </w:r>
            <w:r w:rsidRPr="00155E36">
              <w:rPr>
                <w:rFonts w:ascii="Calibri" w:eastAsia="+mn-ea" w:hAnsi="Calibri" w:cs="Calibri"/>
                <w:spacing w:val="8"/>
                <w:lang w:val="sr-Latn-ME"/>
              </w:rPr>
              <w:t>e</w:t>
            </w:r>
            <w:r w:rsidRPr="00155E36">
              <w:rPr>
                <w:rFonts w:ascii="Calibri" w:eastAsia="+mn-ea" w:hAnsi="Calibri" w:cs="Calibri"/>
                <w:spacing w:val="8"/>
              </w:rPr>
              <w:t xml:space="preserve"> državnim preduzećima i razv</w:t>
            </w:r>
            <w:r w:rsidRPr="00155E36">
              <w:rPr>
                <w:rFonts w:ascii="Calibri" w:eastAsia="+mn-ea" w:hAnsi="Calibri" w:cs="Calibri"/>
                <w:spacing w:val="8"/>
                <w:lang w:val="sr-Latn-ME"/>
              </w:rPr>
              <w:t>iti</w:t>
            </w:r>
            <w:r w:rsidRPr="00155E36">
              <w:rPr>
                <w:rFonts w:ascii="Calibri" w:eastAsia="+mn-ea" w:hAnsi="Calibri" w:cs="Calibri"/>
                <w:spacing w:val="8"/>
              </w:rPr>
              <w:t xml:space="preserve"> objektivne kriterijume za izbor njihov</w:t>
            </w:r>
            <w:r w:rsidRPr="00155E36">
              <w:rPr>
                <w:rFonts w:ascii="Calibri" w:eastAsia="+mn-ea" w:hAnsi="Calibri" w:cs="Calibri"/>
                <w:spacing w:val="8"/>
                <w:lang w:val="sr-Latn-ME"/>
              </w:rPr>
              <w:t>ih</w:t>
            </w:r>
            <w:r w:rsidRPr="00155E36">
              <w:rPr>
                <w:rFonts w:ascii="Calibri" w:eastAsia="+mn-ea" w:hAnsi="Calibri" w:cs="Calibri"/>
                <w:spacing w:val="8"/>
              </w:rPr>
              <w:t xml:space="preserve"> menadžment t</w:t>
            </w:r>
            <w:r w:rsidRPr="00155E36">
              <w:rPr>
                <w:rFonts w:ascii="Calibri" w:eastAsia="+mn-ea" w:hAnsi="Calibri" w:cs="Calibri"/>
                <w:spacing w:val="8"/>
                <w:lang w:val="sr-Latn-ME"/>
              </w:rPr>
              <w:t>ije</w:t>
            </w:r>
            <w:r w:rsidRPr="00155E36">
              <w:rPr>
                <w:rFonts w:ascii="Calibri" w:eastAsia="+mn-ea" w:hAnsi="Calibri" w:cs="Calibri"/>
                <w:spacing w:val="8"/>
              </w:rPr>
              <w:t xml:space="preserve">la. </w:t>
            </w:r>
          </w:p>
        </w:tc>
      </w:tr>
      <w:tr w:rsidR="00CA7341" w:rsidRPr="00C408A7" w14:paraId="38113DE1" w14:textId="77777777" w:rsidTr="0092632C">
        <w:tc>
          <w:tcPr>
            <w:tcW w:w="9175" w:type="dxa"/>
            <w:tcMar>
              <w:top w:w="144" w:type="dxa"/>
              <w:left w:w="58" w:type="dxa"/>
              <w:bottom w:w="144" w:type="dxa"/>
              <w:right w:w="58" w:type="dxa"/>
            </w:tcMar>
          </w:tcPr>
          <w:p w14:paraId="1BE3DA33" w14:textId="1CF79DB3" w:rsidR="00CA7341" w:rsidRPr="003A3D23" w:rsidRDefault="00CA7341" w:rsidP="00E448C6">
            <w:pPr>
              <w:jc w:val="both"/>
              <w:rPr>
                <w:rFonts w:cstheme="minorHAnsi"/>
                <w:sz w:val="24"/>
                <w:szCs w:val="24"/>
              </w:rPr>
            </w:pPr>
            <w:r w:rsidRPr="00F374DB">
              <w:rPr>
                <w:rFonts w:cstheme="minorHAnsi"/>
                <w:b/>
                <w:bCs/>
                <w:sz w:val="24"/>
                <w:szCs w:val="24"/>
              </w:rPr>
              <w:t>Dekarbonizacija.</w:t>
            </w:r>
            <w:r w:rsidRPr="00CC4B6F">
              <w:rPr>
                <w:rFonts w:cstheme="minorHAnsi"/>
                <w:sz w:val="24"/>
                <w:szCs w:val="24"/>
              </w:rPr>
              <w:t xml:space="preserve"> </w:t>
            </w:r>
            <w:r w:rsidRPr="003A3D23">
              <w:rPr>
                <w:rFonts w:cstheme="minorHAnsi"/>
                <w:sz w:val="24"/>
                <w:szCs w:val="24"/>
              </w:rPr>
              <w:t>U cilju daljeg usaglašavanja sa pravnim tekovinama EU</w:t>
            </w:r>
            <w:r w:rsidRPr="00CC4B6F">
              <w:rPr>
                <w:rFonts w:cstheme="minorHAnsi"/>
                <w:sz w:val="24"/>
                <w:szCs w:val="24"/>
              </w:rPr>
              <w:t>, započet</w:t>
            </w:r>
            <w:r w:rsidR="00734493">
              <w:rPr>
                <w:rFonts w:cstheme="minorHAnsi"/>
                <w:sz w:val="24"/>
                <w:szCs w:val="24"/>
              </w:rPr>
              <w:t xml:space="preserve"> je</w:t>
            </w:r>
            <w:r w:rsidRPr="003A3D23">
              <w:rPr>
                <w:rFonts w:cstheme="minorHAnsi"/>
                <w:sz w:val="24"/>
                <w:szCs w:val="24"/>
              </w:rPr>
              <w:t xml:space="preserve"> rad na izradi novog Zakona o zaštiti od negativnih uticaja klimatskih prom</w:t>
            </w:r>
            <w:r w:rsidRPr="00CC4B6F">
              <w:rPr>
                <w:rFonts w:cstheme="minorHAnsi"/>
                <w:sz w:val="24"/>
                <w:szCs w:val="24"/>
              </w:rPr>
              <w:t>j</w:t>
            </w:r>
            <w:r w:rsidRPr="003A3D23">
              <w:rPr>
                <w:rFonts w:cstheme="minorHAnsi"/>
                <w:sz w:val="24"/>
                <w:szCs w:val="24"/>
              </w:rPr>
              <w:t>ena i zaštiti ozonskog omotača. Novi zakon će omogućiti dalje usklađivanje sa pravnim tekovinama EU, posebno funkcionisanje sistema za trgovinu emisijama (EU ETS)</w:t>
            </w:r>
            <w:r w:rsidR="00734493">
              <w:rPr>
                <w:rFonts w:cstheme="minorHAnsi"/>
                <w:sz w:val="24"/>
                <w:szCs w:val="24"/>
              </w:rPr>
              <w:t>, kao i</w:t>
            </w:r>
            <w:r w:rsidRPr="003A3D23">
              <w:rPr>
                <w:rFonts w:cstheme="minorHAnsi"/>
                <w:sz w:val="24"/>
                <w:szCs w:val="24"/>
              </w:rPr>
              <w:t xml:space="preserve"> oblasti praćenja i izv</w:t>
            </w:r>
            <w:r w:rsidRPr="00CC4B6F">
              <w:rPr>
                <w:rFonts w:cstheme="minorHAnsi"/>
                <w:sz w:val="24"/>
                <w:szCs w:val="24"/>
              </w:rPr>
              <w:t>j</w:t>
            </w:r>
            <w:r w:rsidRPr="003A3D23">
              <w:rPr>
                <w:rFonts w:cstheme="minorHAnsi"/>
                <w:sz w:val="24"/>
                <w:szCs w:val="24"/>
              </w:rPr>
              <w:t>eštavanja o emisijama gasova staklene bašte. Zakon će regulisati sistem izv</w:t>
            </w:r>
            <w:r w:rsidRPr="00CC4B6F">
              <w:rPr>
                <w:rFonts w:cstheme="minorHAnsi"/>
                <w:sz w:val="24"/>
                <w:szCs w:val="24"/>
              </w:rPr>
              <w:t>j</w:t>
            </w:r>
            <w:r w:rsidRPr="003A3D23">
              <w:rPr>
                <w:rFonts w:cstheme="minorHAnsi"/>
                <w:sz w:val="24"/>
                <w:szCs w:val="24"/>
              </w:rPr>
              <w:t>eštavanja za inventar i projekcije emisija gasova staklene bašte, politike i m</w:t>
            </w:r>
            <w:r w:rsidRPr="00CC4B6F">
              <w:rPr>
                <w:rFonts w:cstheme="minorHAnsi"/>
                <w:sz w:val="24"/>
                <w:szCs w:val="24"/>
              </w:rPr>
              <w:t>j</w:t>
            </w:r>
            <w:r w:rsidRPr="003A3D23">
              <w:rPr>
                <w:rFonts w:cstheme="minorHAnsi"/>
                <w:sz w:val="24"/>
                <w:szCs w:val="24"/>
              </w:rPr>
              <w:t>ere za ublažavanje klimatskih prom</w:t>
            </w:r>
            <w:r w:rsidRPr="00CC4B6F">
              <w:rPr>
                <w:rFonts w:cstheme="minorHAnsi"/>
                <w:sz w:val="24"/>
                <w:szCs w:val="24"/>
              </w:rPr>
              <w:t>j</w:t>
            </w:r>
            <w:r w:rsidRPr="003A3D23">
              <w:rPr>
                <w:rFonts w:cstheme="minorHAnsi"/>
                <w:sz w:val="24"/>
                <w:szCs w:val="24"/>
              </w:rPr>
              <w:t>ena i m</w:t>
            </w:r>
            <w:r w:rsidRPr="00CC4B6F">
              <w:rPr>
                <w:rFonts w:cstheme="minorHAnsi"/>
                <w:sz w:val="24"/>
                <w:szCs w:val="24"/>
              </w:rPr>
              <w:t>j</w:t>
            </w:r>
            <w:r w:rsidRPr="003A3D23">
              <w:rPr>
                <w:rFonts w:cstheme="minorHAnsi"/>
                <w:sz w:val="24"/>
                <w:szCs w:val="24"/>
              </w:rPr>
              <w:t>ere za prilagođavanje klimatskim promenama. Zakon takođe sadrži odredbe o obaveznim ciljevima smanjenja emisije GHG u sektorima koji nisu obuhvaćeni sistemom trgovanja emisijama.</w:t>
            </w:r>
            <w:r w:rsidRPr="00CC4B6F">
              <w:rPr>
                <w:rFonts w:cstheme="minorHAnsi"/>
                <w:sz w:val="24"/>
                <w:szCs w:val="24"/>
              </w:rPr>
              <w:t xml:space="preserve"> </w:t>
            </w:r>
            <w:r w:rsidRPr="003A3D23">
              <w:rPr>
                <w:rFonts w:cstheme="minorHAnsi"/>
                <w:sz w:val="24"/>
                <w:szCs w:val="24"/>
              </w:rPr>
              <w:t>Zakon sadrži i odredbe o praćenju i izv</w:t>
            </w:r>
            <w:r w:rsidRPr="00CC4B6F">
              <w:rPr>
                <w:rFonts w:cstheme="minorHAnsi"/>
                <w:sz w:val="24"/>
                <w:szCs w:val="24"/>
              </w:rPr>
              <w:t>j</w:t>
            </w:r>
            <w:r w:rsidRPr="003A3D23">
              <w:rPr>
                <w:rFonts w:cstheme="minorHAnsi"/>
                <w:sz w:val="24"/>
                <w:szCs w:val="24"/>
              </w:rPr>
              <w:t>eštavanju o politikama i m</w:t>
            </w:r>
            <w:r w:rsidR="00734493">
              <w:rPr>
                <w:rFonts w:cstheme="minorHAnsi"/>
                <w:sz w:val="24"/>
                <w:szCs w:val="24"/>
              </w:rPr>
              <w:t>j</w:t>
            </w:r>
            <w:r w:rsidRPr="003A3D23">
              <w:rPr>
                <w:rFonts w:cstheme="minorHAnsi"/>
                <w:sz w:val="24"/>
                <w:szCs w:val="24"/>
              </w:rPr>
              <w:t>erama ublažavanja klimatskih prom</w:t>
            </w:r>
            <w:r w:rsidR="00734493">
              <w:rPr>
                <w:rFonts w:cstheme="minorHAnsi"/>
                <w:sz w:val="24"/>
                <w:szCs w:val="24"/>
              </w:rPr>
              <w:t>j</w:t>
            </w:r>
            <w:r w:rsidRPr="003A3D23">
              <w:rPr>
                <w:rFonts w:cstheme="minorHAnsi"/>
                <w:sz w:val="24"/>
                <w:szCs w:val="24"/>
              </w:rPr>
              <w:t>ena, izveštavanju o planiranim m</w:t>
            </w:r>
            <w:r w:rsidRPr="00CC4B6F">
              <w:rPr>
                <w:rFonts w:cstheme="minorHAnsi"/>
                <w:sz w:val="24"/>
                <w:szCs w:val="24"/>
              </w:rPr>
              <w:t>j</w:t>
            </w:r>
            <w:r w:rsidRPr="003A3D23">
              <w:rPr>
                <w:rFonts w:cstheme="minorHAnsi"/>
                <w:sz w:val="24"/>
                <w:szCs w:val="24"/>
              </w:rPr>
              <w:t>erama i sprovođenju Strategije prilagođavanja klimatskim prom</w:t>
            </w:r>
            <w:r w:rsidRPr="00CC4B6F">
              <w:rPr>
                <w:rFonts w:cstheme="minorHAnsi"/>
                <w:sz w:val="24"/>
                <w:szCs w:val="24"/>
              </w:rPr>
              <w:t>j</w:t>
            </w:r>
            <w:r w:rsidRPr="003A3D23">
              <w:rPr>
                <w:rFonts w:cstheme="minorHAnsi"/>
                <w:sz w:val="24"/>
                <w:szCs w:val="24"/>
              </w:rPr>
              <w:t>enama, obavezama i odgovornostima za prikupljanje i kvalitet podataka za izv</w:t>
            </w:r>
            <w:r w:rsidRPr="00CC4B6F">
              <w:rPr>
                <w:rFonts w:cstheme="minorHAnsi"/>
                <w:sz w:val="24"/>
                <w:szCs w:val="24"/>
              </w:rPr>
              <w:t>j</w:t>
            </w:r>
            <w:r w:rsidRPr="003A3D23">
              <w:rPr>
                <w:rFonts w:cstheme="minorHAnsi"/>
                <w:sz w:val="24"/>
                <w:szCs w:val="24"/>
              </w:rPr>
              <w:t xml:space="preserve">eštavanje, finansiranju zaštite od negativnog uticaja klimatskih </w:t>
            </w:r>
            <w:r w:rsidRPr="00CC4B6F">
              <w:rPr>
                <w:rFonts w:cstheme="minorHAnsi"/>
                <w:sz w:val="24"/>
                <w:szCs w:val="24"/>
              </w:rPr>
              <w:t>promjena.</w:t>
            </w:r>
            <w:r>
              <w:rPr>
                <w:rFonts w:cstheme="minorHAnsi"/>
                <w:sz w:val="24"/>
                <w:szCs w:val="24"/>
              </w:rPr>
              <w:t xml:space="preserve"> </w:t>
            </w:r>
            <w:r w:rsidRPr="00CC4B6F">
              <w:rPr>
                <w:rFonts w:cstheme="minorHAnsi"/>
                <w:sz w:val="24"/>
                <w:szCs w:val="24"/>
              </w:rPr>
              <w:t xml:space="preserve">Zakonom se uvodi i </w:t>
            </w:r>
            <w:r w:rsidRPr="003A3D23">
              <w:rPr>
                <w:rFonts w:cstheme="minorHAnsi"/>
                <w:sz w:val="24"/>
                <w:szCs w:val="24"/>
              </w:rPr>
              <w:t xml:space="preserve">obaveza izrade Nacionalne strategije i akcionog plana za nisko-karbonski razvoj. Nacrt Nacionalnog energetskog i klimatskog plana je pripremljen </w:t>
            </w:r>
            <w:r w:rsidR="0099272F">
              <w:rPr>
                <w:rFonts w:cstheme="minorHAnsi"/>
                <w:sz w:val="24"/>
                <w:szCs w:val="24"/>
              </w:rPr>
              <w:t xml:space="preserve">i </w:t>
            </w:r>
            <w:r w:rsidRPr="003A3D23">
              <w:rPr>
                <w:rFonts w:cstheme="minorHAnsi"/>
                <w:sz w:val="24"/>
                <w:szCs w:val="24"/>
              </w:rPr>
              <w:t xml:space="preserve"> dostavljen Energetskoj zajednici </w:t>
            </w:r>
            <w:r w:rsidR="0099272F">
              <w:rPr>
                <w:rFonts w:cstheme="minorHAnsi"/>
                <w:sz w:val="24"/>
                <w:szCs w:val="24"/>
              </w:rPr>
              <w:t>na komentare.</w:t>
            </w:r>
          </w:p>
          <w:p w14:paraId="0F369EB0" w14:textId="62699964" w:rsidR="00CA7341" w:rsidRPr="003A3D23" w:rsidRDefault="00CA7341" w:rsidP="00E448C6">
            <w:pPr>
              <w:jc w:val="both"/>
              <w:rPr>
                <w:rFonts w:cstheme="minorHAnsi"/>
                <w:sz w:val="24"/>
                <w:szCs w:val="24"/>
              </w:rPr>
            </w:pPr>
            <w:r w:rsidRPr="003A3D23">
              <w:rPr>
                <w:rFonts w:cstheme="minorHAnsi"/>
                <w:sz w:val="24"/>
                <w:szCs w:val="24"/>
              </w:rPr>
              <w:t xml:space="preserve">U saradnji sa </w:t>
            </w:r>
            <w:r w:rsidRPr="00CC4B6F">
              <w:rPr>
                <w:rFonts w:cstheme="minorHAnsi"/>
                <w:sz w:val="24"/>
                <w:szCs w:val="24"/>
              </w:rPr>
              <w:t>U</w:t>
            </w:r>
            <w:r w:rsidRPr="003A3D23">
              <w:rPr>
                <w:rFonts w:cstheme="minorHAnsi"/>
                <w:sz w:val="24"/>
                <w:szCs w:val="24"/>
              </w:rPr>
              <w:t xml:space="preserve">NDP, </w:t>
            </w:r>
            <w:r w:rsidRPr="00CC4B6F">
              <w:rPr>
                <w:rFonts w:cstheme="minorHAnsi"/>
                <w:sz w:val="24"/>
                <w:szCs w:val="24"/>
              </w:rPr>
              <w:t>resorno ministarstvo</w:t>
            </w:r>
            <w:r w:rsidRPr="003A3D23">
              <w:rPr>
                <w:rFonts w:cstheme="minorHAnsi"/>
                <w:sz w:val="24"/>
                <w:szCs w:val="24"/>
              </w:rPr>
              <w:t xml:space="preserve"> nastavlja realizaciju projekta „Jačanje kapaciteta Crne Gore da integriše rizike od klimatskih promjena u proces planiranja“ za razvoj Nacionalnog </w:t>
            </w:r>
            <w:r w:rsidRPr="00CC4B6F">
              <w:rPr>
                <w:rFonts w:cstheme="minorHAnsi"/>
                <w:sz w:val="24"/>
                <w:szCs w:val="24"/>
              </w:rPr>
              <w:t>plana adapt</w:t>
            </w:r>
            <w:r w:rsidR="00734493">
              <w:rPr>
                <w:rFonts w:cstheme="minorHAnsi"/>
                <w:sz w:val="24"/>
                <w:szCs w:val="24"/>
              </w:rPr>
              <w:t>a</w:t>
            </w:r>
            <w:r w:rsidRPr="00CC4B6F">
              <w:rPr>
                <w:rFonts w:cstheme="minorHAnsi"/>
                <w:sz w:val="24"/>
                <w:szCs w:val="24"/>
              </w:rPr>
              <w:t>cije klimtskim promjenama</w:t>
            </w:r>
            <w:r w:rsidRPr="003A3D23">
              <w:rPr>
                <w:rFonts w:cstheme="minorHAnsi"/>
                <w:sz w:val="24"/>
                <w:szCs w:val="24"/>
              </w:rPr>
              <w:t>-NAP</w:t>
            </w:r>
            <w:r w:rsidR="00734493">
              <w:rPr>
                <w:rFonts w:cstheme="minorHAnsi"/>
                <w:sz w:val="24"/>
                <w:szCs w:val="24"/>
              </w:rPr>
              <w:t>, koji treba biti</w:t>
            </w:r>
            <w:r w:rsidRPr="003A3D23">
              <w:rPr>
                <w:rFonts w:cstheme="minorHAnsi"/>
                <w:sz w:val="24"/>
                <w:szCs w:val="24"/>
              </w:rPr>
              <w:t>usvojen tokom 2024. godine.</w:t>
            </w:r>
          </w:p>
          <w:p w14:paraId="3D727657" w14:textId="1D76EBD7" w:rsidR="00CA7341" w:rsidRPr="00CC4B6F" w:rsidRDefault="00CA7341" w:rsidP="00E448C6">
            <w:pPr>
              <w:jc w:val="both"/>
              <w:rPr>
                <w:rFonts w:cstheme="minorHAnsi"/>
                <w:sz w:val="24"/>
                <w:szCs w:val="24"/>
              </w:rPr>
            </w:pPr>
            <w:r w:rsidRPr="00CC4B6F">
              <w:rPr>
                <w:rFonts w:cstheme="minorHAnsi"/>
                <w:sz w:val="24"/>
                <w:szCs w:val="24"/>
              </w:rPr>
              <w:t>U Crnoj Gori je u toku projekat sa Svjetskom bankom</w:t>
            </w:r>
            <w:r w:rsidRPr="003A3D23">
              <w:rPr>
                <w:rFonts w:cstheme="minorHAnsi"/>
                <w:sz w:val="24"/>
                <w:szCs w:val="24"/>
              </w:rPr>
              <w:t xml:space="preserve"> za utvrđivanje cijena ugljenika kroz program Partnerstvo za implementaciju tržišta (PMI).Krajnji cilj je uspostavljanje pouzdanog nacionalnog mehanizma za utvrđivanje cena ugljenika u skladu sa zahtevima politike EU. </w:t>
            </w:r>
          </w:p>
          <w:p w14:paraId="6B32CE7B" w14:textId="19046DC2" w:rsidR="00CA7341" w:rsidRPr="003A3D23" w:rsidRDefault="00CA7341" w:rsidP="00E448C6">
            <w:pPr>
              <w:jc w:val="both"/>
              <w:rPr>
                <w:rFonts w:cstheme="minorHAnsi"/>
                <w:sz w:val="24"/>
                <w:szCs w:val="24"/>
              </w:rPr>
            </w:pPr>
            <w:r w:rsidRPr="00F374DB">
              <w:rPr>
                <w:rFonts w:cstheme="minorHAnsi"/>
                <w:b/>
                <w:bCs/>
                <w:sz w:val="24"/>
                <w:szCs w:val="24"/>
              </w:rPr>
              <w:t>Zakonodavni okvir u oblasti energetike.</w:t>
            </w:r>
            <w:r w:rsidRPr="00CC4B6F">
              <w:rPr>
                <w:rFonts w:cstheme="minorHAnsi"/>
                <w:sz w:val="24"/>
                <w:szCs w:val="24"/>
              </w:rPr>
              <w:t xml:space="preserve"> </w:t>
            </w:r>
            <w:r w:rsidRPr="003A3D23">
              <w:rPr>
                <w:rFonts w:cstheme="minorHAnsi"/>
                <w:sz w:val="24"/>
                <w:szCs w:val="24"/>
              </w:rPr>
              <w:t>Oblast obnovljivih izvora energije regulisana je Zakonom o energetici i podzakonskim aktima. U cilju usaglašavanja sa novom direktivom EU u ovoj oblasti,</w:t>
            </w:r>
            <w:r w:rsidRPr="00CC4B6F">
              <w:rPr>
                <w:rFonts w:cstheme="minorHAnsi"/>
                <w:sz w:val="24"/>
                <w:szCs w:val="24"/>
              </w:rPr>
              <w:t xml:space="preserve">u novembru 2022. započeo </w:t>
            </w:r>
            <w:r w:rsidRPr="003A3D23">
              <w:rPr>
                <w:rFonts w:cstheme="minorHAnsi"/>
                <w:sz w:val="24"/>
                <w:szCs w:val="24"/>
              </w:rPr>
              <w:t>je proces izrade Zakona o korišćenju energije iz obnovljivih izvora, a u decembru i priprema</w:t>
            </w:r>
            <w:r w:rsidRPr="00CC4B6F">
              <w:rPr>
                <w:rFonts w:cstheme="minorHAnsi"/>
                <w:sz w:val="24"/>
                <w:szCs w:val="24"/>
              </w:rPr>
              <w:t xml:space="preserve"> Zakona o </w:t>
            </w:r>
            <w:r w:rsidRPr="003A3D23">
              <w:rPr>
                <w:rFonts w:cstheme="minorHAnsi"/>
                <w:sz w:val="24"/>
                <w:szCs w:val="24"/>
              </w:rPr>
              <w:t xml:space="preserve"> prekograničnim projektima energetske infrastrukture.</w:t>
            </w:r>
            <w:r>
              <w:rPr>
                <w:rFonts w:cstheme="minorHAnsi"/>
                <w:sz w:val="24"/>
                <w:szCs w:val="24"/>
              </w:rPr>
              <w:t xml:space="preserve"> </w:t>
            </w:r>
            <w:r w:rsidRPr="00CC4B6F">
              <w:rPr>
                <w:rFonts w:cstheme="minorHAnsi"/>
                <w:sz w:val="24"/>
                <w:szCs w:val="24"/>
              </w:rPr>
              <w:t>U toku su</w:t>
            </w:r>
            <w:r w:rsidRPr="003A3D23">
              <w:rPr>
                <w:rFonts w:cstheme="minorHAnsi"/>
                <w:sz w:val="24"/>
                <w:szCs w:val="24"/>
              </w:rPr>
              <w:t xml:space="preserve"> aktivnosti na pripremi uslova za izradu novog Zakona o energetici, kao i novog Zakona o prekograničnoj razmjeni električne energije i </w:t>
            </w:r>
            <w:r w:rsidRPr="00CC4B6F">
              <w:rPr>
                <w:rFonts w:cstheme="minorHAnsi"/>
                <w:sz w:val="24"/>
                <w:szCs w:val="24"/>
              </w:rPr>
              <w:t xml:space="preserve">prirodnog </w:t>
            </w:r>
            <w:r w:rsidRPr="003A3D23">
              <w:rPr>
                <w:rFonts w:cstheme="minorHAnsi"/>
                <w:sz w:val="24"/>
                <w:szCs w:val="24"/>
              </w:rPr>
              <w:t>gas</w:t>
            </w:r>
            <w:r w:rsidRPr="00CC4B6F">
              <w:rPr>
                <w:rFonts w:cstheme="minorHAnsi"/>
                <w:sz w:val="24"/>
                <w:szCs w:val="24"/>
              </w:rPr>
              <w:t>a</w:t>
            </w:r>
            <w:r w:rsidRPr="003A3D23">
              <w:rPr>
                <w:rFonts w:cstheme="minorHAnsi"/>
                <w:sz w:val="24"/>
                <w:szCs w:val="24"/>
              </w:rPr>
              <w:t>, sa pripadajućim podzakonskim aktima koji će biti u potpunosti usklađeni sa relevantnim direktivama i propisima EU u oblasti energetike.</w:t>
            </w:r>
          </w:p>
          <w:p w14:paraId="17282D96" w14:textId="764259DD" w:rsidR="00CA7341" w:rsidRPr="003A3D23" w:rsidRDefault="00CA7341" w:rsidP="00E448C6">
            <w:pPr>
              <w:jc w:val="both"/>
              <w:rPr>
                <w:rFonts w:cstheme="minorHAnsi"/>
                <w:sz w:val="24"/>
                <w:szCs w:val="24"/>
              </w:rPr>
            </w:pPr>
            <w:r w:rsidRPr="00F374DB">
              <w:rPr>
                <w:rFonts w:cstheme="minorHAnsi"/>
                <w:b/>
                <w:bCs/>
                <w:sz w:val="24"/>
                <w:szCs w:val="24"/>
              </w:rPr>
              <w:lastRenderedPageBreak/>
              <w:t>Ekološka rekonstrukcija Termoelektrane Pljevlja</w:t>
            </w:r>
            <w:r w:rsidRPr="00CC4B6F">
              <w:rPr>
                <w:rFonts w:cstheme="minorHAnsi"/>
                <w:sz w:val="24"/>
                <w:szCs w:val="24"/>
              </w:rPr>
              <w:t xml:space="preserve">. </w:t>
            </w:r>
            <w:r w:rsidRPr="003A3D23">
              <w:rPr>
                <w:rFonts w:cstheme="minorHAnsi"/>
                <w:sz w:val="24"/>
                <w:szCs w:val="24"/>
              </w:rPr>
              <w:t xml:space="preserve">Radovi </w:t>
            </w:r>
            <w:r w:rsidR="0099272F">
              <w:rPr>
                <w:rFonts w:cstheme="minorHAnsi"/>
                <w:sz w:val="24"/>
                <w:szCs w:val="24"/>
              </w:rPr>
              <w:t>na</w:t>
            </w:r>
            <w:r w:rsidR="0099272F" w:rsidRPr="003A3D23">
              <w:rPr>
                <w:rFonts w:cstheme="minorHAnsi"/>
                <w:sz w:val="24"/>
                <w:szCs w:val="24"/>
              </w:rPr>
              <w:t xml:space="preserve"> </w:t>
            </w:r>
            <w:r w:rsidRPr="003A3D23">
              <w:rPr>
                <w:rFonts w:cstheme="minorHAnsi"/>
                <w:sz w:val="24"/>
                <w:szCs w:val="24"/>
              </w:rPr>
              <w:t xml:space="preserve">Projektu ekološke rekonstrukcije Termoelektrane „Pljevlja“ izvode se </w:t>
            </w:r>
            <w:r w:rsidRPr="00CC4B6F">
              <w:rPr>
                <w:rFonts w:cstheme="minorHAnsi"/>
                <w:sz w:val="24"/>
                <w:szCs w:val="24"/>
              </w:rPr>
              <w:t xml:space="preserve">od aprila 2022. </w:t>
            </w:r>
            <w:r w:rsidRPr="003A3D23">
              <w:rPr>
                <w:rFonts w:cstheme="minorHAnsi"/>
                <w:sz w:val="24"/>
                <w:szCs w:val="24"/>
              </w:rPr>
              <w:t>u skladu sa revidiranim glavnim projekto</w:t>
            </w:r>
            <w:r w:rsidRPr="00CC4B6F">
              <w:rPr>
                <w:rFonts w:cstheme="minorHAnsi"/>
                <w:sz w:val="24"/>
                <w:szCs w:val="24"/>
              </w:rPr>
              <w:t>m</w:t>
            </w:r>
            <w:r w:rsidRPr="003A3D23">
              <w:rPr>
                <w:rFonts w:cstheme="minorHAnsi"/>
                <w:sz w:val="24"/>
                <w:szCs w:val="24"/>
              </w:rPr>
              <w:t xml:space="preserve"> i odvijaju se prema planu. Do sada je završeno više od 90% građevinskih radova.</w:t>
            </w:r>
            <w:r w:rsidRPr="00CC4B6F">
              <w:rPr>
                <w:rFonts w:cstheme="minorHAnsi"/>
                <w:sz w:val="24"/>
                <w:szCs w:val="24"/>
              </w:rPr>
              <w:t xml:space="preserve"> </w:t>
            </w:r>
            <w:r w:rsidRPr="003A3D23">
              <w:rPr>
                <w:rFonts w:cstheme="minorHAnsi"/>
                <w:sz w:val="24"/>
                <w:szCs w:val="24"/>
              </w:rPr>
              <w:t>Projekat „Daljinsko gr</w:t>
            </w:r>
            <w:r w:rsidRPr="00CC4B6F">
              <w:rPr>
                <w:rFonts w:cstheme="minorHAnsi"/>
                <w:sz w:val="24"/>
                <w:szCs w:val="24"/>
              </w:rPr>
              <w:t>i</w:t>
            </w:r>
            <w:r w:rsidRPr="003A3D23">
              <w:rPr>
                <w:rFonts w:cstheme="minorHAnsi"/>
                <w:sz w:val="24"/>
                <w:szCs w:val="24"/>
              </w:rPr>
              <w:t>janje u Pljevljima, za čista i topla Pljevlja – izgradnja primarnog toplovoda od termoelektrane do grada“ je projekat koji je direktno vezan za realizaciju projekta ekološke rekonstrukcije termoelektrane Pljevlja i sastavni je deo projekta Ekološke rekonstrukcije.</w:t>
            </w:r>
          </w:p>
          <w:p w14:paraId="7B69925B" w14:textId="314F38AD" w:rsidR="00CA7341" w:rsidRPr="003A3D23" w:rsidRDefault="00CA7341" w:rsidP="00E448C6">
            <w:pPr>
              <w:jc w:val="both"/>
              <w:rPr>
                <w:rFonts w:cstheme="minorHAnsi"/>
                <w:sz w:val="24"/>
                <w:szCs w:val="24"/>
              </w:rPr>
            </w:pPr>
            <w:r w:rsidRPr="0099272F">
              <w:rPr>
                <w:rFonts w:cstheme="minorHAnsi"/>
                <w:b/>
                <w:bCs/>
                <w:sz w:val="24"/>
                <w:szCs w:val="24"/>
              </w:rPr>
              <w:t>Zakonodavni okvir u oblasti energetske efikasnosti</w:t>
            </w:r>
            <w:r w:rsidRPr="00CC4B6F">
              <w:rPr>
                <w:rFonts w:cstheme="minorHAnsi"/>
                <w:sz w:val="24"/>
                <w:szCs w:val="24"/>
              </w:rPr>
              <w:t xml:space="preserve">. </w:t>
            </w:r>
            <w:r w:rsidRPr="003A3D23">
              <w:rPr>
                <w:rFonts w:cstheme="minorHAnsi"/>
                <w:sz w:val="24"/>
                <w:szCs w:val="24"/>
              </w:rPr>
              <w:t>U skladu sa Zakonom o efikasnom korišćenju energije, od juna 2022. do avgusta 2023. godine don</w:t>
            </w:r>
            <w:r w:rsidRPr="00CC4B6F">
              <w:rPr>
                <w:rFonts w:cstheme="minorHAnsi"/>
                <w:sz w:val="24"/>
                <w:szCs w:val="24"/>
              </w:rPr>
              <w:t>ije</w:t>
            </w:r>
            <w:r w:rsidRPr="003A3D23">
              <w:rPr>
                <w:rFonts w:cstheme="minorHAnsi"/>
                <w:sz w:val="24"/>
                <w:szCs w:val="24"/>
              </w:rPr>
              <w:t>to je šesnaest propisa kojima se bliže uređuju zahtevi eko-dizajna i ob</w:t>
            </w:r>
            <w:r w:rsidR="0099272F">
              <w:rPr>
                <w:rFonts w:cstheme="minorHAnsi"/>
                <w:sz w:val="24"/>
                <w:szCs w:val="24"/>
              </w:rPr>
              <w:t>i</w:t>
            </w:r>
            <w:r w:rsidRPr="003A3D23">
              <w:rPr>
                <w:rFonts w:cstheme="minorHAnsi"/>
                <w:sz w:val="24"/>
                <w:szCs w:val="24"/>
              </w:rPr>
              <w:t>l</w:t>
            </w:r>
            <w:r w:rsidR="0099272F">
              <w:rPr>
                <w:rFonts w:cstheme="minorHAnsi"/>
                <w:sz w:val="24"/>
                <w:szCs w:val="24"/>
              </w:rPr>
              <w:t>j</w:t>
            </w:r>
            <w:r w:rsidRPr="003A3D23">
              <w:rPr>
                <w:rFonts w:cstheme="minorHAnsi"/>
                <w:sz w:val="24"/>
                <w:szCs w:val="24"/>
              </w:rPr>
              <w:t>ežavanja energetske efikasnosti energetskih proizvoda.</w:t>
            </w:r>
            <w:r w:rsidRPr="00CC4B6F">
              <w:rPr>
                <w:rFonts w:cstheme="minorHAnsi"/>
                <w:sz w:val="24"/>
                <w:szCs w:val="24"/>
              </w:rPr>
              <w:t xml:space="preserve"> </w:t>
            </w:r>
            <w:r w:rsidRPr="003A3D23">
              <w:rPr>
                <w:rFonts w:cstheme="minorHAnsi"/>
                <w:sz w:val="24"/>
                <w:szCs w:val="24"/>
              </w:rPr>
              <w:t>Pored toga, unapr</w:t>
            </w:r>
            <w:r w:rsidRPr="00CC4B6F">
              <w:rPr>
                <w:rFonts w:cstheme="minorHAnsi"/>
                <w:sz w:val="24"/>
                <w:szCs w:val="24"/>
              </w:rPr>
              <w:t>ij</w:t>
            </w:r>
            <w:r w:rsidRPr="003A3D23">
              <w:rPr>
                <w:rFonts w:cstheme="minorHAnsi"/>
                <w:sz w:val="24"/>
                <w:szCs w:val="24"/>
              </w:rPr>
              <w:t>eđen je pravni okvir, posebno u oblasti uvođenja Nacionalnog energetskog i klimatskog plana (NECP) kao ključnog planskog dokumenta u oblasti energetske efikasnosti, um</w:t>
            </w:r>
            <w:r w:rsidRPr="00CC4B6F">
              <w:rPr>
                <w:rFonts w:cstheme="minorHAnsi"/>
                <w:sz w:val="24"/>
                <w:szCs w:val="24"/>
              </w:rPr>
              <w:t>j</w:t>
            </w:r>
            <w:r w:rsidRPr="003A3D23">
              <w:rPr>
                <w:rFonts w:cstheme="minorHAnsi"/>
                <w:sz w:val="24"/>
                <w:szCs w:val="24"/>
              </w:rPr>
              <w:t xml:space="preserve">esto Akcionih planova energetske efikasnosti. </w:t>
            </w:r>
          </w:p>
          <w:p w14:paraId="1C20961C" w14:textId="45E9B786" w:rsidR="00CA7341" w:rsidRPr="003A3D23" w:rsidRDefault="00CA7341" w:rsidP="00E448C6">
            <w:pPr>
              <w:jc w:val="both"/>
              <w:rPr>
                <w:rFonts w:cstheme="minorHAnsi"/>
                <w:sz w:val="24"/>
                <w:szCs w:val="24"/>
              </w:rPr>
            </w:pPr>
            <w:r w:rsidRPr="00F374DB">
              <w:rPr>
                <w:rFonts w:cstheme="minorHAnsi"/>
                <w:b/>
                <w:bCs/>
                <w:sz w:val="24"/>
                <w:szCs w:val="24"/>
              </w:rPr>
              <w:t>Projekti energetske efikasnosti.</w:t>
            </w:r>
            <w:r w:rsidRPr="00CC4B6F">
              <w:rPr>
                <w:rFonts w:cstheme="minorHAnsi"/>
                <w:sz w:val="24"/>
                <w:szCs w:val="24"/>
              </w:rPr>
              <w:t xml:space="preserve"> Značajne</w:t>
            </w:r>
            <w:r w:rsidRPr="003A3D23">
              <w:rPr>
                <w:rFonts w:cstheme="minorHAnsi"/>
                <w:sz w:val="24"/>
                <w:szCs w:val="24"/>
              </w:rPr>
              <w:t xml:space="preserve"> aktivnosti u oblasti energetske efikasnosti sprovode se u konkretnim projektima i programima. Najvažniji projekti u ovoj oblasti su Promocija energetske efikasnosti u javnim zgradama (PEEPB).</w:t>
            </w:r>
            <w:r w:rsidR="009A3B4C">
              <w:rPr>
                <w:rFonts w:cstheme="minorHAnsi"/>
                <w:sz w:val="24"/>
                <w:szCs w:val="24"/>
              </w:rPr>
              <w:t xml:space="preserve"> </w:t>
            </w:r>
            <w:r w:rsidRPr="003A3D23">
              <w:rPr>
                <w:rFonts w:cstheme="minorHAnsi"/>
                <w:sz w:val="24"/>
                <w:szCs w:val="24"/>
              </w:rPr>
              <w:t>Drugi projekat je Projekat energetske efikasnosti Crne Gore (MEEP). Druga faza projekta počela je 1. septembra 2018. i trajaće do 30. juna 2025. Predmet MEEP2 je unapređenje energetskih performansi u zdravstvenim zgradama.</w:t>
            </w:r>
            <w:r w:rsidRPr="00CC4B6F">
              <w:rPr>
                <w:rFonts w:cstheme="minorHAnsi"/>
                <w:sz w:val="24"/>
                <w:szCs w:val="24"/>
              </w:rPr>
              <w:t xml:space="preserve"> </w:t>
            </w:r>
            <w:r w:rsidRPr="003A3D23">
              <w:rPr>
                <w:rFonts w:cstheme="minorHAnsi"/>
                <w:sz w:val="24"/>
                <w:szCs w:val="24"/>
              </w:rPr>
              <w:t>Takođe, m</w:t>
            </w:r>
            <w:r w:rsidRPr="00CC4B6F">
              <w:rPr>
                <w:rFonts w:cstheme="minorHAnsi"/>
                <w:sz w:val="24"/>
                <w:szCs w:val="24"/>
              </w:rPr>
              <w:t>j</w:t>
            </w:r>
            <w:r w:rsidRPr="003A3D23">
              <w:rPr>
                <w:rFonts w:cstheme="minorHAnsi"/>
                <w:sz w:val="24"/>
                <w:szCs w:val="24"/>
              </w:rPr>
              <w:t xml:space="preserve">ere energetske efikasnosti u domaćinstvima sprovode se kroz program Energetski efikasan dom. </w:t>
            </w:r>
            <w:r w:rsidRPr="00CC4B6F">
              <w:rPr>
                <w:rFonts w:cstheme="minorHAnsi"/>
                <w:sz w:val="24"/>
                <w:szCs w:val="24"/>
              </w:rPr>
              <w:t>Trenutno se sprovodi nova faza</w:t>
            </w:r>
            <w:r w:rsidRPr="003A3D23">
              <w:rPr>
                <w:rFonts w:cstheme="minorHAnsi"/>
                <w:sz w:val="24"/>
                <w:szCs w:val="24"/>
              </w:rPr>
              <w:t xml:space="preserve"> programa Energetski efikasan dom 2023. godine.</w:t>
            </w:r>
            <w:r w:rsidR="0099272F">
              <w:rPr>
                <w:rFonts w:cstheme="minorHAnsi"/>
                <w:sz w:val="24"/>
                <w:szCs w:val="24"/>
              </w:rPr>
              <w:t>Dodatno</w:t>
            </w:r>
            <w:r w:rsidRPr="00CC4B6F">
              <w:rPr>
                <w:rFonts w:cstheme="minorHAnsi"/>
                <w:sz w:val="24"/>
                <w:szCs w:val="24"/>
              </w:rPr>
              <w:t>, re</w:t>
            </w:r>
            <w:r w:rsidR="0099272F">
              <w:rPr>
                <w:rFonts w:cstheme="minorHAnsi"/>
                <w:sz w:val="24"/>
                <w:szCs w:val="24"/>
              </w:rPr>
              <w:t>s</w:t>
            </w:r>
            <w:r w:rsidRPr="00CC4B6F">
              <w:rPr>
                <w:rFonts w:cstheme="minorHAnsi"/>
                <w:sz w:val="24"/>
                <w:szCs w:val="24"/>
              </w:rPr>
              <w:t xml:space="preserve">orno ministarstvo </w:t>
            </w:r>
            <w:r w:rsidRPr="003A3D23">
              <w:rPr>
                <w:rFonts w:cstheme="minorHAnsi"/>
                <w:sz w:val="24"/>
                <w:szCs w:val="24"/>
              </w:rPr>
              <w:t>počinje sa ažuriranjem glavne Strategije razvoja saobraćaja sa „zelenim“ elementima nakon Pametne i održive strategije za Zapadni Balkan, zajedno sa Studijom razvoja intramodalnosti u Crnoj Gori.</w:t>
            </w:r>
          </w:p>
          <w:p w14:paraId="292B7D20" w14:textId="77777777" w:rsidR="00CA7341" w:rsidRPr="003A3D23" w:rsidRDefault="00CA7341" w:rsidP="00E448C6">
            <w:pPr>
              <w:jc w:val="both"/>
              <w:rPr>
                <w:rFonts w:cstheme="minorHAnsi"/>
                <w:sz w:val="24"/>
                <w:szCs w:val="24"/>
              </w:rPr>
            </w:pPr>
            <w:r w:rsidRPr="00F374DB">
              <w:rPr>
                <w:rFonts w:cstheme="minorHAnsi"/>
                <w:b/>
                <w:bCs/>
                <w:sz w:val="24"/>
                <w:szCs w:val="24"/>
              </w:rPr>
              <w:t>Cirkularna ekonomija.</w:t>
            </w:r>
            <w:r w:rsidRPr="00CC4B6F">
              <w:rPr>
                <w:rFonts w:cstheme="minorHAnsi"/>
                <w:sz w:val="24"/>
                <w:szCs w:val="24"/>
              </w:rPr>
              <w:t xml:space="preserve"> </w:t>
            </w:r>
            <w:r w:rsidRPr="003A3D23">
              <w:rPr>
                <w:rFonts w:cstheme="minorHAnsi"/>
                <w:sz w:val="24"/>
                <w:szCs w:val="24"/>
              </w:rPr>
              <w:t xml:space="preserve">Crna Gora je objavila Mapu puta ka </w:t>
            </w:r>
            <w:r w:rsidRPr="00CC4B6F">
              <w:rPr>
                <w:rFonts w:cstheme="minorHAnsi"/>
                <w:sz w:val="24"/>
                <w:szCs w:val="24"/>
              </w:rPr>
              <w:t>cirkularnoj</w:t>
            </w:r>
            <w:r w:rsidRPr="003A3D23">
              <w:rPr>
                <w:rFonts w:cstheme="minorHAnsi"/>
                <w:sz w:val="24"/>
                <w:szCs w:val="24"/>
              </w:rPr>
              <w:t xml:space="preserve"> ekonomiji u aprilu 2022. godine, nakon čega je usl</w:t>
            </w:r>
            <w:r w:rsidRPr="00CC4B6F">
              <w:rPr>
                <w:rFonts w:cstheme="minorHAnsi"/>
                <w:sz w:val="24"/>
                <w:szCs w:val="24"/>
              </w:rPr>
              <w:t>ij</w:t>
            </w:r>
            <w:r w:rsidRPr="003A3D23">
              <w:rPr>
                <w:rFonts w:cstheme="minorHAnsi"/>
                <w:sz w:val="24"/>
                <w:szCs w:val="24"/>
              </w:rPr>
              <w:t xml:space="preserve">edilo usvajanje Strategije </w:t>
            </w:r>
            <w:r w:rsidRPr="00CC4B6F">
              <w:rPr>
                <w:rFonts w:cstheme="minorHAnsi"/>
                <w:sz w:val="24"/>
                <w:szCs w:val="24"/>
              </w:rPr>
              <w:t>za cirkluarnu ekonomiju</w:t>
            </w:r>
            <w:r w:rsidRPr="003A3D23">
              <w:rPr>
                <w:rFonts w:cstheme="minorHAnsi"/>
                <w:sz w:val="24"/>
                <w:szCs w:val="24"/>
              </w:rPr>
              <w:t xml:space="preserve"> do 2030. godine, sa Akcionim planom za 2023. i 2024. </w:t>
            </w:r>
            <w:r w:rsidRPr="00CC4B6F">
              <w:rPr>
                <w:rFonts w:cstheme="minorHAnsi"/>
                <w:sz w:val="24"/>
                <w:szCs w:val="24"/>
              </w:rPr>
              <w:t>godinu</w:t>
            </w:r>
            <w:r w:rsidRPr="003A3D23">
              <w:rPr>
                <w:rFonts w:cstheme="minorHAnsi"/>
                <w:sz w:val="24"/>
                <w:szCs w:val="24"/>
              </w:rPr>
              <w:t xml:space="preserve">. </w:t>
            </w:r>
            <w:r w:rsidRPr="00CC4B6F">
              <w:rPr>
                <w:rFonts w:cstheme="minorHAnsi"/>
                <w:sz w:val="24"/>
                <w:szCs w:val="24"/>
              </w:rPr>
              <w:t xml:space="preserve">Prioriteti </w:t>
            </w:r>
            <w:r w:rsidRPr="003A3D23">
              <w:rPr>
                <w:rFonts w:cstheme="minorHAnsi"/>
                <w:sz w:val="24"/>
                <w:szCs w:val="24"/>
              </w:rPr>
              <w:t xml:space="preserve">Mape puta i strategije </w:t>
            </w:r>
            <w:r w:rsidRPr="00CC4B6F">
              <w:rPr>
                <w:rFonts w:cstheme="minorHAnsi"/>
                <w:sz w:val="24"/>
                <w:szCs w:val="24"/>
              </w:rPr>
              <w:t xml:space="preserve">su </w:t>
            </w:r>
            <w:r w:rsidRPr="003A3D23">
              <w:rPr>
                <w:rFonts w:cstheme="minorHAnsi"/>
                <w:sz w:val="24"/>
                <w:szCs w:val="24"/>
              </w:rPr>
              <w:t>poljoprivreda, šumarstvo, građevinarstvo i turizam</w:t>
            </w:r>
            <w:r w:rsidRPr="00CC4B6F">
              <w:rPr>
                <w:rFonts w:cstheme="minorHAnsi"/>
                <w:sz w:val="24"/>
                <w:szCs w:val="24"/>
              </w:rPr>
              <w:t>, koje</w:t>
            </w:r>
            <w:r w:rsidRPr="003A3D23">
              <w:rPr>
                <w:rFonts w:cstheme="minorHAnsi"/>
                <w:sz w:val="24"/>
                <w:szCs w:val="24"/>
              </w:rPr>
              <w:t xml:space="preserve"> su snažno međusobno povezane i imaju potencijal da dovedu do sistemskih prom</w:t>
            </w:r>
            <w:r w:rsidRPr="00CC4B6F">
              <w:rPr>
                <w:rFonts w:cstheme="minorHAnsi"/>
                <w:sz w:val="24"/>
                <w:szCs w:val="24"/>
              </w:rPr>
              <w:t>j</w:t>
            </w:r>
            <w:r w:rsidRPr="003A3D23">
              <w:rPr>
                <w:rFonts w:cstheme="minorHAnsi"/>
                <w:sz w:val="24"/>
                <w:szCs w:val="24"/>
              </w:rPr>
              <w:t xml:space="preserve">ena kroz koncepte industrijske simbioze i sinergije.Takođe, u </w:t>
            </w:r>
            <w:r w:rsidRPr="00CC4B6F">
              <w:rPr>
                <w:rFonts w:cstheme="minorHAnsi"/>
                <w:sz w:val="24"/>
                <w:szCs w:val="24"/>
              </w:rPr>
              <w:t>PER-u 2023-2025</w:t>
            </w:r>
            <w:r w:rsidRPr="003A3D23">
              <w:rPr>
                <w:rFonts w:cstheme="minorHAnsi"/>
                <w:sz w:val="24"/>
                <w:szCs w:val="24"/>
              </w:rPr>
              <w:t xml:space="preserve">, </w:t>
            </w:r>
            <w:r w:rsidRPr="00CC4B6F">
              <w:rPr>
                <w:rFonts w:cstheme="minorHAnsi"/>
                <w:sz w:val="24"/>
                <w:szCs w:val="24"/>
              </w:rPr>
              <w:t xml:space="preserve">realizuje se mjera </w:t>
            </w:r>
            <w:r w:rsidRPr="003A3D23">
              <w:rPr>
                <w:rFonts w:cstheme="minorHAnsi"/>
                <w:sz w:val="24"/>
                <w:szCs w:val="24"/>
              </w:rPr>
              <w:t>smanjenj</w:t>
            </w:r>
            <w:r w:rsidRPr="00CC4B6F">
              <w:rPr>
                <w:rFonts w:cstheme="minorHAnsi"/>
                <w:sz w:val="24"/>
                <w:szCs w:val="24"/>
              </w:rPr>
              <w:t>a</w:t>
            </w:r>
            <w:r w:rsidRPr="003A3D23">
              <w:rPr>
                <w:rFonts w:cstheme="minorHAnsi"/>
                <w:sz w:val="24"/>
                <w:szCs w:val="24"/>
              </w:rPr>
              <w:t xml:space="preserve"> stavljanja na tržište i upotrebu lakih plastičnih kesa za nošenje i plastičnih proizvoda za jednokratnu upotrebu. Ovu m</w:t>
            </w:r>
            <w:r w:rsidRPr="00CC4B6F">
              <w:rPr>
                <w:rFonts w:cstheme="minorHAnsi"/>
                <w:sz w:val="24"/>
                <w:szCs w:val="24"/>
              </w:rPr>
              <w:t>j</w:t>
            </w:r>
            <w:r w:rsidRPr="003A3D23">
              <w:rPr>
                <w:rFonts w:cstheme="minorHAnsi"/>
                <w:sz w:val="24"/>
                <w:szCs w:val="24"/>
              </w:rPr>
              <w:t>eru pratiće kampanja koja je predviđena i za Zakon o upravljanju otpadom, sa ciljem podizanja svesti građana.</w:t>
            </w:r>
          </w:p>
          <w:p w14:paraId="3DD5FB09" w14:textId="23697A3F" w:rsidR="00CA7341" w:rsidRPr="003A3D23" w:rsidRDefault="00CA7341" w:rsidP="0099272F">
            <w:pPr>
              <w:jc w:val="both"/>
              <w:rPr>
                <w:rFonts w:cstheme="minorHAnsi"/>
                <w:sz w:val="24"/>
                <w:szCs w:val="24"/>
              </w:rPr>
            </w:pPr>
            <w:r w:rsidRPr="0099272F">
              <w:rPr>
                <w:rFonts w:cstheme="minorHAnsi"/>
                <w:b/>
                <w:bCs/>
                <w:sz w:val="24"/>
                <w:szCs w:val="24"/>
              </w:rPr>
              <w:t>Smanjenje zagađenosti.</w:t>
            </w:r>
            <w:r w:rsidRPr="00CC4B6F">
              <w:rPr>
                <w:rFonts w:cstheme="minorHAnsi"/>
                <w:sz w:val="24"/>
                <w:szCs w:val="24"/>
              </w:rPr>
              <w:t xml:space="preserve">  </w:t>
            </w:r>
            <w:r w:rsidRPr="003A3D23">
              <w:rPr>
                <w:rFonts w:cstheme="minorHAnsi"/>
                <w:sz w:val="24"/>
                <w:szCs w:val="24"/>
              </w:rPr>
              <w:t>Uz pomoć fondova EU podrške obezb</w:t>
            </w:r>
            <w:r w:rsidRPr="00CC4B6F">
              <w:rPr>
                <w:rFonts w:cstheme="minorHAnsi"/>
                <w:sz w:val="24"/>
                <w:szCs w:val="24"/>
              </w:rPr>
              <w:t>ij</w:t>
            </w:r>
            <w:r w:rsidRPr="003A3D23">
              <w:rPr>
                <w:rFonts w:cstheme="minorHAnsi"/>
                <w:sz w:val="24"/>
                <w:szCs w:val="24"/>
              </w:rPr>
              <w:t>eđena su sredstva za realizaciju projekta implementacije Okvirne direktive EU o vodama i direktivama koje se odnose na kvalitet vode. Projekat je usp</w:t>
            </w:r>
            <w:r w:rsidR="0099272F">
              <w:rPr>
                <w:rFonts w:cstheme="minorHAnsi"/>
                <w:sz w:val="24"/>
                <w:szCs w:val="24"/>
              </w:rPr>
              <w:t>j</w:t>
            </w:r>
            <w:r w:rsidRPr="003A3D23">
              <w:rPr>
                <w:rFonts w:cstheme="minorHAnsi"/>
                <w:sz w:val="24"/>
                <w:szCs w:val="24"/>
              </w:rPr>
              <w:t>ešno završen, a rezultat projekta je izrada Planova upravljanja r</w:t>
            </w:r>
            <w:r w:rsidR="0099272F">
              <w:rPr>
                <w:rFonts w:cstheme="minorHAnsi"/>
                <w:sz w:val="24"/>
                <w:szCs w:val="24"/>
              </w:rPr>
              <w:t>ij</w:t>
            </w:r>
            <w:r w:rsidRPr="003A3D23">
              <w:rPr>
                <w:rFonts w:cstheme="minorHAnsi"/>
                <w:sz w:val="24"/>
                <w:szCs w:val="24"/>
              </w:rPr>
              <w:t>ečnim slivovima sa programima mera koji su usvojeni na s</w:t>
            </w:r>
            <w:r w:rsidR="0099272F">
              <w:rPr>
                <w:rFonts w:cstheme="minorHAnsi"/>
                <w:sz w:val="24"/>
                <w:szCs w:val="24"/>
              </w:rPr>
              <w:t>j</w:t>
            </w:r>
            <w:r w:rsidRPr="003A3D23">
              <w:rPr>
                <w:rFonts w:cstheme="minorHAnsi"/>
                <w:sz w:val="24"/>
                <w:szCs w:val="24"/>
              </w:rPr>
              <w:t>ednici Vlade održanoj 3. marta 2022. godine.</w:t>
            </w:r>
            <w:r w:rsidR="0099272F">
              <w:rPr>
                <w:rFonts w:cstheme="minorHAnsi"/>
                <w:sz w:val="24"/>
                <w:szCs w:val="24"/>
              </w:rPr>
              <w:t xml:space="preserve"> </w:t>
            </w:r>
            <w:r w:rsidRPr="003A3D23">
              <w:rPr>
                <w:rFonts w:cstheme="minorHAnsi"/>
                <w:sz w:val="24"/>
                <w:szCs w:val="24"/>
              </w:rPr>
              <w:t>U fazi izrade je Program m</w:t>
            </w:r>
            <w:r w:rsidRPr="00CC4B6F">
              <w:rPr>
                <w:rFonts w:cstheme="minorHAnsi"/>
                <w:sz w:val="24"/>
                <w:szCs w:val="24"/>
              </w:rPr>
              <w:t>j</w:t>
            </w:r>
            <w:r w:rsidRPr="003A3D23">
              <w:rPr>
                <w:rFonts w:cstheme="minorHAnsi"/>
                <w:sz w:val="24"/>
                <w:szCs w:val="24"/>
              </w:rPr>
              <w:t>era definisanih za postizanje ili održavanje dobrog stanja životne sredine.</w:t>
            </w:r>
            <w:r w:rsidRPr="00CC4B6F">
              <w:rPr>
                <w:rFonts w:cstheme="minorHAnsi"/>
                <w:sz w:val="24"/>
                <w:szCs w:val="24"/>
              </w:rPr>
              <w:t xml:space="preserve"> </w:t>
            </w:r>
            <w:r w:rsidRPr="003A3D23">
              <w:rPr>
                <w:rFonts w:cstheme="minorHAnsi"/>
                <w:sz w:val="24"/>
                <w:szCs w:val="24"/>
              </w:rPr>
              <w:t>Završen je razvoj GIS baze podataka.</w:t>
            </w:r>
          </w:p>
          <w:p w14:paraId="550C62C8" w14:textId="37B5233C" w:rsidR="00CA7341" w:rsidRPr="003A3D23" w:rsidRDefault="00CA7341" w:rsidP="00E448C6">
            <w:pPr>
              <w:jc w:val="both"/>
              <w:rPr>
                <w:rFonts w:cstheme="minorHAnsi"/>
                <w:sz w:val="24"/>
                <w:szCs w:val="24"/>
              </w:rPr>
            </w:pPr>
            <w:r w:rsidRPr="00F374DB">
              <w:rPr>
                <w:rFonts w:cstheme="minorHAnsi"/>
                <w:b/>
                <w:bCs/>
                <w:sz w:val="24"/>
                <w:szCs w:val="24"/>
              </w:rPr>
              <w:t>Održiva poljoprivreda i prehrambeni sistem</w:t>
            </w:r>
            <w:r w:rsidRPr="00CC4B6F">
              <w:rPr>
                <w:rFonts w:cstheme="minorHAnsi"/>
                <w:sz w:val="24"/>
                <w:szCs w:val="24"/>
              </w:rPr>
              <w:t xml:space="preserve">. </w:t>
            </w:r>
            <w:r w:rsidRPr="003A3D23">
              <w:rPr>
                <w:rFonts w:cstheme="minorHAnsi"/>
                <w:sz w:val="24"/>
                <w:szCs w:val="24"/>
              </w:rPr>
              <w:t>Tehnička i administrativna postavka S</w:t>
            </w:r>
            <w:r w:rsidRPr="00CC4B6F">
              <w:rPr>
                <w:rFonts w:cstheme="minorHAnsi"/>
                <w:sz w:val="24"/>
                <w:szCs w:val="24"/>
              </w:rPr>
              <w:t>W</w:t>
            </w:r>
            <w:r w:rsidRPr="003A3D23">
              <w:rPr>
                <w:rFonts w:cstheme="minorHAnsi"/>
                <w:sz w:val="24"/>
                <w:szCs w:val="24"/>
              </w:rPr>
              <w:t>G je uspostavila subregionalno partnerstvo za zemljište Zapadnog Balkana prema odluci ministara poljoprivrede i prioritetnim akcijama u vezi sa degradacijom zemljišta, mapama erozije zemljišta, monitoringom i skupovima podataka i mapiranjem zagađenih područja .U 2023. i 2024. godini, preko S</w:t>
            </w:r>
            <w:r w:rsidRPr="00CC4B6F">
              <w:rPr>
                <w:rFonts w:cstheme="minorHAnsi"/>
                <w:sz w:val="24"/>
                <w:szCs w:val="24"/>
              </w:rPr>
              <w:t>W</w:t>
            </w:r>
            <w:r w:rsidRPr="003A3D23">
              <w:rPr>
                <w:rFonts w:cstheme="minorHAnsi"/>
                <w:sz w:val="24"/>
                <w:szCs w:val="24"/>
              </w:rPr>
              <w:t xml:space="preserve">G, planiran je rad na prikazu lokacija na kojima postoji kontaminacija, odnosno zagađenje zemljišta i </w:t>
            </w:r>
            <w:r w:rsidRPr="00CC4B6F">
              <w:rPr>
                <w:rFonts w:cstheme="minorHAnsi"/>
                <w:sz w:val="24"/>
                <w:szCs w:val="24"/>
              </w:rPr>
              <w:t>u</w:t>
            </w:r>
            <w:r w:rsidRPr="003A3D23">
              <w:rPr>
                <w:rFonts w:cstheme="minorHAnsi"/>
                <w:sz w:val="24"/>
                <w:szCs w:val="24"/>
              </w:rPr>
              <w:t>spostavljanje i usaglašavanje metodologija za šeme monitoringa zemljišta kao dugoročna obaveza.Strategijom razvoja poljoprivrede i ruralnih područja 2023-2028 i Programom pristupanja Crne Gore Evropskoj uniji 2022-2023 u 2023. godini predviđeno je donošenje:Zakon</w:t>
            </w:r>
            <w:r w:rsidRPr="00CC4B6F">
              <w:rPr>
                <w:rFonts w:cstheme="minorHAnsi"/>
                <w:sz w:val="24"/>
                <w:szCs w:val="24"/>
              </w:rPr>
              <w:t>a</w:t>
            </w:r>
            <w:r w:rsidRPr="003A3D23">
              <w:rPr>
                <w:rFonts w:cstheme="minorHAnsi"/>
                <w:sz w:val="24"/>
                <w:szCs w:val="24"/>
              </w:rPr>
              <w:t xml:space="preserve"> o izm</w:t>
            </w:r>
            <w:r w:rsidR="0099272F">
              <w:rPr>
                <w:rFonts w:cstheme="minorHAnsi"/>
                <w:sz w:val="24"/>
                <w:szCs w:val="24"/>
              </w:rPr>
              <w:t>j</w:t>
            </w:r>
            <w:r w:rsidRPr="003A3D23">
              <w:rPr>
                <w:rFonts w:cstheme="minorHAnsi"/>
                <w:sz w:val="24"/>
                <w:szCs w:val="24"/>
              </w:rPr>
              <w:t xml:space="preserve">enama i dopunama Zakona o uređenju tržišta </w:t>
            </w:r>
            <w:r w:rsidRPr="003A3D23">
              <w:rPr>
                <w:rFonts w:cstheme="minorHAnsi"/>
                <w:sz w:val="24"/>
                <w:szCs w:val="24"/>
              </w:rPr>
              <w:lastRenderedPageBreak/>
              <w:t xml:space="preserve">poljoprivrednih proizvoda </w:t>
            </w:r>
            <w:r>
              <w:rPr>
                <w:rFonts w:cstheme="minorHAnsi"/>
                <w:sz w:val="24"/>
                <w:szCs w:val="24"/>
              </w:rPr>
              <w:t>i</w:t>
            </w:r>
            <w:r w:rsidRPr="00CC4B6F">
              <w:rPr>
                <w:rFonts w:cstheme="minorHAnsi"/>
                <w:sz w:val="24"/>
                <w:szCs w:val="24"/>
              </w:rPr>
              <w:t xml:space="preserve"> </w:t>
            </w:r>
            <w:r w:rsidRPr="003A3D23">
              <w:rPr>
                <w:rFonts w:cstheme="minorHAnsi"/>
                <w:sz w:val="24"/>
                <w:szCs w:val="24"/>
              </w:rPr>
              <w:t>Pravilnik</w:t>
            </w:r>
            <w:r w:rsidRPr="00CC4B6F">
              <w:rPr>
                <w:rFonts w:cstheme="minorHAnsi"/>
                <w:sz w:val="24"/>
                <w:szCs w:val="24"/>
              </w:rPr>
              <w:t>a</w:t>
            </w:r>
            <w:r w:rsidRPr="003A3D23">
              <w:rPr>
                <w:rFonts w:cstheme="minorHAnsi"/>
                <w:sz w:val="24"/>
                <w:szCs w:val="24"/>
              </w:rPr>
              <w:t xml:space="preserve"> o izm</w:t>
            </w:r>
            <w:r w:rsidR="0099272F">
              <w:rPr>
                <w:rFonts w:cstheme="minorHAnsi"/>
                <w:sz w:val="24"/>
                <w:szCs w:val="24"/>
              </w:rPr>
              <w:t>j</w:t>
            </w:r>
            <w:r w:rsidRPr="003A3D23">
              <w:rPr>
                <w:rFonts w:cstheme="minorHAnsi"/>
                <w:sz w:val="24"/>
                <w:szCs w:val="24"/>
              </w:rPr>
              <w:t>enama i dopunama Pravilnika o opštim i posebnim standardima za stavljanje voća i povrća u promet.</w:t>
            </w:r>
          </w:p>
          <w:p w14:paraId="57367CAE" w14:textId="3651E588" w:rsidR="00CA7341" w:rsidRPr="003A3D23" w:rsidRDefault="00CA7341" w:rsidP="00E448C6">
            <w:pPr>
              <w:jc w:val="both"/>
              <w:rPr>
                <w:rFonts w:cstheme="minorHAnsi"/>
                <w:sz w:val="24"/>
                <w:szCs w:val="24"/>
              </w:rPr>
            </w:pPr>
            <w:r w:rsidRPr="00F374DB">
              <w:rPr>
                <w:rFonts w:cstheme="minorHAnsi"/>
                <w:b/>
                <w:bCs/>
                <w:sz w:val="24"/>
                <w:szCs w:val="24"/>
              </w:rPr>
              <w:t>Mapa puta zaštite prirode i biodiverziteta</w:t>
            </w:r>
            <w:r w:rsidRPr="00CC4B6F">
              <w:rPr>
                <w:rFonts w:cstheme="minorHAnsi"/>
                <w:sz w:val="24"/>
                <w:szCs w:val="24"/>
              </w:rPr>
              <w:t xml:space="preserve">. U 2002. </w:t>
            </w:r>
            <w:r w:rsidR="0099272F">
              <w:rPr>
                <w:rFonts w:cstheme="minorHAnsi"/>
                <w:sz w:val="24"/>
                <w:szCs w:val="24"/>
              </w:rPr>
              <w:t>i</w:t>
            </w:r>
            <w:r w:rsidRPr="00CC4B6F">
              <w:rPr>
                <w:rFonts w:cstheme="minorHAnsi"/>
                <w:sz w:val="24"/>
                <w:szCs w:val="24"/>
              </w:rPr>
              <w:t xml:space="preserve"> 2023. su uvojena</w:t>
            </w:r>
            <w:r w:rsidRPr="003A3D23">
              <w:rPr>
                <w:rFonts w:cstheme="minorHAnsi"/>
                <w:sz w:val="24"/>
                <w:szCs w:val="24"/>
              </w:rPr>
              <w:t xml:space="preserve"> tri Plana upravljanja za sva zaštićena područja mora („Platamuni“, „Katič“ i „Stari Ulcinj“), a 2023. godine Vlada Crne Gore usvojila je svih</w:t>
            </w:r>
            <w:r w:rsidRPr="00CC4B6F">
              <w:rPr>
                <w:rFonts w:cstheme="minorHAnsi"/>
                <w:sz w:val="24"/>
                <w:szCs w:val="24"/>
              </w:rPr>
              <w:t xml:space="preserve"> </w:t>
            </w:r>
            <w:r w:rsidRPr="003A3D23">
              <w:rPr>
                <w:rFonts w:cstheme="minorHAnsi"/>
                <w:sz w:val="24"/>
                <w:szCs w:val="24"/>
              </w:rPr>
              <w:t xml:space="preserve">pet </w:t>
            </w:r>
            <w:r w:rsidRPr="00CC4B6F">
              <w:rPr>
                <w:rFonts w:cstheme="minorHAnsi"/>
                <w:sz w:val="24"/>
                <w:szCs w:val="24"/>
              </w:rPr>
              <w:t>p</w:t>
            </w:r>
            <w:r w:rsidRPr="003A3D23">
              <w:rPr>
                <w:rFonts w:cstheme="minorHAnsi"/>
                <w:sz w:val="24"/>
                <w:szCs w:val="24"/>
              </w:rPr>
              <w:t xml:space="preserve">lanova upravljanja nacionalnim parkovima. Takođe, u 2022. i 2023. godini Program upravljanja i Godišnje izvještaje za nacionalne parkove takođe je odobrilo Ministarstvo, a potom ih usvojila i Vlada Crne Gore. </w:t>
            </w:r>
            <w:r w:rsidRPr="00CC4B6F">
              <w:rPr>
                <w:rFonts w:cstheme="minorHAnsi"/>
                <w:sz w:val="24"/>
                <w:szCs w:val="24"/>
              </w:rPr>
              <w:t xml:space="preserve">Od početka </w:t>
            </w:r>
            <w:r w:rsidRPr="003A3D23">
              <w:rPr>
                <w:rFonts w:cstheme="minorHAnsi"/>
                <w:sz w:val="24"/>
                <w:szCs w:val="24"/>
              </w:rPr>
              <w:t xml:space="preserve"> 2023. godine sprovodi GEF 7 `Integracija biodiverziteta u sektorske politike i prakse i jačanje zaštite ključnih tačaka biodiverziteta u Crnoj Gori` do 2027. godine, koji će uključiti aktivnosti na jačanju kapaciteta za bolje r</w:t>
            </w:r>
            <w:r w:rsidR="0099272F">
              <w:rPr>
                <w:rFonts w:cstheme="minorHAnsi"/>
                <w:sz w:val="24"/>
                <w:szCs w:val="24"/>
              </w:rPr>
              <w:t>j</w:t>
            </w:r>
            <w:r w:rsidRPr="003A3D23">
              <w:rPr>
                <w:rFonts w:cstheme="minorHAnsi"/>
                <w:sz w:val="24"/>
                <w:szCs w:val="24"/>
              </w:rPr>
              <w:t>ešavanje ključnih pr</w:t>
            </w:r>
            <w:r w:rsidRPr="00CC4B6F">
              <w:rPr>
                <w:rFonts w:cstheme="minorHAnsi"/>
                <w:sz w:val="24"/>
                <w:szCs w:val="24"/>
              </w:rPr>
              <w:t>ij</w:t>
            </w:r>
            <w:r w:rsidRPr="003A3D23">
              <w:rPr>
                <w:rFonts w:cstheme="minorHAnsi"/>
                <w:sz w:val="24"/>
                <w:szCs w:val="24"/>
              </w:rPr>
              <w:t>etnji</w:t>
            </w:r>
            <w:r w:rsidRPr="00CC4B6F">
              <w:rPr>
                <w:rFonts w:cstheme="minorHAnsi"/>
                <w:sz w:val="24"/>
                <w:szCs w:val="24"/>
              </w:rPr>
              <w:t xml:space="preserve"> </w:t>
            </w:r>
            <w:r w:rsidRPr="003A3D23">
              <w:rPr>
                <w:rFonts w:cstheme="minorHAnsi"/>
                <w:sz w:val="24"/>
                <w:szCs w:val="24"/>
              </w:rPr>
              <w:t>po biodiverzitet u zaštićenim područjima i integrisanje pitanja biodiverziteta u cilju održivog razvoja politike turizma i šumarstva.</w:t>
            </w:r>
            <w:r w:rsidRPr="00CC4B6F">
              <w:rPr>
                <w:rFonts w:cstheme="minorHAnsi"/>
                <w:sz w:val="24"/>
                <w:szCs w:val="24"/>
              </w:rPr>
              <w:t xml:space="preserve">Takođe, u toku je </w:t>
            </w:r>
            <w:r w:rsidRPr="003A3D23">
              <w:rPr>
                <w:rFonts w:cstheme="minorHAnsi"/>
                <w:sz w:val="24"/>
                <w:szCs w:val="24"/>
              </w:rPr>
              <w:t xml:space="preserve">proces izrade Prostornog plana Crne Gore i Nacionalne strategije za biodiverzitet, koji će biti pripremljeni u saradnji sa UNEP-om. </w:t>
            </w:r>
          </w:p>
          <w:p w14:paraId="6059F9DF" w14:textId="26CB44E3" w:rsidR="00CA7341" w:rsidRPr="00CC4B6F" w:rsidRDefault="00CA7341" w:rsidP="00E448C6">
            <w:pPr>
              <w:jc w:val="both"/>
              <w:rPr>
                <w:rFonts w:cstheme="minorHAnsi"/>
                <w:sz w:val="24"/>
                <w:szCs w:val="24"/>
              </w:rPr>
            </w:pPr>
            <w:r w:rsidRPr="00F374DB">
              <w:rPr>
                <w:rFonts w:cstheme="minorHAnsi"/>
                <w:b/>
                <w:bCs/>
                <w:sz w:val="24"/>
                <w:szCs w:val="24"/>
              </w:rPr>
              <w:t>Reforma državnih preduzeća.</w:t>
            </w:r>
            <w:r w:rsidRPr="00CC4B6F">
              <w:rPr>
                <w:rFonts w:cstheme="minorHAnsi"/>
                <w:sz w:val="24"/>
                <w:szCs w:val="24"/>
              </w:rPr>
              <w:t xml:space="preserve">  U okviru implementacije mjere iz PER-a 2023. Vlada je u aprilu 2023</w:t>
            </w:r>
            <w:r w:rsidRPr="003A3D23">
              <w:rPr>
                <w:rFonts w:cstheme="minorHAnsi"/>
                <w:sz w:val="24"/>
                <w:szCs w:val="24"/>
              </w:rPr>
              <w:t>, donijela Odluku o obrazovanju Interresorne radne grupe za analizu regulatornog okvira za poslovanje državnih preduzeća</w:t>
            </w:r>
            <w:r w:rsidRPr="00CC4B6F">
              <w:rPr>
                <w:rFonts w:cstheme="minorHAnsi"/>
                <w:sz w:val="24"/>
                <w:szCs w:val="24"/>
              </w:rPr>
              <w:t xml:space="preserve">. U toku je  finalizacija </w:t>
            </w:r>
            <w:r w:rsidRPr="003A3D23">
              <w:rPr>
                <w:rFonts w:cstheme="minorHAnsi"/>
                <w:sz w:val="24"/>
                <w:szCs w:val="24"/>
              </w:rPr>
              <w:t>tenderske procedure i potpisivanja Ugovora u okviru programa EU Reform Facilit</w:t>
            </w:r>
            <w:r w:rsidR="00D014C7">
              <w:rPr>
                <w:rFonts w:cstheme="minorHAnsi"/>
                <w:sz w:val="24"/>
                <w:szCs w:val="24"/>
              </w:rPr>
              <w:t>y</w:t>
            </w:r>
            <w:r w:rsidRPr="003A3D23">
              <w:rPr>
                <w:rFonts w:cstheme="minorHAnsi"/>
                <w:sz w:val="24"/>
                <w:szCs w:val="24"/>
              </w:rPr>
              <w:t xml:space="preserve"> o pružanju tehničke i stručne pomoći u proces izrade Analize regulatornog okvira za poslovanje preduzeća u većinskom vlasništvu držav</w:t>
            </w:r>
            <w:r w:rsidR="0099272F">
              <w:rPr>
                <w:rFonts w:cstheme="minorHAnsi"/>
                <w:sz w:val="24"/>
                <w:szCs w:val="24"/>
              </w:rPr>
              <w:t>e,</w:t>
            </w:r>
            <w:r w:rsidRPr="003A3D23">
              <w:rPr>
                <w:rFonts w:cstheme="minorHAnsi"/>
                <w:sz w:val="24"/>
                <w:szCs w:val="24"/>
              </w:rPr>
              <w:t xml:space="preserve"> </w:t>
            </w:r>
          </w:p>
          <w:p w14:paraId="76D3D7F8" w14:textId="3E495F53" w:rsidR="00CA7341" w:rsidRPr="00C408A7" w:rsidRDefault="00CA7341" w:rsidP="00E448C6">
            <w:pPr>
              <w:jc w:val="both"/>
              <w:rPr>
                <w:rFonts w:cstheme="minorHAnsi"/>
                <w:sz w:val="24"/>
                <w:szCs w:val="24"/>
              </w:rPr>
            </w:pPr>
            <w:r w:rsidRPr="003A3D23">
              <w:rPr>
                <w:rFonts w:cstheme="minorHAnsi"/>
                <w:sz w:val="24"/>
                <w:szCs w:val="24"/>
              </w:rPr>
              <w:t xml:space="preserve">sa argumentacijom i osvrtom na prednosti i nedostatke institucionalnih modela upravljanja, kako bi se utvrdio adekvatan model upravljanja državnim preduzećima, </w:t>
            </w:r>
            <w:r w:rsidRPr="00CC4B6F">
              <w:rPr>
                <w:rFonts w:cstheme="minorHAnsi"/>
                <w:sz w:val="24"/>
                <w:szCs w:val="24"/>
              </w:rPr>
              <w:t xml:space="preserve">i mehanizmi efikasnijeg nadzora. </w:t>
            </w:r>
            <w:r w:rsidRPr="003A3D23">
              <w:rPr>
                <w:rFonts w:cstheme="minorHAnsi"/>
                <w:sz w:val="24"/>
                <w:szCs w:val="24"/>
              </w:rPr>
              <w:t xml:space="preserve">Što se tiče ostalih planiranih aktivnosti za 2023. godinu, definisanih </w:t>
            </w:r>
            <w:r>
              <w:rPr>
                <w:rFonts w:cstheme="minorHAnsi"/>
                <w:sz w:val="24"/>
                <w:szCs w:val="24"/>
              </w:rPr>
              <w:t>PER</w:t>
            </w:r>
            <w:r w:rsidRPr="003A3D23">
              <w:rPr>
                <w:rFonts w:cstheme="minorHAnsi"/>
                <w:sz w:val="24"/>
                <w:szCs w:val="24"/>
              </w:rPr>
              <w:t xml:space="preserve">-om, važno je istaći da se kapacitet Odjeljenja za fiskalne rizike državnih preduzeća u Ministarstvu finansija aktivno unapređuje. </w:t>
            </w:r>
            <w:r>
              <w:rPr>
                <w:rFonts w:cstheme="minorHAnsi"/>
                <w:sz w:val="24"/>
                <w:szCs w:val="24"/>
              </w:rPr>
              <w:t>Takodje, od</w:t>
            </w:r>
            <w:r>
              <w:rPr>
                <w:rFonts w:cstheme="minorHAnsi"/>
                <w:sz w:val="24"/>
                <w:szCs w:val="24"/>
                <w:lang w:val="sr-Latn-ME"/>
              </w:rPr>
              <w:t>ržana je</w:t>
            </w:r>
            <w:r w:rsidRPr="003A3D23">
              <w:rPr>
                <w:rFonts w:cstheme="minorHAnsi"/>
                <w:sz w:val="24"/>
                <w:szCs w:val="24"/>
              </w:rPr>
              <w:t xml:space="preserve"> treća ekspertska misija MMF-a, koja je trajala od 18. septembra do 11. oktobra 2023. Održano je deset sastanaka sa MMF-om i ključnim državnim kompanijama (energetika, žel</w:t>
            </w:r>
            <w:r w:rsidR="0099272F">
              <w:rPr>
                <w:rFonts w:cstheme="minorHAnsi"/>
                <w:sz w:val="24"/>
                <w:szCs w:val="24"/>
              </w:rPr>
              <w:t>j</w:t>
            </w:r>
            <w:r w:rsidRPr="003A3D23">
              <w:rPr>
                <w:rFonts w:cstheme="minorHAnsi"/>
                <w:sz w:val="24"/>
                <w:szCs w:val="24"/>
              </w:rPr>
              <w:t>eznica i pomorstvo). transportni sektori) sa ciljem dobijanja potpunijih informacija o stanju u ovim sektorima-preduzećima. Do  oktobra 2023.</w:t>
            </w:r>
            <w:r w:rsidRPr="00CC4B6F">
              <w:rPr>
                <w:rFonts w:cstheme="minorHAnsi"/>
                <w:sz w:val="24"/>
                <w:szCs w:val="24"/>
              </w:rPr>
              <w:t xml:space="preserve"> </w:t>
            </w:r>
            <w:r w:rsidRPr="003A3D23">
              <w:rPr>
                <w:rFonts w:cstheme="minorHAnsi"/>
                <w:sz w:val="24"/>
                <w:szCs w:val="24"/>
              </w:rPr>
              <w:t xml:space="preserve">pripremljene su ekonomske i finansijske analize za 16 </w:t>
            </w:r>
            <w:r w:rsidRPr="00CC4B6F">
              <w:rPr>
                <w:rFonts w:cstheme="minorHAnsi"/>
                <w:sz w:val="24"/>
                <w:szCs w:val="24"/>
              </w:rPr>
              <w:t xml:space="preserve">državnih preduzeća, uz korišćenje MMF </w:t>
            </w:r>
            <w:r w:rsidRPr="003A3D23">
              <w:rPr>
                <w:rFonts w:cstheme="minorHAnsi"/>
                <w:sz w:val="24"/>
                <w:szCs w:val="24"/>
              </w:rPr>
              <w:t>za proc</w:t>
            </w:r>
            <w:r w:rsidRPr="00CC4B6F">
              <w:rPr>
                <w:rFonts w:cstheme="minorHAnsi"/>
                <w:sz w:val="24"/>
                <w:szCs w:val="24"/>
              </w:rPr>
              <w:t>j</w:t>
            </w:r>
            <w:r w:rsidRPr="003A3D23">
              <w:rPr>
                <w:rFonts w:cstheme="minorHAnsi"/>
                <w:sz w:val="24"/>
                <w:szCs w:val="24"/>
              </w:rPr>
              <w:t>enu fiskaln</w:t>
            </w:r>
            <w:r w:rsidRPr="00CC4B6F">
              <w:rPr>
                <w:rFonts w:cstheme="minorHAnsi"/>
                <w:sz w:val="24"/>
                <w:szCs w:val="24"/>
              </w:rPr>
              <w:t>ih</w:t>
            </w:r>
            <w:r w:rsidRPr="003A3D23">
              <w:rPr>
                <w:rFonts w:cstheme="minorHAnsi"/>
                <w:sz w:val="24"/>
                <w:szCs w:val="24"/>
              </w:rPr>
              <w:t xml:space="preserve"> rizika</w:t>
            </w:r>
            <w:r w:rsidRPr="00CC4B6F">
              <w:rPr>
                <w:rFonts w:cstheme="minorHAnsi"/>
                <w:sz w:val="24"/>
                <w:szCs w:val="24"/>
              </w:rPr>
              <w:t xml:space="preserve"> (SOE Health Check Tool). </w:t>
            </w:r>
            <w:r w:rsidRPr="003A3D23">
              <w:rPr>
                <w:rFonts w:cstheme="minorHAnsi"/>
                <w:sz w:val="24"/>
                <w:szCs w:val="24"/>
              </w:rPr>
              <w:t>U cilju stvaranja sveobuhvatne slike stanja u oblasti državnih preduzeća, urađena je kratka analiza stanja na prim</w:t>
            </w:r>
            <w:r>
              <w:rPr>
                <w:rFonts w:cstheme="minorHAnsi"/>
                <w:sz w:val="24"/>
                <w:szCs w:val="24"/>
              </w:rPr>
              <w:t>j</w:t>
            </w:r>
            <w:r w:rsidRPr="003A3D23">
              <w:rPr>
                <w:rFonts w:cstheme="minorHAnsi"/>
                <w:sz w:val="24"/>
                <w:szCs w:val="24"/>
              </w:rPr>
              <w:t>eru svih 49 preduzeća, sa jasnom kategorizacijom rizika.</w:t>
            </w:r>
            <w:r>
              <w:rPr>
                <w:rFonts w:cstheme="minorHAnsi"/>
                <w:sz w:val="24"/>
                <w:szCs w:val="24"/>
              </w:rPr>
              <w:t xml:space="preserve"> </w:t>
            </w:r>
          </w:p>
        </w:tc>
      </w:tr>
      <w:tr w:rsidR="00CA7341" w:rsidRPr="00C408A7" w14:paraId="26061E5F" w14:textId="77777777" w:rsidTr="0092632C">
        <w:tc>
          <w:tcPr>
            <w:tcW w:w="9175" w:type="dxa"/>
            <w:shd w:val="clear" w:color="auto" w:fill="D9E2F3" w:themeFill="accent1" w:themeFillTint="33"/>
            <w:tcMar>
              <w:top w:w="144" w:type="dxa"/>
              <w:left w:w="58" w:type="dxa"/>
              <w:bottom w:w="144" w:type="dxa"/>
              <w:right w:w="58" w:type="dxa"/>
            </w:tcMar>
          </w:tcPr>
          <w:p w14:paraId="087FB317" w14:textId="77777777" w:rsidR="00CA7341" w:rsidRPr="00C408A7" w:rsidRDefault="00CA7341" w:rsidP="00E448C6">
            <w:pPr>
              <w:pStyle w:val="NormalWeb"/>
              <w:kinsoku w:val="0"/>
              <w:overflowPunct w:val="0"/>
              <w:jc w:val="both"/>
              <w:textAlignment w:val="baseline"/>
              <w:rPr>
                <w:rFonts w:asciiTheme="minorHAnsi" w:hAnsiTheme="minorHAnsi" w:cstheme="minorHAnsi"/>
              </w:rPr>
            </w:pPr>
            <w:r w:rsidRPr="00C408A7">
              <w:rPr>
                <w:rFonts w:asciiTheme="minorHAnsi" w:hAnsiTheme="minorHAnsi" w:cstheme="minorHAnsi"/>
                <w:b/>
                <w:bCs/>
                <w:iCs/>
              </w:rPr>
              <w:lastRenderedPageBreak/>
              <w:t>Preporuka</w:t>
            </w:r>
            <w:r w:rsidRPr="006035CD">
              <w:rPr>
                <w:rFonts w:asciiTheme="minorHAnsi" w:hAnsiTheme="minorHAnsi" w:cstheme="minorHAnsi"/>
                <w:b/>
                <w:bCs/>
                <w:iCs/>
              </w:rPr>
              <w:t xml:space="preserve"> 5</w:t>
            </w:r>
            <w:r w:rsidRPr="00C408A7">
              <w:rPr>
                <w:rFonts w:asciiTheme="minorHAnsi" w:hAnsiTheme="minorHAnsi" w:cstheme="minorHAnsi"/>
                <w:b/>
                <w:bCs/>
                <w:iCs/>
              </w:rPr>
              <w:t>.</w:t>
            </w:r>
            <w:r w:rsidRPr="006D41C3">
              <w:rPr>
                <w:rFonts w:asciiTheme="minorHAnsi" w:eastAsia="+mn-ea" w:hAnsiTheme="minorHAnsi" w:cstheme="minorHAnsi"/>
                <w:spacing w:val="8"/>
              </w:rPr>
              <w:t xml:space="preserve"> Na osnovu rezultata istraživanja neformalne ekonomije, uspostaviti akcioni plan za smanjenje neformalno</w:t>
            </w:r>
            <w:r w:rsidRPr="006D41C3">
              <w:rPr>
                <w:rFonts w:asciiTheme="minorHAnsi" w:eastAsia="+mn-ea" w:hAnsiTheme="minorHAnsi" w:cstheme="minorHAnsi"/>
                <w:spacing w:val="8"/>
                <w:lang w:val="sr-Latn-ME"/>
              </w:rPr>
              <w:t>sti</w:t>
            </w:r>
            <w:r w:rsidRPr="006D41C3">
              <w:rPr>
                <w:rFonts w:asciiTheme="minorHAnsi" w:eastAsia="+mn-ea" w:hAnsiTheme="minorHAnsi" w:cstheme="minorHAnsi"/>
                <w:spacing w:val="8"/>
              </w:rPr>
              <w:t>. Osigurati saradnju između centralnih i lokalnih vlasti u sprovođenju plana, uključujući prevenciju i podsticaje za legalizaciju neformalnih preduzeća i zaposlenih. Razviti analizu inspekcijskih službi i relevantnog pravnog okvira za optimizaciju rada inspektora, minimizirajući diskrecione odluke i nedosl</w:t>
            </w:r>
            <w:r w:rsidRPr="006D41C3">
              <w:rPr>
                <w:rFonts w:asciiTheme="minorHAnsi" w:eastAsia="+mn-ea" w:hAnsiTheme="minorHAnsi" w:cstheme="minorHAnsi"/>
                <w:spacing w:val="8"/>
                <w:lang w:val="sr-Latn-ME"/>
              </w:rPr>
              <w:t>j</w:t>
            </w:r>
            <w:r w:rsidRPr="006D41C3">
              <w:rPr>
                <w:rFonts w:asciiTheme="minorHAnsi" w:eastAsia="+mn-ea" w:hAnsiTheme="minorHAnsi" w:cstheme="minorHAnsi"/>
                <w:spacing w:val="8"/>
              </w:rPr>
              <w:t>ednosti u inspekciji ovlašćenja</w:t>
            </w:r>
            <w:r w:rsidRPr="006D41C3">
              <w:rPr>
                <w:rFonts w:asciiTheme="minorHAnsi" w:eastAsia="+mn-ea" w:hAnsiTheme="minorHAnsi" w:cstheme="minorHAnsi"/>
                <w:spacing w:val="8"/>
                <w:lang w:val="sr-Latn-ME"/>
              </w:rPr>
              <w:t>.</w:t>
            </w:r>
            <w:r w:rsidRPr="006D41C3">
              <w:rPr>
                <w:rFonts w:asciiTheme="minorHAnsi" w:eastAsia="+mn-ea" w:hAnsiTheme="minorHAnsi" w:cstheme="minorHAnsi"/>
                <w:spacing w:val="8"/>
              </w:rPr>
              <w:t xml:space="preserve"> </w:t>
            </w:r>
          </w:p>
        </w:tc>
      </w:tr>
      <w:tr w:rsidR="00CA7341" w:rsidRPr="00C408A7" w14:paraId="389C2C37" w14:textId="77777777" w:rsidTr="0092632C">
        <w:tc>
          <w:tcPr>
            <w:tcW w:w="9175" w:type="dxa"/>
            <w:tcMar>
              <w:top w:w="144" w:type="dxa"/>
              <w:left w:w="58" w:type="dxa"/>
              <w:bottom w:w="144" w:type="dxa"/>
              <w:right w:w="58" w:type="dxa"/>
            </w:tcMar>
          </w:tcPr>
          <w:p w14:paraId="53C7F202" w14:textId="515ECD56" w:rsidR="00CA7341" w:rsidRPr="00C408A7" w:rsidRDefault="00CA7341" w:rsidP="00E448C6">
            <w:pPr>
              <w:jc w:val="both"/>
              <w:rPr>
                <w:sz w:val="24"/>
                <w:szCs w:val="24"/>
                <w:lang w:val="sr-Latn-ME"/>
              </w:rPr>
            </w:pPr>
            <w:r w:rsidRPr="006035CD">
              <w:rPr>
                <w:sz w:val="24"/>
                <w:szCs w:val="24"/>
                <w:lang w:val="sr-Latn-ME"/>
              </w:rPr>
              <w:t xml:space="preserve">Nacrt Programa za suzbijanje neformalne ekonomije za period 2024-2026.godina sa Akcionim planom je pripremljen i usvaja se do kraja 2023. </w:t>
            </w:r>
            <w:r w:rsidRPr="00CC4B6F">
              <w:rPr>
                <w:sz w:val="24"/>
                <w:szCs w:val="24"/>
                <w:lang w:val="sr-Latn-ME"/>
              </w:rPr>
              <w:t xml:space="preserve"> </w:t>
            </w:r>
            <w:r w:rsidRPr="006035CD">
              <w:rPr>
                <w:sz w:val="24"/>
                <w:szCs w:val="24"/>
                <w:lang w:val="sr-Latn-ME"/>
              </w:rPr>
              <w:t xml:space="preserve"> Akcioni plan sadrži aktivnosti </w:t>
            </w:r>
            <w:r>
              <w:rPr>
                <w:sz w:val="24"/>
                <w:szCs w:val="24"/>
                <w:lang w:val="sr-Latn-ME"/>
              </w:rPr>
              <w:t>sa</w:t>
            </w:r>
            <w:r w:rsidRPr="006035CD">
              <w:rPr>
                <w:sz w:val="24"/>
                <w:szCs w:val="24"/>
                <w:lang w:val="sr-Latn-ME"/>
              </w:rPr>
              <w:t xml:space="preserve">radnje izmedju </w:t>
            </w:r>
            <w:r>
              <w:rPr>
                <w:sz w:val="24"/>
                <w:szCs w:val="24"/>
                <w:lang w:val="sr-Latn-ME"/>
              </w:rPr>
              <w:t>c</w:t>
            </w:r>
            <w:r w:rsidRPr="006035CD">
              <w:rPr>
                <w:sz w:val="24"/>
                <w:szCs w:val="24"/>
                <w:lang w:val="sr-Latn-ME"/>
              </w:rPr>
              <w:t>entr</w:t>
            </w:r>
            <w:r>
              <w:rPr>
                <w:sz w:val="24"/>
                <w:szCs w:val="24"/>
                <w:lang w:val="sr-Latn-ME"/>
              </w:rPr>
              <w:t>a</w:t>
            </w:r>
            <w:r w:rsidRPr="006035CD">
              <w:rPr>
                <w:sz w:val="24"/>
                <w:szCs w:val="24"/>
                <w:lang w:val="sr-Latn-ME"/>
              </w:rPr>
              <w:t>lnih i lokalnih vlasti, kao i preventiv</w:t>
            </w:r>
            <w:r w:rsidR="00CE070C">
              <w:rPr>
                <w:sz w:val="24"/>
                <w:szCs w:val="24"/>
                <w:lang w:val="sr-Latn-ME"/>
              </w:rPr>
              <w:t>ne</w:t>
            </w:r>
            <w:r w:rsidRPr="006035CD">
              <w:rPr>
                <w:sz w:val="24"/>
                <w:szCs w:val="24"/>
                <w:lang w:val="sr-Latn-ME"/>
              </w:rPr>
              <w:t xml:space="preserve"> i represivne aktivnosti za formalizaciju neformalnih bizinsa i zaposlenosti. Takođe, uključuje i planiranu aktivnost analize funkcionalnosti inspekcijskih službi.</w:t>
            </w:r>
          </w:p>
        </w:tc>
      </w:tr>
      <w:tr w:rsidR="00CA7341" w:rsidRPr="00C408A7" w14:paraId="25463D61" w14:textId="77777777" w:rsidTr="0092632C">
        <w:tc>
          <w:tcPr>
            <w:tcW w:w="9175" w:type="dxa"/>
            <w:shd w:val="clear" w:color="auto" w:fill="D9E2F3" w:themeFill="accent1" w:themeFillTint="33"/>
            <w:tcMar>
              <w:top w:w="144" w:type="dxa"/>
              <w:left w:w="58" w:type="dxa"/>
              <w:bottom w:w="144" w:type="dxa"/>
              <w:right w:w="58" w:type="dxa"/>
            </w:tcMar>
          </w:tcPr>
          <w:p w14:paraId="5A590CA0" w14:textId="77777777" w:rsidR="00CA7341" w:rsidRPr="00C408A7" w:rsidRDefault="00CA7341" w:rsidP="00D014C7">
            <w:pPr>
              <w:spacing w:line="259" w:lineRule="auto"/>
              <w:jc w:val="both"/>
              <w:rPr>
                <w:sz w:val="24"/>
                <w:szCs w:val="24"/>
              </w:rPr>
            </w:pPr>
            <w:r w:rsidRPr="00C408A7">
              <w:rPr>
                <w:b/>
                <w:bCs/>
                <w:sz w:val="24"/>
                <w:szCs w:val="24"/>
                <w:lang w:val="sr-Latn-ME"/>
              </w:rPr>
              <w:t>Preporuka 6</w:t>
            </w:r>
            <w:r w:rsidRPr="00C408A7">
              <w:rPr>
                <w:sz w:val="24"/>
                <w:szCs w:val="24"/>
                <w:lang w:val="sr-Latn-ME"/>
              </w:rPr>
              <w:t>.</w:t>
            </w:r>
            <w:r w:rsidRPr="00C408A7">
              <w:rPr>
                <w:sz w:val="24"/>
                <w:szCs w:val="24"/>
              </w:rPr>
              <w:t xml:space="preserve"> </w:t>
            </w:r>
            <w:r w:rsidRPr="001A054A">
              <w:rPr>
                <w:rFonts w:ascii="Calibri" w:eastAsia="+mn-ea" w:hAnsi="Calibri" w:cs="+mn-cs"/>
                <w:spacing w:val="8"/>
                <w:sz w:val="24"/>
                <w:szCs w:val="24"/>
              </w:rPr>
              <w:t>Pripremiti aktivnosti za implementaciju pilot programa Garancije za mlade planirane za 2025. godinu, analizir</w:t>
            </w:r>
            <w:r w:rsidRPr="001A054A">
              <w:rPr>
                <w:rFonts w:ascii="Calibri" w:eastAsia="+mn-ea" w:hAnsi="Calibri" w:cs="+mn-cs"/>
                <w:spacing w:val="8"/>
                <w:sz w:val="24"/>
                <w:szCs w:val="24"/>
                <w:lang w:val="sr-Latn-ME"/>
              </w:rPr>
              <w:t>ati</w:t>
            </w:r>
            <w:r w:rsidRPr="001A054A">
              <w:rPr>
                <w:rFonts w:ascii="Calibri" w:eastAsia="+mn-ea" w:hAnsi="Calibri" w:cs="+mn-cs"/>
                <w:spacing w:val="8"/>
                <w:sz w:val="24"/>
                <w:szCs w:val="24"/>
              </w:rPr>
              <w:t xml:space="preserve"> njegov učinak, i paralelno identifik</w:t>
            </w:r>
            <w:r w:rsidRPr="001A054A">
              <w:rPr>
                <w:rFonts w:ascii="Calibri" w:eastAsia="+mn-ea" w:hAnsi="Calibri" w:cs="+mn-cs"/>
                <w:spacing w:val="8"/>
                <w:sz w:val="24"/>
                <w:szCs w:val="24"/>
                <w:lang w:val="sr-Latn-ME"/>
              </w:rPr>
              <w:t xml:space="preserve">ovati </w:t>
            </w:r>
            <w:r w:rsidRPr="001A054A">
              <w:rPr>
                <w:rFonts w:ascii="Calibri" w:eastAsia="+mn-ea" w:hAnsi="Calibri" w:cs="+mn-cs"/>
                <w:spacing w:val="8"/>
                <w:sz w:val="24"/>
                <w:szCs w:val="24"/>
              </w:rPr>
              <w:t xml:space="preserve">i </w:t>
            </w:r>
            <w:r w:rsidRPr="001A054A">
              <w:rPr>
                <w:rFonts w:ascii="Calibri" w:eastAsia="+mn-ea" w:hAnsi="Calibri" w:cs="+mn-cs"/>
                <w:spacing w:val="8"/>
                <w:sz w:val="24"/>
                <w:szCs w:val="24"/>
              </w:rPr>
              <w:lastRenderedPageBreak/>
              <w:t>implementira</w:t>
            </w:r>
            <w:r w:rsidRPr="001A054A">
              <w:rPr>
                <w:rFonts w:ascii="Calibri" w:eastAsia="+mn-ea" w:hAnsi="Calibri" w:cs="+mn-cs"/>
                <w:spacing w:val="8"/>
                <w:sz w:val="24"/>
                <w:szCs w:val="24"/>
                <w:lang w:val="sr-Latn-ME"/>
              </w:rPr>
              <w:t>ti</w:t>
            </w:r>
            <w:r w:rsidRPr="001A054A">
              <w:rPr>
                <w:rFonts w:ascii="Calibri" w:eastAsia="+mn-ea" w:hAnsi="Calibri" w:cs="+mn-cs"/>
                <w:spacing w:val="8"/>
                <w:sz w:val="24"/>
                <w:szCs w:val="24"/>
              </w:rPr>
              <w:t xml:space="preserve"> neophodne strukturne, operativn</w:t>
            </w:r>
            <w:r w:rsidRPr="001A054A">
              <w:rPr>
                <w:rFonts w:ascii="Calibri" w:eastAsia="+mn-ea" w:hAnsi="Calibri" w:cs="+mn-cs"/>
                <w:spacing w:val="8"/>
                <w:sz w:val="24"/>
                <w:szCs w:val="24"/>
                <w:lang w:val="sr-Latn-ME"/>
              </w:rPr>
              <w:t>e</w:t>
            </w:r>
            <w:r w:rsidRPr="001A054A">
              <w:rPr>
                <w:rFonts w:ascii="Calibri" w:eastAsia="+mn-ea" w:hAnsi="Calibri" w:cs="+mn-cs"/>
                <w:spacing w:val="8"/>
                <w:sz w:val="24"/>
                <w:szCs w:val="24"/>
              </w:rPr>
              <w:t xml:space="preserve"> i organizacion</w:t>
            </w:r>
            <w:r w:rsidRPr="001A054A">
              <w:rPr>
                <w:rFonts w:ascii="Calibri" w:eastAsia="+mn-ea" w:hAnsi="Calibri" w:cs="+mn-cs"/>
                <w:spacing w:val="8"/>
                <w:sz w:val="24"/>
                <w:szCs w:val="24"/>
                <w:lang w:val="sr-Latn-ME"/>
              </w:rPr>
              <w:t>e</w:t>
            </w:r>
            <w:r w:rsidRPr="001A054A">
              <w:rPr>
                <w:rFonts w:ascii="Calibri" w:eastAsia="+mn-ea" w:hAnsi="Calibri" w:cs="+mn-cs"/>
                <w:spacing w:val="8"/>
                <w:sz w:val="24"/>
                <w:szCs w:val="24"/>
              </w:rPr>
              <w:t xml:space="preserve"> promjen</w:t>
            </w:r>
            <w:r w:rsidRPr="001A054A">
              <w:rPr>
                <w:rFonts w:ascii="Calibri" w:eastAsia="+mn-ea" w:hAnsi="Calibri" w:cs="+mn-cs"/>
                <w:spacing w:val="8"/>
                <w:sz w:val="24"/>
                <w:szCs w:val="24"/>
                <w:lang w:val="sr-Latn-ME"/>
              </w:rPr>
              <w:t>e</w:t>
            </w:r>
            <w:r w:rsidRPr="001A054A">
              <w:rPr>
                <w:rFonts w:ascii="Calibri" w:eastAsia="+mn-ea" w:hAnsi="Calibri" w:cs="+mn-cs"/>
                <w:spacing w:val="8"/>
                <w:sz w:val="24"/>
                <w:szCs w:val="24"/>
              </w:rPr>
              <w:t xml:space="preserve"> </w:t>
            </w:r>
            <w:r w:rsidRPr="001A054A">
              <w:rPr>
                <w:rFonts w:ascii="Calibri" w:eastAsia="+mn-ea" w:hAnsi="Calibri" w:cs="+mn-cs"/>
                <w:spacing w:val="8"/>
                <w:sz w:val="24"/>
                <w:szCs w:val="24"/>
                <w:lang w:val="sr-Latn-ME"/>
              </w:rPr>
              <w:t xml:space="preserve">koje priprema </w:t>
            </w:r>
            <w:r w:rsidRPr="001A054A">
              <w:rPr>
                <w:rFonts w:ascii="Calibri" w:eastAsia="+mn-ea" w:hAnsi="Calibri" w:cs="+mn-cs"/>
                <w:spacing w:val="8"/>
                <w:sz w:val="24"/>
                <w:szCs w:val="24"/>
              </w:rPr>
              <w:t>Zavod za zapošljavanje Crne Gore za isporuku usluga p</w:t>
            </w:r>
            <w:r w:rsidRPr="001A054A">
              <w:rPr>
                <w:rFonts w:ascii="Calibri" w:eastAsia="+mn-ea" w:hAnsi="Calibri" w:cs="+mn-cs"/>
                <w:spacing w:val="8"/>
                <w:sz w:val="24"/>
                <w:szCs w:val="24"/>
                <w:lang w:val="sr-Latn-ME"/>
              </w:rPr>
              <w:t>otpune</w:t>
            </w:r>
            <w:r w:rsidRPr="001A054A">
              <w:rPr>
                <w:rFonts w:ascii="Calibri" w:eastAsia="+mn-ea" w:hAnsi="Calibri" w:cs="+mn-cs"/>
                <w:spacing w:val="8"/>
                <w:sz w:val="24"/>
                <w:szCs w:val="24"/>
              </w:rPr>
              <w:t xml:space="preserve"> Garancije za mlade</w:t>
            </w:r>
            <w:r w:rsidRPr="001A054A">
              <w:rPr>
                <w:rFonts w:ascii="Calibri" w:eastAsia="+mn-ea" w:hAnsi="Calibri" w:cs="+mn-cs"/>
                <w:spacing w:val="8"/>
                <w:sz w:val="24"/>
                <w:szCs w:val="24"/>
                <w:lang w:val="sr-Latn-RS"/>
              </w:rPr>
              <w:t>,</w:t>
            </w:r>
            <w:r w:rsidRPr="001A054A">
              <w:rPr>
                <w:rFonts w:ascii="Calibri" w:eastAsia="+mn-ea" w:hAnsi="Calibri" w:cs="+mn-cs"/>
                <w:spacing w:val="8"/>
                <w:sz w:val="24"/>
                <w:szCs w:val="24"/>
              </w:rPr>
              <w:t xml:space="preserve"> kao i </w:t>
            </w:r>
            <w:r w:rsidRPr="001A054A">
              <w:rPr>
                <w:rFonts w:ascii="Calibri" w:eastAsia="+mn-ea" w:hAnsi="Calibri" w:cs="+mn-cs"/>
                <w:spacing w:val="8"/>
                <w:sz w:val="24"/>
                <w:szCs w:val="24"/>
                <w:lang w:val="sr-Latn-ME"/>
              </w:rPr>
              <w:t>drugih funkcija</w:t>
            </w:r>
            <w:r w:rsidRPr="001A054A">
              <w:rPr>
                <w:rFonts w:ascii="Calibri" w:eastAsia="+mn-ea" w:hAnsi="Calibri" w:cs="+mn-cs"/>
                <w:spacing w:val="8"/>
                <w:sz w:val="24"/>
                <w:szCs w:val="24"/>
              </w:rPr>
              <w:t>. Nastaviti sa naporima da se reformiše obezb</w:t>
            </w:r>
            <w:r w:rsidRPr="001A054A">
              <w:rPr>
                <w:rFonts w:ascii="Calibri" w:eastAsia="+mn-ea" w:hAnsi="Calibri" w:cs="+mn-cs"/>
                <w:spacing w:val="8"/>
                <w:sz w:val="24"/>
                <w:szCs w:val="24"/>
                <w:lang w:val="sr-Latn-ME"/>
              </w:rPr>
              <w:t>j</w:t>
            </w:r>
            <w:r w:rsidRPr="001A054A">
              <w:rPr>
                <w:rFonts w:ascii="Calibri" w:eastAsia="+mn-ea" w:hAnsi="Calibri" w:cs="+mn-cs"/>
                <w:spacing w:val="8"/>
                <w:sz w:val="24"/>
                <w:szCs w:val="24"/>
              </w:rPr>
              <w:t>eđivanje m</w:t>
            </w:r>
            <w:r w:rsidRPr="001A054A">
              <w:rPr>
                <w:rFonts w:ascii="Calibri" w:eastAsia="+mn-ea" w:hAnsi="Calibri" w:cs="+mn-cs"/>
                <w:spacing w:val="8"/>
                <w:sz w:val="24"/>
                <w:szCs w:val="24"/>
                <w:lang w:val="sr-Latn-ME"/>
              </w:rPr>
              <w:t>j</w:t>
            </w:r>
            <w:r w:rsidRPr="001A054A">
              <w:rPr>
                <w:rFonts w:ascii="Calibri" w:eastAsia="+mn-ea" w:hAnsi="Calibri" w:cs="+mn-cs"/>
                <w:spacing w:val="8"/>
                <w:sz w:val="24"/>
                <w:szCs w:val="24"/>
              </w:rPr>
              <w:t>era aktivne politike tržišta rada sa naglaskom na njihovu relevantnost za tržište rada, uključujući učenje zasnovano na radu, i uspostaviti kontinuirani mehanizam praćenja koji će omogućiti rad zasnovan na dokazima</w:t>
            </w:r>
            <w:r w:rsidRPr="001A054A">
              <w:rPr>
                <w:rFonts w:ascii="Calibri" w:eastAsia="+mn-ea" w:hAnsi="Calibri" w:cs="+mn-cs"/>
                <w:spacing w:val="8"/>
                <w:sz w:val="24"/>
                <w:szCs w:val="24"/>
                <w:lang w:val="sr-Latn-ME"/>
              </w:rPr>
              <w:t xml:space="preserve"> iz dizajna aktivne politike tržišta rada</w:t>
            </w:r>
            <w:r w:rsidRPr="001A054A">
              <w:rPr>
                <w:rFonts w:ascii="Calibri" w:eastAsia="+mn-ea" w:hAnsi="Calibri" w:cs="+mn-cs"/>
                <w:spacing w:val="8"/>
                <w:sz w:val="24"/>
                <w:szCs w:val="24"/>
              </w:rPr>
              <w:t xml:space="preserve">. Na osnovu Mape puta reformi socijalne pomoći i socijalne i </w:t>
            </w:r>
            <w:r w:rsidRPr="001A054A">
              <w:rPr>
                <w:rFonts w:ascii="Calibri" w:eastAsia="+mn-ea" w:hAnsi="Calibri" w:cs="+mn-cs"/>
                <w:spacing w:val="8"/>
                <w:sz w:val="24"/>
                <w:szCs w:val="24"/>
                <w:lang w:val="sr-Latn-ME"/>
              </w:rPr>
              <w:t xml:space="preserve">usluga </w:t>
            </w:r>
            <w:r w:rsidRPr="001A054A">
              <w:rPr>
                <w:rFonts w:ascii="Calibri" w:eastAsia="+mn-ea" w:hAnsi="Calibri" w:cs="+mn-cs"/>
                <w:spacing w:val="8"/>
                <w:sz w:val="24"/>
                <w:szCs w:val="24"/>
              </w:rPr>
              <w:t>dječije zaštite u Crnoj Gori, uspostaviti jasan vremenski okvir i finansijsko planiranje za reformu sistema socijalne i dječije zaštite i krenuti u sprovođenje reformi</w:t>
            </w:r>
          </w:p>
        </w:tc>
      </w:tr>
      <w:tr w:rsidR="00CA7341" w:rsidRPr="00C408A7" w14:paraId="257BC304" w14:textId="77777777" w:rsidTr="0092632C">
        <w:tc>
          <w:tcPr>
            <w:tcW w:w="9175" w:type="dxa"/>
            <w:tcMar>
              <w:top w:w="144" w:type="dxa"/>
              <w:left w:w="58" w:type="dxa"/>
              <w:bottom w:w="144" w:type="dxa"/>
              <w:right w:w="58" w:type="dxa"/>
            </w:tcMar>
          </w:tcPr>
          <w:p w14:paraId="12AD7142" w14:textId="3D89811C" w:rsidR="00CA7341" w:rsidRPr="002A65AA" w:rsidRDefault="00CA7341" w:rsidP="00E448C6">
            <w:pPr>
              <w:jc w:val="both"/>
              <w:rPr>
                <w:sz w:val="24"/>
                <w:szCs w:val="24"/>
              </w:rPr>
            </w:pPr>
            <w:r w:rsidRPr="00C408A7">
              <w:rPr>
                <w:sz w:val="24"/>
                <w:szCs w:val="24"/>
                <w:lang w:val="sr-Latn-ME"/>
              </w:rPr>
              <w:lastRenderedPageBreak/>
              <w:t xml:space="preserve"> </w:t>
            </w:r>
            <w:r w:rsidRPr="001A054A">
              <w:rPr>
                <w:sz w:val="24"/>
                <w:szCs w:val="24"/>
              </w:rPr>
              <w:t>Crna Gora je 2021. preduzela konkretne korake za postepeno uvođenje i implementaciju Garancije za mlade, u skladu sa principima politike</w:t>
            </w:r>
            <w:r>
              <w:rPr>
                <w:sz w:val="24"/>
                <w:szCs w:val="24"/>
              </w:rPr>
              <w:t xml:space="preserve">. Prvi </w:t>
            </w:r>
            <w:r w:rsidRPr="002A65AA">
              <w:rPr>
                <w:sz w:val="24"/>
                <w:szCs w:val="24"/>
              </w:rPr>
              <w:t>Plan implementacije „Garancije za mlade“ u Crnoj Gori obuhvata period 2023-2026. godine i pokazuje koje strukturne reforme i inicijative treba preduzeti na unapređenju obrazovnog sistema i funkcionisanja Zavoda za zapošljavanje Crne Gore</w:t>
            </w:r>
            <w:r w:rsidR="0099272F">
              <w:rPr>
                <w:sz w:val="24"/>
                <w:szCs w:val="24"/>
              </w:rPr>
              <w:t>. Ovo iz razloga da bi</w:t>
            </w:r>
            <w:r w:rsidRPr="002A65AA">
              <w:rPr>
                <w:sz w:val="24"/>
                <w:szCs w:val="24"/>
              </w:rPr>
              <w:t xml:space="preserve"> Garancija za mlade bila realizovan</w:t>
            </w:r>
            <w:r w:rsidR="0099272F">
              <w:rPr>
                <w:sz w:val="24"/>
                <w:szCs w:val="24"/>
              </w:rPr>
              <w:t>a</w:t>
            </w:r>
            <w:r w:rsidRPr="002A65AA">
              <w:rPr>
                <w:sz w:val="24"/>
                <w:szCs w:val="24"/>
              </w:rPr>
              <w:t xml:space="preserve"> u planiranom periodu, uz pilotiranje sistema pružanja usluga iz Garancije za mlade, koje je planirano za 2025. i 2026. godinu.Paralelno sa ovim procesom, sprovode se strukturne, operativne i organizacione promjene kako bi Zavod za zapošljavanje Crne Gore bio spreman da pruža usluge u okviru „Garancije za mlade“ i unaprijedilo</w:t>
            </w:r>
            <w:r w:rsidRPr="001A054A">
              <w:rPr>
                <w:sz w:val="24"/>
                <w:szCs w:val="24"/>
              </w:rPr>
              <w:t xml:space="preserve"> se</w:t>
            </w:r>
            <w:r w:rsidRPr="002A65AA">
              <w:rPr>
                <w:sz w:val="24"/>
                <w:szCs w:val="24"/>
              </w:rPr>
              <w:t xml:space="preserve"> pružanje mjera aktivne politike tržišta rada. U tom smislu započeta je reorganizacija Agencije i, shodno tome, u januaru 2023. godine don</w:t>
            </w:r>
            <w:r w:rsidRPr="001A054A">
              <w:rPr>
                <w:sz w:val="24"/>
                <w:szCs w:val="24"/>
              </w:rPr>
              <w:t>ij</w:t>
            </w:r>
            <w:r w:rsidRPr="002A65AA">
              <w:rPr>
                <w:sz w:val="24"/>
                <w:szCs w:val="24"/>
              </w:rPr>
              <w:t>et je novi Pravilnik o unutrašnjoj organizaciji i sistematizaciji Zavoda za zapošljavanje Crne Gore u vezi sa poslovima predviđenim Zakonom</w:t>
            </w:r>
            <w:r w:rsidRPr="001A054A">
              <w:rPr>
                <w:sz w:val="24"/>
                <w:szCs w:val="24"/>
              </w:rPr>
              <w:t xml:space="preserve">. </w:t>
            </w:r>
            <w:r w:rsidRPr="002A65AA">
              <w:rPr>
                <w:sz w:val="24"/>
                <w:szCs w:val="24"/>
              </w:rPr>
              <w:t>T</w:t>
            </w:r>
            <w:r w:rsidRPr="001A054A">
              <w:rPr>
                <w:sz w:val="24"/>
                <w:szCs w:val="24"/>
              </w:rPr>
              <w:t>w</w:t>
            </w:r>
            <w:r w:rsidRPr="002A65AA">
              <w:rPr>
                <w:sz w:val="24"/>
                <w:szCs w:val="24"/>
              </w:rPr>
              <w:t xml:space="preserve">ining projekat realizovan kroz akciona dokumenta IPA 2020 „Ojačani kapaciteti Zavoda za zapošljavanje Crne Gore (ZZZ) pokriva tri glavne oblasti podrške Zavodu za zapošljavanje </w:t>
            </w:r>
            <w:r w:rsidR="00A673BB">
              <w:rPr>
                <w:sz w:val="24"/>
                <w:szCs w:val="24"/>
              </w:rPr>
              <w:t>i</w:t>
            </w:r>
            <w:r w:rsidRPr="002A65AA">
              <w:rPr>
                <w:sz w:val="24"/>
                <w:szCs w:val="24"/>
              </w:rPr>
              <w:t xml:space="preserve"> njegove buduće uloge:1) Izgradnja kapaciteta ZZZCG za pružanje usluga koje efikasno zadovoljavaju potrebe tržišta rada sa fokusom na aktivne m</w:t>
            </w:r>
            <w:r>
              <w:rPr>
                <w:sz w:val="24"/>
                <w:szCs w:val="24"/>
              </w:rPr>
              <w:t>j</w:t>
            </w:r>
            <w:r w:rsidRPr="002A65AA">
              <w:rPr>
                <w:sz w:val="24"/>
                <w:szCs w:val="24"/>
              </w:rPr>
              <w:t>ere za zapošljavanje (i bliži fokus na Garanciju za mlade);</w:t>
            </w:r>
            <w:r w:rsidRPr="001A054A">
              <w:rPr>
                <w:sz w:val="24"/>
                <w:szCs w:val="24"/>
              </w:rPr>
              <w:t xml:space="preserve"> </w:t>
            </w:r>
            <w:r w:rsidRPr="002A65AA">
              <w:rPr>
                <w:sz w:val="24"/>
                <w:szCs w:val="24"/>
              </w:rPr>
              <w:t>2) Jačanje institucionalnih kapaciteta za učešće u budućim ulogama EAM-a u ESF+ (Evropski socijalni fond);</w:t>
            </w:r>
            <w:r w:rsidRPr="001A054A">
              <w:rPr>
                <w:sz w:val="24"/>
                <w:szCs w:val="24"/>
              </w:rPr>
              <w:t xml:space="preserve"> </w:t>
            </w:r>
            <w:r w:rsidRPr="002A65AA">
              <w:rPr>
                <w:sz w:val="24"/>
                <w:szCs w:val="24"/>
              </w:rPr>
              <w:t>3) Jačanje administrativnih kapaciteta za pružanje podrške za poboljšanje mobilnosti radne snage i pripremu za pridruživanje EURES mreži.</w:t>
            </w:r>
            <w:r w:rsidRPr="001A054A">
              <w:rPr>
                <w:sz w:val="24"/>
                <w:szCs w:val="24"/>
              </w:rPr>
              <w:t xml:space="preserve"> </w:t>
            </w:r>
            <w:r w:rsidRPr="002A65AA">
              <w:rPr>
                <w:sz w:val="24"/>
                <w:szCs w:val="24"/>
              </w:rPr>
              <w:t>U početnom periodu implementacije tvining projekta izrađen je set smjernica i metodoloških dokumenata koji su usaglašeni na radionicama sa osobljem ZZZCG.</w:t>
            </w:r>
          </w:p>
          <w:p w14:paraId="22DE9B3D" w14:textId="3A479907" w:rsidR="00CA7341" w:rsidRPr="002A65AA" w:rsidRDefault="00CA7341" w:rsidP="00E448C6">
            <w:pPr>
              <w:jc w:val="both"/>
              <w:rPr>
                <w:sz w:val="24"/>
                <w:szCs w:val="24"/>
              </w:rPr>
            </w:pPr>
            <w:r w:rsidRPr="002A65AA">
              <w:rPr>
                <w:sz w:val="24"/>
                <w:szCs w:val="24"/>
              </w:rPr>
              <w:t xml:space="preserve">U okviru projekta tehničke podrške, koji se realizuje u okviru Akcionog dokumenta IPA 2020 „Unapređeno kreiranje politika zasnovanih na dokazima, implementacija praksi i koordinacija u sektoru ESP-a i ojačani kapaciteti za učešće u ESF-u“,započeto je jačanje administrativnih kapaciteta relevantnih institucija odgovornih za buduće upravljanje i implementaciju ESF+ i Programa garancije za mlade. </w:t>
            </w:r>
          </w:p>
          <w:p w14:paraId="50F637B8" w14:textId="77777777" w:rsidR="00CA7341" w:rsidRPr="002A65AA" w:rsidRDefault="00CA7341" w:rsidP="00E448C6">
            <w:pPr>
              <w:jc w:val="both"/>
              <w:rPr>
                <w:sz w:val="24"/>
                <w:szCs w:val="24"/>
              </w:rPr>
            </w:pPr>
            <w:r w:rsidRPr="002A65AA">
              <w:rPr>
                <w:sz w:val="24"/>
                <w:szCs w:val="24"/>
              </w:rPr>
              <w:t>Ugovorom o nabavci „Unapređenje IT infrastrukture i novog informacionog sistema Zavoda za zapošljavanje Crne Gore“ biće obezb</w:t>
            </w:r>
            <w:r w:rsidRPr="001A054A">
              <w:rPr>
                <w:sz w:val="24"/>
                <w:szCs w:val="24"/>
              </w:rPr>
              <w:t>ij</w:t>
            </w:r>
            <w:r w:rsidRPr="002A65AA">
              <w:rPr>
                <w:sz w:val="24"/>
                <w:szCs w:val="24"/>
              </w:rPr>
              <w:t xml:space="preserve">eđen novi hardver za sve zaposlene u Zavodu, dok će kroz drugu komponentu biti razvijeno unapređeno softversko rešenje koje će podržati uslove za implementaciju EURES-a, garancije za mlade i druge obaveze koje proizilaze iz pregovora za članstvo u EU. </w:t>
            </w:r>
          </w:p>
          <w:p w14:paraId="5AF288ED" w14:textId="208385F3" w:rsidR="00CA7341" w:rsidRPr="00C408A7" w:rsidRDefault="00CA7341" w:rsidP="00E448C6">
            <w:pPr>
              <w:jc w:val="both"/>
              <w:rPr>
                <w:sz w:val="24"/>
                <w:szCs w:val="24"/>
              </w:rPr>
            </w:pPr>
            <w:r w:rsidRPr="002A65AA">
              <w:rPr>
                <w:sz w:val="24"/>
                <w:szCs w:val="24"/>
              </w:rPr>
              <w:t>Kada je r</w:t>
            </w:r>
            <w:r w:rsidRPr="001A054A">
              <w:rPr>
                <w:sz w:val="24"/>
                <w:szCs w:val="24"/>
              </w:rPr>
              <w:t>ij</w:t>
            </w:r>
            <w:r w:rsidRPr="002A65AA">
              <w:rPr>
                <w:sz w:val="24"/>
                <w:szCs w:val="24"/>
              </w:rPr>
              <w:t>eč o reformama sistema socijalne i dečije zaštite, Ministarstvo rada i socijalnog staranja formiralo je radnu grupu za izradu Strategije razvoja sistema socijalne i dečije zaštite, a uz podršku UNICEF-a i UNDP-a, obezb</w:t>
            </w:r>
            <w:r w:rsidRPr="001A054A">
              <w:rPr>
                <w:sz w:val="24"/>
                <w:szCs w:val="24"/>
              </w:rPr>
              <w:t>ije</w:t>
            </w:r>
            <w:r w:rsidRPr="002A65AA">
              <w:rPr>
                <w:sz w:val="24"/>
                <w:szCs w:val="24"/>
              </w:rPr>
              <w:t>đena je podrška za izradu ovog strateškog dokumenta</w:t>
            </w:r>
            <w:r w:rsidRPr="001A054A">
              <w:rPr>
                <w:sz w:val="24"/>
                <w:szCs w:val="24"/>
              </w:rPr>
              <w:t>.</w:t>
            </w:r>
            <w:r w:rsidRPr="002A65AA">
              <w:rPr>
                <w:sz w:val="24"/>
                <w:szCs w:val="24"/>
              </w:rPr>
              <w:t xml:space="preserve">Planirano je donošenje novog Zakona o socijalnoj i dečjoj zaštiti, kojim će se </w:t>
            </w:r>
            <w:r w:rsidRPr="002A65AA">
              <w:rPr>
                <w:sz w:val="24"/>
                <w:szCs w:val="24"/>
              </w:rPr>
              <w:lastRenderedPageBreak/>
              <w:t>unapr</w:t>
            </w:r>
            <w:r w:rsidRPr="001A054A">
              <w:rPr>
                <w:sz w:val="24"/>
                <w:szCs w:val="24"/>
              </w:rPr>
              <w:t>ij</w:t>
            </w:r>
            <w:r w:rsidRPr="002A65AA">
              <w:rPr>
                <w:sz w:val="24"/>
                <w:szCs w:val="24"/>
              </w:rPr>
              <w:t>editi sistem kvaliteta pružanja usluga i precizirati način finansiranja usluga sa državnog i lokalnog nivoa kako bi se obezb</w:t>
            </w:r>
            <w:r w:rsidRPr="001A054A">
              <w:rPr>
                <w:sz w:val="24"/>
                <w:szCs w:val="24"/>
              </w:rPr>
              <w:t>ij</w:t>
            </w:r>
            <w:r w:rsidRPr="002A65AA">
              <w:rPr>
                <w:sz w:val="24"/>
                <w:szCs w:val="24"/>
              </w:rPr>
              <w:t>edila održivost usluga u sistemu.</w:t>
            </w:r>
            <w:r>
              <w:rPr>
                <w:sz w:val="24"/>
                <w:szCs w:val="24"/>
              </w:rPr>
              <w:t xml:space="preserve"> </w:t>
            </w:r>
            <w:r w:rsidRPr="002A65AA">
              <w:rPr>
                <w:sz w:val="24"/>
                <w:szCs w:val="24"/>
              </w:rPr>
              <w:t>U toku je realizacija projekta „Reforma nacionalnog sistema utvrđivanja invalid</w:t>
            </w:r>
            <w:r w:rsidR="00A673BB">
              <w:rPr>
                <w:sz w:val="24"/>
                <w:szCs w:val="24"/>
              </w:rPr>
              <w:t>iteta</w:t>
            </w:r>
            <w:r w:rsidRPr="002A65AA">
              <w:rPr>
                <w:sz w:val="24"/>
                <w:szCs w:val="24"/>
              </w:rPr>
              <w:t>“ koji ima za cilj uspostavljanje jedinstvenog t</w:t>
            </w:r>
            <w:r>
              <w:rPr>
                <w:sz w:val="24"/>
                <w:szCs w:val="24"/>
              </w:rPr>
              <w:t>ij</w:t>
            </w:r>
            <w:r w:rsidRPr="002A65AA">
              <w:rPr>
                <w:sz w:val="24"/>
                <w:szCs w:val="24"/>
              </w:rPr>
              <w:t>ela za utvrđivanje invalid</w:t>
            </w:r>
            <w:r w:rsidR="00A673BB">
              <w:rPr>
                <w:sz w:val="24"/>
                <w:szCs w:val="24"/>
              </w:rPr>
              <w:t>iteta</w:t>
            </w:r>
            <w:r w:rsidRPr="002A65AA">
              <w:rPr>
                <w:sz w:val="24"/>
                <w:szCs w:val="24"/>
              </w:rPr>
              <w:t>(Agencija) i jedinstvenih nacionalnih kriterijuma (po socijalnom modelu) za utvrđivanje invali</w:t>
            </w:r>
            <w:r w:rsidR="00A673BB">
              <w:rPr>
                <w:sz w:val="24"/>
                <w:szCs w:val="24"/>
              </w:rPr>
              <w:t>diteta</w:t>
            </w:r>
            <w:r w:rsidRPr="002A65AA">
              <w:rPr>
                <w:sz w:val="24"/>
                <w:szCs w:val="24"/>
              </w:rPr>
              <w:t xml:space="preserve">. </w:t>
            </w:r>
          </w:p>
        </w:tc>
      </w:tr>
    </w:tbl>
    <w:p w14:paraId="2BD7A744" w14:textId="77777777" w:rsidR="00CB2E14" w:rsidRPr="0047692E" w:rsidRDefault="00CB2E14" w:rsidP="00CB2E14">
      <w:pPr>
        <w:pStyle w:val="Heading1"/>
        <w:shd w:val="clear" w:color="auto" w:fill="B4C6E7" w:themeFill="accent1" w:themeFillTint="66"/>
        <w:rPr>
          <w:rFonts w:eastAsia="Calibri Light"/>
          <w:b/>
          <w:lang w:val="sr-Latn-ME" w:eastAsia="sr-Latn-ME"/>
        </w:rPr>
      </w:pPr>
      <w:bookmarkStart w:id="9" w:name="_Toc153305323"/>
      <w:r w:rsidRPr="0047692E">
        <w:rPr>
          <w:rFonts w:eastAsia="Calibri Light"/>
          <w:b/>
          <w:lang w:val="sr-Latn-ME" w:eastAsia="sr-Latn-ME"/>
        </w:rPr>
        <w:lastRenderedPageBreak/>
        <w:t>3. MAKROEKONOMSKI OKVIR</w:t>
      </w:r>
      <w:bookmarkEnd w:id="9"/>
    </w:p>
    <w:p w14:paraId="0B38A24A" w14:textId="4630FACB" w:rsidR="00CB2E14" w:rsidRPr="00515C5F" w:rsidRDefault="00CB2E14" w:rsidP="00CB2E14">
      <w:pPr>
        <w:spacing w:after="0" w:line="276" w:lineRule="auto"/>
        <w:jc w:val="both"/>
        <w:rPr>
          <w:rFonts w:eastAsia="Calibri" w:cstheme="minorHAnsi"/>
          <w:sz w:val="24"/>
          <w:lang w:val="sr-Latn-ME" w:eastAsia="sr-Latn-ME"/>
        </w:rPr>
      </w:pPr>
      <w:r w:rsidRPr="00515C5F">
        <w:rPr>
          <w:rFonts w:eastAsia="Calibri" w:cstheme="minorHAnsi"/>
          <w:sz w:val="24"/>
          <w:lang w:val="sr-Latn-ME" w:eastAsia="sr-Latn-ME"/>
        </w:rPr>
        <w:t xml:space="preserve">Neizvjesnosti i izazovi tokom 2022. godine, izazvani </w:t>
      </w:r>
      <w:r w:rsidRPr="00515C5F">
        <w:rPr>
          <w:rFonts w:eastAsia="Times New Roman" w:cstheme="minorHAnsi"/>
          <w:color w:val="282828"/>
          <w:sz w:val="24"/>
        </w:rPr>
        <w:t xml:space="preserve">agresijom Ruske Federacije na Ukrajinu, kao i </w:t>
      </w:r>
      <w:r w:rsidRPr="00515C5F">
        <w:rPr>
          <w:rFonts w:eastAsia="Calibri" w:cstheme="minorHAnsi"/>
          <w:sz w:val="24"/>
          <w:lang w:val="sr-Latn-ME" w:eastAsia="sr-Latn-ME"/>
        </w:rPr>
        <w:t>rastućim troškovima života uzrokovanim snažnim inflatornim pritiscima i porastom cijena hrane i energenata, nastavljeni su i u 2023. godini. Prema prognozama Međunarodnog monetarnog fonda (MMF), globalni rast će usporiti sa 3,5%</w:t>
      </w:r>
      <w:r w:rsidRPr="00515C5F">
        <w:rPr>
          <w:rFonts w:eastAsia="Calibri" w:cstheme="minorHAnsi"/>
          <w:sz w:val="24"/>
          <w:vertAlign w:val="superscript"/>
          <w:lang w:val="sr-Latn-ME" w:eastAsia="sr-Latn-ME"/>
        </w:rPr>
        <w:t xml:space="preserve"> </w:t>
      </w:r>
      <w:r w:rsidRPr="00515C5F">
        <w:rPr>
          <w:rFonts w:eastAsia="Calibri" w:cstheme="minorHAnsi"/>
          <w:sz w:val="24"/>
          <w:lang w:val="sr-Latn-ME" w:eastAsia="sr-Latn-ME"/>
        </w:rPr>
        <w:t>u 2022, na 3,0% u 2023. i 2,9% u 2024</w:t>
      </w:r>
      <w:r w:rsidRPr="00515C5F">
        <w:rPr>
          <w:rStyle w:val="FootnoteReference"/>
          <w:rFonts w:eastAsia="Calibri" w:cstheme="minorHAnsi"/>
          <w:sz w:val="24"/>
          <w:lang w:val="sr-Latn-ME" w:eastAsia="sr-Latn-ME"/>
        </w:rPr>
        <w:footnoteReference w:id="9"/>
      </w:r>
      <w:r w:rsidRPr="00515C5F">
        <w:rPr>
          <w:rFonts w:eastAsia="Calibri" w:cstheme="minorHAnsi"/>
          <w:sz w:val="24"/>
          <w:lang w:val="sr-Latn-ME" w:eastAsia="sr-Latn-ME"/>
        </w:rPr>
        <w:t>. Prema MMF-u, projekcije za naredni period ostaju znatno ispod istorijskog prosjeka (2000–19) od 3,8%, dok su prospekti rasta globalne ekonomije u narednom srednjoročnom periodu najslabiji u posljednjih nekoliko decenija, uz brojne izražene rizike po globalnu makrofinansijsku stabilnost.</w:t>
      </w:r>
    </w:p>
    <w:p w14:paraId="16B6A868" w14:textId="77777777" w:rsidR="00CB2E14" w:rsidRPr="00515C5F" w:rsidRDefault="00CB2E14" w:rsidP="00CB2E14">
      <w:pPr>
        <w:spacing w:after="0" w:line="276" w:lineRule="auto"/>
        <w:jc w:val="both"/>
        <w:rPr>
          <w:rFonts w:cstheme="minorHAnsi"/>
          <w:sz w:val="24"/>
        </w:rPr>
      </w:pPr>
      <w:r w:rsidRPr="00515C5F">
        <w:rPr>
          <w:rFonts w:eastAsia="Calibri" w:cstheme="minorHAnsi"/>
          <w:sz w:val="24"/>
          <w:lang w:val="sr-Latn-ME" w:eastAsia="sr-Latn-ME"/>
        </w:rPr>
        <w:t>Nakon snažnog postpandemijskog oporavka u 2021. i 2022, evropska ekonomija znatno usporava u 2023. godini. Evropska komisija je jesenjim prognozama revidirala rast BDP-a EU za 2023, naniže u poređenju sa ljetnjim projekcijama i sada prognozira rast od svega 0,6%, dok istovremeno očekuje da najveća evropska ekonomija, Njemačka, zabilježi privredni pad u 2023. godini od 0,3%. Nakon najveće inflacije u Eurozoni od uspostavljanja eura tokom</w:t>
      </w:r>
      <w:r w:rsidRPr="00515C5F">
        <w:rPr>
          <w:rFonts w:cstheme="minorHAnsi"/>
          <w:sz w:val="24"/>
        </w:rPr>
        <w:t xml:space="preserve"> 2022, inflacija je usporila u 2023, ali je i dalje značajno iznad targeta Evropske centralne banke, koja očekuje da će se inflacija vratiti u okviru zacrtanog cilja tek u drugoj polovini 2025</w:t>
      </w:r>
      <w:r w:rsidRPr="00515C5F">
        <w:rPr>
          <w:rStyle w:val="FootnoteReference"/>
          <w:rFonts w:cstheme="minorHAnsi"/>
          <w:sz w:val="24"/>
        </w:rPr>
        <w:footnoteReference w:id="10"/>
      </w:r>
      <w:r w:rsidRPr="00515C5F">
        <w:rPr>
          <w:rFonts w:cstheme="minorHAnsi"/>
          <w:sz w:val="24"/>
        </w:rPr>
        <w:t xml:space="preserve">. Očekuje se da će ekonomski rast EU ubrzati u 2024, usljed oporavka potrošnje, rasta realnih zarada, povećanja investicija i eksterne potražnje. </w:t>
      </w:r>
      <w:r w:rsidRPr="00515C5F">
        <w:rPr>
          <w:rFonts w:eastAsia="Calibri" w:cstheme="minorHAnsi"/>
          <w:sz w:val="24"/>
          <w:lang w:val="sr-Latn-ME" w:eastAsia="sr-Latn-ME"/>
        </w:rPr>
        <w:t>U 2024</w:t>
      </w:r>
      <w:r>
        <w:rPr>
          <w:rFonts w:eastAsia="Calibri" w:cstheme="minorHAnsi"/>
          <w:sz w:val="24"/>
          <w:lang w:val="sr-Latn-ME" w:eastAsia="sr-Latn-ME"/>
        </w:rPr>
        <w:t xml:space="preserve">, </w:t>
      </w:r>
      <w:r w:rsidRPr="00515C5F">
        <w:rPr>
          <w:rFonts w:eastAsia="Calibri" w:cstheme="minorHAnsi"/>
          <w:sz w:val="24"/>
          <w:lang w:val="sr-Latn-ME" w:eastAsia="sr-Latn-ME"/>
        </w:rPr>
        <w:t>prognozira se rast BDP-a EU na 1,3%, dok se u Eurozoni predviđa niži rast BDP-a od 1,2%</w:t>
      </w:r>
      <w:r w:rsidRPr="00515C5F">
        <w:rPr>
          <w:rStyle w:val="FootnoteReference"/>
          <w:rFonts w:eastAsia="Calibri" w:cstheme="minorHAnsi"/>
          <w:sz w:val="24"/>
          <w:lang w:val="sr-Latn-ME" w:eastAsia="sr-Latn-ME"/>
        </w:rPr>
        <w:footnoteReference w:id="11"/>
      </w:r>
      <w:r w:rsidRPr="00515C5F">
        <w:rPr>
          <w:rFonts w:eastAsia="Calibri" w:cstheme="minorHAnsi"/>
          <w:sz w:val="24"/>
          <w:lang w:val="sr-Latn-ME" w:eastAsia="sr-Latn-ME"/>
        </w:rPr>
        <w:t>.</w:t>
      </w:r>
    </w:p>
    <w:p w14:paraId="32118A4B" w14:textId="6DFD2B64" w:rsidR="004D5210" w:rsidRDefault="00CB2E14" w:rsidP="004D5210">
      <w:pPr>
        <w:spacing w:line="276" w:lineRule="auto"/>
        <w:jc w:val="both"/>
        <w:rPr>
          <w:rFonts w:eastAsia="Calibri" w:cstheme="minorHAnsi"/>
          <w:sz w:val="24"/>
          <w:lang w:val="sr-Latn-ME" w:eastAsia="sr-Latn-ME"/>
        </w:rPr>
      </w:pPr>
      <w:r w:rsidRPr="00515C5F">
        <w:rPr>
          <w:rFonts w:eastAsia="Calibri" w:cstheme="minorHAnsi"/>
          <w:sz w:val="24"/>
          <w:lang w:val="sr-Latn-ME" w:eastAsia="sr-Latn-ME"/>
        </w:rPr>
        <w:t>Redovnim ekonomskim izvještajem Svjetske banke za zemlje Zapadnog Balkana</w:t>
      </w:r>
      <w:r w:rsidRPr="00515C5F">
        <w:rPr>
          <w:rFonts w:eastAsia="Calibri" w:cstheme="minorHAnsi"/>
          <w:sz w:val="24"/>
          <w:vertAlign w:val="superscript"/>
          <w:lang w:val="sr-Latn-ME" w:eastAsia="sr-Latn-ME"/>
        </w:rPr>
        <w:footnoteReference w:id="12"/>
      </w:r>
      <w:r w:rsidRPr="00515C5F">
        <w:rPr>
          <w:rFonts w:eastAsia="Calibri" w:cstheme="minorHAnsi"/>
          <w:sz w:val="24"/>
          <w:lang w:val="sr-Latn-ME" w:eastAsia="sr-Latn-ME"/>
        </w:rPr>
        <w:t xml:space="preserve">, nakon usporavanja u 2023, očekuje se umjereno ubrzanje ekonomskog rasta na Zapadnom Balkanu na 3,0% u 2024. Rast bi trebao biti podržan oporavkom EU, glavnog trgovinskog partnera Zapadnog Balkana i smanjenjem inflacije, što će ojačati raspoloživi dohodak i podržati potrošnju. </w:t>
      </w:r>
    </w:p>
    <w:p w14:paraId="24768534" w14:textId="79655092" w:rsidR="004D5210" w:rsidRDefault="004D5210" w:rsidP="004D5210">
      <w:pPr>
        <w:spacing w:line="276" w:lineRule="auto"/>
        <w:jc w:val="both"/>
        <w:rPr>
          <w:rFonts w:eastAsia="Calibri" w:cstheme="minorHAnsi"/>
          <w:sz w:val="24"/>
          <w:lang w:val="sr-Latn-ME" w:eastAsia="sr-Latn-ME"/>
        </w:rPr>
      </w:pPr>
    </w:p>
    <w:p w14:paraId="3ED0DA50" w14:textId="34183624" w:rsidR="004D5210" w:rsidRDefault="004D5210" w:rsidP="004D5210">
      <w:pPr>
        <w:spacing w:line="276" w:lineRule="auto"/>
        <w:jc w:val="both"/>
        <w:rPr>
          <w:rFonts w:eastAsia="Calibri" w:cstheme="minorHAnsi"/>
          <w:sz w:val="24"/>
          <w:lang w:val="sr-Latn-ME" w:eastAsia="sr-Latn-ME"/>
        </w:rPr>
      </w:pPr>
    </w:p>
    <w:p w14:paraId="1FE1E53D" w14:textId="04DF1293" w:rsidR="004D5210" w:rsidRDefault="004D5210" w:rsidP="004D5210">
      <w:pPr>
        <w:spacing w:line="276" w:lineRule="auto"/>
        <w:jc w:val="both"/>
        <w:rPr>
          <w:rFonts w:eastAsia="Calibri" w:cstheme="minorHAnsi"/>
          <w:sz w:val="24"/>
          <w:lang w:val="sr-Latn-ME" w:eastAsia="sr-Latn-ME"/>
        </w:rPr>
      </w:pPr>
    </w:p>
    <w:p w14:paraId="7CD853C9" w14:textId="5EE02934" w:rsidR="004D5210" w:rsidRDefault="004D5210" w:rsidP="004D5210">
      <w:pPr>
        <w:spacing w:line="276" w:lineRule="auto"/>
        <w:jc w:val="both"/>
        <w:rPr>
          <w:rFonts w:eastAsia="Calibri" w:cstheme="minorHAnsi"/>
          <w:sz w:val="24"/>
          <w:lang w:val="sr-Latn-ME" w:eastAsia="sr-Latn-ME"/>
        </w:rPr>
      </w:pPr>
    </w:p>
    <w:p w14:paraId="5899A394" w14:textId="124E2EF9" w:rsidR="004D5210" w:rsidRDefault="004D5210" w:rsidP="004D5210">
      <w:pPr>
        <w:spacing w:line="276" w:lineRule="auto"/>
        <w:jc w:val="both"/>
        <w:rPr>
          <w:rFonts w:eastAsia="Calibri" w:cstheme="minorHAnsi"/>
          <w:sz w:val="24"/>
          <w:lang w:val="sr-Latn-ME" w:eastAsia="sr-Latn-ME"/>
        </w:rPr>
      </w:pPr>
    </w:p>
    <w:p w14:paraId="3211DB35" w14:textId="79D66C9C" w:rsidR="00CB2E14" w:rsidRPr="004D5210" w:rsidRDefault="00CB2E14" w:rsidP="004D5210">
      <w:pPr>
        <w:spacing w:line="276" w:lineRule="auto"/>
        <w:jc w:val="both"/>
        <w:rPr>
          <w:rFonts w:eastAsia="Calibri" w:cstheme="minorHAnsi"/>
          <w:b/>
          <w:color w:val="2F5496" w:themeColor="accent1" w:themeShade="BF"/>
          <w:sz w:val="20"/>
          <w:szCs w:val="20"/>
          <w:lang w:val="sr-Latn-ME" w:eastAsia="sr-Latn-ME"/>
        </w:rPr>
      </w:pPr>
      <w:r w:rsidRPr="004D5210">
        <w:rPr>
          <w:rFonts w:eastAsia="Calibri" w:cstheme="minorHAnsi"/>
          <w:b/>
          <w:color w:val="2F5496" w:themeColor="accent1" w:themeShade="BF"/>
          <w:sz w:val="20"/>
          <w:szCs w:val="20"/>
          <w:lang w:val="sr-Latn-ME" w:eastAsia="sr-Latn-ME"/>
        </w:rPr>
        <w:lastRenderedPageBreak/>
        <w:t>Tabela 3: Projekcije rasta BDP-a za Crnu Goru i zemlje Zapadnog Balkana</w:t>
      </w:r>
    </w:p>
    <w:p w14:paraId="72133C6B" w14:textId="77777777" w:rsidR="00CB2E14" w:rsidRPr="0077004D" w:rsidRDefault="00CB2E14" w:rsidP="00CB2E14">
      <w:pPr>
        <w:spacing w:after="0" w:line="20" w:lineRule="exact"/>
        <w:rPr>
          <w:rFonts w:ascii="Times New Roman" w:eastAsia="Times New Roman" w:hAnsi="Times New Roman" w:cs="Arial"/>
          <w:sz w:val="20"/>
          <w:szCs w:val="20"/>
          <w:lang w:val="sr-Latn-ME" w:eastAsia="sr-Latn-ME"/>
        </w:rPr>
      </w:pPr>
      <w:r w:rsidRPr="0077004D">
        <w:rPr>
          <w:rFonts w:ascii="Calibri" w:eastAsia="Calibri" w:hAnsi="Calibri" w:cs="Arial"/>
          <w:b/>
          <w:noProof/>
          <w:sz w:val="24"/>
          <w:szCs w:val="20"/>
          <w:lang w:val="en-GB" w:eastAsia="en-GB"/>
        </w:rPr>
        <mc:AlternateContent>
          <mc:Choice Requires="wps">
            <w:drawing>
              <wp:anchor distT="0" distB="0" distL="114300" distR="114300" simplePos="0" relativeHeight="251661312" behindDoc="1" locked="0" layoutInCell="1" allowOverlap="1" wp14:anchorId="08A1E72C" wp14:editId="462E4452">
                <wp:simplePos x="0" y="0"/>
                <wp:positionH relativeFrom="column">
                  <wp:posOffset>12700</wp:posOffset>
                </wp:positionH>
                <wp:positionV relativeFrom="paragraph">
                  <wp:posOffset>164465</wp:posOffset>
                </wp:positionV>
                <wp:extent cx="5789295" cy="0"/>
                <wp:effectExtent l="9525" t="12700" r="11430" b="63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9295" cy="0"/>
                        </a:xfrm>
                        <a:prstGeom prst="line">
                          <a:avLst/>
                        </a:prstGeom>
                        <a:noFill/>
                        <a:ln w="12191">
                          <a:solidFill>
                            <a:srgbClr val="4BACC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B46B949" id="Straight Connector 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12.95pt" to="456.8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" strokecolor="#4bacc6" strokeweight=".33864mm"/>
            </w:pict>
          </mc:Fallback>
        </mc:AlternateContent>
      </w:r>
    </w:p>
    <w:tbl>
      <w:tblPr>
        <w:tblW w:w="9085" w:type="dxa"/>
        <w:tblLayout w:type="fixed"/>
        <w:tblCellMar>
          <w:left w:w="0" w:type="dxa"/>
          <w:right w:w="0" w:type="dxa"/>
        </w:tblCellMar>
        <w:tblLook w:val="0000" w:firstRow="0" w:lastRow="0" w:firstColumn="0" w:lastColumn="0" w:noHBand="0" w:noVBand="0"/>
      </w:tblPr>
      <w:tblGrid>
        <w:gridCol w:w="20"/>
        <w:gridCol w:w="2876"/>
        <w:gridCol w:w="912"/>
        <w:gridCol w:w="1131"/>
        <w:gridCol w:w="754"/>
        <w:gridCol w:w="853"/>
        <w:gridCol w:w="1309"/>
        <w:gridCol w:w="1230"/>
      </w:tblGrid>
      <w:tr w:rsidR="00CB2E14" w:rsidRPr="00882F2F" w14:paraId="208DA609" w14:textId="77777777" w:rsidTr="004D5210">
        <w:trPr>
          <w:trHeight w:val="18"/>
        </w:trPr>
        <w:tc>
          <w:tcPr>
            <w:tcW w:w="19" w:type="dxa"/>
            <w:shd w:val="clear" w:color="auto" w:fill="auto"/>
            <w:vAlign w:val="bottom"/>
          </w:tcPr>
          <w:p w14:paraId="6701CF9A" w14:textId="77777777" w:rsidR="00CB2E14" w:rsidRPr="00882F2F" w:rsidRDefault="00CB2E14" w:rsidP="00CB2E14">
            <w:pPr>
              <w:spacing w:after="0" w:line="0" w:lineRule="atLeast"/>
              <w:rPr>
                <w:rFonts w:eastAsia="Times New Roman" w:cstheme="minorHAnsi"/>
                <w:sz w:val="18"/>
                <w:szCs w:val="18"/>
                <w:lang w:val="sr-Latn-ME" w:eastAsia="sr-Latn-ME"/>
              </w:rPr>
            </w:pPr>
          </w:p>
        </w:tc>
        <w:tc>
          <w:tcPr>
            <w:tcW w:w="2877" w:type="dxa"/>
            <w:tcBorders>
              <w:bottom w:val="single" w:sz="8" w:space="0" w:color="4BACC6"/>
            </w:tcBorders>
            <w:shd w:val="clear" w:color="auto" w:fill="auto"/>
            <w:vAlign w:val="bottom"/>
          </w:tcPr>
          <w:p w14:paraId="4B86352A" w14:textId="77777777" w:rsidR="00CB2E14" w:rsidRPr="00882F2F" w:rsidRDefault="00CB2E14" w:rsidP="00CB2E14">
            <w:pPr>
              <w:spacing w:after="0" w:line="0" w:lineRule="atLeast"/>
              <w:ind w:left="100"/>
              <w:rPr>
                <w:rFonts w:eastAsia="Calibri" w:cstheme="minorHAnsi"/>
                <w:b/>
                <w:sz w:val="18"/>
                <w:szCs w:val="18"/>
                <w:lang w:val="sr-Latn-ME" w:eastAsia="sr-Latn-ME"/>
              </w:rPr>
            </w:pPr>
            <w:r w:rsidRPr="00882F2F">
              <w:rPr>
                <w:rFonts w:eastAsia="Calibri" w:cstheme="minorHAnsi"/>
                <w:b/>
                <w:sz w:val="18"/>
                <w:szCs w:val="18"/>
                <w:lang w:val="sr-Latn-ME" w:eastAsia="sr-Latn-ME"/>
              </w:rPr>
              <w:t>Realni rast BDP-a, u %</w:t>
            </w:r>
          </w:p>
        </w:tc>
        <w:tc>
          <w:tcPr>
            <w:tcW w:w="2043" w:type="dxa"/>
            <w:gridSpan w:val="2"/>
            <w:tcBorders>
              <w:bottom w:val="single" w:sz="8" w:space="0" w:color="4BACC6"/>
            </w:tcBorders>
            <w:shd w:val="clear" w:color="auto" w:fill="auto"/>
            <w:vAlign w:val="bottom"/>
          </w:tcPr>
          <w:p w14:paraId="76B26D83" w14:textId="77777777" w:rsidR="00CB2E14" w:rsidRPr="00882F2F" w:rsidRDefault="00CB2E14" w:rsidP="00CB2E14">
            <w:pPr>
              <w:spacing w:after="0" w:line="0" w:lineRule="atLeast"/>
              <w:ind w:left="360"/>
              <w:rPr>
                <w:rFonts w:eastAsia="Calibri" w:cstheme="minorHAnsi"/>
                <w:b/>
                <w:sz w:val="18"/>
                <w:szCs w:val="18"/>
                <w:lang w:val="sr-Latn-ME" w:eastAsia="sr-Latn-ME"/>
              </w:rPr>
            </w:pPr>
            <w:r w:rsidRPr="00882F2F">
              <w:rPr>
                <w:rFonts w:eastAsia="Calibri" w:cstheme="minorHAnsi"/>
                <w:b/>
                <w:sz w:val="18"/>
                <w:szCs w:val="18"/>
                <w:lang w:val="sr-Latn-ME" w:eastAsia="sr-Latn-ME"/>
              </w:rPr>
              <w:t>Svjetska banka</w:t>
            </w:r>
          </w:p>
        </w:tc>
        <w:tc>
          <w:tcPr>
            <w:tcW w:w="1607" w:type="dxa"/>
            <w:gridSpan w:val="2"/>
            <w:tcBorders>
              <w:bottom w:val="single" w:sz="8" w:space="0" w:color="4BACC6"/>
            </w:tcBorders>
            <w:shd w:val="clear" w:color="auto" w:fill="auto"/>
            <w:vAlign w:val="bottom"/>
          </w:tcPr>
          <w:p w14:paraId="362031F4" w14:textId="77777777" w:rsidR="00CB2E14" w:rsidRPr="00882F2F" w:rsidRDefault="00CB2E14" w:rsidP="00CB2E14">
            <w:pPr>
              <w:spacing w:after="0" w:line="0" w:lineRule="atLeast"/>
              <w:ind w:left="620"/>
              <w:rPr>
                <w:rFonts w:eastAsia="Calibri" w:cstheme="minorHAnsi"/>
                <w:b/>
                <w:sz w:val="18"/>
                <w:szCs w:val="18"/>
                <w:lang w:val="sr-Latn-ME" w:eastAsia="sr-Latn-ME"/>
              </w:rPr>
            </w:pPr>
            <w:r w:rsidRPr="00882F2F">
              <w:rPr>
                <w:rFonts w:eastAsia="Calibri" w:cstheme="minorHAnsi"/>
                <w:b/>
                <w:sz w:val="18"/>
                <w:szCs w:val="18"/>
                <w:lang w:val="sr-Latn-ME" w:eastAsia="sr-Latn-ME"/>
              </w:rPr>
              <w:t>MMF</w:t>
            </w:r>
          </w:p>
        </w:tc>
        <w:tc>
          <w:tcPr>
            <w:tcW w:w="2539" w:type="dxa"/>
            <w:gridSpan w:val="2"/>
            <w:tcBorders>
              <w:bottom w:val="single" w:sz="8" w:space="0" w:color="4BACC6"/>
            </w:tcBorders>
            <w:shd w:val="clear" w:color="auto" w:fill="auto"/>
            <w:vAlign w:val="bottom"/>
          </w:tcPr>
          <w:p w14:paraId="0C291EC2" w14:textId="77777777" w:rsidR="00CB2E14" w:rsidRPr="00882F2F" w:rsidRDefault="00CB2E14" w:rsidP="00CB2E14">
            <w:pPr>
              <w:spacing w:after="0" w:line="0" w:lineRule="atLeast"/>
              <w:ind w:left="500"/>
              <w:rPr>
                <w:rFonts w:eastAsia="Calibri" w:cstheme="minorHAnsi"/>
                <w:b/>
                <w:sz w:val="18"/>
                <w:szCs w:val="18"/>
                <w:lang w:val="sr-Latn-ME" w:eastAsia="sr-Latn-ME"/>
              </w:rPr>
            </w:pPr>
            <w:r w:rsidRPr="00882F2F">
              <w:rPr>
                <w:rFonts w:eastAsia="Calibri" w:cstheme="minorHAnsi"/>
                <w:b/>
                <w:sz w:val="18"/>
                <w:szCs w:val="18"/>
                <w:lang w:val="sr-Latn-ME" w:eastAsia="sr-Latn-ME"/>
              </w:rPr>
              <w:t>Evropska komisija</w:t>
            </w:r>
          </w:p>
        </w:tc>
      </w:tr>
      <w:tr w:rsidR="00CB2E14" w:rsidRPr="00882F2F" w14:paraId="2D4ADAD7" w14:textId="77777777" w:rsidTr="004D5210">
        <w:trPr>
          <w:trHeight w:val="18"/>
        </w:trPr>
        <w:tc>
          <w:tcPr>
            <w:tcW w:w="19" w:type="dxa"/>
            <w:shd w:val="clear" w:color="auto" w:fill="auto"/>
            <w:vAlign w:val="bottom"/>
          </w:tcPr>
          <w:p w14:paraId="75276B87" w14:textId="77777777" w:rsidR="00CB2E14" w:rsidRPr="00882F2F" w:rsidRDefault="00CB2E14" w:rsidP="00CB2E14">
            <w:pPr>
              <w:spacing w:after="0" w:line="0" w:lineRule="atLeast"/>
              <w:rPr>
                <w:rFonts w:eastAsia="Times New Roman" w:cstheme="minorHAnsi"/>
                <w:sz w:val="18"/>
                <w:szCs w:val="18"/>
                <w:lang w:val="sr-Latn-ME" w:eastAsia="sr-Latn-ME"/>
              </w:rPr>
            </w:pPr>
          </w:p>
        </w:tc>
        <w:tc>
          <w:tcPr>
            <w:tcW w:w="2877" w:type="dxa"/>
            <w:shd w:val="clear" w:color="auto" w:fill="D2EAF1"/>
            <w:vAlign w:val="bottom"/>
          </w:tcPr>
          <w:p w14:paraId="04550618" w14:textId="77777777" w:rsidR="00CB2E14" w:rsidRPr="00882F2F" w:rsidRDefault="00CB2E14" w:rsidP="00CB2E14">
            <w:pPr>
              <w:spacing w:after="0" w:line="0" w:lineRule="atLeast"/>
              <w:rPr>
                <w:rFonts w:eastAsia="Times New Roman" w:cstheme="minorHAnsi"/>
                <w:sz w:val="18"/>
                <w:szCs w:val="18"/>
                <w:lang w:val="sr-Latn-ME" w:eastAsia="sr-Latn-ME"/>
              </w:rPr>
            </w:pPr>
          </w:p>
        </w:tc>
        <w:tc>
          <w:tcPr>
            <w:tcW w:w="912" w:type="dxa"/>
            <w:shd w:val="clear" w:color="auto" w:fill="D2EAF1"/>
            <w:vAlign w:val="bottom"/>
          </w:tcPr>
          <w:p w14:paraId="4CD7777F" w14:textId="77777777" w:rsidR="00CB2E14" w:rsidRPr="00882F2F" w:rsidRDefault="00CB2E14" w:rsidP="00CB2E14">
            <w:pPr>
              <w:spacing w:after="0" w:line="261" w:lineRule="exact"/>
              <w:ind w:left="10"/>
              <w:jc w:val="center"/>
              <w:rPr>
                <w:rFonts w:eastAsia="Calibri" w:cstheme="minorHAnsi"/>
                <w:w w:val="98"/>
                <w:sz w:val="18"/>
                <w:szCs w:val="18"/>
                <w:lang w:val="sr-Latn-ME" w:eastAsia="sr-Latn-ME"/>
              </w:rPr>
            </w:pPr>
            <w:r w:rsidRPr="00882F2F">
              <w:rPr>
                <w:rFonts w:eastAsia="Calibri" w:cstheme="minorHAnsi"/>
                <w:w w:val="98"/>
                <w:sz w:val="18"/>
                <w:szCs w:val="18"/>
                <w:lang w:val="sr-Latn-ME" w:eastAsia="sr-Latn-ME"/>
              </w:rPr>
              <w:t>2023</w:t>
            </w:r>
          </w:p>
        </w:tc>
        <w:tc>
          <w:tcPr>
            <w:tcW w:w="1131" w:type="dxa"/>
            <w:shd w:val="clear" w:color="auto" w:fill="D2EAF1"/>
            <w:vAlign w:val="bottom"/>
          </w:tcPr>
          <w:p w14:paraId="0110267F" w14:textId="77777777" w:rsidR="00CB2E14" w:rsidRPr="00882F2F" w:rsidRDefault="00CB2E14" w:rsidP="00CB2E14">
            <w:pPr>
              <w:spacing w:after="0" w:line="261" w:lineRule="exact"/>
              <w:ind w:left="10"/>
              <w:jc w:val="center"/>
              <w:rPr>
                <w:rFonts w:eastAsia="Calibri" w:cstheme="minorHAnsi"/>
                <w:sz w:val="18"/>
                <w:szCs w:val="18"/>
                <w:lang w:val="sr-Latn-ME" w:eastAsia="sr-Latn-ME"/>
              </w:rPr>
            </w:pPr>
            <w:r w:rsidRPr="00882F2F">
              <w:rPr>
                <w:rFonts w:eastAsia="Calibri" w:cstheme="minorHAnsi"/>
                <w:sz w:val="18"/>
                <w:szCs w:val="18"/>
                <w:lang w:val="sr-Latn-ME" w:eastAsia="sr-Latn-ME"/>
              </w:rPr>
              <w:t>2024</w:t>
            </w:r>
          </w:p>
        </w:tc>
        <w:tc>
          <w:tcPr>
            <w:tcW w:w="754" w:type="dxa"/>
            <w:shd w:val="clear" w:color="auto" w:fill="D2EAF1"/>
            <w:vAlign w:val="bottom"/>
          </w:tcPr>
          <w:p w14:paraId="63A18411" w14:textId="77777777" w:rsidR="00CB2E14" w:rsidRPr="00882F2F" w:rsidRDefault="00CB2E14" w:rsidP="00CB2E14">
            <w:pPr>
              <w:spacing w:after="0" w:line="261" w:lineRule="exact"/>
              <w:ind w:left="10"/>
              <w:jc w:val="center"/>
              <w:rPr>
                <w:rFonts w:eastAsia="Calibri" w:cstheme="minorHAnsi"/>
                <w:w w:val="98"/>
                <w:sz w:val="18"/>
                <w:szCs w:val="18"/>
                <w:lang w:val="sr-Latn-ME" w:eastAsia="sr-Latn-ME"/>
              </w:rPr>
            </w:pPr>
            <w:r w:rsidRPr="00882F2F">
              <w:rPr>
                <w:rFonts w:eastAsia="Calibri" w:cstheme="minorHAnsi"/>
                <w:w w:val="98"/>
                <w:sz w:val="18"/>
                <w:szCs w:val="18"/>
                <w:lang w:val="sr-Latn-ME" w:eastAsia="sr-Latn-ME"/>
              </w:rPr>
              <w:t>2023</w:t>
            </w:r>
          </w:p>
        </w:tc>
        <w:tc>
          <w:tcPr>
            <w:tcW w:w="853" w:type="dxa"/>
            <w:shd w:val="clear" w:color="auto" w:fill="D2EAF1"/>
            <w:vAlign w:val="bottom"/>
          </w:tcPr>
          <w:p w14:paraId="46546747" w14:textId="77777777" w:rsidR="00CB2E14" w:rsidRPr="00882F2F" w:rsidRDefault="00CB2E14" w:rsidP="00CB2E14">
            <w:pPr>
              <w:spacing w:after="0" w:line="261" w:lineRule="exact"/>
              <w:ind w:left="110"/>
              <w:jc w:val="center"/>
              <w:rPr>
                <w:rFonts w:eastAsia="Calibri" w:cstheme="minorHAnsi"/>
                <w:w w:val="98"/>
                <w:sz w:val="18"/>
                <w:szCs w:val="18"/>
                <w:lang w:val="sr-Latn-ME" w:eastAsia="sr-Latn-ME"/>
              </w:rPr>
            </w:pPr>
            <w:r w:rsidRPr="00882F2F">
              <w:rPr>
                <w:rFonts w:eastAsia="Calibri" w:cstheme="minorHAnsi"/>
                <w:w w:val="98"/>
                <w:sz w:val="18"/>
                <w:szCs w:val="18"/>
                <w:lang w:val="sr-Latn-ME" w:eastAsia="sr-Latn-ME"/>
              </w:rPr>
              <w:t>2024</w:t>
            </w:r>
          </w:p>
        </w:tc>
        <w:tc>
          <w:tcPr>
            <w:tcW w:w="1309" w:type="dxa"/>
            <w:shd w:val="clear" w:color="auto" w:fill="D2EAF1"/>
            <w:vAlign w:val="bottom"/>
          </w:tcPr>
          <w:p w14:paraId="2F0AF1B3" w14:textId="77777777" w:rsidR="00CB2E14" w:rsidRPr="00882F2F" w:rsidRDefault="00CB2E14" w:rsidP="00CB2E14">
            <w:pPr>
              <w:spacing w:after="0" w:line="261" w:lineRule="exact"/>
              <w:ind w:left="10"/>
              <w:jc w:val="center"/>
              <w:rPr>
                <w:rFonts w:eastAsia="Calibri" w:cstheme="minorHAnsi"/>
                <w:w w:val="98"/>
                <w:sz w:val="18"/>
                <w:szCs w:val="18"/>
                <w:lang w:val="sr-Latn-ME" w:eastAsia="sr-Latn-ME"/>
              </w:rPr>
            </w:pPr>
            <w:r w:rsidRPr="00882F2F">
              <w:rPr>
                <w:rFonts w:eastAsia="Calibri" w:cstheme="minorHAnsi"/>
                <w:w w:val="98"/>
                <w:sz w:val="18"/>
                <w:szCs w:val="18"/>
                <w:lang w:val="sr-Latn-ME" w:eastAsia="sr-Latn-ME"/>
              </w:rPr>
              <w:t>2023</w:t>
            </w:r>
          </w:p>
        </w:tc>
        <w:tc>
          <w:tcPr>
            <w:tcW w:w="1230" w:type="dxa"/>
            <w:shd w:val="clear" w:color="auto" w:fill="D2EAF1"/>
            <w:vAlign w:val="bottom"/>
          </w:tcPr>
          <w:p w14:paraId="51E730E0" w14:textId="77777777" w:rsidR="00CB2E14" w:rsidRPr="00882F2F" w:rsidRDefault="00CB2E14" w:rsidP="00CB2E14">
            <w:pPr>
              <w:spacing w:after="0" w:line="261" w:lineRule="exact"/>
              <w:jc w:val="center"/>
              <w:rPr>
                <w:rFonts w:eastAsia="Calibri" w:cstheme="minorHAnsi"/>
                <w:sz w:val="18"/>
                <w:szCs w:val="18"/>
                <w:lang w:val="sr-Latn-ME" w:eastAsia="sr-Latn-ME"/>
              </w:rPr>
            </w:pPr>
            <w:r w:rsidRPr="00882F2F">
              <w:rPr>
                <w:rFonts w:eastAsia="Calibri" w:cstheme="minorHAnsi"/>
                <w:sz w:val="18"/>
                <w:szCs w:val="18"/>
                <w:lang w:val="sr-Latn-ME" w:eastAsia="sr-Latn-ME"/>
              </w:rPr>
              <w:t>2024</w:t>
            </w:r>
          </w:p>
        </w:tc>
      </w:tr>
      <w:tr w:rsidR="00CB2E14" w:rsidRPr="00882F2F" w14:paraId="1E260828" w14:textId="77777777" w:rsidTr="004D5210">
        <w:trPr>
          <w:trHeight w:val="18"/>
        </w:trPr>
        <w:tc>
          <w:tcPr>
            <w:tcW w:w="19" w:type="dxa"/>
            <w:shd w:val="clear" w:color="auto" w:fill="auto"/>
            <w:vAlign w:val="bottom"/>
          </w:tcPr>
          <w:p w14:paraId="2BBA3F4D" w14:textId="77777777" w:rsidR="00CB2E14" w:rsidRPr="00882F2F" w:rsidRDefault="00CB2E14" w:rsidP="00CB2E14">
            <w:pPr>
              <w:spacing w:after="0" w:line="0" w:lineRule="atLeast"/>
              <w:rPr>
                <w:rFonts w:eastAsia="Times New Roman" w:cstheme="minorHAnsi"/>
                <w:sz w:val="18"/>
                <w:szCs w:val="18"/>
                <w:lang w:val="sr-Latn-ME" w:eastAsia="sr-Latn-ME"/>
              </w:rPr>
            </w:pPr>
          </w:p>
        </w:tc>
        <w:tc>
          <w:tcPr>
            <w:tcW w:w="2877" w:type="dxa"/>
            <w:shd w:val="clear" w:color="auto" w:fill="auto"/>
            <w:vAlign w:val="bottom"/>
          </w:tcPr>
          <w:p w14:paraId="231B349B" w14:textId="77777777" w:rsidR="00CB2E14" w:rsidRPr="00882F2F" w:rsidRDefault="00CB2E14" w:rsidP="00CB2E14">
            <w:pPr>
              <w:spacing w:after="0" w:line="260" w:lineRule="exact"/>
              <w:ind w:left="100"/>
              <w:rPr>
                <w:rFonts w:eastAsia="Calibri" w:cstheme="minorHAnsi"/>
                <w:b/>
                <w:sz w:val="18"/>
                <w:szCs w:val="18"/>
                <w:lang w:val="sr-Latn-ME" w:eastAsia="sr-Latn-ME"/>
              </w:rPr>
            </w:pPr>
            <w:r w:rsidRPr="00882F2F">
              <w:rPr>
                <w:rFonts w:eastAsia="Calibri" w:cstheme="minorHAnsi"/>
                <w:b/>
                <w:sz w:val="18"/>
                <w:szCs w:val="18"/>
                <w:lang w:val="sr-Latn-ME" w:eastAsia="sr-Latn-ME"/>
              </w:rPr>
              <w:t>Crna Gora</w:t>
            </w:r>
          </w:p>
        </w:tc>
        <w:tc>
          <w:tcPr>
            <w:tcW w:w="912" w:type="dxa"/>
            <w:shd w:val="clear" w:color="auto" w:fill="auto"/>
            <w:vAlign w:val="bottom"/>
          </w:tcPr>
          <w:p w14:paraId="65BDEAA9" w14:textId="77777777" w:rsidR="00CB2E14" w:rsidRPr="00882F2F" w:rsidRDefault="00CB2E14" w:rsidP="00CB2E14">
            <w:pPr>
              <w:spacing w:after="0" w:line="260" w:lineRule="exact"/>
              <w:ind w:left="10"/>
              <w:jc w:val="center"/>
              <w:rPr>
                <w:rFonts w:eastAsia="Calibri" w:cstheme="minorHAnsi"/>
                <w:sz w:val="18"/>
                <w:szCs w:val="18"/>
                <w:lang w:val="sr-Latn-ME" w:eastAsia="sr-Latn-ME"/>
              </w:rPr>
            </w:pPr>
            <w:r w:rsidRPr="00882F2F">
              <w:rPr>
                <w:rFonts w:eastAsia="Calibri" w:cstheme="minorHAnsi"/>
                <w:sz w:val="18"/>
                <w:szCs w:val="18"/>
                <w:lang w:val="sr-Latn-ME" w:eastAsia="sr-Latn-ME"/>
              </w:rPr>
              <w:t>4,8</w:t>
            </w:r>
          </w:p>
        </w:tc>
        <w:tc>
          <w:tcPr>
            <w:tcW w:w="1131" w:type="dxa"/>
            <w:shd w:val="clear" w:color="auto" w:fill="auto"/>
            <w:vAlign w:val="bottom"/>
          </w:tcPr>
          <w:p w14:paraId="41E032C1" w14:textId="77777777" w:rsidR="00CB2E14" w:rsidRPr="00882F2F" w:rsidRDefault="00CB2E14" w:rsidP="00CB2E14">
            <w:pPr>
              <w:spacing w:after="0" w:line="260" w:lineRule="exact"/>
              <w:jc w:val="center"/>
              <w:rPr>
                <w:rFonts w:eastAsia="Calibri" w:cstheme="minorHAnsi"/>
                <w:sz w:val="18"/>
                <w:szCs w:val="18"/>
                <w:lang w:val="sr-Latn-ME" w:eastAsia="sr-Latn-ME"/>
              </w:rPr>
            </w:pPr>
            <w:r w:rsidRPr="00882F2F">
              <w:rPr>
                <w:rFonts w:eastAsia="Calibri" w:cstheme="minorHAnsi"/>
                <w:sz w:val="18"/>
                <w:szCs w:val="18"/>
                <w:lang w:val="sr-Latn-ME" w:eastAsia="sr-Latn-ME"/>
              </w:rPr>
              <w:t>3,2</w:t>
            </w:r>
          </w:p>
        </w:tc>
        <w:tc>
          <w:tcPr>
            <w:tcW w:w="754" w:type="dxa"/>
            <w:shd w:val="clear" w:color="auto" w:fill="auto"/>
            <w:vAlign w:val="bottom"/>
          </w:tcPr>
          <w:p w14:paraId="5107FC64" w14:textId="77777777" w:rsidR="00CB2E14" w:rsidRPr="00882F2F" w:rsidRDefault="00CB2E14" w:rsidP="00CB2E14">
            <w:pPr>
              <w:spacing w:after="0" w:line="260" w:lineRule="exact"/>
              <w:ind w:left="10"/>
              <w:jc w:val="center"/>
              <w:rPr>
                <w:rFonts w:eastAsia="Calibri" w:cstheme="minorHAnsi"/>
                <w:sz w:val="18"/>
                <w:szCs w:val="18"/>
                <w:lang w:val="sr-Latn-ME" w:eastAsia="sr-Latn-ME"/>
              </w:rPr>
            </w:pPr>
            <w:r w:rsidRPr="00882F2F">
              <w:rPr>
                <w:rFonts w:eastAsia="Calibri" w:cstheme="minorHAnsi"/>
                <w:sz w:val="18"/>
                <w:szCs w:val="18"/>
                <w:lang w:val="sr-Latn-ME" w:eastAsia="sr-Latn-ME"/>
              </w:rPr>
              <w:t>4,5</w:t>
            </w:r>
          </w:p>
        </w:tc>
        <w:tc>
          <w:tcPr>
            <w:tcW w:w="853" w:type="dxa"/>
            <w:shd w:val="clear" w:color="auto" w:fill="auto"/>
            <w:vAlign w:val="bottom"/>
          </w:tcPr>
          <w:p w14:paraId="3A6A5FD8" w14:textId="77777777" w:rsidR="00CB2E14" w:rsidRPr="00882F2F" w:rsidRDefault="00CB2E14" w:rsidP="00CB2E14">
            <w:pPr>
              <w:spacing w:after="0" w:line="260" w:lineRule="exact"/>
              <w:ind w:left="110"/>
              <w:jc w:val="center"/>
              <w:rPr>
                <w:rFonts w:eastAsia="Calibri" w:cstheme="minorHAnsi"/>
                <w:sz w:val="18"/>
                <w:szCs w:val="18"/>
                <w:lang w:val="sr-Latn-ME" w:eastAsia="sr-Latn-ME"/>
              </w:rPr>
            </w:pPr>
            <w:r w:rsidRPr="00882F2F">
              <w:rPr>
                <w:rFonts w:eastAsia="Calibri" w:cstheme="minorHAnsi"/>
                <w:sz w:val="18"/>
                <w:szCs w:val="18"/>
                <w:lang w:val="sr-Latn-ME" w:eastAsia="sr-Latn-ME"/>
              </w:rPr>
              <w:t>3,7</w:t>
            </w:r>
          </w:p>
        </w:tc>
        <w:tc>
          <w:tcPr>
            <w:tcW w:w="1309" w:type="dxa"/>
            <w:shd w:val="clear" w:color="auto" w:fill="auto"/>
            <w:vAlign w:val="bottom"/>
          </w:tcPr>
          <w:p w14:paraId="1DEBC14E" w14:textId="77777777" w:rsidR="00CB2E14" w:rsidRPr="00882F2F" w:rsidRDefault="00CB2E14" w:rsidP="00CB2E14">
            <w:pPr>
              <w:spacing w:after="0" w:line="260" w:lineRule="exact"/>
              <w:ind w:left="10"/>
              <w:jc w:val="center"/>
              <w:rPr>
                <w:rFonts w:eastAsia="Calibri" w:cstheme="minorHAnsi"/>
                <w:sz w:val="18"/>
                <w:szCs w:val="18"/>
                <w:lang w:val="sr-Latn-ME" w:eastAsia="sr-Latn-ME"/>
              </w:rPr>
            </w:pPr>
            <w:r w:rsidRPr="00882F2F">
              <w:rPr>
                <w:rFonts w:eastAsia="Calibri" w:cstheme="minorHAnsi"/>
                <w:sz w:val="18"/>
                <w:szCs w:val="18"/>
                <w:lang w:val="sr-Latn-ME" w:eastAsia="sr-Latn-ME"/>
              </w:rPr>
              <w:t>4,9</w:t>
            </w:r>
          </w:p>
        </w:tc>
        <w:tc>
          <w:tcPr>
            <w:tcW w:w="1230" w:type="dxa"/>
            <w:shd w:val="clear" w:color="auto" w:fill="auto"/>
            <w:vAlign w:val="bottom"/>
          </w:tcPr>
          <w:p w14:paraId="78638D06" w14:textId="77777777" w:rsidR="00CB2E14" w:rsidRPr="00882F2F" w:rsidRDefault="00CB2E14" w:rsidP="00CB2E14">
            <w:pPr>
              <w:spacing w:after="0" w:line="260" w:lineRule="exact"/>
              <w:jc w:val="center"/>
              <w:rPr>
                <w:rFonts w:eastAsia="Calibri" w:cstheme="minorHAnsi"/>
                <w:sz w:val="18"/>
                <w:szCs w:val="18"/>
                <w:lang w:val="sr-Latn-ME" w:eastAsia="sr-Latn-ME"/>
              </w:rPr>
            </w:pPr>
            <w:r w:rsidRPr="00882F2F">
              <w:rPr>
                <w:rFonts w:eastAsia="Calibri" w:cstheme="minorHAnsi"/>
                <w:sz w:val="18"/>
                <w:szCs w:val="18"/>
                <w:lang w:val="sr-Latn-ME" w:eastAsia="sr-Latn-ME"/>
              </w:rPr>
              <w:t>2,7</w:t>
            </w:r>
          </w:p>
        </w:tc>
      </w:tr>
      <w:tr w:rsidR="00CB2E14" w:rsidRPr="00882F2F" w14:paraId="32AD64DB" w14:textId="77777777" w:rsidTr="004D5210">
        <w:trPr>
          <w:trHeight w:val="18"/>
        </w:trPr>
        <w:tc>
          <w:tcPr>
            <w:tcW w:w="19" w:type="dxa"/>
            <w:shd w:val="clear" w:color="auto" w:fill="auto"/>
            <w:vAlign w:val="bottom"/>
          </w:tcPr>
          <w:p w14:paraId="3413AC71" w14:textId="77777777" w:rsidR="00CB2E14" w:rsidRPr="00882F2F" w:rsidRDefault="00CB2E14" w:rsidP="00CB2E14">
            <w:pPr>
              <w:spacing w:after="0" w:line="0" w:lineRule="atLeast"/>
              <w:rPr>
                <w:rFonts w:eastAsia="Times New Roman" w:cstheme="minorHAnsi"/>
                <w:sz w:val="18"/>
                <w:szCs w:val="18"/>
                <w:lang w:val="sr-Latn-ME" w:eastAsia="sr-Latn-ME"/>
              </w:rPr>
            </w:pPr>
          </w:p>
        </w:tc>
        <w:tc>
          <w:tcPr>
            <w:tcW w:w="2877" w:type="dxa"/>
            <w:shd w:val="clear" w:color="auto" w:fill="D2EAF1"/>
            <w:vAlign w:val="bottom"/>
          </w:tcPr>
          <w:p w14:paraId="71CB3095" w14:textId="77777777" w:rsidR="00CB2E14" w:rsidRPr="00882F2F" w:rsidRDefault="00CB2E14" w:rsidP="00CB2E14">
            <w:pPr>
              <w:spacing w:after="0" w:line="0" w:lineRule="atLeast"/>
              <w:ind w:left="100"/>
              <w:rPr>
                <w:rFonts w:eastAsia="Calibri" w:cstheme="minorHAnsi"/>
                <w:b/>
                <w:sz w:val="18"/>
                <w:szCs w:val="18"/>
                <w:lang w:val="sr-Latn-ME" w:eastAsia="sr-Latn-ME"/>
              </w:rPr>
            </w:pPr>
            <w:r w:rsidRPr="00882F2F">
              <w:rPr>
                <w:rFonts w:eastAsia="Calibri" w:cstheme="minorHAnsi"/>
                <w:b/>
                <w:sz w:val="18"/>
                <w:szCs w:val="18"/>
                <w:lang w:val="sr-Latn-ME" w:eastAsia="sr-Latn-ME"/>
              </w:rPr>
              <w:t>Srbija</w:t>
            </w:r>
          </w:p>
        </w:tc>
        <w:tc>
          <w:tcPr>
            <w:tcW w:w="912" w:type="dxa"/>
            <w:shd w:val="clear" w:color="auto" w:fill="D2EAF1"/>
            <w:vAlign w:val="bottom"/>
          </w:tcPr>
          <w:p w14:paraId="1B13B38D" w14:textId="77777777" w:rsidR="00CB2E14" w:rsidRPr="00882F2F" w:rsidRDefault="00CB2E14" w:rsidP="00CB2E14">
            <w:pPr>
              <w:spacing w:after="0" w:line="0" w:lineRule="atLeast"/>
              <w:ind w:left="10"/>
              <w:jc w:val="center"/>
              <w:rPr>
                <w:rFonts w:eastAsia="Calibri" w:cstheme="minorHAnsi"/>
                <w:sz w:val="18"/>
                <w:szCs w:val="18"/>
                <w:lang w:val="sr-Latn-ME" w:eastAsia="sr-Latn-ME"/>
              </w:rPr>
            </w:pPr>
            <w:r w:rsidRPr="00882F2F">
              <w:rPr>
                <w:rFonts w:eastAsia="Calibri" w:cstheme="minorHAnsi"/>
                <w:sz w:val="18"/>
                <w:szCs w:val="18"/>
                <w:lang w:val="sr-Latn-ME" w:eastAsia="sr-Latn-ME"/>
              </w:rPr>
              <w:t>2,0</w:t>
            </w:r>
          </w:p>
        </w:tc>
        <w:tc>
          <w:tcPr>
            <w:tcW w:w="1131" w:type="dxa"/>
            <w:shd w:val="clear" w:color="auto" w:fill="D2EAF1"/>
            <w:vAlign w:val="bottom"/>
          </w:tcPr>
          <w:p w14:paraId="5DDBDF98" w14:textId="77777777" w:rsidR="00CB2E14" w:rsidRPr="00882F2F" w:rsidRDefault="00CB2E14" w:rsidP="00CB2E14">
            <w:pPr>
              <w:spacing w:after="0" w:line="0" w:lineRule="atLeast"/>
              <w:jc w:val="center"/>
              <w:rPr>
                <w:rFonts w:eastAsia="Calibri" w:cstheme="minorHAnsi"/>
                <w:sz w:val="18"/>
                <w:szCs w:val="18"/>
                <w:lang w:val="sr-Latn-ME" w:eastAsia="sr-Latn-ME"/>
              </w:rPr>
            </w:pPr>
            <w:r w:rsidRPr="00882F2F">
              <w:rPr>
                <w:rFonts w:eastAsia="Calibri" w:cstheme="minorHAnsi"/>
                <w:sz w:val="18"/>
                <w:szCs w:val="18"/>
                <w:lang w:val="sr-Latn-ME" w:eastAsia="sr-Latn-ME"/>
              </w:rPr>
              <w:t>3,0</w:t>
            </w:r>
          </w:p>
        </w:tc>
        <w:tc>
          <w:tcPr>
            <w:tcW w:w="754" w:type="dxa"/>
            <w:shd w:val="clear" w:color="auto" w:fill="D2EAF1"/>
            <w:vAlign w:val="bottom"/>
          </w:tcPr>
          <w:p w14:paraId="571DACF9" w14:textId="77777777" w:rsidR="00CB2E14" w:rsidRPr="00882F2F" w:rsidRDefault="00CB2E14" w:rsidP="00CB2E14">
            <w:pPr>
              <w:spacing w:after="0" w:line="0" w:lineRule="atLeast"/>
              <w:ind w:left="10"/>
              <w:jc w:val="center"/>
              <w:rPr>
                <w:rFonts w:eastAsia="Calibri" w:cstheme="minorHAnsi"/>
                <w:sz w:val="18"/>
                <w:szCs w:val="18"/>
                <w:lang w:val="sr-Latn-ME" w:eastAsia="sr-Latn-ME"/>
              </w:rPr>
            </w:pPr>
            <w:r w:rsidRPr="00882F2F">
              <w:rPr>
                <w:rFonts w:eastAsia="Calibri" w:cstheme="minorHAnsi"/>
                <w:sz w:val="18"/>
                <w:szCs w:val="18"/>
                <w:lang w:val="sr-Latn-ME" w:eastAsia="sr-Latn-ME"/>
              </w:rPr>
              <w:t>2,0</w:t>
            </w:r>
          </w:p>
        </w:tc>
        <w:tc>
          <w:tcPr>
            <w:tcW w:w="853" w:type="dxa"/>
            <w:shd w:val="clear" w:color="auto" w:fill="D2EAF1"/>
            <w:vAlign w:val="bottom"/>
          </w:tcPr>
          <w:p w14:paraId="2881B5BC" w14:textId="77777777" w:rsidR="00CB2E14" w:rsidRPr="00882F2F" w:rsidRDefault="00CB2E14" w:rsidP="00CB2E14">
            <w:pPr>
              <w:spacing w:after="0" w:line="0" w:lineRule="atLeast"/>
              <w:ind w:left="110"/>
              <w:jc w:val="center"/>
              <w:rPr>
                <w:rFonts w:eastAsia="Calibri" w:cstheme="minorHAnsi"/>
                <w:sz w:val="18"/>
                <w:szCs w:val="18"/>
                <w:lang w:val="sr-Latn-ME" w:eastAsia="sr-Latn-ME"/>
              </w:rPr>
            </w:pPr>
            <w:r w:rsidRPr="00882F2F">
              <w:rPr>
                <w:rFonts w:eastAsia="Calibri" w:cstheme="minorHAnsi"/>
                <w:sz w:val="18"/>
                <w:szCs w:val="18"/>
                <w:lang w:val="sr-Latn-ME" w:eastAsia="sr-Latn-ME"/>
              </w:rPr>
              <w:t>3,0</w:t>
            </w:r>
          </w:p>
        </w:tc>
        <w:tc>
          <w:tcPr>
            <w:tcW w:w="1309" w:type="dxa"/>
            <w:shd w:val="clear" w:color="auto" w:fill="D2EAF1"/>
            <w:vAlign w:val="bottom"/>
          </w:tcPr>
          <w:p w14:paraId="1325A8A5" w14:textId="77777777" w:rsidR="00CB2E14" w:rsidRPr="00882F2F" w:rsidRDefault="00CB2E14" w:rsidP="00CB2E14">
            <w:pPr>
              <w:spacing w:after="0" w:line="0" w:lineRule="atLeast"/>
              <w:ind w:left="10"/>
              <w:jc w:val="center"/>
              <w:rPr>
                <w:rFonts w:eastAsia="Calibri" w:cstheme="minorHAnsi"/>
                <w:sz w:val="18"/>
                <w:szCs w:val="18"/>
                <w:lang w:val="sr-Latn-ME" w:eastAsia="sr-Latn-ME"/>
              </w:rPr>
            </w:pPr>
            <w:r w:rsidRPr="00882F2F">
              <w:rPr>
                <w:rFonts w:eastAsia="Calibri" w:cstheme="minorHAnsi"/>
                <w:sz w:val="18"/>
                <w:szCs w:val="18"/>
                <w:lang w:val="sr-Latn-ME" w:eastAsia="sr-Latn-ME"/>
              </w:rPr>
              <w:t>2,2</w:t>
            </w:r>
          </w:p>
        </w:tc>
        <w:tc>
          <w:tcPr>
            <w:tcW w:w="1230" w:type="dxa"/>
            <w:shd w:val="clear" w:color="auto" w:fill="D2EAF1"/>
            <w:vAlign w:val="bottom"/>
          </w:tcPr>
          <w:p w14:paraId="26C37006" w14:textId="77777777" w:rsidR="00CB2E14" w:rsidRPr="00882F2F" w:rsidRDefault="00CB2E14" w:rsidP="00CB2E14">
            <w:pPr>
              <w:spacing w:after="0" w:line="0" w:lineRule="atLeast"/>
              <w:jc w:val="center"/>
              <w:rPr>
                <w:rFonts w:eastAsia="Calibri" w:cstheme="minorHAnsi"/>
                <w:sz w:val="18"/>
                <w:szCs w:val="18"/>
                <w:lang w:val="sr-Latn-ME" w:eastAsia="sr-Latn-ME"/>
              </w:rPr>
            </w:pPr>
            <w:r w:rsidRPr="00882F2F">
              <w:rPr>
                <w:rFonts w:eastAsia="Calibri" w:cstheme="minorHAnsi"/>
                <w:sz w:val="18"/>
                <w:szCs w:val="18"/>
                <w:lang w:val="sr-Latn-ME" w:eastAsia="sr-Latn-ME"/>
              </w:rPr>
              <w:t>3,1</w:t>
            </w:r>
          </w:p>
        </w:tc>
      </w:tr>
      <w:tr w:rsidR="00CB2E14" w:rsidRPr="00882F2F" w14:paraId="63287ECC" w14:textId="77777777" w:rsidTr="004D5210">
        <w:trPr>
          <w:trHeight w:val="18"/>
        </w:trPr>
        <w:tc>
          <w:tcPr>
            <w:tcW w:w="19" w:type="dxa"/>
            <w:shd w:val="clear" w:color="auto" w:fill="auto"/>
            <w:vAlign w:val="bottom"/>
          </w:tcPr>
          <w:p w14:paraId="4102F4C2" w14:textId="77777777" w:rsidR="00CB2E14" w:rsidRPr="00882F2F" w:rsidRDefault="00CB2E14" w:rsidP="00CB2E14">
            <w:pPr>
              <w:spacing w:after="0" w:line="0" w:lineRule="atLeast"/>
              <w:rPr>
                <w:rFonts w:eastAsia="Times New Roman" w:cstheme="minorHAnsi"/>
                <w:sz w:val="18"/>
                <w:szCs w:val="18"/>
                <w:lang w:val="sr-Latn-ME" w:eastAsia="sr-Latn-ME"/>
              </w:rPr>
            </w:pPr>
          </w:p>
        </w:tc>
        <w:tc>
          <w:tcPr>
            <w:tcW w:w="2877" w:type="dxa"/>
            <w:shd w:val="clear" w:color="auto" w:fill="auto"/>
            <w:vAlign w:val="bottom"/>
          </w:tcPr>
          <w:p w14:paraId="29749018" w14:textId="77777777" w:rsidR="00CB2E14" w:rsidRPr="00882F2F" w:rsidRDefault="00CB2E14" w:rsidP="00CB2E14">
            <w:pPr>
              <w:spacing w:after="0" w:line="260" w:lineRule="exact"/>
              <w:ind w:left="100"/>
              <w:rPr>
                <w:rFonts w:eastAsia="Calibri" w:cstheme="minorHAnsi"/>
                <w:b/>
                <w:sz w:val="18"/>
                <w:szCs w:val="18"/>
                <w:lang w:val="sr-Latn-ME" w:eastAsia="sr-Latn-ME"/>
              </w:rPr>
            </w:pPr>
            <w:r w:rsidRPr="00882F2F">
              <w:rPr>
                <w:rFonts w:eastAsia="Calibri" w:cstheme="minorHAnsi"/>
                <w:b/>
                <w:sz w:val="18"/>
                <w:szCs w:val="18"/>
                <w:lang w:val="sr-Latn-ME" w:eastAsia="sr-Latn-ME"/>
              </w:rPr>
              <w:t>Bosna i Hercegovina</w:t>
            </w:r>
          </w:p>
        </w:tc>
        <w:tc>
          <w:tcPr>
            <w:tcW w:w="912" w:type="dxa"/>
            <w:shd w:val="clear" w:color="auto" w:fill="auto"/>
            <w:vAlign w:val="bottom"/>
          </w:tcPr>
          <w:p w14:paraId="77C8A57C" w14:textId="77777777" w:rsidR="00CB2E14" w:rsidRPr="00882F2F" w:rsidRDefault="00CB2E14" w:rsidP="00CB2E14">
            <w:pPr>
              <w:spacing w:after="0" w:line="260" w:lineRule="exact"/>
              <w:ind w:left="10"/>
              <w:jc w:val="center"/>
              <w:rPr>
                <w:rFonts w:eastAsia="Calibri" w:cstheme="minorHAnsi"/>
                <w:sz w:val="18"/>
                <w:szCs w:val="18"/>
                <w:lang w:val="sr-Latn-ME" w:eastAsia="sr-Latn-ME"/>
              </w:rPr>
            </w:pPr>
            <w:r w:rsidRPr="00882F2F">
              <w:rPr>
                <w:rFonts w:eastAsia="Calibri" w:cstheme="minorHAnsi"/>
                <w:sz w:val="18"/>
                <w:szCs w:val="18"/>
                <w:lang w:val="sr-Latn-ME" w:eastAsia="sr-Latn-ME"/>
              </w:rPr>
              <w:t>2,2</w:t>
            </w:r>
          </w:p>
        </w:tc>
        <w:tc>
          <w:tcPr>
            <w:tcW w:w="1131" w:type="dxa"/>
            <w:shd w:val="clear" w:color="auto" w:fill="auto"/>
            <w:vAlign w:val="bottom"/>
          </w:tcPr>
          <w:p w14:paraId="67816BCC" w14:textId="77777777" w:rsidR="00CB2E14" w:rsidRPr="00882F2F" w:rsidRDefault="00CB2E14" w:rsidP="00CB2E14">
            <w:pPr>
              <w:spacing w:after="0" w:line="260" w:lineRule="exact"/>
              <w:jc w:val="center"/>
              <w:rPr>
                <w:rFonts w:eastAsia="Calibri" w:cstheme="minorHAnsi"/>
                <w:sz w:val="18"/>
                <w:szCs w:val="18"/>
                <w:lang w:val="sr-Latn-ME" w:eastAsia="sr-Latn-ME"/>
              </w:rPr>
            </w:pPr>
            <w:r w:rsidRPr="00882F2F">
              <w:rPr>
                <w:rFonts w:eastAsia="Calibri" w:cstheme="minorHAnsi"/>
                <w:sz w:val="18"/>
                <w:szCs w:val="18"/>
                <w:lang w:val="sr-Latn-ME" w:eastAsia="sr-Latn-ME"/>
              </w:rPr>
              <w:t>2,8</w:t>
            </w:r>
          </w:p>
        </w:tc>
        <w:tc>
          <w:tcPr>
            <w:tcW w:w="754" w:type="dxa"/>
            <w:shd w:val="clear" w:color="auto" w:fill="auto"/>
            <w:vAlign w:val="bottom"/>
          </w:tcPr>
          <w:p w14:paraId="6B1164B9" w14:textId="77777777" w:rsidR="00CB2E14" w:rsidRPr="00882F2F" w:rsidRDefault="00CB2E14" w:rsidP="00CB2E14">
            <w:pPr>
              <w:spacing w:after="0" w:line="260" w:lineRule="exact"/>
              <w:ind w:left="10"/>
              <w:jc w:val="center"/>
              <w:rPr>
                <w:rFonts w:eastAsia="Calibri" w:cstheme="minorHAnsi"/>
                <w:sz w:val="18"/>
                <w:szCs w:val="18"/>
                <w:lang w:val="sr-Latn-ME" w:eastAsia="sr-Latn-ME"/>
              </w:rPr>
            </w:pPr>
            <w:r w:rsidRPr="00882F2F">
              <w:rPr>
                <w:rFonts w:eastAsia="Calibri" w:cstheme="minorHAnsi"/>
                <w:sz w:val="18"/>
                <w:szCs w:val="18"/>
                <w:lang w:val="sr-Latn-ME" w:eastAsia="sr-Latn-ME"/>
              </w:rPr>
              <w:t>2,0</w:t>
            </w:r>
          </w:p>
        </w:tc>
        <w:tc>
          <w:tcPr>
            <w:tcW w:w="853" w:type="dxa"/>
            <w:shd w:val="clear" w:color="auto" w:fill="auto"/>
            <w:vAlign w:val="bottom"/>
          </w:tcPr>
          <w:p w14:paraId="1551F177" w14:textId="77777777" w:rsidR="00CB2E14" w:rsidRPr="00882F2F" w:rsidRDefault="00CB2E14" w:rsidP="00CB2E14">
            <w:pPr>
              <w:spacing w:after="0" w:line="260" w:lineRule="exact"/>
              <w:ind w:left="110"/>
              <w:jc w:val="center"/>
              <w:rPr>
                <w:rFonts w:eastAsia="Calibri" w:cstheme="minorHAnsi"/>
                <w:sz w:val="18"/>
                <w:szCs w:val="18"/>
                <w:lang w:val="sr-Latn-ME" w:eastAsia="sr-Latn-ME"/>
              </w:rPr>
            </w:pPr>
            <w:r w:rsidRPr="00882F2F">
              <w:rPr>
                <w:rFonts w:eastAsia="Calibri" w:cstheme="minorHAnsi"/>
                <w:sz w:val="18"/>
                <w:szCs w:val="18"/>
                <w:lang w:val="sr-Latn-ME" w:eastAsia="sr-Latn-ME"/>
              </w:rPr>
              <w:t>3,0</w:t>
            </w:r>
          </w:p>
        </w:tc>
        <w:tc>
          <w:tcPr>
            <w:tcW w:w="1309" w:type="dxa"/>
            <w:shd w:val="clear" w:color="auto" w:fill="auto"/>
            <w:vAlign w:val="bottom"/>
          </w:tcPr>
          <w:p w14:paraId="03A91735" w14:textId="77777777" w:rsidR="00CB2E14" w:rsidRPr="00882F2F" w:rsidRDefault="00CB2E14" w:rsidP="00CB2E14">
            <w:pPr>
              <w:spacing w:after="0" w:line="260" w:lineRule="exact"/>
              <w:ind w:left="560"/>
              <w:rPr>
                <w:rFonts w:eastAsia="Calibri" w:cstheme="minorHAnsi"/>
                <w:sz w:val="18"/>
                <w:szCs w:val="18"/>
                <w:lang w:val="sr-Latn-ME" w:eastAsia="sr-Latn-ME"/>
              </w:rPr>
            </w:pPr>
            <w:r w:rsidRPr="00882F2F">
              <w:rPr>
                <w:rFonts w:eastAsia="Calibri" w:cstheme="minorHAnsi"/>
                <w:sz w:val="18"/>
                <w:szCs w:val="18"/>
                <w:lang w:val="sr-Latn-ME" w:eastAsia="sr-Latn-ME"/>
              </w:rPr>
              <w:t>1,5</w:t>
            </w:r>
          </w:p>
        </w:tc>
        <w:tc>
          <w:tcPr>
            <w:tcW w:w="1230" w:type="dxa"/>
            <w:shd w:val="clear" w:color="auto" w:fill="auto"/>
            <w:vAlign w:val="bottom"/>
          </w:tcPr>
          <w:p w14:paraId="08EC0FD8" w14:textId="77777777" w:rsidR="00CB2E14" w:rsidRPr="00882F2F" w:rsidRDefault="00CB2E14" w:rsidP="00CB2E14">
            <w:pPr>
              <w:spacing w:after="0" w:line="260" w:lineRule="exact"/>
              <w:ind w:left="460"/>
              <w:rPr>
                <w:rFonts w:eastAsia="Calibri" w:cstheme="minorHAnsi"/>
                <w:sz w:val="18"/>
                <w:szCs w:val="18"/>
                <w:lang w:val="sr-Latn-ME" w:eastAsia="sr-Latn-ME"/>
              </w:rPr>
            </w:pPr>
            <w:r w:rsidRPr="00882F2F">
              <w:rPr>
                <w:rFonts w:eastAsia="Calibri" w:cstheme="minorHAnsi"/>
                <w:sz w:val="18"/>
                <w:szCs w:val="18"/>
                <w:lang w:val="sr-Latn-ME" w:eastAsia="sr-Latn-ME"/>
              </w:rPr>
              <w:t xml:space="preserve"> 2,0</w:t>
            </w:r>
          </w:p>
        </w:tc>
      </w:tr>
      <w:tr w:rsidR="00CB2E14" w:rsidRPr="00882F2F" w14:paraId="79556FDA" w14:textId="77777777" w:rsidTr="004D5210">
        <w:trPr>
          <w:trHeight w:val="18"/>
        </w:trPr>
        <w:tc>
          <w:tcPr>
            <w:tcW w:w="19" w:type="dxa"/>
            <w:shd w:val="clear" w:color="auto" w:fill="auto"/>
            <w:vAlign w:val="bottom"/>
          </w:tcPr>
          <w:p w14:paraId="23955431" w14:textId="77777777" w:rsidR="00CB2E14" w:rsidRPr="00882F2F" w:rsidRDefault="00CB2E14" w:rsidP="00CB2E14">
            <w:pPr>
              <w:spacing w:after="0" w:line="0" w:lineRule="atLeast"/>
              <w:rPr>
                <w:rFonts w:eastAsia="Times New Roman" w:cstheme="minorHAnsi"/>
                <w:sz w:val="18"/>
                <w:szCs w:val="18"/>
                <w:lang w:val="sr-Latn-ME" w:eastAsia="sr-Latn-ME"/>
              </w:rPr>
            </w:pPr>
          </w:p>
        </w:tc>
        <w:tc>
          <w:tcPr>
            <w:tcW w:w="2877" w:type="dxa"/>
            <w:shd w:val="clear" w:color="auto" w:fill="D2EAF1"/>
            <w:vAlign w:val="bottom"/>
          </w:tcPr>
          <w:p w14:paraId="32CBADD9" w14:textId="77777777" w:rsidR="00CB2E14" w:rsidRPr="00882F2F" w:rsidRDefault="00CB2E14" w:rsidP="00CB2E14">
            <w:pPr>
              <w:spacing w:after="0" w:line="0" w:lineRule="atLeast"/>
              <w:ind w:left="100"/>
              <w:rPr>
                <w:rFonts w:eastAsia="Calibri" w:cstheme="minorHAnsi"/>
                <w:b/>
                <w:sz w:val="18"/>
                <w:szCs w:val="18"/>
                <w:lang w:val="sr-Latn-ME" w:eastAsia="sr-Latn-ME"/>
              </w:rPr>
            </w:pPr>
            <w:r w:rsidRPr="00882F2F">
              <w:rPr>
                <w:rFonts w:eastAsia="Calibri" w:cstheme="minorHAnsi"/>
                <w:b/>
                <w:sz w:val="18"/>
                <w:szCs w:val="18"/>
                <w:lang w:val="sr-Latn-ME" w:eastAsia="sr-Latn-ME"/>
              </w:rPr>
              <w:t>Kosovo</w:t>
            </w:r>
          </w:p>
        </w:tc>
        <w:tc>
          <w:tcPr>
            <w:tcW w:w="912" w:type="dxa"/>
            <w:shd w:val="clear" w:color="auto" w:fill="D2EAF1"/>
            <w:vAlign w:val="bottom"/>
          </w:tcPr>
          <w:p w14:paraId="4AD933B3" w14:textId="77777777" w:rsidR="00CB2E14" w:rsidRPr="00882F2F" w:rsidRDefault="00CB2E14" w:rsidP="00CB2E14">
            <w:pPr>
              <w:spacing w:after="0" w:line="0" w:lineRule="atLeast"/>
              <w:ind w:left="10"/>
              <w:jc w:val="center"/>
              <w:rPr>
                <w:rFonts w:eastAsia="Calibri" w:cstheme="minorHAnsi"/>
                <w:sz w:val="18"/>
                <w:szCs w:val="18"/>
                <w:lang w:val="sr-Latn-ME" w:eastAsia="sr-Latn-ME"/>
              </w:rPr>
            </w:pPr>
            <w:r w:rsidRPr="00882F2F">
              <w:rPr>
                <w:rFonts w:eastAsia="Calibri" w:cstheme="minorHAnsi"/>
                <w:sz w:val="18"/>
                <w:szCs w:val="18"/>
                <w:lang w:val="sr-Latn-ME" w:eastAsia="sr-Latn-ME"/>
              </w:rPr>
              <w:t>3,2</w:t>
            </w:r>
          </w:p>
        </w:tc>
        <w:tc>
          <w:tcPr>
            <w:tcW w:w="1131" w:type="dxa"/>
            <w:shd w:val="clear" w:color="auto" w:fill="D2EAF1"/>
            <w:vAlign w:val="bottom"/>
          </w:tcPr>
          <w:p w14:paraId="09A13A04" w14:textId="77777777" w:rsidR="00CB2E14" w:rsidRPr="00882F2F" w:rsidRDefault="00CB2E14" w:rsidP="00CB2E14">
            <w:pPr>
              <w:spacing w:after="0" w:line="0" w:lineRule="atLeast"/>
              <w:jc w:val="center"/>
              <w:rPr>
                <w:rFonts w:eastAsia="Calibri" w:cstheme="minorHAnsi"/>
                <w:sz w:val="18"/>
                <w:szCs w:val="18"/>
                <w:lang w:val="sr-Latn-ME" w:eastAsia="sr-Latn-ME"/>
              </w:rPr>
            </w:pPr>
            <w:r w:rsidRPr="00882F2F">
              <w:rPr>
                <w:rFonts w:eastAsia="Calibri" w:cstheme="minorHAnsi"/>
                <w:sz w:val="18"/>
                <w:szCs w:val="18"/>
                <w:lang w:val="sr-Latn-ME" w:eastAsia="sr-Latn-ME"/>
              </w:rPr>
              <w:t>3,9</w:t>
            </w:r>
          </w:p>
        </w:tc>
        <w:tc>
          <w:tcPr>
            <w:tcW w:w="754" w:type="dxa"/>
            <w:shd w:val="clear" w:color="auto" w:fill="D2EAF1"/>
            <w:vAlign w:val="bottom"/>
          </w:tcPr>
          <w:p w14:paraId="093B52B8" w14:textId="77777777" w:rsidR="00CB2E14" w:rsidRPr="00882F2F" w:rsidRDefault="00CB2E14" w:rsidP="00CB2E14">
            <w:pPr>
              <w:spacing w:after="0" w:line="0" w:lineRule="atLeast"/>
              <w:ind w:left="10"/>
              <w:jc w:val="center"/>
              <w:rPr>
                <w:rFonts w:eastAsia="Calibri" w:cstheme="minorHAnsi"/>
                <w:sz w:val="18"/>
                <w:szCs w:val="18"/>
                <w:lang w:val="sr-Latn-ME" w:eastAsia="sr-Latn-ME"/>
              </w:rPr>
            </w:pPr>
            <w:r w:rsidRPr="00882F2F">
              <w:rPr>
                <w:rFonts w:eastAsia="Calibri" w:cstheme="minorHAnsi"/>
                <w:sz w:val="18"/>
                <w:szCs w:val="18"/>
                <w:lang w:val="sr-Latn-ME" w:eastAsia="sr-Latn-ME"/>
              </w:rPr>
              <w:t>3,8</w:t>
            </w:r>
          </w:p>
        </w:tc>
        <w:tc>
          <w:tcPr>
            <w:tcW w:w="853" w:type="dxa"/>
            <w:shd w:val="clear" w:color="auto" w:fill="D2EAF1"/>
            <w:vAlign w:val="bottom"/>
          </w:tcPr>
          <w:p w14:paraId="43E11737" w14:textId="77777777" w:rsidR="00CB2E14" w:rsidRPr="00882F2F" w:rsidRDefault="00CB2E14" w:rsidP="00CB2E14">
            <w:pPr>
              <w:spacing w:after="0" w:line="0" w:lineRule="atLeast"/>
              <w:ind w:left="110"/>
              <w:jc w:val="center"/>
              <w:rPr>
                <w:rFonts w:eastAsia="Calibri" w:cstheme="minorHAnsi"/>
                <w:sz w:val="18"/>
                <w:szCs w:val="18"/>
                <w:lang w:val="sr-Latn-ME" w:eastAsia="sr-Latn-ME"/>
              </w:rPr>
            </w:pPr>
            <w:r w:rsidRPr="00882F2F">
              <w:rPr>
                <w:rFonts w:eastAsia="Calibri" w:cstheme="minorHAnsi"/>
                <w:sz w:val="18"/>
                <w:szCs w:val="18"/>
                <w:lang w:val="sr-Latn-ME" w:eastAsia="sr-Latn-ME"/>
              </w:rPr>
              <w:t>4,0</w:t>
            </w:r>
          </w:p>
        </w:tc>
        <w:tc>
          <w:tcPr>
            <w:tcW w:w="1309" w:type="dxa"/>
            <w:shd w:val="clear" w:color="auto" w:fill="D2EAF1"/>
            <w:vAlign w:val="bottom"/>
          </w:tcPr>
          <w:p w14:paraId="2D445F90" w14:textId="77777777" w:rsidR="00CB2E14" w:rsidRPr="00882F2F" w:rsidRDefault="00CB2E14" w:rsidP="00CB2E14">
            <w:pPr>
              <w:spacing w:after="0" w:line="0" w:lineRule="atLeast"/>
              <w:ind w:left="560"/>
              <w:rPr>
                <w:rFonts w:eastAsia="Calibri" w:cstheme="minorHAnsi"/>
                <w:sz w:val="18"/>
                <w:szCs w:val="18"/>
                <w:lang w:val="sr-Latn-ME" w:eastAsia="sr-Latn-ME"/>
              </w:rPr>
            </w:pPr>
            <w:r w:rsidRPr="00882F2F">
              <w:rPr>
                <w:rFonts w:eastAsia="Calibri" w:cstheme="minorHAnsi"/>
                <w:sz w:val="18"/>
                <w:szCs w:val="18"/>
                <w:lang w:val="sr-Latn-ME" w:eastAsia="sr-Latn-ME"/>
              </w:rPr>
              <w:t>n/p</w:t>
            </w:r>
          </w:p>
        </w:tc>
        <w:tc>
          <w:tcPr>
            <w:tcW w:w="1230" w:type="dxa"/>
            <w:shd w:val="clear" w:color="auto" w:fill="D2EAF1"/>
            <w:vAlign w:val="bottom"/>
          </w:tcPr>
          <w:p w14:paraId="3312F533" w14:textId="77777777" w:rsidR="00CB2E14" w:rsidRPr="00882F2F" w:rsidRDefault="00CB2E14" w:rsidP="00CB2E14">
            <w:pPr>
              <w:spacing w:after="0" w:line="0" w:lineRule="atLeast"/>
              <w:ind w:left="460"/>
              <w:rPr>
                <w:rFonts w:eastAsia="Calibri" w:cstheme="minorHAnsi"/>
                <w:sz w:val="18"/>
                <w:szCs w:val="18"/>
                <w:lang w:val="sr-Latn-ME" w:eastAsia="sr-Latn-ME"/>
              </w:rPr>
            </w:pPr>
            <w:r w:rsidRPr="00882F2F">
              <w:rPr>
                <w:rFonts w:eastAsia="Calibri" w:cstheme="minorHAnsi"/>
                <w:sz w:val="18"/>
                <w:szCs w:val="18"/>
                <w:lang w:val="sr-Latn-ME" w:eastAsia="sr-Latn-ME"/>
              </w:rPr>
              <w:t xml:space="preserve"> n/p</w:t>
            </w:r>
          </w:p>
        </w:tc>
      </w:tr>
      <w:tr w:rsidR="00CB2E14" w:rsidRPr="00882F2F" w14:paraId="7B2931E6" w14:textId="77777777" w:rsidTr="004D5210">
        <w:trPr>
          <w:trHeight w:val="18"/>
        </w:trPr>
        <w:tc>
          <w:tcPr>
            <w:tcW w:w="19" w:type="dxa"/>
            <w:shd w:val="clear" w:color="auto" w:fill="auto"/>
            <w:vAlign w:val="bottom"/>
          </w:tcPr>
          <w:p w14:paraId="5DB10597" w14:textId="77777777" w:rsidR="00CB2E14" w:rsidRPr="00882F2F" w:rsidRDefault="00CB2E14" w:rsidP="00CB2E14">
            <w:pPr>
              <w:spacing w:after="0" w:line="0" w:lineRule="atLeast"/>
              <w:rPr>
                <w:rFonts w:eastAsia="Times New Roman" w:cstheme="minorHAnsi"/>
                <w:sz w:val="18"/>
                <w:szCs w:val="18"/>
                <w:lang w:val="sr-Latn-ME" w:eastAsia="sr-Latn-ME"/>
              </w:rPr>
            </w:pPr>
          </w:p>
        </w:tc>
        <w:tc>
          <w:tcPr>
            <w:tcW w:w="2877" w:type="dxa"/>
            <w:shd w:val="clear" w:color="auto" w:fill="auto"/>
            <w:vAlign w:val="bottom"/>
          </w:tcPr>
          <w:p w14:paraId="6B305462" w14:textId="77777777" w:rsidR="00CB2E14" w:rsidRPr="00882F2F" w:rsidRDefault="00CB2E14" w:rsidP="00CB2E14">
            <w:pPr>
              <w:spacing w:after="0" w:line="260" w:lineRule="exact"/>
              <w:ind w:left="100"/>
              <w:rPr>
                <w:rFonts w:eastAsia="Calibri" w:cstheme="minorHAnsi"/>
                <w:b/>
                <w:sz w:val="18"/>
                <w:szCs w:val="18"/>
                <w:lang w:val="sr-Latn-ME" w:eastAsia="sr-Latn-ME"/>
              </w:rPr>
            </w:pPr>
            <w:r w:rsidRPr="00882F2F">
              <w:rPr>
                <w:rFonts w:eastAsia="Calibri" w:cstheme="minorHAnsi"/>
                <w:b/>
                <w:sz w:val="18"/>
                <w:szCs w:val="18"/>
                <w:lang w:val="sr-Latn-ME" w:eastAsia="sr-Latn-ME"/>
              </w:rPr>
              <w:t>Albanija</w:t>
            </w:r>
          </w:p>
        </w:tc>
        <w:tc>
          <w:tcPr>
            <w:tcW w:w="912" w:type="dxa"/>
            <w:shd w:val="clear" w:color="auto" w:fill="auto"/>
            <w:vAlign w:val="bottom"/>
          </w:tcPr>
          <w:p w14:paraId="38222E56" w14:textId="77777777" w:rsidR="00CB2E14" w:rsidRPr="00882F2F" w:rsidRDefault="00CB2E14" w:rsidP="00CB2E14">
            <w:pPr>
              <w:spacing w:after="0" w:line="260" w:lineRule="exact"/>
              <w:ind w:left="10"/>
              <w:jc w:val="center"/>
              <w:rPr>
                <w:rFonts w:eastAsia="Calibri" w:cstheme="minorHAnsi"/>
                <w:sz w:val="18"/>
                <w:szCs w:val="18"/>
                <w:lang w:val="sr-Latn-ME" w:eastAsia="sr-Latn-ME"/>
              </w:rPr>
            </w:pPr>
            <w:r w:rsidRPr="00882F2F">
              <w:rPr>
                <w:rFonts w:eastAsia="Calibri" w:cstheme="minorHAnsi"/>
                <w:sz w:val="18"/>
                <w:szCs w:val="18"/>
                <w:lang w:val="sr-Latn-ME" w:eastAsia="sr-Latn-ME"/>
              </w:rPr>
              <w:t>3,6</w:t>
            </w:r>
          </w:p>
        </w:tc>
        <w:tc>
          <w:tcPr>
            <w:tcW w:w="1131" w:type="dxa"/>
            <w:shd w:val="clear" w:color="auto" w:fill="auto"/>
            <w:vAlign w:val="bottom"/>
          </w:tcPr>
          <w:p w14:paraId="1258611A" w14:textId="77777777" w:rsidR="00CB2E14" w:rsidRPr="00882F2F" w:rsidRDefault="00CB2E14" w:rsidP="00CB2E14">
            <w:pPr>
              <w:spacing w:after="0" w:line="260" w:lineRule="exact"/>
              <w:jc w:val="center"/>
              <w:rPr>
                <w:rFonts w:eastAsia="Calibri" w:cstheme="minorHAnsi"/>
                <w:sz w:val="18"/>
                <w:szCs w:val="18"/>
                <w:lang w:val="sr-Latn-ME" w:eastAsia="sr-Latn-ME"/>
              </w:rPr>
            </w:pPr>
            <w:r w:rsidRPr="00882F2F">
              <w:rPr>
                <w:rFonts w:eastAsia="Calibri" w:cstheme="minorHAnsi"/>
                <w:sz w:val="18"/>
                <w:szCs w:val="18"/>
                <w:lang w:val="sr-Latn-ME" w:eastAsia="sr-Latn-ME"/>
              </w:rPr>
              <w:t>3,2</w:t>
            </w:r>
          </w:p>
        </w:tc>
        <w:tc>
          <w:tcPr>
            <w:tcW w:w="754" w:type="dxa"/>
            <w:shd w:val="clear" w:color="auto" w:fill="auto"/>
            <w:vAlign w:val="bottom"/>
          </w:tcPr>
          <w:p w14:paraId="6391DD56" w14:textId="77777777" w:rsidR="00CB2E14" w:rsidRPr="00882F2F" w:rsidRDefault="00CB2E14" w:rsidP="00CB2E14">
            <w:pPr>
              <w:spacing w:after="0" w:line="260" w:lineRule="exact"/>
              <w:ind w:left="10"/>
              <w:jc w:val="center"/>
              <w:rPr>
                <w:rFonts w:eastAsia="Calibri" w:cstheme="minorHAnsi"/>
                <w:sz w:val="18"/>
                <w:szCs w:val="18"/>
                <w:lang w:val="sr-Latn-ME" w:eastAsia="sr-Latn-ME"/>
              </w:rPr>
            </w:pPr>
            <w:r w:rsidRPr="00882F2F">
              <w:rPr>
                <w:rFonts w:eastAsia="Calibri" w:cstheme="minorHAnsi"/>
                <w:sz w:val="18"/>
                <w:szCs w:val="18"/>
                <w:lang w:val="sr-Latn-ME" w:eastAsia="sr-Latn-ME"/>
              </w:rPr>
              <w:t>3,6</w:t>
            </w:r>
          </w:p>
        </w:tc>
        <w:tc>
          <w:tcPr>
            <w:tcW w:w="853" w:type="dxa"/>
            <w:shd w:val="clear" w:color="auto" w:fill="auto"/>
            <w:vAlign w:val="bottom"/>
          </w:tcPr>
          <w:p w14:paraId="6DE5239A" w14:textId="77777777" w:rsidR="00CB2E14" w:rsidRPr="00882F2F" w:rsidRDefault="00CB2E14" w:rsidP="00CB2E14">
            <w:pPr>
              <w:spacing w:after="0" w:line="260" w:lineRule="exact"/>
              <w:ind w:left="110"/>
              <w:jc w:val="center"/>
              <w:rPr>
                <w:rFonts w:eastAsia="Calibri" w:cstheme="minorHAnsi"/>
                <w:sz w:val="18"/>
                <w:szCs w:val="18"/>
                <w:lang w:val="sr-Latn-ME" w:eastAsia="sr-Latn-ME"/>
              </w:rPr>
            </w:pPr>
            <w:r w:rsidRPr="00882F2F">
              <w:rPr>
                <w:rFonts w:eastAsia="Calibri" w:cstheme="minorHAnsi"/>
                <w:sz w:val="18"/>
                <w:szCs w:val="18"/>
                <w:lang w:val="sr-Latn-ME" w:eastAsia="sr-Latn-ME"/>
              </w:rPr>
              <w:t>3,3</w:t>
            </w:r>
          </w:p>
        </w:tc>
        <w:tc>
          <w:tcPr>
            <w:tcW w:w="1309" w:type="dxa"/>
            <w:shd w:val="clear" w:color="auto" w:fill="auto"/>
            <w:vAlign w:val="bottom"/>
          </w:tcPr>
          <w:p w14:paraId="0A93B25A" w14:textId="77777777" w:rsidR="00CB2E14" w:rsidRPr="00882F2F" w:rsidRDefault="00CB2E14" w:rsidP="00CB2E14">
            <w:pPr>
              <w:spacing w:after="0" w:line="260" w:lineRule="exact"/>
              <w:ind w:left="10"/>
              <w:jc w:val="center"/>
              <w:rPr>
                <w:rFonts w:eastAsia="Calibri" w:cstheme="minorHAnsi"/>
                <w:sz w:val="18"/>
                <w:szCs w:val="18"/>
                <w:lang w:val="sr-Latn-ME" w:eastAsia="sr-Latn-ME"/>
              </w:rPr>
            </w:pPr>
            <w:r w:rsidRPr="00882F2F">
              <w:rPr>
                <w:rFonts w:eastAsia="Calibri" w:cstheme="minorHAnsi"/>
                <w:sz w:val="18"/>
                <w:szCs w:val="18"/>
                <w:lang w:val="sr-Latn-ME" w:eastAsia="sr-Latn-ME"/>
              </w:rPr>
              <w:t>3,5</w:t>
            </w:r>
          </w:p>
        </w:tc>
        <w:tc>
          <w:tcPr>
            <w:tcW w:w="1230" w:type="dxa"/>
            <w:shd w:val="clear" w:color="auto" w:fill="auto"/>
            <w:vAlign w:val="bottom"/>
          </w:tcPr>
          <w:p w14:paraId="5F2DCD48" w14:textId="77777777" w:rsidR="00CB2E14" w:rsidRPr="00882F2F" w:rsidRDefault="00CB2E14" w:rsidP="00CB2E14">
            <w:pPr>
              <w:spacing w:after="0" w:line="260" w:lineRule="exact"/>
              <w:jc w:val="center"/>
              <w:rPr>
                <w:rFonts w:eastAsia="Calibri" w:cstheme="minorHAnsi"/>
                <w:sz w:val="18"/>
                <w:szCs w:val="18"/>
                <w:lang w:val="sr-Latn-ME" w:eastAsia="sr-Latn-ME"/>
              </w:rPr>
            </w:pPr>
            <w:r w:rsidRPr="00882F2F">
              <w:rPr>
                <w:rFonts w:eastAsia="Calibri" w:cstheme="minorHAnsi"/>
                <w:sz w:val="18"/>
                <w:szCs w:val="18"/>
                <w:lang w:val="sr-Latn-ME" w:eastAsia="sr-Latn-ME"/>
              </w:rPr>
              <w:t>3,1</w:t>
            </w:r>
          </w:p>
        </w:tc>
      </w:tr>
      <w:tr w:rsidR="00CB2E14" w:rsidRPr="00882F2F" w14:paraId="5A4E2AE7" w14:textId="77777777" w:rsidTr="004D5210">
        <w:trPr>
          <w:trHeight w:val="18"/>
        </w:trPr>
        <w:tc>
          <w:tcPr>
            <w:tcW w:w="19" w:type="dxa"/>
            <w:tcBorders>
              <w:bottom w:val="single" w:sz="8" w:space="0" w:color="4BACC6"/>
            </w:tcBorders>
            <w:shd w:val="clear" w:color="auto" w:fill="auto"/>
            <w:vAlign w:val="bottom"/>
          </w:tcPr>
          <w:p w14:paraId="766C3039" w14:textId="77777777" w:rsidR="00CB2E14" w:rsidRPr="00882F2F" w:rsidRDefault="00CB2E14" w:rsidP="00CB2E14">
            <w:pPr>
              <w:spacing w:after="0" w:line="0" w:lineRule="atLeast"/>
              <w:rPr>
                <w:rFonts w:eastAsia="Times New Roman" w:cstheme="minorHAnsi"/>
                <w:sz w:val="18"/>
                <w:szCs w:val="18"/>
                <w:lang w:val="sr-Latn-ME" w:eastAsia="sr-Latn-ME"/>
              </w:rPr>
            </w:pPr>
          </w:p>
        </w:tc>
        <w:tc>
          <w:tcPr>
            <w:tcW w:w="2877" w:type="dxa"/>
            <w:tcBorders>
              <w:bottom w:val="single" w:sz="8" w:space="0" w:color="4BACC6"/>
            </w:tcBorders>
            <w:shd w:val="clear" w:color="auto" w:fill="D2EAF1"/>
            <w:vAlign w:val="bottom"/>
          </w:tcPr>
          <w:p w14:paraId="2F82FBA9" w14:textId="77777777" w:rsidR="00CB2E14" w:rsidRPr="00882F2F" w:rsidRDefault="00CB2E14" w:rsidP="00CB2E14">
            <w:pPr>
              <w:spacing w:after="0" w:line="0" w:lineRule="atLeast"/>
              <w:ind w:left="100"/>
              <w:rPr>
                <w:rFonts w:eastAsia="Calibri" w:cstheme="minorHAnsi"/>
                <w:b/>
                <w:sz w:val="18"/>
                <w:szCs w:val="18"/>
                <w:lang w:val="sr-Latn-ME" w:eastAsia="sr-Latn-ME"/>
              </w:rPr>
            </w:pPr>
            <w:r w:rsidRPr="00882F2F">
              <w:rPr>
                <w:rFonts w:eastAsia="Calibri" w:cstheme="minorHAnsi"/>
                <w:b/>
                <w:sz w:val="18"/>
                <w:szCs w:val="18"/>
                <w:lang w:val="sr-Latn-ME" w:eastAsia="sr-Latn-ME"/>
              </w:rPr>
              <w:t>Sjeverna Makedonija</w:t>
            </w:r>
          </w:p>
        </w:tc>
        <w:tc>
          <w:tcPr>
            <w:tcW w:w="912" w:type="dxa"/>
            <w:tcBorders>
              <w:bottom w:val="single" w:sz="8" w:space="0" w:color="4BACC6"/>
            </w:tcBorders>
            <w:shd w:val="clear" w:color="auto" w:fill="D2EAF1"/>
            <w:vAlign w:val="bottom"/>
          </w:tcPr>
          <w:p w14:paraId="4EFD4D19" w14:textId="77777777" w:rsidR="00CB2E14" w:rsidRPr="00882F2F" w:rsidRDefault="00CB2E14" w:rsidP="00CB2E14">
            <w:pPr>
              <w:spacing w:after="0" w:line="0" w:lineRule="atLeast"/>
              <w:ind w:left="10"/>
              <w:jc w:val="center"/>
              <w:rPr>
                <w:rFonts w:eastAsia="Calibri" w:cstheme="minorHAnsi"/>
                <w:sz w:val="18"/>
                <w:szCs w:val="18"/>
                <w:lang w:val="sr-Latn-ME" w:eastAsia="sr-Latn-ME"/>
              </w:rPr>
            </w:pPr>
            <w:r w:rsidRPr="00882F2F">
              <w:rPr>
                <w:rFonts w:eastAsia="Calibri" w:cstheme="minorHAnsi"/>
                <w:sz w:val="18"/>
                <w:szCs w:val="18"/>
                <w:lang w:val="sr-Latn-ME" w:eastAsia="sr-Latn-ME"/>
              </w:rPr>
              <w:t>1,8</w:t>
            </w:r>
          </w:p>
        </w:tc>
        <w:tc>
          <w:tcPr>
            <w:tcW w:w="1131" w:type="dxa"/>
            <w:tcBorders>
              <w:bottom w:val="single" w:sz="8" w:space="0" w:color="4BACC6"/>
            </w:tcBorders>
            <w:shd w:val="clear" w:color="auto" w:fill="D2EAF1"/>
            <w:vAlign w:val="bottom"/>
          </w:tcPr>
          <w:p w14:paraId="66839597" w14:textId="77777777" w:rsidR="00CB2E14" w:rsidRPr="00882F2F" w:rsidRDefault="00CB2E14" w:rsidP="00CB2E14">
            <w:pPr>
              <w:spacing w:after="0" w:line="0" w:lineRule="atLeast"/>
              <w:jc w:val="center"/>
              <w:rPr>
                <w:rFonts w:eastAsia="Calibri" w:cstheme="minorHAnsi"/>
                <w:sz w:val="18"/>
                <w:szCs w:val="18"/>
                <w:lang w:val="sr-Latn-ME" w:eastAsia="sr-Latn-ME"/>
              </w:rPr>
            </w:pPr>
            <w:r w:rsidRPr="00882F2F">
              <w:rPr>
                <w:rFonts w:eastAsia="Calibri" w:cstheme="minorHAnsi"/>
                <w:sz w:val="18"/>
                <w:szCs w:val="18"/>
                <w:lang w:val="sr-Latn-ME" w:eastAsia="sr-Latn-ME"/>
              </w:rPr>
              <w:t>2,5</w:t>
            </w:r>
          </w:p>
        </w:tc>
        <w:tc>
          <w:tcPr>
            <w:tcW w:w="754" w:type="dxa"/>
            <w:tcBorders>
              <w:bottom w:val="single" w:sz="8" w:space="0" w:color="4BACC6"/>
            </w:tcBorders>
            <w:shd w:val="clear" w:color="auto" w:fill="D2EAF1"/>
            <w:vAlign w:val="bottom"/>
          </w:tcPr>
          <w:p w14:paraId="610EB611" w14:textId="77777777" w:rsidR="00CB2E14" w:rsidRPr="00882F2F" w:rsidRDefault="00CB2E14" w:rsidP="00CB2E14">
            <w:pPr>
              <w:spacing w:after="0" w:line="0" w:lineRule="atLeast"/>
              <w:ind w:left="10"/>
              <w:jc w:val="center"/>
              <w:rPr>
                <w:rFonts w:eastAsia="Calibri" w:cstheme="minorHAnsi"/>
                <w:sz w:val="18"/>
                <w:szCs w:val="18"/>
                <w:lang w:val="sr-Latn-ME" w:eastAsia="sr-Latn-ME"/>
              </w:rPr>
            </w:pPr>
            <w:r w:rsidRPr="00882F2F">
              <w:rPr>
                <w:rFonts w:eastAsia="Calibri" w:cstheme="minorHAnsi"/>
                <w:sz w:val="18"/>
                <w:szCs w:val="18"/>
                <w:lang w:val="sr-Latn-ME" w:eastAsia="sr-Latn-ME"/>
              </w:rPr>
              <w:t>2,5</w:t>
            </w:r>
          </w:p>
        </w:tc>
        <w:tc>
          <w:tcPr>
            <w:tcW w:w="853" w:type="dxa"/>
            <w:tcBorders>
              <w:bottom w:val="single" w:sz="8" w:space="0" w:color="4BACC6"/>
            </w:tcBorders>
            <w:shd w:val="clear" w:color="auto" w:fill="D2EAF1"/>
            <w:vAlign w:val="bottom"/>
          </w:tcPr>
          <w:p w14:paraId="0C6B9FD1" w14:textId="77777777" w:rsidR="00CB2E14" w:rsidRPr="00882F2F" w:rsidRDefault="00CB2E14" w:rsidP="00CB2E14">
            <w:pPr>
              <w:spacing w:after="0" w:line="0" w:lineRule="atLeast"/>
              <w:ind w:left="110"/>
              <w:jc w:val="center"/>
              <w:rPr>
                <w:rFonts w:eastAsia="Calibri" w:cstheme="minorHAnsi"/>
                <w:sz w:val="18"/>
                <w:szCs w:val="18"/>
                <w:lang w:val="sr-Latn-ME" w:eastAsia="sr-Latn-ME"/>
              </w:rPr>
            </w:pPr>
            <w:r w:rsidRPr="00882F2F">
              <w:rPr>
                <w:rFonts w:eastAsia="Calibri" w:cstheme="minorHAnsi"/>
                <w:sz w:val="18"/>
                <w:szCs w:val="18"/>
                <w:lang w:val="sr-Latn-ME" w:eastAsia="sr-Latn-ME"/>
              </w:rPr>
              <w:t>3,2</w:t>
            </w:r>
          </w:p>
        </w:tc>
        <w:tc>
          <w:tcPr>
            <w:tcW w:w="1309" w:type="dxa"/>
            <w:tcBorders>
              <w:bottom w:val="single" w:sz="8" w:space="0" w:color="4BACC6"/>
            </w:tcBorders>
            <w:shd w:val="clear" w:color="auto" w:fill="D2EAF1"/>
            <w:vAlign w:val="bottom"/>
          </w:tcPr>
          <w:p w14:paraId="17DECF26" w14:textId="77777777" w:rsidR="00CB2E14" w:rsidRPr="00882F2F" w:rsidRDefault="00CB2E14" w:rsidP="00CB2E14">
            <w:pPr>
              <w:spacing w:after="0" w:line="0" w:lineRule="atLeast"/>
              <w:ind w:left="10"/>
              <w:jc w:val="center"/>
              <w:rPr>
                <w:rFonts w:eastAsia="Calibri" w:cstheme="minorHAnsi"/>
                <w:sz w:val="18"/>
                <w:szCs w:val="18"/>
                <w:lang w:val="sr-Latn-ME" w:eastAsia="sr-Latn-ME"/>
              </w:rPr>
            </w:pPr>
            <w:r w:rsidRPr="00882F2F">
              <w:rPr>
                <w:rFonts w:eastAsia="Calibri" w:cstheme="minorHAnsi"/>
                <w:sz w:val="18"/>
                <w:szCs w:val="18"/>
                <w:lang w:val="sr-Latn-ME" w:eastAsia="sr-Latn-ME"/>
              </w:rPr>
              <w:t>2,0</w:t>
            </w:r>
          </w:p>
        </w:tc>
        <w:tc>
          <w:tcPr>
            <w:tcW w:w="1230" w:type="dxa"/>
            <w:tcBorders>
              <w:bottom w:val="single" w:sz="8" w:space="0" w:color="4BACC6"/>
            </w:tcBorders>
            <w:shd w:val="clear" w:color="auto" w:fill="D2EAF1"/>
            <w:vAlign w:val="bottom"/>
          </w:tcPr>
          <w:p w14:paraId="59BD9D73" w14:textId="77777777" w:rsidR="00CB2E14" w:rsidRPr="00882F2F" w:rsidRDefault="00CB2E14" w:rsidP="00CB2E14">
            <w:pPr>
              <w:spacing w:after="0" w:line="0" w:lineRule="atLeast"/>
              <w:jc w:val="center"/>
              <w:rPr>
                <w:rFonts w:eastAsia="Calibri" w:cstheme="minorHAnsi"/>
                <w:sz w:val="18"/>
                <w:szCs w:val="18"/>
                <w:lang w:val="sr-Latn-ME" w:eastAsia="sr-Latn-ME"/>
              </w:rPr>
            </w:pPr>
            <w:r w:rsidRPr="00882F2F">
              <w:rPr>
                <w:rFonts w:eastAsia="Calibri" w:cstheme="minorHAnsi"/>
                <w:sz w:val="18"/>
                <w:szCs w:val="18"/>
                <w:lang w:val="sr-Latn-ME" w:eastAsia="sr-Latn-ME"/>
              </w:rPr>
              <w:t>2,7</w:t>
            </w:r>
          </w:p>
        </w:tc>
      </w:tr>
    </w:tbl>
    <w:p w14:paraId="03D0CFDD" w14:textId="77777777" w:rsidR="00CB2E14" w:rsidRPr="0077004D" w:rsidRDefault="00CB2E14" w:rsidP="00CB2E14">
      <w:pPr>
        <w:spacing w:after="0" w:line="41" w:lineRule="exact"/>
        <w:rPr>
          <w:rFonts w:ascii="Times New Roman" w:eastAsia="Times New Roman" w:hAnsi="Times New Roman" w:cs="Arial"/>
          <w:sz w:val="20"/>
          <w:szCs w:val="20"/>
          <w:lang w:val="sr-Latn-ME" w:eastAsia="sr-Latn-ME"/>
        </w:rPr>
      </w:pPr>
    </w:p>
    <w:p w14:paraId="7CC312FE" w14:textId="77777777" w:rsidR="00CB2E14" w:rsidRPr="004D5210" w:rsidRDefault="00CB2E14" w:rsidP="004D5210">
      <w:pPr>
        <w:spacing w:line="235" w:lineRule="auto"/>
        <w:ind w:left="23" w:right="79"/>
        <w:jc w:val="both"/>
        <w:rPr>
          <w:rFonts w:eastAsia="Calibri" w:cstheme="minorHAnsi"/>
          <w:i/>
          <w:sz w:val="18"/>
          <w:szCs w:val="18"/>
          <w:lang w:val="sr-Latn-ME" w:eastAsia="sr-Latn-ME"/>
        </w:rPr>
      </w:pPr>
      <w:r w:rsidRPr="004D5210">
        <w:rPr>
          <w:rFonts w:eastAsia="Calibri" w:cstheme="minorHAnsi"/>
          <w:i/>
          <w:sz w:val="18"/>
          <w:szCs w:val="18"/>
          <w:lang w:val="sr-Latn-ME" w:eastAsia="sr-Latn-ME"/>
        </w:rPr>
        <w:t>Izvori: Svjetska banka – Redovni ekonomski izvještaj za zemlje Zapadnog Balkana, jesen 2023; MMF –Svjetski ekonomski izgledi, oktobar 2023; Evropska komisija – Ekonomski izgledi, jesen 2023.</w:t>
      </w:r>
    </w:p>
    <w:p w14:paraId="62BCA5F0" w14:textId="77777777" w:rsidR="00CB2E14" w:rsidRPr="00515C5F" w:rsidRDefault="00CB2E14" w:rsidP="00CB2E14">
      <w:pPr>
        <w:spacing w:line="252" w:lineRule="auto"/>
        <w:ind w:left="23" w:right="102"/>
        <w:jc w:val="both"/>
        <w:rPr>
          <w:rFonts w:eastAsia="Calibri" w:cstheme="minorHAnsi"/>
          <w:sz w:val="24"/>
          <w:lang w:val="sr-Latn-ME" w:eastAsia="sr-Latn-ME"/>
        </w:rPr>
      </w:pPr>
      <w:r w:rsidRPr="00515C5F">
        <w:rPr>
          <w:rFonts w:eastAsia="Calibri" w:cstheme="minorHAnsi"/>
          <w:sz w:val="24"/>
          <w:lang w:val="sr-Latn-ME" w:eastAsia="sr-Latn-ME"/>
        </w:rPr>
        <w:t>Crna Gora je u 2023. rasla brže od regionalnog prosjeka, dok će, prema procjenama međunarodnih organizacija, rast crnogorske ekonomije u 2024. usporiti, pa Evropska komisija rast predviđa na 2,7%, dok MMF i Svjetska banka očekuju 3,7%, odnosno 3,2%.</w:t>
      </w:r>
    </w:p>
    <w:p w14:paraId="7A36D834" w14:textId="77777777" w:rsidR="00CB2E14" w:rsidRPr="0047692E" w:rsidRDefault="00CB2E14" w:rsidP="00CB2E14">
      <w:pPr>
        <w:pStyle w:val="Heading2"/>
        <w:rPr>
          <w:rFonts w:asciiTheme="minorHAnsi" w:eastAsia="Calibri" w:hAnsiTheme="minorHAnsi" w:cstheme="minorHAnsi"/>
          <w:b/>
          <w:sz w:val="24"/>
          <w:szCs w:val="24"/>
          <w:lang w:val="sr-Latn-ME" w:eastAsia="sr-Latn-ME"/>
        </w:rPr>
      </w:pPr>
      <w:bookmarkStart w:id="10" w:name="_Toc153305324"/>
      <w:r w:rsidRPr="0047692E">
        <w:rPr>
          <w:rFonts w:asciiTheme="minorHAnsi" w:eastAsia="Calibri" w:hAnsiTheme="minorHAnsi" w:cstheme="minorHAnsi"/>
          <w:b/>
          <w:sz w:val="24"/>
          <w:szCs w:val="24"/>
          <w:lang w:val="sr-Latn-ME" w:eastAsia="sr-Latn-ME"/>
        </w:rPr>
        <w:t>3.1. Najnovija ekonomska kretanja</w:t>
      </w:r>
      <w:bookmarkEnd w:id="10"/>
    </w:p>
    <w:p w14:paraId="251131F0" w14:textId="77777777" w:rsidR="00CB2E14" w:rsidRPr="0047692E" w:rsidRDefault="00CB2E14" w:rsidP="00CB2E14">
      <w:pPr>
        <w:spacing w:line="252" w:lineRule="auto"/>
        <w:ind w:left="23" w:right="102"/>
        <w:jc w:val="both"/>
        <w:rPr>
          <w:rFonts w:eastAsia="Calibri" w:cstheme="minorHAnsi"/>
          <w:b/>
          <w:color w:val="2F5496" w:themeColor="accent1" w:themeShade="BF"/>
          <w:sz w:val="24"/>
          <w:lang w:val="sr-Latn-ME" w:eastAsia="sr-Latn-ME"/>
        </w:rPr>
      </w:pPr>
      <w:r w:rsidRPr="0047692E">
        <w:rPr>
          <w:rFonts w:eastAsia="Calibri" w:cstheme="minorHAnsi"/>
          <w:b/>
          <w:color w:val="2F5496" w:themeColor="accent1" w:themeShade="BF"/>
          <w:sz w:val="24"/>
          <w:lang w:val="sr-Latn-ME" w:eastAsia="sr-Latn-ME"/>
        </w:rPr>
        <w:t>3.1.1. Bruto domaći proizvod</w:t>
      </w:r>
    </w:p>
    <w:p w14:paraId="1FB57F29" w14:textId="77777777" w:rsidR="00CB2E14" w:rsidRPr="00515C5F" w:rsidRDefault="00CB2E14" w:rsidP="00CB2E14">
      <w:pPr>
        <w:pStyle w:val="NormalWeb"/>
        <w:shd w:val="clear" w:color="auto" w:fill="FFFFFF"/>
        <w:jc w:val="both"/>
        <w:rPr>
          <w:rFonts w:asciiTheme="minorHAnsi" w:hAnsiTheme="minorHAnsi" w:cstheme="minorHAnsi"/>
          <w:szCs w:val="22"/>
          <w:lang w:val="sr-Latn-ME"/>
        </w:rPr>
      </w:pPr>
      <w:r w:rsidRPr="00515C5F">
        <w:rPr>
          <w:rFonts w:asciiTheme="minorHAnsi" w:hAnsiTheme="minorHAnsi" w:cstheme="minorHAnsi"/>
          <w:szCs w:val="22"/>
          <w:lang w:val="sr-Latn-ME"/>
        </w:rPr>
        <w:t>Crnogorska ekonomija je u 2022. pokazala visoki stepen otpornosti, uz snažan ostvareni ekonomski rast od 6,4%, čemu su doprinijeli ubrzani oporavak u turizmu, dinamična privatna potrošnja i visoki priliv stranih direktnih investicija. Sa druge strane, rekordna inflacija je uveliko ograničila potrošačku moć i dovela do stagnacije investicione aktivnosti.</w:t>
      </w:r>
    </w:p>
    <w:p w14:paraId="10DBF980" w14:textId="77777777" w:rsidR="00CB2E14" w:rsidRPr="00515C5F" w:rsidRDefault="00CB2E14" w:rsidP="00CB2E14">
      <w:pPr>
        <w:pStyle w:val="NormalWeb"/>
        <w:shd w:val="clear" w:color="auto" w:fill="FFFFFF"/>
        <w:jc w:val="both"/>
        <w:rPr>
          <w:rFonts w:asciiTheme="minorHAnsi" w:hAnsiTheme="minorHAnsi" w:cstheme="minorHAnsi"/>
          <w:szCs w:val="22"/>
          <w:lang w:val="sr-Latn-ME"/>
        </w:rPr>
      </w:pPr>
      <w:r w:rsidRPr="00515C5F">
        <w:rPr>
          <w:rFonts w:asciiTheme="minorHAnsi" w:hAnsiTheme="minorHAnsi" w:cstheme="minorHAnsi"/>
          <w:szCs w:val="22"/>
          <w:lang w:val="sr-Latn-ME"/>
        </w:rPr>
        <w:t>Ekonomski rast u prvoj polovini 2023. godine je ubrzan u odnosu na prethodnu godinu i iznosio je 6,6% realno, pri čemu su najveći doprinos pružili izvoz roba i usluga (uticaj 10,1 procentnih poena) i lična potrošnja domaćinstava (8,5 pp). Naročito značajan je i oporavak investicione aktivnosti, pri čemu su ulaganja u fiksni kapital dodala 0,9 procentnih poena ekonomskom rastu za pola godine. Samo u drugom kvartalu 2023, u Crnoj Gori je ostvaren zvanično najveći ekonomski rast u Evropi od 6,9%.</w:t>
      </w:r>
    </w:p>
    <w:p w14:paraId="61FF606A" w14:textId="77777777" w:rsidR="00CB2E14" w:rsidRPr="00515C5F" w:rsidRDefault="00CB2E14" w:rsidP="00CB2E14">
      <w:pPr>
        <w:spacing w:after="0" w:line="252" w:lineRule="auto"/>
        <w:ind w:left="20" w:right="100"/>
        <w:jc w:val="both"/>
        <w:rPr>
          <w:rFonts w:cstheme="minorHAnsi"/>
          <w:sz w:val="24"/>
          <w:lang w:val="sr-Latn-ME"/>
        </w:rPr>
      </w:pPr>
      <w:r w:rsidRPr="00515C5F">
        <w:rPr>
          <w:rFonts w:cstheme="minorHAnsi"/>
          <w:sz w:val="24"/>
          <w:lang w:val="sr-Latn-ME"/>
        </w:rPr>
        <w:t>Povoljnim privrednim trendovima doprinio je veliki priliv nerezidenata u Crnu Goru, uz snažne efekte na privatnu potrošnju, turizam, sektor nekretnina, bankarske parametre i zaposlenost.</w:t>
      </w:r>
    </w:p>
    <w:p w14:paraId="1D22B633" w14:textId="77777777" w:rsidR="00CB2E14" w:rsidRPr="00515C5F" w:rsidRDefault="00CB2E14" w:rsidP="00CB2E14">
      <w:pPr>
        <w:pStyle w:val="NormalWeb"/>
        <w:shd w:val="clear" w:color="auto" w:fill="FFFFFF"/>
        <w:jc w:val="both"/>
        <w:rPr>
          <w:rFonts w:asciiTheme="minorHAnsi" w:hAnsiTheme="minorHAnsi" w:cstheme="minorHAnsi"/>
          <w:szCs w:val="22"/>
          <w:lang w:val="sr-Latn-ME"/>
        </w:rPr>
      </w:pPr>
      <w:r w:rsidRPr="00515C5F">
        <w:rPr>
          <w:rFonts w:asciiTheme="minorHAnsi" w:hAnsiTheme="minorHAnsi" w:cstheme="minorHAnsi"/>
          <w:szCs w:val="22"/>
          <w:lang w:val="sr-Latn-ME"/>
        </w:rPr>
        <w:t>Ekonomski rast u 2023. snažno je opredijeljen rastom ostvarenih prihoda u turizmu, koji su prema preliminarnim podacima Centralne banke Crne Gore, za devet mjeseci 2023. iznosili 1,36 milijardi eura i veći su 48,6% u odnosu na isti period prethodne godine, ali i 33,9% u odnosu na pretkrizni period (2019. godinu). Crnu Goru je u periodu januar-jul 2023, u ukupnom smještaju (kolektivni i individualni), prema preliminarnim podacima Monstata, posjetilo 1.454.210 turista, sa realizovanih 9.244.842 noćenja, što</w:t>
      </w:r>
      <w:r>
        <w:rPr>
          <w:rFonts w:asciiTheme="minorHAnsi" w:hAnsiTheme="minorHAnsi" w:cstheme="minorHAnsi"/>
          <w:szCs w:val="22"/>
          <w:lang w:val="sr-Latn-ME"/>
        </w:rPr>
        <w:t xml:space="preserve"> je</w:t>
      </w:r>
      <w:r w:rsidRPr="00515C5F">
        <w:rPr>
          <w:rFonts w:asciiTheme="minorHAnsi" w:hAnsiTheme="minorHAnsi" w:cstheme="minorHAnsi"/>
          <w:szCs w:val="22"/>
          <w:lang w:val="sr-Latn-ME"/>
        </w:rPr>
        <w:t xml:space="preserve"> za 27,9%, odnosno 50,6% više u odnosu na isti period 2022. U prvih </w:t>
      </w:r>
      <w:r>
        <w:rPr>
          <w:rFonts w:asciiTheme="minorHAnsi" w:hAnsiTheme="minorHAnsi" w:cstheme="minorHAnsi"/>
          <w:szCs w:val="22"/>
          <w:lang w:val="sr-Latn-ME"/>
        </w:rPr>
        <w:t>devet</w:t>
      </w:r>
      <w:r w:rsidRPr="00515C5F">
        <w:rPr>
          <w:rFonts w:asciiTheme="minorHAnsi" w:hAnsiTheme="minorHAnsi" w:cstheme="minorHAnsi"/>
          <w:szCs w:val="22"/>
          <w:lang w:val="sr-Latn-ME"/>
        </w:rPr>
        <w:t xml:space="preserve"> mjeseci 2023, ostvaren je veći izvoz električne energije za </w:t>
      </w:r>
      <w:r>
        <w:rPr>
          <w:rFonts w:asciiTheme="minorHAnsi" w:hAnsiTheme="minorHAnsi" w:cstheme="minorHAnsi"/>
          <w:szCs w:val="22"/>
          <w:lang w:val="sr-Latn-ME"/>
        </w:rPr>
        <w:t>36,9</w:t>
      </w:r>
      <w:r w:rsidRPr="00515C5F">
        <w:rPr>
          <w:rFonts w:asciiTheme="minorHAnsi" w:hAnsiTheme="minorHAnsi" w:cstheme="minorHAnsi"/>
          <w:szCs w:val="22"/>
          <w:lang w:val="sr-Latn-ME"/>
        </w:rPr>
        <w:t xml:space="preserve">%, dok je promet u trgovini na malo rastao po stopi od </w:t>
      </w:r>
      <w:r>
        <w:rPr>
          <w:rFonts w:asciiTheme="minorHAnsi" w:hAnsiTheme="minorHAnsi" w:cstheme="minorHAnsi"/>
          <w:szCs w:val="22"/>
          <w:lang w:val="sr-Latn-ME"/>
        </w:rPr>
        <w:t>20</w:t>
      </w:r>
      <w:r w:rsidRPr="00515C5F">
        <w:rPr>
          <w:rFonts w:asciiTheme="minorHAnsi" w:hAnsiTheme="minorHAnsi" w:cstheme="minorHAnsi"/>
          <w:szCs w:val="22"/>
          <w:lang w:val="sr-Latn-ME"/>
        </w:rPr>
        <w:t xml:space="preserve">%. Promet putnika na aerodromima je u </w:t>
      </w:r>
      <w:r>
        <w:rPr>
          <w:rFonts w:asciiTheme="minorHAnsi" w:hAnsiTheme="minorHAnsi" w:cstheme="minorHAnsi"/>
          <w:szCs w:val="22"/>
          <w:lang w:val="sr-Latn-ME"/>
        </w:rPr>
        <w:t>istom periodu</w:t>
      </w:r>
      <w:r w:rsidRPr="00515C5F">
        <w:rPr>
          <w:rFonts w:asciiTheme="minorHAnsi" w:hAnsiTheme="minorHAnsi" w:cstheme="minorHAnsi"/>
          <w:szCs w:val="22"/>
          <w:lang w:val="sr-Latn-ME"/>
        </w:rPr>
        <w:t xml:space="preserve"> veći </w:t>
      </w:r>
      <w:r>
        <w:rPr>
          <w:rFonts w:asciiTheme="minorHAnsi" w:hAnsiTheme="minorHAnsi" w:cstheme="minorHAnsi"/>
          <w:szCs w:val="22"/>
          <w:lang w:val="sr-Latn-ME"/>
        </w:rPr>
        <w:t>34,4</w:t>
      </w:r>
      <w:r w:rsidRPr="00515C5F">
        <w:rPr>
          <w:rFonts w:asciiTheme="minorHAnsi" w:hAnsiTheme="minorHAnsi" w:cstheme="minorHAnsi"/>
          <w:szCs w:val="22"/>
          <w:lang w:val="sr-Latn-ME"/>
        </w:rPr>
        <w:t xml:space="preserve">% u poređenju sa </w:t>
      </w:r>
      <w:r>
        <w:rPr>
          <w:rFonts w:asciiTheme="minorHAnsi" w:hAnsiTheme="minorHAnsi" w:cstheme="minorHAnsi"/>
          <w:szCs w:val="22"/>
          <w:lang w:val="sr-Latn-ME"/>
        </w:rPr>
        <w:t>2022</w:t>
      </w:r>
      <w:r w:rsidRPr="00515C5F">
        <w:rPr>
          <w:rFonts w:asciiTheme="minorHAnsi" w:hAnsiTheme="minorHAnsi" w:cstheme="minorHAnsi"/>
          <w:szCs w:val="22"/>
          <w:lang w:val="sr-Latn-ME"/>
        </w:rPr>
        <w:t xml:space="preserve">. Povoljni vremenski uslovi doveli su do povećanja proizvodnje električne energije za </w:t>
      </w:r>
      <w:r>
        <w:rPr>
          <w:rFonts w:asciiTheme="minorHAnsi" w:hAnsiTheme="minorHAnsi" w:cstheme="minorHAnsi"/>
          <w:szCs w:val="22"/>
          <w:lang w:val="sr-Latn-ME"/>
        </w:rPr>
        <w:t>devet</w:t>
      </w:r>
      <w:r w:rsidRPr="00515C5F">
        <w:rPr>
          <w:rFonts w:asciiTheme="minorHAnsi" w:hAnsiTheme="minorHAnsi" w:cstheme="minorHAnsi"/>
          <w:szCs w:val="22"/>
          <w:lang w:val="sr-Latn-ME"/>
        </w:rPr>
        <w:t xml:space="preserve"> mjeseci 2023. od </w:t>
      </w:r>
      <w:r>
        <w:rPr>
          <w:rFonts w:asciiTheme="minorHAnsi" w:hAnsiTheme="minorHAnsi" w:cstheme="minorHAnsi"/>
          <w:szCs w:val="22"/>
          <w:lang w:val="sr-Latn-ME"/>
        </w:rPr>
        <w:t>33,1%. Sektor</w:t>
      </w:r>
      <w:r w:rsidRPr="00D9687E">
        <w:rPr>
          <w:rFonts w:asciiTheme="minorHAnsi" w:hAnsiTheme="minorHAnsi" w:cstheme="minorHAnsi"/>
          <w:szCs w:val="22"/>
          <w:lang w:val="sr-Latn-ME"/>
        </w:rPr>
        <w:t xml:space="preserve"> </w:t>
      </w:r>
      <w:r w:rsidRPr="00515C5F">
        <w:rPr>
          <w:rFonts w:asciiTheme="minorHAnsi" w:hAnsiTheme="minorHAnsi" w:cstheme="minorHAnsi"/>
          <w:szCs w:val="22"/>
          <w:lang w:val="sr-Latn-ME"/>
        </w:rPr>
        <w:t>vađenje ruda i kamena</w:t>
      </w:r>
      <w:r>
        <w:rPr>
          <w:rFonts w:asciiTheme="minorHAnsi" w:hAnsiTheme="minorHAnsi" w:cstheme="minorHAnsi"/>
          <w:szCs w:val="22"/>
          <w:lang w:val="sr-Latn-ME"/>
        </w:rPr>
        <w:t xml:space="preserve"> je rastao po stopi od 2,4%, dok je</w:t>
      </w:r>
      <w:r w:rsidRPr="00515C5F">
        <w:rPr>
          <w:rFonts w:asciiTheme="minorHAnsi" w:hAnsiTheme="minorHAnsi" w:cstheme="minorHAnsi"/>
          <w:szCs w:val="22"/>
          <w:lang w:val="sr-Latn-ME"/>
        </w:rPr>
        <w:t xml:space="preserve"> prerađivačka industrija zabilježila</w:t>
      </w:r>
      <w:r>
        <w:rPr>
          <w:rFonts w:asciiTheme="minorHAnsi" w:hAnsiTheme="minorHAnsi" w:cstheme="minorHAnsi"/>
          <w:szCs w:val="22"/>
          <w:lang w:val="sr-Latn-ME"/>
        </w:rPr>
        <w:t xml:space="preserve"> godišnji</w:t>
      </w:r>
      <w:r w:rsidRPr="00515C5F">
        <w:rPr>
          <w:rFonts w:asciiTheme="minorHAnsi" w:hAnsiTheme="minorHAnsi" w:cstheme="minorHAnsi"/>
          <w:szCs w:val="22"/>
          <w:lang w:val="sr-Latn-ME"/>
        </w:rPr>
        <w:t xml:space="preserve"> pad od </w:t>
      </w:r>
      <w:r>
        <w:rPr>
          <w:rFonts w:asciiTheme="minorHAnsi" w:hAnsiTheme="minorHAnsi" w:cstheme="minorHAnsi"/>
          <w:szCs w:val="22"/>
          <w:lang w:val="sr-Latn-ME"/>
        </w:rPr>
        <w:t>9,7</w:t>
      </w:r>
      <w:r w:rsidRPr="00515C5F">
        <w:rPr>
          <w:rFonts w:asciiTheme="minorHAnsi" w:hAnsiTheme="minorHAnsi" w:cstheme="minorHAnsi"/>
          <w:szCs w:val="22"/>
          <w:lang w:val="sr-Latn-ME"/>
        </w:rPr>
        <w:t>%. U građevinarstvu je u prv</w:t>
      </w:r>
      <w:r>
        <w:rPr>
          <w:rFonts w:asciiTheme="minorHAnsi" w:hAnsiTheme="minorHAnsi" w:cstheme="minorHAnsi"/>
          <w:szCs w:val="22"/>
          <w:lang w:val="sr-Latn-ME"/>
        </w:rPr>
        <w:t xml:space="preserve">ih devet mjeseci </w:t>
      </w:r>
      <w:r w:rsidRPr="00515C5F">
        <w:rPr>
          <w:rFonts w:asciiTheme="minorHAnsi" w:hAnsiTheme="minorHAnsi" w:cstheme="minorHAnsi"/>
          <w:szCs w:val="22"/>
          <w:lang w:val="sr-Latn-ME"/>
        </w:rPr>
        <w:t>2023, zabilježen pad vrijednosti izvedenih radova za 9,</w:t>
      </w:r>
      <w:r>
        <w:rPr>
          <w:rFonts w:asciiTheme="minorHAnsi" w:hAnsiTheme="minorHAnsi" w:cstheme="minorHAnsi"/>
          <w:szCs w:val="22"/>
          <w:lang w:val="sr-Latn-ME"/>
        </w:rPr>
        <w:t>6</w:t>
      </w:r>
      <w:r w:rsidRPr="00515C5F">
        <w:rPr>
          <w:rFonts w:asciiTheme="minorHAnsi" w:hAnsiTheme="minorHAnsi" w:cstheme="minorHAnsi"/>
          <w:szCs w:val="22"/>
          <w:lang w:val="sr-Latn-ME"/>
        </w:rPr>
        <w:t>% na godišnjem nivou.</w:t>
      </w:r>
    </w:p>
    <w:p w14:paraId="57B48763" w14:textId="77777777" w:rsidR="00CB2E14" w:rsidRPr="00515C5F" w:rsidRDefault="00CB2E14" w:rsidP="00CB2E14">
      <w:pPr>
        <w:spacing w:line="252" w:lineRule="auto"/>
        <w:ind w:left="23" w:right="102"/>
        <w:jc w:val="both"/>
        <w:rPr>
          <w:rFonts w:cstheme="minorHAnsi"/>
          <w:sz w:val="24"/>
          <w:lang w:val="sr-Latn-ME"/>
        </w:rPr>
      </w:pPr>
      <w:r w:rsidRPr="00515C5F">
        <w:rPr>
          <w:rFonts w:cstheme="minorHAnsi"/>
          <w:sz w:val="24"/>
          <w:lang w:val="sr-Latn-ME"/>
        </w:rPr>
        <w:t>U narednoj tabeli prikazana je razlika između projekcija iz prošlogodišnjeg i novog PER-a:</w:t>
      </w:r>
    </w:p>
    <w:p w14:paraId="43BAB808" w14:textId="2FBD3F40" w:rsidR="00CB2E14" w:rsidRPr="004D5210" w:rsidRDefault="00CB2E14" w:rsidP="00CB2E14">
      <w:pPr>
        <w:spacing w:line="252" w:lineRule="auto"/>
        <w:ind w:left="23" w:right="102"/>
        <w:jc w:val="both"/>
        <w:rPr>
          <w:rFonts w:cstheme="minorHAnsi"/>
          <w:b/>
          <w:color w:val="2F5496" w:themeColor="accent1" w:themeShade="BF"/>
          <w:sz w:val="20"/>
          <w:szCs w:val="20"/>
        </w:rPr>
      </w:pPr>
      <w:r w:rsidRPr="004D5210">
        <w:rPr>
          <w:rFonts w:cstheme="minorHAnsi"/>
          <w:b/>
          <w:color w:val="2F5496" w:themeColor="accent1" w:themeShade="BF"/>
          <w:sz w:val="20"/>
          <w:szCs w:val="20"/>
        </w:rPr>
        <w:lastRenderedPageBreak/>
        <w:t>Tabela 3.1.1: Razlika između prošlogodišnjeg PER-a i najnovijih procjena za 2023. godinu</w:t>
      </w:r>
    </w:p>
    <w:tbl>
      <w:tblPr>
        <w:tblStyle w:val="ListTable2-Accent1"/>
        <w:tblW w:w="0" w:type="auto"/>
        <w:tblLook w:val="04A0" w:firstRow="1" w:lastRow="0" w:firstColumn="1" w:lastColumn="0" w:noHBand="0" w:noVBand="1"/>
      </w:tblPr>
      <w:tblGrid>
        <w:gridCol w:w="2280"/>
        <w:gridCol w:w="2246"/>
        <w:gridCol w:w="2247"/>
        <w:gridCol w:w="2253"/>
      </w:tblGrid>
      <w:tr w:rsidR="00CB2E14" w:rsidRPr="00147B2F" w14:paraId="01A6822E" w14:textId="77777777" w:rsidTr="00CB2E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6D32E74A" w14:textId="77777777" w:rsidR="00CB2E14" w:rsidRPr="00147B2F" w:rsidRDefault="00CB2E14" w:rsidP="00CB2E14">
            <w:pPr>
              <w:spacing w:line="252" w:lineRule="auto"/>
              <w:ind w:right="100"/>
              <w:jc w:val="both"/>
              <w:rPr>
                <w:rFonts w:cstheme="minorHAnsi"/>
                <w:sz w:val="18"/>
                <w:szCs w:val="18"/>
              </w:rPr>
            </w:pPr>
            <w:r w:rsidRPr="00147B2F">
              <w:rPr>
                <w:rFonts w:cstheme="minorHAnsi"/>
                <w:sz w:val="18"/>
                <w:szCs w:val="18"/>
              </w:rPr>
              <w:t xml:space="preserve">Realni rast u 2023, u % </w:t>
            </w:r>
          </w:p>
        </w:tc>
        <w:tc>
          <w:tcPr>
            <w:tcW w:w="2337" w:type="dxa"/>
          </w:tcPr>
          <w:p w14:paraId="54E000A9" w14:textId="77777777" w:rsidR="00CB2E14" w:rsidRPr="00147B2F" w:rsidRDefault="00CB2E14" w:rsidP="00CB2E14">
            <w:pPr>
              <w:spacing w:line="252" w:lineRule="auto"/>
              <w:ind w:right="100"/>
              <w:jc w:val="center"/>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147B2F">
              <w:rPr>
                <w:rFonts w:cstheme="minorHAnsi"/>
                <w:sz w:val="18"/>
                <w:szCs w:val="18"/>
              </w:rPr>
              <w:t>PER 2023-2025</w:t>
            </w:r>
          </w:p>
        </w:tc>
        <w:tc>
          <w:tcPr>
            <w:tcW w:w="2338" w:type="dxa"/>
          </w:tcPr>
          <w:p w14:paraId="30863A1F" w14:textId="77777777" w:rsidR="00CB2E14" w:rsidRPr="00147B2F" w:rsidRDefault="00CB2E14" w:rsidP="00CB2E14">
            <w:pPr>
              <w:spacing w:line="252" w:lineRule="auto"/>
              <w:ind w:right="100"/>
              <w:jc w:val="center"/>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147B2F">
              <w:rPr>
                <w:rFonts w:cstheme="minorHAnsi"/>
                <w:sz w:val="18"/>
                <w:szCs w:val="18"/>
              </w:rPr>
              <w:t>PER 2024-2026</w:t>
            </w:r>
          </w:p>
        </w:tc>
        <w:tc>
          <w:tcPr>
            <w:tcW w:w="2338" w:type="dxa"/>
          </w:tcPr>
          <w:p w14:paraId="2870923A" w14:textId="77777777" w:rsidR="00CB2E14" w:rsidRPr="00147B2F" w:rsidRDefault="00CB2E14" w:rsidP="00CB2E14">
            <w:pPr>
              <w:spacing w:line="252" w:lineRule="auto"/>
              <w:ind w:right="100"/>
              <w:jc w:val="center"/>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147B2F">
              <w:rPr>
                <w:rFonts w:cstheme="minorHAnsi"/>
                <w:sz w:val="18"/>
                <w:szCs w:val="18"/>
              </w:rPr>
              <w:t>Razlika (u p.p)</w:t>
            </w:r>
          </w:p>
        </w:tc>
      </w:tr>
      <w:tr w:rsidR="00CB2E14" w:rsidRPr="00147B2F" w14:paraId="2A11B328" w14:textId="77777777" w:rsidTr="00CB2E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6BDCE0A5" w14:textId="77777777" w:rsidR="00CB2E14" w:rsidRPr="00147B2F" w:rsidRDefault="00CB2E14" w:rsidP="00CB2E14">
            <w:pPr>
              <w:spacing w:line="252" w:lineRule="auto"/>
              <w:ind w:right="100"/>
              <w:jc w:val="both"/>
              <w:rPr>
                <w:rFonts w:cstheme="minorHAnsi"/>
                <w:sz w:val="18"/>
                <w:szCs w:val="18"/>
              </w:rPr>
            </w:pPr>
            <w:r w:rsidRPr="00147B2F">
              <w:rPr>
                <w:rFonts w:cstheme="minorHAnsi"/>
                <w:sz w:val="18"/>
                <w:szCs w:val="18"/>
              </w:rPr>
              <w:t>Realni rast BDP-a</w:t>
            </w:r>
          </w:p>
        </w:tc>
        <w:tc>
          <w:tcPr>
            <w:tcW w:w="2337" w:type="dxa"/>
          </w:tcPr>
          <w:p w14:paraId="13A31427" w14:textId="77777777" w:rsidR="00CB2E14" w:rsidRPr="00147B2F" w:rsidRDefault="00CB2E14" w:rsidP="00CB2E14">
            <w:pPr>
              <w:spacing w:line="252" w:lineRule="auto"/>
              <w:ind w:right="100"/>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4,4</w:t>
            </w:r>
          </w:p>
        </w:tc>
        <w:tc>
          <w:tcPr>
            <w:tcW w:w="2338" w:type="dxa"/>
          </w:tcPr>
          <w:p w14:paraId="7248E512" w14:textId="77777777" w:rsidR="00CB2E14" w:rsidRPr="00147B2F" w:rsidRDefault="00CB2E14" w:rsidP="00CB2E14">
            <w:pPr>
              <w:spacing w:line="252" w:lineRule="auto"/>
              <w:ind w:right="100"/>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5,8</w:t>
            </w:r>
          </w:p>
        </w:tc>
        <w:tc>
          <w:tcPr>
            <w:tcW w:w="2338" w:type="dxa"/>
          </w:tcPr>
          <w:p w14:paraId="7188D9A0" w14:textId="77777777" w:rsidR="00CB2E14" w:rsidRPr="00147B2F" w:rsidRDefault="00CB2E14" w:rsidP="00CB2E14">
            <w:pPr>
              <w:spacing w:line="252" w:lineRule="auto"/>
              <w:ind w:right="100"/>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1,4</w:t>
            </w:r>
          </w:p>
        </w:tc>
      </w:tr>
      <w:tr w:rsidR="00CB2E14" w:rsidRPr="00147B2F" w14:paraId="53A12851" w14:textId="77777777" w:rsidTr="00CB2E14">
        <w:tc>
          <w:tcPr>
            <w:cnfStyle w:val="001000000000" w:firstRow="0" w:lastRow="0" w:firstColumn="1" w:lastColumn="0" w:oddVBand="0" w:evenVBand="0" w:oddHBand="0" w:evenHBand="0" w:firstRowFirstColumn="0" w:firstRowLastColumn="0" w:lastRowFirstColumn="0" w:lastRowLastColumn="0"/>
            <w:tcW w:w="2337" w:type="dxa"/>
          </w:tcPr>
          <w:p w14:paraId="0412CBE5" w14:textId="77777777" w:rsidR="00CB2E14" w:rsidRPr="00147B2F" w:rsidRDefault="00CB2E14" w:rsidP="00CB2E14">
            <w:pPr>
              <w:spacing w:line="252" w:lineRule="auto"/>
              <w:ind w:right="100"/>
              <w:jc w:val="both"/>
              <w:rPr>
                <w:rFonts w:cstheme="minorHAnsi"/>
                <w:sz w:val="18"/>
                <w:szCs w:val="18"/>
              </w:rPr>
            </w:pPr>
            <w:r w:rsidRPr="00147B2F">
              <w:rPr>
                <w:rFonts w:cstheme="minorHAnsi"/>
                <w:sz w:val="18"/>
                <w:szCs w:val="18"/>
              </w:rPr>
              <w:t>Potrošnja domaćinstava</w:t>
            </w:r>
          </w:p>
        </w:tc>
        <w:tc>
          <w:tcPr>
            <w:tcW w:w="2337" w:type="dxa"/>
          </w:tcPr>
          <w:p w14:paraId="6024B2CF" w14:textId="77777777" w:rsidR="00CB2E14" w:rsidRPr="00147B2F" w:rsidRDefault="00CB2E14" w:rsidP="00CB2E14">
            <w:pPr>
              <w:spacing w:line="252" w:lineRule="auto"/>
              <w:ind w:right="100"/>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2,4</w:t>
            </w:r>
          </w:p>
        </w:tc>
        <w:tc>
          <w:tcPr>
            <w:tcW w:w="2338" w:type="dxa"/>
          </w:tcPr>
          <w:p w14:paraId="7AEC85E3" w14:textId="77777777" w:rsidR="00CB2E14" w:rsidRPr="00147B2F" w:rsidRDefault="00CB2E14" w:rsidP="00CB2E14">
            <w:pPr>
              <w:spacing w:line="252" w:lineRule="auto"/>
              <w:ind w:right="100"/>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8,2</w:t>
            </w:r>
          </w:p>
        </w:tc>
        <w:tc>
          <w:tcPr>
            <w:tcW w:w="2338" w:type="dxa"/>
          </w:tcPr>
          <w:p w14:paraId="5ED95BBC" w14:textId="77777777" w:rsidR="00CB2E14" w:rsidRPr="00147B2F" w:rsidRDefault="00CB2E14" w:rsidP="00CB2E14">
            <w:pPr>
              <w:spacing w:line="252" w:lineRule="auto"/>
              <w:ind w:right="100"/>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5,8</w:t>
            </w:r>
          </w:p>
        </w:tc>
      </w:tr>
      <w:tr w:rsidR="00CB2E14" w:rsidRPr="00147B2F" w14:paraId="3C0F2275" w14:textId="77777777" w:rsidTr="00CB2E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68949047" w14:textId="77777777" w:rsidR="00CB2E14" w:rsidRPr="00147B2F" w:rsidRDefault="00CB2E14" w:rsidP="00CB2E14">
            <w:pPr>
              <w:spacing w:line="252" w:lineRule="auto"/>
              <w:ind w:right="100"/>
              <w:jc w:val="both"/>
              <w:rPr>
                <w:rFonts w:cstheme="minorHAnsi"/>
                <w:sz w:val="18"/>
                <w:szCs w:val="18"/>
              </w:rPr>
            </w:pPr>
            <w:r w:rsidRPr="00147B2F">
              <w:rPr>
                <w:rFonts w:cstheme="minorHAnsi"/>
                <w:sz w:val="18"/>
                <w:szCs w:val="18"/>
              </w:rPr>
              <w:t>Potrošnja države</w:t>
            </w:r>
          </w:p>
        </w:tc>
        <w:tc>
          <w:tcPr>
            <w:tcW w:w="2337" w:type="dxa"/>
          </w:tcPr>
          <w:p w14:paraId="266FE05E" w14:textId="77777777" w:rsidR="00CB2E14" w:rsidRPr="00147B2F" w:rsidRDefault="00CB2E14" w:rsidP="00CB2E14">
            <w:pPr>
              <w:spacing w:line="252" w:lineRule="auto"/>
              <w:ind w:right="100"/>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2,5</w:t>
            </w:r>
          </w:p>
        </w:tc>
        <w:tc>
          <w:tcPr>
            <w:tcW w:w="2338" w:type="dxa"/>
          </w:tcPr>
          <w:p w14:paraId="2CFF3132" w14:textId="77777777" w:rsidR="00CB2E14" w:rsidRPr="00147B2F" w:rsidRDefault="00CB2E14" w:rsidP="00CB2E14">
            <w:pPr>
              <w:spacing w:line="252" w:lineRule="auto"/>
              <w:ind w:right="100"/>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3,0</w:t>
            </w:r>
          </w:p>
        </w:tc>
        <w:tc>
          <w:tcPr>
            <w:tcW w:w="2338" w:type="dxa"/>
          </w:tcPr>
          <w:p w14:paraId="550F03BC" w14:textId="77777777" w:rsidR="00CB2E14" w:rsidRPr="00147B2F" w:rsidRDefault="00CB2E14" w:rsidP="00CB2E14">
            <w:pPr>
              <w:spacing w:line="252" w:lineRule="auto"/>
              <w:ind w:right="100"/>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0,5</w:t>
            </w:r>
          </w:p>
        </w:tc>
      </w:tr>
      <w:tr w:rsidR="00CB2E14" w:rsidRPr="00147B2F" w14:paraId="55E630C3" w14:textId="77777777" w:rsidTr="00CB2E14">
        <w:tc>
          <w:tcPr>
            <w:cnfStyle w:val="001000000000" w:firstRow="0" w:lastRow="0" w:firstColumn="1" w:lastColumn="0" w:oddVBand="0" w:evenVBand="0" w:oddHBand="0" w:evenHBand="0" w:firstRowFirstColumn="0" w:firstRowLastColumn="0" w:lastRowFirstColumn="0" w:lastRowLastColumn="0"/>
            <w:tcW w:w="2337" w:type="dxa"/>
          </w:tcPr>
          <w:p w14:paraId="2BA9B035" w14:textId="77777777" w:rsidR="00CB2E14" w:rsidRPr="00147B2F" w:rsidRDefault="00CB2E14" w:rsidP="00CB2E14">
            <w:pPr>
              <w:spacing w:line="252" w:lineRule="auto"/>
              <w:ind w:right="100"/>
              <w:jc w:val="both"/>
              <w:rPr>
                <w:rFonts w:cstheme="minorHAnsi"/>
                <w:sz w:val="18"/>
                <w:szCs w:val="18"/>
              </w:rPr>
            </w:pPr>
            <w:r w:rsidRPr="00147B2F">
              <w:rPr>
                <w:rFonts w:cstheme="minorHAnsi"/>
                <w:sz w:val="18"/>
                <w:szCs w:val="18"/>
              </w:rPr>
              <w:t>Investicije</w:t>
            </w:r>
          </w:p>
        </w:tc>
        <w:tc>
          <w:tcPr>
            <w:tcW w:w="2337" w:type="dxa"/>
          </w:tcPr>
          <w:p w14:paraId="27D9A298" w14:textId="77777777" w:rsidR="00CB2E14" w:rsidRPr="00147B2F" w:rsidRDefault="00CB2E14" w:rsidP="00CB2E14">
            <w:pPr>
              <w:spacing w:line="252" w:lineRule="auto"/>
              <w:ind w:right="100"/>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4,6</w:t>
            </w:r>
          </w:p>
        </w:tc>
        <w:tc>
          <w:tcPr>
            <w:tcW w:w="2338" w:type="dxa"/>
          </w:tcPr>
          <w:p w14:paraId="633F63AE" w14:textId="77777777" w:rsidR="00CB2E14" w:rsidRPr="00147B2F" w:rsidRDefault="00CB2E14" w:rsidP="00CB2E14">
            <w:pPr>
              <w:spacing w:line="252" w:lineRule="auto"/>
              <w:ind w:right="100"/>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1,4</w:t>
            </w:r>
          </w:p>
        </w:tc>
        <w:tc>
          <w:tcPr>
            <w:tcW w:w="2338" w:type="dxa"/>
          </w:tcPr>
          <w:p w14:paraId="11DFE879" w14:textId="77777777" w:rsidR="00CB2E14" w:rsidRPr="00147B2F" w:rsidRDefault="00CB2E14" w:rsidP="00CB2E14">
            <w:pPr>
              <w:spacing w:line="252" w:lineRule="auto"/>
              <w:ind w:right="100"/>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-3,2</w:t>
            </w:r>
          </w:p>
        </w:tc>
      </w:tr>
      <w:tr w:rsidR="00CB2E14" w:rsidRPr="00147B2F" w14:paraId="76CD7063" w14:textId="77777777" w:rsidTr="00CB2E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7AE99BA0" w14:textId="77777777" w:rsidR="00CB2E14" w:rsidRPr="00147B2F" w:rsidRDefault="00CB2E14" w:rsidP="00CB2E14">
            <w:pPr>
              <w:spacing w:line="252" w:lineRule="auto"/>
              <w:ind w:right="100"/>
              <w:jc w:val="both"/>
              <w:rPr>
                <w:rFonts w:cstheme="minorHAnsi"/>
                <w:sz w:val="18"/>
                <w:szCs w:val="18"/>
              </w:rPr>
            </w:pPr>
            <w:r w:rsidRPr="00147B2F">
              <w:rPr>
                <w:rFonts w:cstheme="minorHAnsi"/>
                <w:sz w:val="18"/>
                <w:szCs w:val="18"/>
              </w:rPr>
              <w:t>Izvoz roba i usluga</w:t>
            </w:r>
          </w:p>
        </w:tc>
        <w:tc>
          <w:tcPr>
            <w:tcW w:w="2337" w:type="dxa"/>
          </w:tcPr>
          <w:p w14:paraId="6F0453D1" w14:textId="77777777" w:rsidR="00CB2E14" w:rsidRPr="00147B2F" w:rsidRDefault="00CB2E14" w:rsidP="00CB2E14">
            <w:pPr>
              <w:spacing w:line="252" w:lineRule="auto"/>
              <w:ind w:right="100"/>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9,0</w:t>
            </w:r>
          </w:p>
        </w:tc>
        <w:tc>
          <w:tcPr>
            <w:tcW w:w="2338" w:type="dxa"/>
          </w:tcPr>
          <w:p w14:paraId="14105B29" w14:textId="77777777" w:rsidR="00CB2E14" w:rsidRPr="00147B2F" w:rsidRDefault="00CB2E14" w:rsidP="00CB2E14">
            <w:pPr>
              <w:spacing w:line="252" w:lineRule="auto"/>
              <w:ind w:right="100"/>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12,7</w:t>
            </w:r>
          </w:p>
        </w:tc>
        <w:tc>
          <w:tcPr>
            <w:tcW w:w="2338" w:type="dxa"/>
          </w:tcPr>
          <w:p w14:paraId="5285EC77" w14:textId="77777777" w:rsidR="00CB2E14" w:rsidRPr="00147B2F" w:rsidRDefault="00CB2E14" w:rsidP="00CB2E14">
            <w:pPr>
              <w:spacing w:line="252" w:lineRule="auto"/>
              <w:ind w:right="100"/>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3,7</w:t>
            </w:r>
          </w:p>
        </w:tc>
      </w:tr>
      <w:tr w:rsidR="00CB2E14" w:rsidRPr="00147B2F" w14:paraId="240E2B3B" w14:textId="77777777" w:rsidTr="00CB2E14">
        <w:tc>
          <w:tcPr>
            <w:cnfStyle w:val="001000000000" w:firstRow="0" w:lastRow="0" w:firstColumn="1" w:lastColumn="0" w:oddVBand="0" w:evenVBand="0" w:oddHBand="0" w:evenHBand="0" w:firstRowFirstColumn="0" w:firstRowLastColumn="0" w:lastRowFirstColumn="0" w:lastRowLastColumn="0"/>
            <w:tcW w:w="2337" w:type="dxa"/>
          </w:tcPr>
          <w:p w14:paraId="425D7A07" w14:textId="77777777" w:rsidR="00CB2E14" w:rsidRPr="00147B2F" w:rsidRDefault="00CB2E14" w:rsidP="00CB2E14">
            <w:pPr>
              <w:spacing w:line="252" w:lineRule="auto"/>
              <w:ind w:right="100"/>
              <w:jc w:val="both"/>
              <w:rPr>
                <w:rFonts w:cstheme="minorHAnsi"/>
                <w:sz w:val="18"/>
                <w:szCs w:val="18"/>
              </w:rPr>
            </w:pPr>
            <w:r w:rsidRPr="00147B2F">
              <w:rPr>
                <w:rFonts w:cstheme="minorHAnsi"/>
                <w:sz w:val="18"/>
                <w:szCs w:val="18"/>
              </w:rPr>
              <w:t>Uvoz roba i usluga</w:t>
            </w:r>
          </w:p>
        </w:tc>
        <w:tc>
          <w:tcPr>
            <w:tcW w:w="2337" w:type="dxa"/>
          </w:tcPr>
          <w:p w14:paraId="171F4652" w14:textId="77777777" w:rsidR="00CB2E14" w:rsidRPr="00147B2F" w:rsidRDefault="00CB2E14" w:rsidP="00CB2E14">
            <w:pPr>
              <w:spacing w:line="252" w:lineRule="auto"/>
              <w:ind w:right="100"/>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5,1</w:t>
            </w:r>
          </w:p>
        </w:tc>
        <w:tc>
          <w:tcPr>
            <w:tcW w:w="2338" w:type="dxa"/>
          </w:tcPr>
          <w:p w14:paraId="25D98139" w14:textId="77777777" w:rsidR="00CB2E14" w:rsidRPr="00147B2F" w:rsidRDefault="00CB2E14" w:rsidP="00CB2E14">
            <w:pPr>
              <w:spacing w:line="252" w:lineRule="auto"/>
              <w:ind w:right="100"/>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10,6</w:t>
            </w:r>
          </w:p>
        </w:tc>
        <w:tc>
          <w:tcPr>
            <w:tcW w:w="2338" w:type="dxa"/>
          </w:tcPr>
          <w:p w14:paraId="243F1B7C" w14:textId="77777777" w:rsidR="00CB2E14" w:rsidRPr="00147B2F" w:rsidRDefault="00CB2E14" w:rsidP="00CB2E14">
            <w:pPr>
              <w:spacing w:line="252" w:lineRule="auto"/>
              <w:ind w:right="100"/>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5,5</w:t>
            </w:r>
          </w:p>
        </w:tc>
      </w:tr>
    </w:tbl>
    <w:p w14:paraId="4E9D3F57" w14:textId="77777777" w:rsidR="00CB2E14" w:rsidRPr="004D5210" w:rsidRDefault="00CB2E14" w:rsidP="00CB2E14">
      <w:pPr>
        <w:spacing w:line="252" w:lineRule="auto"/>
        <w:ind w:left="23" w:right="102"/>
        <w:jc w:val="both"/>
        <w:rPr>
          <w:rFonts w:cstheme="minorHAnsi"/>
          <w:i/>
          <w:sz w:val="18"/>
          <w:szCs w:val="18"/>
        </w:rPr>
      </w:pPr>
      <w:r w:rsidRPr="004D5210">
        <w:rPr>
          <w:rFonts w:cstheme="minorHAnsi"/>
          <w:i/>
          <w:sz w:val="18"/>
          <w:szCs w:val="18"/>
        </w:rPr>
        <w:t>Izvor: Projekcije Ministarstva finansija</w:t>
      </w:r>
    </w:p>
    <w:p w14:paraId="0193BC55" w14:textId="77777777" w:rsidR="00CB2E14" w:rsidRPr="00515C5F" w:rsidRDefault="00CB2E14" w:rsidP="00CB2E14">
      <w:pPr>
        <w:spacing w:line="252" w:lineRule="auto"/>
        <w:ind w:left="23" w:right="102"/>
        <w:jc w:val="both"/>
        <w:rPr>
          <w:rFonts w:cstheme="minorHAnsi"/>
          <w:sz w:val="24"/>
          <w:lang w:val="sr-Latn-ME"/>
        </w:rPr>
      </w:pPr>
      <w:r w:rsidRPr="00515C5F">
        <w:rPr>
          <w:rFonts w:cstheme="minorHAnsi"/>
          <w:sz w:val="24"/>
          <w:lang w:val="sr-Latn-ME"/>
        </w:rPr>
        <w:t>Uporedni prikaz projekcija pokazuje odstupanja u pogledu kretanja privatne potrošnje i posljedično ekonomskog rasta. Turizam se znatno snažnije oporavio od očekivanja, dok je uvoz intenziviran shodno rastu potrošnje i privredne aktivnosti. Investicije u 2023. bilježe slabiji rast u odnosu na prošlogodišnje procjene.</w:t>
      </w:r>
    </w:p>
    <w:p w14:paraId="1BACC68C" w14:textId="77777777" w:rsidR="00CB2E14" w:rsidRPr="0047692E" w:rsidRDefault="00CB2E14" w:rsidP="00CB2E14">
      <w:pPr>
        <w:spacing w:line="252" w:lineRule="auto"/>
        <w:ind w:left="23" w:right="102"/>
        <w:jc w:val="both"/>
        <w:rPr>
          <w:rFonts w:eastAsia="Calibri" w:cstheme="minorHAnsi"/>
          <w:b/>
          <w:color w:val="2F5496" w:themeColor="accent1" w:themeShade="BF"/>
          <w:sz w:val="24"/>
          <w:lang w:val="sr-Latn-ME" w:eastAsia="sr-Latn-ME"/>
        </w:rPr>
      </w:pPr>
      <w:r w:rsidRPr="0047692E">
        <w:rPr>
          <w:rFonts w:eastAsia="Calibri" w:cstheme="minorHAnsi"/>
          <w:b/>
          <w:color w:val="2F5496" w:themeColor="accent1" w:themeShade="BF"/>
          <w:sz w:val="24"/>
          <w:lang w:val="sr-Latn-ME" w:eastAsia="sr-Latn-ME"/>
        </w:rPr>
        <w:t>3.1.2 Inflacija</w:t>
      </w:r>
    </w:p>
    <w:p w14:paraId="4E49AF25" w14:textId="77777777" w:rsidR="00CB2E14" w:rsidRPr="00515C5F" w:rsidRDefault="00CB2E14" w:rsidP="00CB2E14">
      <w:pPr>
        <w:jc w:val="both"/>
        <w:rPr>
          <w:rFonts w:cstheme="minorHAnsi"/>
          <w:sz w:val="24"/>
          <w:lang w:val="sr-Latn-ME"/>
        </w:rPr>
      </w:pPr>
      <w:r w:rsidRPr="00515C5F">
        <w:rPr>
          <w:rFonts w:cstheme="minorHAnsi"/>
          <w:sz w:val="24"/>
          <w:lang w:val="sr-Latn-ME"/>
        </w:rPr>
        <w:t>Stopa inflacije, iako usporava nakon rekordnog rasta u 202</w:t>
      </w:r>
      <w:r>
        <w:rPr>
          <w:rFonts w:cstheme="minorHAnsi"/>
          <w:sz w:val="24"/>
          <w:lang w:val="sr-Latn-ME"/>
        </w:rPr>
        <w:t>2</w:t>
      </w:r>
      <w:r w:rsidRPr="00515C5F">
        <w:rPr>
          <w:rFonts w:cstheme="minorHAnsi"/>
          <w:sz w:val="24"/>
          <w:lang w:val="sr-Latn-ME"/>
        </w:rPr>
        <w:t xml:space="preserve">, je usljed eskternih faktora, snažne domaće potražnje i velikog priliva nerezidenata i dalje na visokom nivou, pa je u prvih deset mjeseci 2023. iznosila prosječno 9,5%. Najveći doprinos rastu cijena za ovaj period, dale su cijene hrane i bezalkoholnih pića (uticaj 4,5 procentnih poena, rast cijena 12,5%) i kategorija 'Stanovanje, voda, struja, gas i druga goriva' (uticaj 1,5 pp, rast cijena 10,9%). </w:t>
      </w:r>
      <w:r w:rsidRPr="00515C5F">
        <w:rPr>
          <w:rFonts w:cstheme="minorHAnsi"/>
          <w:sz w:val="24"/>
        </w:rPr>
        <w:t xml:space="preserve">Djelimična izmjena u kompoziciji faktora koji doprinose inflaciji, u odnosu na prethodnu godinu, ukazuje na to da takozvana bazna inflacija (inflacija kada se isključi volatilni rast cijena hrane i energije), može ostati povišena i ukorijenjena tokom dužeg vremenskog perioda. </w:t>
      </w:r>
      <w:r w:rsidRPr="00515C5F">
        <w:rPr>
          <w:rFonts w:cstheme="minorHAnsi"/>
          <w:sz w:val="24"/>
          <w:lang w:val="sr-Latn-ME"/>
        </w:rPr>
        <w:t xml:space="preserve">Iako je u oktobru 2023. zabilježena mjesečna deflacija potrošačkih cijena (-0,3%), </w:t>
      </w:r>
      <w:r>
        <w:rPr>
          <w:rFonts w:cstheme="minorHAnsi"/>
          <w:sz w:val="24"/>
          <w:lang w:val="sr-Latn-ME"/>
        </w:rPr>
        <w:t>godišnja inflacija je</w:t>
      </w:r>
      <w:r w:rsidRPr="00515C5F">
        <w:rPr>
          <w:rFonts w:cstheme="minorHAnsi"/>
          <w:sz w:val="24"/>
          <w:lang w:val="sr-Latn-ME"/>
        </w:rPr>
        <w:t xml:space="preserve"> 6,1% u ovom mjesecu</w:t>
      </w:r>
      <w:r>
        <w:rPr>
          <w:rFonts w:cstheme="minorHAnsi"/>
          <w:sz w:val="24"/>
          <w:lang w:val="sr-Latn-ME"/>
        </w:rPr>
        <w:t xml:space="preserve"> </w:t>
      </w:r>
      <w:r w:rsidRPr="00515C5F">
        <w:rPr>
          <w:rFonts w:cstheme="minorHAnsi"/>
          <w:sz w:val="24"/>
          <w:lang w:val="sr-Latn-ME"/>
        </w:rPr>
        <w:t xml:space="preserve">i znatno </w:t>
      </w:r>
      <w:r>
        <w:rPr>
          <w:rFonts w:cstheme="minorHAnsi"/>
          <w:sz w:val="24"/>
          <w:lang w:val="sr-Latn-ME"/>
        </w:rPr>
        <w:t>je i</w:t>
      </w:r>
      <w:r w:rsidRPr="00515C5F">
        <w:rPr>
          <w:rFonts w:cstheme="minorHAnsi"/>
          <w:sz w:val="24"/>
          <w:lang w:val="sr-Latn-ME"/>
        </w:rPr>
        <w:t>znad povećanja cijena u Eurozoni (godišnja inflacija 2,9% u oktobru).</w:t>
      </w:r>
    </w:p>
    <w:p w14:paraId="7BD0EBF4" w14:textId="77777777" w:rsidR="00CB2E14" w:rsidRPr="00515C5F" w:rsidRDefault="00CB2E14" w:rsidP="00CB2E14">
      <w:pPr>
        <w:jc w:val="both"/>
        <w:rPr>
          <w:rFonts w:cstheme="minorHAnsi"/>
          <w:sz w:val="24"/>
          <w:lang w:val="sr-Latn-ME"/>
        </w:rPr>
      </w:pPr>
      <w:r w:rsidRPr="00515C5F">
        <w:rPr>
          <w:rFonts w:cstheme="minorHAnsi"/>
          <w:sz w:val="24"/>
          <w:lang w:val="sr-Latn-ME"/>
        </w:rPr>
        <w:t>U 2023. je došlo do pada cijena industrijskih proizvoda za izvoz, koje bilježe pad 12,8% u trećem kvartalu godine, usljed pada cijena u metalskom sektoru, vođeno berzanskim međunarodnim kretanjima cijena. Sa druge strane, rast uvoznih cijena je u trećem kvartalu 2023, usporio na 2,8% na godišnjem nivou.</w:t>
      </w:r>
    </w:p>
    <w:p w14:paraId="18F8D924" w14:textId="77777777" w:rsidR="00CB2E14" w:rsidRPr="0047692E" w:rsidRDefault="00CB2E14" w:rsidP="00CB2E14">
      <w:pPr>
        <w:spacing w:line="252" w:lineRule="auto"/>
        <w:ind w:left="23" w:right="102"/>
        <w:jc w:val="both"/>
        <w:rPr>
          <w:rFonts w:eastAsia="Calibri" w:cstheme="minorHAnsi"/>
          <w:b/>
          <w:color w:val="2F5496" w:themeColor="accent1" w:themeShade="BF"/>
          <w:sz w:val="24"/>
          <w:lang w:val="sr-Latn-ME" w:eastAsia="sr-Latn-ME"/>
        </w:rPr>
      </w:pPr>
      <w:r w:rsidRPr="0047692E">
        <w:rPr>
          <w:rFonts w:eastAsia="Calibri" w:cstheme="minorHAnsi"/>
          <w:b/>
          <w:color w:val="2F5496" w:themeColor="accent1" w:themeShade="BF"/>
          <w:sz w:val="24"/>
          <w:lang w:val="sr-Latn-ME" w:eastAsia="sr-Latn-ME"/>
        </w:rPr>
        <w:t>3.1.3. Zaposlenost i zarade</w:t>
      </w:r>
    </w:p>
    <w:p w14:paraId="1DAF0A54" w14:textId="77777777" w:rsidR="00CB2E14" w:rsidRPr="00515C5F" w:rsidRDefault="00CB2E14" w:rsidP="00CB2E14">
      <w:pPr>
        <w:jc w:val="both"/>
        <w:rPr>
          <w:rFonts w:cstheme="minorHAnsi"/>
          <w:sz w:val="24"/>
          <w:lang w:val="sr-Latn-ME"/>
        </w:rPr>
      </w:pPr>
      <w:r w:rsidRPr="00515C5F">
        <w:rPr>
          <w:rFonts w:cstheme="minorHAnsi"/>
          <w:sz w:val="24"/>
          <w:lang w:val="sr-Latn-ME"/>
        </w:rPr>
        <w:t>Tržište rada je usljed rasta privredne aktivnosti, priliva nerezidenata i smanjenja sive ekonomije, nastavilo da bilježi izrazito povoljne trendove, pa je zaposlenost porasla na 243,7 hiljada, u prvih devet mjeseci 2023, što je rast od 9,4% u odnosu na uporedni period 2022. Stopa nezaposlenosti se, prema podacima iz Ankete o radnoj snazi, na kraju drugog kvartala 2023, spustila na istorijski najnižih 12,9%. Registrovani broj nezaposlenih, prema evidenciji Zavoda za zapošljavanje Crne Gore, je na kraju oktobra 2023, iznosio 39.128 i manji je 11,6% u odnosu na kraj oktobra 2022. Izazov dugoročne nezaposlenosti i dalje ostaje strukturni problem na tržištu rada, pri čemu gotovo polovina nezaposlenih lica sa evidencije Zavoda, zaposlenje traži duže od tri godine.</w:t>
      </w:r>
    </w:p>
    <w:p w14:paraId="5F2C0098" w14:textId="77777777" w:rsidR="00CB2E14" w:rsidRDefault="00CB2E14" w:rsidP="00CB2E14">
      <w:pPr>
        <w:jc w:val="both"/>
        <w:rPr>
          <w:rFonts w:cstheme="minorHAnsi"/>
          <w:sz w:val="24"/>
          <w:lang w:val="sr-Latn-ME"/>
        </w:rPr>
      </w:pPr>
      <w:r w:rsidRPr="00515C5F">
        <w:rPr>
          <w:rFonts w:cstheme="minorHAnsi"/>
          <w:sz w:val="24"/>
          <w:lang w:val="sr-Latn-ME"/>
        </w:rPr>
        <w:t>U prvih devet mjeseci 2023, prosječna bruto zarada u Crnoj Gori iznosi 979€ i veća je 11,4% u poređenju sa istim periodom 2022, dok je prosječna neto zarada (bez poreza i doprinosa) iznosila 787€, uz godišnji rast od 11,2%. Uprkos snažnoj inflaciji tokom posljednje dvije godine, izmjenama poreske politike i povećanj</w:t>
      </w:r>
      <w:r>
        <w:rPr>
          <w:rFonts w:cstheme="minorHAnsi"/>
          <w:sz w:val="24"/>
          <w:lang w:val="sr-Latn-ME"/>
        </w:rPr>
        <w:t>em</w:t>
      </w:r>
      <w:r w:rsidRPr="00515C5F">
        <w:rPr>
          <w:rFonts w:cstheme="minorHAnsi"/>
          <w:sz w:val="24"/>
          <w:lang w:val="sr-Latn-ME"/>
        </w:rPr>
        <w:t xml:space="preserve"> prosječnih zarada u 2022, a potom i rastom plata za </w:t>
      </w:r>
      <w:r w:rsidRPr="00515C5F">
        <w:rPr>
          <w:rFonts w:cstheme="minorHAnsi"/>
          <w:sz w:val="24"/>
          <w:lang w:val="sr-Latn-ME"/>
        </w:rPr>
        <w:lastRenderedPageBreak/>
        <w:t xml:space="preserve">zaposlene u javnom sektoru u 2023, realna zarada bilježi porast </w:t>
      </w:r>
      <w:r>
        <w:rPr>
          <w:rFonts w:cstheme="minorHAnsi"/>
          <w:sz w:val="24"/>
          <w:lang w:val="sr-Latn-ME"/>
        </w:rPr>
        <w:t xml:space="preserve">od </w:t>
      </w:r>
      <w:r w:rsidRPr="00515C5F">
        <w:rPr>
          <w:rFonts w:cstheme="minorHAnsi"/>
          <w:sz w:val="24"/>
          <w:lang w:val="sr-Latn-ME"/>
        </w:rPr>
        <w:t xml:space="preserve"> 18,4% u 2022. godini i 1,2% u prvih devet mjeseci 2023.</w:t>
      </w:r>
    </w:p>
    <w:p w14:paraId="361FBD62" w14:textId="77777777" w:rsidR="00CB2E14" w:rsidRPr="0047692E" w:rsidRDefault="00CB2E14" w:rsidP="00CB2E14">
      <w:pPr>
        <w:spacing w:line="252" w:lineRule="auto"/>
        <w:ind w:left="23" w:right="102"/>
        <w:jc w:val="both"/>
        <w:rPr>
          <w:rFonts w:eastAsia="Calibri" w:cstheme="minorHAnsi"/>
          <w:b/>
          <w:color w:val="2F5496" w:themeColor="accent1" w:themeShade="BF"/>
          <w:sz w:val="24"/>
          <w:lang w:val="sr-Latn-ME" w:eastAsia="sr-Latn-ME"/>
        </w:rPr>
      </w:pPr>
      <w:r w:rsidRPr="0047692E">
        <w:rPr>
          <w:rFonts w:eastAsia="Calibri" w:cstheme="minorHAnsi"/>
          <w:b/>
          <w:color w:val="2F5496" w:themeColor="accent1" w:themeShade="BF"/>
          <w:sz w:val="24"/>
          <w:lang w:val="sr-Latn-ME" w:eastAsia="sr-Latn-ME"/>
        </w:rPr>
        <w:t xml:space="preserve">3.1.4. Kreditna aktivnost banaka </w:t>
      </w:r>
    </w:p>
    <w:p w14:paraId="7AB11D3C" w14:textId="77777777" w:rsidR="00CB2E14" w:rsidRPr="00B73413" w:rsidRDefault="00CB2E14" w:rsidP="00CB2E14">
      <w:pPr>
        <w:jc w:val="both"/>
        <w:rPr>
          <w:sz w:val="24"/>
          <w:szCs w:val="24"/>
          <w:highlight w:val="cyan"/>
        </w:rPr>
      </w:pPr>
      <w:r w:rsidRPr="00B73413">
        <w:rPr>
          <w:sz w:val="24"/>
          <w:szCs w:val="24"/>
        </w:rPr>
        <w:t xml:space="preserve">Bankarski sektor je u 2023. zadržao stabilnost, visoku likvidnost, profitabilnost i dobru kapitalizovanost. Sve ključne bilansne pozicije na godišnjem nivou ostvaruju rast i to: aktiva 10,42%, krediti 12,01%, depoziti 10,65% i kapital od 27,28%. Na kraju oktobra 2023, novčana sredstva iznose 1.286,2 mil.€ i predstavljaju 18,95% </w:t>
      </w:r>
      <w:r w:rsidRPr="00B73413">
        <w:rPr>
          <w:sz w:val="24"/>
          <w:szCs w:val="24"/>
          <w:lang w:val="sr-Latn-ME"/>
        </w:rPr>
        <w:t>ukupne aktive</w:t>
      </w:r>
      <w:r w:rsidRPr="00B73413">
        <w:rPr>
          <w:sz w:val="24"/>
          <w:szCs w:val="24"/>
        </w:rPr>
        <w:t>. Koeficijent nekvalitetnih kredita (NPL</w:t>
      </w:r>
      <w:r w:rsidRPr="00B73413">
        <w:rPr>
          <w:rStyle w:val="FootnoteReference"/>
          <w:sz w:val="24"/>
          <w:szCs w:val="24"/>
        </w:rPr>
        <w:footnoteReference w:id="13"/>
      </w:r>
      <w:r w:rsidRPr="00B73413">
        <w:rPr>
          <w:sz w:val="24"/>
          <w:szCs w:val="24"/>
        </w:rPr>
        <w:t>) iznosi 4,82%.</w:t>
      </w:r>
    </w:p>
    <w:p w14:paraId="77BB6F52" w14:textId="77777777" w:rsidR="00CB2E14" w:rsidRPr="00B73413" w:rsidRDefault="00CB2E14" w:rsidP="00CB2E14">
      <w:pPr>
        <w:jc w:val="both"/>
        <w:rPr>
          <w:sz w:val="24"/>
          <w:szCs w:val="24"/>
          <w:highlight w:val="cyan"/>
        </w:rPr>
      </w:pPr>
      <w:r w:rsidRPr="00B73413">
        <w:rPr>
          <w:sz w:val="24"/>
          <w:szCs w:val="24"/>
        </w:rPr>
        <w:t>Krediti pravnim licima iznose 2.366,1 mil.€ ili 58,14% ukupnih kredita, dok krediti fizičkim licima iznose 1.703,7 mil.€ ili 41,86% ukupnih kredita. U istom periodu, krediti odobreni fizičkim licima bilježe rast od 8,75%, dok su krediti pravnim licima zabilježili rast od 14,48%. U strukturi kredita po ključnim nosiocima, nakon kredita fizičkim licima koji su dominantni sa 41,86%, slijede krediti privredi sa 31,47%, krediti Vladi Crne Gore sa 4,79%, plasmani bankama sa 16,85% i ostali krediti sa 5,03% učešća u ukupnim kreditima. Krediti privredi (privredna društva u privatnom i državnom vlasništvu) iznose 1.280,6 mil.€ i bilježe rast od 1,76% na godišnjem nivou. Krediti u drugim valutama čine 3,46% ukupnih kredita, dok krediti nerezidenata učestvuju sa 21,06% u ukupnim kreditima i navedeno se u najvećoj mjeri odnosi na sredstva na korespodentskim računima ino banaka. Dugoročni krediti, koji čine 76,57% svih kredita u sistemu, su dominantno finansirani iz stabilnih kratkoročnih depozita, koji čine 90,16% ukupnih depozita u sistemu. Na kraju oktobra 2023. godine, prosječna ponderisana efektivna kamatna stopa (PPEKS) na ukupne kredite iznosi 6,49%. U istom periodu prethodne godine je iznosila 5,68%.</w:t>
      </w:r>
    </w:p>
    <w:p w14:paraId="6CAA859D" w14:textId="77777777" w:rsidR="00CB2E14" w:rsidRPr="00B73413" w:rsidRDefault="00CB2E14" w:rsidP="00CB2E14">
      <w:pPr>
        <w:jc w:val="both"/>
        <w:rPr>
          <w:sz w:val="24"/>
          <w:szCs w:val="24"/>
        </w:rPr>
      </w:pPr>
      <w:r w:rsidRPr="00B73413">
        <w:rPr>
          <w:sz w:val="24"/>
          <w:szCs w:val="24"/>
        </w:rPr>
        <w:t>Tokom deset mjeseci 2023. godine, pravnim licima je odobreno 617 mil.€ novih kredita i ovi krediti ostvaruju pad od 14,44% u odnosu na isti period prethodne godine, dok je fizičkim licima odobreno 465,2 mil.€, što je za oko 4,01% više u odnosu na isti period 2022. godine. PPEKS na novoodobrene kredite iznosi 7,34% i u odnosu na oktobar 2022. godine ostvaruje rast od 1,75 p.p. Pokazatelji kreditne aktivnosti ukazuju da je evidentno prenošenje uticaja monetarne politike ECB na tražnju i ponudu kredita u crnogorskom bankarskom sistemu.</w:t>
      </w:r>
    </w:p>
    <w:p w14:paraId="64D4B65E" w14:textId="77777777" w:rsidR="00CB2E14" w:rsidRPr="00B73413" w:rsidRDefault="00CB2E14" w:rsidP="00CB2E14">
      <w:pPr>
        <w:spacing w:line="240" w:lineRule="auto"/>
        <w:jc w:val="both"/>
        <w:rPr>
          <w:sz w:val="24"/>
          <w:szCs w:val="24"/>
          <w:highlight w:val="cyan"/>
        </w:rPr>
      </w:pPr>
      <w:bookmarkStart w:id="12" w:name="_Hlk151379294"/>
      <w:r w:rsidRPr="00B73413">
        <w:rPr>
          <w:sz w:val="24"/>
          <w:szCs w:val="24"/>
        </w:rPr>
        <w:t>Ukupni depoziti na kraju oktobra 2023. iznose 5.536,2 mil.</w:t>
      </w:r>
      <w:r>
        <w:rPr>
          <w:sz w:val="24"/>
          <w:szCs w:val="24"/>
        </w:rPr>
        <w:t>€</w:t>
      </w:r>
      <w:r w:rsidRPr="00B73413">
        <w:rPr>
          <w:sz w:val="24"/>
          <w:szCs w:val="24"/>
        </w:rPr>
        <w:t>. U jednogodišnjem uporednom periodu</w:t>
      </w:r>
      <w:r>
        <w:rPr>
          <w:sz w:val="24"/>
          <w:szCs w:val="24"/>
        </w:rPr>
        <w:t>,</w:t>
      </w:r>
      <w:r w:rsidRPr="00B73413">
        <w:rPr>
          <w:sz w:val="24"/>
          <w:szCs w:val="24"/>
        </w:rPr>
        <w:t xml:space="preserve"> ukupni depoziti bilježe rast od 532,9 mil.</w:t>
      </w:r>
      <w:r>
        <w:rPr>
          <w:sz w:val="24"/>
          <w:szCs w:val="24"/>
        </w:rPr>
        <w:t>€</w:t>
      </w:r>
      <w:r w:rsidRPr="00B73413">
        <w:rPr>
          <w:sz w:val="24"/>
          <w:szCs w:val="24"/>
        </w:rPr>
        <w:t xml:space="preserve"> ili 10,65%.</w:t>
      </w:r>
      <w:bookmarkEnd w:id="12"/>
      <w:r w:rsidRPr="00B73413">
        <w:rPr>
          <w:sz w:val="24"/>
          <w:szCs w:val="24"/>
        </w:rPr>
        <w:t xml:space="preserve"> Na kraju oktobra 2023, u strukturi ukupnih depozita</w:t>
      </w:r>
      <w:r>
        <w:rPr>
          <w:sz w:val="24"/>
          <w:szCs w:val="24"/>
        </w:rPr>
        <w:t>,</w:t>
      </w:r>
      <w:r w:rsidRPr="00B73413">
        <w:rPr>
          <w:sz w:val="24"/>
          <w:szCs w:val="24"/>
        </w:rPr>
        <w:t xml:space="preserve"> na depozite fizičkih lica se odnosi 2.679 mil.€ ili 48,39%, dok se na depozite pravnih lica odnosi 2.857,1 mil.€ ili 51,61%. </w:t>
      </w:r>
      <w:r>
        <w:rPr>
          <w:sz w:val="24"/>
          <w:szCs w:val="24"/>
        </w:rPr>
        <w:t>Na godišnjem nivou,</w:t>
      </w:r>
      <w:r w:rsidRPr="00B73413">
        <w:rPr>
          <w:sz w:val="24"/>
          <w:szCs w:val="24"/>
        </w:rPr>
        <w:t xml:space="preserve"> depoziti fizičkih lica ostvaruju rast od 319,5 mil.</w:t>
      </w:r>
      <w:r>
        <w:rPr>
          <w:sz w:val="24"/>
          <w:szCs w:val="24"/>
        </w:rPr>
        <w:t>€</w:t>
      </w:r>
      <w:r w:rsidRPr="00B73413">
        <w:rPr>
          <w:sz w:val="24"/>
          <w:szCs w:val="24"/>
        </w:rPr>
        <w:t xml:space="preserve"> ili 13,54%, dok depoziti pravnih lica ostvaruju rast od 213,4 mil.</w:t>
      </w:r>
      <w:r>
        <w:rPr>
          <w:sz w:val="24"/>
          <w:szCs w:val="24"/>
        </w:rPr>
        <w:t>€</w:t>
      </w:r>
      <w:r w:rsidRPr="00B73413">
        <w:rPr>
          <w:sz w:val="24"/>
          <w:szCs w:val="24"/>
        </w:rPr>
        <w:t xml:space="preserve"> ili 8,07%.</w:t>
      </w:r>
      <w:r w:rsidRPr="00B73413">
        <w:rPr>
          <w:rFonts w:ascii="Times New Roman" w:eastAsia="Calibri" w:hAnsi="Times New Roman" w:cs="Times New Roman"/>
          <w:noProof/>
          <w:sz w:val="24"/>
          <w:szCs w:val="24"/>
          <w:lang w:val="sr-Latn-CS"/>
        </w:rPr>
        <w:t xml:space="preserve"> </w:t>
      </w:r>
      <w:r w:rsidRPr="00B73413">
        <w:rPr>
          <w:sz w:val="24"/>
          <w:szCs w:val="24"/>
        </w:rPr>
        <w:t>Depoziti po viđenju su dominantni sa 81,45% u ukupnim depozitima. U bankarskom sistemu i dalje je prisutna ročna neusklađenost depozitnog potencijala. Učešće nerezidentnih depozita je značajno i iznosi 24,22%, dok depoziti u drugim valutama čine 4,78% ukupnih depozita. U oktobru 2023, pasivna PPEKS iznosila je 0,25% i u pore</w:t>
      </w:r>
      <w:r w:rsidRPr="00B73413">
        <w:rPr>
          <w:sz w:val="24"/>
          <w:szCs w:val="24"/>
          <w:lang w:val="sr-Latn-ME"/>
        </w:rPr>
        <w:t xml:space="preserve">đenju sa </w:t>
      </w:r>
      <w:r>
        <w:rPr>
          <w:sz w:val="24"/>
          <w:szCs w:val="24"/>
          <w:lang w:val="sr-Latn-ME"/>
        </w:rPr>
        <w:t>oktobrom</w:t>
      </w:r>
      <w:r w:rsidRPr="00B73413">
        <w:rPr>
          <w:sz w:val="24"/>
          <w:szCs w:val="24"/>
          <w:lang w:val="sr-Latn-ME"/>
        </w:rPr>
        <w:t xml:space="preserve"> </w:t>
      </w:r>
      <w:r>
        <w:rPr>
          <w:sz w:val="24"/>
          <w:szCs w:val="24"/>
          <w:lang w:val="sr-Latn-ME"/>
        </w:rPr>
        <w:t>2022.</w:t>
      </w:r>
      <w:r w:rsidRPr="00B73413">
        <w:rPr>
          <w:sz w:val="24"/>
          <w:szCs w:val="24"/>
          <w:lang w:val="sr-Latn-ME"/>
        </w:rPr>
        <w:t xml:space="preserve"> </w:t>
      </w:r>
      <w:r w:rsidRPr="00B73413">
        <w:rPr>
          <w:sz w:val="24"/>
          <w:szCs w:val="24"/>
        </w:rPr>
        <w:t>ostala je na istom nivou.</w:t>
      </w:r>
    </w:p>
    <w:p w14:paraId="4F65285D" w14:textId="77777777" w:rsidR="00CB2E14" w:rsidRPr="00B73413" w:rsidRDefault="00CB2E14" w:rsidP="00CB2E14">
      <w:pPr>
        <w:jc w:val="both"/>
        <w:rPr>
          <w:sz w:val="24"/>
          <w:szCs w:val="24"/>
        </w:rPr>
      </w:pPr>
      <w:r w:rsidRPr="00B73413">
        <w:rPr>
          <w:sz w:val="24"/>
          <w:szCs w:val="24"/>
        </w:rPr>
        <w:lastRenderedPageBreak/>
        <w:t>Vrijednost koeficijenta kredita i potraživanja u odnosu na depozite iznosi 73,51%, što znači da je u sistemu 1.466,4 mil.€ više depozitnog potencijala u odnosu na potraživanja po osnovu odobrenih kredita.</w:t>
      </w:r>
    </w:p>
    <w:p w14:paraId="76CA470E" w14:textId="77777777" w:rsidR="00CB2E14" w:rsidRPr="0047692E" w:rsidRDefault="00CB2E14" w:rsidP="00CB2E14">
      <w:pPr>
        <w:jc w:val="both"/>
        <w:rPr>
          <w:rFonts w:eastAsia="Calibri" w:cstheme="minorHAnsi"/>
          <w:b/>
          <w:color w:val="2F5496" w:themeColor="accent1" w:themeShade="BF"/>
          <w:sz w:val="24"/>
          <w:lang w:val="sr-Latn-ME" w:eastAsia="sr-Latn-ME"/>
        </w:rPr>
      </w:pPr>
      <w:r w:rsidRPr="0047692E">
        <w:rPr>
          <w:rFonts w:eastAsia="Calibri" w:cstheme="minorHAnsi"/>
          <w:b/>
          <w:color w:val="2F5496" w:themeColor="accent1" w:themeShade="BF"/>
          <w:sz w:val="24"/>
          <w:lang w:val="sr-Latn-ME" w:eastAsia="sr-Latn-ME"/>
        </w:rPr>
        <w:t>3.1.5. Finansijski sektor</w:t>
      </w:r>
    </w:p>
    <w:p w14:paraId="4914EB08" w14:textId="77777777" w:rsidR="00CB2E14" w:rsidRPr="00B73413" w:rsidRDefault="00CB2E14" w:rsidP="00CB2E14">
      <w:pPr>
        <w:spacing w:line="240" w:lineRule="auto"/>
        <w:jc w:val="both"/>
        <w:rPr>
          <w:sz w:val="24"/>
          <w:szCs w:val="24"/>
        </w:rPr>
      </w:pPr>
      <w:r w:rsidRPr="00B73413">
        <w:rPr>
          <w:sz w:val="24"/>
          <w:szCs w:val="24"/>
        </w:rPr>
        <w:t>Finansijski sektor na kraju trećeg kvartala 2023.</w:t>
      </w:r>
      <w:r>
        <w:rPr>
          <w:sz w:val="24"/>
          <w:szCs w:val="24"/>
        </w:rPr>
        <w:t xml:space="preserve"> </w:t>
      </w:r>
      <w:r w:rsidRPr="00B73413">
        <w:rPr>
          <w:sz w:val="24"/>
          <w:szCs w:val="24"/>
        </w:rPr>
        <w:t>karakteriše stabilnost i umjereni nivo sistemskog rizika. U cilju očuvanja finansijske stabilnosti, Centralna banka je i tokom 2023. godine nastavila aktivno da prati i analizira</w:t>
      </w:r>
      <w:r w:rsidRPr="00D62D6B">
        <w:rPr>
          <w:sz w:val="24"/>
          <w:szCs w:val="24"/>
        </w:rPr>
        <w:t xml:space="preserve"> </w:t>
      </w:r>
      <w:r w:rsidRPr="00B73413">
        <w:rPr>
          <w:sz w:val="24"/>
          <w:szCs w:val="24"/>
        </w:rPr>
        <w:t>kretanja u finansijskom sistemu i ekonomiji, kako bi kroz adekvatne mjere makroprudencijalne i monetarne politike podržala oporavak i dalji rast i razvoj crnogorske ekonomije u uslovima stalno prisutne neizvjesnosti. Mjere su značajno doprinijele održavanju stabilnosti bankarskog sistema, koji bilježi rast svih klju</w:t>
      </w:r>
      <w:r w:rsidRPr="00B73413">
        <w:rPr>
          <w:sz w:val="24"/>
          <w:szCs w:val="24"/>
          <w:lang w:val="sr-Latn-ME"/>
        </w:rPr>
        <w:t>č</w:t>
      </w:r>
      <w:r w:rsidRPr="00B73413">
        <w:rPr>
          <w:sz w:val="24"/>
          <w:szCs w:val="24"/>
        </w:rPr>
        <w:t>nih bilansnih pozicija, dok su ukupni depoziti i likvidna aktiva banaka na istorijskom maksimumu. S obzirom na ostvaren značajan efekat, te činjenicu da su rokovi za primjenu većine mjera istekli, Centralna banka ne planira da produži primjenu preostalih mjera.</w:t>
      </w:r>
    </w:p>
    <w:p w14:paraId="428970FE" w14:textId="77777777" w:rsidR="00CB2E14" w:rsidRPr="00B73413" w:rsidRDefault="00CB2E14" w:rsidP="00CB2E14">
      <w:pPr>
        <w:spacing w:line="240" w:lineRule="auto"/>
        <w:jc w:val="both"/>
        <w:rPr>
          <w:sz w:val="24"/>
          <w:szCs w:val="24"/>
        </w:rPr>
      </w:pPr>
      <w:r w:rsidRPr="00B73413">
        <w:rPr>
          <w:sz w:val="24"/>
          <w:szCs w:val="24"/>
        </w:rPr>
        <w:t xml:space="preserve">Finansijski sektor na kraju septembra 2023. je imao vrijednost aktive oko 6,8 milijardi eura, koja je u odnosu na BDP iznosila 105,1%. Bankarski sektor čini 93,9% aktive finansijskog sektora, slijede sektor osiguranja sa 4,2% i ostale finansijske institucije (mikrokreditne finansijske institucije, lizing kompanije, faktoring društva i društva za otkup potraživanja) sa 1,9%. </w:t>
      </w:r>
    </w:p>
    <w:p w14:paraId="2DC08702" w14:textId="77777777" w:rsidR="00CB2E14" w:rsidRPr="00B73413" w:rsidRDefault="00CB2E14" w:rsidP="00CB2E14">
      <w:pPr>
        <w:spacing w:line="240" w:lineRule="auto"/>
        <w:jc w:val="both"/>
        <w:rPr>
          <w:sz w:val="24"/>
          <w:szCs w:val="24"/>
        </w:rPr>
      </w:pPr>
      <w:r w:rsidRPr="00B73413">
        <w:rPr>
          <w:sz w:val="24"/>
          <w:szCs w:val="24"/>
        </w:rPr>
        <w:t>Tokom prvih devet mjeseci 2023, na Montenegroberzi ostvareno je 8,3 mil.</w:t>
      </w:r>
      <w:r>
        <w:rPr>
          <w:sz w:val="24"/>
          <w:szCs w:val="24"/>
        </w:rPr>
        <w:t>€</w:t>
      </w:r>
      <w:r w:rsidRPr="00B73413">
        <w:rPr>
          <w:sz w:val="24"/>
          <w:szCs w:val="24"/>
        </w:rPr>
        <w:t xml:space="preserve"> prometa (0,13% prognoziranog godišnjeg BDP-a), što je za 41,7 mil.</w:t>
      </w:r>
      <w:r>
        <w:rPr>
          <w:sz w:val="24"/>
          <w:szCs w:val="24"/>
        </w:rPr>
        <w:t>€</w:t>
      </w:r>
      <w:r w:rsidRPr="00B73413">
        <w:rPr>
          <w:sz w:val="24"/>
          <w:szCs w:val="24"/>
        </w:rPr>
        <w:t xml:space="preserve"> </w:t>
      </w:r>
      <w:r>
        <w:rPr>
          <w:sz w:val="24"/>
          <w:szCs w:val="24"/>
        </w:rPr>
        <w:t xml:space="preserve">ili </w:t>
      </w:r>
      <w:r w:rsidRPr="00B73413">
        <w:rPr>
          <w:sz w:val="24"/>
          <w:szCs w:val="24"/>
        </w:rPr>
        <w:t>83,4%</w:t>
      </w:r>
      <w:r>
        <w:rPr>
          <w:sz w:val="24"/>
          <w:szCs w:val="24"/>
        </w:rPr>
        <w:t xml:space="preserve"> </w:t>
      </w:r>
      <w:r w:rsidRPr="00B73413">
        <w:rPr>
          <w:sz w:val="24"/>
          <w:szCs w:val="24"/>
        </w:rPr>
        <w:t>manje</w:t>
      </w:r>
      <w:r>
        <w:rPr>
          <w:sz w:val="24"/>
          <w:szCs w:val="24"/>
        </w:rPr>
        <w:t xml:space="preserve"> na godišnjem nivou.</w:t>
      </w:r>
    </w:p>
    <w:p w14:paraId="4E081D2F" w14:textId="77777777" w:rsidR="00CB2E14" w:rsidRPr="00B73413" w:rsidRDefault="00CB2E14" w:rsidP="00CB2E14">
      <w:pPr>
        <w:spacing w:line="240" w:lineRule="auto"/>
        <w:jc w:val="both"/>
        <w:rPr>
          <w:sz w:val="24"/>
          <w:szCs w:val="24"/>
        </w:rPr>
      </w:pPr>
      <w:r w:rsidRPr="00B73413">
        <w:rPr>
          <w:sz w:val="24"/>
          <w:szCs w:val="24"/>
        </w:rPr>
        <w:t>Bankarski sektor je pod kontinuiranim nadzorom Centralne banke, likvidan, solventan i sa nekvalitetnim kreditima na prihvatljivom nivou. Likvidna aktiva banaka iznosi 1.731,2 mil.€ i čini 25,51% ukupne aktive na kraju oktobra 2023. U strukturi likvidne aktive</w:t>
      </w:r>
      <w:r>
        <w:rPr>
          <w:sz w:val="24"/>
          <w:szCs w:val="24"/>
        </w:rPr>
        <w:t>,</w:t>
      </w:r>
      <w:r w:rsidRPr="00B73413">
        <w:rPr>
          <w:sz w:val="24"/>
          <w:szCs w:val="24"/>
        </w:rPr>
        <w:t xml:space="preserve"> najve</w:t>
      </w:r>
      <w:r w:rsidRPr="00B73413">
        <w:rPr>
          <w:sz w:val="24"/>
          <w:szCs w:val="24"/>
          <w:lang w:val="sr-Latn-ME"/>
        </w:rPr>
        <w:t xml:space="preserve">će učešće imaju gotovina i gotovinski ekvivalenti </w:t>
      </w:r>
      <w:r>
        <w:rPr>
          <w:sz w:val="24"/>
          <w:szCs w:val="24"/>
          <w:lang w:val="sr-Latn-ME"/>
        </w:rPr>
        <w:t>(</w:t>
      </w:r>
      <w:r w:rsidRPr="00B73413">
        <w:rPr>
          <w:sz w:val="24"/>
          <w:szCs w:val="24"/>
          <w:lang w:val="sr-Latn-ME"/>
        </w:rPr>
        <w:t>57,59%</w:t>
      </w:r>
      <w:r>
        <w:rPr>
          <w:sz w:val="24"/>
          <w:szCs w:val="24"/>
          <w:lang w:val="sr-Latn-ME"/>
        </w:rPr>
        <w:t>)</w:t>
      </w:r>
      <w:r w:rsidRPr="00B73413">
        <w:rPr>
          <w:sz w:val="24"/>
          <w:szCs w:val="24"/>
          <w:lang w:val="sr-Latn-ME"/>
        </w:rPr>
        <w:t xml:space="preserve">, zatim sredstva kod ino banaka (depoziti po viđenju) koji čine 33,55% ukupne likvidne aktive, sredstva kod domaćih banaka (po viđenju) </w:t>
      </w:r>
      <w:r>
        <w:rPr>
          <w:sz w:val="24"/>
          <w:szCs w:val="24"/>
          <w:lang w:val="sr-Latn-ME"/>
        </w:rPr>
        <w:t>sa</w:t>
      </w:r>
      <w:r w:rsidRPr="00B73413">
        <w:rPr>
          <w:sz w:val="24"/>
          <w:szCs w:val="24"/>
          <w:lang w:val="sr-Latn-ME"/>
        </w:rPr>
        <w:t xml:space="preserve"> 0,49%, dok dio obavezne rezerve čini 8,37% ukupne likvidne aktive. Na nivou sistema</w:t>
      </w:r>
      <w:r>
        <w:rPr>
          <w:sz w:val="24"/>
          <w:szCs w:val="24"/>
          <w:lang w:val="sr-Latn-ME"/>
        </w:rPr>
        <w:t>,</w:t>
      </w:r>
      <w:r w:rsidRPr="00B73413">
        <w:rPr>
          <w:sz w:val="24"/>
          <w:szCs w:val="24"/>
          <w:lang w:val="sr-Latn-ME"/>
        </w:rPr>
        <w:t xml:space="preserve"> hartije od vrijednosti iznose 1.353 mil.</w:t>
      </w:r>
      <w:r>
        <w:rPr>
          <w:sz w:val="24"/>
          <w:szCs w:val="24"/>
          <w:lang w:val="sr-Latn-ME"/>
        </w:rPr>
        <w:t>€</w:t>
      </w:r>
      <w:r w:rsidRPr="00B73413">
        <w:rPr>
          <w:sz w:val="24"/>
          <w:szCs w:val="24"/>
          <w:lang w:val="sr-Latn-ME"/>
        </w:rPr>
        <w:t xml:space="preserve">, čineći 19,95% ukupne aktive. Hartije od vrijednosti predstavljaju rezervu likvidnosti. </w:t>
      </w:r>
      <w:r w:rsidRPr="00B73413">
        <w:rPr>
          <w:sz w:val="24"/>
          <w:szCs w:val="24"/>
        </w:rPr>
        <w:t>Stabilnost bankarskog sektora podržana je adekvatnom kapitalizacijom, tako da i agregatni (20,71%) i individualni koeficijenti solventnosti kod svih banaka u sistemu (koji se kreću u rasponu od 11,92% do 29,45%) na 30.09.2023. su iznad zakonskog minimuma. Navedene tendencije su se pozitivno reflektovale na profitabilnost bankarskog sektora. Pozitivan finansijski rezultat na nivou sistema na kraju oktobra 2023. iznosi 127 mil.€, dok je u istom periodu prethodne godine iznosio 72,7 mil.€. Prinos na prosječnu aktivu (ROA) je na kraju septembr</w:t>
      </w:r>
      <w:r>
        <w:rPr>
          <w:sz w:val="24"/>
          <w:szCs w:val="24"/>
        </w:rPr>
        <w:t>a</w:t>
      </w:r>
      <w:r w:rsidRPr="00B73413">
        <w:rPr>
          <w:sz w:val="24"/>
          <w:szCs w:val="24"/>
        </w:rPr>
        <w:t xml:space="preserve"> 2023. iznosio 2,30%, dok je prinos na prosječni kapital (ROE) iznosio 21,02%.</w:t>
      </w:r>
      <w:r>
        <w:rPr>
          <w:sz w:val="24"/>
          <w:szCs w:val="24"/>
        </w:rPr>
        <w:t xml:space="preserve"> </w:t>
      </w:r>
      <w:r w:rsidRPr="00830BF1">
        <w:rPr>
          <w:sz w:val="24"/>
          <w:szCs w:val="24"/>
        </w:rPr>
        <w:t>Takođe, djelovanjem iz predostrožnosti, Centralna banka je blagovremeno obezbijedila 350 miliona eura od Evropske centralne banke i Banke za međunarodna poravnanja za slučaj hitne podrške za likvidnost bankama u slučaju nepredviđenih okolnosti.</w:t>
      </w:r>
    </w:p>
    <w:p w14:paraId="28547C87" w14:textId="77777777" w:rsidR="00CB2E14" w:rsidRPr="00B73413" w:rsidRDefault="00CB2E14" w:rsidP="00CB2E14">
      <w:pPr>
        <w:jc w:val="both"/>
        <w:rPr>
          <w:b/>
          <w:sz w:val="24"/>
          <w:szCs w:val="24"/>
        </w:rPr>
      </w:pPr>
      <w:r w:rsidRPr="00B73413">
        <w:rPr>
          <w:b/>
          <w:sz w:val="24"/>
          <w:szCs w:val="24"/>
        </w:rPr>
        <w:t>Uvažavajući preporuke Evropske komisije, Centralna banka je kontinuirano preduzimala aktivnosti iz domena svoje nadležnosti, kako bi dala maksimalan doprinos njihovoj realizaciji i očuvanju stabilnosti finansijskog sistema.</w:t>
      </w:r>
      <w:r>
        <w:rPr>
          <w:b/>
          <w:sz w:val="24"/>
          <w:szCs w:val="24"/>
        </w:rPr>
        <w:t xml:space="preserve"> Više detalja o odgovorima na smjernicu politika sa ministarskog dijaloga u Briselu u maju 2023. je dato u okviru Poglavlja 2.</w:t>
      </w:r>
    </w:p>
    <w:p w14:paraId="48E9FB23" w14:textId="77777777" w:rsidR="004D5210" w:rsidRDefault="004D5210" w:rsidP="00CB2E14">
      <w:pPr>
        <w:spacing w:after="120"/>
        <w:jc w:val="both"/>
        <w:rPr>
          <w:rFonts w:eastAsia="Calibri" w:cstheme="minorHAnsi"/>
          <w:b/>
          <w:color w:val="2F5496" w:themeColor="accent1" w:themeShade="BF"/>
          <w:sz w:val="24"/>
          <w:lang w:val="sr-Latn-ME" w:eastAsia="sr-Latn-ME"/>
        </w:rPr>
      </w:pPr>
    </w:p>
    <w:p w14:paraId="4C3A0276" w14:textId="539CFEDB" w:rsidR="00CB2E14" w:rsidRPr="0047692E" w:rsidRDefault="00CB2E14" w:rsidP="00CB2E14">
      <w:pPr>
        <w:spacing w:after="120"/>
        <w:jc w:val="both"/>
        <w:rPr>
          <w:rFonts w:eastAsia="Calibri" w:cstheme="minorHAnsi"/>
          <w:b/>
          <w:color w:val="2F5496" w:themeColor="accent1" w:themeShade="BF"/>
          <w:sz w:val="24"/>
          <w:lang w:val="sr-Latn-ME" w:eastAsia="sr-Latn-ME"/>
        </w:rPr>
      </w:pPr>
      <w:r w:rsidRPr="0047692E">
        <w:rPr>
          <w:rFonts w:eastAsia="Calibri" w:cstheme="minorHAnsi"/>
          <w:b/>
          <w:color w:val="2F5496" w:themeColor="accent1" w:themeShade="BF"/>
          <w:sz w:val="24"/>
          <w:lang w:val="sr-Latn-ME" w:eastAsia="sr-Latn-ME"/>
        </w:rPr>
        <w:lastRenderedPageBreak/>
        <w:t>3.1.6. Eksterni sektor</w:t>
      </w:r>
    </w:p>
    <w:p w14:paraId="687D4447" w14:textId="77777777" w:rsidR="00CB2E14" w:rsidRPr="0047692E" w:rsidRDefault="00CB2E14" w:rsidP="00CB2E14">
      <w:pPr>
        <w:jc w:val="both"/>
        <w:rPr>
          <w:rFonts w:eastAsia="Calibri" w:cstheme="minorHAnsi"/>
          <w:b/>
          <w:color w:val="2F5496" w:themeColor="accent1" w:themeShade="BF"/>
          <w:sz w:val="24"/>
          <w:lang w:val="sr-Latn-ME" w:eastAsia="sr-Latn-ME"/>
        </w:rPr>
      </w:pPr>
      <w:r w:rsidRPr="0047692E">
        <w:rPr>
          <w:rFonts w:eastAsia="Calibri" w:cstheme="minorHAnsi"/>
          <w:b/>
          <w:color w:val="2F5496" w:themeColor="accent1" w:themeShade="BF"/>
          <w:sz w:val="24"/>
          <w:lang w:val="sr-Latn-ME" w:eastAsia="sr-Latn-ME"/>
        </w:rPr>
        <w:t>3.1.6.1. Tekući račun</w:t>
      </w:r>
    </w:p>
    <w:p w14:paraId="28B148B6" w14:textId="77777777" w:rsidR="00CB2E14" w:rsidRPr="00515C5F" w:rsidRDefault="00CB2E14" w:rsidP="00CB2E14">
      <w:pPr>
        <w:spacing w:line="240" w:lineRule="auto"/>
        <w:jc w:val="both"/>
        <w:rPr>
          <w:rFonts w:eastAsia="Times New Roman" w:cs="Calibri"/>
          <w:sz w:val="24"/>
          <w:szCs w:val="24"/>
          <w:lang w:val="sr-Latn-RS"/>
        </w:rPr>
      </w:pPr>
      <w:r w:rsidRPr="00515C5F">
        <w:rPr>
          <w:rFonts w:eastAsia="Times New Roman" w:cs="Calibri"/>
          <w:sz w:val="24"/>
          <w:szCs w:val="24"/>
          <w:lang w:val="sr-Latn-RS"/>
        </w:rPr>
        <w:t>U periodu januar-septembar 2023</w:t>
      </w:r>
      <w:r>
        <w:rPr>
          <w:rFonts w:eastAsia="Times New Roman" w:cs="Calibri"/>
          <w:sz w:val="24"/>
          <w:szCs w:val="24"/>
          <w:lang w:val="sr-Latn-RS"/>
        </w:rPr>
        <w:t xml:space="preserve">, </w:t>
      </w:r>
      <w:r w:rsidRPr="00515C5F">
        <w:rPr>
          <w:rFonts w:eastAsia="Times New Roman" w:cs="Calibri"/>
          <w:sz w:val="24"/>
          <w:szCs w:val="24"/>
          <w:lang w:val="sr-Latn-RS"/>
        </w:rPr>
        <w:t xml:space="preserve">deficit tekućeg računa iznosio je </w:t>
      </w:r>
      <w:r>
        <w:rPr>
          <w:rFonts w:eastAsia="Times New Roman" w:cs="Calibri"/>
          <w:sz w:val="24"/>
          <w:szCs w:val="24"/>
          <w:lang w:val="sr-Latn-RS"/>
        </w:rPr>
        <w:t>345,0</w:t>
      </w:r>
      <w:r w:rsidRPr="00515C5F">
        <w:rPr>
          <w:rFonts w:eastAsia="Times New Roman" w:cs="Calibri"/>
          <w:sz w:val="24"/>
          <w:szCs w:val="24"/>
          <w:lang w:val="sr-Latn-RS"/>
        </w:rPr>
        <w:t xml:space="preserve"> </w:t>
      </w:r>
      <w:r>
        <w:rPr>
          <w:rFonts w:eastAsia="Times New Roman" w:cs="Calibri"/>
          <w:sz w:val="24"/>
          <w:szCs w:val="24"/>
          <w:lang w:val="sr-Latn-RS"/>
        </w:rPr>
        <w:t>mil.€</w:t>
      </w:r>
      <w:r w:rsidRPr="00515C5F">
        <w:rPr>
          <w:rFonts w:eastAsia="Times New Roman" w:cs="Calibri"/>
          <w:sz w:val="24"/>
          <w:szCs w:val="24"/>
          <w:lang w:val="sr-Latn-RS"/>
        </w:rPr>
        <w:t xml:space="preserve"> i manji</w:t>
      </w:r>
      <w:r>
        <w:rPr>
          <w:rFonts w:eastAsia="Times New Roman" w:cs="Calibri"/>
          <w:sz w:val="24"/>
          <w:szCs w:val="24"/>
          <w:lang w:val="sr-Latn-RS"/>
        </w:rPr>
        <w:t xml:space="preserve"> je</w:t>
      </w:r>
      <w:r w:rsidRPr="00515C5F">
        <w:rPr>
          <w:rFonts w:eastAsia="Times New Roman" w:cs="Calibri"/>
          <w:sz w:val="24"/>
          <w:szCs w:val="24"/>
          <w:lang w:val="sr-Latn-RS"/>
        </w:rPr>
        <w:t xml:space="preserve"> za 28,4% u odnosu na isti period 2022</w:t>
      </w:r>
      <w:r>
        <w:rPr>
          <w:rFonts w:eastAsia="Times New Roman" w:cs="Calibri"/>
          <w:sz w:val="24"/>
          <w:szCs w:val="24"/>
          <w:lang w:val="sr-Latn-RS"/>
        </w:rPr>
        <w:t>, kao rezultat</w:t>
      </w:r>
      <w:r w:rsidRPr="00515C5F">
        <w:rPr>
          <w:rFonts w:eastAsia="Times New Roman" w:cs="Calibri"/>
          <w:sz w:val="24"/>
          <w:szCs w:val="24"/>
          <w:lang w:val="sr-Latn-RS"/>
        </w:rPr>
        <w:t xml:space="preserve"> </w:t>
      </w:r>
      <w:r>
        <w:rPr>
          <w:rFonts w:eastAsia="Times New Roman" w:cs="Calibri"/>
          <w:sz w:val="24"/>
          <w:szCs w:val="24"/>
          <w:lang w:val="sr-Latn-RS"/>
        </w:rPr>
        <w:t xml:space="preserve">snažnog </w:t>
      </w:r>
      <w:r w:rsidRPr="00515C5F">
        <w:rPr>
          <w:rFonts w:eastAsia="Times New Roman" w:cs="Calibri"/>
          <w:sz w:val="24"/>
          <w:szCs w:val="24"/>
          <w:lang w:val="sr-Latn-RS"/>
        </w:rPr>
        <w:t>rasta suficita na računu usluga. Ukupan izvoz roba iznosio je 533,</w:t>
      </w:r>
      <w:r>
        <w:rPr>
          <w:rFonts w:eastAsia="Times New Roman" w:cs="Calibri"/>
          <w:sz w:val="24"/>
          <w:szCs w:val="24"/>
          <w:lang w:val="sr-Latn-RS"/>
        </w:rPr>
        <w:t>6</w:t>
      </w:r>
      <w:r w:rsidRPr="00515C5F">
        <w:rPr>
          <w:rFonts w:eastAsia="Times New Roman" w:cs="Calibri"/>
          <w:sz w:val="24"/>
          <w:szCs w:val="24"/>
          <w:lang w:val="sr-Latn-RS"/>
        </w:rPr>
        <w:t xml:space="preserve"> </w:t>
      </w:r>
      <w:r>
        <w:rPr>
          <w:rFonts w:eastAsia="Times New Roman" w:cs="Calibri"/>
          <w:sz w:val="24"/>
          <w:szCs w:val="24"/>
          <w:lang w:val="sr-Latn-RS"/>
        </w:rPr>
        <w:t xml:space="preserve">mil.€ </w:t>
      </w:r>
      <w:r w:rsidRPr="00515C5F">
        <w:rPr>
          <w:rFonts w:eastAsia="Times New Roman" w:cs="Calibri"/>
          <w:sz w:val="24"/>
          <w:szCs w:val="24"/>
          <w:lang w:val="sr-Latn-RS"/>
        </w:rPr>
        <w:t>ili 6,2% manje u odnosu na uporedni period, čemu je najviše doprinio pad izvoza obojenih metal</w:t>
      </w:r>
      <w:r>
        <w:rPr>
          <w:rFonts w:eastAsia="Times New Roman" w:cs="Calibri"/>
          <w:sz w:val="24"/>
          <w:szCs w:val="24"/>
          <w:lang w:val="sr-Latn-RS"/>
        </w:rPr>
        <w:t>a</w:t>
      </w:r>
      <w:r w:rsidRPr="00515C5F">
        <w:rPr>
          <w:rFonts w:eastAsia="Times New Roman" w:cs="Calibri"/>
          <w:sz w:val="24"/>
          <w:szCs w:val="24"/>
          <w:lang w:val="sr-Latn-RS"/>
        </w:rPr>
        <w:t xml:space="preserve"> i kategorije mineralne rude i otpaci metala. Ukupan uvoz roba iznosio je 2.761,0 </w:t>
      </w:r>
      <w:r>
        <w:rPr>
          <w:rFonts w:eastAsia="Times New Roman" w:cs="Calibri"/>
          <w:sz w:val="24"/>
          <w:szCs w:val="24"/>
          <w:lang w:val="sr-Latn-RS"/>
        </w:rPr>
        <w:t>mil.€</w:t>
      </w:r>
      <w:r w:rsidRPr="00515C5F">
        <w:rPr>
          <w:rFonts w:eastAsia="Times New Roman" w:cs="Calibri"/>
          <w:sz w:val="24"/>
          <w:szCs w:val="24"/>
          <w:lang w:val="sr-Latn-RS"/>
        </w:rPr>
        <w:t xml:space="preserve"> i ve</w:t>
      </w:r>
      <w:r w:rsidRPr="00515C5F">
        <w:rPr>
          <w:rFonts w:eastAsia="Times New Roman" w:cs="Calibri"/>
          <w:sz w:val="24"/>
          <w:szCs w:val="24"/>
        </w:rPr>
        <w:t>ći</w:t>
      </w:r>
      <w:r w:rsidRPr="00515C5F">
        <w:rPr>
          <w:rFonts w:eastAsia="Times New Roman" w:cs="Calibri"/>
          <w:sz w:val="24"/>
          <w:szCs w:val="24"/>
          <w:lang w:val="sr-Latn-RS"/>
        </w:rPr>
        <w:t xml:space="preserve"> je 7,7% u odnosu na isti period 2022, </w:t>
      </w:r>
      <w:r>
        <w:rPr>
          <w:rFonts w:eastAsia="Times New Roman" w:cs="Calibri"/>
          <w:sz w:val="24"/>
          <w:szCs w:val="24"/>
          <w:lang w:val="sr-Latn-RS"/>
        </w:rPr>
        <w:t>kao</w:t>
      </w:r>
      <w:r w:rsidRPr="00515C5F">
        <w:rPr>
          <w:rFonts w:eastAsia="Times New Roman" w:cs="Calibri"/>
          <w:sz w:val="24"/>
          <w:szCs w:val="24"/>
          <w:lang w:val="sr-Latn-RS"/>
        </w:rPr>
        <w:t xml:space="preserve"> rezultat rasta uvoza drumskih vozila i industrijskih mašina za opštu upotrebu.</w:t>
      </w:r>
      <w:r>
        <w:rPr>
          <w:rFonts w:eastAsia="Times New Roman" w:cs="Calibri"/>
          <w:sz w:val="24"/>
          <w:szCs w:val="24"/>
          <w:lang w:val="sr-Latn-RS"/>
        </w:rPr>
        <w:t xml:space="preserve"> </w:t>
      </w:r>
      <w:r w:rsidRPr="00515C5F">
        <w:rPr>
          <w:rFonts w:eastAsia="Times New Roman" w:cs="Calibri"/>
          <w:sz w:val="24"/>
          <w:szCs w:val="24"/>
          <w:lang w:val="sr-Latn-RS"/>
        </w:rPr>
        <w:t>Na računu usluga zabilježen je suficit od 1.483,</w:t>
      </w:r>
      <w:r>
        <w:rPr>
          <w:rFonts w:eastAsia="Times New Roman" w:cs="Calibri"/>
          <w:sz w:val="24"/>
          <w:szCs w:val="24"/>
          <w:lang w:val="sr-Latn-RS"/>
        </w:rPr>
        <w:t>1</w:t>
      </w:r>
      <w:r w:rsidRPr="00515C5F">
        <w:rPr>
          <w:rFonts w:eastAsia="Times New Roman" w:cs="Calibri"/>
          <w:sz w:val="24"/>
          <w:szCs w:val="24"/>
          <w:lang w:val="sr-Latn-RS"/>
        </w:rPr>
        <w:t xml:space="preserve"> </w:t>
      </w:r>
      <w:r>
        <w:rPr>
          <w:rFonts w:eastAsia="Times New Roman" w:cs="Calibri"/>
          <w:sz w:val="24"/>
          <w:szCs w:val="24"/>
          <w:lang w:val="sr-Latn-RS"/>
        </w:rPr>
        <w:t>mil.€</w:t>
      </w:r>
      <w:r w:rsidRPr="00515C5F">
        <w:rPr>
          <w:rFonts w:eastAsia="Times New Roman" w:cs="Calibri"/>
          <w:sz w:val="24"/>
          <w:szCs w:val="24"/>
          <w:lang w:val="sr-Latn-RS"/>
        </w:rPr>
        <w:t xml:space="preserve">, što </w:t>
      </w:r>
      <w:r>
        <w:rPr>
          <w:rFonts w:eastAsia="Times New Roman" w:cs="Calibri"/>
          <w:sz w:val="24"/>
          <w:szCs w:val="24"/>
          <w:lang w:val="sr-Latn-RS"/>
        </w:rPr>
        <w:t>je</w:t>
      </w:r>
      <w:r w:rsidRPr="00515C5F">
        <w:rPr>
          <w:rFonts w:eastAsia="Times New Roman" w:cs="Calibri"/>
          <w:sz w:val="24"/>
          <w:szCs w:val="24"/>
          <w:lang w:val="sr-Latn-RS"/>
        </w:rPr>
        <w:t xml:space="preserve"> 38,</w:t>
      </w:r>
      <w:r>
        <w:rPr>
          <w:rFonts w:eastAsia="Times New Roman" w:cs="Calibri"/>
          <w:sz w:val="24"/>
          <w:szCs w:val="24"/>
          <w:lang w:val="sr-Latn-RS"/>
        </w:rPr>
        <w:t>5</w:t>
      </w:r>
      <w:r w:rsidRPr="00515C5F">
        <w:rPr>
          <w:rFonts w:eastAsia="Times New Roman" w:cs="Calibri"/>
          <w:sz w:val="24"/>
          <w:szCs w:val="24"/>
          <w:lang w:val="sr-Latn-RS"/>
        </w:rPr>
        <w:t>% više</w:t>
      </w:r>
      <w:r>
        <w:rPr>
          <w:rFonts w:eastAsia="Times New Roman" w:cs="Calibri"/>
          <w:sz w:val="24"/>
          <w:szCs w:val="24"/>
          <w:lang w:val="sr-Latn-RS"/>
        </w:rPr>
        <w:t xml:space="preserve"> međugodišnje, usljed </w:t>
      </w:r>
      <w:r w:rsidRPr="00515C5F">
        <w:rPr>
          <w:rFonts w:eastAsia="Times New Roman" w:cs="Calibri"/>
          <w:sz w:val="24"/>
          <w:szCs w:val="24"/>
          <w:lang w:val="sr-Latn-RS"/>
        </w:rPr>
        <w:t>povećanja prihoda od turizma i transporta. Ukupni prihodi od usluga iznosili su 2.293,</w:t>
      </w:r>
      <w:r>
        <w:rPr>
          <w:rFonts w:eastAsia="Times New Roman" w:cs="Calibri"/>
          <w:sz w:val="24"/>
          <w:szCs w:val="24"/>
          <w:lang w:val="sr-Latn-RS"/>
        </w:rPr>
        <w:t>1</w:t>
      </w:r>
      <w:r w:rsidRPr="00515C5F">
        <w:rPr>
          <w:rFonts w:eastAsia="Times New Roman" w:cs="Calibri"/>
          <w:sz w:val="24"/>
          <w:szCs w:val="24"/>
          <w:lang w:val="sr-Latn-RS"/>
        </w:rPr>
        <w:t xml:space="preserve"> </w:t>
      </w:r>
      <w:r>
        <w:rPr>
          <w:rFonts w:eastAsia="Times New Roman" w:cs="Calibri"/>
          <w:sz w:val="24"/>
          <w:szCs w:val="24"/>
          <w:lang w:val="sr-Latn-RS"/>
        </w:rPr>
        <w:t>mil.€</w:t>
      </w:r>
      <w:r w:rsidRPr="00515C5F">
        <w:rPr>
          <w:rFonts w:eastAsia="Times New Roman" w:cs="Calibri"/>
          <w:sz w:val="24"/>
          <w:szCs w:val="24"/>
          <w:lang w:val="sr-Latn-RS"/>
        </w:rPr>
        <w:t xml:space="preserve"> ili 31,4% više u odnosu na posmatrani period. Procijenjeni prihodi od turizma iznosili su 1.361,</w:t>
      </w:r>
      <w:r>
        <w:rPr>
          <w:rFonts w:eastAsia="Times New Roman" w:cs="Calibri"/>
          <w:sz w:val="24"/>
          <w:szCs w:val="24"/>
          <w:lang w:val="sr-Latn-RS"/>
        </w:rPr>
        <w:t>2</w:t>
      </w:r>
      <w:r w:rsidRPr="00515C5F">
        <w:rPr>
          <w:rFonts w:eastAsia="Times New Roman" w:cs="Calibri"/>
          <w:sz w:val="24"/>
          <w:szCs w:val="24"/>
          <w:lang w:val="sr-Latn-RS"/>
        </w:rPr>
        <w:t xml:space="preserve"> </w:t>
      </w:r>
      <w:r>
        <w:rPr>
          <w:rFonts w:eastAsia="Times New Roman" w:cs="Calibri"/>
          <w:sz w:val="24"/>
          <w:szCs w:val="24"/>
          <w:lang w:val="sr-Latn-RS"/>
        </w:rPr>
        <w:t>mil.€</w:t>
      </w:r>
      <w:r w:rsidRPr="00515C5F">
        <w:rPr>
          <w:rFonts w:eastAsia="Times New Roman" w:cs="Calibri"/>
          <w:sz w:val="24"/>
          <w:szCs w:val="24"/>
          <w:lang w:val="sr-Latn-RS"/>
        </w:rPr>
        <w:t xml:space="preserve">, što </w:t>
      </w:r>
      <w:r>
        <w:rPr>
          <w:rFonts w:eastAsia="Times New Roman" w:cs="Calibri"/>
          <w:sz w:val="24"/>
          <w:szCs w:val="24"/>
          <w:lang w:val="sr-Latn-RS"/>
        </w:rPr>
        <w:t>je godišnji rast</w:t>
      </w:r>
      <w:r w:rsidRPr="00515C5F">
        <w:rPr>
          <w:rFonts w:eastAsia="Times New Roman" w:cs="Calibri"/>
          <w:sz w:val="24"/>
          <w:szCs w:val="24"/>
          <w:lang w:val="sr-Latn-RS"/>
        </w:rPr>
        <w:t xml:space="preserve"> od 48,</w:t>
      </w:r>
      <w:r>
        <w:rPr>
          <w:rFonts w:eastAsia="Times New Roman" w:cs="Calibri"/>
          <w:sz w:val="24"/>
          <w:szCs w:val="24"/>
          <w:lang w:val="sr-Latn-RS"/>
        </w:rPr>
        <w:t>6</w:t>
      </w:r>
      <w:r w:rsidRPr="00515C5F">
        <w:rPr>
          <w:rFonts w:eastAsia="Times New Roman" w:cs="Calibri"/>
          <w:sz w:val="24"/>
          <w:szCs w:val="24"/>
          <w:lang w:val="sr-Latn-RS"/>
        </w:rPr>
        <w:t>%</w:t>
      </w:r>
      <w:r>
        <w:rPr>
          <w:rFonts w:eastAsia="Times New Roman" w:cs="Calibri"/>
          <w:sz w:val="24"/>
          <w:szCs w:val="24"/>
          <w:lang w:val="sr-Latn-RS"/>
        </w:rPr>
        <w:t xml:space="preserve">. </w:t>
      </w:r>
      <w:r w:rsidRPr="00515C5F">
        <w:rPr>
          <w:rFonts w:eastAsia="Times New Roman" w:cs="Calibri"/>
          <w:sz w:val="24"/>
          <w:szCs w:val="24"/>
          <w:lang w:val="sr-Latn-RS"/>
        </w:rPr>
        <w:t xml:space="preserve">Na računu primarnih dohodaka zabilježen je suficit u iznosu od 84,9 </w:t>
      </w:r>
      <w:r>
        <w:rPr>
          <w:rFonts w:eastAsia="Times New Roman" w:cs="Calibri"/>
          <w:sz w:val="24"/>
          <w:szCs w:val="24"/>
          <w:lang w:val="sr-Latn-RS"/>
        </w:rPr>
        <w:t>mil.€</w:t>
      </w:r>
      <w:r w:rsidRPr="00515C5F">
        <w:rPr>
          <w:rFonts w:eastAsia="Times New Roman" w:cs="Calibri"/>
          <w:sz w:val="24"/>
          <w:szCs w:val="24"/>
          <w:lang w:val="sr-Latn-RS"/>
        </w:rPr>
        <w:t xml:space="preserve"> i manji je za 14,2% u odnosu na devet mjeseci 2022. Prihodi po osnovu primarnih dohodaka iznosili su 306,4 </w:t>
      </w:r>
      <w:r>
        <w:rPr>
          <w:rFonts w:eastAsia="Times New Roman" w:cs="Calibri"/>
          <w:sz w:val="24"/>
          <w:szCs w:val="24"/>
          <w:lang w:val="sr-Latn-RS"/>
        </w:rPr>
        <w:t>mil.€</w:t>
      </w:r>
      <w:r w:rsidRPr="00515C5F">
        <w:rPr>
          <w:rFonts w:eastAsia="Times New Roman" w:cs="Calibri"/>
          <w:sz w:val="24"/>
          <w:szCs w:val="24"/>
          <w:lang w:val="sr-Latn-RS"/>
        </w:rPr>
        <w:t xml:space="preserve"> (rast 8,8%)</w:t>
      </w:r>
      <w:r>
        <w:rPr>
          <w:rFonts w:eastAsia="Times New Roman" w:cs="Calibri"/>
          <w:sz w:val="24"/>
          <w:szCs w:val="24"/>
          <w:lang w:val="sr-Latn-RS"/>
        </w:rPr>
        <w:t xml:space="preserve">, dok su rashodi bili </w:t>
      </w:r>
      <w:r w:rsidRPr="00515C5F">
        <w:rPr>
          <w:rFonts w:eastAsia="Times New Roman" w:cs="Calibri"/>
          <w:sz w:val="24"/>
          <w:szCs w:val="24"/>
          <w:lang w:val="sr-Latn-RS"/>
        </w:rPr>
        <w:t>221,</w:t>
      </w:r>
      <w:r>
        <w:rPr>
          <w:rFonts w:eastAsia="Times New Roman" w:cs="Calibri"/>
          <w:sz w:val="24"/>
          <w:szCs w:val="24"/>
          <w:lang w:val="sr-Latn-RS"/>
        </w:rPr>
        <w:t>5</w:t>
      </w:r>
      <w:r w:rsidRPr="00515C5F">
        <w:rPr>
          <w:rFonts w:eastAsia="Times New Roman" w:cs="Calibri"/>
          <w:sz w:val="24"/>
          <w:szCs w:val="24"/>
          <w:lang w:val="sr-Latn-RS"/>
        </w:rPr>
        <w:t xml:space="preserve"> </w:t>
      </w:r>
      <w:r>
        <w:rPr>
          <w:rFonts w:eastAsia="Times New Roman" w:cs="Calibri"/>
          <w:sz w:val="24"/>
          <w:szCs w:val="24"/>
          <w:lang w:val="sr-Latn-RS"/>
        </w:rPr>
        <w:t>mil.€</w:t>
      </w:r>
      <w:r w:rsidRPr="00515C5F">
        <w:rPr>
          <w:rFonts w:eastAsia="Times New Roman" w:cs="Calibri"/>
          <w:sz w:val="24"/>
          <w:szCs w:val="24"/>
          <w:lang w:val="sr-Latn-RS"/>
        </w:rPr>
        <w:t xml:space="preserve"> </w:t>
      </w:r>
      <w:r>
        <w:rPr>
          <w:rFonts w:eastAsia="Times New Roman" w:cs="Calibri"/>
          <w:sz w:val="24"/>
          <w:szCs w:val="24"/>
          <w:lang w:val="sr-Latn-RS"/>
        </w:rPr>
        <w:t xml:space="preserve">(rast </w:t>
      </w:r>
      <w:r w:rsidRPr="00515C5F">
        <w:rPr>
          <w:rFonts w:eastAsia="Times New Roman" w:cs="Calibri"/>
          <w:sz w:val="24"/>
          <w:szCs w:val="24"/>
          <w:lang w:val="sr-Latn-RS"/>
        </w:rPr>
        <w:t>21,3</w:t>
      </w:r>
      <w:r>
        <w:rPr>
          <w:rFonts w:eastAsia="Times New Roman" w:cs="Calibri"/>
          <w:sz w:val="24"/>
          <w:szCs w:val="24"/>
          <w:lang w:val="sr-Latn-RS"/>
        </w:rPr>
        <w:t xml:space="preserve">%). </w:t>
      </w:r>
      <w:r w:rsidRPr="00515C5F">
        <w:rPr>
          <w:rFonts w:eastAsia="Times New Roman" w:cs="Calibri"/>
          <w:sz w:val="24"/>
          <w:szCs w:val="24"/>
          <w:lang w:val="sr-Latn-RS"/>
        </w:rPr>
        <w:t xml:space="preserve">Na računu sekundarnih dohodaka zabilježen je suficit u iznosu od 314,5 </w:t>
      </w:r>
      <w:r>
        <w:rPr>
          <w:rFonts w:eastAsia="Times New Roman" w:cs="Calibri"/>
          <w:sz w:val="24"/>
          <w:szCs w:val="24"/>
          <w:lang w:val="sr-Latn-RS"/>
        </w:rPr>
        <w:t>mil.€</w:t>
      </w:r>
      <w:r w:rsidRPr="00515C5F">
        <w:rPr>
          <w:rFonts w:eastAsia="Times New Roman" w:cs="Calibri"/>
          <w:sz w:val="24"/>
          <w:szCs w:val="24"/>
          <w:lang w:val="sr-Latn-RS"/>
        </w:rPr>
        <w:t>. Ukupan priliv transfera u Crnu Goru je bio manji za 2,3% i iznosio je 402,</w:t>
      </w:r>
      <w:r>
        <w:rPr>
          <w:rFonts w:eastAsia="Times New Roman" w:cs="Calibri"/>
          <w:sz w:val="24"/>
          <w:szCs w:val="24"/>
          <w:lang w:val="sr-Latn-RS"/>
        </w:rPr>
        <w:t>4</w:t>
      </w:r>
      <w:r w:rsidRPr="00515C5F">
        <w:rPr>
          <w:rFonts w:eastAsia="Times New Roman" w:cs="Calibri"/>
          <w:sz w:val="24"/>
          <w:szCs w:val="24"/>
          <w:lang w:val="sr-Latn-RS"/>
        </w:rPr>
        <w:t xml:space="preserve"> </w:t>
      </w:r>
      <w:r>
        <w:rPr>
          <w:rFonts w:eastAsia="Times New Roman" w:cs="Calibri"/>
          <w:sz w:val="24"/>
          <w:szCs w:val="24"/>
          <w:lang w:val="sr-Latn-RS"/>
        </w:rPr>
        <w:t>mil.€</w:t>
      </w:r>
      <w:r w:rsidRPr="00515C5F">
        <w:rPr>
          <w:rFonts w:eastAsia="Times New Roman" w:cs="Calibri"/>
          <w:sz w:val="24"/>
          <w:szCs w:val="24"/>
          <w:lang w:val="sr-Latn-RS"/>
        </w:rPr>
        <w:t xml:space="preserve">, od čega najveći dio čine lični transferi iz inostranstva </w:t>
      </w:r>
      <w:r>
        <w:rPr>
          <w:rFonts w:eastAsia="Times New Roman" w:cs="Calibri"/>
          <w:sz w:val="24"/>
          <w:szCs w:val="24"/>
          <w:lang w:val="sr-Latn-RS"/>
        </w:rPr>
        <w:t>(</w:t>
      </w:r>
      <w:r w:rsidRPr="00515C5F">
        <w:rPr>
          <w:rFonts w:eastAsia="Times New Roman" w:cs="Calibri"/>
          <w:sz w:val="24"/>
          <w:szCs w:val="24"/>
          <w:lang w:val="sr-Latn-RS"/>
        </w:rPr>
        <w:t xml:space="preserve">293,9 </w:t>
      </w:r>
      <w:r>
        <w:rPr>
          <w:rFonts w:eastAsia="Times New Roman" w:cs="Calibri"/>
          <w:sz w:val="24"/>
          <w:szCs w:val="24"/>
          <w:lang w:val="sr-Latn-RS"/>
        </w:rPr>
        <w:t xml:space="preserve">mil.€, </w:t>
      </w:r>
      <w:r w:rsidRPr="00515C5F">
        <w:rPr>
          <w:rFonts w:eastAsia="Times New Roman" w:cs="Calibri"/>
          <w:sz w:val="24"/>
          <w:szCs w:val="24"/>
          <w:lang w:val="sr-Latn-RS"/>
        </w:rPr>
        <w:t>pad 10,</w:t>
      </w:r>
      <w:r>
        <w:rPr>
          <w:rFonts w:eastAsia="Times New Roman" w:cs="Calibri"/>
          <w:sz w:val="24"/>
          <w:szCs w:val="24"/>
          <w:lang w:val="sr-Latn-RS"/>
        </w:rPr>
        <w:t>1</w:t>
      </w:r>
      <w:r w:rsidRPr="00515C5F">
        <w:rPr>
          <w:rFonts w:eastAsia="Times New Roman" w:cs="Calibri"/>
          <w:sz w:val="24"/>
          <w:szCs w:val="24"/>
          <w:lang w:val="sr-Latn-RS"/>
        </w:rPr>
        <w:t>%</w:t>
      </w:r>
      <w:r>
        <w:rPr>
          <w:rFonts w:eastAsia="Times New Roman" w:cs="Calibri"/>
          <w:sz w:val="24"/>
          <w:szCs w:val="24"/>
          <w:lang w:val="sr-Latn-RS"/>
        </w:rPr>
        <w:t>), dok je</w:t>
      </w:r>
      <w:r w:rsidRPr="00515C5F">
        <w:rPr>
          <w:rFonts w:eastAsia="Times New Roman" w:cs="Calibri"/>
          <w:sz w:val="24"/>
          <w:szCs w:val="24"/>
          <w:lang w:val="sr-Latn-RS"/>
        </w:rPr>
        <w:t xml:space="preserve"> </w:t>
      </w:r>
      <w:r>
        <w:rPr>
          <w:rFonts w:eastAsia="Times New Roman" w:cs="Calibri"/>
          <w:sz w:val="24"/>
          <w:szCs w:val="24"/>
          <w:lang w:val="sr-Latn-RS"/>
        </w:rPr>
        <w:t>u</w:t>
      </w:r>
      <w:r w:rsidRPr="00515C5F">
        <w:rPr>
          <w:rFonts w:eastAsia="Times New Roman" w:cs="Calibri"/>
          <w:sz w:val="24"/>
          <w:szCs w:val="24"/>
          <w:lang w:val="sr-Latn-RS"/>
        </w:rPr>
        <w:t xml:space="preserve"> istom periodu ukupan odliv po osnovu transfera u inostranstvo iznosio 87,</w:t>
      </w:r>
      <w:r>
        <w:rPr>
          <w:rFonts w:eastAsia="Times New Roman" w:cs="Calibri"/>
          <w:sz w:val="24"/>
          <w:szCs w:val="24"/>
          <w:lang w:val="sr-Latn-RS"/>
        </w:rPr>
        <w:t>9</w:t>
      </w:r>
      <w:r w:rsidRPr="00515C5F">
        <w:rPr>
          <w:rFonts w:eastAsia="Times New Roman" w:cs="Calibri"/>
          <w:sz w:val="24"/>
          <w:szCs w:val="24"/>
          <w:lang w:val="sr-Latn-RS"/>
        </w:rPr>
        <w:t xml:space="preserve"> </w:t>
      </w:r>
      <w:r>
        <w:rPr>
          <w:rFonts w:eastAsia="Times New Roman" w:cs="Calibri"/>
          <w:sz w:val="24"/>
          <w:szCs w:val="24"/>
          <w:lang w:val="sr-Latn-RS"/>
        </w:rPr>
        <w:t>mil.€</w:t>
      </w:r>
      <w:r w:rsidRPr="00515C5F">
        <w:rPr>
          <w:rFonts w:eastAsia="Times New Roman" w:cs="Calibri"/>
          <w:sz w:val="24"/>
          <w:szCs w:val="24"/>
          <w:lang w:val="sr-Latn-RS"/>
        </w:rPr>
        <w:t xml:space="preserve"> (rast 24,</w:t>
      </w:r>
      <w:r>
        <w:rPr>
          <w:rFonts w:eastAsia="Times New Roman" w:cs="Calibri"/>
          <w:sz w:val="24"/>
          <w:szCs w:val="24"/>
          <w:lang w:val="sr-Latn-RS"/>
        </w:rPr>
        <w:t>6</w:t>
      </w:r>
      <w:r w:rsidRPr="00515C5F">
        <w:rPr>
          <w:rFonts w:eastAsia="Times New Roman" w:cs="Calibri"/>
          <w:sz w:val="24"/>
          <w:szCs w:val="24"/>
          <w:lang w:val="sr-Latn-RS"/>
        </w:rPr>
        <w:t>%).</w:t>
      </w:r>
    </w:p>
    <w:p w14:paraId="343F3DB1" w14:textId="77777777" w:rsidR="00CB2E14" w:rsidRPr="0047692E" w:rsidRDefault="00CB2E14" w:rsidP="00CB2E14">
      <w:pPr>
        <w:jc w:val="both"/>
        <w:rPr>
          <w:rFonts w:eastAsia="Calibri" w:cstheme="minorHAnsi"/>
          <w:b/>
          <w:color w:val="2F5496" w:themeColor="accent1" w:themeShade="BF"/>
          <w:sz w:val="24"/>
          <w:lang w:val="sr-Latn-ME" w:eastAsia="sr-Latn-ME"/>
        </w:rPr>
      </w:pPr>
      <w:r w:rsidRPr="0047692E">
        <w:rPr>
          <w:rFonts w:eastAsia="Calibri" w:cstheme="minorHAnsi"/>
          <w:b/>
          <w:color w:val="2F5496" w:themeColor="accent1" w:themeShade="BF"/>
          <w:sz w:val="24"/>
          <w:lang w:val="sr-Latn-ME" w:eastAsia="sr-Latn-ME"/>
        </w:rPr>
        <w:t>3.1.6.2. Finansijski račun</w:t>
      </w:r>
    </w:p>
    <w:p w14:paraId="792E8564" w14:textId="77777777" w:rsidR="00CB2E14" w:rsidRPr="00515C5F" w:rsidRDefault="00CB2E14" w:rsidP="00CB2E14">
      <w:pPr>
        <w:spacing w:line="240" w:lineRule="auto"/>
        <w:jc w:val="both"/>
        <w:rPr>
          <w:rFonts w:eastAsia="Times New Roman" w:cs="Calibri"/>
          <w:sz w:val="24"/>
          <w:szCs w:val="24"/>
          <w:lang w:val="sr-Latn-RS"/>
        </w:rPr>
      </w:pPr>
      <w:r w:rsidRPr="00515C5F">
        <w:rPr>
          <w:rFonts w:eastAsia="Times New Roman" w:cs="Calibri"/>
          <w:sz w:val="24"/>
          <w:szCs w:val="24"/>
          <w:lang w:val="sr-Latn-RS"/>
        </w:rPr>
        <w:t xml:space="preserve">Na računu portfolio investicija zabilježen je neto odliv u iznosu od 388,9 </w:t>
      </w:r>
      <w:r>
        <w:rPr>
          <w:rFonts w:eastAsia="Times New Roman" w:cs="Calibri"/>
          <w:sz w:val="24"/>
          <w:szCs w:val="24"/>
          <w:lang w:val="sr-Latn-RS"/>
        </w:rPr>
        <w:t>mil.€</w:t>
      </w:r>
      <w:r w:rsidRPr="00515C5F">
        <w:rPr>
          <w:rFonts w:eastAsia="Times New Roman" w:cs="Calibri"/>
          <w:sz w:val="24"/>
          <w:szCs w:val="24"/>
          <w:lang w:val="sr-Latn-RS"/>
        </w:rPr>
        <w:t xml:space="preserve">, dok je na računu ostalih investicija neto odliv iznosio 455,0 </w:t>
      </w:r>
      <w:r>
        <w:rPr>
          <w:rFonts w:eastAsia="Times New Roman" w:cs="Calibri"/>
          <w:sz w:val="24"/>
          <w:szCs w:val="24"/>
          <w:lang w:val="sr-Latn-RS"/>
        </w:rPr>
        <w:t>mil.€</w:t>
      </w:r>
      <w:r w:rsidRPr="00515C5F">
        <w:rPr>
          <w:rFonts w:eastAsia="Times New Roman" w:cs="Calibri"/>
          <w:sz w:val="24"/>
          <w:szCs w:val="24"/>
          <w:lang w:val="sr-Latn-RS"/>
        </w:rPr>
        <w:t>. Kretanja na ovom računu karakteriše smanjenje kreditnih obaveza banaka, pri čemu je država povećala svoje zaduživanje u odnosu na isti period 2022.</w:t>
      </w:r>
      <w:r>
        <w:rPr>
          <w:rFonts w:eastAsia="Times New Roman" w:cs="Calibri"/>
          <w:sz w:val="24"/>
          <w:szCs w:val="24"/>
          <w:lang w:val="sr-Latn-RS"/>
        </w:rPr>
        <w:t xml:space="preserve"> </w:t>
      </w:r>
      <w:r w:rsidRPr="00515C5F">
        <w:rPr>
          <w:rFonts w:eastAsia="Times New Roman" w:cs="Calibri"/>
          <w:sz w:val="24"/>
          <w:szCs w:val="24"/>
          <w:lang w:val="sr-Latn-RS"/>
        </w:rPr>
        <w:t>Neto priliv stranih direktnih investicija u periodu januar-septembar 2023</w:t>
      </w:r>
      <w:r>
        <w:rPr>
          <w:rFonts w:eastAsia="Times New Roman" w:cs="Calibri"/>
          <w:sz w:val="24"/>
          <w:szCs w:val="24"/>
          <w:lang w:val="sr-Latn-RS"/>
        </w:rPr>
        <w:t xml:space="preserve">, </w:t>
      </w:r>
      <w:r w:rsidRPr="00515C5F">
        <w:rPr>
          <w:rFonts w:eastAsia="Times New Roman" w:cs="Calibri"/>
          <w:sz w:val="24"/>
          <w:szCs w:val="24"/>
          <w:lang w:val="sr-Latn-RS"/>
        </w:rPr>
        <w:t>iznosio je 320,</w:t>
      </w:r>
      <w:r>
        <w:rPr>
          <w:rFonts w:eastAsia="Times New Roman" w:cs="Calibri"/>
          <w:sz w:val="24"/>
          <w:szCs w:val="24"/>
          <w:lang w:val="sr-Latn-RS"/>
        </w:rPr>
        <w:t>4</w:t>
      </w:r>
      <w:r w:rsidRPr="00515C5F">
        <w:rPr>
          <w:rFonts w:eastAsia="Times New Roman" w:cs="Calibri"/>
          <w:sz w:val="24"/>
          <w:szCs w:val="24"/>
          <w:lang w:val="sr-Latn-RS"/>
        </w:rPr>
        <w:t xml:space="preserve"> </w:t>
      </w:r>
      <w:r>
        <w:rPr>
          <w:rFonts w:eastAsia="Times New Roman" w:cs="Calibri"/>
          <w:sz w:val="24"/>
          <w:szCs w:val="24"/>
          <w:lang w:val="sr-Latn-RS"/>
        </w:rPr>
        <w:t>mil.€</w:t>
      </w:r>
      <w:r w:rsidRPr="00515C5F">
        <w:rPr>
          <w:rFonts w:eastAsia="Times New Roman" w:cs="Calibri"/>
          <w:sz w:val="24"/>
          <w:szCs w:val="24"/>
          <w:lang w:val="sr-Latn-RS"/>
        </w:rPr>
        <w:t>, što predstavlja smanjenje od 47,1% u odnosu na isti period 2022. Ukupan priliv SDI iznosio je 631,</w:t>
      </w:r>
      <w:r>
        <w:rPr>
          <w:rFonts w:eastAsia="Times New Roman" w:cs="Calibri"/>
          <w:sz w:val="24"/>
          <w:szCs w:val="24"/>
          <w:lang w:val="sr-Latn-RS"/>
        </w:rPr>
        <w:t>4</w:t>
      </w:r>
      <w:r w:rsidRPr="00515C5F">
        <w:rPr>
          <w:rFonts w:eastAsia="Times New Roman" w:cs="Calibri"/>
          <w:sz w:val="24"/>
          <w:szCs w:val="24"/>
          <w:lang w:val="sr-Latn-RS"/>
        </w:rPr>
        <w:t xml:space="preserve"> </w:t>
      </w:r>
      <w:r>
        <w:rPr>
          <w:rFonts w:eastAsia="Times New Roman" w:cs="Calibri"/>
          <w:sz w:val="24"/>
          <w:szCs w:val="24"/>
          <w:lang w:val="sr-Latn-RS"/>
        </w:rPr>
        <w:t>mil.€</w:t>
      </w:r>
      <w:r w:rsidRPr="00515C5F">
        <w:rPr>
          <w:rFonts w:eastAsia="Times New Roman" w:cs="Calibri"/>
          <w:sz w:val="24"/>
          <w:szCs w:val="24"/>
          <w:lang w:val="sr-Latn-RS"/>
        </w:rPr>
        <w:t xml:space="preserve"> (pad 26,1%), od čega su vlasnička ulaganja iznosila 403,</w:t>
      </w:r>
      <w:r>
        <w:rPr>
          <w:rFonts w:eastAsia="Times New Roman" w:cs="Calibri"/>
          <w:sz w:val="24"/>
          <w:szCs w:val="24"/>
          <w:lang w:val="sr-Latn-RS"/>
        </w:rPr>
        <w:t>9</w:t>
      </w:r>
      <w:r w:rsidRPr="00515C5F">
        <w:rPr>
          <w:rFonts w:eastAsia="Times New Roman" w:cs="Calibri"/>
          <w:sz w:val="24"/>
          <w:szCs w:val="24"/>
          <w:lang w:val="sr-Latn-RS"/>
        </w:rPr>
        <w:t xml:space="preserve"> </w:t>
      </w:r>
      <w:r>
        <w:rPr>
          <w:rFonts w:eastAsia="Times New Roman" w:cs="Calibri"/>
          <w:sz w:val="24"/>
          <w:szCs w:val="24"/>
          <w:lang w:val="sr-Latn-RS"/>
        </w:rPr>
        <w:t>mil.€</w:t>
      </w:r>
      <w:r w:rsidRPr="00515C5F">
        <w:rPr>
          <w:rFonts w:eastAsia="Times New Roman" w:cs="Calibri"/>
          <w:sz w:val="24"/>
          <w:szCs w:val="24"/>
          <w:lang w:val="sr-Latn-RS"/>
        </w:rPr>
        <w:t xml:space="preserve"> (pad 13,</w:t>
      </w:r>
      <w:r>
        <w:rPr>
          <w:rFonts w:eastAsia="Times New Roman" w:cs="Calibri"/>
          <w:sz w:val="24"/>
          <w:szCs w:val="24"/>
          <w:lang w:val="sr-Latn-RS"/>
        </w:rPr>
        <w:t>4</w:t>
      </w:r>
      <w:r w:rsidRPr="00515C5F">
        <w:rPr>
          <w:rFonts w:eastAsia="Times New Roman" w:cs="Calibri"/>
          <w:sz w:val="24"/>
          <w:szCs w:val="24"/>
          <w:lang w:val="sr-Latn-RS"/>
        </w:rPr>
        <w:t xml:space="preserve">%), dok je priliv u formi interkompanijskog duga iznosio 197,9 </w:t>
      </w:r>
      <w:r>
        <w:rPr>
          <w:rFonts w:eastAsia="Times New Roman" w:cs="Calibri"/>
          <w:sz w:val="24"/>
          <w:szCs w:val="24"/>
          <w:lang w:val="sr-Latn-RS"/>
        </w:rPr>
        <w:t>mil.€</w:t>
      </w:r>
      <w:r w:rsidRPr="00515C5F">
        <w:rPr>
          <w:rFonts w:eastAsia="Times New Roman" w:cs="Calibri"/>
          <w:sz w:val="24"/>
          <w:szCs w:val="24"/>
          <w:lang w:val="sr-Latn-RS"/>
        </w:rPr>
        <w:t xml:space="preserve"> i bilježi pad od 38,5%</w:t>
      </w:r>
      <w:r>
        <w:rPr>
          <w:rFonts w:eastAsia="Times New Roman" w:cs="Calibri"/>
          <w:sz w:val="24"/>
          <w:szCs w:val="24"/>
          <w:lang w:val="sr-Latn-RS"/>
        </w:rPr>
        <w:t>.</w:t>
      </w:r>
      <w:r w:rsidRPr="00515C5F">
        <w:rPr>
          <w:rFonts w:eastAsia="Times New Roman" w:cs="Calibri"/>
          <w:sz w:val="24"/>
          <w:szCs w:val="24"/>
          <w:lang w:val="sr-Latn-RS"/>
        </w:rPr>
        <w:t xml:space="preserve"> U strukturi vlasničkih ulaganja</w:t>
      </w:r>
      <w:r>
        <w:rPr>
          <w:rFonts w:eastAsia="Times New Roman" w:cs="Calibri"/>
          <w:sz w:val="24"/>
          <w:szCs w:val="24"/>
          <w:lang w:val="sr-Latn-RS"/>
        </w:rPr>
        <w:t>,</w:t>
      </w:r>
      <w:r w:rsidRPr="00515C5F">
        <w:rPr>
          <w:rFonts w:eastAsia="Times New Roman" w:cs="Calibri"/>
          <w:sz w:val="24"/>
          <w:szCs w:val="24"/>
          <w:lang w:val="sr-Latn-RS"/>
        </w:rPr>
        <w:t xml:space="preserve"> investicije u kompanije i banke iznosile su 68,</w:t>
      </w:r>
      <w:r>
        <w:rPr>
          <w:rFonts w:eastAsia="Times New Roman" w:cs="Calibri"/>
          <w:sz w:val="24"/>
          <w:szCs w:val="24"/>
          <w:lang w:val="sr-Latn-RS"/>
        </w:rPr>
        <w:t>7</w:t>
      </w:r>
      <w:r w:rsidRPr="00515C5F">
        <w:rPr>
          <w:rFonts w:eastAsia="Times New Roman" w:cs="Calibri"/>
          <w:sz w:val="24"/>
          <w:szCs w:val="24"/>
          <w:lang w:val="sr-Latn-RS"/>
        </w:rPr>
        <w:t xml:space="preserve"> </w:t>
      </w:r>
      <w:r>
        <w:rPr>
          <w:rFonts w:eastAsia="Times New Roman" w:cs="Calibri"/>
          <w:sz w:val="24"/>
          <w:szCs w:val="24"/>
          <w:lang w:val="sr-Latn-RS"/>
        </w:rPr>
        <w:t>mil.€</w:t>
      </w:r>
      <w:r w:rsidRPr="00515C5F">
        <w:rPr>
          <w:rFonts w:eastAsia="Times New Roman" w:cs="Calibri"/>
          <w:sz w:val="24"/>
          <w:szCs w:val="24"/>
          <w:lang w:val="sr-Latn-RS"/>
        </w:rPr>
        <w:t xml:space="preserve"> (pad 52,</w:t>
      </w:r>
      <w:r>
        <w:rPr>
          <w:rFonts w:eastAsia="Times New Roman" w:cs="Calibri"/>
          <w:sz w:val="24"/>
          <w:szCs w:val="24"/>
          <w:lang w:val="sr-Latn-RS"/>
        </w:rPr>
        <w:t>4</w:t>
      </w:r>
      <w:r w:rsidRPr="00515C5F">
        <w:rPr>
          <w:rFonts w:eastAsia="Times New Roman" w:cs="Calibri"/>
          <w:sz w:val="24"/>
          <w:szCs w:val="24"/>
          <w:lang w:val="sr-Latn-RS"/>
        </w:rPr>
        <w:t>%), dok su ulaganja u nekretnine 335,</w:t>
      </w:r>
      <w:r>
        <w:rPr>
          <w:rFonts w:eastAsia="Times New Roman" w:cs="Calibri"/>
          <w:sz w:val="24"/>
          <w:szCs w:val="24"/>
          <w:lang w:val="sr-Latn-RS"/>
        </w:rPr>
        <w:t>2</w:t>
      </w:r>
      <w:r w:rsidRPr="00515C5F">
        <w:rPr>
          <w:rFonts w:eastAsia="Times New Roman" w:cs="Calibri"/>
          <w:sz w:val="24"/>
          <w:szCs w:val="24"/>
          <w:lang w:val="sr-Latn-RS"/>
        </w:rPr>
        <w:t xml:space="preserve"> </w:t>
      </w:r>
      <w:r>
        <w:rPr>
          <w:rFonts w:eastAsia="Times New Roman" w:cs="Calibri"/>
          <w:sz w:val="24"/>
          <w:szCs w:val="24"/>
          <w:lang w:val="sr-Latn-RS"/>
        </w:rPr>
        <w:t>mil.€</w:t>
      </w:r>
      <w:r w:rsidRPr="00515C5F">
        <w:rPr>
          <w:rFonts w:eastAsia="Times New Roman" w:cs="Calibri"/>
          <w:sz w:val="24"/>
          <w:szCs w:val="24"/>
          <w:lang w:val="sr-Latn-RS"/>
        </w:rPr>
        <w:t xml:space="preserve"> (rast 4,0%). Priliv po osnovu povlačenja ulaganja iz inostranstva iznosio je 29,</w:t>
      </w:r>
      <w:r>
        <w:rPr>
          <w:rFonts w:eastAsia="Times New Roman" w:cs="Calibri"/>
          <w:sz w:val="24"/>
          <w:szCs w:val="24"/>
          <w:lang w:val="sr-Latn-RS"/>
        </w:rPr>
        <w:t>6</w:t>
      </w:r>
      <w:r w:rsidRPr="00515C5F">
        <w:rPr>
          <w:rFonts w:eastAsia="Times New Roman" w:cs="Calibri"/>
          <w:sz w:val="24"/>
          <w:szCs w:val="24"/>
          <w:lang w:val="sr-Latn-RS"/>
        </w:rPr>
        <w:t xml:space="preserve"> </w:t>
      </w:r>
      <w:r>
        <w:rPr>
          <w:rFonts w:eastAsia="Times New Roman" w:cs="Calibri"/>
          <w:sz w:val="24"/>
          <w:szCs w:val="24"/>
          <w:lang w:val="sr-Latn-RS"/>
        </w:rPr>
        <w:t>mil.€</w:t>
      </w:r>
      <w:r w:rsidRPr="00515C5F">
        <w:rPr>
          <w:rFonts w:eastAsia="Times New Roman" w:cs="Calibri"/>
          <w:sz w:val="24"/>
          <w:szCs w:val="24"/>
          <w:lang w:val="sr-Latn-RS"/>
        </w:rPr>
        <w:t>. Gledano prema strukturi ukupnog priliva SDI, učešće po osnovu ulaganja u nekretnine iznosilo je 53,</w:t>
      </w:r>
      <w:r>
        <w:rPr>
          <w:rFonts w:eastAsia="Times New Roman" w:cs="Calibri"/>
          <w:sz w:val="24"/>
          <w:szCs w:val="24"/>
          <w:lang w:val="sr-Latn-RS"/>
        </w:rPr>
        <w:t>1</w:t>
      </w:r>
      <w:r w:rsidRPr="00515C5F">
        <w:rPr>
          <w:rFonts w:eastAsia="Times New Roman" w:cs="Calibri"/>
          <w:sz w:val="24"/>
          <w:szCs w:val="24"/>
          <w:lang w:val="sr-Latn-RS"/>
        </w:rPr>
        <w:t>%, interkompanijski dug 31,3% i investicije u kompanije i banke 10,</w:t>
      </w:r>
      <w:r>
        <w:rPr>
          <w:rFonts w:eastAsia="Times New Roman" w:cs="Calibri"/>
          <w:sz w:val="24"/>
          <w:szCs w:val="24"/>
          <w:lang w:val="sr-Latn-RS"/>
        </w:rPr>
        <w:t>9</w:t>
      </w:r>
      <w:r w:rsidRPr="00515C5F">
        <w:rPr>
          <w:rFonts w:eastAsia="Times New Roman" w:cs="Calibri"/>
          <w:sz w:val="24"/>
          <w:szCs w:val="24"/>
          <w:lang w:val="sr-Latn-RS"/>
        </w:rPr>
        <w:t>%. Ukupan odliv SDI u posmatranom periodu iznosio je 31</w:t>
      </w:r>
      <w:r>
        <w:rPr>
          <w:rFonts w:eastAsia="Times New Roman" w:cs="Calibri"/>
          <w:sz w:val="24"/>
          <w:szCs w:val="24"/>
          <w:lang w:val="sr-Latn-RS"/>
        </w:rPr>
        <w:t>1</w:t>
      </w:r>
      <w:r w:rsidRPr="00515C5F">
        <w:rPr>
          <w:rFonts w:eastAsia="Times New Roman" w:cs="Calibri"/>
          <w:sz w:val="24"/>
          <w:szCs w:val="24"/>
          <w:lang w:val="sr-Latn-RS"/>
        </w:rPr>
        <w:t>,</w:t>
      </w:r>
      <w:r>
        <w:rPr>
          <w:rFonts w:eastAsia="Times New Roman" w:cs="Calibri"/>
          <w:sz w:val="24"/>
          <w:szCs w:val="24"/>
          <w:lang w:val="sr-Latn-RS"/>
        </w:rPr>
        <w:t>0</w:t>
      </w:r>
      <w:r w:rsidRPr="00515C5F">
        <w:rPr>
          <w:rFonts w:eastAsia="Times New Roman" w:cs="Calibri"/>
          <w:sz w:val="24"/>
          <w:szCs w:val="24"/>
          <w:lang w:val="sr-Latn-RS"/>
        </w:rPr>
        <w:t xml:space="preserve"> </w:t>
      </w:r>
      <w:r>
        <w:rPr>
          <w:rFonts w:eastAsia="Times New Roman" w:cs="Calibri"/>
          <w:sz w:val="24"/>
          <w:szCs w:val="24"/>
          <w:lang w:val="sr-Latn-RS"/>
        </w:rPr>
        <w:t>mil.€</w:t>
      </w:r>
      <w:r w:rsidRPr="00515C5F">
        <w:rPr>
          <w:rFonts w:eastAsia="Times New Roman" w:cs="Calibri"/>
          <w:sz w:val="24"/>
          <w:szCs w:val="24"/>
          <w:lang w:val="sr-Latn-RS"/>
        </w:rPr>
        <w:t>, što je za 2</w:t>
      </w:r>
      <w:r>
        <w:rPr>
          <w:rFonts w:eastAsia="Times New Roman" w:cs="Calibri"/>
          <w:sz w:val="24"/>
          <w:szCs w:val="24"/>
          <w:lang w:val="sr-Latn-RS"/>
        </w:rPr>
        <w:t>5</w:t>
      </w:r>
      <w:r w:rsidRPr="00515C5F">
        <w:rPr>
          <w:rFonts w:eastAsia="Times New Roman" w:cs="Calibri"/>
          <w:sz w:val="24"/>
          <w:szCs w:val="24"/>
          <w:lang w:val="sr-Latn-RS"/>
        </w:rPr>
        <w:t>,</w:t>
      </w:r>
      <w:r>
        <w:rPr>
          <w:rFonts w:eastAsia="Times New Roman" w:cs="Calibri"/>
          <w:sz w:val="24"/>
          <w:szCs w:val="24"/>
          <w:lang w:val="sr-Latn-RS"/>
        </w:rPr>
        <w:t>0</w:t>
      </w:r>
      <w:r w:rsidRPr="00515C5F">
        <w:rPr>
          <w:rFonts w:eastAsia="Times New Roman" w:cs="Calibri"/>
          <w:sz w:val="24"/>
          <w:szCs w:val="24"/>
          <w:lang w:val="sr-Latn-RS"/>
        </w:rPr>
        <w:t xml:space="preserve">% više u odnosu na isti period </w:t>
      </w:r>
      <w:r>
        <w:rPr>
          <w:rFonts w:eastAsia="Times New Roman" w:cs="Calibri"/>
          <w:sz w:val="24"/>
          <w:szCs w:val="24"/>
          <w:lang w:val="sr-Latn-RS"/>
        </w:rPr>
        <w:t>2022</w:t>
      </w:r>
      <w:r w:rsidRPr="00515C5F">
        <w:rPr>
          <w:rFonts w:eastAsia="Times New Roman" w:cs="Calibri"/>
          <w:sz w:val="24"/>
          <w:szCs w:val="24"/>
          <w:lang w:val="sr-Latn-RS"/>
        </w:rPr>
        <w:t>. Odliv po osnovu ulaganja rezidenata u inostranstvo iznosio je 64,</w:t>
      </w:r>
      <w:r>
        <w:rPr>
          <w:rFonts w:eastAsia="Times New Roman" w:cs="Calibri"/>
          <w:sz w:val="24"/>
          <w:szCs w:val="24"/>
          <w:lang w:val="sr-Latn-RS"/>
        </w:rPr>
        <w:t>7</w:t>
      </w:r>
      <w:r w:rsidRPr="00515C5F">
        <w:rPr>
          <w:rFonts w:eastAsia="Times New Roman" w:cs="Calibri"/>
          <w:sz w:val="24"/>
          <w:szCs w:val="24"/>
          <w:lang w:val="sr-Latn-RS"/>
        </w:rPr>
        <w:t xml:space="preserve"> </w:t>
      </w:r>
      <w:r>
        <w:rPr>
          <w:rFonts w:eastAsia="Times New Roman" w:cs="Calibri"/>
          <w:sz w:val="24"/>
          <w:szCs w:val="24"/>
          <w:lang w:val="sr-Latn-RS"/>
        </w:rPr>
        <w:t>mil.€</w:t>
      </w:r>
      <w:r w:rsidRPr="00515C5F">
        <w:rPr>
          <w:rFonts w:eastAsia="Times New Roman" w:cs="Calibri"/>
          <w:sz w:val="24"/>
          <w:szCs w:val="24"/>
          <w:lang w:val="sr-Latn-RS"/>
        </w:rPr>
        <w:t>, dok su povlačenja sredstava nerezidenata investiranih u našu zemlju iznosila 246,3</w:t>
      </w:r>
      <w:r>
        <w:rPr>
          <w:rFonts w:eastAsia="Times New Roman" w:cs="Calibri"/>
          <w:sz w:val="24"/>
          <w:szCs w:val="24"/>
          <w:lang w:val="sr-Latn-RS"/>
        </w:rPr>
        <w:t xml:space="preserve"> mil.€</w:t>
      </w:r>
      <w:r w:rsidRPr="00515C5F">
        <w:rPr>
          <w:rFonts w:eastAsia="Times New Roman" w:cs="Calibri"/>
          <w:sz w:val="24"/>
          <w:szCs w:val="24"/>
          <w:lang w:val="sr-Latn-RS"/>
        </w:rPr>
        <w:t>.</w:t>
      </w:r>
    </w:p>
    <w:p w14:paraId="08C04238" w14:textId="7FCE4B80" w:rsidR="00CB2E14" w:rsidRPr="0047692E" w:rsidRDefault="00CB2E14" w:rsidP="00CB2E14">
      <w:pPr>
        <w:spacing w:line="240" w:lineRule="auto"/>
        <w:jc w:val="both"/>
        <w:rPr>
          <w:rFonts w:ascii="Times New Roman" w:eastAsia="Times New Roman" w:hAnsi="Times New Roman"/>
          <w:color w:val="2F5496" w:themeColor="accent1" w:themeShade="BF"/>
          <w:sz w:val="24"/>
          <w:szCs w:val="24"/>
          <w:lang w:val="sr-Latn-RS"/>
        </w:rPr>
      </w:pPr>
      <w:r w:rsidRPr="0047692E">
        <w:rPr>
          <w:b/>
          <w:bCs/>
          <w:color w:val="2F5496" w:themeColor="accent1" w:themeShade="BF"/>
        </w:rPr>
        <w:t>Tabela 3.1.6.2: Platni bilans Crne Gore, u 000 eura</w:t>
      </w:r>
    </w:p>
    <w:tbl>
      <w:tblPr>
        <w:tblStyle w:val="TableGrid"/>
        <w:tblW w:w="8784" w:type="dxa"/>
        <w:tblLook w:val="04A0" w:firstRow="1" w:lastRow="0" w:firstColumn="1" w:lastColumn="0" w:noHBand="0" w:noVBand="1"/>
      </w:tblPr>
      <w:tblGrid>
        <w:gridCol w:w="846"/>
        <w:gridCol w:w="4394"/>
        <w:gridCol w:w="1134"/>
        <w:gridCol w:w="1134"/>
        <w:gridCol w:w="1276"/>
      </w:tblGrid>
      <w:tr w:rsidR="00CB2E14" w:rsidRPr="00882F2F" w14:paraId="5403C347" w14:textId="77777777" w:rsidTr="00CB2E14">
        <w:trPr>
          <w:trHeight w:val="20"/>
        </w:trPr>
        <w:tc>
          <w:tcPr>
            <w:tcW w:w="846" w:type="dxa"/>
            <w:noWrap/>
            <w:hideMark/>
          </w:tcPr>
          <w:p w14:paraId="52B91F9B" w14:textId="77777777" w:rsidR="00CB2E14" w:rsidRPr="00882F2F" w:rsidRDefault="00CB2E14" w:rsidP="00CB2E14">
            <w:pPr>
              <w:rPr>
                <w:rFonts w:eastAsia="Times New Roman" w:cstheme="minorHAnsi"/>
                <w:sz w:val="18"/>
                <w:szCs w:val="18"/>
              </w:rPr>
            </w:pPr>
            <w:bookmarkStart w:id="13" w:name="_Hlk151627868"/>
            <w:r w:rsidRPr="00882F2F">
              <w:rPr>
                <w:rFonts w:eastAsia="Times New Roman" w:cstheme="minorHAnsi"/>
                <w:sz w:val="18"/>
                <w:szCs w:val="18"/>
              </w:rPr>
              <w:t>R.br.</w:t>
            </w:r>
          </w:p>
        </w:tc>
        <w:tc>
          <w:tcPr>
            <w:tcW w:w="4394" w:type="dxa"/>
            <w:noWrap/>
            <w:hideMark/>
          </w:tcPr>
          <w:p w14:paraId="22FE5F2B" w14:textId="77777777" w:rsidR="00CB2E14" w:rsidRPr="00882F2F" w:rsidRDefault="00CB2E14" w:rsidP="00CB2E14">
            <w:pPr>
              <w:rPr>
                <w:rFonts w:eastAsia="Times New Roman" w:cstheme="minorHAnsi"/>
                <w:sz w:val="18"/>
                <w:szCs w:val="18"/>
              </w:rPr>
            </w:pPr>
            <w:r w:rsidRPr="00882F2F">
              <w:rPr>
                <w:rFonts w:eastAsia="Times New Roman" w:cstheme="minorHAnsi"/>
                <w:sz w:val="18"/>
                <w:szCs w:val="18"/>
              </w:rPr>
              <w:t>Naziv stavke</w:t>
            </w:r>
          </w:p>
        </w:tc>
        <w:tc>
          <w:tcPr>
            <w:tcW w:w="1134" w:type="dxa"/>
            <w:hideMark/>
          </w:tcPr>
          <w:p w14:paraId="1395B0A4" w14:textId="77777777" w:rsidR="00CB2E14" w:rsidRPr="00882F2F" w:rsidRDefault="00CB2E14" w:rsidP="00CB2E14">
            <w:pPr>
              <w:jc w:val="center"/>
              <w:rPr>
                <w:rFonts w:eastAsia="Times New Roman" w:cstheme="minorHAnsi"/>
                <w:b/>
                <w:bCs/>
                <w:sz w:val="18"/>
                <w:szCs w:val="18"/>
              </w:rPr>
            </w:pPr>
            <w:r w:rsidRPr="00882F2F">
              <w:rPr>
                <w:rFonts w:eastAsia="Times New Roman" w:cstheme="minorHAnsi"/>
                <w:b/>
                <w:bCs/>
                <w:sz w:val="18"/>
                <w:szCs w:val="18"/>
              </w:rPr>
              <w:t>jan-sept 2022</w:t>
            </w:r>
          </w:p>
        </w:tc>
        <w:tc>
          <w:tcPr>
            <w:tcW w:w="1134" w:type="dxa"/>
            <w:hideMark/>
          </w:tcPr>
          <w:p w14:paraId="70A64A02" w14:textId="77777777" w:rsidR="00CB2E14" w:rsidRPr="00882F2F" w:rsidRDefault="00CB2E14" w:rsidP="00CB2E14">
            <w:pPr>
              <w:jc w:val="center"/>
              <w:rPr>
                <w:rFonts w:eastAsia="Times New Roman" w:cstheme="minorHAnsi"/>
                <w:b/>
                <w:bCs/>
                <w:sz w:val="18"/>
                <w:szCs w:val="18"/>
              </w:rPr>
            </w:pPr>
            <w:r w:rsidRPr="00882F2F">
              <w:rPr>
                <w:rFonts w:eastAsia="Times New Roman" w:cstheme="minorHAnsi"/>
                <w:b/>
                <w:bCs/>
                <w:sz w:val="18"/>
                <w:szCs w:val="18"/>
              </w:rPr>
              <w:t>jan-sept 2023</w:t>
            </w:r>
          </w:p>
        </w:tc>
        <w:tc>
          <w:tcPr>
            <w:tcW w:w="1276" w:type="dxa"/>
            <w:hideMark/>
          </w:tcPr>
          <w:p w14:paraId="3672250A" w14:textId="77777777" w:rsidR="00CB2E14" w:rsidRPr="00882F2F" w:rsidRDefault="00CB2E14" w:rsidP="00CB2E14">
            <w:pPr>
              <w:jc w:val="center"/>
              <w:rPr>
                <w:rFonts w:eastAsia="Times New Roman" w:cstheme="minorHAnsi"/>
                <w:b/>
                <w:bCs/>
                <w:sz w:val="18"/>
                <w:szCs w:val="18"/>
              </w:rPr>
            </w:pPr>
            <w:r w:rsidRPr="00882F2F">
              <w:rPr>
                <w:rFonts w:eastAsia="Times New Roman" w:cstheme="minorHAnsi"/>
                <w:b/>
                <w:bCs/>
                <w:sz w:val="18"/>
                <w:szCs w:val="18"/>
              </w:rPr>
              <w:t>Promjena u %</w:t>
            </w:r>
          </w:p>
        </w:tc>
      </w:tr>
      <w:tr w:rsidR="00CB2E14" w:rsidRPr="00882F2F" w14:paraId="69C90F3B" w14:textId="77777777" w:rsidTr="00CB2E14">
        <w:trPr>
          <w:trHeight w:val="20"/>
        </w:trPr>
        <w:tc>
          <w:tcPr>
            <w:tcW w:w="846" w:type="dxa"/>
            <w:noWrap/>
            <w:hideMark/>
          </w:tcPr>
          <w:p w14:paraId="2F67620C" w14:textId="77777777" w:rsidR="00CB2E14" w:rsidRPr="00882F2F" w:rsidRDefault="00CB2E14" w:rsidP="00CB2E14">
            <w:pPr>
              <w:rPr>
                <w:rFonts w:eastAsia="Times New Roman" w:cstheme="minorHAnsi"/>
                <w:b/>
                <w:bCs/>
                <w:sz w:val="18"/>
                <w:szCs w:val="18"/>
              </w:rPr>
            </w:pPr>
            <w:r w:rsidRPr="00882F2F">
              <w:rPr>
                <w:rFonts w:eastAsia="Times New Roman" w:cstheme="minorHAnsi"/>
                <w:b/>
                <w:bCs/>
                <w:sz w:val="18"/>
                <w:szCs w:val="18"/>
              </w:rPr>
              <w:t>1</w:t>
            </w:r>
          </w:p>
        </w:tc>
        <w:tc>
          <w:tcPr>
            <w:tcW w:w="4394" w:type="dxa"/>
            <w:noWrap/>
            <w:hideMark/>
          </w:tcPr>
          <w:p w14:paraId="2C292560" w14:textId="77777777" w:rsidR="00CB2E14" w:rsidRPr="00882F2F" w:rsidRDefault="00CB2E14" w:rsidP="00CB2E14">
            <w:pPr>
              <w:rPr>
                <w:rFonts w:eastAsia="Times New Roman" w:cstheme="minorHAnsi"/>
                <w:b/>
                <w:bCs/>
                <w:sz w:val="18"/>
                <w:szCs w:val="18"/>
              </w:rPr>
            </w:pPr>
            <w:r w:rsidRPr="00882F2F">
              <w:rPr>
                <w:rFonts w:eastAsia="Times New Roman" w:cstheme="minorHAnsi"/>
                <w:b/>
                <w:bCs/>
                <w:sz w:val="18"/>
                <w:szCs w:val="18"/>
              </w:rPr>
              <w:t>TEKUĆI RAČUN</w:t>
            </w:r>
          </w:p>
        </w:tc>
        <w:tc>
          <w:tcPr>
            <w:tcW w:w="1134" w:type="dxa"/>
            <w:noWrap/>
            <w:hideMark/>
          </w:tcPr>
          <w:p w14:paraId="418BA480" w14:textId="77777777" w:rsidR="00CB2E14" w:rsidRPr="00882F2F" w:rsidRDefault="00CB2E14" w:rsidP="00CB2E14">
            <w:pPr>
              <w:jc w:val="right"/>
              <w:rPr>
                <w:rFonts w:eastAsia="Times New Roman" w:cstheme="minorHAnsi"/>
                <w:b/>
                <w:bCs/>
                <w:sz w:val="18"/>
                <w:szCs w:val="18"/>
              </w:rPr>
            </w:pPr>
            <w:r w:rsidRPr="00882F2F">
              <w:rPr>
                <w:rFonts w:eastAsia="Times New Roman" w:cstheme="minorHAnsi"/>
                <w:b/>
                <w:bCs/>
                <w:sz w:val="18"/>
                <w:szCs w:val="18"/>
              </w:rPr>
              <w:t>-482.076</w:t>
            </w:r>
          </w:p>
        </w:tc>
        <w:tc>
          <w:tcPr>
            <w:tcW w:w="1134" w:type="dxa"/>
            <w:noWrap/>
            <w:hideMark/>
          </w:tcPr>
          <w:p w14:paraId="25328710" w14:textId="77777777" w:rsidR="00CB2E14" w:rsidRPr="00882F2F" w:rsidRDefault="00CB2E14" w:rsidP="00CB2E14">
            <w:pPr>
              <w:jc w:val="right"/>
              <w:rPr>
                <w:rFonts w:eastAsia="Times New Roman" w:cstheme="minorHAnsi"/>
                <w:b/>
                <w:bCs/>
                <w:sz w:val="18"/>
                <w:szCs w:val="18"/>
              </w:rPr>
            </w:pPr>
            <w:r w:rsidRPr="00882F2F">
              <w:rPr>
                <w:rFonts w:eastAsia="Times New Roman" w:cstheme="minorHAnsi"/>
                <w:b/>
                <w:bCs/>
                <w:sz w:val="18"/>
                <w:szCs w:val="18"/>
              </w:rPr>
              <w:t>-344.954</w:t>
            </w:r>
          </w:p>
        </w:tc>
        <w:tc>
          <w:tcPr>
            <w:tcW w:w="1276" w:type="dxa"/>
            <w:noWrap/>
            <w:hideMark/>
          </w:tcPr>
          <w:p w14:paraId="1E742C02" w14:textId="77777777" w:rsidR="00CB2E14" w:rsidRPr="00882F2F" w:rsidRDefault="00CB2E14" w:rsidP="00CB2E14">
            <w:pPr>
              <w:jc w:val="center"/>
              <w:rPr>
                <w:rFonts w:eastAsia="Times New Roman" w:cstheme="minorHAnsi"/>
                <w:b/>
                <w:bCs/>
                <w:sz w:val="18"/>
                <w:szCs w:val="18"/>
              </w:rPr>
            </w:pPr>
            <w:r w:rsidRPr="00882F2F">
              <w:rPr>
                <w:rFonts w:eastAsia="Times New Roman" w:cstheme="minorHAnsi"/>
                <w:b/>
                <w:bCs/>
                <w:sz w:val="18"/>
                <w:szCs w:val="18"/>
              </w:rPr>
              <w:t>-28,4</w:t>
            </w:r>
          </w:p>
        </w:tc>
      </w:tr>
      <w:tr w:rsidR="00CB2E14" w:rsidRPr="00882F2F" w14:paraId="62F89C18" w14:textId="77777777" w:rsidTr="00CB2E14">
        <w:trPr>
          <w:trHeight w:val="20"/>
        </w:trPr>
        <w:tc>
          <w:tcPr>
            <w:tcW w:w="846" w:type="dxa"/>
            <w:noWrap/>
            <w:hideMark/>
          </w:tcPr>
          <w:p w14:paraId="615A47B6" w14:textId="77777777" w:rsidR="00CB2E14" w:rsidRPr="00882F2F" w:rsidRDefault="00CB2E14" w:rsidP="00CB2E14">
            <w:pPr>
              <w:rPr>
                <w:rFonts w:eastAsia="Times New Roman" w:cstheme="minorHAnsi"/>
                <w:b/>
                <w:bCs/>
                <w:sz w:val="18"/>
                <w:szCs w:val="18"/>
              </w:rPr>
            </w:pPr>
            <w:r w:rsidRPr="00882F2F">
              <w:rPr>
                <w:rFonts w:eastAsia="Times New Roman" w:cstheme="minorHAnsi"/>
                <w:b/>
                <w:bCs/>
                <w:sz w:val="18"/>
                <w:szCs w:val="18"/>
              </w:rPr>
              <w:t>1.A.a</w:t>
            </w:r>
          </w:p>
        </w:tc>
        <w:tc>
          <w:tcPr>
            <w:tcW w:w="4394" w:type="dxa"/>
            <w:noWrap/>
            <w:hideMark/>
          </w:tcPr>
          <w:p w14:paraId="5F7E05EE" w14:textId="77777777" w:rsidR="00CB2E14" w:rsidRPr="00882F2F" w:rsidRDefault="00CB2E14" w:rsidP="00CB2E14">
            <w:pPr>
              <w:rPr>
                <w:rFonts w:eastAsia="Times New Roman" w:cstheme="minorHAnsi"/>
                <w:b/>
                <w:bCs/>
                <w:sz w:val="18"/>
                <w:szCs w:val="18"/>
              </w:rPr>
            </w:pPr>
            <w:r w:rsidRPr="00882F2F">
              <w:rPr>
                <w:rFonts w:eastAsia="Times New Roman" w:cstheme="minorHAnsi"/>
                <w:b/>
                <w:bCs/>
                <w:sz w:val="18"/>
                <w:szCs w:val="18"/>
              </w:rPr>
              <w:t>Robe</w:t>
            </w:r>
          </w:p>
        </w:tc>
        <w:tc>
          <w:tcPr>
            <w:tcW w:w="1134" w:type="dxa"/>
            <w:noWrap/>
            <w:hideMark/>
          </w:tcPr>
          <w:p w14:paraId="00B65C1F" w14:textId="77777777" w:rsidR="00CB2E14" w:rsidRPr="00882F2F" w:rsidRDefault="00CB2E14" w:rsidP="00CB2E14">
            <w:pPr>
              <w:jc w:val="right"/>
              <w:rPr>
                <w:rFonts w:eastAsia="Times New Roman" w:cstheme="minorHAnsi"/>
                <w:b/>
                <w:bCs/>
                <w:sz w:val="18"/>
                <w:szCs w:val="18"/>
              </w:rPr>
            </w:pPr>
            <w:r w:rsidRPr="00882F2F">
              <w:rPr>
                <w:rFonts w:eastAsia="Times New Roman" w:cstheme="minorHAnsi"/>
                <w:b/>
                <w:bCs/>
                <w:sz w:val="18"/>
                <w:szCs w:val="18"/>
              </w:rPr>
              <w:t>-1.993.592</w:t>
            </w:r>
          </w:p>
        </w:tc>
        <w:tc>
          <w:tcPr>
            <w:tcW w:w="1134" w:type="dxa"/>
            <w:noWrap/>
            <w:hideMark/>
          </w:tcPr>
          <w:p w14:paraId="6EF8D0E0" w14:textId="77777777" w:rsidR="00CB2E14" w:rsidRPr="00882F2F" w:rsidRDefault="00CB2E14" w:rsidP="00CB2E14">
            <w:pPr>
              <w:jc w:val="right"/>
              <w:rPr>
                <w:rFonts w:eastAsia="Times New Roman" w:cstheme="minorHAnsi"/>
                <w:b/>
                <w:bCs/>
                <w:sz w:val="18"/>
                <w:szCs w:val="18"/>
              </w:rPr>
            </w:pPr>
            <w:r w:rsidRPr="00882F2F">
              <w:rPr>
                <w:rFonts w:eastAsia="Times New Roman" w:cstheme="minorHAnsi"/>
                <w:b/>
                <w:bCs/>
                <w:sz w:val="18"/>
                <w:szCs w:val="18"/>
              </w:rPr>
              <w:t>-2.227.493</w:t>
            </w:r>
          </w:p>
        </w:tc>
        <w:tc>
          <w:tcPr>
            <w:tcW w:w="1276" w:type="dxa"/>
            <w:noWrap/>
            <w:hideMark/>
          </w:tcPr>
          <w:p w14:paraId="5A720362" w14:textId="77777777" w:rsidR="00CB2E14" w:rsidRPr="00882F2F" w:rsidRDefault="00CB2E14" w:rsidP="00CB2E14">
            <w:pPr>
              <w:jc w:val="center"/>
              <w:rPr>
                <w:rFonts w:eastAsia="Times New Roman" w:cstheme="minorHAnsi"/>
                <w:b/>
                <w:bCs/>
                <w:sz w:val="18"/>
                <w:szCs w:val="18"/>
              </w:rPr>
            </w:pPr>
            <w:r w:rsidRPr="00882F2F">
              <w:rPr>
                <w:rFonts w:eastAsia="Times New Roman" w:cstheme="minorHAnsi"/>
                <w:b/>
                <w:bCs/>
                <w:sz w:val="18"/>
                <w:szCs w:val="18"/>
              </w:rPr>
              <w:t>11,7</w:t>
            </w:r>
          </w:p>
        </w:tc>
      </w:tr>
      <w:tr w:rsidR="00CB2E14" w:rsidRPr="00882F2F" w14:paraId="5FC44A86" w14:textId="77777777" w:rsidTr="00CB2E14">
        <w:trPr>
          <w:trHeight w:val="20"/>
        </w:trPr>
        <w:tc>
          <w:tcPr>
            <w:tcW w:w="846" w:type="dxa"/>
            <w:noWrap/>
            <w:hideMark/>
          </w:tcPr>
          <w:p w14:paraId="76892838" w14:textId="77777777" w:rsidR="00CB2E14" w:rsidRPr="00882F2F" w:rsidRDefault="00CB2E14" w:rsidP="00CB2E14">
            <w:pPr>
              <w:rPr>
                <w:rFonts w:eastAsia="Times New Roman" w:cstheme="minorHAnsi"/>
                <w:sz w:val="18"/>
                <w:szCs w:val="18"/>
              </w:rPr>
            </w:pPr>
            <w:r w:rsidRPr="00882F2F">
              <w:rPr>
                <w:rFonts w:eastAsia="Times New Roman" w:cstheme="minorHAnsi"/>
                <w:sz w:val="18"/>
                <w:szCs w:val="18"/>
              </w:rPr>
              <w:t>1.A.a.1</w:t>
            </w:r>
          </w:p>
        </w:tc>
        <w:tc>
          <w:tcPr>
            <w:tcW w:w="4394" w:type="dxa"/>
            <w:noWrap/>
            <w:hideMark/>
          </w:tcPr>
          <w:p w14:paraId="06D8F4F1" w14:textId="77777777" w:rsidR="00CB2E14" w:rsidRPr="00882F2F" w:rsidRDefault="00CB2E14" w:rsidP="00CB2E14">
            <w:pPr>
              <w:ind w:firstLineChars="200" w:firstLine="360"/>
              <w:rPr>
                <w:rFonts w:eastAsia="Times New Roman" w:cstheme="minorHAnsi"/>
                <w:sz w:val="18"/>
                <w:szCs w:val="18"/>
              </w:rPr>
            </w:pPr>
            <w:r w:rsidRPr="00882F2F">
              <w:rPr>
                <w:rFonts w:eastAsia="Times New Roman" w:cstheme="minorHAnsi"/>
                <w:sz w:val="18"/>
                <w:szCs w:val="18"/>
              </w:rPr>
              <w:t>Izvoz, f.o.b.</w:t>
            </w:r>
          </w:p>
        </w:tc>
        <w:tc>
          <w:tcPr>
            <w:tcW w:w="1134" w:type="dxa"/>
            <w:noWrap/>
            <w:hideMark/>
          </w:tcPr>
          <w:p w14:paraId="4C397A1F" w14:textId="77777777" w:rsidR="00CB2E14" w:rsidRPr="00882F2F" w:rsidRDefault="00CB2E14" w:rsidP="00CB2E14">
            <w:pPr>
              <w:jc w:val="right"/>
              <w:rPr>
                <w:rFonts w:eastAsia="Times New Roman" w:cstheme="minorHAnsi"/>
                <w:b/>
                <w:bCs/>
                <w:sz w:val="18"/>
                <w:szCs w:val="18"/>
              </w:rPr>
            </w:pPr>
            <w:r w:rsidRPr="00882F2F">
              <w:rPr>
                <w:rFonts w:eastAsia="Times New Roman" w:cstheme="minorHAnsi"/>
                <w:b/>
                <w:bCs/>
                <w:sz w:val="18"/>
                <w:szCs w:val="18"/>
              </w:rPr>
              <w:t>568.993</w:t>
            </w:r>
          </w:p>
        </w:tc>
        <w:tc>
          <w:tcPr>
            <w:tcW w:w="1134" w:type="dxa"/>
            <w:noWrap/>
            <w:hideMark/>
          </w:tcPr>
          <w:p w14:paraId="540ED66B" w14:textId="77777777" w:rsidR="00CB2E14" w:rsidRPr="00882F2F" w:rsidRDefault="00CB2E14" w:rsidP="00CB2E14">
            <w:pPr>
              <w:jc w:val="right"/>
              <w:rPr>
                <w:rFonts w:eastAsia="Times New Roman" w:cstheme="minorHAnsi"/>
                <w:b/>
                <w:bCs/>
                <w:sz w:val="18"/>
                <w:szCs w:val="18"/>
              </w:rPr>
            </w:pPr>
            <w:r w:rsidRPr="00882F2F">
              <w:rPr>
                <w:rFonts w:eastAsia="Times New Roman" w:cstheme="minorHAnsi"/>
                <w:b/>
                <w:bCs/>
                <w:sz w:val="18"/>
                <w:szCs w:val="18"/>
              </w:rPr>
              <w:t>533.551</w:t>
            </w:r>
          </w:p>
        </w:tc>
        <w:tc>
          <w:tcPr>
            <w:tcW w:w="1276" w:type="dxa"/>
            <w:noWrap/>
            <w:hideMark/>
          </w:tcPr>
          <w:p w14:paraId="5844BAEF" w14:textId="77777777" w:rsidR="00CB2E14" w:rsidRPr="00882F2F" w:rsidRDefault="00CB2E14" w:rsidP="00CB2E14">
            <w:pPr>
              <w:jc w:val="center"/>
              <w:rPr>
                <w:rFonts w:eastAsia="Times New Roman" w:cstheme="minorHAnsi"/>
                <w:sz w:val="18"/>
                <w:szCs w:val="18"/>
              </w:rPr>
            </w:pPr>
            <w:r w:rsidRPr="00882F2F">
              <w:rPr>
                <w:rFonts w:eastAsia="Times New Roman" w:cstheme="minorHAnsi"/>
                <w:sz w:val="18"/>
                <w:szCs w:val="18"/>
              </w:rPr>
              <w:t>-6,2</w:t>
            </w:r>
          </w:p>
        </w:tc>
      </w:tr>
      <w:tr w:rsidR="00CB2E14" w:rsidRPr="00882F2F" w14:paraId="6597F16B" w14:textId="77777777" w:rsidTr="00CB2E14">
        <w:trPr>
          <w:trHeight w:val="20"/>
        </w:trPr>
        <w:tc>
          <w:tcPr>
            <w:tcW w:w="846" w:type="dxa"/>
            <w:noWrap/>
            <w:hideMark/>
          </w:tcPr>
          <w:p w14:paraId="086BDF82" w14:textId="77777777" w:rsidR="00CB2E14" w:rsidRPr="00882F2F" w:rsidRDefault="00CB2E14" w:rsidP="00CB2E14">
            <w:pPr>
              <w:rPr>
                <w:rFonts w:eastAsia="Times New Roman" w:cstheme="minorHAnsi"/>
                <w:sz w:val="18"/>
                <w:szCs w:val="18"/>
              </w:rPr>
            </w:pPr>
            <w:r w:rsidRPr="00882F2F">
              <w:rPr>
                <w:rFonts w:eastAsia="Times New Roman" w:cstheme="minorHAnsi"/>
                <w:sz w:val="18"/>
                <w:szCs w:val="18"/>
              </w:rPr>
              <w:t>1.A.a.2</w:t>
            </w:r>
          </w:p>
        </w:tc>
        <w:tc>
          <w:tcPr>
            <w:tcW w:w="4394" w:type="dxa"/>
            <w:noWrap/>
            <w:hideMark/>
          </w:tcPr>
          <w:p w14:paraId="2D6A3620" w14:textId="77777777" w:rsidR="00CB2E14" w:rsidRPr="00882F2F" w:rsidRDefault="00CB2E14" w:rsidP="00CB2E14">
            <w:pPr>
              <w:ind w:firstLineChars="200" w:firstLine="360"/>
              <w:rPr>
                <w:rFonts w:eastAsia="Times New Roman" w:cstheme="minorHAnsi"/>
                <w:sz w:val="18"/>
                <w:szCs w:val="18"/>
              </w:rPr>
            </w:pPr>
            <w:r w:rsidRPr="00882F2F">
              <w:rPr>
                <w:rFonts w:eastAsia="Times New Roman" w:cstheme="minorHAnsi"/>
                <w:sz w:val="18"/>
                <w:szCs w:val="18"/>
              </w:rPr>
              <w:t>Uvoz, f.o.b.</w:t>
            </w:r>
          </w:p>
        </w:tc>
        <w:tc>
          <w:tcPr>
            <w:tcW w:w="1134" w:type="dxa"/>
            <w:noWrap/>
            <w:hideMark/>
          </w:tcPr>
          <w:p w14:paraId="5EAB306E" w14:textId="77777777" w:rsidR="00CB2E14" w:rsidRPr="00882F2F" w:rsidRDefault="00CB2E14" w:rsidP="00CB2E14">
            <w:pPr>
              <w:jc w:val="right"/>
              <w:rPr>
                <w:rFonts w:eastAsia="Times New Roman" w:cstheme="minorHAnsi"/>
                <w:b/>
                <w:bCs/>
                <w:sz w:val="18"/>
                <w:szCs w:val="18"/>
              </w:rPr>
            </w:pPr>
            <w:r w:rsidRPr="00882F2F">
              <w:rPr>
                <w:rFonts w:eastAsia="Times New Roman" w:cstheme="minorHAnsi"/>
                <w:b/>
                <w:bCs/>
                <w:sz w:val="18"/>
                <w:szCs w:val="18"/>
              </w:rPr>
              <w:t>2.562.584</w:t>
            </w:r>
          </w:p>
        </w:tc>
        <w:tc>
          <w:tcPr>
            <w:tcW w:w="1134" w:type="dxa"/>
            <w:noWrap/>
            <w:hideMark/>
          </w:tcPr>
          <w:p w14:paraId="686DDEC0" w14:textId="77777777" w:rsidR="00CB2E14" w:rsidRPr="00882F2F" w:rsidRDefault="00CB2E14" w:rsidP="00CB2E14">
            <w:pPr>
              <w:jc w:val="right"/>
              <w:rPr>
                <w:rFonts w:eastAsia="Times New Roman" w:cstheme="minorHAnsi"/>
                <w:b/>
                <w:bCs/>
                <w:sz w:val="18"/>
                <w:szCs w:val="18"/>
              </w:rPr>
            </w:pPr>
            <w:r w:rsidRPr="00882F2F">
              <w:rPr>
                <w:rFonts w:eastAsia="Times New Roman" w:cstheme="minorHAnsi"/>
                <w:b/>
                <w:bCs/>
                <w:sz w:val="18"/>
                <w:szCs w:val="18"/>
              </w:rPr>
              <w:t>2.761.043</w:t>
            </w:r>
          </w:p>
        </w:tc>
        <w:tc>
          <w:tcPr>
            <w:tcW w:w="1276" w:type="dxa"/>
            <w:noWrap/>
            <w:hideMark/>
          </w:tcPr>
          <w:p w14:paraId="5A075014" w14:textId="77777777" w:rsidR="00CB2E14" w:rsidRPr="00882F2F" w:rsidRDefault="00CB2E14" w:rsidP="00CB2E14">
            <w:pPr>
              <w:jc w:val="center"/>
              <w:rPr>
                <w:rFonts w:eastAsia="Times New Roman" w:cstheme="minorHAnsi"/>
                <w:sz w:val="18"/>
                <w:szCs w:val="18"/>
              </w:rPr>
            </w:pPr>
            <w:r w:rsidRPr="00882F2F">
              <w:rPr>
                <w:rFonts w:eastAsia="Times New Roman" w:cstheme="minorHAnsi"/>
                <w:sz w:val="18"/>
                <w:szCs w:val="18"/>
              </w:rPr>
              <w:t>7,7</w:t>
            </w:r>
          </w:p>
        </w:tc>
      </w:tr>
      <w:tr w:rsidR="00CB2E14" w:rsidRPr="00882F2F" w14:paraId="02150D08" w14:textId="77777777" w:rsidTr="00CB2E14">
        <w:trPr>
          <w:trHeight w:val="20"/>
        </w:trPr>
        <w:tc>
          <w:tcPr>
            <w:tcW w:w="846" w:type="dxa"/>
            <w:noWrap/>
            <w:hideMark/>
          </w:tcPr>
          <w:p w14:paraId="11159421" w14:textId="77777777" w:rsidR="00CB2E14" w:rsidRPr="00882F2F" w:rsidRDefault="00CB2E14" w:rsidP="00CB2E14">
            <w:pPr>
              <w:rPr>
                <w:rFonts w:eastAsia="Times New Roman" w:cstheme="minorHAnsi"/>
                <w:b/>
                <w:bCs/>
                <w:sz w:val="18"/>
                <w:szCs w:val="18"/>
              </w:rPr>
            </w:pPr>
            <w:r w:rsidRPr="00882F2F">
              <w:rPr>
                <w:rFonts w:eastAsia="Times New Roman" w:cstheme="minorHAnsi"/>
                <w:b/>
                <w:bCs/>
                <w:sz w:val="18"/>
                <w:szCs w:val="18"/>
              </w:rPr>
              <w:t xml:space="preserve">1.A.b </w:t>
            </w:r>
          </w:p>
        </w:tc>
        <w:tc>
          <w:tcPr>
            <w:tcW w:w="4394" w:type="dxa"/>
            <w:noWrap/>
            <w:hideMark/>
          </w:tcPr>
          <w:p w14:paraId="03E06BF1" w14:textId="77777777" w:rsidR="00CB2E14" w:rsidRPr="00882F2F" w:rsidRDefault="00CB2E14" w:rsidP="00CB2E14">
            <w:pPr>
              <w:rPr>
                <w:rFonts w:eastAsia="Times New Roman" w:cstheme="minorHAnsi"/>
                <w:b/>
                <w:bCs/>
                <w:sz w:val="18"/>
                <w:szCs w:val="18"/>
              </w:rPr>
            </w:pPr>
            <w:r w:rsidRPr="00882F2F">
              <w:rPr>
                <w:rFonts w:eastAsia="Times New Roman" w:cstheme="minorHAnsi"/>
                <w:b/>
                <w:bCs/>
                <w:sz w:val="18"/>
                <w:szCs w:val="18"/>
              </w:rPr>
              <w:t>Usluge</w:t>
            </w:r>
          </w:p>
        </w:tc>
        <w:tc>
          <w:tcPr>
            <w:tcW w:w="1134" w:type="dxa"/>
            <w:noWrap/>
            <w:hideMark/>
          </w:tcPr>
          <w:p w14:paraId="5399A7A2" w14:textId="77777777" w:rsidR="00CB2E14" w:rsidRPr="00882F2F" w:rsidRDefault="00CB2E14" w:rsidP="00CB2E14">
            <w:pPr>
              <w:jc w:val="right"/>
              <w:rPr>
                <w:rFonts w:eastAsia="Times New Roman" w:cstheme="minorHAnsi"/>
                <w:b/>
                <w:bCs/>
                <w:sz w:val="18"/>
                <w:szCs w:val="18"/>
              </w:rPr>
            </w:pPr>
            <w:r w:rsidRPr="00882F2F">
              <w:rPr>
                <w:rFonts w:eastAsia="Times New Roman" w:cstheme="minorHAnsi"/>
                <w:b/>
                <w:bCs/>
                <w:sz w:val="18"/>
                <w:szCs w:val="18"/>
              </w:rPr>
              <w:t>1.070.995</w:t>
            </w:r>
          </w:p>
        </w:tc>
        <w:tc>
          <w:tcPr>
            <w:tcW w:w="1134" w:type="dxa"/>
            <w:noWrap/>
            <w:hideMark/>
          </w:tcPr>
          <w:p w14:paraId="48C0DCB3" w14:textId="77777777" w:rsidR="00CB2E14" w:rsidRPr="00882F2F" w:rsidRDefault="00CB2E14" w:rsidP="00CB2E14">
            <w:pPr>
              <w:jc w:val="right"/>
              <w:rPr>
                <w:rFonts w:eastAsia="Times New Roman" w:cstheme="minorHAnsi"/>
                <w:b/>
                <w:bCs/>
                <w:sz w:val="18"/>
                <w:szCs w:val="18"/>
              </w:rPr>
            </w:pPr>
            <w:r w:rsidRPr="00882F2F">
              <w:rPr>
                <w:rFonts w:eastAsia="Times New Roman" w:cstheme="minorHAnsi"/>
                <w:b/>
                <w:bCs/>
                <w:sz w:val="18"/>
                <w:szCs w:val="18"/>
              </w:rPr>
              <w:t>1.483.058</w:t>
            </w:r>
          </w:p>
        </w:tc>
        <w:tc>
          <w:tcPr>
            <w:tcW w:w="1276" w:type="dxa"/>
            <w:noWrap/>
            <w:hideMark/>
          </w:tcPr>
          <w:p w14:paraId="29DF999E" w14:textId="77777777" w:rsidR="00CB2E14" w:rsidRPr="00882F2F" w:rsidRDefault="00CB2E14" w:rsidP="00CB2E14">
            <w:pPr>
              <w:jc w:val="center"/>
              <w:rPr>
                <w:rFonts w:eastAsia="Times New Roman" w:cstheme="minorHAnsi"/>
                <w:b/>
                <w:bCs/>
                <w:sz w:val="18"/>
                <w:szCs w:val="18"/>
              </w:rPr>
            </w:pPr>
            <w:r w:rsidRPr="00882F2F">
              <w:rPr>
                <w:rFonts w:eastAsia="Times New Roman" w:cstheme="minorHAnsi"/>
                <w:b/>
                <w:bCs/>
                <w:sz w:val="18"/>
                <w:szCs w:val="18"/>
              </w:rPr>
              <w:t>38,5</w:t>
            </w:r>
          </w:p>
        </w:tc>
      </w:tr>
      <w:tr w:rsidR="00CB2E14" w:rsidRPr="00882F2F" w14:paraId="2CE17960" w14:textId="77777777" w:rsidTr="00CB2E14">
        <w:trPr>
          <w:trHeight w:val="20"/>
        </w:trPr>
        <w:tc>
          <w:tcPr>
            <w:tcW w:w="846" w:type="dxa"/>
            <w:noWrap/>
            <w:hideMark/>
          </w:tcPr>
          <w:p w14:paraId="7CA19C15" w14:textId="77777777" w:rsidR="00CB2E14" w:rsidRPr="00882F2F" w:rsidRDefault="00CB2E14" w:rsidP="00CB2E14">
            <w:pPr>
              <w:rPr>
                <w:rFonts w:eastAsia="Times New Roman" w:cstheme="minorHAnsi"/>
                <w:sz w:val="18"/>
                <w:szCs w:val="18"/>
              </w:rPr>
            </w:pPr>
            <w:r w:rsidRPr="00882F2F">
              <w:rPr>
                <w:rFonts w:eastAsia="Times New Roman" w:cstheme="minorHAnsi"/>
                <w:sz w:val="18"/>
                <w:szCs w:val="18"/>
              </w:rPr>
              <w:t>1.A.b.1</w:t>
            </w:r>
          </w:p>
        </w:tc>
        <w:tc>
          <w:tcPr>
            <w:tcW w:w="4394" w:type="dxa"/>
            <w:noWrap/>
            <w:hideMark/>
          </w:tcPr>
          <w:p w14:paraId="5EEDC9F7" w14:textId="77777777" w:rsidR="00CB2E14" w:rsidRPr="00882F2F" w:rsidRDefault="00CB2E14" w:rsidP="00CB2E14">
            <w:pPr>
              <w:ind w:firstLineChars="200" w:firstLine="360"/>
              <w:rPr>
                <w:rFonts w:eastAsia="Times New Roman" w:cstheme="minorHAnsi"/>
                <w:sz w:val="18"/>
                <w:szCs w:val="18"/>
              </w:rPr>
            </w:pPr>
            <w:r w:rsidRPr="00882F2F">
              <w:rPr>
                <w:rFonts w:eastAsia="Times New Roman" w:cstheme="minorHAnsi"/>
                <w:sz w:val="18"/>
                <w:szCs w:val="18"/>
              </w:rPr>
              <w:t>Prihodi</w:t>
            </w:r>
          </w:p>
        </w:tc>
        <w:tc>
          <w:tcPr>
            <w:tcW w:w="1134" w:type="dxa"/>
            <w:noWrap/>
            <w:hideMark/>
          </w:tcPr>
          <w:p w14:paraId="6369EEB5" w14:textId="77777777" w:rsidR="00CB2E14" w:rsidRPr="00882F2F" w:rsidRDefault="00CB2E14" w:rsidP="00CB2E14">
            <w:pPr>
              <w:jc w:val="right"/>
              <w:rPr>
                <w:rFonts w:eastAsia="Times New Roman" w:cstheme="minorHAnsi"/>
                <w:b/>
                <w:bCs/>
                <w:sz w:val="18"/>
                <w:szCs w:val="18"/>
              </w:rPr>
            </w:pPr>
            <w:r w:rsidRPr="00882F2F">
              <w:rPr>
                <w:rFonts w:eastAsia="Times New Roman" w:cstheme="minorHAnsi"/>
                <w:b/>
                <w:bCs/>
                <w:sz w:val="18"/>
                <w:szCs w:val="18"/>
              </w:rPr>
              <w:t>1.744.959</w:t>
            </w:r>
          </w:p>
        </w:tc>
        <w:tc>
          <w:tcPr>
            <w:tcW w:w="1134" w:type="dxa"/>
            <w:noWrap/>
            <w:hideMark/>
          </w:tcPr>
          <w:p w14:paraId="71F777C2" w14:textId="77777777" w:rsidR="00CB2E14" w:rsidRPr="00882F2F" w:rsidRDefault="00CB2E14" w:rsidP="00CB2E14">
            <w:pPr>
              <w:jc w:val="right"/>
              <w:rPr>
                <w:rFonts w:eastAsia="Times New Roman" w:cstheme="minorHAnsi"/>
                <w:b/>
                <w:bCs/>
                <w:sz w:val="18"/>
                <w:szCs w:val="18"/>
              </w:rPr>
            </w:pPr>
            <w:r w:rsidRPr="00882F2F">
              <w:rPr>
                <w:rFonts w:eastAsia="Times New Roman" w:cstheme="minorHAnsi"/>
                <w:b/>
                <w:bCs/>
                <w:sz w:val="18"/>
                <w:szCs w:val="18"/>
              </w:rPr>
              <w:t>2.293.069</w:t>
            </w:r>
          </w:p>
        </w:tc>
        <w:tc>
          <w:tcPr>
            <w:tcW w:w="1276" w:type="dxa"/>
            <w:noWrap/>
            <w:hideMark/>
          </w:tcPr>
          <w:p w14:paraId="3DBA3DCB" w14:textId="77777777" w:rsidR="00CB2E14" w:rsidRPr="00882F2F" w:rsidRDefault="00CB2E14" w:rsidP="00CB2E14">
            <w:pPr>
              <w:jc w:val="center"/>
              <w:rPr>
                <w:rFonts w:eastAsia="Times New Roman" w:cstheme="minorHAnsi"/>
                <w:sz w:val="18"/>
                <w:szCs w:val="18"/>
              </w:rPr>
            </w:pPr>
            <w:r w:rsidRPr="00882F2F">
              <w:rPr>
                <w:rFonts w:eastAsia="Times New Roman" w:cstheme="minorHAnsi"/>
                <w:sz w:val="18"/>
                <w:szCs w:val="18"/>
              </w:rPr>
              <w:t>31,4</w:t>
            </w:r>
          </w:p>
        </w:tc>
      </w:tr>
      <w:tr w:rsidR="00CB2E14" w:rsidRPr="00882F2F" w14:paraId="6F4ACB22" w14:textId="77777777" w:rsidTr="00CB2E14">
        <w:trPr>
          <w:trHeight w:val="20"/>
        </w:trPr>
        <w:tc>
          <w:tcPr>
            <w:tcW w:w="846" w:type="dxa"/>
            <w:noWrap/>
            <w:hideMark/>
          </w:tcPr>
          <w:p w14:paraId="60FA2F8A" w14:textId="77777777" w:rsidR="00CB2E14" w:rsidRPr="00882F2F" w:rsidRDefault="00CB2E14" w:rsidP="00CB2E14">
            <w:pPr>
              <w:rPr>
                <w:rFonts w:eastAsia="Times New Roman" w:cstheme="minorHAnsi"/>
                <w:sz w:val="18"/>
                <w:szCs w:val="18"/>
              </w:rPr>
            </w:pPr>
            <w:r w:rsidRPr="00882F2F">
              <w:rPr>
                <w:rFonts w:eastAsia="Times New Roman" w:cstheme="minorHAnsi"/>
                <w:sz w:val="18"/>
                <w:szCs w:val="18"/>
              </w:rPr>
              <w:t>1.A.b.2</w:t>
            </w:r>
          </w:p>
        </w:tc>
        <w:tc>
          <w:tcPr>
            <w:tcW w:w="4394" w:type="dxa"/>
            <w:noWrap/>
            <w:hideMark/>
          </w:tcPr>
          <w:p w14:paraId="78FEAEE6" w14:textId="77777777" w:rsidR="00CB2E14" w:rsidRPr="00882F2F" w:rsidRDefault="00CB2E14" w:rsidP="00CB2E14">
            <w:pPr>
              <w:ind w:firstLineChars="200" w:firstLine="360"/>
              <w:rPr>
                <w:rFonts w:eastAsia="Times New Roman" w:cstheme="minorHAnsi"/>
                <w:sz w:val="18"/>
                <w:szCs w:val="18"/>
              </w:rPr>
            </w:pPr>
            <w:r w:rsidRPr="00882F2F">
              <w:rPr>
                <w:rFonts w:eastAsia="Times New Roman" w:cstheme="minorHAnsi"/>
                <w:sz w:val="18"/>
                <w:szCs w:val="18"/>
              </w:rPr>
              <w:t>Rashodi</w:t>
            </w:r>
          </w:p>
        </w:tc>
        <w:tc>
          <w:tcPr>
            <w:tcW w:w="1134" w:type="dxa"/>
            <w:noWrap/>
            <w:hideMark/>
          </w:tcPr>
          <w:p w14:paraId="5D88B1BA" w14:textId="77777777" w:rsidR="00CB2E14" w:rsidRPr="00882F2F" w:rsidRDefault="00CB2E14" w:rsidP="00CB2E14">
            <w:pPr>
              <w:jc w:val="right"/>
              <w:rPr>
                <w:rFonts w:eastAsia="Times New Roman" w:cstheme="minorHAnsi"/>
                <w:b/>
                <w:bCs/>
                <w:sz w:val="18"/>
                <w:szCs w:val="18"/>
              </w:rPr>
            </w:pPr>
            <w:r w:rsidRPr="00882F2F">
              <w:rPr>
                <w:rFonts w:eastAsia="Times New Roman" w:cstheme="minorHAnsi"/>
                <w:b/>
                <w:bCs/>
                <w:sz w:val="18"/>
                <w:szCs w:val="18"/>
              </w:rPr>
              <w:t>673.964</w:t>
            </w:r>
          </w:p>
        </w:tc>
        <w:tc>
          <w:tcPr>
            <w:tcW w:w="1134" w:type="dxa"/>
            <w:noWrap/>
            <w:hideMark/>
          </w:tcPr>
          <w:p w14:paraId="6017164B" w14:textId="77777777" w:rsidR="00CB2E14" w:rsidRPr="00882F2F" w:rsidRDefault="00CB2E14" w:rsidP="00CB2E14">
            <w:pPr>
              <w:jc w:val="right"/>
              <w:rPr>
                <w:rFonts w:eastAsia="Times New Roman" w:cstheme="minorHAnsi"/>
                <w:b/>
                <w:bCs/>
                <w:sz w:val="18"/>
                <w:szCs w:val="18"/>
              </w:rPr>
            </w:pPr>
            <w:r w:rsidRPr="00882F2F">
              <w:rPr>
                <w:rFonts w:eastAsia="Times New Roman" w:cstheme="minorHAnsi"/>
                <w:b/>
                <w:bCs/>
                <w:sz w:val="18"/>
                <w:szCs w:val="18"/>
              </w:rPr>
              <w:t>810.011</w:t>
            </w:r>
          </w:p>
        </w:tc>
        <w:tc>
          <w:tcPr>
            <w:tcW w:w="1276" w:type="dxa"/>
            <w:noWrap/>
            <w:hideMark/>
          </w:tcPr>
          <w:p w14:paraId="70BF2066" w14:textId="77777777" w:rsidR="00CB2E14" w:rsidRPr="00882F2F" w:rsidRDefault="00CB2E14" w:rsidP="00CB2E14">
            <w:pPr>
              <w:jc w:val="center"/>
              <w:rPr>
                <w:rFonts w:eastAsia="Times New Roman" w:cstheme="minorHAnsi"/>
                <w:sz w:val="18"/>
                <w:szCs w:val="18"/>
              </w:rPr>
            </w:pPr>
            <w:r w:rsidRPr="00882F2F">
              <w:rPr>
                <w:rFonts w:eastAsia="Times New Roman" w:cstheme="minorHAnsi"/>
                <w:sz w:val="18"/>
                <w:szCs w:val="18"/>
              </w:rPr>
              <w:t>20,2</w:t>
            </w:r>
          </w:p>
        </w:tc>
      </w:tr>
      <w:tr w:rsidR="00CB2E14" w:rsidRPr="00882F2F" w14:paraId="3764CBE0" w14:textId="77777777" w:rsidTr="00CB2E14">
        <w:trPr>
          <w:trHeight w:val="20"/>
        </w:trPr>
        <w:tc>
          <w:tcPr>
            <w:tcW w:w="846" w:type="dxa"/>
            <w:noWrap/>
            <w:hideMark/>
          </w:tcPr>
          <w:p w14:paraId="235FCEB7" w14:textId="77777777" w:rsidR="00CB2E14" w:rsidRPr="00882F2F" w:rsidRDefault="00CB2E14" w:rsidP="00CB2E14">
            <w:pPr>
              <w:rPr>
                <w:rFonts w:eastAsia="Times New Roman" w:cstheme="minorHAnsi"/>
                <w:b/>
                <w:bCs/>
                <w:sz w:val="18"/>
                <w:szCs w:val="18"/>
              </w:rPr>
            </w:pPr>
            <w:r w:rsidRPr="00882F2F">
              <w:rPr>
                <w:rFonts w:eastAsia="Times New Roman" w:cstheme="minorHAnsi"/>
                <w:b/>
                <w:bCs/>
                <w:sz w:val="18"/>
                <w:szCs w:val="18"/>
              </w:rPr>
              <w:t xml:space="preserve">1.B </w:t>
            </w:r>
          </w:p>
        </w:tc>
        <w:tc>
          <w:tcPr>
            <w:tcW w:w="4394" w:type="dxa"/>
            <w:noWrap/>
            <w:hideMark/>
          </w:tcPr>
          <w:p w14:paraId="2D8A0398" w14:textId="77777777" w:rsidR="00CB2E14" w:rsidRPr="00882F2F" w:rsidRDefault="00CB2E14" w:rsidP="00CB2E14">
            <w:pPr>
              <w:rPr>
                <w:rFonts w:eastAsia="Times New Roman" w:cstheme="minorHAnsi"/>
                <w:b/>
                <w:bCs/>
                <w:sz w:val="18"/>
                <w:szCs w:val="18"/>
              </w:rPr>
            </w:pPr>
            <w:r w:rsidRPr="00882F2F">
              <w:rPr>
                <w:rFonts w:eastAsia="Times New Roman" w:cstheme="minorHAnsi"/>
                <w:b/>
                <w:bCs/>
                <w:sz w:val="18"/>
                <w:szCs w:val="18"/>
              </w:rPr>
              <w:t>Primarni dohodak</w:t>
            </w:r>
          </w:p>
        </w:tc>
        <w:tc>
          <w:tcPr>
            <w:tcW w:w="1134" w:type="dxa"/>
            <w:noWrap/>
            <w:hideMark/>
          </w:tcPr>
          <w:p w14:paraId="22B8B224" w14:textId="77777777" w:rsidR="00CB2E14" w:rsidRPr="00882F2F" w:rsidRDefault="00CB2E14" w:rsidP="00CB2E14">
            <w:pPr>
              <w:jc w:val="right"/>
              <w:rPr>
                <w:rFonts w:eastAsia="Times New Roman" w:cstheme="minorHAnsi"/>
                <w:b/>
                <w:bCs/>
                <w:sz w:val="18"/>
                <w:szCs w:val="18"/>
              </w:rPr>
            </w:pPr>
            <w:r w:rsidRPr="00882F2F">
              <w:rPr>
                <w:rFonts w:eastAsia="Times New Roman" w:cstheme="minorHAnsi"/>
                <w:b/>
                <w:bCs/>
                <w:sz w:val="18"/>
                <w:szCs w:val="18"/>
              </w:rPr>
              <w:t>99.018</w:t>
            </w:r>
          </w:p>
        </w:tc>
        <w:tc>
          <w:tcPr>
            <w:tcW w:w="1134" w:type="dxa"/>
            <w:noWrap/>
            <w:hideMark/>
          </w:tcPr>
          <w:p w14:paraId="2296D357" w14:textId="77777777" w:rsidR="00CB2E14" w:rsidRPr="00882F2F" w:rsidRDefault="00CB2E14" w:rsidP="00CB2E14">
            <w:pPr>
              <w:jc w:val="right"/>
              <w:rPr>
                <w:rFonts w:eastAsia="Times New Roman" w:cstheme="minorHAnsi"/>
                <w:b/>
                <w:bCs/>
                <w:sz w:val="18"/>
                <w:szCs w:val="18"/>
              </w:rPr>
            </w:pPr>
            <w:r w:rsidRPr="00882F2F">
              <w:rPr>
                <w:rFonts w:eastAsia="Times New Roman" w:cstheme="minorHAnsi"/>
                <w:b/>
                <w:bCs/>
                <w:sz w:val="18"/>
                <w:szCs w:val="18"/>
              </w:rPr>
              <w:t>84.945</w:t>
            </w:r>
          </w:p>
        </w:tc>
        <w:tc>
          <w:tcPr>
            <w:tcW w:w="1276" w:type="dxa"/>
            <w:noWrap/>
            <w:hideMark/>
          </w:tcPr>
          <w:p w14:paraId="0F36764B" w14:textId="77777777" w:rsidR="00CB2E14" w:rsidRPr="00882F2F" w:rsidRDefault="00CB2E14" w:rsidP="00CB2E14">
            <w:pPr>
              <w:jc w:val="center"/>
              <w:rPr>
                <w:rFonts w:eastAsia="Times New Roman" w:cstheme="minorHAnsi"/>
                <w:b/>
                <w:bCs/>
                <w:sz w:val="18"/>
                <w:szCs w:val="18"/>
              </w:rPr>
            </w:pPr>
            <w:r w:rsidRPr="00882F2F">
              <w:rPr>
                <w:rFonts w:eastAsia="Times New Roman" w:cstheme="minorHAnsi"/>
                <w:b/>
                <w:bCs/>
                <w:sz w:val="18"/>
                <w:szCs w:val="18"/>
              </w:rPr>
              <w:t>-14,2</w:t>
            </w:r>
          </w:p>
        </w:tc>
      </w:tr>
      <w:tr w:rsidR="00CB2E14" w:rsidRPr="00882F2F" w14:paraId="09AA0272" w14:textId="77777777" w:rsidTr="00CB2E14">
        <w:trPr>
          <w:trHeight w:val="20"/>
        </w:trPr>
        <w:tc>
          <w:tcPr>
            <w:tcW w:w="846" w:type="dxa"/>
            <w:noWrap/>
            <w:hideMark/>
          </w:tcPr>
          <w:p w14:paraId="30EE25CB" w14:textId="77777777" w:rsidR="00CB2E14" w:rsidRPr="00882F2F" w:rsidRDefault="00CB2E14" w:rsidP="00CB2E14">
            <w:pPr>
              <w:rPr>
                <w:rFonts w:eastAsia="Times New Roman" w:cstheme="minorHAnsi"/>
                <w:sz w:val="18"/>
                <w:szCs w:val="18"/>
              </w:rPr>
            </w:pPr>
            <w:r w:rsidRPr="00882F2F">
              <w:rPr>
                <w:rFonts w:eastAsia="Times New Roman" w:cstheme="minorHAnsi"/>
                <w:sz w:val="18"/>
                <w:szCs w:val="18"/>
              </w:rPr>
              <w:t xml:space="preserve">1.B.1 </w:t>
            </w:r>
          </w:p>
        </w:tc>
        <w:tc>
          <w:tcPr>
            <w:tcW w:w="4394" w:type="dxa"/>
            <w:noWrap/>
            <w:hideMark/>
          </w:tcPr>
          <w:p w14:paraId="3B2CB948" w14:textId="77777777" w:rsidR="00CB2E14" w:rsidRPr="00882F2F" w:rsidRDefault="00CB2E14" w:rsidP="00CB2E14">
            <w:pPr>
              <w:ind w:firstLineChars="200" w:firstLine="360"/>
              <w:rPr>
                <w:rFonts w:eastAsia="Times New Roman" w:cstheme="minorHAnsi"/>
                <w:sz w:val="18"/>
                <w:szCs w:val="18"/>
              </w:rPr>
            </w:pPr>
            <w:r w:rsidRPr="00882F2F">
              <w:rPr>
                <w:rFonts w:eastAsia="Times New Roman" w:cstheme="minorHAnsi"/>
                <w:sz w:val="18"/>
                <w:szCs w:val="18"/>
              </w:rPr>
              <w:t>Prihodi</w:t>
            </w:r>
          </w:p>
        </w:tc>
        <w:tc>
          <w:tcPr>
            <w:tcW w:w="1134" w:type="dxa"/>
            <w:noWrap/>
            <w:hideMark/>
          </w:tcPr>
          <w:p w14:paraId="3DCCE582" w14:textId="77777777" w:rsidR="00CB2E14" w:rsidRPr="00882F2F" w:rsidRDefault="00CB2E14" w:rsidP="00CB2E14">
            <w:pPr>
              <w:jc w:val="right"/>
              <w:rPr>
                <w:rFonts w:eastAsia="Times New Roman" w:cstheme="minorHAnsi"/>
                <w:b/>
                <w:bCs/>
                <w:sz w:val="18"/>
                <w:szCs w:val="18"/>
              </w:rPr>
            </w:pPr>
            <w:r w:rsidRPr="00882F2F">
              <w:rPr>
                <w:rFonts w:eastAsia="Times New Roman" w:cstheme="minorHAnsi"/>
                <w:b/>
                <w:bCs/>
                <w:sz w:val="18"/>
                <w:szCs w:val="18"/>
              </w:rPr>
              <w:t>281.551</w:t>
            </w:r>
          </w:p>
        </w:tc>
        <w:tc>
          <w:tcPr>
            <w:tcW w:w="1134" w:type="dxa"/>
            <w:noWrap/>
            <w:hideMark/>
          </w:tcPr>
          <w:p w14:paraId="788D8AB5" w14:textId="77777777" w:rsidR="00CB2E14" w:rsidRPr="00882F2F" w:rsidRDefault="00CB2E14" w:rsidP="00CB2E14">
            <w:pPr>
              <w:jc w:val="right"/>
              <w:rPr>
                <w:rFonts w:eastAsia="Times New Roman" w:cstheme="minorHAnsi"/>
                <w:b/>
                <w:bCs/>
                <w:sz w:val="18"/>
                <w:szCs w:val="18"/>
              </w:rPr>
            </w:pPr>
            <w:r w:rsidRPr="00882F2F">
              <w:rPr>
                <w:rFonts w:eastAsia="Times New Roman" w:cstheme="minorHAnsi"/>
                <w:b/>
                <w:bCs/>
                <w:sz w:val="18"/>
                <w:szCs w:val="18"/>
              </w:rPr>
              <w:t>306.418</w:t>
            </w:r>
          </w:p>
        </w:tc>
        <w:tc>
          <w:tcPr>
            <w:tcW w:w="1276" w:type="dxa"/>
            <w:noWrap/>
            <w:hideMark/>
          </w:tcPr>
          <w:p w14:paraId="690F43D4" w14:textId="77777777" w:rsidR="00CB2E14" w:rsidRPr="00882F2F" w:rsidRDefault="00CB2E14" w:rsidP="00CB2E14">
            <w:pPr>
              <w:jc w:val="center"/>
              <w:rPr>
                <w:rFonts w:eastAsia="Times New Roman" w:cstheme="minorHAnsi"/>
                <w:sz w:val="18"/>
                <w:szCs w:val="18"/>
              </w:rPr>
            </w:pPr>
            <w:r w:rsidRPr="00882F2F">
              <w:rPr>
                <w:rFonts w:eastAsia="Times New Roman" w:cstheme="minorHAnsi"/>
                <w:sz w:val="18"/>
                <w:szCs w:val="18"/>
              </w:rPr>
              <w:t>8,8</w:t>
            </w:r>
          </w:p>
        </w:tc>
      </w:tr>
      <w:tr w:rsidR="00CB2E14" w:rsidRPr="00882F2F" w14:paraId="399314BB" w14:textId="77777777" w:rsidTr="00CB2E14">
        <w:trPr>
          <w:trHeight w:val="20"/>
        </w:trPr>
        <w:tc>
          <w:tcPr>
            <w:tcW w:w="846" w:type="dxa"/>
            <w:noWrap/>
            <w:hideMark/>
          </w:tcPr>
          <w:p w14:paraId="5A2C8E81" w14:textId="77777777" w:rsidR="00CB2E14" w:rsidRPr="00882F2F" w:rsidRDefault="00CB2E14" w:rsidP="00CB2E14">
            <w:pPr>
              <w:rPr>
                <w:rFonts w:eastAsia="Times New Roman" w:cstheme="minorHAnsi"/>
                <w:sz w:val="18"/>
                <w:szCs w:val="18"/>
              </w:rPr>
            </w:pPr>
            <w:r w:rsidRPr="00882F2F">
              <w:rPr>
                <w:rFonts w:eastAsia="Times New Roman" w:cstheme="minorHAnsi"/>
                <w:sz w:val="18"/>
                <w:szCs w:val="18"/>
              </w:rPr>
              <w:lastRenderedPageBreak/>
              <w:t>1.B.2</w:t>
            </w:r>
          </w:p>
        </w:tc>
        <w:tc>
          <w:tcPr>
            <w:tcW w:w="4394" w:type="dxa"/>
            <w:noWrap/>
            <w:hideMark/>
          </w:tcPr>
          <w:p w14:paraId="7A63C274" w14:textId="77777777" w:rsidR="00CB2E14" w:rsidRPr="00882F2F" w:rsidRDefault="00CB2E14" w:rsidP="00CB2E14">
            <w:pPr>
              <w:ind w:firstLineChars="200" w:firstLine="360"/>
              <w:rPr>
                <w:rFonts w:eastAsia="Times New Roman" w:cstheme="minorHAnsi"/>
                <w:sz w:val="18"/>
                <w:szCs w:val="18"/>
              </w:rPr>
            </w:pPr>
            <w:r w:rsidRPr="00882F2F">
              <w:rPr>
                <w:rFonts w:eastAsia="Times New Roman" w:cstheme="minorHAnsi"/>
                <w:sz w:val="18"/>
                <w:szCs w:val="18"/>
              </w:rPr>
              <w:t>Rashodi</w:t>
            </w:r>
          </w:p>
        </w:tc>
        <w:tc>
          <w:tcPr>
            <w:tcW w:w="1134" w:type="dxa"/>
            <w:noWrap/>
            <w:hideMark/>
          </w:tcPr>
          <w:p w14:paraId="6027C2F1" w14:textId="77777777" w:rsidR="00CB2E14" w:rsidRPr="00882F2F" w:rsidRDefault="00CB2E14" w:rsidP="00CB2E14">
            <w:pPr>
              <w:jc w:val="right"/>
              <w:rPr>
                <w:rFonts w:eastAsia="Times New Roman" w:cstheme="minorHAnsi"/>
                <w:b/>
                <w:bCs/>
                <w:sz w:val="18"/>
                <w:szCs w:val="18"/>
              </w:rPr>
            </w:pPr>
            <w:r w:rsidRPr="00882F2F">
              <w:rPr>
                <w:rFonts w:eastAsia="Times New Roman" w:cstheme="minorHAnsi"/>
                <w:b/>
                <w:bCs/>
                <w:sz w:val="18"/>
                <w:szCs w:val="18"/>
              </w:rPr>
              <w:t>182.532</w:t>
            </w:r>
          </w:p>
        </w:tc>
        <w:tc>
          <w:tcPr>
            <w:tcW w:w="1134" w:type="dxa"/>
            <w:noWrap/>
            <w:hideMark/>
          </w:tcPr>
          <w:p w14:paraId="706E797B" w14:textId="77777777" w:rsidR="00CB2E14" w:rsidRPr="00882F2F" w:rsidRDefault="00CB2E14" w:rsidP="00CB2E14">
            <w:pPr>
              <w:jc w:val="right"/>
              <w:rPr>
                <w:rFonts w:eastAsia="Times New Roman" w:cstheme="minorHAnsi"/>
                <w:b/>
                <w:bCs/>
                <w:sz w:val="18"/>
                <w:szCs w:val="18"/>
              </w:rPr>
            </w:pPr>
            <w:r w:rsidRPr="00882F2F">
              <w:rPr>
                <w:rFonts w:eastAsia="Times New Roman" w:cstheme="minorHAnsi"/>
                <w:b/>
                <w:bCs/>
                <w:sz w:val="18"/>
                <w:szCs w:val="18"/>
              </w:rPr>
              <w:t>221.473</w:t>
            </w:r>
          </w:p>
        </w:tc>
        <w:tc>
          <w:tcPr>
            <w:tcW w:w="1276" w:type="dxa"/>
            <w:noWrap/>
            <w:hideMark/>
          </w:tcPr>
          <w:p w14:paraId="59374D08" w14:textId="77777777" w:rsidR="00CB2E14" w:rsidRPr="00882F2F" w:rsidRDefault="00CB2E14" w:rsidP="00CB2E14">
            <w:pPr>
              <w:jc w:val="center"/>
              <w:rPr>
                <w:rFonts w:eastAsia="Times New Roman" w:cstheme="minorHAnsi"/>
                <w:sz w:val="18"/>
                <w:szCs w:val="18"/>
              </w:rPr>
            </w:pPr>
            <w:r w:rsidRPr="00882F2F">
              <w:rPr>
                <w:rFonts w:eastAsia="Times New Roman" w:cstheme="minorHAnsi"/>
                <w:sz w:val="18"/>
                <w:szCs w:val="18"/>
              </w:rPr>
              <w:t>21,3</w:t>
            </w:r>
          </w:p>
        </w:tc>
      </w:tr>
      <w:tr w:rsidR="00CB2E14" w:rsidRPr="00882F2F" w14:paraId="184AE6F1" w14:textId="77777777" w:rsidTr="00CB2E14">
        <w:trPr>
          <w:trHeight w:val="20"/>
        </w:trPr>
        <w:tc>
          <w:tcPr>
            <w:tcW w:w="846" w:type="dxa"/>
            <w:noWrap/>
            <w:hideMark/>
          </w:tcPr>
          <w:p w14:paraId="5A8F2831" w14:textId="77777777" w:rsidR="00CB2E14" w:rsidRPr="00882F2F" w:rsidRDefault="00CB2E14" w:rsidP="00CB2E14">
            <w:pPr>
              <w:rPr>
                <w:rFonts w:eastAsia="Times New Roman" w:cstheme="minorHAnsi"/>
                <w:b/>
                <w:bCs/>
                <w:sz w:val="18"/>
                <w:szCs w:val="18"/>
              </w:rPr>
            </w:pPr>
            <w:r w:rsidRPr="00882F2F">
              <w:rPr>
                <w:rFonts w:eastAsia="Times New Roman" w:cstheme="minorHAnsi"/>
                <w:b/>
                <w:bCs/>
                <w:sz w:val="18"/>
                <w:szCs w:val="18"/>
              </w:rPr>
              <w:t xml:space="preserve">1.C </w:t>
            </w:r>
          </w:p>
        </w:tc>
        <w:tc>
          <w:tcPr>
            <w:tcW w:w="4394" w:type="dxa"/>
            <w:noWrap/>
            <w:hideMark/>
          </w:tcPr>
          <w:p w14:paraId="4105CCF9" w14:textId="77777777" w:rsidR="00CB2E14" w:rsidRPr="00882F2F" w:rsidRDefault="00CB2E14" w:rsidP="00CB2E14">
            <w:pPr>
              <w:rPr>
                <w:rFonts w:eastAsia="Times New Roman" w:cstheme="minorHAnsi"/>
                <w:b/>
                <w:bCs/>
                <w:sz w:val="18"/>
                <w:szCs w:val="18"/>
              </w:rPr>
            </w:pPr>
            <w:r w:rsidRPr="00882F2F">
              <w:rPr>
                <w:rFonts w:eastAsia="Times New Roman" w:cstheme="minorHAnsi"/>
                <w:b/>
                <w:bCs/>
                <w:sz w:val="18"/>
                <w:szCs w:val="18"/>
              </w:rPr>
              <w:t>Sekundarni dohodak</w:t>
            </w:r>
          </w:p>
        </w:tc>
        <w:tc>
          <w:tcPr>
            <w:tcW w:w="1134" w:type="dxa"/>
            <w:noWrap/>
            <w:hideMark/>
          </w:tcPr>
          <w:p w14:paraId="169538E3" w14:textId="77777777" w:rsidR="00CB2E14" w:rsidRPr="00882F2F" w:rsidRDefault="00CB2E14" w:rsidP="00CB2E14">
            <w:pPr>
              <w:jc w:val="right"/>
              <w:rPr>
                <w:rFonts w:eastAsia="Times New Roman" w:cstheme="minorHAnsi"/>
                <w:b/>
                <w:bCs/>
                <w:sz w:val="18"/>
                <w:szCs w:val="18"/>
              </w:rPr>
            </w:pPr>
            <w:r w:rsidRPr="00882F2F">
              <w:rPr>
                <w:rFonts w:eastAsia="Times New Roman" w:cstheme="minorHAnsi"/>
                <w:b/>
                <w:bCs/>
                <w:sz w:val="18"/>
                <w:szCs w:val="18"/>
              </w:rPr>
              <w:t>341.502</w:t>
            </w:r>
          </w:p>
        </w:tc>
        <w:tc>
          <w:tcPr>
            <w:tcW w:w="1134" w:type="dxa"/>
            <w:noWrap/>
            <w:hideMark/>
          </w:tcPr>
          <w:p w14:paraId="75B41A6D" w14:textId="77777777" w:rsidR="00CB2E14" w:rsidRPr="00882F2F" w:rsidRDefault="00CB2E14" w:rsidP="00CB2E14">
            <w:pPr>
              <w:jc w:val="right"/>
              <w:rPr>
                <w:rFonts w:eastAsia="Times New Roman" w:cstheme="minorHAnsi"/>
                <w:b/>
                <w:bCs/>
                <w:sz w:val="18"/>
                <w:szCs w:val="18"/>
              </w:rPr>
            </w:pPr>
            <w:r w:rsidRPr="00882F2F">
              <w:rPr>
                <w:rFonts w:eastAsia="Times New Roman" w:cstheme="minorHAnsi"/>
                <w:b/>
                <w:bCs/>
                <w:sz w:val="18"/>
                <w:szCs w:val="18"/>
              </w:rPr>
              <w:t>314.536</w:t>
            </w:r>
          </w:p>
        </w:tc>
        <w:tc>
          <w:tcPr>
            <w:tcW w:w="1276" w:type="dxa"/>
            <w:noWrap/>
            <w:hideMark/>
          </w:tcPr>
          <w:p w14:paraId="1966D01F" w14:textId="77777777" w:rsidR="00CB2E14" w:rsidRPr="00882F2F" w:rsidRDefault="00CB2E14" w:rsidP="00CB2E14">
            <w:pPr>
              <w:jc w:val="center"/>
              <w:rPr>
                <w:rFonts w:eastAsia="Times New Roman" w:cstheme="minorHAnsi"/>
                <w:b/>
                <w:bCs/>
                <w:sz w:val="18"/>
                <w:szCs w:val="18"/>
              </w:rPr>
            </w:pPr>
            <w:r w:rsidRPr="00882F2F">
              <w:rPr>
                <w:rFonts w:eastAsia="Times New Roman" w:cstheme="minorHAnsi"/>
                <w:b/>
                <w:bCs/>
                <w:sz w:val="18"/>
                <w:szCs w:val="18"/>
              </w:rPr>
              <w:t>-7,9</w:t>
            </w:r>
          </w:p>
        </w:tc>
      </w:tr>
      <w:tr w:rsidR="00CB2E14" w:rsidRPr="00882F2F" w14:paraId="647C4EFE" w14:textId="77777777" w:rsidTr="00CB2E14">
        <w:trPr>
          <w:trHeight w:val="20"/>
        </w:trPr>
        <w:tc>
          <w:tcPr>
            <w:tcW w:w="846" w:type="dxa"/>
            <w:noWrap/>
            <w:hideMark/>
          </w:tcPr>
          <w:p w14:paraId="0C8A6F70" w14:textId="77777777" w:rsidR="00CB2E14" w:rsidRPr="00882F2F" w:rsidRDefault="00CB2E14" w:rsidP="00CB2E14">
            <w:pPr>
              <w:rPr>
                <w:rFonts w:eastAsia="Times New Roman" w:cstheme="minorHAnsi"/>
                <w:sz w:val="18"/>
                <w:szCs w:val="18"/>
              </w:rPr>
            </w:pPr>
            <w:r w:rsidRPr="00882F2F">
              <w:rPr>
                <w:rFonts w:eastAsia="Times New Roman" w:cstheme="minorHAnsi"/>
                <w:sz w:val="18"/>
                <w:szCs w:val="18"/>
              </w:rPr>
              <w:t>1.C.1</w:t>
            </w:r>
          </w:p>
        </w:tc>
        <w:tc>
          <w:tcPr>
            <w:tcW w:w="4394" w:type="dxa"/>
            <w:noWrap/>
            <w:hideMark/>
          </w:tcPr>
          <w:p w14:paraId="35E1E4E5" w14:textId="77777777" w:rsidR="00CB2E14" w:rsidRPr="00882F2F" w:rsidRDefault="00CB2E14" w:rsidP="00CB2E14">
            <w:pPr>
              <w:ind w:firstLineChars="200" w:firstLine="360"/>
              <w:rPr>
                <w:rFonts w:eastAsia="Times New Roman" w:cstheme="minorHAnsi"/>
                <w:sz w:val="18"/>
                <w:szCs w:val="18"/>
              </w:rPr>
            </w:pPr>
            <w:r w:rsidRPr="00882F2F">
              <w:rPr>
                <w:rFonts w:eastAsia="Times New Roman" w:cstheme="minorHAnsi"/>
                <w:sz w:val="18"/>
                <w:szCs w:val="18"/>
              </w:rPr>
              <w:t>Prihodi</w:t>
            </w:r>
          </w:p>
        </w:tc>
        <w:tc>
          <w:tcPr>
            <w:tcW w:w="1134" w:type="dxa"/>
            <w:noWrap/>
            <w:hideMark/>
          </w:tcPr>
          <w:p w14:paraId="3616EA6D" w14:textId="77777777" w:rsidR="00CB2E14" w:rsidRPr="00882F2F" w:rsidRDefault="00CB2E14" w:rsidP="00CB2E14">
            <w:pPr>
              <w:jc w:val="right"/>
              <w:rPr>
                <w:rFonts w:eastAsia="Times New Roman" w:cstheme="minorHAnsi"/>
                <w:b/>
                <w:bCs/>
                <w:sz w:val="18"/>
                <w:szCs w:val="18"/>
              </w:rPr>
            </w:pPr>
            <w:r w:rsidRPr="00882F2F">
              <w:rPr>
                <w:rFonts w:eastAsia="Times New Roman" w:cstheme="minorHAnsi"/>
                <w:b/>
                <w:bCs/>
                <w:sz w:val="18"/>
                <w:szCs w:val="18"/>
              </w:rPr>
              <w:t>412.033</w:t>
            </w:r>
          </w:p>
        </w:tc>
        <w:tc>
          <w:tcPr>
            <w:tcW w:w="1134" w:type="dxa"/>
            <w:noWrap/>
            <w:hideMark/>
          </w:tcPr>
          <w:p w14:paraId="282C2B25" w14:textId="77777777" w:rsidR="00CB2E14" w:rsidRPr="00882F2F" w:rsidRDefault="00CB2E14" w:rsidP="00CB2E14">
            <w:pPr>
              <w:jc w:val="right"/>
              <w:rPr>
                <w:rFonts w:eastAsia="Times New Roman" w:cstheme="minorHAnsi"/>
                <w:b/>
                <w:bCs/>
                <w:sz w:val="18"/>
                <w:szCs w:val="18"/>
              </w:rPr>
            </w:pPr>
            <w:r w:rsidRPr="00882F2F">
              <w:rPr>
                <w:rFonts w:eastAsia="Times New Roman" w:cstheme="minorHAnsi"/>
                <w:b/>
                <w:bCs/>
                <w:sz w:val="18"/>
                <w:szCs w:val="18"/>
              </w:rPr>
              <w:t>402.386</w:t>
            </w:r>
          </w:p>
        </w:tc>
        <w:tc>
          <w:tcPr>
            <w:tcW w:w="1276" w:type="dxa"/>
            <w:noWrap/>
            <w:hideMark/>
          </w:tcPr>
          <w:p w14:paraId="417FF239" w14:textId="77777777" w:rsidR="00CB2E14" w:rsidRPr="00882F2F" w:rsidRDefault="00CB2E14" w:rsidP="00CB2E14">
            <w:pPr>
              <w:jc w:val="center"/>
              <w:rPr>
                <w:rFonts w:eastAsia="Times New Roman" w:cstheme="minorHAnsi"/>
                <w:sz w:val="18"/>
                <w:szCs w:val="18"/>
              </w:rPr>
            </w:pPr>
            <w:r w:rsidRPr="00882F2F">
              <w:rPr>
                <w:rFonts w:eastAsia="Times New Roman" w:cstheme="minorHAnsi"/>
                <w:sz w:val="18"/>
                <w:szCs w:val="18"/>
              </w:rPr>
              <w:t>-2,3</w:t>
            </w:r>
          </w:p>
        </w:tc>
      </w:tr>
      <w:tr w:rsidR="00CB2E14" w:rsidRPr="00882F2F" w14:paraId="198DC8A1" w14:textId="77777777" w:rsidTr="00CB2E14">
        <w:trPr>
          <w:trHeight w:val="20"/>
        </w:trPr>
        <w:tc>
          <w:tcPr>
            <w:tcW w:w="846" w:type="dxa"/>
            <w:noWrap/>
            <w:hideMark/>
          </w:tcPr>
          <w:p w14:paraId="0FEF61C2" w14:textId="77777777" w:rsidR="00CB2E14" w:rsidRPr="00882F2F" w:rsidRDefault="00CB2E14" w:rsidP="00CB2E14">
            <w:pPr>
              <w:rPr>
                <w:rFonts w:eastAsia="Times New Roman" w:cstheme="minorHAnsi"/>
                <w:sz w:val="18"/>
                <w:szCs w:val="18"/>
              </w:rPr>
            </w:pPr>
            <w:r w:rsidRPr="00882F2F">
              <w:rPr>
                <w:rFonts w:eastAsia="Times New Roman" w:cstheme="minorHAnsi"/>
                <w:sz w:val="18"/>
                <w:szCs w:val="18"/>
              </w:rPr>
              <w:t>1.C.2</w:t>
            </w:r>
          </w:p>
        </w:tc>
        <w:tc>
          <w:tcPr>
            <w:tcW w:w="4394" w:type="dxa"/>
            <w:noWrap/>
            <w:hideMark/>
          </w:tcPr>
          <w:p w14:paraId="6D861023" w14:textId="77777777" w:rsidR="00CB2E14" w:rsidRPr="00882F2F" w:rsidRDefault="00CB2E14" w:rsidP="00CB2E14">
            <w:pPr>
              <w:ind w:firstLineChars="200" w:firstLine="360"/>
              <w:rPr>
                <w:rFonts w:eastAsia="Times New Roman" w:cstheme="minorHAnsi"/>
                <w:sz w:val="18"/>
                <w:szCs w:val="18"/>
              </w:rPr>
            </w:pPr>
            <w:r w:rsidRPr="00882F2F">
              <w:rPr>
                <w:rFonts w:eastAsia="Times New Roman" w:cstheme="minorHAnsi"/>
                <w:sz w:val="18"/>
                <w:szCs w:val="18"/>
              </w:rPr>
              <w:t>Rashodi</w:t>
            </w:r>
          </w:p>
        </w:tc>
        <w:tc>
          <w:tcPr>
            <w:tcW w:w="1134" w:type="dxa"/>
            <w:noWrap/>
            <w:hideMark/>
          </w:tcPr>
          <w:p w14:paraId="4B26058D" w14:textId="77777777" w:rsidR="00CB2E14" w:rsidRPr="00882F2F" w:rsidRDefault="00CB2E14" w:rsidP="00CB2E14">
            <w:pPr>
              <w:jc w:val="right"/>
              <w:rPr>
                <w:rFonts w:eastAsia="Times New Roman" w:cstheme="minorHAnsi"/>
                <w:b/>
                <w:bCs/>
                <w:sz w:val="18"/>
                <w:szCs w:val="18"/>
              </w:rPr>
            </w:pPr>
            <w:r w:rsidRPr="00882F2F">
              <w:rPr>
                <w:rFonts w:eastAsia="Times New Roman" w:cstheme="minorHAnsi"/>
                <w:b/>
                <w:bCs/>
                <w:sz w:val="18"/>
                <w:szCs w:val="18"/>
              </w:rPr>
              <w:t>70.531</w:t>
            </w:r>
          </w:p>
        </w:tc>
        <w:tc>
          <w:tcPr>
            <w:tcW w:w="1134" w:type="dxa"/>
            <w:noWrap/>
            <w:hideMark/>
          </w:tcPr>
          <w:p w14:paraId="0CAFCF5D" w14:textId="77777777" w:rsidR="00CB2E14" w:rsidRPr="00882F2F" w:rsidRDefault="00CB2E14" w:rsidP="00CB2E14">
            <w:pPr>
              <w:jc w:val="right"/>
              <w:rPr>
                <w:rFonts w:eastAsia="Times New Roman" w:cstheme="minorHAnsi"/>
                <w:b/>
                <w:bCs/>
                <w:sz w:val="18"/>
                <w:szCs w:val="18"/>
              </w:rPr>
            </w:pPr>
            <w:r w:rsidRPr="00882F2F">
              <w:rPr>
                <w:rFonts w:eastAsia="Times New Roman" w:cstheme="minorHAnsi"/>
                <w:b/>
                <w:bCs/>
                <w:sz w:val="18"/>
                <w:szCs w:val="18"/>
              </w:rPr>
              <w:t>87.850</w:t>
            </w:r>
          </w:p>
        </w:tc>
        <w:tc>
          <w:tcPr>
            <w:tcW w:w="1276" w:type="dxa"/>
            <w:noWrap/>
            <w:hideMark/>
          </w:tcPr>
          <w:p w14:paraId="4FB2CDCB" w14:textId="77777777" w:rsidR="00CB2E14" w:rsidRPr="00882F2F" w:rsidRDefault="00CB2E14" w:rsidP="00CB2E14">
            <w:pPr>
              <w:jc w:val="center"/>
              <w:rPr>
                <w:rFonts w:eastAsia="Times New Roman" w:cstheme="minorHAnsi"/>
                <w:sz w:val="18"/>
                <w:szCs w:val="18"/>
              </w:rPr>
            </w:pPr>
            <w:r w:rsidRPr="00882F2F">
              <w:rPr>
                <w:rFonts w:eastAsia="Times New Roman" w:cstheme="minorHAnsi"/>
                <w:sz w:val="18"/>
                <w:szCs w:val="18"/>
              </w:rPr>
              <w:t>24,6</w:t>
            </w:r>
          </w:p>
        </w:tc>
      </w:tr>
      <w:tr w:rsidR="00CB2E14" w:rsidRPr="00882F2F" w14:paraId="519B69CB" w14:textId="77777777" w:rsidTr="00CB2E14">
        <w:trPr>
          <w:trHeight w:val="20"/>
        </w:trPr>
        <w:tc>
          <w:tcPr>
            <w:tcW w:w="846" w:type="dxa"/>
            <w:noWrap/>
            <w:hideMark/>
          </w:tcPr>
          <w:p w14:paraId="6F5680D5" w14:textId="77777777" w:rsidR="00CB2E14" w:rsidRPr="00882F2F" w:rsidRDefault="00CB2E14" w:rsidP="00CB2E14">
            <w:pPr>
              <w:rPr>
                <w:rFonts w:eastAsia="Times New Roman" w:cstheme="minorHAnsi"/>
                <w:b/>
                <w:bCs/>
                <w:sz w:val="18"/>
                <w:szCs w:val="18"/>
              </w:rPr>
            </w:pPr>
            <w:r w:rsidRPr="00882F2F">
              <w:rPr>
                <w:rFonts w:eastAsia="Times New Roman" w:cstheme="minorHAnsi"/>
                <w:b/>
                <w:bCs/>
                <w:sz w:val="18"/>
                <w:szCs w:val="18"/>
              </w:rPr>
              <w:t xml:space="preserve">2 </w:t>
            </w:r>
          </w:p>
        </w:tc>
        <w:tc>
          <w:tcPr>
            <w:tcW w:w="4394" w:type="dxa"/>
            <w:noWrap/>
            <w:hideMark/>
          </w:tcPr>
          <w:p w14:paraId="64995BFF" w14:textId="77777777" w:rsidR="00CB2E14" w:rsidRPr="00882F2F" w:rsidRDefault="00CB2E14" w:rsidP="00CB2E14">
            <w:pPr>
              <w:rPr>
                <w:rFonts w:eastAsia="Times New Roman" w:cstheme="minorHAnsi"/>
                <w:b/>
                <w:bCs/>
                <w:sz w:val="18"/>
                <w:szCs w:val="18"/>
              </w:rPr>
            </w:pPr>
            <w:r w:rsidRPr="00882F2F">
              <w:rPr>
                <w:rFonts w:eastAsia="Times New Roman" w:cstheme="minorHAnsi"/>
                <w:b/>
                <w:bCs/>
                <w:sz w:val="18"/>
                <w:szCs w:val="18"/>
              </w:rPr>
              <w:t>KAPITALNI RAČUN</w:t>
            </w:r>
          </w:p>
        </w:tc>
        <w:tc>
          <w:tcPr>
            <w:tcW w:w="1134" w:type="dxa"/>
            <w:noWrap/>
            <w:hideMark/>
          </w:tcPr>
          <w:p w14:paraId="6A6B1FC6" w14:textId="77777777" w:rsidR="00CB2E14" w:rsidRPr="00882F2F" w:rsidRDefault="00CB2E14" w:rsidP="00CB2E14">
            <w:pPr>
              <w:jc w:val="right"/>
              <w:rPr>
                <w:rFonts w:eastAsia="Times New Roman" w:cstheme="minorHAnsi"/>
                <w:b/>
                <w:bCs/>
                <w:sz w:val="18"/>
                <w:szCs w:val="18"/>
              </w:rPr>
            </w:pPr>
            <w:r w:rsidRPr="00882F2F">
              <w:rPr>
                <w:rFonts w:eastAsia="Times New Roman" w:cstheme="minorHAnsi"/>
                <w:b/>
                <w:bCs/>
                <w:sz w:val="18"/>
                <w:szCs w:val="18"/>
              </w:rPr>
              <w:t>-2</w:t>
            </w:r>
          </w:p>
        </w:tc>
        <w:tc>
          <w:tcPr>
            <w:tcW w:w="1134" w:type="dxa"/>
            <w:noWrap/>
            <w:hideMark/>
          </w:tcPr>
          <w:p w14:paraId="2AAEDC7A" w14:textId="77777777" w:rsidR="00CB2E14" w:rsidRPr="00882F2F" w:rsidRDefault="00CB2E14" w:rsidP="00CB2E14">
            <w:pPr>
              <w:jc w:val="right"/>
              <w:rPr>
                <w:rFonts w:eastAsia="Times New Roman" w:cstheme="minorHAnsi"/>
                <w:b/>
                <w:bCs/>
                <w:sz w:val="18"/>
                <w:szCs w:val="18"/>
              </w:rPr>
            </w:pPr>
            <w:r w:rsidRPr="00882F2F">
              <w:rPr>
                <w:rFonts w:eastAsia="Times New Roman" w:cstheme="minorHAnsi"/>
                <w:b/>
                <w:bCs/>
                <w:sz w:val="18"/>
                <w:szCs w:val="18"/>
              </w:rPr>
              <w:t>-29</w:t>
            </w:r>
          </w:p>
        </w:tc>
        <w:tc>
          <w:tcPr>
            <w:tcW w:w="1276" w:type="dxa"/>
            <w:noWrap/>
            <w:hideMark/>
          </w:tcPr>
          <w:p w14:paraId="114CFD3B" w14:textId="77777777" w:rsidR="00CB2E14" w:rsidRPr="00882F2F" w:rsidRDefault="00CB2E14" w:rsidP="00CB2E14">
            <w:pPr>
              <w:jc w:val="center"/>
              <w:rPr>
                <w:rFonts w:eastAsia="Times New Roman" w:cstheme="minorHAnsi"/>
                <w:b/>
                <w:bCs/>
                <w:sz w:val="18"/>
                <w:szCs w:val="18"/>
              </w:rPr>
            </w:pPr>
            <w:r w:rsidRPr="00882F2F">
              <w:rPr>
                <w:rFonts w:eastAsia="Times New Roman" w:cstheme="minorHAnsi"/>
                <w:b/>
                <w:bCs/>
                <w:sz w:val="18"/>
                <w:szCs w:val="18"/>
              </w:rPr>
              <w:t>1725,8</w:t>
            </w:r>
          </w:p>
        </w:tc>
      </w:tr>
      <w:tr w:rsidR="00CB2E14" w:rsidRPr="00882F2F" w14:paraId="6E4A5525" w14:textId="77777777" w:rsidTr="00CB2E14">
        <w:trPr>
          <w:trHeight w:val="20"/>
        </w:trPr>
        <w:tc>
          <w:tcPr>
            <w:tcW w:w="846" w:type="dxa"/>
            <w:noWrap/>
            <w:hideMark/>
          </w:tcPr>
          <w:p w14:paraId="523674C6" w14:textId="77777777" w:rsidR="00CB2E14" w:rsidRPr="00882F2F" w:rsidRDefault="00CB2E14" w:rsidP="00CB2E14">
            <w:pPr>
              <w:rPr>
                <w:rFonts w:eastAsia="Times New Roman" w:cstheme="minorHAnsi"/>
                <w:sz w:val="18"/>
                <w:szCs w:val="18"/>
              </w:rPr>
            </w:pPr>
            <w:r w:rsidRPr="00882F2F">
              <w:rPr>
                <w:rFonts w:eastAsia="Times New Roman" w:cstheme="minorHAnsi"/>
                <w:sz w:val="18"/>
                <w:szCs w:val="18"/>
              </w:rPr>
              <w:t>2.A</w:t>
            </w:r>
          </w:p>
        </w:tc>
        <w:tc>
          <w:tcPr>
            <w:tcW w:w="4394" w:type="dxa"/>
            <w:noWrap/>
            <w:hideMark/>
          </w:tcPr>
          <w:p w14:paraId="0E2ABC94" w14:textId="77777777" w:rsidR="00CB2E14" w:rsidRPr="00882F2F" w:rsidRDefault="00CB2E14" w:rsidP="00CB2E14">
            <w:pPr>
              <w:ind w:firstLineChars="200" w:firstLine="360"/>
              <w:rPr>
                <w:rFonts w:eastAsia="Times New Roman" w:cstheme="minorHAnsi"/>
                <w:sz w:val="18"/>
                <w:szCs w:val="18"/>
              </w:rPr>
            </w:pPr>
            <w:r w:rsidRPr="00882F2F">
              <w:rPr>
                <w:rFonts w:eastAsia="Times New Roman" w:cstheme="minorHAnsi"/>
                <w:sz w:val="18"/>
                <w:szCs w:val="18"/>
              </w:rPr>
              <w:t>Prihodi</w:t>
            </w:r>
          </w:p>
        </w:tc>
        <w:tc>
          <w:tcPr>
            <w:tcW w:w="1134" w:type="dxa"/>
            <w:noWrap/>
            <w:hideMark/>
          </w:tcPr>
          <w:p w14:paraId="18913BC8" w14:textId="77777777" w:rsidR="00CB2E14" w:rsidRPr="00882F2F" w:rsidRDefault="00CB2E14" w:rsidP="00CB2E14">
            <w:pPr>
              <w:jc w:val="right"/>
              <w:rPr>
                <w:rFonts w:eastAsia="Times New Roman" w:cstheme="minorHAnsi"/>
                <w:b/>
                <w:bCs/>
                <w:sz w:val="18"/>
                <w:szCs w:val="18"/>
              </w:rPr>
            </w:pPr>
            <w:r w:rsidRPr="00882F2F">
              <w:rPr>
                <w:rFonts w:eastAsia="Times New Roman" w:cstheme="minorHAnsi"/>
                <w:b/>
                <w:bCs/>
                <w:sz w:val="18"/>
                <w:szCs w:val="18"/>
              </w:rPr>
              <w:t>0</w:t>
            </w:r>
          </w:p>
        </w:tc>
        <w:tc>
          <w:tcPr>
            <w:tcW w:w="1134" w:type="dxa"/>
            <w:noWrap/>
            <w:hideMark/>
          </w:tcPr>
          <w:p w14:paraId="16AF1C1C" w14:textId="77777777" w:rsidR="00CB2E14" w:rsidRPr="00882F2F" w:rsidRDefault="00CB2E14" w:rsidP="00CB2E14">
            <w:pPr>
              <w:jc w:val="right"/>
              <w:rPr>
                <w:rFonts w:eastAsia="Times New Roman" w:cstheme="minorHAnsi"/>
                <w:b/>
                <w:bCs/>
                <w:sz w:val="18"/>
                <w:szCs w:val="18"/>
              </w:rPr>
            </w:pPr>
            <w:r w:rsidRPr="00882F2F">
              <w:rPr>
                <w:rFonts w:eastAsia="Times New Roman" w:cstheme="minorHAnsi"/>
                <w:b/>
                <w:bCs/>
                <w:sz w:val="18"/>
                <w:szCs w:val="18"/>
              </w:rPr>
              <w:t>0</w:t>
            </w:r>
          </w:p>
        </w:tc>
        <w:tc>
          <w:tcPr>
            <w:tcW w:w="1276" w:type="dxa"/>
            <w:noWrap/>
            <w:hideMark/>
          </w:tcPr>
          <w:p w14:paraId="56D61757" w14:textId="77777777" w:rsidR="00CB2E14" w:rsidRPr="00882F2F" w:rsidRDefault="00CB2E14" w:rsidP="00CB2E14">
            <w:pPr>
              <w:jc w:val="center"/>
              <w:rPr>
                <w:rFonts w:eastAsia="Times New Roman" w:cstheme="minorHAnsi"/>
                <w:sz w:val="18"/>
                <w:szCs w:val="18"/>
              </w:rPr>
            </w:pPr>
            <w:r w:rsidRPr="00882F2F">
              <w:rPr>
                <w:rFonts w:eastAsia="Times New Roman" w:cstheme="minorHAnsi"/>
                <w:sz w:val="18"/>
                <w:szCs w:val="18"/>
              </w:rPr>
              <w:t> </w:t>
            </w:r>
          </w:p>
        </w:tc>
      </w:tr>
      <w:tr w:rsidR="00CB2E14" w:rsidRPr="00882F2F" w14:paraId="413A078C" w14:textId="77777777" w:rsidTr="00CB2E14">
        <w:trPr>
          <w:trHeight w:val="20"/>
        </w:trPr>
        <w:tc>
          <w:tcPr>
            <w:tcW w:w="846" w:type="dxa"/>
            <w:noWrap/>
            <w:hideMark/>
          </w:tcPr>
          <w:p w14:paraId="34B165E7" w14:textId="77777777" w:rsidR="00CB2E14" w:rsidRPr="00882F2F" w:rsidRDefault="00CB2E14" w:rsidP="00CB2E14">
            <w:pPr>
              <w:rPr>
                <w:rFonts w:eastAsia="Times New Roman" w:cstheme="minorHAnsi"/>
                <w:sz w:val="18"/>
                <w:szCs w:val="18"/>
              </w:rPr>
            </w:pPr>
            <w:r w:rsidRPr="00882F2F">
              <w:rPr>
                <w:rFonts w:eastAsia="Times New Roman" w:cstheme="minorHAnsi"/>
                <w:sz w:val="18"/>
                <w:szCs w:val="18"/>
              </w:rPr>
              <w:t>2.B</w:t>
            </w:r>
          </w:p>
        </w:tc>
        <w:tc>
          <w:tcPr>
            <w:tcW w:w="4394" w:type="dxa"/>
            <w:noWrap/>
            <w:hideMark/>
          </w:tcPr>
          <w:p w14:paraId="149F1355" w14:textId="77777777" w:rsidR="00CB2E14" w:rsidRPr="00882F2F" w:rsidRDefault="00CB2E14" w:rsidP="00CB2E14">
            <w:pPr>
              <w:ind w:firstLineChars="200" w:firstLine="360"/>
              <w:rPr>
                <w:rFonts w:eastAsia="Times New Roman" w:cstheme="minorHAnsi"/>
                <w:sz w:val="18"/>
                <w:szCs w:val="18"/>
              </w:rPr>
            </w:pPr>
            <w:r w:rsidRPr="00882F2F">
              <w:rPr>
                <w:rFonts w:eastAsia="Times New Roman" w:cstheme="minorHAnsi"/>
                <w:sz w:val="18"/>
                <w:szCs w:val="18"/>
              </w:rPr>
              <w:t>Rashodi</w:t>
            </w:r>
          </w:p>
        </w:tc>
        <w:tc>
          <w:tcPr>
            <w:tcW w:w="1134" w:type="dxa"/>
            <w:noWrap/>
            <w:hideMark/>
          </w:tcPr>
          <w:p w14:paraId="35B55123" w14:textId="77777777" w:rsidR="00CB2E14" w:rsidRPr="00882F2F" w:rsidRDefault="00CB2E14" w:rsidP="00CB2E14">
            <w:pPr>
              <w:jc w:val="right"/>
              <w:rPr>
                <w:rFonts w:eastAsia="Times New Roman" w:cstheme="minorHAnsi"/>
                <w:b/>
                <w:bCs/>
                <w:sz w:val="18"/>
                <w:szCs w:val="18"/>
              </w:rPr>
            </w:pPr>
            <w:r w:rsidRPr="00882F2F">
              <w:rPr>
                <w:rFonts w:eastAsia="Times New Roman" w:cstheme="minorHAnsi"/>
                <w:b/>
                <w:bCs/>
                <w:sz w:val="18"/>
                <w:szCs w:val="18"/>
              </w:rPr>
              <w:t>2</w:t>
            </w:r>
          </w:p>
        </w:tc>
        <w:tc>
          <w:tcPr>
            <w:tcW w:w="1134" w:type="dxa"/>
            <w:noWrap/>
            <w:hideMark/>
          </w:tcPr>
          <w:p w14:paraId="07F67A78" w14:textId="77777777" w:rsidR="00CB2E14" w:rsidRPr="00882F2F" w:rsidRDefault="00CB2E14" w:rsidP="00CB2E14">
            <w:pPr>
              <w:jc w:val="right"/>
              <w:rPr>
                <w:rFonts w:eastAsia="Times New Roman" w:cstheme="minorHAnsi"/>
                <w:b/>
                <w:bCs/>
                <w:sz w:val="18"/>
                <w:szCs w:val="18"/>
              </w:rPr>
            </w:pPr>
            <w:r w:rsidRPr="00882F2F">
              <w:rPr>
                <w:rFonts w:eastAsia="Times New Roman" w:cstheme="minorHAnsi"/>
                <w:b/>
                <w:bCs/>
                <w:sz w:val="18"/>
                <w:szCs w:val="18"/>
              </w:rPr>
              <w:t>29</w:t>
            </w:r>
          </w:p>
        </w:tc>
        <w:tc>
          <w:tcPr>
            <w:tcW w:w="1276" w:type="dxa"/>
            <w:noWrap/>
            <w:hideMark/>
          </w:tcPr>
          <w:p w14:paraId="15C4FD67" w14:textId="77777777" w:rsidR="00CB2E14" w:rsidRPr="00882F2F" w:rsidRDefault="00CB2E14" w:rsidP="00CB2E14">
            <w:pPr>
              <w:jc w:val="center"/>
              <w:rPr>
                <w:rFonts w:eastAsia="Times New Roman" w:cstheme="minorHAnsi"/>
                <w:sz w:val="18"/>
                <w:szCs w:val="18"/>
              </w:rPr>
            </w:pPr>
            <w:r w:rsidRPr="00882F2F">
              <w:rPr>
                <w:rFonts w:eastAsia="Times New Roman" w:cstheme="minorHAnsi"/>
                <w:sz w:val="18"/>
                <w:szCs w:val="18"/>
              </w:rPr>
              <w:t>1725,8</w:t>
            </w:r>
          </w:p>
        </w:tc>
      </w:tr>
      <w:tr w:rsidR="00CB2E14" w:rsidRPr="00882F2F" w14:paraId="7B6DB8A6" w14:textId="77777777" w:rsidTr="00CB2E14">
        <w:trPr>
          <w:trHeight w:val="20"/>
        </w:trPr>
        <w:tc>
          <w:tcPr>
            <w:tcW w:w="846" w:type="dxa"/>
            <w:hideMark/>
          </w:tcPr>
          <w:p w14:paraId="6A40695D" w14:textId="77777777" w:rsidR="00CB2E14" w:rsidRPr="00882F2F" w:rsidRDefault="00CB2E14" w:rsidP="00CB2E14">
            <w:pPr>
              <w:ind w:firstLineChars="200" w:firstLine="360"/>
              <w:rPr>
                <w:rFonts w:eastAsia="Times New Roman" w:cstheme="minorHAnsi"/>
                <w:sz w:val="18"/>
                <w:szCs w:val="18"/>
              </w:rPr>
            </w:pPr>
            <w:r w:rsidRPr="00882F2F">
              <w:rPr>
                <w:rFonts w:eastAsia="Times New Roman" w:cstheme="minorHAnsi"/>
                <w:sz w:val="18"/>
                <w:szCs w:val="18"/>
              </w:rPr>
              <w:t> </w:t>
            </w:r>
          </w:p>
        </w:tc>
        <w:tc>
          <w:tcPr>
            <w:tcW w:w="4394" w:type="dxa"/>
            <w:hideMark/>
          </w:tcPr>
          <w:p w14:paraId="4416F704" w14:textId="77777777" w:rsidR="00CB2E14" w:rsidRPr="00882F2F" w:rsidRDefault="00CB2E14" w:rsidP="00CB2E14">
            <w:pPr>
              <w:rPr>
                <w:rFonts w:eastAsia="Times New Roman" w:cstheme="minorHAnsi"/>
                <w:b/>
                <w:bCs/>
                <w:sz w:val="18"/>
                <w:szCs w:val="18"/>
              </w:rPr>
            </w:pPr>
            <w:r w:rsidRPr="00882F2F">
              <w:rPr>
                <w:rFonts w:eastAsia="Times New Roman" w:cstheme="minorHAnsi"/>
                <w:b/>
                <w:bCs/>
                <w:sz w:val="18"/>
                <w:szCs w:val="18"/>
              </w:rPr>
              <w:t xml:space="preserve">SALDO TEKUĆEG I KAPITALNOG RAČUNA </w:t>
            </w:r>
          </w:p>
        </w:tc>
        <w:tc>
          <w:tcPr>
            <w:tcW w:w="1134" w:type="dxa"/>
            <w:noWrap/>
            <w:hideMark/>
          </w:tcPr>
          <w:p w14:paraId="400F3350" w14:textId="77777777" w:rsidR="00CB2E14" w:rsidRPr="00882F2F" w:rsidRDefault="00CB2E14" w:rsidP="00CB2E14">
            <w:pPr>
              <w:jc w:val="right"/>
              <w:rPr>
                <w:rFonts w:eastAsia="Times New Roman" w:cstheme="minorHAnsi"/>
                <w:b/>
                <w:bCs/>
                <w:sz w:val="18"/>
                <w:szCs w:val="18"/>
              </w:rPr>
            </w:pPr>
            <w:r w:rsidRPr="00882F2F">
              <w:rPr>
                <w:rFonts w:eastAsia="Times New Roman" w:cstheme="minorHAnsi"/>
                <w:b/>
                <w:bCs/>
                <w:sz w:val="18"/>
                <w:szCs w:val="18"/>
              </w:rPr>
              <w:t>-482.078</w:t>
            </w:r>
          </w:p>
        </w:tc>
        <w:tc>
          <w:tcPr>
            <w:tcW w:w="1134" w:type="dxa"/>
            <w:noWrap/>
            <w:hideMark/>
          </w:tcPr>
          <w:p w14:paraId="22305C41" w14:textId="77777777" w:rsidR="00CB2E14" w:rsidRPr="00882F2F" w:rsidRDefault="00CB2E14" w:rsidP="00CB2E14">
            <w:pPr>
              <w:jc w:val="right"/>
              <w:rPr>
                <w:rFonts w:eastAsia="Times New Roman" w:cstheme="minorHAnsi"/>
                <w:b/>
                <w:bCs/>
                <w:sz w:val="18"/>
                <w:szCs w:val="18"/>
              </w:rPr>
            </w:pPr>
            <w:r w:rsidRPr="00882F2F">
              <w:rPr>
                <w:rFonts w:eastAsia="Times New Roman" w:cstheme="minorHAnsi"/>
                <w:b/>
                <w:bCs/>
                <w:sz w:val="18"/>
                <w:szCs w:val="18"/>
              </w:rPr>
              <w:t>-344.982</w:t>
            </w:r>
          </w:p>
        </w:tc>
        <w:tc>
          <w:tcPr>
            <w:tcW w:w="1276" w:type="dxa"/>
            <w:noWrap/>
            <w:hideMark/>
          </w:tcPr>
          <w:p w14:paraId="344FFB70" w14:textId="77777777" w:rsidR="00CB2E14" w:rsidRPr="00882F2F" w:rsidRDefault="00CB2E14" w:rsidP="00CB2E14">
            <w:pPr>
              <w:jc w:val="center"/>
              <w:rPr>
                <w:rFonts w:eastAsia="Times New Roman" w:cstheme="minorHAnsi"/>
                <w:b/>
                <w:bCs/>
                <w:sz w:val="18"/>
                <w:szCs w:val="18"/>
              </w:rPr>
            </w:pPr>
            <w:r w:rsidRPr="00882F2F">
              <w:rPr>
                <w:rFonts w:eastAsia="Times New Roman" w:cstheme="minorHAnsi"/>
                <w:b/>
                <w:bCs/>
                <w:sz w:val="18"/>
                <w:szCs w:val="18"/>
              </w:rPr>
              <w:t>-28,4</w:t>
            </w:r>
          </w:p>
        </w:tc>
      </w:tr>
      <w:tr w:rsidR="00CB2E14" w:rsidRPr="00882F2F" w14:paraId="5145A9E3" w14:textId="77777777" w:rsidTr="00CB2E14">
        <w:trPr>
          <w:trHeight w:val="20"/>
        </w:trPr>
        <w:tc>
          <w:tcPr>
            <w:tcW w:w="846" w:type="dxa"/>
            <w:noWrap/>
            <w:hideMark/>
          </w:tcPr>
          <w:p w14:paraId="3B51A4A7" w14:textId="77777777" w:rsidR="00CB2E14" w:rsidRPr="00882F2F" w:rsidRDefault="00CB2E14" w:rsidP="00CB2E14">
            <w:pPr>
              <w:rPr>
                <w:rFonts w:eastAsia="Times New Roman" w:cstheme="minorHAnsi"/>
                <w:b/>
                <w:bCs/>
                <w:sz w:val="18"/>
                <w:szCs w:val="18"/>
              </w:rPr>
            </w:pPr>
            <w:r w:rsidRPr="00882F2F">
              <w:rPr>
                <w:rFonts w:eastAsia="Times New Roman" w:cstheme="minorHAnsi"/>
                <w:b/>
                <w:bCs/>
                <w:sz w:val="18"/>
                <w:szCs w:val="18"/>
              </w:rPr>
              <w:t>3</w:t>
            </w:r>
          </w:p>
        </w:tc>
        <w:tc>
          <w:tcPr>
            <w:tcW w:w="4394" w:type="dxa"/>
            <w:noWrap/>
            <w:hideMark/>
          </w:tcPr>
          <w:p w14:paraId="46266752" w14:textId="77777777" w:rsidR="00CB2E14" w:rsidRPr="00882F2F" w:rsidRDefault="00CB2E14" w:rsidP="00CB2E14">
            <w:pPr>
              <w:rPr>
                <w:rFonts w:eastAsia="Times New Roman" w:cstheme="minorHAnsi"/>
                <w:b/>
                <w:bCs/>
                <w:sz w:val="18"/>
                <w:szCs w:val="18"/>
              </w:rPr>
            </w:pPr>
            <w:r w:rsidRPr="00882F2F">
              <w:rPr>
                <w:rFonts w:eastAsia="Times New Roman" w:cstheme="minorHAnsi"/>
                <w:b/>
                <w:bCs/>
                <w:sz w:val="18"/>
                <w:szCs w:val="18"/>
              </w:rPr>
              <w:t xml:space="preserve">FINANSIJSKI RAČUN, neto </w:t>
            </w:r>
          </w:p>
        </w:tc>
        <w:tc>
          <w:tcPr>
            <w:tcW w:w="1134" w:type="dxa"/>
            <w:noWrap/>
            <w:hideMark/>
          </w:tcPr>
          <w:p w14:paraId="4A5687A9" w14:textId="77777777" w:rsidR="00CB2E14" w:rsidRPr="00882F2F" w:rsidRDefault="00CB2E14" w:rsidP="00CB2E14">
            <w:pPr>
              <w:jc w:val="right"/>
              <w:rPr>
                <w:rFonts w:eastAsia="Times New Roman" w:cstheme="minorHAnsi"/>
                <w:b/>
                <w:bCs/>
                <w:sz w:val="18"/>
                <w:szCs w:val="18"/>
              </w:rPr>
            </w:pPr>
            <w:r w:rsidRPr="00882F2F">
              <w:rPr>
                <w:rFonts w:eastAsia="Times New Roman" w:cstheme="minorHAnsi"/>
                <w:b/>
                <w:bCs/>
                <w:sz w:val="18"/>
                <w:szCs w:val="18"/>
              </w:rPr>
              <w:t>-5.366</w:t>
            </w:r>
          </w:p>
        </w:tc>
        <w:tc>
          <w:tcPr>
            <w:tcW w:w="1134" w:type="dxa"/>
            <w:noWrap/>
            <w:hideMark/>
          </w:tcPr>
          <w:p w14:paraId="749F342F" w14:textId="77777777" w:rsidR="00CB2E14" w:rsidRPr="00882F2F" w:rsidRDefault="00CB2E14" w:rsidP="00CB2E14">
            <w:pPr>
              <w:jc w:val="right"/>
              <w:rPr>
                <w:rFonts w:eastAsia="Times New Roman" w:cstheme="minorHAnsi"/>
                <w:b/>
                <w:bCs/>
                <w:sz w:val="18"/>
                <w:szCs w:val="18"/>
              </w:rPr>
            </w:pPr>
            <w:r w:rsidRPr="00882F2F">
              <w:rPr>
                <w:rFonts w:eastAsia="Times New Roman" w:cstheme="minorHAnsi"/>
                <w:b/>
                <w:bCs/>
                <w:sz w:val="18"/>
                <w:szCs w:val="18"/>
              </w:rPr>
              <w:t>170.397</w:t>
            </w:r>
          </w:p>
        </w:tc>
        <w:tc>
          <w:tcPr>
            <w:tcW w:w="1276" w:type="dxa"/>
            <w:noWrap/>
            <w:hideMark/>
          </w:tcPr>
          <w:p w14:paraId="1AA1EE74" w14:textId="77777777" w:rsidR="00CB2E14" w:rsidRPr="00882F2F" w:rsidRDefault="00CB2E14" w:rsidP="00CB2E14">
            <w:pPr>
              <w:jc w:val="center"/>
              <w:rPr>
                <w:rFonts w:eastAsia="Times New Roman" w:cstheme="minorHAnsi"/>
                <w:b/>
                <w:bCs/>
                <w:sz w:val="18"/>
                <w:szCs w:val="18"/>
              </w:rPr>
            </w:pPr>
            <w:r w:rsidRPr="00882F2F">
              <w:rPr>
                <w:rFonts w:eastAsia="Times New Roman" w:cstheme="minorHAnsi"/>
                <w:b/>
                <w:bCs/>
                <w:sz w:val="18"/>
                <w:szCs w:val="18"/>
              </w:rPr>
              <w:t> </w:t>
            </w:r>
          </w:p>
        </w:tc>
      </w:tr>
      <w:tr w:rsidR="00CB2E14" w:rsidRPr="00882F2F" w14:paraId="4E2F995A" w14:textId="77777777" w:rsidTr="00CB2E14">
        <w:trPr>
          <w:trHeight w:val="20"/>
        </w:trPr>
        <w:tc>
          <w:tcPr>
            <w:tcW w:w="846" w:type="dxa"/>
            <w:hideMark/>
          </w:tcPr>
          <w:p w14:paraId="789349D2" w14:textId="77777777" w:rsidR="00CB2E14" w:rsidRPr="00882F2F" w:rsidRDefault="00CB2E14" w:rsidP="00CB2E14">
            <w:pPr>
              <w:ind w:firstLineChars="100" w:firstLine="180"/>
              <w:rPr>
                <w:rFonts w:eastAsia="Times New Roman" w:cstheme="minorHAnsi"/>
                <w:b/>
                <w:bCs/>
                <w:sz w:val="18"/>
                <w:szCs w:val="18"/>
              </w:rPr>
            </w:pPr>
            <w:r w:rsidRPr="00882F2F">
              <w:rPr>
                <w:rFonts w:eastAsia="Times New Roman" w:cstheme="minorHAnsi"/>
                <w:b/>
                <w:bCs/>
                <w:sz w:val="18"/>
                <w:szCs w:val="18"/>
              </w:rPr>
              <w:t>3.A</w:t>
            </w:r>
          </w:p>
        </w:tc>
        <w:tc>
          <w:tcPr>
            <w:tcW w:w="4394" w:type="dxa"/>
            <w:hideMark/>
          </w:tcPr>
          <w:p w14:paraId="4583EDC2" w14:textId="77777777" w:rsidR="00CB2E14" w:rsidRPr="00882F2F" w:rsidRDefault="00CB2E14" w:rsidP="00CB2E14">
            <w:pPr>
              <w:ind w:firstLineChars="200" w:firstLine="360"/>
              <w:rPr>
                <w:rFonts w:eastAsia="Times New Roman" w:cstheme="minorHAnsi"/>
                <w:sz w:val="18"/>
                <w:szCs w:val="18"/>
              </w:rPr>
            </w:pPr>
            <w:r w:rsidRPr="00882F2F">
              <w:rPr>
                <w:rFonts w:eastAsia="Times New Roman" w:cstheme="minorHAnsi"/>
                <w:sz w:val="18"/>
                <w:szCs w:val="18"/>
              </w:rPr>
              <w:t xml:space="preserve">Neto povećanje finansijske aktive </w:t>
            </w:r>
          </w:p>
        </w:tc>
        <w:tc>
          <w:tcPr>
            <w:tcW w:w="1134" w:type="dxa"/>
            <w:noWrap/>
            <w:hideMark/>
          </w:tcPr>
          <w:p w14:paraId="7144F7AD" w14:textId="77777777" w:rsidR="00CB2E14" w:rsidRPr="00882F2F" w:rsidRDefault="00CB2E14" w:rsidP="00CB2E14">
            <w:pPr>
              <w:jc w:val="right"/>
              <w:rPr>
                <w:rFonts w:eastAsia="Times New Roman" w:cstheme="minorHAnsi"/>
                <w:b/>
                <w:bCs/>
                <w:sz w:val="18"/>
                <w:szCs w:val="18"/>
              </w:rPr>
            </w:pPr>
            <w:r w:rsidRPr="00882F2F">
              <w:rPr>
                <w:rFonts w:eastAsia="Times New Roman" w:cstheme="minorHAnsi"/>
                <w:b/>
                <w:bCs/>
                <w:sz w:val="18"/>
                <w:szCs w:val="18"/>
              </w:rPr>
              <w:t>486.126</w:t>
            </w:r>
          </w:p>
        </w:tc>
        <w:tc>
          <w:tcPr>
            <w:tcW w:w="1134" w:type="dxa"/>
            <w:noWrap/>
            <w:hideMark/>
          </w:tcPr>
          <w:p w14:paraId="7DDE9DA2" w14:textId="77777777" w:rsidR="00CB2E14" w:rsidRPr="00882F2F" w:rsidRDefault="00CB2E14" w:rsidP="00CB2E14">
            <w:pPr>
              <w:jc w:val="right"/>
              <w:rPr>
                <w:rFonts w:eastAsia="Times New Roman" w:cstheme="minorHAnsi"/>
                <w:b/>
                <w:bCs/>
                <w:sz w:val="18"/>
                <w:szCs w:val="18"/>
              </w:rPr>
            </w:pPr>
            <w:r w:rsidRPr="00882F2F">
              <w:rPr>
                <w:rFonts w:eastAsia="Times New Roman" w:cstheme="minorHAnsi"/>
                <w:b/>
                <w:bCs/>
                <w:sz w:val="18"/>
                <w:szCs w:val="18"/>
              </w:rPr>
              <w:t>349.156</w:t>
            </w:r>
          </w:p>
        </w:tc>
        <w:tc>
          <w:tcPr>
            <w:tcW w:w="1276" w:type="dxa"/>
            <w:noWrap/>
            <w:hideMark/>
          </w:tcPr>
          <w:p w14:paraId="60523E5F" w14:textId="77777777" w:rsidR="00CB2E14" w:rsidRPr="00882F2F" w:rsidRDefault="00CB2E14" w:rsidP="00CB2E14">
            <w:pPr>
              <w:jc w:val="center"/>
              <w:rPr>
                <w:rFonts w:eastAsia="Times New Roman" w:cstheme="minorHAnsi"/>
                <w:b/>
                <w:bCs/>
                <w:sz w:val="18"/>
                <w:szCs w:val="18"/>
              </w:rPr>
            </w:pPr>
            <w:r w:rsidRPr="00882F2F">
              <w:rPr>
                <w:rFonts w:eastAsia="Times New Roman" w:cstheme="minorHAnsi"/>
                <w:b/>
                <w:bCs/>
                <w:sz w:val="18"/>
                <w:szCs w:val="18"/>
              </w:rPr>
              <w:t>-28,2</w:t>
            </w:r>
          </w:p>
        </w:tc>
      </w:tr>
      <w:tr w:rsidR="00CB2E14" w:rsidRPr="00882F2F" w14:paraId="350666DB" w14:textId="77777777" w:rsidTr="00CB2E14">
        <w:trPr>
          <w:trHeight w:val="20"/>
        </w:trPr>
        <w:tc>
          <w:tcPr>
            <w:tcW w:w="846" w:type="dxa"/>
            <w:hideMark/>
          </w:tcPr>
          <w:p w14:paraId="131AFF8B" w14:textId="77777777" w:rsidR="00CB2E14" w:rsidRPr="00882F2F" w:rsidRDefault="00CB2E14" w:rsidP="00CB2E14">
            <w:pPr>
              <w:ind w:firstLineChars="100" w:firstLine="180"/>
              <w:rPr>
                <w:rFonts w:eastAsia="Times New Roman" w:cstheme="minorHAnsi"/>
                <w:b/>
                <w:bCs/>
                <w:sz w:val="18"/>
                <w:szCs w:val="18"/>
              </w:rPr>
            </w:pPr>
            <w:r w:rsidRPr="00882F2F">
              <w:rPr>
                <w:rFonts w:eastAsia="Times New Roman" w:cstheme="minorHAnsi"/>
                <w:b/>
                <w:bCs/>
                <w:sz w:val="18"/>
                <w:szCs w:val="18"/>
              </w:rPr>
              <w:t>3.B</w:t>
            </w:r>
          </w:p>
        </w:tc>
        <w:tc>
          <w:tcPr>
            <w:tcW w:w="4394" w:type="dxa"/>
            <w:hideMark/>
          </w:tcPr>
          <w:p w14:paraId="0DCA35EA" w14:textId="77777777" w:rsidR="00CB2E14" w:rsidRPr="00882F2F" w:rsidRDefault="00CB2E14" w:rsidP="00CB2E14">
            <w:pPr>
              <w:ind w:firstLineChars="200" w:firstLine="360"/>
              <w:rPr>
                <w:rFonts w:eastAsia="Times New Roman" w:cstheme="minorHAnsi"/>
                <w:sz w:val="18"/>
                <w:szCs w:val="18"/>
              </w:rPr>
            </w:pPr>
            <w:r w:rsidRPr="00882F2F">
              <w:rPr>
                <w:rFonts w:eastAsia="Times New Roman" w:cstheme="minorHAnsi"/>
                <w:sz w:val="18"/>
                <w:szCs w:val="18"/>
              </w:rPr>
              <w:t xml:space="preserve">Neto povećanje obaveza </w:t>
            </w:r>
          </w:p>
        </w:tc>
        <w:tc>
          <w:tcPr>
            <w:tcW w:w="1134" w:type="dxa"/>
            <w:noWrap/>
            <w:hideMark/>
          </w:tcPr>
          <w:p w14:paraId="21831140" w14:textId="77777777" w:rsidR="00CB2E14" w:rsidRPr="00882F2F" w:rsidRDefault="00CB2E14" w:rsidP="00CB2E14">
            <w:pPr>
              <w:jc w:val="right"/>
              <w:rPr>
                <w:rFonts w:eastAsia="Times New Roman" w:cstheme="minorHAnsi"/>
                <w:b/>
                <w:bCs/>
                <w:sz w:val="18"/>
                <w:szCs w:val="18"/>
              </w:rPr>
            </w:pPr>
            <w:r w:rsidRPr="00882F2F">
              <w:rPr>
                <w:rFonts w:eastAsia="Times New Roman" w:cstheme="minorHAnsi"/>
                <w:b/>
                <w:bCs/>
                <w:sz w:val="18"/>
                <w:szCs w:val="18"/>
              </w:rPr>
              <w:t>491.492</w:t>
            </w:r>
          </w:p>
        </w:tc>
        <w:tc>
          <w:tcPr>
            <w:tcW w:w="1134" w:type="dxa"/>
            <w:noWrap/>
            <w:hideMark/>
          </w:tcPr>
          <w:p w14:paraId="3C39836A" w14:textId="77777777" w:rsidR="00CB2E14" w:rsidRPr="00882F2F" w:rsidRDefault="00CB2E14" w:rsidP="00CB2E14">
            <w:pPr>
              <w:jc w:val="right"/>
              <w:rPr>
                <w:rFonts w:eastAsia="Times New Roman" w:cstheme="minorHAnsi"/>
                <w:b/>
                <w:bCs/>
                <w:sz w:val="18"/>
                <w:szCs w:val="18"/>
              </w:rPr>
            </w:pPr>
            <w:r w:rsidRPr="00882F2F">
              <w:rPr>
                <w:rFonts w:eastAsia="Times New Roman" w:cstheme="minorHAnsi"/>
                <w:b/>
                <w:bCs/>
                <w:sz w:val="18"/>
                <w:szCs w:val="18"/>
              </w:rPr>
              <w:t>178.759</w:t>
            </w:r>
          </w:p>
        </w:tc>
        <w:tc>
          <w:tcPr>
            <w:tcW w:w="1276" w:type="dxa"/>
            <w:noWrap/>
            <w:hideMark/>
          </w:tcPr>
          <w:p w14:paraId="05735812" w14:textId="77777777" w:rsidR="00CB2E14" w:rsidRPr="00882F2F" w:rsidRDefault="00CB2E14" w:rsidP="00CB2E14">
            <w:pPr>
              <w:jc w:val="center"/>
              <w:rPr>
                <w:rFonts w:eastAsia="Times New Roman" w:cstheme="minorHAnsi"/>
                <w:b/>
                <w:bCs/>
                <w:sz w:val="18"/>
                <w:szCs w:val="18"/>
              </w:rPr>
            </w:pPr>
            <w:r w:rsidRPr="00882F2F">
              <w:rPr>
                <w:rFonts w:eastAsia="Times New Roman" w:cstheme="minorHAnsi"/>
                <w:b/>
                <w:bCs/>
                <w:sz w:val="18"/>
                <w:szCs w:val="18"/>
              </w:rPr>
              <w:t>-63,6</w:t>
            </w:r>
          </w:p>
        </w:tc>
      </w:tr>
      <w:tr w:rsidR="00CB2E14" w:rsidRPr="00882F2F" w14:paraId="497A08DD" w14:textId="77777777" w:rsidTr="00CB2E14">
        <w:trPr>
          <w:trHeight w:val="20"/>
        </w:trPr>
        <w:tc>
          <w:tcPr>
            <w:tcW w:w="846" w:type="dxa"/>
            <w:noWrap/>
            <w:hideMark/>
          </w:tcPr>
          <w:p w14:paraId="51A4C1DD" w14:textId="77777777" w:rsidR="00CB2E14" w:rsidRPr="00882F2F" w:rsidRDefault="00CB2E14" w:rsidP="00CB2E14">
            <w:pPr>
              <w:rPr>
                <w:rFonts w:eastAsia="Times New Roman" w:cstheme="minorHAnsi"/>
                <w:b/>
                <w:bCs/>
                <w:sz w:val="18"/>
                <w:szCs w:val="18"/>
              </w:rPr>
            </w:pPr>
            <w:r w:rsidRPr="00882F2F">
              <w:rPr>
                <w:rFonts w:eastAsia="Times New Roman" w:cstheme="minorHAnsi"/>
                <w:b/>
                <w:bCs/>
                <w:sz w:val="18"/>
                <w:szCs w:val="18"/>
              </w:rPr>
              <w:t>3.1</w:t>
            </w:r>
          </w:p>
        </w:tc>
        <w:tc>
          <w:tcPr>
            <w:tcW w:w="4394" w:type="dxa"/>
            <w:hideMark/>
          </w:tcPr>
          <w:p w14:paraId="38AE211D" w14:textId="77777777" w:rsidR="00CB2E14" w:rsidRPr="00882F2F" w:rsidRDefault="00CB2E14" w:rsidP="00CB2E14">
            <w:pPr>
              <w:ind w:firstLineChars="100" w:firstLine="180"/>
              <w:rPr>
                <w:rFonts w:eastAsia="Times New Roman" w:cstheme="minorHAnsi"/>
                <w:b/>
                <w:bCs/>
                <w:sz w:val="18"/>
                <w:szCs w:val="18"/>
              </w:rPr>
            </w:pPr>
            <w:r w:rsidRPr="00882F2F">
              <w:rPr>
                <w:rFonts w:eastAsia="Times New Roman" w:cstheme="minorHAnsi"/>
                <w:b/>
                <w:bCs/>
                <w:sz w:val="18"/>
                <w:szCs w:val="18"/>
              </w:rPr>
              <w:t xml:space="preserve">Direktne investicije, neto </w:t>
            </w:r>
          </w:p>
        </w:tc>
        <w:tc>
          <w:tcPr>
            <w:tcW w:w="1134" w:type="dxa"/>
            <w:noWrap/>
            <w:hideMark/>
          </w:tcPr>
          <w:p w14:paraId="0B39299C" w14:textId="77777777" w:rsidR="00CB2E14" w:rsidRPr="00882F2F" w:rsidRDefault="00CB2E14" w:rsidP="00CB2E14">
            <w:pPr>
              <w:jc w:val="right"/>
              <w:rPr>
                <w:rFonts w:eastAsia="Times New Roman" w:cstheme="minorHAnsi"/>
                <w:b/>
                <w:bCs/>
                <w:sz w:val="18"/>
                <w:szCs w:val="18"/>
              </w:rPr>
            </w:pPr>
            <w:r w:rsidRPr="00882F2F">
              <w:rPr>
                <w:rFonts w:eastAsia="Times New Roman" w:cstheme="minorHAnsi"/>
                <w:b/>
                <w:bCs/>
                <w:sz w:val="18"/>
                <w:szCs w:val="18"/>
              </w:rPr>
              <w:t>-606.014</w:t>
            </w:r>
          </w:p>
        </w:tc>
        <w:tc>
          <w:tcPr>
            <w:tcW w:w="1134" w:type="dxa"/>
            <w:noWrap/>
            <w:hideMark/>
          </w:tcPr>
          <w:p w14:paraId="2AFDF182" w14:textId="77777777" w:rsidR="00CB2E14" w:rsidRPr="00882F2F" w:rsidRDefault="00CB2E14" w:rsidP="00CB2E14">
            <w:pPr>
              <w:jc w:val="right"/>
              <w:rPr>
                <w:rFonts w:eastAsia="Times New Roman" w:cstheme="minorHAnsi"/>
                <w:b/>
                <w:bCs/>
                <w:sz w:val="18"/>
                <w:szCs w:val="18"/>
              </w:rPr>
            </w:pPr>
            <w:r w:rsidRPr="00882F2F">
              <w:rPr>
                <w:rFonts w:eastAsia="Times New Roman" w:cstheme="minorHAnsi"/>
                <w:b/>
                <w:bCs/>
                <w:sz w:val="18"/>
                <w:szCs w:val="18"/>
              </w:rPr>
              <w:t>-320.366</w:t>
            </w:r>
          </w:p>
        </w:tc>
        <w:tc>
          <w:tcPr>
            <w:tcW w:w="1276" w:type="dxa"/>
            <w:noWrap/>
            <w:hideMark/>
          </w:tcPr>
          <w:p w14:paraId="6B26C5AA" w14:textId="77777777" w:rsidR="00CB2E14" w:rsidRPr="00882F2F" w:rsidRDefault="00CB2E14" w:rsidP="00CB2E14">
            <w:pPr>
              <w:jc w:val="center"/>
              <w:rPr>
                <w:rFonts w:eastAsia="Times New Roman" w:cstheme="minorHAnsi"/>
                <w:b/>
                <w:bCs/>
                <w:sz w:val="18"/>
                <w:szCs w:val="18"/>
              </w:rPr>
            </w:pPr>
            <w:r w:rsidRPr="00882F2F">
              <w:rPr>
                <w:rFonts w:eastAsia="Times New Roman" w:cstheme="minorHAnsi"/>
                <w:b/>
                <w:bCs/>
                <w:sz w:val="18"/>
                <w:szCs w:val="18"/>
              </w:rPr>
              <w:t>-47,1</w:t>
            </w:r>
          </w:p>
        </w:tc>
      </w:tr>
      <w:tr w:rsidR="00CB2E14" w:rsidRPr="00882F2F" w14:paraId="0D9538EE" w14:textId="77777777" w:rsidTr="00CB2E14">
        <w:trPr>
          <w:trHeight w:val="20"/>
        </w:trPr>
        <w:tc>
          <w:tcPr>
            <w:tcW w:w="846" w:type="dxa"/>
            <w:noWrap/>
            <w:hideMark/>
          </w:tcPr>
          <w:p w14:paraId="69B2D4BC" w14:textId="77777777" w:rsidR="00CB2E14" w:rsidRPr="00882F2F" w:rsidRDefault="00CB2E14" w:rsidP="00CB2E14">
            <w:pPr>
              <w:rPr>
                <w:rFonts w:eastAsia="Times New Roman" w:cstheme="minorHAnsi"/>
                <w:b/>
                <w:bCs/>
                <w:sz w:val="18"/>
                <w:szCs w:val="18"/>
              </w:rPr>
            </w:pPr>
            <w:r w:rsidRPr="00882F2F">
              <w:rPr>
                <w:rFonts w:eastAsia="Times New Roman" w:cstheme="minorHAnsi"/>
                <w:b/>
                <w:bCs/>
                <w:sz w:val="18"/>
                <w:szCs w:val="18"/>
              </w:rPr>
              <w:t>3.2</w:t>
            </w:r>
          </w:p>
        </w:tc>
        <w:tc>
          <w:tcPr>
            <w:tcW w:w="4394" w:type="dxa"/>
            <w:hideMark/>
          </w:tcPr>
          <w:p w14:paraId="0C9810F5" w14:textId="77777777" w:rsidR="00CB2E14" w:rsidRPr="00882F2F" w:rsidRDefault="00CB2E14" w:rsidP="00CB2E14">
            <w:pPr>
              <w:ind w:firstLineChars="100" w:firstLine="180"/>
              <w:rPr>
                <w:rFonts w:eastAsia="Times New Roman" w:cstheme="minorHAnsi"/>
                <w:b/>
                <w:bCs/>
                <w:sz w:val="18"/>
                <w:szCs w:val="18"/>
              </w:rPr>
            </w:pPr>
            <w:r w:rsidRPr="00882F2F">
              <w:rPr>
                <w:rFonts w:eastAsia="Times New Roman" w:cstheme="minorHAnsi"/>
                <w:b/>
                <w:bCs/>
                <w:sz w:val="18"/>
                <w:szCs w:val="18"/>
              </w:rPr>
              <w:t xml:space="preserve">Portfolio investicije, neto </w:t>
            </w:r>
          </w:p>
        </w:tc>
        <w:tc>
          <w:tcPr>
            <w:tcW w:w="1134" w:type="dxa"/>
            <w:noWrap/>
            <w:hideMark/>
          </w:tcPr>
          <w:p w14:paraId="40CF469E" w14:textId="77777777" w:rsidR="00CB2E14" w:rsidRPr="00882F2F" w:rsidRDefault="00CB2E14" w:rsidP="00CB2E14">
            <w:pPr>
              <w:jc w:val="right"/>
              <w:rPr>
                <w:rFonts w:eastAsia="Times New Roman" w:cstheme="minorHAnsi"/>
                <w:b/>
                <w:bCs/>
                <w:sz w:val="18"/>
                <w:szCs w:val="18"/>
              </w:rPr>
            </w:pPr>
            <w:r w:rsidRPr="00882F2F">
              <w:rPr>
                <w:rFonts w:eastAsia="Times New Roman" w:cstheme="minorHAnsi"/>
                <w:b/>
                <w:bCs/>
                <w:sz w:val="18"/>
                <w:szCs w:val="18"/>
              </w:rPr>
              <w:t>103.322</w:t>
            </w:r>
          </w:p>
        </w:tc>
        <w:tc>
          <w:tcPr>
            <w:tcW w:w="1134" w:type="dxa"/>
            <w:noWrap/>
            <w:hideMark/>
          </w:tcPr>
          <w:p w14:paraId="6AD4FD67" w14:textId="77777777" w:rsidR="00CB2E14" w:rsidRPr="00882F2F" w:rsidRDefault="00CB2E14" w:rsidP="00CB2E14">
            <w:pPr>
              <w:jc w:val="right"/>
              <w:rPr>
                <w:rFonts w:eastAsia="Times New Roman" w:cstheme="minorHAnsi"/>
                <w:b/>
                <w:bCs/>
                <w:sz w:val="18"/>
                <w:szCs w:val="18"/>
              </w:rPr>
            </w:pPr>
            <w:r w:rsidRPr="00882F2F">
              <w:rPr>
                <w:rFonts w:eastAsia="Times New Roman" w:cstheme="minorHAnsi"/>
                <w:b/>
                <w:bCs/>
                <w:sz w:val="18"/>
                <w:szCs w:val="18"/>
              </w:rPr>
              <w:t>388.915</w:t>
            </w:r>
          </w:p>
        </w:tc>
        <w:tc>
          <w:tcPr>
            <w:tcW w:w="1276" w:type="dxa"/>
            <w:noWrap/>
            <w:hideMark/>
          </w:tcPr>
          <w:p w14:paraId="080A48BD" w14:textId="77777777" w:rsidR="00CB2E14" w:rsidRPr="00882F2F" w:rsidRDefault="00CB2E14" w:rsidP="00CB2E14">
            <w:pPr>
              <w:jc w:val="center"/>
              <w:rPr>
                <w:rFonts w:eastAsia="Times New Roman" w:cstheme="minorHAnsi"/>
                <w:b/>
                <w:bCs/>
                <w:sz w:val="18"/>
                <w:szCs w:val="18"/>
              </w:rPr>
            </w:pPr>
            <w:r w:rsidRPr="00882F2F">
              <w:rPr>
                <w:rFonts w:eastAsia="Times New Roman" w:cstheme="minorHAnsi"/>
                <w:b/>
                <w:bCs/>
                <w:sz w:val="18"/>
                <w:szCs w:val="18"/>
              </w:rPr>
              <w:t>276,4</w:t>
            </w:r>
          </w:p>
        </w:tc>
      </w:tr>
      <w:tr w:rsidR="00CB2E14" w:rsidRPr="00882F2F" w14:paraId="4CBC0FE8" w14:textId="77777777" w:rsidTr="00CB2E14">
        <w:trPr>
          <w:trHeight w:val="20"/>
        </w:trPr>
        <w:tc>
          <w:tcPr>
            <w:tcW w:w="846" w:type="dxa"/>
            <w:noWrap/>
            <w:hideMark/>
          </w:tcPr>
          <w:p w14:paraId="30B5B3C4" w14:textId="77777777" w:rsidR="00CB2E14" w:rsidRPr="00882F2F" w:rsidRDefault="00CB2E14" w:rsidP="00CB2E14">
            <w:pPr>
              <w:rPr>
                <w:rFonts w:eastAsia="Times New Roman" w:cstheme="minorHAnsi"/>
                <w:b/>
                <w:bCs/>
                <w:sz w:val="18"/>
                <w:szCs w:val="18"/>
              </w:rPr>
            </w:pPr>
            <w:r w:rsidRPr="00882F2F">
              <w:rPr>
                <w:rFonts w:eastAsia="Times New Roman" w:cstheme="minorHAnsi"/>
                <w:b/>
                <w:bCs/>
                <w:sz w:val="18"/>
                <w:szCs w:val="18"/>
              </w:rPr>
              <w:t xml:space="preserve">3.3 </w:t>
            </w:r>
          </w:p>
        </w:tc>
        <w:tc>
          <w:tcPr>
            <w:tcW w:w="4394" w:type="dxa"/>
            <w:hideMark/>
          </w:tcPr>
          <w:p w14:paraId="45BE2D9C" w14:textId="77777777" w:rsidR="00CB2E14" w:rsidRPr="00882F2F" w:rsidRDefault="00CB2E14" w:rsidP="00CB2E14">
            <w:pPr>
              <w:ind w:firstLineChars="100" w:firstLine="180"/>
              <w:rPr>
                <w:rFonts w:eastAsia="Times New Roman" w:cstheme="minorHAnsi"/>
                <w:b/>
                <w:bCs/>
                <w:sz w:val="18"/>
                <w:szCs w:val="18"/>
              </w:rPr>
            </w:pPr>
            <w:r w:rsidRPr="00882F2F">
              <w:rPr>
                <w:rFonts w:eastAsia="Times New Roman" w:cstheme="minorHAnsi"/>
                <w:b/>
                <w:bCs/>
                <w:sz w:val="18"/>
                <w:szCs w:val="18"/>
              </w:rPr>
              <w:t xml:space="preserve">Finansijski derivati, neto </w:t>
            </w:r>
          </w:p>
        </w:tc>
        <w:tc>
          <w:tcPr>
            <w:tcW w:w="1134" w:type="dxa"/>
            <w:noWrap/>
            <w:hideMark/>
          </w:tcPr>
          <w:p w14:paraId="2BE8977C" w14:textId="77777777" w:rsidR="00CB2E14" w:rsidRPr="00882F2F" w:rsidRDefault="00CB2E14" w:rsidP="00CB2E14">
            <w:pPr>
              <w:jc w:val="right"/>
              <w:rPr>
                <w:rFonts w:eastAsia="Times New Roman" w:cstheme="minorHAnsi"/>
                <w:b/>
                <w:bCs/>
                <w:sz w:val="18"/>
                <w:szCs w:val="18"/>
              </w:rPr>
            </w:pPr>
            <w:r w:rsidRPr="00882F2F">
              <w:rPr>
                <w:rFonts w:eastAsia="Times New Roman" w:cstheme="minorHAnsi"/>
                <w:b/>
                <w:bCs/>
                <w:sz w:val="18"/>
                <w:szCs w:val="18"/>
              </w:rPr>
              <w:t>-13.863</w:t>
            </w:r>
          </w:p>
        </w:tc>
        <w:tc>
          <w:tcPr>
            <w:tcW w:w="1134" w:type="dxa"/>
            <w:noWrap/>
            <w:hideMark/>
          </w:tcPr>
          <w:p w14:paraId="15083369" w14:textId="77777777" w:rsidR="00CB2E14" w:rsidRPr="00882F2F" w:rsidRDefault="00CB2E14" w:rsidP="00CB2E14">
            <w:pPr>
              <w:jc w:val="right"/>
              <w:rPr>
                <w:rFonts w:eastAsia="Times New Roman" w:cstheme="minorHAnsi"/>
                <w:b/>
                <w:bCs/>
                <w:sz w:val="18"/>
                <w:szCs w:val="18"/>
              </w:rPr>
            </w:pPr>
            <w:r w:rsidRPr="00882F2F">
              <w:rPr>
                <w:rFonts w:eastAsia="Times New Roman" w:cstheme="minorHAnsi"/>
                <w:b/>
                <w:bCs/>
                <w:sz w:val="18"/>
                <w:szCs w:val="18"/>
              </w:rPr>
              <w:t>-66.235</w:t>
            </w:r>
          </w:p>
        </w:tc>
        <w:tc>
          <w:tcPr>
            <w:tcW w:w="1276" w:type="dxa"/>
            <w:noWrap/>
            <w:hideMark/>
          </w:tcPr>
          <w:p w14:paraId="76A901EE" w14:textId="77777777" w:rsidR="00CB2E14" w:rsidRPr="00882F2F" w:rsidRDefault="00CB2E14" w:rsidP="00CB2E14">
            <w:pPr>
              <w:jc w:val="center"/>
              <w:rPr>
                <w:rFonts w:eastAsia="Times New Roman" w:cstheme="minorHAnsi"/>
                <w:b/>
                <w:bCs/>
                <w:sz w:val="18"/>
                <w:szCs w:val="18"/>
              </w:rPr>
            </w:pPr>
            <w:r w:rsidRPr="00882F2F">
              <w:rPr>
                <w:rFonts w:eastAsia="Times New Roman" w:cstheme="minorHAnsi"/>
                <w:b/>
                <w:bCs/>
                <w:sz w:val="18"/>
                <w:szCs w:val="18"/>
              </w:rPr>
              <w:t>377,8</w:t>
            </w:r>
          </w:p>
        </w:tc>
      </w:tr>
      <w:tr w:rsidR="00CB2E14" w:rsidRPr="00882F2F" w14:paraId="0F0CBBBF" w14:textId="77777777" w:rsidTr="00CB2E14">
        <w:trPr>
          <w:trHeight w:val="20"/>
        </w:trPr>
        <w:tc>
          <w:tcPr>
            <w:tcW w:w="846" w:type="dxa"/>
            <w:noWrap/>
            <w:hideMark/>
          </w:tcPr>
          <w:p w14:paraId="65BB0847" w14:textId="77777777" w:rsidR="00CB2E14" w:rsidRPr="00882F2F" w:rsidRDefault="00CB2E14" w:rsidP="00CB2E14">
            <w:pPr>
              <w:rPr>
                <w:rFonts w:eastAsia="Times New Roman" w:cstheme="minorHAnsi"/>
                <w:b/>
                <w:bCs/>
                <w:sz w:val="18"/>
                <w:szCs w:val="18"/>
              </w:rPr>
            </w:pPr>
            <w:r w:rsidRPr="00882F2F">
              <w:rPr>
                <w:rFonts w:eastAsia="Times New Roman" w:cstheme="minorHAnsi"/>
                <w:b/>
                <w:bCs/>
                <w:sz w:val="18"/>
                <w:szCs w:val="18"/>
              </w:rPr>
              <w:t xml:space="preserve">3.4 </w:t>
            </w:r>
          </w:p>
        </w:tc>
        <w:tc>
          <w:tcPr>
            <w:tcW w:w="4394" w:type="dxa"/>
            <w:hideMark/>
          </w:tcPr>
          <w:p w14:paraId="53397331" w14:textId="77777777" w:rsidR="00CB2E14" w:rsidRPr="00882F2F" w:rsidRDefault="00CB2E14" w:rsidP="00CB2E14">
            <w:pPr>
              <w:ind w:firstLineChars="100" w:firstLine="180"/>
              <w:rPr>
                <w:rFonts w:eastAsia="Times New Roman" w:cstheme="minorHAnsi"/>
                <w:b/>
                <w:bCs/>
                <w:sz w:val="18"/>
                <w:szCs w:val="18"/>
              </w:rPr>
            </w:pPr>
            <w:r w:rsidRPr="00882F2F">
              <w:rPr>
                <w:rFonts w:eastAsia="Times New Roman" w:cstheme="minorHAnsi"/>
                <w:b/>
                <w:bCs/>
                <w:sz w:val="18"/>
                <w:szCs w:val="18"/>
              </w:rPr>
              <w:t xml:space="preserve">Ostale investicije, neto </w:t>
            </w:r>
          </w:p>
        </w:tc>
        <w:tc>
          <w:tcPr>
            <w:tcW w:w="1134" w:type="dxa"/>
            <w:noWrap/>
            <w:hideMark/>
          </w:tcPr>
          <w:p w14:paraId="5E05121D" w14:textId="77777777" w:rsidR="00CB2E14" w:rsidRPr="00882F2F" w:rsidRDefault="00CB2E14" w:rsidP="00CB2E14">
            <w:pPr>
              <w:jc w:val="right"/>
              <w:rPr>
                <w:rFonts w:eastAsia="Times New Roman" w:cstheme="minorHAnsi"/>
                <w:b/>
                <w:bCs/>
                <w:sz w:val="18"/>
                <w:szCs w:val="18"/>
              </w:rPr>
            </w:pPr>
            <w:r w:rsidRPr="00882F2F">
              <w:rPr>
                <w:rFonts w:eastAsia="Times New Roman" w:cstheme="minorHAnsi"/>
                <w:b/>
                <w:bCs/>
                <w:sz w:val="18"/>
                <w:szCs w:val="18"/>
              </w:rPr>
              <w:t>343.468</w:t>
            </w:r>
          </w:p>
        </w:tc>
        <w:tc>
          <w:tcPr>
            <w:tcW w:w="1134" w:type="dxa"/>
            <w:noWrap/>
            <w:hideMark/>
          </w:tcPr>
          <w:p w14:paraId="0394D148" w14:textId="77777777" w:rsidR="00CB2E14" w:rsidRPr="00882F2F" w:rsidRDefault="00CB2E14" w:rsidP="00CB2E14">
            <w:pPr>
              <w:jc w:val="right"/>
              <w:rPr>
                <w:rFonts w:eastAsia="Times New Roman" w:cstheme="minorHAnsi"/>
                <w:b/>
                <w:bCs/>
                <w:sz w:val="18"/>
                <w:szCs w:val="18"/>
              </w:rPr>
            </w:pPr>
            <w:r w:rsidRPr="00882F2F">
              <w:rPr>
                <w:rFonts w:eastAsia="Times New Roman" w:cstheme="minorHAnsi"/>
                <w:b/>
                <w:bCs/>
                <w:sz w:val="18"/>
                <w:szCs w:val="18"/>
              </w:rPr>
              <w:t>455.045</w:t>
            </w:r>
          </w:p>
        </w:tc>
        <w:tc>
          <w:tcPr>
            <w:tcW w:w="1276" w:type="dxa"/>
            <w:noWrap/>
            <w:hideMark/>
          </w:tcPr>
          <w:p w14:paraId="7F2D7C76" w14:textId="77777777" w:rsidR="00CB2E14" w:rsidRPr="00882F2F" w:rsidRDefault="00CB2E14" w:rsidP="00CB2E14">
            <w:pPr>
              <w:jc w:val="center"/>
              <w:rPr>
                <w:rFonts w:eastAsia="Times New Roman" w:cstheme="minorHAnsi"/>
                <w:b/>
                <w:bCs/>
                <w:sz w:val="18"/>
                <w:szCs w:val="18"/>
              </w:rPr>
            </w:pPr>
            <w:r w:rsidRPr="00882F2F">
              <w:rPr>
                <w:rFonts w:eastAsia="Times New Roman" w:cstheme="minorHAnsi"/>
                <w:b/>
                <w:bCs/>
                <w:sz w:val="18"/>
                <w:szCs w:val="18"/>
              </w:rPr>
              <w:t>32,5</w:t>
            </w:r>
          </w:p>
        </w:tc>
      </w:tr>
      <w:tr w:rsidR="00CB2E14" w:rsidRPr="00882F2F" w14:paraId="5EBD4ECC" w14:textId="77777777" w:rsidTr="00CB2E14">
        <w:trPr>
          <w:trHeight w:val="20"/>
        </w:trPr>
        <w:tc>
          <w:tcPr>
            <w:tcW w:w="846" w:type="dxa"/>
            <w:noWrap/>
            <w:hideMark/>
          </w:tcPr>
          <w:p w14:paraId="768B520B" w14:textId="77777777" w:rsidR="00CB2E14" w:rsidRPr="00882F2F" w:rsidRDefault="00CB2E14" w:rsidP="00CB2E14">
            <w:pPr>
              <w:rPr>
                <w:rFonts w:eastAsia="Times New Roman" w:cstheme="minorHAnsi"/>
                <w:b/>
                <w:bCs/>
                <w:sz w:val="18"/>
                <w:szCs w:val="18"/>
              </w:rPr>
            </w:pPr>
            <w:r w:rsidRPr="00882F2F">
              <w:rPr>
                <w:rFonts w:eastAsia="Times New Roman" w:cstheme="minorHAnsi"/>
                <w:b/>
                <w:bCs/>
                <w:sz w:val="18"/>
                <w:szCs w:val="18"/>
              </w:rPr>
              <w:t>3.5</w:t>
            </w:r>
          </w:p>
        </w:tc>
        <w:tc>
          <w:tcPr>
            <w:tcW w:w="4394" w:type="dxa"/>
            <w:hideMark/>
          </w:tcPr>
          <w:p w14:paraId="59D77105" w14:textId="77777777" w:rsidR="00CB2E14" w:rsidRPr="00882F2F" w:rsidRDefault="00CB2E14" w:rsidP="00CB2E14">
            <w:pPr>
              <w:ind w:firstLineChars="100" w:firstLine="180"/>
              <w:rPr>
                <w:rFonts w:eastAsia="Times New Roman" w:cstheme="minorHAnsi"/>
                <w:b/>
                <w:bCs/>
                <w:sz w:val="18"/>
                <w:szCs w:val="18"/>
              </w:rPr>
            </w:pPr>
            <w:r w:rsidRPr="00882F2F">
              <w:rPr>
                <w:rFonts w:eastAsia="Times New Roman" w:cstheme="minorHAnsi"/>
                <w:b/>
                <w:bCs/>
                <w:sz w:val="18"/>
                <w:szCs w:val="18"/>
              </w:rPr>
              <w:t>Rezerve CBCG (promjene)</w:t>
            </w:r>
          </w:p>
        </w:tc>
        <w:tc>
          <w:tcPr>
            <w:tcW w:w="1134" w:type="dxa"/>
            <w:noWrap/>
            <w:hideMark/>
          </w:tcPr>
          <w:p w14:paraId="3917C4ED" w14:textId="77777777" w:rsidR="00CB2E14" w:rsidRPr="00882F2F" w:rsidRDefault="00CB2E14" w:rsidP="00CB2E14">
            <w:pPr>
              <w:jc w:val="right"/>
              <w:rPr>
                <w:rFonts w:eastAsia="Times New Roman" w:cstheme="minorHAnsi"/>
                <w:b/>
                <w:bCs/>
                <w:sz w:val="18"/>
                <w:szCs w:val="18"/>
              </w:rPr>
            </w:pPr>
            <w:r w:rsidRPr="00882F2F">
              <w:rPr>
                <w:rFonts w:eastAsia="Times New Roman" w:cstheme="minorHAnsi"/>
                <w:b/>
                <w:bCs/>
                <w:sz w:val="18"/>
                <w:szCs w:val="18"/>
              </w:rPr>
              <w:t>167.722</w:t>
            </w:r>
          </w:p>
        </w:tc>
        <w:tc>
          <w:tcPr>
            <w:tcW w:w="1134" w:type="dxa"/>
            <w:noWrap/>
            <w:hideMark/>
          </w:tcPr>
          <w:p w14:paraId="5FEA9874" w14:textId="77777777" w:rsidR="00CB2E14" w:rsidRPr="00882F2F" w:rsidRDefault="00CB2E14" w:rsidP="00CB2E14">
            <w:pPr>
              <w:jc w:val="right"/>
              <w:rPr>
                <w:rFonts w:eastAsia="Times New Roman" w:cstheme="minorHAnsi"/>
                <w:b/>
                <w:bCs/>
                <w:sz w:val="18"/>
                <w:szCs w:val="18"/>
              </w:rPr>
            </w:pPr>
            <w:r w:rsidRPr="00882F2F">
              <w:rPr>
                <w:rFonts w:eastAsia="Times New Roman" w:cstheme="minorHAnsi"/>
                <w:b/>
                <w:bCs/>
                <w:sz w:val="18"/>
                <w:szCs w:val="18"/>
              </w:rPr>
              <w:t>-286.962</w:t>
            </w:r>
          </w:p>
        </w:tc>
        <w:tc>
          <w:tcPr>
            <w:tcW w:w="1276" w:type="dxa"/>
            <w:noWrap/>
            <w:hideMark/>
          </w:tcPr>
          <w:p w14:paraId="45E78A9C" w14:textId="77777777" w:rsidR="00CB2E14" w:rsidRPr="00882F2F" w:rsidRDefault="00CB2E14" w:rsidP="00CB2E14">
            <w:pPr>
              <w:jc w:val="center"/>
              <w:rPr>
                <w:rFonts w:eastAsia="Times New Roman" w:cstheme="minorHAnsi"/>
                <w:b/>
                <w:bCs/>
                <w:sz w:val="18"/>
                <w:szCs w:val="18"/>
              </w:rPr>
            </w:pPr>
            <w:r w:rsidRPr="00882F2F">
              <w:rPr>
                <w:rFonts w:eastAsia="Times New Roman" w:cstheme="minorHAnsi"/>
                <w:b/>
                <w:bCs/>
                <w:sz w:val="18"/>
                <w:szCs w:val="18"/>
              </w:rPr>
              <w:t> </w:t>
            </w:r>
          </w:p>
        </w:tc>
      </w:tr>
      <w:tr w:rsidR="00CB2E14" w:rsidRPr="00882F2F" w14:paraId="3FB524C6" w14:textId="77777777" w:rsidTr="00CB2E14">
        <w:trPr>
          <w:trHeight w:val="20"/>
        </w:trPr>
        <w:tc>
          <w:tcPr>
            <w:tcW w:w="846" w:type="dxa"/>
            <w:noWrap/>
            <w:hideMark/>
          </w:tcPr>
          <w:p w14:paraId="1F84D6EE" w14:textId="77777777" w:rsidR="00CB2E14" w:rsidRPr="00882F2F" w:rsidRDefault="00CB2E14" w:rsidP="00CB2E14">
            <w:pPr>
              <w:rPr>
                <w:rFonts w:eastAsia="Times New Roman" w:cstheme="minorHAnsi"/>
                <w:b/>
                <w:bCs/>
                <w:sz w:val="18"/>
                <w:szCs w:val="18"/>
              </w:rPr>
            </w:pPr>
            <w:r w:rsidRPr="00882F2F">
              <w:rPr>
                <w:rFonts w:eastAsia="Times New Roman" w:cstheme="minorHAnsi"/>
                <w:b/>
                <w:bCs/>
                <w:sz w:val="18"/>
                <w:szCs w:val="18"/>
              </w:rPr>
              <w:t>4</w:t>
            </w:r>
          </w:p>
        </w:tc>
        <w:tc>
          <w:tcPr>
            <w:tcW w:w="4394" w:type="dxa"/>
            <w:noWrap/>
            <w:hideMark/>
          </w:tcPr>
          <w:p w14:paraId="463634BD" w14:textId="77777777" w:rsidR="00CB2E14" w:rsidRPr="00882F2F" w:rsidRDefault="00CB2E14" w:rsidP="00CB2E14">
            <w:pPr>
              <w:rPr>
                <w:rFonts w:eastAsia="Times New Roman" w:cstheme="minorHAnsi"/>
                <w:b/>
                <w:bCs/>
                <w:sz w:val="18"/>
                <w:szCs w:val="18"/>
              </w:rPr>
            </w:pPr>
            <w:r w:rsidRPr="00882F2F">
              <w:rPr>
                <w:rFonts w:eastAsia="Times New Roman" w:cstheme="minorHAnsi"/>
                <w:b/>
                <w:bCs/>
                <w:sz w:val="18"/>
                <w:szCs w:val="18"/>
              </w:rPr>
              <w:t>NETO GREŠKE I OMAŠKE (3-2-1)</w:t>
            </w:r>
          </w:p>
        </w:tc>
        <w:tc>
          <w:tcPr>
            <w:tcW w:w="1134" w:type="dxa"/>
            <w:noWrap/>
            <w:hideMark/>
          </w:tcPr>
          <w:p w14:paraId="28920D0E" w14:textId="77777777" w:rsidR="00CB2E14" w:rsidRPr="00882F2F" w:rsidRDefault="00CB2E14" w:rsidP="00CB2E14">
            <w:pPr>
              <w:jc w:val="right"/>
              <w:rPr>
                <w:rFonts w:eastAsia="Times New Roman" w:cstheme="minorHAnsi"/>
                <w:b/>
                <w:bCs/>
                <w:sz w:val="18"/>
                <w:szCs w:val="18"/>
              </w:rPr>
            </w:pPr>
            <w:r w:rsidRPr="00882F2F">
              <w:rPr>
                <w:rFonts w:eastAsia="Times New Roman" w:cstheme="minorHAnsi"/>
                <w:b/>
                <w:bCs/>
                <w:sz w:val="18"/>
                <w:szCs w:val="18"/>
              </w:rPr>
              <w:t>476.712</w:t>
            </w:r>
          </w:p>
        </w:tc>
        <w:tc>
          <w:tcPr>
            <w:tcW w:w="1134" w:type="dxa"/>
            <w:noWrap/>
            <w:hideMark/>
          </w:tcPr>
          <w:p w14:paraId="060B9620" w14:textId="77777777" w:rsidR="00CB2E14" w:rsidRPr="00882F2F" w:rsidRDefault="00CB2E14" w:rsidP="00CB2E14">
            <w:pPr>
              <w:jc w:val="right"/>
              <w:rPr>
                <w:rFonts w:eastAsia="Times New Roman" w:cstheme="minorHAnsi"/>
                <w:b/>
                <w:bCs/>
                <w:sz w:val="18"/>
                <w:szCs w:val="18"/>
              </w:rPr>
            </w:pPr>
            <w:r w:rsidRPr="00882F2F">
              <w:rPr>
                <w:rFonts w:eastAsia="Times New Roman" w:cstheme="minorHAnsi"/>
                <w:b/>
                <w:bCs/>
                <w:sz w:val="18"/>
                <w:szCs w:val="18"/>
              </w:rPr>
              <w:t>515.379</w:t>
            </w:r>
          </w:p>
        </w:tc>
        <w:tc>
          <w:tcPr>
            <w:tcW w:w="1276" w:type="dxa"/>
            <w:noWrap/>
            <w:hideMark/>
          </w:tcPr>
          <w:p w14:paraId="058AFA68" w14:textId="77777777" w:rsidR="00CB2E14" w:rsidRPr="00882F2F" w:rsidRDefault="00CB2E14" w:rsidP="00CB2E14">
            <w:pPr>
              <w:jc w:val="center"/>
              <w:rPr>
                <w:rFonts w:eastAsia="Times New Roman" w:cstheme="minorHAnsi"/>
                <w:b/>
                <w:bCs/>
                <w:sz w:val="18"/>
                <w:szCs w:val="18"/>
              </w:rPr>
            </w:pPr>
            <w:r w:rsidRPr="00882F2F">
              <w:rPr>
                <w:rFonts w:eastAsia="Times New Roman" w:cstheme="minorHAnsi"/>
                <w:b/>
                <w:bCs/>
                <w:sz w:val="18"/>
                <w:szCs w:val="18"/>
              </w:rPr>
              <w:t>8,1</w:t>
            </w:r>
          </w:p>
        </w:tc>
      </w:tr>
    </w:tbl>
    <w:bookmarkEnd w:id="13"/>
    <w:p w14:paraId="2350943A" w14:textId="77777777" w:rsidR="00CB2E14" w:rsidRPr="004D5210" w:rsidRDefault="00CB2E14" w:rsidP="00CB2E14">
      <w:pPr>
        <w:jc w:val="both"/>
        <w:rPr>
          <w:rFonts w:eastAsia="Calibri" w:cstheme="minorHAnsi"/>
          <w:i/>
          <w:sz w:val="18"/>
          <w:szCs w:val="18"/>
          <w:lang w:val="sr-Latn-ME" w:eastAsia="sr-Latn-ME"/>
        </w:rPr>
      </w:pPr>
      <w:r w:rsidRPr="004D5210">
        <w:rPr>
          <w:rFonts w:eastAsia="Calibri" w:cstheme="minorHAnsi"/>
          <w:i/>
          <w:sz w:val="18"/>
          <w:szCs w:val="18"/>
          <w:lang w:val="sr-Latn-ME" w:eastAsia="sr-Latn-ME"/>
        </w:rPr>
        <w:t xml:space="preserve">   Izvor: CBCG</w:t>
      </w:r>
    </w:p>
    <w:p w14:paraId="655335CE" w14:textId="77777777" w:rsidR="00CB2E14" w:rsidRPr="0047692E" w:rsidRDefault="00CB2E14" w:rsidP="00CB2E14">
      <w:pPr>
        <w:jc w:val="both"/>
        <w:rPr>
          <w:rFonts w:eastAsia="Calibri" w:cstheme="minorHAnsi"/>
          <w:b/>
          <w:color w:val="2F5496" w:themeColor="accent1" w:themeShade="BF"/>
          <w:sz w:val="24"/>
          <w:lang w:val="sr-Latn-ME" w:eastAsia="sr-Latn-ME"/>
        </w:rPr>
      </w:pPr>
      <w:r w:rsidRPr="0047692E">
        <w:rPr>
          <w:rFonts w:eastAsia="Calibri" w:cstheme="minorHAnsi"/>
          <w:b/>
          <w:color w:val="2F5496" w:themeColor="accent1" w:themeShade="BF"/>
          <w:sz w:val="24"/>
          <w:lang w:val="sr-Latn-ME" w:eastAsia="sr-Latn-ME"/>
        </w:rPr>
        <w:t>3.1.6.3. Međunarodna investiciona pozicija</w:t>
      </w:r>
    </w:p>
    <w:p w14:paraId="44441DA4" w14:textId="77777777" w:rsidR="00CB2E14" w:rsidRDefault="00CB2E14" w:rsidP="00CB2E14">
      <w:pPr>
        <w:spacing w:line="240" w:lineRule="auto"/>
        <w:jc w:val="both"/>
        <w:rPr>
          <w:rFonts w:eastAsia="Times New Roman" w:cs="Calibri"/>
          <w:sz w:val="24"/>
          <w:szCs w:val="24"/>
          <w:lang w:val="sr-Latn-RS"/>
        </w:rPr>
      </w:pPr>
      <w:r w:rsidRPr="00515C5F">
        <w:rPr>
          <w:rFonts w:eastAsia="Times New Roman" w:cs="Calibri"/>
          <w:sz w:val="24"/>
          <w:szCs w:val="24"/>
          <w:lang w:val="sr-Latn-RS"/>
        </w:rPr>
        <w:t>Na kraju 2022</w:t>
      </w:r>
      <w:r>
        <w:rPr>
          <w:rFonts w:eastAsia="Times New Roman" w:cs="Calibri"/>
          <w:sz w:val="24"/>
          <w:szCs w:val="24"/>
          <w:lang w:val="sr-Latn-RS"/>
        </w:rPr>
        <w:t xml:space="preserve">, </w:t>
      </w:r>
      <w:r w:rsidRPr="00515C5F">
        <w:rPr>
          <w:rFonts w:eastAsia="Times New Roman" w:cs="Calibri"/>
          <w:sz w:val="24"/>
          <w:szCs w:val="24"/>
          <w:lang w:val="sr-Latn-RS"/>
        </w:rPr>
        <w:t xml:space="preserve">neto međunarodna investiciona pozicija (MIP) Crne Gore iznosila je 7.702,9 </w:t>
      </w:r>
      <w:r>
        <w:rPr>
          <w:rFonts w:eastAsia="Times New Roman" w:cs="Calibri"/>
          <w:sz w:val="24"/>
          <w:szCs w:val="24"/>
          <w:lang w:val="sr-Latn-RS"/>
        </w:rPr>
        <w:t>mil.€</w:t>
      </w:r>
      <w:r w:rsidRPr="00515C5F">
        <w:rPr>
          <w:rFonts w:eastAsia="Times New Roman" w:cs="Calibri"/>
          <w:sz w:val="24"/>
          <w:szCs w:val="24"/>
          <w:lang w:val="sr-Latn-RS"/>
        </w:rPr>
        <w:t xml:space="preserve"> ili 130,0% BDP i u poređenju sa 2021</w:t>
      </w:r>
      <w:r>
        <w:rPr>
          <w:rFonts w:eastAsia="Times New Roman" w:cs="Calibri"/>
          <w:sz w:val="24"/>
          <w:szCs w:val="24"/>
          <w:lang w:val="sr-Latn-RS"/>
        </w:rPr>
        <w:t>,</w:t>
      </w:r>
      <w:r w:rsidRPr="00515C5F">
        <w:rPr>
          <w:rFonts w:eastAsia="Times New Roman" w:cs="Calibri"/>
          <w:sz w:val="24"/>
          <w:szCs w:val="24"/>
          <w:lang w:val="sr-Latn-RS"/>
        </w:rPr>
        <w:t xml:space="preserve"> smanjena je za 493,4 </w:t>
      </w:r>
      <w:r>
        <w:rPr>
          <w:rFonts w:eastAsia="Times New Roman" w:cs="Calibri"/>
          <w:sz w:val="24"/>
          <w:szCs w:val="24"/>
          <w:lang w:val="sr-Latn-RS"/>
        </w:rPr>
        <w:t>mil.€</w:t>
      </w:r>
      <w:r w:rsidRPr="00515C5F">
        <w:rPr>
          <w:rFonts w:eastAsia="Times New Roman" w:cs="Calibri"/>
          <w:sz w:val="24"/>
          <w:szCs w:val="24"/>
          <w:lang w:val="sr-Latn-RS"/>
        </w:rPr>
        <w:t xml:space="preserve">. Ukupna potraživanja rezidenata prema inostranstvu iznosila su 4.484,9 </w:t>
      </w:r>
      <w:r>
        <w:rPr>
          <w:rFonts w:eastAsia="Times New Roman" w:cs="Calibri"/>
          <w:sz w:val="24"/>
          <w:szCs w:val="24"/>
          <w:lang w:val="sr-Latn-RS"/>
        </w:rPr>
        <w:t>mil.€</w:t>
      </w:r>
      <w:r w:rsidRPr="00515C5F">
        <w:rPr>
          <w:rFonts w:eastAsia="Times New Roman" w:cs="Calibri"/>
          <w:sz w:val="24"/>
          <w:szCs w:val="24"/>
          <w:lang w:val="sr-Latn-RS"/>
        </w:rPr>
        <w:t>, a obaveze 12.187,</w:t>
      </w:r>
      <w:r>
        <w:rPr>
          <w:rFonts w:eastAsia="Times New Roman" w:cs="Calibri"/>
          <w:sz w:val="24"/>
          <w:szCs w:val="24"/>
          <w:lang w:val="sr-Latn-RS"/>
        </w:rPr>
        <w:t>8</w:t>
      </w:r>
      <w:r w:rsidRPr="00515C5F">
        <w:rPr>
          <w:rFonts w:eastAsia="Times New Roman" w:cs="Calibri"/>
          <w:sz w:val="24"/>
          <w:szCs w:val="24"/>
          <w:lang w:val="sr-Latn-RS"/>
        </w:rPr>
        <w:t xml:space="preserve"> </w:t>
      </w:r>
      <w:r>
        <w:rPr>
          <w:rFonts w:eastAsia="Times New Roman" w:cs="Calibri"/>
          <w:sz w:val="24"/>
          <w:szCs w:val="24"/>
          <w:lang w:val="sr-Latn-RS"/>
        </w:rPr>
        <w:t>mil.€</w:t>
      </w:r>
      <w:r w:rsidRPr="00515C5F">
        <w:rPr>
          <w:rFonts w:eastAsia="Times New Roman" w:cs="Calibri"/>
          <w:sz w:val="24"/>
          <w:szCs w:val="24"/>
          <w:lang w:val="sr-Latn-RS"/>
        </w:rPr>
        <w:t xml:space="preserve">. Posmatrajući neto pozicije po investicionim instrumentima (sredstva minus obaveze), </w:t>
      </w:r>
      <w:r>
        <w:rPr>
          <w:rFonts w:eastAsia="Times New Roman" w:cs="Calibri"/>
          <w:sz w:val="24"/>
          <w:szCs w:val="24"/>
          <w:lang w:val="sr-Latn-RS"/>
        </w:rPr>
        <w:t xml:space="preserve">u </w:t>
      </w:r>
      <w:r w:rsidRPr="00515C5F">
        <w:rPr>
          <w:rFonts w:eastAsia="Times New Roman" w:cs="Calibri"/>
          <w:sz w:val="24"/>
          <w:szCs w:val="24"/>
          <w:lang w:val="sr-Latn-RS"/>
        </w:rPr>
        <w:t>odnosu</w:t>
      </w:r>
      <w:r>
        <w:rPr>
          <w:rFonts w:eastAsia="Times New Roman" w:cs="Calibri"/>
          <w:sz w:val="24"/>
          <w:szCs w:val="24"/>
          <w:lang w:val="sr-Latn-RS"/>
        </w:rPr>
        <w:t xml:space="preserve"> na</w:t>
      </w:r>
      <w:r w:rsidRPr="00515C5F">
        <w:rPr>
          <w:rFonts w:eastAsia="Times New Roman" w:cs="Calibri"/>
          <w:sz w:val="24"/>
          <w:szCs w:val="24"/>
          <w:lang w:val="sr-Latn-RS"/>
        </w:rPr>
        <w:t xml:space="preserve"> </w:t>
      </w:r>
      <w:r>
        <w:rPr>
          <w:rFonts w:eastAsia="Times New Roman" w:cs="Calibri"/>
          <w:sz w:val="24"/>
          <w:szCs w:val="24"/>
          <w:lang w:val="sr-Latn-RS"/>
        </w:rPr>
        <w:t>2021</w:t>
      </w:r>
      <w:r w:rsidRPr="00515C5F">
        <w:rPr>
          <w:rFonts w:eastAsia="Times New Roman" w:cs="Calibri"/>
          <w:sz w:val="24"/>
          <w:szCs w:val="24"/>
          <w:lang w:val="sr-Latn-RS"/>
        </w:rPr>
        <w:t>, zabilježeno</w:t>
      </w:r>
      <w:r>
        <w:rPr>
          <w:rFonts w:eastAsia="Times New Roman" w:cs="Calibri"/>
          <w:sz w:val="24"/>
          <w:szCs w:val="24"/>
          <w:lang w:val="sr-Latn-RS"/>
        </w:rPr>
        <w:t xml:space="preserve"> je</w:t>
      </w:r>
      <w:r w:rsidRPr="00515C5F">
        <w:rPr>
          <w:rFonts w:eastAsia="Times New Roman" w:cs="Calibri"/>
          <w:sz w:val="24"/>
          <w:szCs w:val="24"/>
          <w:lang w:val="sr-Latn-RS"/>
        </w:rPr>
        <w:t xml:space="preserve"> smanjenje kod ostalih investicija za 47</w:t>
      </w:r>
      <w:r>
        <w:rPr>
          <w:rFonts w:eastAsia="Times New Roman" w:cs="Calibri"/>
          <w:sz w:val="24"/>
          <w:szCs w:val="24"/>
          <w:lang w:val="sr-Latn-RS"/>
        </w:rPr>
        <w:t>1</w:t>
      </w:r>
      <w:r w:rsidRPr="00515C5F">
        <w:rPr>
          <w:rFonts w:eastAsia="Times New Roman" w:cs="Calibri"/>
          <w:sz w:val="24"/>
          <w:szCs w:val="24"/>
          <w:lang w:val="sr-Latn-RS"/>
        </w:rPr>
        <w:t>,</w:t>
      </w:r>
      <w:r>
        <w:rPr>
          <w:rFonts w:eastAsia="Times New Roman" w:cs="Calibri"/>
          <w:sz w:val="24"/>
          <w:szCs w:val="24"/>
          <w:lang w:val="sr-Latn-RS"/>
        </w:rPr>
        <w:t>0</w:t>
      </w:r>
      <w:r w:rsidRPr="00515C5F">
        <w:rPr>
          <w:rFonts w:eastAsia="Times New Roman" w:cs="Calibri"/>
          <w:sz w:val="24"/>
          <w:szCs w:val="24"/>
          <w:lang w:val="sr-Latn-RS"/>
        </w:rPr>
        <w:t xml:space="preserve"> </w:t>
      </w:r>
      <w:r>
        <w:rPr>
          <w:rFonts w:eastAsia="Times New Roman" w:cs="Calibri"/>
          <w:sz w:val="24"/>
          <w:szCs w:val="24"/>
          <w:lang w:val="sr-Latn-RS"/>
        </w:rPr>
        <w:t>mil.€</w:t>
      </w:r>
      <w:r w:rsidRPr="00515C5F">
        <w:rPr>
          <w:rFonts w:eastAsia="Times New Roman" w:cs="Calibri"/>
          <w:sz w:val="24"/>
          <w:szCs w:val="24"/>
          <w:lang w:val="sr-Latn-RS"/>
        </w:rPr>
        <w:t xml:space="preserve"> i portfolio investicija za 175,1 </w:t>
      </w:r>
      <w:r>
        <w:rPr>
          <w:rFonts w:eastAsia="Times New Roman" w:cs="Calibri"/>
          <w:sz w:val="24"/>
          <w:szCs w:val="24"/>
          <w:lang w:val="sr-Latn-RS"/>
        </w:rPr>
        <w:t>mil.€</w:t>
      </w:r>
      <w:r w:rsidRPr="00515C5F">
        <w:rPr>
          <w:rFonts w:eastAsia="Times New Roman" w:cs="Calibri"/>
          <w:sz w:val="24"/>
          <w:szCs w:val="24"/>
          <w:lang w:val="sr-Latn-RS"/>
        </w:rPr>
        <w:t xml:space="preserve">, dok je neto pozicija stranih direktnih investicija povećana 318,4 </w:t>
      </w:r>
      <w:r>
        <w:rPr>
          <w:rFonts w:eastAsia="Times New Roman" w:cs="Calibri"/>
          <w:sz w:val="24"/>
          <w:szCs w:val="24"/>
          <w:lang w:val="sr-Latn-RS"/>
        </w:rPr>
        <w:t>mil.€</w:t>
      </w:r>
      <w:r w:rsidRPr="00515C5F">
        <w:rPr>
          <w:rFonts w:eastAsia="Times New Roman" w:cs="Calibri"/>
          <w:sz w:val="24"/>
          <w:szCs w:val="24"/>
          <w:lang w:val="sr-Latn-RS"/>
        </w:rPr>
        <w:t>.</w:t>
      </w:r>
      <w:r>
        <w:rPr>
          <w:rFonts w:eastAsia="Times New Roman" w:cs="Calibri"/>
          <w:sz w:val="24"/>
          <w:szCs w:val="24"/>
          <w:lang w:val="sr-Latn-RS"/>
        </w:rPr>
        <w:t xml:space="preserve"> </w:t>
      </w:r>
      <w:r w:rsidRPr="00515C5F">
        <w:rPr>
          <w:rFonts w:eastAsia="Times New Roman" w:cs="Calibri"/>
          <w:sz w:val="24"/>
          <w:szCs w:val="24"/>
          <w:lang w:val="sr-Latn-RS"/>
        </w:rPr>
        <w:t>Prema preliminarnim podacima na kraju drugog kvartala 2023</w:t>
      </w:r>
      <w:r>
        <w:rPr>
          <w:rFonts w:eastAsia="Times New Roman" w:cs="Calibri"/>
          <w:sz w:val="24"/>
          <w:szCs w:val="24"/>
          <w:lang w:val="sr-Latn-RS"/>
        </w:rPr>
        <w:t xml:space="preserve">, </w:t>
      </w:r>
      <w:r w:rsidRPr="00515C5F">
        <w:rPr>
          <w:rFonts w:eastAsia="Times New Roman" w:cs="Calibri"/>
          <w:sz w:val="24"/>
          <w:szCs w:val="24"/>
          <w:lang w:val="sr-Latn-RS"/>
        </w:rPr>
        <w:t xml:space="preserve">neto međunarodna investiciona pozicija (MIP) Crne Gore iznosila je 7.477,6 </w:t>
      </w:r>
      <w:r>
        <w:rPr>
          <w:rFonts w:eastAsia="Times New Roman" w:cs="Calibri"/>
          <w:sz w:val="24"/>
          <w:szCs w:val="24"/>
          <w:lang w:val="sr-Latn-RS"/>
        </w:rPr>
        <w:t>mil.€</w:t>
      </w:r>
      <w:r w:rsidRPr="00515C5F">
        <w:rPr>
          <w:rFonts w:eastAsia="Times New Roman" w:cs="Calibri"/>
          <w:sz w:val="24"/>
          <w:szCs w:val="24"/>
          <w:lang w:val="sr-Latn-RS"/>
        </w:rPr>
        <w:t xml:space="preserve">. Ukupna potraživanja rezidenata prema inostranstvu iznosila su 4.835,7 </w:t>
      </w:r>
      <w:r>
        <w:rPr>
          <w:rFonts w:eastAsia="Times New Roman" w:cs="Calibri"/>
          <w:sz w:val="24"/>
          <w:szCs w:val="24"/>
          <w:lang w:val="sr-Latn-RS"/>
        </w:rPr>
        <w:t>mil.€</w:t>
      </w:r>
      <w:r w:rsidRPr="00515C5F">
        <w:rPr>
          <w:rFonts w:eastAsia="Times New Roman" w:cs="Calibri"/>
          <w:sz w:val="24"/>
          <w:szCs w:val="24"/>
          <w:lang w:val="sr-Latn-RS"/>
        </w:rPr>
        <w:t>, dok su obaveze iznosile 12.313,</w:t>
      </w:r>
      <w:r>
        <w:rPr>
          <w:rFonts w:eastAsia="Times New Roman" w:cs="Calibri"/>
          <w:sz w:val="24"/>
          <w:szCs w:val="24"/>
          <w:lang w:val="sr-Latn-RS"/>
        </w:rPr>
        <w:t>4</w:t>
      </w:r>
      <w:r w:rsidRPr="00515C5F">
        <w:rPr>
          <w:rFonts w:eastAsia="Times New Roman" w:cs="Calibri"/>
          <w:sz w:val="24"/>
          <w:szCs w:val="24"/>
          <w:lang w:val="sr-Latn-RS"/>
        </w:rPr>
        <w:t xml:space="preserve"> </w:t>
      </w:r>
      <w:r>
        <w:rPr>
          <w:rFonts w:eastAsia="Times New Roman" w:cs="Calibri"/>
          <w:sz w:val="24"/>
          <w:szCs w:val="24"/>
          <w:lang w:val="sr-Latn-RS"/>
        </w:rPr>
        <w:t xml:space="preserve">mil.€. </w:t>
      </w:r>
      <w:r w:rsidRPr="00515C5F">
        <w:rPr>
          <w:rFonts w:eastAsia="Times New Roman" w:cs="Calibri"/>
          <w:sz w:val="24"/>
          <w:szCs w:val="24"/>
          <w:lang w:val="sr-Latn-RS"/>
        </w:rPr>
        <w:t xml:space="preserve">U poređenju sa krajem 2022, negativna neto međunarodna investiciona pozicija smanjena je za 225,3 </w:t>
      </w:r>
      <w:r>
        <w:rPr>
          <w:rFonts w:eastAsia="Times New Roman" w:cs="Calibri"/>
          <w:sz w:val="24"/>
          <w:szCs w:val="24"/>
          <w:lang w:val="sr-Latn-RS"/>
        </w:rPr>
        <w:t>mil.€</w:t>
      </w:r>
      <w:r w:rsidRPr="00515C5F">
        <w:rPr>
          <w:rFonts w:eastAsia="Times New Roman" w:cs="Calibri"/>
          <w:sz w:val="24"/>
          <w:szCs w:val="24"/>
          <w:lang w:val="sr-Latn-RS"/>
        </w:rPr>
        <w:t xml:space="preserve">, uglavnom zbog značajnijeg povećanja finansijskih sredstava (za 350,8 </w:t>
      </w:r>
      <w:r>
        <w:rPr>
          <w:rFonts w:eastAsia="Times New Roman" w:cs="Calibri"/>
          <w:sz w:val="24"/>
          <w:szCs w:val="24"/>
          <w:lang w:val="sr-Latn-RS"/>
        </w:rPr>
        <w:t>mil.€</w:t>
      </w:r>
      <w:r w:rsidRPr="00515C5F">
        <w:rPr>
          <w:rFonts w:eastAsia="Times New Roman" w:cs="Calibri"/>
          <w:sz w:val="24"/>
          <w:szCs w:val="24"/>
          <w:lang w:val="sr-Latn-RS"/>
        </w:rPr>
        <w:t xml:space="preserve">). </w:t>
      </w:r>
    </w:p>
    <w:p w14:paraId="0431F572" w14:textId="16EDD17D" w:rsidR="00CB2E14" w:rsidRPr="0047692E" w:rsidRDefault="00CB2E14" w:rsidP="00CB2E14">
      <w:pPr>
        <w:spacing w:line="240" w:lineRule="auto"/>
        <w:jc w:val="both"/>
        <w:rPr>
          <w:b/>
          <w:bCs/>
          <w:color w:val="2F5496" w:themeColor="accent1" w:themeShade="BF"/>
          <w:szCs w:val="23"/>
        </w:rPr>
      </w:pPr>
      <w:r w:rsidRPr="0047692E">
        <w:rPr>
          <w:b/>
          <w:bCs/>
          <w:color w:val="2F5496" w:themeColor="accent1" w:themeShade="BF"/>
          <w:szCs w:val="23"/>
        </w:rPr>
        <w:t>Tabela 3.1.6.3: Struktura međunarodne investicione pozicije Crne Gore, u milionima eura</w:t>
      </w:r>
    </w:p>
    <w:tbl>
      <w:tblPr>
        <w:tblW w:w="9190" w:type="dxa"/>
        <w:tblInd w:w="-10" w:type="dxa"/>
        <w:tblLook w:val="04A0" w:firstRow="1" w:lastRow="0" w:firstColumn="1" w:lastColumn="0" w:noHBand="0" w:noVBand="1"/>
      </w:tblPr>
      <w:tblGrid>
        <w:gridCol w:w="3371"/>
        <w:gridCol w:w="858"/>
        <w:gridCol w:w="992"/>
        <w:gridCol w:w="1134"/>
        <w:gridCol w:w="1418"/>
        <w:gridCol w:w="1417"/>
      </w:tblGrid>
      <w:tr w:rsidR="00CB2E14" w:rsidRPr="00882F2F" w14:paraId="25C8A12F" w14:textId="77777777" w:rsidTr="004D5210">
        <w:trPr>
          <w:trHeight w:val="450"/>
        </w:trPr>
        <w:tc>
          <w:tcPr>
            <w:tcW w:w="3371" w:type="dxa"/>
            <w:vMerge w:val="restart"/>
            <w:tcBorders>
              <w:top w:val="single" w:sz="8" w:space="0" w:color="auto"/>
              <w:left w:val="single" w:sz="8" w:space="0" w:color="auto"/>
              <w:bottom w:val="single" w:sz="4" w:space="0" w:color="000000"/>
              <w:right w:val="single" w:sz="4" w:space="0" w:color="auto"/>
            </w:tcBorders>
            <w:shd w:val="clear" w:color="auto" w:fill="auto"/>
            <w:vAlign w:val="bottom"/>
            <w:hideMark/>
          </w:tcPr>
          <w:p w14:paraId="0BA1DA3A" w14:textId="77777777" w:rsidR="00CB2E14" w:rsidRPr="00882F2F" w:rsidRDefault="00CB2E14" w:rsidP="00CB2E14">
            <w:pPr>
              <w:spacing w:after="0" w:line="240" w:lineRule="auto"/>
              <w:jc w:val="center"/>
              <w:rPr>
                <w:rFonts w:eastAsia="Times New Roman" w:cstheme="minorHAnsi"/>
                <w:b/>
                <w:bCs/>
                <w:sz w:val="18"/>
                <w:szCs w:val="18"/>
              </w:rPr>
            </w:pPr>
            <w:bookmarkStart w:id="14" w:name="_Hlk151627510"/>
            <w:r w:rsidRPr="00882F2F">
              <w:rPr>
                <w:rFonts w:eastAsia="Times New Roman" w:cstheme="minorHAnsi"/>
                <w:b/>
                <w:bCs/>
                <w:sz w:val="18"/>
                <w:szCs w:val="18"/>
              </w:rPr>
              <w:t> </w:t>
            </w:r>
          </w:p>
        </w:tc>
        <w:tc>
          <w:tcPr>
            <w:tcW w:w="858" w:type="dxa"/>
            <w:vMerge w:val="restart"/>
            <w:tcBorders>
              <w:top w:val="single" w:sz="8" w:space="0" w:color="auto"/>
              <w:left w:val="single" w:sz="4" w:space="0" w:color="auto"/>
              <w:bottom w:val="single" w:sz="4" w:space="0" w:color="000000"/>
              <w:right w:val="single" w:sz="4" w:space="0" w:color="auto"/>
            </w:tcBorders>
            <w:shd w:val="clear" w:color="auto" w:fill="auto"/>
            <w:noWrap/>
            <w:vAlign w:val="center"/>
            <w:hideMark/>
          </w:tcPr>
          <w:p w14:paraId="5B3DA54E" w14:textId="77777777" w:rsidR="00CB2E14" w:rsidRPr="00882F2F" w:rsidRDefault="00CB2E14" w:rsidP="00CB2E14">
            <w:pPr>
              <w:spacing w:after="0" w:line="240" w:lineRule="auto"/>
              <w:jc w:val="center"/>
              <w:rPr>
                <w:rFonts w:eastAsia="Times New Roman" w:cstheme="minorHAnsi"/>
                <w:b/>
                <w:bCs/>
                <w:sz w:val="18"/>
                <w:szCs w:val="18"/>
              </w:rPr>
            </w:pPr>
            <w:r w:rsidRPr="00882F2F">
              <w:rPr>
                <w:rFonts w:eastAsia="Times New Roman" w:cstheme="minorHAnsi"/>
                <w:b/>
                <w:bCs/>
                <w:sz w:val="18"/>
                <w:szCs w:val="18"/>
              </w:rPr>
              <w:t>2021</w:t>
            </w:r>
          </w:p>
        </w:tc>
        <w:tc>
          <w:tcPr>
            <w:tcW w:w="992" w:type="dxa"/>
            <w:vMerge w:val="restart"/>
            <w:tcBorders>
              <w:top w:val="single" w:sz="8" w:space="0" w:color="auto"/>
              <w:left w:val="single" w:sz="4" w:space="0" w:color="auto"/>
              <w:bottom w:val="single" w:sz="4" w:space="0" w:color="000000"/>
              <w:right w:val="single" w:sz="4" w:space="0" w:color="auto"/>
            </w:tcBorders>
            <w:shd w:val="clear" w:color="auto" w:fill="auto"/>
            <w:noWrap/>
            <w:vAlign w:val="center"/>
            <w:hideMark/>
          </w:tcPr>
          <w:p w14:paraId="66FB910D" w14:textId="77777777" w:rsidR="00CB2E14" w:rsidRPr="00882F2F" w:rsidRDefault="00CB2E14" w:rsidP="00CB2E14">
            <w:pPr>
              <w:spacing w:after="0" w:line="240" w:lineRule="auto"/>
              <w:jc w:val="center"/>
              <w:rPr>
                <w:rFonts w:eastAsia="Times New Roman" w:cstheme="minorHAnsi"/>
                <w:b/>
                <w:bCs/>
                <w:sz w:val="18"/>
                <w:szCs w:val="18"/>
              </w:rPr>
            </w:pPr>
            <w:r w:rsidRPr="00882F2F">
              <w:rPr>
                <w:rFonts w:eastAsia="Times New Roman" w:cstheme="minorHAnsi"/>
                <w:b/>
                <w:bCs/>
                <w:sz w:val="18"/>
                <w:szCs w:val="18"/>
              </w:rPr>
              <w:t>2022</w:t>
            </w:r>
          </w:p>
        </w:tc>
        <w:tc>
          <w:tcPr>
            <w:tcW w:w="1134" w:type="dxa"/>
            <w:vMerge w:val="restart"/>
            <w:tcBorders>
              <w:top w:val="single" w:sz="8" w:space="0" w:color="auto"/>
              <w:left w:val="single" w:sz="4" w:space="0" w:color="auto"/>
              <w:bottom w:val="single" w:sz="4" w:space="0" w:color="000000"/>
              <w:right w:val="single" w:sz="4" w:space="0" w:color="auto"/>
            </w:tcBorders>
            <w:shd w:val="clear" w:color="auto" w:fill="auto"/>
            <w:noWrap/>
            <w:vAlign w:val="center"/>
            <w:hideMark/>
          </w:tcPr>
          <w:p w14:paraId="5BF89941" w14:textId="77777777" w:rsidR="00CB2E14" w:rsidRPr="00882F2F" w:rsidRDefault="00CB2E14" w:rsidP="00CB2E14">
            <w:pPr>
              <w:spacing w:after="0" w:line="240" w:lineRule="auto"/>
              <w:jc w:val="center"/>
              <w:rPr>
                <w:rFonts w:eastAsia="Times New Roman" w:cstheme="minorHAnsi"/>
                <w:b/>
                <w:bCs/>
                <w:sz w:val="18"/>
                <w:szCs w:val="18"/>
              </w:rPr>
            </w:pPr>
            <w:r w:rsidRPr="00882F2F">
              <w:rPr>
                <w:rFonts w:eastAsia="Times New Roman" w:cstheme="minorHAnsi"/>
                <w:b/>
                <w:bCs/>
                <w:sz w:val="18"/>
                <w:szCs w:val="18"/>
              </w:rPr>
              <w:t>Q2 2023</w:t>
            </w:r>
          </w:p>
        </w:tc>
        <w:tc>
          <w:tcPr>
            <w:tcW w:w="1418" w:type="dxa"/>
            <w:vMerge w:val="restart"/>
            <w:tcBorders>
              <w:top w:val="single" w:sz="8" w:space="0" w:color="auto"/>
              <w:left w:val="single" w:sz="4" w:space="0" w:color="auto"/>
              <w:bottom w:val="single" w:sz="4" w:space="0" w:color="000000"/>
              <w:right w:val="single" w:sz="4" w:space="0" w:color="auto"/>
            </w:tcBorders>
            <w:shd w:val="clear" w:color="auto" w:fill="auto"/>
            <w:vAlign w:val="bottom"/>
            <w:hideMark/>
          </w:tcPr>
          <w:p w14:paraId="6B1C4447" w14:textId="77777777" w:rsidR="00CB2E14" w:rsidRPr="00882F2F" w:rsidRDefault="00CB2E14" w:rsidP="00CB2E14">
            <w:pPr>
              <w:spacing w:after="0" w:line="240" w:lineRule="auto"/>
              <w:jc w:val="center"/>
              <w:rPr>
                <w:rFonts w:eastAsia="Times New Roman" w:cstheme="minorHAnsi"/>
                <w:b/>
                <w:bCs/>
                <w:i/>
                <w:iCs/>
                <w:sz w:val="18"/>
                <w:szCs w:val="18"/>
              </w:rPr>
            </w:pPr>
            <w:r w:rsidRPr="00882F2F">
              <w:rPr>
                <w:rFonts w:eastAsia="Times New Roman" w:cstheme="minorHAnsi"/>
                <w:b/>
                <w:bCs/>
                <w:i/>
                <w:iCs/>
                <w:sz w:val="18"/>
                <w:szCs w:val="18"/>
              </w:rPr>
              <w:t>Promjena u % 2022/2021</w:t>
            </w:r>
          </w:p>
        </w:tc>
        <w:tc>
          <w:tcPr>
            <w:tcW w:w="1417" w:type="dxa"/>
            <w:vMerge w:val="restart"/>
            <w:tcBorders>
              <w:top w:val="single" w:sz="8" w:space="0" w:color="auto"/>
              <w:left w:val="single" w:sz="4" w:space="0" w:color="auto"/>
              <w:bottom w:val="single" w:sz="4" w:space="0" w:color="000000"/>
              <w:right w:val="single" w:sz="8" w:space="0" w:color="auto"/>
            </w:tcBorders>
            <w:shd w:val="clear" w:color="auto" w:fill="auto"/>
            <w:vAlign w:val="bottom"/>
            <w:hideMark/>
          </w:tcPr>
          <w:p w14:paraId="367446B0" w14:textId="77777777" w:rsidR="00CB2E14" w:rsidRPr="00882F2F" w:rsidRDefault="00CB2E14" w:rsidP="00CB2E14">
            <w:pPr>
              <w:spacing w:after="0" w:line="240" w:lineRule="auto"/>
              <w:jc w:val="center"/>
              <w:rPr>
                <w:rFonts w:eastAsia="Times New Roman" w:cstheme="minorHAnsi"/>
                <w:b/>
                <w:bCs/>
                <w:i/>
                <w:iCs/>
                <w:sz w:val="18"/>
                <w:szCs w:val="18"/>
              </w:rPr>
            </w:pPr>
            <w:r w:rsidRPr="00882F2F">
              <w:rPr>
                <w:rFonts w:eastAsia="Times New Roman" w:cstheme="minorHAnsi"/>
                <w:b/>
                <w:bCs/>
                <w:i/>
                <w:iCs/>
                <w:sz w:val="18"/>
                <w:szCs w:val="18"/>
              </w:rPr>
              <w:t>Promjena u % Q2 2023/2022</w:t>
            </w:r>
          </w:p>
        </w:tc>
      </w:tr>
      <w:tr w:rsidR="00CB2E14" w:rsidRPr="00882F2F" w14:paraId="544EA83D" w14:textId="77777777" w:rsidTr="004D5210">
        <w:trPr>
          <w:trHeight w:val="450"/>
        </w:trPr>
        <w:tc>
          <w:tcPr>
            <w:tcW w:w="3371" w:type="dxa"/>
            <w:vMerge/>
            <w:tcBorders>
              <w:top w:val="single" w:sz="8" w:space="0" w:color="auto"/>
              <w:left w:val="single" w:sz="8" w:space="0" w:color="auto"/>
              <w:bottom w:val="single" w:sz="4" w:space="0" w:color="000000"/>
              <w:right w:val="single" w:sz="4" w:space="0" w:color="auto"/>
            </w:tcBorders>
            <w:vAlign w:val="center"/>
            <w:hideMark/>
          </w:tcPr>
          <w:p w14:paraId="1CDC5A59" w14:textId="77777777" w:rsidR="00CB2E14" w:rsidRPr="00882F2F" w:rsidRDefault="00CB2E14" w:rsidP="00CB2E14">
            <w:pPr>
              <w:spacing w:after="0" w:line="240" w:lineRule="auto"/>
              <w:rPr>
                <w:rFonts w:eastAsia="Times New Roman" w:cstheme="minorHAnsi"/>
                <w:b/>
                <w:bCs/>
                <w:sz w:val="18"/>
                <w:szCs w:val="18"/>
              </w:rPr>
            </w:pPr>
          </w:p>
        </w:tc>
        <w:tc>
          <w:tcPr>
            <w:tcW w:w="858" w:type="dxa"/>
            <w:vMerge/>
            <w:tcBorders>
              <w:top w:val="single" w:sz="8" w:space="0" w:color="auto"/>
              <w:left w:val="single" w:sz="4" w:space="0" w:color="auto"/>
              <w:bottom w:val="single" w:sz="4" w:space="0" w:color="000000"/>
              <w:right w:val="single" w:sz="4" w:space="0" w:color="auto"/>
            </w:tcBorders>
            <w:vAlign w:val="center"/>
            <w:hideMark/>
          </w:tcPr>
          <w:p w14:paraId="4C82CCBE" w14:textId="77777777" w:rsidR="00CB2E14" w:rsidRPr="00882F2F" w:rsidRDefault="00CB2E14" w:rsidP="00CB2E14">
            <w:pPr>
              <w:spacing w:after="0" w:line="240" w:lineRule="auto"/>
              <w:jc w:val="center"/>
              <w:rPr>
                <w:rFonts w:eastAsia="Times New Roman" w:cstheme="minorHAnsi"/>
                <w:b/>
                <w:bCs/>
                <w:sz w:val="18"/>
                <w:szCs w:val="18"/>
              </w:rPr>
            </w:pPr>
          </w:p>
        </w:tc>
        <w:tc>
          <w:tcPr>
            <w:tcW w:w="992" w:type="dxa"/>
            <w:vMerge/>
            <w:tcBorders>
              <w:top w:val="single" w:sz="8" w:space="0" w:color="auto"/>
              <w:left w:val="single" w:sz="4" w:space="0" w:color="auto"/>
              <w:bottom w:val="single" w:sz="4" w:space="0" w:color="000000"/>
              <w:right w:val="single" w:sz="4" w:space="0" w:color="auto"/>
            </w:tcBorders>
            <w:vAlign w:val="center"/>
            <w:hideMark/>
          </w:tcPr>
          <w:p w14:paraId="50F568A5" w14:textId="77777777" w:rsidR="00CB2E14" w:rsidRPr="00882F2F" w:rsidRDefault="00CB2E14" w:rsidP="00CB2E14">
            <w:pPr>
              <w:spacing w:after="0" w:line="240" w:lineRule="auto"/>
              <w:jc w:val="center"/>
              <w:rPr>
                <w:rFonts w:eastAsia="Times New Roman" w:cstheme="minorHAnsi"/>
                <w:b/>
                <w:bCs/>
                <w:sz w:val="18"/>
                <w:szCs w:val="18"/>
              </w:rPr>
            </w:pPr>
          </w:p>
        </w:tc>
        <w:tc>
          <w:tcPr>
            <w:tcW w:w="1134" w:type="dxa"/>
            <w:vMerge/>
            <w:tcBorders>
              <w:top w:val="single" w:sz="8" w:space="0" w:color="auto"/>
              <w:left w:val="single" w:sz="4" w:space="0" w:color="auto"/>
              <w:bottom w:val="single" w:sz="4" w:space="0" w:color="000000"/>
              <w:right w:val="single" w:sz="4" w:space="0" w:color="auto"/>
            </w:tcBorders>
            <w:vAlign w:val="center"/>
            <w:hideMark/>
          </w:tcPr>
          <w:p w14:paraId="71BC50B0" w14:textId="77777777" w:rsidR="00CB2E14" w:rsidRPr="00882F2F" w:rsidRDefault="00CB2E14" w:rsidP="00CB2E14">
            <w:pPr>
              <w:spacing w:after="0" w:line="240" w:lineRule="auto"/>
              <w:jc w:val="center"/>
              <w:rPr>
                <w:rFonts w:eastAsia="Times New Roman" w:cstheme="minorHAnsi"/>
                <w:b/>
                <w:bCs/>
                <w:sz w:val="18"/>
                <w:szCs w:val="18"/>
              </w:rPr>
            </w:pPr>
          </w:p>
        </w:tc>
        <w:tc>
          <w:tcPr>
            <w:tcW w:w="1418" w:type="dxa"/>
            <w:vMerge/>
            <w:tcBorders>
              <w:top w:val="single" w:sz="8" w:space="0" w:color="auto"/>
              <w:left w:val="single" w:sz="4" w:space="0" w:color="auto"/>
              <w:bottom w:val="single" w:sz="4" w:space="0" w:color="000000"/>
              <w:right w:val="single" w:sz="4" w:space="0" w:color="auto"/>
            </w:tcBorders>
            <w:vAlign w:val="center"/>
            <w:hideMark/>
          </w:tcPr>
          <w:p w14:paraId="60706C77" w14:textId="77777777" w:rsidR="00CB2E14" w:rsidRPr="00882F2F" w:rsidRDefault="00CB2E14" w:rsidP="00CB2E14">
            <w:pPr>
              <w:spacing w:after="0" w:line="240" w:lineRule="auto"/>
              <w:jc w:val="center"/>
              <w:rPr>
                <w:rFonts w:eastAsia="Times New Roman" w:cstheme="minorHAnsi"/>
                <w:b/>
                <w:bCs/>
                <w:i/>
                <w:iCs/>
                <w:sz w:val="18"/>
                <w:szCs w:val="18"/>
              </w:rPr>
            </w:pPr>
          </w:p>
        </w:tc>
        <w:tc>
          <w:tcPr>
            <w:tcW w:w="1417" w:type="dxa"/>
            <w:vMerge/>
            <w:tcBorders>
              <w:top w:val="single" w:sz="8" w:space="0" w:color="auto"/>
              <w:left w:val="single" w:sz="4" w:space="0" w:color="auto"/>
              <w:bottom w:val="single" w:sz="4" w:space="0" w:color="000000"/>
              <w:right w:val="single" w:sz="8" w:space="0" w:color="auto"/>
            </w:tcBorders>
            <w:vAlign w:val="center"/>
            <w:hideMark/>
          </w:tcPr>
          <w:p w14:paraId="53FE0D3C" w14:textId="77777777" w:rsidR="00CB2E14" w:rsidRPr="00882F2F" w:rsidRDefault="00CB2E14" w:rsidP="00CB2E14">
            <w:pPr>
              <w:spacing w:after="0" w:line="240" w:lineRule="auto"/>
              <w:jc w:val="center"/>
              <w:rPr>
                <w:rFonts w:eastAsia="Times New Roman" w:cstheme="minorHAnsi"/>
                <w:b/>
                <w:bCs/>
                <w:i/>
                <w:iCs/>
                <w:sz w:val="18"/>
                <w:szCs w:val="18"/>
              </w:rPr>
            </w:pPr>
          </w:p>
        </w:tc>
      </w:tr>
      <w:tr w:rsidR="00CB2E14" w:rsidRPr="00882F2F" w14:paraId="4BCE1E8E" w14:textId="77777777" w:rsidTr="004D5210">
        <w:trPr>
          <w:trHeight w:val="20"/>
        </w:trPr>
        <w:tc>
          <w:tcPr>
            <w:tcW w:w="3371" w:type="dxa"/>
            <w:tcBorders>
              <w:top w:val="nil"/>
              <w:left w:val="single" w:sz="8" w:space="0" w:color="auto"/>
              <w:bottom w:val="single" w:sz="4" w:space="0" w:color="auto"/>
              <w:right w:val="single" w:sz="4" w:space="0" w:color="auto"/>
            </w:tcBorders>
            <w:shd w:val="clear" w:color="000000" w:fill="D9D9D9"/>
            <w:vAlign w:val="bottom"/>
            <w:hideMark/>
          </w:tcPr>
          <w:p w14:paraId="68990626" w14:textId="77777777" w:rsidR="00CB2E14" w:rsidRPr="00882F2F" w:rsidRDefault="00CB2E14" w:rsidP="00CB2E14">
            <w:pPr>
              <w:spacing w:after="0" w:line="240" w:lineRule="auto"/>
              <w:rPr>
                <w:rFonts w:eastAsia="Times New Roman" w:cstheme="minorHAnsi"/>
                <w:b/>
                <w:bCs/>
                <w:sz w:val="18"/>
                <w:szCs w:val="18"/>
              </w:rPr>
            </w:pPr>
            <w:r w:rsidRPr="00882F2F">
              <w:rPr>
                <w:rFonts w:eastAsia="Times New Roman" w:cstheme="minorHAnsi"/>
                <w:b/>
                <w:bCs/>
                <w:sz w:val="18"/>
                <w:szCs w:val="18"/>
              </w:rPr>
              <w:t xml:space="preserve"> 1. Međunarodna investiciona pozicija, neto </w:t>
            </w:r>
          </w:p>
        </w:tc>
        <w:tc>
          <w:tcPr>
            <w:tcW w:w="858" w:type="dxa"/>
            <w:tcBorders>
              <w:top w:val="nil"/>
              <w:left w:val="nil"/>
              <w:bottom w:val="single" w:sz="4" w:space="0" w:color="auto"/>
              <w:right w:val="single" w:sz="4" w:space="0" w:color="auto"/>
            </w:tcBorders>
            <w:shd w:val="clear" w:color="000000" w:fill="D9D9D9"/>
            <w:noWrap/>
            <w:vAlign w:val="bottom"/>
            <w:hideMark/>
          </w:tcPr>
          <w:p w14:paraId="518DBF6A" w14:textId="77777777" w:rsidR="00CB2E14" w:rsidRPr="00882F2F" w:rsidRDefault="00CB2E14" w:rsidP="00CB2E14">
            <w:pPr>
              <w:spacing w:after="0" w:line="240" w:lineRule="auto"/>
              <w:jc w:val="center"/>
              <w:rPr>
                <w:rFonts w:eastAsia="Times New Roman" w:cstheme="minorHAnsi"/>
                <w:b/>
                <w:bCs/>
                <w:sz w:val="18"/>
                <w:szCs w:val="18"/>
              </w:rPr>
            </w:pPr>
            <w:r w:rsidRPr="00882F2F">
              <w:rPr>
                <w:rFonts w:eastAsia="Times New Roman" w:cstheme="minorHAnsi"/>
                <w:b/>
                <w:bCs/>
                <w:sz w:val="18"/>
                <w:szCs w:val="18"/>
              </w:rPr>
              <w:t>-8.196,4</w:t>
            </w:r>
          </w:p>
        </w:tc>
        <w:tc>
          <w:tcPr>
            <w:tcW w:w="992" w:type="dxa"/>
            <w:tcBorders>
              <w:top w:val="nil"/>
              <w:left w:val="nil"/>
              <w:bottom w:val="single" w:sz="4" w:space="0" w:color="auto"/>
              <w:right w:val="single" w:sz="4" w:space="0" w:color="auto"/>
            </w:tcBorders>
            <w:shd w:val="clear" w:color="000000" w:fill="D9D9D9"/>
            <w:noWrap/>
            <w:vAlign w:val="bottom"/>
            <w:hideMark/>
          </w:tcPr>
          <w:p w14:paraId="45F516A8" w14:textId="77777777" w:rsidR="00CB2E14" w:rsidRPr="00882F2F" w:rsidRDefault="00CB2E14" w:rsidP="00CB2E14">
            <w:pPr>
              <w:spacing w:after="0" w:line="240" w:lineRule="auto"/>
              <w:jc w:val="center"/>
              <w:rPr>
                <w:rFonts w:eastAsia="Times New Roman" w:cstheme="minorHAnsi"/>
                <w:b/>
                <w:bCs/>
                <w:sz w:val="18"/>
                <w:szCs w:val="18"/>
              </w:rPr>
            </w:pPr>
            <w:r w:rsidRPr="00882F2F">
              <w:rPr>
                <w:rFonts w:eastAsia="Times New Roman" w:cstheme="minorHAnsi"/>
                <w:b/>
                <w:bCs/>
                <w:sz w:val="18"/>
                <w:szCs w:val="18"/>
              </w:rPr>
              <w:t>-7.702,9</w:t>
            </w:r>
          </w:p>
        </w:tc>
        <w:tc>
          <w:tcPr>
            <w:tcW w:w="1134" w:type="dxa"/>
            <w:tcBorders>
              <w:top w:val="nil"/>
              <w:left w:val="nil"/>
              <w:bottom w:val="single" w:sz="4" w:space="0" w:color="auto"/>
              <w:right w:val="single" w:sz="4" w:space="0" w:color="auto"/>
            </w:tcBorders>
            <w:shd w:val="clear" w:color="000000" w:fill="D9D9D9"/>
            <w:noWrap/>
            <w:vAlign w:val="bottom"/>
            <w:hideMark/>
          </w:tcPr>
          <w:p w14:paraId="6672FA01" w14:textId="77777777" w:rsidR="00CB2E14" w:rsidRPr="00882F2F" w:rsidRDefault="00CB2E14" w:rsidP="00CB2E14">
            <w:pPr>
              <w:spacing w:after="0" w:line="240" w:lineRule="auto"/>
              <w:jc w:val="center"/>
              <w:rPr>
                <w:rFonts w:eastAsia="Times New Roman" w:cstheme="minorHAnsi"/>
                <w:b/>
                <w:bCs/>
                <w:sz w:val="18"/>
                <w:szCs w:val="18"/>
              </w:rPr>
            </w:pPr>
            <w:r w:rsidRPr="00882F2F">
              <w:rPr>
                <w:rFonts w:eastAsia="Times New Roman" w:cstheme="minorHAnsi"/>
                <w:b/>
                <w:bCs/>
                <w:sz w:val="18"/>
                <w:szCs w:val="18"/>
              </w:rPr>
              <w:t>-7.477,6</w:t>
            </w:r>
          </w:p>
        </w:tc>
        <w:tc>
          <w:tcPr>
            <w:tcW w:w="1418" w:type="dxa"/>
            <w:tcBorders>
              <w:top w:val="nil"/>
              <w:left w:val="nil"/>
              <w:bottom w:val="single" w:sz="4" w:space="0" w:color="auto"/>
              <w:right w:val="single" w:sz="4" w:space="0" w:color="auto"/>
            </w:tcBorders>
            <w:shd w:val="clear" w:color="000000" w:fill="D9D9D9"/>
            <w:noWrap/>
            <w:vAlign w:val="bottom"/>
            <w:hideMark/>
          </w:tcPr>
          <w:p w14:paraId="63EDE36F" w14:textId="77777777" w:rsidR="00CB2E14" w:rsidRPr="00882F2F" w:rsidRDefault="00CB2E14" w:rsidP="00CB2E14">
            <w:pPr>
              <w:spacing w:after="0" w:line="240" w:lineRule="auto"/>
              <w:jc w:val="center"/>
              <w:rPr>
                <w:rFonts w:eastAsia="Times New Roman" w:cstheme="minorHAnsi"/>
                <w:b/>
                <w:bCs/>
                <w:sz w:val="18"/>
                <w:szCs w:val="18"/>
              </w:rPr>
            </w:pPr>
            <w:r w:rsidRPr="00882F2F">
              <w:rPr>
                <w:rFonts w:eastAsia="Times New Roman" w:cstheme="minorHAnsi"/>
                <w:b/>
                <w:bCs/>
                <w:sz w:val="18"/>
                <w:szCs w:val="18"/>
              </w:rPr>
              <w:t>-6,0%</w:t>
            </w:r>
          </w:p>
        </w:tc>
        <w:tc>
          <w:tcPr>
            <w:tcW w:w="1417" w:type="dxa"/>
            <w:tcBorders>
              <w:top w:val="nil"/>
              <w:left w:val="nil"/>
              <w:bottom w:val="single" w:sz="4" w:space="0" w:color="auto"/>
              <w:right w:val="single" w:sz="8" w:space="0" w:color="auto"/>
            </w:tcBorders>
            <w:shd w:val="clear" w:color="000000" w:fill="D9D9D9"/>
            <w:noWrap/>
            <w:vAlign w:val="bottom"/>
            <w:hideMark/>
          </w:tcPr>
          <w:p w14:paraId="383B08D1" w14:textId="77777777" w:rsidR="00CB2E14" w:rsidRPr="00882F2F" w:rsidRDefault="00CB2E14" w:rsidP="00CB2E14">
            <w:pPr>
              <w:spacing w:after="0" w:line="240" w:lineRule="auto"/>
              <w:jc w:val="center"/>
              <w:rPr>
                <w:rFonts w:eastAsia="Times New Roman" w:cstheme="minorHAnsi"/>
                <w:b/>
                <w:bCs/>
                <w:sz w:val="18"/>
                <w:szCs w:val="18"/>
              </w:rPr>
            </w:pPr>
            <w:r w:rsidRPr="00882F2F">
              <w:rPr>
                <w:rFonts w:eastAsia="Times New Roman" w:cstheme="minorHAnsi"/>
                <w:b/>
                <w:bCs/>
                <w:sz w:val="18"/>
                <w:szCs w:val="18"/>
              </w:rPr>
              <w:t>-2,9%</w:t>
            </w:r>
          </w:p>
        </w:tc>
      </w:tr>
      <w:tr w:rsidR="00CB2E14" w:rsidRPr="00882F2F" w14:paraId="28C28D6A" w14:textId="77777777" w:rsidTr="004D5210">
        <w:trPr>
          <w:trHeight w:val="20"/>
        </w:trPr>
        <w:tc>
          <w:tcPr>
            <w:tcW w:w="3371" w:type="dxa"/>
            <w:tcBorders>
              <w:top w:val="nil"/>
              <w:left w:val="single" w:sz="8" w:space="0" w:color="auto"/>
              <w:bottom w:val="single" w:sz="4" w:space="0" w:color="auto"/>
              <w:right w:val="single" w:sz="4" w:space="0" w:color="auto"/>
            </w:tcBorders>
            <w:shd w:val="clear" w:color="000000" w:fill="D9D9D9"/>
            <w:vAlign w:val="bottom"/>
            <w:hideMark/>
          </w:tcPr>
          <w:p w14:paraId="3D770541" w14:textId="77777777" w:rsidR="00CB2E14" w:rsidRPr="00882F2F" w:rsidRDefault="00CB2E14" w:rsidP="00CB2E14">
            <w:pPr>
              <w:spacing w:after="0" w:line="240" w:lineRule="auto"/>
              <w:rPr>
                <w:rFonts w:eastAsia="Times New Roman" w:cstheme="minorHAnsi"/>
                <w:b/>
                <w:bCs/>
                <w:sz w:val="18"/>
                <w:szCs w:val="18"/>
              </w:rPr>
            </w:pPr>
            <w:r w:rsidRPr="00882F2F">
              <w:rPr>
                <w:rFonts w:eastAsia="Times New Roman" w:cstheme="minorHAnsi"/>
                <w:b/>
                <w:bCs/>
                <w:sz w:val="18"/>
                <w:szCs w:val="18"/>
              </w:rPr>
              <w:t xml:space="preserve"> 2. Sredstva </w:t>
            </w:r>
          </w:p>
        </w:tc>
        <w:tc>
          <w:tcPr>
            <w:tcW w:w="858" w:type="dxa"/>
            <w:tcBorders>
              <w:top w:val="nil"/>
              <w:left w:val="nil"/>
              <w:bottom w:val="single" w:sz="4" w:space="0" w:color="auto"/>
              <w:right w:val="single" w:sz="4" w:space="0" w:color="auto"/>
            </w:tcBorders>
            <w:shd w:val="clear" w:color="000000" w:fill="D9D9D9"/>
            <w:noWrap/>
            <w:vAlign w:val="bottom"/>
            <w:hideMark/>
          </w:tcPr>
          <w:p w14:paraId="1A115606" w14:textId="77777777" w:rsidR="00CB2E14" w:rsidRPr="00882F2F" w:rsidRDefault="00CB2E14" w:rsidP="00CB2E14">
            <w:pPr>
              <w:spacing w:after="0" w:line="240" w:lineRule="auto"/>
              <w:jc w:val="center"/>
              <w:rPr>
                <w:rFonts w:eastAsia="Times New Roman" w:cstheme="minorHAnsi"/>
                <w:b/>
                <w:bCs/>
                <w:sz w:val="18"/>
                <w:szCs w:val="18"/>
              </w:rPr>
            </w:pPr>
            <w:r w:rsidRPr="00882F2F">
              <w:rPr>
                <w:rFonts w:eastAsia="Times New Roman" w:cstheme="minorHAnsi"/>
                <w:b/>
                <w:bCs/>
                <w:sz w:val="18"/>
                <w:szCs w:val="18"/>
              </w:rPr>
              <w:t>3.861,7</w:t>
            </w:r>
          </w:p>
        </w:tc>
        <w:tc>
          <w:tcPr>
            <w:tcW w:w="992" w:type="dxa"/>
            <w:tcBorders>
              <w:top w:val="nil"/>
              <w:left w:val="nil"/>
              <w:bottom w:val="single" w:sz="4" w:space="0" w:color="auto"/>
              <w:right w:val="single" w:sz="4" w:space="0" w:color="auto"/>
            </w:tcBorders>
            <w:shd w:val="clear" w:color="000000" w:fill="D9D9D9"/>
            <w:noWrap/>
            <w:vAlign w:val="bottom"/>
            <w:hideMark/>
          </w:tcPr>
          <w:p w14:paraId="261DDBA1" w14:textId="77777777" w:rsidR="00CB2E14" w:rsidRPr="00882F2F" w:rsidRDefault="00CB2E14" w:rsidP="00CB2E14">
            <w:pPr>
              <w:spacing w:after="0" w:line="240" w:lineRule="auto"/>
              <w:jc w:val="center"/>
              <w:rPr>
                <w:rFonts w:eastAsia="Times New Roman" w:cstheme="minorHAnsi"/>
                <w:b/>
                <w:bCs/>
                <w:sz w:val="18"/>
                <w:szCs w:val="18"/>
              </w:rPr>
            </w:pPr>
            <w:r w:rsidRPr="00882F2F">
              <w:rPr>
                <w:rFonts w:eastAsia="Times New Roman" w:cstheme="minorHAnsi"/>
                <w:b/>
                <w:bCs/>
                <w:sz w:val="18"/>
                <w:szCs w:val="18"/>
              </w:rPr>
              <w:t>4.484,9</w:t>
            </w:r>
          </w:p>
        </w:tc>
        <w:tc>
          <w:tcPr>
            <w:tcW w:w="1134" w:type="dxa"/>
            <w:tcBorders>
              <w:top w:val="nil"/>
              <w:left w:val="nil"/>
              <w:bottom w:val="single" w:sz="4" w:space="0" w:color="auto"/>
              <w:right w:val="single" w:sz="4" w:space="0" w:color="auto"/>
            </w:tcBorders>
            <w:shd w:val="clear" w:color="000000" w:fill="D9D9D9"/>
            <w:noWrap/>
            <w:vAlign w:val="bottom"/>
            <w:hideMark/>
          </w:tcPr>
          <w:p w14:paraId="627F72D9" w14:textId="77777777" w:rsidR="00CB2E14" w:rsidRPr="00882F2F" w:rsidRDefault="00CB2E14" w:rsidP="00CB2E14">
            <w:pPr>
              <w:spacing w:after="0" w:line="240" w:lineRule="auto"/>
              <w:jc w:val="center"/>
              <w:rPr>
                <w:rFonts w:eastAsia="Times New Roman" w:cstheme="minorHAnsi"/>
                <w:b/>
                <w:bCs/>
                <w:sz w:val="18"/>
                <w:szCs w:val="18"/>
              </w:rPr>
            </w:pPr>
            <w:r w:rsidRPr="00882F2F">
              <w:rPr>
                <w:rFonts w:eastAsia="Times New Roman" w:cstheme="minorHAnsi"/>
                <w:b/>
                <w:bCs/>
                <w:sz w:val="18"/>
                <w:szCs w:val="18"/>
              </w:rPr>
              <w:t>4.835,7</w:t>
            </w:r>
          </w:p>
        </w:tc>
        <w:tc>
          <w:tcPr>
            <w:tcW w:w="1418" w:type="dxa"/>
            <w:tcBorders>
              <w:top w:val="nil"/>
              <w:left w:val="nil"/>
              <w:bottom w:val="single" w:sz="4" w:space="0" w:color="auto"/>
              <w:right w:val="single" w:sz="4" w:space="0" w:color="auto"/>
            </w:tcBorders>
            <w:shd w:val="clear" w:color="000000" w:fill="D9D9D9"/>
            <w:noWrap/>
            <w:vAlign w:val="bottom"/>
            <w:hideMark/>
          </w:tcPr>
          <w:p w14:paraId="4E65D3FC" w14:textId="77777777" w:rsidR="00CB2E14" w:rsidRPr="00882F2F" w:rsidRDefault="00CB2E14" w:rsidP="00CB2E14">
            <w:pPr>
              <w:spacing w:after="0" w:line="240" w:lineRule="auto"/>
              <w:jc w:val="center"/>
              <w:rPr>
                <w:rFonts w:eastAsia="Times New Roman" w:cstheme="minorHAnsi"/>
                <w:b/>
                <w:bCs/>
                <w:sz w:val="18"/>
                <w:szCs w:val="18"/>
              </w:rPr>
            </w:pPr>
            <w:r w:rsidRPr="00882F2F">
              <w:rPr>
                <w:rFonts w:eastAsia="Times New Roman" w:cstheme="minorHAnsi"/>
                <w:b/>
                <w:bCs/>
                <w:sz w:val="18"/>
                <w:szCs w:val="18"/>
              </w:rPr>
              <w:t>16,1%</w:t>
            </w:r>
          </w:p>
        </w:tc>
        <w:tc>
          <w:tcPr>
            <w:tcW w:w="1417" w:type="dxa"/>
            <w:tcBorders>
              <w:top w:val="nil"/>
              <w:left w:val="nil"/>
              <w:bottom w:val="single" w:sz="4" w:space="0" w:color="auto"/>
              <w:right w:val="single" w:sz="8" w:space="0" w:color="auto"/>
            </w:tcBorders>
            <w:shd w:val="clear" w:color="000000" w:fill="D9D9D9"/>
            <w:noWrap/>
            <w:vAlign w:val="bottom"/>
            <w:hideMark/>
          </w:tcPr>
          <w:p w14:paraId="33824CA1" w14:textId="77777777" w:rsidR="00CB2E14" w:rsidRPr="00882F2F" w:rsidRDefault="00CB2E14" w:rsidP="00CB2E14">
            <w:pPr>
              <w:spacing w:after="0" w:line="240" w:lineRule="auto"/>
              <w:jc w:val="center"/>
              <w:rPr>
                <w:rFonts w:eastAsia="Times New Roman" w:cstheme="minorHAnsi"/>
                <w:b/>
                <w:bCs/>
                <w:sz w:val="18"/>
                <w:szCs w:val="18"/>
              </w:rPr>
            </w:pPr>
            <w:r w:rsidRPr="00882F2F">
              <w:rPr>
                <w:rFonts w:eastAsia="Times New Roman" w:cstheme="minorHAnsi"/>
                <w:b/>
                <w:bCs/>
                <w:sz w:val="18"/>
                <w:szCs w:val="18"/>
              </w:rPr>
              <w:t>7,8%</w:t>
            </w:r>
          </w:p>
        </w:tc>
      </w:tr>
      <w:tr w:rsidR="00CB2E14" w:rsidRPr="00882F2F" w14:paraId="7803EC51" w14:textId="77777777" w:rsidTr="004D5210">
        <w:trPr>
          <w:trHeight w:val="20"/>
        </w:trPr>
        <w:tc>
          <w:tcPr>
            <w:tcW w:w="3371" w:type="dxa"/>
            <w:tcBorders>
              <w:top w:val="nil"/>
              <w:left w:val="single" w:sz="8" w:space="0" w:color="auto"/>
              <w:bottom w:val="single" w:sz="4" w:space="0" w:color="auto"/>
              <w:right w:val="single" w:sz="4" w:space="0" w:color="auto"/>
            </w:tcBorders>
            <w:shd w:val="clear" w:color="000000" w:fill="F2F2F2"/>
            <w:hideMark/>
          </w:tcPr>
          <w:p w14:paraId="4AB7D594" w14:textId="77777777" w:rsidR="00CB2E14" w:rsidRPr="00882F2F" w:rsidRDefault="00CB2E14" w:rsidP="00CB2E14">
            <w:pPr>
              <w:spacing w:after="0" w:line="240" w:lineRule="auto"/>
              <w:ind w:firstLineChars="200" w:firstLine="360"/>
              <w:rPr>
                <w:rFonts w:eastAsia="Times New Roman" w:cstheme="minorHAnsi"/>
                <w:sz w:val="18"/>
                <w:szCs w:val="18"/>
              </w:rPr>
            </w:pPr>
            <w:r w:rsidRPr="00882F2F">
              <w:rPr>
                <w:rFonts w:eastAsia="Times New Roman" w:cstheme="minorHAnsi"/>
                <w:sz w:val="18"/>
                <w:szCs w:val="18"/>
              </w:rPr>
              <w:t>2.1. Direktne investicije, neto</w:t>
            </w:r>
          </w:p>
        </w:tc>
        <w:tc>
          <w:tcPr>
            <w:tcW w:w="858" w:type="dxa"/>
            <w:tcBorders>
              <w:top w:val="nil"/>
              <w:left w:val="nil"/>
              <w:bottom w:val="single" w:sz="4" w:space="0" w:color="auto"/>
              <w:right w:val="single" w:sz="4" w:space="0" w:color="auto"/>
            </w:tcBorders>
            <w:shd w:val="clear" w:color="000000" w:fill="F2F2F2"/>
            <w:hideMark/>
          </w:tcPr>
          <w:p w14:paraId="09895FD7" w14:textId="77777777" w:rsidR="00CB2E14" w:rsidRPr="00882F2F" w:rsidRDefault="00CB2E14" w:rsidP="00CB2E14">
            <w:pPr>
              <w:spacing w:after="0" w:line="240" w:lineRule="auto"/>
              <w:jc w:val="center"/>
              <w:rPr>
                <w:rFonts w:eastAsia="Times New Roman" w:cstheme="minorHAnsi"/>
                <w:sz w:val="18"/>
                <w:szCs w:val="18"/>
              </w:rPr>
            </w:pPr>
            <w:r w:rsidRPr="00882F2F">
              <w:rPr>
                <w:rFonts w:eastAsia="Times New Roman" w:cstheme="minorHAnsi"/>
                <w:sz w:val="18"/>
                <w:szCs w:val="18"/>
              </w:rPr>
              <w:t>125,4</w:t>
            </w:r>
          </w:p>
        </w:tc>
        <w:tc>
          <w:tcPr>
            <w:tcW w:w="992" w:type="dxa"/>
            <w:tcBorders>
              <w:top w:val="nil"/>
              <w:left w:val="nil"/>
              <w:bottom w:val="single" w:sz="4" w:space="0" w:color="auto"/>
              <w:right w:val="single" w:sz="4" w:space="0" w:color="auto"/>
            </w:tcBorders>
            <w:shd w:val="clear" w:color="000000" w:fill="F2F2F2"/>
            <w:hideMark/>
          </w:tcPr>
          <w:p w14:paraId="762E831C" w14:textId="77777777" w:rsidR="00CB2E14" w:rsidRPr="00882F2F" w:rsidRDefault="00CB2E14" w:rsidP="00CB2E14">
            <w:pPr>
              <w:spacing w:after="0" w:line="240" w:lineRule="auto"/>
              <w:jc w:val="center"/>
              <w:rPr>
                <w:rFonts w:eastAsia="Times New Roman" w:cstheme="minorHAnsi"/>
                <w:sz w:val="18"/>
                <w:szCs w:val="18"/>
              </w:rPr>
            </w:pPr>
            <w:r w:rsidRPr="00882F2F">
              <w:rPr>
                <w:rFonts w:eastAsia="Times New Roman" w:cstheme="minorHAnsi"/>
                <w:sz w:val="18"/>
                <w:szCs w:val="18"/>
              </w:rPr>
              <w:t>198,2</w:t>
            </w:r>
          </w:p>
        </w:tc>
        <w:tc>
          <w:tcPr>
            <w:tcW w:w="1134" w:type="dxa"/>
            <w:tcBorders>
              <w:top w:val="nil"/>
              <w:left w:val="nil"/>
              <w:bottom w:val="single" w:sz="4" w:space="0" w:color="auto"/>
              <w:right w:val="single" w:sz="4" w:space="0" w:color="auto"/>
            </w:tcBorders>
            <w:shd w:val="clear" w:color="000000" w:fill="F2F2F2"/>
            <w:hideMark/>
          </w:tcPr>
          <w:p w14:paraId="7168B85D" w14:textId="77777777" w:rsidR="00CB2E14" w:rsidRPr="00882F2F" w:rsidRDefault="00CB2E14" w:rsidP="00CB2E14">
            <w:pPr>
              <w:spacing w:after="0" w:line="240" w:lineRule="auto"/>
              <w:jc w:val="center"/>
              <w:rPr>
                <w:rFonts w:eastAsia="Times New Roman" w:cstheme="minorHAnsi"/>
                <w:sz w:val="18"/>
                <w:szCs w:val="18"/>
              </w:rPr>
            </w:pPr>
            <w:r w:rsidRPr="00882F2F">
              <w:rPr>
                <w:rFonts w:eastAsia="Times New Roman" w:cstheme="minorHAnsi"/>
                <w:sz w:val="18"/>
                <w:szCs w:val="18"/>
              </w:rPr>
              <w:t>210,2</w:t>
            </w:r>
          </w:p>
        </w:tc>
        <w:tc>
          <w:tcPr>
            <w:tcW w:w="1418" w:type="dxa"/>
            <w:tcBorders>
              <w:top w:val="nil"/>
              <w:left w:val="nil"/>
              <w:bottom w:val="single" w:sz="4" w:space="0" w:color="auto"/>
              <w:right w:val="single" w:sz="4" w:space="0" w:color="auto"/>
            </w:tcBorders>
            <w:shd w:val="clear" w:color="000000" w:fill="F2F2F2"/>
            <w:hideMark/>
          </w:tcPr>
          <w:p w14:paraId="5975B6E7" w14:textId="77777777" w:rsidR="00CB2E14" w:rsidRPr="00882F2F" w:rsidRDefault="00CB2E14" w:rsidP="00CB2E14">
            <w:pPr>
              <w:spacing w:after="0" w:line="240" w:lineRule="auto"/>
              <w:jc w:val="center"/>
              <w:rPr>
                <w:rFonts w:eastAsia="Times New Roman" w:cstheme="minorHAnsi"/>
                <w:sz w:val="18"/>
                <w:szCs w:val="18"/>
              </w:rPr>
            </w:pPr>
            <w:r w:rsidRPr="00882F2F">
              <w:rPr>
                <w:rFonts w:eastAsia="Times New Roman" w:cstheme="minorHAnsi"/>
                <w:sz w:val="18"/>
                <w:szCs w:val="18"/>
              </w:rPr>
              <w:t>58,0%</w:t>
            </w:r>
          </w:p>
        </w:tc>
        <w:tc>
          <w:tcPr>
            <w:tcW w:w="1417" w:type="dxa"/>
            <w:tcBorders>
              <w:top w:val="nil"/>
              <w:left w:val="nil"/>
              <w:bottom w:val="single" w:sz="4" w:space="0" w:color="auto"/>
              <w:right w:val="single" w:sz="8" w:space="0" w:color="auto"/>
            </w:tcBorders>
            <w:shd w:val="clear" w:color="000000" w:fill="F2F2F2"/>
            <w:hideMark/>
          </w:tcPr>
          <w:p w14:paraId="13F6A425" w14:textId="77777777" w:rsidR="00CB2E14" w:rsidRPr="00882F2F" w:rsidRDefault="00CB2E14" w:rsidP="00CB2E14">
            <w:pPr>
              <w:spacing w:after="0" w:line="240" w:lineRule="auto"/>
              <w:jc w:val="center"/>
              <w:rPr>
                <w:rFonts w:eastAsia="Times New Roman" w:cstheme="minorHAnsi"/>
                <w:sz w:val="18"/>
                <w:szCs w:val="18"/>
              </w:rPr>
            </w:pPr>
            <w:r w:rsidRPr="00882F2F">
              <w:rPr>
                <w:rFonts w:eastAsia="Times New Roman" w:cstheme="minorHAnsi"/>
                <w:sz w:val="18"/>
                <w:szCs w:val="18"/>
              </w:rPr>
              <w:t>6,0%</w:t>
            </w:r>
          </w:p>
        </w:tc>
      </w:tr>
      <w:tr w:rsidR="00CB2E14" w:rsidRPr="00882F2F" w14:paraId="26FF3F86" w14:textId="77777777" w:rsidTr="004D5210">
        <w:trPr>
          <w:trHeight w:val="20"/>
        </w:trPr>
        <w:tc>
          <w:tcPr>
            <w:tcW w:w="3371" w:type="dxa"/>
            <w:tcBorders>
              <w:top w:val="nil"/>
              <w:left w:val="single" w:sz="8" w:space="0" w:color="auto"/>
              <w:bottom w:val="single" w:sz="4" w:space="0" w:color="auto"/>
              <w:right w:val="single" w:sz="4" w:space="0" w:color="auto"/>
            </w:tcBorders>
            <w:shd w:val="clear" w:color="000000" w:fill="F2F2F2"/>
            <w:hideMark/>
          </w:tcPr>
          <w:p w14:paraId="498DC734" w14:textId="77777777" w:rsidR="00CB2E14" w:rsidRPr="00882F2F" w:rsidRDefault="00CB2E14" w:rsidP="00CB2E14">
            <w:pPr>
              <w:spacing w:after="0" w:line="240" w:lineRule="auto"/>
              <w:ind w:firstLineChars="200" w:firstLine="360"/>
              <w:rPr>
                <w:rFonts w:eastAsia="Times New Roman" w:cstheme="minorHAnsi"/>
                <w:sz w:val="18"/>
                <w:szCs w:val="18"/>
              </w:rPr>
            </w:pPr>
            <w:r w:rsidRPr="00882F2F">
              <w:rPr>
                <w:rFonts w:eastAsia="Times New Roman" w:cstheme="minorHAnsi"/>
                <w:sz w:val="18"/>
                <w:szCs w:val="18"/>
              </w:rPr>
              <w:t>2.2. Portfolio investicije, neto</w:t>
            </w:r>
          </w:p>
        </w:tc>
        <w:tc>
          <w:tcPr>
            <w:tcW w:w="858" w:type="dxa"/>
            <w:tcBorders>
              <w:top w:val="nil"/>
              <w:left w:val="nil"/>
              <w:bottom w:val="single" w:sz="4" w:space="0" w:color="auto"/>
              <w:right w:val="single" w:sz="4" w:space="0" w:color="auto"/>
            </w:tcBorders>
            <w:shd w:val="clear" w:color="000000" w:fill="F2F2F2"/>
            <w:hideMark/>
          </w:tcPr>
          <w:p w14:paraId="5F1FDF65" w14:textId="77777777" w:rsidR="00CB2E14" w:rsidRPr="00882F2F" w:rsidRDefault="00CB2E14" w:rsidP="00CB2E14">
            <w:pPr>
              <w:spacing w:after="0" w:line="240" w:lineRule="auto"/>
              <w:jc w:val="center"/>
              <w:rPr>
                <w:rFonts w:eastAsia="Times New Roman" w:cstheme="minorHAnsi"/>
                <w:sz w:val="18"/>
                <w:szCs w:val="18"/>
              </w:rPr>
            </w:pPr>
            <w:r w:rsidRPr="00882F2F">
              <w:rPr>
                <w:rFonts w:eastAsia="Times New Roman" w:cstheme="minorHAnsi"/>
                <w:sz w:val="18"/>
                <w:szCs w:val="18"/>
              </w:rPr>
              <w:t>586,3</w:t>
            </w:r>
          </w:p>
        </w:tc>
        <w:tc>
          <w:tcPr>
            <w:tcW w:w="992" w:type="dxa"/>
            <w:tcBorders>
              <w:top w:val="nil"/>
              <w:left w:val="nil"/>
              <w:bottom w:val="single" w:sz="4" w:space="0" w:color="auto"/>
              <w:right w:val="single" w:sz="4" w:space="0" w:color="auto"/>
            </w:tcBorders>
            <w:shd w:val="clear" w:color="000000" w:fill="F2F2F2"/>
            <w:hideMark/>
          </w:tcPr>
          <w:p w14:paraId="64CA06CC" w14:textId="77777777" w:rsidR="00CB2E14" w:rsidRPr="00882F2F" w:rsidRDefault="00CB2E14" w:rsidP="00CB2E14">
            <w:pPr>
              <w:spacing w:after="0" w:line="240" w:lineRule="auto"/>
              <w:jc w:val="center"/>
              <w:rPr>
                <w:rFonts w:eastAsia="Times New Roman" w:cstheme="minorHAnsi"/>
                <w:sz w:val="18"/>
                <w:szCs w:val="18"/>
              </w:rPr>
            </w:pPr>
            <w:r w:rsidRPr="00882F2F">
              <w:rPr>
                <w:rFonts w:eastAsia="Times New Roman" w:cstheme="minorHAnsi"/>
                <w:sz w:val="18"/>
                <w:szCs w:val="18"/>
              </w:rPr>
              <w:t>761,5</w:t>
            </w:r>
          </w:p>
        </w:tc>
        <w:tc>
          <w:tcPr>
            <w:tcW w:w="1134" w:type="dxa"/>
            <w:tcBorders>
              <w:top w:val="nil"/>
              <w:left w:val="nil"/>
              <w:bottom w:val="single" w:sz="4" w:space="0" w:color="auto"/>
              <w:right w:val="single" w:sz="4" w:space="0" w:color="auto"/>
            </w:tcBorders>
            <w:shd w:val="clear" w:color="000000" w:fill="F2F2F2"/>
            <w:hideMark/>
          </w:tcPr>
          <w:p w14:paraId="3573A989" w14:textId="77777777" w:rsidR="00CB2E14" w:rsidRPr="00882F2F" w:rsidRDefault="00CB2E14" w:rsidP="00CB2E14">
            <w:pPr>
              <w:spacing w:after="0" w:line="240" w:lineRule="auto"/>
              <w:jc w:val="center"/>
              <w:rPr>
                <w:rFonts w:eastAsia="Times New Roman" w:cstheme="minorHAnsi"/>
                <w:sz w:val="18"/>
                <w:szCs w:val="18"/>
              </w:rPr>
            </w:pPr>
            <w:r w:rsidRPr="00882F2F">
              <w:rPr>
                <w:rFonts w:eastAsia="Times New Roman" w:cstheme="minorHAnsi"/>
                <w:sz w:val="18"/>
                <w:szCs w:val="18"/>
              </w:rPr>
              <w:t>1.146,5</w:t>
            </w:r>
          </w:p>
        </w:tc>
        <w:tc>
          <w:tcPr>
            <w:tcW w:w="1418" w:type="dxa"/>
            <w:tcBorders>
              <w:top w:val="nil"/>
              <w:left w:val="nil"/>
              <w:bottom w:val="single" w:sz="4" w:space="0" w:color="auto"/>
              <w:right w:val="single" w:sz="4" w:space="0" w:color="auto"/>
            </w:tcBorders>
            <w:shd w:val="clear" w:color="000000" w:fill="F2F2F2"/>
            <w:hideMark/>
          </w:tcPr>
          <w:p w14:paraId="313BB60D" w14:textId="77777777" w:rsidR="00CB2E14" w:rsidRPr="00882F2F" w:rsidRDefault="00CB2E14" w:rsidP="00CB2E14">
            <w:pPr>
              <w:spacing w:after="0" w:line="240" w:lineRule="auto"/>
              <w:jc w:val="center"/>
              <w:rPr>
                <w:rFonts w:eastAsia="Times New Roman" w:cstheme="minorHAnsi"/>
                <w:sz w:val="18"/>
                <w:szCs w:val="18"/>
              </w:rPr>
            </w:pPr>
            <w:r w:rsidRPr="00882F2F">
              <w:rPr>
                <w:rFonts w:eastAsia="Times New Roman" w:cstheme="minorHAnsi"/>
                <w:sz w:val="18"/>
                <w:szCs w:val="18"/>
              </w:rPr>
              <w:t>29,9%</w:t>
            </w:r>
          </w:p>
        </w:tc>
        <w:tc>
          <w:tcPr>
            <w:tcW w:w="1417" w:type="dxa"/>
            <w:tcBorders>
              <w:top w:val="nil"/>
              <w:left w:val="nil"/>
              <w:bottom w:val="single" w:sz="4" w:space="0" w:color="auto"/>
              <w:right w:val="single" w:sz="8" w:space="0" w:color="auto"/>
            </w:tcBorders>
            <w:shd w:val="clear" w:color="000000" w:fill="F2F2F2"/>
            <w:hideMark/>
          </w:tcPr>
          <w:p w14:paraId="5AC3DCEC" w14:textId="77777777" w:rsidR="00CB2E14" w:rsidRPr="00882F2F" w:rsidRDefault="00CB2E14" w:rsidP="00CB2E14">
            <w:pPr>
              <w:spacing w:after="0" w:line="240" w:lineRule="auto"/>
              <w:jc w:val="center"/>
              <w:rPr>
                <w:rFonts w:eastAsia="Times New Roman" w:cstheme="minorHAnsi"/>
                <w:sz w:val="18"/>
                <w:szCs w:val="18"/>
              </w:rPr>
            </w:pPr>
            <w:r w:rsidRPr="00882F2F">
              <w:rPr>
                <w:rFonts w:eastAsia="Times New Roman" w:cstheme="minorHAnsi"/>
                <w:sz w:val="18"/>
                <w:szCs w:val="18"/>
              </w:rPr>
              <w:t>50,6%</w:t>
            </w:r>
          </w:p>
        </w:tc>
      </w:tr>
      <w:tr w:rsidR="00CB2E14" w:rsidRPr="00882F2F" w14:paraId="7B2F69C7" w14:textId="77777777" w:rsidTr="004D5210">
        <w:trPr>
          <w:trHeight w:val="20"/>
        </w:trPr>
        <w:tc>
          <w:tcPr>
            <w:tcW w:w="3371" w:type="dxa"/>
            <w:tcBorders>
              <w:top w:val="nil"/>
              <w:left w:val="single" w:sz="8" w:space="0" w:color="auto"/>
              <w:bottom w:val="single" w:sz="4" w:space="0" w:color="auto"/>
              <w:right w:val="single" w:sz="4" w:space="0" w:color="auto"/>
            </w:tcBorders>
            <w:shd w:val="clear" w:color="000000" w:fill="F2F2F2"/>
            <w:hideMark/>
          </w:tcPr>
          <w:p w14:paraId="2934BFD6" w14:textId="77777777" w:rsidR="00CB2E14" w:rsidRPr="00882F2F" w:rsidRDefault="00CB2E14" w:rsidP="00CB2E14">
            <w:pPr>
              <w:spacing w:after="0" w:line="240" w:lineRule="auto"/>
              <w:ind w:firstLineChars="200" w:firstLine="360"/>
              <w:rPr>
                <w:rFonts w:eastAsia="Times New Roman" w:cstheme="minorHAnsi"/>
                <w:sz w:val="18"/>
                <w:szCs w:val="18"/>
              </w:rPr>
            </w:pPr>
            <w:r w:rsidRPr="00882F2F">
              <w:rPr>
                <w:rFonts w:eastAsia="Times New Roman" w:cstheme="minorHAnsi"/>
                <w:sz w:val="18"/>
                <w:szCs w:val="18"/>
              </w:rPr>
              <w:t>2.3. Finansijski derivati</w:t>
            </w:r>
          </w:p>
        </w:tc>
        <w:tc>
          <w:tcPr>
            <w:tcW w:w="858" w:type="dxa"/>
            <w:tcBorders>
              <w:top w:val="nil"/>
              <w:left w:val="nil"/>
              <w:bottom w:val="single" w:sz="4" w:space="0" w:color="auto"/>
              <w:right w:val="single" w:sz="4" w:space="0" w:color="auto"/>
            </w:tcBorders>
            <w:shd w:val="clear" w:color="000000" w:fill="F2F2F2"/>
            <w:hideMark/>
          </w:tcPr>
          <w:p w14:paraId="67B04B82" w14:textId="77777777" w:rsidR="00CB2E14" w:rsidRPr="00882F2F" w:rsidRDefault="00CB2E14" w:rsidP="00CB2E14">
            <w:pPr>
              <w:spacing w:after="0" w:line="240" w:lineRule="auto"/>
              <w:jc w:val="center"/>
              <w:rPr>
                <w:rFonts w:eastAsia="Times New Roman" w:cstheme="minorHAnsi"/>
                <w:sz w:val="18"/>
                <w:szCs w:val="18"/>
              </w:rPr>
            </w:pPr>
            <w:r w:rsidRPr="00882F2F">
              <w:rPr>
                <w:rFonts w:eastAsia="Times New Roman" w:cstheme="minorHAnsi"/>
                <w:sz w:val="18"/>
                <w:szCs w:val="18"/>
              </w:rPr>
              <w:t>0,0</w:t>
            </w:r>
          </w:p>
        </w:tc>
        <w:tc>
          <w:tcPr>
            <w:tcW w:w="992" w:type="dxa"/>
            <w:tcBorders>
              <w:top w:val="nil"/>
              <w:left w:val="nil"/>
              <w:bottom w:val="single" w:sz="4" w:space="0" w:color="auto"/>
              <w:right w:val="single" w:sz="4" w:space="0" w:color="auto"/>
            </w:tcBorders>
            <w:shd w:val="clear" w:color="000000" w:fill="F2F2F2"/>
            <w:hideMark/>
          </w:tcPr>
          <w:p w14:paraId="714DA11A" w14:textId="77777777" w:rsidR="00CB2E14" w:rsidRPr="00882F2F" w:rsidRDefault="00CB2E14" w:rsidP="00CB2E14">
            <w:pPr>
              <w:spacing w:after="0" w:line="240" w:lineRule="auto"/>
              <w:jc w:val="center"/>
              <w:rPr>
                <w:rFonts w:eastAsia="Times New Roman" w:cstheme="minorHAnsi"/>
                <w:sz w:val="18"/>
                <w:szCs w:val="18"/>
              </w:rPr>
            </w:pPr>
            <w:r w:rsidRPr="00882F2F">
              <w:rPr>
                <w:rFonts w:eastAsia="Times New Roman" w:cstheme="minorHAnsi"/>
                <w:sz w:val="18"/>
                <w:szCs w:val="18"/>
              </w:rPr>
              <w:t>0,0</w:t>
            </w:r>
          </w:p>
        </w:tc>
        <w:tc>
          <w:tcPr>
            <w:tcW w:w="1134" w:type="dxa"/>
            <w:tcBorders>
              <w:top w:val="nil"/>
              <w:left w:val="nil"/>
              <w:bottom w:val="single" w:sz="4" w:space="0" w:color="auto"/>
              <w:right w:val="single" w:sz="4" w:space="0" w:color="auto"/>
            </w:tcBorders>
            <w:shd w:val="clear" w:color="000000" w:fill="F2F2F2"/>
            <w:hideMark/>
          </w:tcPr>
          <w:p w14:paraId="4A2A4B58" w14:textId="77777777" w:rsidR="00CB2E14" w:rsidRPr="00882F2F" w:rsidRDefault="00CB2E14" w:rsidP="00CB2E14">
            <w:pPr>
              <w:spacing w:after="0" w:line="240" w:lineRule="auto"/>
              <w:jc w:val="center"/>
              <w:rPr>
                <w:rFonts w:eastAsia="Times New Roman" w:cstheme="minorHAnsi"/>
                <w:sz w:val="18"/>
                <w:szCs w:val="18"/>
              </w:rPr>
            </w:pPr>
            <w:r w:rsidRPr="00882F2F">
              <w:rPr>
                <w:rFonts w:eastAsia="Times New Roman" w:cstheme="minorHAnsi"/>
                <w:sz w:val="18"/>
                <w:szCs w:val="18"/>
              </w:rPr>
              <w:t>0,3</w:t>
            </w:r>
          </w:p>
        </w:tc>
        <w:tc>
          <w:tcPr>
            <w:tcW w:w="1418" w:type="dxa"/>
            <w:tcBorders>
              <w:top w:val="nil"/>
              <w:left w:val="nil"/>
              <w:bottom w:val="single" w:sz="4" w:space="0" w:color="auto"/>
              <w:right w:val="single" w:sz="4" w:space="0" w:color="auto"/>
            </w:tcBorders>
            <w:shd w:val="clear" w:color="000000" w:fill="F2F2F2"/>
            <w:hideMark/>
          </w:tcPr>
          <w:p w14:paraId="53995432" w14:textId="77777777" w:rsidR="00CB2E14" w:rsidRPr="00882F2F" w:rsidRDefault="00CB2E14" w:rsidP="00CB2E14">
            <w:pPr>
              <w:spacing w:after="0" w:line="240" w:lineRule="auto"/>
              <w:jc w:val="center"/>
              <w:rPr>
                <w:rFonts w:eastAsia="Times New Roman" w:cstheme="minorHAnsi"/>
                <w:sz w:val="18"/>
                <w:szCs w:val="18"/>
              </w:rPr>
            </w:pPr>
            <w:r w:rsidRPr="00882F2F">
              <w:rPr>
                <w:rFonts w:eastAsia="Times New Roman" w:cstheme="minorHAnsi"/>
                <w:sz w:val="18"/>
                <w:szCs w:val="18"/>
              </w:rPr>
              <w:t>200,0%</w:t>
            </w:r>
          </w:p>
        </w:tc>
        <w:tc>
          <w:tcPr>
            <w:tcW w:w="1417" w:type="dxa"/>
            <w:tcBorders>
              <w:top w:val="nil"/>
              <w:left w:val="nil"/>
              <w:bottom w:val="single" w:sz="4" w:space="0" w:color="auto"/>
              <w:right w:val="single" w:sz="8" w:space="0" w:color="auto"/>
            </w:tcBorders>
            <w:shd w:val="clear" w:color="000000" w:fill="F2F2F2"/>
            <w:hideMark/>
          </w:tcPr>
          <w:p w14:paraId="3C3FEB37" w14:textId="77777777" w:rsidR="00CB2E14" w:rsidRPr="00882F2F" w:rsidRDefault="00CB2E14" w:rsidP="00CB2E14">
            <w:pPr>
              <w:spacing w:after="0" w:line="240" w:lineRule="auto"/>
              <w:jc w:val="center"/>
              <w:rPr>
                <w:rFonts w:eastAsia="Times New Roman" w:cstheme="minorHAnsi"/>
                <w:sz w:val="18"/>
                <w:szCs w:val="18"/>
              </w:rPr>
            </w:pPr>
            <w:r w:rsidRPr="00882F2F">
              <w:rPr>
                <w:rFonts w:eastAsia="Times New Roman" w:cstheme="minorHAnsi"/>
                <w:sz w:val="18"/>
                <w:szCs w:val="18"/>
              </w:rPr>
              <w:t>1377,8%</w:t>
            </w:r>
          </w:p>
        </w:tc>
      </w:tr>
      <w:tr w:rsidR="00CB2E14" w:rsidRPr="00882F2F" w14:paraId="20D83204" w14:textId="77777777" w:rsidTr="004D5210">
        <w:trPr>
          <w:trHeight w:val="20"/>
        </w:trPr>
        <w:tc>
          <w:tcPr>
            <w:tcW w:w="3371" w:type="dxa"/>
            <w:tcBorders>
              <w:top w:val="nil"/>
              <w:left w:val="single" w:sz="8" w:space="0" w:color="auto"/>
              <w:bottom w:val="single" w:sz="4" w:space="0" w:color="auto"/>
              <w:right w:val="single" w:sz="4" w:space="0" w:color="auto"/>
            </w:tcBorders>
            <w:shd w:val="clear" w:color="000000" w:fill="F2F2F2"/>
            <w:hideMark/>
          </w:tcPr>
          <w:p w14:paraId="64F9FE76" w14:textId="77777777" w:rsidR="00CB2E14" w:rsidRPr="00882F2F" w:rsidRDefault="00CB2E14" w:rsidP="00CB2E14">
            <w:pPr>
              <w:spacing w:after="0" w:line="240" w:lineRule="auto"/>
              <w:ind w:firstLineChars="200" w:firstLine="360"/>
              <w:rPr>
                <w:rFonts w:eastAsia="Times New Roman" w:cstheme="minorHAnsi"/>
                <w:sz w:val="18"/>
                <w:szCs w:val="18"/>
              </w:rPr>
            </w:pPr>
            <w:r w:rsidRPr="00882F2F">
              <w:rPr>
                <w:rFonts w:eastAsia="Times New Roman" w:cstheme="minorHAnsi"/>
                <w:sz w:val="18"/>
                <w:szCs w:val="18"/>
              </w:rPr>
              <w:t>2.4. Ostale investicije</w:t>
            </w:r>
          </w:p>
        </w:tc>
        <w:tc>
          <w:tcPr>
            <w:tcW w:w="858" w:type="dxa"/>
            <w:tcBorders>
              <w:top w:val="nil"/>
              <w:left w:val="nil"/>
              <w:bottom w:val="single" w:sz="4" w:space="0" w:color="auto"/>
              <w:right w:val="single" w:sz="4" w:space="0" w:color="auto"/>
            </w:tcBorders>
            <w:shd w:val="clear" w:color="000000" w:fill="F2F2F2"/>
            <w:hideMark/>
          </w:tcPr>
          <w:p w14:paraId="65A3E8C7" w14:textId="77777777" w:rsidR="00CB2E14" w:rsidRPr="00882F2F" w:rsidRDefault="00CB2E14" w:rsidP="00CB2E14">
            <w:pPr>
              <w:spacing w:after="0" w:line="240" w:lineRule="auto"/>
              <w:jc w:val="center"/>
              <w:rPr>
                <w:rFonts w:eastAsia="Times New Roman" w:cstheme="minorHAnsi"/>
                <w:sz w:val="18"/>
                <w:szCs w:val="18"/>
              </w:rPr>
            </w:pPr>
            <w:r w:rsidRPr="00882F2F">
              <w:rPr>
                <w:rFonts w:eastAsia="Times New Roman" w:cstheme="minorHAnsi"/>
                <w:sz w:val="18"/>
                <w:szCs w:val="18"/>
              </w:rPr>
              <w:t>1.401,1</w:t>
            </w:r>
          </w:p>
        </w:tc>
        <w:tc>
          <w:tcPr>
            <w:tcW w:w="992" w:type="dxa"/>
            <w:tcBorders>
              <w:top w:val="nil"/>
              <w:left w:val="nil"/>
              <w:bottom w:val="single" w:sz="4" w:space="0" w:color="auto"/>
              <w:right w:val="single" w:sz="4" w:space="0" w:color="auto"/>
            </w:tcBorders>
            <w:shd w:val="clear" w:color="000000" w:fill="F2F2F2"/>
            <w:hideMark/>
          </w:tcPr>
          <w:p w14:paraId="5C261A6B" w14:textId="77777777" w:rsidR="00CB2E14" w:rsidRPr="00882F2F" w:rsidRDefault="00CB2E14" w:rsidP="00CB2E14">
            <w:pPr>
              <w:spacing w:after="0" w:line="240" w:lineRule="auto"/>
              <w:jc w:val="center"/>
              <w:rPr>
                <w:rFonts w:eastAsia="Times New Roman" w:cstheme="minorHAnsi"/>
                <w:sz w:val="18"/>
                <w:szCs w:val="18"/>
              </w:rPr>
            </w:pPr>
            <w:r w:rsidRPr="00882F2F">
              <w:rPr>
                <w:rFonts w:eastAsia="Times New Roman" w:cstheme="minorHAnsi"/>
                <w:sz w:val="18"/>
                <w:szCs w:val="18"/>
              </w:rPr>
              <w:t>1.610,6</w:t>
            </w:r>
          </w:p>
        </w:tc>
        <w:tc>
          <w:tcPr>
            <w:tcW w:w="1134" w:type="dxa"/>
            <w:tcBorders>
              <w:top w:val="nil"/>
              <w:left w:val="nil"/>
              <w:bottom w:val="single" w:sz="4" w:space="0" w:color="auto"/>
              <w:right w:val="single" w:sz="4" w:space="0" w:color="auto"/>
            </w:tcBorders>
            <w:shd w:val="clear" w:color="000000" w:fill="F2F2F2"/>
            <w:hideMark/>
          </w:tcPr>
          <w:p w14:paraId="3CD06BF0" w14:textId="77777777" w:rsidR="00CB2E14" w:rsidRPr="00882F2F" w:rsidRDefault="00CB2E14" w:rsidP="00CB2E14">
            <w:pPr>
              <w:spacing w:after="0" w:line="240" w:lineRule="auto"/>
              <w:jc w:val="center"/>
              <w:rPr>
                <w:rFonts w:eastAsia="Times New Roman" w:cstheme="minorHAnsi"/>
                <w:sz w:val="18"/>
                <w:szCs w:val="18"/>
              </w:rPr>
            </w:pPr>
            <w:r w:rsidRPr="00882F2F">
              <w:rPr>
                <w:rFonts w:eastAsia="Times New Roman" w:cstheme="minorHAnsi"/>
                <w:sz w:val="18"/>
                <w:szCs w:val="18"/>
              </w:rPr>
              <w:t>1.862,6</w:t>
            </w:r>
          </w:p>
        </w:tc>
        <w:tc>
          <w:tcPr>
            <w:tcW w:w="1418" w:type="dxa"/>
            <w:tcBorders>
              <w:top w:val="nil"/>
              <w:left w:val="nil"/>
              <w:bottom w:val="single" w:sz="4" w:space="0" w:color="auto"/>
              <w:right w:val="single" w:sz="4" w:space="0" w:color="auto"/>
            </w:tcBorders>
            <w:shd w:val="clear" w:color="000000" w:fill="F2F2F2"/>
            <w:hideMark/>
          </w:tcPr>
          <w:p w14:paraId="22C9B3B3" w14:textId="77777777" w:rsidR="00CB2E14" w:rsidRPr="00882F2F" w:rsidRDefault="00CB2E14" w:rsidP="00CB2E14">
            <w:pPr>
              <w:spacing w:after="0" w:line="240" w:lineRule="auto"/>
              <w:jc w:val="center"/>
              <w:rPr>
                <w:rFonts w:eastAsia="Times New Roman" w:cstheme="minorHAnsi"/>
                <w:sz w:val="18"/>
                <w:szCs w:val="18"/>
              </w:rPr>
            </w:pPr>
            <w:r w:rsidRPr="00882F2F">
              <w:rPr>
                <w:rFonts w:eastAsia="Times New Roman" w:cstheme="minorHAnsi"/>
                <w:sz w:val="18"/>
                <w:szCs w:val="18"/>
              </w:rPr>
              <w:t>15,0%</w:t>
            </w:r>
          </w:p>
        </w:tc>
        <w:tc>
          <w:tcPr>
            <w:tcW w:w="1417" w:type="dxa"/>
            <w:tcBorders>
              <w:top w:val="nil"/>
              <w:left w:val="nil"/>
              <w:bottom w:val="single" w:sz="4" w:space="0" w:color="auto"/>
              <w:right w:val="single" w:sz="8" w:space="0" w:color="auto"/>
            </w:tcBorders>
            <w:shd w:val="clear" w:color="000000" w:fill="F2F2F2"/>
            <w:hideMark/>
          </w:tcPr>
          <w:p w14:paraId="2EFFA7E1" w14:textId="77777777" w:rsidR="00CB2E14" w:rsidRPr="00882F2F" w:rsidRDefault="00CB2E14" w:rsidP="00CB2E14">
            <w:pPr>
              <w:spacing w:after="0" w:line="240" w:lineRule="auto"/>
              <w:jc w:val="center"/>
              <w:rPr>
                <w:rFonts w:eastAsia="Times New Roman" w:cstheme="minorHAnsi"/>
                <w:sz w:val="18"/>
                <w:szCs w:val="18"/>
              </w:rPr>
            </w:pPr>
            <w:r w:rsidRPr="00882F2F">
              <w:rPr>
                <w:rFonts w:eastAsia="Times New Roman" w:cstheme="minorHAnsi"/>
                <w:sz w:val="18"/>
                <w:szCs w:val="18"/>
              </w:rPr>
              <w:t>15,7%</w:t>
            </w:r>
          </w:p>
        </w:tc>
      </w:tr>
      <w:tr w:rsidR="00CB2E14" w:rsidRPr="00882F2F" w14:paraId="49496752" w14:textId="77777777" w:rsidTr="004D5210">
        <w:trPr>
          <w:trHeight w:val="20"/>
        </w:trPr>
        <w:tc>
          <w:tcPr>
            <w:tcW w:w="3371" w:type="dxa"/>
            <w:tcBorders>
              <w:top w:val="nil"/>
              <w:left w:val="single" w:sz="8" w:space="0" w:color="auto"/>
              <w:bottom w:val="single" w:sz="4" w:space="0" w:color="auto"/>
              <w:right w:val="single" w:sz="4" w:space="0" w:color="auto"/>
            </w:tcBorders>
            <w:shd w:val="clear" w:color="000000" w:fill="F2F2F2"/>
            <w:hideMark/>
          </w:tcPr>
          <w:p w14:paraId="21037DAD" w14:textId="77777777" w:rsidR="00CB2E14" w:rsidRPr="00882F2F" w:rsidRDefault="00CB2E14" w:rsidP="00CB2E14">
            <w:pPr>
              <w:spacing w:after="0" w:line="240" w:lineRule="auto"/>
              <w:ind w:firstLineChars="200" w:firstLine="360"/>
              <w:rPr>
                <w:rFonts w:eastAsia="Times New Roman" w:cstheme="minorHAnsi"/>
                <w:sz w:val="18"/>
                <w:szCs w:val="18"/>
              </w:rPr>
            </w:pPr>
            <w:r w:rsidRPr="00882F2F">
              <w:rPr>
                <w:rFonts w:eastAsia="Times New Roman" w:cstheme="minorHAnsi"/>
                <w:sz w:val="18"/>
                <w:szCs w:val="18"/>
              </w:rPr>
              <w:t>2.5. Rezerve CBCG</w:t>
            </w:r>
          </w:p>
        </w:tc>
        <w:tc>
          <w:tcPr>
            <w:tcW w:w="858" w:type="dxa"/>
            <w:tcBorders>
              <w:top w:val="nil"/>
              <w:left w:val="nil"/>
              <w:bottom w:val="single" w:sz="4" w:space="0" w:color="auto"/>
              <w:right w:val="single" w:sz="4" w:space="0" w:color="auto"/>
            </w:tcBorders>
            <w:shd w:val="clear" w:color="000000" w:fill="F2F2F2"/>
            <w:hideMark/>
          </w:tcPr>
          <w:p w14:paraId="1DF90E7F" w14:textId="77777777" w:rsidR="00CB2E14" w:rsidRPr="00882F2F" w:rsidRDefault="00CB2E14" w:rsidP="00CB2E14">
            <w:pPr>
              <w:spacing w:after="0" w:line="240" w:lineRule="auto"/>
              <w:jc w:val="center"/>
              <w:rPr>
                <w:rFonts w:eastAsia="Times New Roman" w:cstheme="minorHAnsi"/>
                <w:sz w:val="18"/>
                <w:szCs w:val="18"/>
              </w:rPr>
            </w:pPr>
            <w:r w:rsidRPr="00882F2F">
              <w:rPr>
                <w:rFonts w:eastAsia="Times New Roman" w:cstheme="minorHAnsi"/>
                <w:sz w:val="18"/>
                <w:szCs w:val="18"/>
              </w:rPr>
              <w:t>1.748,9</w:t>
            </w:r>
          </w:p>
        </w:tc>
        <w:tc>
          <w:tcPr>
            <w:tcW w:w="992" w:type="dxa"/>
            <w:tcBorders>
              <w:top w:val="nil"/>
              <w:left w:val="nil"/>
              <w:bottom w:val="single" w:sz="4" w:space="0" w:color="auto"/>
              <w:right w:val="single" w:sz="4" w:space="0" w:color="auto"/>
            </w:tcBorders>
            <w:shd w:val="clear" w:color="000000" w:fill="F2F2F2"/>
            <w:hideMark/>
          </w:tcPr>
          <w:p w14:paraId="76ADDDE6" w14:textId="77777777" w:rsidR="00CB2E14" w:rsidRPr="00882F2F" w:rsidRDefault="00CB2E14" w:rsidP="00CB2E14">
            <w:pPr>
              <w:spacing w:after="0" w:line="240" w:lineRule="auto"/>
              <w:jc w:val="center"/>
              <w:rPr>
                <w:rFonts w:eastAsia="Times New Roman" w:cstheme="minorHAnsi"/>
                <w:sz w:val="18"/>
                <w:szCs w:val="18"/>
              </w:rPr>
            </w:pPr>
            <w:r w:rsidRPr="00882F2F">
              <w:rPr>
                <w:rFonts w:eastAsia="Times New Roman" w:cstheme="minorHAnsi"/>
                <w:sz w:val="18"/>
                <w:szCs w:val="18"/>
              </w:rPr>
              <w:t>1.914,6</w:t>
            </w:r>
          </w:p>
        </w:tc>
        <w:tc>
          <w:tcPr>
            <w:tcW w:w="1134" w:type="dxa"/>
            <w:tcBorders>
              <w:top w:val="nil"/>
              <w:left w:val="nil"/>
              <w:bottom w:val="single" w:sz="4" w:space="0" w:color="auto"/>
              <w:right w:val="single" w:sz="4" w:space="0" w:color="auto"/>
            </w:tcBorders>
            <w:shd w:val="clear" w:color="000000" w:fill="F2F2F2"/>
            <w:hideMark/>
          </w:tcPr>
          <w:p w14:paraId="0726B080" w14:textId="77777777" w:rsidR="00CB2E14" w:rsidRPr="00882F2F" w:rsidRDefault="00CB2E14" w:rsidP="00CB2E14">
            <w:pPr>
              <w:spacing w:after="0" w:line="240" w:lineRule="auto"/>
              <w:jc w:val="center"/>
              <w:rPr>
                <w:rFonts w:eastAsia="Times New Roman" w:cstheme="minorHAnsi"/>
                <w:sz w:val="18"/>
                <w:szCs w:val="18"/>
              </w:rPr>
            </w:pPr>
            <w:r w:rsidRPr="00882F2F">
              <w:rPr>
                <w:rFonts w:eastAsia="Times New Roman" w:cstheme="minorHAnsi"/>
                <w:sz w:val="18"/>
                <w:szCs w:val="18"/>
              </w:rPr>
              <w:t>1.616,2</w:t>
            </w:r>
          </w:p>
        </w:tc>
        <w:tc>
          <w:tcPr>
            <w:tcW w:w="1418" w:type="dxa"/>
            <w:tcBorders>
              <w:top w:val="nil"/>
              <w:left w:val="nil"/>
              <w:bottom w:val="single" w:sz="4" w:space="0" w:color="auto"/>
              <w:right w:val="single" w:sz="4" w:space="0" w:color="auto"/>
            </w:tcBorders>
            <w:shd w:val="clear" w:color="000000" w:fill="F2F2F2"/>
            <w:hideMark/>
          </w:tcPr>
          <w:p w14:paraId="724DE05C" w14:textId="77777777" w:rsidR="00CB2E14" w:rsidRPr="00882F2F" w:rsidRDefault="00CB2E14" w:rsidP="00CB2E14">
            <w:pPr>
              <w:spacing w:after="0" w:line="240" w:lineRule="auto"/>
              <w:jc w:val="center"/>
              <w:rPr>
                <w:rFonts w:eastAsia="Times New Roman" w:cstheme="minorHAnsi"/>
                <w:sz w:val="18"/>
                <w:szCs w:val="18"/>
              </w:rPr>
            </w:pPr>
            <w:r w:rsidRPr="00882F2F">
              <w:rPr>
                <w:rFonts w:eastAsia="Times New Roman" w:cstheme="minorHAnsi"/>
                <w:sz w:val="18"/>
                <w:szCs w:val="18"/>
              </w:rPr>
              <w:t>9,5%</w:t>
            </w:r>
          </w:p>
        </w:tc>
        <w:tc>
          <w:tcPr>
            <w:tcW w:w="1417" w:type="dxa"/>
            <w:tcBorders>
              <w:top w:val="nil"/>
              <w:left w:val="nil"/>
              <w:bottom w:val="single" w:sz="4" w:space="0" w:color="auto"/>
              <w:right w:val="single" w:sz="8" w:space="0" w:color="auto"/>
            </w:tcBorders>
            <w:shd w:val="clear" w:color="000000" w:fill="F2F2F2"/>
            <w:hideMark/>
          </w:tcPr>
          <w:p w14:paraId="30A51CAA" w14:textId="77777777" w:rsidR="00CB2E14" w:rsidRPr="00882F2F" w:rsidRDefault="00CB2E14" w:rsidP="00CB2E14">
            <w:pPr>
              <w:spacing w:after="0" w:line="240" w:lineRule="auto"/>
              <w:jc w:val="center"/>
              <w:rPr>
                <w:rFonts w:eastAsia="Times New Roman" w:cstheme="minorHAnsi"/>
                <w:sz w:val="18"/>
                <w:szCs w:val="18"/>
              </w:rPr>
            </w:pPr>
            <w:r w:rsidRPr="00882F2F">
              <w:rPr>
                <w:rFonts w:eastAsia="Times New Roman" w:cstheme="minorHAnsi"/>
                <w:sz w:val="18"/>
                <w:szCs w:val="18"/>
              </w:rPr>
              <w:t>-15,6%</w:t>
            </w:r>
          </w:p>
        </w:tc>
      </w:tr>
      <w:tr w:rsidR="00CB2E14" w:rsidRPr="00882F2F" w14:paraId="590100DF" w14:textId="77777777" w:rsidTr="004D5210">
        <w:trPr>
          <w:trHeight w:val="20"/>
        </w:trPr>
        <w:tc>
          <w:tcPr>
            <w:tcW w:w="3371" w:type="dxa"/>
            <w:tcBorders>
              <w:top w:val="nil"/>
              <w:left w:val="single" w:sz="8" w:space="0" w:color="auto"/>
              <w:bottom w:val="single" w:sz="4" w:space="0" w:color="auto"/>
              <w:right w:val="single" w:sz="4" w:space="0" w:color="auto"/>
            </w:tcBorders>
            <w:shd w:val="clear" w:color="000000" w:fill="D9D9D9"/>
            <w:vAlign w:val="bottom"/>
            <w:hideMark/>
          </w:tcPr>
          <w:p w14:paraId="200D8C28" w14:textId="77777777" w:rsidR="00CB2E14" w:rsidRPr="00882F2F" w:rsidRDefault="00CB2E14" w:rsidP="00CB2E14">
            <w:pPr>
              <w:spacing w:after="0" w:line="240" w:lineRule="auto"/>
              <w:rPr>
                <w:rFonts w:eastAsia="Times New Roman" w:cstheme="minorHAnsi"/>
                <w:b/>
                <w:bCs/>
                <w:sz w:val="18"/>
                <w:szCs w:val="18"/>
              </w:rPr>
            </w:pPr>
            <w:r w:rsidRPr="00882F2F">
              <w:rPr>
                <w:rFonts w:eastAsia="Times New Roman" w:cstheme="minorHAnsi"/>
                <w:b/>
                <w:bCs/>
                <w:sz w:val="18"/>
                <w:szCs w:val="18"/>
              </w:rPr>
              <w:t xml:space="preserve"> 3. Obaveze </w:t>
            </w:r>
          </w:p>
        </w:tc>
        <w:tc>
          <w:tcPr>
            <w:tcW w:w="858" w:type="dxa"/>
            <w:tcBorders>
              <w:top w:val="nil"/>
              <w:left w:val="nil"/>
              <w:bottom w:val="single" w:sz="4" w:space="0" w:color="auto"/>
              <w:right w:val="single" w:sz="4" w:space="0" w:color="auto"/>
            </w:tcBorders>
            <w:shd w:val="clear" w:color="000000" w:fill="D9D9D9"/>
            <w:noWrap/>
            <w:vAlign w:val="bottom"/>
            <w:hideMark/>
          </w:tcPr>
          <w:p w14:paraId="42C6AC6E" w14:textId="77777777" w:rsidR="00CB2E14" w:rsidRPr="00882F2F" w:rsidRDefault="00CB2E14" w:rsidP="00CB2E14">
            <w:pPr>
              <w:spacing w:after="0" w:line="240" w:lineRule="auto"/>
              <w:jc w:val="center"/>
              <w:rPr>
                <w:rFonts w:eastAsia="Times New Roman" w:cstheme="minorHAnsi"/>
                <w:b/>
                <w:bCs/>
                <w:sz w:val="18"/>
                <w:szCs w:val="18"/>
              </w:rPr>
            </w:pPr>
            <w:r w:rsidRPr="00882F2F">
              <w:rPr>
                <w:rFonts w:eastAsia="Times New Roman" w:cstheme="minorHAnsi"/>
                <w:b/>
                <w:bCs/>
                <w:sz w:val="18"/>
                <w:szCs w:val="18"/>
              </w:rPr>
              <w:t>12.058,0</w:t>
            </w:r>
          </w:p>
        </w:tc>
        <w:tc>
          <w:tcPr>
            <w:tcW w:w="992" w:type="dxa"/>
            <w:tcBorders>
              <w:top w:val="nil"/>
              <w:left w:val="nil"/>
              <w:bottom w:val="single" w:sz="4" w:space="0" w:color="auto"/>
              <w:right w:val="single" w:sz="4" w:space="0" w:color="auto"/>
            </w:tcBorders>
            <w:shd w:val="clear" w:color="000000" w:fill="D9D9D9"/>
            <w:noWrap/>
            <w:vAlign w:val="bottom"/>
            <w:hideMark/>
          </w:tcPr>
          <w:p w14:paraId="5AD1BFE4" w14:textId="77777777" w:rsidR="00CB2E14" w:rsidRPr="00882F2F" w:rsidRDefault="00CB2E14" w:rsidP="00CB2E14">
            <w:pPr>
              <w:spacing w:after="0" w:line="240" w:lineRule="auto"/>
              <w:jc w:val="center"/>
              <w:rPr>
                <w:rFonts w:eastAsia="Times New Roman" w:cstheme="minorHAnsi"/>
                <w:b/>
                <w:bCs/>
                <w:sz w:val="18"/>
                <w:szCs w:val="18"/>
              </w:rPr>
            </w:pPr>
            <w:r w:rsidRPr="00882F2F">
              <w:rPr>
                <w:rFonts w:eastAsia="Times New Roman" w:cstheme="minorHAnsi"/>
                <w:b/>
                <w:bCs/>
                <w:sz w:val="18"/>
                <w:szCs w:val="18"/>
              </w:rPr>
              <w:t>12.187,8</w:t>
            </w:r>
          </w:p>
        </w:tc>
        <w:tc>
          <w:tcPr>
            <w:tcW w:w="1134" w:type="dxa"/>
            <w:tcBorders>
              <w:top w:val="nil"/>
              <w:left w:val="nil"/>
              <w:bottom w:val="single" w:sz="4" w:space="0" w:color="auto"/>
              <w:right w:val="single" w:sz="4" w:space="0" w:color="auto"/>
            </w:tcBorders>
            <w:shd w:val="clear" w:color="000000" w:fill="D9D9D9"/>
            <w:noWrap/>
            <w:vAlign w:val="bottom"/>
            <w:hideMark/>
          </w:tcPr>
          <w:p w14:paraId="3BBB760E" w14:textId="77777777" w:rsidR="00CB2E14" w:rsidRPr="00882F2F" w:rsidRDefault="00CB2E14" w:rsidP="00CB2E14">
            <w:pPr>
              <w:spacing w:after="0" w:line="240" w:lineRule="auto"/>
              <w:jc w:val="center"/>
              <w:rPr>
                <w:rFonts w:eastAsia="Times New Roman" w:cstheme="minorHAnsi"/>
                <w:b/>
                <w:bCs/>
                <w:sz w:val="18"/>
                <w:szCs w:val="18"/>
              </w:rPr>
            </w:pPr>
            <w:r w:rsidRPr="00882F2F">
              <w:rPr>
                <w:rFonts w:eastAsia="Times New Roman" w:cstheme="minorHAnsi"/>
                <w:b/>
                <w:bCs/>
                <w:sz w:val="18"/>
                <w:szCs w:val="18"/>
              </w:rPr>
              <w:t>12.313,4</w:t>
            </w:r>
          </w:p>
        </w:tc>
        <w:tc>
          <w:tcPr>
            <w:tcW w:w="1418" w:type="dxa"/>
            <w:tcBorders>
              <w:top w:val="nil"/>
              <w:left w:val="nil"/>
              <w:bottom w:val="single" w:sz="4" w:space="0" w:color="auto"/>
              <w:right w:val="single" w:sz="4" w:space="0" w:color="auto"/>
            </w:tcBorders>
            <w:shd w:val="clear" w:color="000000" w:fill="D9D9D9"/>
            <w:noWrap/>
            <w:vAlign w:val="bottom"/>
            <w:hideMark/>
          </w:tcPr>
          <w:p w14:paraId="21ACC3F7" w14:textId="77777777" w:rsidR="00CB2E14" w:rsidRPr="00882F2F" w:rsidRDefault="00CB2E14" w:rsidP="00CB2E14">
            <w:pPr>
              <w:spacing w:after="0" w:line="240" w:lineRule="auto"/>
              <w:jc w:val="center"/>
              <w:rPr>
                <w:rFonts w:eastAsia="Times New Roman" w:cstheme="minorHAnsi"/>
                <w:b/>
                <w:bCs/>
                <w:sz w:val="18"/>
                <w:szCs w:val="18"/>
              </w:rPr>
            </w:pPr>
            <w:r w:rsidRPr="00882F2F">
              <w:rPr>
                <w:rFonts w:eastAsia="Times New Roman" w:cstheme="minorHAnsi"/>
                <w:b/>
                <w:bCs/>
                <w:sz w:val="18"/>
                <w:szCs w:val="18"/>
              </w:rPr>
              <w:t>1,1%</w:t>
            </w:r>
          </w:p>
        </w:tc>
        <w:tc>
          <w:tcPr>
            <w:tcW w:w="1417" w:type="dxa"/>
            <w:tcBorders>
              <w:top w:val="nil"/>
              <w:left w:val="nil"/>
              <w:bottom w:val="single" w:sz="4" w:space="0" w:color="auto"/>
              <w:right w:val="single" w:sz="8" w:space="0" w:color="auto"/>
            </w:tcBorders>
            <w:shd w:val="clear" w:color="000000" w:fill="D9D9D9"/>
            <w:noWrap/>
            <w:vAlign w:val="bottom"/>
            <w:hideMark/>
          </w:tcPr>
          <w:p w14:paraId="7BE69C24" w14:textId="77777777" w:rsidR="00CB2E14" w:rsidRPr="00882F2F" w:rsidRDefault="00CB2E14" w:rsidP="00CB2E14">
            <w:pPr>
              <w:spacing w:after="0" w:line="240" w:lineRule="auto"/>
              <w:jc w:val="center"/>
              <w:rPr>
                <w:rFonts w:eastAsia="Times New Roman" w:cstheme="minorHAnsi"/>
                <w:b/>
                <w:bCs/>
                <w:sz w:val="18"/>
                <w:szCs w:val="18"/>
              </w:rPr>
            </w:pPr>
            <w:r w:rsidRPr="00882F2F">
              <w:rPr>
                <w:rFonts w:eastAsia="Times New Roman" w:cstheme="minorHAnsi"/>
                <w:b/>
                <w:bCs/>
                <w:sz w:val="18"/>
                <w:szCs w:val="18"/>
              </w:rPr>
              <w:t>1,0%</w:t>
            </w:r>
          </w:p>
        </w:tc>
      </w:tr>
      <w:tr w:rsidR="00CB2E14" w:rsidRPr="00882F2F" w14:paraId="743F325A" w14:textId="77777777" w:rsidTr="004D5210">
        <w:trPr>
          <w:trHeight w:val="20"/>
        </w:trPr>
        <w:tc>
          <w:tcPr>
            <w:tcW w:w="3371" w:type="dxa"/>
            <w:tcBorders>
              <w:top w:val="nil"/>
              <w:left w:val="single" w:sz="8" w:space="0" w:color="auto"/>
              <w:bottom w:val="single" w:sz="4" w:space="0" w:color="auto"/>
              <w:right w:val="single" w:sz="4" w:space="0" w:color="auto"/>
            </w:tcBorders>
            <w:shd w:val="clear" w:color="000000" w:fill="F2F2F2"/>
            <w:hideMark/>
          </w:tcPr>
          <w:p w14:paraId="168B4527" w14:textId="77777777" w:rsidR="00CB2E14" w:rsidRPr="00882F2F" w:rsidRDefault="00CB2E14" w:rsidP="00CB2E14">
            <w:pPr>
              <w:spacing w:after="0" w:line="240" w:lineRule="auto"/>
              <w:ind w:firstLineChars="200" w:firstLine="360"/>
              <w:rPr>
                <w:rFonts w:eastAsia="Times New Roman" w:cstheme="minorHAnsi"/>
                <w:sz w:val="18"/>
                <w:szCs w:val="18"/>
              </w:rPr>
            </w:pPr>
            <w:r w:rsidRPr="00882F2F">
              <w:rPr>
                <w:rFonts w:eastAsia="Times New Roman" w:cstheme="minorHAnsi"/>
                <w:sz w:val="18"/>
                <w:szCs w:val="18"/>
              </w:rPr>
              <w:t>3.1. Direktne investicije</w:t>
            </w:r>
          </w:p>
        </w:tc>
        <w:tc>
          <w:tcPr>
            <w:tcW w:w="858" w:type="dxa"/>
            <w:tcBorders>
              <w:top w:val="nil"/>
              <w:left w:val="nil"/>
              <w:bottom w:val="single" w:sz="4" w:space="0" w:color="auto"/>
              <w:right w:val="single" w:sz="4" w:space="0" w:color="auto"/>
            </w:tcBorders>
            <w:shd w:val="clear" w:color="000000" w:fill="F2F2F2"/>
            <w:hideMark/>
          </w:tcPr>
          <w:p w14:paraId="77E8B059" w14:textId="77777777" w:rsidR="00CB2E14" w:rsidRPr="00882F2F" w:rsidRDefault="00CB2E14" w:rsidP="00CB2E14">
            <w:pPr>
              <w:spacing w:after="0" w:line="240" w:lineRule="auto"/>
              <w:jc w:val="center"/>
              <w:rPr>
                <w:rFonts w:eastAsia="Times New Roman" w:cstheme="minorHAnsi"/>
                <w:sz w:val="18"/>
                <w:szCs w:val="18"/>
              </w:rPr>
            </w:pPr>
            <w:r w:rsidRPr="00882F2F">
              <w:rPr>
                <w:rFonts w:eastAsia="Times New Roman" w:cstheme="minorHAnsi"/>
                <w:sz w:val="18"/>
                <w:szCs w:val="18"/>
              </w:rPr>
              <w:t>4.732,3</w:t>
            </w:r>
          </w:p>
        </w:tc>
        <w:tc>
          <w:tcPr>
            <w:tcW w:w="992" w:type="dxa"/>
            <w:tcBorders>
              <w:top w:val="nil"/>
              <w:left w:val="nil"/>
              <w:bottom w:val="single" w:sz="4" w:space="0" w:color="auto"/>
              <w:right w:val="single" w:sz="4" w:space="0" w:color="auto"/>
            </w:tcBorders>
            <w:shd w:val="clear" w:color="000000" w:fill="F2F2F2"/>
            <w:hideMark/>
          </w:tcPr>
          <w:p w14:paraId="34C2359A" w14:textId="77777777" w:rsidR="00CB2E14" w:rsidRPr="00882F2F" w:rsidRDefault="00CB2E14" w:rsidP="00CB2E14">
            <w:pPr>
              <w:spacing w:after="0" w:line="240" w:lineRule="auto"/>
              <w:jc w:val="center"/>
              <w:rPr>
                <w:rFonts w:eastAsia="Times New Roman" w:cstheme="minorHAnsi"/>
                <w:sz w:val="18"/>
                <w:szCs w:val="18"/>
              </w:rPr>
            </w:pPr>
            <w:r w:rsidRPr="00882F2F">
              <w:rPr>
                <w:rFonts w:eastAsia="Times New Roman" w:cstheme="minorHAnsi"/>
                <w:sz w:val="18"/>
                <w:szCs w:val="18"/>
              </w:rPr>
              <w:t>5.123,5</w:t>
            </w:r>
          </w:p>
        </w:tc>
        <w:tc>
          <w:tcPr>
            <w:tcW w:w="1134" w:type="dxa"/>
            <w:tcBorders>
              <w:top w:val="nil"/>
              <w:left w:val="nil"/>
              <w:bottom w:val="single" w:sz="4" w:space="0" w:color="auto"/>
              <w:right w:val="single" w:sz="4" w:space="0" w:color="auto"/>
            </w:tcBorders>
            <w:shd w:val="clear" w:color="000000" w:fill="F2F2F2"/>
            <w:hideMark/>
          </w:tcPr>
          <w:p w14:paraId="198F24BF" w14:textId="77777777" w:rsidR="00CB2E14" w:rsidRPr="00882F2F" w:rsidRDefault="00CB2E14" w:rsidP="00CB2E14">
            <w:pPr>
              <w:spacing w:after="0" w:line="240" w:lineRule="auto"/>
              <w:jc w:val="center"/>
              <w:rPr>
                <w:rFonts w:eastAsia="Times New Roman" w:cstheme="minorHAnsi"/>
                <w:sz w:val="18"/>
                <w:szCs w:val="18"/>
              </w:rPr>
            </w:pPr>
            <w:r w:rsidRPr="00882F2F">
              <w:rPr>
                <w:rFonts w:eastAsia="Times New Roman" w:cstheme="minorHAnsi"/>
                <w:sz w:val="18"/>
                <w:szCs w:val="18"/>
              </w:rPr>
              <w:t>5.263,4</w:t>
            </w:r>
          </w:p>
        </w:tc>
        <w:tc>
          <w:tcPr>
            <w:tcW w:w="1418" w:type="dxa"/>
            <w:tcBorders>
              <w:top w:val="nil"/>
              <w:left w:val="nil"/>
              <w:bottom w:val="single" w:sz="4" w:space="0" w:color="auto"/>
              <w:right w:val="single" w:sz="4" w:space="0" w:color="auto"/>
            </w:tcBorders>
            <w:shd w:val="clear" w:color="000000" w:fill="F2F2F2"/>
            <w:hideMark/>
          </w:tcPr>
          <w:p w14:paraId="23817806" w14:textId="77777777" w:rsidR="00CB2E14" w:rsidRPr="00882F2F" w:rsidRDefault="00CB2E14" w:rsidP="00CB2E14">
            <w:pPr>
              <w:spacing w:after="0" w:line="240" w:lineRule="auto"/>
              <w:jc w:val="center"/>
              <w:rPr>
                <w:rFonts w:eastAsia="Times New Roman" w:cstheme="minorHAnsi"/>
                <w:sz w:val="18"/>
                <w:szCs w:val="18"/>
              </w:rPr>
            </w:pPr>
            <w:r w:rsidRPr="00882F2F">
              <w:rPr>
                <w:rFonts w:eastAsia="Times New Roman" w:cstheme="minorHAnsi"/>
                <w:sz w:val="18"/>
                <w:szCs w:val="18"/>
              </w:rPr>
              <w:t>8,3%</w:t>
            </w:r>
          </w:p>
        </w:tc>
        <w:tc>
          <w:tcPr>
            <w:tcW w:w="1417" w:type="dxa"/>
            <w:tcBorders>
              <w:top w:val="nil"/>
              <w:left w:val="nil"/>
              <w:bottom w:val="single" w:sz="4" w:space="0" w:color="auto"/>
              <w:right w:val="single" w:sz="8" w:space="0" w:color="auto"/>
            </w:tcBorders>
            <w:shd w:val="clear" w:color="000000" w:fill="F2F2F2"/>
            <w:hideMark/>
          </w:tcPr>
          <w:p w14:paraId="38E64058" w14:textId="77777777" w:rsidR="00CB2E14" w:rsidRPr="00882F2F" w:rsidRDefault="00CB2E14" w:rsidP="00CB2E14">
            <w:pPr>
              <w:spacing w:after="0" w:line="240" w:lineRule="auto"/>
              <w:jc w:val="center"/>
              <w:rPr>
                <w:rFonts w:eastAsia="Times New Roman" w:cstheme="minorHAnsi"/>
                <w:sz w:val="18"/>
                <w:szCs w:val="18"/>
              </w:rPr>
            </w:pPr>
            <w:r w:rsidRPr="00882F2F">
              <w:rPr>
                <w:rFonts w:eastAsia="Times New Roman" w:cstheme="minorHAnsi"/>
                <w:sz w:val="18"/>
                <w:szCs w:val="18"/>
              </w:rPr>
              <w:t>2,7%</w:t>
            </w:r>
          </w:p>
        </w:tc>
      </w:tr>
      <w:tr w:rsidR="00CB2E14" w:rsidRPr="00882F2F" w14:paraId="7BA3F25C" w14:textId="77777777" w:rsidTr="004D5210">
        <w:trPr>
          <w:trHeight w:val="20"/>
        </w:trPr>
        <w:tc>
          <w:tcPr>
            <w:tcW w:w="3371" w:type="dxa"/>
            <w:tcBorders>
              <w:top w:val="nil"/>
              <w:left w:val="single" w:sz="8" w:space="0" w:color="auto"/>
              <w:bottom w:val="single" w:sz="4" w:space="0" w:color="auto"/>
              <w:right w:val="single" w:sz="4" w:space="0" w:color="auto"/>
            </w:tcBorders>
            <w:shd w:val="clear" w:color="000000" w:fill="F2F2F2"/>
            <w:hideMark/>
          </w:tcPr>
          <w:p w14:paraId="377BA45A" w14:textId="77777777" w:rsidR="00CB2E14" w:rsidRPr="00882F2F" w:rsidRDefault="00CB2E14" w:rsidP="00CB2E14">
            <w:pPr>
              <w:spacing w:after="0" w:line="240" w:lineRule="auto"/>
              <w:ind w:firstLineChars="200" w:firstLine="360"/>
              <w:rPr>
                <w:rFonts w:eastAsia="Times New Roman" w:cstheme="minorHAnsi"/>
                <w:sz w:val="18"/>
                <w:szCs w:val="18"/>
              </w:rPr>
            </w:pPr>
            <w:r w:rsidRPr="00882F2F">
              <w:rPr>
                <w:rFonts w:eastAsia="Times New Roman" w:cstheme="minorHAnsi"/>
                <w:sz w:val="18"/>
                <w:szCs w:val="18"/>
              </w:rPr>
              <w:t>3.2. Portfolio investicije</w:t>
            </w:r>
          </w:p>
        </w:tc>
        <w:tc>
          <w:tcPr>
            <w:tcW w:w="858" w:type="dxa"/>
            <w:tcBorders>
              <w:top w:val="nil"/>
              <w:left w:val="nil"/>
              <w:bottom w:val="single" w:sz="4" w:space="0" w:color="auto"/>
              <w:right w:val="single" w:sz="4" w:space="0" w:color="auto"/>
            </w:tcBorders>
            <w:shd w:val="clear" w:color="000000" w:fill="F2F2F2"/>
            <w:hideMark/>
          </w:tcPr>
          <w:p w14:paraId="1D5CDBB3" w14:textId="77777777" w:rsidR="00CB2E14" w:rsidRPr="00882F2F" w:rsidRDefault="00CB2E14" w:rsidP="00CB2E14">
            <w:pPr>
              <w:spacing w:after="0" w:line="240" w:lineRule="auto"/>
              <w:jc w:val="center"/>
              <w:rPr>
                <w:rFonts w:eastAsia="Times New Roman" w:cstheme="minorHAnsi"/>
                <w:sz w:val="18"/>
                <w:szCs w:val="18"/>
              </w:rPr>
            </w:pPr>
            <w:r w:rsidRPr="00882F2F">
              <w:rPr>
                <w:rFonts w:eastAsia="Times New Roman" w:cstheme="minorHAnsi"/>
                <w:sz w:val="18"/>
                <w:szCs w:val="18"/>
              </w:rPr>
              <w:t>1.777,4</w:t>
            </w:r>
          </w:p>
        </w:tc>
        <w:tc>
          <w:tcPr>
            <w:tcW w:w="992" w:type="dxa"/>
            <w:tcBorders>
              <w:top w:val="nil"/>
              <w:left w:val="nil"/>
              <w:bottom w:val="single" w:sz="4" w:space="0" w:color="auto"/>
              <w:right w:val="single" w:sz="4" w:space="0" w:color="auto"/>
            </w:tcBorders>
            <w:shd w:val="clear" w:color="000000" w:fill="F2F2F2"/>
            <w:hideMark/>
          </w:tcPr>
          <w:p w14:paraId="0E65350D" w14:textId="77777777" w:rsidR="00CB2E14" w:rsidRPr="00882F2F" w:rsidRDefault="00CB2E14" w:rsidP="00CB2E14">
            <w:pPr>
              <w:spacing w:after="0" w:line="240" w:lineRule="auto"/>
              <w:jc w:val="center"/>
              <w:rPr>
                <w:rFonts w:eastAsia="Times New Roman" w:cstheme="minorHAnsi"/>
                <w:sz w:val="18"/>
                <w:szCs w:val="18"/>
              </w:rPr>
            </w:pPr>
            <w:r w:rsidRPr="00882F2F">
              <w:rPr>
                <w:rFonts w:eastAsia="Times New Roman" w:cstheme="minorHAnsi"/>
                <w:sz w:val="18"/>
                <w:szCs w:val="18"/>
              </w:rPr>
              <w:t>1.777,5</w:t>
            </w:r>
          </w:p>
        </w:tc>
        <w:tc>
          <w:tcPr>
            <w:tcW w:w="1134" w:type="dxa"/>
            <w:tcBorders>
              <w:top w:val="nil"/>
              <w:left w:val="nil"/>
              <w:bottom w:val="single" w:sz="4" w:space="0" w:color="auto"/>
              <w:right w:val="single" w:sz="4" w:space="0" w:color="auto"/>
            </w:tcBorders>
            <w:shd w:val="clear" w:color="000000" w:fill="F2F2F2"/>
            <w:hideMark/>
          </w:tcPr>
          <w:p w14:paraId="5BB0F116" w14:textId="77777777" w:rsidR="00CB2E14" w:rsidRPr="00882F2F" w:rsidRDefault="00CB2E14" w:rsidP="00CB2E14">
            <w:pPr>
              <w:spacing w:after="0" w:line="240" w:lineRule="auto"/>
              <w:jc w:val="center"/>
              <w:rPr>
                <w:rFonts w:eastAsia="Times New Roman" w:cstheme="minorHAnsi"/>
                <w:sz w:val="18"/>
                <w:szCs w:val="18"/>
              </w:rPr>
            </w:pPr>
            <w:r w:rsidRPr="00882F2F">
              <w:rPr>
                <w:rFonts w:eastAsia="Times New Roman" w:cstheme="minorHAnsi"/>
                <w:sz w:val="18"/>
                <w:szCs w:val="18"/>
              </w:rPr>
              <w:t>1.784,8</w:t>
            </w:r>
          </w:p>
        </w:tc>
        <w:tc>
          <w:tcPr>
            <w:tcW w:w="1418" w:type="dxa"/>
            <w:tcBorders>
              <w:top w:val="nil"/>
              <w:left w:val="nil"/>
              <w:bottom w:val="single" w:sz="4" w:space="0" w:color="auto"/>
              <w:right w:val="single" w:sz="4" w:space="0" w:color="auto"/>
            </w:tcBorders>
            <w:shd w:val="clear" w:color="000000" w:fill="F2F2F2"/>
            <w:hideMark/>
          </w:tcPr>
          <w:p w14:paraId="2E1DD021" w14:textId="77777777" w:rsidR="00CB2E14" w:rsidRPr="00882F2F" w:rsidRDefault="00CB2E14" w:rsidP="00CB2E14">
            <w:pPr>
              <w:spacing w:after="0" w:line="240" w:lineRule="auto"/>
              <w:jc w:val="center"/>
              <w:rPr>
                <w:rFonts w:eastAsia="Times New Roman" w:cstheme="minorHAnsi"/>
                <w:sz w:val="18"/>
                <w:szCs w:val="18"/>
              </w:rPr>
            </w:pPr>
            <w:r w:rsidRPr="00882F2F">
              <w:rPr>
                <w:rFonts w:eastAsia="Times New Roman" w:cstheme="minorHAnsi"/>
                <w:sz w:val="18"/>
                <w:szCs w:val="18"/>
              </w:rPr>
              <w:t>0,0%</w:t>
            </w:r>
          </w:p>
        </w:tc>
        <w:tc>
          <w:tcPr>
            <w:tcW w:w="1417" w:type="dxa"/>
            <w:tcBorders>
              <w:top w:val="nil"/>
              <w:left w:val="nil"/>
              <w:bottom w:val="single" w:sz="4" w:space="0" w:color="auto"/>
              <w:right w:val="single" w:sz="8" w:space="0" w:color="auto"/>
            </w:tcBorders>
            <w:shd w:val="clear" w:color="000000" w:fill="F2F2F2"/>
            <w:hideMark/>
          </w:tcPr>
          <w:p w14:paraId="48C6547C" w14:textId="77777777" w:rsidR="00CB2E14" w:rsidRPr="00882F2F" w:rsidRDefault="00CB2E14" w:rsidP="00CB2E14">
            <w:pPr>
              <w:spacing w:after="0" w:line="240" w:lineRule="auto"/>
              <w:jc w:val="center"/>
              <w:rPr>
                <w:rFonts w:eastAsia="Times New Roman" w:cstheme="minorHAnsi"/>
                <w:sz w:val="18"/>
                <w:szCs w:val="18"/>
              </w:rPr>
            </w:pPr>
            <w:r w:rsidRPr="00882F2F">
              <w:rPr>
                <w:rFonts w:eastAsia="Times New Roman" w:cstheme="minorHAnsi"/>
                <w:sz w:val="18"/>
                <w:szCs w:val="18"/>
              </w:rPr>
              <w:t>0,4%</w:t>
            </w:r>
          </w:p>
        </w:tc>
      </w:tr>
      <w:tr w:rsidR="00CB2E14" w:rsidRPr="00882F2F" w14:paraId="1DCFAF8D" w14:textId="77777777" w:rsidTr="004D5210">
        <w:trPr>
          <w:trHeight w:val="20"/>
        </w:trPr>
        <w:tc>
          <w:tcPr>
            <w:tcW w:w="3371" w:type="dxa"/>
            <w:tcBorders>
              <w:top w:val="nil"/>
              <w:left w:val="single" w:sz="8" w:space="0" w:color="auto"/>
              <w:bottom w:val="single" w:sz="4" w:space="0" w:color="auto"/>
              <w:right w:val="single" w:sz="4" w:space="0" w:color="auto"/>
            </w:tcBorders>
            <w:shd w:val="clear" w:color="000000" w:fill="F2F2F2"/>
            <w:hideMark/>
          </w:tcPr>
          <w:p w14:paraId="5B95A10A" w14:textId="77777777" w:rsidR="00CB2E14" w:rsidRPr="00882F2F" w:rsidRDefault="00CB2E14" w:rsidP="00CB2E14">
            <w:pPr>
              <w:spacing w:after="0" w:line="240" w:lineRule="auto"/>
              <w:ind w:firstLineChars="200" w:firstLine="360"/>
              <w:rPr>
                <w:rFonts w:eastAsia="Times New Roman" w:cstheme="minorHAnsi"/>
                <w:sz w:val="18"/>
                <w:szCs w:val="18"/>
              </w:rPr>
            </w:pPr>
            <w:r w:rsidRPr="00882F2F">
              <w:rPr>
                <w:rFonts w:eastAsia="Times New Roman" w:cstheme="minorHAnsi"/>
                <w:sz w:val="18"/>
                <w:szCs w:val="18"/>
              </w:rPr>
              <w:t>3.3. Finansijski derivati</w:t>
            </w:r>
          </w:p>
        </w:tc>
        <w:tc>
          <w:tcPr>
            <w:tcW w:w="858" w:type="dxa"/>
            <w:tcBorders>
              <w:top w:val="nil"/>
              <w:left w:val="nil"/>
              <w:bottom w:val="single" w:sz="4" w:space="0" w:color="auto"/>
              <w:right w:val="single" w:sz="4" w:space="0" w:color="auto"/>
            </w:tcBorders>
            <w:shd w:val="clear" w:color="000000" w:fill="F2F2F2"/>
            <w:hideMark/>
          </w:tcPr>
          <w:p w14:paraId="164FF2F3" w14:textId="77777777" w:rsidR="00CB2E14" w:rsidRPr="00882F2F" w:rsidRDefault="00CB2E14" w:rsidP="00CB2E14">
            <w:pPr>
              <w:spacing w:after="0" w:line="240" w:lineRule="auto"/>
              <w:jc w:val="center"/>
              <w:rPr>
                <w:rFonts w:eastAsia="Times New Roman" w:cstheme="minorHAnsi"/>
                <w:sz w:val="18"/>
                <w:szCs w:val="18"/>
              </w:rPr>
            </w:pPr>
            <w:r w:rsidRPr="00882F2F">
              <w:rPr>
                <w:rFonts w:eastAsia="Times New Roman" w:cstheme="minorHAnsi"/>
                <w:sz w:val="18"/>
                <w:szCs w:val="18"/>
              </w:rPr>
              <w:t>0,0</w:t>
            </w:r>
          </w:p>
        </w:tc>
        <w:tc>
          <w:tcPr>
            <w:tcW w:w="992" w:type="dxa"/>
            <w:tcBorders>
              <w:top w:val="nil"/>
              <w:left w:val="nil"/>
              <w:bottom w:val="single" w:sz="4" w:space="0" w:color="auto"/>
              <w:right w:val="single" w:sz="4" w:space="0" w:color="auto"/>
            </w:tcBorders>
            <w:shd w:val="clear" w:color="000000" w:fill="F2F2F2"/>
            <w:hideMark/>
          </w:tcPr>
          <w:p w14:paraId="1428007D" w14:textId="77777777" w:rsidR="00CB2E14" w:rsidRPr="00882F2F" w:rsidRDefault="00CB2E14" w:rsidP="00CB2E14">
            <w:pPr>
              <w:spacing w:after="0" w:line="240" w:lineRule="auto"/>
              <w:jc w:val="center"/>
              <w:rPr>
                <w:rFonts w:eastAsia="Times New Roman" w:cstheme="minorHAnsi"/>
                <w:sz w:val="18"/>
                <w:szCs w:val="18"/>
              </w:rPr>
            </w:pPr>
            <w:r w:rsidRPr="00882F2F">
              <w:rPr>
                <w:rFonts w:eastAsia="Times New Roman" w:cstheme="minorHAnsi"/>
                <w:sz w:val="18"/>
                <w:szCs w:val="18"/>
              </w:rPr>
              <w:t>0,1</w:t>
            </w:r>
          </w:p>
        </w:tc>
        <w:tc>
          <w:tcPr>
            <w:tcW w:w="1134" w:type="dxa"/>
            <w:tcBorders>
              <w:top w:val="nil"/>
              <w:left w:val="nil"/>
              <w:bottom w:val="single" w:sz="4" w:space="0" w:color="auto"/>
              <w:right w:val="single" w:sz="4" w:space="0" w:color="auto"/>
            </w:tcBorders>
            <w:shd w:val="clear" w:color="000000" w:fill="F2F2F2"/>
            <w:hideMark/>
          </w:tcPr>
          <w:p w14:paraId="5DA77554" w14:textId="77777777" w:rsidR="00CB2E14" w:rsidRPr="00882F2F" w:rsidRDefault="00CB2E14" w:rsidP="00CB2E14">
            <w:pPr>
              <w:spacing w:after="0" w:line="240" w:lineRule="auto"/>
              <w:jc w:val="center"/>
              <w:rPr>
                <w:rFonts w:eastAsia="Times New Roman" w:cstheme="minorHAnsi"/>
                <w:sz w:val="18"/>
                <w:szCs w:val="18"/>
              </w:rPr>
            </w:pPr>
            <w:r w:rsidRPr="00882F2F">
              <w:rPr>
                <w:rFonts w:eastAsia="Times New Roman" w:cstheme="minorHAnsi"/>
                <w:sz w:val="18"/>
                <w:szCs w:val="18"/>
              </w:rPr>
              <w:t>0,3</w:t>
            </w:r>
          </w:p>
        </w:tc>
        <w:tc>
          <w:tcPr>
            <w:tcW w:w="1418" w:type="dxa"/>
            <w:tcBorders>
              <w:top w:val="nil"/>
              <w:left w:val="nil"/>
              <w:bottom w:val="single" w:sz="4" w:space="0" w:color="auto"/>
              <w:right w:val="single" w:sz="4" w:space="0" w:color="auto"/>
            </w:tcBorders>
            <w:shd w:val="clear" w:color="000000" w:fill="F2F2F2"/>
            <w:hideMark/>
          </w:tcPr>
          <w:p w14:paraId="7C4D0103" w14:textId="77777777" w:rsidR="00CB2E14" w:rsidRPr="00882F2F" w:rsidRDefault="00CB2E14" w:rsidP="00CB2E14">
            <w:pPr>
              <w:spacing w:after="0" w:line="240" w:lineRule="auto"/>
              <w:jc w:val="center"/>
              <w:rPr>
                <w:rFonts w:eastAsia="Times New Roman" w:cstheme="minorHAnsi"/>
                <w:sz w:val="18"/>
                <w:szCs w:val="18"/>
              </w:rPr>
            </w:pPr>
            <w:r w:rsidRPr="00882F2F">
              <w:rPr>
                <w:rFonts w:eastAsia="Times New Roman" w:cstheme="minorHAnsi"/>
                <w:sz w:val="18"/>
                <w:szCs w:val="18"/>
              </w:rPr>
              <w:t>10,4%</w:t>
            </w:r>
          </w:p>
        </w:tc>
        <w:tc>
          <w:tcPr>
            <w:tcW w:w="1417" w:type="dxa"/>
            <w:tcBorders>
              <w:top w:val="nil"/>
              <w:left w:val="nil"/>
              <w:bottom w:val="single" w:sz="4" w:space="0" w:color="auto"/>
              <w:right w:val="single" w:sz="8" w:space="0" w:color="auto"/>
            </w:tcBorders>
            <w:shd w:val="clear" w:color="000000" w:fill="F2F2F2"/>
            <w:hideMark/>
          </w:tcPr>
          <w:p w14:paraId="312CC6B4" w14:textId="77777777" w:rsidR="00CB2E14" w:rsidRPr="00882F2F" w:rsidRDefault="00CB2E14" w:rsidP="00CB2E14">
            <w:pPr>
              <w:spacing w:after="0" w:line="240" w:lineRule="auto"/>
              <w:jc w:val="center"/>
              <w:rPr>
                <w:rFonts w:eastAsia="Times New Roman" w:cstheme="minorHAnsi"/>
                <w:sz w:val="18"/>
                <w:szCs w:val="18"/>
              </w:rPr>
            </w:pPr>
            <w:r w:rsidRPr="00882F2F">
              <w:rPr>
                <w:rFonts w:eastAsia="Times New Roman" w:cstheme="minorHAnsi"/>
                <w:sz w:val="18"/>
                <w:szCs w:val="18"/>
              </w:rPr>
              <w:t>496,2%</w:t>
            </w:r>
          </w:p>
        </w:tc>
      </w:tr>
      <w:tr w:rsidR="00CB2E14" w:rsidRPr="00882F2F" w14:paraId="46A8D265" w14:textId="77777777" w:rsidTr="004D5210">
        <w:trPr>
          <w:trHeight w:val="20"/>
        </w:trPr>
        <w:tc>
          <w:tcPr>
            <w:tcW w:w="3371" w:type="dxa"/>
            <w:tcBorders>
              <w:top w:val="nil"/>
              <w:left w:val="single" w:sz="8" w:space="0" w:color="auto"/>
              <w:bottom w:val="single" w:sz="8" w:space="0" w:color="auto"/>
              <w:right w:val="single" w:sz="4" w:space="0" w:color="auto"/>
            </w:tcBorders>
            <w:shd w:val="clear" w:color="000000" w:fill="F2F2F2"/>
            <w:hideMark/>
          </w:tcPr>
          <w:p w14:paraId="438E64A0" w14:textId="77777777" w:rsidR="00CB2E14" w:rsidRPr="00882F2F" w:rsidRDefault="00CB2E14" w:rsidP="00CB2E14">
            <w:pPr>
              <w:spacing w:after="0" w:line="240" w:lineRule="auto"/>
              <w:ind w:firstLineChars="200" w:firstLine="360"/>
              <w:rPr>
                <w:rFonts w:eastAsia="Times New Roman" w:cstheme="minorHAnsi"/>
                <w:sz w:val="18"/>
                <w:szCs w:val="18"/>
              </w:rPr>
            </w:pPr>
            <w:r w:rsidRPr="00882F2F">
              <w:rPr>
                <w:rFonts w:eastAsia="Times New Roman" w:cstheme="minorHAnsi"/>
                <w:sz w:val="18"/>
                <w:szCs w:val="18"/>
              </w:rPr>
              <w:t>3.4. Ostale investicije</w:t>
            </w:r>
          </w:p>
        </w:tc>
        <w:tc>
          <w:tcPr>
            <w:tcW w:w="858" w:type="dxa"/>
            <w:tcBorders>
              <w:top w:val="nil"/>
              <w:left w:val="nil"/>
              <w:bottom w:val="single" w:sz="8" w:space="0" w:color="auto"/>
              <w:right w:val="single" w:sz="4" w:space="0" w:color="auto"/>
            </w:tcBorders>
            <w:shd w:val="clear" w:color="000000" w:fill="F2F2F2"/>
            <w:hideMark/>
          </w:tcPr>
          <w:p w14:paraId="48B73500" w14:textId="77777777" w:rsidR="00CB2E14" w:rsidRPr="00882F2F" w:rsidRDefault="00CB2E14" w:rsidP="00CB2E14">
            <w:pPr>
              <w:spacing w:after="0" w:line="240" w:lineRule="auto"/>
              <w:jc w:val="center"/>
              <w:rPr>
                <w:rFonts w:eastAsia="Times New Roman" w:cstheme="minorHAnsi"/>
                <w:sz w:val="18"/>
                <w:szCs w:val="18"/>
              </w:rPr>
            </w:pPr>
            <w:r w:rsidRPr="00882F2F">
              <w:rPr>
                <w:rFonts w:eastAsia="Times New Roman" w:cstheme="minorHAnsi"/>
                <w:sz w:val="18"/>
                <w:szCs w:val="18"/>
              </w:rPr>
              <w:t>5.548,3</w:t>
            </w:r>
          </w:p>
        </w:tc>
        <w:tc>
          <w:tcPr>
            <w:tcW w:w="992" w:type="dxa"/>
            <w:tcBorders>
              <w:top w:val="nil"/>
              <w:left w:val="nil"/>
              <w:bottom w:val="single" w:sz="8" w:space="0" w:color="auto"/>
              <w:right w:val="single" w:sz="4" w:space="0" w:color="auto"/>
            </w:tcBorders>
            <w:shd w:val="clear" w:color="000000" w:fill="F2F2F2"/>
            <w:hideMark/>
          </w:tcPr>
          <w:p w14:paraId="377929E7" w14:textId="77777777" w:rsidR="00CB2E14" w:rsidRPr="00882F2F" w:rsidRDefault="00CB2E14" w:rsidP="00CB2E14">
            <w:pPr>
              <w:spacing w:after="0" w:line="240" w:lineRule="auto"/>
              <w:jc w:val="center"/>
              <w:rPr>
                <w:rFonts w:eastAsia="Times New Roman" w:cstheme="minorHAnsi"/>
                <w:sz w:val="18"/>
                <w:szCs w:val="18"/>
              </w:rPr>
            </w:pPr>
            <w:r w:rsidRPr="00882F2F">
              <w:rPr>
                <w:rFonts w:eastAsia="Times New Roman" w:cstheme="minorHAnsi"/>
                <w:sz w:val="18"/>
                <w:szCs w:val="18"/>
              </w:rPr>
              <w:t>5.286,8</w:t>
            </w:r>
          </w:p>
        </w:tc>
        <w:tc>
          <w:tcPr>
            <w:tcW w:w="1134" w:type="dxa"/>
            <w:tcBorders>
              <w:top w:val="nil"/>
              <w:left w:val="nil"/>
              <w:bottom w:val="single" w:sz="8" w:space="0" w:color="auto"/>
              <w:right w:val="single" w:sz="4" w:space="0" w:color="auto"/>
            </w:tcBorders>
            <w:shd w:val="clear" w:color="000000" w:fill="F2F2F2"/>
            <w:hideMark/>
          </w:tcPr>
          <w:p w14:paraId="3E4941C9" w14:textId="77777777" w:rsidR="00CB2E14" w:rsidRPr="00882F2F" w:rsidRDefault="00CB2E14" w:rsidP="00CB2E14">
            <w:pPr>
              <w:spacing w:after="0" w:line="240" w:lineRule="auto"/>
              <w:jc w:val="center"/>
              <w:rPr>
                <w:rFonts w:eastAsia="Times New Roman" w:cstheme="minorHAnsi"/>
                <w:sz w:val="18"/>
                <w:szCs w:val="18"/>
              </w:rPr>
            </w:pPr>
            <w:r w:rsidRPr="00882F2F">
              <w:rPr>
                <w:rFonts w:eastAsia="Times New Roman" w:cstheme="minorHAnsi"/>
                <w:sz w:val="18"/>
                <w:szCs w:val="18"/>
              </w:rPr>
              <w:t>5.264,8</w:t>
            </w:r>
          </w:p>
        </w:tc>
        <w:tc>
          <w:tcPr>
            <w:tcW w:w="1418" w:type="dxa"/>
            <w:tcBorders>
              <w:top w:val="nil"/>
              <w:left w:val="nil"/>
              <w:bottom w:val="single" w:sz="8" w:space="0" w:color="auto"/>
              <w:right w:val="single" w:sz="4" w:space="0" w:color="auto"/>
            </w:tcBorders>
            <w:shd w:val="clear" w:color="000000" w:fill="F2F2F2"/>
            <w:hideMark/>
          </w:tcPr>
          <w:p w14:paraId="1B6D7EB5" w14:textId="77777777" w:rsidR="00CB2E14" w:rsidRPr="00882F2F" w:rsidRDefault="00CB2E14" w:rsidP="00CB2E14">
            <w:pPr>
              <w:spacing w:after="0" w:line="240" w:lineRule="auto"/>
              <w:jc w:val="center"/>
              <w:rPr>
                <w:rFonts w:eastAsia="Times New Roman" w:cstheme="minorHAnsi"/>
                <w:sz w:val="18"/>
                <w:szCs w:val="18"/>
              </w:rPr>
            </w:pPr>
            <w:r w:rsidRPr="00882F2F">
              <w:rPr>
                <w:rFonts w:eastAsia="Times New Roman" w:cstheme="minorHAnsi"/>
                <w:sz w:val="18"/>
                <w:szCs w:val="18"/>
              </w:rPr>
              <w:t>-4,7%</w:t>
            </w:r>
          </w:p>
        </w:tc>
        <w:tc>
          <w:tcPr>
            <w:tcW w:w="1417" w:type="dxa"/>
            <w:tcBorders>
              <w:top w:val="nil"/>
              <w:left w:val="nil"/>
              <w:bottom w:val="single" w:sz="8" w:space="0" w:color="auto"/>
              <w:right w:val="single" w:sz="8" w:space="0" w:color="auto"/>
            </w:tcBorders>
            <w:shd w:val="clear" w:color="000000" w:fill="F2F2F2"/>
            <w:hideMark/>
          </w:tcPr>
          <w:p w14:paraId="52A2B28E" w14:textId="77777777" w:rsidR="00CB2E14" w:rsidRPr="00882F2F" w:rsidRDefault="00CB2E14" w:rsidP="00CB2E14">
            <w:pPr>
              <w:spacing w:after="0" w:line="240" w:lineRule="auto"/>
              <w:jc w:val="center"/>
              <w:rPr>
                <w:rFonts w:eastAsia="Times New Roman" w:cstheme="minorHAnsi"/>
                <w:sz w:val="18"/>
                <w:szCs w:val="18"/>
              </w:rPr>
            </w:pPr>
            <w:r w:rsidRPr="00882F2F">
              <w:rPr>
                <w:rFonts w:eastAsia="Times New Roman" w:cstheme="minorHAnsi"/>
                <w:sz w:val="18"/>
                <w:szCs w:val="18"/>
              </w:rPr>
              <w:t>-0,4%</w:t>
            </w:r>
          </w:p>
        </w:tc>
      </w:tr>
    </w:tbl>
    <w:bookmarkEnd w:id="14"/>
    <w:p w14:paraId="559C3A3E" w14:textId="77777777" w:rsidR="00CB2E14" w:rsidRPr="004D5210" w:rsidRDefault="00CB2E14" w:rsidP="00CB2E14">
      <w:pPr>
        <w:spacing w:line="240" w:lineRule="auto"/>
        <w:jc w:val="both"/>
        <w:rPr>
          <w:bCs/>
          <w:i/>
          <w:sz w:val="18"/>
          <w:szCs w:val="18"/>
        </w:rPr>
      </w:pPr>
      <w:r>
        <w:rPr>
          <w:bCs/>
          <w:i/>
          <w:sz w:val="16"/>
          <w:szCs w:val="16"/>
        </w:rPr>
        <w:t xml:space="preserve">   </w:t>
      </w:r>
      <w:r w:rsidRPr="004D5210">
        <w:rPr>
          <w:bCs/>
          <w:i/>
          <w:sz w:val="18"/>
          <w:szCs w:val="18"/>
        </w:rPr>
        <w:t>Izvor: CBCG</w:t>
      </w:r>
    </w:p>
    <w:p w14:paraId="4984D7F8" w14:textId="77777777" w:rsidR="004D5210" w:rsidRDefault="004D5210" w:rsidP="00CB2E14">
      <w:pPr>
        <w:pStyle w:val="Heading2"/>
        <w:rPr>
          <w:rFonts w:asciiTheme="minorHAnsi" w:eastAsia="Calibri" w:hAnsiTheme="minorHAnsi" w:cstheme="minorHAnsi"/>
          <w:b/>
          <w:sz w:val="24"/>
          <w:szCs w:val="24"/>
          <w:lang w:val="sr-Latn-ME" w:eastAsia="sr-Latn-ME"/>
        </w:rPr>
      </w:pPr>
    </w:p>
    <w:p w14:paraId="65733649" w14:textId="4E6666DC" w:rsidR="00CB2E14" w:rsidRPr="00CB2E14" w:rsidRDefault="00CB2E14" w:rsidP="00CB2E14">
      <w:pPr>
        <w:pStyle w:val="Heading2"/>
        <w:rPr>
          <w:rFonts w:asciiTheme="minorHAnsi" w:eastAsia="Calibri" w:hAnsiTheme="minorHAnsi" w:cstheme="minorHAnsi"/>
          <w:b/>
          <w:sz w:val="24"/>
          <w:szCs w:val="24"/>
          <w:lang w:val="sr-Latn-ME" w:eastAsia="sr-Latn-ME"/>
        </w:rPr>
      </w:pPr>
      <w:bookmarkStart w:id="15" w:name="_Toc153305325"/>
      <w:r w:rsidRPr="00CB2E14">
        <w:rPr>
          <w:rFonts w:asciiTheme="minorHAnsi" w:eastAsia="Calibri" w:hAnsiTheme="minorHAnsi" w:cstheme="minorHAnsi"/>
          <w:b/>
          <w:sz w:val="24"/>
          <w:szCs w:val="24"/>
          <w:lang w:val="sr-Latn-ME" w:eastAsia="sr-Latn-ME"/>
        </w:rPr>
        <w:t>3.2. Srednjoročni makroekonomski scenario</w:t>
      </w:r>
      <w:bookmarkEnd w:id="15"/>
    </w:p>
    <w:p w14:paraId="0FF67F97" w14:textId="77777777" w:rsidR="00CB2E14" w:rsidRPr="005E3719" w:rsidRDefault="00CB2E14" w:rsidP="00CB2E14">
      <w:pPr>
        <w:jc w:val="both"/>
        <w:rPr>
          <w:b/>
          <w:sz w:val="24"/>
        </w:rPr>
      </w:pPr>
      <w:r w:rsidRPr="005E3719">
        <w:rPr>
          <w:b/>
          <w:sz w:val="24"/>
        </w:rPr>
        <w:t>Rast ekonomije je tokom 2023. godine bio snažniji od očekivanog, pa je shodno snažnom rastu u prvoj polovini godine, povoljnim kratkoročnim pokazateljima u trećem kvartalu i djelimičnom oporavku investicione aktivnosti, izvršena revizija rasta ekonomije naviše u 2023. U srednjem roku se očekuje da privatna potrošnja i dalje bude glavni pokretač ekonomskog rasta, uz započinjanje novog investicionog ciklusa, sprovođenje strukturnih reformi u ekonomiji i intenziviranje evropskih integracija uz pridruživanje inicijativi Evropske unije – Novi plan rasta za Zapadni Balkan.</w:t>
      </w:r>
    </w:p>
    <w:p w14:paraId="7E897B00" w14:textId="77777777" w:rsidR="00CB2E14" w:rsidRDefault="00CB2E14" w:rsidP="00CB2E14">
      <w:pPr>
        <w:jc w:val="both"/>
        <w:rPr>
          <w:sz w:val="24"/>
        </w:rPr>
      </w:pPr>
      <w:r>
        <w:rPr>
          <w:sz w:val="24"/>
        </w:rPr>
        <w:t>Snažna potrošnja domaćinstava, povećanje minimalne penzije od 2024, započinjanje novog investicionog ciklusa, nastavak povoljnih trendova u turizmu, uz mjere sektorske podrške i relevantne prognoze kretanja ekonomske aktivnosti i inflacije u Evropi,</w:t>
      </w:r>
      <w:r w:rsidRPr="0037486E">
        <w:rPr>
          <w:sz w:val="24"/>
        </w:rPr>
        <w:t xml:space="preserve"> </w:t>
      </w:r>
      <w:r w:rsidRPr="00143C40">
        <w:rPr>
          <w:sz w:val="24"/>
        </w:rPr>
        <w:t>čine osnovne pretpostavke makroekonomskog scenarija</w:t>
      </w:r>
      <w:r>
        <w:rPr>
          <w:sz w:val="24"/>
        </w:rPr>
        <w:t>. U nastavku poglavlja, dat je pregled srednjoročnih makroekonomskih prognoza, uz identifikovane makrofinansijske rizike, kao i izrađeni alternativni scenario u slučaju materijalizacije brojnih rizika i izazova. Poglavlje sadrži i procjenu uticaja strukturnih reformi i reformskih mjera predviđenih ovogodišnjim Programom, uz komplementarne projekte iz sektora energetike, kako bi se kvantifikovao efekat dijela zelene tranzicije po rast ekonomije i zaposlenost.</w:t>
      </w:r>
    </w:p>
    <w:p w14:paraId="7B40A336" w14:textId="77777777" w:rsidR="00CB2E14" w:rsidRPr="0047692E" w:rsidRDefault="00CB2E14" w:rsidP="00CB2E14">
      <w:pPr>
        <w:jc w:val="both"/>
        <w:rPr>
          <w:rFonts w:eastAsia="Calibri" w:cstheme="minorHAnsi"/>
          <w:b/>
          <w:color w:val="2F5496" w:themeColor="accent1" w:themeShade="BF"/>
          <w:sz w:val="24"/>
          <w:lang w:val="sr-Latn-ME" w:eastAsia="sr-Latn-ME"/>
        </w:rPr>
      </w:pPr>
      <w:r w:rsidRPr="0047692E">
        <w:rPr>
          <w:rFonts w:eastAsia="Calibri" w:cstheme="minorHAnsi"/>
          <w:b/>
          <w:color w:val="2F5496" w:themeColor="accent1" w:themeShade="BF"/>
          <w:sz w:val="24"/>
          <w:lang w:val="sr-Latn-ME" w:eastAsia="sr-Latn-ME"/>
        </w:rPr>
        <w:t>3.2.1. Osnovni makroekonomski scenario 2023-2026 i rizici za ostvarenje</w:t>
      </w:r>
    </w:p>
    <w:p w14:paraId="79C24454" w14:textId="77777777" w:rsidR="00CB2E14" w:rsidRDefault="00CB2E14" w:rsidP="00CB2E14">
      <w:pPr>
        <w:jc w:val="both"/>
        <w:rPr>
          <w:sz w:val="24"/>
        </w:rPr>
      </w:pPr>
      <w:r>
        <w:rPr>
          <w:sz w:val="24"/>
        </w:rPr>
        <w:t>Rast ekonomije tokom 2022. i 2023, bio je snažniji od očekivanog, u</w:t>
      </w:r>
      <w:r w:rsidRPr="00143C40">
        <w:rPr>
          <w:sz w:val="24"/>
        </w:rPr>
        <w:t>prkos globalnim ekonomskim i geopolitičkim neizvjesnostima</w:t>
      </w:r>
      <w:r>
        <w:rPr>
          <w:sz w:val="24"/>
        </w:rPr>
        <w:t>. Izmjene poreske politike i povećanje minimalne i prosječnih zarada počev od 2022, dalji rast plata u javnom sektoru u 2023, porast raspoloživog dohotka kroz transfere, zaposlenost i kreditiranje, kao i veliki priliv nerezidenata u protekle dvije godine, opredijelili su privredne trendove u Crnoj Gori.</w:t>
      </w:r>
    </w:p>
    <w:p w14:paraId="2CC43225" w14:textId="77777777" w:rsidR="00CB2E14" w:rsidRPr="00A874CD" w:rsidRDefault="00CB2E14" w:rsidP="00CB2E14">
      <w:pPr>
        <w:jc w:val="both"/>
        <w:rPr>
          <w:sz w:val="24"/>
        </w:rPr>
      </w:pPr>
      <w:r>
        <w:rPr>
          <w:sz w:val="24"/>
        </w:rPr>
        <w:t>Tokom 2023,</w:t>
      </w:r>
      <w:r w:rsidRPr="00143C40">
        <w:rPr>
          <w:sz w:val="24"/>
        </w:rPr>
        <w:t xml:space="preserve"> </w:t>
      </w:r>
      <w:r>
        <w:rPr>
          <w:sz w:val="24"/>
        </w:rPr>
        <w:t>t</w:t>
      </w:r>
      <w:r w:rsidRPr="00143C40">
        <w:rPr>
          <w:sz w:val="24"/>
        </w:rPr>
        <w:t xml:space="preserve">radicionalno najsnažniji sektori turizma, trgovine </w:t>
      </w:r>
      <w:r>
        <w:rPr>
          <w:sz w:val="24"/>
        </w:rPr>
        <w:t xml:space="preserve">i saobraćaja </w:t>
      </w:r>
      <w:r w:rsidRPr="00143C40">
        <w:rPr>
          <w:sz w:val="24"/>
        </w:rPr>
        <w:t xml:space="preserve">bilježe visoke stope rasta, dok </w:t>
      </w:r>
      <w:r>
        <w:rPr>
          <w:sz w:val="24"/>
        </w:rPr>
        <w:t>s</w:t>
      </w:r>
      <w:r w:rsidRPr="00143C40">
        <w:rPr>
          <w:sz w:val="24"/>
        </w:rPr>
        <w:t xml:space="preserve">e industrijska proizvodnja </w:t>
      </w:r>
      <w:r>
        <w:rPr>
          <w:sz w:val="24"/>
        </w:rPr>
        <w:t>oporavila, prevashodno pod uticajem snažnog</w:t>
      </w:r>
      <w:r w:rsidRPr="00143C40">
        <w:rPr>
          <w:sz w:val="24"/>
        </w:rPr>
        <w:t xml:space="preserve"> </w:t>
      </w:r>
      <w:r>
        <w:rPr>
          <w:sz w:val="24"/>
        </w:rPr>
        <w:t>povećanja proizvodnje električne energije</w:t>
      </w:r>
      <w:r w:rsidRPr="00143C40">
        <w:rPr>
          <w:sz w:val="24"/>
        </w:rPr>
        <w:t xml:space="preserve">. </w:t>
      </w:r>
      <w:r>
        <w:rPr>
          <w:sz w:val="24"/>
        </w:rPr>
        <w:t xml:space="preserve">Prihodi u turizmu su, vođeni povećanjem inostranih gostiju i opštim nivoom cijena, na rekordnom nivou za prvih devet mjeseci 2023, u iznosu od 1,36 milijardi eura. </w:t>
      </w:r>
      <w:r w:rsidRPr="00143C40">
        <w:rPr>
          <w:sz w:val="24"/>
        </w:rPr>
        <w:t>Bankarski sektor je stabilan i visoko likvidan,</w:t>
      </w:r>
      <w:r w:rsidRPr="00732C20">
        <w:rPr>
          <w:sz w:val="24"/>
        </w:rPr>
        <w:t xml:space="preserve"> iako se strožija monetarna politika na evropskom i globalnom nivou, odrazila na povećanje kamatnih stopa u Crnoj Gori</w:t>
      </w:r>
      <w:r>
        <w:rPr>
          <w:sz w:val="24"/>
        </w:rPr>
        <w:t xml:space="preserve"> i pad novoodobrenih kredita. Spoljnotrgovinska pozicija je pogoršana, usljed pada izvoza roba u 2023, dok uvoz bilježi visoki rast vođen domaćom potražnjom. </w:t>
      </w:r>
      <w:r w:rsidRPr="00441DB1">
        <w:rPr>
          <w:sz w:val="24"/>
        </w:rPr>
        <w:t>Tržište rada je usljed rasta privredne aktivnosti, priliva nerezidenata i smanjenja sive ekonomije, nastavilo da bilježi izrazito povoljne trendove</w:t>
      </w:r>
      <w:r>
        <w:rPr>
          <w:sz w:val="24"/>
        </w:rPr>
        <w:t xml:space="preserve">, dok je inflacija, iako usporava nakon rekordnog rasta u prethodnoj godini, na i dalje visokom nivou u 2023. U odsustvu značajnijih reformi, reformske mjere predviđene prošlogodišnjim Programom nijesu značajnije uticale na ostvareni ekonomski rast u tekućoj godini. </w:t>
      </w:r>
      <w:r w:rsidRPr="00BF4776">
        <w:rPr>
          <w:b/>
          <w:sz w:val="24"/>
        </w:rPr>
        <w:t>Shodno ostvarenim makroekonomskim kretanjima, stopa rasta ekonomije je korigovana</w:t>
      </w:r>
      <w:r>
        <w:rPr>
          <w:b/>
          <w:sz w:val="24"/>
        </w:rPr>
        <w:t xml:space="preserve"> naviše</w:t>
      </w:r>
      <w:r w:rsidRPr="00BF4776">
        <w:rPr>
          <w:b/>
          <w:sz w:val="24"/>
        </w:rPr>
        <w:t xml:space="preserve"> za 2023. godinu i sada se procjenjuje</w:t>
      </w:r>
      <w:r>
        <w:rPr>
          <w:b/>
          <w:sz w:val="24"/>
        </w:rPr>
        <w:t xml:space="preserve"> realni</w:t>
      </w:r>
      <w:r w:rsidRPr="00BF4776">
        <w:rPr>
          <w:b/>
          <w:sz w:val="24"/>
        </w:rPr>
        <w:t xml:space="preserve"> rast od 5,8%.</w:t>
      </w:r>
    </w:p>
    <w:p w14:paraId="7DC47102" w14:textId="77777777" w:rsidR="00CB2E14" w:rsidRDefault="00CB2E14" w:rsidP="00CB2E14">
      <w:pPr>
        <w:jc w:val="both"/>
        <w:rPr>
          <w:sz w:val="24"/>
        </w:rPr>
      </w:pPr>
      <w:r>
        <w:rPr>
          <w:sz w:val="24"/>
        </w:rPr>
        <w:t xml:space="preserve">U narednom periodu se očekuje nastavak visoke privatne i javne potrošnje, na bazi sektorskih kretanja, rasta zaposlenosti i najavljenog povećanja minimalne penzije, od 1. januara 2024. </w:t>
      </w:r>
      <w:r>
        <w:rPr>
          <w:sz w:val="24"/>
        </w:rPr>
        <w:lastRenderedPageBreak/>
        <w:t>godine. Budući da će se povećanje odraziti na kategorije stanovništva sa niskim primanjima i dohotkom, procjenjuje se da će privatna potrošnja biti glavni transmisioni mehanizam usvajanja ove mjere, koja će samoj stopi rasta BDP-a dodati oko 0,7-0,8 procentnih poena u 2023 (neto efekat).</w:t>
      </w:r>
    </w:p>
    <w:p w14:paraId="74304313" w14:textId="77777777" w:rsidR="00CB2E14" w:rsidRDefault="00CB2E14" w:rsidP="00CB2E14">
      <w:pPr>
        <w:jc w:val="both"/>
        <w:rPr>
          <w:sz w:val="24"/>
        </w:rPr>
      </w:pPr>
      <w:r w:rsidRPr="00EA1505">
        <w:rPr>
          <w:b/>
          <w:sz w:val="24"/>
        </w:rPr>
        <w:t xml:space="preserve">Prema preliminarnim makroekonomskim prognozama, rast ekonomije će u narednom trogodišnjem periodu </w:t>
      </w:r>
      <w:r w:rsidRPr="00056E0D">
        <w:rPr>
          <w:b/>
          <w:sz w:val="24"/>
        </w:rPr>
        <w:t>iznositi 3,2%.</w:t>
      </w:r>
      <w:r>
        <w:rPr>
          <w:b/>
          <w:sz w:val="24"/>
        </w:rPr>
        <w:t xml:space="preserve"> </w:t>
      </w:r>
      <w:r>
        <w:rPr>
          <w:sz w:val="24"/>
        </w:rPr>
        <w:t>Rast će voditi dominantno domaća potražnja, kroz jaku ličnu potrošnju domaćinstava i započinjanje novog investicionog ciklusa, koji će biti stimulisan olakšanjem biznis barijera i regulatornim reformama. Planirani rast javne potrošnje dodatno će podstaći ekonomski rast u 2024. i narednim godinama. Uslužna orjentisanost ekonomije i snažno oslanjanje na turizam biće karakteristika razvojnog modela i u srednjoročnom periodu, pri čemu će pozitivan efekat neto izvoza po rast biti neutralisan porastom uvoza za potrebe lične i investicione potrošnje, a u skladu sa nisko diversifikovanom domaćom proizvodnom bazom.</w:t>
      </w:r>
    </w:p>
    <w:p w14:paraId="7A8A18B9" w14:textId="77777777" w:rsidR="00CB2E14" w:rsidRDefault="00CB2E14" w:rsidP="00CB2E14">
      <w:pPr>
        <w:jc w:val="both"/>
        <w:rPr>
          <w:sz w:val="24"/>
        </w:rPr>
      </w:pPr>
      <w:r w:rsidRPr="00AD7403">
        <w:rPr>
          <w:sz w:val="24"/>
        </w:rPr>
        <w:t xml:space="preserve">Nakon </w:t>
      </w:r>
      <w:r>
        <w:rPr>
          <w:sz w:val="24"/>
        </w:rPr>
        <w:t>povećanja opšteg nivoa cijena u ekonomiji, koje je u periodu 2022-2023, kumulativno preko 23% u odnosu na 2021</w:t>
      </w:r>
      <w:r w:rsidRPr="00AD7403">
        <w:rPr>
          <w:sz w:val="24"/>
        </w:rPr>
        <w:t xml:space="preserve">, očekuje se da će inflatorni pritisci oslabiti u srednjem roku, ali ipak </w:t>
      </w:r>
      <w:r>
        <w:rPr>
          <w:sz w:val="24"/>
        </w:rPr>
        <w:t>ostati</w:t>
      </w:r>
      <w:r w:rsidRPr="00AD7403">
        <w:rPr>
          <w:sz w:val="24"/>
        </w:rPr>
        <w:t xml:space="preserve"> povišeni</w:t>
      </w:r>
      <w:r>
        <w:rPr>
          <w:sz w:val="24"/>
        </w:rPr>
        <w:t xml:space="preserve">. Ono što zabrinjava je znatna divergencija inflacije u Crnoj Gori u odnosu na inflaciju u Eurozoni, pri </w:t>
      </w:r>
      <w:r>
        <w:rPr>
          <w:sz w:val="24"/>
          <w:lang w:val="sr-Latn-ME"/>
        </w:rPr>
        <w:t>čemu</w:t>
      </w:r>
      <w:r>
        <w:rPr>
          <w:sz w:val="24"/>
        </w:rPr>
        <w:t xml:space="preserve"> Evropska centralna banka (ECB) u svojim jesenjim prognozama predviđa da će se inflacija u </w:t>
      </w:r>
      <w:r w:rsidRPr="003D509C">
        <w:rPr>
          <w:sz w:val="24"/>
        </w:rPr>
        <w:t>zemljama koje zvanično koriste euro, tek u drugoj polovini 2025</w:t>
      </w:r>
      <w:r>
        <w:rPr>
          <w:sz w:val="24"/>
        </w:rPr>
        <w:t>,</w:t>
      </w:r>
      <w:r w:rsidRPr="003D509C">
        <w:rPr>
          <w:sz w:val="24"/>
        </w:rPr>
        <w:t xml:space="preserve"> vratiti u okviru targeta ECB od oko 2%</w:t>
      </w:r>
      <w:r>
        <w:rPr>
          <w:rStyle w:val="FootnoteReference"/>
          <w:sz w:val="24"/>
        </w:rPr>
        <w:footnoteReference w:id="14"/>
      </w:r>
      <w:r w:rsidRPr="003D509C">
        <w:rPr>
          <w:sz w:val="24"/>
        </w:rPr>
        <w:t xml:space="preserve">. </w:t>
      </w:r>
      <w:r>
        <w:rPr>
          <w:sz w:val="24"/>
        </w:rPr>
        <w:t>U skladu sa projekcijama Ministarstva finansija, p</w:t>
      </w:r>
      <w:r w:rsidRPr="003D509C">
        <w:rPr>
          <w:sz w:val="24"/>
        </w:rPr>
        <w:t xml:space="preserve">rocjenjuje se da će inflacija u Crnoj Gori biti na nivou od oko 5% u 2024, dok će se u periodu 2025-26, spustiti na prosječno 3%. Rast cijena će dominantno opredjeljivati eksterni faktori, </w:t>
      </w:r>
      <w:r>
        <w:rPr>
          <w:sz w:val="24"/>
        </w:rPr>
        <w:t>blago smirivanje cijena energenata i</w:t>
      </w:r>
      <w:r w:rsidRPr="003D509C">
        <w:rPr>
          <w:sz w:val="24"/>
        </w:rPr>
        <w:t xml:space="preserve"> hrane</w:t>
      </w:r>
      <w:r>
        <w:rPr>
          <w:sz w:val="24"/>
        </w:rPr>
        <w:t xml:space="preserve"> na međunarodnim berzama</w:t>
      </w:r>
      <w:r w:rsidRPr="003D509C">
        <w:rPr>
          <w:sz w:val="24"/>
        </w:rPr>
        <w:t xml:space="preserve">, kao </w:t>
      </w:r>
      <w:r>
        <w:rPr>
          <w:sz w:val="24"/>
        </w:rPr>
        <w:t>i domaće politike koje stimulišu agregatnu potražnju</w:t>
      </w:r>
      <w:r w:rsidRPr="003D509C">
        <w:rPr>
          <w:sz w:val="24"/>
        </w:rPr>
        <w:t>.</w:t>
      </w:r>
      <w:r w:rsidRPr="000E6393">
        <w:rPr>
          <w:sz w:val="24"/>
        </w:rPr>
        <w:t xml:space="preserve"> </w:t>
      </w:r>
      <w:r w:rsidRPr="00143C40">
        <w:rPr>
          <w:sz w:val="24"/>
        </w:rPr>
        <w:t>Ukoliko se pogoršaju geopolitičke i globalne ekonomske neizvjesnosti, inflacija može biti značajno veća, što je rizik predstavljen u potpoglavlju alternativnog scenarija.</w:t>
      </w:r>
    </w:p>
    <w:p w14:paraId="1EE375E8" w14:textId="77777777" w:rsidR="00CB2E14" w:rsidRDefault="00CB2E14" w:rsidP="00CB2E14">
      <w:pPr>
        <w:jc w:val="both"/>
        <w:rPr>
          <w:sz w:val="24"/>
        </w:rPr>
      </w:pPr>
      <w:r w:rsidRPr="000E6393">
        <w:rPr>
          <w:sz w:val="24"/>
        </w:rPr>
        <w:t xml:space="preserve">Tržište rada se tokom 2023. znatno oporavilo u odnosu na pretkrizni period, </w:t>
      </w:r>
      <w:r w:rsidRPr="00056E0D">
        <w:rPr>
          <w:sz w:val="24"/>
        </w:rPr>
        <w:t xml:space="preserve">pa su ključni indikatori broja zaposlenih i stope nezaposlenosti znatno povoljniji u odnosu na pretkrizni nivo. </w:t>
      </w:r>
      <w:bookmarkStart w:id="16" w:name="_Hlk151997051"/>
      <w:r w:rsidRPr="00056E0D">
        <w:rPr>
          <w:sz w:val="24"/>
        </w:rPr>
        <w:t>Nakon procijenjenog, gotovo dvocifrenog rasta zaposlenosti u 2023, u periodu 2024-2026, predviđa se prosječno povećanje broja zaposlenih od oko 2%, shodno stabilizaciji ekonomskog rasta i potencijala domaće radne snage. Strukturni deficit na tržištu rada usloviće i dalje visoki broj izdatih dozvola za privremeni boravak i rad stranaca.</w:t>
      </w:r>
    </w:p>
    <w:p w14:paraId="172F1322" w14:textId="77777777" w:rsidR="00CB2E14" w:rsidRPr="00501A11" w:rsidRDefault="00CB2E14" w:rsidP="00CB2E14">
      <w:pPr>
        <w:jc w:val="both"/>
        <w:rPr>
          <w:sz w:val="24"/>
        </w:rPr>
      </w:pPr>
      <w:r w:rsidRPr="004A4309">
        <w:rPr>
          <w:sz w:val="24"/>
        </w:rPr>
        <w:t>Prospek</w:t>
      </w:r>
      <w:r>
        <w:rPr>
          <w:sz w:val="24"/>
        </w:rPr>
        <w:t xml:space="preserve">ti rasta ekonomije u srednjem roku podržani su visokim prioritetima ka ispunjavanju EU agende u procesu pristupanja Crne Gore. U tom smislu, jedan od najvažnijih segmenata u oblasti ekonomije predstavlja nova inicijativa Evropske unije pod nazivom - </w:t>
      </w:r>
      <w:r w:rsidRPr="00416819">
        <w:rPr>
          <w:b/>
          <w:sz w:val="24"/>
        </w:rPr>
        <w:t>Novi plan rasta za Zapadni Balkan</w:t>
      </w:r>
      <w:r>
        <w:rPr>
          <w:rStyle w:val="FootnoteReference"/>
          <w:b/>
          <w:sz w:val="24"/>
        </w:rPr>
        <w:footnoteReference w:id="15"/>
      </w:r>
      <w:r>
        <w:rPr>
          <w:sz w:val="24"/>
        </w:rPr>
        <w:t xml:space="preserve">. Inicijativa je posvećena jačanju ekonomske integracije zemalja regiona sa jedinstvenim tržištem EU, ubrzavanju ključnih reformi i povećanju dostupne finansijske pomoći u okviru </w:t>
      </w:r>
      <w:r w:rsidRPr="00501A11">
        <w:rPr>
          <w:b/>
          <w:sz w:val="24"/>
        </w:rPr>
        <w:t>Instrumenta za reforme i rast</w:t>
      </w:r>
      <w:r>
        <w:rPr>
          <w:rStyle w:val="FootnoteReference"/>
          <w:b/>
          <w:sz w:val="24"/>
        </w:rPr>
        <w:footnoteReference w:id="16"/>
      </w:r>
      <w:r>
        <w:rPr>
          <w:sz w:val="24"/>
        </w:rPr>
        <w:t xml:space="preserve">, na bazi ispunjenja zacrtanih reformskih mjera. Podsticaj dodatnog povlačenja značajnih sredstava po osnovu ovog instrumenta može </w:t>
      </w:r>
      <w:r>
        <w:rPr>
          <w:sz w:val="24"/>
        </w:rPr>
        <w:lastRenderedPageBreak/>
        <w:t>doprinijeti rastu ekonomije u srednjem roku i bržoj konvergenciji ka razvojnom prosjeku EU država članica.</w:t>
      </w:r>
    </w:p>
    <w:bookmarkEnd w:id="16"/>
    <w:p w14:paraId="03FDCEA1" w14:textId="77777777" w:rsidR="00CB2E14" w:rsidRDefault="00CB2E14" w:rsidP="00CB2E14">
      <w:pPr>
        <w:jc w:val="both"/>
        <w:rPr>
          <w:sz w:val="24"/>
        </w:rPr>
      </w:pPr>
      <w:r w:rsidRPr="00143C40">
        <w:rPr>
          <w:sz w:val="24"/>
        </w:rPr>
        <w:t xml:space="preserve">Tržište rada se tokom 2022. znatno oporavilo u odnosu na pretkrizni period, pa se u 2023. očekuje da ključni indikatori broja zaposlenih i stope nezaposlenosti budu povoljniji u odnosu na nivo prije pandemije. </w:t>
      </w:r>
      <w:r w:rsidRPr="00562DDA">
        <w:rPr>
          <w:sz w:val="24"/>
        </w:rPr>
        <w:t>Oporavku na tržištu rada i povećanju socijalne inkluzije podsticaj će dati i prioritetne reformske mjere usmjerene ka zapošljivosti mladih i žena, uvođenje</w:t>
      </w:r>
      <w:r>
        <w:rPr>
          <w:sz w:val="24"/>
        </w:rPr>
        <w:t>m</w:t>
      </w:r>
      <w:r w:rsidRPr="00562DDA">
        <w:rPr>
          <w:sz w:val="24"/>
        </w:rPr>
        <w:t xml:space="preserve"> programa </w:t>
      </w:r>
      <w:r w:rsidRPr="0026530D">
        <w:rPr>
          <w:sz w:val="24"/>
        </w:rPr>
        <w:t>Garancija za mlade u Crnoj Gori, uz dodatnu reformsku mjeru povećanja kvaliteta obrazovanja, koja će ipak imati slab uticaj na ishode na tržištu rada u srednjem roku, dok dugoročno može podstaći rast produktivnosti. U periodu 2024-2026, predviđen je prosječni rast zaposlenosti od oko 2%, uz dalji rast zarada, po osnovu blagog rasta produktivnosti u privatnom sektoru (procijenjeno potencijalnim rastom), rasta inflacije i usklađivanja plata u javnom sektoru. Očekuje da će i u srednjem roku, uprkos trajućim inflatornim pritiscima, realna prosječna zarada u državi</w:t>
      </w:r>
      <w:r>
        <w:rPr>
          <w:sz w:val="24"/>
        </w:rPr>
        <w:t xml:space="preserve"> porasti oko 0,7%, shodno preliminarnim makroekonomskim prognozama.</w:t>
      </w:r>
    </w:p>
    <w:p w14:paraId="3AECB0B5" w14:textId="77777777" w:rsidR="00CB2E14" w:rsidRDefault="00CB2E14" w:rsidP="00CB2E14">
      <w:pPr>
        <w:jc w:val="both"/>
        <w:rPr>
          <w:sz w:val="24"/>
        </w:rPr>
      </w:pPr>
      <w:r>
        <w:rPr>
          <w:sz w:val="24"/>
        </w:rPr>
        <w:t>U srednjem roku se očekuje poboljšanje regulatornog okvira, kroz mjeru implementacije Programa za suzbijanje neformalne ekonomije i uvođenje integrisanog sistema za upravljanje prihodima, čime će se direktno odgovoriti na preporuku br. 5 Evropske komisije, sa ministarskog dijaloga iz maja 2023. Mjera bi mogla imati veliki potencijal u unaprjeđenju poslovnog ambijenta, ukoliko bi bila praćena kadrovskim jačanjem i snažnim operativnim postupanjem u sivoj zoni na tržištu roba i usluga i na tržištu rada.</w:t>
      </w:r>
    </w:p>
    <w:p w14:paraId="2543EEC4" w14:textId="77777777" w:rsidR="00CB2E14" w:rsidRDefault="00CB2E14" w:rsidP="00CB2E14">
      <w:pPr>
        <w:jc w:val="both"/>
        <w:rPr>
          <w:sz w:val="24"/>
        </w:rPr>
      </w:pPr>
      <w:r w:rsidRPr="00BD6343">
        <w:rPr>
          <w:sz w:val="24"/>
        </w:rPr>
        <w:t>Odgovorno upravljanje javnim finansijama od ključnog je značaja po makroekonomsku stabilnost, što je prepoznato i u osnovnom scenariju kao jedan od glavnih izazova u srednjem roku. U cilju smanjenja fiskalnih rizika, planirane su reformske mjere unaprjeđenja upravljanja privrednim društvima u većinskom vlasništvu države, uz uspostavljanje veće kontrolne i nadzorne funkcije, kako bi se u ovim preduzećima povećao opšti nivo konkurentnosti i ostvarili bolji poslovni rezultati.</w:t>
      </w:r>
      <w:r>
        <w:rPr>
          <w:sz w:val="24"/>
        </w:rPr>
        <w:t xml:space="preserve"> </w:t>
      </w:r>
    </w:p>
    <w:p w14:paraId="3A2B94F8" w14:textId="77777777" w:rsidR="00CB2E14" w:rsidRDefault="00CB2E14" w:rsidP="00CB2E14">
      <w:pPr>
        <w:jc w:val="both"/>
        <w:rPr>
          <w:sz w:val="24"/>
        </w:rPr>
      </w:pPr>
      <w:r>
        <w:rPr>
          <w:sz w:val="24"/>
        </w:rPr>
        <w:t xml:space="preserve">Shodno identifikovanim rizicima, od 2024. je planirano i značajno unaprjeđenje sajber bezbjednosti, dok će se kvalitet javnih usluga unaprijediti predviđenim procesima digitalizacije u javnoj upravi, sektorima zdravstva i obrazovanja. </w:t>
      </w:r>
    </w:p>
    <w:p w14:paraId="34FEB7AD" w14:textId="77777777" w:rsidR="00CB2E14" w:rsidRDefault="00CB2E14" w:rsidP="00CB2E14">
      <w:pPr>
        <w:jc w:val="both"/>
        <w:rPr>
          <w:sz w:val="24"/>
        </w:rPr>
      </w:pPr>
      <w:r w:rsidRPr="00143C40">
        <w:rPr>
          <w:sz w:val="24"/>
        </w:rPr>
        <w:t>U narednom periodu se očekuje oporavak investicija</w:t>
      </w:r>
      <w:r>
        <w:rPr>
          <w:sz w:val="24"/>
        </w:rPr>
        <w:t xml:space="preserve"> i započinjanje novog investicionog ciklusa</w:t>
      </w:r>
      <w:r w:rsidRPr="00143C40">
        <w:rPr>
          <w:sz w:val="24"/>
        </w:rPr>
        <w:t xml:space="preserve">, </w:t>
      </w:r>
      <w:r w:rsidRPr="0026530D">
        <w:rPr>
          <w:sz w:val="24"/>
        </w:rPr>
        <w:t>što će prema očekivanjima podržati prospekte rasta u srednjem roku. Prema posljednjim najavama, ulaganja u energetsku tranziciju će ostati snažna i u narednim godinama, naročito u oblasti obnovljivih izvora energije, poput projekata izgradnje novih solarnih i vjetroelektrana. Planirane mjere politika dodatno će podstaći dekarbonizaciju i povećanje energetske efikasnosti, u cilju održivog rasta i usaglašavanja sa relevantnim EU politikama</w:t>
      </w:r>
      <w:r>
        <w:rPr>
          <w:sz w:val="24"/>
        </w:rPr>
        <w:t>. Očekuje se i da snažan doprinos</w:t>
      </w:r>
      <w:r w:rsidRPr="00E118B9">
        <w:rPr>
          <w:sz w:val="24"/>
        </w:rPr>
        <w:t xml:space="preserve"> </w:t>
      </w:r>
      <w:r w:rsidRPr="00143C40">
        <w:rPr>
          <w:sz w:val="24"/>
        </w:rPr>
        <w:t>privrednom rastu u narednom periodu, pored energetike</w:t>
      </w:r>
      <w:r>
        <w:rPr>
          <w:sz w:val="24"/>
        </w:rPr>
        <w:t>, daju i projekti u turizmu i infrastrukturi. Pretpostavke, kao i rizici za rast investicija u srednjem roku, odnose se na jačanje predvidivosti poslovnog ambijenta i</w:t>
      </w:r>
      <w:r w:rsidRPr="004C5075">
        <w:rPr>
          <w:sz w:val="24"/>
        </w:rPr>
        <w:t xml:space="preserve"> </w:t>
      </w:r>
      <w:r>
        <w:rPr>
          <w:sz w:val="24"/>
        </w:rPr>
        <w:t>transparentnosti poreske politike, stabilizaciju političkih prilika i obezbjeđivanje prospekata dugoročne održivosti javnih finansija.</w:t>
      </w:r>
    </w:p>
    <w:p w14:paraId="2AD92990" w14:textId="77777777" w:rsidR="00CB2E14" w:rsidRDefault="00CB2E14" w:rsidP="00CB2E14">
      <w:pPr>
        <w:jc w:val="both"/>
        <w:rPr>
          <w:sz w:val="24"/>
        </w:rPr>
      </w:pPr>
      <w:r>
        <w:rPr>
          <w:sz w:val="24"/>
        </w:rPr>
        <w:lastRenderedPageBreak/>
        <w:t>Iako relevantne međunarodne organizacije ističu da je ekonomski rast snažan u 2023. godini, u narednom srednjoročnom periodu se očekuje usporavanje dinamike rasta, usljed kombinacije eksternih i domaćih faktora, koji će uticati na raspoloživi dohodak, privatnu potrošnju, oporavak investicija i turistički sektor.</w:t>
      </w:r>
    </w:p>
    <w:p w14:paraId="681C3840" w14:textId="77777777" w:rsidR="00CB2E14" w:rsidRPr="00143C40" w:rsidRDefault="00CB2E14" w:rsidP="00CB2E14">
      <w:pPr>
        <w:jc w:val="both"/>
        <w:rPr>
          <w:sz w:val="24"/>
          <w:szCs w:val="24"/>
        </w:rPr>
      </w:pPr>
      <w:r w:rsidRPr="00143C40">
        <w:rPr>
          <w:sz w:val="24"/>
          <w:szCs w:val="24"/>
        </w:rPr>
        <w:t>Makroekonomske prognoze 202</w:t>
      </w:r>
      <w:r>
        <w:rPr>
          <w:sz w:val="24"/>
          <w:szCs w:val="24"/>
        </w:rPr>
        <w:t>4</w:t>
      </w:r>
      <w:r w:rsidRPr="00143C40">
        <w:rPr>
          <w:sz w:val="24"/>
          <w:szCs w:val="24"/>
        </w:rPr>
        <w:t>-202</w:t>
      </w:r>
      <w:r>
        <w:rPr>
          <w:sz w:val="24"/>
          <w:szCs w:val="24"/>
        </w:rPr>
        <w:t>6</w:t>
      </w:r>
      <w:r w:rsidRPr="00143C40">
        <w:rPr>
          <w:sz w:val="24"/>
          <w:szCs w:val="24"/>
        </w:rPr>
        <w:t>. imaju sljedeće komponente sa potrošne strane:</w:t>
      </w:r>
    </w:p>
    <w:p w14:paraId="1DA6DF45" w14:textId="77777777" w:rsidR="00CB2E14" w:rsidRPr="00073BBB" w:rsidRDefault="00CB2E14" w:rsidP="00FD3827">
      <w:pPr>
        <w:pStyle w:val="ListParagraph"/>
        <w:numPr>
          <w:ilvl w:val="0"/>
          <w:numId w:val="31"/>
        </w:numPr>
        <w:jc w:val="both"/>
        <w:rPr>
          <w:rFonts w:eastAsia="Calibri" w:cstheme="minorHAnsi"/>
          <w:b/>
          <w:sz w:val="24"/>
          <w:szCs w:val="24"/>
          <w:lang w:val="sr-Latn-ME" w:eastAsia="sr-Latn-ME"/>
        </w:rPr>
      </w:pPr>
      <w:r w:rsidRPr="00D0630A">
        <w:rPr>
          <w:sz w:val="24"/>
          <w:szCs w:val="24"/>
        </w:rPr>
        <w:t>Dinamiku rasta ekonomije Crne Gore u srednjem roku, dominantno će opredijeliti snažna domaća potražnja, sa privatnom potrošnjom i investicijama kao pokretačima privredne aktivnosti</w:t>
      </w:r>
      <w:r>
        <w:rPr>
          <w:sz w:val="24"/>
          <w:szCs w:val="24"/>
        </w:rPr>
        <w:t>. Lična potrošnja domaćinstava</w:t>
      </w:r>
      <w:r w:rsidRPr="00143C40">
        <w:rPr>
          <w:sz w:val="24"/>
          <w:szCs w:val="24"/>
        </w:rPr>
        <w:t xml:space="preserve"> </w:t>
      </w:r>
      <w:r>
        <w:rPr>
          <w:sz w:val="24"/>
          <w:szCs w:val="24"/>
        </w:rPr>
        <w:t>biće podstaknuta rastom u turizmu i povezanim djelatnostima,</w:t>
      </w:r>
      <w:r w:rsidRPr="00143C40">
        <w:rPr>
          <w:sz w:val="24"/>
          <w:szCs w:val="24"/>
        </w:rPr>
        <w:t xml:space="preserve"> </w:t>
      </w:r>
      <w:r>
        <w:rPr>
          <w:sz w:val="24"/>
          <w:szCs w:val="24"/>
        </w:rPr>
        <w:t>rastom zaposlenosti i zarada</w:t>
      </w:r>
      <w:r w:rsidRPr="00143C40">
        <w:rPr>
          <w:sz w:val="24"/>
          <w:szCs w:val="24"/>
        </w:rPr>
        <w:t xml:space="preserve">, </w:t>
      </w:r>
      <w:r>
        <w:rPr>
          <w:sz w:val="24"/>
          <w:szCs w:val="24"/>
        </w:rPr>
        <w:t>transfera iz inostranstva</w:t>
      </w:r>
      <w:r w:rsidRPr="00143C40">
        <w:rPr>
          <w:sz w:val="24"/>
          <w:szCs w:val="24"/>
        </w:rPr>
        <w:t xml:space="preserve"> </w:t>
      </w:r>
      <w:r>
        <w:rPr>
          <w:sz w:val="24"/>
          <w:szCs w:val="24"/>
        </w:rPr>
        <w:t>(</w:t>
      </w:r>
      <w:r w:rsidRPr="00143C40">
        <w:rPr>
          <w:sz w:val="24"/>
          <w:szCs w:val="24"/>
        </w:rPr>
        <w:t>doznaka</w:t>
      </w:r>
      <w:r>
        <w:rPr>
          <w:sz w:val="24"/>
          <w:szCs w:val="24"/>
        </w:rPr>
        <w:t>)</w:t>
      </w:r>
      <w:r w:rsidRPr="00143C40">
        <w:rPr>
          <w:sz w:val="24"/>
          <w:szCs w:val="24"/>
        </w:rPr>
        <w:t xml:space="preserve">, uz </w:t>
      </w:r>
      <w:r>
        <w:rPr>
          <w:sz w:val="24"/>
          <w:szCs w:val="24"/>
        </w:rPr>
        <w:t>oporavak</w:t>
      </w:r>
      <w:r w:rsidRPr="00143C40">
        <w:rPr>
          <w:sz w:val="24"/>
          <w:szCs w:val="24"/>
        </w:rPr>
        <w:t xml:space="preserve"> kreditne aktivnosti </w:t>
      </w:r>
      <w:r>
        <w:rPr>
          <w:sz w:val="24"/>
          <w:szCs w:val="24"/>
        </w:rPr>
        <w:t xml:space="preserve">i </w:t>
      </w:r>
      <w:r w:rsidRPr="00143C40">
        <w:rPr>
          <w:sz w:val="24"/>
          <w:szCs w:val="24"/>
        </w:rPr>
        <w:t>biće snažno podstaknuta budžetskim mjerama za 202</w:t>
      </w:r>
      <w:r>
        <w:rPr>
          <w:sz w:val="24"/>
          <w:szCs w:val="24"/>
        </w:rPr>
        <w:t>4</w:t>
      </w:r>
      <w:r w:rsidRPr="00143C40">
        <w:rPr>
          <w:sz w:val="24"/>
          <w:szCs w:val="24"/>
        </w:rPr>
        <w:t xml:space="preserve">. Javnu potrošnju u narednom periodu reflektovaće </w:t>
      </w:r>
      <w:r>
        <w:rPr>
          <w:sz w:val="24"/>
          <w:szCs w:val="24"/>
        </w:rPr>
        <w:t>visoka</w:t>
      </w:r>
      <w:r w:rsidRPr="00143C40">
        <w:rPr>
          <w:sz w:val="24"/>
          <w:szCs w:val="24"/>
        </w:rPr>
        <w:t xml:space="preserve"> tekuća potrošnja i</w:t>
      </w:r>
      <w:r>
        <w:rPr>
          <w:sz w:val="24"/>
          <w:szCs w:val="24"/>
        </w:rPr>
        <w:t xml:space="preserve"> planirani</w:t>
      </w:r>
      <w:r w:rsidRPr="00143C40">
        <w:rPr>
          <w:sz w:val="24"/>
          <w:szCs w:val="24"/>
        </w:rPr>
        <w:t xml:space="preserve"> porast </w:t>
      </w:r>
      <w:r>
        <w:rPr>
          <w:sz w:val="24"/>
          <w:szCs w:val="24"/>
        </w:rPr>
        <w:t>kapitalnih ulaganja iz javnih izvora</w:t>
      </w:r>
      <w:r w:rsidRPr="00143C40">
        <w:rPr>
          <w:sz w:val="24"/>
          <w:szCs w:val="24"/>
        </w:rPr>
        <w:t xml:space="preserve">. </w:t>
      </w:r>
      <w:r>
        <w:rPr>
          <w:sz w:val="24"/>
          <w:szCs w:val="24"/>
        </w:rPr>
        <w:t>Očekuje se da će</w:t>
      </w:r>
      <w:r w:rsidRPr="00143C40">
        <w:rPr>
          <w:sz w:val="24"/>
          <w:szCs w:val="24"/>
        </w:rPr>
        <w:t xml:space="preserve"> investicije bilježiti postepeni oporavak </w:t>
      </w:r>
      <w:r>
        <w:rPr>
          <w:sz w:val="24"/>
          <w:szCs w:val="24"/>
        </w:rPr>
        <w:t>i rast od oko 3% u narednom trogodišnjem periodu, u skladu sa očekivanom stabilizacijom političkih prilika, implementacijom Novog plana rasta Evropske komisije za Zapadni Balkan i pojačanim ulaganjima stranih investitora. Dodatni inflatorni pritisci i dalji rast</w:t>
      </w:r>
      <w:r w:rsidRPr="00C83A0F">
        <w:rPr>
          <w:sz w:val="24"/>
          <w:szCs w:val="24"/>
        </w:rPr>
        <w:t xml:space="preserve"> </w:t>
      </w:r>
      <w:r>
        <w:rPr>
          <w:sz w:val="24"/>
          <w:szCs w:val="24"/>
        </w:rPr>
        <w:t xml:space="preserve">ključnih kamatnih stopa u srednjem roku mogli bi ugroziti planirani rast investicija, dok bi sa druge strane, poboljšanje domaćeg regulatornog okruženja, moglo doprinijeti povoljnijim investicionim prospektima; </w:t>
      </w:r>
    </w:p>
    <w:p w14:paraId="25D022C0" w14:textId="77777777" w:rsidR="00CB2E14" w:rsidRPr="00E34252" w:rsidRDefault="00CB2E14" w:rsidP="00FD3827">
      <w:pPr>
        <w:pStyle w:val="ListParagraph"/>
        <w:numPr>
          <w:ilvl w:val="0"/>
          <w:numId w:val="31"/>
        </w:numPr>
        <w:ind w:left="714" w:hanging="357"/>
        <w:contextualSpacing w:val="0"/>
        <w:jc w:val="both"/>
        <w:rPr>
          <w:sz w:val="24"/>
          <w:szCs w:val="24"/>
        </w:rPr>
      </w:pPr>
      <w:r w:rsidRPr="005C7928">
        <w:rPr>
          <w:sz w:val="24"/>
          <w:szCs w:val="24"/>
        </w:rPr>
        <w:t xml:space="preserve">Neto izvoz će imati marginalni efekat po rast ekonomije u narednim godinama, uprkos snažnom turističkom sektoru i porastu izvozne aktivnosti, zbog istovremenog </w:t>
      </w:r>
      <w:r>
        <w:rPr>
          <w:sz w:val="24"/>
          <w:szCs w:val="24"/>
        </w:rPr>
        <w:t>rasta</w:t>
      </w:r>
      <w:r w:rsidRPr="005C7928">
        <w:rPr>
          <w:sz w:val="24"/>
          <w:szCs w:val="24"/>
        </w:rPr>
        <w:t xml:space="preserve"> uvoza za potrebe lične i investicione potrošnje. </w:t>
      </w:r>
      <w:r>
        <w:rPr>
          <w:sz w:val="24"/>
          <w:szCs w:val="24"/>
        </w:rPr>
        <w:t xml:space="preserve">Turizam je već u 2023, znatno prevazišao ostvarene prihode iz pretkriznog nivoa, dok se očekuje visoki rast ovog sektora od oko 8% godišnje i u periodu 2024-2026, </w:t>
      </w:r>
      <w:r w:rsidRPr="00E34252">
        <w:rPr>
          <w:sz w:val="24"/>
          <w:szCs w:val="24"/>
        </w:rPr>
        <w:t>uz dalju diversifikaciju strukture inostranih gostiju i izvornih tržišta. Iako se očekuje usporavanje priliva direktnih stranih investicija, one će nastaviti da podržavaju ekonomski rast, sa projektovanim učešćem u strukturi BDP-a od oko 7,</w:t>
      </w:r>
      <w:r>
        <w:rPr>
          <w:sz w:val="24"/>
          <w:szCs w:val="24"/>
        </w:rPr>
        <w:t>4</w:t>
      </w:r>
      <w:r w:rsidRPr="00E34252">
        <w:rPr>
          <w:sz w:val="24"/>
          <w:szCs w:val="24"/>
        </w:rPr>
        <w:t>% u godinama koje slijede.</w:t>
      </w:r>
    </w:p>
    <w:p w14:paraId="3CD1DA92" w14:textId="77777777" w:rsidR="00CB2E14" w:rsidRPr="004D5210" w:rsidRDefault="00CB2E14" w:rsidP="00CB2E14">
      <w:pPr>
        <w:pStyle w:val="Caption"/>
        <w:keepNext/>
        <w:rPr>
          <w:b/>
          <w:i w:val="0"/>
          <w:color w:val="2F5496" w:themeColor="accent1" w:themeShade="BF"/>
          <w:sz w:val="20"/>
          <w:szCs w:val="20"/>
        </w:rPr>
      </w:pPr>
      <w:r w:rsidRPr="004D5210">
        <w:rPr>
          <w:b/>
          <w:i w:val="0"/>
          <w:color w:val="2F5496" w:themeColor="accent1" w:themeShade="BF"/>
          <w:sz w:val="20"/>
          <w:szCs w:val="20"/>
        </w:rPr>
        <w:t>Tabela 3.2.1: Crna Gora: Makroekonomske projekcije 2023-2026 – Osnovni scenario</w:t>
      </w:r>
    </w:p>
    <w:tbl>
      <w:tblPr>
        <w:tblStyle w:val="GridTable1Light-Accent1"/>
        <w:tblW w:w="5000" w:type="pct"/>
        <w:tblLook w:val="04A0" w:firstRow="1" w:lastRow="0" w:firstColumn="1" w:lastColumn="0" w:noHBand="0" w:noVBand="1"/>
      </w:tblPr>
      <w:tblGrid>
        <w:gridCol w:w="3792"/>
        <w:gridCol w:w="1044"/>
        <w:gridCol w:w="1044"/>
        <w:gridCol w:w="1044"/>
        <w:gridCol w:w="1044"/>
        <w:gridCol w:w="1048"/>
      </w:tblGrid>
      <w:tr w:rsidR="00CB2E14" w:rsidRPr="00E06761" w14:paraId="70BFC0B2" w14:textId="77777777" w:rsidTr="00CB2E14">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00" w:type="pct"/>
            <w:gridSpan w:val="6"/>
            <w:noWrap/>
            <w:hideMark/>
          </w:tcPr>
          <w:p w14:paraId="59BADD11" w14:textId="77777777" w:rsidR="00CB2E14" w:rsidRPr="00E06761" w:rsidRDefault="00CB2E14" w:rsidP="00CB2E14">
            <w:pPr>
              <w:jc w:val="center"/>
              <w:rPr>
                <w:rFonts w:ascii="Calibri" w:eastAsia="Times New Roman" w:hAnsi="Calibri" w:cs="Calibri"/>
                <w:sz w:val="16"/>
                <w:szCs w:val="16"/>
              </w:rPr>
            </w:pPr>
            <w:r w:rsidRPr="00E06761">
              <w:rPr>
                <w:rFonts w:ascii="Calibri" w:eastAsia="Times New Roman" w:hAnsi="Calibri" w:cs="Calibri"/>
                <w:sz w:val="16"/>
                <w:szCs w:val="16"/>
              </w:rPr>
              <w:t>CG: Makroekonomske projekcije, 2023-2026 - Osnovni scenario</w:t>
            </w:r>
          </w:p>
        </w:tc>
      </w:tr>
      <w:tr w:rsidR="00CB2E14" w:rsidRPr="00E06761" w14:paraId="29EBB467" w14:textId="77777777" w:rsidTr="00CB2E14">
        <w:trPr>
          <w:trHeight w:val="20"/>
        </w:trPr>
        <w:tc>
          <w:tcPr>
            <w:cnfStyle w:val="001000000000" w:firstRow="0" w:lastRow="0" w:firstColumn="1" w:lastColumn="0" w:oddVBand="0" w:evenVBand="0" w:oddHBand="0" w:evenHBand="0" w:firstRowFirstColumn="0" w:firstRowLastColumn="0" w:lastRowFirstColumn="0" w:lastRowLastColumn="0"/>
            <w:tcW w:w="2103" w:type="pct"/>
            <w:noWrap/>
            <w:hideMark/>
          </w:tcPr>
          <w:p w14:paraId="07505F9C" w14:textId="77777777" w:rsidR="00CB2E14" w:rsidRPr="00E06761" w:rsidRDefault="00CB2E14" w:rsidP="00CB2E14">
            <w:pPr>
              <w:rPr>
                <w:rFonts w:ascii="Calibri" w:eastAsia="Times New Roman" w:hAnsi="Calibri" w:cs="Calibri"/>
                <w:sz w:val="16"/>
                <w:szCs w:val="16"/>
              </w:rPr>
            </w:pPr>
            <w:r w:rsidRPr="00E06761">
              <w:rPr>
                <w:rFonts w:ascii="Calibri" w:eastAsia="Times New Roman" w:hAnsi="Calibri" w:cs="Calibri"/>
                <w:sz w:val="16"/>
                <w:szCs w:val="16"/>
              </w:rPr>
              <w:t> </w:t>
            </w:r>
          </w:p>
        </w:tc>
        <w:tc>
          <w:tcPr>
            <w:tcW w:w="579" w:type="pct"/>
            <w:noWrap/>
            <w:hideMark/>
          </w:tcPr>
          <w:p w14:paraId="3170895D" w14:textId="77777777" w:rsidR="00CB2E14" w:rsidRPr="00E06761" w:rsidRDefault="00CB2E14" w:rsidP="00CB2E14">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0"/>
                <w:szCs w:val="20"/>
              </w:rPr>
            </w:pPr>
            <w:r w:rsidRPr="00E06761">
              <w:rPr>
                <w:rFonts w:ascii="Calibri" w:eastAsia="Times New Roman" w:hAnsi="Calibri" w:cs="Calibri"/>
                <w:b/>
                <w:bCs/>
                <w:sz w:val="20"/>
                <w:szCs w:val="20"/>
              </w:rPr>
              <w:t>2022</w:t>
            </w:r>
          </w:p>
        </w:tc>
        <w:tc>
          <w:tcPr>
            <w:tcW w:w="579" w:type="pct"/>
            <w:noWrap/>
            <w:hideMark/>
          </w:tcPr>
          <w:p w14:paraId="45527646" w14:textId="77777777" w:rsidR="00CB2E14" w:rsidRPr="00E06761" w:rsidRDefault="00CB2E14" w:rsidP="00CB2E14">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0"/>
                <w:szCs w:val="20"/>
              </w:rPr>
            </w:pPr>
            <w:r w:rsidRPr="00E06761">
              <w:rPr>
                <w:rFonts w:ascii="Calibri" w:eastAsia="Times New Roman" w:hAnsi="Calibri" w:cs="Calibri"/>
                <w:b/>
                <w:bCs/>
                <w:sz w:val="20"/>
                <w:szCs w:val="20"/>
              </w:rPr>
              <w:t>2023</w:t>
            </w:r>
          </w:p>
        </w:tc>
        <w:tc>
          <w:tcPr>
            <w:tcW w:w="579" w:type="pct"/>
            <w:noWrap/>
            <w:hideMark/>
          </w:tcPr>
          <w:p w14:paraId="07902BD5" w14:textId="77777777" w:rsidR="00CB2E14" w:rsidRPr="00E06761" w:rsidRDefault="00CB2E14" w:rsidP="00CB2E14">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0"/>
                <w:szCs w:val="20"/>
              </w:rPr>
            </w:pPr>
            <w:r w:rsidRPr="00E06761">
              <w:rPr>
                <w:rFonts w:ascii="Calibri" w:eastAsia="Times New Roman" w:hAnsi="Calibri" w:cs="Calibri"/>
                <w:b/>
                <w:bCs/>
                <w:sz w:val="20"/>
                <w:szCs w:val="20"/>
              </w:rPr>
              <w:t>2024</w:t>
            </w:r>
          </w:p>
        </w:tc>
        <w:tc>
          <w:tcPr>
            <w:tcW w:w="579" w:type="pct"/>
            <w:noWrap/>
            <w:hideMark/>
          </w:tcPr>
          <w:p w14:paraId="40EE3A09" w14:textId="77777777" w:rsidR="00CB2E14" w:rsidRPr="00E06761" w:rsidRDefault="00CB2E14" w:rsidP="00CB2E14">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0"/>
                <w:szCs w:val="20"/>
              </w:rPr>
            </w:pPr>
            <w:r w:rsidRPr="00E06761">
              <w:rPr>
                <w:rFonts w:ascii="Calibri" w:eastAsia="Times New Roman" w:hAnsi="Calibri" w:cs="Calibri"/>
                <w:b/>
                <w:bCs/>
                <w:sz w:val="20"/>
                <w:szCs w:val="20"/>
              </w:rPr>
              <w:t>2025</w:t>
            </w:r>
          </w:p>
        </w:tc>
        <w:tc>
          <w:tcPr>
            <w:tcW w:w="581" w:type="pct"/>
            <w:noWrap/>
            <w:hideMark/>
          </w:tcPr>
          <w:p w14:paraId="0E3532D4" w14:textId="77777777" w:rsidR="00CB2E14" w:rsidRPr="00E06761" w:rsidRDefault="00CB2E14" w:rsidP="00CB2E14">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0"/>
                <w:szCs w:val="20"/>
              </w:rPr>
            </w:pPr>
            <w:r w:rsidRPr="00E06761">
              <w:rPr>
                <w:rFonts w:ascii="Calibri" w:eastAsia="Times New Roman" w:hAnsi="Calibri" w:cs="Calibri"/>
                <w:b/>
                <w:bCs/>
                <w:sz w:val="20"/>
                <w:szCs w:val="20"/>
              </w:rPr>
              <w:t>2026</w:t>
            </w:r>
          </w:p>
        </w:tc>
      </w:tr>
      <w:tr w:rsidR="00CB2E14" w:rsidRPr="00E06761" w14:paraId="28D2B886" w14:textId="77777777" w:rsidTr="00CB2E14">
        <w:trPr>
          <w:trHeight w:val="20"/>
        </w:trPr>
        <w:tc>
          <w:tcPr>
            <w:cnfStyle w:val="001000000000" w:firstRow="0" w:lastRow="0" w:firstColumn="1" w:lastColumn="0" w:oddVBand="0" w:evenVBand="0" w:oddHBand="0" w:evenHBand="0" w:firstRowFirstColumn="0" w:firstRowLastColumn="0" w:lastRowFirstColumn="0" w:lastRowLastColumn="0"/>
            <w:tcW w:w="2103" w:type="pct"/>
            <w:noWrap/>
            <w:hideMark/>
          </w:tcPr>
          <w:p w14:paraId="52748E89" w14:textId="77777777" w:rsidR="00CB2E14" w:rsidRPr="00E06761" w:rsidRDefault="00CB2E14" w:rsidP="00CB2E14">
            <w:pPr>
              <w:rPr>
                <w:rFonts w:ascii="Calibri" w:eastAsia="Times New Roman" w:hAnsi="Calibri" w:cs="Calibri"/>
                <w:sz w:val="20"/>
                <w:szCs w:val="20"/>
              </w:rPr>
            </w:pPr>
            <w:r w:rsidRPr="00E06761">
              <w:rPr>
                <w:rFonts w:ascii="Calibri" w:eastAsia="Times New Roman" w:hAnsi="Calibri" w:cs="Calibri"/>
                <w:sz w:val="20"/>
                <w:szCs w:val="20"/>
              </w:rPr>
              <w:t> </w:t>
            </w:r>
          </w:p>
        </w:tc>
        <w:tc>
          <w:tcPr>
            <w:tcW w:w="2897" w:type="pct"/>
            <w:gridSpan w:val="5"/>
            <w:noWrap/>
            <w:hideMark/>
          </w:tcPr>
          <w:p w14:paraId="5C8D03AC" w14:textId="77777777" w:rsidR="00CB2E14" w:rsidRPr="00E06761" w:rsidRDefault="00CB2E14" w:rsidP="00CB2E1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0"/>
                <w:szCs w:val="20"/>
                <w:u w:val="single"/>
              </w:rPr>
            </w:pPr>
            <w:r w:rsidRPr="00E06761">
              <w:rPr>
                <w:rFonts w:ascii="Calibri" w:eastAsia="Times New Roman" w:hAnsi="Calibri" w:cs="Calibri"/>
                <w:b/>
                <w:bCs/>
                <w:sz w:val="20"/>
                <w:szCs w:val="20"/>
                <w:u w:val="single"/>
              </w:rPr>
              <w:t> </w:t>
            </w:r>
          </w:p>
        </w:tc>
      </w:tr>
      <w:tr w:rsidR="00CB2E14" w:rsidRPr="00E06761" w14:paraId="4D8D23E1" w14:textId="77777777" w:rsidTr="00CB2E14">
        <w:trPr>
          <w:trHeight w:val="20"/>
        </w:trPr>
        <w:tc>
          <w:tcPr>
            <w:cnfStyle w:val="001000000000" w:firstRow="0" w:lastRow="0" w:firstColumn="1" w:lastColumn="0" w:oddVBand="0" w:evenVBand="0" w:oddHBand="0" w:evenHBand="0" w:firstRowFirstColumn="0" w:firstRowLastColumn="0" w:lastRowFirstColumn="0" w:lastRowLastColumn="0"/>
            <w:tcW w:w="2103" w:type="pct"/>
            <w:noWrap/>
            <w:hideMark/>
          </w:tcPr>
          <w:p w14:paraId="36FDBAC1" w14:textId="77777777" w:rsidR="00CB2E14" w:rsidRPr="00E06761" w:rsidRDefault="00CB2E14" w:rsidP="00CB2E14">
            <w:pPr>
              <w:ind w:firstLineChars="100" w:firstLine="200"/>
              <w:rPr>
                <w:rFonts w:ascii="Calibri" w:eastAsia="Times New Roman" w:hAnsi="Calibri" w:cs="Calibri"/>
                <w:sz w:val="20"/>
                <w:szCs w:val="20"/>
              </w:rPr>
            </w:pPr>
            <w:r w:rsidRPr="00E06761">
              <w:rPr>
                <w:rFonts w:ascii="Calibri" w:eastAsia="Times New Roman" w:hAnsi="Calibri" w:cs="Calibri"/>
                <w:sz w:val="20"/>
                <w:szCs w:val="20"/>
              </w:rPr>
              <w:t>Nominalni BDP u mil.€</w:t>
            </w:r>
          </w:p>
        </w:tc>
        <w:tc>
          <w:tcPr>
            <w:tcW w:w="579" w:type="pct"/>
            <w:noWrap/>
            <w:hideMark/>
          </w:tcPr>
          <w:p w14:paraId="3EF2624B" w14:textId="77777777" w:rsidR="00CB2E14" w:rsidRPr="00E06761" w:rsidRDefault="00CB2E14" w:rsidP="00CB2E14">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E06761">
              <w:rPr>
                <w:rFonts w:ascii="Calibri" w:eastAsia="Times New Roman" w:hAnsi="Calibri" w:cs="Calibri"/>
                <w:sz w:val="20"/>
                <w:szCs w:val="20"/>
              </w:rPr>
              <w:t>5924,0</w:t>
            </w:r>
          </w:p>
        </w:tc>
        <w:tc>
          <w:tcPr>
            <w:tcW w:w="579" w:type="pct"/>
            <w:noWrap/>
            <w:hideMark/>
          </w:tcPr>
          <w:p w14:paraId="73B1AB76" w14:textId="77777777" w:rsidR="00CB2E14" w:rsidRPr="00E06761" w:rsidRDefault="00CB2E14" w:rsidP="00CB2E14">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E06761">
              <w:rPr>
                <w:rFonts w:ascii="Calibri" w:eastAsia="Times New Roman" w:hAnsi="Calibri" w:cs="Calibri"/>
                <w:sz w:val="20"/>
                <w:szCs w:val="20"/>
              </w:rPr>
              <w:t>6624,3</w:t>
            </w:r>
          </w:p>
        </w:tc>
        <w:tc>
          <w:tcPr>
            <w:tcW w:w="579" w:type="pct"/>
            <w:noWrap/>
            <w:hideMark/>
          </w:tcPr>
          <w:p w14:paraId="020BD45E" w14:textId="77777777" w:rsidR="00CB2E14" w:rsidRPr="00E06761" w:rsidRDefault="00CB2E14" w:rsidP="00CB2E14">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E06761">
              <w:rPr>
                <w:rFonts w:ascii="Calibri" w:eastAsia="Times New Roman" w:hAnsi="Calibri" w:cs="Calibri"/>
                <w:sz w:val="20"/>
                <w:szCs w:val="20"/>
              </w:rPr>
              <w:t>7034,0</w:t>
            </w:r>
          </w:p>
        </w:tc>
        <w:tc>
          <w:tcPr>
            <w:tcW w:w="579" w:type="pct"/>
            <w:noWrap/>
            <w:hideMark/>
          </w:tcPr>
          <w:p w14:paraId="1ADECF6D" w14:textId="77777777" w:rsidR="00CB2E14" w:rsidRPr="00E06761" w:rsidRDefault="00CB2E14" w:rsidP="00CB2E14">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E06761">
              <w:rPr>
                <w:rFonts w:ascii="Calibri" w:eastAsia="Times New Roman" w:hAnsi="Calibri" w:cs="Calibri"/>
                <w:sz w:val="20"/>
                <w:szCs w:val="20"/>
              </w:rPr>
              <w:t>7424,5</w:t>
            </w:r>
          </w:p>
        </w:tc>
        <w:tc>
          <w:tcPr>
            <w:tcW w:w="581" w:type="pct"/>
            <w:noWrap/>
            <w:hideMark/>
          </w:tcPr>
          <w:p w14:paraId="70C841B1" w14:textId="77777777" w:rsidR="00CB2E14" w:rsidRPr="00E06761" w:rsidRDefault="00CB2E14" w:rsidP="00CB2E14">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E06761">
              <w:rPr>
                <w:rFonts w:ascii="Calibri" w:eastAsia="Times New Roman" w:hAnsi="Calibri" w:cs="Calibri"/>
                <w:sz w:val="20"/>
                <w:szCs w:val="20"/>
              </w:rPr>
              <w:t>7782,6</w:t>
            </w:r>
          </w:p>
        </w:tc>
      </w:tr>
      <w:tr w:rsidR="00CB2E14" w:rsidRPr="00E06761" w14:paraId="2547469B" w14:textId="77777777" w:rsidTr="00CB2E14">
        <w:trPr>
          <w:trHeight w:val="20"/>
        </w:trPr>
        <w:tc>
          <w:tcPr>
            <w:cnfStyle w:val="001000000000" w:firstRow="0" w:lastRow="0" w:firstColumn="1" w:lastColumn="0" w:oddVBand="0" w:evenVBand="0" w:oddHBand="0" w:evenHBand="0" w:firstRowFirstColumn="0" w:firstRowLastColumn="0" w:lastRowFirstColumn="0" w:lastRowLastColumn="0"/>
            <w:tcW w:w="2103" w:type="pct"/>
            <w:noWrap/>
            <w:hideMark/>
          </w:tcPr>
          <w:p w14:paraId="3AA63CE4" w14:textId="77777777" w:rsidR="00CB2E14" w:rsidRPr="00E06761" w:rsidRDefault="00CB2E14" w:rsidP="00CB2E14">
            <w:pPr>
              <w:ind w:firstLineChars="200" w:firstLine="400"/>
              <w:rPr>
                <w:rFonts w:ascii="Calibri" w:eastAsia="Times New Roman" w:hAnsi="Calibri" w:cs="Calibri"/>
                <w:sz w:val="20"/>
                <w:szCs w:val="20"/>
              </w:rPr>
            </w:pPr>
            <w:r w:rsidRPr="00E06761">
              <w:rPr>
                <w:rFonts w:ascii="Calibri" w:eastAsia="Times New Roman" w:hAnsi="Calibri" w:cs="Calibri"/>
                <w:sz w:val="20"/>
                <w:szCs w:val="20"/>
              </w:rPr>
              <w:t>Nominalni rast</w:t>
            </w:r>
          </w:p>
        </w:tc>
        <w:tc>
          <w:tcPr>
            <w:tcW w:w="579" w:type="pct"/>
            <w:noWrap/>
            <w:hideMark/>
          </w:tcPr>
          <w:p w14:paraId="167ABB9D" w14:textId="77777777" w:rsidR="00CB2E14" w:rsidRPr="00E06761" w:rsidRDefault="00CB2E14" w:rsidP="00CB2E14">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E06761">
              <w:rPr>
                <w:rFonts w:ascii="Calibri" w:eastAsia="Times New Roman" w:hAnsi="Calibri" w:cs="Calibri"/>
                <w:sz w:val="20"/>
                <w:szCs w:val="20"/>
              </w:rPr>
              <w:t>19,6</w:t>
            </w:r>
          </w:p>
        </w:tc>
        <w:tc>
          <w:tcPr>
            <w:tcW w:w="579" w:type="pct"/>
            <w:noWrap/>
            <w:hideMark/>
          </w:tcPr>
          <w:p w14:paraId="7D7C4621" w14:textId="77777777" w:rsidR="00CB2E14" w:rsidRPr="00E06761" w:rsidRDefault="00CB2E14" w:rsidP="00CB2E14">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E06761">
              <w:rPr>
                <w:rFonts w:ascii="Calibri" w:eastAsia="Times New Roman" w:hAnsi="Calibri" w:cs="Calibri"/>
                <w:sz w:val="20"/>
                <w:szCs w:val="20"/>
              </w:rPr>
              <w:t>11,8</w:t>
            </w:r>
          </w:p>
        </w:tc>
        <w:tc>
          <w:tcPr>
            <w:tcW w:w="579" w:type="pct"/>
            <w:noWrap/>
            <w:hideMark/>
          </w:tcPr>
          <w:p w14:paraId="239B66DC" w14:textId="77777777" w:rsidR="00CB2E14" w:rsidRPr="00E06761" w:rsidRDefault="00CB2E14" w:rsidP="00CB2E14">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E06761">
              <w:rPr>
                <w:rFonts w:ascii="Calibri" w:eastAsia="Times New Roman" w:hAnsi="Calibri" w:cs="Calibri"/>
                <w:sz w:val="20"/>
                <w:szCs w:val="20"/>
              </w:rPr>
              <w:t>6,2</w:t>
            </w:r>
          </w:p>
        </w:tc>
        <w:tc>
          <w:tcPr>
            <w:tcW w:w="579" w:type="pct"/>
            <w:noWrap/>
            <w:hideMark/>
          </w:tcPr>
          <w:p w14:paraId="1BC5DDF7" w14:textId="77777777" w:rsidR="00CB2E14" w:rsidRPr="00E06761" w:rsidRDefault="00CB2E14" w:rsidP="00CB2E14">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E06761">
              <w:rPr>
                <w:rFonts w:ascii="Calibri" w:eastAsia="Times New Roman" w:hAnsi="Calibri" w:cs="Calibri"/>
                <w:sz w:val="20"/>
                <w:szCs w:val="20"/>
              </w:rPr>
              <w:t>5,6</w:t>
            </w:r>
          </w:p>
        </w:tc>
        <w:tc>
          <w:tcPr>
            <w:tcW w:w="581" w:type="pct"/>
            <w:noWrap/>
            <w:hideMark/>
          </w:tcPr>
          <w:p w14:paraId="10E1109E" w14:textId="77777777" w:rsidR="00CB2E14" w:rsidRPr="00E06761" w:rsidRDefault="00CB2E14" w:rsidP="00CB2E14">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E06761">
              <w:rPr>
                <w:rFonts w:ascii="Calibri" w:eastAsia="Times New Roman" w:hAnsi="Calibri" w:cs="Calibri"/>
                <w:sz w:val="20"/>
                <w:szCs w:val="20"/>
              </w:rPr>
              <w:t>4,8</w:t>
            </w:r>
          </w:p>
        </w:tc>
      </w:tr>
      <w:tr w:rsidR="00CB2E14" w:rsidRPr="00E06761" w14:paraId="3F36D3E3" w14:textId="77777777" w:rsidTr="00CB2E14">
        <w:trPr>
          <w:trHeight w:val="20"/>
        </w:trPr>
        <w:tc>
          <w:tcPr>
            <w:cnfStyle w:val="001000000000" w:firstRow="0" w:lastRow="0" w:firstColumn="1" w:lastColumn="0" w:oddVBand="0" w:evenVBand="0" w:oddHBand="0" w:evenHBand="0" w:firstRowFirstColumn="0" w:firstRowLastColumn="0" w:lastRowFirstColumn="0" w:lastRowLastColumn="0"/>
            <w:tcW w:w="2103" w:type="pct"/>
            <w:noWrap/>
            <w:hideMark/>
          </w:tcPr>
          <w:p w14:paraId="3A6C6D8B" w14:textId="77777777" w:rsidR="00CB2E14" w:rsidRPr="00E06761" w:rsidRDefault="00CB2E14" w:rsidP="00CB2E14">
            <w:pPr>
              <w:ind w:firstLineChars="200" w:firstLine="400"/>
              <w:rPr>
                <w:rFonts w:ascii="Calibri" w:eastAsia="Times New Roman" w:hAnsi="Calibri" w:cs="Calibri"/>
                <w:sz w:val="20"/>
                <w:szCs w:val="20"/>
              </w:rPr>
            </w:pPr>
            <w:r w:rsidRPr="00E06761">
              <w:rPr>
                <w:rFonts w:ascii="Calibri" w:eastAsia="Times New Roman" w:hAnsi="Calibri" w:cs="Calibri"/>
                <w:sz w:val="20"/>
                <w:szCs w:val="20"/>
              </w:rPr>
              <w:t>Realni rast</w:t>
            </w:r>
          </w:p>
        </w:tc>
        <w:tc>
          <w:tcPr>
            <w:tcW w:w="579" w:type="pct"/>
            <w:noWrap/>
            <w:hideMark/>
          </w:tcPr>
          <w:p w14:paraId="6CB3410A" w14:textId="77777777" w:rsidR="00CB2E14" w:rsidRPr="00E06761" w:rsidRDefault="00CB2E14" w:rsidP="00CB2E14">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0"/>
                <w:szCs w:val="20"/>
              </w:rPr>
            </w:pPr>
            <w:r w:rsidRPr="00E06761">
              <w:rPr>
                <w:rFonts w:ascii="Calibri" w:eastAsia="Times New Roman" w:hAnsi="Calibri" w:cs="Calibri"/>
                <w:b/>
                <w:bCs/>
                <w:sz w:val="20"/>
                <w:szCs w:val="20"/>
              </w:rPr>
              <w:t>6,4</w:t>
            </w:r>
          </w:p>
        </w:tc>
        <w:tc>
          <w:tcPr>
            <w:tcW w:w="579" w:type="pct"/>
            <w:noWrap/>
            <w:hideMark/>
          </w:tcPr>
          <w:p w14:paraId="33D30AC7" w14:textId="77777777" w:rsidR="00CB2E14" w:rsidRPr="00E06761" w:rsidRDefault="00CB2E14" w:rsidP="00CB2E14">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0"/>
                <w:szCs w:val="20"/>
              </w:rPr>
            </w:pPr>
            <w:r w:rsidRPr="00E06761">
              <w:rPr>
                <w:rFonts w:ascii="Calibri" w:eastAsia="Times New Roman" w:hAnsi="Calibri" w:cs="Calibri"/>
                <w:b/>
                <w:bCs/>
                <w:sz w:val="20"/>
                <w:szCs w:val="20"/>
              </w:rPr>
              <w:t>5,8</w:t>
            </w:r>
          </w:p>
        </w:tc>
        <w:tc>
          <w:tcPr>
            <w:tcW w:w="579" w:type="pct"/>
            <w:noWrap/>
            <w:hideMark/>
          </w:tcPr>
          <w:p w14:paraId="42514EBB" w14:textId="77777777" w:rsidR="00CB2E14" w:rsidRPr="00E06761" w:rsidRDefault="00CB2E14" w:rsidP="00CB2E14">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0"/>
                <w:szCs w:val="20"/>
              </w:rPr>
            </w:pPr>
            <w:r w:rsidRPr="00E06761">
              <w:rPr>
                <w:rFonts w:ascii="Calibri" w:eastAsia="Times New Roman" w:hAnsi="Calibri" w:cs="Calibri"/>
                <w:b/>
                <w:bCs/>
                <w:sz w:val="20"/>
                <w:szCs w:val="20"/>
              </w:rPr>
              <w:t>3,8</w:t>
            </w:r>
          </w:p>
        </w:tc>
        <w:tc>
          <w:tcPr>
            <w:tcW w:w="579" w:type="pct"/>
            <w:noWrap/>
            <w:hideMark/>
          </w:tcPr>
          <w:p w14:paraId="44463EFD" w14:textId="77777777" w:rsidR="00CB2E14" w:rsidRPr="00E06761" w:rsidRDefault="00CB2E14" w:rsidP="00CB2E14">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0"/>
                <w:szCs w:val="20"/>
              </w:rPr>
            </w:pPr>
            <w:r w:rsidRPr="00E06761">
              <w:rPr>
                <w:rFonts w:ascii="Calibri" w:eastAsia="Times New Roman" w:hAnsi="Calibri" w:cs="Calibri"/>
                <w:b/>
                <w:bCs/>
                <w:sz w:val="20"/>
                <w:szCs w:val="20"/>
              </w:rPr>
              <w:t>3,0</w:t>
            </w:r>
          </w:p>
        </w:tc>
        <w:tc>
          <w:tcPr>
            <w:tcW w:w="581" w:type="pct"/>
            <w:noWrap/>
            <w:hideMark/>
          </w:tcPr>
          <w:p w14:paraId="55EB4EB2" w14:textId="77777777" w:rsidR="00CB2E14" w:rsidRPr="00E06761" w:rsidRDefault="00CB2E14" w:rsidP="00CB2E14">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0"/>
                <w:szCs w:val="20"/>
              </w:rPr>
            </w:pPr>
            <w:r w:rsidRPr="00E06761">
              <w:rPr>
                <w:rFonts w:ascii="Calibri" w:eastAsia="Times New Roman" w:hAnsi="Calibri" w:cs="Calibri"/>
                <w:b/>
                <w:bCs/>
                <w:sz w:val="20"/>
                <w:szCs w:val="20"/>
              </w:rPr>
              <w:t>2,9</w:t>
            </w:r>
          </w:p>
        </w:tc>
      </w:tr>
      <w:tr w:rsidR="00CB2E14" w:rsidRPr="00E06761" w14:paraId="2C3DB509" w14:textId="77777777" w:rsidTr="00CB2E14">
        <w:trPr>
          <w:trHeight w:val="20"/>
        </w:trPr>
        <w:tc>
          <w:tcPr>
            <w:cnfStyle w:val="001000000000" w:firstRow="0" w:lastRow="0" w:firstColumn="1" w:lastColumn="0" w:oddVBand="0" w:evenVBand="0" w:oddHBand="0" w:evenHBand="0" w:firstRowFirstColumn="0" w:firstRowLastColumn="0" w:lastRowFirstColumn="0" w:lastRowLastColumn="0"/>
            <w:tcW w:w="2103" w:type="pct"/>
            <w:noWrap/>
            <w:hideMark/>
          </w:tcPr>
          <w:p w14:paraId="356B8169" w14:textId="77777777" w:rsidR="00CB2E14" w:rsidRPr="00E06761" w:rsidRDefault="00CB2E14" w:rsidP="00CB2E14">
            <w:pPr>
              <w:ind w:firstLineChars="200" w:firstLine="400"/>
              <w:rPr>
                <w:rFonts w:ascii="Calibri" w:eastAsia="Times New Roman" w:hAnsi="Calibri" w:cs="Calibri"/>
                <w:sz w:val="20"/>
                <w:szCs w:val="20"/>
              </w:rPr>
            </w:pPr>
            <w:r w:rsidRPr="00E06761">
              <w:rPr>
                <w:rFonts w:ascii="Calibri" w:eastAsia="Times New Roman" w:hAnsi="Calibri" w:cs="Calibri"/>
                <w:sz w:val="20"/>
                <w:szCs w:val="20"/>
              </w:rPr>
              <w:t>Inflacija (prosjek)</w:t>
            </w:r>
          </w:p>
        </w:tc>
        <w:tc>
          <w:tcPr>
            <w:tcW w:w="579" w:type="pct"/>
            <w:noWrap/>
            <w:hideMark/>
          </w:tcPr>
          <w:p w14:paraId="785059BB" w14:textId="77777777" w:rsidR="00CB2E14" w:rsidRPr="00E06761" w:rsidRDefault="00CB2E14" w:rsidP="00CB2E14">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E06761">
              <w:rPr>
                <w:rFonts w:ascii="Calibri" w:eastAsia="Times New Roman" w:hAnsi="Calibri" w:cs="Calibri"/>
                <w:sz w:val="20"/>
                <w:szCs w:val="20"/>
              </w:rPr>
              <w:t>13,0</w:t>
            </w:r>
          </w:p>
        </w:tc>
        <w:tc>
          <w:tcPr>
            <w:tcW w:w="579" w:type="pct"/>
            <w:noWrap/>
            <w:hideMark/>
          </w:tcPr>
          <w:p w14:paraId="3D8F4ACD" w14:textId="77777777" w:rsidR="00CB2E14" w:rsidRPr="00E06761" w:rsidRDefault="00CB2E14" w:rsidP="00CB2E14">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E06761">
              <w:rPr>
                <w:rFonts w:ascii="Calibri" w:eastAsia="Times New Roman" w:hAnsi="Calibri" w:cs="Calibri"/>
                <w:sz w:val="20"/>
                <w:szCs w:val="20"/>
              </w:rPr>
              <w:t>9,0</w:t>
            </w:r>
          </w:p>
        </w:tc>
        <w:tc>
          <w:tcPr>
            <w:tcW w:w="579" w:type="pct"/>
            <w:noWrap/>
            <w:hideMark/>
          </w:tcPr>
          <w:p w14:paraId="3D357BA8" w14:textId="77777777" w:rsidR="00CB2E14" w:rsidRPr="00E06761" w:rsidRDefault="00CB2E14" w:rsidP="00CB2E14">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E06761">
              <w:rPr>
                <w:rFonts w:ascii="Calibri" w:eastAsia="Times New Roman" w:hAnsi="Calibri" w:cs="Calibri"/>
                <w:sz w:val="20"/>
                <w:szCs w:val="20"/>
              </w:rPr>
              <w:t>5,0</w:t>
            </w:r>
          </w:p>
        </w:tc>
        <w:tc>
          <w:tcPr>
            <w:tcW w:w="579" w:type="pct"/>
            <w:noWrap/>
            <w:hideMark/>
          </w:tcPr>
          <w:p w14:paraId="47D5A60F" w14:textId="77777777" w:rsidR="00CB2E14" w:rsidRPr="00E06761" w:rsidRDefault="00CB2E14" w:rsidP="00CB2E14">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E06761">
              <w:rPr>
                <w:rFonts w:ascii="Calibri" w:eastAsia="Times New Roman" w:hAnsi="Calibri" w:cs="Calibri"/>
                <w:sz w:val="20"/>
                <w:szCs w:val="20"/>
              </w:rPr>
              <w:t>3,4</w:t>
            </w:r>
          </w:p>
        </w:tc>
        <w:tc>
          <w:tcPr>
            <w:tcW w:w="581" w:type="pct"/>
            <w:noWrap/>
            <w:hideMark/>
          </w:tcPr>
          <w:p w14:paraId="6A5078F8" w14:textId="77777777" w:rsidR="00CB2E14" w:rsidRPr="00E06761" w:rsidRDefault="00CB2E14" w:rsidP="00CB2E14">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E06761">
              <w:rPr>
                <w:rFonts w:ascii="Calibri" w:eastAsia="Times New Roman" w:hAnsi="Calibri" w:cs="Calibri"/>
                <w:sz w:val="20"/>
                <w:szCs w:val="20"/>
              </w:rPr>
              <w:t>2,5</w:t>
            </w:r>
          </w:p>
        </w:tc>
      </w:tr>
      <w:tr w:rsidR="00CB2E14" w:rsidRPr="00E06761" w14:paraId="600DF331" w14:textId="77777777" w:rsidTr="00CB2E14">
        <w:trPr>
          <w:trHeight w:val="20"/>
        </w:trPr>
        <w:tc>
          <w:tcPr>
            <w:cnfStyle w:val="001000000000" w:firstRow="0" w:lastRow="0" w:firstColumn="1" w:lastColumn="0" w:oddVBand="0" w:evenVBand="0" w:oddHBand="0" w:evenHBand="0" w:firstRowFirstColumn="0" w:firstRowLastColumn="0" w:lastRowFirstColumn="0" w:lastRowLastColumn="0"/>
            <w:tcW w:w="2103" w:type="pct"/>
            <w:noWrap/>
            <w:hideMark/>
          </w:tcPr>
          <w:p w14:paraId="5656E62C" w14:textId="77777777" w:rsidR="00CB2E14" w:rsidRPr="00E06761" w:rsidRDefault="00CB2E14" w:rsidP="00CB2E14">
            <w:pPr>
              <w:rPr>
                <w:rFonts w:ascii="Calibri" w:eastAsia="Times New Roman" w:hAnsi="Calibri" w:cs="Calibri"/>
                <w:sz w:val="20"/>
                <w:szCs w:val="20"/>
              </w:rPr>
            </w:pPr>
            <w:r w:rsidRPr="00E06761">
              <w:rPr>
                <w:rFonts w:ascii="Calibri" w:eastAsia="Times New Roman" w:hAnsi="Calibri" w:cs="Calibri"/>
                <w:sz w:val="20"/>
                <w:szCs w:val="20"/>
              </w:rPr>
              <w:t> </w:t>
            </w:r>
          </w:p>
        </w:tc>
        <w:tc>
          <w:tcPr>
            <w:tcW w:w="2897" w:type="pct"/>
            <w:gridSpan w:val="5"/>
            <w:noWrap/>
            <w:hideMark/>
          </w:tcPr>
          <w:p w14:paraId="5EC8FFE6" w14:textId="77777777" w:rsidR="00CB2E14" w:rsidRPr="00E06761" w:rsidRDefault="00CB2E14" w:rsidP="00CB2E1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E06761">
              <w:rPr>
                <w:rFonts w:ascii="Calibri" w:eastAsia="Times New Roman" w:hAnsi="Calibri" w:cs="Calibri"/>
                <w:sz w:val="20"/>
                <w:szCs w:val="20"/>
              </w:rPr>
              <w:t> </w:t>
            </w:r>
          </w:p>
        </w:tc>
      </w:tr>
      <w:tr w:rsidR="00CB2E14" w:rsidRPr="00E06761" w14:paraId="380B55AA" w14:textId="77777777" w:rsidTr="00CB2E14">
        <w:trPr>
          <w:trHeight w:val="20"/>
        </w:trPr>
        <w:tc>
          <w:tcPr>
            <w:cnfStyle w:val="001000000000" w:firstRow="0" w:lastRow="0" w:firstColumn="1" w:lastColumn="0" w:oddVBand="0" w:evenVBand="0" w:oddHBand="0" w:evenHBand="0" w:firstRowFirstColumn="0" w:firstRowLastColumn="0" w:lastRowFirstColumn="0" w:lastRowLastColumn="0"/>
            <w:tcW w:w="2103" w:type="pct"/>
            <w:noWrap/>
            <w:hideMark/>
          </w:tcPr>
          <w:p w14:paraId="12379A70" w14:textId="77777777" w:rsidR="00CB2E14" w:rsidRPr="00E06761" w:rsidRDefault="00CB2E14" w:rsidP="00CB2E14">
            <w:pPr>
              <w:ind w:firstLineChars="100" w:firstLine="200"/>
              <w:rPr>
                <w:rFonts w:ascii="Calibri" w:eastAsia="Times New Roman" w:hAnsi="Calibri" w:cs="Calibri"/>
                <w:sz w:val="20"/>
                <w:szCs w:val="20"/>
              </w:rPr>
            </w:pPr>
            <w:r w:rsidRPr="00E06761">
              <w:rPr>
                <w:rFonts w:ascii="Calibri" w:eastAsia="Times New Roman" w:hAnsi="Calibri" w:cs="Calibri"/>
                <w:sz w:val="20"/>
                <w:szCs w:val="20"/>
              </w:rPr>
              <w:t>BDP deflator</w:t>
            </w:r>
          </w:p>
        </w:tc>
        <w:tc>
          <w:tcPr>
            <w:tcW w:w="579" w:type="pct"/>
            <w:noWrap/>
            <w:hideMark/>
          </w:tcPr>
          <w:p w14:paraId="7A2C62EC" w14:textId="77777777" w:rsidR="00CB2E14" w:rsidRPr="00E06761" w:rsidRDefault="00CB2E14" w:rsidP="00CB2E14">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E06761">
              <w:rPr>
                <w:rFonts w:ascii="Calibri" w:eastAsia="Times New Roman" w:hAnsi="Calibri" w:cs="Calibri"/>
                <w:color w:val="000000"/>
                <w:sz w:val="20"/>
                <w:szCs w:val="20"/>
              </w:rPr>
              <w:t>12,4</w:t>
            </w:r>
          </w:p>
        </w:tc>
        <w:tc>
          <w:tcPr>
            <w:tcW w:w="579" w:type="pct"/>
            <w:noWrap/>
            <w:hideMark/>
          </w:tcPr>
          <w:p w14:paraId="13DBE655" w14:textId="77777777" w:rsidR="00CB2E14" w:rsidRPr="00E06761" w:rsidRDefault="00CB2E14" w:rsidP="00CB2E14">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E06761">
              <w:rPr>
                <w:rFonts w:ascii="Calibri" w:eastAsia="Times New Roman" w:hAnsi="Calibri" w:cs="Calibri"/>
                <w:color w:val="000000"/>
                <w:sz w:val="20"/>
                <w:szCs w:val="20"/>
              </w:rPr>
              <w:t>5,7</w:t>
            </w:r>
          </w:p>
        </w:tc>
        <w:tc>
          <w:tcPr>
            <w:tcW w:w="579" w:type="pct"/>
            <w:noWrap/>
            <w:hideMark/>
          </w:tcPr>
          <w:p w14:paraId="7620023F" w14:textId="77777777" w:rsidR="00CB2E14" w:rsidRPr="00E06761" w:rsidRDefault="00CB2E14" w:rsidP="00CB2E14">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E06761">
              <w:rPr>
                <w:rFonts w:ascii="Calibri" w:eastAsia="Times New Roman" w:hAnsi="Calibri" w:cs="Calibri"/>
                <w:color w:val="000000"/>
                <w:sz w:val="20"/>
                <w:szCs w:val="20"/>
              </w:rPr>
              <w:t>2,3</w:t>
            </w:r>
          </w:p>
        </w:tc>
        <w:tc>
          <w:tcPr>
            <w:tcW w:w="579" w:type="pct"/>
            <w:noWrap/>
            <w:hideMark/>
          </w:tcPr>
          <w:p w14:paraId="45033401" w14:textId="77777777" w:rsidR="00CB2E14" w:rsidRPr="00E06761" w:rsidRDefault="00CB2E14" w:rsidP="00CB2E14">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E06761">
              <w:rPr>
                <w:rFonts w:ascii="Calibri" w:eastAsia="Times New Roman" w:hAnsi="Calibri" w:cs="Calibri"/>
                <w:color w:val="000000"/>
                <w:sz w:val="20"/>
                <w:szCs w:val="20"/>
              </w:rPr>
              <w:t>2,5</w:t>
            </w:r>
          </w:p>
        </w:tc>
        <w:tc>
          <w:tcPr>
            <w:tcW w:w="581" w:type="pct"/>
            <w:noWrap/>
            <w:hideMark/>
          </w:tcPr>
          <w:p w14:paraId="26EEF3CA" w14:textId="77777777" w:rsidR="00CB2E14" w:rsidRPr="00E06761" w:rsidRDefault="00CB2E14" w:rsidP="00CB2E14">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E06761">
              <w:rPr>
                <w:rFonts w:ascii="Calibri" w:eastAsia="Times New Roman" w:hAnsi="Calibri" w:cs="Calibri"/>
                <w:color w:val="000000"/>
                <w:sz w:val="20"/>
                <w:szCs w:val="20"/>
              </w:rPr>
              <w:t>1,8</w:t>
            </w:r>
          </w:p>
        </w:tc>
      </w:tr>
      <w:tr w:rsidR="00CB2E14" w:rsidRPr="00E06761" w14:paraId="6BB4EF04" w14:textId="77777777" w:rsidTr="00CB2E14">
        <w:trPr>
          <w:trHeight w:val="20"/>
        </w:trPr>
        <w:tc>
          <w:tcPr>
            <w:cnfStyle w:val="001000000000" w:firstRow="0" w:lastRow="0" w:firstColumn="1" w:lastColumn="0" w:oddVBand="0" w:evenVBand="0" w:oddHBand="0" w:evenHBand="0" w:firstRowFirstColumn="0" w:firstRowLastColumn="0" w:lastRowFirstColumn="0" w:lastRowLastColumn="0"/>
            <w:tcW w:w="2103" w:type="pct"/>
            <w:noWrap/>
          </w:tcPr>
          <w:p w14:paraId="25E226F6" w14:textId="77777777" w:rsidR="00CB2E14" w:rsidRPr="00E06761" w:rsidRDefault="00CB2E14" w:rsidP="00CB2E14">
            <w:pPr>
              <w:ind w:firstLineChars="100" w:firstLine="200"/>
              <w:rPr>
                <w:rFonts w:ascii="Calibri" w:eastAsia="Times New Roman" w:hAnsi="Calibri" w:cs="Calibri"/>
                <w:sz w:val="20"/>
                <w:szCs w:val="20"/>
              </w:rPr>
            </w:pPr>
            <w:r>
              <w:rPr>
                <w:rFonts w:ascii="Calibri" w:eastAsia="Times New Roman" w:hAnsi="Calibri" w:cs="Calibri"/>
                <w:sz w:val="20"/>
                <w:szCs w:val="20"/>
              </w:rPr>
              <w:t>Deficit tekućeg računa, % BDP</w:t>
            </w:r>
          </w:p>
        </w:tc>
        <w:tc>
          <w:tcPr>
            <w:tcW w:w="579" w:type="pct"/>
            <w:noWrap/>
          </w:tcPr>
          <w:p w14:paraId="6FFD7ACA" w14:textId="77777777" w:rsidR="00CB2E14" w:rsidRPr="00E06761" w:rsidRDefault="00CB2E14" w:rsidP="00CB2E14">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Pr>
                <w:rFonts w:ascii="Calibri" w:eastAsia="Times New Roman" w:hAnsi="Calibri" w:cs="Calibri"/>
                <w:color w:val="000000"/>
                <w:sz w:val="20"/>
                <w:szCs w:val="20"/>
              </w:rPr>
              <w:t>-12,9</w:t>
            </w:r>
          </w:p>
        </w:tc>
        <w:tc>
          <w:tcPr>
            <w:tcW w:w="579" w:type="pct"/>
            <w:noWrap/>
          </w:tcPr>
          <w:p w14:paraId="6A5C85E6" w14:textId="77777777" w:rsidR="00CB2E14" w:rsidRPr="00E06761" w:rsidRDefault="00CB2E14" w:rsidP="00CB2E14">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Pr>
                <w:rFonts w:ascii="Calibri" w:eastAsia="Times New Roman" w:hAnsi="Calibri" w:cs="Calibri"/>
                <w:color w:val="000000"/>
                <w:sz w:val="20"/>
                <w:szCs w:val="20"/>
              </w:rPr>
              <w:t>-12,7</w:t>
            </w:r>
          </w:p>
        </w:tc>
        <w:tc>
          <w:tcPr>
            <w:tcW w:w="579" w:type="pct"/>
            <w:noWrap/>
          </w:tcPr>
          <w:p w14:paraId="7A89C5C2" w14:textId="77777777" w:rsidR="00CB2E14" w:rsidRPr="00E06761" w:rsidRDefault="00CB2E14" w:rsidP="00CB2E14">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Pr>
                <w:rFonts w:ascii="Calibri" w:eastAsia="Times New Roman" w:hAnsi="Calibri" w:cs="Calibri"/>
                <w:color w:val="000000"/>
                <w:sz w:val="20"/>
                <w:szCs w:val="20"/>
              </w:rPr>
              <w:t>-13,1</w:t>
            </w:r>
          </w:p>
        </w:tc>
        <w:tc>
          <w:tcPr>
            <w:tcW w:w="579" w:type="pct"/>
            <w:noWrap/>
          </w:tcPr>
          <w:p w14:paraId="12749153" w14:textId="77777777" w:rsidR="00CB2E14" w:rsidRPr="00E06761" w:rsidRDefault="00CB2E14" w:rsidP="00CB2E14">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Pr>
                <w:rFonts w:ascii="Calibri" w:eastAsia="Times New Roman" w:hAnsi="Calibri" w:cs="Calibri"/>
                <w:color w:val="000000"/>
                <w:sz w:val="20"/>
                <w:szCs w:val="20"/>
              </w:rPr>
              <w:t>-12,0</w:t>
            </w:r>
          </w:p>
        </w:tc>
        <w:tc>
          <w:tcPr>
            <w:tcW w:w="581" w:type="pct"/>
            <w:noWrap/>
          </w:tcPr>
          <w:p w14:paraId="1CF7DBB8" w14:textId="77777777" w:rsidR="00CB2E14" w:rsidRPr="00E06761" w:rsidRDefault="00CB2E14" w:rsidP="00CB2E14">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Pr>
                <w:rFonts w:ascii="Calibri" w:eastAsia="Times New Roman" w:hAnsi="Calibri" w:cs="Calibri"/>
                <w:color w:val="000000"/>
                <w:sz w:val="20"/>
                <w:szCs w:val="20"/>
              </w:rPr>
              <w:t>-10,9</w:t>
            </w:r>
          </w:p>
        </w:tc>
      </w:tr>
      <w:tr w:rsidR="00CB2E14" w:rsidRPr="00E06761" w14:paraId="4D35CB9F" w14:textId="77777777" w:rsidTr="00CB2E14">
        <w:trPr>
          <w:trHeight w:val="20"/>
        </w:trPr>
        <w:tc>
          <w:tcPr>
            <w:cnfStyle w:val="001000000000" w:firstRow="0" w:lastRow="0" w:firstColumn="1" w:lastColumn="0" w:oddVBand="0" w:evenVBand="0" w:oddHBand="0" w:evenHBand="0" w:firstRowFirstColumn="0" w:firstRowLastColumn="0" w:lastRowFirstColumn="0" w:lastRowLastColumn="0"/>
            <w:tcW w:w="2103" w:type="pct"/>
            <w:noWrap/>
            <w:hideMark/>
          </w:tcPr>
          <w:p w14:paraId="1742701B" w14:textId="77777777" w:rsidR="00CB2E14" w:rsidRPr="00E06761" w:rsidRDefault="00CB2E14" w:rsidP="00CB2E14">
            <w:pPr>
              <w:rPr>
                <w:rFonts w:ascii="Calibri" w:eastAsia="Times New Roman" w:hAnsi="Calibri" w:cs="Calibri"/>
                <w:sz w:val="20"/>
                <w:szCs w:val="20"/>
              </w:rPr>
            </w:pPr>
            <w:r w:rsidRPr="00E06761">
              <w:rPr>
                <w:rFonts w:ascii="Calibri" w:eastAsia="Times New Roman" w:hAnsi="Calibri" w:cs="Calibri"/>
                <w:sz w:val="20"/>
                <w:szCs w:val="20"/>
              </w:rPr>
              <w:t> </w:t>
            </w:r>
          </w:p>
        </w:tc>
        <w:tc>
          <w:tcPr>
            <w:tcW w:w="2897" w:type="pct"/>
            <w:gridSpan w:val="5"/>
            <w:noWrap/>
            <w:hideMark/>
          </w:tcPr>
          <w:p w14:paraId="6AD374D4" w14:textId="77777777" w:rsidR="00CB2E14" w:rsidRPr="00E06761" w:rsidRDefault="00CB2E14" w:rsidP="00CB2E1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rPr>
            </w:pPr>
            <w:r w:rsidRPr="00E06761">
              <w:rPr>
                <w:rFonts w:ascii="Calibri" w:eastAsia="Times New Roman" w:hAnsi="Calibri" w:cs="Calibri"/>
                <w:sz w:val="16"/>
                <w:szCs w:val="16"/>
              </w:rPr>
              <w:t>(realne stope rasta u %)</w:t>
            </w:r>
          </w:p>
        </w:tc>
      </w:tr>
      <w:tr w:rsidR="00CB2E14" w:rsidRPr="00E06761" w14:paraId="1524C687" w14:textId="77777777" w:rsidTr="00CB2E14">
        <w:trPr>
          <w:trHeight w:val="20"/>
        </w:trPr>
        <w:tc>
          <w:tcPr>
            <w:cnfStyle w:val="001000000000" w:firstRow="0" w:lastRow="0" w:firstColumn="1" w:lastColumn="0" w:oddVBand="0" w:evenVBand="0" w:oddHBand="0" w:evenHBand="0" w:firstRowFirstColumn="0" w:firstRowLastColumn="0" w:lastRowFirstColumn="0" w:lastRowLastColumn="0"/>
            <w:tcW w:w="2103" w:type="pct"/>
            <w:noWrap/>
            <w:hideMark/>
          </w:tcPr>
          <w:p w14:paraId="23D16E1A" w14:textId="77777777" w:rsidR="00CB2E14" w:rsidRPr="00E06761" w:rsidRDefault="00CB2E14" w:rsidP="00CB2E14">
            <w:pPr>
              <w:ind w:firstLineChars="100" w:firstLine="200"/>
              <w:rPr>
                <w:rFonts w:ascii="Calibri" w:eastAsia="Times New Roman" w:hAnsi="Calibri" w:cs="Calibri"/>
                <w:sz w:val="20"/>
                <w:szCs w:val="20"/>
              </w:rPr>
            </w:pPr>
            <w:r w:rsidRPr="00E06761">
              <w:rPr>
                <w:rFonts w:ascii="Calibri" w:eastAsia="Times New Roman" w:hAnsi="Calibri" w:cs="Calibri"/>
                <w:sz w:val="20"/>
                <w:szCs w:val="20"/>
              </w:rPr>
              <w:t>Realni rast BDP-a</w:t>
            </w:r>
          </w:p>
        </w:tc>
        <w:tc>
          <w:tcPr>
            <w:tcW w:w="579" w:type="pct"/>
            <w:noWrap/>
            <w:hideMark/>
          </w:tcPr>
          <w:p w14:paraId="34799F08" w14:textId="77777777" w:rsidR="00CB2E14" w:rsidRPr="00E06761" w:rsidRDefault="00CB2E14" w:rsidP="00CB2E14">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0"/>
                <w:szCs w:val="20"/>
              </w:rPr>
            </w:pPr>
            <w:r w:rsidRPr="00E06761">
              <w:rPr>
                <w:rFonts w:ascii="Calibri" w:eastAsia="Times New Roman" w:hAnsi="Calibri" w:cs="Calibri"/>
                <w:b/>
                <w:bCs/>
                <w:color w:val="000000"/>
                <w:sz w:val="20"/>
                <w:szCs w:val="20"/>
              </w:rPr>
              <w:t>6,4</w:t>
            </w:r>
          </w:p>
        </w:tc>
        <w:tc>
          <w:tcPr>
            <w:tcW w:w="579" w:type="pct"/>
            <w:noWrap/>
            <w:hideMark/>
          </w:tcPr>
          <w:p w14:paraId="38D6C99A" w14:textId="77777777" w:rsidR="00CB2E14" w:rsidRPr="00E06761" w:rsidRDefault="00CB2E14" w:rsidP="00CB2E14">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0"/>
                <w:szCs w:val="20"/>
              </w:rPr>
            </w:pPr>
            <w:r w:rsidRPr="00E06761">
              <w:rPr>
                <w:rFonts w:ascii="Calibri" w:eastAsia="Times New Roman" w:hAnsi="Calibri" w:cs="Calibri"/>
                <w:b/>
                <w:bCs/>
                <w:color w:val="000000"/>
                <w:sz w:val="20"/>
                <w:szCs w:val="20"/>
              </w:rPr>
              <w:t>5,8</w:t>
            </w:r>
          </w:p>
        </w:tc>
        <w:tc>
          <w:tcPr>
            <w:tcW w:w="579" w:type="pct"/>
            <w:noWrap/>
            <w:hideMark/>
          </w:tcPr>
          <w:p w14:paraId="2300EEAA" w14:textId="77777777" w:rsidR="00CB2E14" w:rsidRPr="00E06761" w:rsidRDefault="00CB2E14" w:rsidP="00CB2E14">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0"/>
                <w:szCs w:val="20"/>
              </w:rPr>
            </w:pPr>
            <w:r w:rsidRPr="00E06761">
              <w:rPr>
                <w:rFonts w:ascii="Calibri" w:eastAsia="Times New Roman" w:hAnsi="Calibri" w:cs="Calibri"/>
                <w:b/>
                <w:bCs/>
                <w:color w:val="000000"/>
                <w:sz w:val="20"/>
                <w:szCs w:val="20"/>
              </w:rPr>
              <w:t>3,8</w:t>
            </w:r>
          </w:p>
        </w:tc>
        <w:tc>
          <w:tcPr>
            <w:tcW w:w="579" w:type="pct"/>
            <w:noWrap/>
            <w:hideMark/>
          </w:tcPr>
          <w:p w14:paraId="75D0C1CD" w14:textId="77777777" w:rsidR="00CB2E14" w:rsidRPr="00E06761" w:rsidRDefault="00CB2E14" w:rsidP="00CB2E14">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0"/>
                <w:szCs w:val="20"/>
              </w:rPr>
            </w:pPr>
            <w:r w:rsidRPr="00E06761">
              <w:rPr>
                <w:rFonts w:ascii="Calibri" w:eastAsia="Times New Roman" w:hAnsi="Calibri" w:cs="Calibri"/>
                <w:b/>
                <w:bCs/>
                <w:color w:val="000000"/>
                <w:sz w:val="20"/>
                <w:szCs w:val="20"/>
              </w:rPr>
              <w:t>3,0</w:t>
            </w:r>
          </w:p>
        </w:tc>
        <w:tc>
          <w:tcPr>
            <w:tcW w:w="581" w:type="pct"/>
            <w:noWrap/>
            <w:hideMark/>
          </w:tcPr>
          <w:p w14:paraId="64A7D1B4" w14:textId="77777777" w:rsidR="00CB2E14" w:rsidRPr="00E06761" w:rsidRDefault="00CB2E14" w:rsidP="00CB2E14">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0"/>
                <w:szCs w:val="20"/>
              </w:rPr>
            </w:pPr>
            <w:r w:rsidRPr="00E06761">
              <w:rPr>
                <w:rFonts w:ascii="Calibri" w:eastAsia="Times New Roman" w:hAnsi="Calibri" w:cs="Calibri"/>
                <w:b/>
                <w:bCs/>
                <w:color w:val="000000"/>
                <w:sz w:val="20"/>
                <w:szCs w:val="20"/>
              </w:rPr>
              <w:t>2,9</w:t>
            </w:r>
          </w:p>
        </w:tc>
      </w:tr>
      <w:tr w:rsidR="00CB2E14" w:rsidRPr="00E06761" w14:paraId="1EEAE4CA" w14:textId="77777777" w:rsidTr="00CB2E14">
        <w:trPr>
          <w:trHeight w:val="20"/>
        </w:trPr>
        <w:tc>
          <w:tcPr>
            <w:cnfStyle w:val="001000000000" w:firstRow="0" w:lastRow="0" w:firstColumn="1" w:lastColumn="0" w:oddVBand="0" w:evenVBand="0" w:oddHBand="0" w:evenHBand="0" w:firstRowFirstColumn="0" w:firstRowLastColumn="0" w:lastRowFirstColumn="0" w:lastRowLastColumn="0"/>
            <w:tcW w:w="2103" w:type="pct"/>
            <w:noWrap/>
            <w:hideMark/>
          </w:tcPr>
          <w:p w14:paraId="3EE0DE3E" w14:textId="77777777" w:rsidR="00CB2E14" w:rsidRPr="00E06761" w:rsidRDefault="00CB2E14" w:rsidP="00CB2E14">
            <w:pPr>
              <w:ind w:firstLineChars="100" w:firstLine="200"/>
              <w:rPr>
                <w:rFonts w:ascii="Calibri" w:eastAsia="Times New Roman" w:hAnsi="Calibri" w:cs="Calibri"/>
                <w:sz w:val="20"/>
                <w:szCs w:val="20"/>
              </w:rPr>
            </w:pPr>
            <w:r w:rsidRPr="00E06761">
              <w:rPr>
                <w:rFonts w:ascii="Calibri" w:eastAsia="Times New Roman" w:hAnsi="Calibri" w:cs="Calibri"/>
                <w:sz w:val="20"/>
                <w:szCs w:val="20"/>
              </w:rPr>
              <w:t>Domaća tražnja</w:t>
            </w:r>
          </w:p>
        </w:tc>
        <w:tc>
          <w:tcPr>
            <w:tcW w:w="579" w:type="pct"/>
            <w:noWrap/>
            <w:hideMark/>
          </w:tcPr>
          <w:p w14:paraId="53BAC903" w14:textId="77777777" w:rsidR="00CB2E14" w:rsidRPr="00E06761" w:rsidRDefault="00CB2E14" w:rsidP="00CB2E14">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0"/>
                <w:szCs w:val="20"/>
              </w:rPr>
            </w:pPr>
            <w:r w:rsidRPr="00E06761">
              <w:rPr>
                <w:rFonts w:ascii="Calibri" w:eastAsia="Times New Roman" w:hAnsi="Calibri" w:cs="Calibri"/>
                <w:b/>
                <w:bCs/>
                <w:color w:val="000000"/>
                <w:sz w:val="20"/>
                <w:szCs w:val="20"/>
              </w:rPr>
              <w:t>8,3</w:t>
            </w:r>
          </w:p>
        </w:tc>
        <w:tc>
          <w:tcPr>
            <w:tcW w:w="579" w:type="pct"/>
            <w:noWrap/>
            <w:hideMark/>
          </w:tcPr>
          <w:p w14:paraId="3FBE65C9" w14:textId="77777777" w:rsidR="00CB2E14" w:rsidRPr="00E06761" w:rsidRDefault="00CB2E14" w:rsidP="00CB2E14">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0"/>
                <w:szCs w:val="20"/>
              </w:rPr>
            </w:pPr>
            <w:r w:rsidRPr="00E06761">
              <w:rPr>
                <w:rFonts w:ascii="Calibri" w:eastAsia="Times New Roman" w:hAnsi="Calibri" w:cs="Calibri"/>
                <w:b/>
                <w:bCs/>
                <w:color w:val="000000"/>
                <w:sz w:val="20"/>
                <w:szCs w:val="20"/>
              </w:rPr>
              <w:t>5,8</w:t>
            </w:r>
          </w:p>
        </w:tc>
        <w:tc>
          <w:tcPr>
            <w:tcW w:w="579" w:type="pct"/>
            <w:noWrap/>
            <w:hideMark/>
          </w:tcPr>
          <w:p w14:paraId="0653A6DE" w14:textId="77777777" w:rsidR="00CB2E14" w:rsidRPr="00E06761" w:rsidRDefault="00CB2E14" w:rsidP="00CB2E14">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0"/>
                <w:szCs w:val="20"/>
              </w:rPr>
            </w:pPr>
            <w:r w:rsidRPr="00E06761">
              <w:rPr>
                <w:rFonts w:ascii="Calibri" w:eastAsia="Times New Roman" w:hAnsi="Calibri" w:cs="Calibri"/>
                <w:b/>
                <w:bCs/>
                <w:color w:val="000000"/>
                <w:sz w:val="20"/>
                <w:szCs w:val="20"/>
              </w:rPr>
              <w:t>4,0</w:t>
            </w:r>
          </w:p>
        </w:tc>
        <w:tc>
          <w:tcPr>
            <w:tcW w:w="579" w:type="pct"/>
            <w:noWrap/>
            <w:hideMark/>
          </w:tcPr>
          <w:p w14:paraId="523533C4" w14:textId="77777777" w:rsidR="00CB2E14" w:rsidRPr="00E06761" w:rsidRDefault="00CB2E14" w:rsidP="00CB2E14">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0"/>
                <w:szCs w:val="20"/>
              </w:rPr>
            </w:pPr>
            <w:r w:rsidRPr="00E06761">
              <w:rPr>
                <w:rFonts w:ascii="Calibri" w:eastAsia="Times New Roman" w:hAnsi="Calibri" w:cs="Calibri"/>
                <w:b/>
                <w:bCs/>
                <w:color w:val="000000"/>
                <w:sz w:val="20"/>
                <w:szCs w:val="20"/>
              </w:rPr>
              <w:t>2,2</w:t>
            </w:r>
          </w:p>
        </w:tc>
        <w:tc>
          <w:tcPr>
            <w:tcW w:w="581" w:type="pct"/>
            <w:noWrap/>
            <w:hideMark/>
          </w:tcPr>
          <w:p w14:paraId="5E0FCAFB" w14:textId="77777777" w:rsidR="00CB2E14" w:rsidRPr="00E06761" w:rsidRDefault="00CB2E14" w:rsidP="00CB2E14">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0"/>
                <w:szCs w:val="20"/>
              </w:rPr>
            </w:pPr>
            <w:r w:rsidRPr="00E06761">
              <w:rPr>
                <w:rFonts w:ascii="Calibri" w:eastAsia="Times New Roman" w:hAnsi="Calibri" w:cs="Calibri"/>
                <w:b/>
                <w:bCs/>
                <w:color w:val="000000"/>
                <w:sz w:val="20"/>
                <w:szCs w:val="20"/>
              </w:rPr>
              <w:t>2,4</w:t>
            </w:r>
          </w:p>
        </w:tc>
      </w:tr>
      <w:tr w:rsidR="00CB2E14" w:rsidRPr="00E06761" w14:paraId="5DC9E1D3" w14:textId="77777777" w:rsidTr="00CB2E14">
        <w:trPr>
          <w:trHeight w:val="20"/>
        </w:trPr>
        <w:tc>
          <w:tcPr>
            <w:cnfStyle w:val="001000000000" w:firstRow="0" w:lastRow="0" w:firstColumn="1" w:lastColumn="0" w:oddVBand="0" w:evenVBand="0" w:oddHBand="0" w:evenHBand="0" w:firstRowFirstColumn="0" w:firstRowLastColumn="0" w:lastRowFirstColumn="0" w:lastRowLastColumn="0"/>
            <w:tcW w:w="2103" w:type="pct"/>
            <w:noWrap/>
            <w:hideMark/>
          </w:tcPr>
          <w:p w14:paraId="3457D88C" w14:textId="77777777" w:rsidR="00CB2E14" w:rsidRPr="00E06761" w:rsidRDefault="00CB2E14" w:rsidP="00CB2E14">
            <w:pPr>
              <w:ind w:firstLineChars="100" w:firstLine="200"/>
              <w:rPr>
                <w:rFonts w:ascii="Calibri" w:eastAsia="Times New Roman" w:hAnsi="Calibri" w:cs="Calibri"/>
                <w:sz w:val="20"/>
                <w:szCs w:val="20"/>
              </w:rPr>
            </w:pPr>
            <w:r w:rsidRPr="00E06761">
              <w:rPr>
                <w:rFonts w:ascii="Calibri" w:eastAsia="Times New Roman" w:hAnsi="Calibri" w:cs="Calibri"/>
                <w:sz w:val="20"/>
                <w:szCs w:val="20"/>
              </w:rPr>
              <w:t>Potrošnja domaćinstava</w:t>
            </w:r>
          </w:p>
        </w:tc>
        <w:tc>
          <w:tcPr>
            <w:tcW w:w="579" w:type="pct"/>
            <w:noWrap/>
            <w:hideMark/>
          </w:tcPr>
          <w:p w14:paraId="291B516C" w14:textId="77777777" w:rsidR="00CB2E14" w:rsidRPr="00E06761" w:rsidRDefault="00CB2E14" w:rsidP="00CB2E14">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E06761">
              <w:rPr>
                <w:rFonts w:ascii="Calibri" w:eastAsia="Times New Roman" w:hAnsi="Calibri" w:cs="Calibri"/>
                <w:color w:val="000000"/>
                <w:sz w:val="20"/>
                <w:szCs w:val="20"/>
              </w:rPr>
              <w:t>9,7</w:t>
            </w:r>
          </w:p>
        </w:tc>
        <w:tc>
          <w:tcPr>
            <w:tcW w:w="579" w:type="pct"/>
            <w:noWrap/>
            <w:hideMark/>
          </w:tcPr>
          <w:p w14:paraId="180F588E" w14:textId="77777777" w:rsidR="00CB2E14" w:rsidRPr="00E06761" w:rsidRDefault="00CB2E14" w:rsidP="00CB2E14">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E06761">
              <w:rPr>
                <w:rFonts w:ascii="Calibri" w:eastAsia="Times New Roman" w:hAnsi="Calibri" w:cs="Calibri"/>
                <w:color w:val="000000"/>
                <w:sz w:val="20"/>
                <w:szCs w:val="20"/>
              </w:rPr>
              <w:t>8,2</w:t>
            </w:r>
          </w:p>
        </w:tc>
        <w:tc>
          <w:tcPr>
            <w:tcW w:w="579" w:type="pct"/>
            <w:noWrap/>
            <w:hideMark/>
          </w:tcPr>
          <w:p w14:paraId="1FC4FB88" w14:textId="77777777" w:rsidR="00CB2E14" w:rsidRPr="00E06761" w:rsidRDefault="00CB2E14" w:rsidP="00CB2E14">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E06761">
              <w:rPr>
                <w:rFonts w:ascii="Calibri" w:eastAsia="Times New Roman" w:hAnsi="Calibri" w:cs="Calibri"/>
                <w:color w:val="000000"/>
                <w:sz w:val="20"/>
                <w:szCs w:val="20"/>
              </w:rPr>
              <w:t>4,9</w:t>
            </w:r>
          </w:p>
        </w:tc>
        <w:tc>
          <w:tcPr>
            <w:tcW w:w="579" w:type="pct"/>
            <w:noWrap/>
            <w:hideMark/>
          </w:tcPr>
          <w:p w14:paraId="62F24FDE" w14:textId="77777777" w:rsidR="00CB2E14" w:rsidRPr="00E06761" w:rsidRDefault="00CB2E14" w:rsidP="00CB2E14">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E06761">
              <w:rPr>
                <w:rFonts w:ascii="Calibri" w:eastAsia="Times New Roman" w:hAnsi="Calibri" w:cs="Calibri"/>
                <w:color w:val="000000"/>
                <w:sz w:val="20"/>
                <w:szCs w:val="20"/>
              </w:rPr>
              <w:t>2,3</w:t>
            </w:r>
          </w:p>
        </w:tc>
        <w:tc>
          <w:tcPr>
            <w:tcW w:w="581" w:type="pct"/>
            <w:noWrap/>
            <w:hideMark/>
          </w:tcPr>
          <w:p w14:paraId="04EEF216" w14:textId="77777777" w:rsidR="00CB2E14" w:rsidRPr="00E06761" w:rsidRDefault="00CB2E14" w:rsidP="00CB2E14">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E06761">
              <w:rPr>
                <w:rFonts w:ascii="Calibri" w:eastAsia="Times New Roman" w:hAnsi="Calibri" w:cs="Calibri"/>
                <w:color w:val="000000"/>
                <w:sz w:val="20"/>
                <w:szCs w:val="20"/>
              </w:rPr>
              <w:t>2,8</w:t>
            </w:r>
          </w:p>
        </w:tc>
      </w:tr>
      <w:tr w:rsidR="00CB2E14" w:rsidRPr="00E06761" w14:paraId="664D7617" w14:textId="77777777" w:rsidTr="00CB2E14">
        <w:trPr>
          <w:trHeight w:val="20"/>
        </w:trPr>
        <w:tc>
          <w:tcPr>
            <w:cnfStyle w:val="001000000000" w:firstRow="0" w:lastRow="0" w:firstColumn="1" w:lastColumn="0" w:oddVBand="0" w:evenVBand="0" w:oddHBand="0" w:evenHBand="0" w:firstRowFirstColumn="0" w:firstRowLastColumn="0" w:lastRowFirstColumn="0" w:lastRowLastColumn="0"/>
            <w:tcW w:w="2103" w:type="pct"/>
            <w:noWrap/>
            <w:hideMark/>
          </w:tcPr>
          <w:p w14:paraId="24E93F75" w14:textId="77777777" w:rsidR="00CB2E14" w:rsidRPr="00E06761" w:rsidRDefault="00CB2E14" w:rsidP="00CB2E14">
            <w:pPr>
              <w:ind w:firstLineChars="100" w:firstLine="200"/>
              <w:rPr>
                <w:rFonts w:ascii="Calibri" w:eastAsia="Times New Roman" w:hAnsi="Calibri" w:cs="Calibri"/>
                <w:sz w:val="20"/>
                <w:szCs w:val="20"/>
              </w:rPr>
            </w:pPr>
            <w:r w:rsidRPr="00E06761">
              <w:rPr>
                <w:rFonts w:ascii="Calibri" w:eastAsia="Times New Roman" w:hAnsi="Calibri" w:cs="Calibri"/>
                <w:sz w:val="20"/>
                <w:szCs w:val="20"/>
              </w:rPr>
              <w:t>Potrošnja države</w:t>
            </w:r>
          </w:p>
        </w:tc>
        <w:tc>
          <w:tcPr>
            <w:tcW w:w="579" w:type="pct"/>
            <w:noWrap/>
            <w:hideMark/>
          </w:tcPr>
          <w:p w14:paraId="2334433F" w14:textId="77777777" w:rsidR="00CB2E14" w:rsidRPr="00E06761" w:rsidRDefault="00CB2E14" w:rsidP="00CB2E14">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E06761">
              <w:rPr>
                <w:rFonts w:ascii="Calibri" w:eastAsia="Times New Roman" w:hAnsi="Calibri" w:cs="Calibri"/>
                <w:color w:val="000000"/>
                <w:sz w:val="20"/>
                <w:szCs w:val="20"/>
              </w:rPr>
              <w:t>1,5</w:t>
            </w:r>
          </w:p>
        </w:tc>
        <w:tc>
          <w:tcPr>
            <w:tcW w:w="579" w:type="pct"/>
            <w:noWrap/>
            <w:hideMark/>
          </w:tcPr>
          <w:p w14:paraId="27049643" w14:textId="77777777" w:rsidR="00CB2E14" w:rsidRPr="00E06761" w:rsidRDefault="00CB2E14" w:rsidP="00CB2E14">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E06761">
              <w:rPr>
                <w:rFonts w:ascii="Calibri" w:eastAsia="Times New Roman" w:hAnsi="Calibri" w:cs="Calibri"/>
                <w:color w:val="000000"/>
                <w:sz w:val="20"/>
                <w:szCs w:val="20"/>
              </w:rPr>
              <w:t>3,0</w:t>
            </w:r>
          </w:p>
        </w:tc>
        <w:tc>
          <w:tcPr>
            <w:tcW w:w="579" w:type="pct"/>
            <w:noWrap/>
            <w:hideMark/>
          </w:tcPr>
          <w:p w14:paraId="76056207" w14:textId="77777777" w:rsidR="00CB2E14" w:rsidRPr="00E06761" w:rsidRDefault="00CB2E14" w:rsidP="00CB2E14">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E06761">
              <w:rPr>
                <w:rFonts w:ascii="Calibri" w:eastAsia="Times New Roman" w:hAnsi="Calibri" w:cs="Calibri"/>
                <w:color w:val="000000"/>
                <w:sz w:val="20"/>
                <w:szCs w:val="20"/>
              </w:rPr>
              <w:t>2,5</w:t>
            </w:r>
          </w:p>
        </w:tc>
        <w:tc>
          <w:tcPr>
            <w:tcW w:w="579" w:type="pct"/>
            <w:noWrap/>
            <w:hideMark/>
          </w:tcPr>
          <w:p w14:paraId="478E90A4" w14:textId="77777777" w:rsidR="00CB2E14" w:rsidRPr="00E06761" w:rsidRDefault="00CB2E14" w:rsidP="00CB2E14">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E06761">
              <w:rPr>
                <w:rFonts w:ascii="Calibri" w:eastAsia="Times New Roman" w:hAnsi="Calibri" w:cs="Calibri"/>
                <w:color w:val="000000"/>
                <w:sz w:val="20"/>
                <w:szCs w:val="20"/>
              </w:rPr>
              <w:t>2,5</w:t>
            </w:r>
          </w:p>
        </w:tc>
        <w:tc>
          <w:tcPr>
            <w:tcW w:w="581" w:type="pct"/>
            <w:noWrap/>
            <w:hideMark/>
          </w:tcPr>
          <w:p w14:paraId="434FC536" w14:textId="77777777" w:rsidR="00CB2E14" w:rsidRPr="00E06761" w:rsidRDefault="00CB2E14" w:rsidP="00CB2E14">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E06761">
              <w:rPr>
                <w:rFonts w:ascii="Calibri" w:eastAsia="Times New Roman" w:hAnsi="Calibri" w:cs="Calibri"/>
                <w:color w:val="000000"/>
                <w:sz w:val="20"/>
                <w:szCs w:val="20"/>
              </w:rPr>
              <w:t>2,0</w:t>
            </w:r>
          </w:p>
        </w:tc>
      </w:tr>
      <w:tr w:rsidR="00CB2E14" w:rsidRPr="00E06761" w14:paraId="433FD7E5" w14:textId="77777777" w:rsidTr="00CB2E14">
        <w:trPr>
          <w:trHeight w:val="20"/>
        </w:trPr>
        <w:tc>
          <w:tcPr>
            <w:cnfStyle w:val="001000000000" w:firstRow="0" w:lastRow="0" w:firstColumn="1" w:lastColumn="0" w:oddVBand="0" w:evenVBand="0" w:oddHBand="0" w:evenHBand="0" w:firstRowFirstColumn="0" w:firstRowLastColumn="0" w:lastRowFirstColumn="0" w:lastRowLastColumn="0"/>
            <w:tcW w:w="2103" w:type="pct"/>
            <w:noWrap/>
            <w:hideMark/>
          </w:tcPr>
          <w:p w14:paraId="44B84984" w14:textId="77777777" w:rsidR="00CB2E14" w:rsidRPr="00E06761" w:rsidRDefault="00CB2E14" w:rsidP="00CB2E14">
            <w:pPr>
              <w:ind w:firstLineChars="100" w:firstLine="200"/>
              <w:rPr>
                <w:rFonts w:ascii="Calibri" w:eastAsia="Times New Roman" w:hAnsi="Calibri" w:cs="Calibri"/>
                <w:sz w:val="20"/>
                <w:szCs w:val="20"/>
              </w:rPr>
            </w:pPr>
            <w:r w:rsidRPr="00E06761">
              <w:rPr>
                <w:rFonts w:ascii="Calibri" w:eastAsia="Times New Roman" w:hAnsi="Calibri" w:cs="Calibri"/>
                <w:sz w:val="20"/>
                <w:szCs w:val="20"/>
              </w:rPr>
              <w:t>Bruto investicije</w:t>
            </w:r>
          </w:p>
        </w:tc>
        <w:tc>
          <w:tcPr>
            <w:tcW w:w="579" w:type="pct"/>
            <w:noWrap/>
            <w:hideMark/>
          </w:tcPr>
          <w:p w14:paraId="6CE91BC6" w14:textId="77777777" w:rsidR="00CB2E14" w:rsidRPr="00E06761" w:rsidRDefault="00CB2E14" w:rsidP="00CB2E14">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E06761">
              <w:rPr>
                <w:rFonts w:ascii="Calibri" w:eastAsia="Times New Roman" w:hAnsi="Calibri" w:cs="Calibri"/>
                <w:color w:val="000000"/>
                <w:sz w:val="20"/>
                <w:szCs w:val="20"/>
              </w:rPr>
              <w:t>9,7</w:t>
            </w:r>
          </w:p>
        </w:tc>
        <w:tc>
          <w:tcPr>
            <w:tcW w:w="579" w:type="pct"/>
            <w:noWrap/>
            <w:hideMark/>
          </w:tcPr>
          <w:p w14:paraId="45DB7E6E" w14:textId="77777777" w:rsidR="00CB2E14" w:rsidRPr="00E06761" w:rsidRDefault="00CB2E14" w:rsidP="00CB2E14">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E06761">
              <w:rPr>
                <w:rFonts w:ascii="Calibri" w:eastAsia="Times New Roman" w:hAnsi="Calibri" w:cs="Calibri"/>
                <w:color w:val="000000"/>
                <w:sz w:val="20"/>
                <w:szCs w:val="20"/>
              </w:rPr>
              <w:t>1,4</w:t>
            </w:r>
          </w:p>
        </w:tc>
        <w:tc>
          <w:tcPr>
            <w:tcW w:w="579" w:type="pct"/>
            <w:noWrap/>
            <w:hideMark/>
          </w:tcPr>
          <w:p w14:paraId="108E1369" w14:textId="77777777" w:rsidR="00CB2E14" w:rsidRPr="00E06761" w:rsidRDefault="00CB2E14" w:rsidP="00CB2E14">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E06761">
              <w:rPr>
                <w:rFonts w:ascii="Calibri" w:eastAsia="Times New Roman" w:hAnsi="Calibri" w:cs="Calibri"/>
                <w:color w:val="000000"/>
                <w:sz w:val="20"/>
                <w:szCs w:val="20"/>
              </w:rPr>
              <w:t>2,8</w:t>
            </w:r>
          </w:p>
        </w:tc>
        <w:tc>
          <w:tcPr>
            <w:tcW w:w="579" w:type="pct"/>
            <w:noWrap/>
            <w:hideMark/>
          </w:tcPr>
          <w:p w14:paraId="358B67A1" w14:textId="77777777" w:rsidR="00CB2E14" w:rsidRPr="00E06761" w:rsidRDefault="00CB2E14" w:rsidP="00CB2E14">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E06761">
              <w:rPr>
                <w:rFonts w:ascii="Calibri" w:eastAsia="Times New Roman" w:hAnsi="Calibri" w:cs="Calibri"/>
                <w:color w:val="000000"/>
                <w:sz w:val="20"/>
                <w:szCs w:val="20"/>
              </w:rPr>
              <w:t>1,8</w:t>
            </w:r>
          </w:p>
        </w:tc>
        <w:tc>
          <w:tcPr>
            <w:tcW w:w="581" w:type="pct"/>
            <w:noWrap/>
            <w:hideMark/>
          </w:tcPr>
          <w:p w14:paraId="40136614" w14:textId="77777777" w:rsidR="00CB2E14" w:rsidRPr="00E06761" w:rsidRDefault="00CB2E14" w:rsidP="00CB2E14">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E06761">
              <w:rPr>
                <w:rFonts w:ascii="Calibri" w:eastAsia="Times New Roman" w:hAnsi="Calibri" w:cs="Calibri"/>
                <w:color w:val="000000"/>
                <w:sz w:val="20"/>
                <w:szCs w:val="20"/>
              </w:rPr>
              <w:t>1,8</w:t>
            </w:r>
          </w:p>
        </w:tc>
      </w:tr>
      <w:tr w:rsidR="00CB2E14" w:rsidRPr="00E06761" w14:paraId="661B4638" w14:textId="77777777" w:rsidTr="00CB2E14">
        <w:trPr>
          <w:trHeight w:val="20"/>
        </w:trPr>
        <w:tc>
          <w:tcPr>
            <w:cnfStyle w:val="001000000000" w:firstRow="0" w:lastRow="0" w:firstColumn="1" w:lastColumn="0" w:oddVBand="0" w:evenVBand="0" w:oddHBand="0" w:evenHBand="0" w:firstRowFirstColumn="0" w:firstRowLastColumn="0" w:lastRowFirstColumn="0" w:lastRowLastColumn="0"/>
            <w:tcW w:w="2103" w:type="pct"/>
            <w:noWrap/>
            <w:hideMark/>
          </w:tcPr>
          <w:p w14:paraId="034A42BD" w14:textId="77777777" w:rsidR="00CB2E14" w:rsidRPr="00E06761" w:rsidRDefault="00CB2E14" w:rsidP="00CB2E14">
            <w:pPr>
              <w:ind w:firstLineChars="100" w:firstLine="200"/>
              <w:rPr>
                <w:rFonts w:ascii="Calibri" w:eastAsia="Times New Roman" w:hAnsi="Calibri" w:cs="Calibri"/>
                <w:sz w:val="20"/>
                <w:szCs w:val="20"/>
              </w:rPr>
            </w:pPr>
            <w:r w:rsidRPr="00E06761">
              <w:rPr>
                <w:rFonts w:ascii="Calibri" w:eastAsia="Times New Roman" w:hAnsi="Calibri" w:cs="Calibri"/>
                <w:sz w:val="20"/>
                <w:szCs w:val="20"/>
              </w:rPr>
              <w:t>Bruto investicije u osnovna sredstva</w:t>
            </w:r>
          </w:p>
        </w:tc>
        <w:tc>
          <w:tcPr>
            <w:tcW w:w="579" w:type="pct"/>
            <w:noWrap/>
            <w:hideMark/>
          </w:tcPr>
          <w:p w14:paraId="52EEF845" w14:textId="77777777" w:rsidR="00CB2E14" w:rsidRPr="00E06761" w:rsidRDefault="00CB2E14" w:rsidP="00CB2E14">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E06761">
              <w:rPr>
                <w:rFonts w:ascii="Calibri" w:eastAsia="Times New Roman" w:hAnsi="Calibri" w:cs="Calibri"/>
                <w:color w:val="000000"/>
                <w:sz w:val="20"/>
                <w:szCs w:val="20"/>
              </w:rPr>
              <w:t>0,1</w:t>
            </w:r>
          </w:p>
        </w:tc>
        <w:tc>
          <w:tcPr>
            <w:tcW w:w="579" w:type="pct"/>
            <w:noWrap/>
            <w:hideMark/>
          </w:tcPr>
          <w:p w14:paraId="34B73DF8" w14:textId="77777777" w:rsidR="00CB2E14" w:rsidRPr="00E06761" w:rsidRDefault="00CB2E14" w:rsidP="00CB2E14">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E06761">
              <w:rPr>
                <w:rFonts w:ascii="Calibri" w:eastAsia="Times New Roman" w:hAnsi="Calibri" w:cs="Calibri"/>
                <w:color w:val="000000"/>
                <w:sz w:val="20"/>
                <w:szCs w:val="20"/>
              </w:rPr>
              <w:t>2,0</w:t>
            </w:r>
          </w:p>
        </w:tc>
        <w:tc>
          <w:tcPr>
            <w:tcW w:w="579" w:type="pct"/>
            <w:noWrap/>
            <w:hideMark/>
          </w:tcPr>
          <w:p w14:paraId="74D127D6" w14:textId="77777777" w:rsidR="00CB2E14" w:rsidRPr="00E06761" w:rsidRDefault="00CB2E14" w:rsidP="00CB2E14">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E06761">
              <w:rPr>
                <w:rFonts w:ascii="Calibri" w:eastAsia="Times New Roman" w:hAnsi="Calibri" w:cs="Calibri"/>
                <w:color w:val="000000"/>
                <w:sz w:val="20"/>
                <w:szCs w:val="20"/>
              </w:rPr>
              <w:t>3,9</w:t>
            </w:r>
          </w:p>
        </w:tc>
        <w:tc>
          <w:tcPr>
            <w:tcW w:w="579" w:type="pct"/>
            <w:noWrap/>
            <w:hideMark/>
          </w:tcPr>
          <w:p w14:paraId="16F2274B" w14:textId="77777777" w:rsidR="00CB2E14" w:rsidRPr="00E06761" w:rsidRDefault="00CB2E14" w:rsidP="00CB2E14">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E06761">
              <w:rPr>
                <w:rFonts w:ascii="Calibri" w:eastAsia="Times New Roman" w:hAnsi="Calibri" w:cs="Calibri"/>
                <w:color w:val="000000"/>
                <w:sz w:val="20"/>
                <w:szCs w:val="20"/>
              </w:rPr>
              <w:t>2,5</w:t>
            </w:r>
          </w:p>
        </w:tc>
        <w:tc>
          <w:tcPr>
            <w:tcW w:w="581" w:type="pct"/>
            <w:noWrap/>
            <w:hideMark/>
          </w:tcPr>
          <w:p w14:paraId="62DA271C" w14:textId="77777777" w:rsidR="00CB2E14" w:rsidRPr="00E06761" w:rsidRDefault="00CB2E14" w:rsidP="00CB2E14">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E06761">
              <w:rPr>
                <w:rFonts w:ascii="Calibri" w:eastAsia="Times New Roman" w:hAnsi="Calibri" w:cs="Calibri"/>
                <w:color w:val="000000"/>
                <w:sz w:val="20"/>
                <w:szCs w:val="20"/>
              </w:rPr>
              <w:t>2,5</w:t>
            </w:r>
          </w:p>
        </w:tc>
      </w:tr>
      <w:tr w:rsidR="00CB2E14" w:rsidRPr="00E06761" w14:paraId="2213BD0B" w14:textId="77777777" w:rsidTr="00CB2E14">
        <w:trPr>
          <w:trHeight w:val="20"/>
        </w:trPr>
        <w:tc>
          <w:tcPr>
            <w:cnfStyle w:val="001000000000" w:firstRow="0" w:lastRow="0" w:firstColumn="1" w:lastColumn="0" w:oddVBand="0" w:evenVBand="0" w:oddHBand="0" w:evenHBand="0" w:firstRowFirstColumn="0" w:firstRowLastColumn="0" w:lastRowFirstColumn="0" w:lastRowLastColumn="0"/>
            <w:tcW w:w="2103" w:type="pct"/>
            <w:noWrap/>
            <w:hideMark/>
          </w:tcPr>
          <w:p w14:paraId="3F61C582" w14:textId="77777777" w:rsidR="00CB2E14" w:rsidRPr="00E06761" w:rsidRDefault="00CB2E14" w:rsidP="00CB2E14">
            <w:pPr>
              <w:ind w:firstLineChars="100" w:firstLine="200"/>
              <w:rPr>
                <w:rFonts w:ascii="Calibri" w:eastAsia="Times New Roman" w:hAnsi="Calibri" w:cs="Calibri"/>
                <w:sz w:val="20"/>
                <w:szCs w:val="20"/>
              </w:rPr>
            </w:pPr>
            <w:r w:rsidRPr="00E06761">
              <w:rPr>
                <w:rFonts w:ascii="Calibri" w:eastAsia="Times New Roman" w:hAnsi="Calibri" w:cs="Calibri"/>
                <w:sz w:val="20"/>
                <w:szCs w:val="20"/>
              </w:rPr>
              <w:lastRenderedPageBreak/>
              <w:t>Promjena zaliha</w:t>
            </w:r>
          </w:p>
        </w:tc>
        <w:tc>
          <w:tcPr>
            <w:tcW w:w="579" w:type="pct"/>
            <w:noWrap/>
            <w:hideMark/>
          </w:tcPr>
          <w:p w14:paraId="24E2ED09" w14:textId="77777777" w:rsidR="00CB2E14" w:rsidRPr="00E06761" w:rsidRDefault="00CB2E14" w:rsidP="00CB2E14">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E06761">
              <w:rPr>
                <w:rFonts w:ascii="Calibri" w:eastAsia="Times New Roman" w:hAnsi="Calibri" w:cs="Calibri"/>
                <w:color w:val="000000"/>
                <w:sz w:val="20"/>
                <w:szCs w:val="20"/>
              </w:rPr>
              <w:t>56,3</w:t>
            </w:r>
          </w:p>
        </w:tc>
        <w:tc>
          <w:tcPr>
            <w:tcW w:w="579" w:type="pct"/>
            <w:noWrap/>
            <w:hideMark/>
          </w:tcPr>
          <w:p w14:paraId="30AC3FD2" w14:textId="77777777" w:rsidR="00CB2E14" w:rsidRPr="00E06761" w:rsidRDefault="00CB2E14" w:rsidP="00CB2E14">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E06761">
              <w:rPr>
                <w:rFonts w:ascii="Calibri" w:eastAsia="Times New Roman" w:hAnsi="Calibri" w:cs="Calibri"/>
                <w:color w:val="000000"/>
                <w:sz w:val="20"/>
                <w:szCs w:val="20"/>
              </w:rPr>
              <w:t>0,0</w:t>
            </w:r>
          </w:p>
        </w:tc>
        <w:tc>
          <w:tcPr>
            <w:tcW w:w="579" w:type="pct"/>
            <w:noWrap/>
            <w:hideMark/>
          </w:tcPr>
          <w:p w14:paraId="5B19350D" w14:textId="77777777" w:rsidR="00CB2E14" w:rsidRPr="00E06761" w:rsidRDefault="00CB2E14" w:rsidP="00CB2E14">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E06761">
              <w:rPr>
                <w:rFonts w:ascii="Calibri" w:eastAsia="Times New Roman" w:hAnsi="Calibri" w:cs="Calibri"/>
                <w:color w:val="000000"/>
                <w:sz w:val="20"/>
                <w:szCs w:val="20"/>
              </w:rPr>
              <w:t>0,0</w:t>
            </w:r>
          </w:p>
        </w:tc>
        <w:tc>
          <w:tcPr>
            <w:tcW w:w="579" w:type="pct"/>
            <w:noWrap/>
            <w:hideMark/>
          </w:tcPr>
          <w:p w14:paraId="711524C9" w14:textId="77777777" w:rsidR="00CB2E14" w:rsidRPr="00E06761" w:rsidRDefault="00CB2E14" w:rsidP="00CB2E14">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E06761">
              <w:rPr>
                <w:rFonts w:ascii="Calibri" w:eastAsia="Times New Roman" w:hAnsi="Calibri" w:cs="Calibri"/>
                <w:color w:val="000000"/>
                <w:sz w:val="20"/>
                <w:szCs w:val="20"/>
              </w:rPr>
              <w:t>0,0</w:t>
            </w:r>
          </w:p>
        </w:tc>
        <w:tc>
          <w:tcPr>
            <w:tcW w:w="581" w:type="pct"/>
            <w:noWrap/>
            <w:hideMark/>
          </w:tcPr>
          <w:p w14:paraId="533136E4" w14:textId="77777777" w:rsidR="00CB2E14" w:rsidRPr="00E06761" w:rsidRDefault="00CB2E14" w:rsidP="00CB2E14">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E06761">
              <w:rPr>
                <w:rFonts w:ascii="Calibri" w:eastAsia="Times New Roman" w:hAnsi="Calibri" w:cs="Calibri"/>
                <w:color w:val="000000"/>
                <w:sz w:val="20"/>
                <w:szCs w:val="20"/>
              </w:rPr>
              <w:t>0,0</w:t>
            </w:r>
          </w:p>
        </w:tc>
      </w:tr>
      <w:tr w:rsidR="00CB2E14" w:rsidRPr="00E06761" w14:paraId="11137942" w14:textId="77777777" w:rsidTr="00CB2E14">
        <w:trPr>
          <w:trHeight w:val="20"/>
        </w:trPr>
        <w:tc>
          <w:tcPr>
            <w:cnfStyle w:val="001000000000" w:firstRow="0" w:lastRow="0" w:firstColumn="1" w:lastColumn="0" w:oddVBand="0" w:evenVBand="0" w:oddHBand="0" w:evenHBand="0" w:firstRowFirstColumn="0" w:firstRowLastColumn="0" w:lastRowFirstColumn="0" w:lastRowLastColumn="0"/>
            <w:tcW w:w="2103" w:type="pct"/>
            <w:noWrap/>
            <w:hideMark/>
          </w:tcPr>
          <w:p w14:paraId="6A481E45" w14:textId="77777777" w:rsidR="00CB2E14" w:rsidRPr="00E06761" w:rsidRDefault="00CB2E14" w:rsidP="00CB2E14">
            <w:pPr>
              <w:ind w:firstLineChars="100" w:firstLine="200"/>
              <w:rPr>
                <w:rFonts w:ascii="Calibri" w:eastAsia="Times New Roman" w:hAnsi="Calibri" w:cs="Calibri"/>
                <w:sz w:val="20"/>
                <w:szCs w:val="20"/>
              </w:rPr>
            </w:pPr>
            <w:r w:rsidRPr="00E06761">
              <w:rPr>
                <w:rFonts w:ascii="Calibri" w:eastAsia="Times New Roman" w:hAnsi="Calibri" w:cs="Calibri"/>
                <w:sz w:val="20"/>
                <w:szCs w:val="20"/>
              </w:rPr>
              <w:t>Izvoz roba i usluga</w:t>
            </w:r>
          </w:p>
        </w:tc>
        <w:tc>
          <w:tcPr>
            <w:tcW w:w="579" w:type="pct"/>
            <w:noWrap/>
            <w:hideMark/>
          </w:tcPr>
          <w:p w14:paraId="6BBE1DA6" w14:textId="77777777" w:rsidR="00CB2E14" w:rsidRPr="00E06761" w:rsidRDefault="00CB2E14" w:rsidP="00CB2E14">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E06761">
              <w:rPr>
                <w:rFonts w:ascii="Calibri" w:eastAsia="Times New Roman" w:hAnsi="Calibri" w:cs="Calibri"/>
                <w:color w:val="000000"/>
                <w:sz w:val="20"/>
                <w:szCs w:val="20"/>
              </w:rPr>
              <w:t>22,7</w:t>
            </w:r>
          </w:p>
        </w:tc>
        <w:tc>
          <w:tcPr>
            <w:tcW w:w="579" w:type="pct"/>
            <w:noWrap/>
            <w:hideMark/>
          </w:tcPr>
          <w:p w14:paraId="77844850" w14:textId="77777777" w:rsidR="00CB2E14" w:rsidRPr="00E06761" w:rsidRDefault="00CB2E14" w:rsidP="00CB2E14">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E06761">
              <w:rPr>
                <w:rFonts w:ascii="Calibri" w:eastAsia="Times New Roman" w:hAnsi="Calibri" w:cs="Calibri"/>
                <w:color w:val="000000"/>
                <w:sz w:val="20"/>
                <w:szCs w:val="20"/>
              </w:rPr>
              <w:t>12,7</w:t>
            </w:r>
          </w:p>
        </w:tc>
        <w:tc>
          <w:tcPr>
            <w:tcW w:w="579" w:type="pct"/>
            <w:noWrap/>
            <w:hideMark/>
          </w:tcPr>
          <w:p w14:paraId="28D70B31" w14:textId="77777777" w:rsidR="00CB2E14" w:rsidRPr="00E06761" w:rsidRDefault="00CB2E14" w:rsidP="00CB2E14">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E06761">
              <w:rPr>
                <w:rFonts w:ascii="Calibri" w:eastAsia="Times New Roman" w:hAnsi="Calibri" w:cs="Calibri"/>
                <w:color w:val="000000"/>
                <w:sz w:val="20"/>
                <w:szCs w:val="20"/>
              </w:rPr>
              <w:t>6,8</w:t>
            </w:r>
          </w:p>
        </w:tc>
        <w:tc>
          <w:tcPr>
            <w:tcW w:w="579" w:type="pct"/>
            <w:noWrap/>
            <w:hideMark/>
          </w:tcPr>
          <w:p w14:paraId="5CD52074" w14:textId="77777777" w:rsidR="00CB2E14" w:rsidRPr="00E06761" w:rsidRDefault="00CB2E14" w:rsidP="00CB2E14">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E06761">
              <w:rPr>
                <w:rFonts w:ascii="Calibri" w:eastAsia="Times New Roman" w:hAnsi="Calibri" w:cs="Calibri"/>
                <w:color w:val="000000"/>
                <w:sz w:val="20"/>
                <w:szCs w:val="20"/>
              </w:rPr>
              <w:t>5,8</w:t>
            </w:r>
          </w:p>
        </w:tc>
        <w:tc>
          <w:tcPr>
            <w:tcW w:w="581" w:type="pct"/>
            <w:noWrap/>
            <w:hideMark/>
          </w:tcPr>
          <w:p w14:paraId="774AF12E" w14:textId="77777777" w:rsidR="00CB2E14" w:rsidRPr="00E06761" w:rsidRDefault="00CB2E14" w:rsidP="00CB2E14">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E06761">
              <w:rPr>
                <w:rFonts w:ascii="Calibri" w:eastAsia="Times New Roman" w:hAnsi="Calibri" w:cs="Calibri"/>
                <w:color w:val="000000"/>
                <w:sz w:val="20"/>
                <w:szCs w:val="20"/>
              </w:rPr>
              <w:t>6,0</w:t>
            </w:r>
          </w:p>
        </w:tc>
      </w:tr>
      <w:tr w:rsidR="00CB2E14" w:rsidRPr="00E06761" w14:paraId="66C4AE38" w14:textId="77777777" w:rsidTr="00CB2E14">
        <w:trPr>
          <w:trHeight w:val="20"/>
        </w:trPr>
        <w:tc>
          <w:tcPr>
            <w:cnfStyle w:val="001000000000" w:firstRow="0" w:lastRow="0" w:firstColumn="1" w:lastColumn="0" w:oddVBand="0" w:evenVBand="0" w:oddHBand="0" w:evenHBand="0" w:firstRowFirstColumn="0" w:firstRowLastColumn="0" w:lastRowFirstColumn="0" w:lastRowLastColumn="0"/>
            <w:tcW w:w="2103" w:type="pct"/>
            <w:noWrap/>
            <w:hideMark/>
          </w:tcPr>
          <w:p w14:paraId="331FA315" w14:textId="77777777" w:rsidR="00CB2E14" w:rsidRPr="00E06761" w:rsidRDefault="00CB2E14" w:rsidP="00CB2E14">
            <w:pPr>
              <w:ind w:firstLineChars="100" w:firstLine="200"/>
              <w:rPr>
                <w:rFonts w:ascii="Calibri" w:eastAsia="Times New Roman" w:hAnsi="Calibri" w:cs="Calibri"/>
                <w:sz w:val="20"/>
                <w:szCs w:val="20"/>
              </w:rPr>
            </w:pPr>
            <w:r w:rsidRPr="00E06761">
              <w:rPr>
                <w:rFonts w:ascii="Calibri" w:eastAsia="Times New Roman" w:hAnsi="Calibri" w:cs="Calibri"/>
                <w:sz w:val="20"/>
                <w:szCs w:val="20"/>
              </w:rPr>
              <w:t>Uvoz roba i usluga</w:t>
            </w:r>
          </w:p>
        </w:tc>
        <w:tc>
          <w:tcPr>
            <w:tcW w:w="579" w:type="pct"/>
            <w:noWrap/>
            <w:hideMark/>
          </w:tcPr>
          <w:p w14:paraId="5FC028C1" w14:textId="77777777" w:rsidR="00CB2E14" w:rsidRPr="00E06761" w:rsidRDefault="00CB2E14" w:rsidP="00CB2E14">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E06761">
              <w:rPr>
                <w:rFonts w:ascii="Calibri" w:eastAsia="Times New Roman" w:hAnsi="Calibri" w:cs="Calibri"/>
                <w:color w:val="000000"/>
                <w:sz w:val="20"/>
                <w:szCs w:val="20"/>
              </w:rPr>
              <w:t>21,3</w:t>
            </w:r>
          </w:p>
        </w:tc>
        <w:tc>
          <w:tcPr>
            <w:tcW w:w="579" w:type="pct"/>
            <w:noWrap/>
            <w:hideMark/>
          </w:tcPr>
          <w:p w14:paraId="69E862EE" w14:textId="77777777" w:rsidR="00CB2E14" w:rsidRPr="00E06761" w:rsidRDefault="00CB2E14" w:rsidP="00CB2E14">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E06761">
              <w:rPr>
                <w:rFonts w:ascii="Calibri" w:eastAsia="Times New Roman" w:hAnsi="Calibri" w:cs="Calibri"/>
                <w:color w:val="000000"/>
                <w:sz w:val="20"/>
                <w:szCs w:val="20"/>
              </w:rPr>
              <w:t>10,6</w:t>
            </w:r>
          </w:p>
        </w:tc>
        <w:tc>
          <w:tcPr>
            <w:tcW w:w="579" w:type="pct"/>
            <w:noWrap/>
            <w:hideMark/>
          </w:tcPr>
          <w:p w14:paraId="1328371B" w14:textId="77777777" w:rsidR="00CB2E14" w:rsidRPr="00E06761" w:rsidRDefault="00CB2E14" w:rsidP="00CB2E14">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E06761">
              <w:rPr>
                <w:rFonts w:ascii="Calibri" w:eastAsia="Times New Roman" w:hAnsi="Calibri" w:cs="Calibri"/>
                <w:color w:val="000000"/>
                <w:sz w:val="20"/>
                <w:szCs w:val="20"/>
              </w:rPr>
              <w:t>6,4</w:t>
            </w:r>
          </w:p>
        </w:tc>
        <w:tc>
          <w:tcPr>
            <w:tcW w:w="579" w:type="pct"/>
            <w:noWrap/>
            <w:hideMark/>
          </w:tcPr>
          <w:p w14:paraId="08D6B6D7" w14:textId="77777777" w:rsidR="00CB2E14" w:rsidRPr="00E06761" w:rsidRDefault="00CB2E14" w:rsidP="00CB2E14">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E06761">
              <w:rPr>
                <w:rFonts w:ascii="Calibri" w:eastAsia="Times New Roman" w:hAnsi="Calibri" w:cs="Calibri"/>
                <w:color w:val="000000"/>
                <w:sz w:val="20"/>
                <w:szCs w:val="20"/>
              </w:rPr>
              <w:t>3,8</w:t>
            </w:r>
          </w:p>
        </w:tc>
        <w:tc>
          <w:tcPr>
            <w:tcW w:w="581" w:type="pct"/>
            <w:noWrap/>
            <w:hideMark/>
          </w:tcPr>
          <w:p w14:paraId="30311A24" w14:textId="77777777" w:rsidR="00CB2E14" w:rsidRPr="00E06761" w:rsidRDefault="00CB2E14" w:rsidP="00CB2E14">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E06761">
              <w:rPr>
                <w:rFonts w:ascii="Calibri" w:eastAsia="Times New Roman" w:hAnsi="Calibri" w:cs="Calibri"/>
                <w:color w:val="000000"/>
                <w:sz w:val="20"/>
                <w:szCs w:val="20"/>
              </w:rPr>
              <w:t>4,4</w:t>
            </w:r>
          </w:p>
        </w:tc>
      </w:tr>
      <w:tr w:rsidR="00CB2E14" w:rsidRPr="00E06761" w14:paraId="613200E4" w14:textId="77777777" w:rsidTr="00CB2E14">
        <w:trPr>
          <w:trHeight w:val="20"/>
        </w:trPr>
        <w:tc>
          <w:tcPr>
            <w:cnfStyle w:val="001000000000" w:firstRow="0" w:lastRow="0" w:firstColumn="1" w:lastColumn="0" w:oddVBand="0" w:evenVBand="0" w:oddHBand="0" w:evenHBand="0" w:firstRowFirstColumn="0" w:firstRowLastColumn="0" w:lastRowFirstColumn="0" w:lastRowLastColumn="0"/>
            <w:tcW w:w="2103" w:type="pct"/>
            <w:noWrap/>
            <w:hideMark/>
          </w:tcPr>
          <w:p w14:paraId="225C7DB3" w14:textId="77777777" w:rsidR="00CB2E14" w:rsidRPr="00E06761" w:rsidRDefault="00CB2E14" w:rsidP="00CB2E14">
            <w:pPr>
              <w:ind w:firstLineChars="200" w:firstLine="400"/>
              <w:rPr>
                <w:rFonts w:ascii="Calibri" w:eastAsia="Times New Roman" w:hAnsi="Calibri" w:cs="Calibri"/>
                <w:sz w:val="20"/>
                <w:szCs w:val="20"/>
              </w:rPr>
            </w:pPr>
            <w:r w:rsidRPr="00E06761">
              <w:rPr>
                <w:rFonts w:ascii="Calibri" w:eastAsia="Times New Roman" w:hAnsi="Calibri" w:cs="Calibri"/>
                <w:sz w:val="20"/>
                <w:szCs w:val="20"/>
              </w:rPr>
              <w:t> </w:t>
            </w:r>
          </w:p>
        </w:tc>
        <w:tc>
          <w:tcPr>
            <w:tcW w:w="2897" w:type="pct"/>
            <w:gridSpan w:val="5"/>
            <w:vMerge w:val="restart"/>
            <w:hideMark/>
          </w:tcPr>
          <w:p w14:paraId="514F1052" w14:textId="77777777" w:rsidR="00CB2E14" w:rsidRPr="00E06761" w:rsidRDefault="00CB2E14" w:rsidP="00CB2E1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rPr>
            </w:pPr>
            <w:r w:rsidRPr="00E06761">
              <w:rPr>
                <w:rFonts w:ascii="Calibri" w:eastAsia="Times New Roman" w:hAnsi="Calibri" w:cs="Calibri"/>
                <w:sz w:val="16"/>
                <w:szCs w:val="16"/>
              </w:rPr>
              <w:t>rast u procentima ako nije naznačeno drugačije</w:t>
            </w:r>
          </w:p>
        </w:tc>
      </w:tr>
      <w:tr w:rsidR="00CB2E14" w:rsidRPr="00E06761" w14:paraId="63F339A2" w14:textId="77777777" w:rsidTr="00CB2E14">
        <w:trPr>
          <w:trHeight w:val="20"/>
        </w:trPr>
        <w:tc>
          <w:tcPr>
            <w:cnfStyle w:val="001000000000" w:firstRow="0" w:lastRow="0" w:firstColumn="1" w:lastColumn="0" w:oddVBand="0" w:evenVBand="0" w:oddHBand="0" w:evenHBand="0" w:firstRowFirstColumn="0" w:firstRowLastColumn="0" w:lastRowFirstColumn="0" w:lastRowLastColumn="0"/>
            <w:tcW w:w="2103" w:type="pct"/>
            <w:noWrap/>
            <w:hideMark/>
          </w:tcPr>
          <w:p w14:paraId="56590245" w14:textId="77777777" w:rsidR="00CB2E14" w:rsidRPr="00E06761" w:rsidRDefault="00CB2E14" w:rsidP="00CB2E14">
            <w:pPr>
              <w:ind w:firstLineChars="100" w:firstLine="200"/>
              <w:rPr>
                <w:rFonts w:ascii="Calibri" w:eastAsia="Times New Roman" w:hAnsi="Calibri" w:cs="Calibri"/>
                <w:sz w:val="20"/>
                <w:szCs w:val="20"/>
              </w:rPr>
            </w:pPr>
            <w:r w:rsidRPr="00E06761">
              <w:rPr>
                <w:rFonts w:ascii="Calibri" w:eastAsia="Times New Roman" w:hAnsi="Calibri" w:cs="Calibri"/>
                <w:sz w:val="20"/>
                <w:szCs w:val="20"/>
              </w:rPr>
              <w:t>Makroekonomski indikatori:</w:t>
            </w:r>
          </w:p>
        </w:tc>
        <w:tc>
          <w:tcPr>
            <w:tcW w:w="2897" w:type="pct"/>
            <w:gridSpan w:val="5"/>
            <w:vMerge/>
            <w:hideMark/>
          </w:tcPr>
          <w:p w14:paraId="2FB8E9EF" w14:textId="77777777" w:rsidR="00CB2E14" w:rsidRPr="00E06761" w:rsidRDefault="00CB2E14" w:rsidP="00CB2E1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rPr>
            </w:pPr>
          </w:p>
        </w:tc>
      </w:tr>
      <w:tr w:rsidR="00CB2E14" w:rsidRPr="00E06761" w14:paraId="7D7A94F5" w14:textId="77777777" w:rsidTr="00CB2E14">
        <w:trPr>
          <w:trHeight w:val="20"/>
        </w:trPr>
        <w:tc>
          <w:tcPr>
            <w:cnfStyle w:val="001000000000" w:firstRow="0" w:lastRow="0" w:firstColumn="1" w:lastColumn="0" w:oddVBand="0" w:evenVBand="0" w:oddHBand="0" w:evenHBand="0" w:firstRowFirstColumn="0" w:firstRowLastColumn="0" w:lastRowFirstColumn="0" w:lastRowLastColumn="0"/>
            <w:tcW w:w="2103" w:type="pct"/>
            <w:noWrap/>
            <w:hideMark/>
          </w:tcPr>
          <w:p w14:paraId="04F6E475" w14:textId="77777777" w:rsidR="00CB2E14" w:rsidRPr="00E06761" w:rsidRDefault="00CB2E14" w:rsidP="00CB2E14">
            <w:pPr>
              <w:ind w:firstLineChars="100" w:firstLine="200"/>
              <w:outlineLvl w:val="0"/>
              <w:rPr>
                <w:rFonts w:ascii="Calibri" w:eastAsia="Times New Roman" w:hAnsi="Calibri" w:cs="Calibri"/>
                <w:sz w:val="20"/>
                <w:szCs w:val="20"/>
              </w:rPr>
            </w:pPr>
            <w:bookmarkStart w:id="17" w:name="_Toc152326703"/>
            <w:bookmarkStart w:id="18" w:name="_Toc152326970"/>
            <w:bookmarkStart w:id="19" w:name="_Toc152327016"/>
            <w:bookmarkStart w:id="20" w:name="_Toc153280385"/>
            <w:bookmarkStart w:id="21" w:name="_Toc153305326"/>
            <w:r w:rsidRPr="00E06761">
              <w:rPr>
                <w:rFonts w:ascii="Calibri" w:eastAsia="Times New Roman" w:hAnsi="Calibri" w:cs="Calibri"/>
                <w:sz w:val="20"/>
                <w:szCs w:val="20"/>
              </w:rPr>
              <w:t>Rast zaposlenosti</w:t>
            </w:r>
            <w:bookmarkEnd w:id="17"/>
            <w:bookmarkEnd w:id="18"/>
            <w:bookmarkEnd w:id="19"/>
            <w:bookmarkEnd w:id="20"/>
            <w:bookmarkEnd w:id="21"/>
          </w:p>
        </w:tc>
        <w:tc>
          <w:tcPr>
            <w:tcW w:w="579" w:type="pct"/>
            <w:noWrap/>
            <w:hideMark/>
          </w:tcPr>
          <w:p w14:paraId="0EA6FF80" w14:textId="77777777" w:rsidR="00CB2E14" w:rsidRPr="00E06761" w:rsidRDefault="00CB2E14" w:rsidP="00CB2E14">
            <w:pPr>
              <w:ind w:firstLineChars="100" w:firstLine="200"/>
              <w:jc w:val="right"/>
              <w:outlineLvl w:val="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bookmarkStart w:id="22" w:name="_Toc152326704"/>
            <w:bookmarkStart w:id="23" w:name="_Toc152326971"/>
            <w:bookmarkStart w:id="24" w:name="_Toc152327017"/>
            <w:bookmarkStart w:id="25" w:name="_Toc153280386"/>
            <w:bookmarkStart w:id="26" w:name="_Toc153305327"/>
            <w:r w:rsidRPr="00E06761">
              <w:rPr>
                <w:rFonts w:ascii="Calibri" w:eastAsia="Times New Roman" w:hAnsi="Calibri" w:cs="Calibri"/>
                <w:color w:val="000000"/>
                <w:sz w:val="20"/>
                <w:szCs w:val="20"/>
              </w:rPr>
              <w:t>18,1</w:t>
            </w:r>
            <w:bookmarkEnd w:id="22"/>
            <w:bookmarkEnd w:id="23"/>
            <w:bookmarkEnd w:id="24"/>
            <w:bookmarkEnd w:id="25"/>
            <w:bookmarkEnd w:id="26"/>
          </w:p>
        </w:tc>
        <w:tc>
          <w:tcPr>
            <w:tcW w:w="579" w:type="pct"/>
            <w:noWrap/>
            <w:hideMark/>
          </w:tcPr>
          <w:p w14:paraId="37A47E4F" w14:textId="77777777" w:rsidR="00CB2E14" w:rsidRPr="00E06761" w:rsidRDefault="00CB2E14" w:rsidP="00CB2E14">
            <w:pPr>
              <w:ind w:firstLineChars="100" w:firstLine="200"/>
              <w:jc w:val="right"/>
              <w:outlineLvl w:val="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bookmarkStart w:id="27" w:name="_Toc152326705"/>
            <w:bookmarkStart w:id="28" w:name="_Toc152326972"/>
            <w:bookmarkStart w:id="29" w:name="_Toc152327018"/>
            <w:bookmarkStart w:id="30" w:name="_Toc153280387"/>
            <w:bookmarkStart w:id="31" w:name="_Toc153305328"/>
            <w:r w:rsidRPr="00E06761">
              <w:rPr>
                <w:rFonts w:ascii="Calibri" w:eastAsia="Times New Roman" w:hAnsi="Calibri" w:cs="Calibri"/>
                <w:color w:val="000000"/>
                <w:sz w:val="20"/>
                <w:szCs w:val="20"/>
              </w:rPr>
              <w:t>9,5</w:t>
            </w:r>
            <w:bookmarkEnd w:id="27"/>
            <w:bookmarkEnd w:id="28"/>
            <w:bookmarkEnd w:id="29"/>
            <w:bookmarkEnd w:id="30"/>
            <w:bookmarkEnd w:id="31"/>
          </w:p>
        </w:tc>
        <w:tc>
          <w:tcPr>
            <w:tcW w:w="579" w:type="pct"/>
            <w:noWrap/>
            <w:hideMark/>
          </w:tcPr>
          <w:p w14:paraId="3C8E6801" w14:textId="77777777" w:rsidR="00CB2E14" w:rsidRPr="00E06761" w:rsidRDefault="00CB2E14" w:rsidP="00CB2E14">
            <w:pPr>
              <w:ind w:firstLineChars="100" w:firstLine="200"/>
              <w:jc w:val="right"/>
              <w:outlineLvl w:val="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bookmarkStart w:id="32" w:name="_Toc152326706"/>
            <w:bookmarkStart w:id="33" w:name="_Toc152326973"/>
            <w:bookmarkStart w:id="34" w:name="_Toc152327019"/>
            <w:bookmarkStart w:id="35" w:name="_Toc153280388"/>
            <w:bookmarkStart w:id="36" w:name="_Toc153305329"/>
            <w:r w:rsidRPr="00E06761">
              <w:rPr>
                <w:rFonts w:ascii="Calibri" w:eastAsia="Times New Roman" w:hAnsi="Calibri" w:cs="Calibri"/>
                <w:color w:val="000000"/>
                <w:sz w:val="20"/>
                <w:szCs w:val="20"/>
              </w:rPr>
              <w:t>2,2</w:t>
            </w:r>
            <w:bookmarkEnd w:id="32"/>
            <w:bookmarkEnd w:id="33"/>
            <w:bookmarkEnd w:id="34"/>
            <w:bookmarkEnd w:id="35"/>
            <w:bookmarkEnd w:id="36"/>
          </w:p>
        </w:tc>
        <w:tc>
          <w:tcPr>
            <w:tcW w:w="579" w:type="pct"/>
            <w:noWrap/>
            <w:hideMark/>
          </w:tcPr>
          <w:p w14:paraId="3E38B6E5" w14:textId="77777777" w:rsidR="00CB2E14" w:rsidRPr="00E06761" w:rsidRDefault="00CB2E14" w:rsidP="00CB2E14">
            <w:pPr>
              <w:ind w:firstLineChars="100" w:firstLine="200"/>
              <w:jc w:val="right"/>
              <w:outlineLvl w:val="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bookmarkStart w:id="37" w:name="_Toc152326707"/>
            <w:bookmarkStart w:id="38" w:name="_Toc152326974"/>
            <w:bookmarkStart w:id="39" w:name="_Toc152327020"/>
            <w:bookmarkStart w:id="40" w:name="_Toc153280389"/>
            <w:bookmarkStart w:id="41" w:name="_Toc153305330"/>
            <w:r w:rsidRPr="00E06761">
              <w:rPr>
                <w:rFonts w:ascii="Calibri" w:eastAsia="Times New Roman" w:hAnsi="Calibri" w:cs="Calibri"/>
                <w:color w:val="000000"/>
                <w:sz w:val="20"/>
                <w:szCs w:val="20"/>
              </w:rPr>
              <w:t>1,8</w:t>
            </w:r>
            <w:bookmarkEnd w:id="37"/>
            <w:bookmarkEnd w:id="38"/>
            <w:bookmarkEnd w:id="39"/>
            <w:bookmarkEnd w:id="40"/>
            <w:bookmarkEnd w:id="41"/>
          </w:p>
        </w:tc>
        <w:tc>
          <w:tcPr>
            <w:tcW w:w="581" w:type="pct"/>
            <w:noWrap/>
            <w:hideMark/>
          </w:tcPr>
          <w:p w14:paraId="20CD4270" w14:textId="77777777" w:rsidR="00CB2E14" w:rsidRPr="00E06761" w:rsidRDefault="00CB2E14" w:rsidP="00CB2E14">
            <w:pPr>
              <w:ind w:firstLineChars="100" w:firstLine="200"/>
              <w:jc w:val="right"/>
              <w:outlineLvl w:val="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bookmarkStart w:id="42" w:name="_Toc152326708"/>
            <w:bookmarkStart w:id="43" w:name="_Toc152326975"/>
            <w:bookmarkStart w:id="44" w:name="_Toc152327021"/>
            <w:bookmarkStart w:id="45" w:name="_Toc153280390"/>
            <w:bookmarkStart w:id="46" w:name="_Toc153305331"/>
            <w:r w:rsidRPr="00E06761">
              <w:rPr>
                <w:rFonts w:ascii="Calibri" w:eastAsia="Times New Roman" w:hAnsi="Calibri" w:cs="Calibri"/>
                <w:color w:val="000000"/>
                <w:sz w:val="20"/>
                <w:szCs w:val="20"/>
              </w:rPr>
              <w:t>1,7</w:t>
            </w:r>
            <w:bookmarkEnd w:id="42"/>
            <w:bookmarkEnd w:id="43"/>
            <w:bookmarkEnd w:id="44"/>
            <w:bookmarkEnd w:id="45"/>
            <w:bookmarkEnd w:id="46"/>
          </w:p>
        </w:tc>
      </w:tr>
      <w:tr w:rsidR="00CB2E14" w:rsidRPr="00E06761" w14:paraId="0903B728" w14:textId="77777777" w:rsidTr="00CB2E14">
        <w:trPr>
          <w:trHeight w:val="20"/>
        </w:trPr>
        <w:tc>
          <w:tcPr>
            <w:cnfStyle w:val="001000000000" w:firstRow="0" w:lastRow="0" w:firstColumn="1" w:lastColumn="0" w:oddVBand="0" w:evenVBand="0" w:oddHBand="0" w:evenHBand="0" w:firstRowFirstColumn="0" w:firstRowLastColumn="0" w:lastRowFirstColumn="0" w:lastRowLastColumn="0"/>
            <w:tcW w:w="2103" w:type="pct"/>
            <w:noWrap/>
            <w:hideMark/>
          </w:tcPr>
          <w:p w14:paraId="62B165C6" w14:textId="77777777" w:rsidR="00CB2E14" w:rsidRPr="00E06761" w:rsidRDefault="00CB2E14" w:rsidP="00CB2E14">
            <w:pPr>
              <w:ind w:firstLineChars="100" w:firstLine="200"/>
              <w:outlineLvl w:val="0"/>
              <w:rPr>
                <w:rFonts w:ascii="Calibri" w:eastAsia="Times New Roman" w:hAnsi="Calibri" w:cs="Calibri"/>
                <w:sz w:val="20"/>
                <w:szCs w:val="20"/>
              </w:rPr>
            </w:pPr>
            <w:bookmarkStart w:id="47" w:name="_Toc152326709"/>
            <w:bookmarkStart w:id="48" w:name="_Toc152326976"/>
            <w:bookmarkStart w:id="49" w:name="_Toc152327022"/>
            <w:bookmarkStart w:id="50" w:name="_Toc153280391"/>
            <w:bookmarkStart w:id="51" w:name="_Toc153305332"/>
            <w:r w:rsidRPr="00E06761">
              <w:rPr>
                <w:rFonts w:ascii="Calibri" w:eastAsia="Times New Roman" w:hAnsi="Calibri" w:cs="Calibri"/>
                <w:sz w:val="20"/>
                <w:szCs w:val="20"/>
              </w:rPr>
              <w:t>Rast zarada (bruto)</w:t>
            </w:r>
            <w:bookmarkEnd w:id="47"/>
            <w:bookmarkEnd w:id="48"/>
            <w:bookmarkEnd w:id="49"/>
            <w:bookmarkEnd w:id="50"/>
            <w:bookmarkEnd w:id="51"/>
          </w:p>
        </w:tc>
        <w:tc>
          <w:tcPr>
            <w:tcW w:w="579" w:type="pct"/>
            <w:noWrap/>
            <w:hideMark/>
          </w:tcPr>
          <w:p w14:paraId="4A9A56FD" w14:textId="77777777" w:rsidR="00CB2E14" w:rsidRPr="00E06761" w:rsidRDefault="00CB2E14" w:rsidP="00CB2E14">
            <w:pPr>
              <w:ind w:firstLineChars="100" w:firstLine="200"/>
              <w:jc w:val="right"/>
              <w:outlineLvl w:val="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bookmarkStart w:id="52" w:name="_Toc152326710"/>
            <w:bookmarkStart w:id="53" w:name="_Toc152326977"/>
            <w:bookmarkStart w:id="54" w:name="_Toc152327023"/>
            <w:bookmarkStart w:id="55" w:name="_Toc153280392"/>
            <w:bookmarkStart w:id="56" w:name="_Toc153305333"/>
            <w:r w:rsidRPr="00E06761">
              <w:rPr>
                <w:rFonts w:ascii="Calibri" w:eastAsia="Times New Roman" w:hAnsi="Calibri" w:cs="Calibri"/>
                <w:color w:val="000000"/>
                <w:sz w:val="20"/>
                <w:szCs w:val="20"/>
              </w:rPr>
              <w:t>11,3</w:t>
            </w:r>
            <w:bookmarkEnd w:id="52"/>
            <w:bookmarkEnd w:id="53"/>
            <w:bookmarkEnd w:id="54"/>
            <w:bookmarkEnd w:id="55"/>
            <w:bookmarkEnd w:id="56"/>
          </w:p>
        </w:tc>
        <w:tc>
          <w:tcPr>
            <w:tcW w:w="579" w:type="pct"/>
            <w:noWrap/>
            <w:hideMark/>
          </w:tcPr>
          <w:p w14:paraId="1E07FDA1" w14:textId="77777777" w:rsidR="00CB2E14" w:rsidRPr="00E06761" w:rsidRDefault="00CB2E14" w:rsidP="00CB2E14">
            <w:pPr>
              <w:ind w:firstLineChars="100" w:firstLine="200"/>
              <w:jc w:val="right"/>
              <w:outlineLvl w:val="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bookmarkStart w:id="57" w:name="_Toc152326711"/>
            <w:bookmarkStart w:id="58" w:name="_Toc152326978"/>
            <w:bookmarkStart w:id="59" w:name="_Toc152327024"/>
            <w:bookmarkStart w:id="60" w:name="_Toc153280393"/>
            <w:bookmarkStart w:id="61" w:name="_Toc153305334"/>
            <w:r w:rsidRPr="00E06761">
              <w:rPr>
                <w:rFonts w:ascii="Calibri" w:eastAsia="Times New Roman" w:hAnsi="Calibri" w:cs="Calibri"/>
                <w:color w:val="000000"/>
                <w:sz w:val="20"/>
                <w:szCs w:val="20"/>
              </w:rPr>
              <w:t>11,5</w:t>
            </w:r>
            <w:bookmarkEnd w:id="57"/>
            <w:bookmarkEnd w:id="58"/>
            <w:bookmarkEnd w:id="59"/>
            <w:bookmarkEnd w:id="60"/>
            <w:bookmarkEnd w:id="61"/>
          </w:p>
        </w:tc>
        <w:tc>
          <w:tcPr>
            <w:tcW w:w="579" w:type="pct"/>
            <w:noWrap/>
            <w:hideMark/>
          </w:tcPr>
          <w:p w14:paraId="3399DB89" w14:textId="77777777" w:rsidR="00CB2E14" w:rsidRPr="00E06761" w:rsidRDefault="00CB2E14" w:rsidP="00CB2E14">
            <w:pPr>
              <w:ind w:firstLineChars="100" w:firstLine="200"/>
              <w:jc w:val="right"/>
              <w:outlineLvl w:val="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bookmarkStart w:id="62" w:name="_Toc152326712"/>
            <w:bookmarkStart w:id="63" w:name="_Toc152326979"/>
            <w:bookmarkStart w:id="64" w:name="_Toc152327025"/>
            <w:bookmarkStart w:id="65" w:name="_Toc153280394"/>
            <w:bookmarkStart w:id="66" w:name="_Toc153305335"/>
            <w:r w:rsidRPr="00E06761">
              <w:rPr>
                <w:rFonts w:ascii="Calibri" w:eastAsia="Times New Roman" w:hAnsi="Calibri" w:cs="Calibri"/>
                <w:color w:val="000000"/>
                <w:sz w:val="20"/>
                <w:szCs w:val="20"/>
              </w:rPr>
              <w:t>5,0</w:t>
            </w:r>
            <w:bookmarkEnd w:id="62"/>
            <w:bookmarkEnd w:id="63"/>
            <w:bookmarkEnd w:id="64"/>
            <w:bookmarkEnd w:id="65"/>
            <w:bookmarkEnd w:id="66"/>
          </w:p>
        </w:tc>
        <w:tc>
          <w:tcPr>
            <w:tcW w:w="579" w:type="pct"/>
            <w:noWrap/>
            <w:hideMark/>
          </w:tcPr>
          <w:p w14:paraId="3087ECA3" w14:textId="77777777" w:rsidR="00CB2E14" w:rsidRPr="00E06761" w:rsidRDefault="00CB2E14" w:rsidP="00CB2E14">
            <w:pPr>
              <w:ind w:firstLineChars="100" w:firstLine="200"/>
              <w:jc w:val="right"/>
              <w:outlineLvl w:val="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bookmarkStart w:id="67" w:name="_Toc152326713"/>
            <w:bookmarkStart w:id="68" w:name="_Toc152326980"/>
            <w:bookmarkStart w:id="69" w:name="_Toc152327026"/>
            <w:bookmarkStart w:id="70" w:name="_Toc153280395"/>
            <w:bookmarkStart w:id="71" w:name="_Toc153305336"/>
            <w:r w:rsidRPr="00E06761">
              <w:rPr>
                <w:rFonts w:ascii="Calibri" w:eastAsia="Times New Roman" w:hAnsi="Calibri" w:cs="Calibri"/>
                <w:color w:val="000000"/>
                <w:sz w:val="20"/>
                <w:szCs w:val="20"/>
              </w:rPr>
              <w:t>4,0</w:t>
            </w:r>
            <w:bookmarkEnd w:id="67"/>
            <w:bookmarkEnd w:id="68"/>
            <w:bookmarkEnd w:id="69"/>
            <w:bookmarkEnd w:id="70"/>
            <w:bookmarkEnd w:id="71"/>
          </w:p>
        </w:tc>
        <w:tc>
          <w:tcPr>
            <w:tcW w:w="581" w:type="pct"/>
            <w:noWrap/>
            <w:hideMark/>
          </w:tcPr>
          <w:p w14:paraId="698E0932" w14:textId="77777777" w:rsidR="00CB2E14" w:rsidRPr="00E06761" w:rsidRDefault="00CB2E14" w:rsidP="00CB2E14">
            <w:pPr>
              <w:ind w:firstLineChars="100" w:firstLine="200"/>
              <w:jc w:val="right"/>
              <w:outlineLvl w:val="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bookmarkStart w:id="72" w:name="_Toc152326714"/>
            <w:bookmarkStart w:id="73" w:name="_Toc152326981"/>
            <w:bookmarkStart w:id="74" w:name="_Toc152327027"/>
            <w:bookmarkStart w:id="75" w:name="_Toc153280396"/>
            <w:bookmarkStart w:id="76" w:name="_Toc153305337"/>
            <w:r w:rsidRPr="00E06761">
              <w:rPr>
                <w:rFonts w:ascii="Calibri" w:eastAsia="Times New Roman" w:hAnsi="Calibri" w:cs="Calibri"/>
                <w:color w:val="000000"/>
                <w:sz w:val="20"/>
                <w:szCs w:val="20"/>
              </w:rPr>
              <w:t>4,0</w:t>
            </w:r>
            <w:bookmarkEnd w:id="72"/>
            <w:bookmarkEnd w:id="73"/>
            <w:bookmarkEnd w:id="74"/>
            <w:bookmarkEnd w:id="75"/>
            <w:bookmarkEnd w:id="76"/>
          </w:p>
        </w:tc>
      </w:tr>
      <w:tr w:rsidR="00CB2E14" w:rsidRPr="00E06761" w14:paraId="3FCFCA64" w14:textId="77777777" w:rsidTr="00CB2E14">
        <w:trPr>
          <w:trHeight w:val="20"/>
        </w:trPr>
        <w:tc>
          <w:tcPr>
            <w:cnfStyle w:val="001000000000" w:firstRow="0" w:lastRow="0" w:firstColumn="1" w:lastColumn="0" w:oddVBand="0" w:evenVBand="0" w:oddHBand="0" w:evenHBand="0" w:firstRowFirstColumn="0" w:firstRowLastColumn="0" w:lastRowFirstColumn="0" w:lastRowLastColumn="0"/>
            <w:tcW w:w="2103" w:type="pct"/>
            <w:noWrap/>
            <w:hideMark/>
          </w:tcPr>
          <w:p w14:paraId="6E9633E6" w14:textId="77777777" w:rsidR="00CB2E14" w:rsidRPr="00E06761" w:rsidRDefault="00CB2E14" w:rsidP="00CB2E14">
            <w:pPr>
              <w:ind w:firstLineChars="100" w:firstLine="200"/>
              <w:outlineLvl w:val="0"/>
              <w:rPr>
                <w:rFonts w:ascii="Calibri" w:eastAsia="Times New Roman" w:hAnsi="Calibri" w:cs="Calibri"/>
                <w:sz w:val="20"/>
                <w:szCs w:val="20"/>
              </w:rPr>
            </w:pPr>
            <w:bookmarkStart w:id="77" w:name="_Toc152326715"/>
            <w:bookmarkStart w:id="78" w:name="_Toc152326982"/>
            <w:bookmarkStart w:id="79" w:name="_Toc152327028"/>
            <w:bookmarkStart w:id="80" w:name="_Toc153280397"/>
            <w:bookmarkStart w:id="81" w:name="_Toc153305338"/>
            <w:r w:rsidRPr="00E06761">
              <w:rPr>
                <w:rFonts w:ascii="Calibri" w:eastAsia="Times New Roman" w:hAnsi="Calibri" w:cs="Calibri"/>
                <w:sz w:val="20"/>
                <w:szCs w:val="20"/>
              </w:rPr>
              <w:t>Stopa nezaposlenosti</w:t>
            </w:r>
            <w:bookmarkEnd w:id="77"/>
            <w:bookmarkEnd w:id="78"/>
            <w:bookmarkEnd w:id="79"/>
            <w:bookmarkEnd w:id="80"/>
            <w:bookmarkEnd w:id="81"/>
            <w:r w:rsidRPr="00E06761">
              <w:rPr>
                <w:rFonts w:ascii="Calibri" w:eastAsia="Times New Roman" w:hAnsi="Calibri" w:cs="Calibri"/>
                <w:sz w:val="20"/>
                <w:szCs w:val="20"/>
              </w:rPr>
              <w:t xml:space="preserve"> </w:t>
            </w:r>
          </w:p>
        </w:tc>
        <w:tc>
          <w:tcPr>
            <w:tcW w:w="579" w:type="pct"/>
            <w:noWrap/>
            <w:hideMark/>
          </w:tcPr>
          <w:p w14:paraId="1351EB81" w14:textId="77777777" w:rsidR="00CB2E14" w:rsidRPr="00E06761" w:rsidRDefault="00CB2E14" w:rsidP="00CB2E14">
            <w:pPr>
              <w:ind w:firstLineChars="100" w:firstLine="200"/>
              <w:jc w:val="right"/>
              <w:outlineLvl w:val="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bookmarkStart w:id="82" w:name="_Toc152326716"/>
            <w:bookmarkStart w:id="83" w:name="_Toc152326983"/>
            <w:bookmarkStart w:id="84" w:name="_Toc152327029"/>
            <w:bookmarkStart w:id="85" w:name="_Toc153280398"/>
            <w:bookmarkStart w:id="86" w:name="_Toc153305339"/>
            <w:r w:rsidRPr="00E06761">
              <w:rPr>
                <w:rFonts w:ascii="Calibri" w:eastAsia="Times New Roman" w:hAnsi="Calibri" w:cs="Calibri"/>
                <w:color w:val="000000"/>
                <w:sz w:val="20"/>
                <w:szCs w:val="20"/>
              </w:rPr>
              <w:t>14,7</w:t>
            </w:r>
            <w:bookmarkEnd w:id="82"/>
            <w:bookmarkEnd w:id="83"/>
            <w:bookmarkEnd w:id="84"/>
            <w:bookmarkEnd w:id="85"/>
            <w:bookmarkEnd w:id="86"/>
          </w:p>
        </w:tc>
        <w:tc>
          <w:tcPr>
            <w:tcW w:w="579" w:type="pct"/>
            <w:noWrap/>
            <w:hideMark/>
          </w:tcPr>
          <w:p w14:paraId="48C46B89" w14:textId="77777777" w:rsidR="00CB2E14" w:rsidRPr="00E06761" w:rsidRDefault="00CB2E14" w:rsidP="00CB2E14">
            <w:pPr>
              <w:ind w:firstLineChars="100" w:firstLine="200"/>
              <w:jc w:val="right"/>
              <w:outlineLvl w:val="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bookmarkStart w:id="87" w:name="_Toc152326717"/>
            <w:bookmarkStart w:id="88" w:name="_Toc152326984"/>
            <w:bookmarkStart w:id="89" w:name="_Toc152327030"/>
            <w:bookmarkStart w:id="90" w:name="_Toc153280399"/>
            <w:bookmarkStart w:id="91" w:name="_Toc153305340"/>
            <w:r w:rsidRPr="00E06761">
              <w:rPr>
                <w:rFonts w:ascii="Calibri" w:eastAsia="Times New Roman" w:hAnsi="Calibri" w:cs="Calibri"/>
                <w:color w:val="000000"/>
                <w:sz w:val="20"/>
                <w:szCs w:val="20"/>
              </w:rPr>
              <w:t>13,2</w:t>
            </w:r>
            <w:bookmarkEnd w:id="87"/>
            <w:bookmarkEnd w:id="88"/>
            <w:bookmarkEnd w:id="89"/>
            <w:bookmarkEnd w:id="90"/>
            <w:bookmarkEnd w:id="91"/>
          </w:p>
        </w:tc>
        <w:tc>
          <w:tcPr>
            <w:tcW w:w="579" w:type="pct"/>
            <w:noWrap/>
            <w:hideMark/>
          </w:tcPr>
          <w:p w14:paraId="325E3F09" w14:textId="77777777" w:rsidR="00CB2E14" w:rsidRPr="00E06761" w:rsidRDefault="00CB2E14" w:rsidP="00CB2E14">
            <w:pPr>
              <w:ind w:firstLineChars="100" w:firstLine="200"/>
              <w:jc w:val="right"/>
              <w:outlineLvl w:val="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bookmarkStart w:id="92" w:name="_Toc152326718"/>
            <w:bookmarkStart w:id="93" w:name="_Toc152326985"/>
            <w:bookmarkStart w:id="94" w:name="_Toc152327031"/>
            <w:bookmarkStart w:id="95" w:name="_Toc153280400"/>
            <w:bookmarkStart w:id="96" w:name="_Toc153305341"/>
            <w:r w:rsidRPr="00E06761">
              <w:rPr>
                <w:rFonts w:ascii="Calibri" w:eastAsia="Times New Roman" w:hAnsi="Calibri" w:cs="Calibri"/>
                <w:color w:val="000000"/>
                <w:sz w:val="20"/>
                <w:szCs w:val="20"/>
              </w:rPr>
              <w:t>12,6</w:t>
            </w:r>
            <w:bookmarkEnd w:id="92"/>
            <w:bookmarkEnd w:id="93"/>
            <w:bookmarkEnd w:id="94"/>
            <w:bookmarkEnd w:id="95"/>
            <w:bookmarkEnd w:id="96"/>
          </w:p>
        </w:tc>
        <w:tc>
          <w:tcPr>
            <w:tcW w:w="579" w:type="pct"/>
            <w:noWrap/>
            <w:hideMark/>
          </w:tcPr>
          <w:p w14:paraId="64A5150F" w14:textId="77777777" w:rsidR="00CB2E14" w:rsidRPr="00E06761" w:rsidRDefault="00CB2E14" w:rsidP="00CB2E14">
            <w:pPr>
              <w:ind w:firstLineChars="100" w:firstLine="200"/>
              <w:jc w:val="right"/>
              <w:outlineLvl w:val="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bookmarkStart w:id="97" w:name="_Toc152326719"/>
            <w:bookmarkStart w:id="98" w:name="_Toc152326986"/>
            <w:bookmarkStart w:id="99" w:name="_Toc152327032"/>
            <w:bookmarkStart w:id="100" w:name="_Toc153280401"/>
            <w:bookmarkStart w:id="101" w:name="_Toc153305342"/>
            <w:r w:rsidRPr="00E06761">
              <w:rPr>
                <w:rFonts w:ascii="Calibri" w:eastAsia="Times New Roman" w:hAnsi="Calibri" w:cs="Calibri"/>
                <w:color w:val="000000"/>
                <w:sz w:val="20"/>
                <w:szCs w:val="20"/>
              </w:rPr>
              <w:t>12,0</w:t>
            </w:r>
            <w:bookmarkEnd w:id="97"/>
            <w:bookmarkEnd w:id="98"/>
            <w:bookmarkEnd w:id="99"/>
            <w:bookmarkEnd w:id="100"/>
            <w:bookmarkEnd w:id="101"/>
          </w:p>
        </w:tc>
        <w:tc>
          <w:tcPr>
            <w:tcW w:w="581" w:type="pct"/>
            <w:noWrap/>
            <w:hideMark/>
          </w:tcPr>
          <w:p w14:paraId="2C25C3A8" w14:textId="77777777" w:rsidR="00CB2E14" w:rsidRPr="00E06761" w:rsidRDefault="00CB2E14" w:rsidP="00CB2E14">
            <w:pPr>
              <w:ind w:firstLineChars="100" w:firstLine="200"/>
              <w:jc w:val="right"/>
              <w:outlineLvl w:val="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bookmarkStart w:id="102" w:name="_Toc152326720"/>
            <w:bookmarkStart w:id="103" w:name="_Toc152326987"/>
            <w:bookmarkStart w:id="104" w:name="_Toc152327033"/>
            <w:bookmarkStart w:id="105" w:name="_Toc153280402"/>
            <w:bookmarkStart w:id="106" w:name="_Toc153305343"/>
            <w:r w:rsidRPr="00E06761">
              <w:rPr>
                <w:rFonts w:ascii="Calibri" w:eastAsia="Times New Roman" w:hAnsi="Calibri" w:cs="Calibri"/>
                <w:color w:val="000000"/>
                <w:sz w:val="20"/>
                <w:szCs w:val="20"/>
              </w:rPr>
              <w:t>11,6</w:t>
            </w:r>
            <w:bookmarkEnd w:id="102"/>
            <w:bookmarkEnd w:id="103"/>
            <w:bookmarkEnd w:id="104"/>
            <w:bookmarkEnd w:id="105"/>
            <w:bookmarkEnd w:id="106"/>
          </w:p>
        </w:tc>
      </w:tr>
      <w:tr w:rsidR="00CB2E14" w:rsidRPr="00E06761" w14:paraId="144FFBBC" w14:textId="77777777" w:rsidTr="00CB2E14">
        <w:trPr>
          <w:trHeight w:val="20"/>
        </w:trPr>
        <w:tc>
          <w:tcPr>
            <w:cnfStyle w:val="001000000000" w:firstRow="0" w:lastRow="0" w:firstColumn="1" w:lastColumn="0" w:oddVBand="0" w:evenVBand="0" w:oddHBand="0" w:evenHBand="0" w:firstRowFirstColumn="0" w:firstRowLastColumn="0" w:lastRowFirstColumn="0" w:lastRowLastColumn="0"/>
            <w:tcW w:w="2103" w:type="pct"/>
            <w:noWrap/>
            <w:hideMark/>
          </w:tcPr>
          <w:p w14:paraId="2194274F" w14:textId="77777777" w:rsidR="00CB2E14" w:rsidRPr="00E06761" w:rsidRDefault="00CB2E14" w:rsidP="00CB2E14">
            <w:pPr>
              <w:ind w:firstLineChars="100" w:firstLine="200"/>
              <w:rPr>
                <w:rFonts w:ascii="Calibri" w:eastAsia="Times New Roman" w:hAnsi="Calibri" w:cs="Calibri"/>
                <w:sz w:val="20"/>
                <w:szCs w:val="20"/>
              </w:rPr>
            </w:pPr>
            <w:r w:rsidRPr="00E06761">
              <w:rPr>
                <w:rFonts w:ascii="Calibri" w:eastAsia="Times New Roman" w:hAnsi="Calibri" w:cs="Calibri"/>
                <w:sz w:val="20"/>
                <w:szCs w:val="20"/>
              </w:rPr>
              <w:t>Neto SDI % BDP</w:t>
            </w:r>
          </w:p>
        </w:tc>
        <w:tc>
          <w:tcPr>
            <w:tcW w:w="579" w:type="pct"/>
            <w:noWrap/>
            <w:hideMark/>
          </w:tcPr>
          <w:p w14:paraId="4BB4D864" w14:textId="77777777" w:rsidR="00CB2E14" w:rsidRPr="00E06761" w:rsidRDefault="00CB2E14" w:rsidP="00CB2E14">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E06761">
              <w:rPr>
                <w:rFonts w:ascii="Calibri" w:eastAsia="Times New Roman" w:hAnsi="Calibri" w:cs="Calibri"/>
                <w:color w:val="000000"/>
                <w:sz w:val="20"/>
                <w:szCs w:val="20"/>
              </w:rPr>
              <w:t>13,2</w:t>
            </w:r>
          </w:p>
        </w:tc>
        <w:tc>
          <w:tcPr>
            <w:tcW w:w="579" w:type="pct"/>
            <w:noWrap/>
            <w:hideMark/>
          </w:tcPr>
          <w:p w14:paraId="73DE543C" w14:textId="77777777" w:rsidR="00CB2E14" w:rsidRPr="00E06761" w:rsidRDefault="00CB2E14" w:rsidP="00CB2E14">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E06761">
              <w:rPr>
                <w:rFonts w:ascii="Calibri" w:eastAsia="Times New Roman" w:hAnsi="Calibri" w:cs="Calibri"/>
                <w:color w:val="000000"/>
                <w:sz w:val="20"/>
                <w:szCs w:val="20"/>
              </w:rPr>
              <w:t>7,5</w:t>
            </w:r>
          </w:p>
        </w:tc>
        <w:tc>
          <w:tcPr>
            <w:tcW w:w="579" w:type="pct"/>
            <w:noWrap/>
            <w:hideMark/>
          </w:tcPr>
          <w:p w14:paraId="33526ED2" w14:textId="77777777" w:rsidR="00CB2E14" w:rsidRPr="00E06761" w:rsidRDefault="00CB2E14" w:rsidP="00CB2E14">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E06761">
              <w:rPr>
                <w:rFonts w:ascii="Calibri" w:eastAsia="Times New Roman" w:hAnsi="Calibri" w:cs="Calibri"/>
                <w:color w:val="000000"/>
                <w:sz w:val="20"/>
                <w:szCs w:val="20"/>
              </w:rPr>
              <w:t>7,8</w:t>
            </w:r>
          </w:p>
        </w:tc>
        <w:tc>
          <w:tcPr>
            <w:tcW w:w="579" w:type="pct"/>
            <w:noWrap/>
            <w:hideMark/>
          </w:tcPr>
          <w:p w14:paraId="7C722CDA" w14:textId="77777777" w:rsidR="00CB2E14" w:rsidRPr="00E06761" w:rsidRDefault="00CB2E14" w:rsidP="00CB2E14">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E06761">
              <w:rPr>
                <w:rFonts w:ascii="Calibri" w:eastAsia="Times New Roman" w:hAnsi="Calibri" w:cs="Calibri"/>
                <w:color w:val="000000"/>
                <w:sz w:val="20"/>
                <w:szCs w:val="20"/>
              </w:rPr>
              <w:t>7,4</w:t>
            </w:r>
          </w:p>
        </w:tc>
        <w:tc>
          <w:tcPr>
            <w:tcW w:w="581" w:type="pct"/>
            <w:noWrap/>
            <w:hideMark/>
          </w:tcPr>
          <w:p w14:paraId="432F9ABC" w14:textId="77777777" w:rsidR="00CB2E14" w:rsidRPr="00E06761" w:rsidRDefault="00CB2E14" w:rsidP="00CB2E14">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E06761">
              <w:rPr>
                <w:rFonts w:ascii="Calibri" w:eastAsia="Times New Roman" w:hAnsi="Calibri" w:cs="Calibri"/>
                <w:color w:val="000000"/>
                <w:sz w:val="20"/>
                <w:szCs w:val="20"/>
              </w:rPr>
              <w:t>7,1</w:t>
            </w:r>
          </w:p>
        </w:tc>
      </w:tr>
      <w:tr w:rsidR="00CB2E14" w:rsidRPr="00E06761" w14:paraId="5FCC0B58" w14:textId="77777777" w:rsidTr="00CB2E14">
        <w:trPr>
          <w:trHeight w:val="20"/>
        </w:trPr>
        <w:tc>
          <w:tcPr>
            <w:cnfStyle w:val="001000000000" w:firstRow="0" w:lastRow="0" w:firstColumn="1" w:lastColumn="0" w:oddVBand="0" w:evenVBand="0" w:oddHBand="0" w:evenHBand="0" w:firstRowFirstColumn="0" w:firstRowLastColumn="0" w:lastRowFirstColumn="0" w:lastRowLastColumn="0"/>
            <w:tcW w:w="2103" w:type="pct"/>
            <w:noWrap/>
            <w:hideMark/>
          </w:tcPr>
          <w:p w14:paraId="5B79222D" w14:textId="77777777" w:rsidR="00CB2E14" w:rsidRPr="00E06761" w:rsidRDefault="00CB2E14" w:rsidP="00CB2E14">
            <w:pPr>
              <w:ind w:firstLineChars="100" w:firstLine="200"/>
              <w:rPr>
                <w:rFonts w:ascii="Calibri" w:eastAsia="Times New Roman" w:hAnsi="Calibri" w:cs="Calibri"/>
                <w:sz w:val="20"/>
                <w:szCs w:val="20"/>
              </w:rPr>
            </w:pPr>
            <w:r w:rsidRPr="00E06761">
              <w:rPr>
                <w:rFonts w:ascii="Calibri" w:eastAsia="Times New Roman" w:hAnsi="Calibri" w:cs="Calibri"/>
                <w:sz w:val="20"/>
                <w:szCs w:val="20"/>
              </w:rPr>
              <w:t>Novoodobreni krediti</w:t>
            </w:r>
          </w:p>
        </w:tc>
        <w:tc>
          <w:tcPr>
            <w:tcW w:w="579" w:type="pct"/>
            <w:noWrap/>
            <w:hideMark/>
          </w:tcPr>
          <w:p w14:paraId="5121121B" w14:textId="77777777" w:rsidR="00CB2E14" w:rsidRPr="00E06761" w:rsidRDefault="00CB2E14" w:rsidP="00CB2E14">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E06761">
              <w:rPr>
                <w:rFonts w:ascii="Calibri" w:eastAsia="Times New Roman" w:hAnsi="Calibri" w:cs="Calibri"/>
                <w:sz w:val="20"/>
                <w:szCs w:val="20"/>
              </w:rPr>
              <w:t>31,5</w:t>
            </w:r>
          </w:p>
        </w:tc>
        <w:tc>
          <w:tcPr>
            <w:tcW w:w="579" w:type="pct"/>
            <w:noWrap/>
            <w:hideMark/>
          </w:tcPr>
          <w:p w14:paraId="7CC07603" w14:textId="77777777" w:rsidR="00CB2E14" w:rsidRPr="00E06761" w:rsidRDefault="00CB2E14" w:rsidP="00CB2E14">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E06761">
              <w:rPr>
                <w:rFonts w:ascii="Calibri" w:eastAsia="Times New Roman" w:hAnsi="Calibri" w:cs="Calibri"/>
                <w:sz w:val="20"/>
                <w:szCs w:val="20"/>
              </w:rPr>
              <w:t>-6,0</w:t>
            </w:r>
          </w:p>
        </w:tc>
        <w:tc>
          <w:tcPr>
            <w:tcW w:w="579" w:type="pct"/>
            <w:noWrap/>
            <w:hideMark/>
          </w:tcPr>
          <w:p w14:paraId="7E7C59FB" w14:textId="77777777" w:rsidR="00CB2E14" w:rsidRPr="00E06761" w:rsidRDefault="00CB2E14" w:rsidP="00CB2E14">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E06761">
              <w:rPr>
                <w:rFonts w:ascii="Calibri" w:eastAsia="Times New Roman" w:hAnsi="Calibri" w:cs="Calibri"/>
                <w:sz w:val="20"/>
                <w:szCs w:val="20"/>
              </w:rPr>
              <w:t>2,0</w:t>
            </w:r>
          </w:p>
        </w:tc>
        <w:tc>
          <w:tcPr>
            <w:tcW w:w="579" w:type="pct"/>
            <w:noWrap/>
            <w:hideMark/>
          </w:tcPr>
          <w:p w14:paraId="0394ECFF" w14:textId="77777777" w:rsidR="00CB2E14" w:rsidRPr="00E06761" w:rsidRDefault="00CB2E14" w:rsidP="00CB2E14">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E06761">
              <w:rPr>
                <w:rFonts w:ascii="Calibri" w:eastAsia="Times New Roman" w:hAnsi="Calibri" w:cs="Calibri"/>
                <w:sz w:val="20"/>
                <w:szCs w:val="20"/>
              </w:rPr>
              <w:t>2,0</w:t>
            </w:r>
          </w:p>
        </w:tc>
        <w:tc>
          <w:tcPr>
            <w:tcW w:w="581" w:type="pct"/>
            <w:noWrap/>
            <w:hideMark/>
          </w:tcPr>
          <w:p w14:paraId="03549B07" w14:textId="77777777" w:rsidR="00CB2E14" w:rsidRPr="00E06761" w:rsidRDefault="00CB2E14" w:rsidP="00CB2E14">
            <w:pPr>
              <w:ind w:firstLineChars="100" w:firstLine="20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E06761">
              <w:rPr>
                <w:rFonts w:ascii="Calibri" w:eastAsia="Times New Roman" w:hAnsi="Calibri" w:cs="Calibri"/>
                <w:sz w:val="20"/>
                <w:szCs w:val="20"/>
              </w:rPr>
              <w:t>4,0</w:t>
            </w:r>
          </w:p>
        </w:tc>
      </w:tr>
    </w:tbl>
    <w:p w14:paraId="31DC2AD4" w14:textId="77777777" w:rsidR="00CB2E14" w:rsidRPr="001C504A" w:rsidRDefault="00CB2E14" w:rsidP="00CB2E14">
      <w:pPr>
        <w:jc w:val="both"/>
        <w:rPr>
          <w:rFonts w:eastAsia="Calibri" w:cstheme="minorHAnsi"/>
          <w:i/>
          <w:sz w:val="16"/>
          <w:lang w:val="sr-Latn-ME" w:eastAsia="sr-Latn-ME"/>
        </w:rPr>
      </w:pPr>
      <w:r w:rsidRPr="001C504A">
        <w:rPr>
          <w:rFonts w:eastAsia="Calibri" w:cstheme="minorHAnsi"/>
          <w:i/>
          <w:sz w:val="16"/>
          <w:lang w:val="sr-Latn-ME" w:eastAsia="sr-Latn-ME"/>
        </w:rPr>
        <w:t>Izvor: Projekcije Ministarstva finansija</w:t>
      </w:r>
    </w:p>
    <w:p w14:paraId="6663DB28" w14:textId="77777777" w:rsidR="00CB2E14" w:rsidRPr="009D700E" w:rsidRDefault="00CB2E14" w:rsidP="00CB2E14">
      <w:pPr>
        <w:spacing w:after="80"/>
        <w:jc w:val="both"/>
        <w:rPr>
          <w:sz w:val="24"/>
        </w:rPr>
      </w:pPr>
      <w:r w:rsidRPr="009D700E">
        <w:rPr>
          <w:sz w:val="24"/>
        </w:rPr>
        <w:t>Makroekonomski indikatori:</w:t>
      </w:r>
    </w:p>
    <w:p w14:paraId="1FDB8D10" w14:textId="77777777" w:rsidR="00CB2E14" w:rsidRPr="009D700E" w:rsidRDefault="00CB2E14" w:rsidP="00FD3827">
      <w:pPr>
        <w:pStyle w:val="ListParagraph"/>
        <w:numPr>
          <w:ilvl w:val="0"/>
          <w:numId w:val="32"/>
        </w:numPr>
        <w:jc w:val="both"/>
        <w:rPr>
          <w:rFonts w:eastAsia="Calibri" w:cstheme="minorHAnsi"/>
          <w:b/>
          <w:sz w:val="32"/>
          <w:lang w:val="sr-Latn-ME" w:eastAsia="sr-Latn-ME"/>
        </w:rPr>
      </w:pPr>
      <w:r w:rsidRPr="009D700E">
        <w:rPr>
          <w:sz w:val="24"/>
        </w:rPr>
        <w:t>Deficit tekućeg računa platnog bilansa će se spustiti sa procijenjenih 12,</w:t>
      </w:r>
      <w:r>
        <w:rPr>
          <w:sz w:val="24"/>
        </w:rPr>
        <w:t>7</w:t>
      </w:r>
      <w:r w:rsidRPr="009D700E">
        <w:rPr>
          <w:sz w:val="24"/>
        </w:rPr>
        <w:t>% BDP-a u 202</w:t>
      </w:r>
      <w:r>
        <w:rPr>
          <w:sz w:val="24"/>
        </w:rPr>
        <w:t>3</w:t>
      </w:r>
      <w:r w:rsidRPr="009D700E">
        <w:rPr>
          <w:sz w:val="24"/>
        </w:rPr>
        <w:t xml:space="preserve">. na </w:t>
      </w:r>
      <w:r>
        <w:rPr>
          <w:sz w:val="24"/>
        </w:rPr>
        <w:t>10,9</w:t>
      </w:r>
      <w:r w:rsidRPr="009D700E">
        <w:rPr>
          <w:sz w:val="24"/>
        </w:rPr>
        <w:t>% u 202</w:t>
      </w:r>
      <w:r>
        <w:rPr>
          <w:sz w:val="24"/>
        </w:rPr>
        <w:t>6</w:t>
      </w:r>
      <w:r w:rsidRPr="009D700E">
        <w:rPr>
          <w:sz w:val="24"/>
        </w:rPr>
        <w:t xml:space="preserve">. godini, shodno očekivanoj dinamici kretanja uvoza i izvoza, uz </w:t>
      </w:r>
      <w:r>
        <w:rPr>
          <w:sz w:val="24"/>
        </w:rPr>
        <w:t>rastuće suficite</w:t>
      </w:r>
      <w:r w:rsidRPr="009D700E">
        <w:rPr>
          <w:sz w:val="24"/>
        </w:rPr>
        <w:t xml:space="preserve"> na računima </w:t>
      </w:r>
      <w:r>
        <w:rPr>
          <w:sz w:val="24"/>
        </w:rPr>
        <w:t xml:space="preserve">usluga, primarnog i sekundarnog dohotka; </w:t>
      </w:r>
    </w:p>
    <w:p w14:paraId="44BF5822" w14:textId="77777777" w:rsidR="00CB2E14" w:rsidRPr="009D700E" w:rsidRDefault="00CB2E14" w:rsidP="00FD3827">
      <w:pPr>
        <w:pStyle w:val="ListParagraph"/>
        <w:numPr>
          <w:ilvl w:val="0"/>
          <w:numId w:val="32"/>
        </w:numPr>
        <w:jc w:val="both"/>
        <w:rPr>
          <w:rFonts w:eastAsia="Calibri" w:cstheme="minorHAnsi"/>
          <w:b/>
          <w:sz w:val="32"/>
          <w:lang w:val="sr-Latn-ME" w:eastAsia="sr-Latn-ME"/>
        </w:rPr>
      </w:pPr>
      <w:r w:rsidRPr="009D700E">
        <w:rPr>
          <w:sz w:val="24"/>
        </w:rPr>
        <w:t>U</w:t>
      </w:r>
      <w:r>
        <w:rPr>
          <w:sz w:val="24"/>
        </w:rPr>
        <w:t>sljed pada priliva stranih direktnih investicija u 2023, očekuje se njihovo smanjenje u udjelu BDP-a na oko</w:t>
      </w:r>
      <w:r w:rsidRPr="009D700E">
        <w:rPr>
          <w:sz w:val="24"/>
        </w:rPr>
        <w:t xml:space="preserve"> </w:t>
      </w:r>
      <w:r>
        <w:rPr>
          <w:sz w:val="24"/>
        </w:rPr>
        <w:t>7,4</w:t>
      </w:r>
      <w:r w:rsidRPr="009D700E">
        <w:rPr>
          <w:sz w:val="24"/>
        </w:rPr>
        <w:t>% u srednjem roku</w:t>
      </w:r>
      <w:r>
        <w:rPr>
          <w:sz w:val="24"/>
        </w:rPr>
        <w:t xml:space="preserve"> (neto SDI)</w:t>
      </w:r>
      <w:r w:rsidRPr="009D700E">
        <w:rPr>
          <w:sz w:val="24"/>
        </w:rPr>
        <w:t>;</w:t>
      </w:r>
    </w:p>
    <w:p w14:paraId="7BA4E877" w14:textId="77777777" w:rsidR="00CB2E14" w:rsidRPr="009D700E" w:rsidRDefault="00CB2E14" w:rsidP="00FD3827">
      <w:pPr>
        <w:pStyle w:val="ListParagraph"/>
        <w:numPr>
          <w:ilvl w:val="0"/>
          <w:numId w:val="32"/>
        </w:numPr>
        <w:jc w:val="both"/>
        <w:rPr>
          <w:rFonts w:eastAsia="Calibri" w:cstheme="minorHAnsi"/>
          <w:b/>
          <w:sz w:val="32"/>
          <w:lang w:val="sr-Latn-ME" w:eastAsia="sr-Latn-ME"/>
        </w:rPr>
      </w:pPr>
      <w:r w:rsidRPr="009D700E">
        <w:rPr>
          <w:sz w:val="24"/>
        </w:rPr>
        <w:t>Novoodobreni krediti</w:t>
      </w:r>
      <w:r>
        <w:rPr>
          <w:sz w:val="24"/>
        </w:rPr>
        <w:t xml:space="preserve"> će bilježiti znatno sporiji rast od blizu 3%, usljed pooštravanja kreditnih uslova i rasta kamatnih stopa;</w:t>
      </w:r>
    </w:p>
    <w:p w14:paraId="00770E74" w14:textId="77777777" w:rsidR="00CB2E14" w:rsidRPr="00FD1AE2" w:rsidRDefault="00CB2E14" w:rsidP="00FD3827">
      <w:pPr>
        <w:pStyle w:val="ListParagraph"/>
        <w:numPr>
          <w:ilvl w:val="0"/>
          <w:numId w:val="32"/>
        </w:numPr>
        <w:jc w:val="both"/>
        <w:rPr>
          <w:rFonts w:eastAsia="Calibri" w:cstheme="minorHAnsi"/>
          <w:b/>
          <w:sz w:val="32"/>
          <w:lang w:val="sr-Latn-ME" w:eastAsia="sr-Latn-ME"/>
        </w:rPr>
      </w:pPr>
      <w:r w:rsidRPr="00FD1AE2">
        <w:rPr>
          <w:sz w:val="24"/>
        </w:rPr>
        <w:t xml:space="preserve">Zaposlenost će u periodu 2024-2026 rasti po prosječnoj stopi od 2% shodno usporavanju rasta ekonomije i </w:t>
      </w:r>
      <w:r>
        <w:rPr>
          <w:sz w:val="24"/>
        </w:rPr>
        <w:t>limitima</w:t>
      </w:r>
      <w:r w:rsidRPr="00FD1AE2">
        <w:rPr>
          <w:sz w:val="24"/>
        </w:rPr>
        <w:t xml:space="preserve"> na domaćem tržištu rada. Stopa nezaposlenosti će se prema projekcijama, spustiti sa 13,2% </w:t>
      </w:r>
      <w:r>
        <w:rPr>
          <w:sz w:val="24"/>
        </w:rPr>
        <w:t>u</w:t>
      </w:r>
      <w:r w:rsidRPr="00FD1AE2">
        <w:rPr>
          <w:sz w:val="24"/>
        </w:rPr>
        <w:t xml:space="preserve"> 2023, na 11,6% u 2026. Rast zarada</w:t>
      </w:r>
      <w:r>
        <w:rPr>
          <w:sz w:val="24"/>
        </w:rPr>
        <w:t xml:space="preserve"> u srednjem roku procijenjen je na oko 4%, shodno inflatornim pritiscima i usklađivanju u javnom sektoru;</w:t>
      </w:r>
    </w:p>
    <w:p w14:paraId="727216EF" w14:textId="77777777" w:rsidR="00CB2E14" w:rsidRPr="009D700E" w:rsidRDefault="00CB2E14" w:rsidP="00FD3827">
      <w:pPr>
        <w:pStyle w:val="ListParagraph"/>
        <w:numPr>
          <w:ilvl w:val="0"/>
          <w:numId w:val="32"/>
        </w:numPr>
        <w:jc w:val="both"/>
        <w:rPr>
          <w:rFonts w:eastAsia="Calibri" w:cstheme="minorHAnsi"/>
          <w:b/>
          <w:sz w:val="32"/>
          <w:lang w:val="sr-Latn-ME" w:eastAsia="sr-Latn-ME"/>
        </w:rPr>
      </w:pPr>
      <w:r>
        <w:rPr>
          <w:sz w:val="24"/>
        </w:rPr>
        <w:t>Inflacija</w:t>
      </w:r>
      <w:r w:rsidRPr="009D700E">
        <w:rPr>
          <w:sz w:val="24"/>
        </w:rPr>
        <w:t xml:space="preserve"> će</w:t>
      </w:r>
      <w:r>
        <w:rPr>
          <w:sz w:val="24"/>
        </w:rPr>
        <w:t xml:space="preserve"> prema procjenama i</w:t>
      </w:r>
      <w:r w:rsidRPr="009D700E">
        <w:rPr>
          <w:sz w:val="24"/>
        </w:rPr>
        <w:t xml:space="preserve"> u 202</w:t>
      </w:r>
      <w:r>
        <w:rPr>
          <w:sz w:val="24"/>
        </w:rPr>
        <w:t>4</w:t>
      </w:r>
      <w:r w:rsidRPr="009D700E">
        <w:rPr>
          <w:sz w:val="24"/>
        </w:rPr>
        <w:t xml:space="preserve">. ostati </w:t>
      </w:r>
      <w:r>
        <w:rPr>
          <w:sz w:val="24"/>
        </w:rPr>
        <w:t>na nešto višem nivou od 5%</w:t>
      </w:r>
      <w:r w:rsidRPr="009D700E">
        <w:rPr>
          <w:sz w:val="24"/>
        </w:rPr>
        <w:t xml:space="preserve">, uz postepenu stabilizaciju u srednjem roku </w:t>
      </w:r>
      <w:r>
        <w:rPr>
          <w:sz w:val="24"/>
        </w:rPr>
        <w:t xml:space="preserve">na </w:t>
      </w:r>
      <w:r w:rsidRPr="009D700E">
        <w:rPr>
          <w:sz w:val="24"/>
        </w:rPr>
        <w:t>3%.</w:t>
      </w:r>
    </w:p>
    <w:p w14:paraId="1DE6C1C5" w14:textId="77777777" w:rsidR="00CB2E14" w:rsidRPr="009D700E" w:rsidRDefault="00CB2E14" w:rsidP="00CB2E14">
      <w:pPr>
        <w:jc w:val="both"/>
        <w:rPr>
          <w:sz w:val="24"/>
        </w:rPr>
      </w:pPr>
      <w:r>
        <w:rPr>
          <w:sz w:val="24"/>
        </w:rPr>
        <w:t xml:space="preserve">Gledajući sa proizvodne strane, procijenjeni model rasta crnogorske ekonomije u srednjem roku, će dominantno opredjeljivati sektori turizma (rast 8% prosječno), poljoprivrede (rast 7%) i proizvodnje električne energije (rast 6%), u skladu sa </w:t>
      </w:r>
      <w:r w:rsidRPr="009D700E">
        <w:rPr>
          <w:sz w:val="24"/>
        </w:rPr>
        <w:t xml:space="preserve">projektima </w:t>
      </w:r>
      <w:r>
        <w:rPr>
          <w:sz w:val="24"/>
        </w:rPr>
        <w:t>iz</w:t>
      </w:r>
      <w:r w:rsidRPr="009D700E">
        <w:rPr>
          <w:sz w:val="24"/>
        </w:rPr>
        <w:t xml:space="preserve"> obnovljivih izvora energije</w:t>
      </w:r>
      <w:r>
        <w:rPr>
          <w:sz w:val="24"/>
        </w:rPr>
        <w:t xml:space="preserve">. U </w:t>
      </w:r>
      <w:r w:rsidRPr="009D700E">
        <w:rPr>
          <w:sz w:val="24"/>
        </w:rPr>
        <w:t xml:space="preserve">srednjem roku se očekuje oporavak i rast građevinarstva po prosječnoj stopi od </w:t>
      </w:r>
      <w:r>
        <w:rPr>
          <w:sz w:val="24"/>
        </w:rPr>
        <w:t>3,3</w:t>
      </w:r>
      <w:r w:rsidRPr="009D700E">
        <w:rPr>
          <w:sz w:val="24"/>
        </w:rPr>
        <w:t>% godišnje, usljed projektovane dinamike investicija</w:t>
      </w:r>
      <w:r>
        <w:rPr>
          <w:sz w:val="24"/>
        </w:rPr>
        <w:t>.</w:t>
      </w:r>
    </w:p>
    <w:p w14:paraId="38A453A5" w14:textId="77777777" w:rsidR="00CB2E14" w:rsidRPr="009D700E" w:rsidRDefault="00CB2E14" w:rsidP="00CB2E14">
      <w:pPr>
        <w:spacing w:after="0"/>
        <w:jc w:val="both"/>
        <w:rPr>
          <w:sz w:val="24"/>
        </w:rPr>
      </w:pPr>
      <w:r w:rsidRPr="009D700E">
        <w:rPr>
          <w:sz w:val="24"/>
        </w:rPr>
        <w:t>U sljedećoj tabeli dat je pregled indikatora po agregiranim proizvodnim sektorima:</w:t>
      </w:r>
    </w:p>
    <w:p w14:paraId="1329B9CF" w14:textId="5BB37E71" w:rsidR="00CB2E14" w:rsidRPr="004D5210" w:rsidRDefault="00CB2E14" w:rsidP="00CB2E14">
      <w:pPr>
        <w:spacing w:after="0"/>
        <w:jc w:val="both"/>
        <w:rPr>
          <w:b/>
          <w:color w:val="2F5496" w:themeColor="accent1" w:themeShade="BF"/>
          <w:sz w:val="20"/>
          <w:szCs w:val="20"/>
        </w:rPr>
      </w:pPr>
      <w:r w:rsidRPr="004D5210">
        <w:rPr>
          <w:b/>
          <w:color w:val="2F5496" w:themeColor="accent1" w:themeShade="BF"/>
          <w:sz w:val="20"/>
          <w:szCs w:val="20"/>
        </w:rPr>
        <w:t>Tabela 3.2.1.1: Proizvodni sektori – realne stope rasta i učešće u BDV-u</w:t>
      </w:r>
    </w:p>
    <w:tbl>
      <w:tblPr>
        <w:tblStyle w:val="PlainTable1"/>
        <w:tblW w:w="5155" w:type="pct"/>
        <w:tblLook w:val="04A0" w:firstRow="1" w:lastRow="0" w:firstColumn="1" w:lastColumn="0" w:noHBand="0" w:noVBand="1"/>
      </w:tblPr>
      <w:tblGrid>
        <w:gridCol w:w="2791"/>
        <w:gridCol w:w="590"/>
        <w:gridCol w:w="581"/>
        <w:gridCol w:w="581"/>
        <w:gridCol w:w="581"/>
        <w:gridCol w:w="581"/>
        <w:gridCol w:w="581"/>
        <w:gridCol w:w="581"/>
        <w:gridCol w:w="581"/>
        <w:gridCol w:w="626"/>
        <w:gridCol w:w="626"/>
        <w:gridCol w:w="626"/>
        <w:gridCol w:w="626"/>
      </w:tblGrid>
      <w:tr w:rsidR="00CB2E14" w:rsidRPr="00026532" w14:paraId="4EE75A87" w14:textId="77777777" w:rsidTr="00CB2E14">
        <w:trPr>
          <w:cnfStyle w:val="100000000000" w:firstRow="1" w:lastRow="0" w:firstColumn="0" w:lastColumn="0" w:oddVBand="0" w:evenVBand="0" w:oddHBand="0"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1377" w:type="pct"/>
            <w:hideMark/>
          </w:tcPr>
          <w:p w14:paraId="42C9FE02" w14:textId="77777777" w:rsidR="00CB2E14" w:rsidRPr="00026532" w:rsidRDefault="00CB2E14" w:rsidP="00CB2E14">
            <w:pPr>
              <w:jc w:val="both"/>
              <w:rPr>
                <w:rFonts w:eastAsia="Calibri" w:cstheme="minorHAnsi"/>
                <w:b w:val="0"/>
                <w:sz w:val="18"/>
                <w:szCs w:val="18"/>
                <w:lang w:eastAsia="sr-Latn-ME"/>
              </w:rPr>
            </w:pPr>
            <w:r w:rsidRPr="00026532">
              <w:rPr>
                <w:rFonts w:eastAsia="Calibri" w:cstheme="minorHAnsi"/>
                <w:b w:val="0"/>
                <w:sz w:val="18"/>
                <w:szCs w:val="18"/>
                <w:lang w:eastAsia="sr-Latn-ME"/>
              </w:rPr>
              <w:t> </w:t>
            </w:r>
          </w:p>
        </w:tc>
        <w:tc>
          <w:tcPr>
            <w:tcW w:w="1182" w:type="pct"/>
            <w:gridSpan w:val="4"/>
            <w:hideMark/>
          </w:tcPr>
          <w:p w14:paraId="5A227B53" w14:textId="77777777" w:rsidR="00CB2E14" w:rsidRPr="00026532" w:rsidRDefault="00CB2E14" w:rsidP="00CB2E14">
            <w:pPr>
              <w:jc w:val="both"/>
              <w:cnfStyle w:val="100000000000" w:firstRow="1" w:lastRow="0" w:firstColumn="0" w:lastColumn="0" w:oddVBand="0" w:evenVBand="0" w:oddHBand="0" w:evenHBand="0" w:firstRowFirstColumn="0" w:firstRowLastColumn="0" w:lastRowFirstColumn="0" w:lastRowLastColumn="0"/>
              <w:rPr>
                <w:rFonts w:eastAsia="Calibri" w:cstheme="minorHAnsi"/>
                <w:b w:val="0"/>
                <w:sz w:val="18"/>
                <w:szCs w:val="18"/>
                <w:lang w:eastAsia="sr-Latn-ME"/>
              </w:rPr>
            </w:pPr>
            <w:r w:rsidRPr="00026532">
              <w:rPr>
                <w:rFonts w:eastAsia="Calibri" w:cstheme="minorHAnsi"/>
                <w:b w:val="0"/>
                <w:sz w:val="18"/>
                <w:szCs w:val="18"/>
                <w:lang w:eastAsia="sr-Latn-ME"/>
              </w:rPr>
              <w:t>realne stope rasta, u %</w:t>
            </w:r>
          </w:p>
        </w:tc>
        <w:tc>
          <w:tcPr>
            <w:tcW w:w="1176" w:type="pct"/>
            <w:gridSpan w:val="4"/>
            <w:hideMark/>
          </w:tcPr>
          <w:p w14:paraId="77E20EDE" w14:textId="77777777" w:rsidR="00CB2E14" w:rsidRPr="00026532" w:rsidRDefault="00CB2E14" w:rsidP="00CB2E14">
            <w:pPr>
              <w:jc w:val="both"/>
              <w:cnfStyle w:val="100000000000" w:firstRow="1" w:lastRow="0" w:firstColumn="0" w:lastColumn="0" w:oddVBand="0" w:evenVBand="0" w:oddHBand="0" w:evenHBand="0" w:firstRowFirstColumn="0" w:firstRowLastColumn="0" w:lastRowFirstColumn="0" w:lastRowLastColumn="0"/>
              <w:rPr>
                <w:rFonts w:eastAsia="Calibri" w:cstheme="minorHAnsi"/>
                <w:b w:val="0"/>
                <w:sz w:val="18"/>
                <w:szCs w:val="18"/>
                <w:lang w:eastAsia="sr-Latn-ME"/>
              </w:rPr>
            </w:pPr>
            <w:r w:rsidRPr="00026532">
              <w:rPr>
                <w:rFonts w:eastAsia="Calibri" w:cstheme="minorHAnsi"/>
                <w:b w:val="0"/>
                <w:sz w:val="18"/>
                <w:szCs w:val="18"/>
                <w:lang w:eastAsia="sr-Latn-ME"/>
              </w:rPr>
              <w:t>učešće u rastu BDP-</w:t>
            </w:r>
            <w:r>
              <w:rPr>
                <w:rFonts w:eastAsia="Calibri" w:cstheme="minorHAnsi"/>
                <w:b w:val="0"/>
                <w:sz w:val="18"/>
                <w:szCs w:val="18"/>
                <w:lang w:eastAsia="sr-Latn-ME"/>
              </w:rPr>
              <w:t>a</w:t>
            </w:r>
            <w:r w:rsidRPr="00026532">
              <w:rPr>
                <w:rFonts w:eastAsia="Calibri" w:cstheme="minorHAnsi"/>
                <w:b w:val="0"/>
                <w:sz w:val="18"/>
                <w:szCs w:val="18"/>
                <w:lang w:eastAsia="sr-Latn-ME"/>
              </w:rPr>
              <w:t>, %</w:t>
            </w:r>
          </w:p>
        </w:tc>
        <w:tc>
          <w:tcPr>
            <w:tcW w:w="1264" w:type="pct"/>
            <w:gridSpan w:val="4"/>
            <w:hideMark/>
          </w:tcPr>
          <w:p w14:paraId="3661542F" w14:textId="77777777" w:rsidR="00CB2E14" w:rsidRPr="00026532" w:rsidRDefault="00CB2E14" w:rsidP="00CB2E14">
            <w:pPr>
              <w:jc w:val="both"/>
              <w:cnfStyle w:val="100000000000" w:firstRow="1" w:lastRow="0" w:firstColumn="0" w:lastColumn="0" w:oddVBand="0" w:evenVBand="0" w:oddHBand="0" w:evenHBand="0" w:firstRowFirstColumn="0" w:firstRowLastColumn="0" w:lastRowFirstColumn="0" w:lastRowLastColumn="0"/>
              <w:rPr>
                <w:rFonts w:eastAsia="Calibri" w:cstheme="minorHAnsi"/>
                <w:b w:val="0"/>
                <w:sz w:val="18"/>
                <w:szCs w:val="18"/>
                <w:lang w:eastAsia="sr-Latn-ME"/>
              </w:rPr>
            </w:pPr>
            <w:r w:rsidRPr="00026532">
              <w:rPr>
                <w:rFonts w:eastAsia="Calibri" w:cstheme="minorHAnsi"/>
                <w:b w:val="0"/>
                <w:sz w:val="18"/>
                <w:szCs w:val="18"/>
                <w:lang w:eastAsia="sr-Latn-ME"/>
              </w:rPr>
              <w:t xml:space="preserve">učešće u BDV, u % </w:t>
            </w:r>
          </w:p>
        </w:tc>
      </w:tr>
      <w:tr w:rsidR="00CB2E14" w:rsidRPr="00026532" w14:paraId="778CBDCA" w14:textId="77777777" w:rsidTr="00CB2E14">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1377" w:type="pct"/>
            <w:noWrap/>
            <w:hideMark/>
          </w:tcPr>
          <w:p w14:paraId="1C88C383" w14:textId="77777777" w:rsidR="00CB2E14" w:rsidRPr="00026532" w:rsidRDefault="00CB2E14" w:rsidP="00CB2E14">
            <w:pPr>
              <w:jc w:val="both"/>
              <w:rPr>
                <w:rFonts w:eastAsia="Calibri" w:cstheme="minorHAnsi"/>
                <w:b w:val="0"/>
                <w:sz w:val="18"/>
                <w:szCs w:val="18"/>
                <w:lang w:eastAsia="sr-Latn-ME"/>
              </w:rPr>
            </w:pPr>
            <w:r w:rsidRPr="00026532">
              <w:rPr>
                <w:rFonts w:eastAsia="Calibri" w:cstheme="minorHAnsi"/>
                <w:b w:val="0"/>
                <w:sz w:val="18"/>
                <w:szCs w:val="18"/>
                <w:lang w:eastAsia="sr-Latn-ME"/>
              </w:rPr>
              <w:t>Sektori</w:t>
            </w:r>
          </w:p>
        </w:tc>
        <w:tc>
          <w:tcPr>
            <w:tcW w:w="299" w:type="pct"/>
            <w:noWrap/>
            <w:hideMark/>
          </w:tcPr>
          <w:p w14:paraId="45C14398" w14:textId="77777777" w:rsidR="00CB2E14" w:rsidRPr="00026532" w:rsidRDefault="00CB2E14" w:rsidP="00CB2E14">
            <w:pPr>
              <w:jc w:val="both"/>
              <w:cnfStyle w:val="000000100000" w:firstRow="0" w:lastRow="0" w:firstColumn="0" w:lastColumn="0" w:oddVBand="0" w:evenVBand="0" w:oddHBand="1"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2023</w:t>
            </w:r>
          </w:p>
        </w:tc>
        <w:tc>
          <w:tcPr>
            <w:tcW w:w="295" w:type="pct"/>
            <w:noWrap/>
            <w:hideMark/>
          </w:tcPr>
          <w:p w14:paraId="224AF13E" w14:textId="77777777" w:rsidR="00CB2E14" w:rsidRPr="00026532" w:rsidRDefault="00CB2E14" w:rsidP="00CB2E14">
            <w:pPr>
              <w:jc w:val="both"/>
              <w:cnfStyle w:val="000000100000" w:firstRow="0" w:lastRow="0" w:firstColumn="0" w:lastColumn="0" w:oddVBand="0" w:evenVBand="0" w:oddHBand="1"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2024</w:t>
            </w:r>
          </w:p>
        </w:tc>
        <w:tc>
          <w:tcPr>
            <w:tcW w:w="295" w:type="pct"/>
            <w:noWrap/>
            <w:hideMark/>
          </w:tcPr>
          <w:p w14:paraId="301594E4" w14:textId="77777777" w:rsidR="00CB2E14" w:rsidRPr="00026532" w:rsidRDefault="00CB2E14" w:rsidP="00CB2E14">
            <w:pPr>
              <w:jc w:val="both"/>
              <w:cnfStyle w:val="000000100000" w:firstRow="0" w:lastRow="0" w:firstColumn="0" w:lastColumn="0" w:oddVBand="0" w:evenVBand="0" w:oddHBand="1"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2025</w:t>
            </w:r>
          </w:p>
        </w:tc>
        <w:tc>
          <w:tcPr>
            <w:tcW w:w="294" w:type="pct"/>
            <w:noWrap/>
            <w:hideMark/>
          </w:tcPr>
          <w:p w14:paraId="46FDBF9A" w14:textId="77777777" w:rsidR="00CB2E14" w:rsidRPr="00026532" w:rsidRDefault="00CB2E14" w:rsidP="00CB2E14">
            <w:pPr>
              <w:jc w:val="both"/>
              <w:cnfStyle w:val="000000100000" w:firstRow="0" w:lastRow="0" w:firstColumn="0" w:lastColumn="0" w:oddVBand="0" w:evenVBand="0" w:oddHBand="1"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2026</w:t>
            </w:r>
          </w:p>
        </w:tc>
        <w:tc>
          <w:tcPr>
            <w:tcW w:w="294" w:type="pct"/>
            <w:noWrap/>
            <w:hideMark/>
          </w:tcPr>
          <w:p w14:paraId="0FAC4972" w14:textId="77777777" w:rsidR="00CB2E14" w:rsidRPr="00026532" w:rsidRDefault="00CB2E14" w:rsidP="00CB2E14">
            <w:pPr>
              <w:jc w:val="both"/>
              <w:cnfStyle w:val="000000100000" w:firstRow="0" w:lastRow="0" w:firstColumn="0" w:lastColumn="0" w:oddVBand="0" w:evenVBand="0" w:oddHBand="1"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2023</w:t>
            </w:r>
          </w:p>
        </w:tc>
        <w:tc>
          <w:tcPr>
            <w:tcW w:w="294" w:type="pct"/>
            <w:noWrap/>
            <w:hideMark/>
          </w:tcPr>
          <w:p w14:paraId="5F8A4D5D" w14:textId="77777777" w:rsidR="00CB2E14" w:rsidRPr="00026532" w:rsidRDefault="00CB2E14" w:rsidP="00CB2E14">
            <w:pPr>
              <w:jc w:val="both"/>
              <w:cnfStyle w:val="000000100000" w:firstRow="0" w:lastRow="0" w:firstColumn="0" w:lastColumn="0" w:oddVBand="0" w:evenVBand="0" w:oddHBand="1"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2024</w:t>
            </w:r>
          </w:p>
        </w:tc>
        <w:tc>
          <w:tcPr>
            <w:tcW w:w="294" w:type="pct"/>
            <w:noWrap/>
            <w:hideMark/>
          </w:tcPr>
          <w:p w14:paraId="57C6D667" w14:textId="77777777" w:rsidR="00CB2E14" w:rsidRPr="00026532" w:rsidRDefault="00CB2E14" w:rsidP="00CB2E14">
            <w:pPr>
              <w:jc w:val="both"/>
              <w:cnfStyle w:val="000000100000" w:firstRow="0" w:lastRow="0" w:firstColumn="0" w:lastColumn="0" w:oddVBand="0" w:evenVBand="0" w:oddHBand="1"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2025</w:t>
            </w:r>
          </w:p>
        </w:tc>
        <w:tc>
          <w:tcPr>
            <w:tcW w:w="294" w:type="pct"/>
            <w:noWrap/>
            <w:hideMark/>
          </w:tcPr>
          <w:p w14:paraId="021C23A9" w14:textId="77777777" w:rsidR="00CB2E14" w:rsidRPr="00026532" w:rsidRDefault="00CB2E14" w:rsidP="00CB2E14">
            <w:pPr>
              <w:jc w:val="both"/>
              <w:cnfStyle w:val="000000100000" w:firstRow="0" w:lastRow="0" w:firstColumn="0" w:lastColumn="0" w:oddVBand="0" w:evenVBand="0" w:oddHBand="1"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2026</w:t>
            </w:r>
          </w:p>
        </w:tc>
        <w:tc>
          <w:tcPr>
            <w:tcW w:w="316" w:type="pct"/>
            <w:noWrap/>
            <w:hideMark/>
          </w:tcPr>
          <w:p w14:paraId="0C90AFA3" w14:textId="77777777" w:rsidR="00CB2E14" w:rsidRPr="00026532" w:rsidRDefault="00CB2E14" w:rsidP="00CB2E14">
            <w:pPr>
              <w:jc w:val="both"/>
              <w:cnfStyle w:val="000000100000" w:firstRow="0" w:lastRow="0" w:firstColumn="0" w:lastColumn="0" w:oddVBand="0" w:evenVBand="0" w:oddHBand="1"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2023</w:t>
            </w:r>
          </w:p>
        </w:tc>
        <w:tc>
          <w:tcPr>
            <w:tcW w:w="316" w:type="pct"/>
            <w:noWrap/>
            <w:hideMark/>
          </w:tcPr>
          <w:p w14:paraId="25AEBE42" w14:textId="77777777" w:rsidR="00CB2E14" w:rsidRPr="00026532" w:rsidRDefault="00CB2E14" w:rsidP="00CB2E14">
            <w:pPr>
              <w:jc w:val="both"/>
              <w:cnfStyle w:val="000000100000" w:firstRow="0" w:lastRow="0" w:firstColumn="0" w:lastColumn="0" w:oddVBand="0" w:evenVBand="0" w:oddHBand="1"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2024</w:t>
            </w:r>
          </w:p>
        </w:tc>
        <w:tc>
          <w:tcPr>
            <w:tcW w:w="316" w:type="pct"/>
            <w:noWrap/>
            <w:hideMark/>
          </w:tcPr>
          <w:p w14:paraId="3BC5C3BB" w14:textId="77777777" w:rsidR="00CB2E14" w:rsidRPr="00026532" w:rsidRDefault="00CB2E14" w:rsidP="00CB2E14">
            <w:pPr>
              <w:jc w:val="both"/>
              <w:cnfStyle w:val="000000100000" w:firstRow="0" w:lastRow="0" w:firstColumn="0" w:lastColumn="0" w:oddVBand="0" w:evenVBand="0" w:oddHBand="1"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2025</w:t>
            </w:r>
          </w:p>
        </w:tc>
        <w:tc>
          <w:tcPr>
            <w:tcW w:w="316" w:type="pct"/>
            <w:noWrap/>
            <w:hideMark/>
          </w:tcPr>
          <w:p w14:paraId="2CF2BEC1" w14:textId="77777777" w:rsidR="00CB2E14" w:rsidRPr="00026532" w:rsidRDefault="00CB2E14" w:rsidP="00CB2E14">
            <w:pPr>
              <w:jc w:val="both"/>
              <w:cnfStyle w:val="000000100000" w:firstRow="0" w:lastRow="0" w:firstColumn="0" w:lastColumn="0" w:oddVBand="0" w:evenVBand="0" w:oddHBand="1"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2026</w:t>
            </w:r>
          </w:p>
        </w:tc>
      </w:tr>
      <w:tr w:rsidR="00CB2E14" w:rsidRPr="00026532" w14:paraId="7B21D92E" w14:textId="77777777" w:rsidTr="00CB2E14">
        <w:trPr>
          <w:trHeight w:val="137"/>
        </w:trPr>
        <w:tc>
          <w:tcPr>
            <w:cnfStyle w:val="001000000000" w:firstRow="0" w:lastRow="0" w:firstColumn="1" w:lastColumn="0" w:oddVBand="0" w:evenVBand="0" w:oddHBand="0" w:evenHBand="0" w:firstRowFirstColumn="0" w:firstRowLastColumn="0" w:lastRowFirstColumn="0" w:lastRowLastColumn="0"/>
            <w:tcW w:w="1377" w:type="pct"/>
            <w:noWrap/>
            <w:hideMark/>
          </w:tcPr>
          <w:p w14:paraId="6D59D9C1" w14:textId="77777777" w:rsidR="00CB2E14" w:rsidRPr="00026532" w:rsidRDefault="00CB2E14" w:rsidP="00CB2E14">
            <w:pPr>
              <w:jc w:val="both"/>
              <w:rPr>
                <w:rFonts w:eastAsia="Calibri" w:cstheme="minorHAnsi"/>
                <w:b w:val="0"/>
                <w:sz w:val="18"/>
                <w:szCs w:val="18"/>
                <w:lang w:eastAsia="sr-Latn-ME"/>
              </w:rPr>
            </w:pPr>
            <w:r w:rsidRPr="00026532">
              <w:rPr>
                <w:rFonts w:eastAsia="Calibri" w:cstheme="minorHAnsi"/>
                <w:b w:val="0"/>
                <w:sz w:val="18"/>
                <w:szCs w:val="18"/>
                <w:lang w:eastAsia="sr-Latn-ME"/>
              </w:rPr>
              <w:t>Poljoprivreda</w:t>
            </w:r>
          </w:p>
        </w:tc>
        <w:tc>
          <w:tcPr>
            <w:tcW w:w="299" w:type="pct"/>
            <w:noWrap/>
            <w:hideMark/>
          </w:tcPr>
          <w:p w14:paraId="2B03A631" w14:textId="77777777" w:rsidR="00CB2E14" w:rsidRPr="00026532" w:rsidRDefault="00CB2E14" w:rsidP="00CB2E14">
            <w:pPr>
              <w:jc w:val="both"/>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16,0</w:t>
            </w:r>
          </w:p>
        </w:tc>
        <w:tc>
          <w:tcPr>
            <w:tcW w:w="295" w:type="pct"/>
            <w:noWrap/>
            <w:hideMark/>
          </w:tcPr>
          <w:p w14:paraId="460B80FD" w14:textId="77777777" w:rsidR="00CB2E14" w:rsidRPr="00026532" w:rsidRDefault="00CB2E14" w:rsidP="00CB2E14">
            <w:pPr>
              <w:jc w:val="both"/>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7,0</w:t>
            </w:r>
          </w:p>
        </w:tc>
        <w:tc>
          <w:tcPr>
            <w:tcW w:w="295" w:type="pct"/>
            <w:noWrap/>
            <w:hideMark/>
          </w:tcPr>
          <w:p w14:paraId="426045EC" w14:textId="77777777" w:rsidR="00CB2E14" w:rsidRPr="00026532" w:rsidRDefault="00CB2E14" w:rsidP="00CB2E14">
            <w:pPr>
              <w:jc w:val="both"/>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7,0</w:t>
            </w:r>
          </w:p>
        </w:tc>
        <w:tc>
          <w:tcPr>
            <w:tcW w:w="294" w:type="pct"/>
            <w:noWrap/>
            <w:hideMark/>
          </w:tcPr>
          <w:p w14:paraId="02674AAD" w14:textId="77777777" w:rsidR="00CB2E14" w:rsidRPr="00026532" w:rsidRDefault="00CB2E14" w:rsidP="00CB2E14">
            <w:pPr>
              <w:jc w:val="both"/>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7,0</w:t>
            </w:r>
          </w:p>
        </w:tc>
        <w:tc>
          <w:tcPr>
            <w:tcW w:w="294" w:type="pct"/>
            <w:noWrap/>
            <w:hideMark/>
          </w:tcPr>
          <w:p w14:paraId="4FA87D74" w14:textId="77777777" w:rsidR="00CB2E14" w:rsidRPr="00026532" w:rsidRDefault="00CB2E14" w:rsidP="00CB2E14">
            <w:pPr>
              <w:jc w:val="both"/>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1,0</w:t>
            </w:r>
          </w:p>
        </w:tc>
        <w:tc>
          <w:tcPr>
            <w:tcW w:w="294" w:type="pct"/>
            <w:noWrap/>
            <w:hideMark/>
          </w:tcPr>
          <w:p w14:paraId="0DE1A43C" w14:textId="77777777" w:rsidR="00CB2E14" w:rsidRPr="00026532" w:rsidRDefault="00CB2E14" w:rsidP="00CB2E14">
            <w:pPr>
              <w:jc w:val="both"/>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0,5</w:t>
            </w:r>
          </w:p>
        </w:tc>
        <w:tc>
          <w:tcPr>
            <w:tcW w:w="294" w:type="pct"/>
            <w:noWrap/>
            <w:hideMark/>
          </w:tcPr>
          <w:p w14:paraId="24665B27" w14:textId="77777777" w:rsidR="00CB2E14" w:rsidRPr="00026532" w:rsidRDefault="00CB2E14" w:rsidP="00CB2E14">
            <w:pPr>
              <w:jc w:val="both"/>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0,5</w:t>
            </w:r>
          </w:p>
        </w:tc>
        <w:tc>
          <w:tcPr>
            <w:tcW w:w="294" w:type="pct"/>
            <w:noWrap/>
            <w:hideMark/>
          </w:tcPr>
          <w:p w14:paraId="05C3BA58" w14:textId="77777777" w:rsidR="00CB2E14" w:rsidRPr="00026532" w:rsidRDefault="00CB2E14" w:rsidP="00CB2E14">
            <w:pPr>
              <w:jc w:val="both"/>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0,5</w:t>
            </w:r>
          </w:p>
        </w:tc>
        <w:tc>
          <w:tcPr>
            <w:tcW w:w="316" w:type="pct"/>
            <w:noWrap/>
            <w:hideMark/>
          </w:tcPr>
          <w:p w14:paraId="40D066E9" w14:textId="77777777" w:rsidR="00CB2E14" w:rsidRPr="00026532" w:rsidRDefault="00CB2E14" w:rsidP="00CB2E14">
            <w:pPr>
              <w:jc w:val="both"/>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8,3</w:t>
            </w:r>
          </w:p>
        </w:tc>
        <w:tc>
          <w:tcPr>
            <w:tcW w:w="316" w:type="pct"/>
            <w:noWrap/>
            <w:hideMark/>
          </w:tcPr>
          <w:p w14:paraId="1608C12E" w14:textId="77777777" w:rsidR="00CB2E14" w:rsidRPr="00026532" w:rsidRDefault="00CB2E14" w:rsidP="00CB2E14">
            <w:pPr>
              <w:jc w:val="both"/>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8,5</w:t>
            </w:r>
          </w:p>
        </w:tc>
        <w:tc>
          <w:tcPr>
            <w:tcW w:w="316" w:type="pct"/>
            <w:noWrap/>
            <w:hideMark/>
          </w:tcPr>
          <w:p w14:paraId="68E7AE97" w14:textId="77777777" w:rsidR="00CB2E14" w:rsidRPr="00026532" w:rsidRDefault="00CB2E14" w:rsidP="00CB2E14">
            <w:pPr>
              <w:jc w:val="both"/>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8,7</w:t>
            </w:r>
          </w:p>
        </w:tc>
        <w:tc>
          <w:tcPr>
            <w:tcW w:w="316" w:type="pct"/>
            <w:noWrap/>
            <w:hideMark/>
          </w:tcPr>
          <w:p w14:paraId="1B21CF7E" w14:textId="77777777" w:rsidR="00CB2E14" w:rsidRPr="00026532" w:rsidRDefault="00CB2E14" w:rsidP="00CB2E14">
            <w:pPr>
              <w:jc w:val="both"/>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9,0</w:t>
            </w:r>
          </w:p>
        </w:tc>
      </w:tr>
      <w:tr w:rsidR="00CB2E14" w:rsidRPr="00026532" w14:paraId="4E2F079B" w14:textId="77777777" w:rsidTr="00CB2E14">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1377" w:type="pct"/>
            <w:noWrap/>
            <w:hideMark/>
          </w:tcPr>
          <w:p w14:paraId="5C95B3B1" w14:textId="77777777" w:rsidR="00CB2E14" w:rsidRPr="00026532" w:rsidRDefault="00CB2E14" w:rsidP="00CB2E14">
            <w:pPr>
              <w:jc w:val="both"/>
              <w:rPr>
                <w:rFonts w:eastAsia="Calibri" w:cstheme="minorHAnsi"/>
                <w:b w:val="0"/>
                <w:sz w:val="18"/>
                <w:szCs w:val="18"/>
                <w:lang w:eastAsia="sr-Latn-ME"/>
              </w:rPr>
            </w:pPr>
            <w:r w:rsidRPr="00026532">
              <w:rPr>
                <w:rFonts w:eastAsia="Calibri" w:cstheme="minorHAnsi"/>
                <w:b w:val="0"/>
                <w:sz w:val="18"/>
                <w:szCs w:val="18"/>
                <w:lang w:eastAsia="sr-Latn-ME"/>
              </w:rPr>
              <w:t>Industrijska proizvodnja</w:t>
            </w:r>
          </w:p>
        </w:tc>
        <w:tc>
          <w:tcPr>
            <w:tcW w:w="299" w:type="pct"/>
            <w:noWrap/>
            <w:hideMark/>
          </w:tcPr>
          <w:p w14:paraId="761B8269" w14:textId="77777777" w:rsidR="00CB2E14" w:rsidRPr="00026532" w:rsidRDefault="00CB2E14" w:rsidP="00CB2E14">
            <w:pPr>
              <w:jc w:val="both"/>
              <w:cnfStyle w:val="000000100000" w:firstRow="0" w:lastRow="0" w:firstColumn="0" w:lastColumn="0" w:oddVBand="0" w:evenVBand="0" w:oddHBand="1"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-0,4</w:t>
            </w:r>
          </w:p>
        </w:tc>
        <w:tc>
          <w:tcPr>
            <w:tcW w:w="295" w:type="pct"/>
            <w:noWrap/>
            <w:hideMark/>
          </w:tcPr>
          <w:p w14:paraId="1866F2AE" w14:textId="77777777" w:rsidR="00CB2E14" w:rsidRPr="00026532" w:rsidRDefault="00CB2E14" w:rsidP="00CB2E14">
            <w:pPr>
              <w:jc w:val="both"/>
              <w:cnfStyle w:val="000000100000" w:firstRow="0" w:lastRow="0" w:firstColumn="0" w:lastColumn="0" w:oddVBand="0" w:evenVBand="0" w:oddHBand="1"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4,3</w:t>
            </w:r>
          </w:p>
        </w:tc>
        <w:tc>
          <w:tcPr>
            <w:tcW w:w="295" w:type="pct"/>
            <w:noWrap/>
            <w:hideMark/>
          </w:tcPr>
          <w:p w14:paraId="4078AC7E" w14:textId="77777777" w:rsidR="00CB2E14" w:rsidRPr="00026532" w:rsidRDefault="00CB2E14" w:rsidP="00CB2E14">
            <w:pPr>
              <w:jc w:val="both"/>
              <w:cnfStyle w:val="000000100000" w:firstRow="0" w:lastRow="0" w:firstColumn="0" w:lastColumn="0" w:oddVBand="0" w:evenVBand="0" w:oddHBand="1"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3,9</w:t>
            </w:r>
          </w:p>
        </w:tc>
        <w:tc>
          <w:tcPr>
            <w:tcW w:w="294" w:type="pct"/>
            <w:noWrap/>
            <w:hideMark/>
          </w:tcPr>
          <w:p w14:paraId="707E28D9" w14:textId="77777777" w:rsidR="00CB2E14" w:rsidRPr="00026532" w:rsidRDefault="00CB2E14" w:rsidP="00CB2E14">
            <w:pPr>
              <w:jc w:val="both"/>
              <w:cnfStyle w:val="000000100000" w:firstRow="0" w:lastRow="0" w:firstColumn="0" w:lastColumn="0" w:oddVBand="0" w:evenVBand="0" w:oddHBand="1"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3,5</w:t>
            </w:r>
          </w:p>
        </w:tc>
        <w:tc>
          <w:tcPr>
            <w:tcW w:w="294" w:type="pct"/>
            <w:noWrap/>
            <w:hideMark/>
          </w:tcPr>
          <w:p w14:paraId="32F20D2F" w14:textId="77777777" w:rsidR="00CB2E14" w:rsidRPr="00026532" w:rsidRDefault="00CB2E14" w:rsidP="00CB2E14">
            <w:pPr>
              <w:jc w:val="both"/>
              <w:cnfStyle w:val="000000100000" w:firstRow="0" w:lastRow="0" w:firstColumn="0" w:lastColumn="0" w:oddVBand="0" w:evenVBand="0" w:oddHBand="1"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0,0</w:t>
            </w:r>
          </w:p>
        </w:tc>
        <w:tc>
          <w:tcPr>
            <w:tcW w:w="294" w:type="pct"/>
            <w:noWrap/>
            <w:hideMark/>
          </w:tcPr>
          <w:p w14:paraId="0AF0A3C3" w14:textId="77777777" w:rsidR="00CB2E14" w:rsidRPr="00026532" w:rsidRDefault="00CB2E14" w:rsidP="00CB2E14">
            <w:pPr>
              <w:jc w:val="both"/>
              <w:cnfStyle w:val="000000100000" w:firstRow="0" w:lastRow="0" w:firstColumn="0" w:lastColumn="0" w:oddVBand="0" w:evenVBand="0" w:oddHBand="1"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0,4</w:t>
            </w:r>
          </w:p>
        </w:tc>
        <w:tc>
          <w:tcPr>
            <w:tcW w:w="294" w:type="pct"/>
            <w:noWrap/>
            <w:hideMark/>
          </w:tcPr>
          <w:p w14:paraId="4CC72197" w14:textId="77777777" w:rsidR="00CB2E14" w:rsidRPr="00026532" w:rsidRDefault="00CB2E14" w:rsidP="00CB2E14">
            <w:pPr>
              <w:jc w:val="both"/>
              <w:cnfStyle w:val="000000100000" w:firstRow="0" w:lastRow="0" w:firstColumn="0" w:lastColumn="0" w:oddVBand="0" w:evenVBand="0" w:oddHBand="1"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0,4</w:t>
            </w:r>
          </w:p>
        </w:tc>
        <w:tc>
          <w:tcPr>
            <w:tcW w:w="294" w:type="pct"/>
            <w:noWrap/>
            <w:hideMark/>
          </w:tcPr>
          <w:p w14:paraId="0E608F13" w14:textId="77777777" w:rsidR="00CB2E14" w:rsidRPr="00026532" w:rsidRDefault="00CB2E14" w:rsidP="00CB2E14">
            <w:pPr>
              <w:jc w:val="both"/>
              <w:cnfStyle w:val="000000100000" w:firstRow="0" w:lastRow="0" w:firstColumn="0" w:lastColumn="0" w:oddVBand="0" w:evenVBand="0" w:oddHBand="1"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0,3</w:t>
            </w:r>
          </w:p>
        </w:tc>
        <w:tc>
          <w:tcPr>
            <w:tcW w:w="316" w:type="pct"/>
            <w:noWrap/>
            <w:hideMark/>
          </w:tcPr>
          <w:p w14:paraId="295D90FD" w14:textId="77777777" w:rsidR="00CB2E14" w:rsidRPr="00026532" w:rsidRDefault="00CB2E14" w:rsidP="00CB2E14">
            <w:pPr>
              <w:jc w:val="both"/>
              <w:cnfStyle w:val="000000100000" w:firstRow="0" w:lastRow="0" w:firstColumn="0" w:lastColumn="0" w:oddVBand="0" w:evenVBand="0" w:oddHBand="1"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10,9</w:t>
            </w:r>
          </w:p>
        </w:tc>
        <w:tc>
          <w:tcPr>
            <w:tcW w:w="316" w:type="pct"/>
            <w:noWrap/>
            <w:hideMark/>
          </w:tcPr>
          <w:p w14:paraId="058FFF86" w14:textId="77777777" w:rsidR="00CB2E14" w:rsidRPr="00026532" w:rsidRDefault="00CB2E14" w:rsidP="00CB2E14">
            <w:pPr>
              <w:jc w:val="both"/>
              <w:cnfStyle w:val="000000100000" w:firstRow="0" w:lastRow="0" w:firstColumn="0" w:lastColumn="0" w:oddVBand="0" w:evenVBand="0" w:oddHBand="1"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10,9</w:t>
            </w:r>
          </w:p>
        </w:tc>
        <w:tc>
          <w:tcPr>
            <w:tcW w:w="316" w:type="pct"/>
            <w:noWrap/>
            <w:hideMark/>
          </w:tcPr>
          <w:p w14:paraId="004A6158" w14:textId="77777777" w:rsidR="00CB2E14" w:rsidRPr="00026532" w:rsidRDefault="00CB2E14" w:rsidP="00CB2E14">
            <w:pPr>
              <w:jc w:val="both"/>
              <w:cnfStyle w:val="000000100000" w:firstRow="0" w:lastRow="0" w:firstColumn="0" w:lastColumn="0" w:oddVBand="0" w:evenVBand="0" w:oddHBand="1"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10,9</w:t>
            </w:r>
          </w:p>
        </w:tc>
        <w:tc>
          <w:tcPr>
            <w:tcW w:w="316" w:type="pct"/>
            <w:noWrap/>
            <w:hideMark/>
          </w:tcPr>
          <w:p w14:paraId="40852025" w14:textId="77777777" w:rsidR="00CB2E14" w:rsidRPr="00026532" w:rsidRDefault="00CB2E14" w:rsidP="00CB2E14">
            <w:pPr>
              <w:jc w:val="both"/>
              <w:cnfStyle w:val="000000100000" w:firstRow="0" w:lastRow="0" w:firstColumn="0" w:lastColumn="0" w:oddVBand="0" w:evenVBand="0" w:oddHBand="1"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10,9</w:t>
            </w:r>
          </w:p>
        </w:tc>
      </w:tr>
      <w:tr w:rsidR="00CB2E14" w:rsidRPr="00026532" w14:paraId="71D79109" w14:textId="77777777" w:rsidTr="00CB2E14">
        <w:trPr>
          <w:trHeight w:val="137"/>
        </w:trPr>
        <w:tc>
          <w:tcPr>
            <w:cnfStyle w:val="001000000000" w:firstRow="0" w:lastRow="0" w:firstColumn="1" w:lastColumn="0" w:oddVBand="0" w:evenVBand="0" w:oddHBand="0" w:evenHBand="0" w:firstRowFirstColumn="0" w:firstRowLastColumn="0" w:lastRowFirstColumn="0" w:lastRowLastColumn="0"/>
            <w:tcW w:w="1377" w:type="pct"/>
            <w:noWrap/>
            <w:hideMark/>
          </w:tcPr>
          <w:p w14:paraId="7D439734" w14:textId="77777777" w:rsidR="00CB2E14" w:rsidRPr="00026532" w:rsidRDefault="00CB2E14" w:rsidP="00CB2E14">
            <w:pPr>
              <w:jc w:val="both"/>
              <w:rPr>
                <w:rFonts w:eastAsia="Calibri" w:cstheme="minorHAnsi"/>
                <w:b w:val="0"/>
                <w:sz w:val="18"/>
                <w:szCs w:val="18"/>
                <w:lang w:eastAsia="sr-Latn-ME"/>
              </w:rPr>
            </w:pPr>
            <w:r w:rsidRPr="00026532">
              <w:rPr>
                <w:rFonts w:eastAsia="Calibri" w:cstheme="minorHAnsi"/>
                <w:b w:val="0"/>
                <w:sz w:val="18"/>
                <w:szCs w:val="18"/>
                <w:lang w:eastAsia="sr-Latn-ME"/>
              </w:rPr>
              <w:t>Građevinarstvo</w:t>
            </w:r>
          </w:p>
        </w:tc>
        <w:tc>
          <w:tcPr>
            <w:tcW w:w="299" w:type="pct"/>
            <w:noWrap/>
            <w:hideMark/>
          </w:tcPr>
          <w:p w14:paraId="250C9430" w14:textId="77777777" w:rsidR="00CB2E14" w:rsidRPr="00026532" w:rsidRDefault="00CB2E14" w:rsidP="00CB2E14">
            <w:pPr>
              <w:jc w:val="both"/>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-15,0</w:t>
            </w:r>
          </w:p>
        </w:tc>
        <w:tc>
          <w:tcPr>
            <w:tcW w:w="295" w:type="pct"/>
            <w:noWrap/>
            <w:hideMark/>
          </w:tcPr>
          <w:p w14:paraId="6E9DB74C" w14:textId="77777777" w:rsidR="00CB2E14" w:rsidRPr="00026532" w:rsidRDefault="00CB2E14" w:rsidP="00CB2E14">
            <w:pPr>
              <w:jc w:val="both"/>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3,0</w:t>
            </w:r>
          </w:p>
        </w:tc>
        <w:tc>
          <w:tcPr>
            <w:tcW w:w="295" w:type="pct"/>
            <w:noWrap/>
            <w:hideMark/>
          </w:tcPr>
          <w:p w14:paraId="338DD1DA" w14:textId="77777777" w:rsidR="00CB2E14" w:rsidRPr="00026532" w:rsidRDefault="00CB2E14" w:rsidP="00CB2E14">
            <w:pPr>
              <w:jc w:val="both"/>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3,0</w:t>
            </w:r>
          </w:p>
        </w:tc>
        <w:tc>
          <w:tcPr>
            <w:tcW w:w="294" w:type="pct"/>
            <w:noWrap/>
            <w:hideMark/>
          </w:tcPr>
          <w:p w14:paraId="62B859C1" w14:textId="77777777" w:rsidR="00CB2E14" w:rsidRPr="00026532" w:rsidRDefault="00CB2E14" w:rsidP="00CB2E14">
            <w:pPr>
              <w:jc w:val="both"/>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4,0</w:t>
            </w:r>
          </w:p>
        </w:tc>
        <w:tc>
          <w:tcPr>
            <w:tcW w:w="294" w:type="pct"/>
            <w:noWrap/>
            <w:hideMark/>
          </w:tcPr>
          <w:p w14:paraId="55583ED8" w14:textId="77777777" w:rsidR="00CB2E14" w:rsidRPr="00026532" w:rsidRDefault="00CB2E14" w:rsidP="00CB2E14">
            <w:pPr>
              <w:jc w:val="both"/>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-0,6</w:t>
            </w:r>
          </w:p>
        </w:tc>
        <w:tc>
          <w:tcPr>
            <w:tcW w:w="294" w:type="pct"/>
            <w:noWrap/>
            <w:hideMark/>
          </w:tcPr>
          <w:p w14:paraId="356FB65E" w14:textId="77777777" w:rsidR="00CB2E14" w:rsidRPr="00026532" w:rsidRDefault="00CB2E14" w:rsidP="00CB2E14">
            <w:pPr>
              <w:jc w:val="both"/>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0,1</w:t>
            </w:r>
          </w:p>
        </w:tc>
        <w:tc>
          <w:tcPr>
            <w:tcW w:w="294" w:type="pct"/>
            <w:noWrap/>
            <w:hideMark/>
          </w:tcPr>
          <w:p w14:paraId="19B3FC15" w14:textId="77777777" w:rsidR="00CB2E14" w:rsidRPr="00026532" w:rsidRDefault="00CB2E14" w:rsidP="00CB2E14">
            <w:pPr>
              <w:jc w:val="both"/>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0,1</w:t>
            </w:r>
          </w:p>
        </w:tc>
        <w:tc>
          <w:tcPr>
            <w:tcW w:w="294" w:type="pct"/>
            <w:noWrap/>
            <w:hideMark/>
          </w:tcPr>
          <w:p w14:paraId="28DA737E" w14:textId="77777777" w:rsidR="00CB2E14" w:rsidRPr="00026532" w:rsidRDefault="00CB2E14" w:rsidP="00CB2E14">
            <w:pPr>
              <w:jc w:val="both"/>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0,1</w:t>
            </w:r>
          </w:p>
        </w:tc>
        <w:tc>
          <w:tcPr>
            <w:tcW w:w="316" w:type="pct"/>
            <w:noWrap/>
            <w:hideMark/>
          </w:tcPr>
          <w:p w14:paraId="5F8D75A6" w14:textId="77777777" w:rsidR="00CB2E14" w:rsidRPr="00026532" w:rsidRDefault="00CB2E14" w:rsidP="00CB2E14">
            <w:pPr>
              <w:jc w:val="both"/>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3,8</w:t>
            </w:r>
          </w:p>
        </w:tc>
        <w:tc>
          <w:tcPr>
            <w:tcW w:w="316" w:type="pct"/>
            <w:noWrap/>
            <w:hideMark/>
          </w:tcPr>
          <w:p w14:paraId="50E74914" w14:textId="77777777" w:rsidR="00CB2E14" w:rsidRPr="00026532" w:rsidRDefault="00CB2E14" w:rsidP="00CB2E14">
            <w:pPr>
              <w:jc w:val="both"/>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3,7</w:t>
            </w:r>
          </w:p>
        </w:tc>
        <w:tc>
          <w:tcPr>
            <w:tcW w:w="316" w:type="pct"/>
            <w:noWrap/>
            <w:hideMark/>
          </w:tcPr>
          <w:p w14:paraId="53EB740F" w14:textId="77777777" w:rsidR="00CB2E14" w:rsidRPr="00026532" w:rsidRDefault="00CB2E14" w:rsidP="00CB2E14">
            <w:pPr>
              <w:jc w:val="both"/>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3,7</w:t>
            </w:r>
          </w:p>
        </w:tc>
        <w:tc>
          <w:tcPr>
            <w:tcW w:w="316" w:type="pct"/>
            <w:noWrap/>
            <w:hideMark/>
          </w:tcPr>
          <w:p w14:paraId="0AD03D97" w14:textId="77777777" w:rsidR="00CB2E14" w:rsidRPr="00026532" w:rsidRDefault="00CB2E14" w:rsidP="00CB2E14">
            <w:pPr>
              <w:jc w:val="both"/>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3,7</w:t>
            </w:r>
          </w:p>
        </w:tc>
      </w:tr>
      <w:tr w:rsidR="00CB2E14" w:rsidRPr="00026532" w14:paraId="1B23BC6A" w14:textId="77777777" w:rsidTr="00CB2E14">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1377" w:type="pct"/>
            <w:noWrap/>
            <w:hideMark/>
          </w:tcPr>
          <w:p w14:paraId="75E3F589" w14:textId="77777777" w:rsidR="00CB2E14" w:rsidRPr="00026532" w:rsidRDefault="00CB2E14" w:rsidP="00CB2E14">
            <w:pPr>
              <w:jc w:val="both"/>
              <w:rPr>
                <w:rFonts w:eastAsia="Calibri" w:cstheme="minorHAnsi"/>
                <w:b w:val="0"/>
                <w:sz w:val="18"/>
                <w:szCs w:val="18"/>
                <w:lang w:eastAsia="sr-Latn-ME"/>
              </w:rPr>
            </w:pPr>
            <w:r w:rsidRPr="00026532">
              <w:rPr>
                <w:rFonts w:eastAsia="Calibri" w:cstheme="minorHAnsi"/>
                <w:b w:val="0"/>
                <w:sz w:val="18"/>
                <w:szCs w:val="18"/>
                <w:lang w:eastAsia="sr-Latn-ME"/>
              </w:rPr>
              <w:t>Uslužne djelatnosti</w:t>
            </w:r>
          </w:p>
        </w:tc>
        <w:tc>
          <w:tcPr>
            <w:tcW w:w="299" w:type="pct"/>
            <w:noWrap/>
            <w:hideMark/>
          </w:tcPr>
          <w:p w14:paraId="454F7EEE" w14:textId="77777777" w:rsidR="00CB2E14" w:rsidRPr="00026532" w:rsidRDefault="00CB2E14" w:rsidP="00CB2E14">
            <w:pPr>
              <w:jc w:val="both"/>
              <w:cnfStyle w:val="000000100000" w:firstRow="0" w:lastRow="0" w:firstColumn="0" w:lastColumn="0" w:oddVBand="0" w:evenVBand="0" w:oddHBand="1"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8,7</w:t>
            </w:r>
          </w:p>
        </w:tc>
        <w:tc>
          <w:tcPr>
            <w:tcW w:w="295" w:type="pct"/>
            <w:noWrap/>
            <w:hideMark/>
          </w:tcPr>
          <w:p w14:paraId="15C55B89" w14:textId="77777777" w:rsidR="00CB2E14" w:rsidRPr="00026532" w:rsidRDefault="00CB2E14" w:rsidP="00CB2E14">
            <w:pPr>
              <w:jc w:val="both"/>
              <w:cnfStyle w:val="000000100000" w:firstRow="0" w:lastRow="0" w:firstColumn="0" w:lastColumn="0" w:oddVBand="0" w:evenVBand="0" w:oddHBand="1"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4,3</w:t>
            </w:r>
          </w:p>
        </w:tc>
        <w:tc>
          <w:tcPr>
            <w:tcW w:w="295" w:type="pct"/>
            <w:noWrap/>
            <w:hideMark/>
          </w:tcPr>
          <w:p w14:paraId="4F555FE6" w14:textId="77777777" w:rsidR="00CB2E14" w:rsidRPr="00026532" w:rsidRDefault="00CB2E14" w:rsidP="00CB2E14">
            <w:pPr>
              <w:jc w:val="both"/>
              <w:cnfStyle w:val="000000100000" w:firstRow="0" w:lastRow="0" w:firstColumn="0" w:lastColumn="0" w:oddVBand="0" w:evenVBand="0" w:oddHBand="1"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3,2</w:t>
            </w:r>
          </w:p>
        </w:tc>
        <w:tc>
          <w:tcPr>
            <w:tcW w:w="294" w:type="pct"/>
            <w:noWrap/>
            <w:hideMark/>
          </w:tcPr>
          <w:p w14:paraId="194CDF30" w14:textId="77777777" w:rsidR="00CB2E14" w:rsidRPr="00026532" w:rsidRDefault="00CB2E14" w:rsidP="00CB2E14">
            <w:pPr>
              <w:jc w:val="both"/>
              <w:cnfStyle w:val="000000100000" w:firstRow="0" w:lastRow="0" w:firstColumn="0" w:lastColumn="0" w:oddVBand="0" w:evenVBand="0" w:oddHBand="1"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3,0</w:t>
            </w:r>
          </w:p>
        </w:tc>
        <w:tc>
          <w:tcPr>
            <w:tcW w:w="294" w:type="pct"/>
            <w:noWrap/>
            <w:hideMark/>
          </w:tcPr>
          <w:p w14:paraId="351AE5BE" w14:textId="77777777" w:rsidR="00CB2E14" w:rsidRPr="00026532" w:rsidRDefault="00CB2E14" w:rsidP="00CB2E14">
            <w:pPr>
              <w:jc w:val="both"/>
              <w:cnfStyle w:val="000000100000" w:firstRow="0" w:lastRow="0" w:firstColumn="0" w:lastColumn="0" w:oddVBand="0" w:evenVBand="0" w:oddHBand="1"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5,4</w:t>
            </w:r>
          </w:p>
        </w:tc>
        <w:tc>
          <w:tcPr>
            <w:tcW w:w="294" w:type="pct"/>
            <w:noWrap/>
            <w:hideMark/>
          </w:tcPr>
          <w:p w14:paraId="63EC716E" w14:textId="77777777" w:rsidR="00CB2E14" w:rsidRPr="00026532" w:rsidRDefault="00CB2E14" w:rsidP="00CB2E14">
            <w:pPr>
              <w:jc w:val="both"/>
              <w:cnfStyle w:val="000000100000" w:firstRow="0" w:lastRow="0" w:firstColumn="0" w:lastColumn="0" w:oddVBand="0" w:evenVBand="0" w:oddHBand="1"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2,8</w:t>
            </w:r>
          </w:p>
        </w:tc>
        <w:tc>
          <w:tcPr>
            <w:tcW w:w="294" w:type="pct"/>
            <w:noWrap/>
            <w:hideMark/>
          </w:tcPr>
          <w:p w14:paraId="00C866C6" w14:textId="77777777" w:rsidR="00CB2E14" w:rsidRPr="00026532" w:rsidRDefault="00CB2E14" w:rsidP="00CB2E14">
            <w:pPr>
              <w:jc w:val="both"/>
              <w:cnfStyle w:val="000000100000" w:firstRow="0" w:lastRow="0" w:firstColumn="0" w:lastColumn="0" w:oddVBand="0" w:evenVBand="0" w:oddHBand="1"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2,1</w:t>
            </w:r>
          </w:p>
        </w:tc>
        <w:tc>
          <w:tcPr>
            <w:tcW w:w="294" w:type="pct"/>
            <w:noWrap/>
            <w:hideMark/>
          </w:tcPr>
          <w:p w14:paraId="231B7D4B" w14:textId="77777777" w:rsidR="00CB2E14" w:rsidRPr="00026532" w:rsidRDefault="00CB2E14" w:rsidP="00CB2E14">
            <w:pPr>
              <w:jc w:val="both"/>
              <w:cnfStyle w:val="000000100000" w:firstRow="0" w:lastRow="0" w:firstColumn="0" w:lastColumn="0" w:oddVBand="0" w:evenVBand="0" w:oddHBand="1"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2,0</w:t>
            </w:r>
          </w:p>
        </w:tc>
        <w:tc>
          <w:tcPr>
            <w:tcW w:w="316" w:type="pct"/>
            <w:noWrap/>
            <w:hideMark/>
          </w:tcPr>
          <w:p w14:paraId="70A26509" w14:textId="77777777" w:rsidR="00CB2E14" w:rsidRPr="00026532" w:rsidRDefault="00CB2E14" w:rsidP="00CB2E14">
            <w:pPr>
              <w:jc w:val="both"/>
              <w:cnfStyle w:val="000000100000" w:firstRow="0" w:lastRow="0" w:firstColumn="0" w:lastColumn="0" w:oddVBand="0" w:evenVBand="0" w:oddHBand="1"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77,0</w:t>
            </w:r>
          </w:p>
        </w:tc>
        <w:tc>
          <w:tcPr>
            <w:tcW w:w="316" w:type="pct"/>
            <w:noWrap/>
            <w:hideMark/>
          </w:tcPr>
          <w:p w14:paraId="210AF7DB" w14:textId="77777777" w:rsidR="00CB2E14" w:rsidRPr="00026532" w:rsidRDefault="00CB2E14" w:rsidP="00CB2E14">
            <w:pPr>
              <w:jc w:val="both"/>
              <w:cnfStyle w:val="000000100000" w:firstRow="0" w:lastRow="0" w:firstColumn="0" w:lastColumn="0" w:oddVBand="0" w:evenVBand="0" w:oddHBand="1"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76,9</w:t>
            </w:r>
          </w:p>
        </w:tc>
        <w:tc>
          <w:tcPr>
            <w:tcW w:w="316" w:type="pct"/>
            <w:noWrap/>
            <w:hideMark/>
          </w:tcPr>
          <w:p w14:paraId="3CD345E1" w14:textId="77777777" w:rsidR="00CB2E14" w:rsidRPr="00026532" w:rsidRDefault="00CB2E14" w:rsidP="00CB2E14">
            <w:pPr>
              <w:jc w:val="both"/>
              <w:cnfStyle w:val="000000100000" w:firstRow="0" w:lastRow="0" w:firstColumn="0" w:lastColumn="0" w:oddVBand="0" w:evenVBand="0" w:oddHBand="1"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76,6</w:t>
            </w:r>
          </w:p>
        </w:tc>
        <w:tc>
          <w:tcPr>
            <w:tcW w:w="316" w:type="pct"/>
            <w:noWrap/>
            <w:hideMark/>
          </w:tcPr>
          <w:p w14:paraId="102CA0DB" w14:textId="77777777" w:rsidR="00CB2E14" w:rsidRPr="00026532" w:rsidRDefault="00CB2E14" w:rsidP="00CB2E14">
            <w:pPr>
              <w:jc w:val="both"/>
              <w:cnfStyle w:val="000000100000" w:firstRow="0" w:lastRow="0" w:firstColumn="0" w:lastColumn="0" w:oddVBand="0" w:evenVBand="0" w:oddHBand="1"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76,3</w:t>
            </w:r>
          </w:p>
        </w:tc>
      </w:tr>
      <w:tr w:rsidR="00CB2E14" w:rsidRPr="00026532" w14:paraId="2EC22071" w14:textId="77777777" w:rsidTr="00CB2E14">
        <w:trPr>
          <w:trHeight w:val="137"/>
        </w:trPr>
        <w:tc>
          <w:tcPr>
            <w:cnfStyle w:val="001000000000" w:firstRow="0" w:lastRow="0" w:firstColumn="1" w:lastColumn="0" w:oddVBand="0" w:evenVBand="0" w:oddHBand="0" w:evenHBand="0" w:firstRowFirstColumn="0" w:firstRowLastColumn="0" w:lastRowFirstColumn="0" w:lastRowLastColumn="0"/>
            <w:tcW w:w="1377" w:type="pct"/>
            <w:noWrap/>
            <w:hideMark/>
          </w:tcPr>
          <w:p w14:paraId="44FFF397" w14:textId="77777777" w:rsidR="00CB2E14" w:rsidRPr="00026532" w:rsidRDefault="00CB2E14" w:rsidP="00CB2E14">
            <w:pPr>
              <w:jc w:val="both"/>
              <w:rPr>
                <w:rFonts w:eastAsia="Calibri" w:cstheme="minorHAnsi"/>
                <w:b w:val="0"/>
                <w:sz w:val="18"/>
                <w:szCs w:val="18"/>
                <w:lang w:eastAsia="sr-Latn-ME"/>
              </w:rPr>
            </w:pPr>
            <w:r w:rsidRPr="00026532">
              <w:rPr>
                <w:rFonts w:eastAsia="Calibri" w:cstheme="minorHAnsi"/>
                <w:b w:val="0"/>
                <w:sz w:val="18"/>
                <w:szCs w:val="18"/>
                <w:lang w:eastAsia="sr-Latn-ME"/>
              </w:rPr>
              <w:t xml:space="preserve"> -od čega usluge smještaja i ishrane</w:t>
            </w:r>
          </w:p>
        </w:tc>
        <w:tc>
          <w:tcPr>
            <w:tcW w:w="299" w:type="pct"/>
            <w:noWrap/>
            <w:hideMark/>
          </w:tcPr>
          <w:p w14:paraId="2A30D3D4" w14:textId="77777777" w:rsidR="00CB2E14" w:rsidRPr="00026532" w:rsidRDefault="00CB2E14" w:rsidP="00CB2E14">
            <w:pPr>
              <w:jc w:val="both"/>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32,0</w:t>
            </w:r>
          </w:p>
        </w:tc>
        <w:tc>
          <w:tcPr>
            <w:tcW w:w="295" w:type="pct"/>
            <w:noWrap/>
            <w:hideMark/>
          </w:tcPr>
          <w:p w14:paraId="2E3B3C0A" w14:textId="77777777" w:rsidR="00CB2E14" w:rsidRPr="00026532" w:rsidRDefault="00CB2E14" w:rsidP="00CB2E14">
            <w:pPr>
              <w:jc w:val="both"/>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10,0</w:t>
            </w:r>
          </w:p>
        </w:tc>
        <w:tc>
          <w:tcPr>
            <w:tcW w:w="295" w:type="pct"/>
            <w:noWrap/>
            <w:hideMark/>
          </w:tcPr>
          <w:p w14:paraId="317B252C" w14:textId="77777777" w:rsidR="00CB2E14" w:rsidRPr="00026532" w:rsidRDefault="00CB2E14" w:rsidP="00CB2E14">
            <w:pPr>
              <w:jc w:val="both"/>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7,0</w:t>
            </w:r>
          </w:p>
        </w:tc>
        <w:tc>
          <w:tcPr>
            <w:tcW w:w="294" w:type="pct"/>
            <w:noWrap/>
            <w:hideMark/>
          </w:tcPr>
          <w:p w14:paraId="5C4DE525" w14:textId="77777777" w:rsidR="00CB2E14" w:rsidRPr="00026532" w:rsidRDefault="00CB2E14" w:rsidP="00CB2E14">
            <w:pPr>
              <w:jc w:val="both"/>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7,0</w:t>
            </w:r>
          </w:p>
        </w:tc>
        <w:tc>
          <w:tcPr>
            <w:tcW w:w="294" w:type="pct"/>
            <w:noWrap/>
            <w:hideMark/>
          </w:tcPr>
          <w:p w14:paraId="335CA651" w14:textId="77777777" w:rsidR="00CB2E14" w:rsidRPr="00026532" w:rsidRDefault="00CB2E14" w:rsidP="00CB2E14">
            <w:pPr>
              <w:jc w:val="both"/>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2,6</w:t>
            </w:r>
          </w:p>
        </w:tc>
        <w:tc>
          <w:tcPr>
            <w:tcW w:w="294" w:type="pct"/>
            <w:noWrap/>
            <w:hideMark/>
          </w:tcPr>
          <w:p w14:paraId="04653E28" w14:textId="77777777" w:rsidR="00CB2E14" w:rsidRPr="00026532" w:rsidRDefault="00CB2E14" w:rsidP="00CB2E14">
            <w:pPr>
              <w:jc w:val="both"/>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1,0</w:t>
            </w:r>
          </w:p>
        </w:tc>
        <w:tc>
          <w:tcPr>
            <w:tcW w:w="294" w:type="pct"/>
            <w:noWrap/>
            <w:hideMark/>
          </w:tcPr>
          <w:p w14:paraId="3B0E3802" w14:textId="77777777" w:rsidR="00CB2E14" w:rsidRPr="00026532" w:rsidRDefault="00CB2E14" w:rsidP="00CB2E14">
            <w:pPr>
              <w:jc w:val="both"/>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0,8</w:t>
            </w:r>
          </w:p>
        </w:tc>
        <w:tc>
          <w:tcPr>
            <w:tcW w:w="294" w:type="pct"/>
            <w:noWrap/>
            <w:hideMark/>
          </w:tcPr>
          <w:p w14:paraId="2B877666" w14:textId="77777777" w:rsidR="00CB2E14" w:rsidRPr="00026532" w:rsidRDefault="00CB2E14" w:rsidP="00CB2E14">
            <w:pPr>
              <w:jc w:val="both"/>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0,8</w:t>
            </w:r>
          </w:p>
        </w:tc>
        <w:tc>
          <w:tcPr>
            <w:tcW w:w="316" w:type="pct"/>
            <w:noWrap/>
            <w:hideMark/>
          </w:tcPr>
          <w:p w14:paraId="06D60073" w14:textId="77777777" w:rsidR="00CB2E14" w:rsidRPr="00026532" w:rsidRDefault="00CB2E14" w:rsidP="00CB2E14">
            <w:pPr>
              <w:jc w:val="both"/>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12,3</w:t>
            </w:r>
          </w:p>
        </w:tc>
        <w:tc>
          <w:tcPr>
            <w:tcW w:w="316" w:type="pct"/>
            <w:noWrap/>
            <w:hideMark/>
          </w:tcPr>
          <w:p w14:paraId="5ADBE3A3" w14:textId="77777777" w:rsidR="00CB2E14" w:rsidRPr="00026532" w:rsidRDefault="00CB2E14" w:rsidP="00CB2E14">
            <w:pPr>
              <w:jc w:val="both"/>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13,0</w:t>
            </w:r>
          </w:p>
        </w:tc>
        <w:tc>
          <w:tcPr>
            <w:tcW w:w="316" w:type="pct"/>
            <w:noWrap/>
            <w:hideMark/>
          </w:tcPr>
          <w:p w14:paraId="40B8D655" w14:textId="77777777" w:rsidR="00CB2E14" w:rsidRPr="00026532" w:rsidRDefault="00CB2E14" w:rsidP="00CB2E14">
            <w:pPr>
              <w:jc w:val="both"/>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13,4</w:t>
            </w:r>
          </w:p>
        </w:tc>
        <w:tc>
          <w:tcPr>
            <w:tcW w:w="316" w:type="pct"/>
            <w:noWrap/>
            <w:hideMark/>
          </w:tcPr>
          <w:p w14:paraId="0E0346DC" w14:textId="77777777" w:rsidR="00CB2E14" w:rsidRPr="00026532" w:rsidRDefault="00CB2E14" w:rsidP="00CB2E14">
            <w:pPr>
              <w:jc w:val="both"/>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13,8</w:t>
            </w:r>
          </w:p>
        </w:tc>
      </w:tr>
      <w:tr w:rsidR="00CB2E14" w:rsidRPr="00026532" w14:paraId="57E8D5D5" w14:textId="77777777" w:rsidTr="00CB2E14">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1377" w:type="pct"/>
            <w:noWrap/>
            <w:hideMark/>
          </w:tcPr>
          <w:p w14:paraId="68636391" w14:textId="77777777" w:rsidR="00CB2E14" w:rsidRPr="00026532" w:rsidRDefault="00CB2E14" w:rsidP="00CB2E14">
            <w:pPr>
              <w:jc w:val="both"/>
              <w:rPr>
                <w:rFonts w:eastAsia="Calibri" w:cstheme="minorHAnsi"/>
                <w:b w:val="0"/>
                <w:sz w:val="18"/>
                <w:szCs w:val="18"/>
                <w:lang w:eastAsia="sr-Latn-ME"/>
              </w:rPr>
            </w:pPr>
            <w:r w:rsidRPr="00026532">
              <w:rPr>
                <w:rFonts w:eastAsia="Calibri" w:cstheme="minorHAnsi"/>
                <w:b w:val="0"/>
                <w:sz w:val="18"/>
                <w:szCs w:val="18"/>
                <w:lang w:eastAsia="sr-Latn-ME"/>
              </w:rPr>
              <w:t>BDV (bruto dodata vrijednost)</w:t>
            </w:r>
          </w:p>
        </w:tc>
        <w:tc>
          <w:tcPr>
            <w:tcW w:w="299" w:type="pct"/>
            <w:noWrap/>
            <w:hideMark/>
          </w:tcPr>
          <w:p w14:paraId="47EFADAF" w14:textId="77777777" w:rsidR="00CB2E14" w:rsidRPr="00026532" w:rsidRDefault="00CB2E14" w:rsidP="00CB2E14">
            <w:pPr>
              <w:jc w:val="both"/>
              <w:cnfStyle w:val="000000100000" w:firstRow="0" w:lastRow="0" w:firstColumn="0" w:lastColumn="0" w:oddVBand="0" w:evenVBand="0" w:oddHBand="1"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5,8</w:t>
            </w:r>
          </w:p>
        </w:tc>
        <w:tc>
          <w:tcPr>
            <w:tcW w:w="295" w:type="pct"/>
            <w:noWrap/>
            <w:hideMark/>
          </w:tcPr>
          <w:p w14:paraId="50E6DDA7" w14:textId="77777777" w:rsidR="00CB2E14" w:rsidRPr="00026532" w:rsidRDefault="00CB2E14" w:rsidP="00CB2E14">
            <w:pPr>
              <w:jc w:val="both"/>
              <w:cnfStyle w:val="000000100000" w:firstRow="0" w:lastRow="0" w:firstColumn="0" w:lastColumn="0" w:oddVBand="0" w:evenVBand="0" w:oddHBand="1"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3,8</w:t>
            </w:r>
          </w:p>
        </w:tc>
        <w:tc>
          <w:tcPr>
            <w:tcW w:w="295" w:type="pct"/>
            <w:noWrap/>
            <w:hideMark/>
          </w:tcPr>
          <w:p w14:paraId="43D229A8" w14:textId="77777777" w:rsidR="00CB2E14" w:rsidRPr="00026532" w:rsidRDefault="00CB2E14" w:rsidP="00CB2E14">
            <w:pPr>
              <w:jc w:val="both"/>
              <w:cnfStyle w:val="000000100000" w:firstRow="0" w:lastRow="0" w:firstColumn="0" w:lastColumn="0" w:oddVBand="0" w:evenVBand="0" w:oddHBand="1"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3,0</w:t>
            </w:r>
          </w:p>
        </w:tc>
        <w:tc>
          <w:tcPr>
            <w:tcW w:w="294" w:type="pct"/>
            <w:noWrap/>
            <w:hideMark/>
          </w:tcPr>
          <w:p w14:paraId="7094F1A3" w14:textId="77777777" w:rsidR="00CB2E14" w:rsidRPr="00026532" w:rsidRDefault="00CB2E14" w:rsidP="00CB2E14">
            <w:pPr>
              <w:jc w:val="both"/>
              <w:cnfStyle w:val="000000100000" w:firstRow="0" w:lastRow="0" w:firstColumn="0" w:lastColumn="0" w:oddVBand="0" w:evenVBand="0" w:oddHBand="1"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2,9</w:t>
            </w:r>
          </w:p>
        </w:tc>
        <w:tc>
          <w:tcPr>
            <w:tcW w:w="294" w:type="pct"/>
            <w:noWrap/>
            <w:hideMark/>
          </w:tcPr>
          <w:p w14:paraId="1D06F1BA" w14:textId="77777777" w:rsidR="00CB2E14" w:rsidRPr="00026532" w:rsidRDefault="00CB2E14" w:rsidP="00CB2E14">
            <w:pPr>
              <w:jc w:val="both"/>
              <w:cnfStyle w:val="000000100000" w:firstRow="0" w:lastRow="0" w:firstColumn="0" w:lastColumn="0" w:oddVBand="0" w:evenVBand="0" w:oddHBand="1"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5,8</w:t>
            </w:r>
          </w:p>
        </w:tc>
        <w:tc>
          <w:tcPr>
            <w:tcW w:w="294" w:type="pct"/>
            <w:noWrap/>
            <w:hideMark/>
          </w:tcPr>
          <w:p w14:paraId="2E743B9F" w14:textId="77777777" w:rsidR="00CB2E14" w:rsidRPr="00026532" w:rsidRDefault="00CB2E14" w:rsidP="00CB2E14">
            <w:pPr>
              <w:jc w:val="both"/>
              <w:cnfStyle w:val="000000100000" w:firstRow="0" w:lastRow="0" w:firstColumn="0" w:lastColumn="0" w:oddVBand="0" w:evenVBand="0" w:oddHBand="1"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3,8</w:t>
            </w:r>
          </w:p>
        </w:tc>
        <w:tc>
          <w:tcPr>
            <w:tcW w:w="294" w:type="pct"/>
            <w:noWrap/>
            <w:hideMark/>
          </w:tcPr>
          <w:p w14:paraId="3C200E71" w14:textId="77777777" w:rsidR="00CB2E14" w:rsidRPr="00026532" w:rsidRDefault="00CB2E14" w:rsidP="00CB2E14">
            <w:pPr>
              <w:jc w:val="both"/>
              <w:cnfStyle w:val="000000100000" w:firstRow="0" w:lastRow="0" w:firstColumn="0" w:lastColumn="0" w:oddVBand="0" w:evenVBand="0" w:oddHBand="1"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3,0</w:t>
            </w:r>
          </w:p>
        </w:tc>
        <w:tc>
          <w:tcPr>
            <w:tcW w:w="294" w:type="pct"/>
            <w:noWrap/>
            <w:hideMark/>
          </w:tcPr>
          <w:p w14:paraId="34D6CA10" w14:textId="77777777" w:rsidR="00CB2E14" w:rsidRPr="00026532" w:rsidRDefault="00CB2E14" w:rsidP="00CB2E14">
            <w:pPr>
              <w:jc w:val="both"/>
              <w:cnfStyle w:val="000000100000" w:firstRow="0" w:lastRow="0" w:firstColumn="0" w:lastColumn="0" w:oddVBand="0" w:evenVBand="0" w:oddHBand="1"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2,9</w:t>
            </w:r>
          </w:p>
        </w:tc>
        <w:tc>
          <w:tcPr>
            <w:tcW w:w="316" w:type="pct"/>
            <w:noWrap/>
            <w:hideMark/>
          </w:tcPr>
          <w:p w14:paraId="2F128674" w14:textId="77777777" w:rsidR="00CB2E14" w:rsidRPr="00026532" w:rsidRDefault="00CB2E14" w:rsidP="00CB2E14">
            <w:pPr>
              <w:jc w:val="both"/>
              <w:cnfStyle w:val="000000100000" w:firstRow="0" w:lastRow="0" w:firstColumn="0" w:lastColumn="0" w:oddVBand="0" w:evenVBand="0" w:oddHBand="1"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100,0</w:t>
            </w:r>
          </w:p>
        </w:tc>
        <w:tc>
          <w:tcPr>
            <w:tcW w:w="316" w:type="pct"/>
            <w:noWrap/>
            <w:hideMark/>
          </w:tcPr>
          <w:p w14:paraId="74BCE448" w14:textId="77777777" w:rsidR="00CB2E14" w:rsidRPr="00026532" w:rsidRDefault="00CB2E14" w:rsidP="00CB2E14">
            <w:pPr>
              <w:jc w:val="both"/>
              <w:cnfStyle w:val="000000100000" w:firstRow="0" w:lastRow="0" w:firstColumn="0" w:lastColumn="0" w:oddVBand="0" w:evenVBand="0" w:oddHBand="1"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100,0</w:t>
            </w:r>
          </w:p>
        </w:tc>
        <w:tc>
          <w:tcPr>
            <w:tcW w:w="316" w:type="pct"/>
            <w:noWrap/>
            <w:hideMark/>
          </w:tcPr>
          <w:p w14:paraId="0D8E9DB0" w14:textId="77777777" w:rsidR="00CB2E14" w:rsidRPr="00026532" w:rsidRDefault="00CB2E14" w:rsidP="00CB2E14">
            <w:pPr>
              <w:jc w:val="both"/>
              <w:cnfStyle w:val="000000100000" w:firstRow="0" w:lastRow="0" w:firstColumn="0" w:lastColumn="0" w:oddVBand="0" w:evenVBand="0" w:oddHBand="1"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100,0</w:t>
            </w:r>
          </w:p>
        </w:tc>
        <w:tc>
          <w:tcPr>
            <w:tcW w:w="316" w:type="pct"/>
            <w:noWrap/>
            <w:hideMark/>
          </w:tcPr>
          <w:p w14:paraId="33442269" w14:textId="77777777" w:rsidR="00CB2E14" w:rsidRPr="00026532" w:rsidRDefault="00CB2E14" w:rsidP="00CB2E14">
            <w:pPr>
              <w:jc w:val="both"/>
              <w:cnfStyle w:val="000000100000" w:firstRow="0" w:lastRow="0" w:firstColumn="0" w:lastColumn="0" w:oddVBand="0" w:evenVBand="0" w:oddHBand="1"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100,0</w:t>
            </w:r>
          </w:p>
        </w:tc>
      </w:tr>
      <w:tr w:rsidR="00CB2E14" w:rsidRPr="00026532" w14:paraId="7CE3B8EE" w14:textId="77777777" w:rsidTr="00CB2E14">
        <w:trPr>
          <w:trHeight w:val="137"/>
        </w:trPr>
        <w:tc>
          <w:tcPr>
            <w:cnfStyle w:val="001000000000" w:firstRow="0" w:lastRow="0" w:firstColumn="1" w:lastColumn="0" w:oddVBand="0" w:evenVBand="0" w:oddHBand="0" w:evenHBand="0" w:firstRowFirstColumn="0" w:firstRowLastColumn="0" w:lastRowFirstColumn="0" w:lastRowLastColumn="0"/>
            <w:tcW w:w="1377" w:type="pct"/>
            <w:noWrap/>
            <w:hideMark/>
          </w:tcPr>
          <w:p w14:paraId="1A60355B" w14:textId="77777777" w:rsidR="00CB2E14" w:rsidRPr="00026532" w:rsidRDefault="00CB2E14" w:rsidP="00CB2E14">
            <w:pPr>
              <w:jc w:val="both"/>
              <w:rPr>
                <w:rFonts w:eastAsia="Calibri" w:cstheme="minorHAnsi"/>
                <w:b w:val="0"/>
                <w:sz w:val="18"/>
                <w:szCs w:val="18"/>
                <w:lang w:eastAsia="sr-Latn-ME"/>
              </w:rPr>
            </w:pPr>
            <w:r w:rsidRPr="00026532">
              <w:rPr>
                <w:rFonts w:eastAsia="Calibri" w:cstheme="minorHAnsi"/>
                <w:b w:val="0"/>
                <w:sz w:val="18"/>
                <w:szCs w:val="18"/>
                <w:lang w:eastAsia="sr-Latn-ME"/>
              </w:rPr>
              <w:t>Porezi minus subvencije</w:t>
            </w:r>
          </w:p>
        </w:tc>
        <w:tc>
          <w:tcPr>
            <w:tcW w:w="299" w:type="pct"/>
            <w:noWrap/>
            <w:hideMark/>
          </w:tcPr>
          <w:p w14:paraId="77EBA9E4" w14:textId="77777777" w:rsidR="00CB2E14" w:rsidRPr="00026532" w:rsidRDefault="00CB2E14" w:rsidP="00CB2E14">
            <w:pPr>
              <w:jc w:val="both"/>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0,0</w:t>
            </w:r>
          </w:p>
        </w:tc>
        <w:tc>
          <w:tcPr>
            <w:tcW w:w="295" w:type="pct"/>
            <w:noWrap/>
            <w:hideMark/>
          </w:tcPr>
          <w:p w14:paraId="26E174C2" w14:textId="77777777" w:rsidR="00CB2E14" w:rsidRPr="00026532" w:rsidRDefault="00CB2E14" w:rsidP="00CB2E14">
            <w:pPr>
              <w:jc w:val="both"/>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0,0</w:t>
            </w:r>
          </w:p>
        </w:tc>
        <w:tc>
          <w:tcPr>
            <w:tcW w:w="295" w:type="pct"/>
            <w:noWrap/>
            <w:hideMark/>
          </w:tcPr>
          <w:p w14:paraId="324903BB" w14:textId="77777777" w:rsidR="00CB2E14" w:rsidRPr="00026532" w:rsidRDefault="00CB2E14" w:rsidP="00CB2E14">
            <w:pPr>
              <w:jc w:val="both"/>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0,0</w:t>
            </w:r>
          </w:p>
        </w:tc>
        <w:tc>
          <w:tcPr>
            <w:tcW w:w="294" w:type="pct"/>
            <w:noWrap/>
            <w:hideMark/>
          </w:tcPr>
          <w:p w14:paraId="3620DAD3" w14:textId="77777777" w:rsidR="00CB2E14" w:rsidRPr="00026532" w:rsidRDefault="00CB2E14" w:rsidP="00CB2E14">
            <w:pPr>
              <w:jc w:val="both"/>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0,0</w:t>
            </w:r>
          </w:p>
        </w:tc>
        <w:tc>
          <w:tcPr>
            <w:tcW w:w="294" w:type="pct"/>
            <w:noWrap/>
            <w:hideMark/>
          </w:tcPr>
          <w:p w14:paraId="2577ABD8" w14:textId="77777777" w:rsidR="00CB2E14" w:rsidRPr="00026532" w:rsidRDefault="00CB2E14" w:rsidP="00CB2E14">
            <w:pPr>
              <w:jc w:val="both"/>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0,0</w:t>
            </w:r>
          </w:p>
        </w:tc>
        <w:tc>
          <w:tcPr>
            <w:tcW w:w="294" w:type="pct"/>
            <w:noWrap/>
            <w:hideMark/>
          </w:tcPr>
          <w:p w14:paraId="7B08331D" w14:textId="77777777" w:rsidR="00CB2E14" w:rsidRPr="00026532" w:rsidRDefault="00CB2E14" w:rsidP="00CB2E14">
            <w:pPr>
              <w:jc w:val="both"/>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0,0</w:t>
            </w:r>
          </w:p>
        </w:tc>
        <w:tc>
          <w:tcPr>
            <w:tcW w:w="294" w:type="pct"/>
            <w:noWrap/>
            <w:hideMark/>
          </w:tcPr>
          <w:p w14:paraId="049DE1D7" w14:textId="77777777" w:rsidR="00CB2E14" w:rsidRPr="00026532" w:rsidRDefault="00CB2E14" w:rsidP="00CB2E14">
            <w:pPr>
              <w:jc w:val="both"/>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0,0</w:t>
            </w:r>
          </w:p>
        </w:tc>
        <w:tc>
          <w:tcPr>
            <w:tcW w:w="294" w:type="pct"/>
            <w:noWrap/>
            <w:hideMark/>
          </w:tcPr>
          <w:p w14:paraId="37EDA3C9" w14:textId="77777777" w:rsidR="00CB2E14" w:rsidRPr="00026532" w:rsidRDefault="00CB2E14" w:rsidP="00CB2E14">
            <w:pPr>
              <w:jc w:val="both"/>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0,0</w:t>
            </w:r>
          </w:p>
        </w:tc>
        <w:tc>
          <w:tcPr>
            <w:tcW w:w="316" w:type="pct"/>
            <w:noWrap/>
            <w:hideMark/>
          </w:tcPr>
          <w:p w14:paraId="32B13614" w14:textId="77777777" w:rsidR="00CB2E14" w:rsidRPr="00026532" w:rsidRDefault="00CB2E14" w:rsidP="00CB2E14">
            <w:pPr>
              <w:jc w:val="both"/>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N/A</w:t>
            </w:r>
          </w:p>
        </w:tc>
        <w:tc>
          <w:tcPr>
            <w:tcW w:w="316" w:type="pct"/>
            <w:noWrap/>
            <w:hideMark/>
          </w:tcPr>
          <w:p w14:paraId="537471DC" w14:textId="77777777" w:rsidR="00CB2E14" w:rsidRPr="00026532" w:rsidRDefault="00CB2E14" w:rsidP="00CB2E14">
            <w:pPr>
              <w:jc w:val="both"/>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N/A</w:t>
            </w:r>
          </w:p>
        </w:tc>
        <w:tc>
          <w:tcPr>
            <w:tcW w:w="316" w:type="pct"/>
            <w:noWrap/>
            <w:hideMark/>
          </w:tcPr>
          <w:p w14:paraId="3540E189" w14:textId="77777777" w:rsidR="00CB2E14" w:rsidRPr="00026532" w:rsidRDefault="00CB2E14" w:rsidP="00CB2E14">
            <w:pPr>
              <w:jc w:val="both"/>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N/A</w:t>
            </w:r>
          </w:p>
        </w:tc>
        <w:tc>
          <w:tcPr>
            <w:tcW w:w="316" w:type="pct"/>
            <w:noWrap/>
            <w:hideMark/>
          </w:tcPr>
          <w:p w14:paraId="15190BBB" w14:textId="77777777" w:rsidR="00CB2E14" w:rsidRPr="00026532" w:rsidRDefault="00CB2E14" w:rsidP="00CB2E14">
            <w:pPr>
              <w:jc w:val="both"/>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N/A</w:t>
            </w:r>
          </w:p>
        </w:tc>
      </w:tr>
      <w:tr w:rsidR="00CB2E14" w:rsidRPr="00026532" w14:paraId="58D30414" w14:textId="77777777" w:rsidTr="00CB2E14">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1377" w:type="pct"/>
            <w:noWrap/>
            <w:hideMark/>
          </w:tcPr>
          <w:p w14:paraId="473A84E9" w14:textId="77777777" w:rsidR="00CB2E14" w:rsidRPr="00026532" w:rsidRDefault="00CB2E14" w:rsidP="00CB2E14">
            <w:pPr>
              <w:jc w:val="both"/>
              <w:rPr>
                <w:rFonts w:eastAsia="Calibri" w:cstheme="minorHAnsi"/>
                <w:b w:val="0"/>
                <w:sz w:val="18"/>
                <w:szCs w:val="18"/>
                <w:lang w:eastAsia="sr-Latn-ME"/>
              </w:rPr>
            </w:pPr>
            <w:r w:rsidRPr="00026532">
              <w:rPr>
                <w:rFonts w:eastAsia="Calibri" w:cstheme="minorHAnsi"/>
                <w:b w:val="0"/>
                <w:sz w:val="18"/>
                <w:szCs w:val="18"/>
                <w:lang w:eastAsia="sr-Latn-ME"/>
              </w:rPr>
              <w:t>BDP</w:t>
            </w:r>
          </w:p>
        </w:tc>
        <w:tc>
          <w:tcPr>
            <w:tcW w:w="299" w:type="pct"/>
            <w:noWrap/>
            <w:hideMark/>
          </w:tcPr>
          <w:p w14:paraId="2B09C1A0" w14:textId="77777777" w:rsidR="00CB2E14" w:rsidRPr="00026532" w:rsidRDefault="00CB2E14" w:rsidP="00CB2E14">
            <w:pPr>
              <w:jc w:val="both"/>
              <w:cnfStyle w:val="000000100000" w:firstRow="0" w:lastRow="0" w:firstColumn="0" w:lastColumn="0" w:oddVBand="0" w:evenVBand="0" w:oddHBand="1"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5,8</w:t>
            </w:r>
          </w:p>
        </w:tc>
        <w:tc>
          <w:tcPr>
            <w:tcW w:w="295" w:type="pct"/>
            <w:noWrap/>
            <w:hideMark/>
          </w:tcPr>
          <w:p w14:paraId="3055EEF1" w14:textId="77777777" w:rsidR="00CB2E14" w:rsidRPr="00026532" w:rsidRDefault="00CB2E14" w:rsidP="00CB2E14">
            <w:pPr>
              <w:jc w:val="both"/>
              <w:cnfStyle w:val="000000100000" w:firstRow="0" w:lastRow="0" w:firstColumn="0" w:lastColumn="0" w:oddVBand="0" w:evenVBand="0" w:oddHBand="1"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3,8</w:t>
            </w:r>
          </w:p>
        </w:tc>
        <w:tc>
          <w:tcPr>
            <w:tcW w:w="295" w:type="pct"/>
            <w:noWrap/>
            <w:hideMark/>
          </w:tcPr>
          <w:p w14:paraId="6BBC68E4" w14:textId="77777777" w:rsidR="00CB2E14" w:rsidRPr="00026532" w:rsidRDefault="00CB2E14" w:rsidP="00CB2E14">
            <w:pPr>
              <w:jc w:val="both"/>
              <w:cnfStyle w:val="000000100000" w:firstRow="0" w:lastRow="0" w:firstColumn="0" w:lastColumn="0" w:oddVBand="0" w:evenVBand="0" w:oddHBand="1"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3,0</w:t>
            </w:r>
          </w:p>
        </w:tc>
        <w:tc>
          <w:tcPr>
            <w:tcW w:w="294" w:type="pct"/>
            <w:noWrap/>
            <w:hideMark/>
          </w:tcPr>
          <w:p w14:paraId="3610EEC3" w14:textId="77777777" w:rsidR="00CB2E14" w:rsidRPr="00026532" w:rsidRDefault="00CB2E14" w:rsidP="00CB2E14">
            <w:pPr>
              <w:jc w:val="both"/>
              <w:cnfStyle w:val="000000100000" w:firstRow="0" w:lastRow="0" w:firstColumn="0" w:lastColumn="0" w:oddVBand="0" w:evenVBand="0" w:oddHBand="1"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2,9</w:t>
            </w:r>
          </w:p>
        </w:tc>
        <w:tc>
          <w:tcPr>
            <w:tcW w:w="294" w:type="pct"/>
            <w:noWrap/>
            <w:hideMark/>
          </w:tcPr>
          <w:p w14:paraId="42A4731A" w14:textId="77777777" w:rsidR="00CB2E14" w:rsidRPr="00026532" w:rsidRDefault="00CB2E14" w:rsidP="00CB2E14">
            <w:pPr>
              <w:jc w:val="both"/>
              <w:cnfStyle w:val="000000100000" w:firstRow="0" w:lastRow="0" w:firstColumn="0" w:lastColumn="0" w:oddVBand="0" w:evenVBand="0" w:oddHBand="1"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5,8</w:t>
            </w:r>
          </w:p>
        </w:tc>
        <w:tc>
          <w:tcPr>
            <w:tcW w:w="294" w:type="pct"/>
            <w:noWrap/>
            <w:hideMark/>
          </w:tcPr>
          <w:p w14:paraId="39E07221" w14:textId="77777777" w:rsidR="00CB2E14" w:rsidRPr="00026532" w:rsidRDefault="00CB2E14" w:rsidP="00CB2E14">
            <w:pPr>
              <w:jc w:val="both"/>
              <w:cnfStyle w:val="000000100000" w:firstRow="0" w:lastRow="0" w:firstColumn="0" w:lastColumn="0" w:oddVBand="0" w:evenVBand="0" w:oddHBand="1"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3,8</w:t>
            </w:r>
          </w:p>
        </w:tc>
        <w:tc>
          <w:tcPr>
            <w:tcW w:w="294" w:type="pct"/>
            <w:noWrap/>
            <w:hideMark/>
          </w:tcPr>
          <w:p w14:paraId="728732FA" w14:textId="77777777" w:rsidR="00CB2E14" w:rsidRPr="00026532" w:rsidRDefault="00CB2E14" w:rsidP="00CB2E14">
            <w:pPr>
              <w:jc w:val="both"/>
              <w:cnfStyle w:val="000000100000" w:firstRow="0" w:lastRow="0" w:firstColumn="0" w:lastColumn="0" w:oddVBand="0" w:evenVBand="0" w:oddHBand="1"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3,0</w:t>
            </w:r>
          </w:p>
        </w:tc>
        <w:tc>
          <w:tcPr>
            <w:tcW w:w="294" w:type="pct"/>
            <w:noWrap/>
            <w:hideMark/>
          </w:tcPr>
          <w:p w14:paraId="47BB9C9A" w14:textId="77777777" w:rsidR="00CB2E14" w:rsidRPr="00026532" w:rsidRDefault="00CB2E14" w:rsidP="00CB2E14">
            <w:pPr>
              <w:jc w:val="both"/>
              <w:cnfStyle w:val="000000100000" w:firstRow="0" w:lastRow="0" w:firstColumn="0" w:lastColumn="0" w:oddVBand="0" w:evenVBand="0" w:oddHBand="1"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2,9</w:t>
            </w:r>
          </w:p>
        </w:tc>
        <w:tc>
          <w:tcPr>
            <w:tcW w:w="316" w:type="pct"/>
            <w:noWrap/>
            <w:hideMark/>
          </w:tcPr>
          <w:p w14:paraId="03739C7C" w14:textId="77777777" w:rsidR="00CB2E14" w:rsidRPr="00026532" w:rsidRDefault="00CB2E14" w:rsidP="00CB2E14">
            <w:pPr>
              <w:jc w:val="both"/>
              <w:cnfStyle w:val="000000100000" w:firstRow="0" w:lastRow="0" w:firstColumn="0" w:lastColumn="0" w:oddVBand="0" w:evenVBand="0" w:oddHBand="1"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N/A</w:t>
            </w:r>
          </w:p>
        </w:tc>
        <w:tc>
          <w:tcPr>
            <w:tcW w:w="316" w:type="pct"/>
            <w:noWrap/>
            <w:hideMark/>
          </w:tcPr>
          <w:p w14:paraId="0547010A" w14:textId="77777777" w:rsidR="00CB2E14" w:rsidRPr="00026532" w:rsidRDefault="00CB2E14" w:rsidP="00CB2E14">
            <w:pPr>
              <w:jc w:val="both"/>
              <w:cnfStyle w:val="000000100000" w:firstRow="0" w:lastRow="0" w:firstColumn="0" w:lastColumn="0" w:oddVBand="0" w:evenVBand="0" w:oddHBand="1"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N/A</w:t>
            </w:r>
          </w:p>
        </w:tc>
        <w:tc>
          <w:tcPr>
            <w:tcW w:w="316" w:type="pct"/>
            <w:noWrap/>
            <w:hideMark/>
          </w:tcPr>
          <w:p w14:paraId="0FFF94C2" w14:textId="77777777" w:rsidR="00CB2E14" w:rsidRPr="00026532" w:rsidRDefault="00CB2E14" w:rsidP="00CB2E14">
            <w:pPr>
              <w:jc w:val="both"/>
              <w:cnfStyle w:val="000000100000" w:firstRow="0" w:lastRow="0" w:firstColumn="0" w:lastColumn="0" w:oddVBand="0" w:evenVBand="0" w:oddHBand="1"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N/A</w:t>
            </w:r>
          </w:p>
        </w:tc>
        <w:tc>
          <w:tcPr>
            <w:tcW w:w="316" w:type="pct"/>
            <w:noWrap/>
            <w:hideMark/>
          </w:tcPr>
          <w:p w14:paraId="5AFA8BD3" w14:textId="77777777" w:rsidR="00CB2E14" w:rsidRPr="00026532" w:rsidRDefault="00CB2E14" w:rsidP="00CB2E14">
            <w:pPr>
              <w:jc w:val="both"/>
              <w:cnfStyle w:val="000000100000" w:firstRow="0" w:lastRow="0" w:firstColumn="0" w:lastColumn="0" w:oddVBand="0" w:evenVBand="0" w:oddHBand="1" w:evenHBand="0" w:firstRowFirstColumn="0" w:firstRowLastColumn="0" w:lastRowFirstColumn="0" w:lastRowLastColumn="0"/>
              <w:rPr>
                <w:rFonts w:eastAsia="Calibri" w:cstheme="minorHAnsi"/>
                <w:sz w:val="18"/>
                <w:szCs w:val="18"/>
                <w:lang w:eastAsia="sr-Latn-ME"/>
              </w:rPr>
            </w:pPr>
            <w:r w:rsidRPr="00026532">
              <w:rPr>
                <w:rFonts w:eastAsia="Calibri" w:cstheme="minorHAnsi"/>
                <w:sz w:val="18"/>
                <w:szCs w:val="18"/>
                <w:lang w:eastAsia="sr-Latn-ME"/>
              </w:rPr>
              <w:t>N/A</w:t>
            </w:r>
          </w:p>
        </w:tc>
      </w:tr>
    </w:tbl>
    <w:p w14:paraId="325058B8" w14:textId="69A81287" w:rsidR="00CB2E14" w:rsidRPr="004D5210" w:rsidRDefault="00CB2E14" w:rsidP="00CB2E14">
      <w:pPr>
        <w:jc w:val="both"/>
        <w:rPr>
          <w:rFonts w:eastAsia="Calibri" w:cstheme="minorHAnsi"/>
          <w:i/>
          <w:sz w:val="18"/>
          <w:szCs w:val="18"/>
          <w:lang w:val="sr-Latn-ME" w:eastAsia="sr-Latn-ME"/>
        </w:rPr>
      </w:pPr>
      <w:r w:rsidRPr="004D5210">
        <w:rPr>
          <w:rFonts w:eastAsia="Calibri" w:cstheme="minorHAnsi"/>
          <w:i/>
          <w:sz w:val="18"/>
          <w:szCs w:val="18"/>
          <w:lang w:val="sr-Latn-ME" w:eastAsia="sr-Latn-ME"/>
        </w:rPr>
        <w:t>Izvor: Projekcije Ministarstva finansija</w:t>
      </w:r>
    </w:p>
    <w:p w14:paraId="4F68626F" w14:textId="1FBE6B35" w:rsidR="00CB2E14" w:rsidRPr="009D700E" w:rsidRDefault="00CB2E14" w:rsidP="00CB2E14">
      <w:pPr>
        <w:jc w:val="both"/>
        <w:rPr>
          <w:rFonts w:eastAsia="Calibri" w:cstheme="minorHAnsi"/>
          <w:b/>
          <w:sz w:val="32"/>
          <w:lang w:val="sr-Latn-ME" w:eastAsia="sr-Latn-ME"/>
        </w:rPr>
      </w:pPr>
      <w:r w:rsidRPr="009D700E">
        <w:rPr>
          <w:sz w:val="24"/>
        </w:rPr>
        <w:lastRenderedPageBreak/>
        <w:t xml:space="preserve">Ipak, prospekti rasta i makroekonomske stabilnosti u narednom periodu ostaju izuzetno neizvjesni i podložni materijalizaciji brojnih rizika. Budući da su </w:t>
      </w:r>
      <w:r>
        <w:rPr>
          <w:sz w:val="24"/>
        </w:rPr>
        <w:t>protekle dvije godine</w:t>
      </w:r>
      <w:r w:rsidRPr="009D700E">
        <w:rPr>
          <w:sz w:val="24"/>
        </w:rPr>
        <w:t xml:space="preserve"> obilježile snažne geopolitičke neizvjesnosti,</w:t>
      </w:r>
      <w:r w:rsidRPr="00026532">
        <w:rPr>
          <w:sz w:val="24"/>
        </w:rPr>
        <w:t xml:space="preserve"> </w:t>
      </w:r>
      <w:r w:rsidRPr="00143C40">
        <w:rPr>
          <w:sz w:val="24"/>
        </w:rPr>
        <w:t xml:space="preserve">naredni period </w:t>
      </w:r>
      <w:r>
        <w:rPr>
          <w:sz w:val="24"/>
        </w:rPr>
        <w:t>bi mogao donijeti</w:t>
      </w:r>
      <w:r w:rsidRPr="00143C40">
        <w:rPr>
          <w:sz w:val="24"/>
        </w:rPr>
        <w:t xml:space="preserve"> dodatne nestabilnosti, naročito na evropskom prostoru, </w:t>
      </w:r>
      <w:r>
        <w:rPr>
          <w:sz w:val="24"/>
        </w:rPr>
        <w:t>što bi se odrazilo na rast</w:t>
      </w:r>
      <w:r w:rsidRPr="009D700E">
        <w:rPr>
          <w:sz w:val="24"/>
        </w:rPr>
        <w:t xml:space="preserve"> crnogorske privrede</w:t>
      </w:r>
      <w:r w:rsidRPr="00143C40">
        <w:rPr>
          <w:sz w:val="24"/>
        </w:rPr>
        <w:t>.</w:t>
      </w:r>
      <w:r>
        <w:rPr>
          <w:sz w:val="24"/>
        </w:rPr>
        <w:t xml:space="preserve"> </w:t>
      </w:r>
      <w:r w:rsidRPr="009D700E">
        <w:rPr>
          <w:sz w:val="24"/>
        </w:rPr>
        <w:t xml:space="preserve">Kretanja cijena na globalnoj sceni takođe ostaju vrlo nepredvidiva u kratkom roku, te predstavljaju najveći izazov </w:t>
      </w:r>
      <w:r>
        <w:rPr>
          <w:sz w:val="24"/>
        </w:rPr>
        <w:t>po planirani makroekonomski scenario</w:t>
      </w:r>
      <w:r w:rsidRPr="009D700E">
        <w:rPr>
          <w:sz w:val="24"/>
        </w:rPr>
        <w:t>. Rizike po stabilnost javn</w:t>
      </w:r>
      <w:r>
        <w:rPr>
          <w:sz w:val="24"/>
        </w:rPr>
        <w:t>ih</w:t>
      </w:r>
      <w:r w:rsidRPr="009D700E">
        <w:rPr>
          <w:sz w:val="24"/>
        </w:rPr>
        <w:t xml:space="preserve"> finansij</w:t>
      </w:r>
      <w:r>
        <w:rPr>
          <w:sz w:val="24"/>
        </w:rPr>
        <w:t>a</w:t>
      </w:r>
      <w:r w:rsidRPr="009D700E">
        <w:rPr>
          <w:sz w:val="24"/>
        </w:rPr>
        <w:t xml:space="preserve"> predstavljaju i unutrašnje političke prilike i ograničeni fiskalni prostor za dodatno reagovanje na tržišne nestabilnosti. Odlaganje sprovođenja strukturnih reformi, slabija dinamika planiranih investicija,</w:t>
      </w:r>
      <w:r>
        <w:rPr>
          <w:sz w:val="24"/>
        </w:rPr>
        <w:t xml:space="preserve"> klimatske promjene</w:t>
      </w:r>
      <w:r w:rsidRPr="009D700E">
        <w:rPr>
          <w:sz w:val="24"/>
        </w:rPr>
        <w:t>, mogu biti takođe dodatni izazovi dinamičnom rastu u srednjem roku.</w:t>
      </w:r>
    </w:p>
    <w:p w14:paraId="72952320" w14:textId="5A5B0A7D" w:rsidR="00CB2E14" w:rsidRPr="0047692E" w:rsidRDefault="00CB2E14" w:rsidP="00CB2E14">
      <w:pPr>
        <w:jc w:val="both"/>
        <w:rPr>
          <w:rFonts w:eastAsia="Calibri" w:cstheme="minorHAnsi"/>
          <w:b/>
          <w:color w:val="2F5496" w:themeColor="accent1" w:themeShade="BF"/>
          <w:sz w:val="24"/>
          <w:lang w:val="sr-Latn-ME" w:eastAsia="sr-Latn-ME"/>
        </w:rPr>
      </w:pPr>
      <w:r w:rsidRPr="0047692E">
        <w:rPr>
          <w:rFonts w:eastAsia="Calibri" w:cstheme="minorHAnsi"/>
          <w:b/>
          <w:color w:val="2F5496" w:themeColor="accent1" w:themeShade="BF"/>
          <w:sz w:val="24"/>
          <w:lang w:val="sr-Latn-ME" w:eastAsia="sr-Latn-ME"/>
        </w:rPr>
        <w:t>3.2.2. Potencijalni rast</w:t>
      </w:r>
    </w:p>
    <w:p w14:paraId="5E71648E" w14:textId="6E9B1130" w:rsidR="00CB2E14" w:rsidRDefault="00CB2E14" w:rsidP="00CB2E14">
      <w:pPr>
        <w:jc w:val="both"/>
      </w:pPr>
      <w:r w:rsidRPr="00515C5F">
        <w:rPr>
          <w:sz w:val="24"/>
        </w:rPr>
        <w:t>Crnogorska ekonomija tokom posljednjih nekoliko godina bilježi visoke stope ekonomskog rasta, izuzev u 2020, usljed krize pandemije. Analiza proizvodnih faktora u makroekonomskom modelu, pokazuje da se rast crnogorske ekonomije u periodu 2008-2023, kretao oko potencijala, pa je prosječni rast ekonomije u ovom periodu iznosio 2,5%. Rastu je najviše doprinio rast kapitalne aktive od 2,5%, radna snaga je kao faktor rasta dodala 1,2%, dok je ukupna faktorska produktivnost, kao faktor kombinovanja raspoloživih tehnoloških kapaciteta, oduzela rastu 1,2%. Za period 2024-2026, potencijal rasta crnogorske ekonomije se prema procjeni povećava na 3,1%, pri čemu se struktura proizvodnih faktora mijenja u korist pozitivnog doprinosa produktivnosti ekonomskom rastu</w:t>
      </w:r>
      <w:r>
        <w:t>.</w:t>
      </w:r>
    </w:p>
    <w:p w14:paraId="3F2B8503" w14:textId="60D45DCA" w:rsidR="00CB2E14" w:rsidRPr="00515C5F" w:rsidRDefault="00B84E2B" w:rsidP="00CB2E14">
      <w:pPr>
        <w:jc w:val="both"/>
        <w:rPr>
          <w:sz w:val="24"/>
        </w:rPr>
      </w:pPr>
      <w:r w:rsidRPr="00515C5F">
        <w:rPr>
          <w:noProof/>
          <w:sz w:val="24"/>
          <w:lang w:val="en-GB" w:eastAsia="en-GB"/>
        </w:rPr>
        <mc:AlternateContent>
          <mc:Choice Requires="wps">
            <w:drawing>
              <wp:anchor distT="0" distB="0" distL="114300" distR="114300" simplePos="0" relativeHeight="251663360" behindDoc="0" locked="0" layoutInCell="1" allowOverlap="1" wp14:anchorId="77FFE69C" wp14:editId="616FC404">
                <wp:simplePos x="0" y="0"/>
                <wp:positionH relativeFrom="margin">
                  <wp:posOffset>104140</wp:posOffset>
                </wp:positionH>
                <wp:positionV relativeFrom="margin">
                  <wp:posOffset>4779010</wp:posOffset>
                </wp:positionV>
                <wp:extent cx="2428875" cy="171450"/>
                <wp:effectExtent l="0" t="0" r="9525" b="0"/>
                <wp:wrapSquare wrapText="bothSides"/>
                <wp:docPr id="2" name="Text Box 2"/>
                <wp:cNvGraphicFramePr/>
                <a:graphic xmlns:a="http://schemas.openxmlformats.org/drawingml/2006/main">
                  <a:graphicData uri="http://schemas.microsoft.com/office/word/2010/wordprocessingShape">
                    <wps:wsp>
                      <wps:cNvSpPr txBox="1"/>
                      <wps:spPr>
                        <a:xfrm>
                          <a:off x="0" y="0"/>
                          <a:ext cx="2428875" cy="171450"/>
                        </a:xfrm>
                        <a:prstGeom prst="rect">
                          <a:avLst/>
                        </a:prstGeom>
                        <a:solidFill>
                          <a:prstClr val="white"/>
                        </a:solidFill>
                        <a:ln>
                          <a:noFill/>
                        </a:ln>
                      </wps:spPr>
                      <wps:txbx>
                        <w:txbxContent>
                          <w:p w14:paraId="1C20694B" w14:textId="77777777" w:rsidR="00052499" w:rsidRPr="0078602A" w:rsidRDefault="00052499" w:rsidP="00CB2E14">
                            <w:pPr>
                              <w:pStyle w:val="Caption"/>
                              <w:rPr>
                                <w:b/>
                                <w:i w:val="0"/>
                                <w:noProof/>
                                <w:color w:val="2F5496" w:themeColor="accent1" w:themeShade="BF"/>
                                <w:sz w:val="22"/>
                              </w:rPr>
                            </w:pPr>
                            <w:r w:rsidRPr="0078602A">
                              <w:rPr>
                                <w:b/>
                                <w:i w:val="0"/>
                                <w:color w:val="2F5496" w:themeColor="accent1" w:themeShade="BF"/>
                                <w:sz w:val="22"/>
                              </w:rPr>
                              <w:t>Grafik 3.2.2: Output gap 2007-2027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FFE69C" id="_x0000_t202" coordsize="21600,21600" o:spt="202" path="m,l,21600r21600,l21600,xe">
                <v:stroke joinstyle="miter"/>
                <v:path gradientshapeok="t" o:connecttype="rect"/>
              </v:shapetype>
              <v:shape id="Text Box 2" o:spid="_x0000_s1026" type="#_x0000_t202" style="position:absolute;left:0;text-align:left;margin-left:8.2pt;margin-top:376.3pt;width:191.25pt;height:13.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" stroked="f">
                <v:textbox inset="0,0,0,0">
                  <w:txbxContent>
                    <w:p w14:paraId="1C20694B" w14:textId="77777777" w:rsidR="00052499" w:rsidRPr="0078602A" w:rsidRDefault="00052499" w:rsidP="00CB2E14">
                      <w:pPr>
                        <w:pStyle w:val="Caption"/>
                        <w:rPr>
                          <w:b/>
                          <w:i w:val="0"/>
                          <w:noProof/>
                          <w:color w:val="2F5496" w:themeColor="accent1" w:themeShade="BF"/>
                          <w:sz w:val="22"/>
                        </w:rPr>
                      </w:pPr>
                      <w:r w:rsidRPr="0078602A">
                        <w:rPr>
                          <w:b/>
                          <w:i w:val="0"/>
                          <w:color w:val="2F5496" w:themeColor="accent1" w:themeShade="BF"/>
                          <w:sz w:val="22"/>
                        </w:rPr>
                        <w:t>Grafik 3.2.2: Output gap 2007-2027</w:t>
                      </w:r>
                    </w:p>
                  </w:txbxContent>
                </v:textbox>
                <w10:wrap type="square" anchorx="margin" anchory="margin"/>
              </v:shape>
            </w:pict>
          </mc:Fallback>
        </mc:AlternateContent>
      </w:r>
      <w:r w:rsidRPr="00515C5F">
        <w:rPr>
          <w:noProof/>
          <w:sz w:val="24"/>
          <w:lang w:val="en-GB" w:eastAsia="en-GB"/>
        </w:rPr>
        <w:drawing>
          <wp:anchor distT="0" distB="0" distL="114300" distR="114300" simplePos="0" relativeHeight="251662336" behindDoc="0" locked="0" layoutInCell="1" allowOverlap="1" wp14:anchorId="1D087192" wp14:editId="096EE33E">
            <wp:simplePos x="0" y="0"/>
            <wp:positionH relativeFrom="margin">
              <wp:posOffset>0</wp:posOffset>
            </wp:positionH>
            <wp:positionV relativeFrom="paragraph">
              <wp:posOffset>521335</wp:posOffset>
            </wp:positionV>
            <wp:extent cx="2461895" cy="1899920"/>
            <wp:effectExtent l="0" t="0" r="0" b="5080"/>
            <wp:wrapSquare wrapText="bothSides"/>
            <wp:docPr id="1" name="Chart 1">
              <a:extLst xmlns:a="http://schemas.openxmlformats.org/drawingml/2006/main">
                <a:ext uri="{FF2B5EF4-FFF2-40B4-BE49-F238E27FC236}">
                  <a16:creationId xmlns:a16="http://schemas.microsoft.com/office/drawing/2014/main" id="{00000000-0008-0000-08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r w:rsidR="00CB2E14" w:rsidRPr="00515C5F">
        <w:rPr>
          <w:sz w:val="24"/>
        </w:rPr>
        <w:t>Usljed projektovanog kretanja privredne aktivnosti u srednjem roku i opredijeljenih stopa rasta, očekuje se dalji rast zaposlenosti i potrošnje, uz postepeni oporavak investicija i započinjanje novog investicionog ciklusa. Shodno modelskim projekcijama, predviđa se kretanje ekonomije oko njenog potencijala, uz smanjivanje jaza između potencijalnog i realno projektovanog BDP-a (</w:t>
      </w:r>
      <w:r w:rsidR="00CB2E14" w:rsidRPr="00515C5F">
        <w:rPr>
          <w:i/>
          <w:sz w:val="24"/>
        </w:rPr>
        <w:t xml:space="preserve">output gap-a) </w:t>
      </w:r>
      <w:r w:rsidR="00CB2E14" w:rsidRPr="00515C5F">
        <w:rPr>
          <w:sz w:val="24"/>
        </w:rPr>
        <w:t>u narednom srednjoročnom periodu. Konvergenciju će voditi najavljene budžetske mjere i strukturne reforme, kojima se stvaraju regulatorne pretpostavke za održanje dinamičnog nivoa rasta ekonomije i rast konkurentnosti i produktivnosti.</w:t>
      </w:r>
    </w:p>
    <w:p w14:paraId="034FD85C" w14:textId="68FC8190" w:rsidR="00687897" w:rsidRDefault="00687897" w:rsidP="00CB2E14">
      <w:pPr>
        <w:jc w:val="both"/>
        <w:rPr>
          <w:rFonts w:eastAsia="Calibri" w:cstheme="minorHAnsi"/>
          <w:b/>
          <w:color w:val="2F5496" w:themeColor="accent1" w:themeShade="BF"/>
          <w:sz w:val="24"/>
          <w:lang w:val="sr-Latn-ME" w:eastAsia="sr-Latn-ME"/>
        </w:rPr>
      </w:pPr>
    </w:p>
    <w:p w14:paraId="7253254F" w14:textId="67D576A7" w:rsidR="00687897" w:rsidRDefault="00687897" w:rsidP="00CB2E14">
      <w:pPr>
        <w:jc w:val="both"/>
        <w:rPr>
          <w:rFonts w:eastAsia="Calibri" w:cstheme="minorHAnsi"/>
          <w:b/>
          <w:color w:val="2F5496" w:themeColor="accent1" w:themeShade="BF"/>
          <w:sz w:val="24"/>
          <w:lang w:val="sr-Latn-ME" w:eastAsia="sr-Latn-ME"/>
        </w:rPr>
      </w:pPr>
    </w:p>
    <w:p w14:paraId="0C297411" w14:textId="46E585C3" w:rsidR="00687897" w:rsidRDefault="00687897" w:rsidP="00CB2E14">
      <w:pPr>
        <w:jc w:val="both"/>
        <w:rPr>
          <w:rFonts w:eastAsia="Calibri" w:cstheme="minorHAnsi"/>
          <w:b/>
          <w:color w:val="2F5496" w:themeColor="accent1" w:themeShade="BF"/>
          <w:sz w:val="24"/>
          <w:lang w:val="sr-Latn-ME" w:eastAsia="sr-Latn-ME"/>
        </w:rPr>
      </w:pPr>
    </w:p>
    <w:p w14:paraId="41ADA563" w14:textId="123C9EA1" w:rsidR="00687897" w:rsidRDefault="00687897" w:rsidP="00CB2E14">
      <w:pPr>
        <w:jc w:val="both"/>
        <w:rPr>
          <w:rFonts w:eastAsia="Calibri" w:cstheme="minorHAnsi"/>
          <w:b/>
          <w:color w:val="2F5496" w:themeColor="accent1" w:themeShade="BF"/>
          <w:sz w:val="24"/>
          <w:lang w:val="sr-Latn-ME" w:eastAsia="sr-Latn-ME"/>
        </w:rPr>
      </w:pPr>
    </w:p>
    <w:p w14:paraId="5A27C8F5" w14:textId="64F38A19" w:rsidR="00687897" w:rsidRDefault="00687897" w:rsidP="00CB2E14">
      <w:pPr>
        <w:jc w:val="both"/>
        <w:rPr>
          <w:rFonts w:eastAsia="Calibri" w:cstheme="minorHAnsi"/>
          <w:b/>
          <w:color w:val="2F5496" w:themeColor="accent1" w:themeShade="BF"/>
          <w:sz w:val="24"/>
          <w:lang w:val="sr-Latn-ME" w:eastAsia="sr-Latn-ME"/>
        </w:rPr>
      </w:pPr>
    </w:p>
    <w:p w14:paraId="1BF1E6FC" w14:textId="46FA7F0E" w:rsidR="00687897" w:rsidRDefault="00687897" w:rsidP="00CB2E14">
      <w:pPr>
        <w:jc w:val="both"/>
        <w:rPr>
          <w:rFonts w:eastAsia="Calibri" w:cstheme="minorHAnsi"/>
          <w:b/>
          <w:color w:val="2F5496" w:themeColor="accent1" w:themeShade="BF"/>
          <w:sz w:val="24"/>
          <w:lang w:val="sr-Latn-ME" w:eastAsia="sr-Latn-ME"/>
        </w:rPr>
      </w:pPr>
    </w:p>
    <w:p w14:paraId="701E2084" w14:textId="75A54670" w:rsidR="00687897" w:rsidRDefault="00687897" w:rsidP="00CB2E14">
      <w:pPr>
        <w:jc w:val="both"/>
        <w:rPr>
          <w:rFonts w:eastAsia="Calibri" w:cstheme="minorHAnsi"/>
          <w:b/>
          <w:color w:val="2F5496" w:themeColor="accent1" w:themeShade="BF"/>
          <w:sz w:val="24"/>
          <w:lang w:val="sr-Latn-ME" w:eastAsia="sr-Latn-ME"/>
        </w:rPr>
      </w:pPr>
    </w:p>
    <w:p w14:paraId="039A8D60" w14:textId="2EE07895" w:rsidR="00CB2E14" w:rsidRPr="0047692E" w:rsidRDefault="00CB2E14" w:rsidP="00CB2E14">
      <w:pPr>
        <w:jc w:val="both"/>
        <w:rPr>
          <w:rFonts w:eastAsia="Calibri" w:cstheme="minorHAnsi"/>
          <w:b/>
          <w:color w:val="2F5496" w:themeColor="accent1" w:themeShade="BF"/>
          <w:sz w:val="24"/>
          <w:lang w:val="sr-Latn-ME" w:eastAsia="sr-Latn-ME"/>
        </w:rPr>
      </w:pPr>
      <w:r w:rsidRPr="0047692E">
        <w:rPr>
          <w:rFonts w:eastAsia="Calibri" w:cstheme="minorHAnsi"/>
          <w:b/>
          <w:color w:val="2F5496" w:themeColor="accent1" w:themeShade="BF"/>
          <w:sz w:val="24"/>
          <w:lang w:val="sr-Latn-ME" w:eastAsia="sr-Latn-ME"/>
        </w:rPr>
        <w:lastRenderedPageBreak/>
        <w:t>3.2.3. Eksterni sektor i njegova srednjoročna održivost</w:t>
      </w:r>
    </w:p>
    <w:p w14:paraId="5B2E41B6" w14:textId="3E18A5E7" w:rsidR="00CB2E14" w:rsidRPr="00515C5F" w:rsidRDefault="00D763D3" w:rsidP="00CB2E14">
      <w:pPr>
        <w:jc w:val="both"/>
        <w:rPr>
          <w:sz w:val="24"/>
        </w:rPr>
      </w:pPr>
      <w:r w:rsidRPr="00515C5F">
        <w:rPr>
          <w:b/>
          <w:noProof/>
          <w:sz w:val="24"/>
          <w:lang w:val="en-GB" w:eastAsia="en-GB"/>
        </w:rPr>
        <mc:AlternateContent>
          <mc:Choice Requires="wps">
            <w:drawing>
              <wp:anchor distT="0" distB="0" distL="114300" distR="114300" simplePos="0" relativeHeight="251682816" behindDoc="0" locked="0" layoutInCell="1" allowOverlap="1" wp14:anchorId="36A5FA63" wp14:editId="340C0F63">
                <wp:simplePos x="0" y="0"/>
                <wp:positionH relativeFrom="margin">
                  <wp:posOffset>0</wp:posOffset>
                </wp:positionH>
                <wp:positionV relativeFrom="margin">
                  <wp:posOffset>737235</wp:posOffset>
                </wp:positionV>
                <wp:extent cx="2673985" cy="332740"/>
                <wp:effectExtent l="0" t="0" r="0" b="0"/>
                <wp:wrapSquare wrapText="bothSides"/>
                <wp:docPr id="5" name="Text Box 5"/>
                <wp:cNvGraphicFramePr/>
                <a:graphic xmlns:a="http://schemas.openxmlformats.org/drawingml/2006/main">
                  <a:graphicData uri="http://schemas.microsoft.com/office/word/2010/wordprocessingShape">
                    <wps:wsp>
                      <wps:cNvSpPr txBox="1"/>
                      <wps:spPr>
                        <a:xfrm>
                          <a:off x="0" y="0"/>
                          <a:ext cx="2673985" cy="332740"/>
                        </a:xfrm>
                        <a:prstGeom prst="rect">
                          <a:avLst/>
                        </a:prstGeom>
                        <a:solidFill>
                          <a:prstClr val="white"/>
                        </a:solidFill>
                        <a:ln>
                          <a:noFill/>
                        </a:ln>
                      </wps:spPr>
                      <wps:txbx>
                        <w:txbxContent>
                          <w:p w14:paraId="233FAFFB" w14:textId="77777777" w:rsidR="00052499" w:rsidRPr="004D5210" w:rsidRDefault="00052499" w:rsidP="00D763D3">
                            <w:pPr>
                              <w:pStyle w:val="Caption"/>
                              <w:rPr>
                                <w:b/>
                                <w:i w:val="0"/>
                                <w:noProof/>
                                <w:color w:val="2F5496" w:themeColor="accent1" w:themeShade="BF"/>
                                <w:sz w:val="22"/>
                              </w:rPr>
                            </w:pPr>
                            <w:r w:rsidRPr="004D5210">
                              <w:rPr>
                                <w:b/>
                                <w:i w:val="0"/>
                                <w:color w:val="2F5496" w:themeColor="accent1" w:themeShade="BF"/>
                                <w:sz w:val="22"/>
                              </w:rPr>
                              <w:t>Grafik 3.2.3 Jedinični troškovi rada 2010-2026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A5FA63" id="Text Box 5" o:spid="_x0000_s1027" type="#_x0000_t202" style="position:absolute;left:0;text-align:left;margin-left:0;margin-top:58.05pt;width:210.55pt;height:26.2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" stroked="f">
                <v:textbox inset="0,0,0,0">
                  <w:txbxContent>
                    <w:p w14:paraId="233FAFFB" w14:textId="77777777" w:rsidR="00052499" w:rsidRPr="004D5210" w:rsidRDefault="00052499" w:rsidP="00D763D3">
                      <w:pPr>
                        <w:pStyle w:val="Caption"/>
                        <w:rPr>
                          <w:b/>
                          <w:i w:val="0"/>
                          <w:noProof/>
                          <w:color w:val="2F5496" w:themeColor="accent1" w:themeShade="BF"/>
                          <w:sz w:val="22"/>
                        </w:rPr>
                      </w:pPr>
                      <w:r w:rsidRPr="004D5210">
                        <w:rPr>
                          <w:b/>
                          <w:i w:val="0"/>
                          <w:color w:val="2F5496" w:themeColor="accent1" w:themeShade="BF"/>
                          <w:sz w:val="22"/>
                        </w:rPr>
                        <w:t>Grafik 3.2.3 Jedinični troškovi rada 2010-2026</w:t>
                      </w:r>
                    </w:p>
                  </w:txbxContent>
                </v:textbox>
                <w10:wrap type="square" anchorx="margin" anchory="margin"/>
              </v:shape>
            </w:pict>
          </mc:Fallback>
        </mc:AlternateContent>
      </w:r>
      <w:r w:rsidRPr="00515C5F">
        <w:rPr>
          <w:b/>
          <w:noProof/>
          <w:sz w:val="24"/>
          <w:lang w:val="en-GB" w:eastAsia="en-GB"/>
        </w:rPr>
        <w:drawing>
          <wp:anchor distT="0" distB="0" distL="114300" distR="114300" simplePos="0" relativeHeight="251665408" behindDoc="0" locked="0" layoutInCell="1" allowOverlap="1" wp14:anchorId="6ECA35B8" wp14:editId="1E5B5636">
            <wp:simplePos x="0" y="0"/>
            <wp:positionH relativeFrom="margin">
              <wp:align>left</wp:align>
            </wp:positionH>
            <wp:positionV relativeFrom="paragraph">
              <wp:posOffset>892336</wp:posOffset>
            </wp:positionV>
            <wp:extent cx="2673985" cy="1833880"/>
            <wp:effectExtent l="0" t="0" r="0" b="0"/>
            <wp:wrapSquare wrapText="bothSides"/>
            <wp:docPr id="6" name="Chart 6">
              <a:extLst xmlns:a="http://schemas.openxmlformats.org/drawingml/2006/main">
                <a:ext uri="{FF2B5EF4-FFF2-40B4-BE49-F238E27FC236}">
                  <a16:creationId xmlns:a16="http://schemas.microsoft.com/office/drawing/2014/main" id="{00000000-0008-0000-05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CB2E14" w:rsidRPr="00515C5F">
        <w:rPr>
          <w:sz w:val="24"/>
        </w:rPr>
        <w:t>Nedovoljna diversifikovanost crnogorske ekonomije, otvorenost za spoljnotrgovinske tokove i visoka uvozna zavisnost, predstavljaju dugoročni strukturni izazov Crne Gore</w:t>
      </w:r>
      <w:r w:rsidR="00CB2E14">
        <w:rPr>
          <w:sz w:val="24"/>
        </w:rPr>
        <w:t>. Procijenjeni</w:t>
      </w:r>
      <w:r w:rsidR="00CB2E14" w:rsidRPr="00515C5F">
        <w:rPr>
          <w:sz w:val="24"/>
        </w:rPr>
        <w:t xml:space="preserve"> izvoz roba u 2023. čini svega 10,8% </w:t>
      </w:r>
      <w:r w:rsidR="00CB2E14">
        <w:rPr>
          <w:sz w:val="24"/>
        </w:rPr>
        <w:t>BDP-a, dok se</w:t>
      </w:r>
      <w:r w:rsidR="00CB2E14" w:rsidRPr="00515C5F">
        <w:rPr>
          <w:sz w:val="24"/>
        </w:rPr>
        <w:t xml:space="preserve"> deficit u eksternom sektoru, kada je u pitanju platno </w:t>
      </w:r>
      <w:r w:rsidR="00387D2D">
        <w:rPr>
          <w:sz w:val="24"/>
        </w:rPr>
        <w:t xml:space="preserve">  </w:t>
      </w:r>
      <w:r w:rsidR="00CB2E14" w:rsidRPr="00515C5F">
        <w:rPr>
          <w:sz w:val="24"/>
        </w:rPr>
        <w:t xml:space="preserve">bilansna pozicija, </w:t>
      </w:r>
      <w:r w:rsidR="00CB2E14">
        <w:rPr>
          <w:sz w:val="24"/>
        </w:rPr>
        <w:t>procjenjuje na</w:t>
      </w:r>
      <w:r w:rsidR="00CB2E14" w:rsidRPr="00515C5F">
        <w:rPr>
          <w:sz w:val="24"/>
        </w:rPr>
        <w:t xml:space="preserve"> 12,7% BDP-a. Spoljnotrgovinski minus je procijenjen na 47,2% BDP-a </w:t>
      </w:r>
      <w:r w:rsidR="00CB2E14">
        <w:rPr>
          <w:sz w:val="24"/>
        </w:rPr>
        <w:t xml:space="preserve">i </w:t>
      </w:r>
      <w:r w:rsidR="00CB2E14" w:rsidRPr="00515C5F">
        <w:rPr>
          <w:sz w:val="24"/>
        </w:rPr>
        <w:t>djelimično</w:t>
      </w:r>
      <w:r w:rsidR="00CB2E14">
        <w:rPr>
          <w:sz w:val="24"/>
        </w:rPr>
        <w:t xml:space="preserve"> će</w:t>
      </w:r>
      <w:r w:rsidR="00CB2E14" w:rsidRPr="00515C5F">
        <w:rPr>
          <w:sz w:val="24"/>
        </w:rPr>
        <w:t xml:space="preserve"> biti kompenzovan suficitom na računima usluga (25,5% BDP-a), primarnog (1,7%) i sekundarnog dohotka (7,4% BDP-a). Nakon rekordnog izvoza roba u 2022. godini, izvozna aktivnost je tokom 2023. u padu, usljed nižeg izvoza metalske industrije, kao i pada izvoznih cijena, uslovljenih kretanjima cijena metala, primarno aluminijuma na međunarodnim berzama. U skladu sa stabilizacijom dinamike potrošnje, ali i oporavk</w:t>
      </w:r>
      <w:r w:rsidR="00CB2E14">
        <w:rPr>
          <w:sz w:val="24"/>
        </w:rPr>
        <w:t>om</w:t>
      </w:r>
      <w:r w:rsidR="00CB2E14" w:rsidRPr="00515C5F">
        <w:rPr>
          <w:sz w:val="24"/>
        </w:rPr>
        <w:t xml:space="preserve"> investicione aktivnosti, očekuje se umjereni rast uvoza roba u srednjem roku. Shodno projektovanim kretanjima, očekuje se postepeni pad deficita tekućeg računa, sa 12,7% na i dalje visokih 10,9% BDP-a u 2026. Očekuje se da će se deficit i dalje u najvećoj mjeri finansirati prilivom stranih direktnih investicija, za koje je predviđeno usporavanje u srednjem roku i prosječno učešće od oko 7,4% u strukturi BDP-a.</w:t>
      </w:r>
    </w:p>
    <w:p w14:paraId="189BD8E8" w14:textId="4AA62E25" w:rsidR="00CB2E14" w:rsidRDefault="00CB2E14" w:rsidP="00CB2E14">
      <w:pPr>
        <w:jc w:val="both"/>
      </w:pPr>
      <w:r w:rsidRPr="00515C5F">
        <w:rPr>
          <w:b/>
          <w:sz w:val="24"/>
        </w:rPr>
        <w:t>Analiza konkurentnosti</w:t>
      </w:r>
      <w:r w:rsidRPr="00515C5F">
        <w:rPr>
          <w:sz w:val="24"/>
        </w:rPr>
        <w:t xml:space="preserve"> koja je urađena na osnovu </w:t>
      </w:r>
      <w:r w:rsidRPr="00515C5F">
        <w:rPr>
          <w:b/>
          <w:sz w:val="24"/>
        </w:rPr>
        <w:t>jedinične cijene rada (ULC)</w:t>
      </w:r>
      <w:r w:rsidRPr="00515C5F">
        <w:rPr>
          <w:sz w:val="24"/>
        </w:rPr>
        <w:t>, pokazuje da je cjenovna konkurentnost značajno rasla u periodu 2010-2019, kao posljedica dinamike rasta zarada, zaposlenosti i BDP-a. Cjenovna konkurentnost rada je u 2020, u krizi pandemije značajno smanjena, dok je u 2021, pri snažnom oporavku ekonomije, došlo do poboljšanja konkurentnosti, usljed znatno većeg rasta BDP-a od rasta zarada. Trend pada konkurentnosti cijene rada je primjetan tokom 2022. i 2023. godine, usljed znatno bržeg rasta troškova fonda zarada u ekonomiji od porasta ekonomske aktivnosti. U periodu 2024-2026, očekuje se blagi rast cjenovne konkurentnosti rada u domaćoj ekonomiji, iako će nominalne zarade bilježiti nešto veći rast, realni fond zarada će usljed projektovanih stopa inflacije i rasta zaposlenosti, biti manji od povećanja BDP-a. Tako će realni rast BDP-a od prosječnih 3,2% biti iznad rasta realnih zarada i zaposlenosti, za koje je prognozirano povećanje od 0,7%, odnosno 1,9% u srednjem roku</w:t>
      </w:r>
      <w:r>
        <w:t>.</w:t>
      </w:r>
      <w:r w:rsidR="00B84E2B" w:rsidRPr="00B84E2B">
        <w:rPr>
          <w:noProof/>
          <w:sz w:val="24"/>
          <w:lang w:val="en-GB" w:eastAsia="en-GB"/>
        </w:rPr>
        <w:t xml:space="preserve"> </w:t>
      </w:r>
    </w:p>
    <w:p w14:paraId="2DDD0470" w14:textId="64450DF1" w:rsidR="00CB2E14" w:rsidRDefault="004D5210" w:rsidP="00CB2E14">
      <w:pPr>
        <w:jc w:val="both"/>
      </w:pPr>
      <w:r w:rsidRPr="00515C5F">
        <w:rPr>
          <w:noProof/>
          <w:sz w:val="24"/>
          <w:lang w:val="en-GB" w:eastAsia="en-GB"/>
        </w:rPr>
        <mc:AlternateContent>
          <mc:Choice Requires="wps">
            <w:drawing>
              <wp:anchor distT="0" distB="0" distL="114300" distR="114300" simplePos="0" relativeHeight="251691008" behindDoc="0" locked="0" layoutInCell="1" allowOverlap="1" wp14:anchorId="7FC89D7C" wp14:editId="54AB5AB7">
                <wp:simplePos x="0" y="0"/>
                <wp:positionH relativeFrom="margin">
                  <wp:posOffset>228600</wp:posOffset>
                </wp:positionH>
                <wp:positionV relativeFrom="margin">
                  <wp:posOffset>6942455</wp:posOffset>
                </wp:positionV>
                <wp:extent cx="2263140" cy="137160"/>
                <wp:effectExtent l="0" t="0" r="3810" b="0"/>
                <wp:wrapSquare wrapText="bothSides"/>
                <wp:docPr id="10" name="Text Box 10"/>
                <wp:cNvGraphicFramePr/>
                <a:graphic xmlns:a="http://schemas.openxmlformats.org/drawingml/2006/main">
                  <a:graphicData uri="http://schemas.microsoft.com/office/word/2010/wordprocessingShape">
                    <wps:wsp>
                      <wps:cNvSpPr txBox="1"/>
                      <wps:spPr>
                        <a:xfrm>
                          <a:off x="0" y="0"/>
                          <a:ext cx="2263140" cy="137160"/>
                        </a:xfrm>
                        <a:prstGeom prst="rect">
                          <a:avLst/>
                        </a:prstGeom>
                        <a:solidFill>
                          <a:prstClr val="white"/>
                        </a:solidFill>
                        <a:ln>
                          <a:noFill/>
                        </a:ln>
                      </wps:spPr>
                      <wps:txbx>
                        <w:txbxContent>
                          <w:p w14:paraId="27575911" w14:textId="77777777" w:rsidR="00052499" w:rsidRPr="0078602A" w:rsidRDefault="00052499" w:rsidP="00B84E2B">
                            <w:pPr>
                              <w:pStyle w:val="Caption"/>
                              <w:rPr>
                                <w:b/>
                                <w:i w:val="0"/>
                                <w:noProof/>
                                <w:color w:val="2F5496" w:themeColor="accent1" w:themeShade="BF"/>
                                <w:sz w:val="22"/>
                              </w:rPr>
                            </w:pPr>
                            <w:r w:rsidRPr="0078602A">
                              <w:rPr>
                                <w:b/>
                                <w:i w:val="0"/>
                                <w:color w:val="2F5496" w:themeColor="accent1" w:themeShade="BF"/>
                                <w:sz w:val="22"/>
                              </w:rPr>
                              <w:t>Grafik 3.2.4 Produktivnost, 2007-2026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C89D7C" id="Text Box 10" o:spid="_x0000_s1028" type="#_x0000_t202" style="position:absolute;left:0;text-align:left;margin-left:18pt;margin-top:546.65pt;width:178.2pt;height:10.8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" stroked="f">
                <v:textbox inset="0,0,0,0">
                  <w:txbxContent>
                    <w:p w14:paraId="27575911" w14:textId="77777777" w:rsidR="00052499" w:rsidRPr="0078602A" w:rsidRDefault="00052499" w:rsidP="00B84E2B">
                      <w:pPr>
                        <w:pStyle w:val="Caption"/>
                        <w:rPr>
                          <w:b/>
                          <w:i w:val="0"/>
                          <w:noProof/>
                          <w:color w:val="2F5496" w:themeColor="accent1" w:themeShade="BF"/>
                          <w:sz w:val="22"/>
                        </w:rPr>
                      </w:pPr>
                      <w:r w:rsidRPr="0078602A">
                        <w:rPr>
                          <w:b/>
                          <w:i w:val="0"/>
                          <w:color w:val="2F5496" w:themeColor="accent1" w:themeShade="BF"/>
                          <w:sz w:val="22"/>
                        </w:rPr>
                        <w:t>Grafik 3.2.4 Produktivnost, 2007-2026</w:t>
                      </w:r>
                    </w:p>
                  </w:txbxContent>
                </v:textbox>
                <w10:wrap type="square" anchorx="margin" anchory="margin"/>
              </v:shape>
            </w:pict>
          </mc:Fallback>
        </mc:AlternateContent>
      </w:r>
      <w:r w:rsidR="00B84E2B" w:rsidRPr="00515C5F">
        <w:rPr>
          <w:noProof/>
          <w:sz w:val="24"/>
          <w:lang w:val="en-GB" w:eastAsia="en-GB"/>
        </w:rPr>
        <w:drawing>
          <wp:anchor distT="0" distB="0" distL="114300" distR="114300" simplePos="0" relativeHeight="251688960" behindDoc="0" locked="0" layoutInCell="1" allowOverlap="1" wp14:anchorId="566F49C1" wp14:editId="0D423FB7">
            <wp:simplePos x="0" y="0"/>
            <wp:positionH relativeFrom="margin">
              <wp:posOffset>77470</wp:posOffset>
            </wp:positionH>
            <wp:positionV relativeFrom="paragraph">
              <wp:posOffset>106045</wp:posOffset>
            </wp:positionV>
            <wp:extent cx="2869565" cy="1722755"/>
            <wp:effectExtent l="0" t="0" r="6985" b="0"/>
            <wp:wrapSquare wrapText="bothSides"/>
            <wp:docPr id="4" name="Chart 4">
              <a:extLst xmlns:a="http://schemas.openxmlformats.org/drawingml/2006/main">
                <a:ext uri="{FF2B5EF4-FFF2-40B4-BE49-F238E27FC236}">
                  <a16:creationId xmlns:a16="http://schemas.microsoft.com/office/drawing/2014/main" id="{CC8747E0-DD0B-4EFC-8F68-9AC6CB3D9D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CB2E14" w:rsidRPr="00515C5F">
        <w:rPr>
          <w:noProof/>
          <w:sz w:val="24"/>
        </w:rPr>
        <w:t xml:space="preserve">Procijenjena </w:t>
      </w:r>
      <w:r w:rsidR="00CB2E14" w:rsidRPr="00515C5F">
        <w:rPr>
          <w:b/>
          <w:noProof/>
          <w:sz w:val="24"/>
        </w:rPr>
        <w:t>produktivnost rada,</w:t>
      </w:r>
      <w:r w:rsidR="00CB2E14" w:rsidRPr="00515C5F">
        <w:rPr>
          <w:sz w:val="24"/>
        </w:rPr>
        <w:t xml:space="preserve"> kao odnos realnog BDP-a i broja zaposlenih na nivou </w:t>
      </w:r>
      <w:r w:rsidR="00B84E2B" w:rsidRPr="00515C5F">
        <w:rPr>
          <w:sz w:val="24"/>
        </w:rPr>
        <w:t xml:space="preserve"> </w:t>
      </w:r>
      <w:r w:rsidR="00CB2E14" w:rsidRPr="00515C5F">
        <w:rPr>
          <w:sz w:val="24"/>
        </w:rPr>
        <w:t xml:space="preserve">ekonomije, porasla je oko 1% u periodu 2008-2023, pri čemu je u posljednje dvije godine zabilježila znatan pad usljed velikog porasta zaposlenosti, koja je rasla po bržoj stopi od ekonomske aktivnosti i novostvorenog BDP-a. U narednom srednjoročnom periodu, </w:t>
      </w:r>
      <w:r w:rsidR="00CB2E14" w:rsidRPr="00515C5F">
        <w:rPr>
          <w:sz w:val="24"/>
        </w:rPr>
        <w:lastRenderedPageBreak/>
        <w:t xml:space="preserve">očekuje se blago ubrzanje rasta produktivnosti, po prosječnoj godišnjoj stopi od 1,3% u periodu 2024-2026. Nivo stvorenog ekonomskog proizvoda bilježiće veću efikasnost, usljed predviđenog bržeg rasta realnog BDP-a od broja zaposlenih, imajući u vidu stabilizaciju ekonomske aktivnosti i </w:t>
      </w:r>
      <w:r w:rsidR="00CB2E14">
        <w:rPr>
          <w:sz w:val="24"/>
        </w:rPr>
        <w:t>ograničenja i strukturne izazove</w:t>
      </w:r>
      <w:r w:rsidR="00CB2E14" w:rsidRPr="00515C5F">
        <w:rPr>
          <w:sz w:val="24"/>
        </w:rPr>
        <w:t xml:space="preserve"> na domaćem tržištu radne snage</w:t>
      </w:r>
      <w:r w:rsidR="00CB2E14">
        <w:t>.</w:t>
      </w:r>
    </w:p>
    <w:p w14:paraId="19F9F25B" w14:textId="4473F928" w:rsidR="00CB2E14" w:rsidRPr="00CB2E14" w:rsidRDefault="00CB2E14" w:rsidP="00CB2E14">
      <w:pPr>
        <w:pStyle w:val="Heading2"/>
        <w:rPr>
          <w:rFonts w:asciiTheme="minorHAnsi" w:eastAsia="Calibri" w:hAnsiTheme="minorHAnsi" w:cstheme="minorHAnsi"/>
          <w:b/>
          <w:sz w:val="24"/>
          <w:szCs w:val="24"/>
          <w:lang w:val="sr-Latn-ME" w:eastAsia="sr-Latn-ME"/>
        </w:rPr>
      </w:pPr>
      <w:bookmarkStart w:id="107" w:name="_Toc153305344"/>
      <w:r w:rsidRPr="00CB2E14">
        <w:rPr>
          <w:rFonts w:asciiTheme="minorHAnsi" w:eastAsia="Calibri" w:hAnsiTheme="minorHAnsi" w:cstheme="minorHAnsi"/>
          <w:b/>
          <w:sz w:val="24"/>
          <w:szCs w:val="24"/>
          <w:lang w:val="sr-Latn-ME" w:eastAsia="sr-Latn-ME"/>
        </w:rPr>
        <w:t>3.3. Alternativni scenario</w:t>
      </w:r>
      <w:bookmarkEnd w:id="107"/>
    </w:p>
    <w:p w14:paraId="24D34BED" w14:textId="483076B4" w:rsidR="00CB2E14" w:rsidRDefault="00CB2E14" w:rsidP="00CB2E14">
      <w:pPr>
        <w:jc w:val="both"/>
        <w:rPr>
          <w:sz w:val="24"/>
          <w:lang w:val="sr-Latn-ME"/>
        </w:rPr>
      </w:pPr>
      <w:r w:rsidRPr="005A2926">
        <w:rPr>
          <w:sz w:val="24"/>
          <w:lang w:val="sr-Latn-ME"/>
        </w:rPr>
        <w:t>Kako su makroekonomski izgledi u kratkom roku izrazito neizvjesni i podložni fluktuacijama, neophodno je izraditi dodatni scenario makroekonomskih kretanja, koji uzima u obzir eventualnu materijalizaciju potencijalnih rizika i izazova po srednjoročni rast. Oni se odnose i na spoljno i domaće okruženje, a dominantno uključuju neizvjesnu geopolitičku situaciju, dalje inflatorne pritiske, kao i domaće faktore stabilnosti javnih finansija i ograničenog fiskalnog prostora.</w:t>
      </w:r>
    </w:p>
    <w:p w14:paraId="591485C8" w14:textId="2BBE8DCD" w:rsidR="00CB2E14" w:rsidRPr="0078602A" w:rsidRDefault="00CB2E14" w:rsidP="00CB2E14">
      <w:pPr>
        <w:jc w:val="both"/>
        <w:rPr>
          <w:rFonts w:eastAsia="Calibri" w:cstheme="minorHAnsi"/>
          <w:b/>
          <w:color w:val="2F5496" w:themeColor="accent1" w:themeShade="BF"/>
          <w:sz w:val="24"/>
          <w:lang w:val="sr-Latn-ME" w:eastAsia="sr-Latn-ME"/>
        </w:rPr>
      </w:pPr>
      <w:r w:rsidRPr="0078602A">
        <w:rPr>
          <w:color w:val="2F5496" w:themeColor="accent1" w:themeShade="BF"/>
          <w:sz w:val="24"/>
          <w:lang w:val="sr-Latn-ME"/>
        </w:rPr>
        <w:t xml:space="preserve"> </w:t>
      </w:r>
      <w:r w:rsidRPr="0078602A">
        <w:rPr>
          <w:rFonts w:eastAsia="Calibri" w:cstheme="minorHAnsi"/>
          <w:b/>
          <w:color w:val="2F5496" w:themeColor="accent1" w:themeShade="BF"/>
          <w:sz w:val="24"/>
          <w:lang w:val="sr-Latn-ME" w:eastAsia="sr-Latn-ME"/>
        </w:rPr>
        <w:t>3.3.1. Makroekonomski scenario nižeg rasta 2024-2026 (downside scenario)</w:t>
      </w:r>
    </w:p>
    <w:p w14:paraId="035D3CD3" w14:textId="269FE38F" w:rsidR="00CB2E14" w:rsidRDefault="00CB2E14" w:rsidP="00CB2E14">
      <w:pPr>
        <w:jc w:val="both"/>
        <w:rPr>
          <w:sz w:val="24"/>
          <w:lang w:val="sr-Latn-ME"/>
        </w:rPr>
      </w:pPr>
      <w:r w:rsidRPr="005A2926">
        <w:rPr>
          <w:sz w:val="24"/>
          <w:lang w:val="sr-Latn-ME"/>
        </w:rPr>
        <w:t>Ključne pretpostavke alternativnog scenarija uključuju dalje pogoršanje nepovoljnih izgleda na globalnom nivou, usporavanje rasta ekonomija zemalja Evropske unije, pad nivoa direktnih stranih investicija, pogoršanje trgovinskog bilansa, visoke referentne kamatne stope, visoku stopu inflacije u državi, izostanak realizacije infrastrukturnih projekata i unutrašnju nestabilnost.</w:t>
      </w:r>
    </w:p>
    <w:p w14:paraId="2AF32519" w14:textId="679D33C1" w:rsidR="00CB2E14" w:rsidRDefault="00CB2E14" w:rsidP="00CB2E14">
      <w:pPr>
        <w:jc w:val="both"/>
        <w:rPr>
          <w:sz w:val="24"/>
          <w:szCs w:val="24"/>
          <w:lang w:val="sr-Latn-ME"/>
        </w:rPr>
      </w:pPr>
      <w:r w:rsidRPr="005A2926">
        <w:rPr>
          <w:sz w:val="24"/>
          <w:szCs w:val="24"/>
          <w:lang w:val="sr-Latn-ME"/>
        </w:rPr>
        <w:t>Sumarno, kombinacijom ostvarivanja potencijalnih rizika po makrofinansijsku stabilnost,</w:t>
      </w:r>
      <w:r>
        <w:rPr>
          <w:sz w:val="24"/>
          <w:szCs w:val="24"/>
          <w:lang w:val="sr-Latn-ME"/>
        </w:rPr>
        <w:t xml:space="preserve"> ekonomski rast bi bio prepolovljen u srednjem roku, u odnosu na osnovni scenario projekcija. Stagnacija investicija</w:t>
      </w:r>
      <w:r w:rsidRPr="005A2926">
        <w:rPr>
          <w:sz w:val="24"/>
          <w:szCs w:val="24"/>
          <w:lang w:val="sr-Latn-ME"/>
        </w:rPr>
        <w:t xml:space="preserve">, </w:t>
      </w:r>
      <w:r>
        <w:rPr>
          <w:sz w:val="24"/>
          <w:szCs w:val="24"/>
          <w:lang w:val="sr-Latn-ME"/>
        </w:rPr>
        <w:t>slabiji rast</w:t>
      </w:r>
      <w:r w:rsidRPr="005A2926">
        <w:rPr>
          <w:sz w:val="24"/>
          <w:szCs w:val="24"/>
          <w:lang w:val="sr-Latn-ME"/>
        </w:rPr>
        <w:t xml:space="preserve"> prihod</w:t>
      </w:r>
      <w:r>
        <w:rPr>
          <w:sz w:val="24"/>
          <w:szCs w:val="24"/>
          <w:lang w:val="sr-Latn-ME"/>
        </w:rPr>
        <w:t xml:space="preserve">a </w:t>
      </w:r>
      <w:r w:rsidRPr="005A2926">
        <w:rPr>
          <w:sz w:val="24"/>
          <w:szCs w:val="24"/>
          <w:lang w:val="sr-Latn-ME"/>
        </w:rPr>
        <w:t>od turizma</w:t>
      </w:r>
      <w:r>
        <w:rPr>
          <w:sz w:val="24"/>
          <w:szCs w:val="24"/>
          <w:lang w:val="sr-Latn-ME"/>
        </w:rPr>
        <w:t>,</w:t>
      </w:r>
      <w:r w:rsidRPr="005A2926">
        <w:rPr>
          <w:sz w:val="24"/>
          <w:szCs w:val="24"/>
          <w:lang w:val="sr-Latn-ME"/>
        </w:rPr>
        <w:t xml:space="preserve"> bi u srednjem roku uticali na niži rast zaposlenosti a samim tim i na manju potrošnju domaćinstava.</w:t>
      </w:r>
      <w:r>
        <w:rPr>
          <w:sz w:val="24"/>
          <w:szCs w:val="24"/>
          <w:lang w:val="sr-Latn-ME"/>
        </w:rPr>
        <w:t xml:space="preserve"> Nepovoljne makroekonomske performanse bi se odrazile na slabije punjenje prihoda budžeta i uslovile veću potrebu za zaduživanjem.</w:t>
      </w:r>
      <w:r w:rsidRPr="005A2926">
        <w:rPr>
          <w:sz w:val="24"/>
          <w:szCs w:val="24"/>
          <w:lang w:val="sr-Latn-ME"/>
        </w:rPr>
        <w:t xml:space="preserve"> Makroekonomske projekcije prema scenariju nižeg rasta date su u sljedećoj tabeli:</w:t>
      </w:r>
    </w:p>
    <w:p w14:paraId="4CE2FDA2" w14:textId="77777777" w:rsidR="00CB2E14" w:rsidRPr="0078602A" w:rsidRDefault="00CB2E14" w:rsidP="00CB2E14">
      <w:pPr>
        <w:rPr>
          <w:b/>
          <w:color w:val="2F5496" w:themeColor="accent1" w:themeShade="BF"/>
          <w:lang w:val="sr-Latn-ME"/>
        </w:rPr>
      </w:pPr>
      <w:r w:rsidRPr="0078602A">
        <w:rPr>
          <w:b/>
          <w:color w:val="2F5496" w:themeColor="accent1" w:themeShade="BF"/>
        </w:rPr>
        <w:t>Tabela 3.3.1: Crna Gora, makroekonomske projekcije, scenario nižeg rasta</w:t>
      </w:r>
    </w:p>
    <w:tbl>
      <w:tblPr>
        <w:tblStyle w:val="TableGrid"/>
        <w:tblW w:w="0" w:type="auto"/>
        <w:tblLook w:val="04A0" w:firstRow="1" w:lastRow="0" w:firstColumn="1" w:lastColumn="0" w:noHBand="0" w:noVBand="1"/>
      </w:tblPr>
      <w:tblGrid>
        <w:gridCol w:w="5068"/>
        <w:gridCol w:w="991"/>
        <w:gridCol w:w="992"/>
        <w:gridCol w:w="992"/>
        <w:gridCol w:w="973"/>
      </w:tblGrid>
      <w:tr w:rsidR="00CB2E14" w:rsidRPr="00882F2F" w14:paraId="045FA6F7" w14:textId="77777777" w:rsidTr="00CB2E14">
        <w:tc>
          <w:tcPr>
            <w:tcW w:w="5098" w:type="dxa"/>
          </w:tcPr>
          <w:p w14:paraId="3B29099E" w14:textId="77777777" w:rsidR="00CB2E14" w:rsidRPr="00882F2F" w:rsidRDefault="00CB2E14" w:rsidP="00CB2E14">
            <w:pPr>
              <w:rPr>
                <w:rFonts w:cstheme="minorHAnsi"/>
                <w:sz w:val="18"/>
                <w:szCs w:val="18"/>
                <w:lang w:val="sr-Latn-ME"/>
              </w:rPr>
            </w:pPr>
            <w:r w:rsidRPr="00882F2F">
              <w:rPr>
                <w:rFonts w:cstheme="minorHAnsi"/>
                <w:sz w:val="18"/>
                <w:szCs w:val="18"/>
                <w:lang w:val="sr-Latn-ME"/>
              </w:rPr>
              <w:t>Crna Gora: Scenario nižeg rasta</w:t>
            </w:r>
          </w:p>
        </w:tc>
        <w:tc>
          <w:tcPr>
            <w:tcW w:w="993" w:type="dxa"/>
          </w:tcPr>
          <w:p w14:paraId="3062BD1A" w14:textId="77777777" w:rsidR="00CB2E14" w:rsidRPr="00882F2F" w:rsidRDefault="00CB2E14" w:rsidP="00CB2E14">
            <w:pPr>
              <w:jc w:val="center"/>
              <w:rPr>
                <w:rFonts w:cstheme="minorHAnsi"/>
                <w:sz w:val="18"/>
                <w:szCs w:val="18"/>
                <w:lang w:val="sr-Latn-ME"/>
              </w:rPr>
            </w:pPr>
            <w:r w:rsidRPr="00882F2F">
              <w:rPr>
                <w:rFonts w:cstheme="minorHAnsi"/>
                <w:sz w:val="18"/>
                <w:szCs w:val="18"/>
                <w:lang w:val="sr-Latn-ME"/>
              </w:rPr>
              <w:t>2023</w:t>
            </w:r>
          </w:p>
        </w:tc>
        <w:tc>
          <w:tcPr>
            <w:tcW w:w="992" w:type="dxa"/>
          </w:tcPr>
          <w:p w14:paraId="56FD6BF4" w14:textId="77777777" w:rsidR="00CB2E14" w:rsidRPr="00882F2F" w:rsidRDefault="00CB2E14" w:rsidP="00CB2E14">
            <w:pPr>
              <w:jc w:val="center"/>
              <w:rPr>
                <w:rFonts w:cstheme="minorHAnsi"/>
                <w:sz w:val="18"/>
                <w:szCs w:val="18"/>
                <w:lang w:val="sr-Latn-ME"/>
              </w:rPr>
            </w:pPr>
            <w:r w:rsidRPr="00882F2F">
              <w:rPr>
                <w:rFonts w:cstheme="minorHAnsi"/>
                <w:sz w:val="18"/>
                <w:szCs w:val="18"/>
                <w:lang w:val="sr-Latn-ME"/>
              </w:rPr>
              <w:t>2024</w:t>
            </w:r>
          </w:p>
        </w:tc>
        <w:tc>
          <w:tcPr>
            <w:tcW w:w="992" w:type="dxa"/>
          </w:tcPr>
          <w:p w14:paraId="532363DB" w14:textId="77777777" w:rsidR="00CB2E14" w:rsidRPr="00882F2F" w:rsidRDefault="00CB2E14" w:rsidP="00CB2E14">
            <w:pPr>
              <w:jc w:val="center"/>
              <w:rPr>
                <w:rFonts w:cstheme="minorHAnsi"/>
                <w:sz w:val="18"/>
                <w:szCs w:val="18"/>
                <w:lang w:val="sr-Latn-ME"/>
              </w:rPr>
            </w:pPr>
            <w:r w:rsidRPr="00882F2F">
              <w:rPr>
                <w:rFonts w:cstheme="minorHAnsi"/>
                <w:sz w:val="18"/>
                <w:szCs w:val="18"/>
                <w:lang w:val="sr-Latn-ME"/>
              </w:rPr>
              <w:t>2025</w:t>
            </w:r>
          </w:p>
        </w:tc>
        <w:tc>
          <w:tcPr>
            <w:tcW w:w="941" w:type="dxa"/>
          </w:tcPr>
          <w:p w14:paraId="0FBA97D6" w14:textId="77777777" w:rsidR="00CB2E14" w:rsidRPr="00882F2F" w:rsidRDefault="00CB2E14" w:rsidP="00CB2E14">
            <w:pPr>
              <w:jc w:val="center"/>
              <w:rPr>
                <w:rFonts w:cstheme="minorHAnsi"/>
                <w:sz w:val="18"/>
                <w:szCs w:val="18"/>
                <w:lang w:val="sr-Latn-ME"/>
              </w:rPr>
            </w:pPr>
            <w:r w:rsidRPr="00882F2F">
              <w:rPr>
                <w:rFonts w:cstheme="minorHAnsi"/>
                <w:sz w:val="18"/>
                <w:szCs w:val="18"/>
                <w:lang w:val="sr-Latn-ME"/>
              </w:rPr>
              <w:t>2026</w:t>
            </w:r>
          </w:p>
        </w:tc>
      </w:tr>
      <w:tr w:rsidR="00CB2E14" w:rsidRPr="00882F2F" w14:paraId="6DBD9B7C" w14:textId="77777777" w:rsidTr="00CB2E14">
        <w:tc>
          <w:tcPr>
            <w:tcW w:w="5098" w:type="dxa"/>
          </w:tcPr>
          <w:p w14:paraId="64950A60" w14:textId="77777777" w:rsidR="00CB2E14" w:rsidRPr="00882F2F" w:rsidRDefault="00CB2E14" w:rsidP="00CB2E14">
            <w:pPr>
              <w:rPr>
                <w:rFonts w:cstheme="minorHAnsi"/>
                <w:sz w:val="18"/>
                <w:szCs w:val="18"/>
                <w:lang w:val="sr-Latn-ME"/>
              </w:rPr>
            </w:pPr>
            <w:r w:rsidRPr="00882F2F">
              <w:rPr>
                <w:rFonts w:cstheme="minorHAnsi"/>
                <w:sz w:val="18"/>
                <w:szCs w:val="18"/>
                <w:lang w:val="sr-Latn-ME"/>
              </w:rPr>
              <w:t>Nominalni BDP, u mil. €</w:t>
            </w:r>
          </w:p>
        </w:tc>
        <w:tc>
          <w:tcPr>
            <w:tcW w:w="993" w:type="dxa"/>
            <w:tcBorders>
              <w:top w:val="nil"/>
              <w:left w:val="nil"/>
              <w:bottom w:val="nil"/>
              <w:right w:val="single" w:sz="4" w:space="0" w:color="auto"/>
            </w:tcBorders>
            <w:shd w:val="clear" w:color="auto" w:fill="auto"/>
            <w:vAlign w:val="bottom"/>
          </w:tcPr>
          <w:p w14:paraId="44BBEB01" w14:textId="77777777" w:rsidR="00CB2E14" w:rsidRPr="00882F2F" w:rsidRDefault="00CB2E14" w:rsidP="00CB2E14">
            <w:pPr>
              <w:jc w:val="center"/>
              <w:rPr>
                <w:rFonts w:cstheme="minorHAnsi"/>
                <w:sz w:val="18"/>
                <w:szCs w:val="18"/>
                <w:lang w:val="sr-Latn-ME"/>
              </w:rPr>
            </w:pPr>
            <w:r w:rsidRPr="00882F2F">
              <w:rPr>
                <w:rFonts w:cstheme="minorHAnsi"/>
                <w:sz w:val="18"/>
                <w:szCs w:val="18"/>
                <w:lang w:val="sr-Latn-ME"/>
              </w:rPr>
              <w:t>6624</w:t>
            </w:r>
            <w:r>
              <w:rPr>
                <w:rFonts w:cstheme="minorHAnsi"/>
                <w:sz w:val="18"/>
                <w:szCs w:val="18"/>
                <w:lang w:val="sr-Latn-ME"/>
              </w:rPr>
              <w:t>,</w:t>
            </w:r>
            <w:r w:rsidRPr="00882F2F">
              <w:rPr>
                <w:rFonts w:cstheme="minorHAnsi"/>
                <w:sz w:val="18"/>
                <w:szCs w:val="18"/>
                <w:lang w:val="sr-Latn-ME"/>
              </w:rPr>
              <w:t>3</w:t>
            </w:r>
          </w:p>
        </w:tc>
        <w:tc>
          <w:tcPr>
            <w:tcW w:w="992" w:type="dxa"/>
            <w:tcBorders>
              <w:top w:val="nil"/>
              <w:left w:val="single" w:sz="4" w:space="0" w:color="auto"/>
              <w:bottom w:val="nil"/>
              <w:right w:val="single" w:sz="4" w:space="0" w:color="auto"/>
            </w:tcBorders>
            <w:shd w:val="clear" w:color="auto" w:fill="auto"/>
            <w:vAlign w:val="bottom"/>
          </w:tcPr>
          <w:p w14:paraId="78334EF1" w14:textId="77777777" w:rsidR="00CB2E14" w:rsidRPr="00E87E1C" w:rsidRDefault="00CB2E14" w:rsidP="00CB2E14">
            <w:pPr>
              <w:ind w:firstLineChars="100" w:firstLine="200"/>
              <w:jc w:val="center"/>
              <w:rPr>
                <w:rFonts w:ascii="Calibri" w:hAnsi="Calibri" w:cs="Calibri"/>
                <w:sz w:val="20"/>
                <w:szCs w:val="20"/>
              </w:rPr>
            </w:pPr>
            <w:r>
              <w:rPr>
                <w:rFonts w:ascii="Calibri" w:hAnsi="Calibri" w:cs="Calibri"/>
                <w:sz w:val="20"/>
                <w:szCs w:val="20"/>
              </w:rPr>
              <w:t>6896,1</w:t>
            </w:r>
          </w:p>
        </w:tc>
        <w:tc>
          <w:tcPr>
            <w:tcW w:w="992" w:type="dxa"/>
            <w:tcBorders>
              <w:top w:val="nil"/>
              <w:left w:val="single" w:sz="4" w:space="0" w:color="auto"/>
              <w:bottom w:val="nil"/>
              <w:right w:val="single" w:sz="4" w:space="0" w:color="auto"/>
            </w:tcBorders>
            <w:shd w:val="clear" w:color="auto" w:fill="auto"/>
            <w:vAlign w:val="bottom"/>
          </w:tcPr>
          <w:p w14:paraId="63685BA0" w14:textId="77777777" w:rsidR="00CB2E14" w:rsidRPr="00E87E1C" w:rsidRDefault="00CB2E14" w:rsidP="00CB2E14">
            <w:pPr>
              <w:ind w:firstLineChars="100" w:firstLine="200"/>
              <w:jc w:val="center"/>
              <w:rPr>
                <w:rFonts w:ascii="Calibri" w:hAnsi="Calibri" w:cs="Calibri"/>
                <w:sz w:val="20"/>
                <w:szCs w:val="20"/>
              </w:rPr>
            </w:pPr>
            <w:r>
              <w:rPr>
                <w:rFonts w:ascii="Calibri" w:hAnsi="Calibri" w:cs="Calibri"/>
                <w:sz w:val="20"/>
                <w:szCs w:val="20"/>
              </w:rPr>
              <w:t>7217,4</w:t>
            </w:r>
          </w:p>
        </w:tc>
        <w:tc>
          <w:tcPr>
            <w:tcW w:w="941" w:type="dxa"/>
            <w:tcBorders>
              <w:top w:val="nil"/>
              <w:left w:val="single" w:sz="4" w:space="0" w:color="auto"/>
              <w:bottom w:val="nil"/>
              <w:right w:val="single" w:sz="4" w:space="0" w:color="auto"/>
            </w:tcBorders>
            <w:shd w:val="clear" w:color="auto" w:fill="auto"/>
            <w:vAlign w:val="bottom"/>
          </w:tcPr>
          <w:p w14:paraId="358FEE81" w14:textId="77777777" w:rsidR="00CB2E14" w:rsidRPr="00E87E1C" w:rsidRDefault="00CB2E14" w:rsidP="00CB2E14">
            <w:pPr>
              <w:ind w:firstLineChars="100" w:firstLine="200"/>
              <w:jc w:val="center"/>
              <w:rPr>
                <w:rFonts w:ascii="Calibri" w:hAnsi="Calibri" w:cs="Calibri"/>
                <w:sz w:val="20"/>
                <w:szCs w:val="20"/>
              </w:rPr>
            </w:pPr>
            <w:r>
              <w:rPr>
                <w:rFonts w:ascii="Calibri" w:hAnsi="Calibri" w:cs="Calibri"/>
                <w:sz w:val="20"/>
                <w:szCs w:val="20"/>
              </w:rPr>
              <w:t>7489,4</w:t>
            </w:r>
          </w:p>
        </w:tc>
      </w:tr>
      <w:tr w:rsidR="00CB2E14" w:rsidRPr="00882F2F" w14:paraId="3AE3B5FA" w14:textId="77777777" w:rsidTr="00CB2E14">
        <w:tc>
          <w:tcPr>
            <w:tcW w:w="5098" w:type="dxa"/>
          </w:tcPr>
          <w:p w14:paraId="1E02CEF9" w14:textId="77777777" w:rsidR="00CB2E14" w:rsidRPr="00882F2F" w:rsidRDefault="00CB2E14" w:rsidP="00CB2E14">
            <w:pPr>
              <w:rPr>
                <w:rFonts w:cstheme="minorHAnsi"/>
                <w:sz w:val="18"/>
                <w:szCs w:val="18"/>
                <w:lang w:val="sr-Latn-ME"/>
              </w:rPr>
            </w:pPr>
            <w:r w:rsidRPr="00882F2F">
              <w:rPr>
                <w:rFonts w:cstheme="minorHAnsi"/>
                <w:sz w:val="18"/>
                <w:szCs w:val="18"/>
                <w:lang w:val="sr-Latn-ME"/>
              </w:rPr>
              <w:t>Realni rast BDP-a, u %</w:t>
            </w:r>
          </w:p>
        </w:tc>
        <w:tc>
          <w:tcPr>
            <w:tcW w:w="993" w:type="dxa"/>
            <w:vAlign w:val="bottom"/>
          </w:tcPr>
          <w:p w14:paraId="6CCAE1B9" w14:textId="77777777" w:rsidR="00CB2E14" w:rsidRPr="00882F2F" w:rsidRDefault="00CB2E14" w:rsidP="00CB2E14">
            <w:pPr>
              <w:jc w:val="center"/>
              <w:rPr>
                <w:rFonts w:cstheme="minorHAnsi"/>
                <w:sz w:val="18"/>
                <w:szCs w:val="18"/>
                <w:lang w:val="sr-Latn-ME"/>
              </w:rPr>
            </w:pPr>
            <w:r w:rsidRPr="00882F2F">
              <w:rPr>
                <w:rFonts w:cstheme="minorHAnsi"/>
                <w:sz w:val="18"/>
                <w:szCs w:val="18"/>
                <w:lang w:val="sr-Latn-ME"/>
              </w:rPr>
              <w:t>5.8</w:t>
            </w:r>
          </w:p>
        </w:tc>
        <w:tc>
          <w:tcPr>
            <w:tcW w:w="992" w:type="dxa"/>
            <w:vAlign w:val="bottom"/>
          </w:tcPr>
          <w:p w14:paraId="3E426A0C" w14:textId="77777777" w:rsidR="00CB2E14" w:rsidRPr="00882F2F" w:rsidRDefault="00CB2E14" w:rsidP="00CB2E14">
            <w:pPr>
              <w:jc w:val="center"/>
              <w:rPr>
                <w:rFonts w:cstheme="minorHAnsi"/>
                <w:sz w:val="18"/>
                <w:szCs w:val="18"/>
                <w:lang w:val="sr-Latn-ME"/>
              </w:rPr>
            </w:pPr>
            <w:r>
              <w:rPr>
                <w:rFonts w:cstheme="minorHAnsi"/>
                <w:sz w:val="18"/>
                <w:szCs w:val="18"/>
                <w:lang w:val="sr-Latn-ME"/>
              </w:rPr>
              <w:t>1.4</w:t>
            </w:r>
          </w:p>
        </w:tc>
        <w:tc>
          <w:tcPr>
            <w:tcW w:w="992" w:type="dxa"/>
            <w:vAlign w:val="bottom"/>
          </w:tcPr>
          <w:p w14:paraId="14EB214F" w14:textId="77777777" w:rsidR="00CB2E14" w:rsidRPr="00882F2F" w:rsidRDefault="00CB2E14" w:rsidP="00CB2E14">
            <w:pPr>
              <w:jc w:val="center"/>
              <w:rPr>
                <w:rFonts w:cstheme="minorHAnsi"/>
                <w:sz w:val="18"/>
                <w:szCs w:val="18"/>
                <w:lang w:val="sr-Latn-ME"/>
              </w:rPr>
            </w:pPr>
            <w:r>
              <w:rPr>
                <w:rFonts w:cstheme="minorHAnsi"/>
                <w:sz w:val="18"/>
                <w:szCs w:val="18"/>
                <w:lang w:val="sr-Latn-ME"/>
              </w:rPr>
              <w:t>1.8</w:t>
            </w:r>
          </w:p>
        </w:tc>
        <w:tc>
          <w:tcPr>
            <w:tcW w:w="941" w:type="dxa"/>
            <w:vAlign w:val="bottom"/>
          </w:tcPr>
          <w:p w14:paraId="1B698A1A" w14:textId="77777777" w:rsidR="00CB2E14" w:rsidRPr="00882F2F" w:rsidRDefault="00CB2E14" w:rsidP="00CB2E14">
            <w:pPr>
              <w:jc w:val="center"/>
              <w:rPr>
                <w:rFonts w:cstheme="minorHAnsi"/>
                <w:sz w:val="18"/>
                <w:szCs w:val="18"/>
                <w:lang w:val="sr-Latn-ME"/>
              </w:rPr>
            </w:pPr>
            <w:r>
              <w:rPr>
                <w:rFonts w:cstheme="minorHAnsi"/>
                <w:sz w:val="18"/>
                <w:szCs w:val="18"/>
                <w:lang w:val="sr-Latn-ME"/>
              </w:rPr>
              <w:t>1.7</w:t>
            </w:r>
          </w:p>
        </w:tc>
      </w:tr>
      <w:tr w:rsidR="00CB2E14" w:rsidRPr="00882F2F" w14:paraId="65327F19" w14:textId="77777777" w:rsidTr="00CB2E14">
        <w:tc>
          <w:tcPr>
            <w:tcW w:w="5098" w:type="dxa"/>
          </w:tcPr>
          <w:p w14:paraId="4CC909F1" w14:textId="77777777" w:rsidR="00CB2E14" w:rsidRPr="00882F2F" w:rsidRDefault="00CB2E14" w:rsidP="00CB2E14">
            <w:pPr>
              <w:rPr>
                <w:rFonts w:cstheme="minorHAnsi"/>
                <w:sz w:val="18"/>
                <w:szCs w:val="18"/>
                <w:lang w:val="sr-Latn-ME"/>
              </w:rPr>
            </w:pPr>
            <w:r w:rsidRPr="00882F2F">
              <w:rPr>
                <w:rFonts w:cstheme="minorHAnsi"/>
                <w:sz w:val="18"/>
                <w:szCs w:val="18"/>
                <w:lang w:val="sr-Latn-ME"/>
              </w:rPr>
              <w:t>Inflacija, prosjek rasta u %</w:t>
            </w:r>
          </w:p>
        </w:tc>
        <w:tc>
          <w:tcPr>
            <w:tcW w:w="993" w:type="dxa"/>
            <w:vAlign w:val="bottom"/>
          </w:tcPr>
          <w:p w14:paraId="578F3F63" w14:textId="77777777" w:rsidR="00CB2E14" w:rsidRPr="00882F2F" w:rsidRDefault="00CB2E14" w:rsidP="00CB2E14">
            <w:pPr>
              <w:jc w:val="center"/>
              <w:rPr>
                <w:rFonts w:cstheme="minorHAnsi"/>
                <w:sz w:val="18"/>
                <w:szCs w:val="18"/>
                <w:lang w:val="sr-Latn-ME"/>
              </w:rPr>
            </w:pPr>
            <w:r w:rsidRPr="00882F2F">
              <w:rPr>
                <w:rFonts w:cstheme="minorHAnsi"/>
                <w:sz w:val="18"/>
                <w:szCs w:val="18"/>
                <w:lang w:val="sr-Latn-ME"/>
              </w:rPr>
              <w:t>9.0</w:t>
            </w:r>
          </w:p>
        </w:tc>
        <w:tc>
          <w:tcPr>
            <w:tcW w:w="992" w:type="dxa"/>
            <w:vAlign w:val="bottom"/>
          </w:tcPr>
          <w:p w14:paraId="2D7F94D4" w14:textId="77777777" w:rsidR="00CB2E14" w:rsidRPr="00882F2F" w:rsidRDefault="00CB2E14" w:rsidP="00CB2E14">
            <w:pPr>
              <w:jc w:val="center"/>
              <w:rPr>
                <w:rFonts w:cstheme="minorHAnsi"/>
                <w:sz w:val="18"/>
                <w:szCs w:val="18"/>
                <w:lang w:val="sr-Latn-ME"/>
              </w:rPr>
            </w:pPr>
            <w:r>
              <w:rPr>
                <w:rFonts w:cstheme="minorHAnsi"/>
                <w:sz w:val="18"/>
                <w:szCs w:val="18"/>
                <w:lang w:val="sr-Latn-ME"/>
              </w:rPr>
              <w:t>7.0</w:t>
            </w:r>
          </w:p>
        </w:tc>
        <w:tc>
          <w:tcPr>
            <w:tcW w:w="992" w:type="dxa"/>
            <w:vAlign w:val="bottom"/>
          </w:tcPr>
          <w:p w14:paraId="127D5705" w14:textId="77777777" w:rsidR="00CB2E14" w:rsidRPr="00882F2F" w:rsidRDefault="00CB2E14" w:rsidP="00CB2E14">
            <w:pPr>
              <w:jc w:val="center"/>
              <w:rPr>
                <w:rFonts w:cstheme="minorHAnsi"/>
                <w:sz w:val="18"/>
                <w:szCs w:val="18"/>
                <w:lang w:val="sr-Latn-ME"/>
              </w:rPr>
            </w:pPr>
            <w:r>
              <w:rPr>
                <w:rFonts w:cstheme="minorHAnsi"/>
                <w:sz w:val="18"/>
                <w:szCs w:val="18"/>
                <w:lang w:val="sr-Latn-ME"/>
              </w:rPr>
              <w:t>4.5</w:t>
            </w:r>
          </w:p>
        </w:tc>
        <w:tc>
          <w:tcPr>
            <w:tcW w:w="941" w:type="dxa"/>
            <w:vAlign w:val="bottom"/>
          </w:tcPr>
          <w:p w14:paraId="6D8011A9" w14:textId="77777777" w:rsidR="00CB2E14" w:rsidRPr="00882F2F" w:rsidRDefault="00CB2E14" w:rsidP="00CB2E14">
            <w:pPr>
              <w:jc w:val="center"/>
              <w:rPr>
                <w:rFonts w:cstheme="minorHAnsi"/>
                <w:sz w:val="18"/>
                <w:szCs w:val="18"/>
                <w:lang w:val="sr-Latn-ME"/>
              </w:rPr>
            </w:pPr>
            <w:r>
              <w:rPr>
                <w:rFonts w:cstheme="minorHAnsi"/>
                <w:sz w:val="18"/>
                <w:szCs w:val="18"/>
                <w:lang w:val="sr-Latn-ME"/>
              </w:rPr>
              <w:t>3.2</w:t>
            </w:r>
          </w:p>
        </w:tc>
      </w:tr>
      <w:tr w:rsidR="00CB2E14" w:rsidRPr="00882F2F" w14:paraId="7C822700" w14:textId="77777777" w:rsidTr="00CB2E14">
        <w:tc>
          <w:tcPr>
            <w:tcW w:w="5098" w:type="dxa"/>
          </w:tcPr>
          <w:p w14:paraId="5D42C1EA" w14:textId="77777777" w:rsidR="00CB2E14" w:rsidRPr="00882F2F" w:rsidRDefault="00CB2E14" w:rsidP="00CB2E14">
            <w:pPr>
              <w:rPr>
                <w:rFonts w:cstheme="minorHAnsi"/>
                <w:sz w:val="18"/>
                <w:szCs w:val="18"/>
                <w:lang w:val="sr-Latn-ME"/>
              </w:rPr>
            </w:pPr>
            <w:r w:rsidRPr="00882F2F">
              <w:rPr>
                <w:rFonts w:cstheme="minorHAnsi"/>
                <w:sz w:val="18"/>
                <w:szCs w:val="18"/>
                <w:lang w:val="sr-Latn-ME"/>
              </w:rPr>
              <w:t>Privatna potrošnja, realni rast u %</w:t>
            </w:r>
          </w:p>
        </w:tc>
        <w:tc>
          <w:tcPr>
            <w:tcW w:w="993" w:type="dxa"/>
            <w:vAlign w:val="bottom"/>
          </w:tcPr>
          <w:p w14:paraId="6516140F" w14:textId="77777777" w:rsidR="00CB2E14" w:rsidRPr="00882F2F" w:rsidRDefault="00CB2E14" w:rsidP="00CB2E14">
            <w:pPr>
              <w:jc w:val="center"/>
              <w:rPr>
                <w:rFonts w:cstheme="minorHAnsi"/>
                <w:sz w:val="18"/>
                <w:szCs w:val="18"/>
                <w:lang w:val="sr-Latn-ME"/>
              </w:rPr>
            </w:pPr>
            <w:r>
              <w:rPr>
                <w:rFonts w:cstheme="minorHAnsi"/>
                <w:sz w:val="18"/>
                <w:szCs w:val="18"/>
                <w:lang w:val="sr-Latn-ME"/>
              </w:rPr>
              <w:t>8.2</w:t>
            </w:r>
          </w:p>
        </w:tc>
        <w:tc>
          <w:tcPr>
            <w:tcW w:w="992" w:type="dxa"/>
            <w:vAlign w:val="bottom"/>
          </w:tcPr>
          <w:p w14:paraId="1B0C6C6D" w14:textId="77777777" w:rsidR="00CB2E14" w:rsidRPr="00882F2F" w:rsidRDefault="00CB2E14" w:rsidP="00CB2E14">
            <w:pPr>
              <w:jc w:val="center"/>
              <w:rPr>
                <w:rFonts w:cstheme="minorHAnsi"/>
                <w:sz w:val="18"/>
                <w:szCs w:val="18"/>
                <w:lang w:val="sr-Latn-ME"/>
              </w:rPr>
            </w:pPr>
            <w:r>
              <w:rPr>
                <w:rFonts w:cstheme="minorHAnsi"/>
                <w:sz w:val="18"/>
                <w:szCs w:val="18"/>
                <w:lang w:val="sr-Latn-ME"/>
              </w:rPr>
              <w:t>1.4</w:t>
            </w:r>
          </w:p>
        </w:tc>
        <w:tc>
          <w:tcPr>
            <w:tcW w:w="992" w:type="dxa"/>
            <w:vAlign w:val="bottom"/>
          </w:tcPr>
          <w:p w14:paraId="46A8576E" w14:textId="77777777" w:rsidR="00CB2E14" w:rsidRPr="00882F2F" w:rsidRDefault="00CB2E14" w:rsidP="00CB2E14">
            <w:pPr>
              <w:jc w:val="center"/>
              <w:rPr>
                <w:rFonts w:cstheme="minorHAnsi"/>
                <w:sz w:val="18"/>
                <w:szCs w:val="18"/>
                <w:lang w:val="sr-Latn-ME"/>
              </w:rPr>
            </w:pPr>
            <w:r>
              <w:rPr>
                <w:rFonts w:cstheme="minorHAnsi"/>
                <w:sz w:val="18"/>
                <w:szCs w:val="18"/>
                <w:lang w:val="sr-Latn-ME"/>
              </w:rPr>
              <w:t>0.7</w:t>
            </w:r>
          </w:p>
        </w:tc>
        <w:tc>
          <w:tcPr>
            <w:tcW w:w="941" w:type="dxa"/>
            <w:vAlign w:val="bottom"/>
          </w:tcPr>
          <w:p w14:paraId="432EFBE4" w14:textId="77777777" w:rsidR="00CB2E14" w:rsidRPr="00882F2F" w:rsidRDefault="00CB2E14" w:rsidP="00CB2E14">
            <w:pPr>
              <w:jc w:val="center"/>
              <w:rPr>
                <w:rFonts w:cstheme="minorHAnsi"/>
                <w:sz w:val="18"/>
                <w:szCs w:val="18"/>
                <w:lang w:val="sr-Latn-ME"/>
              </w:rPr>
            </w:pPr>
            <w:r>
              <w:rPr>
                <w:rFonts w:cstheme="minorHAnsi"/>
                <w:sz w:val="18"/>
                <w:szCs w:val="18"/>
                <w:lang w:val="sr-Latn-ME"/>
              </w:rPr>
              <w:t>1.5</w:t>
            </w:r>
          </w:p>
        </w:tc>
      </w:tr>
      <w:tr w:rsidR="00CB2E14" w:rsidRPr="00882F2F" w14:paraId="004A0137" w14:textId="77777777" w:rsidTr="00CB2E14">
        <w:tc>
          <w:tcPr>
            <w:tcW w:w="5098" w:type="dxa"/>
          </w:tcPr>
          <w:p w14:paraId="281F2EA7" w14:textId="77777777" w:rsidR="00CB2E14" w:rsidRPr="00882F2F" w:rsidRDefault="00CB2E14" w:rsidP="00CB2E14">
            <w:pPr>
              <w:rPr>
                <w:rFonts w:cstheme="minorHAnsi"/>
                <w:sz w:val="18"/>
                <w:szCs w:val="18"/>
                <w:lang w:val="sr-Latn-ME"/>
              </w:rPr>
            </w:pPr>
            <w:r w:rsidRPr="00882F2F">
              <w:rPr>
                <w:rFonts w:cstheme="minorHAnsi"/>
                <w:sz w:val="18"/>
                <w:szCs w:val="18"/>
                <w:lang w:val="sr-Latn-ME"/>
              </w:rPr>
              <w:t>Investicije, realni rast u %</w:t>
            </w:r>
          </w:p>
        </w:tc>
        <w:tc>
          <w:tcPr>
            <w:tcW w:w="993" w:type="dxa"/>
            <w:vAlign w:val="bottom"/>
          </w:tcPr>
          <w:p w14:paraId="4F4D75B0" w14:textId="77777777" w:rsidR="00CB2E14" w:rsidRPr="00882F2F" w:rsidRDefault="00CB2E14" w:rsidP="00CB2E14">
            <w:pPr>
              <w:jc w:val="center"/>
              <w:rPr>
                <w:rFonts w:cstheme="minorHAnsi"/>
                <w:sz w:val="18"/>
                <w:szCs w:val="18"/>
                <w:lang w:val="sr-Latn-ME"/>
              </w:rPr>
            </w:pPr>
            <w:r>
              <w:rPr>
                <w:rFonts w:cstheme="minorHAnsi"/>
                <w:sz w:val="18"/>
                <w:szCs w:val="18"/>
                <w:lang w:val="sr-Latn-ME"/>
              </w:rPr>
              <w:t>1.4</w:t>
            </w:r>
          </w:p>
        </w:tc>
        <w:tc>
          <w:tcPr>
            <w:tcW w:w="992" w:type="dxa"/>
            <w:vAlign w:val="bottom"/>
          </w:tcPr>
          <w:p w14:paraId="69A8C38A" w14:textId="77777777" w:rsidR="00CB2E14" w:rsidRPr="00882F2F" w:rsidRDefault="00CB2E14" w:rsidP="00CB2E14">
            <w:pPr>
              <w:jc w:val="center"/>
              <w:rPr>
                <w:rFonts w:cstheme="minorHAnsi"/>
                <w:sz w:val="18"/>
                <w:szCs w:val="18"/>
                <w:lang w:val="sr-Latn-ME"/>
              </w:rPr>
            </w:pPr>
            <w:r>
              <w:rPr>
                <w:rFonts w:cstheme="minorHAnsi"/>
                <w:sz w:val="18"/>
                <w:szCs w:val="18"/>
                <w:lang w:val="sr-Latn-ME"/>
              </w:rPr>
              <w:t>0.0</w:t>
            </w:r>
          </w:p>
        </w:tc>
        <w:tc>
          <w:tcPr>
            <w:tcW w:w="992" w:type="dxa"/>
            <w:vAlign w:val="bottom"/>
          </w:tcPr>
          <w:p w14:paraId="0A6286D6" w14:textId="77777777" w:rsidR="00CB2E14" w:rsidRPr="00882F2F" w:rsidRDefault="00CB2E14" w:rsidP="00CB2E14">
            <w:pPr>
              <w:jc w:val="center"/>
              <w:rPr>
                <w:rFonts w:cstheme="minorHAnsi"/>
                <w:sz w:val="18"/>
                <w:szCs w:val="18"/>
                <w:lang w:val="sr-Latn-ME"/>
              </w:rPr>
            </w:pPr>
            <w:r>
              <w:rPr>
                <w:rFonts w:cstheme="minorHAnsi"/>
                <w:sz w:val="18"/>
                <w:szCs w:val="18"/>
                <w:lang w:val="sr-Latn-ME"/>
              </w:rPr>
              <w:t>0.0</w:t>
            </w:r>
          </w:p>
        </w:tc>
        <w:tc>
          <w:tcPr>
            <w:tcW w:w="941" w:type="dxa"/>
            <w:vAlign w:val="bottom"/>
          </w:tcPr>
          <w:p w14:paraId="00DB8355" w14:textId="77777777" w:rsidR="00CB2E14" w:rsidRPr="00882F2F" w:rsidRDefault="00CB2E14" w:rsidP="00CB2E14">
            <w:pPr>
              <w:jc w:val="center"/>
              <w:rPr>
                <w:rFonts w:cstheme="minorHAnsi"/>
                <w:sz w:val="18"/>
                <w:szCs w:val="18"/>
                <w:lang w:val="sr-Latn-ME"/>
              </w:rPr>
            </w:pPr>
            <w:r>
              <w:rPr>
                <w:rFonts w:cstheme="minorHAnsi"/>
                <w:sz w:val="18"/>
                <w:szCs w:val="18"/>
                <w:lang w:val="sr-Latn-ME"/>
              </w:rPr>
              <w:t>0.0</w:t>
            </w:r>
          </w:p>
        </w:tc>
      </w:tr>
      <w:tr w:rsidR="00CB2E14" w:rsidRPr="00882F2F" w14:paraId="0690282B" w14:textId="77777777" w:rsidTr="00CB2E14">
        <w:tc>
          <w:tcPr>
            <w:tcW w:w="5098" w:type="dxa"/>
          </w:tcPr>
          <w:p w14:paraId="321D4A56" w14:textId="77777777" w:rsidR="00CB2E14" w:rsidRPr="00882F2F" w:rsidRDefault="00CB2E14" w:rsidP="00CB2E14">
            <w:pPr>
              <w:rPr>
                <w:rFonts w:cstheme="minorHAnsi"/>
                <w:sz w:val="18"/>
                <w:szCs w:val="18"/>
                <w:lang w:val="sr-Latn-ME"/>
              </w:rPr>
            </w:pPr>
            <w:r w:rsidRPr="00882F2F">
              <w:rPr>
                <w:rFonts w:cstheme="minorHAnsi"/>
                <w:sz w:val="18"/>
                <w:szCs w:val="18"/>
                <w:lang w:val="sr-Latn-ME"/>
              </w:rPr>
              <w:t>Zaposlenost, rast u %</w:t>
            </w:r>
          </w:p>
        </w:tc>
        <w:tc>
          <w:tcPr>
            <w:tcW w:w="993" w:type="dxa"/>
            <w:vAlign w:val="bottom"/>
          </w:tcPr>
          <w:p w14:paraId="28B9A2CA" w14:textId="77777777" w:rsidR="00CB2E14" w:rsidRPr="00882F2F" w:rsidRDefault="00CB2E14" w:rsidP="00CB2E14">
            <w:pPr>
              <w:jc w:val="center"/>
              <w:rPr>
                <w:rFonts w:cstheme="minorHAnsi"/>
                <w:sz w:val="18"/>
                <w:szCs w:val="18"/>
                <w:lang w:val="sr-Latn-ME"/>
              </w:rPr>
            </w:pPr>
            <w:r w:rsidRPr="00882F2F">
              <w:rPr>
                <w:rFonts w:cstheme="minorHAnsi"/>
                <w:sz w:val="18"/>
                <w:szCs w:val="18"/>
                <w:lang w:val="sr-Latn-ME"/>
              </w:rPr>
              <w:t>9.5</w:t>
            </w:r>
          </w:p>
        </w:tc>
        <w:tc>
          <w:tcPr>
            <w:tcW w:w="992" w:type="dxa"/>
            <w:vAlign w:val="bottom"/>
          </w:tcPr>
          <w:p w14:paraId="74A6EFC7" w14:textId="77777777" w:rsidR="00CB2E14" w:rsidRPr="00882F2F" w:rsidRDefault="00CB2E14" w:rsidP="00CB2E14">
            <w:pPr>
              <w:jc w:val="center"/>
              <w:rPr>
                <w:rFonts w:cstheme="minorHAnsi"/>
                <w:sz w:val="18"/>
                <w:szCs w:val="18"/>
                <w:lang w:val="sr-Latn-ME"/>
              </w:rPr>
            </w:pPr>
            <w:r>
              <w:rPr>
                <w:rFonts w:cstheme="minorHAnsi"/>
                <w:sz w:val="18"/>
                <w:szCs w:val="18"/>
                <w:lang w:val="sr-Latn-ME"/>
              </w:rPr>
              <w:t>1.1</w:t>
            </w:r>
          </w:p>
        </w:tc>
        <w:tc>
          <w:tcPr>
            <w:tcW w:w="992" w:type="dxa"/>
            <w:vAlign w:val="bottom"/>
          </w:tcPr>
          <w:p w14:paraId="4349A1AD" w14:textId="77777777" w:rsidR="00CB2E14" w:rsidRPr="00882F2F" w:rsidRDefault="00CB2E14" w:rsidP="00CB2E14">
            <w:pPr>
              <w:jc w:val="center"/>
              <w:rPr>
                <w:rFonts w:cstheme="minorHAnsi"/>
                <w:sz w:val="18"/>
                <w:szCs w:val="18"/>
                <w:lang w:val="sr-Latn-ME"/>
              </w:rPr>
            </w:pPr>
            <w:r>
              <w:rPr>
                <w:rFonts w:cstheme="minorHAnsi"/>
                <w:sz w:val="18"/>
                <w:szCs w:val="18"/>
                <w:lang w:val="sr-Latn-ME"/>
              </w:rPr>
              <w:t>1.4</w:t>
            </w:r>
          </w:p>
        </w:tc>
        <w:tc>
          <w:tcPr>
            <w:tcW w:w="941" w:type="dxa"/>
            <w:vAlign w:val="bottom"/>
          </w:tcPr>
          <w:p w14:paraId="7ACC3167" w14:textId="77777777" w:rsidR="00CB2E14" w:rsidRPr="00882F2F" w:rsidRDefault="00CB2E14" w:rsidP="00CB2E14">
            <w:pPr>
              <w:jc w:val="center"/>
              <w:rPr>
                <w:rFonts w:cstheme="minorHAnsi"/>
                <w:sz w:val="18"/>
                <w:szCs w:val="18"/>
                <w:lang w:val="sr-Latn-ME"/>
              </w:rPr>
            </w:pPr>
            <w:r>
              <w:rPr>
                <w:rFonts w:cstheme="minorHAnsi"/>
                <w:sz w:val="18"/>
                <w:szCs w:val="18"/>
                <w:lang w:val="sr-Latn-ME"/>
              </w:rPr>
              <w:t>1.4</w:t>
            </w:r>
          </w:p>
        </w:tc>
      </w:tr>
      <w:tr w:rsidR="00CB2E14" w:rsidRPr="00882F2F" w14:paraId="0370BF6C" w14:textId="77777777" w:rsidTr="00CB2E14">
        <w:tc>
          <w:tcPr>
            <w:tcW w:w="5098" w:type="dxa"/>
          </w:tcPr>
          <w:p w14:paraId="6361B4E3" w14:textId="77777777" w:rsidR="00CB2E14" w:rsidRPr="00882F2F" w:rsidRDefault="00CB2E14" w:rsidP="00CB2E14">
            <w:pPr>
              <w:rPr>
                <w:rFonts w:cstheme="minorHAnsi"/>
                <w:sz w:val="18"/>
                <w:szCs w:val="18"/>
                <w:lang w:val="sr-Latn-ME"/>
              </w:rPr>
            </w:pPr>
            <w:r w:rsidRPr="00882F2F">
              <w:rPr>
                <w:rFonts w:cstheme="minorHAnsi"/>
                <w:sz w:val="18"/>
                <w:szCs w:val="18"/>
                <w:lang w:val="sr-Latn-ME"/>
              </w:rPr>
              <w:t>Stopa nezaposlenosti, u %</w:t>
            </w:r>
          </w:p>
        </w:tc>
        <w:tc>
          <w:tcPr>
            <w:tcW w:w="993" w:type="dxa"/>
            <w:vAlign w:val="bottom"/>
          </w:tcPr>
          <w:p w14:paraId="36655C4E" w14:textId="77777777" w:rsidR="00CB2E14" w:rsidRPr="00882F2F" w:rsidRDefault="00CB2E14" w:rsidP="00CB2E14">
            <w:pPr>
              <w:jc w:val="center"/>
              <w:rPr>
                <w:rFonts w:cstheme="minorHAnsi"/>
                <w:sz w:val="18"/>
                <w:szCs w:val="18"/>
                <w:lang w:val="sr-Latn-ME"/>
              </w:rPr>
            </w:pPr>
            <w:r w:rsidRPr="00882F2F">
              <w:rPr>
                <w:rFonts w:cstheme="minorHAnsi"/>
                <w:sz w:val="18"/>
                <w:szCs w:val="18"/>
                <w:lang w:val="sr-Latn-ME"/>
              </w:rPr>
              <w:t>13.2</w:t>
            </w:r>
          </w:p>
        </w:tc>
        <w:tc>
          <w:tcPr>
            <w:tcW w:w="992" w:type="dxa"/>
            <w:vAlign w:val="bottom"/>
          </w:tcPr>
          <w:p w14:paraId="6992EF21" w14:textId="77777777" w:rsidR="00CB2E14" w:rsidRPr="00882F2F" w:rsidRDefault="00CB2E14" w:rsidP="00CB2E14">
            <w:pPr>
              <w:jc w:val="center"/>
              <w:rPr>
                <w:rFonts w:cstheme="minorHAnsi"/>
                <w:sz w:val="18"/>
                <w:szCs w:val="18"/>
                <w:lang w:val="sr-Latn-ME"/>
              </w:rPr>
            </w:pPr>
            <w:r>
              <w:rPr>
                <w:rFonts w:cstheme="minorHAnsi"/>
                <w:sz w:val="18"/>
                <w:szCs w:val="18"/>
                <w:lang w:val="sr-Latn-ME"/>
              </w:rPr>
              <w:t>12.9</w:t>
            </w:r>
          </w:p>
        </w:tc>
        <w:tc>
          <w:tcPr>
            <w:tcW w:w="992" w:type="dxa"/>
            <w:vAlign w:val="bottom"/>
          </w:tcPr>
          <w:p w14:paraId="44ECBA2D" w14:textId="77777777" w:rsidR="00CB2E14" w:rsidRPr="00882F2F" w:rsidRDefault="00CB2E14" w:rsidP="00CB2E14">
            <w:pPr>
              <w:jc w:val="center"/>
              <w:rPr>
                <w:rFonts w:cstheme="minorHAnsi"/>
                <w:sz w:val="18"/>
                <w:szCs w:val="18"/>
                <w:lang w:val="sr-Latn-ME"/>
              </w:rPr>
            </w:pPr>
            <w:r>
              <w:rPr>
                <w:rFonts w:cstheme="minorHAnsi"/>
                <w:sz w:val="18"/>
                <w:szCs w:val="18"/>
                <w:lang w:val="sr-Latn-ME"/>
              </w:rPr>
              <w:t>12.3</w:t>
            </w:r>
          </w:p>
        </w:tc>
        <w:tc>
          <w:tcPr>
            <w:tcW w:w="941" w:type="dxa"/>
            <w:vAlign w:val="bottom"/>
          </w:tcPr>
          <w:p w14:paraId="48AF2D7C" w14:textId="77777777" w:rsidR="00CB2E14" w:rsidRPr="00882F2F" w:rsidRDefault="00CB2E14" w:rsidP="00CB2E14">
            <w:pPr>
              <w:jc w:val="center"/>
              <w:rPr>
                <w:rFonts w:cstheme="minorHAnsi"/>
                <w:sz w:val="18"/>
                <w:szCs w:val="18"/>
                <w:lang w:val="sr-Latn-ME"/>
              </w:rPr>
            </w:pPr>
            <w:r>
              <w:rPr>
                <w:rFonts w:cstheme="minorHAnsi"/>
                <w:sz w:val="18"/>
                <w:szCs w:val="18"/>
                <w:lang w:val="sr-Latn-ME"/>
              </w:rPr>
              <w:t>11.9</w:t>
            </w:r>
          </w:p>
        </w:tc>
      </w:tr>
      <w:tr w:rsidR="00CB2E14" w:rsidRPr="00882F2F" w14:paraId="0D0AEBB4" w14:textId="77777777" w:rsidTr="00CB2E14">
        <w:tc>
          <w:tcPr>
            <w:tcW w:w="5098" w:type="dxa"/>
          </w:tcPr>
          <w:p w14:paraId="176C4FC1" w14:textId="77777777" w:rsidR="00CB2E14" w:rsidRPr="00882F2F" w:rsidRDefault="00CB2E14" w:rsidP="00CB2E14">
            <w:pPr>
              <w:rPr>
                <w:rFonts w:cstheme="minorHAnsi"/>
                <w:sz w:val="18"/>
                <w:szCs w:val="18"/>
                <w:lang w:val="sr-Latn-ME"/>
              </w:rPr>
            </w:pPr>
            <w:r w:rsidRPr="00882F2F">
              <w:rPr>
                <w:rFonts w:cstheme="minorHAnsi"/>
                <w:sz w:val="18"/>
                <w:szCs w:val="18"/>
                <w:lang w:val="sr-Latn-ME"/>
              </w:rPr>
              <w:t>Neto SDI, % BDP-a</w:t>
            </w:r>
          </w:p>
        </w:tc>
        <w:tc>
          <w:tcPr>
            <w:tcW w:w="993" w:type="dxa"/>
          </w:tcPr>
          <w:p w14:paraId="313C5776" w14:textId="77777777" w:rsidR="00CB2E14" w:rsidRPr="00882F2F" w:rsidRDefault="00CB2E14" w:rsidP="00CB2E14">
            <w:pPr>
              <w:jc w:val="center"/>
              <w:rPr>
                <w:rFonts w:cstheme="minorHAnsi"/>
                <w:sz w:val="18"/>
                <w:szCs w:val="18"/>
                <w:lang w:val="sr-Latn-ME"/>
              </w:rPr>
            </w:pPr>
            <w:r>
              <w:rPr>
                <w:rFonts w:cstheme="minorHAnsi"/>
                <w:sz w:val="18"/>
                <w:szCs w:val="18"/>
                <w:lang w:val="sr-Latn-ME"/>
              </w:rPr>
              <w:t>7.5</w:t>
            </w:r>
          </w:p>
        </w:tc>
        <w:tc>
          <w:tcPr>
            <w:tcW w:w="992" w:type="dxa"/>
          </w:tcPr>
          <w:p w14:paraId="72F4141E" w14:textId="77777777" w:rsidR="00CB2E14" w:rsidRPr="00882F2F" w:rsidRDefault="00CB2E14" w:rsidP="00CB2E14">
            <w:pPr>
              <w:jc w:val="center"/>
              <w:rPr>
                <w:rFonts w:cstheme="minorHAnsi"/>
                <w:sz w:val="18"/>
                <w:szCs w:val="18"/>
                <w:lang w:val="sr-Latn-ME"/>
              </w:rPr>
            </w:pPr>
            <w:r>
              <w:rPr>
                <w:rFonts w:cstheme="minorHAnsi"/>
                <w:sz w:val="18"/>
                <w:szCs w:val="18"/>
                <w:lang w:val="sr-Latn-ME"/>
              </w:rPr>
              <w:t>5.1</w:t>
            </w:r>
          </w:p>
        </w:tc>
        <w:tc>
          <w:tcPr>
            <w:tcW w:w="992" w:type="dxa"/>
          </w:tcPr>
          <w:p w14:paraId="18B4C354" w14:textId="77777777" w:rsidR="00CB2E14" w:rsidRPr="00882F2F" w:rsidRDefault="00CB2E14" w:rsidP="00CB2E14">
            <w:pPr>
              <w:jc w:val="center"/>
              <w:rPr>
                <w:rFonts w:cstheme="minorHAnsi"/>
                <w:sz w:val="18"/>
                <w:szCs w:val="18"/>
                <w:lang w:val="sr-Latn-ME"/>
              </w:rPr>
            </w:pPr>
            <w:r>
              <w:rPr>
                <w:rFonts w:cstheme="minorHAnsi"/>
                <w:sz w:val="18"/>
                <w:szCs w:val="18"/>
                <w:lang w:val="sr-Latn-ME"/>
              </w:rPr>
              <w:t>4.8</w:t>
            </w:r>
          </w:p>
        </w:tc>
        <w:tc>
          <w:tcPr>
            <w:tcW w:w="941" w:type="dxa"/>
          </w:tcPr>
          <w:p w14:paraId="69B62DE0" w14:textId="77777777" w:rsidR="00CB2E14" w:rsidRPr="00882F2F" w:rsidRDefault="00CB2E14" w:rsidP="00CB2E14">
            <w:pPr>
              <w:jc w:val="center"/>
              <w:rPr>
                <w:rFonts w:cstheme="minorHAnsi"/>
                <w:sz w:val="18"/>
                <w:szCs w:val="18"/>
                <w:lang w:val="sr-Latn-ME"/>
              </w:rPr>
            </w:pPr>
            <w:r>
              <w:rPr>
                <w:rFonts w:cstheme="minorHAnsi"/>
                <w:sz w:val="18"/>
                <w:szCs w:val="18"/>
                <w:lang w:val="sr-Latn-ME"/>
              </w:rPr>
              <w:t>4.7</w:t>
            </w:r>
          </w:p>
        </w:tc>
      </w:tr>
    </w:tbl>
    <w:p w14:paraId="77011F7F" w14:textId="77777777" w:rsidR="00CB2E14" w:rsidRPr="004E28E4" w:rsidRDefault="00CB2E14" w:rsidP="00CB2E14">
      <w:pPr>
        <w:rPr>
          <w:i/>
          <w:sz w:val="16"/>
          <w:lang w:val="sr-Latn-ME"/>
        </w:rPr>
      </w:pPr>
      <w:r w:rsidRPr="004E28E4">
        <w:rPr>
          <w:i/>
          <w:sz w:val="16"/>
          <w:lang w:val="sr-Latn-ME"/>
        </w:rPr>
        <w:t>Izvor: Projekcije Ministarstva finansija</w:t>
      </w:r>
    </w:p>
    <w:p w14:paraId="01223371" w14:textId="77777777" w:rsidR="00CB2E14" w:rsidRPr="0078602A" w:rsidRDefault="00CB2E14" w:rsidP="00CB2E14">
      <w:pPr>
        <w:jc w:val="both"/>
        <w:rPr>
          <w:rFonts w:eastAsia="Calibri" w:cstheme="minorHAnsi"/>
          <w:b/>
          <w:color w:val="2F5496" w:themeColor="accent1" w:themeShade="BF"/>
          <w:lang w:val="sr-Latn-ME" w:eastAsia="sr-Latn-ME"/>
        </w:rPr>
      </w:pPr>
      <w:r w:rsidRPr="0078602A">
        <w:rPr>
          <w:rFonts w:eastAsia="Calibri" w:cstheme="minorHAnsi"/>
          <w:b/>
          <w:color w:val="2F5496" w:themeColor="accent1" w:themeShade="BF"/>
          <w:sz w:val="24"/>
          <w:lang w:val="sr-Latn-ME" w:eastAsia="sr-Latn-ME"/>
        </w:rPr>
        <w:t>3.4. Procjena uticaja</w:t>
      </w:r>
    </w:p>
    <w:p w14:paraId="181C2389" w14:textId="77777777" w:rsidR="00CB2E14" w:rsidRDefault="00CB2E14" w:rsidP="00CB2E14">
      <w:pPr>
        <w:widowControl w:val="0"/>
        <w:spacing w:line="240" w:lineRule="auto"/>
        <w:jc w:val="both"/>
        <w:rPr>
          <w:sz w:val="24"/>
          <w:lang w:val="sr-Latn-ME"/>
        </w:rPr>
      </w:pPr>
      <w:r w:rsidRPr="00D137C8">
        <w:rPr>
          <w:sz w:val="24"/>
          <w:lang w:val="sr-Latn-ME"/>
        </w:rPr>
        <w:t>Radi sagledavanja važnosti mjera strukturnih reformi koje su planirane ovogodišnjim Programom i najavljenih projekata u oblasti energetike, izvršena je procjena uticaja na realni sektor i tržište rada. U analizi su uzete sve navedene mjere strukturnih reformi, čiji se kvantitativni efekat procjenjuje na oko 0,3% BDP-a u srednjem roku, a najviše će se odraziti kroz unaprjeđenje okvira za dekarbonizaciju, veću zapošljivost</w:t>
      </w:r>
      <w:r>
        <w:rPr>
          <w:sz w:val="24"/>
          <w:lang w:val="sr-Latn-ME"/>
        </w:rPr>
        <w:t xml:space="preserve"> </w:t>
      </w:r>
      <w:r w:rsidRPr="00D137C8">
        <w:rPr>
          <w:sz w:val="24"/>
          <w:lang w:val="sr-Latn-ME"/>
        </w:rPr>
        <w:t>i poboljšanje kvaliteta javnih usluga putem digitalizacije.</w:t>
      </w:r>
    </w:p>
    <w:p w14:paraId="0A8BFC11" w14:textId="77777777" w:rsidR="00CB2E14" w:rsidRPr="00FF1A04" w:rsidRDefault="00CB2E14" w:rsidP="00CB2E14">
      <w:pPr>
        <w:widowControl w:val="0"/>
        <w:spacing w:line="240" w:lineRule="auto"/>
        <w:jc w:val="both"/>
        <w:rPr>
          <w:sz w:val="24"/>
          <w:lang w:val="sr-Latn-ME"/>
        </w:rPr>
      </w:pPr>
      <w:r>
        <w:rPr>
          <w:sz w:val="24"/>
          <w:lang w:val="sr-Latn-ME"/>
        </w:rPr>
        <w:lastRenderedPageBreak/>
        <w:t>Pored reformskih mjera</w:t>
      </w:r>
      <w:r w:rsidRPr="00FF1A04">
        <w:rPr>
          <w:sz w:val="24"/>
          <w:lang w:val="sr-Latn-ME"/>
        </w:rPr>
        <w:t>,</w:t>
      </w:r>
      <w:r>
        <w:rPr>
          <w:sz w:val="24"/>
          <w:lang w:val="sr-Latn-ME"/>
        </w:rPr>
        <w:t xml:space="preserve"> prilikom procjene uticaja</w:t>
      </w:r>
      <w:r w:rsidRPr="00FF1A04">
        <w:rPr>
          <w:sz w:val="24"/>
          <w:lang w:val="sr-Latn-ME"/>
        </w:rPr>
        <w:t xml:space="preserve"> </w:t>
      </w:r>
      <w:r>
        <w:rPr>
          <w:sz w:val="24"/>
          <w:lang w:val="sr-Latn-ME"/>
        </w:rPr>
        <w:t>uzeti su u</w:t>
      </w:r>
      <w:r w:rsidRPr="00FF1A04">
        <w:rPr>
          <w:sz w:val="24"/>
          <w:lang w:val="sr-Latn-ME"/>
        </w:rPr>
        <w:t xml:space="preserve"> obzir</w:t>
      </w:r>
      <w:r>
        <w:rPr>
          <w:sz w:val="24"/>
          <w:lang w:val="sr-Latn-ME"/>
        </w:rPr>
        <w:t xml:space="preserve"> i</w:t>
      </w:r>
      <w:r w:rsidRPr="00FF1A04">
        <w:rPr>
          <w:sz w:val="24"/>
          <w:lang w:val="sr-Latn-ME"/>
        </w:rPr>
        <w:t xml:space="preserve"> efekt</w:t>
      </w:r>
      <w:r>
        <w:rPr>
          <w:sz w:val="24"/>
          <w:lang w:val="sr-Latn-ME"/>
        </w:rPr>
        <w:t>i</w:t>
      </w:r>
      <w:r w:rsidRPr="00FF1A04">
        <w:rPr>
          <w:sz w:val="24"/>
          <w:lang w:val="sr-Latn-ME"/>
        </w:rPr>
        <w:t xml:space="preserve"> formiranj</w:t>
      </w:r>
      <w:r>
        <w:rPr>
          <w:sz w:val="24"/>
          <w:lang w:val="sr-Latn-ME"/>
        </w:rPr>
        <w:t>a</w:t>
      </w:r>
      <w:r w:rsidRPr="00FF1A04">
        <w:rPr>
          <w:sz w:val="24"/>
          <w:lang w:val="sr-Latn-ME"/>
        </w:rPr>
        <w:t xml:space="preserve"> javnog kapitala kroz izgradnju objekata obnovljivih izvora energije i ekološk</w:t>
      </w:r>
      <w:r>
        <w:rPr>
          <w:sz w:val="24"/>
          <w:lang w:val="sr-Latn-ME"/>
        </w:rPr>
        <w:t>e</w:t>
      </w:r>
      <w:r w:rsidRPr="00FF1A04">
        <w:rPr>
          <w:sz w:val="24"/>
          <w:lang w:val="sr-Latn-ME"/>
        </w:rPr>
        <w:t xml:space="preserve"> modernizacij</w:t>
      </w:r>
      <w:r>
        <w:rPr>
          <w:sz w:val="24"/>
          <w:lang w:val="sr-Latn-ME"/>
        </w:rPr>
        <w:t>e</w:t>
      </w:r>
      <w:r w:rsidRPr="00FF1A04">
        <w:rPr>
          <w:sz w:val="24"/>
          <w:lang w:val="sr-Latn-ME"/>
        </w:rPr>
        <w:t xml:space="preserve"> postojeće infrastrukture. </w:t>
      </w:r>
      <w:r>
        <w:rPr>
          <w:sz w:val="24"/>
          <w:lang w:val="sr-Latn-ME"/>
        </w:rPr>
        <w:t>Najavljeni projekti</w:t>
      </w:r>
      <w:r w:rsidRPr="00FF1A04">
        <w:rPr>
          <w:sz w:val="24"/>
          <w:lang w:val="sr-Latn-ME"/>
        </w:rPr>
        <w:t xml:space="preserve"> uključuj</w:t>
      </w:r>
      <w:r>
        <w:rPr>
          <w:sz w:val="24"/>
          <w:lang w:val="sr-Latn-ME"/>
        </w:rPr>
        <w:t>u</w:t>
      </w:r>
      <w:r w:rsidRPr="00FF1A04">
        <w:rPr>
          <w:sz w:val="24"/>
          <w:lang w:val="sr-Latn-ME"/>
        </w:rPr>
        <w:t xml:space="preserve">: izgradnju malih </w:t>
      </w:r>
      <w:r>
        <w:rPr>
          <w:sz w:val="24"/>
          <w:lang w:val="sr-Latn-ME"/>
        </w:rPr>
        <w:t>hidroelektrana</w:t>
      </w:r>
      <w:r w:rsidRPr="00FF1A04">
        <w:rPr>
          <w:sz w:val="24"/>
          <w:lang w:val="sr-Latn-ME"/>
        </w:rPr>
        <w:t>, izgradnje solarnih elektrana, izgradnju vjetroelektrana, rekonstrukcije malih hidroelektrana kao i finalizaciju povezivanja Crne Gore i Italije podmorskim kablom.</w:t>
      </w:r>
      <w:r>
        <w:rPr>
          <w:sz w:val="24"/>
          <w:lang w:val="sr-Latn-ME"/>
        </w:rPr>
        <w:t xml:space="preserve"> Procjenjuje se da će navedeni projekti značajno doprinijeti ubrzanoj zelenoj tranziciji Crne Gore u oblasti proizvodnje električne energije, budući da će se već u 2024, prema planu iz Energetskog bilansa, udio obnovljivih izvora energije u ukupnoj proizvodnji električne energije, povećati na preko 63%, sa 55% iz 2022</w:t>
      </w:r>
      <w:r>
        <w:rPr>
          <w:rStyle w:val="FootnoteReference"/>
          <w:sz w:val="24"/>
          <w:lang w:val="sr-Latn-ME"/>
        </w:rPr>
        <w:footnoteReference w:id="17"/>
      </w:r>
      <w:r>
        <w:rPr>
          <w:sz w:val="24"/>
          <w:lang w:val="sr-Latn-ME"/>
        </w:rPr>
        <w:t>.</w:t>
      </w:r>
    </w:p>
    <w:p w14:paraId="245A1091" w14:textId="535850D5" w:rsidR="000F38A3" w:rsidRDefault="00CB2E14" w:rsidP="00687897">
      <w:pPr>
        <w:widowControl w:val="0"/>
        <w:spacing w:line="240" w:lineRule="auto"/>
        <w:jc w:val="both"/>
        <w:rPr>
          <w:sz w:val="24"/>
          <w:lang w:val="sr-Latn-ME"/>
        </w:rPr>
      </w:pPr>
      <w:r w:rsidRPr="00FF1A04">
        <w:rPr>
          <w:sz w:val="24"/>
          <w:lang w:val="sr-Latn-ME"/>
        </w:rPr>
        <w:t>Kao bazna godina</w:t>
      </w:r>
      <w:r>
        <w:rPr>
          <w:sz w:val="24"/>
          <w:lang w:val="sr-Latn-ME"/>
        </w:rPr>
        <w:t xml:space="preserve"> u procjeni</w:t>
      </w:r>
      <w:r w:rsidRPr="00FF1A04">
        <w:rPr>
          <w:sz w:val="24"/>
          <w:lang w:val="sr-Latn-ME"/>
        </w:rPr>
        <w:t xml:space="preserve"> (referentna godina prije započinjanja razmatranih mjera) uzeta je 2022.</w:t>
      </w:r>
      <w:r>
        <w:rPr>
          <w:sz w:val="24"/>
          <w:lang w:val="sr-Latn-ME"/>
        </w:rPr>
        <w:t xml:space="preserve"> Procjena uključuje reformske mjere iz ovogodišnjeg Programa i projekte u energetici iz oblasti OIE.</w:t>
      </w:r>
      <w:r w:rsidRPr="00FF1A04">
        <w:rPr>
          <w:sz w:val="24"/>
          <w:lang w:val="sr-Latn-ME"/>
        </w:rPr>
        <w:t xml:space="preserve"> Trebalo bi napomenuti da prognoze i procjene dobijene </w:t>
      </w:r>
      <w:r>
        <w:rPr>
          <w:sz w:val="24"/>
          <w:lang w:val="sr-Latn-ME"/>
        </w:rPr>
        <w:t xml:space="preserve">modulom </w:t>
      </w:r>
      <w:r w:rsidRPr="00FF1A04">
        <w:rPr>
          <w:sz w:val="24"/>
          <w:lang w:val="sr-Latn-ME"/>
        </w:rPr>
        <w:t>za procjenu uticaja strukturnih reformi i realizacije projekata na makroekonomska kretanja</w:t>
      </w:r>
      <w:r>
        <w:rPr>
          <w:sz w:val="24"/>
          <w:lang w:val="sr-Latn-ME"/>
        </w:rPr>
        <w:t>,</w:t>
      </w:r>
      <w:r w:rsidRPr="00FF1A04">
        <w:rPr>
          <w:sz w:val="24"/>
          <w:lang w:val="sr-Latn-ME"/>
        </w:rPr>
        <w:t xml:space="preserve"> ne generišu tačne „prognoze“, ali odražavaju strukturu i odnose u ekonomiji Crne Gore, te djelimično </w:t>
      </w:r>
    </w:p>
    <w:p w14:paraId="3751C71F" w14:textId="0480E075" w:rsidR="00CB2E14" w:rsidRDefault="00CB2E14" w:rsidP="00CB2E14">
      <w:pPr>
        <w:widowControl w:val="0"/>
        <w:spacing w:line="240" w:lineRule="auto"/>
        <w:jc w:val="both"/>
        <w:rPr>
          <w:sz w:val="24"/>
          <w:lang w:val="sr-Latn-ME"/>
        </w:rPr>
      </w:pPr>
      <w:r w:rsidRPr="00FF1A04">
        <w:rPr>
          <w:sz w:val="24"/>
          <w:lang w:val="sr-Latn-ME"/>
        </w:rPr>
        <w:t xml:space="preserve">uzimaju u obzir izuzetno kompleksne multiplikativne efekte </w:t>
      </w:r>
      <w:r>
        <w:rPr>
          <w:sz w:val="24"/>
          <w:lang w:val="sr-Latn-ME"/>
        </w:rPr>
        <w:t>povećanja</w:t>
      </w:r>
      <w:r w:rsidRPr="00FF1A04">
        <w:rPr>
          <w:sz w:val="24"/>
          <w:lang w:val="sr-Latn-ME"/>
        </w:rPr>
        <w:t xml:space="preserve"> investicija po privatnu potrošnju </w:t>
      </w:r>
      <w:r>
        <w:rPr>
          <w:sz w:val="24"/>
          <w:lang w:val="sr-Latn-ME"/>
        </w:rPr>
        <w:t xml:space="preserve">i BDP. </w:t>
      </w:r>
      <w:r w:rsidRPr="00FF1A04">
        <w:rPr>
          <w:sz w:val="24"/>
          <w:lang w:val="sr-Latn-ME"/>
        </w:rPr>
        <w:t>Procjena takođe ne uključuje kapitalne infrastrukturne projekte u oblasti putne infrastrukture</w:t>
      </w:r>
      <w:r>
        <w:rPr>
          <w:sz w:val="24"/>
          <w:lang w:val="sr-Latn-ME"/>
        </w:rPr>
        <w:t xml:space="preserve"> i projekte u oblasti turizma</w:t>
      </w:r>
      <w:r w:rsidRPr="00FF1A04">
        <w:rPr>
          <w:sz w:val="24"/>
          <w:lang w:val="sr-Latn-ME"/>
        </w:rPr>
        <w:t>.</w:t>
      </w:r>
      <w:r>
        <w:rPr>
          <w:sz w:val="24"/>
          <w:lang w:val="sr-Latn-ME"/>
        </w:rPr>
        <w:t xml:space="preserve"> </w:t>
      </w:r>
      <w:r w:rsidRPr="00FF1A04">
        <w:rPr>
          <w:sz w:val="24"/>
          <w:lang w:val="sr-Latn-ME"/>
        </w:rPr>
        <w:t>Efekti realizacije prikazani su u narednoj tabeli:</w:t>
      </w:r>
    </w:p>
    <w:p w14:paraId="5750AF2A" w14:textId="2DCF3859" w:rsidR="00CB2E14" w:rsidRPr="0078602A" w:rsidRDefault="00CB2E14" w:rsidP="00CB2E14">
      <w:pPr>
        <w:widowControl w:val="0"/>
        <w:spacing w:line="240" w:lineRule="auto"/>
        <w:jc w:val="both"/>
        <w:rPr>
          <w:b/>
          <w:color w:val="2F5496" w:themeColor="accent1" w:themeShade="BF"/>
          <w:lang w:val="sr-Latn-ME"/>
        </w:rPr>
      </w:pPr>
      <w:r w:rsidRPr="0078602A">
        <w:rPr>
          <w:b/>
          <w:color w:val="2F5496" w:themeColor="accent1" w:themeShade="BF"/>
          <w:lang w:val="sr-Latn-ME"/>
        </w:rPr>
        <w:t>Tabela 3.4: Efekti realizacije odabranih strukturnih mjera i projekata u energetici</w:t>
      </w:r>
    </w:p>
    <w:tbl>
      <w:tblPr>
        <w:tblStyle w:val="PlainTable4"/>
        <w:tblW w:w="5000" w:type="pct"/>
        <w:tblLook w:val="04A0" w:firstRow="1" w:lastRow="0" w:firstColumn="1" w:lastColumn="0" w:noHBand="0" w:noVBand="1"/>
      </w:tblPr>
      <w:tblGrid>
        <w:gridCol w:w="4138"/>
        <w:gridCol w:w="1197"/>
        <w:gridCol w:w="1231"/>
        <w:gridCol w:w="1231"/>
        <w:gridCol w:w="1229"/>
      </w:tblGrid>
      <w:tr w:rsidR="00CB2E14" w:rsidRPr="00A427B1" w14:paraId="6F23BF95" w14:textId="77777777" w:rsidTr="00CB2E14">
        <w:trPr>
          <w:cnfStyle w:val="100000000000" w:firstRow="1" w:lastRow="0" w:firstColumn="0" w:lastColumn="0" w:oddVBand="0" w:evenVBand="0" w:oddHBand="0"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292" w:type="pct"/>
          </w:tcPr>
          <w:p w14:paraId="4D5CB792" w14:textId="77777777" w:rsidR="00CB2E14" w:rsidRPr="00A427B1" w:rsidRDefault="00CB2E14" w:rsidP="00CB2E14">
            <w:pPr>
              <w:widowControl w:val="0"/>
              <w:contextualSpacing/>
              <w:jc w:val="both"/>
              <w:rPr>
                <w:rFonts w:cstheme="minorHAnsi"/>
                <w:b w:val="0"/>
                <w:sz w:val="18"/>
                <w:szCs w:val="18"/>
                <w:lang w:val="sr-Latn-ME"/>
              </w:rPr>
            </w:pPr>
          </w:p>
        </w:tc>
        <w:tc>
          <w:tcPr>
            <w:tcW w:w="663" w:type="pct"/>
          </w:tcPr>
          <w:p w14:paraId="78FB49A8" w14:textId="5019FD23" w:rsidR="00CB2E14" w:rsidRPr="00C944E7" w:rsidRDefault="00CB2E14" w:rsidP="00CB2E14">
            <w:pPr>
              <w:widowControl w:val="0"/>
              <w:tabs>
                <w:tab w:val="left" w:pos="830"/>
              </w:tabs>
              <w:contextualSpacing/>
              <w:jc w:val="center"/>
              <w:cnfStyle w:val="100000000000" w:firstRow="1" w:lastRow="0" w:firstColumn="0" w:lastColumn="0" w:oddVBand="0" w:evenVBand="0" w:oddHBand="0" w:evenHBand="0" w:firstRowFirstColumn="0" w:firstRowLastColumn="0" w:lastRowFirstColumn="0" w:lastRowLastColumn="0"/>
              <w:rPr>
                <w:rFonts w:cstheme="minorHAnsi"/>
                <w:sz w:val="18"/>
                <w:szCs w:val="18"/>
                <w:lang w:val="sr-Latn-ME"/>
              </w:rPr>
            </w:pPr>
            <w:r w:rsidRPr="00C944E7">
              <w:rPr>
                <w:rFonts w:cstheme="minorHAnsi"/>
                <w:sz w:val="18"/>
                <w:szCs w:val="18"/>
                <w:lang w:val="sr-Latn-ME"/>
              </w:rPr>
              <w:t>2022</w:t>
            </w:r>
          </w:p>
        </w:tc>
        <w:tc>
          <w:tcPr>
            <w:tcW w:w="682" w:type="pct"/>
          </w:tcPr>
          <w:p w14:paraId="5B45A844" w14:textId="77777777" w:rsidR="00CB2E14" w:rsidRPr="00C944E7" w:rsidRDefault="00CB2E14" w:rsidP="00CB2E14">
            <w:pPr>
              <w:widowControl w:val="0"/>
              <w:tabs>
                <w:tab w:val="left" w:pos="830"/>
              </w:tabs>
              <w:contextualSpacing/>
              <w:jc w:val="center"/>
              <w:cnfStyle w:val="100000000000" w:firstRow="1" w:lastRow="0" w:firstColumn="0" w:lastColumn="0" w:oddVBand="0" w:evenVBand="0" w:oddHBand="0" w:evenHBand="0" w:firstRowFirstColumn="0" w:firstRowLastColumn="0" w:lastRowFirstColumn="0" w:lastRowLastColumn="0"/>
              <w:rPr>
                <w:rFonts w:cstheme="minorHAnsi"/>
                <w:sz w:val="18"/>
                <w:szCs w:val="18"/>
                <w:lang w:val="sr-Latn-ME"/>
              </w:rPr>
            </w:pPr>
            <w:r w:rsidRPr="00C944E7">
              <w:rPr>
                <w:rFonts w:cstheme="minorHAnsi"/>
                <w:sz w:val="18"/>
                <w:szCs w:val="18"/>
                <w:lang w:val="sr-Latn-ME"/>
              </w:rPr>
              <w:t>2023</w:t>
            </w:r>
          </w:p>
        </w:tc>
        <w:tc>
          <w:tcPr>
            <w:tcW w:w="682" w:type="pct"/>
          </w:tcPr>
          <w:p w14:paraId="1A552AD2" w14:textId="77777777" w:rsidR="00CB2E14" w:rsidRPr="00C944E7" w:rsidRDefault="00CB2E14" w:rsidP="00CB2E14">
            <w:pPr>
              <w:widowControl w:val="0"/>
              <w:tabs>
                <w:tab w:val="left" w:pos="830"/>
              </w:tabs>
              <w:contextualSpacing/>
              <w:jc w:val="center"/>
              <w:cnfStyle w:val="100000000000" w:firstRow="1" w:lastRow="0" w:firstColumn="0" w:lastColumn="0" w:oddVBand="0" w:evenVBand="0" w:oddHBand="0" w:evenHBand="0" w:firstRowFirstColumn="0" w:firstRowLastColumn="0" w:lastRowFirstColumn="0" w:lastRowLastColumn="0"/>
              <w:rPr>
                <w:rFonts w:cstheme="minorHAnsi"/>
                <w:sz w:val="18"/>
                <w:szCs w:val="18"/>
                <w:lang w:val="sr-Latn-ME"/>
              </w:rPr>
            </w:pPr>
            <w:r w:rsidRPr="00C944E7">
              <w:rPr>
                <w:rFonts w:cstheme="minorHAnsi"/>
                <w:sz w:val="18"/>
                <w:szCs w:val="18"/>
                <w:lang w:val="sr-Latn-ME"/>
              </w:rPr>
              <w:t>2024</w:t>
            </w:r>
          </w:p>
        </w:tc>
        <w:tc>
          <w:tcPr>
            <w:tcW w:w="681" w:type="pct"/>
          </w:tcPr>
          <w:p w14:paraId="50588644" w14:textId="77777777" w:rsidR="00CB2E14" w:rsidRPr="00C944E7" w:rsidRDefault="00CB2E14" w:rsidP="00CB2E14">
            <w:pPr>
              <w:widowControl w:val="0"/>
              <w:tabs>
                <w:tab w:val="left" w:pos="830"/>
              </w:tabs>
              <w:contextualSpacing/>
              <w:jc w:val="center"/>
              <w:cnfStyle w:val="100000000000" w:firstRow="1" w:lastRow="0" w:firstColumn="0" w:lastColumn="0" w:oddVBand="0" w:evenVBand="0" w:oddHBand="0" w:evenHBand="0" w:firstRowFirstColumn="0" w:firstRowLastColumn="0" w:lastRowFirstColumn="0" w:lastRowLastColumn="0"/>
              <w:rPr>
                <w:rFonts w:cstheme="minorHAnsi"/>
                <w:sz w:val="18"/>
                <w:szCs w:val="18"/>
                <w:lang w:val="sr-Latn-ME"/>
              </w:rPr>
            </w:pPr>
            <w:r w:rsidRPr="00C944E7">
              <w:rPr>
                <w:rFonts w:cstheme="minorHAnsi"/>
                <w:sz w:val="18"/>
                <w:szCs w:val="18"/>
                <w:lang w:val="sr-Latn-ME"/>
              </w:rPr>
              <w:t>2025</w:t>
            </w:r>
          </w:p>
        </w:tc>
      </w:tr>
      <w:tr w:rsidR="00CB2E14" w:rsidRPr="00A427B1" w14:paraId="62168C56" w14:textId="77777777" w:rsidTr="00CB2E14">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292" w:type="pct"/>
          </w:tcPr>
          <w:p w14:paraId="4979B203" w14:textId="77777777" w:rsidR="00CB2E14" w:rsidRPr="007B6059" w:rsidRDefault="00CB2E14" w:rsidP="00CB2E14">
            <w:pPr>
              <w:widowControl w:val="0"/>
              <w:contextualSpacing/>
              <w:jc w:val="both"/>
              <w:rPr>
                <w:rFonts w:cstheme="minorHAnsi"/>
                <w:sz w:val="18"/>
                <w:szCs w:val="18"/>
                <w:lang w:val="sr-Latn-ME"/>
              </w:rPr>
            </w:pPr>
            <w:r w:rsidRPr="007B6059">
              <w:rPr>
                <w:rFonts w:cstheme="minorHAnsi"/>
                <w:sz w:val="18"/>
                <w:szCs w:val="18"/>
                <w:lang w:val="sr-Latn-ME"/>
              </w:rPr>
              <w:t>Realni sektor</w:t>
            </w:r>
          </w:p>
        </w:tc>
        <w:tc>
          <w:tcPr>
            <w:tcW w:w="663" w:type="pct"/>
          </w:tcPr>
          <w:p w14:paraId="5CAEF2BB" w14:textId="77777777" w:rsidR="00CB2E14" w:rsidRPr="00A427B1" w:rsidRDefault="00CB2E14" w:rsidP="00CB2E14">
            <w:pPr>
              <w:widowControl w:val="0"/>
              <w:tabs>
                <w:tab w:val="left" w:pos="830"/>
              </w:tabs>
              <w:contextualSpacing/>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sr-Latn-ME"/>
              </w:rPr>
            </w:pPr>
          </w:p>
        </w:tc>
        <w:tc>
          <w:tcPr>
            <w:tcW w:w="682" w:type="pct"/>
          </w:tcPr>
          <w:p w14:paraId="3EA2E160" w14:textId="77777777" w:rsidR="00CB2E14" w:rsidRPr="00A427B1" w:rsidRDefault="00CB2E14" w:rsidP="00CB2E14">
            <w:pPr>
              <w:widowControl w:val="0"/>
              <w:tabs>
                <w:tab w:val="left" w:pos="830"/>
              </w:tabs>
              <w:contextualSpacing/>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sr-Latn-ME"/>
              </w:rPr>
            </w:pPr>
          </w:p>
        </w:tc>
        <w:tc>
          <w:tcPr>
            <w:tcW w:w="682" w:type="pct"/>
          </w:tcPr>
          <w:p w14:paraId="09ACF9DE" w14:textId="77777777" w:rsidR="00CB2E14" w:rsidRPr="00A427B1" w:rsidRDefault="00CB2E14" w:rsidP="00CB2E14">
            <w:pPr>
              <w:widowControl w:val="0"/>
              <w:tabs>
                <w:tab w:val="left" w:pos="830"/>
              </w:tabs>
              <w:contextualSpacing/>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sr-Latn-ME"/>
              </w:rPr>
            </w:pPr>
          </w:p>
        </w:tc>
        <w:tc>
          <w:tcPr>
            <w:tcW w:w="681" w:type="pct"/>
          </w:tcPr>
          <w:p w14:paraId="4BFA72E5" w14:textId="77777777" w:rsidR="00CB2E14" w:rsidRPr="00A427B1" w:rsidRDefault="00CB2E14" w:rsidP="00CB2E14">
            <w:pPr>
              <w:widowControl w:val="0"/>
              <w:tabs>
                <w:tab w:val="left" w:pos="830"/>
              </w:tabs>
              <w:contextualSpacing/>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sr-Latn-ME"/>
              </w:rPr>
            </w:pPr>
          </w:p>
        </w:tc>
      </w:tr>
      <w:tr w:rsidR="00CB2E14" w:rsidRPr="00A427B1" w14:paraId="20DF041D" w14:textId="77777777" w:rsidTr="00CB2E14">
        <w:trPr>
          <w:trHeight w:val="113"/>
        </w:trPr>
        <w:tc>
          <w:tcPr>
            <w:cnfStyle w:val="001000000000" w:firstRow="0" w:lastRow="0" w:firstColumn="1" w:lastColumn="0" w:oddVBand="0" w:evenVBand="0" w:oddHBand="0" w:evenHBand="0" w:firstRowFirstColumn="0" w:firstRowLastColumn="0" w:lastRowFirstColumn="0" w:lastRowLastColumn="0"/>
            <w:tcW w:w="2292" w:type="pct"/>
          </w:tcPr>
          <w:p w14:paraId="1612B495" w14:textId="77777777" w:rsidR="00CB2E14" w:rsidRPr="00A427B1" w:rsidRDefault="00CB2E14" w:rsidP="00CB2E14">
            <w:pPr>
              <w:widowControl w:val="0"/>
              <w:contextualSpacing/>
              <w:jc w:val="both"/>
              <w:rPr>
                <w:rFonts w:cstheme="minorHAnsi"/>
                <w:b w:val="0"/>
                <w:sz w:val="18"/>
                <w:szCs w:val="18"/>
                <w:lang w:val="sr-Latn-ME"/>
              </w:rPr>
            </w:pPr>
            <w:r w:rsidRPr="00A427B1">
              <w:rPr>
                <w:rFonts w:cstheme="minorHAnsi"/>
                <w:b w:val="0"/>
                <w:sz w:val="18"/>
                <w:szCs w:val="18"/>
                <w:lang w:val="sr-Latn-ME"/>
              </w:rPr>
              <w:t>BDP, neto efekat u %</w:t>
            </w:r>
          </w:p>
        </w:tc>
        <w:tc>
          <w:tcPr>
            <w:tcW w:w="663" w:type="pct"/>
          </w:tcPr>
          <w:p w14:paraId="66A67CD6" w14:textId="77777777" w:rsidR="00CB2E14" w:rsidRPr="00A427B1" w:rsidRDefault="00CB2E14" w:rsidP="00CB2E14">
            <w:pPr>
              <w:widowControl w:val="0"/>
              <w:tabs>
                <w:tab w:val="left" w:pos="830"/>
              </w:tabs>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0,3</w:t>
            </w:r>
          </w:p>
        </w:tc>
        <w:tc>
          <w:tcPr>
            <w:tcW w:w="682" w:type="pct"/>
          </w:tcPr>
          <w:p w14:paraId="1C100D3D" w14:textId="77777777" w:rsidR="00CB2E14" w:rsidRPr="00A427B1" w:rsidRDefault="00CB2E14" w:rsidP="00CB2E14">
            <w:pPr>
              <w:widowControl w:val="0"/>
              <w:tabs>
                <w:tab w:val="left" w:pos="830"/>
              </w:tabs>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0,4</w:t>
            </w:r>
          </w:p>
        </w:tc>
        <w:tc>
          <w:tcPr>
            <w:tcW w:w="682" w:type="pct"/>
          </w:tcPr>
          <w:p w14:paraId="2ED89B6D" w14:textId="77777777" w:rsidR="00CB2E14" w:rsidRPr="00A427B1" w:rsidRDefault="00CB2E14" w:rsidP="00CB2E14">
            <w:pPr>
              <w:widowControl w:val="0"/>
              <w:tabs>
                <w:tab w:val="left" w:pos="830"/>
              </w:tabs>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0,8</w:t>
            </w:r>
          </w:p>
        </w:tc>
        <w:tc>
          <w:tcPr>
            <w:tcW w:w="681" w:type="pct"/>
          </w:tcPr>
          <w:p w14:paraId="46CF7C43" w14:textId="77777777" w:rsidR="00CB2E14" w:rsidRPr="00A427B1" w:rsidRDefault="00CB2E14" w:rsidP="00CB2E14">
            <w:pPr>
              <w:widowControl w:val="0"/>
              <w:tabs>
                <w:tab w:val="left" w:pos="830"/>
              </w:tabs>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1,6</w:t>
            </w:r>
          </w:p>
        </w:tc>
      </w:tr>
      <w:tr w:rsidR="00CB2E14" w:rsidRPr="00A427B1" w14:paraId="583385D2" w14:textId="77777777" w:rsidTr="00CB2E14">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292" w:type="pct"/>
          </w:tcPr>
          <w:p w14:paraId="26AD83FC" w14:textId="77777777" w:rsidR="00CB2E14" w:rsidRPr="00A427B1" w:rsidRDefault="00CB2E14" w:rsidP="00CB2E14">
            <w:pPr>
              <w:widowControl w:val="0"/>
              <w:contextualSpacing/>
              <w:jc w:val="both"/>
              <w:rPr>
                <w:rFonts w:cstheme="minorHAnsi"/>
                <w:b w:val="0"/>
                <w:sz w:val="18"/>
                <w:szCs w:val="18"/>
                <w:lang w:val="sr-Latn-ME"/>
              </w:rPr>
            </w:pPr>
            <w:r w:rsidRPr="00A427B1">
              <w:rPr>
                <w:rFonts w:cstheme="minorHAnsi"/>
                <w:b w:val="0"/>
                <w:sz w:val="18"/>
                <w:szCs w:val="18"/>
                <w:lang w:val="sr-Latn-ME"/>
              </w:rPr>
              <w:t>Privatna potrošnja, neto efekat u %</w:t>
            </w:r>
          </w:p>
        </w:tc>
        <w:tc>
          <w:tcPr>
            <w:tcW w:w="663" w:type="pct"/>
          </w:tcPr>
          <w:p w14:paraId="69AD1DE8" w14:textId="77777777" w:rsidR="00CB2E14" w:rsidRPr="00A427B1" w:rsidRDefault="00CB2E14" w:rsidP="00CB2E14">
            <w:pPr>
              <w:widowControl w:val="0"/>
              <w:tabs>
                <w:tab w:val="left" w:pos="830"/>
              </w:tabs>
              <w:contextualSpacing/>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sr-Latn-ME"/>
              </w:rPr>
            </w:pPr>
            <w:r>
              <w:rPr>
                <w:rFonts w:cstheme="minorHAnsi"/>
                <w:sz w:val="18"/>
                <w:szCs w:val="18"/>
                <w:lang w:val="sr-Latn-ME"/>
              </w:rPr>
              <w:t>0,2</w:t>
            </w:r>
          </w:p>
        </w:tc>
        <w:tc>
          <w:tcPr>
            <w:tcW w:w="682" w:type="pct"/>
          </w:tcPr>
          <w:p w14:paraId="31613270" w14:textId="77777777" w:rsidR="00CB2E14" w:rsidRPr="00A427B1" w:rsidRDefault="00CB2E14" w:rsidP="00CB2E14">
            <w:pPr>
              <w:widowControl w:val="0"/>
              <w:tabs>
                <w:tab w:val="left" w:pos="830"/>
              </w:tabs>
              <w:contextualSpacing/>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sr-Latn-ME"/>
              </w:rPr>
            </w:pPr>
            <w:r>
              <w:rPr>
                <w:rFonts w:cstheme="minorHAnsi"/>
                <w:sz w:val="18"/>
                <w:szCs w:val="18"/>
                <w:lang w:val="sr-Latn-ME"/>
              </w:rPr>
              <w:t>0,3</w:t>
            </w:r>
          </w:p>
        </w:tc>
        <w:tc>
          <w:tcPr>
            <w:tcW w:w="682" w:type="pct"/>
          </w:tcPr>
          <w:p w14:paraId="78D8AE67" w14:textId="77777777" w:rsidR="00CB2E14" w:rsidRPr="00A427B1" w:rsidRDefault="00CB2E14" w:rsidP="00CB2E14">
            <w:pPr>
              <w:widowControl w:val="0"/>
              <w:tabs>
                <w:tab w:val="left" w:pos="830"/>
              </w:tabs>
              <w:contextualSpacing/>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sr-Latn-ME"/>
              </w:rPr>
            </w:pPr>
            <w:r>
              <w:rPr>
                <w:rFonts w:cstheme="minorHAnsi"/>
                <w:sz w:val="18"/>
                <w:szCs w:val="18"/>
                <w:lang w:val="sr-Latn-ME"/>
              </w:rPr>
              <w:t>0,5</w:t>
            </w:r>
          </w:p>
        </w:tc>
        <w:tc>
          <w:tcPr>
            <w:tcW w:w="681" w:type="pct"/>
          </w:tcPr>
          <w:p w14:paraId="2BA79CB5" w14:textId="77777777" w:rsidR="00CB2E14" w:rsidRPr="00A427B1" w:rsidRDefault="00CB2E14" w:rsidP="00CB2E14">
            <w:pPr>
              <w:widowControl w:val="0"/>
              <w:tabs>
                <w:tab w:val="left" w:pos="830"/>
              </w:tabs>
              <w:contextualSpacing/>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sr-Latn-ME"/>
              </w:rPr>
            </w:pPr>
            <w:r>
              <w:rPr>
                <w:rFonts w:cstheme="minorHAnsi"/>
                <w:sz w:val="18"/>
                <w:szCs w:val="18"/>
                <w:lang w:val="sr-Latn-ME"/>
              </w:rPr>
              <w:t>0,9</w:t>
            </w:r>
          </w:p>
        </w:tc>
      </w:tr>
      <w:tr w:rsidR="00CB2E14" w:rsidRPr="00A427B1" w14:paraId="0D03729A" w14:textId="77777777" w:rsidTr="00CB2E14">
        <w:trPr>
          <w:trHeight w:val="113"/>
        </w:trPr>
        <w:tc>
          <w:tcPr>
            <w:cnfStyle w:val="001000000000" w:firstRow="0" w:lastRow="0" w:firstColumn="1" w:lastColumn="0" w:oddVBand="0" w:evenVBand="0" w:oddHBand="0" w:evenHBand="0" w:firstRowFirstColumn="0" w:firstRowLastColumn="0" w:lastRowFirstColumn="0" w:lastRowLastColumn="0"/>
            <w:tcW w:w="2292" w:type="pct"/>
          </w:tcPr>
          <w:p w14:paraId="4BA1C0B9" w14:textId="77777777" w:rsidR="00CB2E14" w:rsidRPr="00A427B1" w:rsidRDefault="00CB2E14" w:rsidP="00CB2E14">
            <w:pPr>
              <w:widowControl w:val="0"/>
              <w:contextualSpacing/>
              <w:jc w:val="both"/>
              <w:rPr>
                <w:rFonts w:cstheme="minorHAnsi"/>
                <w:b w:val="0"/>
                <w:sz w:val="18"/>
                <w:szCs w:val="18"/>
                <w:lang w:val="sr-Latn-ME"/>
              </w:rPr>
            </w:pPr>
            <w:r w:rsidRPr="00A427B1">
              <w:rPr>
                <w:rFonts w:cstheme="minorHAnsi"/>
                <w:b w:val="0"/>
                <w:sz w:val="18"/>
                <w:szCs w:val="18"/>
                <w:lang w:val="sr-Latn-ME"/>
              </w:rPr>
              <w:t>Investicije, neto efekat u %</w:t>
            </w:r>
          </w:p>
        </w:tc>
        <w:tc>
          <w:tcPr>
            <w:tcW w:w="663" w:type="pct"/>
          </w:tcPr>
          <w:p w14:paraId="176B6794" w14:textId="77777777" w:rsidR="00CB2E14" w:rsidRPr="00A427B1" w:rsidRDefault="00CB2E14" w:rsidP="00CB2E14">
            <w:pPr>
              <w:widowControl w:val="0"/>
              <w:tabs>
                <w:tab w:val="left" w:pos="830"/>
              </w:tabs>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2,5</w:t>
            </w:r>
          </w:p>
        </w:tc>
        <w:tc>
          <w:tcPr>
            <w:tcW w:w="682" w:type="pct"/>
          </w:tcPr>
          <w:p w14:paraId="0E716199" w14:textId="77777777" w:rsidR="00CB2E14" w:rsidRPr="00A427B1" w:rsidRDefault="00CB2E14" w:rsidP="00CB2E14">
            <w:pPr>
              <w:widowControl w:val="0"/>
              <w:tabs>
                <w:tab w:val="left" w:pos="830"/>
              </w:tabs>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3,2</w:t>
            </w:r>
          </w:p>
        </w:tc>
        <w:tc>
          <w:tcPr>
            <w:tcW w:w="682" w:type="pct"/>
          </w:tcPr>
          <w:p w14:paraId="2EB9F357" w14:textId="77777777" w:rsidR="00CB2E14" w:rsidRPr="00A427B1" w:rsidRDefault="00CB2E14" w:rsidP="00CB2E14">
            <w:pPr>
              <w:widowControl w:val="0"/>
              <w:tabs>
                <w:tab w:val="left" w:pos="830"/>
              </w:tabs>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3,2</w:t>
            </w:r>
          </w:p>
        </w:tc>
        <w:tc>
          <w:tcPr>
            <w:tcW w:w="681" w:type="pct"/>
          </w:tcPr>
          <w:p w14:paraId="2EB91265" w14:textId="77777777" w:rsidR="00CB2E14" w:rsidRPr="00A427B1" w:rsidRDefault="00CB2E14" w:rsidP="00CB2E14">
            <w:pPr>
              <w:widowControl w:val="0"/>
              <w:tabs>
                <w:tab w:val="left" w:pos="830"/>
              </w:tabs>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3,1</w:t>
            </w:r>
          </w:p>
        </w:tc>
      </w:tr>
      <w:tr w:rsidR="00CB2E14" w:rsidRPr="00A427B1" w14:paraId="2F920271" w14:textId="77777777" w:rsidTr="00CB2E14">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292" w:type="pct"/>
          </w:tcPr>
          <w:p w14:paraId="5850437A" w14:textId="77777777" w:rsidR="00CB2E14" w:rsidRPr="007B6059" w:rsidRDefault="00CB2E14" w:rsidP="00CB2E14">
            <w:pPr>
              <w:widowControl w:val="0"/>
              <w:contextualSpacing/>
              <w:jc w:val="both"/>
              <w:rPr>
                <w:rFonts w:cstheme="minorHAnsi"/>
                <w:sz w:val="18"/>
                <w:szCs w:val="18"/>
                <w:lang w:val="sr-Latn-ME"/>
              </w:rPr>
            </w:pPr>
            <w:r w:rsidRPr="007B6059">
              <w:rPr>
                <w:rFonts w:cstheme="minorHAnsi"/>
                <w:sz w:val="18"/>
                <w:szCs w:val="18"/>
                <w:lang w:val="sr-Latn-ME"/>
              </w:rPr>
              <w:t>Tržište rada</w:t>
            </w:r>
          </w:p>
        </w:tc>
        <w:tc>
          <w:tcPr>
            <w:tcW w:w="663" w:type="pct"/>
          </w:tcPr>
          <w:p w14:paraId="1A398EBE" w14:textId="77777777" w:rsidR="00CB2E14" w:rsidRPr="00A427B1" w:rsidRDefault="00CB2E14" w:rsidP="00CB2E14">
            <w:pPr>
              <w:widowControl w:val="0"/>
              <w:tabs>
                <w:tab w:val="left" w:pos="830"/>
              </w:tabs>
              <w:contextualSpacing/>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sr-Latn-ME"/>
              </w:rPr>
            </w:pPr>
          </w:p>
        </w:tc>
        <w:tc>
          <w:tcPr>
            <w:tcW w:w="682" w:type="pct"/>
          </w:tcPr>
          <w:p w14:paraId="2D25C652" w14:textId="77777777" w:rsidR="00CB2E14" w:rsidRPr="00A427B1" w:rsidRDefault="00CB2E14" w:rsidP="00CB2E14">
            <w:pPr>
              <w:widowControl w:val="0"/>
              <w:tabs>
                <w:tab w:val="left" w:pos="830"/>
              </w:tabs>
              <w:contextualSpacing/>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sr-Latn-ME"/>
              </w:rPr>
            </w:pPr>
          </w:p>
        </w:tc>
        <w:tc>
          <w:tcPr>
            <w:tcW w:w="682" w:type="pct"/>
          </w:tcPr>
          <w:p w14:paraId="1D361394" w14:textId="77777777" w:rsidR="00CB2E14" w:rsidRPr="00A427B1" w:rsidRDefault="00CB2E14" w:rsidP="00CB2E14">
            <w:pPr>
              <w:widowControl w:val="0"/>
              <w:tabs>
                <w:tab w:val="left" w:pos="830"/>
              </w:tabs>
              <w:contextualSpacing/>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sr-Latn-ME"/>
              </w:rPr>
            </w:pPr>
          </w:p>
        </w:tc>
        <w:tc>
          <w:tcPr>
            <w:tcW w:w="681" w:type="pct"/>
          </w:tcPr>
          <w:p w14:paraId="3E99DBCC" w14:textId="77777777" w:rsidR="00CB2E14" w:rsidRPr="00A427B1" w:rsidRDefault="00CB2E14" w:rsidP="00CB2E14">
            <w:pPr>
              <w:widowControl w:val="0"/>
              <w:tabs>
                <w:tab w:val="left" w:pos="830"/>
              </w:tabs>
              <w:contextualSpacing/>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sr-Latn-ME"/>
              </w:rPr>
            </w:pPr>
          </w:p>
        </w:tc>
      </w:tr>
      <w:tr w:rsidR="00CB2E14" w:rsidRPr="00A427B1" w14:paraId="0554096D" w14:textId="77777777" w:rsidTr="00CB2E14">
        <w:trPr>
          <w:trHeight w:val="113"/>
        </w:trPr>
        <w:tc>
          <w:tcPr>
            <w:cnfStyle w:val="001000000000" w:firstRow="0" w:lastRow="0" w:firstColumn="1" w:lastColumn="0" w:oddVBand="0" w:evenVBand="0" w:oddHBand="0" w:evenHBand="0" w:firstRowFirstColumn="0" w:firstRowLastColumn="0" w:lastRowFirstColumn="0" w:lastRowLastColumn="0"/>
            <w:tcW w:w="2292" w:type="pct"/>
          </w:tcPr>
          <w:p w14:paraId="0F748105" w14:textId="77777777" w:rsidR="00CB2E14" w:rsidRPr="00A427B1" w:rsidRDefault="00CB2E14" w:rsidP="00CB2E14">
            <w:pPr>
              <w:widowControl w:val="0"/>
              <w:contextualSpacing/>
              <w:jc w:val="both"/>
              <w:rPr>
                <w:rFonts w:cstheme="minorHAnsi"/>
                <w:b w:val="0"/>
                <w:sz w:val="18"/>
                <w:szCs w:val="18"/>
                <w:lang w:val="sr-Latn-ME"/>
              </w:rPr>
            </w:pPr>
            <w:r w:rsidRPr="00A427B1">
              <w:rPr>
                <w:rFonts w:cstheme="minorHAnsi"/>
                <w:b w:val="0"/>
                <w:sz w:val="18"/>
                <w:szCs w:val="18"/>
                <w:lang w:val="sr-Latn-ME"/>
              </w:rPr>
              <w:t>Zaposlenost, neto efekat u %</w:t>
            </w:r>
          </w:p>
        </w:tc>
        <w:tc>
          <w:tcPr>
            <w:tcW w:w="663" w:type="pct"/>
          </w:tcPr>
          <w:p w14:paraId="038659BD" w14:textId="77777777" w:rsidR="00CB2E14" w:rsidRPr="00A427B1" w:rsidRDefault="00CB2E14" w:rsidP="00CB2E14">
            <w:pPr>
              <w:widowControl w:val="0"/>
              <w:tabs>
                <w:tab w:val="left" w:pos="830"/>
              </w:tabs>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0,1</w:t>
            </w:r>
          </w:p>
        </w:tc>
        <w:tc>
          <w:tcPr>
            <w:tcW w:w="682" w:type="pct"/>
          </w:tcPr>
          <w:p w14:paraId="542D4E9F" w14:textId="77777777" w:rsidR="00CB2E14" w:rsidRPr="00A427B1" w:rsidRDefault="00CB2E14" w:rsidP="00CB2E14">
            <w:pPr>
              <w:widowControl w:val="0"/>
              <w:tabs>
                <w:tab w:val="left" w:pos="830"/>
              </w:tabs>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0,2</w:t>
            </w:r>
          </w:p>
        </w:tc>
        <w:tc>
          <w:tcPr>
            <w:tcW w:w="682" w:type="pct"/>
          </w:tcPr>
          <w:p w14:paraId="692E14FB" w14:textId="77777777" w:rsidR="00CB2E14" w:rsidRPr="00A427B1" w:rsidRDefault="00CB2E14" w:rsidP="00CB2E14">
            <w:pPr>
              <w:widowControl w:val="0"/>
              <w:tabs>
                <w:tab w:val="left" w:pos="830"/>
              </w:tabs>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0,3</w:t>
            </w:r>
          </w:p>
        </w:tc>
        <w:tc>
          <w:tcPr>
            <w:tcW w:w="681" w:type="pct"/>
          </w:tcPr>
          <w:p w14:paraId="27E7DE9E" w14:textId="77777777" w:rsidR="00CB2E14" w:rsidRPr="00A427B1" w:rsidRDefault="00CB2E14" w:rsidP="00CB2E14">
            <w:pPr>
              <w:widowControl w:val="0"/>
              <w:tabs>
                <w:tab w:val="left" w:pos="830"/>
              </w:tabs>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0,6</w:t>
            </w:r>
          </w:p>
        </w:tc>
      </w:tr>
      <w:tr w:rsidR="00CB2E14" w:rsidRPr="00A427B1" w14:paraId="61BF395F" w14:textId="77777777" w:rsidTr="00CB2E14">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292" w:type="pct"/>
          </w:tcPr>
          <w:p w14:paraId="03FA4CA7" w14:textId="77777777" w:rsidR="00CB2E14" w:rsidRPr="00A427B1" w:rsidRDefault="00CB2E14" w:rsidP="00CB2E14">
            <w:pPr>
              <w:widowControl w:val="0"/>
              <w:contextualSpacing/>
              <w:jc w:val="both"/>
              <w:rPr>
                <w:rFonts w:cstheme="minorHAnsi"/>
                <w:b w:val="0"/>
                <w:sz w:val="18"/>
                <w:szCs w:val="18"/>
                <w:lang w:val="sr-Latn-ME"/>
              </w:rPr>
            </w:pPr>
            <w:r w:rsidRPr="00A427B1">
              <w:rPr>
                <w:rFonts w:cstheme="minorHAnsi"/>
                <w:b w:val="0"/>
                <w:sz w:val="18"/>
                <w:szCs w:val="18"/>
                <w:lang w:val="sr-Latn-ME"/>
              </w:rPr>
              <w:t>Nezaposlenost, neto efekat u %</w:t>
            </w:r>
          </w:p>
        </w:tc>
        <w:tc>
          <w:tcPr>
            <w:tcW w:w="663" w:type="pct"/>
          </w:tcPr>
          <w:p w14:paraId="345B6308" w14:textId="77777777" w:rsidR="00CB2E14" w:rsidRPr="00A427B1" w:rsidRDefault="00CB2E14" w:rsidP="00CB2E14">
            <w:pPr>
              <w:widowControl w:val="0"/>
              <w:tabs>
                <w:tab w:val="left" w:pos="830"/>
              </w:tabs>
              <w:contextualSpacing/>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sr-Latn-ME"/>
              </w:rPr>
            </w:pPr>
            <w:r>
              <w:rPr>
                <w:rFonts w:cstheme="minorHAnsi"/>
                <w:sz w:val="18"/>
                <w:szCs w:val="18"/>
                <w:lang w:val="sr-Latn-ME"/>
              </w:rPr>
              <w:t>-0,1</w:t>
            </w:r>
          </w:p>
        </w:tc>
        <w:tc>
          <w:tcPr>
            <w:tcW w:w="682" w:type="pct"/>
          </w:tcPr>
          <w:p w14:paraId="30F304DF" w14:textId="77777777" w:rsidR="00CB2E14" w:rsidRPr="00A427B1" w:rsidRDefault="00CB2E14" w:rsidP="00CB2E14">
            <w:pPr>
              <w:widowControl w:val="0"/>
              <w:tabs>
                <w:tab w:val="left" w:pos="830"/>
              </w:tabs>
              <w:contextualSpacing/>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sr-Latn-ME"/>
              </w:rPr>
            </w:pPr>
            <w:r>
              <w:rPr>
                <w:rFonts w:cstheme="minorHAnsi"/>
                <w:sz w:val="18"/>
                <w:szCs w:val="18"/>
                <w:lang w:val="sr-Latn-ME"/>
              </w:rPr>
              <w:t>-0,1</w:t>
            </w:r>
          </w:p>
        </w:tc>
        <w:tc>
          <w:tcPr>
            <w:tcW w:w="682" w:type="pct"/>
          </w:tcPr>
          <w:p w14:paraId="760EA61E" w14:textId="77777777" w:rsidR="00CB2E14" w:rsidRPr="00A427B1" w:rsidRDefault="00CB2E14" w:rsidP="00CB2E14">
            <w:pPr>
              <w:widowControl w:val="0"/>
              <w:tabs>
                <w:tab w:val="left" w:pos="830"/>
              </w:tabs>
              <w:contextualSpacing/>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sr-Latn-ME"/>
              </w:rPr>
            </w:pPr>
            <w:r>
              <w:rPr>
                <w:rFonts w:cstheme="minorHAnsi"/>
                <w:sz w:val="18"/>
                <w:szCs w:val="18"/>
                <w:lang w:val="sr-Latn-ME"/>
              </w:rPr>
              <w:t>-0,2</w:t>
            </w:r>
          </w:p>
        </w:tc>
        <w:tc>
          <w:tcPr>
            <w:tcW w:w="681" w:type="pct"/>
          </w:tcPr>
          <w:p w14:paraId="2B07B533" w14:textId="77777777" w:rsidR="00CB2E14" w:rsidRPr="00A427B1" w:rsidRDefault="00CB2E14" w:rsidP="00CB2E14">
            <w:pPr>
              <w:widowControl w:val="0"/>
              <w:tabs>
                <w:tab w:val="left" w:pos="830"/>
              </w:tabs>
              <w:contextualSpacing/>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sr-Latn-ME"/>
              </w:rPr>
            </w:pPr>
            <w:r>
              <w:rPr>
                <w:rFonts w:cstheme="minorHAnsi"/>
                <w:sz w:val="18"/>
                <w:szCs w:val="18"/>
                <w:lang w:val="sr-Latn-ME"/>
              </w:rPr>
              <w:t>-0,4</w:t>
            </w:r>
          </w:p>
        </w:tc>
      </w:tr>
      <w:tr w:rsidR="00CB2E14" w:rsidRPr="00A427B1" w14:paraId="3AF2A7F4" w14:textId="77777777" w:rsidTr="00CB2E14">
        <w:trPr>
          <w:trHeight w:val="113"/>
        </w:trPr>
        <w:tc>
          <w:tcPr>
            <w:cnfStyle w:val="001000000000" w:firstRow="0" w:lastRow="0" w:firstColumn="1" w:lastColumn="0" w:oddVBand="0" w:evenVBand="0" w:oddHBand="0" w:evenHBand="0" w:firstRowFirstColumn="0" w:firstRowLastColumn="0" w:lastRowFirstColumn="0" w:lastRowLastColumn="0"/>
            <w:tcW w:w="2292" w:type="pct"/>
          </w:tcPr>
          <w:p w14:paraId="0008D52C" w14:textId="77777777" w:rsidR="00CB2E14" w:rsidRPr="00A427B1" w:rsidRDefault="00CB2E14" w:rsidP="00CB2E14">
            <w:pPr>
              <w:widowControl w:val="0"/>
              <w:contextualSpacing/>
              <w:jc w:val="both"/>
              <w:rPr>
                <w:rFonts w:cstheme="minorHAnsi"/>
                <w:b w:val="0"/>
                <w:sz w:val="18"/>
                <w:szCs w:val="18"/>
                <w:lang w:val="sr-Latn-ME"/>
              </w:rPr>
            </w:pPr>
            <w:r w:rsidRPr="00A427B1">
              <w:rPr>
                <w:rFonts w:cstheme="minorHAnsi"/>
                <w:b w:val="0"/>
                <w:sz w:val="18"/>
                <w:szCs w:val="18"/>
                <w:lang w:val="sr-Latn-ME"/>
              </w:rPr>
              <w:t>Stopa nezaposlenosti, neto efekat u %</w:t>
            </w:r>
          </w:p>
        </w:tc>
        <w:tc>
          <w:tcPr>
            <w:tcW w:w="663" w:type="pct"/>
          </w:tcPr>
          <w:p w14:paraId="6DE69C6C" w14:textId="77777777" w:rsidR="00CB2E14" w:rsidRPr="00A427B1" w:rsidRDefault="00CB2E14" w:rsidP="00CB2E14">
            <w:pPr>
              <w:widowControl w:val="0"/>
              <w:tabs>
                <w:tab w:val="left" w:pos="830"/>
              </w:tabs>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0,0</w:t>
            </w:r>
          </w:p>
        </w:tc>
        <w:tc>
          <w:tcPr>
            <w:tcW w:w="682" w:type="pct"/>
          </w:tcPr>
          <w:p w14:paraId="430BD837" w14:textId="77777777" w:rsidR="00CB2E14" w:rsidRPr="00A427B1" w:rsidRDefault="00CB2E14" w:rsidP="00CB2E14">
            <w:pPr>
              <w:widowControl w:val="0"/>
              <w:tabs>
                <w:tab w:val="left" w:pos="830"/>
              </w:tabs>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0,0</w:t>
            </w:r>
          </w:p>
        </w:tc>
        <w:tc>
          <w:tcPr>
            <w:tcW w:w="682" w:type="pct"/>
          </w:tcPr>
          <w:p w14:paraId="38729CB5" w14:textId="77777777" w:rsidR="00CB2E14" w:rsidRPr="00A427B1" w:rsidRDefault="00CB2E14" w:rsidP="00CB2E14">
            <w:pPr>
              <w:widowControl w:val="0"/>
              <w:tabs>
                <w:tab w:val="left" w:pos="830"/>
              </w:tabs>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-0,1</w:t>
            </w:r>
          </w:p>
        </w:tc>
        <w:tc>
          <w:tcPr>
            <w:tcW w:w="681" w:type="pct"/>
          </w:tcPr>
          <w:p w14:paraId="1FF2A6B8" w14:textId="77777777" w:rsidR="00CB2E14" w:rsidRPr="00A427B1" w:rsidRDefault="00CB2E14" w:rsidP="00CB2E14">
            <w:pPr>
              <w:widowControl w:val="0"/>
              <w:tabs>
                <w:tab w:val="left" w:pos="830"/>
              </w:tabs>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-0,1</w:t>
            </w:r>
          </w:p>
        </w:tc>
      </w:tr>
    </w:tbl>
    <w:p w14:paraId="0A21FD95" w14:textId="383F08B0" w:rsidR="00CB2E14" w:rsidRPr="00A427B1" w:rsidRDefault="00CB2E14" w:rsidP="00CB2E14">
      <w:pPr>
        <w:widowControl w:val="0"/>
        <w:spacing w:before="80" w:after="0" w:line="240" w:lineRule="auto"/>
        <w:jc w:val="both"/>
        <w:rPr>
          <w:i/>
          <w:sz w:val="16"/>
          <w:szCs w:val="16"/>
          <w:lang w:val="sr-Latn-ME"/>
        </w:rPr>
      </w:pPr>
      <w:r w:rsidRPr="00A427B1">
        <w:rPr>
          <w:i/>
          <w:sz w:val="16"/>
          <w:szCs w:val="16"/>
          <w:lang w:val="sr-Latn-ME"/>
        </w:rPr>
        <w:t>Izvor: Procjene Ministarstva finansija</w:t>
      </w:r>
    </w:p>
    <w:p w14:paraId="5509EA9C" w14:textId="77777777" w:rsidR="00CB2E14" w:rsidRDefault="00CB2E14" w:rsidP="00CB2E14">
      <w:pPr>
        <w:widowControl w:val="0"/>
        <w:spacing w:after="0" w:line="240" w:lineRule="auto"/>
        <w:contextualSpacing/>
        <w:jc w:val="both"/>
        <w:rPr>
          <w:sz w:val="24"/>
          <w:lang w:val="sr-Latn-ME"/>
        </w:rPr>
      </w:pPr>
    </w:p>
    <w:p w14:paraId="787A4653" w14:textId="093430AE" w:rsidR="00CB2E14" w:rsidRDefault="00CB2E14" w:rsidP="00CB2E14">
      <w:pPr>
        <w:widowControl w:val="0"/>
        <w:spacing w:line="240" w:lineRule="auto"/>
        <w:jc w:val="both"/>
        <w:rPr>
          <w:sz w:val="24"/>
          <w:lang w:val="sr-Latn-ME"/>
        </w:rPr>
      </w:pPr>
      <w:r w:rsidRPr="00FF1A04">
        <w:rPr>
          <w:sz w:val="24"/>
          <w:lang w:val="sr-Latn-ME"/>
        </w:rPr>
        <w:t>Očekivani neto efekat pomenutih reformi i projekata na realni BDP iznos</w:t>
      </w:r>
      <w:r>
        <w:rPr>
          <w:sz w:val="24"/>
          <w:lang w:val="sr-Latn-ME"/>
        </w:rPr>
        <w:t>i</w:t>
      </w:r>
      <w:r w:rsidRPr="00FF1A04">
        <w:rPr>
          <w:sz w:val="24"/>
          <w:lang w:val="sr-Latn-ME"/>
        </w:rPr>
        <w:t xml:space="preserve"> </w:t>
      </w:r>
      <w:r>
        <w:rPr>
          <w:sz w:val="24"/>
          <w:lang w:val="sr-Latn-ME"/>
        </w:rPr>
        <w:t>0,4</w:t>
      </w:r>
      <w:r w:rsidRPr="00FF1A04">
        <w:rPr>
          <w:sz w:val="24"/>
          <w:lang w:val="sr-Latn-ME"/>
        </w:rPr>
        <w:t xml:space="preserve">% u 2023, </w:t>
      </w:r>
      <w:r>
        <w:rPr>
          <w:sz w:val="24"/>
          <w:lang w:val="sr-Latn-ME"/>
        </w:rPr>
        <w:t>0,8</w:t>
      </w:r>
      <w:r w:rsidRPr="00FF1A04">
        <w:rPr>
          <w:sz w:val="24"/>
          <w:lang w:val="sr-Latn-ME"/>
        </w:rPr>
        <w:t>% u 2024.</w:t>
      </w:r>
      <w:r>
        <w:rPr>
          <w:sz w:val="24"/>
          <w:lang w:val="sr-Latn-ME"/>
        </w:rPr>
        <w:t xml:space="preserve"> i 1,6% </w:t>
      </w:r>
      <w:r w:rsidRPr="00FF1A04">
        <w:rPr>
          <w:sz w:val="24"/>
          <w:lang w:val="sr-Latn-ME"/>
        </w:rPr>
        <w:t xml:space="preserve">u </w:t>
      </w:r>
      <w:r>
        <w:rPr>
          <w:sz w:val="24"/>
          <w:lang w:val="sr-Latn-ME"/>
        </w:rPr>
        <w:t xml:space="preserve">2025. </w:t>
      </w:r>
      <w:r w:rsidRPr="00FF1A04">
        <w:rPr>
          <w:sz w:val="24"/>
          <w:lang w:val="sr-Latn-ME"/>
        </w:rPr>
        <w:t xml:space="preserve">godini. To se može interpretirati na način da bi nivo BDP-a na kraju </w:t>
      </w:r>
      <w:r>
        <w:rPr>
          <w:sz w:val="24"/>
          <w:lang w:val="sr-Latn-ME"/>
        </w:rPr>
        <w:t>2025,</w:t>
      </w:r>
      <w:r w:rsidRPr="00FF1A04">
        <w:rPr>
          <w:sz w:val="24"/>
          <w:lang w:val="sr-Latn-ME"/>
        </w:rPr>
        <w:t xml:space="preserve"> bio niži za </w:t>
      </w:r>
      <w:r>
        <w:rPr>
          <w:sz w:val="24"/>
          <w:lang w:val="sr-Latn-ME"/>
        </w:rPr>
        <w:t>1,6</w:t>
      </w:r>
      <w:r w:rsidRPr="00FF1A04">
        <w:rPr>
          <w:sz w:val="24"/>
          <w:lang w:val="sr-Latn-ME"/>
        </w:rPr>
        <w:t>% u odnosu na scenario bez realizacije gore navedenih strukturnih reformi i projekata.</w:t>
      </w:r>
      <w:r>
        <w:rPr>
          <w:sz w:val="24"/>
          <w:lang w:val="sr-Latn-ME"/>
        </w:rPr>
        <w:t xml:space="preserve"> </w:t>
      </w:r>
      <w:r w:rsidRPr="00FF1A04">
        <w:rPr>
          <w:sz w:val="24"/>
          <w:lang w:val="sr-Latn-ME"/>
        </w:rPr>
        <w:t xml:space="preserve">Grafički prikaz </w:t>
      </w:r>
      <w:r>
        <w:rPr>
          <w:sz w:val="24"/>
          <w:lang w:val="sr-Latn-ME"/>
        </w:rPr>
        <w:t>procjene uticaja</w:t>
      </w:r>
      <w:r w:rsidRPr="00FF1A04">
        <w:rPr>
          <w:sz w:val="24"/>
          <w:lang w:val="sr-Latn-ME"/>
        </w:rPr>
        <w:t xml:space="preserve"> dat je na sljedećem grafiku:</w:t>
      </w:r>
    </w:p>
    <w:p w14:paraId="323C2F32" w14:textId="1E3D2655" w:rsidR="00D763D3" w:rsidRDefault="00D763D3" w:rsidP="00CB2E14">
      <w:pPr>
        <w:widowControl w:val="0"/>
        <w:spacing w:line="240" w:lineRule="auto"/>
        <w:jc w:val="both"/>
        <w:rPr>
          <w:sz w:val="24"/>
          <w:lang w:val="sr-Latn-ME"/>
        </w:rPr>
      </w:pPr>
    </w:p>
    <w:p w14:paraId="2AF45D60" w14:textId="7CB6E441" w:rsidR="00D763D3" w:rsidRDefault="00D763D3" w:rsidP="00CB2E14">
      <w:pPr>
        <w:widowControl w:val="0"/>
        <w:spacing w:line="240" w:lineRule="auto"/>
        <w:jc w:val="both"/>
        <w:rPr>
          <w:sz w:val="24"/>
          <w:lang w:val="sr-Latn-ME"/>
        </w:rPr>
      </w:pPr>
    </w:p>
    <w:p w14:paraId="0F5F7C8A" w14:textId="7908EE40" w:rsidR="00D763D3" w:rsidRDefault="00D763D3" w:rsidP="00CB2E14">
      <w:pPr>
        <w:widowControl w:val="0"/>
        <w:spacing w:line="240" w:lineRule="auto"/>
        <w:jc w:val="both"/>
        <w:rPr>
          <w:sz w:val="24"/>
          <w:lang w:val="sr-Latn-ME"/>
        </w:rPr>
      </w:pPr>
    </w:p>
    <w:p w14:paraId="66A91910" w14:textId="61238DA3" w:rsidR="00D763D3" w:rsidRDefault="00D763D3" w:rsidP="00CB2E14">
      <w:pPr>
        <w:widowControl w:val="0"/>
        <w:spacing w:line="240" w:lineRule="auto"/>
        <w:jc w:val="both"/>
        <w:rPr>
          <w:sz w:val="24"/>
          <w:lang w:val="sr-Latn-ME"/>
        </w:rPr>
      </w:pPr>
    </w:p>
    <w:p w14:paraId="2BFD85FA" w14:textId="318EBC0B" w:rsidR="00D763D3" w:rsidRDefault="00D763D3" w:rsidP="00CB2E14">
      <w:pPr>
        <w:widowControl w:val="0"/>
        <w:spacing w:line="240" w:lineRule="auto"/>
        <w:jc w:val="both"/>
        <w:rPr>
          <w:sz w:val="24"/>
          <w:lang w:val="sr-Latn-ME"/>
        </w:rPr>
      </w:pPr>
    </w:p>
    <w:p w14:paraId="4BD0C158" w14:textId="5D414534" w:rsidR="00D763D3" w:rsidRDefault="00D763D3" w:rsidP="00CB2E14">
      <w:pPr>
        <w:widowControl w:val="0"/>
        <w:spacing w:line="240" w:lineRule="auto"/>
        <w:jc w:val="both"/>
        <w:rPr>
          <w:sz w:val="24"/>
          <w:lang w:val="sr-Latn-ME"/>
        </w:rPr>
      </w:pPr>
    </w:p>
    <w:p w14:paraId="37BE5AC0" w14:textId="68431922" w:rsidR="00D763D3" w:rsidRDefault="00D763D3" w:rsidP="00CB2E14">
      <w:pPr>
        <w:widowControl w:val="0"/>
        <w:spacing w:line="240" w:lineRule="auto"/>
        <w:jc w:val="both"/>
        <w:rPr>
          <w:sz w:val="24"/>
          <w:lang w:val="sr-Latn-ME"/>
        </w:rPr>
      </w:pPr>
      <w:r>
        <w:rPr>
          <w:noProof/>
          <w:lang w:val="en-GB" w:eastAsia="en-GB"/>
        </w:rPr>
        <w:lastRenderedPageBreak/>
        <w:drawing>
          <wp:anchor distT="0" distB="0" distL="114300" distR="114300" simplePos="0" relativeHeight="251686912" behindDoc="0" locked="0" layoutInCell="1" allowOverlap="1" wp14:anchorId="6D30C016" wp14:editId="1297A739">
            <wp:simplePos x="0" y="0"/>
            <wp:positionH relativeFrom="margin">
              <wp:posOffset>0</wp:posOffset>
            </wp:positionH>
            <wp:positionV relativeFrom="margin">
              <wp:posOffset>497205</wp:posOffset>
            </wp:positionV>
            <wp:extent cx="5036820" cy="1886585"/>
            <wp:effectExtent l="0" t="0" r="0" b="0"/>
            <wp:wrapSquare wrapText="bothSides"/>
            <wp:docPr id="9" name="Chart 9">
              <a:extLst xmlns:a="http://schemas.openxmlformats.org/drawingml/2006/main">
                <a:ext uri="{FF2B5EF4-FFF2-40B4-BE49-F238E27FC236}">
                  <a16:creationId xmlns:a16="http://schemas.microsoft.com/office/drawing/2014/main" id="{1D680209-D936-44A1-8F60-DD11A62C7F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Pr="0078602A">
        <w:rPr>
          <w:b/>
          <w:i/>
          <w:color w:val="2F5496" w:themeColor="accent1" w:themeShade="BF"/>
        </w:rPr>
        <w:t>Grafik 3.4 Indeksi realnog rasta BDP-a</w:t>
      </w:r>
      <w:r w:rsidRPr="0078602A">
        <w:rPr>
          <w:noProof/>
          <w:color w:val="2F5496" w:themeColor="accent1" w:themeShade="BF"/>
        </w:rPr>
        <w:t xml:space="preserve">  </w:t>
      </w:r>
    </w:p>
    <w:p w14:paraId="60E7AE2D" w14:textId="4785EFD1" w:rsidR="00D763D3" w:rsidRDefault="00D763D3" w:rsidP="00CB2E14">
      <w:pPr>
        <w:widowControl w:val="0"/>
        <w:spacing w:line="240" w:lineRule="auto"/>
        <w:jc w:val="both"/>
        <w:rPr>
          <w:sz w:val="24"/>
          <w:lang w:val="sr-Latn-ME"/>
        </w:rPr>
      </w:pPr>
    </w:p>
    <w:p w14:paraId="3F91439B" w14:textId="20AF900E" w:rsidR="00D763D3" w:rsidRDefault="00D763D3" w:rsidP="00CB2E14">
      <w:pPr>
        <w:widowControl w:val="0"/>
        <w:spacing w:line="240" w:lineRule="auto"/>
        <w:jc w:val="both"/>
        <w:rPr>
          <w:sz w:val="24"/>
          <w:lang w:val="sr-Latn-ME"/>
        </w:rPr>
      </w:pPr>
    </w:p>
    <w:p w14:paraId="18C06876" w14:textId="182CDAC8" w:rsidR="00D763D3" w:rsidRDefault="00D763D3" w:rsidP="00CB2E14">
      <w:pPr>
        <w:widowControl w:val="0"/>
        <w:spacing w:line="240" w:lineRule="auto"/>
        <w:jc w:val="both"/>
        <w:rPr>
          <w:sz w:val="24"/>
          <w:lang w:val="sr-Latn-ME"/>
        </w:rPr>
      </w:pPr>
    </w:p>
    <w:p w14:paraId="72ED9FF5" w14:textId="43668A68" w:rsidR="00D763D3" w:rsidRDefault="00D763D3" w:rsidP="00CB2E14">
      <w:pPr>
        <w:widowControl w:val="0"/>
        <w:spacing w:line="240" w:lineRule="auto"/>
        <w:jc w:val="both"/>
        <w:rPr>
          <w:sz w:val="24"/>
          <w:lang w:val="sr-Latn-ME"/>
        </w:rPr>
      </w:pPr>
    </w:p>
    <w:p w14:paraId="3C742B6A" w14:textId="06683EEF" w:rsidR="00D763D3" w:rsidRDefault="00D763D3" w:rsidP="00CB2E14">
      <w:pPr>
        <w:widowControl w:val="0"/>
        <w:spacing w:line="240" w:lineRule="auto"/>
        <w:jc w:val="both"/>
        <w:rPr>
          <w:sz w:val="24"/>
          <w:lang w:val="sr-Latn-ME"/>
        </w:rPr>
      </w:pPr>
    </w:p>
    <w:p w14:paraId="4F3FF67B" w14:textId="2BA41F49" w:rsidR="00CB2E14" w:rsidRDefault="00CB2E14" w:rsidP="00CB2E14">
      <w:pPr>
        <w:widowControl w:val="0"/>
        <w:spacing w:line="240" w:lineRule="auto"/>
        <w:jc w:val="both"/>
        <w:rPr>
          <w:lang w:val="sr-Latn-ME"/>
        </w:rPr>
      </w:pPr>
    </w:p>
    <w:p w14:paraId="63DFAC97" w14:textId="09C76D1F" w:rsidR="00CB2E14" w:rsidRDefault="00CB2E14" w:rsidP="00CB2E14">
      <w:pPr>
        <w:widowControl w:val="0"/>
        <w:spacing w:line="240" w:lineRule="auto"/>
        <w:jc w:val="both"/>
        <w:rPr>
          <w:lang w:val="sr-Latn-ME"/>
        </w:rPr>
      </w:pPr>
    </w:p>
    <w:p w14:paraId="13F857B1" w14:textId="77777777" w:rsidR="00B84E2B" w:rsidRDefault="00B84E2B" w:rsidP="00CB2E14">
      <w:pPr>
        <w:widowControl w:val="0"/>
        <w:spacing w:after="0" w:line="240" w:lineRule="auto"/>
        <w:contextualSpacing/>
        <w:jc w:val="both"/>
        <w:rPr>
          <w:sz w:val="24"/>
        </w:rPr>
      </w:pPr>
    </w:p>
    <w:p w14:paraId="6125F7D7" w14:textId="4086F1D5" w:rsidR="00CB2E14" w:rsidRPr="007B0449" w:rsidRDefault="00CB2E14" w:rsidP="00CB2E14">
      <w:pPr>
        <w:widowControl w:val="0"/>
        <w:spacing w:after="0" w:line="240" w:lineRule="auto"/>
        <w:contextualSpacing/>
        <w:jc w:val="both"/>
        <w:rPr>
          <w:sz w:val="24"/>
        </w:rPr>
      </w:pPr>
      <w:r w:rsidRPr="002E2FA1">
        <w:rPr>
          <w:sz w:val="24"/>
        </w:rPr>
        <w:t>Efekti realizacije razmatranih strukturnih mjera, zajedno sa projektima u sektoru energetike, imal</w:t>
      </w:r>
      <w:r>
        <w:rPr>
          <w:sz w:val="24"/>
        </w:rPr>
        <w:t>i</w:t>
      </w:r>
      <w:r w:rsidRPr="002E2FA1">
        <w:rPr>
          <w:sz w:val="24"/>
        </w:rPr>
        <w:t xml:space="preserve"> bi značajan pozitivan neto efekat u oblasti rasta investicija (preko </w:t>
      </w:r>
      <w:r>
        <w:rPr>
          <w:sz w:val="24"/>
        </w:rPr>
        <w:t>3</w:t>
      </w:r>
      <w:r w:rsidRPr="002E2FA1">
        <w:rPr>
          <w:sz w:val="24"/>
        </w:rPr>
        <w:t xml:space="preserve">% u srednjem roku), </w:t>
      </w:r>
      <w:r>
        <w:rPr>
          <w:sz w:val="24"/>
        </w:rPr>
        <w:t xml:space="preserve">dok bi efekat na </w:t>
      </w:r>
      <w:r w:rsidRPr="002E2FA1">
        <w:rPr>
          <w:sz w:val="24"/>
        </w:rPr>
        <w:t>indikator</w:t>
      </w:r>
      <w:r>
        <w:rPr>
          <w:sz w:val="24"/>
        </w:rPr>
        <w:t>e</w:t>
      </w:r>
      <w:r w:rsidRPr="002E2FA1">
        <w:rPr>
          <w:sz w:val="24"/>
        </w:rPr>
        <w:t xml:space="preserve"> tržišt</w:t>
      </w:r>
      <w:r>
        <w:rPr>
          <w:sz w:val="24"/>
        </w:rPr>
        <w:t>a</w:t>
      </w:r>
      <w:r w:rsidRPr="002E2FA1">
        <w:rPr>
          <w:sz w:val="24"/>
        </w:rPr>
        <w:t xml:space="preserve"> rada</w:t>
      </w:r>
      <w:r>
        <w:rPr>
          <w:sz w:val="24"/>
        </w:rPr>
        <w:t xml:space="preserve"> bio nešto umjereniji</w:t>
      </w:r>
      <w:r w:rsidRPr="002E2FA1">
        <w:rPr>
          <w:sz w:val="24"/>
        </w:rPr>
        <w:t>, pri čemu bi zaposlenost u prosjeku bila niža</w:t>
      </w:r>
      <w:r>
        <w:rPr>
          <w:sz w:val="24"/>
        </w:rPr>
        <w:t xml:space="preserve"> 0,3-0,6%</w:t>
      </w:r>
      <w:r w:rsidRPr="002E2FA1">
        <w:rPr>
          <w:sz w:val="24"/>
        </w:rPr>
        <w:t xml:space="preserve"> godišnje, u odnosu na scenario bez realizacije mjera i projekata.</w:t>
      </w:r>
    </w:p>
    <w:p w14:paraId="4BCD6EB6" w14:textId="73E1EAAC" w:rsidR="0090338A" w:rsidRDefault="0090338A">
      <w:pPr>
        <w:rPr>
          <w:rFonts w:cstheme="minorHAnsi"/>
          <w:b/>
          <w:bCs/>
          <w:color w:val="002465"/>
          <w:sz w:val="32"/>
          <w:szCs w:val="32"/>
        </w:rPr>
      </w:pPr>
    </w:p>
    <w:p w14:paraId="3CF4BD39" w14:textId="61CD51B6" w:rsidR="00BE3E8E" w:rsidRDefault="00BE3E8E">
      <w:pPr>
        <w:rPr>
          <w:rFonts w:cstheme="minorHAnsi"/>
          <w:b/>
          <w:bCs/>
          <w:color w:val="002465"/>
          <w:sz w:val="32"/>
          <w:szCs w:val="32"/>
        </w:rPr>
      </w:pPr>
    </w:p>
    <w:p w14:paraId="1CC4A84F" w14:textId="214A4105" w:rsidR="00BE3E8E" w:rsidRDefault="00BE3E8E">
      <w:pPr>
        <w:rPr>
          <w:rFonts w:cstheme="minorHAnsi"/>
          <w:b/>
          <w:bCs/>
          <w:color w:val="002465"/>
          <w:sz w:val="32"/>
          <w:szCs w:val="32"/>
        </w:rPr>
      </w:pPr>
    </w:p>
    <w:p w14:paraId="38AD1A8F" w14:textId="3C0D3306" w:rsidR="00052499" w:rsidRDefault="00052499">
      <w:pPr>
        <w:rPr>
          <w:rFonts w:cstheme="minorHAnsi"/>
          <w:b/>
          <w:bCs/>
          <w:color w:val="002465"/>
          <w:sz w:val="32"/>
          <w:szCs w:val="32"/>
        </w:rPr>
      </w:pPr>
    </w:p>
    <w:p w14:paraId="616B45F8" w14:textId="1D96FC08" w:rsidR="00052499" w:rsidRDefault="00052499">
      <w:pPr>
        <w:rPr>
          <w:rFonts w:cstheme="minorHAnsi"/>
          <w:b/>
          <w:bCs/>
          <w:color w:val="002465"/>
          <w:sz w:val="32"/>
          <w:szCs w:val="32"/>
        </w:rPr>
      </w:pPr>
    </w:p>
    <w:p w14:paraId="444F7B73" w14:textId="3C38D13E" w:rsidR="00052499" w:rsidRDefault="00052499">
      <w:pPr>
        <w:rPr>
          <w:rFonts w:cstheme="minorHAnsi"/>
          <w:b/>
          <w:bCs/>
          <w:color w:val="002465"/>
          <w:sz w:val="32"/>
          <w:szCs w:val="32"/>
        </w:rPr>
      </w:pPr>
    </w:p>
    <w:p w14:paraId="6AC0067F" w14:textId="46EBCD04" w:rsidR="00052499" w:rsidRDefault="00052499">
      <w:pPr>
        <w:rPr>
          <w:rFonts w:cstheme="minorHAnsi"/>
          <w:b/>
          <w:bCs/>
          <w:color w:val="002465"/>
          <w:sz w:val="32"/>
          <w:szCs w:val="32"/>
        </w:rPr>
      </w:pPr>
    </w:p>
    <w:p w14:paraId="5F24EA1E" w14:textId="15D41800" w:rsidR="00052499" w:rsidRDefault="00052499">
      <w:pPr>
        <w:rPr>
          <w:rFonts w:cstheme="minorHAnsi"/>
          <w:b/>
          <w:bCs/>
          <w:color w:val="002465"/>
          <w:sz w:val="32"/>
          <w:szCs w:val="32"/>
        </w:rPr>
      </w:pPr>
    </w:p>
    <w:p w14:paraId="04A98627" w14:textId="36BA449C" w:rsidR="00052499" w:rsidRDefault="00052499">
      <w:pPr>
        <w:rPr>
          <w:rFonts w:cstheme="minorHAnsi"/>
          <w:b/>
          <w:bCs/>
          <w:color w:val="002465"/>
          <w:sz w:val="32"/>
          <w:szCs w:val="32"/>
        </w:rPr>
      </w:pPr>
    </w:p>
    <w:p w14:paraId="22E6F69B" w14:textId="15C1DB04" w:rsidR="00052499" w:rsidRDefault="00052499">
      <w:pPr>
        <w:rPr>
          <w:rFonts w:cstheme="minorHAnsi"/>
          <w:b/>
          <w:bCs/>
          <w:color w:val="002465"/>
          <w:sz w:val="32"/>
          <w:szCs w:val="32"/>
        </w:rPr>
      </w:pPr>
    </w:p>
    <w:p w14:paraId="48FBF3AF" w14:textId="089C6D16" w:rsidR="00052499" w:rsidRDefault="00052499">
      <w:pPr>
        <w:rPr>
          <w:rFonts w:cstheme="minorHAnsi"/>
          <w:b/>
          <w:bCs/>
          <w:color w:val="002465"/>
          <w:sz w:val="32"/>
          <w:szCs w:val="32"/>
        </w:rPr>
      </w:pPr>
    </w:p>
    <w:p w14:paraId="74118B47" w14:textId="452C892B" w:rsidR="00052499" w:rsidRDefault="00052499">
      <w:pPr>
        <w:rPr>
          <w:rFonts w:cstheme="minorHAnsi"/>
          <w:b/>
          <w:bCs/>
          <w:color w:val="002465"/>
          <w:sz w:val="32"/>
          <w:szCs w:val="32"/>
        </w:rPr>
      </w:pPr>
    </w:p>
    <w:p w14:paraId="58971CF9" w14:textId="77777777" w:rsidR="00052499" w:rsidRDefault="00052499">
      <w:pPr>
        <w:rPr>
          <w:rFonts w:cstheme="minorHAnsi"/>
          <w:b/>
          <w:bCs/>
          <w:color w:val="002465"/>
          <w:sz w:val="32"/>
          <w:szCs w:val="32"/>
        </w:rPr>
      </w:pPr>
    </w:p>
    <w:p w14:paraId="12E3E418" w14:textId="7A1CDFF5" w:rsidR="00BE3E8E" w:rsidRDefault="00BE3E8E">
      <w:pPr>
        <w:rPr>
          <w:rFonts w:cstheme="minorHAnsi"/>
          <w:b/>
          <w:bCs/>
          <w:color w:val="002465"/>
          <w:sz w:val="32"/>
          <w:szCs w:val="32"/>
        </w:rPr>
      </w:pPr>
    </w:p>
    <w:p w14:paraId="40C8B8A2" w14:textId="21EDEDB3" w:rsidR="00BE3E8E" w:rsidRDefault="00BE3E8E">
      <w:pPr>
        <w:rPr>
          <w:rFonts w:cstheme="minorHAnsi"/>
          <w:b/>
          <w:bCs/>
          <w:color w:val="002465"/>
          <w:sz w:val="32"/>
          <w:szCs w:val="32"/>
        </w:rPr>
      </w:pPr>
    </w:p>
    <w:p w14:paraId="32023338" w14:textId="77777777" w:rsidR="002E2266" w:rsidRPr="00276874" w:rsidRDefault="002E2266" w:rsidP="002E2266">
      <w:pPr>
        <w:pStyle w:val="Heading1"/>
        <w:shd w:val="clear" w:color="auto" w:fill="B4C6E7" w:themeFill="accent1" w:themeFillTint="66"/>
        <w:rPr>
          <w:b/>
        </w:rPr>
      </w:pPr>
      <w:bookmarkStart w:id="108" w:name="_Toc125545771"/>
      <w:bookmarkStart w:id="109" w:name="_Hlk83902984"/>
      <w:bookmarkStart w:id="110" w:name="_Toc153305345"/>
      <w:r w:rsidRPr="00276874">
        <w:rPr>
          <w:b/>
        </w:rPr>
        <w:lastRenderedPageBreak/>
        <w:t>4. FISKALNI OKVIR</w:t>
      </w:r>
      <w:bookmarkEnd w:id="108"/>
      <w:bookmarkEnd w:id="110"/>
    </w:p>
    <w:p w14:paraId="1C7FE084" w14:textId="178B8F37" w:rsidR="002E2266" w:rsidRDefault="002E2266" w:rsidP="002E2266">
      <w:pPr>
        <w:spacing w:after="0"/>
        <w:rPr>
          <w:sz w:val="24"/>
          <w:szCs w:val="24"/>
        </w:rPr>
      </w:pPr>
    </w:p>
    <w:p w14:paraId="6CEEFD4D" w14:textId="77777777" w:rsidR="00687897" w:rsidRPr="00D763D3" w:rsidRDefault="00687897" w:rsidP="00687897">
      <w:pPr>
        <w:pStyle w:val="Heading2"/>
        <w:rPr>
          <w:rFonts w:asciiTheme="minorHAnsi" w:hAnsiTheme="minorHAnsi" w:cstheme="minorHAnsi"/>
          <w:b/>
          <w:color w:val="1F3864" w:themeColor="accent1" w:themeShade="80"/>
          <w:sz w:val="24"/>
          <w:szCs w:val="24"/>
        </w:rPr>
      </w:pPr>
      <w:bookmarkStart w:id="111" w:name="_Toc88031653"/>
      <w:bookmarkStart w:id="112" w:name="_Toc125545772"/>
      <w:bookmarkStart w:id="113" w:name="_Toc153305346"/>
      <w:r w:rsidRPr="00D763D3">
        <w:rPr>
          <w:rFonts w:asciiTheme="minorHAnsi" w:hAnsiTheme="minorHAnsi" w:cstheme="minorHAnsi"/>
          <w:b/>
          <w:color w:val="1F3864" w:themeColor="accent1" w:themeShade="80"/>
          <w:sz w:val="24"/>
          <w:szCs w:val="24"/>
        </w:rPr>
        <w:t>4.1. Strategija politike i srednjoročni ciljevi</w:t>
      </w:r>
      <w:bookmarkEnd w:id="111"/>
      <w:bookmarkEnd w:id="112"/>
      <w:bookmarkEnd w:id="113"/>
    </w:p>
    <w:p w14:paraId="64D9DFF1" w14:textId="77777777" w:rsidR="00052499" w:rsidRPr="00052499" w:rsidRDefault="00052499" w:rsidP="00052499">
      <w:pPr>
        <w:jc w:val="both"/>
        <w:rPr>
          <w:sz w:val="24"/>
          <w:szCs w:val="24"/>
        </w:rPr>
      </w:pPr>
      <w:bookmarkStart w:id="114" w:name="_Toc88031654"/>
      <w:r w:rsidRPr="00052499">
        <w:rPr>
          <w:sz w:val="24"/>
          <w:szCs w:val="24"/>
        </w:rPr>
        <w:t xml:space="preserve">Glavni strateški cilj ekonomske politike Crne Gore je: "ostvarenje pametnog, održivog i inkluzivnog ekonomskog rasta koji će doprinijeti unapređenju kvaliteta života svih njenih građana". </w:t>
      </w:r>
    </w:p>
    <w:p w14:paraId="15711D4F" w14:textId="77777777" w:rsidR="00052499" w:rsidRPr="00052499" w:rsidRDefault="00052499" w:rsidP="00052499">
      <w:pPr>
        <w:jc w:val="both"/>
        <w:rPr>
          <w:sz w:val="24"/>
          <w:szCs w:val="24"/>
        </w:rPr>
      </w:pPr>
      <w:r w:rsidRPr="00052499">
        <w:rPr>
          <w:sz w:val="24"/>
          <w:szCs w:val="24"/>
        </w:rPr>
        <w:t>Polazeći od identifikovanih strukturnih ograničenja crnogorske ekonomije, stepena njene konkurentnosti u regionalnom i međunarodnom kontekstu, preuzetim obavezama u oblasti integracije u Evropsku uniju kao i vizije budućeg razvoja, mjere ekonomske politike u narednom srednjoročnom periodu biće usmjerene na postizanje sljedećih ciljeva:</w:t>
      </w:r>
    </w:p>
    <w:p w14:paraId="2F7E23BC" w14:textId="77777777" w:rsidR="00052499" w:rsidRPr="00052499" w:rsidRDefault="00052499" w:rsidP="00052499">
      <w:pPr>
        <w:pStyle w:val="ListParagraph"/>
        <w:numPr>
          <w:ilvl w:val="0"/>
          <w:numId w:val="59"/>
        </w:numPr>
        <w:spacing w:after="0"/>
        <w:contextualSpacing w:val="0"/>
        <w:jc w:val="both"/>
        <w:rPr>
          <w:sz w:val="24"/>
          <w:szCs w:val="24"/>
        </w:rPr>
      </w:pPr>
      <w:r w:rsidRPr="00052499">
        <w:rPr>
          <w:sz w:val="24"/>
          <w:szCs w:val="24"/>
        </w:rPr>
        <w:t>diversifikaciju ekonomske aktivnosti i povećanje konkurentnosti privrede;</w:t>
      </w:r>
    </w:p>
    <w:p w14:paraId="152DBA71" w14:textId="77777777" w:rsidR="00052499" w:rsidRPr="00052499" w:rsidRDefault="00052499" w:rsidP="00052499">
      <w:pPr>
        <w:pStyle w:val="ListParagraph"/>
        <w:numPr>
          <w:ilvl w:val="0"/>
          <w:numId w:val="59"/>
        </w:numPr>
        <w:spacing w:after="0"/>
        <w:contextualSpacing w:val="0"/>
        <w:jc w:val="both"/>
        <w:rPr>
          <w:sz w:val="24"/>
          <w:szCs w:val="24"/>
        </w:rPr>
      </w:pPr>
      <w:r w:rsidRPr="00052499">
        <w:rPr>
          <w:sz w:val="24"/>
          <w:szCs w:val="24"/>
        </w:rPr>
        <w:t>jačanje otpornosti crnogorske ekonomije na eksterne šokove;</w:t>
      </w:r>
    </w:p>
    <w:p w14:paraId="16563E0C" w14:textId="77777777" w:rsidR="00052499" w:rsidRPr="00052499" w:rsidRDefault="00052499" w:rsidP="00052499">
      <w:pPr>
        <w:pStyle w:val="ListParagraph"/>
        <w:numPr>
          <w:ilvl w:val="0"/>
          <w:numId w:val="59"/>
        </w:numPr>
        <w:spacing w:after="0"/>
        <w:contextualSpacing w:val="0"/>
        <w:jc w:val="both"/>
        <w:rPr>
          <w:sz w:val="24"/>
          <w:szCs w:val="24"/>
        </w:rPr>
      </w:pPr>
      <w:r w:rsidRPr="00052499">
        <w:rPr>
          <w:sz w:val="24"/>
          <w:szCs w:val="24"/>
        </w:rPr>
        <w:t>obezbjeđivanje makroekonomske i fiskalne stabilnosti;</w:t>
      </w:r>
    </w:p>
    <w:p w14:paraId="0597004B" w14:textId="77777777" w:rsidR="00052499" w:rsidRPr="00052499" w:rsidRDefault="00052499" w:rsidP="00052499">
      <w:pPr>
        <w:pStyle w:val="ListParagraph"/>
        <w:numPr>
          <w:ilvl w:val="0"/>
          <w:numId w:val="59"/>
        </w:numPr>
        <w:spacing w:after="0"/>
        <w:contextualSpacing w:val="0"/>
        <w:jc w:val="both"/>
        <w:rPr>
          <w:sz w:val="24"/>
          <w:szCs w:val="24"/>
        </w:rPr>
      </w:pPr>
      <w:r w:rsidRPr="00052499">
        <w:rPr>
          <w:sz w:val="24"/>
          <w:szCs w:val="24"/>
        </w:rPr>
        <w:t>unapređenje poslovnog ambijenta</w:t>
      </w:r>
      <w:r w:rsidRPr="00052499">
        <w:rPr>
          <w:sz w:val="24"/>
          <w:szCs w:val="24"/>
          <w:lang w:val="sr-Latn-ME"/>
        </w:rPr>
        <w:t>;</w:t>
      </w:r>
    </w:p>
    <w:p w14:paraId="0CF2FDFD" w14:textId="77777777" w:rsidR="00052499" w:rsidRPr="00052499" w:rsidRDefault="00052499" w:rsidP="00052499">
      <w:pPr>
        <w:pStyle w:val="ListParagraph"/>
        <w:numPr>
          <w:ilvl w:val="0"/>
          <w:numId w:val="59"/>
        </w:numPr>
        <w:spacing w:after="0"/>
        <w:contextualSpacing w:val="0"/>
        <w:jc w:val="both"/>
        <w:rPr>
          <w:sz w:val="24"/>
          <w:szCs w:val="24"/>
        </w:rPr>
      </w:pPr>
      <w:r w:rsidRPr="00052499">
        <w:rPr>
          <w:sz w:val="24"/>
          <w:szCs w:val="24"/>
        </w:rPr>
        <w:t xml:space="preserve">pokretanje snažnog investicionog ciklusa i </w:t>
      </w:r>
    </w:p>
    <w:p w14:paraId="610683FD" w14:textId="77777777" w:rsidR="00052499" w:rsidRPr="00052499" w:rsidRDefault="00052499" w:rsidP="00052499">
      <w:pPr>
        <w:pStyle w:val="ListParagraph"/>
        <w:numPr>
          <w:ilvl w:val="0"/>
          <w:numId w:val="59"/>
        </w:numPr>
        <w:spacing w:after="0"/>
        <w:contextualSpacing w:val="0"/>
        <w:jc w:val="both"/>
        <w:rPr>
          <w:sz w:val="24"/>
          <w:szCs w:val="24"/>
        </w:rPr>
      </w:pPr>
      <w:r w:rsidRPr="00052499">
        <w:rPr>
          <w:sz w:val="24"/>
          <w:szCs w:val="24"/>
        </w:rPr>
        <w:t>unapređenje standarda građana.</w:t>
      </w:r>
    </w:p>
    <w:p w14:paraId="520259C6" w14:textId="77777777" w:rsidR="00052499" w:rsidRPr="00052499" w:rsidRDefault="00052499" w:rsidP="00052499">
      <w:pPr>
        <w:jc w:val="both"/>
        <w:rPr>
          <w:sz w:val="24"/>
          <w:szCs w:val="24"/>
        </w:rPr>
      </w:pPr>
      <w:r w:rsidRPr="00052499">
        <w:rPr>
          <w:sz w:val="24"/>
          <w:szCs w:val="24"/>
        </w:rPr>
        <w:t>Navedene ciljeve moguće je ostvariti kombinacijom mjera ekonomske politike koje se odnose na stabilizaciju i jačanje makroekonomskog ambijenta, stvaranje uslova za odživost javnih finansija u dugom roku i povećanje stabilnosti finansijskog sektora, kao i mjera ekonomske politike koje se odnose na rješavanje strukturnih problema u ekonomiji, odnosno otklanjanje ključnih prepreka za unapređenje konkurentnosti zemlje i povećanje potencijalnog privrednog rasta na srednji i dugi rok.</w:t>
      </w:r>
    </w:p>
    <w:p w14:paraId="3F3AEB1A" w14:textId="77777777" w:rsidR="00052499" w:rsidRPr="00052499" w:rsidRDefault="00052499" w:rsidP="00052499">
      <w:pPr>
        <w:jc w:val="both"/>
        <w:rPr>
          <w:sz w:val="24"/>
          <w:szCs w:val="24"/>
        </w:rPr>
      </w:pPr>
      <w:r w:rsidRPr="00052499">
        <w:rPr>
          <w:sz w:val="24"/>
          <w:szCs w:val="24"/>
        </w:rPr>
        <w:t>Strukturne reforme kao i mjere u oblasti fiskalne politike biće detaljno prezentovane: Fiskalnom strategijom koja se donosi za period trajanja mandata Vlade, Programom ekonomskih reformi Crne Gore, Planom rasta za Zapadni Balkan i sektorskim strategijama.</w:t>
      </w:r>
    </w:p>
    <w:p w14:paraId="525A2D0B" w14:textId="77777777" w:rsidR="00052499" w:rsidRPr="00052499" w:rsidRDefault="00052499" w:rsidP="00052499">
      <w:pPr>
        <w:jc w:val="both"/>
        <w:rPr>
          <w:sz w:val="24"/>
          <w:szCs w:val="24"/>
        </w:rPr>
      </w:pPr>
      <w:r w:rsidRPr="00052499">
        <w:rPr>
          <w:sz w:val="24"/>
          <w:szCs w:val="24"/>
        </w:rPr>
        <w:t>Stabilnost i dugoročnu održivost javnih finansija u najvećoj mjeri determinišu: poreska politika i politika upravljanja javnom potrošnjom.</w:t>
      </w:r>
    </w:p>
    <w:p w14:paraId="687EEEB6" w14:textId="77777777" w:rsidR="00052499" w:rsidRPr="00052499" w:rsidRDefault="00052499" w:rsidP="00052499">
      <w:pPr>
        <w:spacing w:after="0"/>
        <w:jc w:val="both"/>
        <w:rPr>
          <w:sz w:val="24"/>
          <w:szCs w:val="24"/>
        </w:rPr>
      </w:pPr>
      <w:r w:rsidRPr="00052499">
        <w:rPr>
          <w:sz w:val="24"/>
          <w:szCs w:val="24"/>
        </w:rPr>
        <w:t>U oblasti javne potrošnje glavni ciljevi u periodu 2024 – 2026. godine odnose se na:</w:t>
      </w:r>
    </w:p>
    <w:p w14:paraId="6898B5A6" w14:textId="77777777" w:rsidR="00052499" w:rsidRPr="00052499" w:rsidRDefault="00052499" w:rsidP="00052499">
      <w:pPr>
        <w:pStyle w:val="ListParagraph"/>
        <w:numPr>
          <w:ilvl w:val="0"/>
          <w:numId w:val="60"/>
        </w:numPr>
        <w:spacing w:after="0"/>
        <w:contextualSpacing w:val="0"/>
        <w:jc w:val="both"/>
        <w:rPr>
          <w:sz w:val="24"/>
          <w:szCs w:val="24"/>
        </w:rPr>
      </w:pPr>
      <w:r w:rsidRPr="00052499">
        <w:rPr>
          <w:sz w:val="24"/>
          <w:szCs w:val="24"/>
        </w:rPr>
        <w:t>ostvarivanje suficita tekuće budžetske potrošnje (finansiranje svih tekućim obaveza države iz tekućih prihoda);</w:t>
      </w:r>
    </w:p>
    <w:p w14:paraId="457D92F9" w14:textId="77777777" w:rsidR="00052499" w:rsidRPr="00052499" w:rsidRDefault="00052499" w:rsidP="00052499">
      <w:pPr>
        <w:pStyle w:val="ListParagraph"/>
        <w:numPr>
          <w:ilvl w:val="0"/>
          <w:numId w:val="60"/>
        </w:numPr>
        <w:spacing w:after="0"/>
        <w:contextualSpacing w:val="0"/>
        <w:jc w:val="both"/>
        <w:rPr>
          <w:sz w:val="24"/>
          <w:szCs w:val="24"/>
        </w:rPr>
      </w:pPr>
      <w:r w:rsidRPr="00052499">
        <w:rPr>
          <w:sz w:val="24"/>
          <w:szCs w:val="24"/>
        </w:rPr>
        <w:t>smanjenje budžetskog deficita na ispod 3% BDP-a prosječno u naredne tri godine, što je u skladu sa pravilima fiskalne odgovornosti;</w:t>
      </w:r>
    </w:p>
    <w:p w14:paraId="7D7C22FC" w14:textId="77777777" w:rsidR="00052499" w:rsidRPr="00052499" w:rsidRDefault="00052499" w:rsidP="00052499">
      <w:pPr>
        <w:pStyle w:val="ListParagraph"/>
        <w:numPr>
          <w:ilvl w:val="0"/>
          <w:numId w:val="60"/>
        </w:numPr>
        <w:spacing w:after="0"/>
        <w:contextualSpacing w:val="0"/>
        <w:jc w:val="both"/>
        <w:rPr>
          <w:sz w:val="24"/>
          <w:szCs w:val="24"/>
        </w:rPr>
      </w:pPr>
      <w:r w:rsidRPr="00052499">
        <w:rPr>
          <w:sz w:val="24"/>
          <w:szCs w:val="24"/>
        </w:rPr>
        <w:t>nivo javnog duga na nivou od oko 62% u 2024. godini uz postizanje silaznog trenda u period 2025 – 2026. godine;</w:t>
      </w:r>
    </w:p>
    <w:p w14:paraId="1E571728" w14:textId="77777777" w:rsidR="00052499" w:rsidRPr="00052499" w:rsidRDefault="00052499" w:rsidP="00052499">
      <w:pPr>
        <w:pStyle w:val="ListParagraph"/>
        <w:numPr>
          <w:ilvl w:val="0"/>
          <w:numId w:val="60"/>
        </w:numPr>
        <w:spacing w:after="0"/>
        <w:contextualSpacing w:val="0"/>
        <w:jc w:val="both"/>
        <w:rPr>
          <w:sz w:val="24"/>
          <w:szCs w:val="24"/>
        </w:rPr>
      </w:pPr>
      <w:r w:rsidRPr="00052499">
        <w:rPr>
          <w:sz w:val="24"/>
          <w:szCs w:val="24"/>
        </w:rPr>
        <w:t>obezbjeđivanje uslova da se novo zaduživanje isključivo vrši za finansiranje kapitalnih projekata odnosno otplatu i refinansiranje postojećih dugova države;</w:t>
      </w:r>
    </w:p>
    <w:p w14:paraId="0E202BE1" w14:textId="77777777" w:rsidR="00052499" w:rsidRPr="00052499" w:rsidRDefault="00052499" w:rsidP="00052499">
      <w:pPr>
        <w:pStyle w:val="ListParagraph"/>
        <w:numPr>
          <w:ilvl w:val="0"/>
          <w:numId w:val="60"/>
        </w:numPr>
        <w:spacing w:after="0"/>
        <w:contextualSpacing w:val="0"/>
        <w:jc w:val="both"/>
        <w:rPr>
          <w:sz w:val="24"/>
          <w:szCs w:val="24"/>
        </w:rPr>
      </w:pPr>
      <w:r w:rsidRPr="00052499">
        <w:rPr>
          <w:sz w:val="24"/>
          <w:szCs w:val="24"/>
        </w:rPr>
        <w:t>izdavanje državnih garancija samo za projekte od opšteg javnog interesa koji doprinose dugoročnom razvoju.</w:t>
      </w:r>
    </w:p>
    <w:p w14:paraId="0340221F" w14:textId="14B02567" w:rsidR="00052499" w:rsidRPr="00052499" w:rsidRDefault="00052499" w:rsidP="00052499">
      <w:pPr>
        <w:jc w:val="both"/>
        <w:rPr>
          <w:sz w:val="24"/>
          <w:szCs w:val="24"/>
        </w:rPr>
      </w:pPr>
      <w:r w:rsidRPr="00052499">
        <w:rPr>
          <w:b/>
          <w:sz w:val="24"/>
          <w:szCs w:val="24"/>
        </w:rPr>
        <w:t xml:space="preserve">Budžetom za 2024. godinu predviđene su mjere fiskalne konsolidacije koje rezultiraju ostvarivanjem suficita tekuće budžetske potrošnje u periodu 2024 – 2026. godine i </w:t>
      </w:r>
      <w:r w:rsidRPr="00052499">
        <w:rPr>
          <w:b/>
          <w:sz w:val="24"/>
          <w:szCs w:val="24"/>
        </w:rPr>
        <w:lastRenderedPageBreak/>
        <w:t>ostvarivanjem primarnog budžetskog suficita u 2026. godini, čime se direktno odgovara na preporuku br: 1 sa ekonomskog i finansijskog dijaloga između EU i Zapadnog Balkana i Turske</w:t>
      </w:r>
      <w:r w:rsidRPr="00052499">
        <w:rPr>
          <w:sz w:val="24"/>
          <w:szCs w:val="24"/>
        </w:rPr>
        <w:t>.</w:t>
      </w:r>
    </w:p>
    <w:p w14:paraId="4E69A866" w14:textId="77777777" w:rsidR="00052499" w:rsidRPr="00052499" w:rsidRDefault="00052499" w:rsidP="00052499">
      <w:pPr>
        <w:spacing w:after="0"/>
        <w:jc w:val="both"/>
        <w:rPr>
          <w:sz w:val="24"/>
          <w:szCs w:val="24"/>
        </w:rPr>
      </w:pPr>
      <w:r w:rsidRPr="00052499">
        <w:rPr>
          <w:sz w:val="24"/>
          <w:szCs w:val="24"/>
        </w:rPr>
        <w:t>Imajući u vidu značajne obaveze u dijelu otplate dugova u narednom srednjoročnom periodu, kako bi se postigli gore navedeni ciljevi, Budžetom za 2024. godinu sprovedena je:</w:t>
      </w:r>
    </w:p>
    <w:p w14:paraId="466E202E" w14:textId="77777777" w:rsidR="00052499" w:rsidRPr="00052499" w:rsidRDefault="00052499" w:rsidP="00052499">
      <w:pPr>
        <w:pStyle w:val="ListParagraph"/>
        <w:numPr>
          <w:ilvl w:val="0"/>
          <w:numId w:val="61"/>
        </w:numPr>
        <w:spacing w:after="0"/>
        <w:contextualSpacing w:val="0"/>
        <w:jc w:val="both"/>
        <w:rPr>
          <w:sz w:val="24"/>
          <w:szCs w:val="24"/>
        </w:rPr>
      </w:pPr>
      <w:r w:rsidRPr="00052499">
        <w:rPr>
          <w:sz w:val="24"/>
          <w:szCs w:val="24"/>
        </w:rPr>
        <w:t>racionalizacija svih rashoda koji nisu u funkciji stvaranja nove vrijednosti (fiskalno prilagođavanje u dijelu budžetskih troškova u iznosu od cca 35 mil. €);</w:t>
      </w:r>
    </w:p>
    <w:p w14:paraId="09D56E5D" w14:textId="77777777" w:rsidR="00052499" w:rsidRPr="00052499" w:rsidRDefault="00052499" w:rsidP="00052499">
      <w:pPr>
        <w:pStyle w:val="ListParagraph"/>
        <w:numPr>
          <w:ilvl w:val="0"/>
          <w:numId w:val="61"/>
        </w:numPr>
        <w:spacing w:after="0"/>
        <w:contextualSpacing w:val="0"/>
        <w:jc w:val="both"/>
        <w:rPr>
          <w:sz w:val="24"/>
          <w:szCs w:val="24"/>
        </w:rPr>
      </w:pPr>
      <w:r w:rsidRPr="00052499">
        <w:rPr>
          <w:sz w:val="24"/>
          <w:szCs w:val="24"/>
        </w:rPr>
        <w:t>kroz Kapitalni budžet biće finansirani samo projekti čiji stepen pripremljenosti omogućava ubrzavanje investicionog ciklusa;</w:t>
      </w:r>
    </w:p>
    <w:p w14:paraId="5BF79D9B" w14:textId="77777777" w:rsidR="00052499" w:rsidRPr="00052499" w:rsidRDefault="00052499" w:rsidP="00052499">
      <w:pPr>
        <w:pStyle w:val="ListParagraph"/>
        <w:numPr>
          <w:ilvl w:val="0"/>
          <w:numId w:val="61"/>
        </w:numPr>
        <w:spacing w:after="0"/>
        <w:contextualSpacing w:val="0"/>
        <w:jc w:val="both"/>
        <w:rPr>
          <w:sz w:val="24"/>
          <w:szCs w:val="24"/>
        </w:rPr>
      </w:pPr>
      <w:r w:rsidRPr="00052499">
        <w:rPr>
          <w:sz w:val="24"/>
          <w:szCs w:val="24"/>
        </w:rPr>
        <w:t>u cilju ravnomjernijeg regionalnog razvoja kroz izmjenu procenta ustupanja poreza na dohodak fizičkih lica, obezbijeđena su dodatna sredstva za finansiranje opština Sjevernog regiona;</w:t>
      </w:r>
    </w:p>
    <w:p w14:paraId="45662983" w14:textId="77777777" w:rsidR="00052499" w:rsidRPr="00052499" w:rsidRDefault="00052499" w:rsidP="00052499">
      <w:pPr>
        <w:pStyle w:val="ListParagraph"/>
        <w:numPr>
          <w:ilvl w:val="0"/>
          <w:numId w:val="61"/>
        </w:numPr>
        <w:spacing w:after="0"/>
        <w:contextualSpacing w:val="0"/>
        <w:jc w:val="both"/>
        <w:rPr>
          <w:sz w:val="24"/>
          <w:szCs w:val="24"/>
        </w:rPr>
      </w:pPr>
      <w:r w:rsidRPr="00052499">
        <w:rPr>
          <w:sz w:val="24"/>
          <w:szCs w:val="24"/>
        </w:rPr>
        <w:t>kroz povećanje prihoda budžeta i smanjenje „neracionalne potrošnje“ obezbijeđeno je povećanje minimalnih penzija u cilju unapređenja standarda penzionera;</w:t>
      </w:r>
    </w:p>
    <w:p w14:paraId="7B535722" w14:textId="77777777" w:rsidR="00052499" w:rsidRPr="00052499" w:rsidRDefault="00052499" w:rsidP="00052499">
      <w:pPr>
        <w:pStyle w:val="ListParagraph"/>
        <w:numPr>
          <w:ilvl w:val="0"/>
          <w:numId w:val="61"/>
        </w:numPr>
        <w:spacing w:after="0"/>
        <w:contextualSpacing w:val="0"/>
        <w:jc w:val="both"/>
        <w:rPr>
          <w:sz w:val="24"/>
          <w:szCs w:val="24"/>
        </w:rPr>
      </w:pPr>
      <w:r w:rsidRPr="00052499">
        <w:rPr>
          <w:sz w:val="24"/>
          <w:szCs w:val="24"/>
        </w:rPr>
        <w:t>sve nove mjere kojima se povećava tekuća potrošnja fiskalno su neutralne tj. finansiraju se iz izvornih prihoda a ne iz zaduženja.</w:t>
      </w:r>
    </w:p>
    <w:p w14:paraId="4742BDAB" w14:textId="77777777" w:rsidR="00052499" w:rsidRPr="00052499" w:rsidRDefault="00052499" w:rsidP="00052499">
      <w:pPr>
        <w:jc w:val="both"/>
        <w:rPr>
          <w:rFonts w:ascii="Times New Roman" w:eastAsia="Times New Roman" w:hAnsi="Times New Roman" w:cs="Times New Roman"/>
          <w:color w:val="1D2228"/>
          <w:sz w:val="24"/>
          <w:szCs w:val="24"/>
          <w:highlight w:val="white"/>
        </w:rPr>
      </w:pPr>
      <w:r w:rsidRPr="00052499">
        <w:rPr>
          <w:sz w:val="24"/>
          <w:szCs w:val="24"/>
        </w:rPr>
        <w:t>Kada je u pitanju strategija upravljanja javnom potrošnjom strategija politike bazira se na: reformi penzionog i zdravstvenog sistema – u cilju što adekvatnije socijalne zaštite građana, reformi sistema socijalne zaštite u cilju usmjeravanja socijalnih fondova onima kojima je to potrebno, reformi preduzeća u većinskom vlasništvu države, optimizaciji javne uprave kroz sprovođenje funkcionalnih analiza koje treba da identifikuju oblasti u kojima je neophodno izvršiti racionalizaciju broja zaposlenih i onih oblasti koje zahtijevaju dodatno kadrovsko jačanje u kontekstu zahtjeva iz EU agende i kvalitetnijeg pružanja javnih usluga, reformi sistema zarada u javnom sektoru, kao i zadržavanje visokog nivoa izdvajanja za finansiranje kapitalnih projekata i stvaranje pretpostavki za nastavak izgradnje autoputa „Bar-Boljari“ i drugih infrastrukturnih projekata kojima se stvaraju uslovi za dugoročni rast i razvoj.</w:t>
      </w:r>
    </w:p>
    <w:p w14:paraId="66732EF2" w14:textId="77777777" w:rsidR="00052499" w:rsidRPr="00052499" w:rsidRDefault="00052499" w:rsidP="00052499">
      <w:pPr>
        <w:spacing w:after="0"/>
        <w:jc w:val="both"/>
        <w:rPr>
          <w:sz w:val="24"/>
          <w:szCs w:val="24"/>
        </w:rPr>
      </w:pPr>
      <w:r w:rsidRPr="00052499">
        <w:rPr>
          <w:sz w:val="24"/>
          <w:szCs w:val="24"/>
        </w:rPr>
        <w:t>U oblasti poreske politike glavni cilj odnosi se na stvaranje uslova za sveobuhvatnu reformu poreskog sistema u cilju proširenja poreske baze, čime bi se stvorili uslovi za generisanje novih izvora prihoda, kroz prije svega:</w:t>
      </w:r>
    </w:p>
    <w:p w14:paraId="6BDCF458" w14:textId="77777777" w:rsidR="00052499" w:rsidRPr="00052499" w:rsidRDefault="00052499" w:rsidP="00052499">
      <w:pPr>
        <w:pStyle w:val="ListParagraph"/>
        <w:numPr>
          <w:ilvl w:val="0"/>
          <w:numId w:val="62"/>
        </w:numPr>
        <w:spacing w:after="0"/>
        <w:contextualSpacing w:val="0"/>
        <w:jc w:val="both"/>
        <w:rPr>
          <w:sz w:val="24"/>
          <w:szCs w:val="24"/>
        </w:rPr>
      </w:pPr>
      <w:r w:rsidRPr="00052499">
        <w:rPr>
          <w:sz w:val="24"/>
          <w:szCs w:val="24"/>
        </w:rPr>
        <w:t>smanjenje poreskog opterećenja na rad i sprovođenje programa za unapređenje konkurentnosti privrede i privlačenje kredibilnih investitora;</w:t>
      </w:r>
    </w:p>
    <w:p w14:paraId="1696CC88" w14:textId="77777777" w:rsidR="00052499" w:rsidRPr="00052499" w:rsidRDefault="00052499" w:rsidP="00052499">
      <w:pPr>
        <w:pStyle w:val="ListParagraph"/>
        <w:numPr>
          <w:ilvl w:val="0"/>
          <w:numId w:val="62"/>
        </w:numPr>
        <w:spacing w:after="0"/>
        <w:contextualSpacing w:val="0"/>
        <w:jc w:val="both"/>
        <w:rPr>
          <w:sz w:val="24"/>
          <w:szCs w:val="24"/>
        </w:rPr>
      </w:pPr>
      <w:r w:rsidRPr="00052499">
        <w:rPr>
          <w:sz w:val="24"/>
          <w:szCs w:val="24"/>
        </w:rPr>
        <w:t>oporezivanje po visokoj stopi neprijavljene imovine i oduzimanje nelegalno stečene imovine;</w:t>
      </w:r>
    </w:p>
    <w:p w14:paraId="32313AEC" w14:textId="77777777" w:rsidR="00052499" w:rsidRPr="00052499" w:rsidRDefault="00052499" w:rsidP="00052499">
      <w:pPr>
        <w:pStyle w:val="ListParagraph"/>
        <w:numPr>
          <w:ilvl w:val="0"/>
          <w:numId w:val="62"/>
        </w:numPr>
        <w:spacing w:after="0"/>
        <w:contextualSpacing w:val="0"/>
        <w:jc w:val="both"/>
        <w:rPr>
          <w:sz w:val="24"/>
          <w:szCs w:val="24"/>
        </w:rPr>
      </w:pPr>
      <w:r w:rsidRPr="00052499">
        <w:rPr>
          <w:sz w:val="24"/>
          <w:szCs w:val="24"/>
        </w:rPr>
        <w:t>izmjenu akcizne politike kroz povećanje visine akciza na proizvode koji negativno utiču na zdravlje stanovništa i korišćenje prihoda ostvarenih po tom osnovu za finansiranje usluga javnog zdravstva;</w:t>
      </w:r>
    </w:p>
    <w:p w14:paraId="25AE4E72" w14:textId="77777777" w:rsidR="00052499" w:rsidRPr="00052499" w:rsidRDefault="00052499" w:rsidP="00052499">
      <w:pPr>
        <w:pStyle w:val="ListParagraph"/>
        <w:numPr>
          <w:ilvl w:val="0"/>
          <w:numId w:val="62"/>
        </w:numPr>
        <w:spacing w:after="0"/>
        <w:contextualSpacing w:val="0"/>
        <w:jc w:val="both"/>
        <w:rPr>
          <w:sz w:val="24"/>
          <w:szCs w:val="24"/>
        </w:rPr>
      </w:pPr>
      <w:r w:rsidRPr="00052499">
        <w:rPr>
          <w:sz w:val="24"/>
          <w:szCs w:val="24"/>
        </w:rPr>
        <w:t>implementaciju novog zakonskog rješenja u oblasti priređivanja igara na sreću;</w:t>
      </w:r>
    </w:p>
    <w:p w14:paraId="2B0435AB" w14:textId="77777777" w:rsidR="00052499" w:rsidRPr="00052499" w:rsidRDefault="00052499" w:rsidP="00052499">
      <w:pPr>
        <w:pStyle w:val="ListParagraph"/>
        <w:numPr>
          <w:ilvl w:val="0"/>
          <w:numId w:val="62"/>
        </w:numPr>
        <w:spacing w:after="0"/>
        <w:contextualSpacing w:val="0"/>
        <w:jc w:val="both"/>
        <w:rPr>
          <w:sz w:val="24"/>
          <w:szCs w:val="24"/>
        </w:rPr>
      </w:pPr>
      <w:r w:rsidRPr="00052499">
        <w:rPr>
          <w:sz w:val="24"/>
          <w:szCs w:val="24"/>
        </w:rPr>
        <w:t>smanjenje "sive ekonomije" u cilju omogućavanja fer tržišne utakmice odnosno suzbijanja nelojalne konkurencije;</w:t>
      </w:r>
    </w:p>
    <w:p w14:paraId="5B8BBB2F" w14:textId="77777777" w:rsidR="00052499" w:rsidRPr="00052499" w:rsidRDefault="00052499" w:rsidP="00052499">
      <w:pPr>
        <w:pStyle w:val="ListParagraph"/>
        <w:numPr>
          <w:ilvl w:val="0"/>
          <w:numId w:val="62"/>
        </w:numPr>
        <w:spacing w:after="0"/>
        <w:contextualSpacing w:val="0"/>
        <w:jc w:val="both"/>
        <w:rPr>
          <w:sz w:val="24"/>
          <w:szCs w:val="24"/>
        </w:rPr>
      </w:pPr>
      <w:r w:rsidRPr="00052499">
        <w:rPr>
          <w:sz w:val="24"/>
          <w:szCs w:val="24"/>
        </w:rPr>
        <w:t>reformu poreske i carinske administracije;</w:t>
      </w:r>
    </w:p>
    <w:p w14:paraId="1A98E0A7" w14:textId="77777777" w:rsidR="00052499" w:rsidRPr="00052499" w:rsidRDefault="00052499" w:rsidP="00052499">
      <w:pPr>
        <w:pStyle w:val="ListParagraph"/>
        <w:numPr>
          <w:ilvl w:val="0"/>
          <w:numId w:val="62"/>
        </w:numPr>
        <w:spacing w:after="0"/>
        <w:contextualSpacing w:val="0"/>
        <w:jc w:val="both"/>
        <w:rPr>
          <w:sz w:val="24"/>
          <w:szCs w:val="24"/>
        </w:rPr>
      </w:pPr>
      <w:r w:rsidRPr="00052499">
        <w:rPr>
          <w:sz w:val="24"/>
          <w:szCs w:val="24"/>
        </w:rPr>
        <w:t>bolju strategiju smanjenja poreskog duga.</w:t>
      </w:r>
    </w:p>
    <w:p w14:paraId="75EF33B1" w14:textId="77777777" w:rsidR="00052499" w:rsidRPr="00052499" w:rsidRDefault="00052499" w:rsidP="00052499">
      <w:pPr>
        <w:spacing w:after="0"/>
        <w:jc w:val="both"/>
        <w:rPr>
          <w:sz w:val="24"/>
          <w:szCs w:val="24"/>
        </w:rPr>
      </w:pPr>
      <w:r w:rsidRPr="00052499">
        <w:rPr>
          <w:sz w:val="24"/>
          <w:szCs w:val="24"/>
        </w:rPr>
        <w:lastRenderedPageBreak/>
        <w:t>Polazeći od strategije makroekonomske i fiskalne politike, u periodu 2024 – 2026. godine, projektuju se:</w:t>
      </w:r>
    </w:p>
    <w:p w14:paraId="749F0303" w14:textId="77777777" w:rsidR="00052499" w:rsidRPr="00052499" w:rsidRDefault="00052499" w:rsidP="00052499">
      <w:pPr>
        <w:pStyle w:val="ListParagraph"/>
        <w:numPr>
          <w:ilvl w:val="0"/>
          <w:numId w:val="63"/>
        </w:numPr>
        <w:spacing w:after="0"/>
        <w:contextualSpacing w:val="0"/>
        <w:jc w:val="both"/>
        <w:rPr>
          <w:sz w:val="24"/>
          <w:szCs w:val="24"/>
        </w:rPr>
      </w:pPr>
      <w:r w:rsidRPr="00052499">
        <w:rPr>
          <w:sz w:val="24"/>
          <w:szCs w:val="24"/>
        </w:rPr>
        <w:t>kontinuirani pozitivni ekonomski trendovi sa ostvarivanjem stope realnog ekonomskog rasta od preko 3% u periodu 2024-2026. godine;</w:t>
      </w:r>
    </w:p>
    <w:p w14:paraId="134371B8" w14:textId="77777777" w:rsidR="00052499" w:rsidRPr="00052499" w:rsidRDefault="00052499" w:rsidP="00052499">
      <w:pPr>
        <w:pStyle w:val="ListParagraph"/>
        <w:numPr>
          <w:ilvl w:val="0"/>
          <w:numId w:val="63"/>
        </w:numPr>
        <w:spacing w:after="0"/>
        <w:contextualSpacing w:val="0"/>
        <w:jc w:val="both"/>
        <w:rPr>
          <w:sz w:val="24"/>
          <w:szCs w:val="24"/>
        </w:rPr>
      </w:pPr>
      <w:r w:rsidRPr="00052499">
        <w:rPr>
          <w:sz w:val="24"/>
          <w:szCs w:val="24"/>
        </w:rPr>
        <w:t>ograničavanje inflatornih pritisaka kroz smanjenje stope inflacije sa projektovanih 5% u 2024. godini na prosječno 3% u periodu 2025-2026. godine;</w:t>
      </w:r>
    </w:p>
    <w:p w14:paraId="1D6E5B6A" w14:textId="77777777" w:rsidR="00052499" w:rsidRPr="00052499" w:rsidRDefault="00052499" w:rsidP="00052499">
      <w:pPr>
        <w:pStyle w:val="ListParagraph"/>
        <w:numPr>
          <w:ilvl w:val="0"/>
          <w:numId w:val="63"/>
        </w:numPr>
        <w:spacing w:after="0"/>
        <w:contextualSpacing w:val="0"/>
        <w:jc w:val="both"/>
        <w:rPr>
          <w:sz w:val="24"/>
          <w:szCs w:val="24"/>
        </w:rPr>
      </w:pPr>
      <w:r w:rsidRPr="00052499">
        <w:rPr>
          <w:sz w:val="24"/>
          <w:szCs w:val="24"/>
        </w:rPr>
        <w:t>započinjanje novog investicionog ciklusa, koji će podržati prospekte ekonomskog rasta, kroz realizaciju značajnih investicija posebno u sektorima: turizma, energetike, putne i komunalne infrastrukture i sektora telekomunikacija i IT, uz nastavak izgradnje autoputa „Bar-Boljari“;</w:t>
      </w:r>
    </w:p>
    <w:p w14:paraId="2DB5B47F" w14:textId="77777777" w:rsidR="00052499" w:rsidRPr="00052499" w:rsidRDefault="00052499" w:rsidP="00052499">
      <w:pPr>
        <w:pStyle w:val="ListParagraph"/>
        <w:numPr>
          <w:ilvl w:val="0"/>
          <w:numId w:val="63"/>
        </w:numPr>
        <w:spacing w:after="0"/>
        <w:contextualSpacing w:val="0"/>
        <w:jc w:val="both"/>
        <w:rPr>
          <w:sz w:val="24"/>
          <w:szCs w:val="24"/>
        </w:rPr>
      </w:pPr>
      <w:r w:rsidRPr="00052499">
        <w:rPr>
          <w:sz w:val="24"/>
          <w:szCs w:val="24"/>
        </w:rPr>
        <w:t>unapređenje standarda svih zaposlenih, penzionera i socijalno ugroženih građana;</w:t>
      </w:r>
    </w:p>
    <w:p w14:paraId="2EDA2E73" w14:textId="77777777" w:rsidR="00052499" w:rsidRPr="00052499" w:rsidRDefault="00052499" w:rsidP="00052499">
      <w:pPr>
        <w:pStyle w:val="ListParagraph"/>
        <w:numPr>
          <w:ilvl w:val="0"/>
          <w:numId w:val="63"/>
        </w:numPr>
        <w:spacing w:after="0"/>
        <w:contextualSpacing w:val="0"/>
        <w:jc w:val="both"/>
        <w:rPr>
          <w:sz w:val="24"/>
          <w:szCs w:val="24"/>
        </w:rPr>
      </w:pPr>
      <w:r w:rsidRPr="00052499">
        <w:rPr>
          <w:sz w:val="24"/>
          <w:szCs w:val="24"/>
        </w:rPr>
        <w:t>imlementaciju mjera fiskalne konsolidacija kroz smanjenje diskrecionih rashoda i stvaranje uslova za generisanje novih prihoda kroz bolju naplatu prihoda i širenje poreske baze;</w:t>
      </w:r>
    </w:p>
    <w:p w14:paraId="0334C21B" w14:textId="77777777" w:rsidR="00052499" w:rsidRPr="00052499" w:rsidRDefault="00052499" w:rsidP="00052499">
      <w:pPr>
        <w:pStyle w:val="ListParagraph"/>
        <w:numPr>
          <w:ilvl w:val="0"/>
          <w:numId w:val="63"/>
        </w:numPr>
        <w:spacing w:after="0"/>
        <w:contextualSpacing w:val="0"/>
        <w:jc w:val="both"/>
        <w:rPr>
          <w:sz w:val="24"/>
          <w:szCs w:val="24"/>
        </w:rPr>
      </w:pPr>
      <w:r w:rsidRPr="00052499">
        <w:rPr>
          <w:sz w:val="24"/>
          <w:szCs w:val="24"/>
        </w:rPr>
        <w:t>smanjenje budžetskog deficita I javnog duga u srednjem roku;</w:t>
      </w:r>
    </w:p>
    <w:p w14:paraId="1A072E7F" w14:textId="77777777" w:rsidR="00052499" w:rsidRPr="00052499" w:rsidRDefault="00052499" w:rsidP="00052499">
      <w:pPr>
        <w:jc w:val="both"/>
        <w:rPr>
          <w:sz w:val="24"/>
          <w:szCs w:val="24"/>
          <w:lang w:val="sr-Latn-ME"/>
        </w:rPr>
      </w:pPr>
      <w:r w:rsidRPr="00052499">
        <w:rPr>
          <w:sz w:val="24"/>
          <w:szCs w:val="24"/>
        </w:rPr>
        <w:t xml:space="preserve">I pored pozitivnih makroekonomskih i fiskalnih trendova prezentovanih Budžetom za 2024. godinu, Vlada Crne Gore će u I kvartalu 2024. godine pripremiti Fiskalnu strategiju koja će sadržati dodatne politike fiskalnog prilagođavanja kroz predlaganje ključnih reformskih rješenja u oblastima: socijalnog, zdravstvenog i penzijskog sistema kao i poreske politike. </w:t>
      </w:r>
      <w:r w:rsidRPr="00052499">
        <w:rPr>
          <w:b/>
          <w:sz w:val="24"/>
          <w:szCs w:val="24"/>
        </w:rPr>
        <w:t>Pripremom kredibilne Fiskalne strategije odgovara se na preporuku br: 1 sa ekonomskog i finansijskog dijaloga između EU i Zapadnog Balkana i Turske.</w:t>
      </w:r>
    </w:p>
    <w:p w14:paraId="208F89D2" w14:textId="77777777" w:rsidR="00052499" w:rsidRPr="00052499" w:rsidRDefault="00052499" w:rsidP="00052499">
      <w:pPr>
        <w:pStyle w:val="Heading2"/>
        <w:rPr>
          <w:rFonts w:asciiTheme="minorHAnsi" w:hAnsiTheme="minorHAnsi" w:cstheme="minorHAnsi"/>
          <w:b/>
          <w:sz w:val="24"/>
          <w:szCs w:val="24"/>
        </w:rPr>
      </w:pPr>
      <w:bookmarkStart w:id="115" w:name="_Toc125545773"/>
      <w:bookmarkStart w:id="116" w:name="_Toc153305347"/>
      <w:r w:rsidRPr="00052499">
        <w:rPr>
          <w:rFonts w:asciiTheme="minorHAnsi" w:hAnsiTheme="minorHAnsi" w:cstheme="minorHAnsi"/>
          <w:b/>
          <w:sz w:val="24"/>
          <w:szCs w:val="24"/>
        </w:rPr>
        <w:t>4.2. Izvršenje budžeta u 2023. godini</w:t>
      </w:r>
      <w:bookmarkEnd w:id="114"/>
      <w:bookmarkEnd w:id="115"/>
      <w:bookmarkEnd w:id="116"/>
    </w:p>
    <w:p w14:paraId="3DA6F2F0" w14:textId="77777777" w:rsidR="00052499" w:rsidRPr="00052499" w:rsidRDefault="00052499" w:rsidP="00052499">
      <w:pPr>
        <w:jc w:val="both"/>
        <w:rPr>
          <w:rFonts w:cstheme="minorHAnsi"/>
          <w:sz w:val="24"/>
          <w:szCs w:val="24"/>
          <w:lang w:val="sr-Latn-ME"/>
        </w:rPr>
      </w:pPr>
      <w:r w:rsidRPr="00052499">
        <w:rPr>
          <w:rFonts w:cstheme="minorHAnsi"/>
          <w:sz w:val="24"/>
          <w:szCs w:val="24"/>
          <w:lang w:val="sr-Latn-ME"/>
        </w:rPr>
        <w:t>Tokom 2023. godine zabilježen je snažan rast budžetskih prihoda. Glavni generatori rasta prihoda bili su: rast potrošnje domaćinstava, inflacija, potrošnja značajnog broja stranih državljana sa privremenim boravištem u Crnoj Gori, efekti turističke sezone, smanjenje neformalnosti na tržištu rada i suzbijanja nelegalnog prometa na tržištu duvana i duvanskih proizvoda i naplata prihoda jednokratnog karaktera.</w:t>
      </w:r>
    </w:p>
    <w:p w14:paraId="48C2BD20" w14:textId="77777777" w:rsidR="00052499" w:rsidRPr="00052499" w:rsidRDefault="00052499" w:rsidP="00052499">
      <w:pPr>
        <w:jc w:val="both"/>
        <w:rPr>
          <w:rFonts w:cstheme="minorHAnsi"/>
          <w:sz w:val="24"/>
          <w:szCs w:val="24"/>
          <w:lang w:val="sr-Latn-ME"/>
        </w:rPr>
      </w:pPr>
      <w:r w:rsidRPr="00052499">
        <w:rPr>
          <w:rFonts w:cstheme="minorHAnsi"/>
          <w:sz w:val="24"/>
          <w:szCs w:val="24"/>
          <w:lang w:val="sr-Latn-ME"/>
        </w:rPr>
        <w:t xml:space="preserve">Značajan dio povećanja budžetskih prihoda odnosio se na jednokratne prilive koji nisu vezani za nove mjere fiskalne politike ili značajnije strukturne reforme kojima se unaprjeđuje struktura privrede i stvara nova vrijednost. </w:t>
      </w:r>
    </w:p>
    <w:p w14:paraId="71DE4997" w14:textId="77777777" w:rsidR="00052499" w:rsidRPr="00052499" w:rsidRDefault="00052499" w:rsidP="009458A0">
      <w:pPr>
        <w:spacing w:after="0"/>
        <w:jc w:val="both"/>
        <w:rPr>
          <w:rFonts w:cstheme="minorHAnsi"/>
          <w:sz w:val="24"/>
          <w:szCs w:val="24"/>
          <w:lang w:val="sr-Latn-ME"/>
        </w:rPr>
      </w:pPr>
      <w:r w:rsidRPr="00052499">
        <w:rPr>
          <w:rFonts w:cstheme="minorHAnsi"/>
          <w:sz w:val="24"/>
          <w:szCs w:val="24"/>
          <w:lang w:val="sr-Latn-ME"/>
        </w:rPr>
        <w:t>Procjenjuje se da će učešće jednokratnih prihoda, u ukupnim prihodima u 2023. godini, iznositi preko 180,0 mil.€ od čega se najznačajniji odnose na:</w:t>
      </w:r>
    </w:p>
    <w:p w14:paraId="77BA254E" w14:textId="77777777" w:rsidR="00052499" w:rsidRPr="00052499" w:rsidRDefault="00052499" w:rsidP="009458A0">
      <w:pPr>
        <w:spacing w:after="0"/>
        <w:jc w:val="both"/>
        <w:rPr>
          <w:rFonts w:cstheme="minorHAnsi"/>
          <w:sz w:val="24"/>
          <w:szCs w:val="24"/>
          <w:lang w:val="sr-Latn-ME"/>
        </w:rPr>
      </w:pPr>
      <w:r w:rsidRPr="00052499">
        <w:rPr>
          <w:rFonts w:cstheme="minorHAnsi"/>
          <w:sz w:val="24"/>
          <w:szCs w:val="24"/>
          <w:lang w:val="sr-Latn-ME"/>
        </w:rPr>
        <w:t>- naplaćene prihode po osnovu hedžing aranžmana zaključenog u 2021. godini, radi zaštite od valutnog rizika kredita zaključenog u dolarima za potrebe izgradnje auto-puta „Bar-Boljare“, u iznosu od 60 mil. €;</w:t>
      </w:r>
    </w:p>
    <w:p w14:paraId="3B36207D" w14:textId="77777777" w:rsidR="00052499" w:rsidRPr="00052499" w:rsidRDefault="00052499" w:rsidP="009458A0">
      <w:pPr>
        <w:spacing w:after="0"/>
        <w:jc w:val="both"/>
        <w:rPr>
          <w:rFonts w:cstheme="minorHAnsi"/>
          <w:sz w:val="24"/>
          <w:szCs w:val="24"/>
          <w:lang w:val="sr-Latn-ME"/>
        </w:rPr>
      </w:pPr>
      <w:r w:rsidRPr="00052499">
        <w:rPr>
          <w:rFonts w:cstheme="minorHAnsi"/>
          <w:sz w:val="24"/>
          <w:szCs w:val="24"/>
          <w:lang w:val="sr-Latn-ME"/>
        </w:rPr>
        <w:t>- akumuliranih prihoda iz prethodnog perioda po osnovu implementacije programa „Ekonomskog državljanstva“, koji su planirani u 2023. godini u iznosu od 75 mil. €;</w:t>
      </w:r>
    </w:p>
    <w:p w14:paraId="26893EB1" w14:textId="77777777" w:rsidR="00052499" w:rsidRPr="00052499" w:rsidRDefault="00052499" w:rsidP="009458A0">
      <w:pPr>
        <w:spacing w:after="0"/>
        <w:jc w:val="both"/>
        <w:rPr>
          <w:rFonts w:cstheme="minorHAnsi"/>
          <w:sz w:val="24"/>
          <w:szCs w:val="24"/>
          <w:lang w:val="sr-Latn-ME"/>
        </w:rPr>
      </w:pPr>
      <w:r w:rsidRPr="00052499">
        <w:rPr>
          <w:rFonts w:cstheme="minorHAnsi"/>
          <w:sz w:val="24"/>
          <w:szCs w:val="24"/>
          <w:lang w:val="sr-Latn-ME"/>
        </w:rPr>
        <w:t>- planirane naplate dividendi po osnovu ostvarene dobiti privrednih društava u većinskom vlasništvu države u iznosu od 40 mil. €;</w:t>
      </w:r>
    </w:p>
    <w:p w14:paraId="7A36D9A0" w14:textId="77777777" w:rsidR="00052499" w:rsidRPr="00052499" w:rsidRDefault="00052499" w:rsidP="00052499">
      <w:pPr>
        <w:jc w:val="both"/>
        <w:rPr>
          <w:rFonts w:cstheme="minorHAnsi"/>
          <w:sz w:val="24"/>
          <w:szCs w:val="24"/>
          <w:lang w:val="sr-Latn-ME"/>
        </w:rPr>
      </w:pPr>
      <w:r w:rsidRPr="00052499">
        <w:rPr>
          <w:rFonts w:cstheme="minorHAnsi"/>
          <w:sz w:val="24"/>
          <w:szCs w:val="24"/>
          <w:lang w:val="sr-Latn-ME"/>
        </w:rPr>
        <w:t xml:space="preserve">- ostvarene naplate EU donacija u iznosu od 27 mil. €.Tokom posmatranog perioda gotovo sve kategorije prihoda zabilježile su rast. </w:t>
      </w:r>
    </w:p>
    <w:p w14:paraId="2547BA59" w14:textId="77777777" w:rsidR="00052499" w:rsidRPr="00052499" w:rsidRDefault="00052499" w:rsidP="00052499">
      <w:pPr>
        <w:jc w:val="both"/>
        <w:rPr>
          <w:rFonts w:cstheme="minorHAnsi"/>
          <w:sz w:val="24"/>
          <w:szCs w:val="24"/>
          <w:lang w:val="sr-Latn-ME"/>
        </w:rPr>
      </w:pPr>
      <w:r w:rsidRPr="00052499">
        <w:rPr>
          <w:rFonts w:cstheme="minorHAnsi"/>
          <w:b/>
          <w:sz w:val="24"/>
          <w:szCs w:val="24"/>
          <w:lang w:val="sr-Latn-ME"/>
        </w:rPr>
        <w:lastRenderedPageBreak/>
        <w:t>Javni prihodi</w:t>
      </w:r>
      <w:r w:rsidRPr="00052499">
        <w:rPr>
          <w:rFonts w:cstheme="minorHAnsi"/>
          <w:sz w:val="24"/>
          <w:szCs w:val="24"/>
          <w:lang w:val="sr-Latn-ME"/>
        </w:rPr>
        <w:t xml:space="preserve"> u 2023. godini planirani su u iznosu od 2.760,1 mil. € ili 42,8%  procijenjenog BDP-a (6.447,1 mil. €) i u odnosu na naplaćene u 2022. godini veći su za 437,8 mil. € ili 18,9%. Zabilježeni rast prihoda, osim priliva koji se tiču jednokratnih prihoda, rezultat su uspješne turističke sezone, unaprijeđene poreske discipline, suzbijanja nelegalnog prometa na tržištu duvana i duvanskih proizvoda kao i povećane lične potrošnje i uvoza.</w:t>
      </w:r>
    </w:p>
    <w:p w14:paraId="4BC4BF79" w14:textId="77777777" w:rsidR="00052499" w:rsidRPr="00052499" w:rsidRDefault="00052499" w:rsidP="00052499">
      <w:pPr>
        <w:jc w:val="both"/>
        <w:rPr>
          <w:rFonts w:cstheme="minorHAnsi"/>
          <w:sz w:val="24"/>
          <w:szCs w:val="24"/>
          <w:lang w:val="sr-Latn-ME"/>
        </w:rPr>
      </w:pPr>
      <w:r w:rsidRPr="00052499">
        <w:rPr>
          <w:rFonts w:cstheme="minorHAnsi"/>
          <w:sz w:val="24"/>
          <w:szCs w:val="24"/>
          <w:lang w:val="sr-Latn-ME"/>
        </w:rPr>
        <w:t xml:space="preserve">U skladu sa procjenom, najznačajniji rast u 2023. godini planiran je kod naplate prihoda po osnovu </w:t>
      </w:r>
      <w:r w:rsidRPr="00052499">
        <w:rPr>
          <w:rFonts w:cstheme="minorHAnsi"/>
          <w:b/>
          <w:sz w:val="24"/>
          <w:szCs w:val="24"/>
          <w:lang w:val="sr-Latn-ME"/>
        </w:rPr>
        <w:t>PDV</w:t>
      </w:r>
      <w:r w:rsidRPr="00052499">
        <w:rPr>
          <w:rFonts w:cstheme="minorHAnsi"/>
          <w:sz w:val="24"/>
          <w:szCs w:val="24"/>
          <w:lang w:val="sr-Latn-ME"/>
        </w:rPr>
        <w:t xml:space="preserve">-a koji su iznosili 1.028,0 mil. € i veći su za 120,0 mil. € ili 13,2% u odnosu na naplaćene u 2022. godini. Snažan rast prihoda po ovom osnovu rezultat je više faktora od kojih su najznačajniji: rezultati ljetnje turističke sezone, unaprijeđena poreska disciplina kao i značajan rast uvoza i potrošnje domaćinstava, što uz projektovanu inflaciju najviše opredjeljuje rast ove kategorije prihoda. </w:t>
      </w:r>
    </w:p>
    <w:p w14:paraId="55F26850" w14:textId="77777777" w:rsidR="00052499" w:rsidRPr="00052499" w:rsidRDefault="00052499" w:rsidP="00052499">
      <w:pPr>
        <w:jc w:val="both"/>
        <w:rPr>
          <w:rFonts w:cstheme="minorHAnsi"/>
          <w:sz w:val="24"/>
          <w:szCs w:val="24"/>
          <w:lang w:val="sr-Latn-ME"/>
        </w:rPr>
      </w:pPr>
      <w:r w:rsidRPr="00052499">
        <w:rPr>
          <w:rFonts w:cstheme="minorHAnsi"/>
          <w:b/>
          <w:sz w:val="24"/>
          <w:szCs w:val="24"/>
          <w:lang w:val="sr-Latn-ME"/>
        </w:rPr>
        <w:t>Porezi i doprinosi na zarade</w:t>
      </w:r>
      <w:r w:rsidRPr="00052499">
        <w:rPr>
          <w:rFonts w:cstheme="minorHAnsi"/>
          <w:sz w:val="24"/>
          <w:szCs w:val="24"/>
          <w:lang w:val="sr-Latn-ME"/>
        </w:rPr>
        <w:t xml:space="preserve"> procijenjeni su u iznosu od 643,1 mil. € što je u odnosu na 2022. godinu veće za 43,6 mil. € ili 7,3%. Snažan rast ove kategorije prihoda prvenstveno je rezultat smanjenja „sive“ ekonomije na tržištu rada (prevashodno kao mjere smanjenja ukupnog poreskog opterećenja na zarade u sklopu paketa reformi Evropa sad 1) i uvećane osnove za obračun doprinosa usljed povećanja koeficijenata za zarade zaposlenih u javnom sektoru. Pored navedenog, na rast ove kategorije prihoda uticali su i efekti implementacije Zakona o reprogamu poreskog potraživanja.</w:t>
      </w:r>
    </w:p>
    <w:p w14:paraId="4F98995B" w14:textId="77777777" w:rsidR="00052499" w:rsidRPr="00052499" w:rsidRDefault="00052499" w:rsidP="00052499">
      <w:pPr>
        <w:jc w:val="both"/>
        <w:rPr>
          <w:rFonts w:cstheme="minorHAnsi"/>
          <w:sz w:val="24"/>
          <w:szCs w:val="24"/>
          <w:lang w:val="sr-Latn-ME"/>
        </w:rPr>
      </w:pPr>
      <w:r w:rsidRPr="00052499">
        <w:rPr>
          <w:rFonts w:cstheme="minorHAnsi"/>
          <w:sz w:val="24"/>
          <w:szCs w:val="24"/>
          <w:lang w:val="sr-Latn-ME"/>
        </w:rPr>
        <w:t xml:space="preserve">Prihodi od </w:t>
      </w:r>
      <w:r w:rsidRPr="00052499">
        <w:rPr>
          <w:rFonts w:cstheme="minorHAnsi"/>
          <w:b/>
          <w:sz w:val="24"/>
          <w:szCs w:val="24"/>
          <w:lang w:val="sr-Latn-ME"/>
        </w:rPr>
        <w:t>akciza</w:t>
      </w:r>
      <w:r w:rsidRPr="00052499">
        <w:rPr>
          <w:rFonts w:cstheme="minorHAnsi"/>
          <w:sz w:val="24"/>
          <w:szCs w:val="24"/>
          <w:lang w:val="sr-Latn-ME"/>
        </w:rPr>
        <w:t xml:space="preserve"> planirani su u iznosu od 296,4 mil. € ili 4,6% BDP-a, što je za 50,5 mil. € ili 20,6% veće u odnosu na 2022. godinu. Najznačajniji doprinos rastu akciza zabilježen je kod akciza na mineralna ulja i njihove derivate, kao i na duvan i duvanske proizvode. Rastu prihoda po osnovu akciza na duvan i duvanske proizvode dopinijele su aktivnosti na suzbijanju sive ekonomije na tržštu duvana ali i ubrzanje akciznog kalendara za ovu vrstu proizvoda u drugoj polovini godine. Na rast kategorije akciza na mineralna ulja i njihove derivate dominantno je uticao prestanak implementacije Odluke o umanjenju iznosa akcize za promet bezolovnog benzina i gasnih ulja 28. februara 2023. godine, usljed stabilizacije cijena nafte na međunarodnom tržištu. Prethodno je planirano da se Odluka o umanjenju akcize po ovom osnovu može sprovoditi šest mjeseci 2023. godine. </w:t>
      </w:r>
    </w:p>
    <w:p w14:paraId="2C401F29" w14:textId="77777777" w:rsidR="00052499" w:rsidRPr="00052499" w:rsidRDefault="00052499" w:rsidP="00052499">
      <w:pPr>
        <w:jc w:val="both"/>
        <w:rPr>
          <w:rFonts w:cstheme="minorHAnsi"/>
          <w:sz w:val="24"/>
          <w:szCs w:val="24"/>
        </w:rPr>
      </w:pPr>
      <w:r w:rsidRPr="00052499">
        <w:rPr>
          <w:rFonts w:cstheme="minorHAnsi"/>
          <w:sz w:val="24"/>
          <w:szCs w:val="24"/>
          <w:lang w:val="sr-Latn-ME"/>
        </w:rPr>
        <w:t>Osim toga, 01. jula 2023. godine stupio je na snagu i član Zakona o akcizama, kojim se uvodi akciza na proizvode od šećera, kakaoa i sladoled.</w:t>
      </w:r>
      <w:r w:rsidRPr="00052499">
        <w:rPr>
          <w:rFonts w:cstheme="minorHAnsi"/>
          <w:sz w:val="24"/>
          <w:szCs w:val="24"/>
        </w:rPr>
        <w:t xml:space="preserve"> </w:t>
      </w:r>
    </w:p>
    <w:p w14:paraId="32F83F56" w14:textId="77777777" w:rsidR="00052499" w:rsidRPr="00052499" w:rsidRDefault="00052499" w:rsidP="00052499">
      <w:pPr>
        <w:jc w:val="both"/>
        <w:rPr>
          <w:rFonts w:cstheme="minorHAnsi"/>
          <w:sz w:val="24"/>
          <w:szCs w:val="24"/>
          <w:lang w:val="sr-Latn-ME"/>
        </w:rPr>
      </w:pPr>
      <w:r w:rsidRPr="00052499">
        <w:rPr>
          <w:rFonts w:cstheme="minorHAnsi"/>
          <w:sz w:val="24"/>
          <w:szCs w:val="24"/>
          <w:lang w:val="sr-Latn-ME"/>
        </w:rPr>
        <w:t xml:space="preserve">Prihodi po osnovu </w:t>
      </w:r>
      <w:r w:rsidRPr="00052499">
        <w:rPr>
          <w:rFonts w:cstheme="minorHAnsi"/>
          <w:b/>
          <w:sz w:val="24"/>
          <w:szCs w:val="24"/>
          <w:lang w:val="sr-Latn-ME"/>
        </w:rPr>
        <w:t xml:space="preserve">poreza na dobit pravnih lica </w:t>
      </w:r>
      <w:r w:rsidRPr="00052499">
        <w:rPr>
          <w:rFonts w:cstheme="minorHAnsi"/>
          <w:sz w:val="24"/>
          <w:szCs w:val="24"/>
          <w:lang w:val="sr-Latn-ME"/>
        </w:rPr>
        <w:t>planirani su u iznosu od 134,7 mil. € i bilježe značajan rast u odnosu na ostvarene u 2022. godini, i to u iznosu od 44,5 mil. € ili 49,3%. Značajan rast ove kategorije prihoda rezultat je prevashodno implementacije progresivne stope oporezivanja dobiti, kao i rasta ekonomske aktivnosti i ostvarenih rezulata privrednih subjekata u prethodnoj godini, uz poboljšanu poresku disciplinu.</w:t>
      </w:r>
    </w:p>
    <w:p w14:paraId="78A29F1B" w14:textId="77777777" w:rsidR="00052499" w:rsidRPr="00052499" w:rsidRDefault="00052499" w:rsidP="00052499">
      <w:pPr>
        <w:jc w:val="both"/>
        <w:rPr>
          <w:rFonts w:cstheme="minorHAnsi"/>
          <w:sz w:val="24"/>
          <w:szCs w:val="24"/>
          <w:lang w:val="sr-Latn-ME"/>
        </w:rPr>
      </w:pPr>
      <w:r w:rsidRPr="00052499">
        <w:rPr>
          <w:rFonts w:cstheme="minorHAnsi"/>
          <w:sz w:val="24"/>
          <w:szCs w:val="24"/>
          <w:lang w:val="sr-Latn-ME"/>
        </w:rPr>
        <w:t xml:space="preserve">Prihodi od </w:t>
      </w:r>
      <w:r w:rsidRPr="00052499">
        <w:rPr>
          <w:rFonts w:cstheme="minorHAnsi"/>
          <w:b/>
          <w:sz w:val="24"/>
          <w:szCs w:val="24"/>
          <w:lang w:val="sr-Latn-ME"/>
        </w:rPr>
        <w:t>poreza na međunarodnu trgovinu i transakcije</w:t>
      </w:r>
      <w:r w:rsidRPr="00052499">
        <w:rPr>
          <w:rFonts w:cstheme="minorHAnsi"/>
          <w:sz w:val="24"/>
          <w:szCs w:val="24"/>
          <w:lang w:val="sr-Latn-ME"/>
        </w:rPr>
        <w:t xml:space="preserve"> planirani su u iznosu od 47,7 mil. €  i veći su u odnosu na ostvarene u 2022. godini za 7,4 mil. € ili 18,4%, a najviše kao rezultat rasta uvoza i rasta cijena.</w:t>
      </w:r>
    </w:p>
    <w:p w14:paraId="11BEB8FC" w14:textId="77777777" w:rsidR="00052499" w:rsidRPr="00052499" w:rsidRDefault="00052499" w:rsidP="00052499">
      <w:pPr>
        <w:jc w:val="both"/>
        <w:rPr>
          <w:rFonts w:cstheme="minorHAnsi"/>
          <w:sz w:val="24"/>
          <w:szCs w:val="24"/>
          <w:lang w:val="sr-Latn-ME"/>
        </w:rPr>
      </w:pPr>
      <w:r w:rsidRPr="00052499">
        <w:rPr>
          <w:rFonts w:cstheme="minorHAnsi"/>
          <w:b/>
          <w:sz w:val="24"/>
          <w:szCs w:val="24"/>
          <w:lang w:val="sr-Latn-ME"/>
        </w:rPr>
        <w:t xml:space="preserve">Ostali prihodi </w:t>
      </w:r>
      <w:r w:rsidRPr="00052499">
        <w:rPr>
          <w:rFonts w:cstheme="minorHAnsi"/>
          <w:sz w:val="24"/>
          <w:szCs w:val="24"/>
          <w:lang w:val="sr-Latn-ME"/>
        </w:rPr>
        <w:t xml:space="preserve">planirani su u iznosu od 215,5 mil. € što je u odnosu na 2022. godinu veće za 162,9 mil. €. Rast ove kategorije prihoda dominantno je rezultat prekida hedžing aranžmana </w:t>
      </w:r>
      <w:r w:rsidRPr="00052499">
        <w:rPr>
          <w:rFonts w:cstheme="minorHAnsi"/>
          <w:sz w:val="24"/>
          <w:szCs w:val="24"/>
          <w:lang w:val="sr-Latn-ME"/>
        </w:rPr>
        <w:lastRenderedPageBreak/>
        <w:t>iz 2021. godine, i to u iznosu od skoro 60 mil. € i prenosa sredstava akumuliranih iz prethodnih godina, po osnovu implementacije programa „Ekonomskog državljanstva“ u iznosu od 75 mil. €.</w:t>
      </w:r>
    </w:p>
    <w:p w14:paraId="5CCB5DDB" w14:textId="77777777" w:rsidR="00052499" w:rsidRPr="00052499" w:rsidRDefault="00052499" w:rsidP="00052499">
      <w:pPr>
        <w:jc w:val="both"/>
        <w:rPr>
          <w:rFonts w:cstheme="minorHAnsi"/>
          <w:sz w:val="24"/>
          <w:szCs w:val="24"/>
          <w:lang w:val="sr-Latn-ME"/>
        </w:rPr>
      </w:pPr>
      <w:r w:rsidRPr="00052499">
        <w:rPr>
          <w:rFonts w:cstheme="minorHAnsi"/>
          <w:b/>
          <w:sz w:val="24"/>
          <w:szCs w:val="24"/>
          <w:lang w:val="sr-Latn-ME"/>
        </w:rPr>
        <w:t xml:space="preserve">Donacije </w:t>
      </w:r>
      <w:r w:rsidRPr="00052499">
        <w:rPr>
          <w:rFonts w:cstheme="minorHAnsi"/>
          <w:sz w:val="24"/>
          <w:szCs w:val="24"/>
          <w:lang w:val="sr-Latn-ME"/>
        </w:rPr>
        <w:t>za 2023. godinu planirane su u iznosu od 134,2 mil. € što je za 46,8 mil. € ili 53,6% veće u odnosu na prethodnu godinu. Rast ove kategorije prihoda prevashodno je rezultat izvršene uplate sredstava od strane EU, a po osnovu direktne budžetske podrške za energetsku efikasnost.</w:t>
      </w:r>
    </w:p>
    <w:p w14:paraId="00DC9140" w14:textId="77777777" w:rsidR="00052499" w:rsidRPr="00052499" w:rsidRDefault="00052499" w:rsidP="00052499">
      <w:pPr>
        <w:jc w:val="both"/>
        <w:rPr>
          <w:rFonts w:cstheme="minorHAnsi"/>
          <w:sz w:val="24"/>
          <w:szCs w:val="24"/>
        </w:rPr>
      </w:pPr>
      <w:r w:rsidRPr="00052499">
        <w:rPr>
          <w:rFonts w:cstheme="minorHAnsi"/>
          <w:sz w:val="24"/>
          <w:szCs w:val="24"/>
        </w:rPr>
        <w:t xml:space="preserve">Na drugoj strani, </w:t>
      </w:r>
      <w:r w:rsidRPr="00052499">
        <w:rPr>
          <w:rFonts w:cstheme="minorHAnsi"/>
          <w:b/>
          <w:sz w:val="24"/>
          <w:szCs w:val="24"/>
        </w:rPr>
        <w:t>javna potrošnja</w:t>
      </w:r>
      <w:r w:rsidRPr="00052499">
        <w:rPr>
          <w:rFonts w:cstheme="minorHAnsi"/>
          <w:sz w:val="24"/>
          <w:szCs w:val="24"/>
        </w:rPr>
        <w:t xml:space="preserve"> planirana je u iznosu od 3,076 mil € i veća je za 505,24 mil € ili 19,7% u odnosu na 2022. Uvećanje se dominantno odnosi na rast ukupnog fonda bruto zarada i to po osnovu povećanja zarada zaposlenih u javnom sektoru kao i kapitalnih izdataka. Pored navedenog, uvećanje je usovljeno i mandatornim izdvajanjima u oblasti </w:t>
      </w:r>
      <w:r w:rsidRPr="00052499">
        <w:rPr>
          <w:rFonts w:cstheme="minorHAnsi"/>
          <w:b/>
          <w:sz w:val="24"/>
          <w:szCs w:val="24"/>
        </w:rPr>
        <w:t xml:space="preserve">socijalnog staranja </w:t>
      </w:r>
      <w:r w:rsidRPr="00052499">
        <w:rPr>
          <w:rFonts w:cstheme="minorHAnsi"/>
          <w:sz w:val="24"/>
          <w:szCs w:val="24"/>
        </w:rPr>
        <w:t xml:space="preserve">u skladu sa važećim zakonskim rješenjima (Sredstva za isplatu prava iz oblasti socijalne zaštite i Prava iz oblasti penzijskog i invalidskog osiguranja), zatim </w:t>
      </w:r>
      <w:r w:rsidRPr="00052499">
        <w:rPr>
          <w:rFonts w:cstheme="minorHAnsi"/>
          <w:b/>
          <w:sz w:val="24"/>
          <w:szCs w:val="24"/>
        </w:rPr>
        <w:t>Sektora obrazovanja, nauke i sporta</w:t>
      </w:r>
      <w:r w:rsidRPr="00052499">
        <w:rPr>
          <w:rFonts w:cstheme="minorHAnsi"/>
          <w:sz w:val="24"/>
          <w:szCs w:val="24"/>
        </w:rPr>
        <w:t xml:space="preserve"> korz implementaciju uvećanih transfera za lična primanja pripravnika, </w:t>
      </w:r>
      <w:r w:rsidRPr="00052499">
        <w:rPr>
          <w:rFonts w:cstheme="minorHAnsi"/>
          <w:b/>
          <w:sz w:val="24"/>
          <w:szCs w:val="24"/>
        </w:rPr>
        <w:t>Javne bezbijednosti i odbrane</w:t>
      </w:r>
      <w:r w:rsidRPr="00052499">
        <w:rPr>
          <w:rFonts w:cstheme="minorHAnsi"/>
          <w:sz w:val="24"/>
          <w:szCs w:val="24"/>
        </w:rPr>
        <w:t xml:space="preserve"> za potrebe jačanja kapaciteta i opremljenosti policijskih službi i izdvajanje za potrebe vojske od 2% BDP-a, shodno obavezama u okviru NATO alijanse), uvećanja kod Fonda za obeštećenje u cilju ubrzanja dinamike otplate obaveza države po osnovu obeštećenja, kao I na drugim pozicijama.</w:t>
      </w:r>
    </w:p>
    <w:p w14:paraId="28BCECF0" w14:textId="77777777" w:rsidR="00052499" w:rsidRPr="00052499" w:rsidRDefault="00052499" w:rsidP="00052499">
      <w:pPr>
        <w:jc w:val="both"/>
        <w:rPr>
          <w:rFonts w:cstheme="minorHAnsi"/>
          <w:sz w:val="24"/>
          <w:szCs w:val="24"/>
        </w:rPr>
      </w:pPr>
      <w:r w:rsidRPr="00052499">
        <w:rPr>
          <w:rFonts w:cstheme="minorHAnsi"/>
          <w:sz w:val="24"/>
          <w:szCs w:val="24"/>
        </w:rPr>
        <w:t xml:space="preserve">Pored navedenog, u novembru 2023. godine usvojene su izmjene Zakona o budžetu za 2023. godinu, kojim su ukupni izdaci budžeta uvećani za </w:t>
      </w:r>
      <w:r w:rsidRPr="00052499">
        <w:rPr>
          <w:rFonts w:cstheme="minorHAnsi"/>
          <w:b/>
          <w:sz w:val="24"/>
          <w:szCs w:val="24"/>
        </w:rPr>
        <w:t>129,84</w:t>
      </w:r>
      <w:r w:rsidRPr="00052499">
        <w:rPr>
          <w:rFonts w:cstheme="minorHAnsi"/>
          <w:sz w:val="24"/>
          <w:szCs w:val="24"/>
        </w:rPr>
        <w:t xml:space="preserve"> mil €.</w:t>
      </w:r>
    </w:p>
    <w:p w14:paraId="72DA7EDD" w14:textId="77777777" w:rsidR="00052499" w:rsidRPr="00052499" w:rsidRDefault="00052499" w:rsidP="000F2683">
      <w:pPr>
        <w:spacing w:after="0"/>
        <w:jc w:val="both"/>
        <w:rPr>
          <w:rFonts w:cstheme="minorHAnsi"/>
          <w:sz w:val="24"/>
          <w:szCs w:val="24"/>
        </w:rPr>
      </w:pPr>
      <w:r w:rsidRPr="00052499">
        <w:rPr>
          <w:rFonts w:cstheme="minorHAnsi"/>
          <w:sz w:val="24"/>
          <w:szCs w:val="24"/>
        </w:rPr>
        <w:t>Naime, dodatna potrošnja odnosi se na sljedeće namjene:</w:t>
      </w:r>
    </w:p>
    <w:p w14:paraId="4341DB29" w14:textId="77777777" w:rsidR="00052499" w:rsidRPr="00052499" w:rsidRDefault="00052499" w:rsidP="000F2683">
      <w:pPr>
        <w:pStyle w:val="ListParagraph"/>
        <w:numPr>
          <w:ilvl w:val="0"/>
          <w:numId w:val="65"/>
        </w:numPr>
        <w:spacing w:after="0"/>
        <w:contextualSpacing w:val="0"/>
        <w:jc w:val="both"/>
        <w:rPr>
          <w:rFonts w:cstheme="minorHAnsi"/>
          <w:sz w:val="24"/>
          <w:szCs w:val="24"/>
        </w:rPr>
      </w:pPr>
      <w:r w:rsidRPr="00052499">
        <w:rPr>
          <w:rFonts w:cstheme="minorHAnsi"/>
          <w:sz w:val="24"/>
          <w:szCs w:val="24"/>
        </w:rPr>
        <w:t>Realizaciju aktivnosti na prevazilaženju energetske krize u iznosu od 22.36 mil €;</w:t>
      </w:r>
    </w:p>
    <w:p w14:paraId="5081814B" w14:textId="1D5FB3BA" w:rsidR="00052499" w:rsidRPr="00052499" w:rsidRDefault="00052499" w:rsidP="000F2683">
      <w:pPr>
        <w:pStyle w:val="ListParagraph"/>
        <w:numPr>
          <w:ilvl w:val="0"/>
          <w:numId w:val="65"/>
        </w:numPr>
        <w:spacing w:after="0"/>
        <w:contextualSpacing w:val="0"/>
        <w:jc w:val="both"/>
        <w:rPr>
          <w:rFonts w:cstheme="minorHAnsi"/>
          <w:sz w:val="24"/>
          <w:szCs w:val="24"/>
        </w:rPr>
      </w:pPr>
      <w:r w:rsidRPr="00052499">
        <w:rPr>
          <w:rFonts w:cstheme="minorHAnsi"/>
          <w:sz w:val="24"/>
          <w:szCs w:val="24"/>
        </w:rPr>
        <w:t>Nedostajućih sredstava iz oblasti socijalne zaštite 21 mil €</w:t>
      </w:r>
      <w:r w:rsidR="000F2683">
        <w:rPr>
          <w:rFonts w:cstheme="minorHAnsi"/>
          <w:sz w:val="24"/>
          <w:szCs w:val="24"/>
          <w:lang w:val="sr-Latn-RS"/>
        </w:rPr>
        <w:t>;</w:t>
      </w:r>
    </w:p>
    <w:p w14:paraId="134A0C71" w14:textId="1554FAFB" w:rsidR="00052499" w:rsidRPr="00052499" w:rsidRDefault="00052499" w:rsidP="000F2683">
      <w:pPr>
        <w:pStyle w:val="ListParagraph"/>
        <w:numPr>
          <w:ilvl w:val="0"/>
          <w:numId w:val="65"/>
        </w:numPr>
        <w:spacing w:after="0"/>
        <w:contextualSpacing w:val="0"/>
        <w:jc w:val="both"/>
        <w:rPr>
          <w:rFonts w:cstheme="minorHAnsi"/>
          <w:sz w:val="24"/>
          <w:szCs w:val="24"/>
        </w:rPr>
      </w:pPr>
      <w:r w:rsidRPr="00052499">
        <w:rPr>
          <w:rFonts w:cstheme="minorHAnsi"/>
          <w:sz w:val="24"/>
          <w:szCs w:val="24"/>
        </w:rPr>
        <w:t>Nedostajućih sredstava za prava iz oblasti penzijskog i invalidskog osiguranja 25 mil €</w:t>
      </w:r>
      <w:r w:rsidR="000F2683">
        <w:rPr>
          <w:rFonts w:cstheme="minorHAnsi"/>
          <w:sz w:val="24"/>
          <w:szCs w:val="24"/>
        </w:rPr>
        <w:t>;</w:t>
      </w:r>
    </w:p>
    <w:p w14:paraId="1ACBF7A3" w14:textId="27974E83" w:rsidR="00052499" w:rsidRPr="00052499" w:rsidRDefault="00052499" w:rsidP="000F2683">
      <w:pPr>
        <w:pStyle w:val="ListParagraph"/>
        <w:numPr>
          <w:ilvl w:val="0"/>
          <w:numId w:val="65"/>
        </w:numPr>
        <w:spacing w:after="0"/>
        <w:contextualSpacing w:val="0"/>
        <w:jc w:val="both"/>
        <w:rPr>
          <w:rFonts w:cstheme="minorHAnsi"/>
          <w:sz w:val="24"/>
          <w:szCs w:val="24"/>
        </w:rPr>
      </w:pPr>
      <w:r w:rsidRPr="00052499">
        <w:rPr>
          <w:rFonts w:cstheme="minorHAnsi"/>
          <w:sz w:val="24"/>
          <w:szCs w:val="24"/>
        </w:rPr>
        <w:t>Nedostajućih sredstava za izmirenje obaveza po osnovu nabavke ljekova 12,6 mil €</w:t>
      </w:r>
      <w:r w:rsidR="000F2683">
        <w:rPr>
          <w:rFonts w:cstheme="minorHAnsi"/>
          <w:sz w:val="24"/>
          <w:szCs w:val="24"/>
        </w:rPr>
        <w:t>;</w:t>
      </w:r>
    </w:p>
    <w:p w14:paraId="1DE7DE9D" w14:textId="4198E959" w:rsidR="00052499" w:rsidRPr="00052499" w:rsidRDefault="00052499" w:rsidP="000F2683">
      <w:pPr>
        <w:pStyle w:val="ListParagraph"/>
        <w:numPr>
          <w:ilvl w:val="0"/>
          <w:numId w:val="65"/>
        </w:numPr>
        <w:spacing w:after="0"/>
        <w:contextualSpacing w:val="0"/>
        <w:jc w:val="both"/>
        <w:rPr>
          <w:rFonts w:cstheme="minorHAnsi"/>
          <w:sz w:val="24"/>
          <w:szCs w:val="24"/>
        </w:rPr>
      </w:pPr>
      <w:r w:rsidRPr="00052499">
        <w:rPr>
          <w:rFonts w:cstheme="minorHAnsi"/>
          <w:sz w:val="24"/>
          <w:szCs w:val="24"/>
        </w:rPr>
        <w:t>Nedostajućih sredstava za isplate subvencija poslodavcima koji zapošljavaju lica sa invaliditetom u iznosu od 11,5 mil €</w:t>
      </w:r>
      <w:r w:rsidR="000F2683">
        <w:rPr>
          <w:rFonts w:cstheme="minorHAnsi"/>
          <w:sz w:val="24"/>
          <w:szCs w:val="24"/>
        </w:rPr>
        <w:t>;</w:t>
      </w:r>
    </w:p>
    <w:p w14:paraId="635401ED" w14:textId="30249C91" w:rsidR="00052499" w:rsidRPr="00052499" w:rsidRDefault="00052499" w:rsidP="000F2683">
      <w:pPr>
        <w:pStyle w:val="ListParagraph"/>
        <w:numPr>
          <w:ilvl w:val="0"/>
          <w:numId w:val="65"/>
        </w:numPr>
        <w:spacing w:after="0"/>
        <w:contextualSpacing w:val="0"/>
        <w:jc w:val="both"/>
        <w:rPr>
          <w:rFonts w:cstheme="minorHAnsi"/>
          <w:sz w:val="24"/>
          <w:szCs w:val="24"/>
        </w:rPr>
      </w:pPr>
      <w:r w:rsidRPr="00052499">
        <w:rPr>
          <w:rFonts w:cstheme="minorHAnsi"/>
          <w:sz w:val="24"/>
          <w:szCs w:val="24"/>
        </w:rPr>
        <w:t>Nedostajućih sredstava za zarade 7,4 mil €</w:t>
      </w:r>
      <w:r w:rsidR="000F2683">
        <w:rPr>
          <w:rFonts w:cstheme="minorHAnsi"/>
          <w:sz w:val="24"/>
          <w:szCs w:val="24"/>
        </w:rPr>
        <w:t>.</w:t>
      </w:r>
    </w:p>
    <w:p w14:paraId="28DAD996" w14:textId="77777777" w:rsidR="00052499" w:rsidRPr="00052499" w:rsidRDefault="00052499" w:rsidP="00052499">
      <w:pPr>
        <w:spacing w:after="0"/>
        <w:jc w:val="both"/>
        <w:rPr>
          <w:rFonts w:cstheme="minorHAnsi"/>
          <w:sz w:val="24"/>
          <w:szCs w:val="24"/>
        </w:rPr>
      </w:pPr>
      <w:r w:rsidRPr="00052499">
        <w:rPr>
          <w:rFonts w:cstheme="minorHAnsi"/>
          <w:sz w:val="24"/>
          <w:szCs w:val="24"/>
        </w:rPr>
        <w:t xml:space="preserve">Na osnovu plana potrošnje za 2023. godinu u ukupnoj strukturi potrošnje </w:t>
      </w:r>
      <w:r w:rsidRPr="00052499">
        <w:rPr>
          <w:rFonts w:cstheme="minorHAnsi"/>
          <w:sz w:val="24"/>
          <w:szCs w:val="24"/>
          <w:u w:val="single"/>
        </w:rPr>
        <w:t>tekuća javna potrošnja</w:t>
      </w:r>
      <w:r w:rsidRPr="00052499">
        <w:rPr>
          <w:rFonts w:cstheme="minorHAnsi"/>
          <w:sz w:val="24"/>
          <w:szCs w:val="24"/>
        </w:rPr>
        <w:t xml:space="preserve"> planirana je u iznosu od 2,698,45 mil.€ ili 41,9% BDP-a i veća je za </w:t>
      </w:r>
      <w:r w:rsidRPr="00052499">
        <w:rPr>
          <w:rFonts w:cstheme="minorHAnsi"/>
          <w:b/>
          <w:sz w:val="24"/>
          <w:szCs w:val="24"/>
        </w:rPr>
        <w:t>442,7</w:t>
      </w:r>
      <w:r w:rsidRPr="00052499">
        <w:rPr>
          <w:rFonts w:cstheme="minorHAnsi"/>
          <w:sz w:val="24"/>
          <w:szCs w:val="24"/>
        </w:rPr>
        <w:t xml:space="preserve"> mil. € ili cca 20% u odnosu na 2022. godinu. Najveća odstupanja u odnosu na 2022. godinu odnose se dominantno na sljedeće kategorije izdataka javne potrošnje: </w:t>
      </w:r>
    </w:p>
    <w:p w14:paraId="6EDA05F6" w14:textId="77777777" w:rsidR="00052499" w:rsidRPr="00052499" w:rsidRDefault="00052499" w:rsidP="00052499">
      <w:pPr>
        <w:pStyle w:val="ListParagraph"/>
        <w:numPr>
          <w:ilvl w:val="0"/>
          <w:numId w:val="66"/>
        </w:numPr>
        <w:spacing w:after="0"/>
        <w:contextualSpacing w:val="0"/>
        <w:jc w:val="both"/>
        <w:rPr>
          <w:rFonts w:cstheme="minorHAnsi"/>
          <w:sz w:val="24"/>
          <w:szCs w:val="24"/>
          <w:lang w:val="sr-Latn-ME"/>
        </w:rPr>
      </w:pPr>
      <w:r w:rsidRPr="00052499">
        <w:rPr>
          <w:rFonts w:cstheme="minorHAnsi"/>
          <w:sz w:val="24"/>
          <w:szCs w:val="24"/>
          <w:lang w:val="sr-Latn-ME"/>
        </w:rPr>
        <w:t xml:space="preserve">Uvećanje zarada </w:t>
      </w:r>
      <w:r w:rsidRPr="00052499">
        <w:rPr>
          <w:rFonts w:cstheme="minorHAnsi"/>
          <w:b/>
          <w:sz w:val="24"/>
          <w:szCs w:val="24"/>
          <w:lang w:val="sr-Latn-ME"/>
        </w:rPr>
        <w:t>105,07 €,</w:t>
      </w:r>
      <w:r w:rsidRPr="00052499">
        <w:rPr>
          <w:rFonts w:cstheme="minorHAnsi"/>
          <w:sz w:val="24"/>
          <w:szCs w:val="24"/>
          <w:lang w:val="sr-Latn-ME"/>
        </w:rPr>
        <w:t xml:space="preserve"> usljed redovnog usklađivanja zarada, kao I uvećanja zarada u različitim oblastima javnog sektora usljed uvećana koeficijenata shodno potpisanim revidiranim kolektivnim ugovorima za pojedinačne oblasti;</w:t>
      </w:r>
    </w:p>
    <w:p w14:paraId="3D23B098" w14:textId="77777777" w:rsidR="00052499" w:rsidRPr="00052499" w:rsidRDefault="00052499" w:rsidP="00052499">
      <w:pPr>
        <w:pStyle w:val="ListParagraph"/>
        <w:numPr>
          <w:ilvl w:val="0"/>
          <w:numId w:val="66"/>
        </w:numPr>
        <w:spacing w:after="0"/>
        <w:contextualSpacing w:val="0"/>
        <w:jc w:val="both"/>
        <w:rPr>
          <w:rFonts w:cstheme="minorHAnsi"/>
          <w:sz w:val="24"/>
          <w:szCs w:val="24"/>
          <w:lang w:val="sr-Latn-ME"/>
        </w:rPr>
      </w:pPr>
      <w:r w:rsidRPr="00052499">
        <w:rPr>
          <w:rFonts w:eastAsia="Calibri" w:cstheme="minorHAnsi"/>
          <w:bCs/>
          <w:sz w:val="24"/>
          <w:szCs w:val="24"/>
          <w:lang w:val="sr-Latn-ME"/>
        </w:rPr>
        <w:t xml:space="preserve">Transfera po osnovu prava iz oblasti socijalne zaštite </w:t>
      </w:r>
      <w:r w:rsidRPr="00052499">
        <w:rPr>
          <w:rFonts w:eastAsia="Calibri" w:cstheme="minorHAnsi"/>
          <w:sz w:val="24"/>
          <w:szCs w:val="24"/>
          <w:lang w:val="sr-Latn-ME"/>
        </w:rPr>
        <w:t>u iznosu od</w:t>
      </w:r>
      <w:r w:rsidRPr="00052499">
        <w:rPr>
          <w:rFonts w:eastAsia="Calibri" w:cstheme="minorHAnsi"/>
          <w:b/>
          <w:sz w:val="24"/>
          <w:szCs w:val="24"/>
          <w:lang w:val="sr-Latn-ME"/>
        </w:rPr>
        <w:t xml:space="preserve"> cca 77</w:t>
      </w:r>
      <w:r w:rsidRPr="00052499">
        <w:rPr>
          <w:rFonts w:eastAsia="Calibri" w:cstheme="minorHAnsi"/>
          <w:sz w:val="24"/>
          <w:szCs w:val="24"/>
          <w:lang w:val="sr-Latn-ME"/>
        </w:rPr>
        <w:t xml:space="preserve"> mil €, po osnovu dječijih dodataka, materijalnog obezbjeđenja porodice, porodiljskih odsustva, tuđe njege i pomoći, ishrane djece u predškolskim ustanovama, izdržavanja štićenika u domovima, kao i ostalih prava iz oblasti socijalne zaštite, u skladu sa važećim zakonskim propisma Zakonom o socijalnoj i dječijoj zaštiti, Zakonom o obeštećenju bivših korisnica naknada po osnovu rođenja troje ili više djece i Odlukom Ustavnog suda. </w:t>
      </w:r>
    </w:p>
    <w:p w14:paraId="1D3A855F" w14:textId="77777777" w:rsidR="00052499" w:rsidRPr="00052499" w:rsidRDefault="00052499" w:rsidP="00052499">
      <w:pPr>
        <w:pStyle w:val="ListParagraph"/>
        <w:numPr>
          <w:ilvl w:val="0"/>
          <w:numId w:val="66"/>
        </w:numPr>
        <w:spacing w:after="0"/>
        <w:contextualSpacing w:val="0"/>
        <w:jc w:val="both"/>
        <w:rPr>
          <w:rFonts w:cstheme="minorHAnsi"/>
          <w:sz w:val="24"/>
          <w:szCs w:val="24"/>
          <w:lang w:val="sr-Latn-ME"/>
        </w:rPr>
      </w:pPr>
      <w:r w:rsidRPr="00052499">
        <w:rPr>
          <w:rFonts w:cstheme="minorHAnsi"/>
          <w:sz w:val="24"/>
          <w:szCs w:val="24"/>
          <w:lang w:val="sr-Latn-ME"/>
        </w:rPr>
        <w:lastRenderedPageBreak/>
        <w:t xml:space="preserve">PIO – </w:t>
      </w:r>
      <w:r w:rsidRPr="00052499">
        <w:rPr>
          <w:rFonts w:cstheme="minorHAnsi"/>
          <w:b/>
          <w:sz w:val="24"/>
          <w:szCs w:val="24"/>
          <w:lang w:val="sr-Latn-ME"/>
        </w:rPr>
        <w:t>97 mil €</w:t>
      </w:r>
      <w:r w:rsidRPr="00052499">
        <w:rPr>
          <w:rFonts w:cstheme="minorHAnsi"/>
          <w:sz w:val="24"/>
          <w:szCs w:val="24"/>
          <w:lang w:val="sr-Latn-ME"/>
        </w:rPr>
        <w:t xml:space="preserve"> usljed uvećanja penzija shodno redovnom i vanrednom usklađivanju usklađivanju i promjenama broja korisnika</w:t>
      </w:r>
    </w:p>
    <w:p w14:paraId="691B524B" w14:textId="77777777" w:rsidR="00052499" w:rsidRPr="00052499" w:rsidRDefault="00052499" w:rsidP="00052499">
      <w:pPr>
        <w:pStyle w:val="ListParagraph"/>
        <w:numPr>
          <w:ilvl w:val="0"/>
          <w:numId w:val="66"/>
        </w:numPr>
        <w:spacing w:after="0"/>
        <w:contextualSpacing w:val="0"/>
        <w:jc w:val="both"/>
        <w:rPr>
          <w:rFonts w:cstheme="minorHAnsi"/>
          <w:sz w:val="24"/>
          <w:szCs w:val="24"/>
          <w:lang w:val="sr-Latn-ME"/>
        </w:rPr>
      </w:pPr>
      <w:r w:rsidRPr="00052499">
        <w:rPr>
          <w:rFonts w:cstheme="minorHAnsi"/>
          <w:sz w:val="24"/>
          <w:szCs w:val="24"/>
          <w:lang w:val="sr-Latn-ME"/>
        </w:rPr>
        <w:t xml:space="preserve">Kamate – </w:t>
      </w:r>
      <w:r w:rsidRPr="00052499">
        <w:rPr>
          <w:rFonts w:cstheme="minorHAnsi"/>
          <w:b/>
          <w:sz w:val="24"/>
          <w:szCs w:val="24"/>
          <w:lang w:val="sr-Latn-ME"/>
        </w:rPr>
        <w:t>18 mil €</w:t>
      </w:r>
      <w:r w:rsidRPr="00052499">
        <w:rPr>
          <w:rFonts w:cstheme="minorHAnsi"/>
          <w:sz w:val="24"/>
          <w:szCs w:val="24"/>
          <w:lang w:val="sr-Latn-ME"/>
        </w:rPr>
        <w:t xml:space="preserve"> koje se odnose na redovno servisiranje duga</w:t>
      </w:r>
    </w:p>
    <w:p w14:paraId="5830FDB5" w14:textId="77777777" w:rsidR="00052499" w:rsidRPr="00052499" w:rsidRDefault="00052499" w:rsidP="00052499">
      <w:pPr>
        <w:pStyle w:val="ListParagraph"/>
        <w:numPr>
          <w:ilvl w:val="0"/>
          <w:numId w:val="66"/>
        </w:numPr>
        <w:spacing w:after="0"/>
        <w:contextualSpacing w:val="0"/>
        <w:jc w:val="both"/>
        <w:rPr>
          <w:rFonts w:cstheme="minorHAnsi"/>
          <w:sz w:val="24"/>
          <w:szCs w:val="24"/>
          <w:lang w:val="sr-Latn-ME"/>
        </w:rPr>
      </w:pPr>
      <w:r w:rsidRPr="00052499">
        <w:rPr>
          <w:rFonts w:cstheme="minorHAnsi"/>
          <w:sz w:val="24"/>
          <w:szCs w:val="24"/>
          <w:lang w:val="sr-Latn-ME"/>
        </w:rPr>
        <w:t>Ministarstvo odbrane –usljed potrebe dostizanja izdvajanja od 2% BDP-a za sektor odbrane</w:t>
      </w:r>
    </w:p>
    <w:p w14:paraId="6A81E942" w14:textId="77777777" w:rsidR="00052499" w:rsidRPr="00052499" w:rsidRDefault="00052499" w:rsidP="00052499">
      <w:pPr>
        <w:pStyle w:val="ListParagraph"/>
        <w:numPr>
          <w:ilvl w:val="0"/>
          <w:numId w:val="66"/>
        </w:numPr>
        <w:spacing w:after="0"/>
        <w:contextualSpacing w:val="0"/>
        <w:jc w:val="both"/>
        <w:rPr>
          <w:rFonts w:cstheme="minorHAnsi"/>
          <w:sz w:val="24"/>
          <w:szCs w:val="24"/>
          <w:lang w:val="sr-Latn-ME"/>
        </w:rPr>
      </w:pPr>
      <w:r w:rsidRPr="00052499">
        <w:rPr>
          <w:rFonts w:cstheme="minorHAnsi"/>
          <w:sz w:val="24"/>
          <w:szCs w:val="24"/>
          <w:lang w:val="sr-Latn-ME"/>
        </w:rPr>
        <w:t xml:space="preserve">Usljed potrebe opredjeljnivanja sredstava na nivou procentualnog učešća u budžetskoj potrošnji odnosno BDPu, shodno zakonskim rješenjima, okvirno </w:t>
      </w:r>
      <w:r w:rsidRPr="00052499">
        <w:rPr>
          <w:rFonts w:cstheme="minorHAnsi"/>
          <w:b/>
          <w:sz w:val="24"/>
          <w:szCs w:val="24"/>
          <w:lang w:val="sr-Latn-ME"/>
        </w:rPr>
        <w:t xml:space="preserve">10 mil € </w:t>
      </w:r>
      <w:r w:rsidRPr="00052499">
        <w:rPr>
          <w:rFonts w:cstheme="minorHAnsi"/>
          <w:sz w:val="24"/>
          <w:szCs w:val="24"/>
          <w:lang w:val="sr-Latn-ME"/>
        </w:rPr>
        <w:t>je uvećano u odnosu na 2022. godinu</w:t>
      </w:r>
    </w:p>
    <w:p w14:paraId="14DE8762" w14:textId="77777777" w:rsidR="00052499" w:rsidRPr="00052499" w:rsidRDefault="00052499" w:rsidP="00052499">
      <w:pPr>
        <w:pStyle w:val="ListParagraph"/>
        <w:numPr>
          <w:ilvl w:val="0"/>
          <w:numId w:val="66"/>
        </w:numPr>
        <w:spacing w:after="0"/>
        <w:contextualSpacing w:val="0"/>
        <w:jc w:val="both"/>
        <w:rPr>
          <w:rFonts w:cstheme="minorHAnsi"/>
          <w:sz w:val="24"/>
          <w:szCs w:val="24"/>
          <w:lang w:val="sr-Latn-ME"/>
        </w:rPr>
      </w:pPr>
      <w:r w:rsidRPr="00052499">
        <w:rPr>
          <w:rFonts w:cstheme="minorHAnsi"/>
          <w:sz w:val="24"/>
          <w:szCs w:val="24"/>
          <w:lang w:val="sr-Latn-ME"/>
        </w:rPr>
        <w:t xml:space="preserve">Fond za obeštećenje – </w:t>
      </w:r>
      <w:r w:rsidRPr="00052499">
        <w:rPr>
          <w:rFonts w:cstheme="minorHAnsi"/>
          <w:b/>
          <w:sz w:val="24"/>
          <w:szCs w:val="24"/>
          <w:lang w:val="sr-Latn-ME"/>
        </w:rPr>
        <w:t>7.5 mil €</w:t>
      </w:r>
      <w:r w:rsidRPr="00052499">
        <w:rPr>
          <w:rFonts w:cstheme="minorHAnsi"/>
          <w:sz w:val="24"/>
          <w:szCs w:val="24"/>
          <w:lang w:val="sr-Latn-ME"/>
        </w:rPr>
        <w:t xml:space="preserve"> u cilju ubrzanja dinamike otplate obaveza države po osnovu obeštećenja</w:t>
      </w:r>
    </w:p>
    <w:p w14:paraId="37FC7E7D" w14:textId="77777777" w:rsidR="00052499" w:rsidRPr="00052499" w:rsidRDefault="00052499" w:rsidP="00052499">
      <w:pPr>
        <w:jc w:val="both"/>
        <w:rPr>
          <w:rFonts w:cstheme="minorHAnsi"/>
          <w:sz w:val="24"/>
          <w:szCs w:val="24"/>
          <w:u w:val="single"/>
        </w:rPr>
      </w:pPr>
      <w:r w:rsidRPr="00052499">
        <w:rPr>
          <w:rFonts w:cstheme="minorHAnsi"/>
          <w:sz w:val="24"/>
          <w:szCs w:val="24"/>
          <w:u w:val="single"/>
        </w:rPr>
        <w:t>Shodno planiranim nivoima prihoda i rashoda budžeta u 2023. godini, projektovan je deficit javne potro</w:t>
      </w:r>
      <w:r w:rsidRPr="00052499">
        <w:rPr>
          <w:rFonts w:cstheme="minorHAnsi"/>
          <w:sz w:val="24"/>
          <w:szCs w:val="24"/>
          <w:u w:val="single"/>
          <w:lang w:val="sr-Latn-ME"/>
        </w:rPr>
        <w:t xml:space="preserve">šnje </w:t>
      </w:r>
      <w:r w:rsidRPr="00052499">
        <w:rPr>
          <w:rFonts w:cstheme="minorHAnsi"/>
          <w:sz w:val="24"/>
          <w:szCs w:val="24"/>
          <w:u w:val="single"/>
        </w:rPr>
        <w:t xml:space="preserve">u iznosu od 316,3 mil. €, odnosno 4.9%  procjenjenog BDP-a, dok je primarni deficit planiran na nivou od 203,53 mil € ili 3,2%. </w:t>
      </w:r>
    </w:p>
    <w:p w14:paraId="6C8D4A9D" w14:textId="77777777" w:rsidR="00052499" w:rsidRPr="00052499" w:rsidRDefault="00052499" w:rsidP="00052499">
      <w:pPr>
        <w:jc w:val="both"/>
        <w:rPr>
          <w:rFonts w:cstheme="minorHAnsi"/>
          <w:sz w:val="24"/>
          <w:szCs w:val="24"/>
        </w:rPr>
      </w:pPr>
      <w:r w:rsidRPr="00052499">
        <w:rPr>
          <w:rFonts w:cstheme="minorHAnsi"/>
          <w:sz w:val="24"/>
          <w:szCs w:val="24"/>
        </w:rPr>
        <w:t>Potrebno je napomenuti, da je članom 14 Zakona o budžetu i fiskalnoj odgovornosti, izmijenjena definicija Budžetskog gotovinskog suficita, odnosno deficita da isti predstavlja razliku primitaka i izdataka, pri čemu se primici umanjuju za pozajmice, primljene transfere, primitke od prodaje imovine i primitke od povraćaja datih pozajmica i kredita, a izdaci za otplatu glavnice u zemlji i inostranstvu po osnovu duga nastalog uzimanjem kredita ili emitovanjem hartija od vrijednosti, izdatke za kupovinu hartija od vrijednosti i izdatke po osnovu datih pozajmica i kredita, koji predstavljaju transakcije finansiranja. Navedena deficinija je bila predmet korekcija u okviru izmjena Zakona o budžetu i fiskalnoj dogovornosti koje su usvojene u februaru 2023. godine. Naime, navedenim izmjenama izvršena je primjena medunarodnog računovodstvenog standarda IPSAS 2 - Cash flow statement, kojim se utvrđuje da date pozajmice i primici od povraćaja datih pozajmica pripadaju aktlvnostima finansiranja i ne ulaze u obračun finansijskog rezultata.</w:t>
      </w:r>
    </w:p>
    <w:p w14:paraId="037454A3" w14:textId="77777777" w:rsidR="00052499" w:rsidRPr="00052499" w:rsidRDefault="00052499" w:rsidP="00052499">
      <w:pPr>
        <w:pStyle w:val="Heading2"/>
        <w:rPr>
          <w:rFonts w:asciiTheme="minorHAnsi" w:hAnsiTheme="minorHAnsi" w:cstheme="minorHAnsi"/>
          <w:b/>
          <w:sz w:val="24"/>
          <w:szCs w:val="24"/>
        </w:rPr>
      </w:pPr>
      <w:bookmarkStart w:id="117" w:name="_Toc88031656"/>
      <w:bookmarkStart w:id="118" w:name="_Toc125545774"/>
      <w:bookmarkStart w:id="119" w:name="_Toc153305348"/>
      <w:r w:rsidRPr="00052499">
        <w:rPr>
          <w:rFonts w:asciiTheme="minorHAnsi" w:hAnsiTheme="minorHAnsi" w:cstheme="minorHAnsi"/>
          <w:b/>
          <w:sz w:val="24"/>
          <w:szCs w:val="24"/>
        </w:rPr>
        <w:t>4.3. Budžetski planovi za 2024. godinu</w:t>
      </w:r>
      <w:bookmarkEnd w:id="117"/>
      <w:bookmarkEnd w:id="118"/>
      <w:bookmarkEnd w:id="119"/>
      <w:r w:rsidRPr="00052499">
        <w:rPr>
          <w:rFonts w:asciiTheme="minorHAnsi" w:hAnsiTheme="minorHAnsi" w:cstheme="minorHAnsi"/>
          <w:b/>
          <w:sz w:val="24"/>
          <w:szCs w:val="24"/>
        </w:rPr>
        <w:t xml:space="preserve"> </w:t>
      </w:r>
    </w:p>
    <w:p w14:paraId="20DF9E66" w14:textId="77777777" w:rsidR="00052499" w:rsidRPr="00052499" w:rsidRDefault="00052499" w:rsidP="00052499">
      <w:pPr>
        <w:jc w:val="both"/>
        <w:rPr>
          <w:rFonts w:cstheme="minorHAnsi"/>
          <w:sz w:val="24"/>
          <w:szCs w:val="24"/>
        </w:rPr>
      </w:pPr>
      <w:r w:rsidRPr="00052499">
        <w:rPr>
          <w:rFonts w:cstheme="minorHAnsi"/>
          <w:sz w:val="24"/>
          <w:szCs w:val="24"/>
        </w:rPr>
        <w:t xml:space="preserve">Stabilan makroekonomski ambijent, stvaranje uslova za dugoročnu održivost javnih finansije, konkurentna i predvidiva poreska politika, kao i finansijski sistem koji podržava inovacije i razvoj predstavljaju osnovne ciljeve fiskalne politike i implementacije reformi u 2024. godini. </w:t>
      </w:r>
    </w:p>
    <w:p w14:paraId="3DCC76D6" w14:textId="77777777" w:rsidR="00052499" w:rsidRPr="00052499" w:rsidRDefault="00052499" w:rsidP="00052499">
      <w:pPr>
        <w:jc w:val="both"/>
        <w:rPr>
          <w:rFonts w:cstheme="minorHAnsi"/>
          <w:sz w:val="24"/>
          <w:szCs w:val="24"/>
        </w:rPr>
      </w:pPr>
      <w:r w:rsidRPr="00052499">
        <w:rPr>
          <w:rFonts w:cstheme="minorHAnsi"/>
          <w:sz w:val="24"/>
          <w:szCs w:val="24"/>
        </w:rPr>
        <w:t>Pozitivni makroekonomski izgledi, vođeni rastom domaće tražnje, rezultirali su kontinuiranim rastom budžetskih prihoda u srednjem roku, ali fiskalni okvir za period 2024 – 2026. godina, ostaje pod snažnim uticajem rasta budžetskih izdataka uslovljenim prije svega rastom mandatorne budžetske potrošnje. U skladu sa navedenim neophodno je sprovesti niz reformi, uz opsežnu fiskalnu konsolidaciju.</w:t>
      </w:r>
    </w:p>
    <w:p w14:paraId="67F7CA07" w14:textId="77777777" w:rsidR="00052499" w:rsidRPr="00052499" w:rsidRDefault="00052499" w:rsidP="00052499">
      <w:pPr>
        <w:jc w:val="both"/>
        <w:rPr>
          <w:rFonts w:cstheme="minorHAnsi"/>
          <w:sz w:val="24"/>
          <w:szCs w:val="24"/>
        </w:rPr>
      </w:pPr>
      <w:r w:rsidRPr="00052499">
        <w:rPr>
          <w:rFonts w:cstheme="minorHAnsi"/>
          <w:sz w:val="24"/>
          <w:szCs w:val="24"/>
        </w:rPr>
        <w:t xml:space="preserve">U tom kontekstu akcenat, u narednom periodu, biće na implementaciji ključnih strukturnih reformi u oblasti socijalnog staranja, reforme zdravstvenog sistema, odlučne borbe protiv neformalne ekonomije, kao i sprovođenja fiskalne konsolidacije i optimizacija javne uprave. </w:t>
      </w:r>
    </w:p>
    <w:p w14:paraId="280E6A07" w14:textId="77777777" w:rsidR="00052499" w:rsidRPr="00052499" w:rsidRDefault="00052499" w:rsidP="00052499">
      <w:pPr>
        <w:spacing w:after="0"/>
        <w:jc w:val="both"/>
        <w:rPr>
          <w:rFonts w:cstheme="minorHAnsi"/>
          <w:sz w:val="24"/>
          <w:szCs w:val="24"/>
          <w:lang w:val="sr-Latn-RS"/>
        </w:rPr>
      </w:pPr>
      <w:r w:rsidRPr="00052499">
        <w:rPr>
          <w:rFonts w:cstheme="minorHAnsi"/>
          <w:sz w:val="24"/>
          <w:szCs w:val="24"/>
          <w:lang w:val="sr-Latn-RS"/>
        </w:rPr>
        <w:t>U oblasti poreske politike glavni cilj u periodu 2024 – 2026. godine odnosi se na stvaranje uslova za sveobuhvatnu reformu poreskog sistema u cilju proširenja poreske baze, čime bi se stvorili uslovi za generisanje novih izvora prihoda, kroz prije svega:</w:t>
      </w:r>
    </w:p>
    <w:p w14:paraId="4C064F35" w14:textId="77777777" w:rsidR="00052499" w:rsidRPr="00052499" w:rsidRDefault="00052499" w:rsidP="00052499">
      <w:pPr>
        <w:pStyle w:val="ListParagraph"/>
        <w:numPr>
          <w:ilvl w:val="0"/>
          <w:numId w:val="67"/>
        </w:numPr>
        <w:spacing w:after="0"/>
        <w:contextualSpacing w:val="0"/>
        <w:jc w:val="both"/>
        <w:rPr>
          <w:rFonts w:cstheme="minorHAnsi"/>
          <w:sz w:val="24"/>
          <w:szCs w:val="24"/>
          <w:lang w:val="sr-Latn-RS"/>
        </w:rPr>
      </w:pPr>
      <w:r w:rsidRPr="00052499">
        <w:rPr>
          <w:rFonts w:cstheme="minorHAnsi"/>
          <w:sz w:val="24"/>
          <w:szCs w:val="24"/>
          <w:lang w:val="sr-Latn-RS"/>
        </w:rPr>
        <w:lastRenderedPageBreak/>
        <w:t>smanjenje poreskog opterećenja na rad i sprovođenje programa za unapređenje konkurentnosti privrede i privlačenje kredibilnih investitora;</w:t>
      </w:r>
    </w:p>
    <w:p w14:paraId="291974BB" w14:textId="77777777" w:rsidR="00052499" w:rsidRPr="00052499" w:rsidRDefault="00052499" w:rsidP="00052499">
      <w:pPr>
        <w:pStyle w:val="ListParagraph"/>
        <w:numPr>
          <w:ilvl w:val="0"/>
          <w:numId w:val="67"/>
        </w:numPr>
        <w:spacing w:after="0"/>
        <w:contextualSpacing w:val="0"/>
        <w:jc w:val="both"/>
        <w:rPr>
          <w:rFonts w:cstheme="minorHAnsi"/>
          <w:sz w:val="24"/>
          <w:szCs w:val="24"/>
          <w:lang w:val="sr-Latn-RS"/>
        </w:rPr>
      </w:pPr>
      <w:r w:rsidRPr="00052499">
        <w:rPr>
          <w:rFonts w:cstheme="minorHAnsi"/>
          <w:sz w:val="24"/>
          <w:szCs w:val="24"/>
          <w:lang w:val="sr-Latn-RS"/>
        </w:rPr>
        <w:t>oporezivanje po visokoj stopi neprijavljene imovine i oduzimanje nelegalno stečene imovine;</w:t>
      </w:r>
    </w:p>
    <w:p w14:paraId="509FE08E" w14:textId="77777777" w:rsidR="00052499" w:rsidRPr="00052499" w:rsidRDefault="00052499" w:rsidP="00052499">
      <w:pPr>
        <w:pStyle w:val="ListParagraph"/>
        <w:numPr>
          <w:ilvl w:val="0"/>
          <w:numId w:val="67"/>
        </w:numPr>
        <w:spacing w:after="0"/>
        <w:contextualSpacing w:val="0"/>
        <w:jc w:val="both"/>
        <w:rPr>
          <w:rFonts w:cstheme="minorHAnsi"/>
          <w:sz w:val="24"/>
          <w:szCs w:val="24"/>
          <w:lang w:val="sr-Latn-RS"/>
        </w:rPr>
      </w:pPr>
      <w:r w:rsidRPr="00052499">
        <w:rPr>
          <w:rFonts w:cstheme="minorHAnsi"/>
          <w:sz w:val="24"/>
          <w:szCs w:val="24"/>
          <w:lang w:val="sr-Latn-RS"/>
        </w:rPr>
        <w:t>izmjenu akcizne politike kroz povećanje visine akciza na proizvode koji negativno utiču na zdravlje stanovništa i korišćenje prihoda ostvarenih po tom osnovu za finansiranje usluga javnog zdravstva;</w:t>
      </w:r>
    </w:p>
    <w:p w14:paraId="20769163" w14:textId="77777777" w:rsidR="00052499" w:rsidRPr="00052499" w:rsidRDefault="00052499" w:rsidP="00052499">
      <w:pPr>
        <w:pStyle w:val="ListParagraph"/>
        <w:numPr>
          <w:ilvl w:val="0"/>
          <w:numId w:val="67"/>
        </w:numPr>
        <w:spacing w:after="0"/>
        <w:contextualSpacing w:val="0"/>
        <w:jc w:val="both"/>
        <w:rPr>
          <w:rFonts w:cstheme="minorHAnsi"/>
          <w:sz w:val="24"/>
          <w:szCs w:val="24"/>
          <w:lang w:val="sr-Latn-RS"/>
        </w:rPr>
      </w:pPr>
      <w:r w:rsidRPr="00052499">
        <w:rPr>
          <w:rFonts w:cstheme="minorHAnsi"/>
          <w:sz w:val="24"/>
          <w:szCs w:val="24"/>
          <w:lang w:val="sr-Latn-RS"/>
        </w:rPr>
        <w:t>implementaciju novog zakonskog rješenja u oblasti priređivanja igara na sreću;</w:t>
      </w:r>
    </w:p>
    <w:p w14:paraId="7FB448B8" w14:textId="77777777" w:rsidR="00052499" w:rsidRPr="00052499" w:rsidRDefault="00052499" w:rsidP="00052499">
      <w:pPr>
        <w:pStyle w:val="ListParagraph"/>
        <w:numPr>
          <w:ilvl w:val="0"/>
          <w:numId w:val="67"/>
        </w:numPr>
        <w:spacing w:after="0"/>
        <w:contextualSpacing w:val="0"/>
        <w:jc w:val="both"/>
        <w:rPr>
          <w:rFonts w:cstheme="minorHAnsi"/>
          <w:sz w:val="24"/>
          <w:szCs w:val="24"/>
          <w:lang w:val="sr-Latn-RS"/>
        </w:rPr>
      </w:pPr>
      <w:r w:rsidRPr="00052499">
        <w:rPr>
          <w:rFonts w:cstheme="minorHAnsi"/>
          <w:sz w:val="24"/>
          <w:szCs w:val="24"/>
          <w:lang w:val="sr-Latn-RS"/>
        </w:rPr>
        <w:t>smanjenje "sive ekonomije" u cilju omogućavanja fer tržišne utakmice odnosno suzbijanja nelojalne konkurencije;</w:t>
      </w:r>
    </w:p>
    <w:p w14:paraId="4256BF2B" w14:textId="77777777" w:rsidR="00052499" w:rsidRPr="00052499" w:rsidRDefault="00052499" w:rsidP="00052499">
      <w:pPr>
        <w:pStyle w:val="ListParagraph"/>
        <w:numPr>
          <w:ilvl w:val="0"/>
          <w:numId w:val="67"/>
        </w:numPr>
        <w:spacing w:after="0"/>
        <w:contextualSpacing w:val="0"/>
        <w:jc w:val="both"/>
        <w:rPr>
          <w:rFonts w:cstheme="minorHAnsi"/>
          <w:sz w:val="24"/>
          <w:szCs w:val="24"/>
          <w:lang w:val="sr-Latn-RS"/>
        </w:rPr>
      </w:pPr>
      <w:r w:rsidRPr="00052499">
        <w:rPr>
          <w:rFonts w:cstheme="minorHAnsi"/>
          <w:sz w:val="24"/>
          <w:szCs w:val="24"/>
          <w:lang w:val="sr-Latn-RS"/>
        </w:rPr>
        <w:t>reformu poreske i carinske administracije;</w:t>
      </w:r>
    </w:p>
    <w:p w14:paraId="14F0A612" w14:textId="77777777" w:rsidR="00052499" w:rsidRPr="00052499" w:rsidRDefault="00052499" w:rsidP="00052499">
      <w:pPr>
        <w:pStyle w:val="ListParagraph"/>
        <w:numPr>
          <w:ilvl w:val="0"/>
          <w:numId w:val="67"/>
        </w:numPr>
        <w:spacing w:after="0"/>
        <w:contextualSpacing w:val="0"/>
        <w:jc w:val="both"/>
        <w:rPr>
          <w:rFonts w:cstheme="minorHAnsi"/>
          <w:sz w:val="24"/>
          <w:szCs w:val="24"/>
          <w:lang w:val="sr-Latn-RS"/>
        </w:rPr>
      </w:pPr>
      <w:r w:rsidRPr="00052499">
        <w:rPr>
          <w:rFonts w:cstheme="minorHAnsi"/>
          <w:sz w:val="24"/>
          <w:szCs w:val="24"/>
          <w:lang w:val="sr-Latn-RS"/>
        </w:rPr>
        <w:t>bolju strategiju smanjenja poreskog duga.</w:t>
      </w:r>
    </w:p>
    <w:p w14:paraId="6F1FC505" w14:textId="77777777" w:rsidR="00052499" w:rsidRPr="00052499" w:rsidRDefault="00052499" w:rsidP="00052499">
      <w:pPr>
        <w:spacing w:after="0"/>
        <w:jc w:val="both"/>
        <w:rPr>
          <w:rFonts w:cstheme="minorHAnsi"/>
          <w:sz w:val="24"/>
          <w:szCs w:val="24"/>
          <w:lang w:val="sr-Latn-RS"/>
        </w:rPr>
      </w:pPr>
      <w:r w:rsidRPr="00052499">
        <w:rPr>
          <w:rFonts w:cstheme="minorHAnsi"/>
          <w:sz w:val="24"/>
          <w:szCs w:val="24"/>
          <w:lang w:val="sr-Latn-RS"/>
        </w:rPr>
        <w:t>Rast javnih prihoda bazira se na:</w:t>
      </w:r>
    </w:p>
    <w:p w14:paraId="30D651C5" w14:textId="77777777" w:rsidR="00052499" w:rsidRPr="00052499" w:rsidRDefault="00052499" w:rsidP="00052499">
      <w:pPr>
        <w:pStyle w:val="ListParagraph"/>
        <w:numPr>
          <w:ilvl w:val="0"/>
          <w:numId w:val="68"/>
        </w:numPr>
        <w:spacing w:after="0"/>
        <w:contextualSpacing w:val="0"/>
        <w:jc w:val="both"/>
        <w:rPr>
          <w:rFonts w:cstheme="minorHAnsi"/>
          <w:sz w:val="24"/>
          <w:szCs w:val="24"/>
          <w:lang w:val="sr-Latn-RS"/>
        </w:rPr>
      </w:pPr>
      <w:r w:rsidRPr="00052499">
        <w:rPr>
          <w:rFonts w:cstheme="minorHAnsi"/>
          <w:sz w:val="24"/>
          <w:szCs w:val="24"/>
          <w:lang w:val="sr-Latn-RS"/>
        </w:rPr>
        <w:t>Rastu makroekonomskih indikatora koji utiču na kretanje prihoda budžeta, shodno osnovnom makroekonomskom scenariju;</w:t>
      </w:r>
    </w:p>
    <w:p w14:paraId="290BBD46" w14:textId="77777777" w:rsidR="00052499" w:rsidRPr="00052499" w:rsidRDefault="00052499" w:rsidP="00052499">
      <w:pPr>
        <w:pStyle w:val="ListParagraph"/>
        <w:numPr>
          <w:ilvl w:val="0"/>
          <w:numId w:val="68"/>
        </w:numPr>
        <w:spacing w:after="0"/>
        <w:contextualSpacing w:val="0"/>
        <w:jc w:val="both"/>
        <w:rPr>
          <w:rFonts w:cstheme="minorHAnsi"/>
          <w:sz w:val="24"/>
          <w:szCs w:val="24"/>
          <w:lang w:val="sr-Latn-RS"/>
        </w:rPr>
      </w:pPr>
      <w:r w:rsidRPr="00052499">
        <w:rPr>
          <w:rFonts w:cstheme="minorHAnsi"/>
          <w:sz w:val="24"/>
          <w:szCs w:val="24"/>
          <w:lang w:val="sr-Latn-RS"/>
        </w:rPr>
        <w:t>Postojećoj zakonskoj regulativi;</w:t>
      </w:r>
    </w:p>
    <w:p w14:paraId="4268DD94" w14:textId="77777777" w:rsidR="00052499" w:rsidRPr="00052499" w:rsidRDefault="00052499" w:rsidP="00052499">
      <w:pPr>
        <w:pStyle w:val="ListParagraph"/>
        <w:numPr>
          <w:ilvl w:val="0"/>
          <w:numId w:val="68"/>
        </w:numPr>
        <w:spacing w:after="0"/>
        <w:contextualSpacing w:val="0"/>
        <w:jc w:val="both"/>
        <w:rPr>
          <w:rFonts w:cstheme="minorHAnsi"/>
          <w:sz w:val="24"/>
          <w:szCs w:val="24"/>
          <w:lang w:val="sr-Latn-RS"/>
        </w:rPr>
      </w:pPr>
      <w:r w:rsidRPr="00052499">
        <w:rPr>
          <w:rFonts w:cstheme="minorHAnsi"/>
          <w:sz w:val="24"/>
          <w:szCs w:val="24"/>
          <w:lang w:val="sr-Latn-RS"/>
        </w:rPr>
        <w:t>Mjerama poreske politike u srednjem roku.</w:t>
      </w:r>
    </w:p>
    <w:p w14:paraId="4C09449E" w14:textId="77777777" w:rsidR="00052499" w:rsidRPr="00052499" w:rsidRDefault="00052499" w:rsidP="00052499">
      <w:pPr>
        <w:jc w:val="both"/>
        <w:rPr>
          <w:rFonts w:cstheme="minorHAnsi"/>
          <w:sz w:val="24"/>
          <w:szCs w:val="24"/>
          <w:highlight w:val="yellow"/>
          <w:lang w:val="sr-Latn-RS"/>
        </w:rPr>
      </w:pPr>
      <w:r w:rsidRPr="00052499">
        <w:rPr>
          <w:rFonts w:cstheme="minorHAnsi"/>
          <w:b/>
          <w:sz w:val="24"/>
          <w:szCs w:val="24"/>
          <w:lang w:val="sr-Latn-RS"/>
        </w:rPr>
        <w:t xml:space="preserve">Ukupni javni prihodi </w:t>
      </w:r>
      <w:r w:rsidRPr="00052499">
        <w:rPr>
          <w:rFonts w:cstheme="minorHAnsi"/>
          <w:sz w:val="24"/>
          <w:szCs w:val="24"/>
          <w:lang w:val="sr-Latn-RS"/>
        </w:rPr>
        <w:t>u 2024. godini projektovani su u iznosu od 3.082,3 mil. € ili 43,8% BDP-a i veći su za 322,2 mil. € u odnosu na 2023. godinu.</w:t>
      </w:r>
    </w:p>
    <w:p w14:paraId="1A9A30AD" w14:textId="77777777" w:rsidR="00052499" w:rsidRPr="00052499" w:rsidRDefault="00052499" w:rsidP="00052499">
      <w:pPr>
        <w:jc w:val="both"/>
        <w:rPr>
          <w:rFonts w:cstheme="minorHAnsi"/>
          <w:sz w:val="24"/>
          <w:szCs w:val="24"/>
          <w:lang w:val="sr-Latn-RS"/>
        </w:rPr>
      </w:pPr>
      <w:r w:rsidRPr="00052499">
        <w:rPr>
          <w:rFonts w:cstheme="minorHAnsi"/>
          <w:b/>
          <w:sz w:val="24"/>
          <w:szCs w:val="24"/>
          <w:lang w:val="sr-Latn-RS"/>
        </w:rPr>
        <w:t>Porezi i doprinosi na zarade</w:t>
      </w:r>
      <w:r w:rsidRPr="00052499">
        <w:rPr>
          <w:rFonts w:cstheme="minorHAnsi"/>
          <w:sz w:val="24"/>
          <w:szCs w:val="24"/>
          <w:lang w:val="sr-Latn-RS"/>
        </w:rPr>
        <w:t xml:space="preserve"> u 2024. godini planirani su u ukupnom iznosu od 756,8 mil. € ili 10,8%  projektovanog BDP-a, što je za 113,7 mil. € ili 17,7% više u odnosu na ostvarene u 2023. godini. U narednom srednjoočnom periodu porezi i doprinosi na zarade rastu po osnovu projektovanih stopa rasta zaposlenosti i zarada iz makroekonomskog scenarija kao i očekivane naplate ove kategorije prihoda po osnovu implementacije Zakona o reprogramu poreskog potraživanja.</w:t>
      </w:r>
    </w:p>
    <w:p w14:paraId="284A1712" w14:textId="77777777" w:rsidR="00052499" w:rsidRPr="00052499" w:rsidRDefault="00052499" w:rsidP="00052499">
      <w:pPr>
        <w:jc w:val="both"/>
        <w:rPr>
          <w:rFonts w:cstheme="minorHAnsi"/>
          <w:sz w:val="24"/>
          <w:szCs w:val="24"/>
          <w:lang w:val="sr-Latn-RS"/>
        </w:rPr>
      </w:pPr>
      <w:r w:rsidRPr="00052499">
        <w:rPr>
          <w:rFonts w:cstheme="minorHAnsi"/>
          <w:sz w:val="24"/>
          <w:szCs w:val="24"/>
          <w:lang w:val="sr-Latn-RS"/>
        </w:rPr>
        <w:t>U periodu 2025-2026. godine ova kategorija prihoda će prosječno godišnje rasti po stopi od 5,1%.</w:t>
      </w:r>
    </w:p>
    <w:p w14:paraId="3D63C62F" w14:textId="77777777" w:rsidR="00052499" w:rsidRPr="00052499" w:rsidRDefault="00052499" w:rsidP="00052499">
      <w:pPr>
        <w:jc w:val="both"/>
        <w:rPr>
          <w:rFonts w:cstheme="minorHAnsi"/>
          <w:sz w:val="24"/>
          <w:szCs w:val="24"/>
          <w:lang w:val="sr-Latn-RS"/>
        </w:rPr>
      </w:pPr>
      <w:r w:rsidRPr="00052499">
        <w:rPr>
          <w:rFonts w:cstheme="minorHAnsi"/>
          <w:b/>
          <w:sz w:val="24"/>
          <w:szCs w:val="24"/>
          <w:lang w:val="sr-Latn-RS"/>
        </w:rPr>
        <w:t>Porez na dobit pravnih lica</w:t>
      </w:r>
      <w:r w:rsidRPr="00052499">
        <w:rPr>
          <w:rFonts w:cstheme="minorHAnsi"/>
          <w:sz w:val="24"/>
          <w:szCs w:val="24"/>
          <w:lang w:val="sr-Latn-RS"/>
        </w:rPr>
        <w:t xml:space="preserve"> u 2024. godini planiran  je  u iznosu od 164,7 mil. € ili 2,3% BDP-a, što je za 30,0 mil. € ili 22,3% više u odnosu na procijenjene u 2023. godini. Procjena ove kategorije prihoda u srednjem roku izvršena je na osnovu projektovanog nominalnog rasta BDP-a u periodu 2024-2026, kao i očekivanih efekata naplate obaveza reprogramiranih po ovom osnovu, iz prethodnog perioda, a u skladu sa Zakonom o reprogramu poreskog potraživanja. </w:t>
      </w:r>
    </w:p>
    <w:p w14:paraId="37B6DF34" w14:textId="77777777" w:rsidR="00052499" w:rsidRPr="00052499" w:rsidRDefault="00052499" w:rsidP="00052499">
      <w:pPr>
        <w:jc w:val="both"/>
        <w:rPr>
          <w:rFonts w:cstheme="minorHAnsi"/>
          <w:sz w:val="24"/>
          <w:szCs w:val="24"/>
          <w:lang w:val="sr-Latn-RS"/>
        </w:rPr>
      </w:pPr>
      <w:r w:rsidRPr="00052499">
        <w:rPr>
          <w:rFonts w:cstheme="minorHAnsi"/>
          <w:b/>
          <w:sz w:val="24"/>
          <w:szCs w:val="24"/>
          <w:lang w:val="sr-Latn-RS"/>
        </w:rPr>
        <w:t>Porez na dodatu vrijednost</w:t>
      </w:r>
      <w:r w:rsidRPr="00052499">
        <w:rPr>
          <w:rFonts w:cstheme="minorHAnsi"/>
          <w:sz w:val="24"/>
          <w:szCs w:val="24"/>
          <w:lang w:val="sr-Latn-RS"/>
        </w:rPr>
        <w:t xml:space="preserve"> u 2024. godini planiran  je u iznosu od 1.199,6 mil. € ili 17,1% BDP-a što je u odnosu na procjenu za 2023. godinu više za 171,6 mil. € ili 16,7%, što je u skladu sa projekcijama rasta potrošnje domaćinstava i uvoza shodno makroekonomskom scenariju, i mjerama za smanjenje „sive“ ekonomije.</w:t>
      </w:r>
    </w:p>
    <w:p w14:paraId="7D9D9777" w14:textId="77777777" w:rsidR="00052499" w:rsidRPr="00052499" w:rsidRDefault="00052499" w:rsidP="00052499">
      <w:pPr>
        <w:jc w:val="both"/>
        <w:rPr>
          <w:rFonts w:cstheme="minorHAnsi"/>
          <w:sz w:val="24"/>
          <w:szCs w:val="24"/>
          <w:lang w:val="sr-Latn-RS"/>
        </w:rPr>
      </w:pPr>
      <w:r w:rsidRPr="00052499">
        <w:rPr>
          <w:rFonts w:cstheme="minorHAnsi"/>
          <w:b/>
          <w:sz w:val="24"/>
          <w:szCs w:val="24"/>
          <w:lang w:val="sr-Latn-RS"/>
        </w:rPr>
        <w:t>Prihodi od akciza</w:t>
      </w:r>
      <w:r w:rsidRPr="00052499">
        <w:rPr>
          <w:rFonts w:cstheme="minorHAnsi"/>
          <w:sz w:val="24"/>
          <w:szCs w:val="24"/>
          <w:lang w:val="sr-Latn-RS"/>
        </w:rPr>
        <w:t xml:space="preserve"> u 2024. godini planirani su u iznosu od 365,8 mil. € ili 5,2% BDP-a, što je za 69,4 mil. € ili 23,4% više u odnosu na projektovane u 2023. godini, prevashodno kao rezultat projektovanog rasta ekonomske aktivnosti i potrošnje domaćinstava. Pored navedenog, u 2024. godini i u srednjem roku očekuje se povećanje legalnog prometa duvana i duvanskih </w:t>
      </w:r>
      <w:r w:rsidRPr="00052499">
        <w:rPr>
          <w:rFonts w:cstheme="minorHAnsi"/>
          <w:sz w:val="24"/>
          <w:szCs w:val="24"/>
          <w:lang w:val="sr-Latn-RS"/>
        </w:rPr>
        <w:lastRenderedPageBreak/>
        <w:t xml:space="preserve">proizvoda kao i primjena akciznog kalendara na duvan i duvanske proizvode shodno Zakonu o akcizama. </w:t>
      </w:r>
    </w:p>
    <w:p w14:paraId="21C8BEAC" w14:textId="77777777" w:rsidR="00052499" w:rsidRPr="00052499" w:rsidRDefault="00052499" w:rsidP="00052499">
      <w:pPr>
        <w:jc w:val="both"/>
        <w:rPr>
          <w:rFonts w:cstheme="minorHAnsi"/>
          <w:sz w:val="24"/>
          <w:szCs w:val="24"/>
          <w:lang w:val="sr-Latn-RS"/>
        </w:rPr>
      </w:pPr>
      <w:r w:rsidRPr="00052499">
        <w:rPr>
          <w:rFonts w:cstheme="minorHAnsi"/>
          <w:sz w:val="24"/>
          <w:szCs w:val="24"/>
          <w:lang w:val="sr-Latn-RS"/>
        </w:rPr>
        <w:t>Dodatni prihodi planirani su i od akciza na proizvode od šećera, kakaoa i sladoled kao i efekti uvođenja akcize na negaziranu vodu sa dodatkom šećera.</w:t>
      </w:r>
    </w:p>
    <w:p w14:paraId="2D478B80" w14:textId="77777777" w:rsidR="00052499" w:rsidRPr="00052499" w:rsidRDefault="00052499" w:rsidP="00052499">
      <w:pPr>
        <w:jc w:val="both"/>
        <w:rPr>
          <w:rFonts w:cstheme="minorHAnsi"/>
          <w:sz w:val="24"/>
          <w:szCs w:val="24"/>
          <w:lang w:val="sr-Latn-RS"/>
        </w:rPr>
      </w:pPr>
      <w:r w:rsidRPr="00052499">
        <w:rPr>
          <w:rFonts w:cstheme="minorHAnsi"/>
          <w:sz w:val="24"/>
          <w:szCs w:val="24"/>
          <w:lang w:val="sr-Latn-RS"/>
        </w:rPr>
        <w:t>U dijelu prihoda od akciza na mineralne ulje i njihove derivate planirano je povećanje naplate, imajući u vidu da je tokom dva mjeseca 2023. godine na snazi bila Odluke o umanjenju iznosa akcize za promet bezolovnog benzina i gasnih ulja, što neće biti slučaj tokom narednog perioda, usljed kontinuiranog pada cijena nafte na međunarodnom tržištu.</w:t>
      </w:r>
    </w:p>
    <w:p w14:paraId="2CBF7E20" w14:textId="77777777" w:rsidR="00052499" w:rsidRPr="00052499" w:rsidRDefault="00052499" w:rsidP="00052499">
      <w:pPr>
        <w:jc w:val="both"/>
        <w:rPr>
          <w:rFonts w:cstheme="minorHAnsi"/>
          <w:sz w:val="24"/>
          <w:szCs w:val="24"/>
          <w:lang w:val="sr-Latn-RS"/>
        </w:rPr>
      </w:pPr>
      <w:r w:rsidRPr="00052499">
        <w:rPr>
          <w:rFonts w:cstheme="minorHAnsi"/>
          <w:sz w:val="24"/>
          <w:szCs w:val="24"/>
          <w:lang w:val="sr-Latn-RS"/>
        </w:rPr>
        <w:t xml:space="preserve">U 2024. godini planirano je umanjenje </w:t>
      </w:r>
      <w:r w:rsidRPr="00052499">
        <w:rPr>
          <w:rFonts w:cstheme="minorHAnsi"/>
          <w:b/>
          <w:sz w:val="24"/>
          <w:szCs w:val="24"/>
          <w:lang w:val="sr-Latn-RS"/>
        </w:rPr>
        <w:t>ostalih prihoda</w:t>
      </w:r>
      <w:r w:rsidRPr="00052499">
        <w:rPr>
          <w:rFonts w:cstheme="minorHAnsi"/>
          <w:sz w:val="24"/>
          <w:szCs w:val="24"/>
          <w:lang w:val="sr-Latn-RS"/>
        </w:rPr>
        <w:t xml:space="preserve"> u iznosu od 91,5  mil. € ili 42,5%, manje u odnosu na planirane u 2023. godini. Predmetno umanjenje odnosi se na efekte implementacije programa „Ekonomskog državljanstva“ iz prethodnih godina (akumulirana a neutrošena sredstva), koja su prebačena na konsolidovani račun Trezora tokom 2023. godine. </w:t>
      </w:r>
    </w:p>
    <w:p w14:paraId="4956562F" w14:textId="77777777" w:rsidR="00052499" w:rsidRPr="00052499" w:rsidRDefault="00052499" w:rsidP="00052499">
      <w:pPr>
        <w:jc w:val="both"/>
        <w:rPr>
          <w:rFonts w:cstheme="minorHAnsi"/>
          <w:sz w:val="24"/>
          <w:szCs w:val="24"/>
          <w:lang w:val="sr-Latn-RS"/>
        </w:rPr>
      </w:pPr>
      <w:r w:rsidRPr="00052499">
        <w:rPr>
          <w:rFonts w:cstheme="minorHAnsi"/>
          <w:sz w:val="24"/>
          <w:szCs w:val="24"/>
          <w:lang w:val="sr-Latn-RS"/>
        </w:rPr>
        <w:t xml:space="preserve">U okviru </w:t>
      </w:r>
      <w:r w:rsidRPr="00052499">
        <w:rPr>
          <w:rFonts w:cstheme="minorHAnsi"/>
          <w:b/>
          <w:sz w:val="24"/>
          <w:szCs w:val="24"/>
          <w:lang w:val="sr-Latn-RS"/>
        </w:rPr>
        <w:t>prihoda po osnovu kapitala</w:t>
      </w:r>
      <w:r w:rsidRPr="00052499">
        <w:rPr>
          <w:rFonts w:cstheme="minorHAnsi"/>
          <w:sz w:val="24"/>
          <w:szCs w:val="24"/>
          <w:lang w:val="sr-Latn-RS"/>
        </w:rPr>
        <w:t xml:space="preserve"> planirani su očekivani prihodi od uplate dividendi od strane preduzeća u većinskom vlasništvu države u iznosu od 50 mil. €.</w:t>
      </w:r>
    </w:p>
    <w:p w14:paraId="10352AA2" w14:textId="77777777" w:rsidR="00052499" w:rsidRPr="00052499" w:rsidRDefault="00052499" w:rsidP="00052499">
      <w:pPr>
        <w:jc w:val="both"/>
        <w:rPr>
          <w:rFonts w:cstheme="minorHAnsi"/>
          <w:sz w:val="24"/>
          <w:szCs w:val="24"/>
          <w:lang w:val="sr-Latn-RS"/>
        </w:rPr>
      </w:pPr>
      <w:r w:rsidRPr="00052499">
        <w:rPr>
          <w:rFonts w:cstheme="minorHAnsi"/>
          <w:sz w:val="24"/>
          <w:szCs w:val="24"/>
          <w:lang w:val="sr-Latn-RS"/>
        </w:rPr>
        <w:t xml:space="preserve">Prihodi od </w:t>
      </w:r>
      <w:r w:rsidRPr="00052499">
        <w:rPr>
          <w:rFonts w:cstheme="minorHAnsi"/>
          <w:b/>
          <w:sz w:val="24"/>
          <w:szCs w:val="24"/>
          <w:lang w:val="sr-Latn-RS"/>
        </w:rPr>
        <w:t>Naknada</w:t>
      </w:r>
      <w:r w:rsidRPr="00052499">
        <w:rPr>
          <w:rFonts w:cstheme="minorHAnsi"/>
          <w:sz w:val="24"/>
          <w:szCs w:val="24"/>
          <w:lang w:val="sr-Latn-RS"/>
        </w:rPr>
        <w:t xml:space="preserve"> planirani su u iznosu od 138,4 mil. € ili 2% BDP-a, što je za 26,6 mil. €  ili 23,8% veće u odnosu na planirane u 2023. godini. Povećanje projektovane naplate po ovom osnovu izvršeno je usljed očekivanih efekata implementacije novog Zakona o igrama na sreću.</w:t>
      </w:r>
    </w:p>
    <w:p w14:paraId="62B14F5B" w14:textId="77777777" w:rsidR="00052499" w:rsidRPr="00052499" w:rsidRDefault="00052499" w:rsidP="00052499">
      <w:pPr>
        <w:jc w:val="both"/>
        <w:rPr>
          <w:rFonts w:cstheme="minorHAnsi"/>
          <w:b/>
          <w:sz w:val="24"/>
          <w:szCs w:val="24"/>
          <w:lang w:val="sr-Latn-RS"/>
        </w:rPr>
      </w:pPr>
      <w:r w:rsidRPr="00052499">
        <w:rPr>
          <w:rFonts w:cstheme="minorHAnsi"/>
          <w:b/>
          <w:sz w:val="24"/>
          <w:szCs w:val="24"/>
          <w:lang w:val="sr-Latn-RS"/>
        </w:rPr>
        <w:t>Kako bi se uticalo na ravnomjerniji regionalni razvoj, kroz izmjenu Zakona o finansiranju lokalne samouprave, biće smanjen procenat ustupanja poreza na dohodak fizičkih lica, opštinama Centralnog i Južnog regiona dok će ta sredstva biti usmjerena opštinama Sjevernog regiona.</w:t>
      </w:r>
    </w:p>
    <w:p w14:paraId="473E5357" w14:textId="77777777" w:rsidR="00052499" w:rsidRPr="00052499" w:rsidRDefault="00052499" w:rsidP="00052499">
      <w:pPr>
        <w:jc w:val="both"/>
        <w:rPr>
          <w:rFonts w:cstheme="minorHAnsi"/>
          <w:sz w:val="24"/>
          <w:szCs w:val="24"/>
          <w:lang w:val="sr-Latn-RS"/>
        </w:rPr>
      </w:pPr>
      <w:r w:rsidRPr="00052499">
        <w:rPr>
          <w:rFonts w:cstheme="minorHAnsi"/>
          <w:b/>
          <w:sz w:val="24"/>
          <w:szCs w:val="24"/>
          <w:lang w:val="sr-Latn-RS"/>
        </w:rPr>
        <w:t>Javna potrošnja</w:t>
      </w:r>
      <w:r w:rsidRPr="00052499">
        <w:rPr>
          <w:rFonts w:cstheme="minorHAnsi"/>
          <w:sz w:val="24"/>
          <w:szCs w:val="24"/>
          <w:lang w:val="sr-Latn-RS"/>
        </w:rPr>
        <w:t xml:space="preserve"> u 2024. godini projektovana je na nivou od 3.358,7 mil. € ili 47,7% procijenjenog BDP-a i u odnosu na procjenu za 2023. godinu veća je za 282,2 mil. € ili 9,2%. U strukturi izdataka, tekuća budžetska potrošnja iznosi 2.913,7 mil. € ili 41,4% BDP-a, a kapitalna potrošnja 399,6 mil. € ili 5,7% BDP-a. Ukupan rast izdataka u 2024. godini prevashodno je rezultat rasta tekuće budžetske potrošnje od čega se najveći dio odnosi na mandatorne rashode čiju visinu opredjeljuju postojeća zakonska rješenja. </w:t>
      </w:r>
    </w:p>
    <w:p w14:paraId="3D0FFF0E" w14:textId="77777777" w:rsidR="00052499" w:rsidRPr="00052499" w:rsidRDefault="00052499" w:rsidP="00052499">
      <w:pPr>
        <w:spacing w:after="0"/>
        <w:jc w:val="both"/>
        <w:rPr>
          <w:rFonts w:cstheme="minorHAnsi"/>
          <w:sz w:val="24"/>
          <w:szCs w:val="24"/>
          <w:lang w:val="sr-Latn-RS"/>
        </w:rPr>
      </w:pPr>
      <w:r w:rsidRPr="00052499">
        <w:rPr>
          <w:rFonts w:cstheme="minorHAnsi"/>
          <w:sz w:val="24"/>
          <w:szCs w:val="24"/>
          <w:lang w:val="sr-Latn-RS"/>
        </w:rPr>
        <w:t>Rast tekuće javne potrošnje, u najvećoj mjeri, opredjeljuje:</w:t>
      </w:r>
    </w:p>
    <w:p w14:paraId="29B89CBF" w14:textId="77777777" w:rsidR="00052499" w:rsidRPr="00052499" w:rsidRDefault="00052499" w:rsidP="00052499">
      <w:pPr>
        <w:pStyle w:val="ListParagraph"/>
        <w:numPr>
          <w:ilvl w:val="0"/>
          <w:numId w:val="69"/>
        </w:numPr>
        <w:spacing w:after="0"/>
        <w:contextualSpacing w:val="0"/>
        <w:jc w:val="both"/>
        <w:rPr>
          <w:rFonts w:cstheme="minorHAnsi"/>
          <w:sz w:val="24"/>
          <w:szCs w:val="24"/>
          <w:lang w:val="sr-Latn-RS"/>
        </w:rPr>
      </w:pPr>
      <w:r w:rsidRPr="00052499">
        <w:rPr>
          <w:rFonts w:cstheme="minorHAnsi"/>
          <w:sz w:val="24"/>
          <w:szCs w:val="24"/>
          <w:lang w:val="sr-Latn-RS"/>
        </w:rPr>
        <w:t>planirani rast fonda Bruto zarada, u iznosu od 43,5 mil. € ili 6,1% u odnosu na planirane u 2023. godini, kao rezultat povećanja broja zaposlenih u javnoj administraciji tokom 2023. godine;</w:t>
      </w:r>
    </w:p>
    <w:p w14:paraId="2A620B01" w14:textId="77777777" w:rsidR="00052499" w:rsidRPr="00052499" w:rsidRDefault="00052499" w:rsidP="00052499">
      <w:pPr>
        <w:pStyle w:val="ListParagraph"/>
        <w:numPr>
          <w:ilvl w:val="0"/>
          <w:numId w:val="69"/>
        </w:numPr>
        <w:spacing w:after="0"/>
        <w:contextualSpacing w:val="0"/>
        <w:jc w:val="both"/>
        <w:rPr>
          <w:rFonts w:cstheme="minorHAnsi"/>
          <w:sz w:val="24"/>
          <w:szCs w:val="24"/>
          <w:lang w:val="sr-Latn-RS"/>
        </w:rPr>
      </w:pPr>
      <w:r w:rsidRPr="00052499">
        <w:rPr>
          <w:rFonts w:cstheme="minorHAnsi"/>
          <w:sz w:val="24"/>
          <w:szCs w:val="24"/>
          <w:lang w:val="sr-Latn-RS"/>
        </w:rPr>
        <w:t>planirani rast kamata u iznosu 141.2 mil € ili 2% BDP, što je za 28,4 mil. € ili 25% više od planiranih izdataka za kamate u 2023. godini, imajući u vidu velike potrebe otplate duga;</w:t>
      </w:r>
    </w:p>
    <w:p w14:paraId="0E4CE102" w14:textId="77777777" w:rsidR="00052499" w:rsidRPr="00052499" w:rsidRDefault="00052499" w:rsidP="00052499">
      <w:pPr>
        <w:pStyle w:val="ListParagraph"/>
        <w:numPr>
          <w:ilvl w:val="0"/>
          <w:numId w:val="69"/>
        </w:numPr>
        <w:spacing w:after="0"/>
        <w:contextualSpacing w:val="0"/>
        <w:jc w:val="both"/>
        <w:rPr>
          <w:rFonts w:cstheme="minorHAnsi"/>
          <w:sz w:val="24"/>
          <w:szCs w:val="24"/>
          <w:lang w:val="sr-Latn-RS"/>
        </w:rPr>
      </w:pPr>
      <w:r w:rsidRPr="00052499">
        <w:rPr>
          <w:rFonts w:cstheme="minorHAnsi"/>
          <w:sz w:val="24"/>
          <w:szCs w:val="24"/>
          <w:lang w:val="sr-Latn-RS"/>
        </w:rPr>
        <w:t>planirani rast fonda transfera za socijalnu zaštitu u iznosu od 170,2 mil. € ili 20% više u odnosu na 2023 godinu, a kao rezultat povećanja minimalne penzije i redovnog usklađivanja penzija sa revevantnim makroekonomskim indikatorima.</w:t>
      </w:r>
    </w:p>
    <w:p w14:paraId="3660D3AF" w14:textId="77777777" w:rsidR="00052499" w:rsidRPr="00052499" w:rsidRDefault="00052499" w:rsidP="00052499">
      <w:pPr>
        <w:jc w:val="both"/>
        <w:rPr>
          <w:rFonts w:cstheme="minorHAnsi"/>
          <w:sz w:val="24"/>
          <w:szCs w:val="24"/>
          <w:lang w:val="sr-Latn-RS"/>
        </w:rPr>
      </w:pPr>
      <w:r w:rsidRPr="00052499">
        <w:rPr>
          <w:rFonts w:cstheme="minorHAnsi"/>
          <w:sz w:val="24"/>
          <w:szCs w:val="24"/>
          <w:lang w:val="sr-Latn-RS"/>
        </w:rPr>
        <w:t xml:space="preserve">Sredstva kapitalnog budžeta planirana su u iznosu od 399,6 mil. € ili 5,7% BDP-a, što predstavlja uvećanje za cca 22 mil € ili 5% u odnosu na 2023. godinu. Kapitalnim budžetom </w:t>
      </w:r>
      <w:r w:rsidRPr="00052499">
        <w:rPr>
          <w:rFonts w:cstheme="minorHAnsi"/>
          <w:sz w:val="24"/>
          <w:szCs w:val="24"/>
          <w:lang w:val="sr-Latn-RS"/>
        </w:rPr>
        <w:lastRenderedPageBreak/>
        <w:t xml:space="preserve">tokom srednjoročnog perioda planirana su sredstva za otpočinjanje izgradnje druge dionice autoputa „Bar-Boljare“ već u 2024. godini. </w:t>
      </w:r>
    </w:p>
    <w:p w14:paraId="3BA59EC4" w14:textId="40CAB324" w:rsidR="00052499" w:rsidRPr="00052499" w:rsidRDefault="00052499" w:rsidP="00052499">
      <w:pPr>
        <w:jc w:val="both"/>
        <w:rPr>
          <w:rFonts w:cstheme="minorHAnsi"/>
          <w:b/>
          <w:sz w:val="24"/>
          <w:szCs w:val="24"/>
          <w:lang w:val="sr-Latn-RS"/>
        </w:rPr>
      </w:pPr>
      <w:r w:rsidRPr="00052499">
        <w:rPr>
          <w:rFonts w:cstheme="minorHAnsi"/>
          <w:b/>
          <w:sz w:val="24"/>
          <w:szCs w:val="24"/>
          <w:lang w:val="sr-Latn-RS"/>
        </w:rPr>
        <w:t>Na osnovu projektovanih prihoda i rashoda opšteg nivoa države (budžet države i lokalnih samouprava), projektuje se da će u 2024. godini biti ostvaren deficit u iznosu od 276,4 mil €, odnosno 3,9% proc</w:t>
      </w:r>
      <w:r>
        <w:rPr>
          <w:rFonts w:cstheme="minorHAnsi"/>
          <w:b/>
          <w:sz w:val="24"/>
          <w:szCs w:val="24"/>
          <w:lang w:val="sr-Latn-RS"/>
        </w:rPr>
        <w:t>i</w:t>
      </w:r>
      <w:r w:rsidRPr="00052499">
        <w:rPr>
          <w:rFonts w:cstheme="minorHAnsi"/>
          <w:b/>
          <w:sz w:val="24"/>
          <w:szCs w:val="24"/>
          <w:lang w:val="sr-Latn-RS"/>
        </w:rPr>
        <w:t xml:space="preserve">jenjenog BDP-a. </w:t>
      </w:r>
    </w:p>
    <w:p w14:paraId="5BC895E6" w14:textId="77777777" w:rsidR="00052499" w:rsidRPr="00052499" w:rsidRDefault="00052499" w:rsidP="00052499">
      <w:pPr>
        <w:jc w:val="both"/>
        <w:rPr>
          <w:rFonts w:cstheme="minorHAnsi"/>
          <w:b/>
          <w:sz w:val="24"/>
          <w:szCs w:val="24"/>
          <w:lang w:val="sr-Latn-RS"/>
        </w:rPr>
      </w:pPr>
      <w:r w:rsidRPr="00052499">
        <w:rPr>
          <w:rFonts w:cstheme="minorHAnsi"/>
          <w:b/>
          <w:sz w:val="24"/>
          <w:szCs w:val="24"/>
          <w:lang w:val="sr-Latn-RS"/>
        </w:rPr>
        <w:t>U svim godinama projekcije (2024-2026.) ostvaruje se suficit tekuće javne potrošnje, čime se ispunjava pravilo fiskalne odgovornosti prilikom planiranja i upravljanja javnim finansijama.</w:t>
      </w:r>
    </w:p>
    <w:p w14:paraId="392B8A72" w14:textId="77777777" w:rsidR="00052499" w:rsidRPr="00052499" w:rsidRDefault="00052499" w:rsidP="00052499">
      <w:pPr>
        <w:jc w:val="both"/>
        <w:rPr>
          <w:rFonts w:cstheme="minorHAnsi"/>
          <w:b/>
          <w:sz w:val="24"/>
          <w:szCs w:val="24"/>
          <w:lang w:val="sr-Latn-RS"/>
        </w:rPr>
      </w:pPr>
      <w:r w:rsidRPr="00052499">
        <w:rPr>
          <w:rFonts w:cstheme="minorHAnsi"/>
          <w:b/>
          <w:sz w:val="24"/>
          <w:szCs w:val="24"/>
          <w:lang w:val="sr-Latn-RS"/>
        </w:rPr>
        <w:t>Ostvarivanjem suficita tekuće javne potrošnje postiže se da se država zadužuje isključivo za finansiranje kapitalnih projekata kojima se stvaraju uslovi za dugoročni rast i razvoj i za otplatu duga nastalog u prethodnim godinama.</w:t>
      </w:r>
    </w:p>
    <w:p w14:paraId="566B14D9" w14:textId="77777777" w:rsidR="00052499" w:rsidRPr="00052499" w:rsidRDefault="00052499" w:rsidP="00052499">
      <w:pPr>
        <w:pStyle w:val="Heading2"/>
        <w:rPr>
          <w:rFonts w:asciiTheme="minorHAnsi" w:hAnsiTheme="minorHAnsi" w:cstheme="minorHAnsi"/>
          <w:b/>
          <w:sz w:val="24"/>
          <w:szCs w:val="24"/>
        </w:rPr>
      </w:pPr>
      <w:bookmarkStart w:id="120" w:name="_Toc88031657"/>
      <w:bookmarkStart w:id="121" w:name="_Toc125545775"/>
      <w:bookmarkStart w:id="122" w:name="_Toc153305349"/>
      <w:r w:rsidRPr="00052499">
        <w:rPr>
          <w:rFonts w:asciiTheme="minorHAnsi" w:hAnsiTheme="minorHAnsi" w:cstheme="minorHAnsi"/>
          <w:b/>
          <w:sz w:val="24"/>
          <w:szCs w:val="24"/>
        </w:rPr>
        <w:t>4.4. Srednjoročni budžetski izgledi</w:t>
      </w:r>
      <w:bookmarkEnd w:id="122"/>
      <w:r w:rsidRPr="00052499">
        <w:rPr>
          <w:rFonts w:asciiTheme="minorHAnsi" w:hAnsiTheme="minorHAnsi" w:cstheme="minorHAnsi"/>
          <w:b/>
          <w:sz w:val="24"/>
          <w:szCs w:val="24"/>
        </w:rPr>
        <w:t xml:space="preserve"> </w:t>
      </w:r>
    </w:p>
    <w:p w14:paraId="650BB613" w14:textId="77777777" w:rsidR="00052499" w:rsidRPr="00052499" w:rsidRDefault="00052499" w:rsidP="00052499">
      <w:pPr>
        <w:jc w:val="both"/>
        <w:rPr>
          <w:rFonts w:cstheme="minorHAnsi"/>
          <w:sz w:val="24"/>
          <w:szCs w:val="24"/>
          <w:lang w:val="sr-Latn-ME"/>
        </w:rPr>
      </w:pPr>
      <w:r w:rsidRPr="00052499">
        <w:rPr>
          <w:rFonts w:cstheme="minorHAnsi"/>
          <w:sz w:val="24"/>
          <w:szCs w:val="24"/>
          <w:lang w:val="sr-Latn-ME"/>
        </w:rPr>
        <w:t xml:space="preserve">Shodno utvrđenom srednjoročnom budžetskom okviru, deficit javnih finansija projektovan je do nivou od 3,3% BDP-a u 2025. godini odnosno 2,7% BDP-a u 2026. godini. Smanjenjem deficita javnih finansija utiče se na uspostavljanje smanjenja javnog duga do nivoa od 62% BDP-a u 2026. godini.  </w:t>
      </w:r>
    </w:p>
    <w:p w14:paraId="0D54F0AA" w14:textId="77777777" w:rsidR="00052499" w:rsidRPr="00052499" w:rsidRDefault="00052499" w:rsidP="00052499">
      <w:pPr>
        <w:jc w:val="both"/>
        <w:rPr>
          <w:rFonts w:cstheme="minorHAnsi"/>
          <w:sz w:val="24"/>
          <w:szCs w:val="24"/>
          <w:lang w:val="sr-Latn-ME"/>
        </w:rPr>
      </w:pPr>
      <w:r w:rsidRPr="00052499">
        <w:rPr>
          <w:rFonts w:cstheme="minorHAnsi"/>
          <w:b/>
          <w:sz w:val="24"/>
          <w:szCs w:val="24"/>
          <w:lang w:val="sr-Latn-ME"/>
        </w:rPr>
        <w:t>Javni prihodi</w:t>
      </w:r>
      <w:r w:rsidRPr="00052499">
        <w:rPr>
          <w:rFonts w:cstheme="minorHAnsi"/>
          <w:sz w:val="24"/>
          <w:szCs w:val="24"/>
          <w:lang w:val="sr-Latn-ME"/>
        </w:rPr>
        <w:t xml:space="preserve"> u periodu 2025 – 2026. godina nastavljaju pozitivan trend i kreću se u rasponu od 3.200,8 mil. € ili 43,1% BDP-a u 2025. godini do 3.325,2 mil. € ili 42,7% procijenjenog BDP-a u 2026. godini.</w:t>
      </w:r>
    </w:p>
    <w:p w14:paraId="0EA1639B" w14:textId="77777777" w:rsidR="00052499" w:rsidRPr="00052499" w:rsidRDefault="00052499" w:rsidP="00052499">
      <w:pPr>
        <w:spacing w:after="0"/>
        <w:jc w:val="both"/>
        <w:rPr>
          <w:rFonts w:cstheme="minorHAnsi"/>
          <w:sz w:val="24"/>
          <w:szCs w:val="24"/>
          <w:lang w:val="sr-Latn-ME"/>
        </w:rPr>
      </w:pPr>
      <w:r w:rsidRPr="00052499">
        <w:rPr>
          <w:rFonts w:cstheme="minorHAnsi"/>
          <w:sz w:val="24"/>
          <w:szCs w:val="24"/>
          <w:lang w:val="sr-Latn-ME"/>
        </w:rPr>
        <w:t>Dominantan efekat na kretanje prihoda za period 2025-2026. godine imaće projektovane stope ekonomskog rasta i mjere poreske politike koje utiču na kretanje javnih prihoda, i to:</w:t>
      </w:r>
    </w:p>
    <w:p w14:paraId="6076ED79" w14:textId="77777777" w:rsidR="00052499" w:rsidRPr="00052499" w:rsidRDefault="00052499" w:rsidP="00052499">
      <w:pPr>
        <w:pStyle w:val="ListParagraph"/>
        <w:numPr>
          <w:ilvl w:val="0"/>
          <w:numId w:val="70"/>
        </w:numPr>
        <w:spacing w:after="0"/>
        <w:contextualSpacing w:val="0"/>
        <w:jc w:val="both"/>
        <w:rPr>
          <w:rFonts w:cstheme="minorHAnsi"/>
          <w:sz w:val="24"/>
          <w:szCs w:val="24"/>
          <w:lang w:val="sr-Latn-ME"/>
        </w:rPr>
      </w:pPr>
      <w:r w:rsidRPr="00052499">
        <w:rPr>
          <w:rFonts w:cstheme="minorHAnsi"/>
          <w:sz w:val="24"/>
          <w:szCs w:val="24"/>
          <w:lang w:val="sr-Latn-ME"/>
        </w:rPr>
        <w:t>smanjenje zaostalog poreskog duga kroz implementaciju Zakona o reprogramu poreskog potraživanja;</w:t>
      </w:r>
    </w:p>
    <w:p w14:paraId="4D8135B0" w14:textId="77777777" w:rsidR="00052499" w:rsidRPr="00052499" w:rsidRDefault="00052499" w:rsidP="00052499">
      <w:pPr>
        <w:pStyle w:val="ListParagraph"/>
        <w:numPr>
          <w:ilvl w:val="0"/>
          <w:numId w:val="70"/>
        </w:numPr>
        <w:spacing w:after="0"/>
        <w:contextualSpacing w:val="0"/>
        <w:jc w:val="both"/>
        <w:rPr>
          <w:rFonts w:cstheme="minorHAnsi"/>
          <w:sz w:val="24"/>
          <w:szCs w:val="24"/>
          <w:lang w:val="sr-Latn-ME"/>
        </w:rPr>
      </w:pPr>
      <w:r w:rsidRPr="00052499">
        <w:rPr>
          <w:rFonts w:cstheme="minorHAnsi"/>
          <w:sz w:val="24"/>
          <w:szCs w:val="24"/>
          <w:lang w:val="sr-Latn-ME"/>
        </w:rPr>
        <w:t>ubrzanja akciznog kalendara;</w:t>
      </w:r>
    </w:p>
    <w:p w14:paraId="70F58F01" w14:textId="77777777" w:rsidR="00052499" w:rsidRPr="00052499" w:rsidRDefault="00052499" w:rsidP="00052499">
      <w:pPr>
        <w:pStyle w:val="ListParagraph"/>
        <w:numPr>
          <w:ilvl w:val="0"/>
          <w:numId w:val="70"/>
        </w:numPr>
        <w:spacing w:after="0"/>
        <w:contextualSpacing w:val="0"/>
        <w:jc w:val="both"/>
        <w:rPr>
          <w:rFonts w:cstheme="minorHAnsi"/>
          <w:sz w:val="24"/>
          <w:szCs w:val="24"/>
          <w:lang w:val="sr-Latn-ME"/>
        </w:rPr>
      </w:pPr>
      <w:r w:rsidRPr="00052499">
        <w:rPr>
          <w:rFonts w:cstheme="minorHAnsi"/>
          <w:sz w:val="24"/>
          <w:szCs w:val="24"/>
          <w:lang w:val="sr-Latn-ME"/>
        </w:rPr>
        <w:t>zakonske regulative koja se odnosi na priređivanje igara na sreću;</w:t>
      </w:r>
    </w:p>
    <w:p w14:paraId="177C130D" w14:textId="77777777" w:rsidR="00052499" w:rsidRPr="00052499" w:rsidRDefault="00052499" w:rsidP="00052499">
      <w:pPr>
        <w:pStyle w:val="ListParagraph"/>
        <w:numPr>
          <w:ilvl w:val="0"/>
          <w:numId w:val="70"/>
        </w:numPr>
        <w:spacing w:after="0"/>
        <w:contextualSpacing w:val="0"/>
        <w:jc w:val="both"/>
        <w:rPr>
          <w:rFonts w:cstheme="minorHAnsi"/>
          <w:sz w:val="24"/>
          <w:szCs w:val="24"/>
          <w:lang w:val="sr-Latn-ME"/>
        </w:rPr>
      </w:pPr>
      <w:r w:rsidRPr="00052499">
        <w:rPr>
          <w:rFonts w:cstheme="minorHAnsi"/>
          <w:sz w:val="24"/>
          <w:szCs w:val="24"/>
          <w:lang w:val="sr-Latn-ME"/>
        </w:rPr>
        <w:t xml:space="preserve">smanjenje "sive ekonomije" u cilju omogućavanja fer tržišne utakmice odnosno suzbijanja nelojalne konkurencije; </w:t>
      </w:r>
    </w:p>
    <w:p w14:paraId="0DF38C9A" w14:textId="77777777" w:rsidR="00052499" w:rsidRPr="00052499" w:rsidRDefault="00052499" w:rsidP="00052499">
      <w:pPr>
        <w:pStyle w:val="ListParagraph"/>
        <w:numPr>
          <w:ilvl w:val="0"/>
          <w:numId w:val="70"/>
        </w:numPr>
        <w:spacing w:after="0"/>
        <w:contextualSpacing w:val="0"/>
        <w:jc w:val="both"/>
        <w:rPr>
          <w:rFonts w:cstheme="minorHAnsi"/>
          <w:sz w:val="24"/>
          <w:szCs w:val="24"/>
          <w:lang w:val="sr-Latn-ME"/>
        </w:rPr>
      </w:pPr>
      <w:r w:rsidRPr="00052499">
        <w:rPr>
          <w:rFonts w:cstheme="minorHAnsi"/>
          <w:sz w:val="24"/>
          <w:szCs w:val="24"/>
          <w:lang w:val="sr-Latn-ME"/>
        </w:rPr>
        <w:t>efikasnije kontrole kroz nastavak unapređenja rada inspekcijskih službi.</w:t>
      </w:r>
    </w:p>
    <w:p w14:paraId="5365B03C" w14:textId="77777777" w:rsidR="00052499" w:rsidRPr="00052499" w:rsidRDefault="00052499" w:rsidP="00052499">
      <w:pPr>
        <w:jc w:val="both"/>
        <w:rPr>
          <w:rFonts w:cstheme="minorHAnsi"/>
          <w:sz w:val="24"/>
          <w:szCs w:val="24"/>
          <w:lang w:val="sr-Latn-RS"/>
        </w:rPr>
      </w:pPr>
      <w:r w:rsidRPr="00052499">
        <w:rPr>
          <w:rFonts w:cstheme="minorHAnsi"/>
          <w:b/>
          <w:sz w:val="24"/>
          <w:szCs w:val="24"/>
          <w:lang w:val="sr-Latn-RS"/>
        </w:rPr>
        <w:t>Porez na dobit pravnih lica</w:t>
      </w:r>
      <w:r w:rsidRPr="00052499">
        <w:rPr>
          <w:rFonts w:cstheme="minorHAnsi"/>
          <w:sz w:val="24"/>
          <w:szCs w:val="24"/>
          <w:lang w:val="sr-Latn-RS"/>
        </w:rPr>
        <w:t xml:space="preserve"> u periodu 2025-2026. godine, kao rezultat projektovanog rasta ekonomske aktivnosti zabilježiće prosječnu stopu rasta od oko 2,2%. </w:t>
      </w:r>
    </w:p>
    <w:p w14:paraId="7F26C1CA" w14:textId="77777777" w:rsidR="00052499" w:rsidRPr="00052499" w:rsidRDefault="00052499" w:rsidP="00052499">
      <w:pPr>
        <w:jc w:val="both"/>
        <w:rPr>
          <w:rFonts w:cstheme="minorHAnsi"/>
          <w:sz w:val="24"/>
          <w:szCs w:val="24"/>
          <w:lang w:val="sr-Latn-RS"/>
        </w:rPr>
      </w:pPr>
      <w:r w:rsidRPr="00052499">
        <w:rPr>
          <w:rFonts w:cstheme="minorHAnsi"/>
          <w:sz w:val="24"/>
          <w:szCs w:val="24"/>
          <w:lang w:val="sr-Latn-RS"/>
        </w:rPr>
        <w:t xml:space="preserve">Prihodi po osnovu </w:t>
      </w:r>
      <w:r w:rsidRPr="00052499">
        <w:rPr>
          <w:rFonts w:cstheme="minorHAnsi"/>
          <w:b/>
          <w:sz w:val="24"/>
          <w:szCs w:val="24"/>
          <w:lang w:val="sr-Latn-RS"/>
        </w:rPr>
        <w:t>poreza na dodatu vrijednost</w:t>
      </w:r>
      <w:r w:rsidRPr="00052499">
        <w:rPr>
          <w:rFonts w:cstheme="minorHAnsi"/>
          <w:sz w:val="24"/>
          <w:szCs w:val="24"/>
          <w:lang w:val="sr-Latn-RS"/>
        </w:rPr>
        <w:t xml:space="preserve"> u periodu 2025-2026. godina, prosječno će rasti po stopi od oko 4,4%, uz stabilno učešće u procentu BDP-a od oko 16,9%, prevashodno kao rezultat projektovanog rasta ekonomske aktivnosti, efikasniju naplatu kroz reformu poreske administracije i veći obuhvat inspekcijskih kontrola što će rezultirati smanjenjem „sive“ ekonomije.</w:t>
      </w:r>
    </w:p>
    <w:p w14:paraId="0CE553FA" w14:textId="77777777" w:rsidR="00052499" w:rsidRPr="00052499" w:rsidRDefault="00052499" w:rsidP="00052499">
      <w:pPr>
        <w:jc w:val="both"/>
        <w:rPr>
          <w:rFonts w:cstheme="minorHAnsi"/>
          <w:sz w:val="24"/>
          <w:szCs w:val="24"/>
        </w:rPr>
      </w:pPr>
      <w:r w:rsidRPr="00052499">
        <w:rPr>
          <w:rFonts w:cstheme="minorHAnsi"/>
          <w:sz w:val="24"/>
          <w:szCs w:val="24"/>
        </w:rPr>
        <w:t xml:space="preserve">Prihodi od </w:t>
      </w:r>
      <w:r w:rsidRPr="00052499">
        <w:rPr>
          <w:rFonts w:cstheme="minorHAnsi"/>
          <w:b/>
          <w:sz w:val="24"/>
          <w:szCs w:val="24"/>
        </w:rPr>
        <w:t>akciza</w:t>
      </w:r>
      <w:r w:rsidRPr="00052499">
        <w:rPr>
          <w:rFonts w:cstheme="minorHAnsi"/>
          <w:sz w:val="24"/>
          <w:szCs w:val="24"/>
        </w:rPr>
        <w:t xml:space="preserve"> u posmatranom periodu ostvariće prosječan rast od oko 3% uz stabilno učesće od oko 5,3% BDP-a. Navedeni rast obezbijediće se zakonskom regulativom, ubrzanjem akcizog kalendara i u, skladu sa navedenim, smanjenjem neformalne ekonomije na tržištu. </w:t>
      </w:r>
    </w:p>
    <w:p w14:paraId="54D35F62" w14:textId="77777777" w:rsidR="00052499" w:rsidRPr="00052499" w:rsidRDefault="00052499" w:rsidP="00052499">
      <w:pPr>
        <w:jc w:val="both"/>
        <w:rPr>
          <w:rFonts w:cstheme="minorHAnsi"/>
          <w:sz w:val="24"/>
          <w:szCs w:val="24"/>
          <w:lang w:val="sr-Latn-RS"/>
        </w:rPr>
      </w:pPr>
      <w:r w:rsidRPr="00052499">
        <w:rPr>
          <w:rFonts w:cstheme="minorHAnsi"/>
          <w:sz w:val="24"/>
          <w:szCs w:val="24"/>
          <w:lang w:val="sr-Latn-RS"/>
        </w:rPr>
        <w:lastRenderedPageBreak/>
        <w:t xml:space="preserve">Kretanje </w:t>
      </w:r>
      <w:r w:rsidRPr="00052499">
        <w:rPr>
          <w:rFonts w:cstheme="minorHAnsi"/>
          <w:b/>
          <w:sz w:val="24"/>
          <w:szCs w:val="24"/>
          <w:lang w:val="sr-Latn-RS"/>
        </w:rPr>
        <w:t>javne potrošnje</w:t>
      </w:r>
      <w:r w:rsidRPr="00052499">
        <w:rPr>
          <w:rFonts w:cstheme="minorHAnsi"/>
          <w:sz w:val="24"/>
          <w:szCs w:val="24"/>
          <w:lang w:val="sr-Latn-RS"/>
        </w:rPr>
        <w:t xml:space="preserve"> u periodu 2024-2025. godine karakteriše kontrolisani rast tekuće potrošnje koji će biti definisan kroz kontinuirano smanjenje neproduktivne potrošnje, međutim, uz stabilan rast mandatornih rashoda čije je kretanje determinisano redovnim usklađivanjem u skladu sa postojećim zakonskim rješenjima.</w:t>
      </w:r>
    </w:p>
    <w:p w14:paraId="4BFF09F8" w14:textId="77777777" w:rsidR="00052499" w:rsidRPr="00052499" w:rsidRDefault="00052499" w:rsidP="000F2683">
      <w:pPr>
        <w:spacing w:after="120"/>
        <w:jc w:val="both"/>
        <w:rPr>
          <w:rFonts w:cstheme="minorHAnsi"/>
          <w:sz w:val="24"/>
          <w:szCs w:val="24"/>
          <w:lang w:val="sr-Latn-RS"/>
        </w:rPr>
      </w:pPr>
      <w:r w:rsidRPr="00052499">
        <w:rPr>
          <w:rFonts w:cstheme="minorHAnsi"/>
          <w:sz w:val="24"/>
          <w:szCs w:val="24"/>
          <w:lang w:val="sr-Latn-RS"/>
        </w:rPr>
        <w:t>U posmatranom periodu, značajna sredstva će biti obezbijeđena za Kapitalni budžet, a sve u cilju podsticanja ekonomskog rasta kroz investiranja u infrastrukturne i druge značajne razvojne projekte.</w:t>
      </w:r>
    </w:p>
    <w:p w14:paraId="122E40FE" w14:textId="77777777" w:rsidR="00052499" w:rsidRPr="00052499" w:rsidRDefault="00052499" w:rsidP="000F2683">
      <w:pPr>
        <w:spacing w:after="120"/>
        <w:jc w:val="both"/>
        <w:rPr>
          <w:rFonts w:cstheme="minorHAnsi"/>
          <w:sz w:val="24"/>
          <w:szCs w:val="24"/>
          <w:lang w:val="sr-Latn-RS"/>
        </w:rPr>
      </w:pPr>
      <w:r w:rsidRPr="00052499">
        <w:rPr>
          <w:rFonts w:cstheme="minorHAnsi"/>
          <w:sz w:val="24"/>
          <w:szCs w:val="24"/>
          <w:lang w:val="sr-Latn-RS"/>
        </w:rPr>
        <w:t>U 2025. i 2026. ostvaruje se suficit tekuće javne potrošnje.</w:t>
      </w:r>
    </w:p>
    <w:p w14:paraId="13801835" w14:textId="77777777" w:rsidR="00052499" w:rsidRPr="00052499" w:rsidRDefault="00052499" w:rsidP="000F2683">
      <w:pPr>
        <w:spacing w:after="120"/>
        <w:jc w:val="both"/>
        <w:rPr>
          <w:rFonts w:cstheme="minorHAnsi"/>
          <w:sz w:val="24"/>
          <w:szCs w:val="24"/>
          <w:lang w:val="sr-Latn-RS"/>
        </w:rPr>
      </w:pPr>
      <w:r w:rsidRPr="00052499">
        <w:rPr>
          <w:rFonts w:cstheme="minorHAnsi"/>
          <w:sz w:val="24"/>
          <w:szCs w:val="24"/>
          <w:lang w:val="sr-Latn-RS"/>
        </w:rPr>
        <w:t>U 2026. godini postiže se primarni suficit potrošnje Centralnog budžeta.</w:t>
      </w:r>
    </w:p>
    <w:p w14:paraId="342D6B1E" w14:textId="77777777" w:rsidR="00052499" w:rsidRPr="00052499" w:rsidRDefault="00052499" w:rsidP="00052499">
      <w:pPr>
        <w:keepNext/>
        <w:keepLines/>
        <w:spacing w:before="480" w:after="240"/>
        <w:jc w:val="both"/>
        <w:outlineLvl w:val="1"/>
        <w:rPr>
          <w:rFonts w:eastAsiaTheme="majorEastAsia" w:cstheme="minorHAnsi"/>
          <w:b/>
          <w:color w:val="2F5496" w:themeColor="accent1" w:themeShade="BF"/>
          <w:sz w:val="24"/>
          <w:szCs w:val="24"/>
        </w:rPr>
      </w:pPr>
      <w:bookmarkStart w:id="123" w:name="_Toc88031659"/>
      <w:bookmarkStart w:id="124" w:name="_Toc153305350"/>
      <w:bookmarkEnd w:id="120"/>
      <w:bookmarkEnd w:id="121"/>
      <w:r w:rsidRPr="00052499">
        <w:rPr>
          <w:rFonts w:eastAsiaTheme="majorEastAsia" w:cstheme="minorHAnsi"/>
          <w:b/>
          <w:color w:val="2F5496" w:themeColor="accent1" w:themeShade="BF"/>
          <w:sz w:val="24"/>
          <w:szCs w:val="24"/>
        </w:rPr>
        <w:t>4.5 Strukturni bilans (ciklična komponenta deficita, jednokratne i privremene mjere, fiskalni stav)</w:t>
      </w:r>
      <w:bookmarkEnd w:id="124"/>
    </w:p>
    <w:p w14:paraId="4D732AC6" w14:textId="77777777" w:rsidR="00052499" w:rsidRPr="00052499" w:rsidRDefault="00052499" w:rsidP="00052499">
      <w:pPr>
        <w:jc w:val="both"/>
        <w:rPr>
          <w:rFonts w:eastAsia="Calibri" w:cstheme="minorHAnsi"/>
          <w:sz w:val="24"/>
          <w:szCs w:val="24"/>
          <w:lang w:val="sr-Latn-RS"/>
        </w:rPr>
      </w:pPr>
      <w:r w:rsidRPr="00052499">
        <w:rPr>
          <w:rFonts w:eastAsia="Calibri" w:cstheme="minorHAnsi"/>
          <w:sz w:val="24"/>
          <w:szCs w:val="24"/>
          <w:lang w:val="sr-Latn-RS"/>
        </w:rPr>
        <w:t xml:space="preserve">Ciklično prilagođeni bilans pokazuje stvarne disbalanse javne potrošnje, a odnosi se na stvarni suficit/deficit u odnosu na BDP, koji bi prevladao ukoliko bi ekonomija rasla na nivou potencijala. Izračunava se kao razlika između suficita/deficita kao učešća u BDP-u i procjenjene ciklične komponente. </w:t>
      </w:r>
    </w:p>
    <w:p w14:paraId="563CD5B4" w14:textId="77777777" w:rsidR="00052499" w:rsidRPr="00052499" w:rsidRDefault="00052499" w:rsidP="00052499">
      <w:pPr>
        <w:jc w:val="both"/>
        <w:rPr>
          <w:rFonts w:eastAsia="Times New Roman" w:cstheme="minorHAnsi"/>
          <w:color w:val="000000"/>
          <w:sz w:val="24"/>
          <w:szCs w:val="24"/>
          <w:lang w:val="sr-Latn-RS" w:eastAsia="x-none"/>
        </w:rPr>
      </w:pPr>
      <w:r w:rsidRPr="00052499">
        <w:rPr>
          <w:rFonts w:eastAsia="Times New Roman" w:cstheme="minorHAnsi"/>
          <w:color w:val="000000"/>
          <w:sz w:val="24"/>
          <w:szCs w:val="24"/>
          <w:lang w:val="sr-Latn-RS" w:eastAsia="x-none"/>
        </w:rPr>
        <w:t>Ciklična komponenta je izračunata na osnovu metode koju koristi Evropska komsija, a sprovodi se kroz dva koraka i to:</w:t>
      </w:r>
    </w:p>
    <w:p w14:paraId="76DF4A2E" w14:textId="77777777" w:rsidR="00052499" w:rsidRPr="00052499" w:rsidRDefault="00052499" w:rsidP="00052499">
      <w:pPr>
        <w:numPr>
          <w:ilvl w:val="0"/>
          <w:numId w:val="58"/>
        </w:numPr>
        <w:jc w:val="both"/>
        <w:rPr>
          <w:rFonts w:eastAsia="Calibri" w:cstheme="minorHAnsi"/>
          <w:sz w:val="24"/>
          <w:szCs w:val="24"/>
          <w:lang w:val="sr-Latn-RS"/>
        </w:rPr>
      </w:pPr>
      <w:r w:rsidRPr="00052499">
        <w:rPr>
          <w:rFonts w:eastAsia="Calibri" w:cstheme="minorHAnsi"/>
          <w:sz w:val="24"/>
          <w:szCs w:val="24"/>
          <w:lang w:val="sr-Latn-RS"/>
        </w:rPr>
        <w:t>Ocjena output gap-a kao pokazatelja privrednog ciklusa;</w:t>
      </w:r>
    </w:p>
    <w:p w14:paraId="6F2DC736" w14:textId="77777777" w:rsidR="00052499" w:rsidRPr="00052499" w:rsidRDefault="00052499" w:rsidP="00052499">
      <w:pPr>
        <w:numPr>
          <w:ilvl w:val="0"/>
          <w:numId w:val="58"/>
        </w:numPr>
        <w:ind w:left="714" w:hanging="357"/>
        <w:jc w:val="both"/>
        <w:rPr>
          <w:rFonts w:eastAsia="Calibri" w:cstheme="minorHAnsi"/>
          <w:sz w:val="24"/>
          <w:szCs w:val="24"/>
          <w:lang w:val="sr-Latn-RS"/>
        </w:rPr>
      </w:pPr>
      <w:r w:rsidRPr="00052499">
        <w:rPr>
          <w:rFonts w:eastAsia="Calibri" w:cstheme="minorHAnsi"/>
          <w:sz w:val="24"/>
          <w:szCs w:val="24"/>
          <w:lang w:val="sr-Latn-RS"/>
        </w:rPr>
        <w:t>Procjena elastičnosti javnih prihoda i javnih rashoda u odnosu na gap;</w:t>
      </w:r>
    </w:p>
    <w:p w14:paraId="4A40503D" w14:textId="77777777" w:rsidR="00052499" w:rsidRPr="00052499" w:rsidRDefault="00052499" w:rsidP="00052499">
      <w:pPr>
        <w:jc w:val="both"/>
        <w:rPr>
          <w:rFonts w:eastAsia="Calibri" w:cstheme="minorHAnsi"/>
          <w:sz w:val="24"/>
          <w:szCs w:val="24"/>
          <w:lang w:val="sr-Latn-RS"/>
        </w:rPr>
      </w:pPr>
      <w:r w:rsidRPr="00052499">
        <w:rPr>
          <w:rFonts w:eastAsia="Calibri" w:cstheme="minorHAnsi"/>
          <w:sz w:val="24"/>
          <w:szCs w:val="24"/>
          <w:lang w:val="sr-Latn-RS"/>
        </w:rPr>
        <w:t>Vrijednosti potencijalne stope rasta, i potencijalnog BDP-a i output gap-a neophodnih za kalkulaciju, predstavljene su poglavlju 3 – Makroekonomski okvir.</w:t>
      </w:r>
    </w:p>
    <w:p w14:paraId="2053041C" w14:textId="77777777" w:rsidR="00052499" w:rsidRPr="00052499" w:rsidRDefault="00052499" w:rsidP="00052499">
      <w:pPr>
        <w:jc w:val="both"/>
        <w:rPr>
          <w:rFonts w:eastAsia="Calibri" w:cstheme="minorHAnsi"/>
          <w:sz w:val="24"/>
          <w:szCs w:val="24"/>
          <w:lang w:val="sr-Latn-RS"/>
        </w:rPr>
      </w:pPr>
      <w:r w:rsidRPr="00052499">
        <w:rPr>
          <w:rFonts w:eastAsia="Calibri" w:cstheme="minorHAnsi"/>
          <w:sz w:val="24"/>
          <w:szCs w:val="24"/>
          <w:lang w:val="sr-Latn-RS"/>
        </w:rPr>
        <w:t xml:space="preserve">U drugom koraku su procijenjeni koeficijenti elastičnosti pojedinih kategorija prihoda: indirektni porezi, porez na dohodak, porez na dobit i doprinosi. Svaka od navedenih kategorija se uzima u odnosu na relevantu osnovicu. pa se zatim množenjem sa ponderom (učešće pojedine kategorije prihoda u ukupnim prihodima), dobija elastičnost ove komponente prihoda u odnosu na output gap. </w:t>
      </w:r>
      <w:r w:rsidRPr="00052499">
        <w:rPr>
          <w:rFonts w:eastAsia="Calibri" w:cstheme="minorHAnsi"/>
          <w:noProof/>
          <w:sz w:val="24"/>
          <w:szCs w:val="24"/>
          <w:lang w:val="en-GB" w:eastAsia="en-GB"/>
        </w:rPr>
        <mc:AlternateContent>
          <mc:Choice Requires="wps">
            <w:drawing>
              <wp:anchor distT="0" distB="0" distL="114300" distR="114300" simplePos="0" relativeHeight="251693056" behindDoc="0" locked="0" layoutInCell="1" allowOverlap="1" wp14:anchorId="2BB0B448" wp14:editId="350107B2">
                <wp:simplePos x="0" y="0"/>
                <wp:positionH relativeFrom="margin">
                  <wp:posOffset>1866900</wp:posOffset>
                </wp:positionH>
                <wp:positionV relativeFrom="paragraph">
                  <wp:posOffset>0</wp:posOffset>
                </wp:positionV>
                <wp:extent cx="3981450" cy="161925"/>
                <wp:effectExtent l="0" t="0" r="0" b="952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81450" cy="161925"/>
                        </a:xfrm>
                        <a:prstGeom prst="rect">
                          <a:avLst/>
                        </a:prstGeom>
                        <a:solidFill>
                          <a:prstClr val="white"/>
                        </a:solidFill>
                        <a:ln>
                          <a:noFill/>
                        </a:ln>
                      </wps:spPr>
                      <wps:txbx>
                        <w:txbxContent>
                          <w:p w14:paraId="4F62D883" w14:textId="77777777" w:rsidR="00052499" w:rsidRDefault="00052499" w:rsidP="00052499">
                            <w:pPr>
                              <w:pStyle w:val="Grafik"/>
                              <w:jc w:val="left"/>
                              <w:rPr>
                                <w:lang w:bidi="en-US"/>
                              </w:rPr>
                            </w:pPr>
                            <w:r>
                              <w:rPr>
                                <w:lang w:bidi="en-US"/>
                              </w:rPr>
                              <w:t>Grafik 4.5.</w:t>
                            </w:r>
                            <w:r w:rsidRPr="00224B97">
                              <w:rPr>
                                <w:lang w:bidi="en-US"/>
                              </w:rPr>
                              <w:t xml:space="preserve">1 – Kretanje suficita/deficita, ciklične komponente i </w:t>
                            </w:r>
                            <w:r>
                              <w:rPr>
                                <w:lang w:bidi="en-US"/>
                              </w:rPr>
                              <w:t xml:space="preserve">cikličino prilgođenog </w:t>
                            </w:r>
                            <w:r w:rsidRPr="00224B97">
                              <w:rPr>
                                <w:lang w:bidi="en-US"/>
                              </w:rPr>
                              <w:t>deficita</w:t>
                            </w:r>
                          </w:p>
                          <w:p w14:paraId="1E18EB57" w14:textId="77777777" w:rsidR="00052499" w:rsidRPr="00224B97" w:rsidRDefault="00052499" w:rsidP="00052499">
                            <w:pPr>
                              <w:pStyle w:val="Grafik"/>
                              <w:jc w:val="center"/>
                              <w:rPr>
                                <w:lang w:bidi="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BB0B448" id="_x0000_s1029" type="#_x0000_t202" style="position:absolute;left:0;text-align:left;margin-left:147pt;margin-top:0;width:313.5pt;height:12.7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" stroked="f">
                <v:path arrowok="t"/>
                <v:textbox inset="0,0,0,0">
                  <w:txbxContent>
                    <w:p w14:paraId="4F62D883" w14:textId="77777777" w:rsidR="00052499" w:rsidRDefault="00052499" w:rsidP="00052499">
                      <w:pPr>
                        <w:pStyle w:val="Grafik"/>
                        <w:jc w:val="left"/>
                        <w:rPr>
                          <w:lang w:bidi="en-US"/>
                        </w:rPr>
                      </w:pPr>
                      <w:r>
                        <w:rPr>
                          <w:lang w:bidi="en-US"/>
                        </w:rPr>
                        <w:t>Grafik 4.5.</w:t>
                      </w:r>
                      <w:r w:rsidRPr="00224B97">
                        <w:rPr>
                          <w:lang w:bidi="en-US"/>
                        </w:rPr>
                        <w:t xml:space="preserve">1 – Kretanje suficita/deficita, ciklične komponente i </w:t>
                      </w:r>
                      <w:r>
                        <w:rPr>
                          <w:lang w:bidi="en-US"/>
                        </w:rPr>
                        <w:t xml:space="preserve">cikličino prilgođenog </w:t>
                      </w:r>
                      <w:r w:rsidRPr="00224B97">
                        <w:rPr>
                          <w:lang w:bidi="en-US"/>
                        </w:rPr>
                        <w:t>deficita</w:t>
                      </w:r>
                    </w:p>
                    <w:p w14:paraId="1E18EB57" w14:textId="77777777" w:rsidR="00052499" w:rsidRPr="00224B97" w:rsidRDefault="00052499" w:rsidP="00052499">
                      <w:pPr>
                        <w:pStyle w:val="Grafik"/>
                        <w:jc w:val="center"/>
                        <w:rPr>
                          <w:lang w:bidi="en-US"/>
                        </w:rPr>
                      </w:pPr>
                    </w:p>
                  </w:txbxContent>
                </v:textbox>
                <w10:wrap type="square" anchorx="margin"/>
              </v:shape>
            </w:pict>
          </mc:Fallback>
        </mc:AlternateContent>
      </w:r>
      <w:r w:rsidRPr="00052499">
        <w:rPr>
          <w:rFonts w:eastAsia="Calibri" w:cstheme="minorHAnsi"/>
          <w:noProof/>
          <w:sz w:val="24"/>
          <w:szCs w:val="24"/>
          <w:lang w:val="en-GB" w:eastAsia="en-GB"/>
        </w:rPr>
        <w:drawing>
          <wp:anchor distT="0" distB="0" distL="114300" distR="114300" simplePos="0" relativeHeight="251698176" behindDoc="1" locked="0" layoutInCell="1" allowOverlap="1" wp14:anchorId="039113D4" wp14:editId="6FB26F86">
            <wp:simplePos x="0" y="0"/>
            <wp:positionH relativeFrom="margin">
              <wp:align>right</wp:align>
            </wp:positionH>
            <wp:positionV relativeFrom="paragraph">
              <wp:posOffset>135890</wp:posOffset>
            </wp:positionV>
            <wp:extent cx="3906520" cy="2505710"/>
            <wp:effectExtent l="0" t="0" r="0" b="8890"/>
            <wp:wrapTight wrapText="bothSides">
              <wp:wrapPolygon edited="0">
                <wp:start x="0" y="0"/>
                <wp:lineTo x="0" y="21512"/>
                <wp:lineTo x="21488" y="21512"/>
                <wp:lineTo x="21488"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06520" cy="2505710"/>
                    </a:xfrm>
                    <a:prstGeom prst="rect">
                      <a:avLst/>
                    </a:prstGeom>
                    <a:noFill/>
                  </pic:spPr>
                </pic:pic>
              </a:graphicData>
            </a:graphic>
            <wp14:sizeRelH relativeFrom="margin">
              <wp14:pctWidth>0</wp14:pctWidth>
            </wp14:sizeRelH>
          </wp:anchor>
        </w:drawing>
      </w:r>
      <w:r w:rsidRPr="00052499">
        <w:rPr>
          <w:rFonts w:eastAsia="Calibri" w:cstheme="minorHAnsi"/>
          <w:sz w:val="24"/>
          <w:szCs w:val="24"/>
          <w:lang w:val="sr-Latn-RS"/>
        </w:rPr>
        <w:t xml:space="preserve">Množenjem koeficijenata elastičnosti pomenutih kategorija prihoda sa učešćem ukupnih prihoda u BDP-u dobija se parametar osjetljivosti prihoda, a ujedno i parametar osjetljivosti bilansa javnih finansija, jer </w:t>
      </w:r>
      <w:r w:rsidRPr="00052499">
        <w:rPr>
          <w:rFonts w:eastAsia="Calibri" w:cstheme="minorHAnsi"/>
          <w:sz w:val="24"/>
          <w:szCs w:val="24"/>
          <w:lang w:val="sr-Latn-RS"/>
        </w:rPr>
        <w:lastRenderedPageBreak/>
        <w:t xml:space="preserve">je koeficijent elastičnosti rashoda približno jednak 0. Kategorija rashoda za koji je urađen izračun elastičnosti je rashodi za nezaposlene, ali kada se uzme u obzir jako nisko učešće pomenutih rashoda u ukupnim rashodima dobije se da je ukupni parametar osjetljivosti rashodne strane budžeta jednak 0.  </w:t>
      </w:r>
    </w:p>
    <w:p w14:paraId="2BD178BF" w14:textId="77777777" w:rsidR="00052499" w:rsidRPr="00052499" w:rsidRDefault="00052499" w:rsidP="00052499">
      <w:pPr>
        <w:jc w:val="both"/>
        <w:rPr>
          <w:rFonts w:eastAsia="Calibri" w:cstheme="minorHAnsi"/>
          <w:sz w:val="24"/>
          <w:szCs w:val="24"/>
          <w:lang w:val="sr-Latn-RS"/>
        </w:rPr>
      </w:pPr>
      <w:r w:rsidRPr="00052499">
        <w:rPr>
          <w:rFonts w:eastAsia="Calibri" w:cstheme="minorHAnsi"/>
          <w:noProof/>
          <w:sz w:val="24"/>
          <w:szCs w:val="24"/>
          <w:lang w:val="en-GB" w:eastAsia="en-GB"/>
        </w:rPr>
        <mc:AlternateContent>
          <mc:Choice Requires="wps">
            <w:drawing>
              <wp:anchor distT="0" distB="0" distL="114300" distR="114300" simplePos="0" relativeHeight="251694080" behindDoc="0" locked="0" layoutInCell="1" allowOverlap="1" wp14:anchorId="2B6D5AC5" wp14:editId="1D401168">
                <wp:simplePos x="0" y="0"/>
                <wp:positionH relativeFrom="margin">
                  <wp:posOffset>276225</wp:posOffset>
                </wp:positionH>
                <wp:positionV relativeFrom="paragraph">
                  <wp:posOffset>144145</wp:posOffset>
                </wp:positionV>
                <wp:extent cx="2581275" cy="323850"/>
                <wp:effectExtent l="0" t="0" r="9525" b="0"/>
                <wp:wrapSquare wrapText="bothSides"/>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1275" cy="323850"/>
                        </a:xfrm>
                        <a:prstGeom prst="rect">
                          <a:avLst/>
                        </a:prstGeom>
                        <a:solidFill>
                          <a:prstClr val="white"/>
                        </a:solidFill>
                        <a:ln>
                          <a:noFill/>
                        </a:ln>
                      </wps:spPr>
                      <wps:txbx>
                        <w:txbxContent>
                          <w:p w14:paraId="3D09229A" w14:textId="77777777" w:rsidR="00052499" w:rsidRPr="00DD2EDA" w:rsidRDefault="00052499" w:rsidP="00052499">
                            <w:pPr>
                              <w:pStyle w:val="Caption"/>
                              <w:rPr>
                                <w:b/>
                                <w:iCs w:val="0"/>
                                <w:color w:val="808080"/>
                                <w:szCs w:val="22"/>
                                <w:lang w:bidi="en-US"/>
                              </w:rPr>
                            </w:pPr>
                            <w:r>
                              <w:rPr>
                                <w:rStyle w:val="GrafikChar"/>
                              </w:rPr>
                              <w:t xml:space="preserve">     Grafik 4.5.2</w:t>
                            </w:r>
                            <w:r w:rsidRPr="00F73C72">
                              <w:rPr>
                                <w:rStyle w:val="GrafikChar"/>
                              </w:rPr>
                              <w:t xml:space="preserve"> – </w:t>
                            </w:r>
                            <w:r>
                              <w:rPr>
                                <w:rStyle w:val="GrafikChar"/>
                              </w:rPr>
                              <w:t>Kretanje primarnog suficita/deficita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B6D5AC5" id="Text Box 4" o:spid="_x0000_s1030" type="#_x0000_t202" style="position:absolute;left:0;text-align:left;margin-left:21.75pt;margin-top:11.35pt;width:203.25pt;height:25.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" stroked="f">
                <v:path arrowok="t"/>
                <v:textbox inset="0,0,0,0">
                  <w:txbxContent>
                    <w:p w14:paraId="3D09229A" w14:textId="77777777" w:rsidR="00052499" w:rsidRPr="00DD2EDA" w:rsidRDefault="00052499" w:rsidP="00052499">
                      <w:pPr>
                        <w:pStyle w:val="Caption"/>
                        <w:rPr>
                          <w:b/>
                          <w:iCs w:val="0"/>
                          <w:color w:val="808080"/>
                          <w:szCs w:val="22"/>
                          <w:lang w:bidi="en-US"/>
                        </w:rPr>
                      </w:pPr>
                      <w:r>
                        <w:rPr>
                          <w:rStyle w:val="GrafikChar"/>
                        </w:rPr>
                        <w:t xml:space="preserve">     Grafik 4.5.2</w:t>
                      </w:r>
                      <w:r w:rsidRPr="00F73C72">
                        <w:rPr>
                          <w:rStyle w:val="GrafikChar"/>
                        </w:rPr>
                        <w:t xml:space="preserve"> – </w:t>
                      </w:r>
                      <w:r>
                        <w:rPr>
                          <w:rStyle w:val="GrafikChar"/>
                        </w:rPr>
                        <w:t>Kretanje primarnog suficita/deficita</w:t>
                      </w:r>
                    </w:p>
                  </w:txbxContent>
                </v:textbox>
                <w10:wrap type="square" anchorx="margin"/>
              </v:shape>
            </w:pict>
          </mc:Fallback>
        </mc:AlternateContent>
      </w:r>
    </w:p>
    <w:p w14:paraId="1E11F14F" w14:textId="77777777" w:rsidR="00052499" w:rsidRPr="00052499" w:rsidRDefault="00052499" w:rsidP="00052499">
      <w:pPr>
        <w:jc w:val="both"/>
        <w:rPr>
          <w:rFonts w:eastAsia="Calibri" w:cstheme="minorHAnsi"/>
          <w:sz w:val="24"/>
          <w:szCs w:val="24"/>
          <w:lang w:val="sr-Latn-RS"/>
        </w:rPr>
      </w:pPr>
      <w:r w:rsidRPr="00052499">
        <w:rPr>
          <w:rFonts w:eastAsia="Calibri" w:cstheme="minorHAnsi"/>
          <w:noProof/>
          <w:sz w:val="24"/>
          <w:szCs w:val="24"/>
          <w:lang w:val="en-GB" w:eastAsia="en-GB"/>
        </w:rPr>
        <w:drawing>
          <wp:anchor distT="0" distB="0" distL="114300" distR="114300" simplePos="0" relativeHeight="251696128" behindDoc="0" locked="0" layoutInCell="1" allowOverlap="1" wp14:anchorId="3DE89474" wp14:editId="1E93FF88">
            <wp:simplePos x="0" y="0"/>
            <wp:positionH relativeFrom="column">
              <wp:posOffset>0</wp:posOffset>
            </wp:positionH>
            <wp:positionV relativeFrom="paragraph">
              <wp:posOffset>-1905</wp:posOffset>
            </wp:positionV>
            <wp:extent cx="3267075" cy="2098040"/>
            <wp:effectExtent l="0" t="0" r="9525"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67075" cy="2098040"/>
                    </a:xfrm>
                    <a:prstGeom prst="rect">
                      <a:avLst/>
                    </a:prstGeom>
                    <a:noFill/>
                  </pic:spPr>
                </pic:pic>
              </a:graphicData>
            </a:graphic>
          </wp:anchor>
        </w:drawing>
      </w:r>
      <w:r w:rsidRPr="00052499">
        <w:rPr>
          <w:rFonts w:eastAsia="Calibri" w:cstheme="minorHAnsi"/>
          <w:sz w:val="24"/>
          <w:szCs w:val="24"/>
          <w:lang w:val="sr-Latn-RS"/>
        </w:rPr>
        <w:t xml:space="preserve">Parametar osjetljivosti suficita/deficita u odnosu na proizvodni jaz ocijenjena je na prosjek 0,35. Rezultati modela su ograničeni zbog specifičnosti zemlje i čestih promjena mjera fiskalne politike, dužine vremenske serije korišćene u ocjeni elastičnosti, ali odražavaju suštinska kretanja strukturne i ciklične komponente balansa javnih finansija. </w:t>
      </w:r>
      <w:r w:rsidRPr="00052499">
        <w:rPr>
          <w:rFonts w:eastAsia="Times New Roman" w:cstheme="minorHAnsi"/>
          <w:sz w:val="24"/>
          <w:szCs w:val="24"/>
          <w:lang w:val="sr-Latn-RS"/>
        </w:rPr>
        <w:t xml:space="preserve">Takođe, urađena je i kalkulacija ciklično prilagođenog primarnog bilansa (suficit/deficit bez kamata), koji je dodatno umanjen za jednokratnu naplatu prihoda i jednokratnih rashoda. </w:t>
      </w:r>
    </w:p>
    <w:p w14:paraId="316326D6" w14:textId="77777777" w:rsidR="00052499" w:rsidRPr="00052499" w:rsidRDefault="00052499" w:rsidP="00052499">
      <w:pPr>
        <w:jc w:val="both"/>
        <w:rPr>
          <w:rFonts w:eastAsia="Calibri" w:cstheme="minorHAnsi"/>
          <w:sz w:val="24"/>
          <w:szCs w:val="24"/>
          <w:lang w:val="sr-Latn-RS"/>
        </w:rPr>
      </w:pPr>
      <w:r w:rsidRPr="00052499">
        <w:rPr>
          <w:rFonts w:eastAsia="Calibri" w:cstheme="minorHAnsi"/>
          <w:sz w:val="24"/>
          <w:szCs w:val="24"/>
          <w:lang w:val="sr-Latn-RS"/>
        </w:rPr>
        <w:t xml:space="preserve">Predznak kategorije godišnje promjene ciklično prilagođenog primarnog sufita/deficita, označava fiskalnu poziciju i govori o karakteru fiskalne politike u određenoj godini. Pozitivne vrijednosti na grafiku 4.5.3 predstavljaju ekspanzivnu, dok negativne vrijednosti predstavljaju restriktivu fiskalnu politiku. </w:t>
      </w:r>
    </w:p>
    <w:p w14:paraId="43D5AFFE" w14:textId="77777777" w:rsidR="00052499" w:rsidRPr="00052499" w:rsidRDefault="00052499" w:rsidP="00052499">
      <w:pPr>
        <w:jc w:val="both"/>
        <w:rPr>
          <w:rFonts w:eastAsia="Calibri" w:cstheme="minorHAnsi"/>
          <w:sz w:val="24"/>
          <w:szCs w:val="24"/>
          <w:lang w:val="sr-Latn-RS"/>
        </w:rPr>
      </w:pPr>
      <w:r w:rsidRPr="00052499">
        <w:rPr>
          <w:rFonts w:eastAsia="Calibri" w:cstheme="minorHAnsi"/>
          <w:noProof/>
          <w:sz w:val="24"/>
          <w:szCs w:val="24"/>
          <w:lang w:val="en-GB" w:eastAsia="en-GB"/>
        </w:rPr>
        <w:drawing>
          <wp:anchor distT="0" distB="0" distL="114300" distR="114300" simplePos="0" relativeHeight="251697152" behindDoc="0" locked="0" layoutInCell="1" allowOverlap="1" wp14:anchorId="2EBED2A2" wp14:editId="69A35C9A">
            <wp:simplePos x="0" y="0"/>
            <wp:positionH relativeFrom="margin">
              <wp:posOffset>-152401</wp:posOffset>
            </wp:positionH>
            <wp:positionV relativeFrom="paragraph">
              <wp:posOffset>163829</wp:posOffset>
            </wp:positionV>
            <wp:extent cx="3038475" cy="1814873"/>
            <wp:effectExtent l="0" t="0" r="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38822" cy="1815080"/>
                    </a:xfrm>
                    <a:prstGeom prst="rect">
                      <a:avLst/>
                    </a:prstGeom>
                    <a:noFill/>
                  </pic:spPr>
                </pic:pic>
              </a:graphicData>
            </a:graphic>
            <wp14:sizeRelH relativeFrom="margin">
              <wp14:pctWidth>0</wp14:pctWidth>
            </wp14:sizeRelH>
            <wp14:sizeRelV relativeFrom="margin">
              <wp14:pctHeight>0</wp14:pctHeight>
            </wp14:sizeRelV>
          </wp:anchor>
        </w:drawing>
      </w:r>
      <w:r w:rsidRPr="00052499">
        <w:rPr>
          <w:rFonts w:eastAsia="Calibri" w:cstheme="minorHAnsi"/>
          <w:noProof/>
          <w:sz w:val="24"/>
          <w:szCs w:val="24"/>
          <w:lang w:val="en-GB" w:eastAsia="en-GB"/>
        </w:rPr>
        <mc:AlternateContent>
          <mc:Choice Requires="wps">
            <w:drawing>
              <wp:anchor distT="0" distB="0" distL="114300" distR="114300" simplePos="0" relativeHeight="251695104" behindDoc="0" locked="0" layoutInCell="1" allowOverlap="1" wp14:anchorId="3B247249" wp14:editId="00413B68">
                <wp:simplePos x="0" y="0"/>
                <wp:positionH relativeFrom="margin">
                  <wp:align>left</wp:align>
                </wp:positionH>
                <wp:positionV relativeFrom="paragraph">
                  <wp:posOffset>19050</wp:posOffset>
                </wp:positionV>
                <wp:extent cx="3076575" cy="180975"/>
                <wp:effectExtent l="0" t="0" r="9525" b="9525"/>
                <wp:wrapSquare wrapText="bothSides"/>
                <wp:docPr id="39" name="Text Box 39"/>
                <wp:cNvGraphicFramePr/>
                <a:graphic xmlns:a="http://schemas.openxmlformats.org/drawingml/2006/main">
                  <a:graphicData uri="http://schemas.microsoft.com/office/word/2010/wordprocessingShape">
                    <wps:wsp>
                      <wps:cNvSpPr txBox="1"/>
                      <wps:spPr>
                        <a:xfrm>
                          <a:off x="0" y="0"/>
                          <a:ext cx="3076575" cy="180975"/>
                        </a:xfrm>
                        <a:prstGeom prst="rect">
                          <a:avLst/>
                        </a:prstGeom>
                        <a:solidFill>
                          <a:prstClr val="white"/>
                        </a:solidFill>
                        <a:ln>
                          <a:noFill/>
                        </a:ln>
                      </wps:spPr>
                      <wps:txbx>
                        <w:txbxContent>
                          <w:p w14:paraId="2281380D" w14:textId="77777777" w:rsidR="00052499" w:rsidRPr="00D35030" w:rsidRDefault="00052499" w:rsidP="00052499">
                            <w:pPr>
                              <w:pStyle w:val="Caption"/>
                              <w:rPr>
                                <w:rStyle w:val="GrafikChar"/>
                              </w:rPr>
                            </w:pPr>
                            <w:r>
                              <w:rPr>
                                <w:rStyle w:val="GrafikChar"/>
                              </w:rPr>
                              <w:t xml:space="preserve">       </w:t>
                            </w:r>
                            <w:r w:rsidRPr="00D35030">
                              <w:rPr>
                                <w:rStyle w:val="GrafikChar"/>
                              </w:rPr>
                              <w:t>Grafik  4.5.3</w:t>
                            </w:r>
                            <w:r>
                              <w:rPr>
                                <w:rStyle w:val="GrafikChar"/>
                              </w:rPr>
                              <w:t xml:space="preserve"> -</w:t>
                            </w:r>
                            <w:r w:rsidRPr="00D35030">
                              <w:rPr>
                                <w:rStyle w:val="GrafikChar"/>
                              </w:rPr>
                              <w:t xml:space="preserve"> Karakter fiskalne politike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B247249" id="Text Box 39" o:spid="_x0000_s1031" type="#_x0000_t202" style="position:absolute;left:0;text-align:left;margin-left:0;margin-top:1.5pt;width:242.25pt;height:14.25pt;z-index:25169510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" stroked="f">
                <v:textbox inset="0,0,0,0">
                  <w:txbxContent>
                    <w:p w14:paraId="2281380D" w14:textId="77777777" w:rsidR="00052499" w:rsidRPr="00D35030" w:rsidRDefault="00052499" w:rsidP="00052499">
                      <w:pPr>
                        <w:pStyle w:val="Caption"/>
                        <w:rPr>
                          <w:rStyle w:val="GrafikChar"/>
                        </w:rPr>
                      </w:pPr>
                      <w:r>
                        <w:rPr>
                          <w:rStyle w:val="GrafikChar"/>
                        </w:rPr>
                        <w:t xml:space="preserve">       </w:t>
                      </w:r>
                      <w:r w:rsidRPr="00D35030">
                        <w:rPr>
                          <w:rStyle w:val="GrafikChar"/>
                        </w:rPr>
                        <w:t>Grafik  4.5.3</w:t>
                      </w:r>
                      <w:r>
                        <w:rPr>
                          <w:rStyle w:val="GrafikChar"/>
                        </w:rPr>
                        <w:t xml:space="preserve"> -</w:t>
                      </w:r>
                      <w:r w:rsidRPr="00D35030">
                        <w:rPr>
                          <w:rStyle w:val="GrafikChar"/>
                        </w:rPr>
                        <w:t xml:space="preserve"> Karakter fiskalne politike</w:t>
                      </w:r>
                    </w:p>
                  </w:txbxContent>
                </v:textbox>
                <w10:wrap type="square" anchorx="margin"/>
              </v:shape>
            </w:pict>
          </mc:Fallback>
        </mc:AlternateContent>
      </w:r>
      <w:r w:rsidRPr="00052499">
        <w:rPr>
          <w:rFonts w:eastAsia="Calibri" w:cstheme="minorHAnsi"/>
          <w:sz w:val="24"/>
          <w:lang w:val="en-GB"/>
        </w:rPr>
        <w:t xml:space="preserve">Prema trenutnom scenariju projektovanih trendova, nakon blagog negativnog output gap-a u 2022. Godini se očekuje pozitivni </w:t>
      </w:r>
      <w:r w:rsidRPr="00052499">
        <w:rPr>
          <w:rFonts w:eastAsia="Calibri" w:cstheme="minorHAnsi"/>
          <w:b/>
          <w:sz w:val="24"/>
          <w:lang w:val="en-GB"/>
        </w:rPr>
        <w:t>output gap</w:t>
      </w:r>
      <w:r w:rsidRPr="00052499">
        <w:rPr>
          <w:rFonts w:eastAsia="Calibri" w:cstheme="minorHAnsi"/>
          <w:sz w:val="24"/>
          <w:lang w:val="en-GB"/>
        </w:rPr>
        <w:t xml:space="preserve"> od 1,7% u 2023. godini, zatim raste do 2,7% u 2024 i nakon toga blago opada do 2,2% u 2026. godini, obzirom da se u srednjem roku stvaraju preduslovi za značajno ubrzanje rasta crnogorske ekonomije. </w:t>
      </w:r>
    </w:p>
    <w:p w14:paraId="77CD6B5A" w14:textId="77777777" w:rsidR="00052499" w:rsidRPr="00052499" w:rsidRDefault="00052499" w:rsidP="00052499">
      <w:pPr>
        <w:jc w:val="both"/>
        <w:rPr>
          <w:rFonts w:eastAsia="Calibri" w:cstheme="minorHAnsi"/>
          <w:sz w:val="24"/>
          <w:lang w:val="en-GB"/>
        </w:rPr>
      </w:pPr>
    </w:p>
    <w:p w14:paraId="1E9C51DC" w14:textId="77777777" w:rsidR="00052499" w:rsidRPr="00052499" w:rsidRDefault="00052499" w:rsidP="00052499">
      <w:pPr>
        <w:spacing w:after="0"/>
        <w:jc w:val="both"/>
        <w:rPr>
          <w:rFonts w:cstheme="minorHAnsi"/>
          <w:sz w:val="24"/>
          <w:szCs w:val="24"/>
        </w:rPr>
      </w:pPr>
      <w:r w:rsidRPr="00052499">
        <w:rPr>
          <w:rFonts w:eastAsia="Calibri" w:cstheme="minorHAnsi"/>
          <w:sz w:val="24"/>
          <w:lang w:val="en-GB"/>
        </w:rPr>
        <w:t xml:space="preserve">Kao što se na grafiku može vidjeti nakon 2022. i 2023. godine koja pokazuje ekspazivnu politiku što je rezultat uvećanih troškova, 2024. godinu karakteriše restriktivna politika sa pozitivnim output gap-om, što ukazuje na stabilizacioni (kontraciklični) karakter fiskalne politike, što se nastavlja i u srednjem roku.  </w:t>
      </w:r>
    </w:p>
    <w:p w14:paraId="6DFD29A1" w14:textId="77777777" w:rsidR="00052499" w:rsidRPr="00110B0F" w:rsidRDefault="00052499" w:rsidP="00052499">
      <w:pPr>
        <w:sectPr w:rsidR="00052499" w:rsidRPr="00110B0F" w:rsidSect="00052499">
          <w:footerReference w:type="default" r:id="rId16"/>
          <w:pgSz w:w="11906" w:h="16838" w:code="9"/>
          <w:pgMar w:top="1440" w:right="1440" w:bottom="1440" w:left="1440" w:header="709" w:footer="709" w:gutter="0"/>
          <w:cols w:space="708"/>
          <w:titlePg/>
          <w:docGrid w:linePitch="360"/>
        </w:sectPr>
      </w:pPr>
    </w:p>
    <w:tbl>
      <w:tblPr>
        <w:tblStyle w:val="TableGrid"/>
        <w:tblpPr w:leftFromText="180" w:rightFromText="180" w:vertAnchor="text" w:horzAnchor="margin" w:tblpXSpec="center" w:tblpY="-89"/>
        <w:tblW w:w="16276" w:type="dxa"/>
        <w:tblLook w:val="04A0" w:firstRow="1" w:lastRow="0" w:firstColumn="1" w:lastColumn="0" w:noHBand="0" w:noVBand="1"/>
      </w:tblPr>
      <w:tblGrid>
        <w:gridCol w:w="4236"/>
        <w:gridCol w:w="878"/>
        <w:gridCol w:w="969"/>
        <w:gridCol w:w="878"/>
        <w:gridCol w:w="813"/>
        <w:gridCol w:w="878"/>
        <w:gridCol w:w="813"/>
        <w:gridCol w:w="878"/>
        <w:gridCol w:w="814"/>
        <w:gridCol w:w="875"/>
        <w:gridCol w:w="831"/>
        <w:gridCol w:w="875"/>
        <w:gridCol w:w="831"/>
        <w:gridCol w:w="875"/>
        <w:gridCol w:w="832"/>
      </w:tblGrid>
      <w:tr w:rsidR="00052499" w:rsidRPr="004C7C90" w14:paraId="6F8B83E6" w14:textId="77777777" w:rsidTr="00052499">
        <w:trPr>
          <w:trHeight w:val="311"/>
        </w:trPr>
        <w:tc>
          <w:tcPr>
            <w:tcW w:w="4236" w:type="dxa"/>
            <w:noWrap/>
            <w:hideMark/>
          </w:tcPr>
          <w:p w14:paraId="2432F4FC"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lastRenderedPageBreak/>
              <w:br w:type="page"/>
              <w:t>Godišnji BDP (u mil. €)</w:t>
            </w:r>
          </w:p>
        </w:tc>
        <w:tc>
          <w:tcPr>
            <w:tcW w:w="1847" w:type="dxa"/>
            <w:gridSpan w:val="2"/>
            <w:hideMark/>
          </w:tcPr>
          <w:p w14:paraId="51ED25D0"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6447.1</w:t>
            </w:r>
          </w:p>
        </w:tc>
        <w:tc>
          <w:tcPr>
            <w:tcW w:w="1691" w:type="dxa"/>
            <w:gridSpan w:val="2"/>
            <w:hideMark/>
          </w:tcPr>
          <w:p w14:paraId="11D0743B"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7034.0</w:t>
            </w:r>
          </w:p>
        </w:tc>
        <w:tc>
          <w:tcPr>
            <w:tcW w:w="1691" w:type="dxa"/>
            <w:gridSpan w:val="2"/>
            <w:hideMark/>
          </w:tcPr>
          <w:p w14:paraId="0507C2D8"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7424.5</w:t>
            </w:r>
          </w:p>
        </w:tc>
        <w:tc>
          <w:tcPr>
            <w:tcW w:w="1692" w:type="dxa"/>
            <w:gridSpan w:val="2"/>
            <w:hideMark/>
          </w:tcPr>
          <w:p w14:paraId="15CA8FEB"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7782.6</w:t>
            </w:r>
          </w:p>
        </w:tc>
        <w:tc>
          <w:tcPr>
            <w:tcW w:w="1706" w:type="dxa"/>
            <w:gridSpan w:val="2"/>
            <w:hideMark/>
          </w:tcPr>
          <w:p w14:paraId="16FFEDBC"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6896.1</w:t>
            </w:r>
          </w:p>
        </w:tc>
        <w:tc>
          <w:tcPr>
            <w:tcW w:w="1706" w:type="dxa"/>
            <w:gridSpan w:val="2"/>
            <w:hideMark/>
          </w:tcPr>
          <w:p w14:paraId="73500415"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7217,4</w:t>
            </w:r>
          </w:p>
        </w:tc>
        <w:tc>
          <w:tcPr>
            <w:tcW w:w="1707" w:type="dxa"/>
            <w:gridSpan w:val="2"/>
            <w:hideMark/>
          </w:tcPr>
          <w:p w14:paraId="5FB9A212"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7489,4</w:t>
            </w:r>
          </w:p>
        </w:tc>
      </w:tr>
      <w:tr w:rsidR="00052499" w:rsidRPr="004C7C90" w14:paraId="24E9F205" w14:textId="77777777" w:rsidTr="00052499">
        <w:trPr>
          <w:trHeight w:val="311"/>
        </w:trPr>
        <w:tc>
          <w:tcPr>
            <w:tcW w:w="4236" w:type="dxa"/>
            <w:noWrap/>
            <w:hideMark/>
          </w:tcPr>
          <w:p w14:paraId="564FF5F4" w14:textId="77777777" w:rsidR="00052499" w:rsidRPr="004C7C90" w:rsidRDefault="00052499" w:rsidP="00052499">
            <w:pPr>
              <w:suppressLineNumbers/>
              <w:spacing w:before="100" w:beforeAutospacing="1" w:afterAutospacing="1"/>
              <w:rPr>
                <w:rFonts w:eastAsia="Times New Roman" w:cstheme="minorHAnsi"/>
                <w:color w:val="7E0000"/>
                <w:sz w:val="18"/>
                <w:szCs w:val="18"/>
                <w:lang w:val="sr-Latn-ME" w:eastAsia="sr-Latn-ME"/>
              </w:rPr>
            </w:pPr>
            <w:r w:rsidRPr="004C7C90">
              <w:rPr>
                <w:rFonts w:eastAsia="Times New Roman" w:cstheme="minorHAnsi"/>
                <w:color w:val="7E0000"/>
                <w:sz w:val="18"/>
                <w:szCs w:val="18"/>
                <w:lang w:val="sr-Latn-ME" w:eastAsia="sr-Latn-ME"/>
              </w:rPr>
              <w:t> </w:t>
            </w:r>
          </w:p>
        </w:tc>
        <w:tc>
          <w:tcPr>
            <w:tcW w:w="1847" w:type="dxa"/>
            <w:gridSpan w:val="2"/>
            <w:hideMark/>
          </w:tcPr>
          <w:p w14:paraId="549B84F4"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preliminarno</w:t>
            </w:r>
          </w:p>
        </w:tc>
        <w:tc>
          <w:tcPr>
            <w:tcW w:w="5074" w:type="dxa"/>
            <w:gridSpan w:val="6"/>
            <w:noWrap/>
            <w:hideMark/>
          </w:tcPr>
          <w:p w14:paraId="6D487362"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osnovni scenario</w:t>
            </w:r>
          </w:p>
        </w:tc>
        <w:tc>
          <w:tcPr>
            <w:tcW w:w="5119" w:type="dxa"/>
            <w:gridSpan w:val="6"/>
            <w:noWrap/>
            <w:hideMark/>
          </w:tcPr>
          <w:p w14:paraId="0F7F6247"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scenario nižeg rasta</w:t>
            </w:r>
          </w:p>
        </w:tc>
      </w:tr>
      <w:tr w:rsidR="00052499" w:rsidRPr="004C7C90" w14:paraId="30ECD7DD" w14:textId="77777777" w:rsidTr="00052499">
        <w:trPr>
          <w:trHeight w:val="297"/>
        </w:trPr>
        <w:tc>
          <w:tcPr>
            <w:tcW w:w="4236" w:type="dxa"/>
            <w:vMerge w:val="restart"/>
            <w:hideMark/>
          </w:tcPr>
          <w:p w14:paraId="3DF67472" w14:textId="77777777" w:rsidR="00052499" w:rsidRPr="004C7C90" w:rsidRDefault="00052499" w:rsidP="00052499">
            <w:pPr>
              <w:suppressLineNumbers/>
              <w:spacing w:before="100" w:beforeAutospacing="1" w:afterAutospacing="1"/>
              <w:jc w:val="center"/>
              <w:rPr>
                <w:rFonts w:eastAsia="Times New Roman" w:cstheme="minorHAnsi"/>
                <w:b/>
                <w:bCs/>
                <w:i/>
                <w:iCs/>
                <w:color w:val="7E0000"/>
                <w:sz w:val="18"/>
                <w:szCs w:val="18"/>
                <w:lang w:val="sr-Latn-ME" w:eastAsia="sr-Latn-ME"/>
              </w:rPr>
            </w:pPr>
            <w:r w:rsidRPr="004C7C90">
              <w:rPr>
                <w:rFonts w:eastAsia="Times New Roman" w:cstheme="minorHAnsi"/>
                <w:b/>
                <w:bCs/>
                <w:i/>
                <w:iCs/>
                <w:color w:val="7E0000"/>
                <w:sz w:val="18"/>
                <w:szCs w:val="18"/>
                <w:lang w:val="sr-Latn-ME" w:eastAsia="sr-Latn-ME"/>
              </w:rPr>
              <w:t>Procjena javnih finansija za 2021-2024. godine</w:t>
            </w:r>
          </w:p>
        </w:tc>
        <w:tc>
          <w:tcPr>
            <w:tcW w:w="1847" w:type="dxa"/>
            <w:gridSpan w:val="2"/>
            <w:noWrap/>
            <w:hideMark/>
          </w:tcPr>
          <w:p w14:paraId="32DE0FF5" w14:textId="77777777" w:rsidR="00052499" w:rsidRPr="004C7C90" w:rsidRDefault="00052499" w:rsidP="00052499">
            <w:pPr>
              <w:suppressLineNumbers/>
              <w:spacing w:before="100" w:beforeAutospacing="1" w:afterAutospacing="1"/>
              <w:jc w:val="center"/>
              <w:rPr>
                <w:rFonts w:eastAsia="Times New Roman" w:cstheme="minorHAnsi"/>
                <w:b/>
                <w:bCs/>
                <w:color w:val="7E0000"/>
                <w:sz w:val="18"/>
                <w:szCs w:val="18"/>
                <w:lang w:val="sr-Latn-ME" w:eastAsia="sr-Latn-ME"/>
              </w:rPr>
            </w:pPr>
            <w:r w:rsidRPr="004C7C90">
              <w:rPr>
                <w:rFonts w:eastAsia="Times New Roman" w:cstheme="minorHAnsi"/>
                <w:b/>
                <w:bCs/>
                <w:color w:val="7E0000"/>
                <w:sz w:val="18"/>
                <w:szCs w:val="18"/>
                <w:lang w:val="sr-Latn-ME" w:eastAsia="sr-Latn-ME"/>
              </w:rPr>
              <w:t>2023</w:t>
            </w:r>
          </w:p>
        </w:tc>
        <w:tc>
          <w:tcPr>
            <w:tcW w:w="1691" w:type="dxa"/>
            <w:gridSpan w:val="2"/>
            <w:noWrap/>
            <w:hideMark/>
          </w:tcPr>
          <w:p w14:paraId="0C16FBFB" w14:textId="77777777" w:rsidR="00052499" w:rsidRPr="004C7C90" w:rsidRDefault="00052499" w:rsidP="00052499">
            <w:pPr>
              <w:suppressLineNumbers/>
              <w:spacing w:before="100" w:beforeAutospacing="1" w:afterAutospacing="1"/>
              <w:jc w:val="center"/>
              <w:rPr>
                <w:rFonts w:eastAsia="Times New Roman" w:cstheme="minorHAnsi"/>
                <w:b/>
                <w:bCs/>
                <w:color w:val="7E0000"/>
                <w:sz w:val="18"/>
                <w:szCs w:val="18"/>
                <w:lang w:val="sr-Latn-ME" w:eastAsia="sr-Latn-ME"/>
              </w:rPr>
            </w:pPr>
            <w:r w:rsidRPr="004C7C90">
              <w:rPr>
                <w:rFonts w:eastAsia="Times New Roman" w:cstheme="minorHAnsi"/>
                <w:b/>
                <w:bCs/>
                <w:color w:val="7E0000"/>
                <w:sz w:val="18"/>
                <w:szCs w:val="18"/>
                <w:lang w:val="sr-Latn-ME" w:eastAsia="sr-Latn-ME"/>
              </w:rPr>
              <w:t>2024</w:t>
            </w:r>
          </w:p>
        </w:tc>
        <w:tc>
          <w:tcPr>
            <w:tcW w:w="1691" w:type="dxa"/>
            <w:gridSpan w:val="2"/>
            <w:noWrap/>
            <w:hideMark/>
          </w:tcPr>
          <w:p w14:paraId="68CD74B8" w14:textId="77777777" w:rsidR="00052499" w:rsidRPr="004C7C90" w:rsidRDefault="00052499" w:rsidP="00052499">
            <w:pPr>
              <w:suppressLineNumbers/>
              <w:spacing w:before="100" w:beforeAutospacing="1" w:afterAutospacing="1"/>
              <w:jc w:val="center"/>
              <w:rPr>
                <w:rFonts w:eastAsia="Times New Roman" w:cstheme="minorHAnsi"/>
                <w:b/>
                <w:bCs/>
                <w:color w:val="7E0000"/>
                <w:sz w:val="18"/>
                <w:szCs w:val="18"/>
                <w:lang w:val="sr-Latn-ME" w:eastAsia="sr-Latn-ME"/>
              </w:rPr>
            </w:pPr>
            <w:r w:rsidRPr="004C7C90">
              <w:rPr>
                <w:rFonts w:eastAsia="Times New Roman" w:cstheme="minorHAnsi"/>
                <w:b/>
                <w:bCs/>
                <w:color w:val="7E0000"/>
                <w:sz w:val="18"/>
                <w:szCs w:val="18"/>
                <w:lang w:val="sr-Latn-ME" w:eastAsia="sr-Latn-ME"/>
              </w:rPr>
              <w:t>2025</w:t>
            </w:r>
          </w:p>
        </w:tc>
        <w:tc>
          <w:tcPr>
            <w:tcW w:w="1692" w:type="dxa"/>
            <w:gridSpan w:val="2"/>
            <w:noWrap/>
            <w:hideMark/>
          </w:tcPr>
          <w:p w14:paraId="2D039AF3" w14:textId="77777777" w:rsidR="00052499" w:rsidRPr="004C7C90" w:rsidRDefault="00052499" w:rsidP="00052499">
            <w:pPr>
              <w:suppressLineNumbers/>
              <w:spacing w:before="100" w:beforeAutospacing="1" w:afterAutospacing="1"/>
              <w:jc w:val="center"/>
              <w:rPr>
                <w:rFonts w:eastAsia="Times New Roman" w:cstheme="minorHAnsi"/>
                <w:b/>
                <w:bCs/>
                <w:color w:val="7E0000"/>
                <w:sz w:val="18"/>
                <w:szCs w:val="18"/>
                <w:lang w:val="sr-Latn-ME" w:eastAsia="sr-Latn-ME"/>
              </w:rPr>
            </w:pPr>
            <w:r w:rsidRPr="004C7C90">
              <w:rPr>
                <w:rFonts w:eastAsia="Times New Roman" w:cstheme="minorHAnsi"/>
                <w:b/>
                <w:bCs/>
                <w:color w:val="7E0000"/>
                <w:sz w:val="18"/>
                <w:szCs w:val="18"/>
                <w:lang w:val="sr-Latn-ME" w:eastAsia="sr-Latn-ME"/>
              </w:rPr>
              <w:t>2026</w:t>
            </w:r>
          </w:p>
        </w:tc>
        <w:tc>
          <w:tcPr>
            <w:tcW w:w="1706" w:type="dxa"/>
            <w:gridSpan w:val="2"/>
            <w:noWrap/>
            <w:hideMark/>
          </w:tcPr>
          <w:p w14:paraId="7E5C2986" w14:textId="77777777" w:rsidR="00052499" w:rsidRPr="004C7C90" w:rsidRDefault="00052499" w:rsidP="00052499">
            <w:pPr>
              <w:suppressLineNumbers/>
              <w:spacing w:before="100" w:beforeAutospacing="1" w:afterAutospacing="1"/>
              <w:jc w:val="center"/>
              <w:rPr>
                <w:rFonts w:eastAsia="Times New Roman" w:cstheme="minorHAnsi"/>
                <w:b/>
                <w:bCs/>
                <w:color w:val="7E0000"/>
                <w:sz w:val="18"/>
                <w:szCs w:val="18"/>
                <w:lang w:val="sr-Latn-ME" w:eastAsia="sr-Latn-ME"/>
              </w:rPr>
            </w:pPr>
            <w:r w:rsidRPr="004C7C90">
              <w:rPr>
                <w:rFonts w:eastAsia="Times New Roman" w:cstheme="minorHAnsi"/>
                <w:b/>
                <w:bCs/>
                <w:color w:val="7E0000"/>
                <w:sz w:val="18"/>
                <w:szCs w:val="18"/>
                <w:lang w:val="sr-Latn-ME" w:eastAsia="sr-Latn-ME"/>
              </w:rPr>
              <w:t>2024</w:t>
            </w:r>
          </w:p>
        </w:tc>
        <w:tc>
          <w:tcPr>
            <w:tcW w:w="1706" w:type="dxa"/>
            <w:gridSpan w:val="2"/>
            <w:noWrap/>
            <w:hideMark/>
          </w:tcPr>
          <w:p w14:paraId="30B2044C" w14:textId="77777777" w:rsidR="00052499" w:rsidRPr="004C7C90" w:rsidRDefault="00052499" w:rsidP="00052499">
            <w:pPr>
              <w:suppressLineNumbers/>
              <w:spacing w:before="100" w:beforeAutospacing="1" w:afterAutospacing="1"/>
              <w:jc w:val="center"/>
              <w:rPr>
                <w:rFonts w:eastAsia="Times New Roman" w:cstheme="minorHAnsi"/>
                <w:b/>
                <w:bCs/>
                <w:color w:val="7E0000"/>
                <w:sz w:val="18"/>
                <w:szCs w:val="18"/>
                <w:lang w:val="sr-Latn-ME" w:eastAsia="sr-Latn-ME"/>
              </w:rPr>
            </w:pPr>
            <w:r w:rsidRPr="004C7C90">
              <w:rPr>
                <w:rFonts w:eastAsia="Times New Roman" w:cstheme="minorHAnsi"/>
                <w:b/>
                <w:bCs/>
                <w:color w:val="7E0000"/>
                <w:sz w:val="18"/>
                <w:szCs w:val="18"/>
                <w:lang w:val="sr-Latn-ME" w:eastAsia="sr-Latn-ME"/>
              </w:rPr>
              <w:t>2025</w:t>
            </w:r>
          </w:p>
        </w:tc>
        <w:tc>
          <w:tcPr>
            <w:tcW w:w="1707" w:type="dxa"/>
            <w:gridSpan w:val="2"/>
            <w:noWrap/>
            <w:hideMark/>
          </w:tcPr>
          <w:p w14:paraId="385BB2F3" w14:textId="77777777" w:rsidR="00052499" w:rsidRPr="004C7C90" w:rsidRDefault="00052499" w:rsidP="00052499">
            <w:pPr>
              <w:suppressLineNumbers/>
              <w:spacing w:before="100" w:beforeAutospacing="1" w:afterAutospacing="1"/>
              <w:jc w:val="center"/>
              <w:rPr>
                <w:rFonts w:eastAsia="Times New Roman" w:cstheme="minorHAnsi"/>
                <w:b/>
                <w:bCs/>
                <w:color w:val="7E0000"/>
                <w:sz w:val="18"/>
                <w:szCs w:val="18"/>
                <w:lang w:val="sr-Latn-ME" w:eastAsia="sr-Latn-ME"/>
              </w:rPr>
            </w:pPr>
            <w:r w:rsidRPr="004C7C90">
              <w:rPr>
                <w:rFonts w:eastAsia="Times New Roman" w:cstheme="minorHAnsi"/>
                <w:b/>
                <w:bCs/>
                <w:color w:val="7E0000"/>
                <w:sz w:val="18"/>
                <w:szCs w:val="18"/>
                <w:lang w:val="sr-Latn-ME" w:eastAsia="sr-Latn-ME"/>
              </w:rPr>
              <w:t>2026</w:t>
            </w:r>
          </w:p>
        </w:tc>
      </w:tr>
      <w:tr w:rsidR="00052499" w:rsidRPr="004C7C90" w14:paraId="3B5A9B84" w14:textId="77777777" w:rsidTr="00052499">
        <w:trPr>
          <w:trHeight w:val="311"/>
        </w:trPr>
        <w:tc>
          <w:tcPr>
            <w:tcW w:w="4236" w:type="dxa"/>
            <w:vMerge/>
            <w:hideMark/>
          </w:tcPr>
          <w:p w14:paraId="09220CFC" w14:textId="77777777" w:rsidR="00052499" w:rsidRPr="004C7C90" w:rsidRDefault="00052499" w:rsidP="00052499">
            <w:pPr>
              <w:suppressLineNumbers/>
              <w:spacing w:before="100" w:beforeAutospacing="1" w:afterAutospacing="1"/>
              <w:rPr>
                <w:rFonts w:eastAsia="Times New Roman" w:cstheme="minorHAnsi"/>
                <w:b/>
                <w:bCs/>
                <w:i/>
                <w:iCs/>
                <w:color w:val="7E0000"/>
                <w:sz w:val="18"/>
                <w:szCs w:val="18"/>
                <w:lang w:val="sr-Latn-ME" w:eastAsia="sr-Latn-ME"/>
              </w:rPr>
            </w:pPr>
          </w:p>
        </w:tc>
        <w:tc>
          <w:tcPr>
            <w:tcW w:w="878" w:type="dxa"/>
            <w:noWrap/>
            <w:hideMark/>
          </w:tcPr>
          <w:p w14:paraId="7A58CEE6" w14:textId="77777777" w:rsidR="00052499" w:rsidRPr="004C7C90" w:rsidRDefault="00052499" w:rsidP="00052499">
            <w:pPr>
              <w:suppressLineNumbers/>
              <w:spacing w:before="100" w:beforeAutospacing="1" w:afterAutospacing="1"/>
              <w:jc w:val="center"/>
              <w:rPr>
                <w:rFonts w:eastAsia="Times New Roman" w:cstheme="minorHAnsi"/>
                <w:b/>
                <w:bCs/>
                <w:color w:val="7E0000"/>
                <w:sz w:val="18"/>
                <w:szCs w:val="18"/>
                <w:lang w:val="sr-Latn-ME" w:eastAsia="sr-Latn-ME"/>
              </w:rPr>
            </w:pPr>
            <w:r w:rsidRPr="004C7C90">
              <w:rPr>
                <w:rFonts w:eastAsia="Times New Roman" w:cstheme="minorHAnsi"/>
                <w:b/>
                <w:bCs/>
                <w:color w:val="7E0000"/>
                <w:sz w:val="18"/>
                <w:szCs w:val="18"/>
                <w:lang w:val="sr-Latn-ME" w:eastAsia="sr-Latn-ME"/>
              </w:rPr>
              <w:t>mil. €</w:t>
            </w:r>
          </w:p>
        </w:tc>
        <w:tc>
          <w:tcPr>
            <w:tcW w:w="969" w:type="dxa"/>
            <w:noWrap/>
            <w:hideMark/>
          </w:tcPr>
          <w:p w14:paraId="3C0645F7" w14:textId="77777777" w:rsidR="00052499" w:rsidRPr="004C7C90" w:rsidRDefault="00052499" w:rsidP="00052499">
            <w:pPr>
              <w:suppressLineNumbers/>
              <w:spacing w:before="100" w:beforeAutospacing="1" w:afterAutospacing="1"/>
              <w:jc w:val="center"/>
              <w:rPr>
                <w:rFonts w:eastAsia="Times New Roman" w:cstheme="minorHAnsi"/>
                <w:b/>
                <w:bCs/>
                <w:color w:val="7E0000"/>
                <w:sz w:val="18"/>
                <w:szCs w:val="18"/>
                <w:lang w:val="sr-Latn-ME" w:eastAsia="sr-Latn-ME"/>
              </w:rPr>
            </w:pPr>
            <w:r w:rsidRPr="004C7C90">
              <w:rPr>
                <w:rFonts w:eastAsia="Times New Roman" w:cstheme="minorHAnsi"/>
                <w:b/>
                <w:bCs/>
                <w:color w:val="7E0000"/>
                <w:sz w:val="18"/>
                <w:szCs w:val="18"/>
                <w:lang w:val="sr-Latn-ME" w:eastAsia="sr-Latn-ME"/>
              </w:rPr>
              <w:t>% BDP</w:t>
            </w:r>
          </w:p>
        </w:tc>
        <w:tc>
          <w:tcPr>
            <w:tcW w:w="878" w:type="dxa"/>
            <w:noWrap/>
            <w:hideMark/>
          </w:tcPr>
          <w:p w14:paraId="57B6EAAC" w14:textId="77777777" w:rsidR="00052499" w:rsidRPr="004C7C90" w:rsidRDefault="00052499" w:rsidP="00052499">
            <w:pPr>
              <w:suppressLineNumbers/>
              <w:spacing w:before="100" w:beforeAutospacing="1" w:afterAutospacing="1"/>
              <w:jc w:val="center"/>
              <w:rPr>
                <w:rFonts w:eastAsia="Times New Roman" w:cstheme="minorHAnsi"/>
                <w:b/>
                <w:bCs/>
                <w:color w:val="7E0000"/>
                <w:sz w:val="18"/>
                <w:szCs w:val="18"/>
                <w:lang w:val="sr-Latn-ME" w:eastAsia="sr-Latn-ME"/>
              </w:rPr>
            </w:pPr>
            <w:r w:rsidRPr="004C7C90">
              <w:rPr>
                <w:rFonts w:eastAsia="Times New Roman" w:cstheme="minorHAnsi"/>
                <w:b/>
                <w:bCs/>
                <w:color w:val="7E0000"/>
                <w:sz w:val="18"/>
                <w:szCs w:val="18"/>
                <w:lang w:val="sr-Latn-ME" w:eastAsia="sr-Latn-ME"/>
              </w:rPr>
              <w:t>mil. €</w:t>
            </w:r>
          </w:p>
        </w:tc>
        <w:tc>
          <w:tcPr>
            <w:tcW w:w="813" w:type="dxa"/>
            <w:noWrap/>
            <w:hideMark/>
          </w:tcPr>
          <w:p w14:paraId="1F55AF70" w14:textId="77777777" w:rsidR="00052499" w:rsidRPr="004C7C90" w:rsidRDefault="00052499" w:rsidP="00052499">
            <w:pPr>
              <w:suppressLineNumbers/>
              <w:spacing w:before="100" w:beforeAutospacing="1" w:afterAutospacing="1"/>
              <w:jc w:val="center"/>
              <w:rPr>
                <w:rFonts w:eastAsia="Times New Roman" w:cstheme="minorHAnsi"/>
                <w:b/>
                <w:bCs/>
                <w:color w:val="7E0000"/>
                <w:sz w:val="18"/>
                <w:szCs w:val="18"/>
                <w:lang w:val="sr-Latn-ME" w:eastAsia="sr-Latn-ME"/>
              </w:rPr>
            </w:pPr>
            <w:r w:rsidRPr="004C7C90">
              <w:rPr>
                <w:rFonts w:eastAsia="Times New Roman" w:cstheme="minorHAnsi"/>
                <w:b/>
                <w:bCs/>
                <w:color w:val="7E0000"/>
                <w:sz w:val="18"/>
                <w:szCs w:val="18"/>
                <w:lang w:val="sr-Latn-ME" w:eastAsia="sr-Latn-ME"/>
              </w:rPr>
              <w:t>%</w:t>
            </w:r>
          </w:p>
        </w:tc>
        <w:tc>
          <w:tcPr>
            <w:tcW w:w="878" w:type="dxa"/>
            <w:noWrap/>
            <w:hideMark/>
          </w:tcPr>
          <w:p w14:paraId="35382531" w14:textId="77777777" w:rsidR="00052499" w:rsidRPr="004C7C90" w:rsidRDefault="00052499" w:rsidP="00052499">
            <w:pPr>
              <w:suppressLineNumbers/>
              <w:spacing w:before="100" w:beforeAutospacing="1" w:afterAutospacing="1"/>
              <w:jc w:val="center"/>
              <w:rPr>
                <w:rFonts w:eastAsia="Times New Roman" w:cstheme="minorHAnsi"/>
                <w:b/>
                <w:bCs/>
                <w:color w:val="7E0000"/>
                <w:sz w:val="18"/>
                <w:szCs w:val="18"/>
                <w:lang w:val="sr-Latn-ME" w:eastAsia="sr-Latn-ME"/>
              </w:rPr>
            </w:pPr>
            <w:r w:rsidRPr="004C7C90">
              <w:rPr>
                <w:rFonts w:eastAsia="Times New Roman" w:cstheme="minorHAnsi"/>
                <w:b/>
                <w:bCs/>
                <w:color w:val="7E0000"/>
                <w:sz w:val="18"/>
                <w:szCs w:val="18"/>
                <w:lang w:val="sr-Latn-ME" w:eastAsia="sr-Latn-ME"/>
              </w:rPr>
              <w:t>mil. €</w:t>
            </w:r>
          </w:p>
        </w:tc>
        <w:tc>
          <w:tcPr>
            <w:tcW w:w="813" w:type="dxa"/>
            <w:noWrap/>
            <w:hideMark/>
          </w:tcPr>
          <w:p w14:paraId="45F7A9E8" w14:textId="77777777" w:rsidR="00052499" w:rsidRPr="004C7C90" w:rsidRDefault="00052499" w:rsidP="00052499">
            <w:pPr>
              <w:suppressLineNumbers/>
              <w:spacing w:before="100" w:beforeAutospacing="1" w:afterAutospacing="1"/>
              <w:jc w:val="center"/>
              <w:rPr>
                <w:rFonts w:eastAsia="Times New Roman" w:cstheme="minorHAnsi"/>
                <w:b/>
                <w:bCs/>
                <w:color w:val="7E0000"/>
                <w:sz w:val="18"/>
                <w:szCs w:val="18"/>
                <w:lang w:val="sr-Latn-ME" w:eastAsia="sr-Latn-ME"/>
              </w:rPr>
            </w:pPr>
            <w:r w:rsidRPr="004C7C90">
              <w:rPr>
                <w:rFonts w:eastAsia="Times New Roman" w:cstheme="minorHAnsi"/>
                <w:b/>
                <w:bCs/>
                <w:color w:val="7E0000"/>
                <w:sz w:val="18"/>
                <w:szCs w:val="18"/>
                <w:lang w:val="sr-Latn-ME" w:eastAsia="sr-Latn-ME"/>
              </w:rPr>
              <w:t>% BDP</w:t>
            </w:r>
          </w:p>
        </w:tc>
        <w:tc>
          <w:tcPr>
            <w:tcW w:w="878" w:type="dxa"/>
            <w:noWrap/>
            <w:hideMark/>
          </w:tcPr>
          <w:p w14:paraId="493E12B5" w14:textId="77777777" w:rsidR="00052499" w:rsidRPr="004C7C90" w:rsidRDefault="00052499" w:rsidP="00052499">
            <w:pPr>
              <w:suppressLineNumbers/>
              <w:spacing w:before="100" w:beforeAutospacing="1" w:afterAutospacing="1"/>
              <w:jc w:val="center"/>
              <w:rPr>
                <w:rFonts w:eastAsia="Times New Roman" w:cstheme="minorHAnsi"/>
                <w:b/>
                <w:bCs/>
                <w:color w:val="7E0000"/>
                <w:sz w:val="18"/>
                <w:szCs w:val="18"/>
                <w:lang w:val="sr-Latn-ME" w:eastAsia="sr-Latn-ME"/>
              </w:rPr>
            </w:pPr>
            <w:r w:rsidRPr="004C7C90">
              <w:rPr>
                <w:rFonts w:eastAsia="Times New Roman" w:cstheme="minorHAnsi"/>
                <w:b/>
                <w:bCs/>
                <w:color w:val="7E0000"/>
                <w:sz w:val="18"/>
                <w:szCs w:val="18"/>
                <w:lang w:val="sr-Latn-ME" w:eastAsia="sr-Latn-ME"/>
              </w:rPr>
              <w:t>mil. €</w:t>
            </w:r>
          </w:p>
        </w:tc>
        <w:tc>
          <w:tcPr>
            <w:tcW w:w="814" w:type="dxa"/>
            <w:noWrap/>
            <w:hideMark/>
          </w:tcPr>
          <w:p w14:paraId="6D607308" w14:textId="77777777" w:rsidR="00052499" w:rsidRPr="004C7C90" w:rsidRDefault="00052499" w:rsidP="00052499">
            <w:pPr>
              <w:suppressLineNumbers/>
              <w:spacing w:before="100" w:beforeAutospacing="1" w:afterAutospacing="1"/>
              <w:jc w:val="center"/>
              <w:rPr>
                <w:rFonts w:eastAsia="Times New Roman" w:cstheme="minorHAnsi"/>
                <w:b/>
                <w:bCs/>
                <w:color w:val="7E0000"/>
                <w:sz w:val="18"/>
                <w:szCs w:val="18"/>
                <w:lang w:val="sr-Latn-ME" w:eastAsia="sr-Latn-ME"/>
              </w:rPr>
            </w:pPr>
            <w:r w:rsidRPr="004C7C90">
              <w:rPr>
                <w:rFonts w:eastAsia="Times New Roman" w:cstheme="minorHAnsi"/>
                <w:b/>
                <w:bCs/>
                <w:color w:val="7E0000"/>
                <w:sz w:val="18"/>
                <w:szCs w:val="18"/>
                <w:lang w:val="sr-Latn-ME" w:eastAsia="sr-Latn-ME"/>
              </w:rPr>
              <w:t>%</w:t>
            </w:r>
          </w:p>
        </w:tc>
        <w:tc>
          <w:tcPr>
            <w:tcW w:w="875" w:type="dxa"/>
            <w:noWrap/>
            <w:hideMark/>
          </w:tcPr>
          <w:p w14:paraId="2829EC79" w14:textId="77777777" w:rsidR="00052499" w:rsidRPr="004C7C90" w:rsidRDefault="00052499" w:rsidP="00052499">
            <w:pPr>
              <w:suppressLineNumbers/>
              <w:spacing w:before="100" w:beforeAutospacing="1" w:afterAutospacing="1"/>
              <w:jc w:val="center"/>
              <w:rPr>
                <w:rFonts w:eastAsia="Times New Roman" w:cstheme="minorHAnsi"/>
                <w:b/>
                <w:bCs/>
                <w:color w:val="7E0000"/>
                <w:sz w:val="18"/>
                <w:szCs w:val="18"/>
                <w:lang w:val="sr-Latn-ME" w:eastAsia="sr-Latn-ME"/>
              </w:rPr>
            </w:pPr>
            <w:r w:rsidRPr="004C7C90">
              <w:rPr>
                <w:rFonts w:eastAsia="Times New Roman" w:cstheme="minorHAnsi"/>
                <w:b/>
                <w:bCs/>
                <w:color w:val="7E0000"/>
                <w:sz w:val="18"/>
                <w:szCs w:val="18"/>
                <w:lang w:val="sr-Latn-ME" w:eastAsia="sr-Latn-ME"/>
              </w:rPr>
              <w:t>mil. €</w:t>
            </w:r>
          </w:p>
        </w:tc>
        <w:tc>
          <w:tcPr>
            <w:tcW w:w="831" w:type="dxa"/>
            <w:noWrap/>
            <w:hideMark/>
          </w:tcPr>
          <w:p w14:paraId="6B61AD74" w14:textId="77777777" w:rsidR="00052499" w:rsidRPr="004C7C90" w:rsidRDefault="00052499" w:rsidP="00052499">
            <w:pPr>
              <w:suppressLineNumbers/>
              <w:spacing w:before="100" w:beforeAutospacing="1" w:afterAutospacing="1"/>
              <w:jc w:val="center"/>
              <w:rPr>
                <w:rFonts w:eastAsia="Times New Roman" w:cstheme="minorHAnsi"/>
                <w:b/>
                <w:bCs/>
                <w:color w:val="7E0000"/>
                <w:sz w:val="18"/>
                <w:szCs w:val="18"/>
                <w:lang w:val="sr-Latn-ME" w:eastAsia="sr-Latn-ME"/>
              </w:rPr>
            </w:pPr>
            <w:r w:rsidRPr="004C7C90">
              <w:rPr>
                <w:rFonts w:eastAsia="Times New Roman" w:cstheme="minorHAnsi"/>
                <w:b/>
                <w:bCs/>
                <w:color w:val="7E0000"/>
                <w:sz w:val="18"/>
                <w:szCs w:val="18"/>
                <w:lang w:val="sr-Latn-ME" w:eastAsia="sr-Latn-ME"/>
              </w:rPr>
              <w:t>%</w:t>
            </w:r>
          </w:p>
        </w:tc>
        <w:tc>
          <w:tcPr>
            <w:tcW w:w="875" w:type="dxa"/>
            <w:noWrap/>
            <w:hideMark/>
          </w:tcPr>
          <w:p w14:paraId="1D4830A1" w14:textId="77777777" w:rsidR="00052499" w:rsidRPr="004C7C90" w:rsidRDefault="00052499" w:rsidP="00052499">
            <w:pPr>
              <w:suppressLineNumbers/>
              <w:spacing w:before="100" w:beforeAutospacing="1" w:afterAutospacing="1"/>
              <w:jc w:val="center"/>
              <w:rPr>
                <w:rFonts w:eastAsia="Times New Roman" w:cstheme="minorHAnsi"/>
                <w:b/>
                <w:bCs/>
                <w:color w:val="7E0000"/>
                <w:sz w:val="18"/>
                <w:szCs w:val="18"/>
                <w:lang w:val="sr-Latn-ME" w:eastAsia="sr-Latn-ME"/>
              </w:rPr>
            </w:pPr>
            <w:r w:rsidRPr="004C7C90">
              <w:rPr>
                <w:rFonts w:eastAsia="Times New Roman" w:cstheme="minorHAnsi"/>
                <w:b/>
                <w:bCs/>
                <w:color w:val="7E0000"/>
                <w:sz w:val="18"/>
                <w:szCs w:val="18"/>
                <w:lang w:val="sr-Latn-ME" w:eastAsia="sr-Latn-ME"/>
              </w:rPr>
              <w:t>mil. €</w:t>
            </w:r>
          </w:p>
        </w:tc>
        <w:tc>
          <w:tcPr>
            <w:tcW w:w="831" w:type="dxa"/>
            <w:noWrap/>
            <w:hideMark/>
          </w:tcPr>
          <w:p w14:paraId="757E6322" w14:textId="77777777" w:rsidR="00052499" w:rsidRPr="004C7C90" w:rsidRDefault="00052499" w:rsidP="00052499">
            <w:pPr>
              <w:suppressLineNumbers/>
              <w:spacing w:before="100" w:beforeAutospacing="1" w:afterAutospacing="1"/>
              <w:jc w:val="center"/>
              <w:rPr>
                <w:rFonts w:eastAsia="Times New Roman" w:cstheme="minorHAnsi"/>
                <w:b/>
                <w:bCs/>
                <w:color w:val="7E0000"/>
                <w:sz w:val="18"/>
                <w:szCs w:val="18"/>
                <w:lang w:val="sr-Latn-ME" w:eastAsia="sr-Latn-ME"/>
              </w:rPr>
            </w:pPr>
            <w:r w:rsidRPr="004C7C90">
              <w:rPr>
                <w:rFonts w:eastAsia="Times New Roman" w:cstheme="minorHAnsi"/>
                <w:b/>
                <w:bCs/>
                <w:color w:val="7E0000"/>
                <w:sz w:val="18"/>
                <w:szCs w:val="18"/>
                <w:lang w:val="sr-Latn-ME" w:eastAsia="sr-Latn-ME"/>
              </w:rPr>
              <w:t>% BDP</w:t>
            </w:r>
          </w:p>
        </w:tc>
        <w:tc>
          <w:tcPr>
            <w:tcW w:w="875" w:type="dxa"/>
            <w:noWrap/>
            <w:hideMark/>
          </w:tcPr>
          <w:p w14:paraId="0CADF69B" w14:textId="77777777" w:rsidR="00052499" w:rsidRPr="004C7C90" w:rsidRDefault="00052499" w:rsidP="00052499">
            <w:pPr>
              <w:suppressLineNumbers/>
              <w:spacing w:before="100" w:beforeAutospacing="1" w:afterAutospacing="1"/>
              <w:jc w:val="center"/>
              <w:rPr>
                <w:rFonts w:eastAsia="Times New Roman" w:cstheme="minorHAnsi"/>
                <w:b/>
                <w:bCs/>
                <w:color w:val="7E0000"/>
                <w:sz w:val="18"/>
                <w:szCs w:val="18"/>
                <w:lang w:val="sr-Latn-ME" w:eastAsia="sr-Latn-ME"/>
              </w:rPr>
            </w:pPr>
            <w:r w:rsidRPr="004C7C90">
              <w:rPr>
                <w:rFonts w:eastAsia="Times New Roman" w:cstheme="minorHAnsi"/>
                <w:b/>
                <w:bCs/>
                <w:color w:val="7E0000"/>
                <w:sz w:val="18"/>
                <w:szCs w:val="18"/>
                <w:lang w:val="sr-Latn-ME" w:eastAsia="sr-Latn-ME"/>
              </w:rPr>
              <w:t>mil. €</w:t>
            </w:r>
          </w:p>
        </w:tc>
        <w:tc>
          <w:tcPr>
            <w:tcW w:w="832" w:type="dxa"/>
            <w:noWrap/>
            <w:hideMark/>
          </w:tcPr>
          <w:p w14:paraId="08DA577A" w14:textId="77777777" w:rsidR="00052499" w:rsidRPr="004C7C90" w:rsidRDefault="00052499" w:rsidP="00052499">
            <w:pPr>
              <w:suppressLineNumbers/>
              <w:spacing w:before="100" w:beforeAutospacing="1" w:afterAutospacing="1"/>
              <w:jc w:val="center"/>
              <w:rPr>
                <w:rFonts w:eastAsia="Times New Roman" w:cstheme="minorHAnsi"/>
                <w:b/>
                <w:bCs/>
                <w:color w:val="7E0000"/>
                <w:sz w:val="18"/>
                <w:szCs w:val="18"/>
                <w:lang w:val="sr-Latn-ME" w:eastAsia="sr-Latn-ME"/>
              </w:rPr>
            </w:pPr>
            <w:r w:rsidRPr="004C7C90">
              <w:rPr>
                <w:rFonts w:eastAsia="Times New Roman" w:cstheme="minorHAnsi"/>
                <w:b/>
                <w:bCs/>
                <w:color w:val="7E0000"/>
                <w:sz w:val="18"/>
                <w:szCs w:val="18"/>
                <w:lang w:val="sr-Latn-ME" w:eastAsia="sr-Latn-ME"/>
              </w:rPr>
              <w:t>%</w:t>
            </w:r>
          </w:p>
        </w:tc>
      </w:tr>
      <w:tr w:rsidR="00052499" w:rsidRPr="004C7C90" w14:paraId="19B81B6A" w14:textId="77777777" w:rsidTr="00052499">
        <w:trPr>
          <w:trHeight w:val="311"/>
        </w:trPr>
        <w:tc>
          <w:tcPr>
            <w:tcW w:w="4236" w:type="dxa"/>
            <w:noWrap/>
            <w:hideMark/>
          </w:tcPr>
          <w:p w14:paraId="1E0CF9A3" w14:textId="77777777" w:rsidR="00052499" w:rsidRPr="004C7C90" w:rsidRDefault="00052499" w:rsidP="00052499">
            <w:pPr>
              <w:suppressLineNumbers/>
              <w:spacing w:before="100" w:beforeAutospacing="1" w:afterAutospacing="1"/>
              <w:rPr>
                <w:rFonts w:eastAsia="Times New Roman" w:cstheme="minorHAnsi"/>
                <w:color w:val="7E0000"/>
                <w:sz w:val="18"/>
                <w:szCs w:val="18"/>
                <w:lang w:val="sr-Latn-ME" w:eastAsia="sr-Latn-ME"/>
              </w:rPr>
            </w:pPr>
            <w:r w:rsidRPr="004C7C90">
              <w:rPr>
                <w:rFonts w:eastAsia="Times New Roman" w:cstheme="minorHAnsi"/>
                <w:color w:val="7E0000"/>
                <w:sz w:val="18"/>
                <w:szCs w:val="18"/>
                <w:lang w:val="sr-Latn-ME" w:eastAsia="sr-Latn-ME"/>
              </w:rPr>
              <w:t xml:space="preserve">Javni prihodi, </w:t>
            </w:r>
            <w:r w:rsidRPr="004C7C90">
              <w:rPr>
                <w:rFonts w:eastAsia="Times New Roman" w:cstheme="minorHAnsi"/>
                <w:i/>
                <w:iCs/>
                <w:color w:val="7E0000"/>
                <w:sz w:val="18"/>
                <w:szCs w:val="18"/>
                <w:lang w:val="sr-Latn-ME" w:eastAsia="sr-Latn-ME"/>
              </w:rPr>
              <w:t>od čega:</w:t>
            </w:r>
          </w:p>
        </w:tc>
        <w:tc>
          <w:tcPr>
            <w:tcW w:w="878" w:type="dxa"/>
            <w:hideMark/>
          </w:tcPr>
          <w:p w14:paraId="72D19E28"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2760.06</w:t>
            </w:r>
          </w:p>
        </w:tc>
        <w:tc>
          <w:tcPr>
            <w:tcW w:w="969" w:type="dxa"/>
            <w:hideMark/>
          </w:tcPr>
          <w:p w14:paraId="6EAD4A5B"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42.8</w:t>
            </w:r>
          </w:p>
        </w:tc>
        <w:tc>
          <w:tcPr>
            <w:tcW w:w="878" w:type="dxa"/>
            <w:hideMark/>
          </w:tcPr>
          <w:p w14:paraId="090A7F92"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3082.28</w:t>
            </w:r>
          </w:p>
        </w:tc>
        <w:tc>
          <w:tcPr>
            <w:tcW w:w="813" w:type="dxa"/>
            <w:hideMark/>
          </w:tcPr>
          <w:p w14:paraId="72CCB6EA"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43.8</w:t>
            </w:r>
          </w:p>
        </w:tc>
        <w:tc>
          <w:tcPr>
            <w:tcW w:w="878" w:type="dxa"/>
            <w:hideMark/>
          </w:tcPr>
          <w:p w14:paraId="329215A9"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3200.82</w:t>
            </w:r>
          </w:p>
        </w:tc>
        <w:tc>
          <w:tcPr>
            <w:tcW w:w="813" w:type="dxa"/>
            <w:hideMark/>
          </w:tcPr>
          <w:p w14:paraId="2955C88A"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43.1</w:t>
            </w:r>
          </w:p>
        </w:tc>
        <w:tc>
          <w:tcPr>
            <w:tcW w:w="878" w:type="dxa"/>
            <w:hideMark/>
          </w:tcPr>
          <w:p w14:paraId="5AFB2F4C"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3325.15</w:t>
            </w:r>
          </w:p>
        </w:tc>
        <w:tc>
          <w:tcPr>
            <w:tcW w:w="814" w:type="dxa"/>
            <w:hideMark/>
          </w:tcPr>
          <w:p w14:paraId="7152564A"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42.7</w:t>
            </w:r>
          </w:p>
        </w:tc>
        <w:tc>
          <w:tcPr>
            <w:tcW w:w="875" w:type="dxa"/>
            <w:hideMark/>
          </w:tcPr>
          <w:p w14:paraId="7EC5535C"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3016.00</w:t>
            </w:r>
          </w:p>
        </w:tc>
        <w:tc>
          <w:tcPr>
            <w:tcW w:w="831" w:type="dxa"/>
            <w:hideMark/>
          </w:tcPr>
          <w:p w14:paraId="731BE1A3"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42.9</w:t>
            </w:r>
          </w:p>
        </w:tc>
        <w:tc>
          <w:tcPr>
            <w:tcW w:w="875" w:type="dxa"/>
            <w:hideMark/>
          </w:tcPr>
          <w:p w14:paraId="0FAC15BD"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3124.69</w:t>
            </w:r>
          </w:p>
        </w:tc>
        <w:tc>
          <w:tcPr>
            <w:tcW w:w="831" w:type="dxa"/>
            <w:hideMark/>
          </w:tcPr>
          <w:p w14:paraId="57CAC050"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42.1</w:t>
            </w:r>
          </w:p>
        </w:tc>
        <w:tc>
          <w:tcPr>
            <w:tcW w:w="875" w:type="dxa"/>
            <w:hideMark/>
          </w:tcPr>
          <w:p w14:paraId="18408FF0"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3249.13</w:t>
            </w:r>
          </w:p>
        </w:tc>
        <w:tc>
          <w:tcPr>
            <w:tcW w:w="832" w:type="dxa"/>
            <w:hideMark/>
          </w:tcPr>
          <w:p w14:paraId="7FDE999D"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41.7</w:t>
            </w:r>
          </w:p>
        </w:tc>
      </w:tr>
      <w:tr w:rsidR="00052499" w:rsidRPr="004C7C90" w14:paraId="652E450D" w14:textId="77777777" w:rsidTr="00052499">
        <w:trPr>
          <w:trHeight w:val="297"/>
        </w:trPr>
        <w:tc>
          <w:tcPr>
            <w:tcW w:w="4236" w:type="dxa"/>
            <w:noWrap/>
            <w:hideMark/>
          </w:tcPr>
          <w:p w14:paraId="47008341" w14:textId="77777777" w:rsidR="00052499" w:rsidRPr="004C7C90" w:rsidRDefault="00052499" w:rsidP="00052499">
            <w:pPr>
              <w:suppressLineNumbers/>
              <w:spacing w:before="100" w:beforeAutospacing="1" w:afterAutospacing="1"/>
              <w:ind w:firstLineChars="200" w:firstLine="360"/>
              <w:rPr>
                <w:rFonts w:eastAsia="Times New Roman" w:cstheme="minorHAnsi"/>
                <w:color w:val="7E0000"/>
                <w:sz w:val="18"/>
                <w:szCs w:val="18"/>
                <w:lang w:val="sr-Latn-ME" w:eastAsia="sr-Latn-ME"/>
              </w:rPr>
            </w:pPr>
            <w:r w:rsidRPr="004C7C90">
              <w:rPr>
                <w:rFonts w:eastAsia="Times New Roman" w:cstheme="minorHAnsi"/>
                <w:color w:val="7E0000"/>
                <w:sz w:val="18"/>
                <w:szCs w:val="18"/>
                <w:lang w:val="sr-Latn-ME" w:eastAsia="sr-Latn-ME"/>
              </w:rPr>
              <w:t>Porez na dohodak</w:t>
            </w:r>
          </w:p>
        </w:tc>
        <w:tc>
          <w:tcPr>
            <w:tcW w:w="878" w:type="dxa"/>
            <w:hideMark/>
          </w:tcPr>
          <w:p w14:paraId="79B834F8"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130.83</w:t>
            </w:r>
          </w:p>
        </w:tc>
        <w:tc>
          <w:tcPr>
            <w:tcW w:w="969" w:type="dxa"/>
            <w:hideMark/>
          </w:tcPr>
          <w:p w14:paraId="2AD4FE90"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2.0</w:t>
            </w:r>
          </w:p>
        </w:tc>
        <w:tc>
          <w:tcPr>
            <w:tcW w:w="878" w:type="dxa"/>
            <w:hideMark/>
          </w:tcPr>
          <w:p w14:paraId="4836A684"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151.36</w:t>
            </w:r>
          </w:p>
        </w:tc>
        <w:tc>
          <w:tcPr>
            <w:tcW w:w="813" w:type="dxa"/>
            <w:hideMark/>
          </w:tcPr>
          <w:p w14:paraId="739EE560"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2.2</w:t>
            </w:r>
          </w:p>
        </w:tc>
        <w:tc>
          <w:tcPr>
            <w:tcW w:w="878" w:type="dxa"/>
            <w:hideMark/>
          </w:tcPr>
          <w:p w14:paraId="31D28265"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155.37</w:t>
            </w:r>
          </w:p>
        </w:tc>
        <w:tc>
          <w:tcPr>
            <w:tcW w:w="813" w:type="dxa"/>
            <w:hideMark/>
          </w:tcPr>
          <w:p w14:paraId="73E13388"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2.1</w:t>
            </w:r>
          </w:p>
        </w:tc>
        <w:tc>
          <w:tcPr>
            <w:tcW w:w="878" w:type="dxa"/>
            <w:hideMark/>
          </w:tcPr>
          <w:p w14:paraId="2182D641"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162.56</w:t>
            </w:r>
          </w:p>
        </w:tc>
        <w:tc>
          <w:tcPr>
            <w:tcW w:w="814" w:type="dxa"/>
            <w:hideMark/>
          </w:tcPr>
          <w:p w14:paraId="33623A2E"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2.1</w:t>
            </w:r>
          </w:p>
        </w:tc>
        <w:tc>
          <w:tcPr>
            <w:tcW w:w="875" w:type="dxa"/>
            <w:hideMark/>
          </w:tcPr>
          <w:p w14:paraId="5A5EC3E3"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135.78</w:t>
            </w:r>
          </w:p>
        </w:tc>
        <w:tc>
          <w:tcPr>
            <w:tcW w:w="831" w:type="dxa"/>
            <w:hideMark/>
          </w:tcPr>
          <w:p w14:paraId="008DB8C1"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1.9</w:t>
            </w:r>
          </w:p>
        </w:tc>
        <w:tc>
          <w:tcPr>
            <w:tcW w:w="875" w:type="dxa"/>
            <w:hideMark/>
          </w:tcPr>
          <w:p w14:paraId="57F57D0F"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140.08</w:t>
            </w:r>
          </w:p>
        </w:tc>
        <w:tc>
          <w:tcPr>
            <w:tcW w:w="831" w:type="dxa"/>
            <w:hideMark/>
          </w:tcPr>
          <w:p w14:paraId="7FCB8416"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1.9</w:t>
            </w:r>
          </w:p>
        </w:tc>
        <w:tc>
          <w:tcPr>
            <w:tcW w:w="875" w:type="dxa"/>
            <w:hideMark/>
          </w:tcPr>
          <w:p w14:paraId="3D972AEA"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146.47</w:t>
            </w:r>
          </w:p>
        </w:tc>
        <w:tc>
          <w:tcPr>
            <w:tcW w:w="832" w:type="dxa"/>
            <w:hideMark/>
          </w:tcPr>
          <w:p w14:paraId="6B5634A3"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1.9</w:t>
            </w:r>
          </w:p>
        </w:tc>
      </w:tr>
      <w:tr w:rsidR="00052499" w:rsidRPr="004C7C90" w14:paraId="6BC902F4" w14:textId="77777777" w:rsidTr="00052499">
        <w:trPr>
          <w:trHeight w:val="297"/>
        </w:trPr>
        <w:tc>
          <w:tcPr>
            <w:tcW w:w="4236" w:type="dxa"/>
            <w:noWrap/>
            <w:hideMark/>
          </w:tcPr>
          <w:p w14:paraId="3B1BFD08" w14:textId="77777777" w:rsidR="00052499" w:rsidRPr="004C7C90" w:rsidRDefault="00052499" w:rsidP="00052499">
            <w:pPr>
              <w:suppressLineNumbers/>
              <w:spacing w:before="100" w:beforeAutospacing="1" w:afterAutospacing="1"/>
              <w:ind w:firstLineChars="200" w:firstLine="360"/>
              <w:rPr>
                <w:rFonts w:eastAsia="Times New Roman" w:cstheme="minorHAnsi"/>
                <w:color w:val="7E0000"/>
                <w:sz w:val="18"/>
                <w:szCs w:val="18"/>
                <w:lang w:val="sr-Latn-ME" w:eastAsia="sr-Latn-ME"/>
              </w:rPr>
            </w:pPr>
            <w:r w:rsidRPr="004C7C90">
              <w:rPr>
                <w:rFonts w:eastAsia="Times New Roman" w:cstheme="minorHAnsi"/>
                <w:color w:val="7E0000"/>
                <w:sz w:val="18"/>
                <w:szCs w:val="18"/>
                <w:lang w:val="sr-Latn-ME" w:eastAsia="sr-Latn-ME"/>
              </w:rPr>
              <w:t>Porez na dodatu vrijednost</w:t>
            </w:r>
          </w:p>
        </w:tc>
        <w:tc>
          <w:tcPr>
            <w:tcW w:w="878" w:type="dxa"/>
            <w:hideMark/>
          </w:tcPr>
          <w:p w14:paraId="3BC6F8AB"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1028.04</w:t>
            </w:r>
          </w:p>
        </w:tc>
        <w:tc>
          <w:tcPr>
            <w:tcW w:w="969" w:type="dxa"/>
            <w:hideMark/>
          </w:tcPr>
          <w:p w14:paraId="5B3E8D03"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15.9</w:t>
            </w:r>
          </w:p>
        </w:tc>
        <w:tc>
          <w:tcPr>
            <w:tcW w:w="878" w:type="dxa"/>
            <w:hideMark/>
          </w:tcPr>
          <w:p w14:paraId="09B4A494"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1199.63</w:t>
            </w:r>
          </w:p>
        </w:tc>
        <w:tc>
          <w:tcPr>
            <w:tcW w:w="813" w:type="dxa"/>
            <w:hideMark/>
          </w:tcPr>
          <w:p w14:paraId="721A783C"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17.1</w:t>
            </w:r>
          </w:p>
        </w:tc>
        <w:tc>
          <w:tcPr>
            <w:tcW w:w="878" w:type="dxa"/>
            <w:hideMark/>
          </w:tcPr>
          <w:p w14:paraId="7C839805"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1255.44</w:t>
            </w:r>
          </w:p>
        </w:tc>
        <w:tc>
          <w:tcPr>
            <w:tcW w:w="813" w:type="dxa"/>
            <w:hideMark/>
          </w:tcPr>
          <w:p w14:paraId="5F6BEC54"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16.9</w:t>
            </w:r>
          </w:p>
        </w:tc>
        <w:tc>
          <w:tcPr>
            <w:tcW w:w="878" w:type="dxa"/>
            <w:hideMark/>
          </w:tcPr>
          <w:p w14:paraId="4A563DBD"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1310.27</w:t>
            </w:r>
          </w:p>
        </w:tc>
        <w:tc>
          <w:tcPr>
            <w:tcW w:w="814" w:type="dxa"/>
            <w:hideMark/>
          </w:tcPr>
          <w:p w14:paraId="698B52BA"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16.8</w:t>
            </w:r>
          </w:p>
        </w:tc>
        <w:tc>
          <w:tcPr>
            <w:tcW w:w="875" w:type="dxa"/>
            <w:hideMark/>
          </w:tcPr>
          <w:p w14:paraId="20F185F6"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1174.63</w:t>
            </w:r>
          </w:p>
        </w:tc>
        <w:tc>
          <w:tcPr>
            <w:tcW w:w="831" w:type="dxa"/>
            <w:hideMark/>
          </w:tcPr>
          <w:p w14:paraId="6CACE06B"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16.7</w:t>
            </w:r>
          </w:p>
        </w:tc>
        <w:tc>
          <w:tcPr>
            <w:tcW w:w="875" w:type="dxa"/>
            <w:hideMark/>
          </w:tcPr>
          <w:p w14:paraId="3F2A4F99"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1235.44</w:t>
            </w:r>
          </w:p>
        </w:tc>
        <w:tc>
          <w:tcPr>
            <w:tcW w:w="831" w:type="dxa"/>
            <w:hideMark/>
          </w:tcPr>
          <w:p w14:paraId="553C7B9E"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16.6</w:t>
            </w:r>
          </w:p>
        </w:tc>
        <w:tc>
          <w:tcPr>
            <w:tcW w:w="875" w:type="dxa"/>
            <w:hideMark/>
          </w:tcPr>
          <w:p w14:paraId="0C5F50D7"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1290.27</w:t>
            </w:r>
          </w:p>
        </w:tc>
        <w:tc>
          <w:tcPr>
            <w:tcW w:w="832" w:type="dxa"/>
            <w:hideMark/>
          </w:tcPr>
          <w:p w14:paraId="3FAD05EC"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16.6</w:t>
            </w:r>
          </w:p>
        </w:tc>
      </w:tr>
      <w:tr w:rsidR="00052499" w:rsidRPr="004C7C90" w14:paraId="7D13022F" w14:textId="77777777" w:rsidTr="00052499">
        <w:trPr>
          <w:trHeight w:val="297"/>
        </w:trPr>
        <w:tc>
          <w:tcPr>
            <w:tcW w:w="4236" w:type="dxa"/>
            <w:noWrap/>
            <w:hideMark/>
          </w:tcPr>
          <w:p w14:paraId="19832AC7" w14:textId="77777777" w:rsidR="00052499" w:rsidRPr="004C7C90" w:rsidRDefault="00052499" w:rsidP="00052499">
            <w:pPr>
              <w:suppressLineNumbers/>
              <w:spacing w:before="100" w:beforeAutospacing="1" w:afterAutospacing="1"/>
              <w:ind w:firstLineChars="200" w:firstLine="360"/>
              <w:rPr>
                <w:rFonts w:eastAsia="Times New Roman" w:cstheme="minorHAnsi"/>
                <w:color w:val="7E0000"/>
                <w:sz w:val="18"/>
                <w:szCs w:val="18"/>
                <w:lang w:val="sr-Latn-ME" w:eastAsia="sr-Latn-ME"/>
              </w:rPr>
            </w:pPr>
            <w:r w:rsidRPr="004C7C90">
              <w:rPr>
                <w:rFonts w:eastAsia="Times New Roman" w:cstheme="minorHAnsi"/>
                <w:color w:val="7E0000"/>
                <w:sz w:val="18"/>
                <w:szCs w:val="18"/>
                <w:lang w:val="sr-Latn-ME" w:eastAsia="sr-Latn-ME"/>
              </w:rPr>
              <w:t>Akcize</w:t>
            </w:r>
          </w:p>
        </w:tc>
        <w:tc>
          <w:tcPr>
            <w:tcW w:w="878" w:type="dxa"/>
            <w:hideMark/>
          </w:tcPr>
          <w:p w14:paraId="580CC991"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296.41</w:t>
            </w:r>
          </w:p>
        </w:tc>
        <w:tc>
          <w:tcPr>
            <w:tcW w:w="969" w:type="dxa"/>
            <w:hideMark/>
          </w:tcPr>
          <w:p w14:paraId="7D9D9F22"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4.6</w:t>
            </w:r>
          </w:p>
        </w:tc>
        <w:tc>
          <w:tcPr>
            <w:tcW w:w="878" w:type="dxa"/>
            <w:hideMark/>
          </w:tcPr>
          <w:p w14:paraId="22EEC4ED"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365.80</w:t>
            </w:r>
          </w:p>
        </w:tc>
        <w:tc>
          <w:tcPr>
            <w:tcW w:w="813" w:type="dxa"/>
            <w:hideMark/>
          </w:tcPr>
          <w:p w14:paraId="3D058F64"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5.2</w:t>
            </w:r>
          </w:p>
        </w:tc>
        <w:tc>
          <w:tcPr>
            <w:tcW w:w="878" w:type="dxa"/>
            <w:hideMark/>
          </w:tcPr>
          <w:p w14:paraId="195ABA42"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400.18</w:t>
            </w:r>
          </w:p>
        </w:tc>
        <w:tc>
          <w:tcPr>
            <w:tcW w:w="813" w:type="dxa"/>
            <w:hideMark/>
          </w:tcPr>
          <w:p w14:paraId="48A84207"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5.4</w:t>
            </w:r>
          </w:p>
        </w:tc>
        <w:tc>
          <w:tcPr>
            <w:tcW w:w="878" w:type="dxa"/>
            <w:hideMark/>
          </w:tcPr>
          <w:p w14:paraId="79F9EE64"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412.10</w:t>
            </w:r>
          </w:p>
        </w:tc>
        <w:tc>
          <w:tcPr>
            <w:tcW w:w="814" w:type="dxa"/>
            <w:hideMark/>
          </w:tcPr>
          <w:p w14:paraId="043B6918"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5.3</w:t>
            </w:r>
          </w:p>
        </w:tc>
        <w:tc>
          <w:tcPr>
            <w:tcW w:w="875" w:type="dxa"/>
            <w:hideMark/>
          </w:tcPr>
          <w:p w14:paraId="763B6D72"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353.80</w:t>
            </w:r>
          </w:p>
        </w:tc>
        <w:tc>
          <w:tcPr>
            <w:tcW w:w="831" w:type="dxa"/>
            <w:hideMark/>
          </w:tcPr>
          <w:p w14:paraId="60E2A34D"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5.0</w:t>
            </w:r>
          </w:p>
        </w:tc>
        <w:tc>
          <w:tcPr>
            <w:tcW w:w="875" w:type="dxa"/>
            <w:hideMark/>
          </w:tcPr>
          <w:p w14:paraId="719FA899"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380.18</w:t>
            </w:r>
          </w:p>
        </w:tc>
        <w:tc>
          <w:tcPr>
            <w:tcW w:w="831" w:type="dxa"/>
            <w:hideMark/>
          </w:tcPr>
          <w:p w14:paraId="1513D771"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5.1</w:t>
            </w:r>
          </w:p>
        </w:tc>
        <w:tc>
          <w:tcPr>
            <w:tcW w:w="875" w:type="dxa"/>
            <w:hideMark/>
          </w:tcPr>
          <w:p w14:paraId="353CC638"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392.10</w:t>
            </w:r>
          </w:p>
        </w:tc>
        <w:tc>
          <w:tcPr>
            <w:tcW w:w="832" w:type="dxa"/>
            <w:hideMark/>
          </w:tcPr>
          <w:p w14:paraId="778D26B6"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5.0</w:t>
            </w:r>
          </w:p>
        </w:tc>
      </w:tr>
      <w:tr w:rsidR="00052499" w:rsidRPr="004C7C90" w14:paraId="2B439B1B" w14:textId="77777777" w:rsidTr="00052499">
        <w:trPr>
          <w:trHeight w:val="297"/>
        </w:trPr>
        <w:tc>
          <w:tcPr>
            <w:tcW w:w="4236" w:type="dxa"/>
            <w:noWrap/>
            <w:hideMark/>
          </w:tcPr>
          <w:p w14:paraId="5D47BED5" w14:textId="77777777" w:rsidR="00052499" w:rsidRPr="004C7C90" w:rsidRDefault="00052499" w:rsidP="00052499">
            <w:pPr>
              <w:suppressLineNumbers/>
              <w:spacing w:before="100" w:beforeAutospacing="1" w:afterAutospacing="1"/>
              <w:ind w:firstLineChars="200" w:firstLine="360"/>
              <w:rPr>
                <w:rFonts w:eastAsia="Times New Roman" w:cstheme="minorHAnsi"/>
                <w:color w:val="7E0000"/>
                <w:sz w:val="18"/>
                <w:szCs w:val="18"/>
                <w:lang w:val="sr-Latn-ME" w:eastAsia="sr-Latn-ME"/>
              </w:rPr>
            </w:pPr>
            <w:r w:rsidRPr="004C7C90">
              <w:rPr>
                <w:rFonts w:eastAsia="Times New Roman" w:cstheme="minorHAnsi"/>
                <w:color w:val="7E0000"/>
                <w:sz w:val="18"/>
                <w:szCs w:val="18"/>
                <w:lang w:val="sr-Latn-ME" w:eastAsia="sr-Latn-ME"/>
              </w:rPr>
              <w:t>Lokalni porezi</w:t>
            </w:r>
          </w:p>
        </w:tc>
        <w:tc>
          <w:tcPr>
            <w:tcW w:w="878" w:type="dxa"/>
            <w:hideMark/>
          </w:tcPr>
          <w:p w14:paraId="2470D1AA"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16.61</w:t>
            </w:r>
          </w:p>
        </w:tc>
        <w:tc>
          <w:tcPr>
            <w:tcW w:w="969" w:type="dxa"/>
            <w:hideMark/>
          </w:tcPr>
          <w:p w14:paraId="172829E5"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0.3</w:t>
            </w:r>
          </w:p>
        </w:tc>
        <w:tc>
          <w:tcPr>
            <w:tcW w:w="878" w:type="dxa"/>
            <w:hideMark/>
          </w:tcPr>
          <w:p w14:paraId="7ADC0670"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17.44</w:t>
            </w:r>
          </w:p>
        </w:tc>
        <w:tc>
          <w:tcPr>
            <w:tcW w:w="813" w:type="dxa"/>
            <w:hideMark/>
          </w:tcPr>
          <w:p w14:paraId="65EFE521"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0.2</w:t>
            </w:r>
          </w:p>
        </w:tc>
        <w:tc>
          <w:tcPr>
            <w:tcW w:w="878" w:type="dxa"/>
            <w:hideMark/>
          </w:tcPr>
          <w:p w14:paraId="3F36194D"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18.31</w:t>
            </w:r>
          </w:p>
        </w:tc>
        <w:tc>
          <w:tcPr>
            <w:tcW w:w="813" w:type="dxa"/>
            <w:hideMark/>
          </w:tcPr>
          <w:p w14:paraId="1975718C"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0.2</w:t>
            </w:r>
          </w:p>
        </w:tc>
        <w:tc>
          <w:tcPr>
            <w:tcW w:w="878" w:type="dxa"/>
            <w:hideMark/>
          </w:tcPr>
          <w:p w14:paraId="4991C1C7"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19.05</w:t>
            </w:r>
          </w:p>
        </w:tc>
        <w:tc>
          <w:tcPr>
            <w:tcW w:w="814" w:type="dxa"/>
            <w:hideMark/>
          </w:tcPr>
          <w:p w14:paraId="77C3D8CA"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0.2</w:t>
            </w:r>
          </w:p>
        </w:tc>
        <w:tc>
          <w:tcPr>
            <w:tcW w:w="875" w:type="dxa"/>
            <w:hideMark/>
          </w:tcPr>
          <w:p w14:paraId="2F60B3FF"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17.44</w:t>
            </w:r>
          </w:p>
        </w:tc>
        <w:tc>
          <w:tcPr>
            <w:tcW w:w="831" w:type="dxa"/>
            <w:hideMark/>
          </w:tcPr>
          <w:p w14:paraId="2BE605CB"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0.2</w:t>
            </w:r>
          </w:p>
        </w:tc>
        <w:tc>
          <w:tcPr>
            <w:tcW w:w="875" w:type="dxa"/>
            <w:hideMark/>
          </w:tcPr>
          <w:p w14:paraId="32791384"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18.31</w:t>
            </w:r>
          </w:p>
        </w:tc>
        <w:tc>
          <w:tcPr>
            <w:tcW w:w="831" w:type="dxa"/>
            <w:hideMark/>
          </w:tcPr>
          <w:p w14:paraId="69EE6F77"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0.2</w:t>
            </w:r>
          </w:p>
        </w:tc>
        <w:tc>
          <w:tcPr>
            <w:tcW w:w="875" w:type="dxa"/>
            <w:hideMark/>
          </w:tcPr>
          <w:p w14:paraId="7B371120"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19.05</w:t>
            </w:r>
          </w:p>
        </w:tc>
        <w:tc>
          <w:tcPr>
            <w:tcW w:w="832" w:type="dxa"/>
            <w:hideMark/>
          </w:tcPr>
          <w:p w14:paraId="0A990438"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0.2</w:t>
            </w:r>
          </w:p>
        </w:tc>
      </w:tr>
      <w:tr w:rsidR="00052499" w:rsidRPr="004C7C90" w14:paraId="45CA06A6" w14:textId="77777777" w:rsidTr="00052499">
        <w:trPr>
          <w:trHeight w:val="311"/>
        </w:trPr>
        <w:tc>
          <w:tcPr>
            <w:tcW w:w="4236" w:type="dxa"/>
            <w:noWrap/>
            <w:hideMark/>
          </w:tcPr>
          <w:p w14:paraId="5BA22E94" w14:textId="77777777" w:rsidR="00052499" w:rsidRPr="004C7C90" w:rsidRDefault="00052499" w:rsidP="00052499">
            <w:pPr>
              <w:suppressLineNumbers/>
              <w:spacing w:before="100" w:beforeAutospacing="1" w:afterAutospacing="1"/>
              <w:ind w:firstLineChars="200" w:firstLine="360"/>
              <w:rPr>
                <w:rFonts w:eastAsia="Times New Roman" w:cstheme="minorHAnsi"/>
                <w:color w:val="7E0000"/>
                <w:sz w:val="18"/>
                <w:szCs w:val="18"/>
                <w:lang w:val="sr-Latn-ME" w:eastAsia="sr-Latn-ME"/>
              </w:rPr>
            </w:pPr>
            <w:r w:rsidRPr="004C7C90">
              <w:rPr>
                <w:rFonts w:eastAsia="Times New Roman" w:cstheme="minorHAnsi"/>
                <w:color w:val="7E0000"/>
                <w:sz w:val="18"/>
                <w:szCs w:val="18"/>
                <w:lang w:val="sr-Latn-ME" w:eastAsia="sr-Latn-ME"/>
              </w:rPr>
              <w:t>Doprinosi</w:t>
            </w:r>
          </w:p>
        </w:tc>
        <w:tc>
          <w:tcPr>
            <w:tcW w:w="878" w:type="dxa"/>
            <w:hideMark/>
          </w:tcPr>
          <w:p w14:paraId="77E1C073"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512.23</w:t>
            </w:r>
          </w:p>
        </w:tc>
        <w:tc>
          <w:tcPr>
            <w:tcW w:w="969" w:type="dxa"/>
            <w:hideMark/>
          </w:tcPr>
          <w:p w14:paraId="2AA0F011"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7.9</w:t>
            </w:r>
          </w:p>
        </w:tc>
        <w:tc>
          <w:tcPr>
            <w:tcW w:w="878" w:type="dxa"/>
            <w:hideMark/>
          </w:tcPr>
          <w:p w14:paraId="7B26926A"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605.40</w:t>
            </w:r>
          </w:p>
        </w:tc>
        <w:tc>
          <w:tcPr>
            <w:tcW w:w="813" w:type="dxa"/>
            <w:hideMark/>
          </w:tcPr>
          <w:p w14:paraId="11CBEF56"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8.6</w:t>
            </w:r>
          </w:p>
        </w:tc>
        <w:tc>
          <w:tcPr>
            <w:tcW w:w="878" w:type="dxa"/>
            <w:hideMark/>
          </w:tcPr>
          <w:p w14:paraId="57A96F69"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637.36</w:t>
            </w:r>
          </w:p>
        </w:tc>
        <w:tc>
          <w:tcPr>
            <w:tcW w:w="813" w:type="dxa"/>
            <w:hideMark/>
          </w:tcPr>
          <w:p w14:paraId="1A23FFB1"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8.6</w:t>
            </w:r>
          </w:p>
        </w:tc>
        <w:tc>
          <w:tcPr>
            <w:tcW w:w="878" w:type="dxa"/>
            <w:hideMark/>
          </w:tcPr>
          <w:p w14:paraId="7214D608"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670.22</w:t>
            </w:r>
          </w:p>
        </w:tc>
        <w:tc>
          <w:tcPr>
            <w:tcW w:w="814" w:type="dxa"/>
            <w:hideMark/>
          </w:tcPr>
          <w:p w14:paraId="2463DB9B"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8.6</w:t>
            </w:r>
          </w:p>
        </w:tc>
        <w:tc>
          <w:tcPr>
            <w:tcW w:w="875" w:type="dxa"/>
            <w:hideMark/>
          </w:tcPr>
          <w:p w14:paraId="25EC95F6"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593.40</w:t>
            </w:r>
          </w:p>
        </w:tc>
        <w:tc>
          <w:tcPr>
            <w:tcW w:w="831" w:type="dxa"/>
            <w:hideMark/>
          </w:tcPr>
          <w:p w14:paraId="0041D13E"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8.4</w:t>
            </w:r>
          </w:p>
        </w:tc>
        <w:tc>
          <w:tcPr>
            <w:tcW w:w="875" w:type="dxa"/>
            <w:hideMark/>
          </w:tcPr>
          <w:p w14:paraId="7804E6F3"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625.36</w:t>
            </w:r>
          </w:p>
        </w:tc>
        <w:tc>
          <w:tcPr>
            <w:tcW w:w="831" w:type="dxa"/>
            <w:hideMark/>
          </w:tcPr>
          <w:p w14:paraId="6F1CF7A8"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8.4</w:t>
            </w:r>
          </w:p>
        </w:tc>
        <w:tc>
          <w:tcPr>
            <w:tcW w:w="875" w:type="dxa"/>
            <w:hideMark/>
          </w:tcPr>
          <w:p w14:paraId="4555C82A"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658.22</w:t>
            </w:r>
          </w:p>
        </w:tc>
        <w:tc>
          <w:tcPr>
            <w:tcW w:w="832" w:type="dxa"/>
            <w:hideMark/>
          </w:tcPr>
          <w:p w14:paraId="06ECCEE6"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8.5</w:t>
            </w:r>
          </w:p>
        </w:tc>
      </w:tr>
      <w:tr w:rsidR="00052499" w:rsidRPr="004C7C90" w14:paraId="675FBE07" w14:textId="77777777" w:rsidTr="00052499">
        <w:trPr>
          <w:trHeight w:val="311"/>
        </w:trPr>
        <w:tc>
          <w:tcPr>
            <w:tcW w:w="4236" w:type="dxa"/>
            <w:noWrap/>
            <w:hideMark/>
          </w:tcPr>
          <w:p w14:paraId="726DF7E0" w14:textId="77777777" w:rsidR="00052499" w:rsidRPr="004C7C90" w:rsidRDefault="00052499" w:rsidP="00052499">
            <w:pPr>
              <w:suppressLineNumbers/>
              <w:spacing w:before="100" w:beforeAutospacing="1" w:afterAutospacing="1"/>
              <w:rPr>
                <w:rFonts w:eastAsia="Times New Roman" w:cstheme="minorHAnsi"/>
                <w:color w:val="7E0000"/>
                <w:sz w:val="18"/>
                <w:szCs w:val="18"/>
                <w:lang w:val="sr-Latn-ME" w:eastAsia="sr-Latn-ME"/>
              </w:rPr>
            </w:pPr>
            <w:r w:rsidRPr="004C7C90">
              <w:rPr>
                <w:rFonts w:eastAsia="Times New Roman" w:cstheme="minorHAnsi"/>
                <w:color w:val="7E0000"/>
                <w:sz w:val="18"/>
                <w:szCs w:val="18"/>
                <w:lang w:val="sr-Latn-ME" w:eastAsia="sr-Latn-ME"/>
              </w:rPr>
              <w:t xml:space="preserve">Javna potrošnja, </w:t>
            </w:r>
            <w:r w:rsidRPr="004C7C90">
              <w:rPr>
                <w:rFonts w:eastAsia="Times New Roman" w:cstheme="minorHAnsi"/>
                <w:i/>
                <w:iCs/>
                <w:color w:val="7E0000"/>
                <w:sz w:val="18"/>
                <w:szCs w:val="18"/>
                <w:lang w:val="sr-Latn-ME" w:eastAsia="sr-Latn-ME"/>
              </w:rPr>
              <w:t>od čega:</w:t>
            </w:r>
          </w:p>
        </w:tc>
        <w:tc>
          <w:tcPr>
            <w:tcW w:w="878" w:type="dxa"/>
            <w:hideMark/>
          </w:tcPr>
          <w:p w14:paraId="7FCB49F4"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3076.42</w:t>
            </w:r>
          </w:p>
        </w:tc>
        <w:tc>
          <w:tcPr>
            <w:tcW w:w="969" w:type="dxa"/>
            <w:hideMark/>
          </w:tcPr>
          <w:p w14:paraId="34E0FFF7"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47.7</w:t>
            </w:r>
          </w:p>
        </w:tc>
        <w:tc>
          <w:tcPr>
            <w:tcW w:w="878" w:type="dxa"/>
            <w:hideMark/>
          </w:tcPr>
          <w:p w14:paraId="36C876FB"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3358.66</w:t>
            </w:r>
          </w:p>
        </w:tc>
        <w:tc>
          <w:tcPr>
            <w:tcW w:w="813" w:type="dxa"/>
            <w:hideMark/>
          </w:tcPr>
          <w:p w14:paraId="43894344"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47.7</w:t>
            </w:r>
          </w:p>
        </w:tc>
        <w:tc>
          <w:tcPr>
            <w:tcW w:w="878" w:type="dxa"/>
            <w:hideMark/>
          </w:tcPr>
          <w:p w14:paraId="03E65781"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3447.07</w:t>
            </w:r>
          </w:p>
        </w:tc>
        <w:tc>
          <w:tcPr>
            <w:tcW w:w="813" w:type="dxa"/>
            <w:hideMark/>
          </w:tcPr>
          <w:p w14:paraId="36B7B480"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46.4</w:t>
            </w:r>
          </w:p>
        </w:tc>
        <w:tc>
          <w:tcPr>
            <w:tcW w:w="878" w:type="dxa"/>
            <w:hideMark/>
          </w:tcPr>
          <w:p w14:paraId="409454A9"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3532.35</w:t>
            </w:r>
          </w:p>
        </w:tc>
        <w:tc>
          <w:tcPr>
            <w:tcW w:w="814" w:type="dxa"/>
            <w:hideMark/>
          </w:tcPr>
          <w:p w14:paraId="1580C026"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45.4</w:t>
            </w:r>
          </w:p>
        </w:tc>
        <w:tc>
          <w:tcPr>
            <w:tcW w:w="875" w:type="dxa"/>
            <w:hideMark/>
          </w:tcPr>
          <w:p w14:paraId="075822BD"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2.440,7</w:t>
            </w:r>
          </w:p>
        </w:tc>
        <w:tc>
          <w:tcPr>
            <w:tcW w:w="831" w:type="dxa"/>
            <w:hideMark/>
          </w:tcPr>
          <w:p w14:paraId="5B395139"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47,4</w:t>
            </w:r>
          </w:p>
        </w:tc>
        <w:tc>
          <w:tcPr>
            <w:tcW w:w="875" w:type="dxa"/>
            <w:hideMark/>
          </w:tcPr>
          <w:p w14:paraId="40EDEA1F"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2.422,0</w:t>
            </w:r>
          </w:p>
        </w:tc>
        <w:tc>
          <w:tcPr>
            <w:tcW w:w="831" w:type="dxa"/>
            <w:hideMark/>
          </w:tcPr>
          <w:p w14:paraId="023B8F1E"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44,5</w:t>
            </w:r>
          </w:p>
        </w:tc>
        <w:tc>
          <w:tcPr>
            <w:tcW w:w="875" w:type="dxa"/>
            <w:hideMark/>
          </w:tcPr>
          <w:p w14:paraId="41EE1BEF"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2.468,9</w:t>
            </w:r>
          </w:p>
        </w:tc>
        <w:tc>
          <w:tcPr>
            <w:tcW w:w="832" w:type="dxa"/>
            <w:hideMark/>
          </w:tcPr>
          <w:p w14:paraId="66B275D8"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43,3</w:t>
            </w:r>
          </w:p>
        </w:tc>
      </w:tr>
      <w:tr w:rsidR="00052499" w:rsidRPr="004C7C90" w14:paraId="490E7304" w14:textId="77777777" w:rsidTr="00052499">
        <w:trPr>
          <w:trHeight w:val="297"/>
        </w:trPr>
        <w:tc>
          <w:tcPr>
            <w:tcW w:w="4236" w:type="dxa"/>
            <w:noWrap/>
            <w:hideMark/>
          </w:tcPr>
          <w:p w14:paraId="5F09F539" w14:textId="77777777" w:rsidR="00052499" w:rsidRPr="004C7C90" w:rsidRDefault="00052499" w:rsidP="00052499">
            <w:pPr>
              <w:suppressLineNumbers/>
              <w:spacing w:before="100" w:beforeAutospacing="1" w:afterAutospacing="1"/>
              <w:ind w:firstLineChars="200" w:firstLine="360"/>
              <w:rPr>
                <w:rFonts w:eastAsia="Times New Roman" w:cstheme="minorHAnsi"/>
                <w:color w:val="7E0000"/>
                <w:sz w:val="18"/>
                <w:szCs w:val="18"/>
                <w:lang w:val="sr-Latn-ME" w:eastAsia="sr-Latn-ME"/>
              </w:rPr>
            </w:pPr>
            <w:r w:rsidRPr="004C7C90">
              <w:rPr>
                <w:rFonts w:eastAsia="Times New Roman" w:cstheme="minorHAnsi"/>
                <w:color w:val="7E0000"/>
                <w:sz w:val="18"/>
                <w:szCs w:val="18"/>
                <w:lang w:val="sr-Latn-ME" w:eastAsia="sr-Latn-ME"/>
              </w:rPr>
              <w:t>Bruto zarade</w:t>
            </w:r>
          </w:p>
        </w:tc>
        <w:tc>
          <w:tcPr>
            <w:tcW w:w="878" w:type="dxa"/>
            <w:hideMark/>
          </w:tcPr>
          <w:p w14:paraId="1C116E04"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704.73</w:t>
            </w:r>
          </w:p>
        </w:tc>
        <w:tc>
          <w:tcPr>
            <w:tcW w:w="969" w:type="dxa"/>
            <w:hideMark/>
          </w:tcPr>
          <w:p w14:paraId="63B64EEA"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10.9</w:t>
            </w:r>
          </w:p>
        </w:tc>
        <w:tc>
          <w:tcPr>
            <w:tcW w:w="878" w:type="dxa"/>
            <w:hideMark/>
          </w:tcPr>
          <w:p w14:paraId="63FE6170"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748.21</w:t>
            </w:r>
          </w:p>
        </w:tc>
        <w:tc>
          <w:tcPr>
            <w:tcW w:w="813" w:type="dxa"/>
            <w:hideMark/>
          </w:tcPr>
          <w:p w14:paraId="30ECFE40"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10.6</w:t>
            </w:r>
          </w:p>
        </w:tc>
        <w:tc>
          <w:tcPr>
            <w:tcW w:w="878" w:type="dxa"/>
            <w:hideMark/>
          </w:tcPr>
          <w:p w14:paraId="0EE29AB2"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752.67</w:t>
            </w:r>
          </w:p>
        </w:tc>
        <w:tc>
          <w:tcPr>
            <w:tcW w:w="813" w:type="dxa"/>
            <w:hideMark/>
          </w:tcPr>
          <w:p w14:paraId="2655500B"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10.1</w:t>
            </w:r>
          </w:p>
        </w:tc>
        <w:tc>
          <w:tcPr>
            <w:tcW w:w="878" w:type="dxa"/>
            <w:hideMark/>
          </w:tcPr>
          <w:p w14:paraId="31EC845F"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753.41</w:t>
            </w:r>
          </w:p>
        </w:tc>
        <w:tc>
          <w:tcPr>
            <w:tcW w:w="814" w:type="dxa"/>
            <w:hideMark/>
          </w:tcPr>
          <w:p w14:paraId="599F0A33"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9.7</w:t>
            </w:r>
          </w:p>
        </w:tc>
        <w:tc>
          <w:tcPr>
            <w:tcW w:w="875" w:type="dxa"/>
            <w:hideMark/>
          </w:tcPr>
          <w:p w14:paraId="455730A0"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599,6</w:t>
            </w:r>
          </w:p>
        </w:tc>
        <w:tc>
          <w:tcPr>
            <w:tcW w:w="831" w:type="dxa"/>
            <w:hideMark/>
          </w:tcPr>
          <w:p w14:paraId="3CF14BC2"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11,6</w:t>
            </w:r>
          </w:p>
        </w:tc>
        <w:tc>
          <w:tcPr>
            <w:tcW w:w="875" w:type="dxa"/>
            <w:hideMark/>
          </w:tcPr>
          <w:p w14:paraId="0FF41EF5"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602,5</w:t>
            </w:r>
          </w:p>
        </w:tc>
        <w:tc>
          <w:tcPr>
            <w:tcW w:w="831" w:type="dxa"/>
            <w:hideMark/>
          </w:tcPr>
          <w:p w14:paraId="23544970"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11,0</w:t>
            </w:r>
          </w:p>
        </w:tc>
        <w:tc>
          <w:tcPr>
            <w:tcW w:w="875" w:type="dxa"/>
            <w:hideMark/>
          </w:tcPr>
          <w:p w14:paraId="73921C82"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611,0</w:t>
            </w:r>
          </w:p>
        </w:tc>
        <w:tc>
          <w:tcPr>
            <w:tcW w:w="832" w:type="dxa"/>
            <w:hideMark/>
          </w:tcPr>
          <w:p w14:paraId="475CAABA"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10,7</w:t>
            </w:r>
          </w:p>
        </w:tc>
      </w:tr>
      <w:tr w:rsidR="00052499" w:rsidRPr="004C7C90" w14:paraId="2F16C15A" w14:textId="77777777" w:rsidTr="00052499">
        <w:trPr>
          <w:trHeight w:val="297"/>
        </w:trPr>
        <w:tc>
          <w:tcPr>
            <w:tcW w:w="4236" w:type="dxa"/>
            <w:noWrap/>
            <w:hideMark/>
          </w:tcPr>
          <w:p w14:paraId="4A5F4B4D" w14:textId="77777777" w:rsidR="00052499" w:rsidRPr="004C7C90" w:rsidRDefault="00052499" w:rsidP="00052499">
            <w:pPr>
              <w:suppressLineNumbers/>
              <w:spacing w:before="100" w:beforeAutospacing="1" w:afterAutospacing="1"/>
              <w:ind w:firstLineChars="200" w:firstLine="360"/>
              <w:rPr>
                <w:rFonts w:eastAsia="Times New Roman" w:cstheme="minorHAnsi"/>
                <w:color w:val="7E0000"/>
                <w:sz w:val="18"/>
                <w:szCs w:val="18"/>
                <w:lang w:val="sr-Latn-ME" w:eastAsia="sr-Latn-ME"/>
              </w:rPr>
            </w:pPr>
            <w:r w:rsidRPr="004C7C90">
              <w:rPr>
                <w:rFonts w:eastAsia="Times New Roman" w:cstheme="minorHAnsi"/>
                <w:color w:val="7E0000"/>
                <w:sz w:val="18"/>
                <w:szCs w:val="18"/>
                <w:lang w:val="sr-Latn-ME" w:eastAsia="sr-Latn-ME"/>
              </w:rPr>
              <w:t>Kamate</w:t>
            </w:r>
          </w:p>
        </w:tc>
        <w:tc>
          <w:tcPr>
            <w:tcW w:w="878" w:type="dxa"/>
            <w:hideMark/>
          </w:tcPr>
          <w:p w14:paraId="44D8A390"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112.83</w:t>
            </w:r>
          </w:p>
        </w:tc>
        <w:tc>
          <w:tcPr>
            <w:tcW w:w="969" w:type="dxa"/>
            <w:hideMark/>
          </w:tcPr>
          <w:p w14:paraId="460795F1"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1.8</w:t>
            </w:r>
          </w:p>
        </w:tc>
        <w:tc>
          <w:tcPr>
            <w:tcW w:w="878" w:type="dxa"/>
            <w:hideMark/>
          </w:tcPr>
          <w:p w14:paraId="2C101518"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141.19</w:t>
            </w:r>
          </w:p>
        </w:tc>
        <w:tc>
          <w:tcPr>
            <w:tcW w:w="813" w:type="dxa"/>
            <w:hideMark/>
          </w:tcPr>
          <w:p w14:paraId="00060BB2"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2.0</w:t>
            </w:r>
          </w:p>
        </w:tc>
        <w:tc>
          <w:tcPr>
            <w:tcW w:w="878" w:type="dxa"/>
            <w:hideMark/>
          </w:tcPr>
          <w:p w14:paraId="02FB5434"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164.45</w:t>
            </w:r>
          </w:p>
        </w:tc>
        <w:tc>
          <w:tcPr>
            <w:tcW w:w="813" w:type="dxa"/>
            <w:hideMark/>
          </w:tcPr>
          <w:p w14:paraId="7EDA0CA1"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2.2</w:t>
            </w:r>
          </w:p>
        </w:tc>
        <w:tc>
          <w:tcPr>
            <w:tcW w:w="878" w:type="dxa"/>
            <w:hideMark/>
          </w:tcPr>
          <w:p w14:paraId="0E237DC3"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195.89</w:t>
            </w:r>
          </w:p>
        </w:tc>
        <w:tc>
          <w:tcPr>
            <w:tcW w:w="814" w:type="dxa"/>
            <w:hideMark/>
          </w:tcPr>
          <w:p w14:paraId="029C5A44"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2.5</w:t>
            </w:r>
          </w:p>
        </w:tc>
        <w:tc>
          <w:tcPr>
            <w:tcW w:w="875" w:type="dxa"/>
            <w:hideMark/>
          </w:tcPr>
          <w:p w14:paraId="433F8D90"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96,3</w:t>
            </w:r>
          </w:p>
        </w:tc>
        <w:tc>
          <w:tcPr>
            <w:tcW w:w="831" w:type="dxa"/>
            <w:hideMark/>
          </w:tcPr>
          <w:p w14:paraId="7826A341"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1,9</w:t>
            </w:r>
          </w:p>
        </w:tc>
        <w:tc>
          <w:tcPr>
            <w:tcW w:w="875" w:type="dxa"/>
            <w:hideMark/>
          </w:tcPr>
          <w:p w14:paraId="7D51F290"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90,1</w:t>
            </w:r>
          </w:p>
        </w:tc>
        <w:tc>
          <w:tcPr>
            <w:tcW w:w="831" w:type="dxa"/>
            <w:hideMark/>
          </w:tcPr>
          <w:p w14:paraId="4BD38B8D"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1,7</w:t>
            </w:r>
          </w:p>
        </w:tc>
        <w:tc>
          <w:tcPr>
            <w:tcW w:w="875" w:type="dxa"/>
            <w:hideMark/>
          </w:tcPr>
          <w:p w14:paraId="0D9D8933"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86,4</w:t>
            </w:r>
          </w:p>
        </w:tc>
        <w:tc>
          <w:tcPr>
            <w:tcW w:w="832" w:type="dxa"/>
            <w:hideMark/>
          </w:tcPr>
          <w:p w14:paraId="6FA52F5C"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1,5</w:t>
            </w:r>
          </w:p>
        </w:tc>
      </w:tr>
      <w:tr w:rsidR="00052499" w:rsidRPr="004C7C90" w14:paraId="485EB5F5" w14:textId="77777777" w:rsidTr="00052499">
        <w:trPr>
          <w:trHeight w:val="297"/>
        </w:trPr>
        <w:tc>
          <w:tcPr>
            <w:tcW w:w="4236" w:type="dxa"/>
            <w:noWrap/>
            <w:hideMark/>
          </w:tcPr>
          <w:p w14:paraId="170466F3" w14:textId="77777777" w:rsidR="00052499" w:rsidRPr="004C7C90" w:rsidRDefault="00052499" w:rsidP="00052499">
            <w:pPr>
              <w:suppressLineNumbers/>
              <w:spacing w:before="100" w:beforeAutospacing="1" w:afterAutospacing="1"/>
              <w:ind w:firstLineChars="200" w:firstLine="360"/>
              <w:rPr>
                <w:rFonts w:eastAsia="Times New Roman" w:cstheme="minorHAnsi"/>
                <w:color w:val="7E0000"/>
                <w:sz w:val="18"/>
                <w:szCs w:val="18"/>
                <w:lang w:val="sr-Latn-ME" w:eastAsia="sr-Latn-ME"/>
              </w:rPr>
            </w:pPr>
            <w:r w:rsidRPr="004C7C90">
              <w:rPr>
                <w:rFonts w:eastAsia="Times New Roman" w:cstheme="minorHAnsi"/>
                <w:color w:val="7E0000"/>
                <w:sz w:val="18"/>
                <w:szCs w:val="18"/>
                <w:lang w:val="sr-Latn-ME" w:eastAsia="sr-Latn-ME"/>
              </w:rPr>
              <w:t>Transferi za socijalnu zaštitu</w:t>
            </w:r>
          </w:p>
        </w:tc>
        <w:tc>
          <w:tcPr>
            <w:tcW w:w="878" w:type="dxa"/>
            <w:hideMark/>
          </w:tcPr>
          <w:p w14:paraId="1EEE362C"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841.97</w:t>
            </w:r>
          </w:p>
        </w:tc>
        <w:tc>
          <w:tcPr>
            <w:tcW w:w="969" w:type="dxa"/>
            <w:hideMark/>
          </w:tcPr>
          <w:p w14:paraId="33A0EACF"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13.1</w:t>
            </w:r>
          </w:p>
        </w:tc>
        <w:tc>
          <w:tcPr>
            <w:tcW w:w="878" w:type="dxa"/>
            <w:hideMark/>
          </w:tcPr>
          <w:p w14:paraId="3F5CE336"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1012.20</w:t>
            </w:r>
          </w:p>
        </w:tc>
        <w:tc>
          <w:tcPr>
            <w:tcW w:w="813" w:type="dxa"/>
            <w:hideMark/>
          </w:tcPr>
          <w:p w14:paraId="69856A8D"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14.4</w:t>
            </w:r>
          </w:p>
        </w:tc>
        <w:tc>
          <w:tcPr>
            <w:tcW w:w="878" w:type="dxa"/>
            <w:hideMark/>
          </w:tcPr>
          <w:p w14:paraId="3E559E8E"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1062.69</w:t>
            </w:r>
          </w:p>
        </w:tc>
        <w:tc>
          <w:tcPr>
            <w:tcW w:w="813" w:type="dxa"/>
            <w:hideMark/>
          </w:tcPr>
          <w:p w14:paraId="75B086AC"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14.3</w:t>
            </w:r>
          </w:p>
        </w:tc>
        <w:tc>
          <w:tcPr>
            <w:tcW w:w="878" w:type="dxa"/>
            <w:hideMark/>
          </w:tcPr>
          <w:p w14:paraId="102B7391"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1106.92</w:t>
            </w:r>
          </w:p>
        </w:tc>
        <w:tc>
          <w:tcPr>
            <w:tcW w:w="814" w:type="dxa"/>
            <w:hideMark/>
          </w:tcPr>
          <w:p w14:paraId="6DFD378C"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14.2</w:t>
            </w:r>
          </w:p>
        </w:tc>
        <w:tc>
          <w:tcPr>
            <w:tcW w:w="875" w:type="dxa"/>
            <w:hideMark/>
          </w:tcPr>
          <w:p w14:paraId="2648E6B4"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652,6</w:t>
            </w:r>
          </w:p>
        </w:tc>
        <w:tc>
          <w:tcPr>
            <w:tcW w:w="831" w:type="dxa"/>
            <w:hideMark/>
          </w:tcPr>
          <w:p w14:paraId="55C75025"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12,7</w:t>
            </w:r>
          </w:p>
        </w:tc>
        <w:tc>
          <w:tcPr>
            <w:tcW w:w="875" w:type="dxa"/>
            <w:hideMark/>
          </w:tcPr>
          <w:p w14:paraId="5A5A8397"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703,0</w:t>
            </w:r>
          </w:p>
        </w:tc>
        <w:tc>
          <w:tcPr>
            <w:tcW w:w="831" w:type="dxa"/>
            <w:hideMark/>
          </w:tcPr>
          <w:p w14:paraId="5D772420"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12,9</w:t>
            </w:r>
          </w:p>
        </w:tc>
        <w:tc>
          <w:tcPr>
            <w:tcW w:w="875" w:type="dxa"/>
            <w:hideMark/>
          </w:tcPr>
          <w:p w14:paraId="3EB1CB86"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712,0</w:t>
            </w:r>
          </w:p>
        </w:tc>
        <w:tc>
          <w:tcPr>
            <w:tcW w:w="832" w:type="dxa"/>
            <w:hideMark/>
          </w:tcPr>
          <w:p w14:paraId="45D99CBC"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12,5</w:t>
            </w:r>
          </w:p>
        </w:tc>
      </w:tr>
      <w:tr w:rsidR="00052499" w:rsidRPr="004C7C90" w14:paraId="7C2C0C8D" w14:textId="77777777" w:rsidTr="00052499">
        <w:trPr>
          <w:trHeight w:val="297"/>
        </w:trPr>
        <w:tc>
          <w:tcPr>
            <w:tcW w:w="4236" w:type="dxa"/>
            <w:noWrap/>
            <w:hideMark/>
          </w:tcPr>
          <w:p w14:paraId="747753CA" w14:textId="77777777" w:rsidR="00052499" w:rsidRPr="004C7C90" w:rsidRDefault="00052499" w:rsidP="00052499">
            <w:pPr>
              <w:suppressLineNumbers/>
              <w:spacing w:before="100" w:beforeAutospacing="1" w:afterAutospacing="1"/>
              <w:ind w:firstLineChars="200" w:firstLine="360"/>
              <w:rPr>
                <w:rFonts w:eastAsia="Times New Roman" w:cstheme="minorHAnsi"/>
                <w:color w:val="7E0000"/>
                <w:sz w:val="18"/>
                <w:szCs w:val="18"/>
                <w:lang w:val="sr-Latn-ME" w:eastAsia="sr-Latn-ME"/>
              </w:rPr>
            </w:pPr>
            <w:r w:rsidRPr="003E071F">
              <w:rPr>
                <w:rFonts w:eastAsia="Times New Roman" w:cstheme="minorHAnsi"/>
                <w:color w:val="7E0000"/>
                <w:sz w:val="18"/>
                <w:szCs w:val="18"/>
                <w:lang w:val="sr-Latn-ME" w:eastAsia="sr-Latn-ME"/>
              </w:rPr>
              <w:t>Transferi institucijama, pojedincima, NVO i javnom sektoru</w:t>
            </w:r>
          </w:p>
        </w:tc>
        <w:tc>
          <w:tcPr>
            <w:tcW w:w="878" w:type="dxa"/>
            <w:hideMark/>
          </w:tcPr>
          <w:p w14:paraId="20D659C8"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455.78</w:t>
            </w:r>
          </w:p>
        </w:tc>
        <w:tc>
          <w:tcPr>
            <w:tcW w:w="969" w:type="dxa"/>
            <w:hideMark/>
          </w:tcPr>
          <w:p w14:paraId="5A3F08A0"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7.1</w:t>
            </w:r>
          </w:p>
        </w:tc>
        <w:tc>
          <w:tcPr>
            <w:tcW w:w="878" w:type="dxa"/>
            <w:hideMark/>
          </w:tcPr>
          <w:p w14:paraId="3F3ABA17"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504.07</w:t>
            </w:r>
          </w:p>
        </w:tc>
        <w:tc>
          <w:tcPr>
            <w:tcW w:w="813" w:type="dxa"/>
            <w:hideMark/>
          </w:tcPr>
          <w:p w14:paraId="4B01E7A3"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7.2</w:t>
            </w:r>
          </w:p>
        </w:tc>
        <w:tc>
          <w:tcPr>
            <w:tcW w:w="878" w:type="dxa"/>
            <w:hideMark/>
          </w:tcPr>
          <w:p w14:paraId="2320258B"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526.29</w:t>
            </w:r>
          </w:p>
        </w:tc>
        <w:tc>
          <w:tcPr>
            <w:tcW w:w="813" w:type="dxa"/>
            <w:hideMark/>
          </w:tcPr>
          <w:p w14:paraId="234D0A5B"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7.1</w:t>
            </w:r>
          </w:p>
        </w:tc>
        <w:tc>
          <w:tcPr>
            <w:tcW w:w="878" w:type="dxa"/>
            <w:hideMark/>
          </w:tcPr>
          <w:p w14:paraId="5D931C20"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527.19</w:t>
            </w:r>
          </w:p>
        </w:tc>
        <w:tc>
          <w:tcPr>
            <w:tcW w:w="814" w:type="dxa"/>
            <w:hideMark/>
          </w:tcPr>
          <w:p w14:paraId="6FAAD402"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6.8</w:t>
            </w:r>
          </w:p>
        </w:tc>
        <w:tc>
          <w:tcPr>
            <w:tcW w:w="875" w:type="dxa"/>
            <w:hideMark/>
          </w:tcPr>
          <w:p w14:paraId="07944F82"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298,4</w:t>
            </w:r>
          </w:p>
        </w:tc>
        <w:tc>
          <w:tcPr>
            <w:tcW w:w="831" w:type="dxa"/>
            <w:hideMark/>
          </w:tcPr>
          <w:p w14:paraId="5FBAEE97"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5,8</w:t>
            </w:r>
          </w:p>
        </w:tc>
        <w:tc>
          <w:tcPr>
            <w:tcW w:w="875" w:type="dxa"/>
            <w:hideMark/>
          </w:tcPr>
          <w:p w14:paraId="215FF1D2"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277,3</w:t>
            </w:r>
          </w:p>
        </w:tc>
        <w:tc>
          <w:tcPr>
            <w:tcW w:w="831" w:type="dxa"/>
            <w:hideMark/>
          </w:tcPr>
          <w:p w14:paraId="78CCCC65"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5,1</w:t>
            </w:r>
          </w:p>
        </w:tc>
        <w:tc>
          <w:tcPr>
            <w:tcW w:w="875" w:type="dxa"/>
            <w:hideMark/>
          </w:tcPr>
          <w:p w14:paraId="63CA26FD"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320,7</w:t>
            </w:r>
          </w:p>
        </w:tc>
        <w:tc>
          <w:tcPr>
            <w:tcW w:w="832" w:type="dxa"/>
            <w:hideMark/>
          </w:tcPr>
          <w:p w14:paraId="5D46B21E"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5,6</w:t>
            </w:r>
          </w:p>
        </w:tc>
      </w:tr>
      <w:tr w:rsidR="00052499" w:rsidRPr="004C7C90" w14:paraId="78AB42DB" w14:textId="77777777" w:rsidTr="00052499">
        <w:trPr>
          <w:trHeight w:val="311"/>
        </w:trPr>
        <w:tc>
          <w:tcPr>
            <w:tcW w:w="4236" w:type="dxa"/>
            <w:noWrap/>
            <w:hideMark/>
          </w:tcPr>
          <w:p w14:paraId="40EA6D64" w14:textId="77777777" w:rsidR="00052499" w:rsidRPr="004C7C90" w:rsidRDefault="00052499" w:rsidP="00052499">
            <w:pPr>
              <w:suppressLineNumbers/>
              <w:spacing w:before="100" w:beforeAutospacing="1" w:afterAutospacing="1"/>
              <w:ind w:firstLineChars="200" w:firstLine="360"/>
              <w:rPr>
                <w:rFonts w:eastAsia="Times New Roman" w:cstheme="minorHAnsi"/>
                <w:color w:val="7E0000"/>
                <w:sz w:val="18"/>
                <w:szCs w:val="18"/>
                <w:lang w:val="sr-Latn-ME" w:eastAsia="sr-Latn-ME"/>
              </w:rPr>
            </w:pPr>
            <w:r w:rsidRPr="003E071F">
              <w:rPr>
                <w:rFonts w:eastAsia="Times New Roman" w:cstheme="minorHAnsi"/>
                <w:color w:val="7E0000"/>
                <w:sz w:val="18"/>
                <w:szCs w:val="18"/>
                <w:lang w:val="sr-Latn-ME" w:eastAsia="sr-Latn-ME"/>
              </w:rPr>
              <w:t>Kapitalni budžet</w:t>
            </w:r>
          </w:p>
        </w:tc>
        <w:tc>
          <w:tcPr>
            <w:tcW w:w="878" w:type="dxa"/>
            <w:hideMark/>
          </w:tcPr>
          <w:p w14:paraId="7C736C04"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377.97</w:t>
            </w:r>
          </w:p>
        </w:tc>
        <w:tc>
          <w:tcPr>
            <w:tcW w:w="969" w:type="dxa"/>
            <w:hideMark/>
          </w:tcPr>
          <w:p w14:paraId="7303DBB9"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5.9</w:t>
            </w:r>
          </w:p>
        </w:tc>
        <w:tc>
          <w:tcPr>
            <w:tcW w:w="878" w:type="dxa"/>
            <w:hideMark/>
          </w:tcPr>
          <w:p w14:paraId="7611353A"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399.59</w:t>
            </w:r>
          </w:p>
        </w:tc>
        <w:tc>
          <w:tcPr>
            <w:tcW w:w="813" w:type="dxa"/>
            <w:hideMark/>
          </w:tcPr>
          <w:p w14:paraId="0D33D701"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5.7</w:t>
            </w:r>
          </w:p>
        </w:tc>
        <w:tc>
          <w:tcPr>
            <w:tcW w:w="878" w:type="dxa"/>
            <w:hideMark/>
          </w:tcPr>
          <w:p w14:paraId="18CBE841"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412.90</w:t>
            </w:r>
          </w:p>
        </w:tc>
        <w:tc>
          <w:tcPr>
            <w:tcW w:w="813" w:type="dxa"/>
            <w:hideMark/>
          </w:tcPr>
          <w:p w14:paraId="6199C381"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5.6</w:t>
            </w:r>
          </w:p>
        </w:tc>
        <w:tc>
          <w:tcPr>
            <w:tcW w:w="878" w:type="dxa"/>
            <w:hideMark/>
          </w:tcPr>
          <w:p w14:paraId="62EE070D"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439.42</w:t>
            </w:r>
          </w:p>
        </w:tc>
        <w:tc>
          <w:tcPr>
            <w:tcW w:w="814" w:type="dxa"/>
            <w:hideMark/>
          </w:tcPr>
          <w:p w14:paraId="609159BC"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5.6</w:t>
            </w:r>
          </w:p>
        </w:tc>
        <w:tc>
          <w:tcPr>
            <w:tcW w:w="875" w:type="dxa"/>
            <w:hideMark/>
          </w:tcPr>
          <w:p w14:paraId="432C5D3C"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318,5</w:t>
            </w:r>
          </w:p>
        </w:tc>
        <w:tc>
          <w:tcPr>
            <w:tcW w:w="831" w:type="dxa"/>
            <w:hideMark/>
          </w:tcPr>
          <w:p w14:paraId="18019BC5"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6,2</w:t>
            </w:r>
          </w:p>
        </w:tc>
        <w:tc>
          <w:tcPr>
            <w:tcW w:w="875" w:type="dxa"/>
            <w:hideMark/>
          </w:tcPr>
          <w:p w14:paraId="10C1874C"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315,3</w:t>
            </w:r>
          </w:p>
        </w:tc>
        <w:tc>
          <w:tcPr>
            <w:tcW w:w="831" w:type="dxa"/>
            <w:hideMark/>
          </w:tcPr>
          <w:p w14:paraId="6B7020F5"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5,8</w:t>
            </w:r>
          </w:p>
        </w:tc>
        <w:tc>
          <w:tcPr>
            <w:tcW w:w="875" w:type="dxa"/>
            <w:hideMark/>
          </w:tcPr>
          <w:p w14:paraId="47AD599B"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309,1</w:t>
            </w:r>
          </w:p>
        </w:tc>
        <w:tc>
          <w:tcPr>
            <w:tcW w:w="832" w:type="dxa"/>
            <w:hideMark/>
          </w:tcPr>
          <w:p w14:paraId="605359DC"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5,4</w:t>
            </w:r>
          </w:p>
        </w:tc>
      </w:tr>
      <w:tr w:rsidR="00052499" w:rsidRPr="004C7C90" w14:paraId="3DED5396" w14:textId="77777777" w:rsidTr="00052499">
        <w:trPr>
          <w:trHeight w:val="311"/>
        </w:trPr>
        <w:tc>
          <w:tcPr>
            <w:tcW w:w="4236" w:type="dxa"/>
            <w:noWrap/>
            <w:hideMark/>
          </w:tcPr>
          <w:p w14:paraId="5D30C803" w14:textId="77777777" w:rsidR="00052499" w:rsidRPr="004C7C90" w:rsidRDefault="00052499" w:rsidP="00052499">
            <w:pPr>
              <w:suppressLineNumbers/>
              <w:spacing w:before="100" w:beforeAutospacing="1" w:afterAutospacing="1"/>
              <w:rPr>
                <w:rFonts w:eastAsia="Times New Roman" w:cstheme="minorHAnsi"/>
                <w:color w:val="7E0000"/>
                <w:sz w:val="18"/>
                <w:szCs w:val="18"/>
                <w:lang w:val="sr-Latn-ME" w:eastAsia="sr-Latn-ME"/>
              </w:rPr>
            </w:pPr>
            <w:r w:rsidRPr="004C7C90">
              <w:rPr>
                <w:rFonts w:eastAsia="Times New Roman" w:cstheme="minorHAnsi"/>
                <w:color w:val="7E0000"/>
                <w:sz w:val="18"/>
                <w:szCs w:val="18"/>
                <w:lang w:val="sr-Latn-ME" w:eastAsia="sr-Latn-ME"/>
              </w:rPr>
              <w:t>Suficit/deficit</w:t>
            </w:r>
          </w:p>
        </w:tc>
        <w:tc>
          <w:tcPr>
            <w:tcW w:w="878" w:type="dxa"/>
            <w:hideMark/>
          </w:tcPr>
          <w:p w14:paraId="3376100E"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-316.36</w:t>
            </w:r>
          </w:p>
        </w:tc>
        <w:tc>
          <w:tcPr>
            <w:tcW w:w="969" w:type="dxa"/>
            <w:hideMark/>
          </w:tcPr>
          <w:p w14:paraId="5352B151"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-4.9</w:t>
            </w:r>
          </w:p>
        </w:tc>
        <w:tc>
          <w:tcPr>
            <w:tcW w:w="878" w:type="dxa"/>
            <w:hideMark/>
          </w:tcPr>
          <w:p w14:paraId="26694E2A"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-276.38</w:t>
            </w:r>
          </w:p>
        </w:tc>
        <w:tc>
          <w:tcPr>
            <w:tcW w:w="813" w:type="dxa"/>
            <w:hideMark/>
          </w:tcPr>
          <w:p w14:paraId="30E85DA7"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-3.9</w:t>
            </w:r>
          </w:p>
        </w:tc>
        <w:tc>
          <w:tcPr>
            <w:tcW w:w="878" w:type="dxa"/>
            <w:hideMark/>
          </w:tcPr>
          <w:p w14:paraId="5D5D9294"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-246.26</w:t>
            </w:r>
          </w:p>
        </w:tc>
        <w:tc>
          <w:tcPr>
            <w:tcW w:w="813" w:type="dxa"/>
            <w:hideMark/>
          </w:tcPr>
          <w:p w14:paraId="69CD1978"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-3.3</w:t>
            </w:r>
          </w:p>
        </w:tc>
        <w:tc>
          <w:tcPr>
            <w:tcW w:w="878" w:type="dxa"/>
            <w:hideMark/>
          </w:tcPr>
          <w:p w14:paraId="7C570B66"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-207.20</w:t>
            </w:r>
          </w:p>
        </w:tc>
        <w:tc>
          <w:tcPr>
            <w:tcW w:w="814" w:type="dxa"/>
            <w:hideMark/>
          </w:tcPr>
          <w:p w14:paraId="325D3D18"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-2.7</w:t>
            </w:r>
          </w:p>
        </w:tc>
        <w:tc>
          <w:tcPr>
            <w:tcW w:w="875" w:type="dxa"/>
            <w:hideMark/>
          </w:tcPr>
          <w:p w14:paraId="3DFD9111"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-319,0</w:t>
            </w:r>
          </w:p>
        </w:tc>
        <w:tc>
          <w:tcPr>
            <w:tcW w:w="831" w:type="dxa"/>
            <w:hideMark/>
          </w:tcPr>
          <w:p w14:paraId="43B320BA" w14:textId="77777777" w:rsidR="00052499" w:rsidRPr="004C7C90" w:rsidRDefault="00052499" w:rsidP="00052499">
            <w:pPr>
              <w:suppressLineNumbers/>
              <w:spacing w:before="100" w:beforeAutospacing="1" w:afterAutospacing="1"/>
              <w:jc w:val="center"/>
              <w:rPr>
                <w:rFonts w:eastAsia="Times New Roman" w:cstheme="minorHAnsi"/>
                <w:color w:val="7E0000"/>
                <w:sz w:val="18"/>
                <w:szCs w:val="18"/>
                <w:lang w:val="sr-Latn-ME" w:eastAsia="sr-Latn-ME"/>
              </w:rPr>
            </w:pPr>
            <w:r w:rsidRPr="004C7C90">
              <w:rPr>
                <w:rFonts w:eastAsia="Times New Roman" w:cstheme="minorHAnsi"/>
                <w:color w:val="7E0000"/>
                <w:sz w:val="18"/>
                <w:szCs w:val="18"/>
                <w:lang w:val="sr-Latn-ME" w:eastAsia="sr-Latn-ME"/>
              </w:rPr>
              <w:t>-6,2</w:t>
            </w:r>
          </w:p>
        </w:tc>
        <w:tc>
          <w:tcPr>
            <w:tcW w:w="875" w:type="dxa"/>
            <w:hideMark/>
          </w:tcPr>
          <w:p w14:paraId="49FB5A75"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-182,7</w:t>
            </w:r>
          </w:p>
        </w:tc>
        <w:tc>
          <w:tcPr>
            <w:tcW w:w="831" w:type="dxa"/>
            <w:hideMark/>
          </w:tcPr>
          <w:p w14:paraId="4ACA2101" w14:textId="77777777" w:rsidR="00052499" w:rsidRPr="004C7C90" w:rsidRDefault="00052499" w:rsidP="00052499">
            <w:pPr>
              <w:suppressLineNumbers/>
              <w:spacing w:before="100" w:beforeAutospacing="1" w:afterAutospacing="1"/>
              <w:jc w:val="center"/>
              <w:rPr>
                <w:rFonts w:eastAsia="Times New Roman" w:cstheme="minorHAnsi"/>
                <w:color w:val="7E0000"/>
                <w:sz w:val="18"/>
                <w:szCs w:val="18"/>
                <w:lang w:val="sr-Latn-ME" w:eastAsia="sr-Latn-ME"/>
              </w:rPr>
            </w:pPr>
            <w:r w:rsidRPr="004C7C90">
              <w:rPr>
                <w:rFonts w:eastAsia="Times New Roman" w:cstheme="minorHAnsi"/>
                <w:color w:val="7E0000"/>
                <w:sz w:val="18"/>
                <w:szCs w:val="18"/>
                <w:lang w:val="sr-Latn-ME" w:eastAsia="sr-Latn-ME"/>
              </w:rPr>
              <w:t>-3,4</w:t>
            </w:r>
          </w:p>
        </w:tc>
        <w:tc>
          <w:tcPr>
            <w:tcW w:w="875" w:type="dxa"/>
            <w:hideMark/>
          </w:tcPr>
          <w:p w14:paraId="47610FC9"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-173,6</w:t>
            </w:r>
          </w:p>
        </w:tc>
        <w:tc>
          <w:tcPr>
            <w:tcW w:w="832" w:type="dxa"/>
            <w:hideMark/>
          </w:tcPr>
          <w:p w14:paraId="71A7657D" w14:textId="77777777" w:rsidR="00052499" w:rsidRPr="004C7C90" w:rsidRDefault="00052499" w:rsidP="00052499">
            <w:pPr>
              <w:suppressLineNumbers/>
              <w:spacing w:before="100" w:beforeAutospacing="1" w:afterAutospacing="1"/>
              <w:jc w:val="center"/>
              <w:rPr>
                <w:rFonts w:eastAsia="Times New Roman" w:cstheme="minorHAnsi"/>
                <w:color w:val="7E0000"/>
                <w:sz w:val="18"/>
                <w:szCs w:val="18"/>
                <w:lang w:val="sr-Latn-ME" w:eastAsia="sr-Latn-ME"/>
              </w:rPr>
            </w:pPr>
            <w:r w:rsidRPr="004C7C90">
              <w:rPr>
                <w:rFonts w:eastAsia="Times New Roman" w:cstheme="minorHAnsi"/>
                <w:color w:val="7E0000"/>
                <w:sz w:val="18"/>
                <w:szCs w:val="18"/>
                <w:lang w:val="sr-Latn-ME" w:eastAsia="sr-Latn-ME"/>
              </w:rPr>
              <w:t>-3,0</w:t>
            </w:r>
          </w:p>
        </w:tc>
      </w:tr>
      <w:tr w:rsidR="00052499" w:rsidRPr="004C7C90" w14:paraId="0DC96BFE" w14:textId="77777777" w:rsidTr="00052499">
        <w:trPr>
          <w:trHeight w:val="311"/>
        </w:trPr>
        <w:tc>
          <w:tcPr>
            <w:tcW w:w="4236" w:type="dxa"/>
            <w:noWrap/>
            <w:hideMark/>
          </w:tcPr>
          <w:p w14:paraId="54AC7FFA" w14:textId="77777777" w:rsidR="00052499" w:rsidRPr="004C7C90" w:rsidRDefault="00052499" w:rsidP="00052499">
            <w:pPr>
              <w:suppressLineNumbers/>
              <w:spacing w:before="100" w:beforeAutospacing="1" w:afterAutospacing="1"/>
              <w:ind w:firstLineChars="200" w:firstLine="360"/>
              <w:rPr>
                <w:rFonts w:eastAsia="Times New Roman" w:cstheme="minorHAnsi"/>
                <w:color w:val="7E0000"/>
                <w:sz w:val="18"/>
                <w:szCs w:val="18"/>
                <w:lang w:val="sr-Latn-ME" w:eastAsia="sr-Latn-ME"/>
              </w:rPr>
            </w:pPr>
            <w:r w:rsidRPr="004C7C90">
              <w:rPr>
                <w:rFonts w:eastAsia="Times New Roman" w:cstheme="minorHAnsi"/>
                <w:color w:val="7E0000"/>
                <w:sz w:val="18"/>
                <w:szCs w:val="18"/>
                <w:lang w:val="sr-Latn-ME" w:eastAsia="sr-Latn-ME"/>
              </w:rPr>
              <w:t>Primarni suficit/deficit</w:t>
            </w:r>
          </w:p>
        </w:tc>
        <w:tc>
          <w:tcPr>
            <w:tcW w:w="878" w:type="dxa"/>
            <w:hideMark/>
          </w:tcPr>
          <w:p w14:paraId="78B67588"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-203.53</w:t>
            </w:r>
          </w:p>
        </w:tc>
        <w:tc>
          <w:tcPr>
            <w:tcW w:w="969" w:type="dxa"/>
            <w:hideMark/>
          </w:tcPr>
          <w:p w14:paraId="0AC7C8D6"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-3.2</w:t>
            </w:r>
          </w:p>
        </w:tc>
        <w:tc>
          <w:tcPr>
            <w:tcW w:w="878" w:type="dxa"/>
            <w:hideMark/>
          </w:tcPr>
          <w:p w14:paraId="2D7078E8"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-135.19</w:t>
            </w:r>
          </w:p>
        </w:tc>
        <w:tc>
          <w:tcPr>
            <w:tcW w:w="813" w:type="dxa"/>
            <w:hideMark/>
          </w:tcPr>
          <w:p w14:paraId="4EDB3AD7"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-1.9</w:t>
            </w:r>
          </w:p>
        </w:tc>
        <w:tc>
          <w:tcPr>
            <w:tcW w:w="878" w:type="dxa"/>
            <w:hideMark/>
          </w:tcPr>
          <w:p w14:paraId="4B6D2CC9"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-81.81</w:t>
            </w:r>
          </w:p>
        </w:tc>
        <w:tc>
          <w:tcPr>
            <w:tcW w:w="813" w:type="dxa"/>
            <w:hideMark/>
          </w:tcPr>
          <w:p w14:paraId="365BFD54"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-1.1</w:t>
            </w:r>
          </w:p>
        </w:tc>
        <w:tc>
          <w:tcPr>
            <w:tcW w:w="878" w:type="dxa"/>
            <w:hideMark/>
          </w:tcPr>
          <w:p w14:paraId="02123EFC"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-11.31</w:t>
            </w:r>
          </w:p>
        </w:tc>
        <w:tc>
          <w:tcPr>
            <w:tcW w:w="814" w:type="dxa"/>
            <w:hideMark/>
          </w:tcPr>
          <w:p w14:paraId="1106F742"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-0.1</w:t>
            </w:r>
          </w:p>
        </w:tc>
        <w:tc>
          <w:tcPr>
            <w:tcW w:w="875" w:type="dxa"/>
            <w:hideMark/>
          </w:tcPr>
          <w:p w14:paraId="53484AD0"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-222,7</w:t>
            </w:r>
          </w:p>
        </w:tc>
        <w:tc>
          <w:tcPr>
            <w:tcW w:w="831" w:type="dxa"/>
            <w:hideMark/>
          </w:tcPr>
          <w:p w14:paraId="176AE202"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-4,3</w:t>
            </w:r>
          </w:p>
        </w:tc>
        <w:tc>
          <w:tcPr>
            <w:tcW w:w="875" w:type="dxa"/>
            <w:hideMark/>
          </w:tcPr>
          <w:p w14:paraId="7A6D3566"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-92,6</w:t>
            </w:r>
          </w:p>
        </w:tc>
        <w:tc>
          <w:tcPr>
            <w:tcW w:w="831" w:type="dxa"/>
            <w:hideMark/>
          </w:tcPr>
          <w:p w14:paraId="4AA67F9E"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-1,7</w:t>
            </w:r>
          </w:p>
        </w:tc>
        <w:tc>
          <w:tcPr>
            <w:tcW w:w="875" w:type="dxa"/>
            <w:hideMark/>
          </w:tcPr>
          <w:p w14:paraId="707AAA16"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-87,1</w:t>
            </w:r>
          </w:p>
        </w:tc>
        <w:tc>
          <w:tcPr>
            <w:tcW w:w="832" w:type="dxa"/>
            <w:hideMark/>
          </w:tcPr>
          <w:p w14:paraId="2CDBF818"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-1,5</w:t>
            </w:r>
          </w:p>
        </w:tc>
      </w:tr>
      <w:tr w:rsidR="00052499" w:rsidRPr="004C7C90" w14:paraId="0296B715" w14:textId="77777777" w:rsidTr="00052499">
        <w:trPr>
          <w:trHeight w:val="311"/>
        </w:trPr>
        <w:tc>
          <w:tcPr>
            <w:tcW w:w="4236" w:type="dxa"/>
            <w:noWrap/>
            <w:hideMark/>
          </w:tcPr>
          <w:p w14:paraId="03409664" w14:textId="77777777" w:rsidR="00052499" w:rsidRPr="004C7C90" w:rsidRDefault="00052499" w:rsidP="00052499">
            <w:pPr>
              <w:suppressLineNumbers/>
              <w:spacing w:before="100" w:beforeAutospacing="1" w:afterAutospacing="1"/>
              <w:rPr>
                <w:rFonts w:eastAsia="Times New Roman" w:cstheme="minorHAnsi"/>
                <w:color w:val="7E0000"/>
                <w:sz w:val="18"/>
                <w:szCs w:val="18"/>
                <w:lang w:val="sr-Latn-ME" w:eastAsia="sr-Latn-ME"/>
              </w:rPr>
            </w:pPr>
            <w:r w:rsidRPr="004C7C90">
              <w:rPr>
                <w:rFonts w:eastAsia="Times New Roman" w:cstheme="minorHAnsi"/>
                <w:color w:val="7E0000"/>
                <w:sz w:val="18"/>
                <w:szCs w:val="18"/>
                <w:lang w:val="sr-Latn-ME" w:eastAsia="sr-Latn-ME"/>
              </w:rPr>
              <w:t>Otplata duga</w:t>
            </w:r>
          </w:p>
        </w:tc>
        <w:tc>
          <w:tcPr>
            <w:tcW w:w="878" w:type="dxa"/>
            <w:hideMark/>
          </w:tcPr>
          <w:p w14:paraId="5FD626C2"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350.27</w:t>
            </w:r>
          </w:p>
        </w:tc>
        <w:tc>
          <w:tcPr>
            <w:tcW w:w="969" w:type="dxa"/>
            <w:hideMark/>
          </w:tcPr>
          <w:p w14:paraId="3599D5AB"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5.4</w:t>
            </w:r>
          </w:p>
        </w:tc>
        <w:tc>
          <w:tcPr>
            <w:tcW w:w="878" w:type="dxa"/>
            <w:hideMark/>
          </w:tcPr>
          <w:p w14:paraId="69A6CEE5"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532.03</w:t>
            </w:r>
          </w:p>
        </w:tc>
        <w:tc>
          <w:tcPr>
            <w:tcW w:w="813" w:type="dxa"/>
            <w:hideMark/>
          </w:tcPr>
          <w:p w14:paraId="3F5C15DC"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7.6</w:t>
            </w:r>
          </w:p>
        </w:tc>
        <w:tc>
          <w:tcPr>
            <w:tcW w:w="878" w:type="dxa"/>
            <w:hideMark/>
          </w:tcPr>
          <w:p w14:paraId="4ABF7DA0"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819.55</w:t>
            </w:r>
          </w:p>
        </w:tc>
        <w:tc>
          <w:tcPr>
            <w:tcW w:w="813" w:type="dxa"/>
            <w:hideMark/>
          </w:tcPr>
          <w:p w14:paraId="2F4341C3"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11.0</w:t>
            </w:r>
          </w:p>
        </w:tc>
        <w:tc>
          <w:tcPr>
            <w:tcW w:w="878" w:type="dxa"/>
            <w:hideMark/>
          </w:tcPr>
          <w:p w14:paraId="423E9920"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290.27</w:t>
            </w:r>
          </w:p>
        </w:tc>
        <w:tc>
          <w:tcPr>
            <w:tcW w:w="814" w:type="dxa"/>
            <w:hideMark/>
          </w:tcPr>
          <w:p w14:paraId="76853ECF"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3.7</w:t>
            </w:r>
          </w:p>
        </w:tc>
        <w:tc>
          <w:tcPr>
            <w:tcW w:w="875" w:type="dxa"/>
            <w:hideMark/>
          </w:tcPr>
          <w:p w14:paraId="70C77166"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311,1</w:t>
            </w:r>
          </w:p>
        </w:tc>
        <w:tc>
          <w:tcPr>
            <w:tcW w:w="831" w:type="dxa"/>
            <w:hideMark/>
          </w:tcPr>
          <w:p w14:paraId="2E564CF8"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6,0</w:t>
            </w:r>
          </w:p>
        </w:tc>
        <w:tc>
          <w:tcPr>
            <w:tcW w:w="875" w:type="dxa"/>
            <w:hideMark/>
          </w:tcPr>
          <w:p w14:paraId="3FD383C3"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273,1</w:t>
            </w:r>
          </w:p>
        </w:tc>
        <w:tc>
          <w:tcPr>
            <w:tcW w:w="831" w:type="dxa"/>
            <w:hideMark/>
          </w:tcPr>
          <w:p w14:paraId="30729620"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5,0</w:t>
            </w:r>
          </w:p>
        </w:tc>
        <w:tc>
          <w:tcPr>
            <w:tcW w:w="875" w:type="dxa"/>
            <w:hideMark/>
          </w:tcPr>
          <w:p w14:paraId="36F60BA3"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374,9</w:t>
            </w:r>
          </w:p>
        </w:tc>
        <w:tc>
          <w:tcPr>
            <w:tcW w:w="832" w:type="dxa"/>
            <w:hideMark/>
          </w:tcPr>
          <w:p w14:paraId="18294708"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6,5</w:t>
            </w:r>
          </w:p>
        </w:tc>
      </w:tr>
      <w:tr w:rsidR="00052499" w:rsidRPr="004C7C90" w14:paraId="45BD6A14" w14:textId="77777777" w:rsidTr="00052499">
        <w:trPr>
          <w:trHeight w:val="311"/>
        </w:trPr>
        <w:tc>
          <w:tcPr>
            <w:tcW w:w="4236" w:type="dxa"/>
            <w:noWrap/>
            <w:hideMark/>
          </w:tcPr>
          <w:p w14:paraId="6AFA4471" w14:textId="77777777" w:rsidR="00052499" w:rsidRPr="004C7C90" w:rsidRDefault="00052499" w:rsidP="00052499">
            <w:pPr>
              <w:suppressLineNumbers/>
              <w:spacing w:before="100" w:beforeAutospacing="1" w:afterAutospacing="1"/>
              <w:rPr>
                <w:rFonts w:eastAsia="Times New Roman" w:cstheme="minorHAnsi"/>
                <w:color w:val="7E0000"/>
                <w:sz w:val="18"/>
                <w:szCs w:val="18"/>
                <w:lang w:val="sr-Latn-ME" w:eastAsia="sr-Latn-ME"/>
              </w:rPr>
            </w:pPr>
            <w:r w:rsidRPr="004C7C90">
              <w:rPr>
                <w:rFonts w:eastAsia="Times New Roman" w:cstheme="minorHAnsi"/>
                <w:color w:val="7E0000"/>
                <w:sz w:val="18"/>
                <w:szCs w:val="18"/>
                <w:lang w:val="sr-Latn-ME" w:eastAsia="sr-Latn-ME"/>
              </w:rPr>
              <w:t>Izdaci za kupovinu hartija od vrijednosti</w:t>
            </w:r>
          </w:p>
        </w:tc>
        <w:tc>
          <w:tcPr>
            <w:tcW w:w="878" w:type="dxa"/>
            <w:hideMark/>
          </w:tcPr>
          <w:p w14:paraId="1E209C84"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0.78</w:t>
            </w:r>
          </w:p>
        </w:tc>
        <w:tc>
          <w:tcPr>
            <w:tcW w:w="969" w:type="dxa"/>
            <w:hideMark/>
          </w:tcPr>
          <w:p w14:paraId="642128ED"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0.00</w:t>
            </w:r>
          </w:p>
        </w:tc>
        <w:tc>
          <w:tcPr>
            <w:tcW w:w="878" w:type="dxa"/>
            <w:hideMark/>
          </w:tcPr>
          <w:p w14:paraId="672BF60B"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2.28</w:t>
            </w:r>
          </w:p>
        </w:tc>
        <w:tc>
          <w:tcPr>
            <w:tcW w:w="813" w:type="dxa"/>
            <w:hideMark/>
          </w:tcPr>
          <w:p w14:paraId="1C8AFE0F"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0.00</w:t>
            </w:r>
          </w:p>
        </w:tc>
        <w:tc>
          <w:tcPr>
            <w:tcW w:w="878" w:type="dxa"/>
            <w:hideMark/>
          </w:tcPr>
          <w:p w14:paraId="1B4134CE"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2.28</w:t>
            </w:r>
          </w:p>
        </w:tc>
        <w:tc>
          <w:tcPr>
            <w:tcW w:w="813" w:type="dxa"/>
            <w:hideMark/>
          </w:tcPr>
          <w:p w14:paraId="2F9394E2"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0.00</w:t>
            </w:r>
          </w:p>
        </w:tc>
        <w:tc>
          <w:tcPr>
            <w:tcW w:w="878" w:type="dxa"/>
            <w:hideMark/>
          </w:tcPr>
          <w:p w14:paraId="4BC377F8"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1.58</w:t>
            </w:r>
          </w:p>
        </w:tc>
        <w:tc>
          <w:tcPr>
            <w:tcW w:w="814" w:type="dxa"/>
            <w:hideMark/>
          </w:tcPr>
          <w:p w14:paraId="24DE4514"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0.00</w:t>
            </w:r>
          </w:p>
        </w:tc>
        <w:tc>
          <w:tcPr>
            <w:tcW w:w="875" w:type="dxa"/>
            <w:hideMark/>
          </w:tcPr>
          <w:p w14:paraId="7E0CDDE3"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0,7</w:t>
            </w:r>
          </w:p>
        </w:tc>
        <w:tc>
          <w:tcPr>
            <w:tcW w:w="831" w:type="dxa"/>
            <w:hideMark/>
          </w:tcPr>
          <w:p w14:paraId="4EA9548F"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0,0</w:t>
            </w:r>
          </w:p>
        </w:tc>
        <w:tc>
          <w:tcPr>
            <w:tcW w:w="875" w:type="dxa"/>
            <w:hideMark/>
          </w:tcPr>
          <w:p w14:paraId="511DDEF8"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0,7</w:t>
            </w:r>
          </w:p>
        </w:tc>
        <w:tc>
          <w:tcPr>
            <w:tcW w:w="831" w:type="dxa"/>
            <w:hideMark/>
          </w:tcPr>
          <w:p w14:paraId="01FFB4F4"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0,0</w:t>
            </w:r>
          </w:p>
        </w:tc>
        <w:tc>
          <w:tcPr>
            <w:tcW w:w="875" w:type="dxa"/>
            <w:hideMark/>
          </w:tcPr>
          <w:p w14:paraId="49CD947C"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0,7</w:t>
            </w:r>
          </w:p>
        </w:tc>
        <w:tc>
          <w:tcPr>
            <w:tcW w:w="832" w:type="dxa"/>
            <w:hideMark/>
          </w:tcPr>
          <w:p w14:paraId="6EC63A74"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0,0</w:t>
            </w:r>
          </w:p>
        </w:tc>
      </w:tr>
      <w:tr w:rsidR="00052499" w:rsidRPr="004C7C90" w14:paraId="2DB99F3F" w14:textId="77777777" w:rsidTr="00052499">
        <w:trPr>
          <w:trHeight w:val="311"/>
        </w:trPr>
        <w:tc>
          <w:tcPr>
            <w:tcW w:w="4236" w:type="dxa"/>
            <w:noWrap/>
            <w:hideMark/>
          </w:tcPr>
          <w:p w14:paraId="0E9B5783" w14:textId="77777777" w:rsidR="00052499" w:rsidRPr="004C7C90" w:rsidRDefault="00052499" w:rsidP="00052499">
            <w:pPr>
              <w:suppressLineNumbers/>
              <w:spacing w:before="100" w:beforeAutospacing="1" w:afterAutospacing="1"/>
              <w:rPr>
                <w:rFonts w:eastAsia="Times New Roman" w:cstheme="minorHAnsi"/>
                <w:color w:val="7E0000"/>
                <w:sz w:val="18"/>
                <w:szCs w:val="18"/>
                <w:lang w:val="sr-Latn-ME" w:eastAsia="sr-Latn-ME"/>
              </w:rPr>
            </w:pPr>
            <w:r w:rsidRPr="004C7C90">
              <w:rPr>
                <w:rFonts w:eastAsia="Times New Roman" w:cstheme="minorHAnsi"/>
                <w:color w:val="7E0000"/>
                <w:sz w:val="18"/>
                <w:szCs w:val="18"/>
                <w:lang w:val="sr-Latn-ME" w:eastAsia="sr-Latn-ME"/>
              </w:rPr>
              <w:t xml:space="preserve">Finansiranje, </w:t>
            </w:r>
            <w:r w:rsidRPr="004C7C90">
              <w:rPr>
                <w:rFonts w:eastAsia="Times New Roman" w:cstheme="minorHAnsi"/>
                <w:i/>
                <w:iCs/>
                <w:color w:val="7E0000"/>
                <w:sz w:val="18"/>
                <w:szCs w:val="18"/>
                <w:lang w:val="sr-Latn-ME" w:eastAsia="sr-Latn-ME"/>
              </w:rPr>
              <w:t>od čega:</w:t>
            </w:r>
          </w:p>
        </w:tc>
        <w:tc>
          <w:tcPr>
            <w:tcW w:w="878" w:type="dxa"/>
            <w:hideMark/>
          </w:tcPr>
          <w:p w14:paraId="7878F2AF"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673.49</w:t>
            </w:r>
          </w:p>
        </w:tc>
        <w:tc>
          <w:tcPr>
            <w:tcW w:w="969" w:type="dxa"/>
            <w:hideMark/>
          </w:tcPr>
          <w:p w14:paraId="53032952"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10.4</w:t>
            </w:r>
          </w:p>
        </w:tc>
        <w:tc>
          <w:tcPr>
            <w:tcW w:w="878" w:type="dxa"/>
            <w:hideMark/>
          </w:tcPr>
          <w:p w14:paraId="3B551178"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815.19</w:t>
            </w:r>
          </w:p>
        </w:tc>
        <w:tc>
          <w:tcPr>
            <w:tcW w:w="813" w:type="dxa"/>
            <w:hideMark/>
          </w:tcPr>
          <w:p w14:paraId="498C0AE6"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11.6</w:t>
            </w:r>
          </w:p>
        </w:tc>
        <w:tc>
          <w:tcPr>
            <w:tcW w:w="878" w:type="dxa"/>
            <w:hideMark/>
          </w:tcPr>
          <w:p w14:paraId="1C8AFF62"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1072.58</w:t>
            </w:r>
          </w:p>
        </w:tc>
        <w:tc>
          <w:tcPr>
            <w:tcW w:w="813" w:type="dxa"/>
            <w:hideMark/>
          </w:tcPr>
          <w:p w14:paraId="1B7426AC"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14.4</w:t>
            </w:r>
          </w:p>
        </w:tc>
        <w:tc>
          <w:tcPr>
            <w:tcW w:w="878" w:type="dxa"/>
            <w:hideMark/>
          </w:tcPr>
          <w:p w14:paraId="51FC66AE"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503.55</w:t>
            </w:r>
          </w:p>
        </w:tc>
        <w:tc>
          <w:tcPr>
            <w:tcW w:w="814" w:type="dxa"/>
            <w:hideMark/>
          </w:tcPr>
          <w:p w14:paraId="5AFC0504"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6.5</w:t>
            </w:r>
          </w:p>
        </w:tc>
        <w:tc>
          <w:tcPr>
            <w:tcW w:w="875" w:type="dxa"/>
            <w:hideMark/>
          </w:tcPr>
          <w:p w14:paraId="11594233"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630,9</w:t>
            </w:r>
          </w:p>
        </w:tc>
        <w:tc>
          <w:tcPr>
            <w:tcW w:w="831" w:type="dxa"/>
            <w:hideMark/>
          </w:tcPr>
          <w:p w14:paraId="284D468A"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12,2</w:t>
            </w:r>
          </w:p>
        </w:tc>
        <w:tc>
          <w:tcPr>
            <w:tcW w:w="875" w:type="dxa"/>
            <w:hideMark/>
          </w:tcPr>
          <w:p w14:paraId="3797F5D3"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456,5</w:t>
            </w:r>
          </w:p>
        </w:tc>
        <w:tc>
          <w:tcPr>
            <w:tcW w:w="831" w:type="dxa"/>
            <w:hideMark/>
          </w:tcPr>
          <w:p w14:paraId="5BBE6363"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8,4</w:t>
            </w:r>
          </w:p>
        </w:tc>
        <w:tc>
          <w:tcPr>
            <w:tcW w:w="875" w:type="dxa"/>
            <w:hideMark/>
          </w:tcPr>
          <w:p w14:paraId="31F7AE99"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549,1</w:t>
            </w:r>
          </w:p>
        </w:tc>
        <w:tc>
          <w:tcPr>
            <w:tcW w:w="832" w:type="dxa"/>
            <w:hideMark/>
          </w:tcPr>
          <w:p w14:paraId="05F1F110"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9,6</w:t>
            </w:r>
          </w:p>
        </w:tc>
      </w:tr>
      <w:tr w:rsidR="00052499" w:rsidRPr="004C7C90" w14:paraId="00298651" w14:textId="77777777" w:rsidTr="00052499">
        <w:trPr>
          <w:trHeight w:val="297"/>
        </w:trPr>
        <w:tc>
          <w:tcPr>
            <w:tcW w:w="4236" w:type="dxa"/>
            <w:noWrap/>
            <w:hideMark/>
          </w:tcPr>
          <w:p w14:paraId="451F02B6" w14:textId="77777777" w:rsidR="00052499" w:rsidRPr="004C7C90" w:rsidRDefault="00052499" w:rsidP="00052499">
            <w:pPr>
              <w:suppressLineNumbers/>
              <w:spacing w:before="100" w:beforeAutospacing="1" w:afterAutospacing="1"/>
              <w:ind w:firstLineChars="200" w:firstLine="360"/>
              <w:rPr>
                <w:rFonts w:eastAsia="Times New Roman" w:cstheme="minorHAnsi"/>
                <w:color w:val="7E0000"/>
                <w:sz w:val="18"/>
                <w:szCs w:val="18"/>
                <w:lang w:val="sr-Latn-ME" w:eastAsia="sr-Latn-ME"/>
              </w:rPr>
            </w:pPr>
            <w:r w:rsidRPr="004C7C90">
              <w:rPr>
                <w:rFonts w:eastAsia="Times New Roman" w:cstheme="minorHAnsi"/>
                <w:color w:val="7E0000"/>
                <w:sz w:val="18"/>
                <w:szCs w:val="18"/>
                <w:lang w:val="sr-Latn-ME" w:eastAsia="sr-Latn-ME"/>
              </w:rPr>
              <w:t>Zaduživanje u inostranstvu</w:t>
            </w:r>
          </w:p>
        </w:tc>
        <w:tc>
          <w:tcPr>
            <w:tcW w:w="878" w:type="dxa"/>
            <w:hideMark/>
          </w:tcPr>
          <w:p w14:paraId="51B7DD41"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 </w:t>
            </w:r>
            <w:r>
              <w:rPr>
                <w:rFonts w:eastAsia="Times New Roman" w:cstheme="minorHAnsi"/>
                <w:i/>
                <w:iCs/>
                <w:color w:val="7E0000"/>
                <w:sz w:val="18"/>
                <w:szCs w:val="18"/>
                <w:lang w:val="sr-Latn-ME" w:eastAsia="sr-Latn-ME"/>
              </w:rPr>
              <w:t>100,00</w:t>
            </w:r>
          </w:p>
        </w:tc>
        <w:tc>
          <w:tcPr>
            <w:tcW w:w="969" w:type="dxa"/>
            <w:hideMark/>
          </w:tcPr>
          <w:p w14:paraId="15AFD7FD"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0.0</w:t>
            </w:r>
          </w:p>
        </w:tc>
        <w:tc>
          <w:tcPr>
            <w:tcW w:w="878" w:type="dxa"/>
            <w:hideMark/>
          </w:tcPr>
          <w:p w14:paraId="15FDC26E"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103.06</w:t>
            </w:r>
          </w:p>
        </w:tc>
        <w:tc>
          <w:tcPr>
            <w:tcW w:w="813" w:type="dxa"/>
            <w:hideMark/>
          </w:tcPr>
          <w:p w14:paraId="4318AE4F"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1.5</w:t>
            </w:r>
          </w:p>
        </w:tc>
        <w:tc>
          <w:tcPr>
            <w:tcW w:w="878" w:type="dxa"/>
            <w:hideMark/>
          </w:tcPr>
          <w:p w14:paraId="24E3D6F5"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103.09</w:t>
            </w:r>
          </w:p>
        </w:tc>
        <w:tc>
          <w:tcPr>
            <w:tcW w:w="813" w:type="dxa"/>
            <w:hideMark/>
          </w:tcPr>
          <w:p w14:paraId="53BA28B4"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1.4</w:t>
            </w:r>
          </w:p>
        </w:tc>
        <w:tc>
          <w:tcPr>
            <w:tcW w:w="878" w:type="dxa"/>
            <w:hideMark/>
          </w:tcPr>
          <w:p w14:paraId="27B867F8"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103.09</w:t>
            </w:r>
          </w:p>
        </w:tc>
        <w:tc>
          <w:tcPr>
            <w:tcW w:w="814" w:type="dxa"/>
            <w:hideMark/>
          </w:tcPr>
          <w:p w14:paraId="6879621E"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1.3</w:t>
            </w:r>
          </w:p>
        </w:tc>
        <w:tc>
          <w:tcPr>
            <w:tcW w:w="875" w:type="dxa"/>
            <w:hideMark/>
          </w:tcPr>
          <w:p w14:paraId="13B60E9D"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174</w:t>
            </w:r>
          </w:p>
        </w:tc>
        <w:tc>
          <w:tcPr>
            <w:tcW w:w="831" w:type="dxa"/>
            <w:hideMark/>
          </w:tcPr>
          <w:p w14:paraId="4A5B5E39"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3,4</w:t>
            </w:r>
          </w:p>
        </w:tc>
        <w:tc>
          <w:tcPr>
            <w:tcW w:w="875" w:type="dxa"/>
            <w:hideMark/>
          </w:tcPr>
          <w:p w14:paraId="2E3A8B99"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280,9</w:t>
            </w:r>
          </w:p>
        </w:tc>
        <w:tc>
          <w:tcPr>
            <w:tcW w:w="831" w:type="dxa"/>
            <w:hideMark/>
          </w:tcPr>
          <w:p w14:paraId="170A2CB9"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5,2</w:t>
            </w:r>
          </w:p>
        </w:tc>
        <w:tc>
          <w:tcPr>
            <w:tcW w:w="875" w:type="dxa"/>
            <w:hideMark/>
          </w:tcPr>
          <w:p w14:paraId="7C627B43"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299,4</w:t>
            </w:r>
          </w:p>
        </w:tc>
        <w:tc>
          <w:tcPr>
            <w:tcW w:w="832" w:type="dxa"/>
            <w:hideMark/>
          </w:tcPr>
          <w:p w14:paraId="691FB32C"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5,2</w:t>
            </w:r>
          </w:p>
        </w:tc>
      </w:tr>
      <w:tr w:rsidR="00052499" w:rsidRPr="004C7C90" w14:paraId="20AED4C1" w14:textId="77777777" w:rsidTr="00052499">
        <w:trPr>
          <w:trHeight w:val="297"/>
        </w:trPr>
        <w:tc>
          <w:tcPr>
            <w:tcW w:w="4236" w:type="dxa"/>
            <w:noWrap/>
            <w:hideMark/>
          </w:tcPr>
          <w:p w14:paraId="5412710B" w14:textId="77777777" w:rsidR="00052499" w:rsidRPr="004C7C90" w:rsidRDefault="00052499" w:rsidP="00052499">
            <w:pPr>
              <w:suppressLineNumbers/>
              <w:spacing w:before="100" w:beforeAutospacing="1" w:afterAutospacing="1"/>
              <w:ind w:firstLineChars="200" w:firstLine="360"/>
              <w:rPr>
                <w:rFonts w:eastAsia="Times New Roman" w:cstheme="minorHAnsi"/>
                <w:color w:val="7E0000"/>
                <w:sz w:val="18"/>
                <w:szCs w:val="18"/>
                <w:lang w:val="sr-Latn-ME" w:eastAsia="sr-Latn-ME"/>
              </w:rPr>
            </w:pPr>
            <w:r w:rsidRPr="004C7C90">
              <w:rPr>
                <w:rFonts w:eastAsia="Times New Roman" w:cstheme="minorHAnsi"/>
                <w:color w:val="7E0000"/>
                <w:sz w:val="18"/>
                <w:szCs w:val="18"/>
                <w:lang w:val="sr-Latn-ME" w:eastAsia="sr-Latn-ME"/>
              </w:rPr>
              <w:t>Zaduživanje u državi</w:t>
            </w:r>
          </w:p>
        </w:tc>
        <w:tc>
          <w:tcPr>
            <w:tcW w:w="878" w:type="dxa"/>
            <w:hideMark/>
          </w:tcPr>
          <w:p w14:paraId="6287A5DC"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 </w:t>
            </w:r>
            <w:r>
              <w:rPr>
                <w:rFonts w:eastAsia="Times New Roman" w:cstheme="minorHAnsi"/>
                <w:i/>
                <w:iCs/>
                <w:color w:val="7E0000"/>
                <w:sz w:val="18"/>
                <w:szCs w:val="18"/>
                <w:lang w:val="sr-Latn-ME" w:eastAsia="sr-Latn-ME"/>
              </w:rPr>
              <w:t>170,00</w:t>
            </w:r>
          </w:p>
        </w:tc>
        <w:tc>
          <w:tcPr>
            <w:tcW w:w="969" w:type="dxa"/>
            <w:hideMark/>
          </w:tcPr>
          <w:p w14:paraId="08F2E29C"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0.0</w:t>
            </w:r>
          </w:p>
        </w:tc>
        <w:tc>
          <w:tcPr>
            <w:tcW w:w="878" w:type="dxa"/>
            <w:hideMark/>
          </w:tcPr>
          <w:p w14:paraId="68EC2D8C"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554.22</w:t>
            </w:r>
          </w:p>
        </w:tc>
        <w:tc>
          <w:tcPr>
            <w:tcW w:w="813" w:type="dxa"/>
            <w:hideMark/>
          </w:tcPr>
          <w:p w14:paraId="479C3A83"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7.9</w:t>
            </w:r>
          </w:p>
        </w:tc>
        <w:tc>
          <w:tcPr>
            <w:tcW w:w="878" w:type="dxa"/>
            <w:hideMark/>
          </w:tcPr>
          <w:p w14:paraId="4F7D8795"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822.72</w:t>
            </w:r>
          </w:p>
        </w:tc>
        <w:tc>
          <w:tcPr>
            <w:tcW w:w="813" w:type="dxa"/>
            <w:hideMark/>
          </w:tcPr>
          <w:p w14:paraId="1DC750B9"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11.1</w:t>
            </w:r>
          </w:p>
        </w:tc>
        <w:tc>
          <w:tcPr>
            <w:tcW w:w="878" w:type="dxa"/>
            <w:hideMark/>
          </w:tcPr>
          <w:p w14:paraId="02708AC6"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250.83</w:t>
            </w:r>
          </w:p>
        </w:tc>
        <w:tc>
          <w:tcPr>
            <w:tcW w:w="814" w:type="dxa"/>
            <w:hideMark/>
          </w:tcPr>
          <w:p w14:paraId="32887EEF"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3.2</w:t>
            </w:r>
          </w:p>
        </w:tc>
        <w:tc>
          <w:tcPr>
            <w:tcW w:w="875" w:type="dxa"/>
            <w:hideMark/>
          </w:tcPr>
          <w:p w14:paraId="397A68B9"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8</w:t>
            </w:r>
          </w:p>
        </w:tc>
        <w:tc>
          <w:tcPr>
            <w:tcW w:w="831" w:type="dxa"/>
            <w:hideMark/>
          </w:tcPr>
          <w:p w14:paraId="28106025"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0,2</w:t>
            </w:r>
          </w:p>
        </w:tc>
        <w:tc>
          <w:tcPr>
            <w:tcW w:w="875" w:type="dxa"/>
            <w:hideMark/>
          </w:tcPr>
          <w:p w14:paraId="1745243D"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158</w:t>
            </w:r>
          </w:p>
        </w:tc>
        <w:tc>
          <w:tcPr>
            <w:tcW w:w="831" w:type="dxa"/>
            <w:hideMark/>
          </w:tcPr>
          <w:p w14:paraId="528C05DC"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2,9</w:t>
            </w:r>
          </w:p>
        </w:tc>
        <w:tc>
          <w:tcPr>
            <w:tcW w:w="875" w:type="dxa"/>
            <w:hideMark/>
          </w:tcPr>
          <w:p w14:paraId="60C9B09F"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108</w:t>
            </w:r>
          </w:p>
        </w:tc>
        <w:tc>
          <w:tcPr>
            <w:tcW w:w="832" w:type="dxa"/>
            <w:hideMark/>
          </w:tcPr>
          <w:p w14:paraId="3489AC96"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1,9</w:t>
            </w:r>
          </w:p>
        </w:tc>
      </w:tr>
      <w:tr w:rsidR="00052499" w:rsidRPr="004C7C90" w14:paraId="62B2A8AA" w14:textId="77777777" w:rsidTr="00052499">
        <w:trPr>
          <w:trHeight w:val="311"/>
        </w:trPr>
        <w:tc>
          <w:tcPr>
            <w:tcW w:w="4236" w:type="dxa"/>
            <w:noWrap/>
            <w:hideMark/>
          </w:tcPr>
          <w:p w14:paraId="6E24B6EB" w14:textId="77777777" w:rsidR="00052499" w:rsidRPr="004C7C90" w:rsidRDefault="00052499" w:rsidP="00052499">
            <w:pPr>
              <w:suppressLineNumbers/>
              <w:spacing w:before="100" w:beforeAutospacing="1" w:afterAutospacing="1"/>
              <w:ind w:firstLineChars="200" w:firstLine="360"/>
              <w:rPr>
                <w:rFonts w:eastAsia="Times New Roman" w:cstheme="minorHAnsi"/>
                <w:color w:val="7E0000"/>
                <w:sz w:val="18"/>
                <w:szCs w:val="18"/>
                <w:lang w:val="sr-Latn-ME" w:eastAsia="sr-Latn-ME"/>
              </w:rPr>
            </w:pPr>
            <w:r w:rsidRPr="004C7C90">
              <w:rPr>
                <w:rFonts w:eastAsia="Times New Roman" w:cstheme="minorHAnsi"/>
                <w:color w:val="7E0000"/>
                <w:sz w:val="18"/>
                <w:szCs w:val="18"/>
                <w:lang w:val="sr-Latn-ME" w:eastAsia="sr-Latn-ME"/>
              </w:rPr>
              <w:t>Korišćenje depozita</w:t>
            </w:r>
          </w:p>
        </w:tc>
        <w:tc>
          <w:tcPr>
            <w:tcW w:w="878" w:type="dxa"/>
            <w:hideMark/>
          </w:tcPr>
          <w:p w14:paraId="118A482A"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120.82</w:t>
            </w:r>
          </w:p>
        </w:tc>
        <w:tc>
          <w:tcPr>
            <w:tcW w:w="969" w:type="dxa"/>
            <w:hideMark/>
          </w:tcPr>
          <w:p w14:paraId="00FF313A"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1.9</w:t>
            </w:r>
          </w:p>
        </w:tc>
        <w:tc>
          <w:tcPr>
            <w:tcW w:w="878" w:type="dxa"/>
            <w:hideMark/>
          </w:tcPr>
          <w:p w14:paraId="591039DD"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115.64</w:t>
            </w:r>
          </w:p>
        </w:tc>
        <w:tc>
          <w:tcPr>
            <w:tcW w:w="813" w:type="dxa"/>
            <w:hideMark/>
          </w:tcPr>
          <w:p w14:paraId="5E88AB2D"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1.6</w:t>
            </w:r>
          </w:p>
        </w:tc>
        <w:tc>
          <w:tcPr>
            <w:tcW w:w="878" w:type="dxa"/>
            <w:hideMark/>
          </w:tcPr>
          <w:p w14:paraId="3C1BC520"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103.23</w:t>
            </w:r>
          </w:p>
        </w:tc>
        <w:tc>
          <w:tcPr>
            <w:tcW w:w="813" w:type="dxa"/>
            <w:hideMark/>
          </w:tcPr>
          <w:p w14:paraId="1066260F"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1.4</w:t>
            </w:r>
          </w:p>
        </w:tc>
        <w:tc>
          <w:tcPr>
            <w:tcW w:w="878" w:type="dxa"/>
            <w:hideMark/>
          </w:tcPr>
          <w:p w14:paraId="39CEC13A"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105.04</w:t>
            </w:r>
          </w:p>
        </w:tc>
        <w:tc>
          <w:tcPr>
            <w:tcW w:w="814" w:type="dxa"/>
            <w:hideMark/>
          </w:tcPr>
          <w:p w14:paraId="4BD79540"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3E071F">
              <w:rPr>
                <w:rFonts w:eastAsia="Times New Roman" w:cstheme="minorHAnsi"/>
                <w:i/>
                <w:iCs/>
                <w:color w:val="7E0000"/>
                <w:sz w:val="18"/>
                <w:szCs w:val="18"/>
                <w:lang w:val="sr-Latn-ME" w:eastAsia="sr-Latn-ME"/>
              </w:rPr>
              <w:t>1.3</w:t>
            </w:r>
          </w:p>
        </w:tc>
        <w:tc>
          <w:tcPr>
            <w:tcW w:w="875" w:type="dxa"/>
            <w:hideMark/>
          </w:tcPr>
          <w:p w14:paraId="2885A785"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426,9</w:t>
            </w:r>
          </w:p>
        </w:tc>
        <w:tc>
          <w:tcPr>
            <w:tcW w:w="831" w:type="dxa"/>
            <w:hideMark/>
          </w:tcPr>
          <w:p w14:paraId="2A78690B"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8,3</w:t>
            </w:r>
          </w:p>
        </w:tc>
        <w:tc>
          <w:tcPr>
            <w:tcW w:w="875" w:type="dxa"/>
            <w:hideMark/>
          </w:tcPr>
          <w:p w14:paraId="686288A9"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-4,5</w:t>
            </w:r>
          </w:p>
        </w:tc>
        <w:tc>
          <w:tcPr>
            <w:tcW w:w="831" w:type="dxa"/>
            <w:hideMark/>
          </w:tcPr>
          <w:p w14:paraId="2721A80B"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-0,1</w:t>
            </w:r>
          </w:p>
        </w:tc>
        <w:tc>
          <w:tcPr>
            <w:tcW w:w="875" w:type="dxa"/>
            <w:hideMark/>
          </w:tcPr>
          <w:p w14:paraId="51387002"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119,7</w:t>
            </w:r>
          </w:p>
        </w:tc>
        <w:tc>
          <w:tcPr>
            <w:tcW w:w="832" w:type="dxa"/>
            <w:hideMark/>
          </w:tcPr>
          <w:p w14:paraId="7D2DD789" w14:textId="77777777" w:rsidR="00052499" w:rsidRPr="004C7C90" w:rsidRDefault="00052499" w:rsidP="00052499">
            <w:pPr>
              <w:suppressLineNumbers/>
              <w:spacing w:before="100" w:beforeAutospacing="1" w:afterAutospacing="1"/>
              <w:jc w:val="center"/>
              <w:rPr>
                <w:rFonts w:eastAsia="Times New Roman" w:cstheme="minorHAnsi"/>
                <w:i/>
                <w:iCs/>
                <w:color w:val="7E0000"/>
                <w:sz w:val="18"/>
                <w:szCs w:val="18"/>
                <w:lang w:val="sr-Latn-ME" w:eastAsia="sr-Latn-ME"/>
              </w:rPr>
            </w:pPr>
            <w:r w:rsidRPr="004C7C90">
              <w:rPr>
                <w:rFonts w:eastAsia="Times New Roman" w:cstheme="minorHAnsi"/>
                <w:i/>
                <w:iCs/>
                <w:color w:val="7E0000"/>
                <w:sz w:val="18"/>
                <w:szCs w:val="18"/>
                <w:lang w:val="sr-Latn-ME" w:eastAsia="sr-Latn-ME"/>
              </w:rPr>
              <w:t>2,1-</w:t>
            </w:r>
          </w:p>
        </w:tc>
      </w:tr>
    </w:tbl>
    <w:p w14:paraId="7AFD725F" w14:textId="77777777" w:rsidR="00052499" w:rsidRPr="00110B0F" w:rsidRDefault="00052499" w:rsidP="00052499">
      <w:pPr>
        <w:sectPr w:rsidR="00052499" w:rsidRPr="00110B0F" w:rsidSect="00052499">
          <w:pgSz w:w="16838" w:h="11906" w:orient="landscape"/>
          <w:pgMar w:top="1440" w:right="1440" w:bottom="1440" w:left="1440" w:header="709" w:footer="709" w:gutter="0"/>
          <w:cols w:space="708"/>
          <w:docGrid w:linePitch="360"/>
        </w:sectPr>
      </w:pPr>
    </w:p>
    <w:p w14:paraId="6819A6F0" w14:textId="77777777" w:rsidR="00052499" w:rsidRPr="00052499" w:rsidRDefault="00052499" w:rsidP="00052499">
      <w:pPr>
        <w:pStyle w:val="Heading2"/>
        <w:rPr>
          <w:rFonts w:asciiTheme="minorHAnsi" w:hAnsiTheme="minorHAnsi" w:cstheme="minorHAnsi"/>
          <w:b/>
          <w:sz w:val="24"/>
          <w:szCs w:val="24"/>
        </w:rPr>
      </w:pPr>
      <w:bookmarkStart w:id="125" w:name="_Toc88031660"/>
      <w:bookmarkStart w:id="126" w:name="_Toc125545777"/>
      <w:bookmarkStart w:id="127" w:name="_Toc153305351"/>
      <w:bookmarkEnd w:id="123"/>
      <w:r w:rsidRPr="00052499">
        <w:rPr>
          <w:rFonts w:asciiTheme="minorHAnsi" w:hAnsiTheme="minorHAnsi" w:cstheme="minorHAnsi"/>
          <w:b/>
          <w:sz w:val="24"/>
          <w:szCs w:val="24"/>
        </w:rPr>
        <w:lastRenderedPageBreak/>
        <w:t>4.6. Nivoi i trendovi zaduživanja, analiza operacija “ispod crte” i prilagođavanja tokova i stanja</w:t>
      </w:r>
      <w:bookmarkEnd w:id="125"/>
      <w:bookmarkEnd w:id="126"/>
      <w:bookmarkEnd w:id="127"/>
    </w:p>
    <w:p w14:paraId="3B262BEA" w14:textId="77777777" w:rsidR="00052499" w:rsidRPr="00052499" w:rsidRDefault="00052499" w:rsidP="00052499">
      <w:pPr>
        <w:pStyle w:val="Heading3"/>
        <w:rPr>
          <w:rFonts w:asciiTheme="minorHAnsi" w:hAnsiTheme="minorHAnsi" w:cstheme="minorHAnsi"/>
          <w:b/>
          <w:color w:val="2F5496" w:themeColor="accent1" w:themeShade="BF"/>
        </w:rPr>
      </w:pPr>
      <w:bookmarkStart w:id="128" w:name="_Toc153305352"/>
      <w:r w:rsidRPr="00052499">
        <w:rPr>
          <w:rFonts w:asciiTheme="minorHAnsi" w:hAnsiTheme="minorHAnsi" w:cstheme="minorHAnsi"/>
          <w:b/>
          <w:color w:val="2F5496" w:themeColor="accent1" w:themeShade="BF"/>
        </w:rPr>
        <w:t>Državni i javni dug tokom 2023. godine</w:t>
      </w:r>
      <w:bookmarkEnd w:id="128"/>
    </w:p>
    <w:p w14:paraId="426F8AF9" w14:textId="77777777" w:rsidR="00052499" w:rsidRPr="00052499" w:rsidRDefault="00052499" w:rsidP="00052499">
      <w:pPr>
        <w:jc w:val="both"/>
        <w:rPr>
          <w:rFonts w:cstheme="minorHAnsi"/>
          <w:sz w:val="24"/>
          <w:szCs w:val="24"/>
          <w:lang w:val="sr-Latn-ME"/>
        </w:rPr>
      </w:pPr>
      <w:r w:rsidRPr="00052499">
        <w:rPr>
          <w:rFonts w:cstheme="minorHAnsi"/>
          <w:sz w:val="24"/>
          <w:szCs w:val="24"/>
        </w:rPr>
        <w:t>Ukupan javni dug Crne Gore na dan 31.12.2022. godine, iznosi  4.102,21 miliona eura, odnosno 69.25% BDP-a</w:t>
      </w:r>
      <w:r w:rsidRPr="00052499">
        <w:rPr>
          <w:rFonts w:cstheme="minorHAnsi"/>
          <w:sz w:val="24"/>
          <w:szCs w:val="24"/>
          <w:vertAlign w:val="superscript"/>
        </w:rPr>
        <w:footnoteReference w:id="18"/>
      </w:r>
      <w:r w:rsidRPr="00052499">
        <w:rPr>
          <w:rFonts w:cstheme="minorHAnsi"/>
          <w:sz w:val="24"/>
          <w:szCs w:val="24"/>
        </w:rPr>
        <w:t xml:space="preserve">, i obuhvata državni dug koji je iznosio 4.026,32 miliona eura, odnosno 67.96% BDP-a, i dug lokalne samouprave koji je iznosio 75,89 miliona eura, odnosno 1,28% BDP-a. </w:t>
      </w:r>
    </w:p>
    <w:p w14:paraId="4C333990" w14:textId="77777777" w:rsidR="00052499" w:rsidRPr="00052499" w:rsidRDefault="00052499" w:rsidP="00052499">
      <w:pPr>
        <w:jc w:val="both"/>
        <w:rPr>
          <w:rFonts w:cstheme="minorHAnsi"/>
          <w:sz w:val="24"/>
          <w:szCs w:val="24"/>
        </w:rPr>
      </w:pPr>
      <w:r w:rsidRPr="00052499">
        <w:rPr>
          <w:rFonts w:cstheme="minorHAnsi"/>
          <w:sz w:val="24"/>
          <w:szCs w:val="24"/>
        </w:rPr>
        <w:t>Neto javni dug Crne Gore na dan 31.12.2022. godine, uključujući depozite Ministarstva finansija, iznosio je 3.990.46 miliona eura, odnosno 67.36% BDP-a.</w:t>
      </w:r>
    </w:p>
    <w:p w14:paraId="6434319C" w14:textId="77777777" w:rsidR="00052499" w:rsidRPr="00052499" w:rsidRDefault="00052499" w:rsidP="00052499">
      <w:pPr>
        <w:jc w:val="both"/>
        <w:rPr>
          <w:rFonts w:cstheme="minorHAnsi"/>
          <w:sz w:val="24"/>
          <w:szCs w:val="24"/>
        </w:rPr>
      </w:pPr>
      <w:r w:rsidRPr="00052499">
        <w:rPr>
          <w:rFonts w:cstheme="minorHAnsi"/>
          <w:sz w:val="24"/>
          <w:szCs w:val="24"/>
        </w:rPr>
        <w:t xml:space="preserve">Depoziti Ministarstva finansija, koji uključuju i 38.477 unci zlata, i depozite lokalne samouprave, na kraju 2022. godine, iznosili su ukupno 166.20 miliona eura, od čega su depoziti Ministarstva finansija iznosili 111.8 miliona eura, dok su depoziti lokalne samouprave iznosili 54,40 miliona eura. </w:t>
      </w:r>
    </w:p>
    <w:p w14:paraId="416027E1" w14:textId="546D961E" w:rsidR="00052499" w:rsidRPr="00052499" w:rsidRDefault="00052499" w:rsidP="00052499">
      <w:pPr>
        <w:jc w:val="both"/>
        <w:rPr>
          <w:rFonts w:cstheme="minorHAnsi"/>
          <w:b/>
          <w:color w:val="2F5496" w:themeColor="accent1" w:themeShade="BF"/>
          <w:sz w:val="20"/>
          <w:szCs w:val="20"/>
        </w:rPr>
      </w:pPr>
      <w:r w:rsidRPr="00052499">
        <w:rPr>
          <w:rFonts w:cstheme="minorHAnsi"/>
          <w:b/>
          <w:color w:val="2F5496" w:themeColor="accent1" w:themeShade="BF"/>
          <w:sz w:val="20"/>
          <w:szCs w:val="20"/>
        </w:rPr>
        <w:t xml:space="preserve">Grafik </w:t>
      </w:r>
      <w:r w:rsidRPr="00052499">
        <w:rPr>
          <w:rFonts w:cstheme="minorHAnsi"/>
          <w:b/>
          <w:color w:val="2F5496" w:themeColor="accent1" w:themeShade="BF"/>
          <w:sz w:val="20"/>
          <w:szCs w:val="20"/>
        </w:rPr>
        <w:fldChar w:fldCharType="begin"/>
      </w:r>
      <w:r w:rsidRPr="00052499">
        <w:rPr>
          <w:rFonts w:cstheme="minorHAnsi"/>
          <w:b/>
          <w:color w:val="2F5496" w:themeColor="accent1" w:themeShade="BF"/>
          <w:sz w:val="20"/>
          <w:szCs w:val="20"/>
        </w:rPr>
        <w:instrText xml:space="preserve"> SEQ Grafik \* ARABIC </w:instrText>
      </w:r>
      <w:r w:rsidRPr="00052499">
        <w:rPr>
          <w:rFonts w:cstheme="minorHAnsi"/>
          <w:b/>
          <w:color w:val="2F5496" w:themeColor="accent1" w:themeShade="BF"/>
          <w:sz w:val="20"/>
          <w:szCs w:val="20"/>
        </w:rPr>
        <w:fldChar w:fldCharType="separate"/>
      </w:r>
      <w:r w:rsidR="00300D53">
        <w:rPr>
          <w:rFonts w:cstheme="minorHAnsi"/>
          <w:b/>
          <w:noProof/>
          <w:color w:val="2F5496" w:themeColor="accent1" w:themeShade="BF"/>
          <w:sz w:val="20"/>
          <w:szCs w:val="20"/>
        </w:rPr>
        <w:t>1</w:t>
      </w:r>
      <w:r w:rsidRPr="00052499">
        <w:rPr>
          <w:rFonts w:cstheme="minorHAnsi"/>
          <w:b/>
          <w:noProof/>
          <w:color w:val="2F5496" w:themeColor="accent1" w:themeShade="BF"/>
          <w:sz w:val="20"/>
          <w:szCs w:val="20"/>
        </w:rPr>
        <w:fldChar w:fldCharType="end"/>
      </w:r>
      <w:r w:rsidRPr="00052499">
        <w:rPr>
          <w:rFonts w:cstheme="minorHAnsi"/>
          <w:b/>
          <w:color w:val="2F5496" w:themeColor="accent1" w:themeShade="BF"/>
          <w:sz w:val="20"/>
          <w:szCs w:val="20"/>
        </w:rPr>
        <w:t xml:space="preserve"> Državni i javni dug Crne Gore u mil. €</w:t>
      </w:r>
    </w:p>
    <w:p w14:paraId="20E6C665" w14:textId="77777777" w:rsidR="00052499" w:rsidRPr="00052499" w:rsidRDefault="00052499" w:rsidP="00052499">
      <w:pPr>
        <w:jc w:val="both"/>
        <w:rPr>
          <w:rFonts w:cstheme="minorHAnsi"/>
          <w:sz w:val="24"/>
          <w:szCs w:val="24"/>
        </w:rPr>
      </w:pPr>
      <w:r w:rsidRPr="00052499">
        <w:rPr>
          <w:rFonts w:cstheme="minorHAnsi"/>
          <w:noProof/>
          <w:sz w:val="24"/>
          <w:szCs w:val="24"/>
          <w:lang w:val="en-GB" w:eastAsia="en-GB"/>
        </w:rPr>
        <w:drawing>
          <wp:inline distT="0" distB="0" distL="0" distR="0" wp14:anchorId="6190B2EF" wp14:editId="072D76D6">
            <wp:extent cx="5943600" cy="3009900"/>
            <wp:effectExtent l="0" t="0" r="0" b="0"/>
            <wp:docPr id="40" name="Chart 40">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055DA7F" w14:textId="77777777" w:rsidR="00052499" w:rsidRPr="00052499" w:rsidRDefault="00052499" w:rsidP="00052499">
      <w:pPr>
        <w:spacing w:after="0" w:line="240" w:lineRule="auto"/>
        <w:jc w:val="both"/>
        <w:rPr>
          <w:rFonts w:cstheme="minorHAnsi"/>
          <w:i/>
          <w:color w:val="808080" w:themeColor="background1" w:themeShade="80"/>
          <w:sz w:val="20"/>
          <w:szCs w:val="20"/>
        </w:rPr>
      </w:pPr>
      <w:r w:rsidRPr="00052499">
        <w:rPr>
          <w:rFonts w:cstheme="minorHAnsi"/>
          <w:i/>
          <w:color w:val="808080" w:themeColor="background1" w:themeShade="80"/>
          <w:sz w:val="20"/>
          <w:szCs w:val="20"/>
        </w:rPr>
        <w:t>-Dug prikazan na grafiku ne uključuje depozite Ministarstva finansija i depozite lokalne samouprave.</w:t>
      </w:r>
    </w:p>
    <w:p w14:paraId="08AC10C2" w14:textId="77777777" w:rsidR="00052499" w:rsidRPr="00052499" w:rsidRDefault="00052499" w:rsidP="00052499">
      <w:pPr>
        <w:pStyle w:val="NoSpacing"/>
        <w:jc w:val="both"/>
        <w:rPr>
          <w:rFonts w:cstheme="minorHAnsi"/>
          <w:sz w:val="24"/>
          <w:szCs w:val="24"/>
        </w:rPr>
      </w:pPr>
    </w:p>
    <w:p w14:paraId="4C0B950E" w14:textId="77777777" w:rsidR="00052499" w:rsidRPr="00052499" w:rsidRDefault="00052499" w:rsidP="00052499">
      <w:pPr>
        <w:jc w:val="both"/>
        <w:rPr>
          <w:rFonts w:cstheme="minorHAnsi"/>
          <w:sz w:val="24"/>
          <w:szCs w:val="24"/>
        </w:rPr>
      </w:pPr>
      <w:bookmarkStart w:id="129" w:name="_Hlk151707641"/>
      <w:r w:rsidRPr="00052499">
        <w:rPr>
          <w:rFonts w:cstheme="minorHAnsi"/>
          <w:sz w:val="24"/>
          <w:szCs w:val="24"/>
        </w:rPr>
        <w:t xml:space="preserve">Zakonom o budžetu za 2023. godinu, predviđeno je finansiranje budžeta u ukupnom iznosu od 705 miliona eura, od čega je planirano da 600 miliona eura bude pokriveno iz zaduživanja. Predlogom Zakona o Izmjenama Zakona o budžetu za 2023. godinu iznos nedostajućih sredstava je korigovan na iznos od 560, dok je iznos mogućeg zaduženja ostao nepromijenjen. </w:t>
      </w:r>
    </w:p>
    <w:p w14:paraId="736204DD" w14:textId="77777777" w:rsidR="00052499" w:rsidRPr="00052499" w:rsidRDefault="00052499" w:rsidP="00052499">
      <w:pPr>
        <w:jc w:val="both"/>
        <w:rPr>
          <w:rFonts w:cstheme="minorHAnsi"/>
          <w:sz w:val="24"/>
          <w:szCs w:val="24"/>
        </w:rPr>
      </w:pPr>
      <w:r w:rsidRPr="00052499">
        <w:rPr>
          <w:rFonts w:cstheme="minorHAnsi"/>
          <w:sz w:val="24"/>
          <w:szCs w:val="24"/>
        </w:rPr>
        <w:t xml:space="preserve">U prvom kvartalu 2023. godine Ministarstvo finansija se zadužilo 100 miliona eura na inostranom tržištu. Dana 28. februara 2023. godine, zaključen je finansijski aranžman u visini od 100 miliona </w:t>
      </w:r>
      <w:r w:rsidRPr="00052499">
        <w:rPr>
          <w:rFonts w:cstheme="minorHAnsi"/>
          <w:sz w:val="24"/>
          <w:szCs w:val="24"/>
        </w:rPr>
        <w:lastRenderedPageBreak/>
        <w:t>eura, između Države Crne Gore, odnosno Ministarstva finansija i Deutsche banke AG. Ugovor je zaključen na period od tri godine, sa grejs periodom od 12 mjeseci. Kamatna stopa kredita sastoji se od šestomjesečnog EURIBORA uvećanog za iznos margine od 5,9%. Prva rata kamate plaća se šest mjeseci od povlačenja kreditnih sredstava, dok će otplata glavnice započeti dvanaest mjeseci nakon povlačenja kreditnih sredstava i biće sprovedena plaćanjem pet jednakih rata glavnice.</w:t>
      </w:r>
    </w:p>
    <w:p w14:paraId="126176C4" w14:textId="77777777" w:rsidR="00052499" w:rsidRPr="00052499" w:rsidRDefault="00052499" w:rsidP="00052499">
      <w:pPr>
        <w:jc w:val="both"/>
        <w:rPr>
          <w:rFonts w:cstheme="minorHAnsi"/>
          <w:sz w:val="24"/>
          <w:szCs w:val="24"/>
        </w:rPr>
      </w:pPr>
      <w:r w:rsidRPr="00052499">
        <w:rPr>
          <w:rFonts w:cstheme="minorHAnsi"/>
          <w:sz w:val="24"/>
          <w:szCs w:val="24"/>
        </w:rPr>
        <w:t xml:space="preserve">Ostatak nedostajućih sredstava planirano je da se obezbjedi putem kredita ili putem drugih oblika zaduživanja, na domaćem ili inostranom tržištu, u zavisnosti od kretanja uslova na tržištu. Aktivnosti obezbjeđenja nedostajućih sredstava su u toku. </w:t>
      </w:r>
    </w:p>
    <w:bookmarkEnd w:id="129"/>
    <w:p w14:paraId="40160702" w14:textId="77777777" w:rsidR="00052499" w:rsidRPr="005C76C7" w:rsidRDefault="00052499" w:rsidP="005C76C7">
      <w:pPr>
        <w:jc w:val="both"/>
        <w:rPr>
          <w:rFonts w:cstheme="minorHAnsi"/>
          <w:b/>
          <w:sz w:val="20"/>
          <w:szCs w:val="20"/>
        </w:rPr>
      </w:pPr>
      <w:r w:rsidRPr="005C76C7">
        <w:rPr>
          <w:rFonts w:cstheme="minorHAnsi"/>
          <w:b/>
          <w:color w:val="2F5496" w:themeColor="accent1" w:themeShade="BF"/>
          <w:sz w:val="20"/>
          <w:szCs w:val="20"/>
        </w:rPr>
        <w:t>Tabela 1. Kvartalno kretanje spoljnjeg i domaćeg duga, kao i duga lokalne samouprave u mil. eura tokom 2023.god</w:t>
      </w:r>
      <w:r w:rsidRPr="005C76C7">
        <w:rPr>
          <w:rFonts w:cstheme="minorHAnsi"/>
          <w:b/>
          <w:bCs/>
          <w:color w:val="4472C4" w:themeColor="accent1"/>
          <w:sz w:val="20"/>
          <w:szCs w:val="20"/>
        </w:rPr>
        <w:fldChar w:fldCharType="begin"/>
      </w:r>
      <w:r w:rsidRPr="005C76C7">
        <w:rPr>
          <w:rFonts w:cstheme="minorHAnsi"/>
          <w:b/>
          <w:sz w:val="20"/>
          <w:szCs w:val="20"/>
        </w:rPr>
        <w:instrText xml:space="preserve"> LINK Excel.Sheet.12 "C:\\Users\\bojana.boljevic\\Desktop\\PER\\Tabele PER.xlsx" "Tabela 1- ino, dom i lok.samou!R2C1:R6C6" \a \f 5 \h  \* MERGEFORMAT </w:instrText>
      </w:r>
      <w:r w:rsidRPr="005C76C7">
        <w:rPr>
          <w:rFonts w:cstheme="minorHAnsi"/>
          <w:b/>
          <w:bCs/>
          <w:color w:val="4472C4" w:themeColor="accent1"/>
          <w:sz w:val="20"/>
          <w:szCs w:val="20"/>
        </w:rPr>
        <w:fldChar w:fldCharType="separate"/>
      </w:r>
    </w:p>
    <w:tbl>
      <w:tblPr>
        <w:tblStyle w:val="GridTable2-Accent2"/>
        <w:tblW w:w="9387" w:type="dxa"/>
        <w:tblLook w:val="04A0" w:firstRow="1" w:lastRow="0" w:firstColumn="1" w:lastColumn="0" w:noHBand="0" w:noVBand="1"/>
      </w:tblPr>
      <w:tblGrid>
        <w:gridCol w:w="1701"/>
        <w:gridCol w:w="1573"/>
        <w:gridCol w:w="1661"/>
        <w:gridCol w:w="1590"/>
        <w:gridCol w:w="1576"/>
        <w:gridCol w:w="1286"/>
      </w:tblGrid>
      <w:tr w:rsidR="00052499" w:rsidRPr="005C76C7" w14:paraId="7641E8C3" w14:textId="77777777" w:rsidTr="00052499">
        <w:trPr>
          <w:cnfStyle w:val="100000000000" w:firstRow="1" w:lastRow="0" w:firstColumn="0" w:lastColumn="0" w:oddVBand="0" w:evenVBand="0" w:oddHBand="0" w:evenHBand="0" w:firstRowFirstColumn="0" w:firstRowLastColumn="0" w:lastRowFirstColumn="0" w:lastRowLastColumn="0"/>
          <w:trHeight w:val="538"/>
        </w:trPr>
        <w:tc>
          <w:tcPr>
            <w:cnfStyle w:val="001000000000" w:firstRow="0" w:lastRow="0" w:firstColumn="1" w:lastColumn="0" w:oddVBand="0" w:evenVBand="0" w:oddHBand="0" w:evenHBand="0" w:firstRowFirstColumn="0" w:firstRowLastColumn="0" w:lastRowFirstColumn="0" w:lastRowLastColumn="0"/>
            <w:tcW w:w="1701" w:type="dxa"/>
            <w:noWrap/>
            <w:hideMark/>
          </w:tcPr>
          <w:p w14:paraId="2817AE58" w14:textId="77777777" w:rsidR="00052499" w:rsidRPr="005C76C7" w:rsidRDefault="00052499" w:rsidP="00052499">
            <w:pPr>
              <w:jc w:val="center"/>
              <w:rPr>
                <w:rFonts w:cstheme="minorHAnsi"/>
                <w:sz w:val="20"/>
                <w:szCs w:val="20"/>
              </w:rPr>
            </w:pPr>
            <w:bookmarkStart w:id="130" w:name="_Hlk119391329"/>
            <w:r w:rsidRPr="005C76C7">
              <w:rPr>
                <w:rFonts w:cstheme="minorHAnsi"/>
                <w:sz w:val="20"/>
                <w:szCs w:val="20"/>
              </w:rPr>
              <w:t>Godina</w:t>
            </w:r>
          </w:p>
        </w:tc>
        <w:tc>
          <w:tcPr>
            <w:tcW w:w="1573" w:type="dxa"/>
            <w:noWrap/>
            <w:hideMark/>
          </w:tcPr>
          <w:p w14:paraId="2F883EE9" w14:textId="77777777" w:rsidR="00052499" w:rsidRPr="005C76C7" w:rsidRDefault="00052499" w:rsidP="00052499">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5C76C7">
              <w:rPr>
                <w:rFonts w:cstheme="minorHAnsi"/>
                <w:sz w:val="20"/>
                <w:szCs w:val="20"/>
              </w:rPr>
              <w:t>Spoljnji dug</w:t>
            </w:r>
          </w:p>
        </w:tc>
        <w:tc>
          <w:tcPr>
            <w:tcW w:w="1661" w:type="dxa"/>
            <w:noWrap/>
            <w:hideMark/>
          </w:tcPr>
          <w:p w14:paraId="18E23B6D" w14:textId="77777777" w:rsidR="00052499" w:rsidRPr="005C76C7" w:rsidRDefault="00052499" w:rsidP="00052499">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5C76C7">
              <w:rPr>
                <w:rFonts w:cstheme="minorHAnsi"/>
                <w:sz w:val="20"/>
                <w:szCs w:val="20"/>
              </w:rPr>
              <w:t>Domaći dug</w:t>
            </w:r>
          </w:p>
        </w:tc>
        <w:tc>
          <w:tcPr>
            <w:tcW w:w="1590" w:type="dxa"/>
            <w:noWrap/>
            <w:hideMark/>
          </w:tcPr>
          <w:p w14:paraId="3A0E82B7" w14:textId="77777777" w:rsidR="00052499" w:rsidRPr="005C76C7" w:rsidRDefault="00052499" w:rsidP="00052499">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5C76C7">
              <w:rPr>
                <w:rFonts w:cstheme="minorHAnsi"/>
                <w:sz w:val="20"/>
                <w:szCs w:val="20"/>
              </w:rPr>
              <w:t>Državni dug</w:t>
            </w:r>
          </w:p>
        </w:tc>
        <w:tc>
          <w:tcPr>
            <w:tcW w:w="1576" w:type="dxa"/>
            <w:hideMark/>
          </w:tcPr>
          <w:p w14:paraId="59B97035" w14:textId="77777777" w:rsidR="00052499" w:rsidRPr="005C76C7" w:rsidRDefault="00052499" w:rsidP="00052499">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5C76C7">
              <w:rPr>
                <w:rFonts w:cstheme="minorHAnsi"/>
                <w:sz w:val="20"/>
                <w:szCs w:val="20"/>
              </w:rPr>
              <w:t>Dug lokalne samouprave</w:t>
            </w:r>
          </w:p>
        </w:tc>
        <w:tc>
          <w:tcPr>
            <w:tcW w:w="1286" w:type="dxa"/>
            <w:noWrap/>
            <w:hideMark/>
          </w:tcPr>
          <w:p w14:paraId="3A129744" w14:textId="77777777" w:rsidR="00052499" w:rsidRPr="005C76C7" w:rsidRDefault="00052499" w:rsidP="00052499">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5C76C7">
              <w:rPr>
                <w:rFonts w:cstheme="minorHAnsi"/>
                <w:sz w:val="20"/>
                <w:szCs w:val="20"/>
              </w:rPr>
              <w:t>Javni dug</w:t>
            </w:r>
          </w:p>
        </w:tc>
      </w:tr>
      <w:tr w:rsidR="00052499" w:rsidRPr="005C76C7" w14:paraId="4FB63568" w14:textId="77777777" w:rsidTr="00052499">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1701" w:type="dxa"/>
            <w:noWrap/>
            <w:hideMark/>
          </w:tcPr>
          <w:p w14:paraId="598B719B" w14:textId="77777777" w:rsidR="00052499" w:rsidRPr="005C76C7" w:rsidRDefault="00052499" w:rsidP="00052499">
            <w:pPr>
              <w:jc w:val="center"/>
              <w:rPr>
                <w:rFonts w:cstheme="minorHAnsi"/>
                <w:sz w:val="20"/>
                <w:szCs w:val="20"/>
              </w:rPr>
            </w:pPr>
            <w:r w:rsidRPr="005C76C7">
              <w:rPr>
                <w:rFonts w:cstheme="minorHAnsi"/>
                <w:sz w:val="20"/>
                <w:szCs w:val="20"/>
              </w:rPr>
              <w:t>31.12.2022.</w:t>
            </w:r>
          </w:p>
        </w:tc>
        <w:tc>
          <w:tcPr>
            <w:tcW w:w="1573" w:type="dxa"/>
            <w:noWrap/>
            <w:vAlign w:val="bottom"/>
            <w:hideMark/>
          </w:tcPr>
          <w:p w14:paraId="55922F62" w14:textId="77777777" w:rsidR="00052499" w:rsidRPr="005C76C7" w:rsidRDefault="00052499" w:rsidP="0005249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5C76C7">
              <w:rPr>
                <w:rFonts w:cstheme="minorHAnsi"/>
                <w:color w:val="000000"/>
                <w:sz w:val="20"/>
                <w:szCs w:val="20"/>
              </w:rPr>
              <w:t>3,557.56</w:t>
            </w:r>
          </w:p>
        </w:tc>
        <w:tc>
          <w:tcPr>
            <w:tcW w:w="1661" w:type="dxa"/>
            <w:noWrap/>
            <w:vAlign w:val="bottom"/>
            <w:hideMark/>
          </w:tcPr>
          <w:p w14:paraId="6430A7E7" w14:textId="77777777" w:rsidR="00052499" w:rsidRPr="005C76C7" w:rsidRDefault="00052499" w:rsidP="0005249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5C76C7">
              <w:rPr>
                <w:rFonts w:cstheme="minorHAnsi"/>
                <w:color w:val="000000"/>
                <w:sz w:val="20"/>
                <w:szCs w:val="20"/>
              </w:rPr>
              <w:t>468.77</w:t>
            </w:r>
          </w:p>
        </w:tc>
        <w:tc>
          <w:tcPr>
            <w:tcW w:w="1590" w:type="dxa"/>
            <w:noWrap/>
            <w:hideMark/>
          </w:tcPr>
          <w:p w14:paraId="39A638F0" w14:textId="77777777" w:rsidR="00052499" w:rsidRPr="005C76C7" w:rsidRDefault="00052499" w:rsidP="0005249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5C76C7">
              <w:rPr>
                <w:rFonts w:cstheme="minorHAnsi"/>
                <w:sz w:val="20"/>
                <w:szCs w:val="20"/>
              </w:rPr>
              <w:t>4,026.33</w:t>
            </w:r>
          </w:p>
        </w:tc>
        <w:tc>
          <w:tcPr>
            <w:tcW w:w="1576" w:type="dxa"/>
            <w:noWrap/>
            <w:hideMark/>
          </w:tcPr>
          <w:p w14:paraId="38E317DE" w14:textId="77777777" w:rsidR="00052499" w:rsidRPr="005C76C7" w:rsidRDefault="00052499" w:rsidP="0005249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5C76C7">
              <w:rPr>
                <w:rFonts w:cstheme="minorHAnsi"/>
                <w:sz w:val="20"/>
                <w:szCs w:val="20"/>
              </w:rPr>
              <w:t>75.89</w:t>
            </w:r>
          </w:p>
        </w:tc>
        <w:tc>
          <w:tcPr>
            <w:tcW w:w="1286" w:type="dxa"/>
            <w:noWrap/>
            <w:vAlign w:val="bottom"/>
            <w:hideMark/>
          </w:tcPr>
          <w:p w14:paraId="7B1780D4" w14:textId="77777777" w:rsidR="00052499" w:rsidRPr="005C76C7" w:rsidRDefault="00052499" w:rsidP="0005249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5C76C7">
              <w:rPr>
                <w:rFonts w:cstheme="minorHAnsi"/>
                <w:color w:val="000000"/>
                <w:sz w:val="20"/>
                <w:szCs w:val="20"/>
              </w:rPr>
              <w:t>4,102.22</w:t>
            </w:r>
          </w:p>
        </w:tc>
      </w:tr>
      <w:tr w:rsidR="00052499" w:rsidRPr="005C76C7" w14:paraId="59549C39" w14:textId="77777777" w:rsidTr="00052499">
        <w:trPr>
          <w:trHeight w:val="307"/>
        </w:trPr>
        <w:tc>
          <w:tcPr>
            <w:cnfStyle w:val="001000000000" w:firstRow="0" w:lastRow="0" w:firstColumn="1" w:lastColumn="0" w:oddVBand="0" w:evenVBand="0" w:oddHBand="0" w:evenHBand="0" w:firstRowFirstColumn="0" w:firstRowLastColumn="0" w:lastRowFirstColumn="0" w:lastRowLastColumn="0"/>
            <w:tcW w:w="1701" w:type="dxa"/>
            <w:noWrap/>
            <w:hideMark/>
          </w:tcPr>
          <w:p w14:paraId="1C2BC24E" w14:textId="77777777" w:rsidR="00052499" w:rsidRPr="005C76C7" w:rsidRDefault="00052499" w:rsidP="00052499">
            <w:pPr>
              <w:jc w:val="center"/>
              <w:rPr>
                <w:rFonts w:cstheme="minorHAnsi"/>
                <w:sz w:val="20"/>
                <w:szCs w:val="20"/>
              </w:rPr>
            </w:pPr>
            <w:r w:rsidRPr="005C76C7">
              <w:rPr>
                <w:rFonts w:cstheme="minorHAnsi"/>
                <w:sz w:val="20"/>
                <w:szCs w:val="20"/>
              </w:rPr>
              <w:t>31.03.2023.</w:t>
            </w:r>
          </w:p>
        </w:tc>
        <w:tc>
          <w:tcPr>
            <w:tcW w:w="1573" w:type="dxa"/>
            <w:noWrap/>
            <w:vAlign w:val="bottom"/>
            <w:hideMark/>
          </w:tcPr>
          <w:p w14:paraId="55C9F6E9" w14:textId="77777777" w:rsidR="00052499" w:rsidRPr="005C76C7" w:rsidRDefault="00052499" w:rsidP="0005249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C76C7">
              <w:rPr>
                <w:rFonts w:cstheme="minorHAnsi"/>
                <w:color w:val="000000"/>
                <w:sz w:val="20"/>
                <w:szCs w:val="20"/>
              </w:rPr>
              <w:t>3,619.56</w:t>
            </w:r>
          </w:p>
        </w:tc>
        <w:tc>
          <w:tcPr>
            <w:tcW w:w="1661" w:type="dxa"/>
            <w:noWrap/>
            <w:vAlign w:val="bottom"/>
            <w:hideMark/>
          </w:tcPr>
          <w:p w14:paraId="40123AE9" w14:textId="77777777" w:rsidR="00052499" w:rsidRPr="005C76C7" w:rsidRDefault="00052499" w:rsidP="0005249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C76C7">
              <w:rPr>
                <w:rFonts w:cstheme="minorHAnsi"/>
                <w:color w:val="000000"/>
                <w:sz w:val="20"/>
                <w:szCs w:val="20"/>
              </w:rPr>
              <w:t>461.00</w:t>
            </w:r>
          </w:p>
        </w:tc>
        <w:tc>
          <w:tcPr>
            <w:tcW w:w="1590" w:type="dxa"/>
            <w:noWrap/>
            <w:hideMark/>
          </w:tcPr>
          <w:p w14:paraId="166AD690" w14:textId="77777777" w:rsidR="00052499" w:rsidRPr="005C76C7" w:rsidRDefault="00052499" w:rsidP="0005249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C76C7">
              <w:rPr>
                <w:rFonts w:cstheme="minorHAnsi"/>
                <w:sz w:val="20"/>
                <w:szCs w:val="20"/>
              </w:rPr>
              <w:t>4,080.56</w:t>
            </w:r>
          </w:p>
        </w:tc>
        <w:tc>
          <w:tcPr>
            <w:tcW w:w="1576" w:type="dxa"/>
            <w:noWrap/>
            <w:hideMark/>
          </w:tcPr>
          <w:p w14:paraId="1BB60498" w14:textId="77777777" w:rsidR="00052499" w:rsidRPr="005C76C7" w:rsidRDefault="00052499" w:rsidP="0005249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C76C7">
              <w:rPr>
                <w:rFonts w:cstheme="minorHAnsi"/>
                <w:sz w:val="20"/>
                <w:szCs w:val="20"/>
              </w:rPr>
              <w:t>73.28</w:t>
            </w:r>
          </w:p>
        </w:tc>
        <w:tc>
          <w:tcPr>
            <w:tcW w:w="1286" w:type="dxa"/>
            <w:noWrap/>
            <w:vAlign w:val="bottom"/>
            <w:hideMark/>
          </w:tcPr>
          <w:p w14:paraId="30DAEA20" w14:textId="77777777" w:rsidR="00052499" w:rsidRPr="005C76C7" w:rsidRDefault="00052499" w:rsidP="0005249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C76C7">
              <w:rPr>
                <w:rFonts w:cstheme="minorHAnsi"/>
                <w:color w:val="000000"/>
                <w:sz w:val="20"/>
                <w:szCs w:val="20"/>
              </w:rPr>
              <w:t>4,153.84</w:t>
            </w:r>
          </w:p>
        </w:tc>
      </w:tr>
      <w:tr w:rsidR="00052499" w:rsidRPr="005C76C7" w14:paraId="1CE050B4" w14:textId="77777777" w:rsidTr="00052499">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1701" w:type="dxa"/>
            <w:noWrap/>
            <w:hideMark/>
          </w:tcPr>
          <w:p w14:paraId="1DFA254E" w14:textId="77777777" w:rsidR="00052499" w:rsidRPr="005C76C7" w:rsidRDefault="00052499" w:rsidP="00052499">
            <w:pPr>
              <w:jc w:val="center"/>
              <w:rPr>
                <w:rFonts w:cstheme="minorHAnsi"/>
                <w:sz w:val="20"/>
                <w:szCs w:val="20"/>
              </w:rPr>
            </w:pPr>
            <w:r w:rsidRPr="005C76C7">
              <w:rPr>
                <w:rFonts w:cstheme="minorHAnsi"/>
                <w:sz w:val="20"/>
                <w:szCs w:val="20"/>
              </w:rPr>
              <w:t>30.06.2023.</w:t>
            </w:r>
          </w:p>
        </w:tc>
        <w:tc>
          <w:tcPr>
            <w:tcW w:w="1573" w:type="dxa"/>
            <w:noWrap/>
            <w:vAlign w:val="bottom"/>
            <w:hideMark/>
          </w:tcPr>
          <w:p w14:paraId="2075D8B6" w14:textId="77777777" w:rsidR="00052499" w:rsidRPr="005C76C7" w:rsidRDefault="00052499" w:rsidP="0005249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5C76C7">
              <w:rPr>
                <w:rFonts w:cstheme="minorHAnsi"/>
                <w:color w:val="000000"/>
                <w:sz w:val="20"/>
                <w:szCs w:val="20"/>
              </w:rPr>
              <w:t>3,613.40</w:t>
            </w:r>
          </w:p>
        </w:tc>
        <w:tc>
          <w:tcPr>
            <w:tcW w:w="1661" w:type="dxa"/>
            <w:noWrap/>
            <w:vAlign w:val="bottom"/>
            <w:hideMark/>
          </w:tcPr>
          <w:p w14:paraId="64077A82" w14:textId="77777777" w:rsidR="00052499" w:rsidRPr="005C76C7" w:rsidRDefault="00052499" w:rsidP="0005249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5C76C7">
              <w:rPr>
                <w:rFonts w:cstheme="minorHAnsi"/>
                <w:color w:val="000000"/>
                <w:sz w:val="20"/>
                <w:szCs w:val="20"/>
              </w:rPr>
              <w:t>411.07</w:t>
            </w:r>
          </w:p>
        </w:tc>
        <w:tc>
          <w:tcPr>
            <w:tcW w:w="1590" w:type="dxa"/>
            <w:noWrap/>
            <w:hideMark/>
          </w:tcPr>
          <w:p w14:paraId="0DF3B681" w14:textId="77777777" w:rsidR="00052499" w:rsidRPr="005C76C7" w:rsidRDefault="00052499" w:rsidP="0005249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5C76C7">
              <w:rPr>
                <w:rFonts w:cstheme="minorHAnsi"/>
                <w:sz w:val="20"/>
                <w:szCs w:val="20"/>
              </w:rPr>
              <w:t>4,024.47</w:t>
            </w:r>
          </w:p>
        </w:tc>
        <w:tc>
          <w:tcPr>
            <w:tcW w:w="1576" w:type="dxa"/>
            <w:noWrap/>
            <w:hideMark/>
          </w:tcPr>
          <w:p w14:paraId="59AD2E35" w14:textId="77777777" w:rsidR="00052499" w:rsidRPr="005C76C7" w:rsidRDefault="00052499" w:rsidP="0005249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5C76C7">
              <w:rPr>
                <w:rFonts w:cstheme="minorHAnsi"/>
                <w:sz w:val="20"/>
                <w:szCs w:val="20"/>
              </w:rPr>
              <w:t>70.60</w:t>
            </w:r>
          </w:p>
        </w:tc>
        <w:tc>
          <w:tcPr>
            <w:tcW w:w="1286" w:type="dxa"/>
            <w:noWrap/>
            <w:vAlign w:val="bottom"/>
            <w:hideMark/>
          </w:tcPr>
          <w:p w14:paraId="63D27BB2" w14:textId="77777777" w:rsidR="00052499" w:rsidRPr="005C76C7" w:rsidRDefault="00052499" w:rsidP="0005249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5C76C7">
              <w:rPr>
                <w:rFonts w:cstheme="minorHAnsi"/>
                <w:color w:val="000000"/>
                <w:sz w:val="20"/>
                <w:szCs w:val="20"/>
              </w:rPr>
              <w:t>4,095.07</w:t>
            </w:r>
          </w:p>
        </w:tc>
      </w:tr>
      <w:tr w:rsidR="00052499" w:rsidRPr="005C76C7" w14:paraId="41919313" w14:textId="77777777" w:rsidTr="00052499">
        <w:trPr>
          <w:trHeight w:val="307"/>
        </w:trPr>
        <w:tc>
          <w:tcPr>
            <w:cnfStyle w:val="001000000000" w:firstRow="0" w:lastRow="0" w:firstColumn="1" w:lastColumn="0" w:oddVBand="0" w:evenVBand="0" w:oddHBand="0" w:evenHBand="0" w:firstRowFirstColumn="0" w:firstRowLastColumn="0" w:lastRowFirstColumn="0" w:lastRowLastColumn="0"/>
            <w:tcW w:w="1701" w:type="dxa"/>
            <w:noWrap/>
            <w:hideMark/>
          </w:tcPr>
          <w:p w14:paraId="6484D897" w14:textId="77777777" w:rsidR="00052499" w:rsidRPr="005C76C7" w:rsidRDefault="00052499" w:rsidP="00052499">
            <w:pPr>
              <w:jc w:val="center"/>
              <w:rPr>
                <w:rFonts w:cstheme="minorHAnsi"/>
                <w:sz w:val="20"/>
                <w:szCs w:val="20"/>
              </w:rPr>
            </w:pPr>
            <w:r w:rsidRPr="005C76C7">
              <w:rPr>
                <w:rFonts w:cstheme="minorHAnsi"/>
                <w:sz w:val="20"/>
                <w:szCs w:val="20"/>
              </w:rPr>
              <w:t>30.09.2023.</w:t>
            </w:r>
          </w:p>
        </w:tc>
        <w:tc>
          <w:tcPr>
            <w:tcW w:w="1573" w:type="dxa"/>
            <w:noWrap/>
            <w:vAlign w:val="bottom"/>
            <w:hideMark/>
          </w:tcPr>
          <w:p w14:paraId="5775F278" w14:textId="77777777" w:rsidR="00052499" w:rsidRPr="005C76C7" w:rsidRDefault="00052499" w:rsidP="0005249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C76C7">
              <w:rPr>
                <w:rFonts w:cstheme="minorHAnsi"/>
                <w:sz w:val="20"/>
                <w:szCs w:val="20"/>
              </w:rPr>
              <w:t>3,593.62</w:t>
            </w:r>
          </w:p>
        </w:tc>
        <w:tc>
          <w:tcPr>
            <w:tcW w:w="1661" w:type="dxa"/>
            <w:noWrap/>
            <w:vAlign w:val="bottom"/>
            <w:hideMark/>
          </w:tcPr>
          <w:p w14:paraId="62E3C8B9" w14:textId="77777777" w:rsidR="00052499" w:rsidRPr="005C76C7" w:rsidRDefault="00052499" w:rsidP="0005249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C76C7">
              <w:rPr>
                <w:rFonts w:cstheme="minorHAnsi"/>
                <w:sz w:val="20"/>
                <w:szCs w:val="20"/>
              </w:rPr>
              <w:t>393.14</w:t>
            </w:r>
          </w:p>
        </w:tc>
        <w:tc>
          <w:tcPr>
            <w:tcW w:w="1590" w:type="dxa"/>
            <w:noWrap/>
            <w:hideMark/>
          </w:tcPr>
          <w:p w14:paraId="579846F5" w14:textId="77777777" w:rsidR="00052499" w:rsidRPr="005C76C7" w:rsidRDefault="00052499" w:rsidP="0005249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C76C7">
              <w:rPr>
                <w:rFonts w:cstheme="minorHAnsi"/>
                <w:sz w:val="20"/>
                <w:szCs w:val="20"/>
              </w:rPr>
              <w:t>3,986.76</w:t>
            </w:r>
          </w:p>
        </w:tc>
        <w:tc>
          <w:tcPr>
            <w:tcW w:w="1576" w:type="dxa"/>
            <w:noWrap/>
            <w:hideMark/>
          </w:tcPr>
          <w:p w14:paraId="07E71879" w14:textId="77777777" w:rsidR="00052499" w:rsidRPr="005C76C7" w:rsidRDefault="00052499" w:rsidP="0005249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C76C7">
              <w:rPr>
                <w:rFonts w:cstheme="minorHAnsi"/>
                <w:sz w:val="20"/>
                <w:szCs w:val="20"/>
              </w:rPr>
              <w:t>70.60</w:t>
            </w:r>
          </w:p>
        </w:tc>
        <w:tc>
          <w:tcPr>
            <w:tcW w:w="1286" w:type="dxa"/>
            <w:noWrap/>
            <w:vAlign w:val="bottom"/>
            <w:hideMark/>
          </w:tcPr>
          <w:p w14:paraId="47A289E9" w14:textId="77777777" w:rsidR="00052499" w:rsidRPr="005C76C7" w:rsidRDefault="00052499" w:rsidP="0005249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C76C7">
              <w:rPr>
                <w:rFonts w:cstheme="minorHAnsi"/>
                <w:color w:val="000000"/>
                <w:sz w:val="20"/>
                <w:szCs w:val="20"/>
              </w:rPr>
              <w:t>4,057.36</w:t>
            </w:r>
          </w:p>
        </w:tc>
      </w:tr>
      <w:bookmarkEnd w:id="130"/>
    </w:tbl>
    <w:p w14:paraId="08C41B2B" w14:textId="77777777" w:rsidR="00052499" w:rsidRPr="004A3F72" w:rsidRDefault="00052499" w:rsidP="00052499">
      <w:pPr>
        <w:rPr>
          <w:rFonts w:ascii="Cambria" w:hAnsi="Cambria" w:cs="Arial"/>
        </w:rPr>
      </w:pPr>
      <w:r w:rsidRPr="0080055A">
        <w:rPr>
          <w:rFonts w:ascii="Cambria" w:hAnsi="Cambria"/>
        </w:rPr>
        <w:fldChar w:fldCharType="end"/>
      </w:r>
    </w:p>
    <w:p w14:paraId="6652FD3C" w14:textId="77777777" w:rsidR="00052499" w:rsidRPr="005C76C7" w:rsidRDefault="00052499" w:rsidP="005C76C7">
      <w:pPr>
        <w:jc w:val="both"/>
        <w:rPr>
          <w:rFonts w:cstheme="minorHAnsi"/>
          <w:sz w:val="24"/>
          <w:szCs w:val="24"/>
        </w:rPr>
      </w:pPr>
      <w:r w:rsidRPr="005C76C7">
        <w:rPr>
          <w:rFonts w:cstheme="minorHAnsi"/>
          <w:sz w:val="24"/>
          <w:szCs w:val="24"/>
        </w:rPr>
        <w:t>Državni dug Crne Gore, na dan 30.09.2023. godine, preliminarno iznosi 3.986,76 miliona eura, ili 61,18% procijenjenog BDP-a za 2023. godinu</w:t>
      </w:r>
      <w:r w:rsidRPr="005C76C7">
        <w:rPr>
          <w:rFonts w:cstheme="minorHAnsi"/>
          <w:sz w:val="24"/>
          <w:szCs w:val="24"/>
        </w:rPr>
        <w:footnoteReference w:id="19"/>
      </w:r>
      <w:r w:rsidRPr="005C76C7">
        <w:rPr>
          <w:rFonts w:cstheme="minorHAnsi"/>
          <w:sz w:val="24"/>
          <w:szCs w:val="24"/>
        </w:rPr>
        <w:t>. U odnosu na kraj 2022. godine, došlo je do smanjenja državnog duga za 39,57 miliona eura. Smanjenje predstavlja neto efekat između novog zaduženja kod Deutsche banke, u iznosu od 100 miliona eura, kao i povlačenja kreditnih sredstava iz postojećih aranžmana, sa jedne strane, i redovne otplate duga po osnovu zaključenih kreditnih aranžmana sa inostranim i domaćim kreditorim, sa druge strane. Imajući u vidu gore navedeno, javni dug na 30.09.2023. godine, prema preliminarnim podacima Ministarstva finansija iznosi 4.057,36 miliona eura ili 61,25% procijenjenog BDP-a.</w:t>
      </w:r>
    </w:p>
    <w:p w14:paraId="18C9E4FB" w14:textId="77777777" w:rsidR="00052499" w:rsidRPr="005C76C7" w:rsidRDefault="00052499" w:rsidP="00052499">
      <w:pPr>
        <w:rPr>
          <w:rFonts w:cstheme="minorHAnsi"/>
          <w:b/>
          <w:color w:val="2F5496" w:themeColor="accent1" w:themeShade="BF"/>
          <w:sz w:val="20"/>
          <w:szCs w:val="20"/>
        </w:rPr>
      </w:pPr>
      <w:r w:rsidRPr="005C76C7">
        <w:rPr>
          <w:rFonts w:cstheme="minorHAnsi"/>
          <w:b/>
          <w:color w:val="2F5496" w:themeColor="accent1" w:themeShade="BF"/>
          <w:sz w:val="20"/>
          <w:szCs w:val="20"/>
        </w:rPr>
        <w:t>Tabela 2: Kretanje spoljnjeg, domaćeg duga i duga lokalne samouprave kao % BDP-a</w:t>
      </w:r>
    </w:p>
    <w:tbl>
      <w:tblPr>
        <w:tblStyle w:val="GridTable2-Accent2"/>
        <w:tblW w:w="9455" w:type="dxa"/>
        <w:tblLook w:val="04A0" w:firstRow="1" w:lastRow="0" w:firstColumn="1" w:lastColumn="0" w:noHBand="0" w:noVBand="1"/>
      </w:tblPr>
      <w:tblGrid>
        <w:gridCol w:w="2470"/>
        <w:gridCol w:w="2284"/>
        <w:gridCol w:w="2412"/>
        <w:gridCol w:w="2289"/>
      </w:tblGrid>
      <w:tr w:rsidR="00052499" w:rsidRPr="005C76C7" w14:paraId="4621E3A2" w14:textId="77777777" w:rsidTr="00052499">
        <w:trPr>
          <w:cnfStyle w:val="100000000000" w:firstRow="1" w:lastRow="0" w:firstColumn="0" w:lastColumn="0" w:oddVBand="0" w:evenVBand="0" w:oddHBand="0"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2470" w:type="dxa"/>
            <w:noWrap/>
            <w:vAlign w:val="center"/>
            <w:hideMark/>
          </w:tcPr>
          <w:p w14:paraId="1462202B" w14:textId="77777777" w:rsidR="00052499" w:rsidRPr="005C76C7" w:rsidRDefault="00052499" w:rsidP="00052499">
            <w:pPr>
              <w:jc w:val="center"/>
              <w:rPr>
                <w:rFonts w:cstheme="minorHAnsi"/>
                <w:sz w:val="20"/>
                <w:szCs w:val="20"/>
              </w:rPr>
            </w:pPr>
            <w:r w:rsidRPr="005C76C7">
              <w:rPr>
                <w:rFonts w:cstheme="minorHAnsi"/>
                <w:sz w:val="20"/>
                <w:szCs w:val="20"/>
              </w:rPr>
              <w:t>Godina</w:t>
            </w:r>
          </w:p>
        </w:tc>
        <w:tc>
          <w:tcPr>
            <w:tcW w:w="2284" w:type="dxa"/>
            <w:noWrap/>
            <w:vAlign w:val="center"/>
            <w:hideMark/>
          </w:tcPr>
          <w:p w14:paraId="1378C0D4" w14:textId="77777777" w:rsidR="00052499" w:rsidRPr="005C76C7" w:rsidRDefault="00052499" w:rsidP="0005249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5C76C7">
              <w:rPr>
                <w:rFonts w:cstheme="minorHAnsi"/>
                <w:sz w:val="20"/>
                <w:szCs w:val="20"/>
              </w:rPr>
              <w:t>Spoljnji dug kao</w:t>
            </w:r>
          </w:p>
          <w:p w14:paraId="1A8A4921" w14:textId="77777777" w:rsidR="00052499" w:rsidRPr="005C76C7" w:rsidRDefault="00052499" w:rsidP="00052499">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5C76C7">
              <w:rPr>
                <w:rFonts w:cstheme="minorHAnsi"/>
                <w:sz w:val="20"/>
                <w:szCs w:val="20"/>
              </w:rPr>
              <w:t xml:space="preserve"> % BDP-a</w:t>
            </w:r>
          </w:p>
        </w:tc>
        <w:tc>
          <w:tcPr>
            <w:tcW w:w="2412" w:type="dxa"/>
            <w:noWrap/>
            <w:vAlign w:val="center"/>
            <w:hideMark/>
          </w:tcPr>
          <w:p w14:paraId="46242EBC" w14:textId="77777777" w:rsidR="00052499" w:rsidRPr="005C76C7" w:rsidRDefault="00052499" w:rsidP="0005249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5C76C7">
              <w:rPr>
                <w:rFonts w:cstheme="minorHAnsi"/>
                <w:sz w:val="20"/>
                <w:szCs w:val="20"/>
              </w:rPr>
              <w:t xml:space="preserve">Domaći dug kao </w:t>
            </w:r>
          </w:p>
          <w:p w14:paraId="7521C187" w14:textId="77777777" w:rsidR="00052499" w:rsidRPr="005C76C7" w:rsidRDefault="00052499" w:rsidP="00052499">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5C76C7">
              <w:rPr>
                <w:rFonts w:cstheme="minorHAnsi"/>
                <w:sz w:val="20"/>
                <w:szCs w:val="20"/>
              </w:rPr>
              <w:t>%  BDP-a</w:t>
            </w:r>
          </w:p>
        </w:tc>
        <w:tc>
          <w:tcPr>
            <w:tcW w:w="2289" w:type="dxa"/>
            <w:vAlign w:val="center"/>
            <w:hideMark/>
          </w:tcPr>
          <w:p w14:paraId="2B0A5314" w14:textId="77777777" w:rsidR="00052499" w:rsidRPr="005C76C7" w:rsidRDefault="00052499" w:rsidP="00052499">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5C76C7">
              <w:rPr>
                <w:rFonts w:cstheme="minorHAnsi"/>
                <w:sz w:val="20"/>
                <w:szCs w:val="20"/>
              </w:rPr>
              <w:t>Dug lokalne samouprave % BDP-a</w:t>
            </w:r>
          </w:p>
        </w:tc>
      </w:tr>
      <w:tr w:rsidR="00052499" w:rsidRPr="005C76C7" w14:paraId="3878918E" w14:textId="77777777" w:rsidTr="00052499">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2470" w:type="dxa"/>
            <w:noWrap/>
            <w:hideMark/>
          </w:tcPr>
          <w:p w14:paraId="1D268EA0" w14:textId="77777777" w:rsidR="00052499" w:rsidRPr="005C76C7" w:rsidRDefault="00052499" w:rsidP="00052499">
            <w:pPr>
              <w:jc w:val="center"/>
              <w:rPr>
                <w:rFonts w:cstheme="minorHAnsi"/>
                <w:sz w:val="20"/>
                <w:szCs w:val="20"/>
              </w:rPr>
            </w:pPr>
            <w:r w:rsidRPr="005C76C7">
              <w:rPr>
                <w:rFonts w:cstheme="minorHAnsi"/>
                <w:sz w:val="20"/>
                <w:szCs w:val="20"/>
              </w:rPr>
              <w:t>31.12.2022.</w:t>
            </w:r>
          </w:p>
        </w:tc>
        <w:tc>
          <w:tcPr>
            <w:tcW w:w="2284" w:type="dxa"/>
            <w:noWrap/>
            <w:hideMark/>
          </w:tcPr>
          <w:p w14:paraId="6B3A629E" w14:textId="77777777" w:rsidR="00052499" w:rsidRPr="005C76C7" w:rsidRDefault="00052499" w:rsidP="0005249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5C76C7">
              <w:rPr>
                <w:rFonts w:cstheme="minorHAnsi"/>
                <w:sz w:val="20"/>
                <w:szCs w:val="20"/>
              </w:rPr>
              <w:t>60.05%</w:t>
            </w:r>
          </w:p>
        </w:tc>
        <w:tc>
          <w:tcPr>
            <w:tcW w:w="2412" w:type="dxa"/>
            <w:noWrap/>
            <w:hideMark/>
          </w:tcPr>
          <w:p w14:paraId="39E64714" w14:textId="77777777" w:rsidR="00052499" w:rsidRPr="005C76C7" w:rsidRDefault="00052499" w:rsidP="0005249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5C76C7">
              <w:rPr>
                <w:rFonts w:cstheme="minorHAnsi"/>
                <w:sz w:val="20"/>
                <w:szCs w:val="20"/>
              </w:rPr>
              <w:t>7.91%</w:t>
            </w:r>
          </w:p>
        </w:tc>
        <w:tc>
          <w:tcPr>
            <w:tcW w:w="2289" w:type="dxa"/>
            <w:noWrap/>
            <w:hideMark/>
          </w:tcPr>
          <w:p w14:paraId="52419186" w14:textId="77777777" w:rsidR="00052499" w:rsidRPr="005C76C7" w:rsidRDefault="00052499" w:rsidP="0005249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5C76C7">
              <w:rPr>
                <w:rFonts w:cstheme="minorHAnsi"/>
                <w:sz w:val="20"/>
                <w:szCs w:val="20"/>
              </w:rPr>
              <w:t>1.28%</w:t>
            </w:r>
          </w:p>
        </w:tc>
      </w:tr>
      <w:tr w:rsidR="00052499" w:rsidRPr="005C76C7" w14:paraId="137ED894" w14:textId="77777777" w:rsidTr="00052499">
        <w:trPr>
          <w:trHeight w:val="253"/>
        </w:trPr>
        <w:tc>
          <w:tcPr>
            <w:cnfStyle w:val="001000000000" w:firstRow="0" w:lastRow="0" w:firstColumn="1" w:lastColumn="0" w:oddVBand="0" w:evenVBand="0" w:oddHBand="0" w:evenHBand="0" w:firstRowFirstColumn="0" w:firstRowLastColumn="0" w:lastRowFirstColumn="0" w:lastRowLastColumn="0"/>
            <w:tcW w:w="2470" w:type="dxa"/>
            <w:noWrap/>
            <w:hideMark/>
          </w:tcPr>
          <w:p w14:paraId="0474C031" w14:textId="77777777" w:rsidR="00052499" w:rsidRPr="005C76C7" w:rsidRDefault="00052499" w:rsidP="00052499">
            <w:pPr>
              <w:jc w:val="center"/>
              <w:rPr>
                <w:rFonts w:cstheme="minorHAnsi"/>
                <w:sz w:val="20"/>
                <w:szCs w:val="20"/>
              </w:rPr>
            </w:pPr>
            <w:r w:rsidRPr="005C76C7">
              <w:rPr>
                <w:rFonts w:cstheme="minorHAnsi"/>
                <w:sz w:val="20"/>
                <w:szCs w:val="20"/>
              </w:rPr>
              <w:t>31.03.2023.</w:t>
            </w:r>
          </w:p>
        </w:tc>
        <w:tc>
          <w:tcPr>
            <w:tcW w:w="2284" w:type="dxa"/>
            <w:noWrap/>
            <w:hideMark/>
          </w:tcPr>
          <w:p w14:paraId="0DFDD5D8" w14:textId="77777777" w:rsidR="00052499" w:rsidRPr="005C76C7" w:rsidRDefault="00052499" w:rsidP="0005249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C76C7">
              <w:rPr>
                <w:rFonts w:cstheme="minorHAnsi"/>
                <w:sz w:val="20"/>
                <w:szCs w:val="20"/>
              </w:rPr>
              <w:t>54.64%</w:t>
            </w:r>
          </w:p>
        </w:tc>
        <w:tc>
          <w:tcPr>
            <w:tcW w:w="2412" w:type="dxa"/>
            <w:noWrap/>
            <w:hideMark/>
          </w:tcPr>
          <w:p w14:paraId="5E01823A" w14:textId="77777777" w:rsidR="00052499" w:rsidRPr="005C76C7" w:rsidRDefault="00052499" w:rsidP="0005249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C76C7">
              <w:rPr>
                <w:rFonts w:cstheme="minorHAnsi"/>
                <w:sz w:val="20"/>
                <w:szCs w:val="20"/>
              </w:rPr>
              <w:t>6.96%</w:t>
            </w:r>
          </w:p>
        </w:tc>
        <w:tc>
          <w:tcPr>
            <w:tcW w:w="2289" w:type="dxa"/>
            <w:noWrap/>
            <w:hideMark/>
          </w:tcPr>
          <w:p w14:paraId="7AEDE533" w14:textId="77777777" w:rsidR="00052499" w:rsidRPr="005C76C7" w:rsidRDefault="00052499" w:rsidP="0005249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C76C7">
              <w:rPr>
                <w:rFonts w:cstheme="minorHAnsi"/>
                <w:sz w:val="20"/>
                <w:szCs w:val="20"/>
              </w:rPr>
              <w:t>1.11%</w:t>
            </w:r>
          </w:p>
        </w:tc>
      </w:tr>
      <w:tr w:rsidR="00052499" w:rsidRPr="005C76C7" w14:paraId="14A5ECF1" w14:textId="77777777" w:rsidTr="00052499">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2470" w:type="dxa"/>
            <w:noWrap/>
            <w:hideMark/>
          </w:tcPr>
          <w:p w14:paraId="044773C5" w14:textId="77777777" w:rsidR="00052499" w:rsidRPr="005C76C7" w:rsidRDefault="00052499" w:rsidP="00052499">
            <w:pPr>
              <w:jc w:val="center"/>
              <w:rPr>
                <w:rFonts w:cstheme="minorHAnsi"/>
                <w:sz w:val="20"/>
                <w:szCs w:val="20"/>
              </w:rPr>
            </w:pPr>
            <w:r w:rsidRPr="005C76C7">
              <w:rPr>
                <w:rFonts w:cstheme="minorHAnsi"/>
                <w:sz w:val="20"/>
                <w:szCs w:val="20"/>
              </w:rPr>
              <w:t>30.06.2023.</w:t>
            </w:r>
          </w:p>
        </w:tc>
        <w:tc>
          <w:tcPr>
            <w:tcW w:w="2284" w:type="dxa"/>
            <w:noWrap/>
            <w:hideMark/>
          </w:tcPr>
          <w:p w14:paraId="4431036A" w14:textId="77777777" w:rsidR="00052499" w:rsidRPr="005C76C7" w:rsidRDefault="00052499" w:rsidP="0005249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5C76C7">
              <w:rPr>
                <w:rFonts w:cstheme="minorHAnsi"/>
                <w:sz w:val="20"/>
                <w:szCs w:val="20"/>
              </w:rPr>
              <w:t>54.55%</w:t>
            </w:r>
          </w:p>
        </w:tc>
        <w:tc>
          <w:tcPr>
            <w:tcW w:w="2412" w:type="dxa"/>
            <w:noWrap/>
            <w:hideMark/>
          </w:tcPr>
          <w:p w14:paraId="275CD1DA" w14:textId="77777777" w:rsidR="00052499" w:rsidRPr="005C76C7" w:rsidRDefault="00052499" w:rsidP="0005249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5C76C7">
              <w:rPr>
                <w:rFonts w:cstheme="minorHAnsi"/>
                <w:sz w:val="20"/>
                <w:szCs w:val="20"/>
              </w:rPr>
              <w:t>6.21%</w:t>
            </w:r>
          </w:p>
        </w:tc>
        <w:tc>
          <w:tcPr>
            <w:tcW w:w="2289" w:type="dxa"/>
            <w:noWrap/>
            <w:hideMark/>
          </w:tcPr>
          <w:p w14:paraId="2EEB5197" w14:textId="77777777" w:rsidR="00052499" w:rsidRPr="005C76C7" w:rsidRDefault="00052499" w:rsidP="0005249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5C76C7">
              <w:rPr>
                <w:rFonts w:cstheme="minorHAnsi"/>
                <w:sz w:val="20"/>
                <w:szCs w:val="20"/>
              </w:rPr>
              <w:t>1.07%</w:t>
            </w:r>
          </w:p>
        </w:tc>
      </w:tr>
      <w:tr w:rsidR="00052499" w:rsidRPr="005C76C7" w14:paraId="4A0C783F" w14:textId="77777777" w:rsidTr="00052499">
        <w:trPr>
          <w:trHeight w:val="253"/>
        </w:trPr>
        <w:tc>
          <w:tcPr>
            <w:cnfStyle w:val="001000000000" w:firstRow="0" w:lastRow="0" w:firstColumn="1" w:lastColumn="0" w:oddVBand="0" w:evenVBand="0" w:oddHBand="0" w:evenHBand="0" w:firstRowFirstColumn="0" w:firstRowLastColumn="0" w:lastRowFirstColumn="0" w:lastRowLastColumn="0"/>
            <w:tcW w:w="2470" w:type="dxa"/>
            <w:noWrap/>
            <w:hideMark/>
          </w:tcPr>
          <w:p w14:paraId="3C7FA049" w14:textId="77777777" w:rsidR="00052499" w:rsidRPr="005C76C7" w:rsidRDefault="00052499" w:rsidP="00052499">
            <w:pPr>
              <w:jc w:val="center"/>
              <w:rPr>
                <w:rFonts w:cstheme="minorHAnsi"/>
                <w:sz w:val="20"/>
                <w:szCs w:val="20"/>
              </w:rPr>
            </w:pPr>
            <w:r w:rsidRPr="005C76C7">
              <w:rPr>
                <w:rFonts w:cstheme="minorHAnsi"/>
                <w:sz w:val="20"/>
                <w:szCs w:val="20"/>
              </w:rPr>
              <w:t>30.09.2023.</w:t>
            </w:r>
          </w:p>
        </w:tc>
        <w:tc>
          <w:tcPr>
            <w:tcW w:w="2284" w:type="dxa"/>
            <w:noWrap/>
            <w:hideMark/>
          </w:tcPr>
          <w:p w14:paraId="0734D5FB" w14:textId="77777777" w:rsidR="00052499" w:rsidRPr="005C76C7" w:rsidRDefault="00052499" w:rsidP="0005249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C76C7">
              <w:rPr>
                <w:rFonts w:cstheme="minorHAnsi"/>
                <w:sz w:val="20"/>
                <w:szCs w:val="20"/>
              </w:rPr>
              <w:t>54.25%</w:t>
            </w:r>
          </w:p>
        </w:tc>
        <w:tc>
          <w:tcPr>
            <w:tcW w:w="2412" w:type="dxa"/>
            <w:noWrap/>
            <w:hideMark/>
          </w:tcPr>
          <w:p w14:paraId="1101C046" w14:textId="77777777" w:rsidR="00052499" w:rsidRPr="005C76C7" w:rsidRDefault="00052499" w:rsidP="0005249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C76C7">
              <w:rPr>
                <w:rFonts w:cstheme="minorHAnsi"/>
                <w:sz w:val="20"/>
                <w:szCs w:val="20"/>
              </w:rPr>
              <w:t>5.93%</w:t>
            </w:r>
          </w:p>
        </w:tc>
        <w:tc>
          <w:tcPr>
            <w:tcW w:w="2289" w:type="dxa"/>
            <w:noWrap/>
            <w:hideMark/>
          </w:tcPr>
          <w:p w14:paraId="0B39F8DA" w14:textId="77777777" w:rsidR="00052499" w:rsidRPr="005C76C7" w:rsidRDefault="00052499" w:rsidP="0005249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C76C7">
              <w:rPr>
                <w:rFonts w:cstheme="minorHAnsi"/>
                <w:sz w:val="20"/>
                <w:szCs w:val="20"/>
              </w:rPr>
              <w:t>1.07%</w:t>
            </w:r>
          </w:p>
        </w:tc>
      </w:tr>
    </w:tbl>
    <w:p w14:paraId="5B6DD370" w14:textId="77777777" w:rsidR="00052499" w:rsidRPr="005C76C7" w:rsidRDefault="00052499" w:rsidP="005C76C7">
      <w:pPr>
        <w:spacing w:after="0" w:line="20" w:lineRule="atLeast"/>
        <w:jc w:val="both"/>
        <w:rPr>
          <w:rFonts w:ascii="Cambria" w:hAnsi="Cambria" w:cs="Arial"/>
          <w:i/>
          <w:color w:val="808080" w:themeColor="background1" w:themeShade="80"/>
          <w:sz w:val="18"/>
          <w:szCs w:val="18"/>
        </w:rPr>
      </w:pPr>
      <w:r w:rsidRPr="005C76C7">
        <w:rPr>
          <w:rFonts w:ascii="Cambria" w:hAnsi="Cambria" w:cs="Arial"/>
          <w:i/>
          <w:color w:val="808080" w:themeColor="background1" w:themeShade="80"/>
          <w:sz w:val="18"/>
          <w:szCs w:val="18"/>
        </w:rPr>
        <w:t>-U tabeli  1 i 2 prikazani su podaci o dugu na dan 30.09.2023. godine, prema preliminarnim podacima Ministarstva finansija, kao i podaci o dugu lokalne samouprave na 30.09.2023. godine, prema projekcijama Ministarstva finansija.</w:t>
      </w:r>
    </w:p>
    <w:p w14:paraId="1F5565A0" w14:textId="77777777" w:rsidR="00052499" w:rsidRPr="0080055A" w:rsidRDefault="00052499" w:rsidP="00052499">
      <w:pPr>
        <w:spacing w:after="0" w:line="240" w:lineRule="auto"/>
        <w:rPr>
          <w:rFonts w:ascii="Cambria" w:hAnsi="Cambria"/>
          <w:sz w:val="24"/>
          <w:szCs w:val="24"/>
        </w:rPr>
      </w:pPr>
    </w:p>
    <w:p w14:paraId="2A288138" w14:textId="51F286EE" w:rsidR="00052499" w:rsidRPr="005C76C7" w:rsidRDefault="00052499" w:rsidP="005C76C7">
      <w:pPr>
        <w:jc w:val="both"/>
        <w:rPr>
          <w:rFonts w:cstheme="minorHAnsi"/>
          <w:sz w:val="24"/>
          <w:szCs w:val="24"/>
        </w:rPr>
      </w:pPr>
      <w:r w:rsidRPr="005C76C7">
        <w:rPr>
          <w:rFonts w:cstheme="minorHAnsi"/>
          <w:sz w:val="24"/>
          <w:szCs w:val="24"/>
        </w:rPr>
        <w:t>Kada govorimo o strukturi dugovanja prema rezidentima, najveći iznos duga odnosi se na obaveze po osnovu kredita kod poslovnih banaka u iznosu od 133,25 miliona eura, dok se u strukturi spoljnjeg duga izdva</w:t>
      </w:r>
      <w:r w:rsidR="000F2683">
        <w:rPr>
          <w:rFonts w:cstheme="minorHAnsi"/>
          <w:sz w:val="24"/>
          <w:szCs w:val="24"/>
        </w:rPr>
        <w:t xml:space="preserve">ja dug po osnovu euroobveznica </w:t>
      </w:r>
      <w:r w:rsidRPr="005C76C7">
        <w:rPr>
          <w:rFonts w:cstheme="minorHAnsi"/>
          <w:sz w:val="24"/>
          <w:szCs w:val="24"/>
        </w:rPr>
        <w:t xml:space="preserve">u iznosu od 1.750,00 miliona eura. </w:t>
      </w:r>
    </w:p>
    <w:p w14:paraId="6EF20FDE" w14:textId="77777777" w:rsidR="00052499" w:rsidRPr="005C76C7" w:rsidRDefault="00052499" w:rsidP="00052499">
      <w:pPr>
        <w:rPr>
          <w:rFonts w:cstheme="minorHAnsi"/>
          <w:b/>
          <w:color w:val="2F5496" w:themeColor="accent1" w:themeShade="BF"/>
          <w:sz w:val="20"/>
          <w:szCs w:val="20"/>
        </w:rPr>
      </w:pPr>
      <w:r w:rsidRPr="005C76C7">
        <w:rPr>
          <w:rFonts w:cstheme="minorHAnsi"/>
          <w:b/>
          <w:color w:val="2F5496" w:themeColor="accent1" w:themeShade="BF"/>
          <w:sz w:val="20"/>
          <w:szCs w:val="20"/>
        </w:rPr>
        <w:lastRenderedPageBreak/>
        <w:t>Tabela 3 Najveća dugovanja na 30.09.2023. godine</w:t>
      </w:r>
      <w:r w:rsidRPr="005C76C7">
        <w:rPr>
          <w:rStyle w:val="FootnoteReference"/>
          <w:rFonts w:cstheme="minorHAnsi"/>
          <w:b/>
          <w:color w:val="2F5496" w:themeColor="accent1" w:themeShade="BF"/>
          <w:sz w:val="20"/>
          <w:szCs w:val="20"/>
        </w:rPr>
        <w:footnoteReference w:id="20"/>
      </w:r>
    </w:p>
    <w:tbl>
      <w:tblPr>
        <w:tblStyle w:val="GridTable2-Accent2"/>
        <w:tblW w:w="5000" w:type="pct"/>
        <w:tblLook w:val="04A0" w:firstRow="1" w:lastRow="0" w:firstColumn="1" w:lastColumn="0" w:noHBand="0" w:noVBand="1"/>
      </w:tblPr>
      <w:tblGrid>
        <w:gridCol w:w="2817"/>
        <w:gridCol w:w="1294"/>
        <w:gridCol w:w="3955"/>
        <w:gridCol w:w="1294"/>
      </w:tblGrid>
      <w:tr w:rsidR="00052499" w:rsidRPr="005C76C7" w14:paraId="17627CD9" w14:textId="77777777" w:rsidTr="00052499">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496" w:type="pct"/>
            <w:noWrap/>
            <w:vAlign w:val="center"/>
            <w:hideMark/>
          </w:tcPr>
          <w:p w14:paraId="57579F46" w14:textId="77777777" w:rsidR="00052499" w:rsidRPr="005C76C7" w:rsidRDefault="00052499" w:rsidP="00052499">
            <w:pPr>
              <w:jc w:val="center"/>
              <w:rPr>
                <w:rFonts w:eastAsia="Times New Roman" w:cstheme="minorHAnsi"/>
                <w:color w:val="000000"/>
                <w:sz w:val="20"/>
                <w:szCs w:val="20"/>
                <w:lang w:val="en-GB" w:eastAsia="en-GB"/>
              </w:rPr>
            </w:pPr>
            <w:r w:rsidRPr="005C76C7">
              <w:rPr>
                <w:rFonts w:eastAsia="Times New Roman" w:cstheme="minorHAnsi"/>
                <w:color w:val="000000"/>
                <w:sz w:val="20"/>
                <w:szCs w:val="20"/>
                <w:lang w:val="en-GB" w:eastAsia="en-GB"/>
              </w:rPr>
              <w:t>Dugovanja prema rezidentima</w:t>
            </w:r>
          </w:p>
        </w:tc>
        <w:tc>
          <w:tcPr>
            <w:tcW w:w="673" w:type="pct"/>
            <w:noWrap/>
            <w:vAlign w:val="center"/>
            <w:hideMark/>
          </w:tcPr>
          <w:p w14:paraId="5786225C" w14:textId="77777777" w:rsidR="00052499" w:rsidRPr="005C76C7" w:rsidRDefault="00052499" w:rsidP="0005249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20"/>
                <w:szCs w:val="20"/>
                <w:lang w:val="en-GB" w:eastAsia="en-GB"/>
              </w:rPr>
            </w:pPr>
            <w:r w:rsidRPr="005C76C7">
              <w:rPr>
                <w:rFonts w:eastAsia="Times New Roman" w:cstheme="minorHAnsi"/>
                <w:color w:val="000000"/>
                <w:sz w:val="20"/>
                <w:szCs w:val="20"/>
                <w:lang w:val="en-GB" w:eastAsia="en-GB"/>
              </w:rPr>
              <w:t>iznos u mil. €</w:t>
            </w:r>
          </w:p>
        </w:tc>
        <w:tc>
          <w:tcPr>
            <w:tcW w:w="2158" w:type="pct"/>
            <w:noWrap/>
            <w:vAlign w:val="center"/>
            <w:hideMark/>
          </w:tcPr>
          <w:p w14:paraId="4FE10CC5" w14:textId="77777777" w:rsidR="00052499" w:rsidRPr="005C76C7" w:rsidRDefault="00052499" w:rsidP="0005249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20"/>
                <w:szCs w:val="20"/>
                <w:lang w:val="en-GB" w:eastAsia="en-GB"/>
              </w:rPr>
            </w:pPr>
            <w:r w:rsidRPr="005C76C7">
              <w:rPr>
                <w:rFonts w:eastAsia="Times New Roman" w:cstheme="minorHAnsi"/>
                <w:color w:val="000000"/>
                <w:sz w:val="20"/>
                <w:szCs w:val="20"/>
                <w:lang w:val="en-GB" w:eastAsia="en-GB"/>
              </w:rPr>
              <w:t>Dugovanja prema nerezidentima</w:t>
            </w:r>
          </w:p>
        </w:tc>
        <w:tc>
          <w:tcPr>
            <w:tcW w:w="673" w:type="pct"/>
            <w:noWrap/>
            <w:vAlign w:val="center"/>
            <w:hideMark/>
          </w:tcPr>
          <w:p w14:paraId="07B3CA3F" w14:textId="77777777" w:rsidR="00052499" w:rsidRPr="005C76C7" w:rsidRDefault="00052499" w:rsidP="00052499">
            <w:pP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20"/>
                <w:szCs w:val="20"/>
                <w:lang w:val="en-GB" w:eastAsia="en-GB"/>
              </w:rPr>
            </w:pPr>
            <w:r w:rsidRPr="005C76C7">
              <w:rPr>
                <w:rFonts w:eastAsia="Times New Roman" w:cstheme="minorHAnsi"/>
                <w:color w:val="000000"/>
                <w:sz w:val="20"/>
                <w:szCs w:val="20"/>
                <w:lang w:val="en-GB" w:eastAsia="en-GB"/>
              </w:rPr>
              <w:t>iznos u mil. €</w:t>
            </w:r>
          </w:p>
        </w:tc>
      </w:tr>
      <w:tr w:rsidR="00052499" w:rsidRPr="005C76C7" w14:paraId="63B973FC" w14:textId="77777777" w:rsidTr="0005249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96" w:type="pct"/>
            <w:noWrap/>
            <w:vAlign w:val="center"/>
            <w:hideMark/>
          </w:tcPr>
          <w:p w14:paraId="385C5FE2" w14:textId="77777777" w:rsidR="00052499" w:rsidRPr="005C76C7" w:rsidRDefault="00052499" w:rsidP="00052499">
            <w:pPr>
              <w:rPr>
                <w:rFonts w:eastAsia="Times New Roman" w:cstheme="minorHAnsi"/>
                <w:b w:val="0"/>
                <w:color w:val="000000"/>
                <w:sz w:val="20"/>
                <w:szCs w:val="20"/>
                <w:lang w:val="en-GB" w:eastAsia="en-GB"/>
              </w:rPr>
            </w:pPr>
            <w:r w:rsidRPr="005C76C7">
              <w:rPr>
                <w:rFonts w:eastAsia="Times New Roman" w:cstheme="minorHAnsi"/>
                <w:b w:val="0"/>
                <w:color w:val="000000"/>
                <w:sz w:val="20"/>
                <w:szCs w:val="20"/>
                <w:lang w:val="en-GB" w:eastAsia="en-GB"/>
              </w:rPr>
              <w:t xml:space="preserve"> Krediti kod poslovnih banaka</w:t>
            </w:r>
          </w:p>
        </w:tc>
        <w:tc>
          <w:tcPr>
            <w:tcW w:w="673" w:type="pct"/>
            <w:noWrap/>
            <w:vAlign w:val="center"/>
            <w:hideMark/>
          </w:tcPr>
          <w:p w14:paraId="4AD72CC7" w14:textId="77777777" w:rsidR="00052499" w:rsidRPr="005C76C7" w:rsidRDefault="00052499" w:rsidP="00052499">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n-GB" w:eastAsia="en-GB"/>
              </w:rPr>
            </w:pPr>
            <w:r w:rsidRPr="005C76C7">
              <w:rPr>
                <w:rFonts w:eastAsia="Times New Roman" w:cstheme="minorHAnsi"/>
                <w:color w:val="000000"/>
                <w:sz w:val="20"/>
                <w:szCs w:val="20"/>
                <w:lang w:val="en-GB" w:eastAsia="en-GB"/>
              </w:rPr>
              <w:t>133,25</w:t>
            </w:r>
          </w:p>
        </w:tc>
        <w:tc>
          <w:tcPr>
            <w:tcW w:w="2158" w:type="pct"/>
            <w:noWrap/>
            <w:vAlign w:val="center"/>
            <w:hideMark/>
          </w:tcPr>
          <w:p w14:paraId="3BDDB9AA" w14:textId="77777777" w:rsidR="00052499" w:rsidRPr="005C76C7" w:rsidRDefault="00052499" w:rsidP="0005249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n-GB" w:eastAsia="en-GB"/>
              </w:rPr>
            </w:pPr>
            <w:r w:rsidRPr="005C76C7">
              <w:rPr>
                <w:rFonts w:eastAsia="Times New Roman" w:cstheme="minorHAnsi"/>
                <w:color w:val="000000"/>
                <w:sz w:val="20"/>
                <w:szCs w:val="20"/>
                <w:lang w:val="en-GB" w:eastAsia="en-GB"/>
              </w:rPr>
              <w:t>Eurobond</w:t>
            </w:r>
          </w:p>
        </w:tc>
        <w:tc>
          <w:tcPr>
            <w:tcW w:w="673" w:type="pct"/>
            <w:noWrap/>
            <w:vAlign w:val="center"/>
            <w:hideMark/>
          </w:tcPr>
          <w:p w14:paraId="442893C3" w14:textId="77777777" w:rsidR="00052499" w:rsidRPr="005C76C7" w:rsidRDefault="00052499" w:rsidP="00052499">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n-GB" w:eastAsia="en-GB"/>
              </w:rPr>
            </w:pPr>
            <w:r w:rsidRPr="005C76C7">
              <w:rPr>
                <w:rFonts w:eastAsia="Times New Roman" w:cstheme="minorHAnsi"/>
                <w:color w:val="000000"/>
                <w:sz w:val="20"/>
                <w:szCs w:val="20"/>
                <w:lang w:val="en-GB" w:eastAsia="en-GB"/>
              </w:rPr>
              <w:t>1.750,00</w:t>
            </w:r>
          </w:p>
        </w:tc>
      </w:tr>
      <w:tr w:rsidR="00052499" w:rsidRPr="005C76C7" w14:paraId="49559D34" w14:textId="77777777" w:rsidTr="00052499">
        <w:trPr>
          <w:trHeight w:val="300"/>
        </w:trPr>
        <w:tc>
          <w:tcPr>
            <w:cnfStyle w:val="001000000000" w:firstRow="0" w:lastRow="0" w:firstColumn="1" w:lastColumn="0" w:oddVBand="0" w:evenVBand="0" w:oddHBand="0" w:evenHBand="0" w:firstRowFirstColumn="0" w:firstRowLastColumn="0" w:lastRowFirstColumn="0" w:lastRowLastColumn="0"/>
            <w:tcW w:w="1496" w:type="pct"/>
            <w:noWrap/>
            <w:vAlign w:val="center"/>
            <w:hideMark/>
          </w:tcPr>
          <w:p w14:paraId="5CA363B6" w14:textId="77777777" w:rsidR="00052499" w:rsidRPr="005C76C7" w:rsidRDefault="00052499" w:rsidP="00052499">
            <w:pPr>
              <w:rPr>
                <w:rFonts w:eastAsia="Times New Roman" w:cstheme="minorHAnsi"/>
                <w:b w:val="0"/>
                <w:color w:val="000000"/>
                <w:sz w:val="20"/>
                <w:szCs w:val="20"/>
                <w:lang w:val="sr-Latn-ME" w:eastAsia="en-GB"/>
              </w:rPr>
            </w:pPr>
            <w:r w:rsidRPr="005C76C7">
              <w:rPr>
                <w:rFonts w:eastAsia="Times New Roman" w:cstheme="minorHAnsi"/>
                <w:b w:val="0"/>
                <w:color w:val="000000"/>
                <w:sz w:val="20"/>
                <w:szCs w:val="20"/>
                <w:lang w:val="en-GB" w:eastAsia="en-GB"/>
              </w:rPr>
              <w:t>Doma</w:t>
            </w:r>
            <w:r w:rsidRPr="005C76C7">
              <w:rPr>
                <w:rFonts w:eastAsia="Times New Roman" w:cstheme="minorHAnsi"/>
                <w:b w:val="0"/>
                <w:color w:val="000000"/>
                <w:sz w:val="20"/>
                <w:szCs w:val="20"/>
                <w:lang w:val="sr-Latn-ME" w:eastAsia="en-GB"/>
              </w:rPr>
              <w:t>će obveznice</w:t>
            </w:r>
          </w:p>
        </w:tc>
        <w:tc>
          <w:tcPr>
            <w:tcW w:w="673" w:type="pct"/>
            <w:noWrap/>
            <w:vAlign w:val="center"/>
            <w:hideMark/>
          </w:tcPr>
          <w:p w14:paraId="03351CCE" w14:textId="77777777" w:rsidR="00052499" w:rsidRPr="005C76C7" w:rsidRDefault="00052499" w:rsidP="00052499">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val="en-GB" w:eastAsia="en-GB"/>
              </w:rPr>
            </w:pPr>
            <w:r w:rsidRPr="005C76C7">
              <w:rPr>
                <w:rFonts w:eastAsia="Times New Roman" w:cstheme="minorHAnsi"/>
                <w:color w:val="000000"/>
                <w:sz w:val="20"/>
                <w:szCs w:val="20"/>
                <w:lang w:val="en-GB" w:eastAsia="en-GB"/>
              </w:rPr>
              <w:t>142,44</w:t>
            </w:r>
          </w:p>
        </w:tc>
        <w:tc>
          <w:tcPr>
            <w:tcW w:w="2158" w:type="pct"/>
            <w:noWrap/>
            <w:vAlign w:val="center"/>
            <w:hideMark/>
          </w:tcPr>
          <w:p w14:paraId="279EBC97" w14:textId="77777777" w:rsidR="00052499" w:rsidRPr="005C76C7" w:rsidRDefault="00052499" w:rsidP="0005249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val="en-GB" w:eastAsia="en-GB"/>
              </w:rPr>
            </w:pPr>
            <w:r w:rsidRPr="005C76C7">
              <w:rPr>
                <w:rFonts w:eastAsia="Times New Roman" w:cstheme="minorHAnsi"/>
                <w:color w:val="000000"/>
                <w:sz w:val="20"/>
                <w:szCs w:val="20"/>
                <w:lang w:val="en-GB" w:eastAsia="en-GB"/>
              </w:rPr>
              <w:t>Kineska Exim banka</w:t>
            </w:r>
          </w:p>
        </w:tc>
        <w:tc>
          <w:tcPr>
            <w:tcW w:w="673" w:type="pct"/>
            <w:noWrap/>
            <w:vAlign w:val="center"/>
            <w:hideMark/>
          </w:tcPr>
          <w:p w14:paraId="0FB5B7B7" w14:textId="77777777" w:rsidR="00052499" w:rsidRPr="005C76C7" w:rsidRDefault="00052499" w:rsidP="00052499">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val="en-GB" w:eastAsia="en-GB"/>
              </w:rPr>
            </w:pPr>
            <w:r w:rsidRPr="005C76C7">
              <w:rPr>
                <w:rFonts w:eastAsia="Times New Roman" w:cstheme="minorHAnsi"/>
                <w:color w:val="000000"/>
                <w:sz w:val="20"/>
                <w:szCs w:val="20"/>
                <w:lang w:val="en-GB" w:eastAsia="en-GB"/>
              </w:rPr>
              <w:t>711,79</w:t>
            </w:r>
          </w:p>
        </w:tc>
      </w:tr>
      <w:tr w:rsidR="00052499" w:rsidRPr="005C76C7" w14:paraId="113376C7" w14:textId="77777777" w:rsidTr="0005249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96" w:type="pct"/>
            <w:noWrap/>
            <w:vAlign w:val="center"/>
            <w:hideMark/>
          </w:tcPr>
          <w:p w14:paraId="747CB6CB" w14:textId="77777777" w:rsidR="00052499" w:rsidRPr="005C76C7" w:rsidRDefault="00052499" w:rsidP="00052499">
            <w:pPr>
              <w:rPr>
                <w:rFonts w:eastAsia="Times New Roman" w:cstheme="minorHAnsi"/>
                <w:b w:val="0"/>
                <w:color w:val="000000"/>
                <w:sz w:val="20"/>
                <w:szCs w:val="20"/>
                <w:lang w:val="en-GB" w:eastAsia="en-GB"/>
              </w:rPr>
            </w:pPr>
            <w:r w:rsidRPr="005C76C7">
              <w:rPr>
                <w:rFonts w:eastAsia="Times New Roman" w:cstheme="minorHAnsi"/>
                <w:b w:val="0"/>
                <w:color w:val="000000"/>
                <w:sz w:val="20"/>
                <w:szCs w:val="20"/>
                <w:lang w:val="en-GB" w:eastAsia="en-GB"/>
              </w:rPr>
              <w:t>Obaveze po osnovu obeštećenja</w:t>
            </w:r>
          </w:p>
        </w:tc>
        <w:tc>
          <w:tcPr>
            <w:tcW w:w="673" w:type="pct"/>
            <w:noWrap/>
            <w:vAlign w:val="center"/>
            <w:hideMark/>
          </w:tcPr>
          <w:p w14:paraId="6F7D80F4" w14:textId="77777777" w:rsidR="00052499" w:rsidRPr="005C76C7" w:rsidRDefault="00052499" w:rsidP="00052499">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n-GB" w:eastAsia="en-GB"/>
              </w:rPr>
            </w:pPr>
            <w:r w:rsidRPr="005C76C7">
              <w:rPr>
                <w:rFonts w:eastAsia="Times New Roman" w:cstheme="minorHAnsi"/>
                <w:color w:val="000000"/>
                <w:sz w:val="20"/>
                <w:szCs w:val="20"/>
                <w:lang w:val="en-GB" w:eastAsia="en-GB"/>
              </w:rPr>
              <w:t>73,61</w:t>
            </w:r>
          </w:p>
        </w:tc>
        <w:tc>
          <w:tcPr>
            <w:tcW w:w="2158" w:type="pct"/>
            <w:noWrap/>
            <w:vAlign w:val="center"/>
            <w:hideMark/>
          </w:tcPr>
          <w:p w14:paraId="3CC9108B" w14:textId="77777777" w:rsidR="00052499" w:rsidRPr="005C76C7" w:rsidRDefault="00052499" w:rsidP="0005249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n-GB" w:eastAsia="en-GB"/>
              </w:rPr>
            </w:pPr>
            <w:r w:rsidRPr="005C76C7">
              <w:rPr>
                <w:rFonts w:eastAsia="Times New Roman" w:cstheme="minorHAnsi"/>
                <w:color w:val="000000"/>
                <w:sz w:val="20"/>
                <w:szCs w:val="20"/>
                <w:lang w:val="en-GB" w:eastAsia="en-GB"/>
              </w:rPr>
              <w:t>Sindicirani zajmovi PBG 1 i PBG 2</w:t>
            </w:r>
          </w:p>
        </w:tc>
        <w:tc>
          <w:tcPr>
            <w:tcW w:w="673" w:type="pct"/>
            <w:noWrap/>
            <w:vAlign w:val="center"/>
            <w:hideMark/>
          </w:tcPr>
          <w:p w14:paraId="088C80BD" w14:textId="77777777" w:rsidR="00052499" w:rsidRPr="005C76C7" w:rsidRDefault="00052499" w:rsidP="00052499">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n-GB" w:eastAsia="en-GB"/>
              </w:rPr>
            </w:pPr>
            <w:r w:rsidRPr="005C76C7">
              <w:rPr>
                <w:rFonts w:eastAsia="Times New Roman" w:cstheme="minorHAnsi"/>
                <w:color w:val="000000"/>
                <w:sz w:val="20"/>
                <w:szCs w:val="20"/>
                <w:lang w:val="en-GB" w:eastAsia="en-GB"/>
              </w:rPr>
              <w:t>380,78</w:t>
            </w:r>
          </w:p>
        </w:tc>
      </w:tr>
      <w:tr w:rsidR="00052499" w:rsidRPr="005C76C7" w14:paraId="357743BD" w14:textId="77777777" w:rsidTr="00052499">
        <w:trPr>
          <w:trHeight w:val="300"/>
        </w:trPr>
        <w:tc>
          <w:tcPr>
            <w:cnfStyle w:val="001000000000" w:firstRow="0" w:lastRow="0" w:firstColumn="1" w:lastColumn="0" w:oddVBand="0" w:evenVBand="0" w:oddHBand="0" w:evenHBand="0" w:firstRowFirstColumn="0" w:firstRowLastColumn="0" w:lastRowFirstColumn="0" w:lastRowLastColumn="0"/>
            <w:tcW w:w="1496" w:type="pct"/>
            <w:noWrap/>
            <w:vAlign w:val="center"/>
            <w:hideMark/>
          </w:tcPr>
          <w:p w14:paraId="7E6078E5" w14:textId="77777777" w:rsidR="00052499" w:rsidRPr="005C76C7" w:rsidRDefault="00052499" w:rsidP="00052499">
            <w:pPr>
              <w:rPr>
                <w:rFonts w:eastAsia="Times New Roman" w:cstheme="minorHAnsi"/>
                <w:b w:val="0"/>
                <w:color w:val="000000"/>
                <w:sz w:val="20"/>
                <w:szCs w:val="20"/>
                <w:lang w:val="en-GB" w:eastAsia="en-GB"/>
              </w:rPr>
            </w:pPr>
            <w:r w:rsidRPr="005C76C7">
              <w:rPr>
                <w:rFonts w:eastAsia="Times New Roman" w:cstheme="minorHAnsi"/>
                <w:b w:val="0"/>
                <w:color w:val="000000"/>
                <w:sz w:val="20"/>
                <w:szCs w:val="20"/>
                <w:lang w:val="en-GB" w:eastAsia="en-GB"/>
              </w:rPr>
              <w:t xml:space="preserve">Pravna lica i privredna društva </w:t>
            </w:r>
          </w:p>
        </w:tc>
        <w:tc>
          <w:tcPr>
            <w:tcW w:w="673" w:type="pct"/>
            <w:noWrap/>
            <w:vAlign w:val="center"/>
            <w:hideMark/>
          </w:tcPr>
          <w:p w14:paraId="560AE9C4" w14:textId="77777777" w:rsidR="00052499" w:rsidRPr="005C76C7" w:rsidRDefault="00052499" w:rsidP="00052499">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val="en-GB" w:eastAsia="en-GB"/>
              </w:rPr>
            </w:pPr>
            <w:r w:rsidRPr="005C76C7">
              <w:rPr>
                <w:rFonts w:eastAsia="Times New Roman" w:cstheme="minorHAnsi"/>
                <w:color w:val="000000"/>
                <w:sz w:val="20"/>
                <w:szCs w:val="20"/>
                <w:lang w:val="en-GB" w:eastAsia="en-GB"/>
              </w:rPr>
              <w:t>31,86</w:t>
            </w:r>
          </w:p>
        </w:tc>
        <w:tc>
          <w:tcPr>
            <w:tcW w:w="2158" w:type="pct"/>
            <w:noWrap/>
            <w:vAlign w:val="center"/>
            <w:hideMark/>
          </w:tcPr>
          <w:p w14:paraId="7BB6F8B7" w14:textId="77777777" w:rsidR="00052499" w:rsidRPr="005C76C7" w:rsidRDefault="00052499" w:rsidP="0005249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val="en-GB" w:eastAsia="en-GB"/>
              </w:rPr>
            </w:pPr>
            <w:r w:rsidRPr="005C76C7">
              <w:rPr>
                <w:rFonts w:eastAsia="Times New Roman" w:cstheme="minorHAnsi"/>
                <w:color w:val="000000"/>
                <w:sz w:val="20"/>
                <w:szCs w:val="20"/>
                <w:lang w:val="en-GB" w:eastAsia="en-GB"/>
              </w:rPr>
              <w:t>Međunarodna banka za obnovu i razvoj (IBRD)</w:t>
            </w:r>
          </w:p>
        </w:tc>
        <w:tc>
          <w:tcPr>
            <w:tcW w:w="673" w:type="pct"/>
            <w:noWrap/>
            <w:vAlign w:val="center"/>
            <w:hideMark/>
          </w:tcPr>
          <w:p w14:paraId="35706FA1" w14:textId="77777777" w:rsidR="00052499" w:rsidRPr="005C76C7" w:rsidRDefault="00052499" w:rsidP="00052499">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val="en-GB" w:eastAsia="en-GB"/>
              </w:rPr>
            </w:pPr>
            <w:r w:rsidRPr="005C76C7">
              <w:rPr>
                <w:rFonts w:eastAsia="Times New Roman" w:cstheme="minorHAnsi"/>
                <w:color w:val="000000"/>
                <w:sz w:val="20"/>
                <w:szCs w:val="20"/>
                <w:lang w:val="en-GB" w:eastAsia="en-GB"/>
              </w:rPr>
              <w:t>176,99</w:t>
            </w:r>
          </w:p>
        </w:tc>
      </w:tr>
      <w:tr w:rsidR="00052499" w:rsidRPr="005C76C7" w14:paraId="298EC7BF" w14:textId="77777777" w:rsidTr="0005249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96" w:type="pct"/>
            <w:noWrap/>
            <w:vAlign w:val="center"/>
            <w:hideMark/>
          </w:tcPr>
          <w:p w14:paraId="3B6E71BE" w14:textId="77777777" w:rsidR="00052499" w:rsidRPr="005C76C7" w:rsidRDefault="00052499" w:rsidP="00052499">
            <w:pPr>
              <w:rPr>
                <w:rFonts w:eastAsia="Times New Roman" w:cstheme="minorHAnsi"/>
                <w:b w:val="0"/>
                <w:color w:val="000000"/>
                <w:sz w:val="20"/>
                <w:szCs w:val="20"/>
                <w:lang w:val="en-GB" w:eastAsia="en-GB"/>
              </w:rPr>
            </w:pPr>
            <w:r w:rsidRPr="005C76C7">
              <w:rPr>
                <w:rFonts w:eastAsia="Times New Roman" w:cstheme="minorHAnsi"/>
                <w:b w:val="0"/>
                <w:color w:val="000000"/>
                <w:sz w:val="20"/>
                <w:szCs w:val="20"/>
                <w:lang w:val="en-GB" w:eastAsia="en-GB"/>
              </w:rPr>
              <w:t>Stara devizna štednja</w:t>
            </w:r>
          </w:p>
        </w:tc>
        <w:tc>
          <w:tcPr>
            <w:tcW w:w="673" w:type="pct"/>
            <w:noWrap/>
            <w:vAlign w:val="center"/>
            <w:hideMark/>
          </w:tcPr>
          <w:p w14:paraId="170E55D3" w14:textId="77777777" w:rsidR="00052499" w:rsidRPr="005C76C7" w:rsidRDefault="00052499" w:rsidP="00052499">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n-GB" w:eastAsia="en-GB"/>
              </w:rPr>
            </w:pPr>
            <w:r w:rsidRPr="005C76C7">
              <w:rPr>
                <w:rFonts w:eastAsia="Times New Roman" w:cstheme="minorHAnsi"/>
                <w:color w:val="000000"/>
                <w:sz w:val="20"/>
                <w:szCs w:val="20"/>
                <w:lang w:val="en-GB" w:eastAsia="en-GB"/>
              </w:rPr>
              <w:t>10,09</w:t>
            </w:r>
          </w:p>
        </w:tc>
        <w:tc>
          <w:tcPr>
            <w:tcW w:w="2158" w:type="pct"/>
            <w:noWrap/>
            <w:vAlign w:val="center"/>
            <w:hideMark/>
          </w:tcPr>
          <w:p w14:paraId="1BFF444A" w14:textId="77777777" w:rsidR="00052499" w:rsidRPr="005C76C7" w:rsidRDefault="00052499" w:rsidP="0005249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n-GB" w:eastAsia="en-GB"/>
              </w:rPr>
            </w:pPr>
            <w:r w:rsidRPr="005C76C7">
              <w:rPr>
                <w:rFonts w:eastAsia="Times New Roman" w:cstheme="minorHAnsi"/>
                <w:color w:val="000000"/>
                <w:sz w:val="20"/>
                <w:szCs w:val="20"/>
                <w:lang w:val="en-GB" w:eastAsia="en-GB"/>
              </w:rPr>
              <w:t xml:space="preserve">Deutsche banka </w:t>
            </w:r>
          </w:p>
        </w:tc>
        <w:tc>
          <w:tcPr>
            <w:tcW w:w="673" w:type="pct"/>
            <w:noWrap/>
            <w:vAlign w:val="center"/>
            <w:hideMark/>
          </w:tcPr>
          <w:p w14:paraId="2AEB8D0C" w14:textId="77777777" w:rsidR="00052499" w:rsidRPr="005C76C7" w:rsidRDefault="00052499" w:rsidP="00052499">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n-GB" w:eastAsia="en-GB"/>
              </w:rPr>
            </w:pPr>
            <w:r w:rsidRPr="005C76C7">
              <w:rPr>
                <w:rFonts w:eastAsia="Times New Roman" w:cstheme="minorHAnsi"/>
                <w:color w:val="000000"/>
                <w:sz w:val="20"/>
                <w:szCs w:val="20"/>
                <w:lang w:val="en-GB" w:eastAsia="en-GB"/>
              </w:rPr>
              <w:t>100,00</w:t>
            </w:r>
          </w:p>
        </w:tc>
      </w:tr>
    </w:tbl>
    <w:p w14:paraId="6591C1AD" w14:textId="77777777" w:rsidR="00052499" w:rsidRPr="0080055A" w:rsidRDefault="00052499" w:rsidP="00052499">
      <w:pPr>
        <w:spacing w:after="0" w:line="240" w:lineRule="auto"/>
        <w:rPr>
          <w:rFonts w:ascii="Cambria" w:hAnsi="Cambria"/>
        </w:rPr>
      </w:pPr>
    </w:p>
    <w:p w14:paraId="23BFFB24" w14:textId="77777777" w:rsidR="00052499" w:rsidRPr="005C76C7" w:rsidRDefault="00052499" w:rsidP="00052499">
      <w:pPr>
        <w:rPr>
          <w:rFonts w:cstheme="minorHAnsi"/>
          <w:b/>
          <w:color w:val="2F5496" w:themeColor="accent1" w:themeShade="BF"/>
          <w:sz w:val="20"/>
          <w:szCs w:val="20"/>
        </w:rPr>
      </w:pPr>
      <w:r w:rsidRPr="005C76C7">
        <w:rPr>
          <w:rFonts w:cstheme="minorHAnsi"/>
          <w:b/>
          <w:color w:val="2F5496" w:themeColor="accent1" w:themeShade="BF"/>
          <w:sz w:val="20"/>
          <w:szCs w:val="20"/>
        </w:rPr>
        <w:t>Grafik 2 Struktura spoljnjeg duga prema kreditorima na 30.09.2023. godine</w:t>
      </w:r>
    </w:p>
    <w:p w14:paraId="17126022" w14:textId="77777777" w:rsidR="00052499" w:rsidRPr="0080055A" w:rsidRDefault="00052499" w:rsidP="00052499">
      <w:pPr>
        <w:spacing w:after="0" w:line="240" w:lineRule="auto"/>
        <w:rPr>
          <w:rFonts w:ascii="Cambria" w:hAnsi="Cambria"/>
          <w:sz w:val="24"/>
          <w:szCs w:val="24"/>
        </w:rPr>
      </w:pPr>
      <w:r w:rsidRPr="0080055A">
        <w:rPr>
          <w:rFonts w:ascii="Cambria" w:hAnsi="Cambria"/>
          <w:noProof/>
          <w:lang w:val="en-GB" w:eastAsia="en-GB"/>
        </w:rPr>
        <w:drawing>
          <wp:inline distT="0" distB="0" distL="0" distR="0" wp14:anchorId="7634A2D7" wp14:editId="5C580DA9">
            <wp:extent cx="5962650" cy="2409825"/>
            <wp:effectExtent l="0" t="0" r="0" b="9525"/>
            <wp:docPr id="41" name="Chart 41">
              <a:extLst xmlns:a="http://schemas.openxmlformats.org/drawingml/2006/main">
                <a:ext uri="{FF2B5EF4-FFF2-40B4-BE49-F238E27FC236}">
                  <a16:creationId xmlns:a16="http://schemas.microsoft.com/office/drawing/2014/main" id="{00000000-0008-0000-05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6FEB9D7" w14:textId="77777777" w:rsidR="00052499" w:rsidRPr="0080055A" w:rsidRDefault="00052499" w:rsidP="00052499"/>
    <w:p w14:paraId="652C3D80" w14:textId="77777777" w:rsidR="00052499" w:rsidRPr="005C76C7" w:rsidRDefault="00052499" w:rsidP="005C76C7">
      <w:pPr>
        <w:jc w:val="both"/>
        <w:rPr>
          <w:rFonts w:cstheme="minorHAnsi"/>
          <w:sz w:val="24"/>
          <w:szCs w:val="24"/>
        </w:rPr>
      </w:pPr>
      <w:r w:rsidRPr="005C76C7">
        <w:rPr>
          <w:rFonts w:cstheme="minorHAnsi"/>
          <w:sz w:val="24"/>
          <w:szCs w:val="24"/>
        </w:rPr>
        <w:t xml:space="preserve">U strukturi spoljnjeg duga, najveće učešće ima dug po osnovu euroobveznica od 48.7%, dok je na drugom mjestu kredit kod Exim Kina banke sa ukupnim učešćem od 19,81%. U odnosu na državni dug, obaveze po osnovu euroobveznica čine 48,70%, dok je učešće duga po osnovu kredita da Exim Kina bankom u državnom dugu 17,85%. </w:t>
      </w:r>
    </w:p>
    <w:p w14:paraId="6D4053E1" w14:textId="48C0B646" w:rsidR="00052499" w:rsidRDefault="00052499" w:rsidP="005C76C7">
      <w:pPr>
        <w:jc w:val="both"/>
        <w:rPr>
          <w:rFonts w:cstheme="minorHAnsi"/>
          <w:sz w:val="24"/>
          <w:szCs w:val="24"/>
        </w:rPr>
      </w:pPr>
      <w:r w:rsidRPr="005C76C7">
        <w:rPr>
          <w:rFonts w:cstheme="minorHAnsi"/>
          <w:sz w:val="24"/>
          <w:szCs w:val="24"/>
        </w:rPr>
        <w:t xml:space="preserve">Do 30.09.2023. godine, izvršena je otplata duga po osnovu glavnice, rezidentima i nerezidentima, u ukupnom iznosu od 214,35 miliona eura, otplata po osnovu stare devizne štednje u iznosu od 0,08 miliona eura i otplata po osnovu garancija u iznosu od 2,81 miliona eura. Otplata po osnovu kamate, rezidentima i nerezidentima, iznosila je ukupno 79,81 miliona eura. </w:t>
      </w:r>
    </w:p>
    <w:p w14:paraId="241D7A11" w14:textId="6516DE67" w:rsidR="000F2683" w:rsidRDefault="000F2683" w:rsidP="005C76C7">
      <w:pPr>
        <w:jc w:val="both"/>
        <w:rPr>
          <w:rFonts w:cstheme="minorHAnsi"/>
          <w:sz w:val="24"/>
          <w:szCs w:val="24"/>
        </w:rPr>
      </w:pPr>
    </w:p>
    <w:p w14:paraId="395EFF4B" w14:textId="2CB05E0A" w:rsidR="000F2683" w:rsidRDefault="000F2683" w:rsidP="005C76C7">
      <w:pPr>
        <w:jc w:val="both"/>
        <w:rPr>
          <w:rFonts w:cstheme="minorHAnsi"/>
          <w:sz w:val="24"/>
          <w:szCs w:val="24"/>
        </w:rPr>
      </w:pPr>
    </w:p>
    <w:p w14:paraId="05147C1B" w14:textId="77777777" w:rsidR="000F2683" w:rsidRPr="005C76C7" w:rsidRDefault="000F2683" w:rsidP="005C76C7">
      <w:pPr>
        <w:jc w:val="both"/>
        <w:rPr>
          <w:rFonts w:cstheme="minorHAnsi"/>
          <w:sz w:val="24"/>
          <w:szCs w:val="24"/>
        </w:rPr>
      </w:pPr>
    </w:p>
    <w:p w14:paraId="57DECCA8" w14:textId="77777777" w:rsidR="00052499" w:rsidRPr="005C76C7" w:rsidRDefault="00052499" w:rsidP="00052499">
      <w:pPr>
        <w:rPr>
          <w:rFonts w:cstheme="minorHAnsi"/>
          <w:b/>
          <w:color w:val="2F5496" w:themeColor="accent1" w:themeShade="BF"/>
          <w:sz w:val="20"/>
          <w:szCs w:val="20"/>
          <w:lang w:val="en-GB" w:eastAsia="en-GB"/>
        </w:rPr>
      </w:pPr>
      <w:r w:rsidRPr="005C76C7">
        <w:rPr>
          <w:rFonts w:cstheme="minorHAnsi"/>
          <w:b/>
          <w:color w:val="2F5496" w:themeColor="accent1" w:themeShade="BF"/>
          <w:sz w:val="20"/>
          <w:szCs w:val="20"/>
          <w:lang w:val="en-GB" w:eastAsia="en-GB"/>
        </w:rPr>
        <w:lastRenderedPageBreak/>
        <w:t xml:space="preserve">Tabela 4: Servisiranje državnog duga do 30.09.2023. godine </w:t>
      </w:r>
    </w:p>
    <w:tbl>
      <w:tblPr>
        <w:tblStyle w:val="GridTable2-Accent2"/>
        <w:tblW w:w="5000" w:type="pct"/>
        <w:tblLook w:val="04A0" w:firstRow="1" w:lastRow="0" w:firstColumn="1" w:lastColumn="0" w:noHBand="0" w:noVBand="1"/>
      </w:tblPr>
      <w:tblGrid>
        <w:gridCol w:w="7797"/>
        <w:gridCol w:w="1563"/>
      </w:tblGrid>
      <w:tr w:rsidR="00052499" w:rsidRPr="005C76C7" w14:paraId="01E0D6BA" w14:textId="77777777" w:rsidTr="00052499">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165" w:type="pct"/>
            <w:noWrap/>
            <w:vAlign w:val="center"/>
            <w:hideMark/>
          </w:tcPr>
          <w:p w14:paraId="195E34DB" w14:textId="77777777" w:rsidR="00052499" w:rsidRPr="005C76C7" w:rsidRDefault="00052499" w:rsidP="00052499">
            <w:pPr>
              <w:rPr>
                <w:rFonts w:eastAsia="Times New Roman" w:cstheme="minorHAnsi"/>
                <w:color w:val="000000"/>
                <w:sz w:val="20"/>
                <w:szCs w:val="20"/>
                <w:lang w:val="sr-Latn-ME" w:eastAsia="en-GB"/>
              </w:rPr>
            </w:pPr>
            <w:r w:rsidRPr="005C76C7">
              <w:rPr>
                <w:rFonts w:eastAsia="Times New Roman" w:cstheme="minorHAnsi"/>
                <w:color w:val="000000"/>
                <w:sz w:val="20"/>
                <w:szCs w:val="20"/>
                <w:lang w:val="sr-Latn-ME" w:eastAsia="en-GB"/>
              </w:rPr>
              <w:t>Budžetska pozicija</w:t>
            </w:r>
          </w:p>
        </w:tc>
        <w:tc>
          <w:tcPr>
            <w:tcW w:w="835" w:type="pct"/>
            <w:noWrap/>
            <w:vAlign w:val="center"/>
            <w:hideMark/>
          </w:tcPr>
          <w:p w14:paraId="4E1E77A5" w14:textId="77777777" w:rsidR="00052499" w:rsidRPr="005C76C7" w:rsidRDefault="00052499" w:rsidP="00052499">
            <w:pP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20"/>
                <w:szCs w:val="20"/>
                <w:lang w:val="sr-Latn-ME" w:eastAsia="en-GB"/>
              </w:rPr>
            </w:pPr>
            <w:r w:rsidRPr="005C76C7">
              <w:rPr>
                <w:rFonts w:eastAsia="Times New Roman" w:cstheme="minorHAnsi"/>
                <w:color w:val="000000"/>
                <w:sz w:val="20"/>
                <w:szCs w:val="20"/>
                <w:lang w:val="sr-Latn-ME" w:eastAsia="en-GB"/>
              </w:rPr>
              <w:t>Iznos u mil EUR</w:t>
            </w:r>
          </w:p>
        </w:tc>
      </w:tr>
      <w:tr w:rsidR="00052499" w:rsidRPr="005C76C7" w14:paraId="2D8ED201" w14:textId="77777777" w:rsidTr="00052499">
        <w:trPr>
          <w:cnfStyle w:val="000000100000" w:firstRow="0" w:lastRow="0" w:firstColumn="0" w:lastColumn="0" w:oddVBand="0" w:evenVBand="0" w:oddHBand="1" w:evenHBand="0" w:firstRowFirstColumn="0" w:firstRowLastColumn="0" w:lastRowFirstColumn="0" w:lastRowLastColumn="0"/>
          <w:trHeight w:val="163"/>
        </w:trPr>
        <w:tc>
          <w:tcPr>
            <w:cnfStyle w:val="001000000000" w:firstRow="0" w:lastRow="0" w:firstColumn="1" w:lastColumn="0" w:oddVBand="0" w:evenVBand="0" w:oddHBand="0" w:evenHBand="0" w:firstRowFirstColumn="0" w:firstRowLastColumn="0" w:lastRowFirstColumn="0" w:lastRowLastColumn="0"/>
            <w:tcW w:w="4165" w:type="pct"/>
            <w:noWrap/>
            <w:hideMark/>
          </w:tcPr>
          <w:p w14:paraId="299A529F" w14:textId="77777777" w:rsidR="00052499" w:rsidRPr="005C76C7" w:rsidRDefault="00052499" w:rsidP="00052499">
            <w:pPr>
              <w:rPr>
                <w:rFonts w:eastAsia="Times New Roman" w:cstheme="minorHAnsi"/>
                <w:b w:val="0"/>
                <w:color w:val="000000"/>
                <w:sz w:val="20"/>
                <w:szCs w:val="20"/>
                <w:lang w:val="sr-Latn-ME" w:eastAsia="en-GB"/>
              </w:rPr>
            </w:pPr>
            <w:r w:rsidRPr="005C76C7">
              <w:rPr>
                <w:rFonts w:eastAsia="Times New Roman" w:cstheme="minorHAnsi"/>
                <w:b w:val="0"/>
                <w:color w:val="000000"/>
                <w:sz w:val="20"/>
                <w:szCs w:val="20"/>
                <w:lang w:val="sr-Latn-ME" w:eastAsia="en-GB"/>
              </w:rPr>
              <w:t>Otplata glavnice rezidentima</w:t>
            </w:r>
          </w:p>
        </w:tc>
        <w:tc>
          <w:tcPr>
            <w:tcW w:w="835" w:type="pct"/>
            <w:noWrap/>
            <w:hideMark/>
          </w:tcPr>
          <w:p w14:paraId="20606852" w14:textId="77777777" w:rsidR="00052499" w:rsidRPr="005C76C7" w:rsidRDefault="00052499" w:rsidP="00052499">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sz w:val="20"/>
                <w:szCs w:val="20"/>
                <w:lang w:val="sr-Latn-ME" w:eastAsia="en-GB"/>
              </w:rPr>
            </w:pPr>
            <w:r w:rsidRPr="005C76C7">
              <w:rPr>
                <w:rFonts w:eastAsia="Times New Roman" w:cstheme="minorHAnsi"/>
                <w:bCs/>
                <w:color w:val="000000"/>
                <w:sz w:val="20"/>
                <w:szCs w:val="20"/>
                <w:lang w:val="sr-Latn-ME" w:eastAsia="en-GB"/>
              </w:rPr>
              <w:t>61,99</w:t>
            </w:r>
          </w:p>
        </w:tc>
      </w:tr>
      <w:tr w:rsidR="00052499" w:rsidRPr="005C76C7" w14:paraId="3BCD7866" w14:textId="77777777" w:rsidTr="00052499">
        <w:trPr>
          <w:trHeight w:val="249"/>
        </w:trPr>
        <w:tc>
          <w:tcPr>
            <w:cnfStyle w:val="001000000000" w:firstRow="0" w:lastRow="0" w:firstColumn="1" w:lastColumn="0" w:oddVBand="0" w:evenVBand="0" w:oddHBand="0" w:evenHBand="0" w:firstRowFirstColumn="0" w:firstRowLastColumn="0" w:lastRowFirstColumn="0" w:lastRowLastColumn="0"/>
            <w:tcW w:w="4165" w:type="pct"/>
            <w:noWrap/>
            <w:hideMark/>
          </w:tcPr>
          <w:p w14:paraId="5B1B3D63" w14:textId="77777777" w:rsidR="00052499" w:rsidRPr="005C76C7" w:rsidRDefault="00052499" w:rsidP="00052499">
            <w:pPr>
              <w:rPr>
                <w:rFonts w:eastAsia="Times New Roman" w:cstheme="minorHAnsi"/>
                <w:b w:val="0"/>
                <w:color w:val="000000"/>
                <w:sz w:val="20"/>
                <w:szCs w:val="20"/>
                <w:lang w:val="sr-Latn-ME" w:eastAsia="en-GB"/>
              </w:rPr>
            </w:pPr>
            <w:r w:rsidRPr="005C76C7">
              <w:rPr>
                <w:rFonts w:eastAsia="Times New Roman" w:cstheme="minorHAnsi"/>
                <w:b w:val="0"/>
                <w:color w:val="000000"/>
                <w:sz w:val="20"/>
                <w:szCs w:val="20"/>
                <w:lang w:val="sr-Latn-ME" w:eastAsia="en-GB"/>
              </w:rPr>
              <w:t>Otplata glavnice nerezidentima</w:t>
            </w:r>
          </w:p>
        </w:tc>
        <w:tc>
          <w:tcPr>
            <w:tcW w:w="835" w:type="pct"/>
            <w:noWrap/>
            <w:hideMark/>
          </w:tcPr>
          <w:p w14:paraId="3F0EF4AD" w14:textId="77777777" w:rsidR="00052499" w:rsidRPr="005C76C7" w:rsidRDefault="00052499" w:rsidP="00052499">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val="sr-Latn-ME" w:eastAsia="en-GB"/>
              </w:rPr>
            </w:pPr>
            <w:r w:rsidRPr="005C76C7">
              <w:rPr>
                <w:rFonts w:eastAsia="Times New Roman" w:cstheme="minorHAnsi"/>
                <w:bCs/>
                <w:color w:val="000000"/>
                <w:sz w:val="20"/>
                <w:szCs w:val="20"/>
                <w:lang w:val="sr-Latn-ME" w:eastAsia="en-GB"/>
              </w:rPr>
              <w:t>152,36</w:t>
            </w:r>
          </w:p>
        </w:tc>
      </w:tr>
      <w:tr w:rsidR="00052499" w:rsidRPr="005C76C7" w14:paraId="07272626" w14:textId="77777777" w:rsidTr="00052499">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4165" w:type="pct"/>
            <w:noWrap/>
            <w:hideMark/>
          </w:tcPr>
          <w:p w14:paraId="5490BBF1" w14:textId="77777777" w:rsidR="00052499" w:rsidRPr="005C76C7" w:rsidRDefault="00052499" w:rsidP="00052499">
            <w:pPr>
              <w:rPr>
                <w:rFonts w:eastAsia="Times New Roman" w:cstheme="minorHAnsi"/>
                <w:color w:val="000000"/>
                <w:sz w:val="20"/>
                <w:szCs w:val="20"/>
                <w:lang w:val="sr-Latn-ME" w:eastAsia="en-GB"/>
              </w:rPr>
            </w:pPr>
            <w:r w:rsidRPr="005C76C7">
              <w:rPr>
                <w:rFonts w:eastAsia="Times New Roman" w:cstheme="minorHAnsi"/>
                <w:color w:val="000000"/>
                <w:sz w:val="20"/>
                <w:szCs w:val="20"/>
                <w:lang w:val="sr-Latn-ME" w:eastAsia="en-GB"/>
              </w:rPr>
              <w:t>Ukupna otplata glavnice</w:t>
            </w:r>
          </w:p>
        </w:tc>
        <w:tc>
          <w:tcPr>
            <w:tcW w:w="835" w:type="pct"/>
            <w:noWrap/>
            <w:hideMark/>
          </w:tcPr>
          <w:p w14:paraId="4F86F30D" w14:textId="77777777" w:rsidR="00052499" w:rsidRPr="005C76C7" w:rsidRDefault="00052499" w:rsidP="00052499">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20"/>
                <w:szCs w:val="20"/>
                <w:lang w:val="sr-Latn-ME" w:eastAsia="en-GB"/>
              </w:rPr>
            </w:pPr>
            <w:r w:rsidRPr="005C76C7">
              <w:rPr>
                <w:rFonts w:eastAsia="Times New Roman" w:cstheme="minorHAnsi"/>
                <w:b/>
                <w:bCs/>
                <w:color w:val="000000"/>
                <w:sz w:val="20"/>
                <w:szCs w:val="20"/>
                <w:lang w:val="sr-Latn-ME" w:eastAsia="en-GB"/>
              </w:rPr>
              <w:t>214,35</w:t>
            </w:r>
          </w:p>
        </w:tc>
      </w:tr>
      <w:tr w:rsidR="00052499" w:rsidRPr="005C76C7" w14:paraId="12D6CFB4" w14:textId="77777777" w:rsidTr="00052499">
        <w:trPr>
          <w:trHeight w:val="163"/>
        </w:trPr>
        <w:tc>
          <w:tcPr>
            <w:cnfStyle w:val="001000000000" w:firstRow="0" w:lastRow="0" w:firstColumn="1" w:lastColumn="0" w:oddVBand="0" w:evenVBand="0" w:oddHBand="0" w:evenHBand="0" w:firstRowFirstColumn="0" w:firstRowLastColumn="0" w:lastRowFirstColumn="0" w:lastRowLastColumn="0"/>
            <w:tcW w:w="4165" w:type="pct"/>
            <w:noWrap/>
            <w:hideMark/>
          </w:tcPr>
          <w:p w14:paraId="03EF2CEA" w14:textId="77777777" w:rsidR="00052499" w:rsidRPr="005C76C7" w:rsidRDefault="00052499" w:rsidP="00052499">
            <w:pPr>
              <w:rPr>
                <w:rFonts w:eastAsia="Times New Roman" w:cstheme="minorHAnsi"/>
                <w:b w:val="0"/>
                <w:color w:val="000000"/>
                <w:sz w:val="20"/>
                <w:szCs w:val="20"/>
                <w:lang w:val="sr-Latn-ME" w:eastAsia="en-GB"/>
              </w:rPr>
            </w:pPr>
            <w:r w:rsidRPr="005C76C7">
              <w:rPr>
                <w:rFonts w:eastAsia="Times New Roman" w:cstheme="minorHAnsi"/>
                <w:b w:val="0"/>
                <w:color w:val="000000"/>
                <w:sz w:val="20"/>
                <w:szCs w:val="20"/>
                <w:lang w:val="sr-Latn-ME" w:eastAsia="en-GB"/>
              </w:rPr>
              <w:t>Otplata kamate rezidentima</w:t>
            </w:r>
          </w:p>
        </w:tc>
        <w:tc>
          <w:tcPr>
            <w:tcW w:w="835" w:type="pct"/>
            <w:noWrap/>
            <w:hideMark/>
          </w:tcPr>
          <w:p w14:paraId="099ACDD3" w14:textId="77777777" w:rsidR="00052499" w:rsidRPr="005C76C7" w:rsidRDefault="00052499" w:rsidP="00052499">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0"/>
                <w:szCs w:val="20"/>
                <w:lang w:val="sr-Latn-ME" w:eastAsia="en-GB"/>
              </w:rPr>
            </w:pPr>
            <w:r w:rsidRPr="005C76C7">
              <w:rPr>
                <w:rFonts w:eastAsia="Times New Roman" w:cstheme="minorHAnsi"/>
                <w:bCs/>
                <w:color w:val="000000"/>
                <w:sz w:val="20"/>
                <w:szCs w:val="20"/>
                <w:lang w:val="sr-Latn-ME" w:eastAsia="en-GB"/>
              </w:rPr>
              <w:t>10,91</w:t>
            </w:r>
          </w:p>
        </w:tc>
      </w:tr>
      <w:tr w:rsidR="00052499" w:rsidRPr="005C76C7" w14:paraId="4473179D" w14:textId="77777777" w:rsidTr="00052499">
        <w:trPr>
          <w:cnfStyle w:val="000000100000" w:firstRow="0" w:lastRow="0" w:firstColumn="0" w:lastColumn="0" w:oddVBand="0" w:evenVBand="0" w:oddHBand="1" w:evenHBand="0" w:firstRowFirstColumn="0" w:firstRowLastColumn="0" w:lastRowFirstColumn="0" w:lastRowLastColumn="0"/>
          <w:trHeight w:val="209"/>
        </w:trPr>
        <w:tc>
          <w:tcPr>
            <w:cnfStyle w:val="001000000000" w:firstRow="0" w:lastRow="0" w:firstColumn="1" w:lastColumn="0" w:oddVBand="0" w:evenVBand="0" w:oddHBand="0" w:evenHBand="0" w:firstRowFirstColumn="0" w:firstRowLastColumn="0" w:lastRowFirstColumn="0" w:lastRowLastColumn="0"/>
            <w:tcW w:w="4165" w:type="pct"/>
            <w:noWrap/>
            <w:hideMark/>
          </w:tcPr>
          <w:p w14:paraId="55EADAC5" w14:textId="77777777" w:rsidR="00052499" w:rsidRPr="005C76C7" w:rsidRDefault="00052499" w:rsidP="00052499">
            <w:pPr>
              <w:rPr>
                <w:rFonts w:eastAsia="Times New Roman" w:cstheme="minorHAnsi"/>
                <w:b w:val="0"/>
                <w:color w:val="000000"/>
                <w:sz w:val="20"/>
                <w:szCs w:val="20"/>
                <w:lang w:val="sr-Latn-ME" w:eastAsia="en-GB"/>
              </w:rPr>
            </w:pPr>
            <w:r w:rsidRPr="005C76C7">
              <w:rPr>
                <w:rFonts w:eastAsia="Times New Roman" w:cstheme="minorHAnsi"/>
                <w:b w:val="0"/>
                <w:color w:val="000000"/>
                <w:sz w:val="20"/>
                <w:szCs w:val="20"/>
                <w:lang w:val="sr-Latn-ME" w:eastAsia="en-GB"/>
              </w:rPr>
              <w:t>Otplata kamate nerezidentima</w:t>
            </w:r>
          </w:p>
        </w:tc>
        <w:tc>
          <w:tcPr>
            <w:tcW w:w="835" w:type="pct"/>
            <w:noWrap/>
            <w:hideMark/>
          </w:tcPr>
          <w:p w14:paraId="2DD7A21E" w14:textId="77777777" w:rsidR="00052499" w:rsidRPr="005C76C7" w:rsidRDefault="00052499" w:rsidP="00052499">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sz w:val="20"/>
                <w:szCs w:val="20"/>
                <w:lang w:val="sr-Latn-ME" w:eastAsia="en-GB"/>
              </w:rPr>
            </w:pPr>
            <w:r w:rsidRPr="005C76C7">
              <w:rPr>
                <w:rFonts w:eastAsia="Times New Roman" w:cstheme="minorHAnsi"/>
                <w:bCs/>
                <w:color w:val="000000"/>
                <w:sz w:val="20"/>
                <w:szCs w:val="20"/>
                <w:lang w:val="sr-Latn-ME" w:eastAsia="en-GB"/>
              </w:rPr>
              <w:t>68,50</w:t>
            </w:r>
          </w:p>
        </w:tc>
      </w:tr>
      <w:tr w:rsidR="00052499" w:rsidRPr="005C76C7" w14:paraId="2FEE77E4" w14:textId="77777777" w:rsidTr="00052499">
        <w:trPr>
          <w:trHeight w:val="243"/>
        </w:trPr>
        <w:tc>
          <w:tcPr>
            <w:cnfStyle w:val="001000000000" w:firstRow="0" w:lastRow="0" w:firstColumn="1" w:lastColumn="0" w:oddVBand="0" w:evenVBand="0" w:oddHBand="0" w:evenHBand="0" w:firstRowFirstColumn="0" w:firstRowLastColumn="0" w:lastRowFirstColumn="0" w:lastRowLastColumn="0"/>
            <w:tcW w:w="4165" w:type="pct"/>
            <w:noWrap/>
            <w:hideMark/>
          </w:tcPr>
          <w:p w14:paraId="0E5DBD27" w14:textId="77777777" w:rsidR="00052499" w:rsidRPr="005C76C7" w:rsidRDefault="00052499" w:rsidP="00052499">
            <w:pPr>
              <w:rPr>
                <w:rFonts w:eastAsia="Times New Roman" w:cstheme="minorHAnsi"/>
                <w:color w:val="000000"/>
                <w:sz w:val="20"/>
                <w:szCs w:val="20"/>
                <w:lang w:val="sr-Latn-ME" w:eastAsia="en-GB"/>
              </w:rPr>
            </w:pPr>
            <w:r w:rsidRPr="005C76C7">
              <w:rPr>
                <w:rFonts w:eastAsia="Times New Roman" w:cstheme="minorHAnsi"/>
                <w:color w:val="000000"/>
                <w:sz w:val="20"/>
                <w:szCs w:val="20"/>
                <w:lang w:val="sr-Latn-ME" w:eastAsia="en-GB"/>
              </w:rPr>
              <w:t>Ukupna otplata kamate</w:t>
            </w:r>
          </w:p>
        </w:tc>
        <w:tc>
          <w:tcPr>
            <w:tcW w:w="835" w:type="pct"/>
            <w:noWrap/>
            <w:hideMark/>
          </w:tcPr>
          <w:p w14:paraId="3D2E2FD9" w14:textId="77777777" w:rsidR="00052499" w:rsidRPr="005C76C7" w:rsidRDefault="00052499" w:rsidP="00052499">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20"/>
                <w:szCs w:val="20"/>
                <w:lang w:val="sr-Latn-ME" w:eastAsia="en-GB"/>
              </w:rPr>
            </w:pPr>
            <w:r w:rsidRPr="005C76C7">
              <w:rPr>
                <w:rFonts w:eastAsia="Times New Roman" w:cstheme="minorHAnsi"/>
                <w:b/>
                <w:bCs/>
                <w:color w:val="000000"/>
                <w:sz w:val="20"/>
                <w:szCs w:val="20"/>
                <w:lang w:val="sr-Latn-ME" w:eastAsia="en-GB"/>
              </w:rPr>
              <w:t>79,41</w:t>
            </w:r>
          </w:p>
        </w:tc>
      </w:tr>
      <w:tr w:rsidR="00052499" w:rsidRPr="005C76C7" w14:paraId="6125D4CA" w14:textId="77777777" w:rsidTr="00052499">
        <w:trPr>
          <w:cnfStyle w:val="000000100000" w:firstRow="0" w:lastRow="0" w:firstColumn="0" w:lastColumn="0" w:oddVBand="0" w:evenVBand="0" w:oddHBand="1"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4165" w:type="pct"/>
            <w:noWrap/>
          </w:tcPr>
          <w:p w14:paraId="6A7A3A6B" w14:textId="77777777" w:rsidR="00052499" w:rsidRPr="005C76C7" w:rsidRDefault="00052499" w:rsidP="00052499">
            <w:pPr>
              <w:rPr>
                <w:rFonts w:eastAsia="Times New Roman" w:cstheme="minorHAnsi"/>
                <w:b w:val="0"/>
                <w:color w:val="000000"/>
                <w:sz w:val="20"/>
                <w:szCs w:val="20"/>
                <w:lang w:val="sr-Latn-ME" w:eastAsia="en-GB"/>
              </w:rPr>
            </w:pPr>
            <w:r w:rsidRPr="005C76C7">
              <w:rPr>
                <w:rFonts w:eastAsia="Times New Roman" w:cstheme="minorHAnsi"/>
                <w:color w:val="000000"/>
                <w:sz w:val="20"/>
                <w:szCs w:val="20"/>
                <w:lang w:val="sr-Latn-ME" w:eastAsia="en-GB"/>
              </w:rPr>
              <w:t>Otplata garancija</w:t>
            </w:r>
          </w:p>
        </w:tc>
        <w:tc>
          <w:tcPr>
            <w:tcW w:w="835" w:type="pct"/>
            <w:noWrap/>
          </w:tcPr>
          <w:p w14:paraId="6E201DD8" w14:textId="77777777" w:rsidR="00052499" w:rsidRPr="005C76C7" w:rsidDel="00F43968" w:rsidRDefault="00052499" w:rsidP="00052499">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20"/>
                <w:szCs w:val="20"/>
                <w:lang w:val="sr-Latn-ME" w:eastAsia="en-GB"/>
              </w:rPr>
            </w:pPr>
            <w:r w:rsidRPr="005C76C7">
              <w:rPr>
                <w:rFonts w:eastAsia="Times New Roman" w:cstheme="minorHAnsi"/>
                <w:b/>
                <w:bCs/>
                <w:color w:val="000000"/>
                <w:sz w:val="20"/>
                <w:szCs w:val="20"/>
                <w:lang w:val="sr-Latn-ME" w:eastAsia="en-GB"/>
              </w:rPr>
              <w:t>2,81</w:t>
            </w:r>
          </w:p>
        </w:tc>
      </w:tr>
      <w:tr w:rsidR="00052499" w:rsidRPr="005C76C7" w14:paraId="0AD498C2" w14:textId="77777777" w:rsidTr="00052499">
        <w:trPr>
          <w:trHeight w:val="243"/>
        </w:trPr>
        <w:tc>
          <w:tcPr>
            <w:cnfStyle w:val="001000000000" w:firstRow="0" w:lastRow="0" w:firstColumn="1" w:lastColumn="0" w:oddVBand="0" w:evenVBand="0" w:oddHBand="0" w:evenHBand="0" w:firstRowFirstColumn="0" w:firstRowLastColumn="0" w:lastRowFirstColumn="0" w:lastRowLastColumn="0"/>
            <w:tcW w:w="4165" w:type="pct"/>
            <w:noWrap/>
          </w:tcPr>
          <w:p w14:paraId="036123D3" w14:textId="77777777" w:rsidR="00052499" w:rsidRPr="005C76C7" w:rsidRDefault="00052499" w:rsidP="00052499">
            <w:pPr>
              <w:rPr>
                <w:rFonts w:eastAsia="Times New Roman" w:cstheme="minorHAnsi"/>
                <w:color w:val="000000"/>
                <w:sz w:val="20"/>
                <w:szCs w:val="20"/>
                <w:lang w:val="sr-Latn-ME" w:eastAsia="en-GB"/>
              </w:rPr>
            </w:pPr>
            <w:r w:rsidRPr="005C76C7">
              <w:rPr>
                <w:rFonts w:eastAsia="Times New Roman" w:cstheme="minorHAnsi"/>
                <w:color w:val="000000"/>
                <w:sz w:val="20"/>
                <w:szCs w:val="20"/>
                <w:lang w:val="sr-Latn-ME" w:eastAsia="en-GB"/>
              </w:rPr>
              <w:t>Stara devizna štednja</w:t>
            </w:r>
          </w:p>
        </w:tc>
        <w:tc>
          <w:tcPr>
            <w:tcW w:w="835" w:type="pct"/>
            <w:noWrap/>
          </w:tcPr>
          <w:p w14:paraId="40A81258" w14:textId="77777777" w:rsidR="00052499" w:rsidRPr="005C76C7" w:rsidRDefault="00052499" w:rsidP="00052499">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20"/>
                <w:szCs w:val="20"/>
                <w:lang w:val="sr-Latn-ME" w:eastAsia="en-GB"/>
              </w:rPr>
            </w:pPr>
            <w:r w:rsidRPr="005C76C7">
              <w:rPr>
                <w:rFonts w:eastAsia="Times New Roman" w:cstheme="minorHAnsi"/>
                <w:b/>
                <w:bCs/>
                <w:color w:val="000000"/>
                <w:sz w:val="20"/>
                <w:szCs w:val="20"/>
                <w:lang w:val="sr-Latn-ME" w:eastAsia="en-GB"/>
              </w:rPr>
              <w:t>0,08</w:t>
            </w:r>
          </w:p>
        </w:tc>
      </w:tr>
      <w:tr w:rsidR="00052499" w:rsidRPr="005C76C7" w14:paraId="01178408" w14:textId="77777777" w:rsidTr="00052499">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4165" w:type="pct"/>
            <w:noWrap/>
            <w:hideMark/>
          </w:tcPr>
          <w:p w14:paraId="18F4F557" w14:textId="77777777" w:rsidR="00052499" w:rsidRPr="005C76C7" w:rsidRDefault="00052499" w:rsidP="00052499">
            <w:pPr>
              <w:rPr>
                <w:rFonts w:eastAsia="Times New Roman" w:cstheme="minorHAnsi"/>
                <w:color w:val="000000"/>
                <w:sz w:val="20"/>
                <w:szCs w:val="20"/>
                <w:lang w:val="sr-Latn-ME" w:eastAsia="en-GB"/>
              </w:rPr>
            </w:pPr>
            <w:r w:rsidRPr="005C76C7">
              <w:rPr>
                <w:rFonts w:eastAsia="Times New Roman" w:cstheme="minorHAnsi"/>
                <w:color w:val="000000"/>
                <w:sz w:val="20"/>
                <w:szCs w:val="20"/>
                <w:lang w:val="sr-Latn-ME" w:eastAsia="en-GB"/>
              </w:rPr>
              <w:t>UKUPNO</w:t>
            </w:r>
          </w:p>
        </w:tc>
        <w:tc>
          <w:tcPr>
            <w:tcW w:w="835" w:type="pct"/>
            <w:noWrap/>
            <w:hideMark/>
          </w:tcPr>
          <w:p w14:paraId="0874BA30" w14:textId="77777777" w:rsidR="00052499" w:rsidRPr="005C76C7" w:rsidRDefault="00052499" w:rsidP="00052499">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20"/>
                <w:szCs w:val="20"/>
                <w:lang w:val="sr-Latn-ME" w:eastAsia="en-GB"/>
              </w:rPr>
            </w:pPr>
            <w:r w:rsidRPr="005C76C7">
              <w:rPr>
                <w:rFonts w:eastAsia="Times New Roman" w:cstheme="minorHAnsi"/>
                <w:b/>
                <w:bCs/>
                <w:color w:val="000000"/>
                <w:sz w:val="20"/>
                <w:szCs w:val="20"/>
                <w:lang w:val="sr-Latn-ME" w:eastAsia="en-GB"/>
              </w:rPr>
              <w:t>296,65</w:t>
            </w:r>
          </w:p>
        </w:tc>
      </w:tr>
    </w:tbl>
    <w:p w14:paraId="7E30CA0B" w14:textId="77777777" w:rsidR="00052499" w:rsidRPr="0080055A" w:rsidRDefault="00052499" w:rsidP="00052499">
      <w:pPr>
        <w:spacing w:after="0" w:line="240" w:lineRule="auto"/>
        <w:rPr>
          <w:rFonts w:ascii="Cambria" w:hAnsi="Cambria" w:cs="Arial"/>
          <w:i/>
          <w:color w:val="808080" w:themeColor="background1" w:themeShade="80"/>
          <w:szCs w:val="20"/>
        </w:rPr>
      </w:pPr>
    </w:p>
    <w:p w14:paraId="30C40F78" w14:textId="77777777" w:rsidR="00052499" w:rsidRPr="005C76C7" w:rsidRDefault="00052499" w:rsidP="00052499">
      <w:pPr>
        <w:pStyle w:val="Heading3"/>
        <w:rPr>
          <w:rFonts w:asciiTheme="minorHAnsi" w:hAnsiTheme="minorHAnsi" w:cstheme="minorHAnsi"/>
          <w:b/>
          <w:noProof/>
          <w:color w:val="2F5496" w:themeColor="accent1" w:themeShade="BF"/>
        </w:rPr>
      </w:pPr>
      <w:bookmarkStart w:id="131" w:name="_Toc153305353"/>
      <w:r w:rsidRPr="005C76C7">
        <w:rPr>
          <w:rFonts w:asciiTheme="minorHAnsi" w:hAnsiTheme="minorHAnsi" w:cstheme="minorHAnsi"/>
          <w:b/>
          <w:noProof/>
          <w:color w:val="2F5496" w:themeColor="accent1" w:themeShade="BF"/>
        </w:rPr>
        <w:t>Valutna i kamatna struktura državnog duga</w:t>
      </w:r>
      <w:bookmarkEnd w:id="131"/>
    </w:p>
    <w:p w14:paraId="6C923D31" w14:textId="77777777" w:rsidR="00052499" w:rsidRPr="005C76C7" w:rsidRDefault="00052499" w:rsidP="005C76C7">
      <w:pPr>
        <w:jc w:val="both"/>
        <w:rPr>
          <w:rFonts w:cstheme="minorHAnsi"/>
          <w:sz w:val="24"/>
          <w:szCs w:val="24"/>
        </w:rPr>
      </w:pPr>
      <w:r w:rsidRPr="005C76C7">
        <w:rPr>
          <w:rFonts w:cstheme="minorHAnsi"/>
          <w:noProof/>
          <w:sz w:val="24"/>
          <w:szCs w:val="24"/>
          <w:lang w:val="en-GB" w:eastAsia="en-GB"/>
        </w:rPr>
        <w:drawing>
          <wp:anchor distT="0" distB="0" distL="114300" distR="114300" simplePos="0" relativeHeight="251702272" behindDoc="1" locked="0" layoutInCell="1" allowOverlap="1" wp14:anchorId="3910FA77" wp14:editId="5B657A8D">
            <wp:simplePos x="0" y="0"/>
            <wp:positionH relativeFrom="column">
              <wp:posOffset>3076575</wp:posOffset>
            </wp:positionH>
            <wp:positionV relativeFrom="paragraph">
              <wp:posOffset>107315</wp:posOffset>
            </wp:positionV>
            <wp:extent cx="2943225" cy="2524125"/>
            <wp:effectExtent l="0" t="0" r="9525" b="9525"/>
            <wp:wrapTight wrapText="bothSides">
              <wp:wrapPolygon edited="0">
                <wp:start x="0" y="0"/>
                <wp:lineTo x="0" y="21518"/>
                <wp:lineTo x="21530" y="21518"/>
                <wp:lineTo x="21530" y="0"/>
                <wp:lineTo x="0" y="0"/>
              </wp:wrapPolygon>
            </wp:wrapTight>
            <wp:docPr id="12" name="Chart 12">
              <a:extLst xmlns:a="http://schemas.openxmlformats.org/drawingml/2006/main">
                <a:ext uri="{FF2B5EF4-FFF2-40B4-BE49-F238E27FC236}">
                  <a16:creationId xmlns:a16="http://schemas.microsoft.com/office/drawing/2014/main" id="{00000000-0008-0000-06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r w:rsidRPr="005C76C7">
        <w:rPr>
          <w:rFonts w:cstheme="minorHAnsi"/>
          <w:noProof/>
          <w:sz w:val="24"/>
          <w:szCs w:val="24"/>
          <w:lang w:val="en-GB" w:eastAsia="en-GB"/>
        </w:rPr>
        <w:drawing>
          <wp:anchor distT="0" distB="0" distL="114300" distR="114300" simplePos="0" relativeHeight="251700224" behindDoc="0" locked="0" layoutInCell="1" allowOverlap="1" wp14:anchorId="5F1B4C76" wp14:editId="35513185">
            <wp:simplePos x="0" y="0"/>
            <wp:positionH relativeFrom="margin">
              <wp:posOffset>3133725</wp:posOffset>
            </wp:positionH>
            <wp:positionV relativeFrom="paragraph">
              <wp:posOffset>303530</wp:posOffset>
            </wp:positionV>
            <wp:extent cx="2657475" cy="2362200"/>
            <wp:effectExtent l="0" t="0" r="0" b="0"/>
            <wp:wrapSquare wrapText="bothSides"/>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r w:rsidRPr="005C76C7">
        <w:rPr>
          <w:rFonts w:cstheme="minorHAnsi"/>
          <w:noProof/>
          <w:sz w:val="24"/>
          <w:szCs w:val="24"/>
        </w:rPr>
        <w:t>Od</w:t>
      </w:r>
      <w:r w:rsidRPr="005C76C7">
        <w:rPr>
          <w:rFonts w:cstheme="minorHAnsi"/>
          <w:sz w:val="24"/>
          <w:szCs w:val="24"/>
        </w:rPr>
        <w:t xml:space="preserve"> ukupnog državnog duga na kraju trećeg kvartala 2023. godine, 79,92% iznosa duga izraženo je u domaćoj valuti tj. u eurima. Izlaskom iz hedžing transakcije u izvještajima o državnom dugu došlo je do povećanja vrijednosti duga prema Exim Kina banci u eurima imajući u vidu da se postojeći dolarski dug više ne prikazuje po kursu iz hedžing aranžmana od 1,18, već po tekućem (tržišnom) kursu. Ovaj porast uticao je i na valutnu strukturu duga, pa je udio eurskog duga u ukupnom državnom dugu, koji je na kraju prvog kvartala iznosio 95,58%, u drugom kvartalu značajno smanjen i iznosio je 79,68%, odnosno 79,92% na dan 30.09.2023. godine. Međutim, u ovom trenutku se ipak ne očekuju efekti valutnog rizika koji bi se mogli značajno odraziti na kretanje državnog duga. </w:t>
      </w:r>
    </w:p>
    <w:p w14:paraId="41426F65" w14:textId="77777777" w:rsidR="00052499" w:rsidRPr="005C76C7" w:rsidRDefault="00052499" w:rsidP="005C76C7">
      <w:pPr>
        <w:jc w:val="both"/>
        <w:rPr>
          <w:rFonts w:cstheme="minorHAnsi"/>
          <w:sz w:val="24"/>
          <w:szCs w:val="24"/>
        </w:rPr>
      </w:pPr>
      <w:r w:rsidRPr="005C76C7">
        <w:rPr>
          <w:rFonts w:cstheme="minorHAnsi"/>
          <w:noProof/>
          <w:sz w:val="24"/>
          <w:szCs w:val="24"/>
          <w:lang w:val="en-GB" w:eastAsia="en-GB"/>
        </w:rPr>
        <w:lastRenderedPageBreak/>
        <w:drawing>
          <wp:anchor distT="0" distB="0" distL="114300" distR="114300" simplePos="0" relativeHeight="251703296" behindDoc="1" locked="0" layoutInCell="1" allowOverlap="1" wp14:anchorId="06E58F51" wp14:editId="76B822ED">
            <wp:simplePos x="0" y="0"/>
            <wp:positionH relativeFrom="column">
              <wp:posOffset>2876550</wp:posOffset>
            </wp:positionH>
            <wp:positionV relativeFrom="paragraph">
              <wp:posOffset>133985</wp:posOffset>
            </wp:positionV>
            <wp:extent cx="3009900" cy="2305050"/>
            <wp:effectExtent l="0" t="0" r="0" b="0"/>
            <wp:wrapTight wrapText="bothSides">
              <wp:wrapPolygon edited="0">
                <wp:start x="0" y="0"/>
                <wp:lineTo x="0" y="21421"/>
                <wp:lineTo x="21463" y="21421"/>
                <wp:lineTo x="21463" y="0"/>
                <wp:lineTo x="0" y="0"/>
              </wp:wrapPolygon>
            </wp:wrapTight>
            <wp:docPr id="15" name="Chart 15">
              <a:extLst xmlns:a="http://schemas.openxmlformats.org/drawingml/2006/main">
                <a:ext uri="{FF2B5EF4-FFF2-40B4-BE49-F238E27FC236}">
                  <a16:creationId xmlns:a16="http://schemas.microsoft.com/office/drawing/2014/main" id="{00000000-0008-0000-06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V relativeFrom="margin">
              <wp14:pctHeight>0</wp14:pctHeight>
            </wp14:sizeRelV>
          </wp:anchor>
        </w:drawing>
      </w:r>
      <w:r w:rsidRPr="005C76C7">
        <w:rPr>
          <w:rFonts w:cstheme="minorHAnsi"/>
          <w:noProof/>
          <w:sz w:val="24"/>
          <w:szCs w:val="24"/>
          <w:lang w:val="en-GB" w:eastAsia="en-GB"/>
        </w:rPr>
        <w:drawing>
          <wp:anchor distT="0" distB="0" distL="114300" distR="114300" simplePos="0" relativeHeight="251701248" behindDoc="0" locked="0" layoutInCell="1" allowOverlap="1" wp14:anchorId="3698EDCF" wp14:editId="23E7F591">
            <wp:simplePos x="0" y="0"/>
            <wp:positionH relativeFrom="column">
              <wp:posOffset>3238500</wp:posOffset>
            </wp:positionH>
            <wp:positionV relativeFrom="paragraph">
              <wp:posOffset>13970</wp:posOffset>
            </wp:positionV>
            <wp:extent cx="2676525" cy="2247900"/>
            <wp:effectExtent l="0" t="0" r="0" b="0"/>
            <wp:wrapSquare wrapText="bothSides"/>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r w:rsidRPr="005C76C7">
        <w:rPr>
          <w:rFonts w:cstheme="minorHAnsi"/>
          <w:sz w:val="24"/>
          <w:szCs w:val="24"/>
        </w:rPr>
        <w:t>Ka</w:t>
      </w:r>
      <w:r w:rsidRPr="005C76C7">
        <w:rPr>
          <w:rFonts w:cstheme="minorHAnsi"/>
          <w:noProof/>
          <w:sz w:val="24"/>
          <w:szCs w:val="24"/>
        </w:rPr>
        <w:t>d</w:t>
      </w:r>
      <w:r w:rsidRPr="005C76C7">
        <w:rPr>
          <w:rFonts w:cstheme="minorHAnsi"/>
          <w:sz w:val="24"/>
          <w:szCs w:val="24"/>
        </w:rPr>
        <w:t>a je riječ o riziku promjene kamatnih stopa, u ukupnom državnom dugu preovladavaju zaduženja sa fiksnom kamatnom stopom. Međutim, imajući u vidu značajne promjene na globalnom finansijskom tržištu koje karakteriše porast kamatnih stopa, kako fiksnih tako i varijabilnih, očekuje se uticaj ovih kretanja na portfolio duga Crne Gore. Zaduženja sa varijabilnom kamatnom stopom, koja su uglavnom vezana za EURIBOR, čine 22.17% državnog duga. S toga, očekuje se porast troškova zaduživanja u narednom periodu.</w:t>
      </w:r>
    </w:p>
    <w:p w14:paraId="2CB8536E" w14:textId="77777777" w:rsidR="00052499" w:rsidRPr="005C76C7" w:rsidRDefault="00052499" w:rsidP="005C76C7">
      <w:pPr>
        <w:jc w:val="both"/>
        <w:rPr>
          <w:rFonts w:cstheme="minorHAnsi"/>
          <w:sz w:val="24"/>
          <w:szCs w:val="24"/>
          <w:lang w:val="sr-Latn-ME"/>
        </w:rPr>
      </w:pPr>
      <w:r w:rsidRPr="005C76C7">
        <w:rPr>
          <w:rFonts w:cstheme="minorHAnsi"/>
          <w:sz w:val="24"/>
          <w:szCs w:val="24"/>
        </w:rPr>
        <w:t>Agencija za kreditni rejting “Standard&amp;Poors” u izvještajima u 2023. godini potvrdila je ocjene za Crnu Goru B/B, uz stabilne izglede zemlje. Agencija za kreditni rejting “Moody's'' takođe je potvrdila stabilne izglede Crne Gore, uz zadržavanje ocjene B1 i zadržavajući "pozitivne" izglede, zbog visokog BDP-a po glavi stanovnika, optimističnih izgleda za pristupanje EU i snažnog trenda ulaganja sa fokusom na direktne strane investicije.</w:t>
      </w:r>
    </w:p>
    <w:p w14:paraId="36655F5B" w14:textId="77777777" w:rsidR="00052499" w:rsidRPr="005C76C7" w:rsidRDefault="00052499" w:rsidP="00052499">
      <w:pPr>
        <w:pStyle w:val="Heading3"/>
        <w:rPr>
          <w:rFonts w:asciiTheme="minorHAnsi" w:hAnsiTheme="minorHAnsi" w:cstheme="minorHAnsi"/>
          <w:b/>
          <w:color w:val="2F5496" w:themeColor="accent1" w:themeShade="BF"/>
          <w:lang w:val="sr-Latn-ME"/>
        </w:rPr>
      </w:pPr>
      <w:bookmarkStart w:id="132" w:name="_Toc153305354"/>
      <w:r w:rsidRPr="005C76C7">
        <w:rPr>
          <w:rFonts w:asciiTheme="minorHAnsi" w:hAnsiTheme="minorHAnsi" w:cstheme="minorHAnsi"/>
          <w:b/>
          <w:color w:val="2F5496" w:themeColor="accent1" w:themeShade="BF"/>
          <w:lang w:val="sr-Latn-ME"/>
        </w:rPr>
        <w:t>Upravljanje dugom tokom 2023. godine</w:t>
      </w:r>
      <w:bookmarkEnd w:id="132"/>
    </w:p>
    <w:p w14:paraId="6A07E8F8" w14:textId="77777777" w:rsidR="00052499" w:rsidRPr="005C76C7" w:rsidRDefault="00052499" w:rsidP="005C76C7">
      <w:pPr>
        <w:jc w:val="both"/>
        <w:rPr>
          <w:rFonts w:cstheme="minorHAnsi"/>
          <w:sz w:val="24"/>
          <w:szCs w:val="24"/>
        </w:rPr>
      </w:pPr>
      <w:r w:rsidRPr="005C76C7">
        <w:rPr>
          <w:rFonts w:cstheme="minorHAnsi"/>
          <w:sz w:val="24"/>
          <w:szCs w:val="24"/>
        </w:rPr>
        <w:t>Vlada Crne Gore je 2018. godine donijela srednjoročnu startegiju za upravljanje dugom koja je pokrivala period 2018-2020. godine. Tom prilikom su utvrđene osnovne smjenice za dugoročno upravljanje dugom, a koje su proizašle iz tadašnje strukture duga. Osnovne smjernice su se odnosile na:</w:t>
      </w:r>
    </w:p>
    <w:p w14:paraId="4C8153CD" w14:textId="77777777" w:rsidR="00052499" w:rsidRPr="005C76C7" w:rsidRDefault="00052499" w:rsidP="005C76C7">
      <w:pPr>
        <w:pStyle w:val="ListParagraph"/>
        <w:numPr>
          <w:ilvl w:val="0"/>
          <w:numId w:val="64"/>
        </w:numPr>
        <w:spacing w:after="120"/>
        <w:contextualSpacing w:val="0"/>
        <w:jc w:val="both"/>
        <w:rPr>
          <w:rFonts w:cstheme="minorHAnsi"/>
          <w:sz w:val="24"/>
          <w:szCs w:val="24"/>
        </w:rPr>
      </w:pPr>
      <w:r w:rsidRPr="005C76C7">
        <w:rPr>
          <w:rFonts w:cstheme="minorHAnsi"/>
          <w:sz w:val="24"/>
          <w:szCs w:val="24"/>
        </w:rPr>
        <w:t>ujednačavanje profila otplate duga po godinama i produžavanje ročnosti komercijalnog duga;</w:t>
      </w:r>
    </w:p>
    <w:p w14:paraId="1878B3EB" w14:textId="77777777" w:rsidR="00052499" w:rsidRPr="005C76C7" w:rsidRDefault="00052499" w:rsidP="005C76C7">
      <w:pPr>
        <w:pStyle w:val="ListParagraph"/>
        <w:numPr>
          <w:ilvl w:val="0"/>
          <w:numId w:val="64"/>
        </w:numPr>
        <w:spacing w:after="120"/>
        <w:contextualSpacing w:val="0"/>
        <w:jc w:val="both"/>
        <w:rPr>
          <w:rFonts w:cstheme="minorHAnsi"/>
          <w:sz w:val="24"/>
          <w:szCs w:val="24"/>
        </w:rPr>
      </w:pPr>
      <w:r w:rsidRPr="005C76C7">
        <w:rPr>
          <w:rFonts w:cstheme="minorHAnsi"/>
          <w:sz w:val="24"/>
          <w:szCs w:val="24"/>
        </w:rPr>
        <w:t>upravljanje valutnim rizikom i rizikom kamatnih stopa;</w:t>
      </w:r>
    </w:p>
    <w:p w14:paraId="699B0D0B" w14:textId="77777777" w:rsidR="00052499" w:rsidRPr="005C76C7" w:rsidRDefault="00052499" w:rsidP="005C76C7">
      <w:pPr>
        <w:pStyle w:val="ListParagraph"/>
        <w:numPr>
          <w:ilvl w:val="0"/>
          <w:numId w:val="64"/>
        </w:numPr>
        <w:spacing w:after="120"/>
        <w:contextualSpacing w:val="0"/>
        <w:jc w:val="both"/>
        <w:rPr>
          <w:rFonts w:cstheme="minorHAnsi"/>
          <w:sz w:val="24"/>
          <w:szCs w:val="24"/>
        </w:rPr>
      </w:pPr>
      <w:r w:rsidRPr="005C76C7">
        <w:rPr>
          <w:rFonts w:cstheme="minorHAnsi"/>
          <w:sz w:val="24"/>
          <w:szCs w:val="24"/>
        </w:rPr>
        <w:t>postepeni razvoj domaćeg tržišta državnih hartija od vrijednosti, kao i</w:t>
      </w:r>
    </w:p>
    <w:p w14:paraId="7C50548E" w14:textId="77777777" w:rsidR="00052499" w:rsidRPr="005C76C7" w:rsidRDefault="00052499" w:rsidP="005C76C7">
      <w:pPr>
        <w:pStyle w:val="ListParagraph"/>
        <w:numPr>
          <w:ilvl w:val="0"/>
          <w:numId w:val="64"/>
        </w:numPr>
        <w:spacing w:after="120"/>
        <w:contextualSpacing w:val="0"/>
        <w:jc w:val="both"/>
        <w:rPr>
          <w:rFonts w:cstheme="minorHAnsi"/>
          <w:sz w:val="24"/>
          <w:szCs w:val="24"/>
        </w:rPr>
      </w:pPr>
      <w:r w:rsidRPr="005C76C7">
        <w:rPr>
          <w:rFonts w:cstheme="minorHAnsi"/>
          <w:sz w:val="24"/>
          <w:szCs w:val="24"/>
        </w:rPr>
        <w:t>minimiziranje troškova zaduživanja.</w:t>
      </w:r>
    </w:p>
    <w:p w14:paraId="30C8CB91" w14:textId="77777777" w:rsidR="00052499" w:rsidRPr="005C76C7" w:rsidRDefault="00052499" w:rsidP="005C76C7">
      <w:pPr>
        <w:jc w:val="both"/>
        <w:rPr>
          <w:rFonts w:cstheme="minorHAnsi"/>
          <w:sz w:val="24"/>
          <w:szCs w:val="24"/>
        </w:rPr>
      </w:pPr>
      <w:r w:rsidRPr="005C76C7">
        <w:rPr>
          <w:rFonts w:cstheme="minorHAnsi"/>
          <w:sz w:val="24"/>
          <w:szCs w:val="24"/>
        </w:rPr>
        <w:t xml:space="preserve">Pomenute smjenice korišćene su za definisanje pravaca upravljanja dugom, ne samo u periodu važenja Srednjoročne strategije upravljanja dugom 2018-2020, već i u kasnijem periodu čineći osnove po kojima se postupalo u procesu upravljanja dugom. Važna obilježja prethodne tri godine kao što su pandemija COVID 19, promjenljive političke prilike u Crnoj Gori, te opšti globalni poremećaji na finansijskom tržištu uzrokovali su da novi dokument stetegije upravljanja dugom nije donijet, međutim samo upravljanje dugom se orijentisalo prema gore pomenutim smjernicama, imajući u vidu da su osnovne karateristike portfolija duga veoma slične onima koje su važile npr. 2018. i 2019. godine, pa se čini da je svaka od smjernica aktuelnija nego ikad. </w:t>
      </w:r>
    </w:p>
    <w:p w14:paraId="22363672" w14:textId="77777777" w:rsidR="00052499" w:rsidRPr="005C76C7" w:rsidRDefault="00052499" w:rsidP="005C76C7">
      <w:pPr>
        <w:jc w:val="both"/>
        <w:rPr>
          <w:rFonts w:cstheme="minorHAnsi"/>
          <w:sz w:val="24"/>
          <w:szCs w:val="24"/>
          <w:lang w:val="sr-Latn-ME" w:eastAsia="en-GB"/>
        </w:rPr>
      </w:pPr>
      <w:r w:rsidRPr="005C76C7">
        <w:rPr>
          <w:rFonts w:cstheme="minorHAnsi"/>
          <w:sz w:val="24"/>
          <w:szCs w:val="24"/>
          <w:lang w:val="sr-Latn-ME" w:eastAsia="en-GB"/>
        </w:rPr>
        <w:lastRenderedPageBreak/>
        <w:t>Naime, ukoliko se uzme u obzir činjenica da će, 2025, 2027. i 2029. godine dospjeti obaveze po osnovu euroobveznica u ukupnom iznosu od 1.750,00 miliona eura  (2025. godine dospijeva 500 miliona eura, 2027. godine dospijeva 750 miliona eura  i 2029. godine dospijeva 500 miliona eura) prva smjernica vezana za ujednačavanje profila otplate duga, u cilju smanjenja pritiska na pojedine godine, zahtijevaće aktivno upravljanje predmetnih obavezama, kroz instrument operacija upravljanja obavezama (liability management operation-LMO), slično onom koji je sproveden 2018. godine. Naime, 2018. godine emisijom euroobveznica od 500 miliona eura, po kamatnoj stopi od 3,375% na period od 7 godina, izvršeno djelimično refinansiranje obveznica koje su dospijevale 2019, 2020. i 2021. godine u ukupnom iznosu od oko 362 miliona eura, pa su pojedinačne otplate po osnovu ovih euroobveznica smanjene, čime je olakšana otplata duga u narednim godinama.</w:t>
      </w:r>
      <w:r w:rsidRPr="005C76C7">
        <w:rPr>
          <w:rStyle w:val="FootnoteReference"/>
          <w:rFonts w:eastAsia="Calibri" w:cstheme="minorHAnsi"/>
          <w:sz w:val="24"/>
          <w:szCs w:val="24"/>
          <w:lang w:val="sr-Latn-ME" w:eastAsia="en-GB"/>
        </w:rPr>
        <w:footnoteReference w:id="21"/>
      </w:r>
      <w:r w:rsidRPr="005C76C7">
        <w:rPr>
          <w:rFonts w:cstheme="minorHAnsi"/>
          <w:sz w:val="24"/>
          <w:szCs w:val="24"/>
          <w:lang w:val="sr-Latn-ME" w:eastAsia="en-GB"/>
        </w:rPr>
        <w:t xml:space="preserve"> Osim toga u 2018. i 2020. godini zaključeni su kreditni aranžmani podržani garancijom Svjetske banke zasnovanoj na javnim politikama (Policy Based Guarantee-PBG) koji su zaključeni na period od 12 godina, utičući time kako na ujednačavanje otplate duga, tako i na na produžetak prosječne ročnosti duga. </w:t>
      </w:r>
    </w:p>
    <w:p w14:paraId="14D372CE" w14:textId="77777777" w:rsidR="00052499" w:rsidRPr="005C76C7" w:rsidRDefault="00052499" w:rsidP="005C76C7">
      <w:pPr>
        <w:jc w:val="both"/>
        <w:rPr>
          <w:rFonts w:cstheme="minorHAnsi"/>
          <w:sz w:val="24"/>
          <w:szCs w:val="24"/>
          <w:lang w:val="sr-Latn-ME" w:eastAsia="en-GB"/>
        </w:rPr>
      </w:pPr>
      <w:r w:rsidRPr="005C76C7">
        <w:rPr>
          <w:rFonts w:cstheme="minorHAnsi"/>
          <w:sz w:val="24"/>
          <w:szCs w:val="24"/>
        </w:rPr>
        <w:t>Takođe, oslanjajući se na strategiju i neophodnost upravljanja valutnim rizikom i rizikom kamatnih stopa, u okviru druge smjernice strateškog upravljanja dugom, 2021. godine realizovan je hedžing aranžman putem uanrskog valutnog svopa (cross currency swap) za kreditni aranžman sa Exim Kina bankom. Tada je “hedžovano” 818 miliona USD, putem unakrsnog valutnog svopa, koji podrazumijeva razmjenu eurskih i dolarskih gotovinskih tokova između partnerskih banaka i Ministarstva finansija. Transakcija je zaključena na period od 14 godina po prosječnoj eurskoj kamatnoj stopi od 0,88% i prosječnom ugovorenom deviznom kursu USD/EUR 1,18. Važno je naglasiti da su svi bankarski troškovi za ovu transakciju bili uključeni u pomenutu eursku kamatnu stopu, koja je predstavljala cijenu izloženosti banaka prema Crnoj Gori</w:t>
      </w:r>
      <w:r w:rsidRPr="005C76C7">
        <w:rPr>
          <w:rFonts w:cstheme="minorHAnsi"/>
          <w:sz w:val="24"/>
          <w:szCs w:val="24"/>
          <w:lang w:val="sr-Latn-ME"/>
        </w:rPr>
        <w:t>.</w:t>
      </w:r>
    </w:p>
    <w:p w14:paraId="0EE815F1" w14:textId="77777777" w:rsidR="00052499" w:rsidRPr="005C76C7" w:rsidRDefault="00052499" w:rsidP="005C76C7">
      <w:pPr>
        <w:jc w:val="both"/>
        <w:rPr>
          <w:rFonts w:cstheme="minorHAnsi"/>
          <w:sz w:val="24"/>
          <w:szCs w:val="24"/>
          <w:lang w:val="sr-Latn-ME"/>
        </w:rPr>
      </w:pPr>
      <w:r w:rsidRPr="005C76C7">
        <w:rPr>
          <w:rFonts w:cstheme="minorHAnsi"/>
          <w:sz w:val="24"/>
          <w:szCs w:val="24"/>
          <w:lang w:val="sr-Latn-ME"/>
        </w:rPr>
        <w:t xml:space="preserve">Osim što je značio obezbjeđenje od valutnog rizika, što mu je bio primarni cilj, pomenuti hedžing aranžman doprinio je da se kamatna stopa od 2% na dolarski dug, zamijeni eurskom kamatnom stopom od 0,88% što je uticalo na smanjenje prosječne ponederisane kamatne stope za 2021. godinu (Grafik 1) i dovelo do ušteda prilikom obezbjeđenja američkih dolara za otplatu duga u ukupnom iznosu od 23,72 miliona eura. Osim toga hedžing transakcija uticala je i na valutnu strukturu duga, što se može vidjeti u objašnjenju za grafik 3 u prethodnom tekstu. </w:t>
      </w:r>
    </w:p>
    <w:p w14:paraId="789E6E80" w14:textId="77777777" w:rsidR="00052499" w:rsidRPr="005C76C7" w:rsidRDefault="00052499" w:rsidP="005C76C7">
      <w:pPr>
        <w:jc w:val="both"/>
        <w:rPr>
          <w:rFonts w:cstheme="minorHAnsi"/>
          <w:sz w:val="24"/>
          <w:szCs w:val="24"/>
          <w:lang w:val="sr-Latn-ME"/>
        </w:rPr>
      </w:pPr>
      <w:r w:rsidRPr="005C76C7">
        <w:rPr>
          <w:rFonts w:cstheme="minorHAnsi"/>
          <w:sz w:val="24"/>
          <w:szCs w:val="24"/>
          <w:lang w:val="sr-Latn-ME"/>
        </w:rPr>
        <w:t xml:space="preserve">Pomenute operacije doprinijele su poboljšanju kvaliteta duga na način što je produžena prosječna ročnost duga i poboljšana prosječna ponderisana kamatna stopa, što se može vidjeti na graficima 5 i 6.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754"/>
      </w:tblGrid>
      <w:tr w:rsidR="00052499" w:rsidRPr="005C76C7" w14:paraId="2F201427" w14:textId="77777777" w:rsidTr="00052499">
        <w:trPr>
          <w:trHeight w:val="3023"/>
        </w:trPr>
        <w:tc>
          <w:tcPr>
            <w:tcW w:w="4675" w:type="dxa"/>
          </w:tcPr>
          <w:p w14:paraId="71022E4A" w14:textId="77777777" w:rsidR="00052499" w:rsidRPr="005C76C7" w:rsidRDefault="00052499" w:rsidP="005C76C7">
            <w:pPr>
              <w:jc w:val="both"/>
              <w:rPr>
                <w:rFonts w:cstheme="minorHAnsi"/>
                <w:sz w:val="24"/>
                <w:szCs w:val="24"/>
                <w:lang w:val="sr-Latn-ME"/>
              </w:rPr>
            </w:pPr>
            <w:r w:rsidRPr="005C76C7">
              <w:rPr>
                <w:rFonts w:cstheme="minorHAnsi"/>
                <w:noProof/>
                <w:sz w:val="24"/>
                <w:szCs w:val="24"/>
                <w:lang w:val="en-GB" w:eastAsia="en-GB"/>
              </w:rPr>
              <w:lastRenderedPageBreak/>
              <w:drawing>
                <wp:inline distT="0" distB="0" distL="0" distR="0" wp14:anchorId="14C48D93" wp14:editId="53780855">
                  <wp:extent cx="2809875" cy="1847850"/>
                  <wp:effectExtent l="0" t="0" r="9525" b="0"/>
                  <wp:docPr id="16" name="Chart 16">
                    <a:extLst xmlns:a="http://schemas.openxmlformats.org/drawingml/2006/main">
                      <a:ext uri="{FF2B5EF4-FFF2-40B4-BE49-F238E27FC236}">
                        <a16:creationId xmlns:a16="http://schemas.microsoft.com/office/drawing/2014/main" id="{00000000-0008-0000-06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c>
        <w:tc>
          <w:tcPr>
            <w:tcW w:w="4675" w:type="dxa"/>
          </w:tcPr>
          <w:p w14:paraId="7BB6CE95" w14:textId="77777777" w:rsidR="00052499" w:rsidRPr="005C76C7" w:rsidRDefault="00052499" w:rsidP="005C76C7">
            <w:pPr>
              <w:jc w:val="both"/>
              <w:rPr>
                <w:rFonts w:cstheme="minorHAnsi"/>
                <w:sz w:val="24"/>
                <w:szCs w:val="24"/>
                <w:lang w:val="sr-Latn-ME"/>
              </w:rPr>
            </w:pPr>
            <w:r w:rsidRPr="005C76C7">
              <w:rPr>
                <w:rFonts w:cstheme="minorHAnsi"/>
                <w:noProof/>
                <w:sz w:val="24"/>
                <w:szCs w:val="24"/>
                <w:lang w:val="en-GB" w:eastAsia="en-GB"/>
              </w:rPr>
              <w:drawing>
                <wp:inline distT="0" distB="0" distL="0" distR="0" wp14:anchorId="3EE48D1B" wp14:editId="610611AF">
                  <wp:extent cx="2905125" cy="1828800"/>
                  <wp:effectExtent l="0" t="0" r="9525" b="0"/>
                  <wp:docPr id="18" name="Chart 18">
                    <a:extLst xmlns:a="http://schemas.openxmlformats.org/drawingml/2006/main">
                      <a:ext uri="{FF2B5EF4-FFF2-40B4-BE49-F238E27FC236}">
                        <a16:creationId xmlns:a16="http://schemas.microsoft.com/office/drawing/2014/main" id="{00000000-0008-0000-06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r>
    </w:tbl>
    <w:p w14:paraId="7CB1F6E7" w14:textId="77777777" w:rsidR="00052499" w:rsidRPr="005C76C7" w:rsidRDefault="00052499" w:rsidP="005C76C7">
      <w:pPr>
        <w:spacing w:after="0"/>
        <w:jc w:val="both"/>
        <w:rPr>
          <w:rFonts w:cstheme="minorHAnsi"/>
          <w:sz w:val="24"/>
          <w:szCs w:val="24"/>
          <w:lang w:val="sr-Latn-ME"/>
        </w:rPr>
      </w:pPr>
    </w:p>
    <w:p w14:paraId="5259FAD9" w14:textId="77777777" w:rsidR="00052499" w:rsidRPr="005C76C7" w:rsidRDefault="00052499" w:rsidP="000F2683">
      <w:pPr>
        <w:spacing w:after="120"/>
        <w:jc w:val="both"/>
        <w:rPr>
          <w:rFonts w:cstheme="minorHAnsi"/>
          <w:sz w:val="24"/>
          <w:szCs w:val="24"/>
          <w:lang w:val="sr-Latn-ME"/>
        </w:rPr>
      </w:pPr>
      <w:r w:rsidRPr="005C76C7">
        <w:rPr>
          <w:rFonts w:cstheme="minorHAnsi"/>
          <w:sz w:val="24"/>
          <w:szCs w:val="24"/>
          <w:lang w:val="sr-Latn-ME"/>
        </w:rPr>
        <w:t xml:space="preserve">Zbog smanjene potrebe za zaduživanjem tokom perioda 2020-2022. godine, tokom kojih je se dešavala redovna otplata duga koja je skraćivala ročnost duga za po jednu godinu, kao i povećanje kamatnih stopa usled poremećaja na finansijskom tržištu koje je uslovilo povećanje kamatnih stopa (prije svega euribora koji je praktično do kraja 2022. godine imao netivnu vrijednost), došlo je do skraćenja prosječne ročnosti duga, a očekuje se i značajnije povećanje prosječne ponderisane kamatne stope.   </w:t>
      </w:r>
    </w:p>
    <w:p w14:paraId="60F92548" w14:textId="77777777" w:rsidR="00052499" w:rsidRPr="005C76C7" w:rsidRDefault="00052499" w:rsidP="000F2683">
      <w:pPr>
        <w:spacing w:after="120"/>
        <w:jc w:val="both"/>
        <w:rPr>
          <w:rFonts w:cstheme="minorHAnsi"/>
          <w:sz w:val="24"/>
          <w:szCs w:val="24"/>
          <w:lang w:val="sr-Latn-ME"/>
        </w:rPr>
      </w:pPr>
      <w:r w:rsidRPr="005C76C7">
        <w:rPr>
          <w:rFonts w:cstheme="minorHAnsi"/>
          <w:sz w:val="24"/>
          <w:szCs w:val="24"/>
          <w:lang w:val="sr-Latn-ME"/>
        </w:rPr>
        <w:t xml:space="preserve">U skladu sa tim, opšte smjernice za dugoročno upravljanje dugom, pomenute na početku ovog odjeljka, ponovo će doći do izražaja u cilju iznalaženja rješenja koja će omogućiti efikasno upravljanje dugom i unapređenje parametaka kvaliteta duga. </w:t>
      </w:r>
    </w:p>
    <w:p w14:paraId="51181BD0" w14:textId="77777777" w:rsidR="00052499" w:rsidRPr="005C76C7" w:rsidRDefault="00052499" w:rsidP="00052499">
      <w:pPr>
        <w:pStyle w:val="Heading3"/>
        <w:rPr>
          <w:rFonts w:asciiTheme="minorHAnsi" w:hAnsiTheme="minorHAnsi" w:cstheme="minorHAnsi"/>
          <w:b/>
          <w:noProof/>
          <w:color w:val="2F5496" w:themeColor="accent1" w:themeShade="BF"/>
        </w:rPr>
      </w:pPr>
      <w:bookmarkStart w:id="133" w:name="_Toc153305355"/>
      <w:r w:rsidRPr="005C76C7">
        <w:rPr>
          <w:rFonts w:asciiTheme="minorHAnsi" w:hAnsiTheme="minorHAnsi" w:cstheme="minorHAnsi"/>
          <w:b/>
          <w:noProof/>
          <w:color w:val="2F5496" w:themeColor="accent1" w:themeShade="BF"/>
        </w:rPr>
        <w:t>Osnovni scenario kretanja državnog duga u periodu 2024-2026</w:t>
      </w:r>
      <w:bookmarkEnd w:id="133"/>
    </w:p>
    <w:p w14:paraId="24EFE08B" w14:textId="77777777" w:rsidR="00052499" w:rsidRPr="005C76C7" w:rsidRDefault="00052499" w:rsidP="000F2683">
      <w:pPr>
        <w:spacing w:after="120"/>
        <w:jc w:val="both"/>
        <w:rPr>
          <w:rFonts w:cstheme="minorHAnsi"/>
          <w:sz w:val="24"/>
          <w:szCs w:val="24"/>
          <w:lang w:val="sr-Latn-ME"/>
        </w:rPr>
      </w:pPr>
      <w:r w:rsidRPr="005C76C7">
        <w:rPr>
          <w:rFonts w:cstheme="minorHAnsi"/>
          <w:sz w:val="24"/>
          <w:szCs w:val="24"/>
          <w:lang w:val="sr-Latn-ME"/>
        </w:rPr>
        <w:t xml:space="preserve">U 2024. godini nedostajuća sredstva iznosiće oko 765 mil. eura, za koje je planirano da budu pokrivene dijelom iz depozita ostvarenih u 2023. godini, a dijelom iz kreditnih zaduženja na inostranom i domaćem tržištu. </w:t>
      </w:r>
    </w:p>
    <w:p w14:paraId="133B4D30" w14:textId="77777777" w:rsidR="000F2683" w:rsidRDefault="00052499" w:rsidP="000F2683">
      <w:pPr>
        <w:spacing w:after="120"/>
        <w:jc w:val="both"/>
        <w:rPr>
          <w:rFonts w:cstheme="minorHAnsi"/>
          <w:sz w:val="24"/>
          <w:szCs w:val="24"/>
          <w:lang w:val="sr-Latn-ME"/>
        </w:rPr>
      </w:pPr>
      <w:r w:rsidRPr="005C76C7">
        <w:rPr>
          <w:rFonts w:cstheme="minorHAnsi"/>
          <w:sz w:val="24"/>
          <w:szCs w:val="24"/>
          <w:lang w:val="sr-Latn-ME"/>
        </w:rPr>
        <w:t xml:space="preserve">U 2024. godini, očekuje se povećanje duga u apsolutnom iznosu odnosu na 2023. godinu, kao i u odnosu na BDP, usled činjenice da je procijenjeni BDP za 2024. godinu veći za oko 409,66 miliona eura u odnosu na BDP iz 2023. godine. Očekuje se da će državni dug na kraju 2024. godine iznositi 60,61%  BDP-a, dok se očekuje da će javni dug iznositi oko 61,62 % BDP-a.  Projekcija kretanja duga u periodu 2024-2026. godine može biti prikazana na sledeći način. </w:t>
      </w:r>
    </w:p>
    <w:p w14:paraId="2A5A5F09" w14:textId="0BB3FE9C" w:rsidR="00052499" w:rsidRPr="005C76C7" w:rsidRDefault="00052499" w:rsidP="000F2683">
      <w:pPr>
        <w:spacing w:after="120"/>
        <w:jc w:val="both"/>
        <w:rPr>
          <w:rFonts w:cstheme="minorHAnsi"/>
          <w:b/>
          <w:color w:val="2F5496" w:themeColor="accent1" w:themeShade="BF"/>
          <w:sz w:val="20"/>
          <w:szCs w:val="20"/>
        </w:rPr>
      </w:pPr>
      <w:r w:rsidRPr="005C76C7">
        <w:rPr>
          <w:rFonts w:cstheme="minorHAnsi"/>
          <w:b/>
          <w:color w:val="2F5496" w:themeColor="accent1" w:themeShade="BF"/>
          <w:sz w:val="20"/>
          <w:szCs w:val="20"/>
        </w:rPr>
        <w:t>Tabela 5 Kretanje državnog i javnog duga za period 2024-2026 - osnovni scenario</w:t>
      </w:r>
    </w:p>
    <w:tbl>
      <w:tblPr>
        <w:tblStyle w:val="GridTable2-Accent2"/>
        <w:tblW w:w="5000" w:type="pct"/>
        <w:tblLayout w:type="fixed"/>
        <w:tblLook w:val="04A0" w:firstRow="1" w:lastRow="0" w:firstColumn="1" w:lastColumn="0" w:noHBand="0" w:noVBand="1"/>
      </w:tblPr>
      <w:tblGrid>
        <w:gridCol w:w="4401"/>
        <w:gridCol w:w="1312"/>
        <w:gridCol w:w="1217"/>
        <w:gridCol w:w="1215"/>
        <w:gridCol w:w="1215"/>
      </w:tblGrid>
      <w:tr w:rsidR="00052499" w:rsidRPr="005C76C7" w14:paraId="3FAEAC9A" w14:textId="77777777" w:rsidTr="000524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1" w:type="pct"/>
            <w:noWrap/>
            <w:hideMark/>
          </w:tcPr>
          <w:p w14:paraId="67FC9A75" w14:textId="77777777" w:rsidR="00052499" w:rsidRPr="005C76C7" w:rsidRDefault="00052499" w:rsidP="00052499">
            <w:pPr>
              <w:rPr>
                <w:rFonts w:eastAsia="Times New Roman" w:cstheme="minorHAnsi"/>
                <w:b w:val="0"/>
                <w:bCs w:val="0"/>
                <w:sz w:val="20"/>
                <w:szCs w:val="20"/>
                <w:lang w:val="en-GB" w:eastAsia="en-GB"/>
              </w:rPr>
            </w:pPr>
          </w:p>
        </w:tc>
        <w:tc>
          <w:tcPr>
            <w:tcW w:w="701" w:type="pct"/>
            <w:noWrap/>
            <w:hideMark/>
          </w:tcPr>
          <w:p w14:paraId="60BE7190" w14:textId="77777777" w:rsidR="00052499" w:rsidRPr="005C76C7" w:rsidRDefault="00052499" w:rsidP="00052499">
            <w:pPr>
              <w:jc w:val="right"/>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20"/>
                <w:szCs w:val="20"/>
                <w:lang w:val="en-GB" w:eastAsia="en-GB"/>
              </w:rPr>
            </w:pPr>
            <w:r w:rsidRPr="005C76C7">
              <w:rPr>
                <w:rFonts w:cstheme="minorHAnsi"/>
                <w:sz w:val="20"/>
                <w:szCs w:val="20"/>
              </w:rPr>
              <w:t>2023</w:t>
            </w:r>
          </w:p>
        </w:tc>
        <w:tc>
          <w:tcPr>
            <w:tcW w:w="650" w:type="pct"/>
            <w:noWrap/>
            <w:hideMark/>
          </w:tcPr>
          <w:p w14:paraId="05179335" w14:textId="77777777" w:rsidR="00052499" w:rsidRPr="005C76C7" w:rsidRDefault="00052499" w:rsidP="00052499">
            <w:pPr>
              <w:jc w:val="right"/>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20"/>
                <w:szCs w:val="20"/>
                <w:lang w:val="en-GB" w:eastAsia="en-GB"/>
              </w:rPr>
            </w:pPr>
            <w:r w:rsidRPr="005C76C7">
              <w:rPr>
                <w:rFonts w:cstheme="minorHAnsi"/>
                <w:sz w:val="20"/>
                <w:szCs w:val="20"/>
              </w:rPr>
              <w:t>2024</w:t>
            </w:r>
          </w:p>
        </w:tc>
        <w:tc>
          <w:tcPr>
            <w:tcW w:w="649" w:type="pct"/>
            <w:noWrap/>
            <w:hideMark/>
          </w:tcPr>
          <w:p w14:paraId="74770F53" w14:textId="77777777" w:rsidR="00052499" w:rsidRPr="005C76C7" w:rsidRDefault="00052499" w:rsidP="00052499">
            <w:pPr>
              <w:jc w:val="right"/>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20"/>
                <w:szCs w:val="20"/>
                <w:lang w:val="en-GB" w:eastAsia="en-GB"/>
              </w:rPr>
            </w:pPr>
            <w:r w:rsidRPr="005C76C7">
              <w:rPr>
                <w:rFonts w:cstheme="minorHAnsi"/>
                <w:sz w:val="20"/>
                <w:szCs w:val="20"/>
              </w:rPr>
              <w:t>2025</w:t>
            </w:r>
          </w:p>
        </w:tc>
        <w:tc>
          <w:tcPr>
            <w:tcW w:w="649" w:type="pct"/>
          </w:tcPr>
          <w:p w14:paraId="1693D067" w14:textId="77777777" w:rsidR="00052499" w:rsidRPr="005C76C7" w:rsidRDefault="00052499" w:rsidP="00052499">
            <w:pPr>
              <w:jc w:val="right"/>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5C76C7">
              <w:rPr>
                <w:rFonts w:cstheme="minorHAnsi"/>
                <w:sz w:val="20"/>
                <w:szCs w:val="20"/>
              </w:rPr>
              <w:t>2026</w:t>
            </w:r>
          </w:p>
        </w:tc>
      </w:tr>
      <w:tr w:rsidR="00052499" w:rsidRPr="005C76C7" w14:paraId="5F6683A3" w14:textId="77777777" w:rsidTr="000524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1" w:type="pct"/>
            <w:noWrap/>
            <w:hideMark/>
          </w:tcPr>
          <w:p w14:paraId="2B2057BA" w14:textId="77777777" w:rsidR="00052499" w:rsidRPr="005C76C7" w:rsidRDefault="00052499" w:rsidP="00052499">
            <w:pPr>
              <w:rPr>
                <w:rFonts w:eastAsia="Times New Roman" w:cstheme="minorHAnsi"/>
                <w:sz w:val="20"/>
                <w:szCs w:val="20"/>
                <w:lang w:val="en-GB" w:eastAsia="en-GB"/>
              </w:rPr>
            </w:pPr>
            <w:r w:rsidRPr="005C76C7">
              <w:rPr>
                <w:rFonts w:cstheme="minorHAnsi"/>
                <w:sz w:val="20"/>
                <w:szCs w:val="20"/>
              </w:rPr>
              <w:t>bdp</w:t>
            </w:r>
          </w:p>
        </w:tc>
        <w:tc>
          <w:tcPr>
            <w:tcW w:w="701" w:type="pct"/>
            <w:noWrap/>
            <w:hideMark/>
          </w:tcPr>
          <w:p w14:paraId="12D254DD" w14:textId="77777777" w:rsidR="00052499" w:rsidRPr="005C76C7" w:rsidRDefault="00052499" w:rsidP="00052499">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GB" w:eastAsia="en-GB"/>
              </w:rPr>
            </w:pPr>
            <w:r w:rsidRPr="005C76C7">
              <w:rPr>
                <w:rFonts w:cstheme="minorHAnsi"/>
                <w:sz w:val="20"/>
                <w:szCs w:val="20"/>
              </w:rPr>
              <w:t>6,624.34</w:t>
            </w:r>
          </w:p>
        </w:tc>
        <w:tc>
          <w:tcPr>
            <w:tcW w:w="650" w:type="pct"/>
            <w:noWrap/>
            <w:hideMark/>
          </w:tcPr>
          <w:p w14:paraId="2A0E510B" w14:textId="77777777" w:rsidR="00052499" w:rsidRPr="005C76C7" w:rsidRDefault="00052499" w:rsidP="00052499">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GB" w:eastAsia="en-GB"/>
              </w:rPr>
            </w:pPr>
            <w:r w:rsidRPr="005C76C7">
              <w:rPr>
                <w:rFonts w:cstheme="minorHAnsi"/>
                <w:sz w:val="20"/>
                <w:szCs w:val="20"/>
              </w:rPr>
              <w:t>7,034.00</w:t>
            </w:r>
          </w:p>
        </w:tc>
        <w:tc>
          <w:tcPr>
            <w:tcW w:w="649" w:type="pct"/>
            <w:noWrap/>
            <w:hideMark/>
          </w:tcPr>
          <w:p w14:paraId="0247D3AA" w14:textId="77777777" w:rsidR="00052499" w:rsidRPr="005C76C7" w:rsidRDefault="00052499" w:rsidP="00052499">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GB" w:eastAsia="en-GB"/>
              </w:rPr>
            </w:pPr>
            <w:r w:rsidRPr="005C76C7">
              <w:rPr>
                <w:rFonts w:cstheme="minorHAnsi"/>
                <w:sz w:val="20"/>
                <w:szCs w:val="20"/>
              </w:rPr>
              <w:t>7,424.50</w:t>
            </w:r>
          </w:p>
        </w:tc>
        <w:tc>
          <w:tcPr>
            <w:tcW w:w="649" w:type="pct"/>
          </w:tcPr>
          <w:p w14:paraId="188FCADF" w14:textId="77777777" w:rsidR="00052499" w:rsidRPr="005C76C7" w:rsidRDefault="00052499" w:rsidP="00052499">
            <w:pPr>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5C76C7">
              <w:rPr>
                <w:rFonts w:cstheme="minorHAnsi"/>
                <w:sz w:val="20"/>
                <w:szCs w:val="20"/>
              </w:rPr>
              <w:t>7,782.56</w:t>
            </w:r>
          </w:p>
        </w:tc>
      </w:tr>
      <w:tr w:rsidR="00052499" w:rsidRPr="005C76C7" w14:paraId="2CCE87A0" w14:textId="77777777" w:rsidTr="00052499">
        <w:tc>
          <w:tcPr>
            <w:cnfStyle w:val="001000000000" w:firstRow="0" w:lastRow="0" w:firstColumn="1" w:lastColumn="0" w:oddVBand="0" w:evenVBand="0" w:oddHBand="0" w:evenHBand="0" w:firstRowFirstColumn="0" w:firstRowLastColumn="0" w:lastRowFirstColumn="0" w:lastRowLastColumn="0"/>
            <w:tcW w:w="2351" w:type="pct"/>
            <w:noWrap/>
            <w:hideMark/>
          </w:tcPr>
          <w:p w14:paraId="7AD4DEA6" w14:textId="77777777" w:rsidR="00052499" w:rsidRPr="005C76C7" w:rsidRDefault="00052499" w:rsidP="00052499">
            <w:pPr>
              <w:rPr>
                <w:rFonts w:eastAsia="Times New Roman" w:cstheme="minorHAnsi"/>
                <w:sz w:val="20"/>
                <w:szCs w:val="20"/>
                <w:lang w:val="en-GB" w:eastAsia="en-GB"/>
              </w:rPr>
            </w:pPr>
            <w:r w:rsidRPr="005C76C7">
              <w:rPr>
                <w:rFonts w:cstheme="minorHAnsi"/>
                <w:sz w:val="20"/>
                <w:szCs w:val="20"/>
              </w:rPr>
              <w:t>domaći dug</w:t>
            </w:r>
          </w:p>
        </w:tc>
        <w:tc>
          <w:tcPr>
            <w:tcW w:w="701" w:type="pct"/>
            <w:noWrap/>
            <w:hideMark/>
          </w:tcPr>
          <w:p w14:paraId="536E8FB9" w14:textId="77777777" w:rsidR="00052499" w:rsidRPr="005C76C7" w:rsidRDefault="00052499" w:rsidP="00052499">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GB" w:eastAsia="en-GB"/>
              </w:rPr>
            </w:pPr>
            <w:r w:rsidRPr="005C76C7">
              <w:rPr>
                <w:rFonts w:cstheme="minorHAnsi"/>
                <w:sz w:val="20"/>
                <w:szCs w:val="20"/>
              </w:rPr>
              <w:t>545.68</w:t>
            </w:r>
          </w:p>
        </w:tc>
        <w:tc>
          <w:tcPr>
            <w:tcW w:w="650" w:type="pct"/>
            <w:noWrap/>
            <w:hideMark/>
          </w:tcPr>
          <w:p w14:paraId="538C8B24" w14:textId="77777777" w:rsidR="00052499" w:rsidRPr="005C76C7" w:rsidRDefault="00052499" w:rsidP="00052499">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GB" w:eastAsia="en-GB"/>
              </w:rPr>
            </w:pPr>
            <w:r w:rsidRPr="005C76C7">
              <w:rPr>
                <w:rFonts w:cstheme="minorHAnsi"/>
                <w:sz w:val="20"/>
                <w:szCs w:val="20"/>
              </w:rPr>
              <w:t>332.92</w:t>
            </w:r>
          </w:p>
        </w:tc>
        <w:tc>
          <w:tcPr>
            <w:tcW w:w="649" w:type="pct"/>
            <w:noWrap/>
            <w:hideMark/>
          </w:tcPr>
          <w:p w14:paraId="51C2C33C" w14:textId="77777777" w:rsidR="00052499" w:rsidRPr="005C76C7" w:rsidRDefault="00052499" w:rsidP="00052499">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GB" w:eastAsia="en-GB"/>
              </w:rPr>
            </w:pPr>
            <w:r w:rsidRPr="005C76C7">
              <w:rPr>
                <w:rFonts w:cstheme="minorHAnsi"/>
                <w:sz w:val="20"/>
                <w:szCs w:val="20"/>
              </w:rPr>
              <w:t>334.04</w:t>
            </w:r>
          </w:p>
        </w:tc>
        <w:tc>
          <w:tcPr>
            <w:tcW w:w="649" w:type="pct"/>
          </w:tcPr>
          <w:p w14:paraId="37C8C8DD" w14:textId="77777777" w:rsidR="00052499" w:rsidRPr="005C76C7" w:rsidRDefault="00052499" w:rsidP="00052499">
            <w:pPr>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C76C7">
              <w:rPr>
                <w:rFonts w:cstheme="minorHAnsi"/>
                <w:sz w:val="20"/>
                <w:szCs w:val="20"/>
              </w:rPr>
              <w:t>240.79</w:t>
            </w:r>
          </w:p>
        </w:tc>
      </w:tr>
      <w:tr w:rsidR="00052499" w:rsidRPr="005C76C7" w14:paraId="673938F0" w14:textId="77777777" w:rsidTr="000524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1" w:type="pct"/>
            <w:noWrap/>
            <w:hideMark/>
          </w:tcPr>
          <w:p w14:paraId="0A35C797" w14:textId="77777777" w:rsidR="00052499" w:rsidRPr="005C76C7" w:rsidRDefault="00052499" w:rsidP="00052499">
            <w:pPr>
              <w:rPr>
                <w:rFonts w:eastAsia="Times New Roman" w:cstheme="minorHAnsi"/>
                <w:sz w:val="20"/>
                <w:szCs w:val="20"/>
                <w:lang w:val="en-GB" w:eastAsia="en-GB"/>
              </w:rPr>
            </w:pPr>
            <w:r w:rsidRPr="005C76C7">
              <w:rPr>
                <w:rFonts w:cstheme="minorHAnsi"/>
                <w:sz w:val="20"/>
                <w:szCs w:val="20"/>
              </w:rPr>
              <w:t>ino dug</w:t>
            </w:r>
          </w:p>
        </w:tc>
        <w:tc>
          <w:tcPr>
            <w:tcW w:w="701" w:type="pct"/>
            <w:noWrap/>
            <w:hideMark/>
          </w:tcPr>
          <w:p w14:paraId="4C36A3C0" w14:textId="77777777" w:rsidR="00052499" w:rsidRPr="005C76C7" w:rsidRDefault="00052499" w:rsidP="00052499">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GB" w:eastAsia="en-GB"/>
              </w:rPr>
            </w:pPr>
            <w:r w:rsidRPr="005C76C7">
              <w:rPr>
                <w:rFonts w:cstheme="minorHAnsi"/>
                <w:sz w:val="20"/>
                <w:szCs w:val="20"/>
              </w:rPr>
              <w:t>3,506.56</w:t>
            </w:r>
          </w:p>
        </w:tc>
        <w:tc>
          <w:tcPr>
            <w:tcW w:w="650" w:type="pct"/>
            <w:noWrap/>
            <w:hideMark/>
          </w:tcPr>
          <w:p w14:paraId="6734E9EB" w14:textId="77777777" w:rsidR="00052499" w:rsidRPr="005C76C7" w:rsidRDefault="00052499" w:rsidP="00052499">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GB" w:eastAsia="en-GB"/>
              </w:rPr>
            </w:pPr>
            <w:r w:rsidRPr="005C76C7">
              <w:rPr>
                <w:rFonts w:cstheme="minorHAnsi"/>
                <w:sz w:val="20"/>
                <w:szCs w:val="20"/>
              </w:rPr>
              <w:t>3,930.69</w:t>
            </w:r>
          </w:p>
        </w:tc>
        <w:tc>
          <w:tcPr>
            <w:tcW w:w="649" w:type="pct"/>
            <w:noWrap/>
            <w:hideMark/>
          </w:tcPr>
          <w:p w14:paraId="73FECF29" w14:textId="77777777" w:rsidR="00052499" w:rsidRPr="005C76C7" w:rsidRDefault="00052499" w:rsidP="00052499">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en-GB" w:eastAsia="en-GB"/>
              </w:rPr>
            </w:pPr>
            <w:r w:rsidRPr="005C76C7">
              <w:rPr>
                <w:rFonts w:cstheme="minorHAnsi"/>
                <w:sz w:val="20"/>
                <w:szCs w:val="20"/>
              </w:rPr>
              <w:t>4,144.68</w:t>
            </w:r>
          </w:p>
        </w:tc>
        <w:tc>
          <w:tcPr>
            <w:tcW w:w="649" w:type="pct"/>
          </w:tcPr>
          <w:p w14:paraId="115E3C3A" w14:textId="77777777" w:rsidR="00052499" w:rsidRPr="005C76C7" w:rsidRDefault="00052499" w:rsidP="00052499">
            <w:pPr>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5C76C7">
              <w:rPr>
                <w:rFonts w:cstheme="minorHAnsi"/>
                <w:sz w:val="20"/>
                <w:szCs w:val="20"/>
              </w:rPr>
              <w:t>4,432.90</w:t>
            </w:r>
          </w:p>
        </w:tc>
      </w:tr>
      <w:tr w:rsidR="00052499" w:rsidRPr="005C76C7" w14:paraId="59AA9737" w14:textId="77777777" w:rsidTr="00052499">
        <w:tc>
          <w:tcPr>
            <w:cnfStyle w:val="001000000000" w:firstRow="0" w:lastRow="0" w:firstColumn="1" w:lastColumn="0" w:oddVBand="0" w:evenVBand="0" w:oddHBand="0" w:evenHBand="0" w:firstRowFirstColumn="0" w:firstRowLastColumn="0" w:lastRowFirstColumn="0" w:lastRowLastColumn="0"/>
            <w:tcW w:w="2351" w:type="pct"/>
            <w:noWrap/>
            <w:hideMark/>
          </w:tcPr>
          <w:p w14:paraId="194A2E0D" w14:textId="77777777" w:rsidR="00052499" w:rsidRPr="005C76C7" w:rsidRDefault="00052499" w:rsidP="00052499">
            <w:pPr>
              <w:rPr>
                <w:rFonts w:eastAsia="Times New Roman" w:cstheme="minorHAnsi"/>
                <w:b w:val="0"/>
                <w:bCs w:val="0"/>
                <w:sz w:val="20"/>
                <w:szCs w:val="20"/>
                <w:lang w:val="en-GB" w:eastAsia="en-GB"/>
              </w:rPr>
            </w:pPr>
            <w:r w:rsidRPr="005C76C7">
              <w:rPr>
                <w:rFonts w:cstheme="minorHAnsi"/>
                <w:sz w:val="20"/>
                <w:szCs w:val="20"/>
              </w:rPr>
              <w:t xml:space="preserve">ukupno državni dug </w:t>
            </w:r>
          </w:p>
        </w:tc>
        <w:tc>
          <w:tcPr>
            <w:tcW w:w="701" w:type="pct"/>
            <w:noWrap/>
            <w:hideMark/>
          </w:tcPr>
          <w:p w14:paraId="4DD55A8D" w14:textId="77777777" w:rsidR="00052499" w:rsidRPr="005C76C7" w:rsidRDefault="00052499" w:rsidP="00052499">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sz w:val="20"/>
                <w:szCs w:val="20"/>
                <w:lang w:val="en-GB" w:eastAsia="en-GB"/>
              </w:rPr>
            </w:pPr>
            <w:r w:rsidRPr="005C76C7">
              <w:rPr>
                <w:rFonts w:cstheme="minorHAnsi"/>
                <w:sz w:val="20"/>
                <w:szCs w:val="20"/>
              </w:rPr>
              <w:t>4,052.24</w:t>
            </w:r>
          </w:p>
        </w:tc>
        <w:tc>
          <w:tcPr>
            <w:tcW w:w="650" w:type="pct"/>
            <w:noWrap/>
            <w:hideMark/>
          </w:tcPr>
          <w:p w14:paraId="0CFFA50C" w14:textId="77777777" w:rsidR="00052499" w:rsidRPr="005C76C7" w:rsidRDefault="00052499" w:rsidP="00052499">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sz w:val="20"/>
                <w:szCs w:val="20"/>
                <w:lang w:val="en-GB" w:eastAsia="en-GB"/>
              </w:rPr>
            </w:pPr>
            <w:r w:rsidRPr="005C76C7">
              <w:rPr>
                <w:rFonts w:cstheme="minorHAnsi"/>
                <w:sz w:val="20"/>
                <w:szCs w:val="20"/>
              </w:rPr>
              <w:t>4,263.61</w:t>
            </w:r>
          </w:p>
        </w:tc>
        <w:tc>
          <w:tcPr>
            <w:tcW w:w="649" w:type="pct"/>
            <w:noWrap/>
            <w:hideMark/>
          </w:tcPr>
          <w:p w14:paraId="466B7E52" w14:textId="77777777" w:rsidR="00052499" w:rsidRPr="005C76C7" w:rsidRDefault="00052499" w:rsidP="00052499">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sz w:val="20"/>
                <w:szCs w:val="20"/>
                <w:lang w:val="en-GB" w:eastAsia="en-GB"/>
              </w:rPr>
            </w:pPr>
            <w:r w:rsidRPr="005C76C7">
              <w:rPr>
                <w:rFonts w:cstheme="minorHAnsi"/>
                <w:sz w:val="20"/>
                <w:szCs w:val="20"/>
              </w:rPr>
              <w:t>4,478.72</w:t>
            </w:r>
          </w:p>
        </w:tc>
        <w:tc>
          <w:tcPr>
            <w:tcW w:w="649" w:type="pct"/>
          </w:tcPr>
          <w:p w14:paraId="24D9FC23" w14:textId="77777777" w:rsidR="00052499" w:rsidRPr="005C76C7" w:rsidRDefault="00052499" w:rsidP="00052499">
            <w:pPr>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C76C7">
              <w:rPr>
                <w:rFonts w:cstheme="minorHAnsi"/>
                <w:sz w:val="20"/>
                <w:szCs w:val="20"/>
              </w:rPr>
              <w:t>4,673.69</w:t>
            </w:r>
          </w:p>
        </w:tc>
      </w:tr>
      <w:tr w:rsidR="00052499" w:rsidRPr="005C76C7" w14:paraId="43C2CCC6" w14:textId="77777777" w:rsidTr="000524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1" w:type="pct"/>
            <w:noWrap/>
            <w:hideMark/>
          </w:tcPr>
          <w:p w14:paraId="00780448" w14:textId="77777777" w:rsidR="00052499" w:rsidRPr="005C76C7" w:rsidRDefault="00052499" w:rsidP="00052499">
            <w:pPr>
              <w:rPr>
                <w:rFonts w:eastAsia="Times New Roman" w:cstheme="minorHAnsi"/>
                <w:b w:val="0"/>
                <w:bCs w:val="0"/>
                <w:sz w:val="20"/>
                <w:szCs w:val="20"/>
                <w:lang w:val="en-GB" w:eastAsia="en-GB"/>
              </w:rPr>
            </w:pPr>
            <w:r w:rsidRPr="005C76C7">
              <w:rPr>
                <w:rFonts w:cstheme="minorHAnsi"/>
                <w:sz w:val="20"/>
                <w:szCs w:val="20"/>
              </w:rPr>
              <w:t>%bdp-a državni dug</w:t>
            </w:r>
          </w:p>
        </w:tc>
        <w:tc>
          <w:tcPr>
            <w:tcW w:w="701" w:type="pct"/>
            <w:noWrap/>
            <w:hideMark/>
          </w:tcPr>
          <w:p w14:paraId="1748F5D5" w14:textId="77777777" w:rsidR="00052499" w:rsidRPr="005C76C7" w:rsidRDefault="00052499" w:rsidP="00052499">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b/>
                <w:sz w:val="20"/>
                <w:szCs w:val="20"/>
                <w:lang w:val="en-GB" w:eastAsia="en-GB"/>
              </w:rPr>
            </w:pPr>
            <w:r w:rsidRPr="005C76C7">
              <w:rPr>
                <w:rFonts w:cstheme="minorHAnsi"/>
                <w:sz w:val="20"/>
                <w:szCs w:val="20"/>
              </w:rPr>
              <w:t>61.17</w:t>
            </w:r>
          </w:p>
        </w:tc>
        <w:tc>
          <w:tcPr>
            <w:tcW w:w="650" w:type="pct"/>
            <w:noWrap/>
            <w:hideMark/>
          </w:tcPr>
          <w:p w14:paraId="650B9E48" w14:textId="77777777" w:rsidR="00052499" w:rsidRPr="005C76C7" w:rsidRDefault="00052499" w:rsidP="00052499">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b/>
                <w:sz w:val="20"/>
                <w:szCs w:val="20"/>
                <w:lang w:val="en-GB" w:eastAsia="en-GB"/>
              </w:rPr>
            </w:pPr>
            <w:r w:rsidRPr="005C76C7">
              <w:rPr>
                <w:rFonts w:cstheme="minorHAnsi"/>
                <w:sz w:val="20"/>
                <w:szCs w:val="20"/>
              </w:rPr>
              <w:t>60.61</w:t>
            </w:r>
          </w:p>
        </w:tc>
        <w:tc>
          <w:tcPr>
            <w:tcW w:w="649" w:type="pct"/>
            <w:noWrap/>
            <w:hideMark/>
          </w:tcPr>
          <w:p w14:paraId="09C41474" w14:textId="77777777" w:rsidR="00052499" w:rsidRPr="005C76C7" w:rsidRDefault="00052499" w:rsidP="00052499">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b/>
                <w:sz w:val="20"/>
                <w:szCs w:val="20"/>
                <w:lang w:val="en-GB" w:eastAsia="en-GB"/>
              </w:rPr>
            </w:pPr>
            <w:r w:rsidRPr="005C76C7">
              <w:rPr>
                <w:rFonts w:cstheme="minorHAnsi"/>
                <w:sz w:val="20"/>
                <w:szCs w:val="20"/>
              </w:rPr>
              <w:t>60.32</w:t>
            </w:r>
          </w:p>
        </w:tc>
        <w:tc>
          <w:tcPr>
            <w:tcW w:w="649" w:type="pct"/>
          </w:tcPr>
          <w:p w14:paraId="42514B4E" w14:textId="77777777" w:rsidR="00052499" w:rsidRPr="005C76C7" w:rsidRDefault="00052499" w:rsidP="00052499">
            <w:pPr>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5C76C7">
              <w:rPr>
                <w:rFonts w:cstheme="minorHAnsi"/>
                <w:sz w:val="20"/>
                <w:szCs w:val="20"/>
              </w:rPr>
              <w:t>60.05</w:t>
            </w:r>
          </w:p>
        </w:tc>
      </w:tr>
      <w:tr w:rsidR="00052499" w:rsidRPr="005C76C7" w14:paraId="0192450F" w14:textId="77777777" w:rsidTr="00052499">
        <w:tc>
          <w:tcPr>
            <w:cnfStyle w:val="001000000000" w:firstRow="0" w:lastRow="0" w:firstColumn="1" w:lastColumn="0" w:oddVBand="0" w:evenVBand="0" w:oddHBand="0" w:evenHBand="0" w:firstRowFirstColumn="0" w:firstRowLastColumn="0" w:lastRowFirstColumn="0" w:lastRowLastColumn="0"/>
            <w:tcW w:w="2351" w:type="pct"/>
            <w:noWrap/>
            <w:hideMark/>
          </w:tcPr>
          <w:p w14:paraId="23368ED0" w14:textId="77777777" w:rsidR="00052499" w:rsidRPr="005C76C7" w:rsidRDefault="00052499" w:rsidP="00052499">
            <w:pPr>
              <w:rPr>
                <w:rFonts w:eastAsia="Times New Roman" w:cstheme="minorHAnsi"/>
                <w:sz w:val="20"/>
                <w:szCs w:val="20"/>
                <w:lang w:val="en-GB" w:eastAsia="en-GB"/>
              </w:rPr>
            </w:pPr>
            <w:r w:rsidRPr="005C76C7">
              <w:rPr>
                <w:rFonts w:cstheme="minorHAnsi"/>
                <w:sz w:val="20"/>
                <w:szCs w:val="20"/>
              </w:rPr>
              <w:t>dug lokalnih samouprava</w:t>
            </w:r>
          </w:p>
        </w:tc>
        <w:tc>
          <w:tcPr>
            <w:tcW w:w="701" w:type="pct"/>
            <w:noWrap/>
            <w:hideMark/>
          </w:tcPr>
          <w:p w14:paraId="7F1194F4" w14:textId="77777777" w:rsidR="00052499" w:rsidRPr="005C76C7" w:rsidRDefault="00052499" w:rsidP="00052499">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GB" w:eastAsia="en-GB"/>
              </w:rPr>
            </w:pPr>
            <w:r w:rsidRPr="005C76C7">
              <w:rPr>
                <w:rFonts w:cstheme="minorHAnsi"/>
                <w:sz w:val="20"/>
                <w:szCs w:val="20"/>
              </w:rPr>
              <w:t>70.60</w:t>
            </w:r>
          </w:p>
        </w:tc>
        <w:tc>
          <w:tcPr>
            <w:tcW w:w="650" w:type="pct"/>
            <w:noWrap/>
            <w:hideMark/>
          </w:tcPr>
          <w:p w14:paraId="608C5B36" w14:textId="77777777" w:rsidR="00052499" w:rsidRPr="005C76C7" w:rsidRDefault="00052499" w:rsidP="00052499">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GB" w:eastAsia="en-GB"/>
              </w:rPr>
            </w:pPr>
            <w:r w:rsidRPr="005C76C7">
              <w:rPr>
                <w:rFonts w:cstheme="minorHAnsi"/>
                <w:sz w:val="20"/>
                <w:szCs w:val="20"/>
              </w:rPr>
              <w:t>70.60</w:t>
            </w:r>
          </w:p>
        </w:tc>
        <w:tc>
          <w:tcPr>
            <w:tcW w:w="649" w:type="pct"/>
            <w:noWrap/>
            <w:hideMark/>
          </w:tcPr>
          <w:p w14:paraId="03940927" w14:textId="77777777" w:rsidR="00052499" w:rsidRPr="005C76C7" w:rsidRDefault="00052499" w:rsidP="00052499">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GB" w:eastAsia="en-GB"/>
              </w:rPr>
            </w:pPr>
            <w:r w:rsidRPr="005C76C7">
              <w:rPr>
                <w:rFonts w:cstheme="minorHAnsi"/>
                <w:sz w:val="20"/>
                <w:szCs w:val="20"/>
              </w:rPr>
              <w:t>70.60</w:t>
            </w:r>
          </w:p>
        </w:tc>
        <w:tc>
          <w:tcPr>
            <w:tcW w:w="649" w:type="pct"/>
          </w:tcPr>
          <w:p w14:paraId="612FCB2C" w14:textId="77777777" w:rsidR="00052499" w:rsidRPr="005C76C7" w:rsidRDefault="00052499" w:rsidP="00052499">
            <w:pPr>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C76C7">
              <w:rPr>
                <w:rFonts w:cstheme="minorHAnsi"/>
                <w:sz w:val="20"/>
                <w:szCs w:val="20"/>
              </w:rPr>
              <w:t>70.60</w:t>
            </w:r>
          </w:p>
        </w:tc>
      </w:tr>
      <w:tr w:rsidR="00052499" w:rsidRPr="005C76C7" w14:paraId="64E2D593" w14:textId="77777777" w:rsidTr="000524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1" w:type="pct"/>
            <w:noWrap/>
            <w:hideMark/>
          </w:tcPr>
          <w:p w14:paraId="636FFD68" w14:textId="77777777" w:rsidR="00052499" w:rsidRPr="005C76C7" w:rsidRDefault="00052499" w:rsidP="00052499">
            <w:pPr>
              <w:rPr>
                <w:rFonts w:eastAsia="Times New Roman" w:cstheme="minorHAnsi"/>
                <w:b w:val="0"/>
                <w:bCs w:val="0"/>
                <w:sz w:val="20"/>
                <w:szCs w:val="20"/>
                <w:lang w:val="en-GB" w:eastAsia="en-GB"/>
              </w:rPr>
            </w:pPr>
            <w:r w:rsidRPr="005C76C7">
              <w:rPr>
                <w:rFonts w:cstheme="minorHAnsi"/>
                <w:sz w:val="20"/>
                <w:szCs w:val="20"/>
              </w:rPr>
              <w:t>ukupno javni dug</w:t>
            </w:r>
          </w:p>
        </w:tc>
        <w:tc>
          <w:tcPr>
            <w:tcW w:w="701" w:type="pct"/>
            <w:noWrap/>
            <w:hideMark/>
          </w:tcPr>
          <w:p w14:paraId="5A595805" w14:textId="77777777" w:rsidR="00052499" w:rsidRPr="005C76C7" w:rsidRDefault="00052499" w:rsidP="00052499">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b/>
                <w:sz w:val="20"/>
                <w:szCs w:val="20"/>
                <w:lang w:val="en-GB" w:eastAsia="en-GB"/>
              </w:rPr>
            </w:pPr>
            <w:r w:rsidRPr="005C76C7">
              <w:rPr>
                <w:rFonts w:cstheme="minorHAnsi"/>
                <w:sz w:val="20"/>
                <w:szCs w:val="20"/>
              </w:rPr>
              <w:t>4,122.84</w:t>
            </w:r>
          </w:p>
        </w:tc>
        <w:tc>
          <w:tcPr>
            <w:tcW w:w="650" w:type="pct"/>
            <w:noWrap/>
            <w:hideMark/>
          </w:tcPr>
          <w:p w14:paraId="3092A9EF" w14:textId="77777777" w:rsidR="00052499" w:rsidRPr="005C76C7" w:rsidRDefault="00052499" w:rsidP="00052499">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b/>
                <w:sz w:val="20"/>
                <w:szCs w:val="20"/>
                <w:lang w:val="en-GB" w:eastAsia="en-GB"/>
              </w:rPr>
            </w:pPr>
            <w:r w:rsidRPr="005C76C7">
              <w:rPr>
                <w:rFonts w:cstheme="minorHAnsi"/>
                <w:sz w:val="20"/>
                <w:szCs w:val="20"/>
              </w:rPr>
              <w:t>4,334.21</w:t>
            </w:r>
          </w:p>
        </w:tc>
        <w:tc>
          <w:tcPr>
            <w:tcW w:w="649" w:type="pct"/>
            <w:noWrap/>
            <w:hideMark/>
          </w:tcPr>
          <w:p w14:paraId="058E01CE" w14:textId="77777777" w:rsidR="00052499" w:rsidRPr="005C76C7" w:rsidRDefault="00052499" w:rsidP="00052499">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b/>
                <w:sz w:val="20"/>
                <w:szCs w:val="20"/>
                <w:lang w:val="en-GB" w:eastAsia="en-GB"/>
              </w:rPr>
            </w:pPr>
            <w:r w:rsidRPr="005C76C7">
              <w:rPr>
                <w:rFonts w:cstheme="minorHAnsi"/>
                <w:sz w:val="20"/>
                <w:szCs w:val="20"/>
              </w:rPr>
              <w:t>4,549.32</w:t>
            </w:r>
          </w:p>
        </w:tc>
        <w:tc>
          <w:tcPr>
            <w:tcW w:w="649" w:type="pct"/>
          </w:tcPr>
          <w:p w14:paraId="33E7F65B" w14:textId="77777777" w:rsidR="00052499" w:rsidRPr="005C76C7" w:rsidRDefault="00052499" w:rsidP="00052499">
            <w:pPr>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5C76C7">
              <w:rPr>
                <w:rFonts w:cstheme="minorHAnsi"/>
                <w:sz w:val="20"/>
                <w:szCs w:val="20"/>
              </w:rPr>
              <w:t>4,744.29</w:t>
            </w:r>
          </w:p>
        </w:tc>
      </w:tr>
      <w:tr w:rsidR="00052499" w:rsidRPr="005C76C7" w14:paraId="3D2A9E25" w14:textId="77777777" w:rsidTr="00052499">
        <w:tc>
          <w:tcPr>
            <w:cnfStyle w:val="001000000000" w:firstRow="0" w:lastRow="0" w:firstColumn="1" w:lastColumn="0" w:oddVBand="0" w:evenVBand="0" w:oddHBand="0" w:evenHBand="0" w:firstRowFirstColumn="0" w:firstRowLastColumn="0" w:lastRowFirstColumn="0" w:lastRowLastColumn="0"/>
            <w:tcW w:w="2351" w:type="pct"/>
            <w:noWrap/>
            <w:hideMark/>
          </w:tcPr>
          <w:p w14:paraId="6D286468" w14:textId="77777777" w:rsidR="00052499" w:rsidRPr="005C76C7" w:rsidRDefault="00052499" w:rsidP="00052499">
            <w:pPr>
              <w:rPr>
                <w:rFonts w:eastAsia="Times New Roman" w:cstheme="minorHAnsi"/>
                <w:b w:val="0"/>
                <w:bCs w:val="0"/>
                <w:sz w:val="20"/>
                <w:szCs w:val="20"/>
                <w:lang w:val="en-GB" w:eastAsia="en-GB"/>
              </w:rPr>
            </w:pPr>
            <w:r w:rsidRPr="005C76C7">
              <w:rPr>
                <w:rFonts w:cstheme="minorHAnsi"/>
                <w:sz w:val="20"/>
                <w:szCs w:val="20"/>
              </w:rPr>
              <w:t>%bdp-a javni dug</w:t>
            </w:r>
          </w:p>
        </w:tc>
        <w:tc>
          <w:tcPr>
            <w:tcW w:w="701" w:type="pct"/>
            <w:noWrap/>
            <w:hideMark/>
          </w:tcPr>
          <w:p w14:paraId="41A0DB39" w14:textId="77777777" w:rsidR="00052499" w:rsidRPr="005C76C7" w:rsidRDefault="00052499" w:rsidP="00052499">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sz w:val="20"/>
                <w:szCs w:val="20"/>
                <w:lang w:val="en-GB" w:eastAsia="en-GB"/>
              </w:rPr>
            </w:pPr>
            <w:r w:rsidRPr="005C76C7">
              <w:rPr>
                <w:rFonts w:cstheme="minorHAnsi"/>
                <w:sz w:val="20"/>
                <w:szCs w:val="20"/>
              </w:rPr>
              <w:t>62.24</w:t>
            </w:r>
          </w:p>
        </w:tc>
        <w:tc>
          <w:tcPr>
            <w:tcW w:w="650" w:type="pct"/>
            <w:noWrap/>
            <w:hideMark/>
          </w:tcPr>
          <w:p w14:paraId="5306F3D8" w14:textId="77777777" w:rsidR="00052499" w:rsidRPr="005C76C7" w:rsidRDefault="00052499" w:rsidP="00052499">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sz w:val="20"/>
                <w:szCs w:val="20"/>
                <w:lang w:val="en-GB" w:eastAsia="en-GB"/>
              </w:rPr>
            </w:pPr>
            <w:r w:rsidRPr="005C76C7">
              <w:rPr>
                <w:rFonts w:cstheme="minorHAnsi"/>
                <w:sz w:val="20"/>
                <w:szCs w:val="20"/>
              </w:rPr>
              <w:t>61.62</w:t>
            </w:r>
          </w:p>
        </w:tc>
        <w:tc>
          <w:tcPr>
            <w:tcW w:w="649" w:type="pct"/>
            <w:noWrap/>
            <w:hideMark/>
          </w:tcPr>
          <w:p w14:paraId="4CC59303" w14:textId="77777777" w:rsidR="00052499" w:rsidRPr="005C76C7" w:rsidRDefault="00052499" w:rsidP="00052499">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sz w:val="20"/>
                <w:szCs w:val="20"/>
                <w:lang w:val="en-GB" w:eastAsia="en-GB"/>
              </w:rPr>
            </w:pPr>
            <w:r w:rsidRPr="005C76C7">
              <w:rPr>
                <w:rFonts w:cstheme="minorHAnsi"/>
                <w:sz w:val="20"/>
                <w:szCs w:val="20"/>
              </w:rPr>
              <w:t>61.27</w:t>
            </w:r>
          </w:p>
        </w:tc>
        <w:tc>
          <w:tcPr>
            <w:tcW w:w="649" w:type="pct"/>
          </w:tcPr>
          <w:p w14:paraId="52A5C95C" w14:textId="77777777" w:rsidR="00052499" w:rsidRPr="005C76C7" w:rsidRDefault="00052499" w:rsidP="00052499">
            <w:pPr>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C76C7">
              <w:rPr>
                <w:rFonts w:cstheme="minorHAnsi"/>
                <w:sz w:val="20"/>
                <w:szCs w:val="20"/>
              </w:rPr>
              <w:t>60.96</w:t>
            </w:r>
          </w:p>
        </w:tc>
      </w:tr>
    </w:tbl>
    <w:p w14:paraId="2701D579" w14:textId="77777777" w:rsidR="00052499" w:rsidRPr="005C76C7" w:rsidRDefault="00052499" w:rsidP="00052499">
      <w:pPr>
        <w:spacing w:after="0" w:line="240" w:lineRule="auto"/>
        <w:rPr>
          <w:rFonts w:cstheme="minorHAnsi"/>
          <w:sz w:val="18"/>
          <w:szCs w:val="18"/>
        </w:rPr>
      </w:pPr>
      <w:r w:rsidRPr="005C76C7">
        <w:rPr>
          <w:rFonts w:cstheme="minorHAnsi"/>
          <w:i/>
          <w:color w:val="808080" w:themeColor="background1" w:themeShade="80"/>
          <w:sz w:val="18"/>
          <w:szCs w:val="18"/>
        </w:rPr>
        <w:t>*Iznos duga lokalne samouprave je prema projekcijama Ministarstva finansija</w:t>
      </w:r>
    </w:p>
    <w:p w14:paraId="0C67493E" w14:textId="058FFA84" w:rsidR="00052499" w:rsidRPr="005C76C7" w:rsidRDefault="000F2683" w:rsidP="00052499">
      <w:pPr>
        <w:spacing w:after="0" w:line="240" w:lineRule="auto"/>
        <w:rPr>
          <w:rFonts w:cstheme="minorHAnsi"/>
          <w:i/>
          <w:color w:val="808080" w:themeColor="background1" w:themeShade="80"/>
          <w:sz w:val="18"/>
          <w:szCs w:val="18"/>
        </w:rPr>
      </w:pPr>
      <w:r>
        <w:rPr>
          <w:rFonts w:cstheme="minorHAnsi"/>
          <w:i/>
          <w:color w:val="808080" w:themeColor="background1" w:themeShade="80"/>
          <w:sz w:val="18"/>
          <w:szCs w:val="18"/>
        </w:rPr>
        <w:t>**Dug prikazan u tabeli</w:t>
      </w:r>
      <w:r w:rsidR="00052499" w:rsidRPr="005C76C7">
        <w:rPr>
          <w:rFonts w:cstheme="minorHAnsi"/>
          <w:i/>
          <w:color w:val="808080" w:themeColor="background1" w:themeShade="80"/>
          <w:sz w:val="18"/>
          <w:szCs w:val="18"/>
        </w:rPr>
        <w:t xml:space="preserve"> ne uključuje depozite Ministarstva finansija i depozite lokalne samouprave.</w:t>
      </w:r>
    </w:p>
    <w:p w14:paraId="71719188" w14:textId="5E3F27B1" w:rsidR="00052499" w:rsidRPr="005C76C7" w:rsidRDefault="00052499" w:rsidP="00052499">
      <w:pPr>
        <w:pStyle w:val="Heading3"/>
        <w:rPr>
          <w:rFonts w:asciiTheme="minorHAnsi" w:hAnsiTheme="minorHAnsi" w:cstheme="minorHAnsi"/>
          <w:b/>
          <w:color w:val="2F5496" w:themeColor="accent1" w:themeShade="BF"/>
        </w:rPr>
      </w:pPr>
      <w:bookmarkStart w:id="134" w:name="_Toc153305356"/>
      <w:r w:rsidRPr="005C76C7">
        <w:rPr>
          <w:rFonts w:asciiTheme="minorHAnsi" w:hAnsiTheme="minorHAnsi" w:cstheme="minorHAnsi"/>
          <w:b/>
          <w:color w:val="2F5496" w:themeColor="accent1" w:themeShade="BF"/>
        </w:rPr>
        <w:lastRenderedPageBreak/>
        <w:t>Državne garancije</w:t>
      </w:r>
      <w:bookmarkEnd w:id="134"/>
    </w:p>
    <w:p w14:paraId="2CE90F96" w14:textId="77777777" w:rsidR="00052499" w:rsidRPr="005C76C7" w:rsidRDefault="00052499" w:rsidP="005C76C7">
      <w:pPr>
        <w:jc w:val="both"/>
        <w:rPr>
          <w:rFonts w:cstheme="minorHAnsi"/>
          <w:sz w:val="24"/>
          <w:szCs w:val="24"/>
        </w:rPr>
      </w:pPr>
      <w:bookmarkStart w:id="135" w:name="_Toc88031664"/>
      <w:bookmarkStart w:id="136" w:name="_Toc125545778"/>
      <w:bookmarkStart w:id="137" w:name="_Toc500763429"/>
      <w:r w:rsidRPr="005C76C7">
        <w:rPr>
          <w:rFonts w:cstheme="minorHAnsi"/>
          <w:sz w:val="24"/>
          <w:szCs w:val="24"/>
        </w:rPr>
        <w:t>Ugovoreni iznos izdatih državnih garancija, na 30.09.2023. godine, iznosi 630,13 miliona eura. Od ovog iznosa, angažovana sredstva iznose oko 507,85 miliona eura. Preliminarno stanje duga na 30.09.2023. godine, po garancijama izdatim domaćim i ino kreditorima, iznosi 157,83 miliona eura, što predstavlja 2,38% BDP-a.</w:t>
      </w:r>
    </w:p>
    <w:p w14:paraId="0407A6AB" w14:textId="77777777" w:rsidR="00052499" w:rsidRPr="005C76C7" w:rsidRDefault="00052499" w:rsidP="005C76C7">
      <w:pPr>
        <w:jc w:val="both"/>
        <w:rPr>
          <w:rFonts w:cstheme="minorHAnsi"/>
          <w:sz w:val="24"/>
          <w:szCs w:val="24"/>
        </w:rPr>
      </w:pPr>
      <w:r w:rsidRPr="005C76C7">
        <w:rPr>
          <w:rFonts w:cstheme="minorHAnsi"/>
          <w:sz w:val="24"/>
          <w:szCs w:val="24"/>
        </w:rPr>
        <w:t>Angažovani iznos garancija koje je Vlada Crne Gore izdala za zajmove kod ino kreditora, prema preliminarnim podacima, iznosi oko 443,67 miliona eura, dok je stanje duga po istim 130,35 miliona eura ili 1,97% BDP-a.</w:t>
      </w:r>
    </w:p>
    <w:p w14:paraId="349191F0" w14:textId="77777777" w:rsidR="00052499" w:rsidRPr="005C76C7" w:rsidRDefault="00052499" w:rsidP="005C76C7">
      <w:pPr>
        <w:jc w:val="both"/>
        <w:rPr>
          <w:rFonts w:cstheme="minorHAnsi"/>
          <w:sz w:val="24"/>
          <w:szCs w:val="24"/>
        </w:rPr>
      </w:pPr>
      <w:r w:rsidRPr="005C76C7">
        <w:rPr>
          <w:rFonts w:cstheme="minorHAnsi"/>
          <w:sz w:val="24"/>
          <w:szCs w:val="24"/>
        </w:rPr>
        <w:t xml:space="preserve">Prema preliminarnim podacima, angažovani iznos garancija koje je Vlada Crne Gore izdala za zajmove kod domaćih kreditora, na dan 30. septembar 2023. godine, iznosi oko 65,19 miliona eura, dok je stanje duga po istim 27,48 miliona eura ili 0,41% BDP-a. Najveći dio postojećih domaćih garancija čine garancije izdate za lokalnu samoupravu za realizaciju sanacionih planova, čije stanje duga, na kraju istog perioda, iznosi 13,83 miliona eura. </w:t>
      </w:r>
    </w:p>
    <w:p w14:paraId="4F987748" w14:textId="77777777" w:rsidR="00052499" w:rsidRPr="0080055A" w:rsidRDefault="00052499" w:rsidP="00052499">
      <w:pPr>
        <w:rPr>
          <w:rFonts w:ascii="Cambria" w:hAnsi="Cambria" w:cs="Arial"/>
          <w:sz w:val="24"/>
          <w:szCs w:val="24"/>
        </w:rPr>
      </w:pPr>
      <w:r w:rsidRPr="005C76C7">
        <w:rPr>
          <w:rFonts w:cstheme="minorHAnsi"/>
          <w:b/>
          <w:color w:val="2F5496" w:themeColor="accent1" w:themeShade="BF"/>
          <w:sz w:val="20"/>
          <w:szCs w:val="20"/>
        </w:rPr>
        <w:t>Grafik 6 Stanje državnih garancija na 30.09.2023</w:t>
      </w:r>
      <w:r w:rsidRPr="0080055A">
        <w:t>.</w:t>
      </w:r>
    </w:p>
    <w:p w14:paraId="2724EFDB" w14:textId="77777777" w:rsidR="00052499" w:rsidRPr="0080055A" w:rsidRDefault="00052499" w:rsidP="00052499">
      <w:pPr>
        <w:spacing w:after="0" w:line="240" w:lineRule="auto"/>
        <w:jc w:val="right"/>
        <w:rPr>
          <w:rFonts w:ascii="Cambria" w:hAnsi="Cambria" w:cs="Arial"/>
          <w:sz w:val="24"/>
          <w:szCs w:val="24"/>
        </w:rPr>
      </w:pPr>
      <w:r w:rsidRPr="0080055A">
        <w:rPr>
          <w:rFonts w:ascii="Cambria" w:hAnsi="Cambria"/>
          <w:noProof/>
          <w:lang w:val="en-GB" w:eastAsia="en-GB"/>
        </w:rPr>
        <w:drawing>
          <wp:inline distT="0" distB="0" distL="0" distR="0" wp14:anchorId="40E14E5A" wp14:editId="1E879C21">
            <wp:extent cx="5772150" cy="2171700"/>
            <wp:effectExtent l="0" t="0" r="0" b="0"/>
            <wp:docPr id="43" name="Chart 43">
              <a:extLst xmlns:a="http://schemas.openxmlformats.org/drawingml/2006/main">
                <a:ext uri="{FF2B5EF4-FFF2-40B4-BE49-F238E27FC236}">
                  <a16:creationId xmlns:a16="http://schemas.microsoft.com/office/drawing/2014/main" id="{00000000-0008-0000-05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F127136" w14:textId="77777777" w:rsidR="00052499" w:rsidRPr="0080055A" w:rsidRDefault="00052499" w:rsidP="00052499">
      <w:pPr>
        <w:spacing w:after="0" w:line="240" w:lineRule="auto"/>
        <w:rPr>
          <w:rFonts w:ascii="Cambria" w:hAnsi="Cambria" w:cs="Arial"/>
          <w:sz w:val="24"/>
          <w:szCs w:val="24"/>
        </w:rPr>
      </w:pPr>
    </w:p>
    <w:p w14:paraId="118DF77E" w14:textId="77777777" w:rsidR="00052499" w:rsidRPr="005C76C7" w:rsidRDefault="00052499" w:rsidP="005C76C7">
      <w:pPr>
        <w:jc w:val="both"/>
        <w:rPr>
          <w:rFonts w:cstheme="minorHAnsi"/>
          <w:sz w:val="24"/>
          <w:szCs w:val="24"/>
        </w:rPr>
      </w:pPr>
      <w:r w:rsidRPr="005C76C7">
        <w:rPr>
          <w:rFonts w:cstheme="minorHAnsi"/>
          <w:sz w:val="24"/>
          <w:szCs w:val="24"/>
        </w:rPr>
        <w:t>Krajem decembra 2022. godine, država Crna Gora zaključila je Ugovor o garanciji sa Evropskom bankom za obnovu i razvoj (EBRD) za Ugovor o kreditu između EBRD-a i Željezničke infrastrukture Crne Gore a.d. Podgorica, potpisanim 28. decembra 2022. godine, u iznosu od 11 miliona eura, a za potrebe realizacije Projekta nabavke mehanizacije za održavanje pruga (građevinsko i elektrotehničko) i nove opreme za pomoćni voz.</w:t>
      </w:r>
    </w:p>
    <w:p w14:paraId="0E5C4C35" w14:textId="77777777" w:rsidR="00052499" w:rsidRPr="005C76C7" w:rsidRDefault="00052499" w:rsidP="005C76C7">
      <w:pPr>
        <w:jc w:val="both"/>
        <w:rPr>
          <w:rFonts w:cstheme="minorHAnsi"/>
          <w:sz w:val="24"/>
          <w:szCs w:val="24"/>
        </w:rPr>
      </w:pPr>
      <w:r w:rsidRPr="005C76C7">
        <w:rPr>
          <w:rFonts w:cstheme="minorHAnsi"/>
          <w:sz w:val="24"/>
          <w:szCs w:val="24"/>
        </w:rPr>
        <w:t>Takođe, tokom 2023. godine, država je izdala još dvije garancije. Dana 01.08.2023. godine Evropska banka za obnovu i razvoj (EBRD) i Crna Gora, zaključili su Ugovor o garanciji za Amandman na ugovor o kreditu između EBRD-a i Crnogorskog elektroprenosnog sistema AD, potpisanim istog dana, u iznosu od 9.000.000,00 eura, a za potrebe finansiranja Projekta izgradnje varijabilne prigušnice u trafostanici Lastva.</w:t>
      </w:r>
    </w:p>
    <w:p w14:paraId="05E43FE9" w14:textId="77777777" w:rsidR="00052499" w:rsidRPr="005C76C7" w:rsidRDefault="00052499" w:rsidP="005C76C7">
      <w:pPr>
        <w:jc w:val="both"/>
        <w:rPr>
          <w:rFonts w:cstheme="minorHAnsi"/>
          <w:sz w:val="24"/>
          <w:szCs w:val="24"/>
          <w:lang w:val="sr-Latn-ME"/>
        </w:rPr>
      </w:pPr>
      <w:r w:rsidRPr="005C76C7">
        <w:rPr>
          <w:rFonts w:cstheme="minorHAnsi"/>
          <w:sz w:val="24"/>
          <w:szCs w:val="24"/>
        </w:rPr>
        <w:lastRenderedPageBreak/>
        <w:t xml:space="preserve">Druga državna garancija odnosi se na kreditni aranžman između EUROFIME (Specijalizovana finansijska institucija za finansiranje nabavke i opravke voznih sredstava) i Željezničkog prevoza Crne Gore a finansiranje Projekta urgentnog generalnog remonta voznih sredstava koja se </w:t>
      </w:r>
      <w:r w:rsidRPr="005C76C7">
        <w:rPr>
          <w:rFonts w:cstheme="minorHAnsi"/>
          <w:sz w:val="24"/>
          <w:szCs w:val="24"/>
          <w:lang w:val="sr-Latn-ME"/>
        </w:rPr>
        <w:t>koriste za željeznički putnički saobraćaj, u iznosu od 2 miliona eura. Ugovor o garanciji potpisan je 18. septembra 2023. godine.</w:t>
      </w:r>
    </w:p>
    <w:p w14:paraId="20747908" w14:textId="77777777" w:rsidR="00052499" w:rsidRPr="005C76C7" w:rsidRDefault="00052499" w:rsidP="005C76C7">
      <w:pPr>
        <w:jc w:val="both"/>
        <w:rPr>
          <w:rFonts w:cstheme="minorHAnsi"/>
          <w:sz w:val="24"/>
          <w:szCs w:val="24"/>
        </w:rPr>
      </w:pPr>
      <w:r w:rsidRPr="005C76C7">
        <w:rPr>
          <w:rFonts w:cstheme="minorHAnsi"/>
          <w:sz w:val="24"/>
          <w:szCs w:val="24"/>
        </w:rPr>
        <w:t xml:space="preserve">Garancije koje su izdate u prethodnih nekoliko godina najvećim dijelom se odnose na kredite kojima su realizovani različiti infrastrukturni projekti, putevi, željeznice, vodovod i kanalizacija, električna energija, obezbjeđena podrška razvoju malih i srednjih preduzeća ili restrukturiranje. </w:t>
      </w:r>
    </w:p>
    <w:p w14:paraId="2F53E1E7" w14:textId="1725EB6F" w:rsidR="00052499" w:rsidRDefault="00052499" w:rsidP="005C76C7">
      <w:pPr>
        <w:jc w:val="both"/>
        <w:rPr>
          <w:rFonts w:cstheme="minorHAnsi"/>
          <w:sz w:val="24"/>
          <w:szCs w:val="24"/>
        </w:rPr>
      </w:pPr>
      <w:r w:rsidRPr="005C76C7">
        <w:rPr>
          <w:rFonts w:cstheme="minorHAnsi"/>
          <w:sz w:val="24"/>
          <w:szCs w:val="24"/>
        </w:rPr>
        <w:t>Zaključivanje novih garancija predviđeno je Predlogom Zakona o budžetu za 2024. godinu.</w:t>
      </w:r>
    </w:p>
    <w:p w14:paraId="400E2506" w14:textId="77777777" w:rsidR="00052499" w:rsidRPr="005C76C7" w:rsidRDefault="00052499" w:rsidP="00052499">
      <w:pPr>
        <w:pStyle w:val="Heading2"/>
        <w:rPr>
          <w:rFonts w:asciiTheme="minorHAnsi" w:hAnsiTheme="minorHAnsi" w:cstheme="minorHAnsi"/>
          <w:b/>
          <w:sz w:val="24"/>
          <w:szCs w:val="24"/>
        </w:rPr>
      </w:pPr>
      <w:bookmarkStart w:id="138" w:name="_Toc153305357"/>
      <w:r w:rsidRPr="005C76C7">
        <w:rPr>
          <w:rFonts w:asciiTheme="minorHAnsi" w:hAnsiTheme="minorHAnsi" w:cstheme="minorHAnsi"/>
          <w:b/>
          <w:sz w:val="24"/>
          <w:szCs w:val="24"/>
        </w:rPr>
        <w:t>4.7. Analiza osjetljivosti i poređenje s prethodnim programom</w:t>
      </w:r>
      <w:bookmarkEnd w:id="135"/>
      <w:bookmarkEnd w:id="136"/>
      <w:bookmarkEnd w:id="138"/>
    </w:p>
    <w:p w14:paraId="79AF234E" w14:textId="77777777" w:rsidR="00052499" w:rsidRPr="005C76C7" w:rsidRDefault="00052499" w:rsidP="00052499">
      <w:pPr>
        <w:pStyle w:val="Heading3"/>
        <w:rPr>
          <w:rFonts w:asciiTheme="minorHAnsi" w:hAnsiTheme="minorHAnsi" w:cstheme="minorHAnsi"/>
          <w:b/>
          <w:color w:val="2F5496" w:themeColor="accent1" w:themeShade="BF"/>
        </w:rPr>
      </w:pPr>
      <w:bookmarkStart w:id="139" w:name="_Toc500763427"/>
      <w:bookmarkStart w:id="140" w:name="_Toc88031665"/>
      <w:bookmarkStart w:id="141" w:name="_Toc153305358"/>
      <w:r w:rsidRPr="005C76C7">
        <w:rPr>
          <w:rFonts w:asciiTheme="minorHAnsi" w:hAnsiTheme="minorHAnsi" w:cstheme="minorHAnsi"/>
          <w:b/>
          <w:color w:val="2F5496" w:themeColor="accent1" w:themeShade="BF"/>
        </w:rPr>
        <w:t>4.7.1. Osjetljivost projekcija javnih finansija na alternativne scenarije rizika</w:t>
      </w:r>
      <w:bookmarkEnd w:id="139"/>
      <w:bookmarkEnd w:id="140"/>
      <w:bookmarkEnd w:id="141"/>
    </w:p>
    <w:bookmarkEnd w:id="137"/>
    <w:p w14:paraId="4EEA5628" w14:textId="77777777" w:rsidR="00052499" w:rsidRPr="005C76C7" w:rsidRDefault="00052499" w:rsidP="005C76C7">
      <w:pPr>
        <w:jc w:val="both"/>
        <w:rPr>
          <w:rFonts w:cstheme="minorHAnsi"/>
          <w:sz w:val="24"/>
          <w:szCs w:val="24"/>
        </w:rPr>
      </w:pPr>
      <w:r w:rsidRPr="005C76C7">
        <w:rPr>
          <w:rFonts w:cstheme="minorHAnsi"/>
          <w:sz w:val="24"/>
          <w:szCs w:val="24"/>
        </w:rPr>
        <w:t>Glavni rizici u ostvarenju fiskalnih projekcija bilo pozitivni ili negativni odražavaju se na osnovni scenario javnih finansija. Pregled glavnih ekonomskih rizika po ostvarenje datih fiskalnih projekcija dat je u narednoj tabeli:</w:t>
      </w:r>
    </w:p>
    <w:p w14:paraId="0EF808E3" w14:textId="77777777" w:rsidR="00052499" w:rsidRPr="005C76C7" w:rsidRDefault="00052499" w:rsidP="00052499">
      <w:pPr>
        <w:rPr>
          <w:rFonts w:cstheme="minorHAnsi"/>
          <w:b/>
          <w:color w:val="2F5496" w:themeColor="accent1" w:themeShade="BF"/>
          <w:sz w:val="20"/>
          <w:szCs w:val="20"/>
        </w:rPr>
      </w:pPr>
      <w:r w:rsidRPr="005C76C7">
        <w:rPr>
          <w:rFonts w:cstheme="minorHAnsi"/>
          <w:b/>
          <w:color w:val="2F5496" w:themeColor="accent1" w:themeShade="BF"/>
          <w:sz w:val="20"/>
          <w:szCs w:val="20"/>
        </w:rPr>
        <w:t>Tabela 4.7.1. Pregled fiskalnih rizika u srednjem roku</w:t>
      </w:r>
    </w:p>
    <w:tbl>
      <w:tblPr>
        <w:tblW w:w="5086" w:type="pct"/>
        <w:jc w:val="center"/>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2" w:space="0" w:color="000000" w:themeColor="text1"/>
          <w:insideV w:val="single" w:sz="2" w:space="0" w:color="000000" w:themeColor="text1"/>
        </w:tblBorders>
        <w:tblCellMar>
          <w:top w:w="113" w:type="dxa"/>
          <w:bottom w:w="113" w:type="dxa"/>
        </w:tblCellMar>
        <w:tblLook w:val="04A0" w:firstRow="1" w:lastRow="0" w:firstColumn="1" w:lastColumn="0" w:noHBand="0" w:noVBand="1"/>
      </w:tblPr>
      <w:tblGrid>
        <w:gridCol w:w="686"/>
        <w:gridCol w:w="4253"/>
        <w:gridCol w:w="4535"/>
      </w:tblGrid>
      <w:tr w:rsidR="00052499" w:rsidRPr="005C76C7" w14:paraId="64275CD6" w14:textId="77777777" w:rsidTr="00052499">
        <w:trPr>
          <w:jc w:val="center"/>
        </w:trPr>
        <w:tc>
          <w:tcPr>
            <w:tcW w:w="686" w:type="dxa"/>
            <w:tcBorders>
              <w:top w:val="single" w:sz="18" w:space="0" w:color="000000" w:themeColor="text1"/>
              <w:bottom w:val="single" w:sz="18" w:space="0" w:color="000000" w:themeColor="text1"/>
              <w:right w:val="single" w:sz="18" w:space="0" w:color="000000" w:themeColor="text1"/>
            </w:tcBorders>
            <w:shd w:val="clear" w:color="auto" w:fill="D9D9D9" w:themeFill="background1" w:themeFillShade="D9"/>
            <w:vAlign w:val="center"/>
          </w:tcPr>
          <w:p w14:paraId="5C79A376" w14:textId="77777777" w:rsidR="00052499" w:rsidRPr="005C76C7" w:rsidRDefault="00052499" w:rsidP="00052499">
            <w:pPr>
              <w:rPr>
                <w:rFonts w:cstheme="minorHAnsi"/>
                <w:sz w:val="18"/>
                <w:szCs w:val="18"/>
              </w:rPr>
            </w:pPr>
            <w:r w:rsidRPr="005C76C7">
              <w:rPr>
                <w:rFonts w:cstheme="minorHAnsi"/>
                <w:sz w:val="18"/>
                <w:szCs w:val="18"/>
              </w:rPr>
              <w:t>RIZIK</w:t>
            </w:r>
          </w:p>
        </w:tc>
        <w:tc>
          <w:tcPr>
            <w:tcW w:w="4253" w:type="dxa"/>
            <w:tcBorders>
              <w:top w:val="single" w:sz="18" w:space="0" w:color="000000" w:themeColor="text1"/>
              <w:left w:val="single" w:sz="18" w:space="0" w:color="000000" w:themeColor="text1"/>
              <w:bottom w:val="single" w:sz="18" w:space="0" w:color="000000" w:themeColor="text1"/>
            </w:tcBorders>
            <w:shd w:val="clear" w:color="auto" w:fill="D9D9D9" w:themeFill="background1" w:themeFillShade="D9"/>
            <w:vAlign w:val="center"/>
          </w:tcPr>
          <w:p w14:paraId="4180CC25" w14:textId="77777777" w:rsidR="00052499" w:rsidRPr="005C76C7" w:rsidRDefault="00052499" w:rsidP="00052499">
            <w:pPr>
              <w:jc w:val="center"/>
              <w:rPr>
                <w:rFonts w:cstheme="minorHAnsi"/>
                <w:sz w:val="18"/>
                <w:szCs w:val="18"/>
              </w:rPr>
            </w:pPr>
            <w:r w:rsidRPr="005C76C7">
              <w:rPr>
                <w:rFonts w:cstheme="minorHAnsi"/>
                <w:sz w:val="18"/>
                <w:szCs w:val="18"/>
              </w:rPr>
              <w:t>POZITIVNI</w:t>
            </w:r>
          </w:p>
        </w:tc>
        <w:tc>
          <w:tcPr>
            <w:tcW w:w="4535" w:type="dxa"/>
            <w:tcBorders>
              <w:top w:val="single" w:sz="18" w:space="0" w:color="000000" w:themeColor="text1"/>
              <w:bottom w:val="single" w:sz="18" w:space="0" w:color="000000" w:themeColor="text1"/>
            </w:tcBorders>
            <w:shd w:val="clear" w:color="auto" w:fill="D9D9D9" w:themeFill="background1" w:themeFillShade="D9"/>
            <w:vAlign w:val="center"/>
          </w:tcPr>
          <w:p w14:paraId="05247EF6" w14:textId="77777777" w:rsidR="00052499" w:rsidRPr="005C76C7" w:rsidRDefault="00052499" w:rsidP="00052499">
            <w:pPr>
              <w:jc w:val="center"/>
              <w:rPr>
                <w:rFonts w:cstheme="minorHAnsi"/>
                <w:sz w:val="18"/>
                <w:szCs w:val="18"/>
              </w:rPr>
            </w:pPr>
            <w:r w:rsidRPr="005C76C7">
              <w:rPr>
                <w:rFonts w:cstheme="minorHAnsi"/>
                <w:sz w:val="18"/>
                <w:szCs w:val="18"/>
              </w:rPr>
              <w:t>NEGATIVNI</w:t>
            </w:r>
          </w:p>
        </w:tc>
      </w:tr>
      <w:tr w:rsidR="00052499" w:rsidRPr="005C76C7" w14:paraId="7852E37C" w14:textId="77777777" w:rsidTr="00052499">
        <w:trPr>
          <w:jc w:val="center"/>
        </w:trPr>
        <w:tc>
          <w:tcPr>
            <w:tcW w:w="686" w:type="dxa"/>
            <w:tcBorders>
              <w:top w:val="single" w:sz="18" w:space="0" w:color="000000" w:themeColor="text1"/>
              <w:bottom w:val="single" w:sz="2" w:space="0" w:color="000000" w:themeColor="text1"/>
              <w:right w:val="single" w:sz="18" w:space="0" w:color="000000" w:themeColor="text1"/>
            </w:tcBorders>
            <w:shd w:val="clear" w:color="auto" w:fill="D9D9D9" w:themeFill="background1" w:themeFillShade="D9"/>
            <w:textDirection w:val="btLr"/>
          </w:tcPr>
          <w:p w14:paraId="552163CB" w14:textId="77777777" w:rsidR="00052499" w:rsidRPr="005C76C7" w:rsidRDefault="00052499" w:rsidP="00052499">
            <w:pPr>
              <w:jc w:val="center"/>
              <w:rPr>
                <w:rFonts w:cstheme="minorHAnsi"/>
                <w:sz w:val="18"/>
                <w:szCs w:val="18"/>
              </w:rPr>
            </w:pPr>
            <w:r w:rsidRPr="005C76C7">
              <w:rPr>
                <w:rFonts w:cstheme="minorHAnsi"/>
                <w:sz w:val="18"/>
                <w:szCs w:val="18"/>
              </w:rPr>
              <w:t>Politički</w:t>
            </w:r>
          </w:p>
        </w:tc>
        <w:tc>
          <w:tcPr>
            <w:tcW w:w="4253" w:type="dxa"/>
            <w:tcBorders>
              <w:top w:val="single" w:sz="18" w:space="0" w:color="000000" w:themeColor="text1"/>
              <w:left w:val="single" w:sz="18" w:space="0" w:color="000000" w:themeColor="text1"/>
              <w:bottom w:val="single" w:sz="2" w:space="0" w:color="000000" w:themeColor="text1"/>
            </w:tcBorders>
            <w:vAlign w:val="center"/>
          </w:tcPr>
          <w:p w14:paraId="7CFE4BB8" w14:textId="77777777" w:rsidR="00052499" w:rsidRPr="005C76C7" w:rsidRDefault="00052499" w:rsidP="00052499">
            <w:pPr>
              <w:pStyle w:val="ListParagraph"/>
              <w:numPr>
                <w:ilvl w:val="0"/>
                <w:numId w:val="80"/>
              </w:numPr>
              <w:spacing w:after="120"/>
              <w:contextualSpacing w:val="0"/>
              <w:jc w:val="both"/>
              <w:rPr>
                <w:rFonts w:cstheme="minorHAnsi"/>
                <w:sz w:val="18"/>
                <w:szCs w:val="18"/>
              </w:rPr>
            </w:pPr>
            <w:r w:rsidRPr="005C76C7">
              <w:rPr>
                <w:rFonts w:cstheme="minorHAnsi"/>
                <w:sz w:val="18"/>
                <w:szCs w:val="18"/>
                <w:lang w:val="sr-Latn-ME"/>
              </w:rPr>
              <w:t>Napredak na putu pristupanja Evropskoj uniji uticaće na rast povjerenja investitora, unaprjeđenje poslovnog ambijenta i pristup EU fondovima;</w:t>
            </w:r>
          </w:p>
        </w:tc>
        <w:tc>
          <w:tcPr>
            <w:tcW w:w="4535" w:type="dxa"/>
            <w:tcBorders>
              <w:top w:val="single" w:sz="18" w:space="0" w:color="000000" w:themeColor="text1"/>
              <w:bottom w:val="single" w:sz="2" w:space="0" w:color="000000" w:themeColor="text1"/>
            </w:tcBorders>
            <w:vAlign w:val="center"/>
          </w:tcPr>
          <w:p w14:paraId="42ABBE0A" w14:textId="77777777" w:rsidR="00052499" w:rsidRPr="005C76C7" w:rsidRDefault="00052499" w:rsidP="00052499">
            <w:pPr>
              <w:pStyle w:val="ListParagraph"/>
              <w:numPr>
                <w:ilvl w:val="0"/>
                <w:numId w:val="80"/>
              </w:numPr>
              <w:spacing w:after="120"/>
              <w:contextualSpacing w:val="0"/>
              <w:jc w:val="both"/>
              <w:rPr>
                <w:rFonts w:cstheme="minorHAnsi"/>
                <w:sz w:val="18"/>
                <w:szCs w:val="18"/>
              </w:rPr>
            </w:pPr>
            <w:r w:rsidRPr="005C76C7">
              <w:rPr>
                <w:rFonts w:cstheme="minorHAnsi"/>
                <w:sz w:val="18"/>
                <w:szCs w:val="18"/>
                <w:lang w:val="sr-Latn-ME"/>
              </w:rPr>
              <w:t>Geopolitički rizici na globalnom nivou mogu negativno uticati na cjelokupnu svjetsku, a posljedično, na crnogorsku ekonomiju;</w:t>
            </w:r>
          </w:p>
          <w:p w14:paraId="51A66A8F" w14:textId="77777777" w:rsidR="00052499" w:rsidRPr="005C76C7" w:rsidRDefault="00052499" w:rsidP="00052499">
            <w:pPr>
              <w:pStyle w:val="ListParagraph"/>
              <w:numPr>
                <w:ilvl w:val="0"/>
                <w:numId w:val="80"/>
              </w:numPr>
              <w:spacing w:after="120"/>
              <w:contextualSpacing w:val="0"/>
              <w:jc w:val="both"/>
              <w:rPr>
                <w:rFonts w:cstheme="minorHAnsi"/>
                <w:sz w:val="18"/>
                <w:szCs w:val="18"/>
              </w:rPr>
            </w:pPr>
            <w:r w:rsidRPr="005C76C7">
              <w:rPr>
                <w:rFonts w:cstheme="minorHAnsi"/>
                <w:sz w:val="18"/>
                <w:szCs w:val="18"/>
              </w:rPr>
              <w:t>Unutrašnje političke prilike i percepcija stabilnost javnih finansija mogu dodatno uticati na povjerenje investitora i privredni rast u srednjem roku.</w:t>
            </w:r>
          </w:p>
        </w:tc>
      </w:tr>
      <w:tr w:rsidR="00052499" w:rsidRPr="005C76C7" w14:paraId="71156778" w14:textId="77777777" w:rsidTr="00052499">
        <w:trPr>
          <w:jc w:val="center"/>
        </w:trPr>
        <w:tc>
          <w:tcPr>
            <w:tcW w:w="686" w:type="dxa"/>
            <w:tcBorders>
              <w:top w:val="single" w:sz="2" w:space="0" w:color="000000" w:themeColor="text1"/>
              <w:bottom w:val="single" w:sz="18" w:space="0" w:color="000000" w:themeColor="text1"/>
              <w:right w:val="single" w:sz="18" w:space="0" w:color="000000" w:themeColor="text1"/>
            </w:tcBorders>
            <w:shd w:val="clear" w:color="auto" w:fill="D9D9D9" w:themeFill="background1" w:themeFillShade="D9"/>
            <w:textDirection w:val="btLr"/>
          </w:tcPr>
          <w:p w14:paraId="1EEE0FB3" w14:textId="77777777" w:rsidR="00052499" w:rsidRPr="005C76C7" w:rsidRDefault="00052499" w:rsidP="00052499">
            <w:pPr>
              <w:jc w:val="center"/>
              <w:rPr>
                <w:rFonts w:cstheme="minorHAnsi"/>
                <w:sz w:val="18"/>
                <w:szCs w:val="18"/>
              </w:rPr>
            </w:pPr>
            <w:r w:rsidRPr="005C76C7">
              <w:rPr>
                <w:rFonts w:cstheme="minorHAnsi"/>
                <w:sz w:val="18"/>
                <w:szCs w:val="18"/>
              </w:rPr>
              <w:t>Ekonomski</w:t>
            </w:r>
          </w:p>
        </w:tc>
        <w:tc>
          <w:tcPr>
            <w:tcW w:w="4253" w:type="dxa"/>
            <w:tcBorders>
              <w:top w:val="single" w:sz="2" w:space="0" w:color="000000" w:themeColor="text1"/>
              <w:left w:val="single" w:sz="18" w:space="0" w:color="000000" w:themeColor="text1"/>
              <w:bottom w:val="single" w:sz="18" w:space="0" w:color="000000" w:themeColor="text1"/>
            </w:tcBorders>
            <w:vAlign w:val="center"/>
          </w:tcPr>
          <w:p w14:paraId="2DDCFF0D" w14:textId="77777777" w:rsidR="00052499" w:rsidRPr="005C76C7" w:rsidRDefault="00052499" w:rsidP="005C76C7">
            <w:pPr>
              <w:pStyle w:val="ListParagraph"/>
              <w:numPr>
                <w:ilvl w:val="0"/>
                <w:numId w:val="80"/>
              </w:numPr>
              <w:spacing w:after="0"/>
              <w:contextualSpacing w:val="0"/>
              <w:jc w:val="both"/>
              <w:rPr>
                <w:rFonts w:cstheme="minorHAnsi"/>
                <w:sz w:val="18"/>
                <w:szCs w:val="18"/>
                <w:lang w:val="sr-Latn-ME"/>
              </w:rPr>
            </w:pPr>
            <w:r w:rsidRPr="005C76C7">
              <w:rPr>
                <w:rFonts w:cstheme="minorHAnsi"/>
                <w:sz w:val="18"/>
                <w:szCs w:val="18"/>
                <w:lang w:val="sr-Latn-ME"/>
              </w:rPr>
              <w:t>Sprovođenjem Plana rasta za Zapadni Balkan obezbjeđuju se dodatni prihodi za finansiranje reformi;</w:t>
            </w:r>
          </w:p>
          <w:p w14:paraId="123151F8" w14:textId="77777777" w:rsidR="00052499" w:rsidRPr="005C76C7" w:rsidRDefault="00052499" w:rsidP="005C76C7">
            <w:pPr>
              <w:pStyle w:val="ListParagraph"/>
              <w:numPr>
                <w:ilvl w:val="0"/>
                <w:numId w:val="80"/>
              </w:numPr>
              <w:spacing w:after="0"/>
              <w:contextualSpacing w:val="0"/>
              <w:jc w:val="both"/>
              <w:rPr>
                <w:rFonts w:cstheme="minorHAnsi"/>
                <w:sz w:val="18"/>
                <w:szCs w:val="18"/>
                <w:lang w:val="sr-Latn-ME"/>
              </w:rPr>
            </w:pPr>
            <w:r w:rsidRPr="005C76C7">
              <w:rPr>
                <w:rFonts w:cstheme="minorHAnsi"/>
                <w:sz w:val="18"/>
                <w:szCs w:val="18"/>
                <w:lang w:val="sr-Latn-ME"/>
              </w:rPr>
              <w:t>Reformom Uprave prihoda i carina utiče se na unaprjeđenje poslovnog ambijenta, efikasniju naplatu a samim tim i na povećanje javnih prihoda;</w:t>
            </w:r>
          </w:p>
          <w:p w14:paraId="09224C12" w14:textId="77777777" w:rsidR="00052499" w:rsidRPr="005C76C7" w:rsidRDefault="00052499" w:rsidP="005C76C7">
            <w:pPr>
              <w:pStyle w:val="ListParagraph"/>
              <w:numPr>
                <w:ilvl w:val="0"/>
                <w:numId w:val="80"/>
              </w:numPr>
              <w:spacing w:after="0"/>
              <w:contextualSpacing w:val="0"/>
              <w:jc w:val="both"/>
              <w:rPr>
                <w:rFonts w:cstheme="minorHAnsi"/>
                <w:sz w:val="18"/>
                <w:szCs w:val="18"/>
                <w:lang w:val="sr-Latn-ME"/>
              </w:rPr>
            </w:pPr>
            <w:r w:rsidRPr="005C76C7">
              <w:rPr>
                <w:rFonts w:cstheme="minorHAnsi"/>
                <w:sz w:val="18"/>
                <w:szCs w:val="18"/>
                <w:lang w:val="sr-Latn-ME"/>
              </w:rPr>
              <w:t>Pojačanim inspekcijskim nadzorom i implementacijom sistema elektronskog nadzora fiskalnih registar kasa, smanjuje se obuhvat "sive ekonomije" što pozitivno utiče na javne prihode;</w:t>
            </w:r>
          </w:p>
          <w:p w14:paraId="03CD1221" w14:textId="77777777" w:rsidR="00052499" w:rsidRPr="005C76C7" w:rsidRDefault="00052499" w:rsidP="005C76C7">
            <w:pPr>
              <w:pStyle w:val="ListParagraph"/>
              <w:numPr>
                <w:ilvl w:val="0"/>
                <w:numId w:val="80"/>
              </w:numPr>
              <w:spacing w:after="0"/>
              <w:contextualSpacing w:val="0"/>
              <w:jc w:val="both"/>
              <w:rPr>
                <w:rFonts w:cstheme="minorHAnsi"/>
                <w:sz w:val="18"/>
                <w:szCs w:val="18"/>
                <w:lang w:val="sr-Latn-ME"/>
              </w:rPr>
            </w:pPr>
            <w:r w:rsidRPr="005C76C7">
              <w:rPr>
                <w:rFonts w:cstheme="minorHAnsi"/>
                <w:sz w:val="18"/>
                <w:szCs w:val="18"/>
                <w:lang w:val="sr-Latn-ME"/>
              </w:rPr>
              <w:t>Reformama u procesu budžetiranja i u oblasti upravljanja javnim finansijama povećava se fiskalna disciplina i transparentnost javnih finansija što se pozitivno odražava na glavne fiskalne pokazatelje;</w:t>
            </w:r>
          </w:p>
          <w:p w14:paraId="6D3D2951" w14:textId="77777777" w:rsidR="00052499" w:rsidRPr="005C76C7" w:rsidRDefault="00052499" w:rsidP="005C76C7">
            <w:pPr>
              <w:pStyle w:val="ListParagraph"/>
              <w:numPr>
                <w:ilvl w:val="0"/>
                <w:numId w:val="80"/>
              </w:numPr>
              <w:spacing w:after="0"/>
              <w:contextualSpacing w:val="0"/>
              <w:jc w:val="both"/>
              <w:rPr>
                <w:rFonts w:cstheme="minorHAnsi"/>
                <w:sz w:val="18"/>
                <w:szCs w:val="18"/>
                <w:lang w:val="sr-Latn-ME"/>
              </w:rPr>
            </w:pPr>
            <w:r w:rsidRPr="005C76C7">
              <w:rPr>
                <w:rFonts w:cstheme="minorHAnsi"/>
                <w:sz w:val="18"/>
                <w:szCs w:val="18"/>
                <w:lang w:val="sr-Latn-ME"/>
              </w:rPr>
              <w:t xml:space="preserve">Implementacijom novog zakonodavnog okvira u oblasti priređivanja igara na sreću stvaraju se uslovi </w:t>
            </w:r>
            <w:r w:rsidRPr="005C76C7">
              <w:rPr>
                <w:rFonts w:cstheme="minorHAnsi"/>
                <w:sz w:val="18"/>
                <w:szCs w:val="18"/>
                <w:lang w:val="sr-Latn-ME"/>
              </w:rPr>
              <w:lastRenderedPageBreak/>
              <w:t>za ubiranje dodatnih prihoda u odnosu na planirane po ovom osnovu;</w:t>
            </w:r>
          </w:p>
          <w:p w14:paraId="5E670481" w14:textId="77777777" w:rsidR="00052499" w:rsidRPr="005C76C7" w:rsidRDefault="00052499" w:rsidP="005C76C7">
            <w:pPr>
              <w:pStyle w:val="ListParagraph"/>
              <w:numPr>
                <w:ilvl w:val="0"/>
                <w:numId w:val="80"/>
              </w:numPr>
              <w:spacing w:after="0"/>
              <w:contextualSpacing w:val="0"/>
              <w:jc w:val="both"/>
              <w:rPr>
                <w:rFonts w:cstheme="minorHAnsi"/>
                <w:sz w:val="18"/>
                <w:szCs w:val="18"/>
                <w:lang w:val="sr-Latn-ME"/>
              </w:rPr>
            </w:pPr>
            <w:r w:rsidRPr="005C76C7">
              <w:rPr>
                <w:rFonts w:cstheme="minorHAnsi"/>
                <w:sz w:val="18"/>
                <w:szCs w:val="18"/>
                <w:lang w:val="sr-Latn-ME"/>
              </w:rPr>
              <w:t>Potencijalna naplata prihoda po osnovu davanja "Aerodroma Crne Gore" AD na dugoročno korišćenje može uticati na uvećanje ukupnih javnih prihoda u srednjem i drugom roku.</w:t>
            </w:r>
          </w:p>
          <w:p w14:paraId="3124C146" w14:textId="77777777" w:rsidR="00052499" w:rsidRPr="005C76C7" w:rsidRDefault="00052499" w:rsidP="005C76C7">
            <w:pPr>
              <w:pStyle w:val="ListParagraph"/>
              <w:numPr>
                <w:ilvl w:val="0"/>
                <w:numId w:val="80"/>
              </w:numPr>
              <w:spacing w:after="0"/>
              <w:contextualSpacing w:val="0"/>
              <w:jc w:val="both"/>
              <w:rPr>
                <w:rFonts w:cstheme="minorHAnsi"/>
                <w:sz w:val="18"/>
                <w:szCs w:val="18"/>
              </w:rPr>
            </w:pPr>
            <w:r w:rsidRPr="005C76C7">
              <w:rPr>
                <w:rFonts w:cstheme="minorHAnsi"/>
                <w:sz w:val="18"/>
                <w:szCs w:val="18"/>
                <w:lang w:val="sr-Latn-ME"/>
              </w:rPr>
              <w:t xml:space="preserve">Nastavak izgradnje autoputa i stavljanje u komercijalnu upotrebu uticaće pozitivno na bolju povezanost sjeverne sa centralnom i južnom regijom, veću turističku atraktivnost i ekonomsku aktivnost </w:t>
            </w:r>
          </w:p>
        </w:tc>
        <w:tc>
          <w:tcPr>
            <w:tcW w:w="4535" w:type="dxa"/>
            <w:tcBorders>
              <w:top w:val="single" w:sz="2" w:space="0" w:color="000000" w:themeColor="text1"/>
              <w:bottom w:val="single" w:sz="18" w:space="0" w:color="000000" w:themeColor="text1"/>
            </w:tcBorders>
            <w:shd w:val="clear" w:color="auto" w:fill="auto"/>
            <w:vAlign w:val="center"/>
          </w:tcPr>
          <w:p w14:paraId="6A17704C" w14:textId="77777777" w:rsidR="00052499" w:rsidRPr="005C76C7" w:rsidRDefault="00052499" w:rsidP="00052499">
            <w:pPr>
              <w:pStyle w:val="ListParagraph"/>
              <w:numPr>
                <w:ilvl w:val="0"/>
                <w:numId w:val="80"/>
              </w:numPr>
              <w:spacing w:after="120"/>
              <w:contextualSpacing w:val="0"/>
              <w:jc w:val="both"/>
              <w:rPr>
                <w:rFonts w:cstheme="minorHAnsi"/>
                <w:sz w:val="18"/>
                <w:szCs w:val="18"/>
                <w:lang w:val="sr-Latn-ME"/>
              </w:rPr>
            </w:pPr>
            <w:r w:rsidRPr="005C76C7">
              <w:rPr>
                <w:rFonts w:cstheme="minorHAnsi"/>
                <w:sz w:val="18"/>
                <w:szCs w:val="18"/>
                <w:lang w:val="sr-Latn-ME"/>
              </w:rPr>
              <w:lastRenderedPageBreak/>
              <w:t>Ograničeni fiskalni prostor, slabija dinamika realizacije planiranih investicija kao i kašnjenje u realizaciji strukturnih reformi mogu negativno uticati na ekonomski oporavk i rast u srednjem roku</w:t>
            </w:r>
          </w:p>
          <w:p w14:paraId="203BF398" w14:textId="77777777" w:rsidR="00052499" w:rsidRPr="005C76C7" w:rsidRDefault="00052499" w:rsidP="00052499">
            <w:pPr>
              <w:pStyle w:val="ListParagraph"/>
              <w:numPr>
                <w:ilvl w:val="0"/>
                <w:numId w:val="80"/>
              </w:numPr>
              <w:spacing w:after="120"/>
              <w:contextualSpacing w:val="0"/>
              <w:jc w:val="both"/>
              <w:rPr>
                <w:rFonts w:cstheme="minorHAnsi"/>
                <w:sz w:val="18"/>
                <w:szCs w:val="18"/>
                <w:lang w:val="sr-Latn-ME"/>
              </w:rPr>
            </w:pPr>
            <w:r w:rsidRPr="005C76C7">
              <w:rPr>
                <w:rFonts w:cstheme="minorHAnsi"/>
                <w:sz w:val="18"/>
                <w:szCs w:val="18"/>
                <w:lang w:val="sr-Latn-ME"/>
              </w:rPr>
              <w:t>Dalje intenziviranje eksternih inflatornih pritisaka, koji se snažno odražavaju na domaće cijene;</w:t>
            </w:r>
          </w:p>
          <w:p w14:paraId="36FCDBD8" w14:textId="77777777" w:rsidR="00052499" w:rsidRPr="005C76C7" w:rsidRDefault="00052499" w:rsidP="00052499">
            <w:pPr>
              <w:pStyle w:val="ListParagraph"/>
              <w:numPr>
                <w:ilvl w:val="0"/>
                <w:numId w:val="80"/>
              </w:numPr>
              <w:spacing w:after="120"/>
              <w:contextualSpacing w:val="0"/>
              <w:jc w:val="both"/>
              <w:rPr>
                <w:rFonts w:cstheme="minorHAnsi"/>
                <w:sz w:val="18"/>
                <w:szCs w:val="18"/>
                <w:lang w:val="sr-Latn-ME"/>
              </w:rPr>
            </w:pPr>
            <w:r w:rsidRPr="005C76C7">
              <w:rPr>
                <w:rFonts w:cstheme="minorHAnsi"/>
                <w:sz w:val="18"/>
                <w:szCs w:val="18"/>
                <w:lang w:val="sr-Latn-ME"/>
              </w:rPr>
              <w:t>Implementacijom ESA2010 metodologije može do?i do proširenja postoje?eg institucionalnog obuhvata budžetskog ra?unovodstva u sektoru Opšte države. Shodno tome, može do?i do pove?anja deficita i duga pomenutnog sektora u srednjem roku. Sa druge strane, implementacija navedene metodologije, po istom principu, može ostvariti i pozitivne efekte na fiskalne indikatore.</w:t>
            </w:r>
          </w:p>
          <w:p w14:paraId="1D8ACE34" w14:textId="77777777" w:rsidR="00052499" w:rsidRPr="005C76C7" w:rsidRDefault="00052499" w:rsidP="00052499">
            <w:pPr>
              <w:pStyle w:val="ListParagraph"/>
              <w:numPr>
                <w:ilvl w:val="0"/>
                <w:numId w:val="80"/>
              </w:numPr>
              <w:spacing w:after="120"/>
              <w:contextualSpacing w:val="0"/>
              <w:jc w:val="both"/>
              <w:rPr>
                <w:rFonts w:cstheme="minorHAnsi"/>
                <w:sz w:val="18"/>
                <w:szCs w:val="18"/>
              </w:rPr>
            </w:pPr>
            <w:r w:rsidRPr="005C76C7">
              <w:rPr>
                <w:rFonts w:cstheme="minorHAnsi"/>
                <w:sz w:val="18"/>
                <w:szCs w:val="18"/>
                <w:lang w:val="sr-Latn-ME"/>
              </w:rPr>
              <w:lastRenderedPageBreak/>
              <w:t>Kašnjenje u implementaciji pojedinih mjera usmjerenih na povećanje javnih prihoda, utiče na izgubljene prihode države i povećava projektovani gotovinski deficit budžeta</w:t>
            </w:r>
          </w:p>
        </w:tc>
      </w:tr>
    </w:tbl>
    <w:p w14:paraId="5D2F6AD7" w14:textId="77777777" w:rsidR="00052499" w:rsidRDefault="00052499" w:rsidP="00052499"/>
    <w:p w14:paraId="7F22AADE" w14:textId="77777777" w:rsidR="00052499" w:rsidRPr="00090B3E" w:rsidRDefault="00052499" w:rsidP="00052499">
      <w:pPr>
        <w:pStyle w:val="Heading2"/>
        <w:rPr>
          <w:rFonts w:asciiTheme="minorHAnsi" w:hAnsiTheme="minorHAnsi" w:cstheme="minorHAnsi"/>
          <w:b/>
          <w:sz w:val="24"/>
          <w:szCs w:val="24"/>
        </w:rPr>
      </w:pPr>
      <w:bookmarkStart w:id="142" w:name="_Toc471829374"/>
      <w:bookmarkStart w:id="143" w:name="_Toc472088173"/>
      <w:bookmarkStart w:id="144" w:name="_Toc472088333"/>
      <w:bookmarkStart w:id="145" w:name="_Toc472147465"/>
      <w:bookmarkStart w:id="146" w:name="_Toc500763428"/>
      <w:bookmarkStart w:id="147" w:name="_Toc88031666"/>
      <w:bookmarkStart w:id="148" w:name="_Toc153305359"/>
      <w:r w:rsidRPr="00090B3E">
        <w:rPr>
          <w:rFonts w:asciiTheme="minorHAnsi" w:hAnsiTheme="minorHAnsi" w:cstheme="minorHAnsi"/>
          <w:b/>
          <w:sz w:val="24"/>
          <w:szCs w:val="24"/>
        </w:rPr>
        <w:t>4.7.2 Upoređivanje sa prethodnim programom</w:t>
      </w:r>
      <w:bookmarkEnd w:id="142"/>
      <w:bookmarkEnd w:id="143"/>
      <w:bookmarkEnd w:id="144"/>
      <w:bookmarkEnd w:id="145"/>
      <w:bookmarkEnd w:id="146"/>
      <w:bookmarkEnd w:id="147"/>
      <w:bookmarkEnd w:id="148"/>
    </w:p>
    <w:p w14:paraId="70021502" w14:textId="77777777" w:rsidR="00052499" w:rsidRPr="00090B3E" w:rsidRDefault="00052499" w:rsidP="00052499">
      <w:pPr>
        <w:pStyle w:val="Heading3"/>
        <w:rPr>
          <w:rFonts w:asciiTheme="minorHAnsi" w:hAnsiTheme="minorHAnsi" w:cstheme="minorHAnsi"/>
          <w:b/>
          <w:color w:val="2F5496" w:themeColor="accent1" w:themeShade="BF"/>
          <w:sz w:val="20"/>
          <w:szCs w:val="20"/>
        </w:rPr>
      </w:pPr>
      <w:bookmarkStart w:id="149" w:name="_Toc153305360"/>
      <w:r w:rsidRPr="00090B3E">
        <w:rPr>
          <w:rFonts w:asciiTheme="minorHAnsi" w:hAnsiTheme="minorHAnsi" w:cstheme="minorHAnsi"/>
          <w:b/>
          <w:color w:val="2F5496" w:themeColor="accent1" w:themeShade="BF"/>
          <w:sz w:val="20"/>
          <w:szCs w:val="20"/>
        </w:rPr>
        <w:t>Tabela 4.7.2 Upoređivanje sa prethodnim programom, u mil. €</w:t>
      </w:r>
      <w:bookmarkEnd w:id="149"/>
    </w:p>
    <w:tbl>
      <w:tblPr>
        <w:tblStyle w:val="TableElegant12"/>
        <w:tblW w:w="7535" w:type="dxa"/>
        <w:jc w:val="center"/>
        <w:tblLook w:val="04A0" w:firstRow="1" w:lastRow="0" w:firstColumn="1" w:lastColumn="0" w:noHBand="0" w:noVBand="1"/>
      </w:tblPr>
      <w:tblGrid>
        <w:gridCol w:w="4390"/>
        <w:gridCol w:w="875"/>
        <w:gridCol w:w="941"/>
        <w:gridCol w:w="941"/>
        <w:gridCol w:w="941"/>
      </w:tblGrid>
      <w:tr w:rsidR="00052499" w:rsidRPr="00090B3E" w14:paraId="0F1D0D74" w14:textId="77777777" w:rsidTr="00052499">
        <w:trPr>
          <w:cnfStyle w:val="100000000000" w:firstRow="1" w:lastRow="0" w:firstColumn="0" w:lastColumn="0" w:oddVBand="0" w:evenVBand="0" w:oddHBand="0" w:evenHBand="0" w:firstRowFirstColumn="0" w:firstRowLastColumn="0" w:lastRowFirstColumn="0" w:lastRowLastColumn="0"/>
          <w:trHeight w:val="300"/>
          <w:jc w:val="center"/>
        </w:trPr>
        <w:tc>
          <w:tcPr>
            <w:tcW w:w="7535" w:type="dxa"/>
            <w:gridSpan w:val="5"/>
            <w:shd w:val="clear" w:color="auto" w:fill="8EAADB" w:themeFill="accent1" w:themeFillTint="99"/>
            <w:noWrap/>
            <w:hideMark/>
          </w:tcPr>
          <w:p w14:paraId="1AECF26D" w14:textId="77777777" w:rsidR="00052499" w:rsidRPr="00090B3E" w:rsidRDefault="00052499" w:rsidP="00052499">
            <w:pPr>
              <w:jc w:val="center"/>
              <w:rPr>
                <w:rFonts w:asciiTheme="minorHAnsi" w:hAnsiTheme="minorHAnsi" w:cstheme="minorHAnsi"/>
                <w:b/>
                <w:color w:val="000000"/>
              </w:rPr>
            </w:pPr>
            <w:r w:rsidRPr="00090B3E">
              <w:rPr>
                <w:rFonts w:asciiTheme="minorHAnsi" w:hAnsiTheme="minorHAnsi" w:cstheme="minorHAnsi"/>
                <w:b/>
                <w:color w:val="000000"/>
              </w:rPr>
              <w:t>PER 2022 - 2025</w:t>
            </w:r>
          </w:p>
        </w:tc>
      </w:tr>
      <w:tr w:rsidR="00052499" w:rsidRPr="00090B3E" w14:paraId="548D6B9E" w14:textId="77777777" w:rsidTr="00052499">
        <w:trPr>
          <w:trHeight w:val="300"/>
          <w:jc w:val="center"/>
        </w:trPr>
        <w:tc>
          <w:tcPr>
            <w:tcW w:w="4390" w:type="dxa"/>
            <w:noWrap/>
            <w:hideMark/>
          </w:tcPr>
          <w:p w14:paraId="6899C40D" w14:textId="77777777" w:rsidR="00052499" w:rsidRPr="00090B3E" w:rsidRDefault="00052499" w:rsidP="00052499">
            <w:pPr>
              <w:rPr>
                <w:rFonts w:asciiTheme="minorHAnsi" w:hAnsiTheme="minorHAnsi" w:cstheme="minorHAnsi"/>
                <w:color w:val="000000"/>
              </w:rPr>
            </w:pPr>
            <w:r w:rsidRPr="00090B3E">
              <w:rPr>
                <w:rFonts w:asciiTheme="minorHAnsi" w:hAnsiTheme="minorHAnsi" w:cstheme="minorHAnsi"/>
                <w:color w:val="000000"/>
              </w:rPr>
              <w:t> </w:t>
            </w:r>
          </w:p>
        </w:tc>
        <w:tc>
          <w:tcPr>
            <w:tcW w:w="322" w:type="dxa"/>
            <w:noWrap/>
            <w:hideMark/>
          </w:tcPr>
          <w:p w14:paraId="6E03074E" w14:textId="77777777" w:rsidR="00052499" w:rsidRPr="00090B3E" w:rsidRDefault="00052499" w:rsidP="00052499">
            <w:pPr>
              <w:jc w:val="right"/>
              <w:rPr>
                <w:rFonts w:asciiTheme="minorHAnsi" w:hAnsiTheme="minorHAnsi" w:cstheme="minorHAnsi"/>
                <w:color w:val="000000"/>
              </w:rPr>
            </w:pPr>
            <w:r w:rsidRPr="00090B3E">
              <w:rPr>
                <w:rFonts w:asciiTheme="minorHAnsi" w:hAnsiTheme="minorHAnsi" w:cstheme="minorHAnsi"/>
                <w:color w:val="000000"/>
              </w:rPr>
              <w:t>2023</w:t>
            </w:r>
          </w:p>
        </w:tc>
        <w:tc>
          <w:tcPr>
            <w:tcW w:w="941" w:type="dxa"/>
            <w:noWrap/>
            <w:hideMark/>
          </w:tcPr>
          <w:p w14:paraId="053C1A59" w14:textId="77777777" w:rsidR="00052499" w:rsidRPr="00090B3E" w:rsidRDefault="00052499" w:rsidP="00052499">
            <w:pPr>
              <w:jc w:val="right"/>
              <w:rPr>
                <w:rFonts w:asciiTheme="minorHAnsi" w:hAnsiTheme="minorHAnsi" w:cstheme="minorHAnsi"/>
                <w:color w:val="000000"/>
              </w:rPr>
            </w:pPr>
            <w:r w:rsidRPr="00090B3E">
              <w:rPr>
                <w:rFonts w:asciiTheme="minorHAnsi" w:hAnsiTheme="minorHAnsi" w:cstheme="minorHAnsi"/>
                <w:color w:val="000000"/>
              </w:rPr>
              <w:t>2024</w:t>
            </w:r>
          </w:p>
        </w:tc>
        <w:tc>
          <w:tcPr>
            <w:tcW w:w="941" w:type="dxa"/>
            <w:noWrap/>
            <w:hideMark/>
          </w:tcPr>
          <w:p w14:paraId="6DCB8818" w14:textId="77777777" w:rsidR="00052499" w:rsidRPr="00090B3E" w:rsidRDefault="00052499" w:rsidP="00052499">
            <w:pPr>
              <w:jc w:val="right"/>
              <w:rPr>
                <w:rFonts w:asciiTheme="minorHAnsi" w:hAnsiTheme="minorHAnsi" w:cstheme="minorHAnsi"/>
                <w:color w:val="000000"/>
              </w:rPr>
            </w:pPr>
            <w:r w:rsidRPr="00090B3E">
              <w:rPr>
                <w:rFonts w:asciiTheme="minorHAnsi" w:hAnsiTheme="minorHAnsi" w:cstheme="minorHAnsi"/>
                <w:color w:val="000000"/>
              </w:rPr>
              <w:t>2025</w:t>
            </w:r>
          </w:p>
        </w:tc>
        <w:tc>
          <w:tcPr>
            <w:tcW w:w="941" w:type="dxa"/>
            <w:noWrap/>
            <w:hideMark/>
          </w:tcPr>
          <w:p w14:paraId="3430F0AA" w14:textId="77777777" w:rsidR="00052499" w:rsidRPr="00090B3E" w:rsidRDefault="00052499" w:rsidP="00052499">
            <w:pPr>
              <w:jc w:val="right"/>
              <w:rPr>
                <w:rFonts w:asciiTheme="minorHAnsi" w:hAnsiTheme="minorHAnsi" w:cstheme="minorHAnsi"/>
                <w:color w:val="000000"/>
              </w:rPr>
            </w:pPr>
            <w:r w:rsidRPr="00090B3E">
              <w:rPr>
                <w:rFonts w:asciiTheme="minorHAnsi" w:hAnsiTheme="minorHAnsi" w:cstheme="minorHAnsi"/>
                <w:color w:val="000000"/>
              </w:rPr>
              <w:t>2026</w:t>
            </w:r>
          </w:p>
        </w:tc>
      </w:tr>
      <w:tr w:rsidR="00052499" w:rsidRPr="00090B3E" w14:paraId="591E00C2" w14:textId="77777777" w:rsidTr="00052499">
        <w:trPr>
          <w:trHeight w:val="300"/>
          <w:jc w:val="center"/>
        </w:trPr>
        <w:tc>
          <w:tcPr>
            <w:tcW w:w="4390" w:type="dxa"/>
            <w:noWrap/>
            <w:hideMark/>
          </w:tcPr>
          <w:p w14:paraId="50667FA3" w14:textId="77777777" w:rsidR="00052499" w:rsidRPr="00090B3E" w:rsidRDefault="00052499" w:rsidP="00052499">
            <w:pPr>
              <w:rPr>
                <w:rFonts w:asciiTheme="minorHAnsi" w:hAnsiTheme="minorHAnsi" w:cstheme="minorHAnsi"/>
                <w:color w:val="000000"/>
              </w:rPr>
            </w:pPr>
            <w:r w:rsidRPr="00090B3E">
              <w:rPr>
                <w:rFonts w:asciiTheme="minorHAnsi" w:hAnsiTheme="minorHAnsi" w:cstheme="minorHAnsi"/>
                <w:color w:val="000000"/>
              </w:rPr>
              <w:t>Javni prihodi</w:t>
            </w:r>
          </w:p>
        </w:tc>
        <w:tc>
          <w:tcPr>
            <w:tcW w:w="322" w:type="dxa"/>
            <w:noWrap/>
            <w:hideMark/>
          </w:tcPr>
          <w:p w14:paraId="073B77FF" w14:textId="77777777" w:rsidR="00052499" w:rsidRPr="00090B3E" w:rsidRDefault="00052499" w:rsidP="00052499">
            <w:pPr>
              <w:jc w:val="right"/>
              <w:rPr>
                <w:rFonts w:asciiTheme="minorHAnsi" w:hAnsiTheme="minorHAnsi" w:cstheme="minorHAnsi"/>
                <w:color w:val="000000"/>
              </w:rPr>
            </w:pPr>
            <w:r w:rsidRPr="00090B3E">
              <w:rPr>
                <w:rFonts w:asciiTheme="minorHAnsi" w:hAnsiTheme="minorHAnsi" w:cstheme="minorHAnsi"/>
                <w:color w:val="000000"/>
              </w:rPr>
              <w:t>2425.95</w:t>
            </w:r>
          </w:p>
        </w:tc>
        <w:tc>
          <w:tcPr>
            <w:tcW w:w="941" w:type="dxa"/>
            <w:noWrap/>
            <w:hideMark/>
          </w:tcPr>
          <w:p w14:paraId="0F7714B5" w14:textId="77777777" w:rsidR="00052499" w:rsidRPr="00090B3E" w:rsidRDefault="00052499" w:rsidP="00052499">
            <w:pPr>
              <w:jc w:val="right"/>
              <w:rPr>
                <w:rFonts w:asciiTheme="minorHAnsi" w:hAnsiTheme="minorHAnsi" w:cstheme="minorHAnsi"/>
                <w:color w:val="000000"/>
              </w:rPr>
            </w:pPr>
            <w:r w:rsidRPr="00090B3E">
              <w:rPr>
                <w:rFonts w:asciiTheme="minorHAnsi" w:hAnsiTheme="minorHAnsi" w:cstheme="minorHAnsi"/>
                <w:color w:val="000000"/>
              </w:rPr>
              <w:t>2486.43</w:t>
            </w:r>
          </w:p>
        </w:tc>
        <w:tc>
          <w:tcPr>
            <w:tcW w:w="941" w:type="dxa"/>
            <w:noWrap/>
            <w:hideMark/>
          </w:tcPr>
          <w:p w14:paraId="66621787" w14:textId="77777777" w:rsidR="00052499" w:rsidRPr="00090B3E" w:rsidRDefault="00052499" w:rsidP="00052499">
            <w:pPr>
              <w:jc w:val="right"/>
              <w:rPr>
                <w:rFonts w:asciiTheme="minorHAnsi" w:hAnsiTheme="minorHAnsi" w:cstheme="minorHAnsi"/>
                <w:color w:val="000000"/>
              </w:rPr>
            </w:pPr>
            <w:r w:rsidRPr="00090B3E">
              <w:rPr>
                <w:rFonts w:asciiTheme="minorHAnsi" w:hAnsiTheme="minorHAnsi" w:cstheme="minorHAnsi"/>
                <w:color w:val="000000"/>
              </w:rPr>
              <w:t>2603.68</w:t>
            </w:r>
          </w:p>
        </w:tc>
        <w:tc>
          <w:tcPr>
            <w:tcW w:w="941" w:type="dxa"/>
            <w:noWrap/>
            <w:hideMark/>
          </w:tcPr>
          <w:p w14:paraId="5C2D8396" w14:textId="77777777" w:rsidR="00052499" w:rsidRPr="00090B3E" w:rsidRDefault="00052499" w:rsidP="00052499">
            <w:pPr>
              <w:rPr>
                <w:rFonts w:asciiTheme="minorHAnsi" w:hAnsiTheme="minorHAnsi" w:cstheme="minorHAnsi"/>
                <w:color w:val="000000"/>
              </w:rPr>
            </w:pPr>
            <w:r w:rsidRPr="00090B3E">
              <w:rPr>
                <w:rFonts w:asciiTheme="minorHAnsi" w:hAnsiTheme="minorHAnsi" w:cstheme="minorHAnsi"/>
                <w:color w:val="000000"/>
              </w:rPr>
              <w:t> </w:t>
            </w:r>
          </w:p>
        </w:tc>
      </w:tr>
      <w:tr w:rsidR="00052499" w:rsidRPr="00090B3E" w14:paraId="32980FED" w14:textId="77777777" w:rsidTr="00052499">
        <w:trPr>
          <w:trHeight w:val="300"/>
          <w:jc w:val="center"/>
        </w:trPr>
        <w:tc>
          <w:tcPr>
            <w:tcW w:w="4390" w:type="dxa"/>
            <w:noWrap/>
            <w:hideMark/>
          </w:tcPr>
          <w:p w14:paraId="6F100890" w14:textId="77777777" w:rsidR="00052499" w:rsidRPr="00090B3E" w:rsidRDefault="00052499" w:rsidP="00052499">
            <w:pPr>
              <w:rPr>
                <w:rFonts w:asciiTheme="minorHAnsi" w:hAnsiTheme="minorHAnsi" w:cstheme="minorHAnsi"/>
                <w:color w:val="000000"/>
              </w:rPr>
            </w:pPr>
            <w:r w:rsidRPr="00090B3E">
              <w:rPr>
                <w:rFonts w:asciiTheme="minorHAnsi" w:hAnsiTheme="minorHAnsi" w:cstheme="minorHAnsi"/>
                <w:color w:val="000000"/>
              </w:rPr>
              <w:t>Javna potrošnja</w:t>
            </w:r>
          </w:p>
        </w:tc>
        <w:tc>
          <w:tcPr>
            <w:tcW w:w="322" w:type="dxa"/>
            <w:noWrap/>
            <w:hideMark/>
          </w:tcPr>
          <w:p w14:paraId="55256057" w14:textId="77777777" w:rsidR="00052499" w:rsidRPr="00090B3E" w:rsidRDefault="00052499" w:rsidP="00052499">
            <w:pPr>
              <w:jc w:val="right"/>
              <w:rPr>
                <w:rFonts w:asciiTheme="minorHAnsi" w:hAnsiTheme="minorHAnsi" w:cstheme="minorHAnsi"/>
                <w:color w:val="000000"/>
              </w:rPr>
            </w:pPr>
            <w:r w:rsidRPr="00090B3E">
              <w:rPr>
                <w:rFonts w:asciiTheme="minorHAnsi" w:hAnsiTheme="minorHAnsi" w:cstheme="minorHAnsi"/>
                <w:color w:val="000000"/>
              </w:rPr>
              <w:t>2790.87</w:t>
            </w:r>
          </w:p>
        </w:tc>
        <w:tc>
          <w:tcPr>
            <w:tcW w:w="941" w:type="dxa"/>
            <w:noWrap/>
            <w:hideMark/>
          </w:tcPr>
          <w:p w14:paraId="15EDD654" w14:textId="77777777" w:rsidR="00052499" w:rsidRPr="00090B3E" w:rsidRDefault="00052499" w:rsidP="00052499">
            <w:pPr>
              <w:jc w:val="right"/>
              <w:rPr>
                <w:rFonts w:asciiTheme="minorHAnsi" w:hAnsiTheme="minorHAnsi" w:cstheme="minorHAnsi"/>
                <w:color w:val="000000"/>
              </w:rPr>
            </w:pPr>
            <w:r w:rsidRPr="00090B3E">
              <w:rPr>
                <w:rFonts w:asciiTheme="minorHAnsi" w:hAnsiTheme="minorHAnsi" w:cstheme="minorHAnsi"/>
                <w:color w:val="000000"/>
              </w:rPr>
              <w:t>2892.81</w:t>
            </w:r>
          </w:p>
        </w:tc>
        <w:tc>
          <w:tcPr>
            <w:tcW w:w="941" w:type="dxa"/>
            <w:noWrap/>
            <w:hideMark/>
          </w:tcPr>
          <w:p w14:paraId="60441D7E" w14:textId="77777777" w:rsidR="00052499" w:rsidRPr="00090B3E" w:rsidRDefault="00052499" w:rsidP="00052499">
            <w:pPr>
              <w:jc w:val="right"/>
              <w:rPr>
                <w:rFonts w:asciiTheme="minorHAnsi" w:hAnsiTheme="minorHAnsi" w:cstheme="minorHAnsi"/>
                <w:color w:val="000000"/>
              </w:rPr>
            </w:pPr>
            <w:r w:rsidRPr="00090B3E">
              <w:rPr>
                <w:rFonts w:asciiTheme="minorHAnsi" w:hAnsiTheme="minorHAnsi" w:cstheme="minorHAnsi"/>
                <w:color w:val="000000"/>
              </w:rPr>
              <w:t>3031.48</w:t>
            </w:r>
          </w:p>
        </w:tc>
        <w:tc>
          <w:tcPr>
            <w:tcW w:w="941" w:type="dxa"/>
            <w:noWrap/>
            <w:hideMark/>
          </w:tcPr>
          <w:p w14:paraId="302C67D4" w14:textId="77777777" w:rsidR="00052499" w:rsidRPr="00090B3E" w:rsidRDefault="00052499" w:rsidP="00052499">
            <w:pPr>
              <w:rPr>
                <w:rFonts w:asciiTheme="minorHAnsi" w:hAnsiTheme="minorHAnsi" w:cstheme="minorHAnsi"/>
                <w:color w:val="000000"/>
              </w:rPr>
            </w:pPr>
            <w:r w:rsidRPr="00090B3E">
              <w:rPr>
                <w:rFonts w:asciiTheme="minorHAnsi" w:hAnsiTheme="minorHAnsi" w:cstheme="minorHAnsi"/>
                <w:color w:val="000000"/>
              </w:rPr>
              <w:t> </w:t>
            </w:r>
          </w:p>
        </w:tc>
      </w:tr>
      <w:tr w:rsidR="00052499" w:rsidRPr="00090B3E" w14:paraId="3905BB25" w14:textId="77777777" w:rsidTr="00052499">
        <w:trPr>
          <w:trHeight w:val="300"/>
          <w:jc w:val="center"/>
        </w:trPr>
        <w:tc>
          <w:tcPr>
            <w:tcW w:w="4390" w:type="dxa"/>
            <w:noWrap/>
            <w:hideMark/>
          </w:tcPr>
          <w:p w14:paraId="0EA7BDC2" w14:textId="77777777" w:rsidR="00052499" w:rsidRPr="00090B3E" w:rsidRDefault="00052499" w:rsidP="00052499">
            <w:pPr>
              <w:rPr>
                <w:rFonts w:asciiTheme="minorHAnsi" w:hAnsiTheme="minorHAnsi" w:cstheme="minorHAnsi"/>
                <w:color w:val="000000"/>
              </w:rPr>
            </w:pPr>
            <w:r w:rsidRPr="00090B3E">
              <w:rPr>
                <w:rFonts w:asciiTheme="minorHAnsi" w:hAnsiTheme="minorHAnsi" w:cstheme="minorHAnsi"/>
                <w:color w:val="000000"/>
              </w:rPr>
              <w:t>Sufict/deficit javnih finansija</w:t>
            </w:r>
          </w:p>
        </w:tc>
        <w:tc>
          <w:tcPr>
            <w:tcW w:w="322" w:type="dxa"/>
            <w:noWrap/>
            <w:hideMark/>
          </w:tcPr>
          <w:p w14:paraId="542779F7" w14:textId="77777777" w:rsidR="00052499" w:rsidRPr="00090B3E" w:rsidRDefault="00052499" w:rsidP="00052499">
            <w:pPr>
              <w:jc w:val="right"/>
              <w:rPr>
                <w:rFonts w:asciiTheme="minorHAnsi" w:hAnsiTheme="minorHAnsi" w:cstheme="minorHAnsi"/>
                <w:color w:val="000000"/>
              </w:rPr>
            </w:pPr>
            <w:r w:rsidRPr="00090B3E">
              <w:rPr>
                <w:rFonts w:asciiTheme="minorHAnsi" w:hAnsiTheme="minorHAnsi" w:cstheme="minorHAnsi"/>
                <w:color w:val="000000"/>
              </w:rPr>
              <w:t>-364.92</w:t>
            </w:r>
          </w:p>
        </w:tc>
        <w:tc>
          <w:tcPr>
            <w:tcW w:w="941" w:type="dxa"/>
            <w:noWrap/>
            <w:hideMark/>
          </w:tcPr>
          <w:p w14:paraId="097EE54E" w14:textId="77777777" w:rsidR="00052499" w:rsidRPr="00090B3E" w:rsidRDefault="00052499" w:rsidP="00052499">
            <w:pPr>
              <w:jc w:val="right"/>
              <w:rPr>
                <w:rFonts w:asciiTheme="minorHAnsi" w:hAnsiTheme="minorHAnsi" w:cstheme="minorHAnsi"/>
                <w:color w:val="000000"/>
              </w:rPr>
            </w:pPr>
            <w:r w:rsidRPr="00090B3E">
              <w:rPr>
                <w:rFonts w:asciiTheme="minorHAnsi" w:hAnsiTheme="minorHAnsi" w:cstheme="minorHAnsi"/>
                <w:color w:val="000000"/>
              </w:rPr>
              <w:t>-406.38</w:t>
            </w:r>
          </w:p>
        </w:tc>
        <w:tc>
          <w:tcPr>
            <w:tcW w:w="941" w:type="dxa"/>
            <w:noWrap/>
            <w:hideMark/>
          </w:tcPr>
          <w:p w14:paraId="642F9C61" w14:textId="77777777" w:rsidR="00052499" w:rsidRPr="00090B3E" w:rsidRDefault="00052499" w:rsidP="00052499">
            <w:pPr>
              <w:jc w:val="right"/>
              <w:rPr>
                <w:rFonts w:asciiTheme="minorHAnsi" w:hAnsiTheme="minorHAnsi" w:cstheme="minorHAnsi"/>
                <w:color w:val="000000"/>
              </w:rPr>
            </w:pPr>
            <w:r w:rsidRPr="00090B3E">
              <w:rPr>
                <w:rFonts w:asciiTheme="minorHAnsi" w:hAnsiTheme="minorHAnsi" w:cstheme="minorHAnsi"/>
                <w:color w:val="000000"/>
              </w:rPr>
              <w:t>-427.8</w:t>
            </w:r>
          </w:p>
        </w:tc>
        <w:tc>
          <w:tcPr>
            <w:tcW w:w="941" w:type="dxa"/>
            <w:noWrap/>
            <w:hideMark/>
          </w:tcPr>
          <w:p w14:paraId="118F142D" w14:textId="77777777" w:rsidR="00052499" w:rsidRPr="00090B3E" w:rsidRDefault="00052499" w:rsidP="00052499">
            <w:pPr>
              <w:rPr>
                <w:rFonts w:asciiTheme="minorHAnsi" w:hAnsiTheme="minorHAnsi" w:cstheme="minorHAnsi"/>
                <w:color w:val="000000"/>
              </w:rPr>
            </w:pPr>
            <w:r w:rsidRPr="00090B3E">
              <w:rPr>
                <w:rFonts w:asciiTheme="minorHAnsi" w:hAnsiTheme="minorHAnsi" w:cstheme="minorHAnsi"/>
                <w:color w:val="000000"/>
              </w:rPr>
              <w:t> </w:t>
            </w:r>
          </w:p>
        </w:tc>
      </w:tr>
      <w:tr w:rsidR="00052499" w:rsidRPr="00090B3E" w14:paraId="1E7D84D2" w14:textId="77777777" w:rsidTr="00052499">
        <w:trPr>
          <w:trHeight w:val="300"/>
          <w:jc w:val="center"/>
        </w:trPr>
        <w:tc>
          <w:tcPr>
            <w:tcW w:w="4390" w:type="dxa"/>
            <w:noWrap/>
            <w:hideMark/>
          </w:tcPr>
          <w:p w14:paraId="2BE94825" w14:textId="77777777" w:rsidR="00052499" w:rsidRPr="00090B3E" w:rsidRDefault="00052499" w:rsidP="00052499">
            <w:pPr>
              <w:rPr>
                <w:rFonts w:asciiTheme="minorHAnsi" w:hAnsiTheme="minorHAnsi" w:cstheme="minorHAnsi"/>
                <w:color w:val="000000"/>
              </w:rPr>
            </w:pPr>
          </w:p>
        </w:tc>
        <w:tc>
          <w:tcPr>
            <w:tcW w:w="322" w:type="dxa"/>
            <w:noWrap/>
            <w:hideMark/>
          </w:tcPr>
          <w:p w14:paraId="2F8174C8" w14:textId="77777777" w:rsidR="00052499" w:rsidRPr="00090B3E" w:rsidRDefault="00052499" w:rsidP="00052499">
            <w:pPr>
              <w:rPr>
                <w:rFonts w:asciiTheme="minorHAnsi" w:hAnsiTheme="minorHAnsi" w:cstheme="minorHAnsi"/>
              </w:rPr>
            </w:pPr>
          </w:p>
        </w:tc>
        <w:tc>
          <w:tcPr>
            <w:tcW w:w="941" w:type="dxa"/>
            <w:noWrap/>
            <w:hideMark/>
          </w:tcPr>
          <w:p w14:paraId="1469DF1F" w14:textId="77777777" w:rsidR="00052499" w:rsidRPr="00090B3E" w:rsidRDefault="00052499" w:rsidP="00052499">
            <w:pPr>
              <w:rPr>
                <w:rFonts w:asciiTheme="minorHAnsi" w:hAnsiTheme="minorHAnsi" w:cstheme="minorHAnsi"/>
              </w:rPr>
            </w:pPr>
          </w:p>
        </w:tc>
        <w:tc>
          <w:tcPr>
            <w:tcW w:w="941" w:type="dxa"/>
            <w:noWrap/>
            <w:hideMark/>
          </w:tcPr>
          <w:p w14:paraId="3CA16029" w14:textId="77777777" w:rsidR="00052499" w:rsidRPr="00090B3E" w:rsidRDefault="00052499" w:rsidP="00052499">
            <w:pPr>
              <w:rPr>
                <w:rFonts w:asciiTheme="minorHAnsi" w:hAnsiTheme="minorHAnsi" w:cstheme="minorHAnsi"/>
              </w:rPr>
            </w:pPr>
          </w:p>
        </w:tc>
        <w:tc>
          <w:tcPr>
            <w:tcW w:w="941" w:type="dxa"/>
            <w:noWrap/>
            <w:hideMark/>
          </w:tcPr>
          <w:p w14:paraId="15F2CBB4" w14:textId="77777777" w:rsidR="00052499" w:rsidRPr="00090B3E" w:rsidRDefault="00052499" w:rsidP="00052499">
            <w:pPr>
              <w:rPr>
                <w:rFonts w:asciiTheme="minorHAnsi" w:hAnsiTheme="minorHAnsi" w:cstheme="minorHAnsi"/>
              </w:rPr>
            </w:pPr>
          </w:p>
        </w:tc>
      </w:tr>
      <w:tr w:rsidR="00052499" w:rsidRPr="00090B3E" w14:paraId="212AE1C6" w14:textId="77777777" w:rsidTr="00052499">
        <w:trPr>
          <w:trHeight w:val="300"/>
          <w:jc w:val="center"/>
        </w:trPr>
        <w:tc>
          <w:tcPr>
            <w:tcW w:w="7535" w:type="dxa"/>
            <w:gridSpan w:val="5"/>
            <w:shd w:val="clear" w:color="auto" w:fill="8EAADB" w:themeFill="accent1" w:themeFillTint="99"/>
            <w:noWrap/>
            <w:hideMark/>
          </w:tcPr>
          <w:p w14:paraId="505D2A41" w14:textId="77777777" w:rsidR="00052499" w:rsidRPr="00090B3E" w:rsidRDefault="00052499" w:rsidP="00052499">
            <w:pPr>
              <w:jc w:val="center"/>
              <w:rPr>
                <w:rFonts w:asciiTheme="minorHAnsi" w:hAnsiTheme="minorHAnsi" w:cstheme="minorHAnsi"/>
                <w:b/>
                <w:color w:val="000000"/>
              </w:rPr>
            </w:pPr>
            <w:r w:rsidRPr="00090B3E">
              <w:rPr>
                <w:rFonts w:asciiTheme="minorHAnsi" w:hAnsiTheme="minorHAnsi" w:cstheme="minorHAnsi"/>
                <w:b/>
                <w:color w:val="000000"/>
              </w:rPr>
              <w:t>PER 2023 - 2026</w:t>
            </w:r>
          </w:p>
        </w:tc>
      </w:tr>
      <w:tr w:rsidR="00052499" w:rsidRPr="00090B3E" w14:paraId="00F3D5B9" w14:textId="77777777" w:rsidTr="00052499">
        <w:trPr>
          <w:trHeight w:val="300"/>
          <w:jc w:val="center"/>
        </w:trPr>
        <w:tc>
          <w:tcPr>
            <w:tcW w:w="4390" w:type="dxa"/>
            <w:noWrap/>
            <w:hideMark/>
          </w:tcPr>
          <w:p w14:paraId="05241A76" w14:textId="77777777" w:rsidR="00052499" w:rsidRPr="00090B3E" w:rsidRDefault="00052499" w:rsidP="00052499">
            <w:pPr>
              <w:rPr>
                <w:rFonts w:asciiTheme="minorHAnsi" w:hAnsiTheme="minorHAnsi" w:cstheme="minorHAnsi"/>
                <w:color w:val="000000"/>
              </w:rPr>
            </w:pPr>
            <w:r w:rsidRPr="00090B3E">
              <w:rPr>
                <w:rFonts w:asciiTheme="minorHAnsi" w:hAnsiTheme="minorHAnsi" w:cstheme="minorHAnsi"/>
                <w:color w:val="000000"/>
              </w:rPr>
              <w:t> </w:t>
            </w:r>
          </w:p>
        </w:tc>
        <w:tc>
          <w:tcPr>
            <w:tcW w:w="322" w:type="dxa"/>
            <w:noWrap/>
            <w:hideMark/>
          </w:tcPr>
          <w:p w14:paraId="5517D6D1" w14:textId="77777777" w:rsidR="00052499" w:rsidRPr="00090B3E" w:rsidRDefault="00052499" w:rsidP="00052499">
            <w:pPr>
              <w:jc w:val="right"/>
              <w:rPr>
                <w:rFonts w:asciiTheme="minorHAnsi" w:hAnsiTheme="minorHAnsi" w:cstheme="minorHAnsi"/>
                <w:color w:val="000000"/>
              </w:rPr>
            </w:pPr>
            <w:r w:rsidRPr="00090B3E">
              <w:rPr>
                <w:rFonts w:asciiTheme="minorHAnsi" w:hAnsiTheme="minorHAnsi" w:cstheme="minorHAnsi"/>
                <w:color w:val="000000"/>
              </w:rPr>
              <w:t>2023</w:t>
            </w:r>
          </w:p>
        </w:tc>
        <w:tc>
          <w:tcPr>
            <w:tcW w:w="941" w:type="dxa"/>
            <w:noWrap/>
            <w:hideMark/>
          </w:tcPr>
          <w:p w14:paraId="0E98E160" w14:textId="77777777" w:rsidR="00052499" w:rsidRPr="00090B3E" w:rsidRDefault="00052499" w:rsidP="00052499">
            <w:pPr>
              <w:jc w:val="right"/>
              <w:rPr>
                <w:rFonts w:asciiTheme="minorHAnsi" w:hAnsiTheme="minorHAnsi" w:cstheme="minorHAnsi"/>
                <w:color w:val="000000"/>
              </w:rPr>
            </w:pPr>
            <w:r w:rsidRPr="00090B3E">
              <w:rPr>
                <w:rFonts w:asciiTheme="minorHAnsi" w:hAnsiTheme="minorHAnsi" w:cstheme="minorHAnsi"/>
                <w:color w:val="000000"/>
              </w:rPr>
              <w:t>2024</w:t>
            </w:r>
          </w:p>
        </w:tc>
        <w:tc>
          <w:tcPr>
            <w:tcW w:w="941" w:type="dxa"/>
            <w:noWrap/>
            <w:hideMark/>
          </w:tcPr>
          <w:p w14:paraId="1A0AE45D" w14:textId="77777777" w:rsidR="00052499" w:rsidRPr="00090B3E" w:rsidRDefault="00052499" w:rsidP="00052499">
            <w:pPr>
              <w:jc w:val="right"/>
              <w:rPr>
                <w:rFonts w:asciiTheme="minorHAnsi" w:hAnsiTheme="minorHAnsi" w:cstheme="minorHAnsi"/>
                <w:color w:val="000000"/>
              </w:rPr>
            </w:pPr>
            <w:r w:rsidRPr="00090B3E">
              <w:rPr>
                <w:rFonts w:asciiTheme="minorHAnsi" w:hAnsiTheme="minorHAnsi" w:cstheme="minorHAnsi"/>
                <w:color w:val="000000"/>
              </w:rPr>
              <w:t>2025</w:t>
            </w:r>
          </w:p>
        </w:tc>
        <w:tc>
          <w:tcPr>
            <w:tcW w:w="941" w:type="dxa"/>
            <w:noWrap/>
            <w:hideMark/>
          </w:tcPr>
          <w:p w14:paraId="2EE77803" w14:textId="77777777" w:rsidR="00052499" w:rsidRPr="00090B3E" w:rsidRDefault="00052499" w:rsidP="00052499">
            <w:pPr>
              <w:jc w:val="right"/>
              <w:rPr>
                <w:rFonts w:asciiTheme="minorHAnsi" w:hAnsiTheme="minorHAnsi" w:cstheme="minorHAnsi"/>
                <w:color w:val="000000"/>
              </w:rPr>
            </w:pPr>
            <w:r w:rsidRPr="00090B3E">
              <w:rPr>
                <w:rFonts w:asciiTheme="minorHAnsi" w:hAnsiTheme="minorHAnsi" w:cstheme="minorHAnsi"/>
                <w:color w:val="000000"/>
              </w:rPr>
              <w:t>2026</w:t>
            </w:r>
          </w:p>
        </w:tc>
      </w:tr>
      <w:tr w:rsidR="00052499" w:rsidRPr="00090B3E" w14:paraId="26197B42" w14:textId="77777777" w:rsidTr="00052499">
        <w:trPr>
          <w:trHeight w:val="300"/>
          <w:jc w:val="center"/>
        </w:trPr>
        <w:tc>
          <w:tcPr>
            <w:tcW w:w="4390" w:type="dxa"/>
            <w:noWrap/>
            <w:hideMark/>
          </w:tcPr>
          <w:p w14:paraId="255ACA63" w14:textId="77777777" w:rsidR="00052499" w:rsidRPr="00090B3E" w:rsidRDefault="00052499" w:rsidP="00052499">
            <w:pPr>
              <w:rPr>
                <w:rFonts w:asciiTheme="minorHAnsi" w:hAnsiTheme="minorHAnsi" w:cstheme="minorHAnsi"/>
                <w:color w:val="000000"/>
              </w:rPr>
            </w:pPr>
            <w:r w:rsidRPr="00090B3E">
              <w:rPr>
                <w:rFonts w:asciiTheme="minorHAnsi" w:hAnsiTheme="minorHAnsi" w:cstheme="minorHAnsi"/>
                <w:color w:val="000000"/>
              </w:rPr>
              <w:t>Javni prihodi</w:t>
            </w:r>
          </w:p>
        </w:tc>
        <w:tc>
          <w:tcPr>
            <w:tcW w:w="322" w:type="dxa"/>
            <w:noWrap/>
            <w:hideMark/>
          </w:tcPr>
          <w:p w14:paraId="271309F0" w14:textId="77777777" w:rsidR="00052499" w:rsidRPr="00090B3E" w:rsidRDefault="00052499" w:rsidP="00052499">
            <w:pPr>
              <w:jc w:val="right"/>
              <w:rPr>
                <w:rFonts w:asciiTheme="minorHAnsi" w:hAnsiTheme="minorHAnsi" w:cstheme="minorHAnsi"/>
                <w:color w:val="000000"/>
              </w:rPr>
            </w:pPr>
            <w:r w:rsidRPr="00090B3E">
              <w:rPr>
                <w:rFonts w:asciiTheme="minorHAnsi" w:hAnsiTheme="minorHAnsi" w:cstheme="minorHAnsi"/>
                <w:color w:val="000000"/>
              </w:rPr>
              <w:t>2760.06</w:t>
            </w:r>
          </w:p>
        </w:tc>
        <w:tc>
          <w:tcPr>
            <w:tcW w:w="941" w:type="dxa"/>
            <w:noWrap/>
            <w:hideMark/>
          </w:tcPr>
          <w:p w14:paraId="20711697" w14:textId="77777777" w:rsidR="00052499" w:rsidRPr="00090B3E" w:rsidRDefault="00052499" w:rsidP="00052499">
            <w:pPr>
              <w:jc w:val="right"/>
              <w:rPr>
                <w:rFonts w:asciiTheme="minorHAnsi" w:hAnsiTheme="minorHAnsi" w:cstheme="minorHAnsi"/>
                <w:color w:val="000000"/>
              </w:rPr>
            </w:pPr>
            <w:r w:rsidRPr="00090B3E">
              <w:rPr>
                <w:rFonts w:asciiTheme="minorHAnsi" w:hAnsiTheme="minorHAnsi" w:cstheme="minorHAnsi"/>
                <w:color w:val="000000"/>
              </w:rPr>
              <w:t>3082.28</w:t>
            </w:r>
          </w:p>
        </w:tc>
        <w:tc>
          <w:tcPr>
            <w:tcW w:w="941" w:type="dxa"/>
            <w:noWrap/>
            <w:hideMark/>
          </w:tcPr>
          <w:p w14:paraId="2D7C6B3F" w14:textId="77777777" w:rsidR="00052499" w:rsidRPr="00090B3E" w:rsidRDefault="00052499" w:rsidP="00052499">
            <w:pPr>
              <w:jc w:val="right"/>
              <w:rPr>
                <w:rFonts w:asciiTheme="minorHAnsi" w:hAnsiTheme="minorHAnsi" w:cstheme="minorHAnsi"/>
                <w:color w:val="000000"/>
              </w:rPr>
            </w:pPr>
            <w:r w:rsidRPr="00090B3E">
              <w:rPr>
                <w:rFonts w:asciiTheme="minorHAnsi" w:hAnsiTheme="minorHAnsi" w:cstheme="minorHAnsi"/>
                <w:color w:val="000000"/>
              </w:rPr>
              <w:t>3200.82</w:t>
            </w:r>
          </w:p>
        </w:tc>
        <w:tc>
          <w:tcPr>
            <w:tcW w:w="941" w:type="dxa"/>
            <w:noWrap/>
            <w:hideMark/>
          </w:tcPr>
          <w:p w14:paraId="192B1D8D" w14:textId="77777777" w:rsidR="00052499" w:rsidRPr="00090B3E" w:rsidRDefault="00052499" w:rsidP="00052499">
            <w:pPr>
              <w:jc w:val="right"/>
              <w:rPr>
                <w:rFonts w:asciiTheme="minorHAnsi" w:hAnsiTheme="minorHAnsi" w:cstheme="minorHAnsi"/>
                <w:color w:val="000000"/>
              </w:rPr>
            </w:pPr>
            <w:r w:rsidRPr="00090B3E">
              <w:rPr>
                <w:rFonts w:asciiTheme="minorHAnsi" w:hAnsiTheme="minorHAnsi" w:cstheme="minorHAnsi"/>
                <w:color w:val="000000"/>
              </w:rPr>
              <w:t>3325.15</w:t>
            </w:r>
          </w:p>
        </w:tc>
      </w:tr>
      <w:tr w:rsidR="00052499" w:rsidRPr="00090B3E" w14:paraId="3C4193B5" w14:textId="77777777" w:rsidTr="00052499">
        <w:trPr>
          <w:trHeight w:val="300"/>
          <w:jc w:val="center"/>
        </w:trPr>
        <w:tc>
          <w:tcPr>
            <w:tcW w:w="4390" w:type="dxa"/>
            <w:noWrap/>
            <w:hideMark/>
          </w:tcPr>
          <w:p w14:paraId="3A9A6AAE" w14:textId="77777777" w:rsidR="00052499" w:rsidRPr="00090B3E" w:rsidRDefault="00052499" w:rsidP="00052499">
            <w:pPr>
              <w:rPr>
                <w:rFonts w:asciiTheme="minorHAnsi" w:hAnsiTheme="minorHAnsi" w:cstheme="minorHAnsi"/>
                <w:color w:val="000000"/>
              </w:rPr>
            </w:pPr>
            <w:r w:rsidRPr="00090B3E">
              <w:rPr>
                <w:rFonts w:asciiTheme="minorHAnsi" w:hAnsiTheme="minorHAnsi" w:cstheme="minorHAnsi"/>
                <w:color w:val="000000"/>
              </w:rPr>
              <w:t>Javna potrošnja</w:t>
            </w:r>
          </w:p>
        </w:tc>
        <w:tc>
          <w:tcPr>
            <w:tcW w:w="322" w:type="dxa"/>
            <w:noWrap/>
            <w:hideMark/>
          </w:tcPr>
          <w:p w14:paraId="50FB7348" w14:textId="77777777" w:rsidR="00052499" w:rsidRPr="00090B3E" w:rsidRDefault="00052499" w:rsidP="00052499">
            <w:pPr>
              <w:jc w:val="right"/>
              <w:rPr>
                <w:rFonts w:asciiTheme="minorHAnsi" w:hAnsiTheme="minorHAnsi" w:cstheme="minorHAnsi"/>
                <w:color w:val="000000"/>
              </w:rPr>
            </w:pPr>
            <w:r w:rsidRPr="00090B3E">
              <w:rPr>
                <w:rFonts w:asciiTheme="minorHAnsi" w:hAnsiTheme="minorHAnsi" w:cstheme="minorHAnsi"/>
                <w:color w:val="000000"/>
              </w:rPr>
              <w:t>3076.42</w:t>
            </w:r>
          </w:p>
        </w:tc>
        <w:tc>
          <w:tcPr>
            <w:tcW w:w="941" w:type="dxa"/>
            <w:noWrap/>
            <w:hideMark/>
          </w:tcPr>
          <w:p w14:paraId="5982800D" w14:textId="77777777" w:rsidR="00052499" w:rsidRPr="00090B3E" w:rsidRDefault="00052499" w:rsidP="00052499">
            <w:pPr>
              <w:jc w:val="right"/>
              <w:rPr>
                <w:rFonts w:asciiTheme="minorHAnsi" w:hAnsiTheme="minorHAnsi" w:cstheme="minorHAnsi"/>
                <w:color w:val="000000"/>
              </w:rPr>
            </w:pPr>
            <w:r w:rsidRPr="00090B3E">
              <w:rPr>
                <w:rFonts w:asciiTheme="minorHAnsi" w:hAnsiTheme="minorHAnsi" w:cstheme="minorHAnsi"/>
                <w:color w:val="000000"/>
              </w:rPr>
              <w:t>3358.66</w:t>
            </w:r>
          </w:p>
        </w:tc>
        <w:tc>
          <w:tcPr>
            <w:tcW w:w="941" w:type="dxa"/>
            <w:noWrap/>
            <w:hideMark/>
          </w:tcPr>
          <w:p w14:paraId="7E7745F7" w14:textId="77777777" w:rsidR="00052499" w:rsidRPr="00090B3E" w:rsidRDefault="00052499" w:rsidP="00052499">
            <w:pPr>
              <w:jc w:val="right"/>
              <w:rPr>
                <w:rFonts w:asciiTheme="minorHAnsi" w:hAnsiTheme="minorHAnsi" w:cstheme="minorHAnsi"/>
                <w:color w:val="000000"/>
              </w:rPr>
            </w:pPr>
            <w:r w:rsidRPr="00090B3E">
              <w:rPr>
                <w:rFonts w:asciiTheme="minorHAnsi" w:hAnsiTheme="minorHAnsi" w:cstheme="minorHAnsi"/>
                <w:color w:val="000000"/>
              </w:rPr>
              <w:t>3447.07</w:t>
            </w:r>
          </w:p>
        </w:tc>
        <w:tc>
          <w:tcPr>
            <w:tcW w:w="941" w:type="dxa"/>
            <w:noWrap/>
            <w:hideMark/>
          </w:tcPr>
          <w:p w14:paraId="40C40D5E" w14:textId="77777777" w:rsidR="00052499" w:rsidRPr="00090B3E" w:rsidRDefault="00052499" w:rsidP="00052499">
            <w:pPr>
              <w:jc w:val="right"/>
              <w:rPr>
                <w:rFonts w:asciiTheme="minorHAnsi" w:hAnsiTheme="minorHAnsi" w:cstheme="minorHAnsi"/>
                <w:color w:val="000000"/>
              </w:rPr>
            </w:pPr>
            <w:r w:rsidRPr="00090B3E">
              <w:rPr>
                <w:rFonts w:asciiTheme="minorHAnsi" w:hAnsiTheme="minorHAnsi" w:cstheme="minorHAnsi"/>
                <w:color w:val="000000"/>
              </w:rPr>
              <w:t>3532.35</w:t>
            </w:r>
          </w:p>
        </w:tc>
      </w:tr>
      <w:tr w:rsidR="00052499" w:rsidRPr="00090B3E" w14:paraId="43F5ED16" w14:textId="77777777" w:rsidTr="00052499">
        <w:trPr>
          <w:trHeight w:val="300"/>
          <w:jc w:val="center"/>
        </w:trPr>
        <w:tc>
          <w:tcPr>
            <w:tcW w:w="4390" w:type="dxa"/>
            <w:noWrap/>
            <w:hideMark/>
          </w:tcPr>
          <w:p w14:paraId="3ACC6850" w14:textId="77777777" w:rsidR="00052499" w:rsidRPr="00090B3E" w:rsidRDefault="00052499" w:rsidP="00052499">
            <w:pPr>
              <w:rPr>
                <w:rFonts w:asciiTheme="minorHAnsi" w:hAnsiTheme="minorHAnsi" w:cstheme="minorHAnsi"/>
                <w:color w:val="000000"/>
              </w:rPr>
            </w:pPr>
            <w:r w:rsidRPr="00090B3E">
              <w:rPr>
                <w:rFonts w:asciiTheme="minorHAnsi" w:hAnsiTheme="minorHAnsi" w:cstheme="minorHAnsi"/>
                <w:color w:val="000000"/>
              </w:rPr>
              <w:t>Sufict/deficit javnih finansija</w:t>
            </w:r>
          </w:p>
        </w:tc>
        <w:tc>
          <w:tcPr>
            <w:tcW w:w="322" w:type="dxa"/>
            <w:noWrap/>
            <w:hideMark/>
          </w:tcPr>
          <w:p w14:paraId="4ECA8B92" w14:textId="77777777" w:rsidR="00052499" w:rsidRPr="00090B3E" w:rsidRDefault="00052499" w:rsidP="00052499">
            <w:pPr>
              <w:jc w:val="right"/>
              <w:rPr>
                <w:rFonts w:asciiTheme="minorHAnsi" w:hAnsiTheme="minorHAnsi" w:cstheme="minorHAnsi"/>
                <w:color w:val="000000"/>
              </w:rPr>
            </w:pPr>
            <w:r w:rsidRPr="00090B3E">
              <w:rPr>
                <w:rFonts w:asciiTheme="minorHAnsi" w:hAnsiTheme="minorHAnsi" w:cstheme="minorHAnsi"/>
                <w:color w:val="000000"/>
              </w:rPr>
              <w:t>-316.36</w:t>
            </w:r>
          </w:p>
        </w:tc>
        <w:tc>
          <w:tcPr>
            <w:tcW w:w="941" w:type="dxa"/>
            <w:noWrap/>
            <w:hideMark/>
          </w:tcPr>
          <w:p w14:paraId="4B5936F5" w14:textId="77777777" w:rsidR="00052499" w:rsidRPr="00090B3E" w:rsidRDefault="00052499" w:rsidP="00052499">
            <w:pPr>
              <w:jc w:val="right"/>
              <w:rPr>
                <w:rFonts w:asciiTheme="minorHAnsi" w:hAnsiTheme="minorHAnsi" w:cstheme="minorHAnsi"/>
                <w:color w:val="000000"/>
              </w:rPr>
            </w:pPr>
            <w:r w:rsidRPr="00090B3E">
              <w:rPr>
                <w:rFonts w:asciiTheme="minorHAnsi" w:hAnsiTheme="minorHAnsi" w:cstheme="minorHAnsi"/>
                <w:color w:val="000000"/>
              </w:rPr>
              <w:t>-276.38</w:t>
            </w:r>
          </w:p>
        </w:tc>
        <w:tc>
          <w:tcPr>
            <w:tcW w:w="941" w:type="dxa"/>
            <w:noWrap/>
            <w:hideMark/>
          </w:tcPr>
          <w:p w14:paraId="389E2374" w14:textId="77777777" w:rsidR="00052499" w:rsidRPr="00090B3E" w:rsidRDefault="00052499" w:rsidP="00052499">
            <w:pPr>
              <w:jc w:val="right"/>
              <w:rPr>
                <w:rFonts w:asciiTheme="minorHAnsi" w:hAnsiTheme="minorHAnsi" w:cstheme="minorHAnsi"/>
                <w:color w:val="000000"/>
              </w:rPr>
            </w:pPr>
            <w:r w:rsidRPr="00090B3E">
              <w:rPr>
                <w:rFonts w:asciiTheme="minorHAnsi" w:hAnsiTheme="minorHAnsi" w:cstheme="minorHAnsi"/>
                <w:color w:val="000000"/>
              </w:rPr>
              <w:t>-246.25</w:t>
            </w:r>
          </w:p>
        </w:tc>
        <w:tc>
          <w:tcPr>
            <w:tcW w:w="941" w:type="dxa"/>
            <w:noWrap/>
            <w:hideMark/>
          </w:tcPr>
          <w:p w14:paraId="25C2F9CD" w14:textId="77777777" w:rsidR="00052499" w:rsidRPr="00090B3E" w:rsidRDefault="00052499" w:rsidP="00052499">
            <w:pPr>
              <w:jc w:val="right"/>
              <w:rPr>
                <w:rFonts w:asciiTheme="minorHAnsi" w:hAnsiTheme="minorHAnsi" w:cstheme="minorHAnsi"/>
                <w:color w:val="000000"/>
              </w:rPr>
            </w:pPr>
            <w:r w:rsidRPr="00090B3E">
              <w:rPr>
                <w:rFonts w:asciiTheme="minorHAnsi" w:hAnsiTheme="minorHAnsi" w:cstheme="minorHAnsi"/>
                <w:color w:val="000000"/>
              </w:rPr>
              <w:t>-207.2</w:t>
            </w:r>
          </w:p>
        </w:tc>
      </w:tr>
      <w:tr w:rsidR="00052499" w:rsidRPr="00090B3E" w14:paraId="7AFC08FF" w14:textId="77777777" w:rsidTr="00052499">
        <w:trPr>
          <w:trHeight w:val="300"/>
          <w:jc w:val="center"/>
        </w:trPr>
        <w:tc>
          <w:tcPr>
            <w:tcW w:w="4390" w:type="dxa"/>
            <w:noWrap/>
            <w:hideMark/>
          </w:tcPr>
          <w:p w14:paraId="4C9546FF" w14:textId="77777777" w:rsidR="00052499" w:rsidRPr="00090B3E" w:rsidRDefault="00052499" w:rsidP="00052499">
            <w:pPr>
              <w:jc w:val="right"/>
              <w:rPr>
                <w:rFonts w:asciiTheme="minorHAnsi" w:hAnsiTheme="minorHAnsi" w:cstheme="minorHAnsi"/>
                <w:color w:val="000000"/>
              </w:rPr>
            </w:pPr>
          </w:p>
        </w:tc>
        <w:tc>
          <w:tcPr>
            <w:tcW w:w="322" w:type="dxa"/>
            <w:noWrap/>
            <w:hideMark/>
          </w:tcPr>
          <w:p w14:paraId="15D194F5" w14:textId="77777777" w:rsidR="00052499" w:rsidRPr="00090B3E" w:rsidRDefault="00052499" w:rsidP="00052499">
            <w:pPr>
              <w:rPr>
                <w:rFonts w:asciiTheme="minorHAnsi" w:hAnsiTheme="minorHAnsi" w:cstheme="minorHAnsi"/>
              </w:rPr>
            </w:pPr>
          </w:p>
        </w:tc>
        <w:tc>
          <w:tcPr>
            <w:tcW w:w="941" w:type="dxa"/>
            <w:noWrap/>
            <w:hideMark/>
          </w:tcPr>
          <w:p w14:paraId="244C3932" w14:textId="77777777" w:rsidR="00052499" w:rsidRPr="00090B3E" w:rsidRDefault="00052499" w:rsidP="00052499">
            <w:pPr>
              <w:rPr>
                <w:rFonts w:asciiTheme="minorHAnsi" w:hAnsiTheme="minorHAnsi" w:cstheme="minorHAnsi"/>
              </w:rPr>
            </w:pPr>
          </w:p>
        </w:tc>
        <w:tc>
          <w:tcPr>
            <w:tcW w:w="941" w:type="dxa"/>
            <w:noWrap/>
            <w:hideMark/>
          </w:tcPr>
          <w:p w14:paraId="1B3B03DD" w14:textId="77777777" w:rsidR="00052499" w:rsidRPr="00090B3E" w:rsidRDefault="00052499" w:rsidP="00052499">
            <w:pPr>
              <w:rPr>
                <w:rFonts w:asciiTheme="minorHAnsi" w:hAnsiTheme="minorHAnsi" w:cstheme="minorHAnsi"/>
              </w:rPr>
            </w:pPr>
          </w:p>
        </w:tc>
        <w:tc>
          <w:tcPr>
            <w:tcW w:w="941" w:type="dxa"/>
            <w:noWrap/>
            <w:hideMark/>
          </w:tcPr>
          <w:p w14:paraId="421000D0" w14:textId="77777777" w:rsidR="00052499" w:rsidRPr="00090B3E" w:rsidRDefault="00052499" w:rsidP="00052499">
            <w:pPr>
              <w:rPr>
                <w:rFonts w:asciiTheme="minorHAnsi" w:hAnsiTheme="minorHAnsi" w:cstheme="minorHAnsi"/>
              </w:rPr>
            </w:pPr>
          </w:p>
        </w:tc>
      </w:tr>
      <w:tr w:rsidR="00052499" w:rsidRPr="00090B3E" w14:paraId="2DBEB0A6" w14:textId="77777777" w:rsidTr="00052499">
        <w:trPr>
          <w:trHeight w:val="300"/>
          <w:jc w:val="center"/>
        </w:trPr>
        <w:tc>
          <w:tcPr>
            <w:tcW w:w="7535" w:type="dxa"/>
            <w:gridSpan w:val="5"/>
            <w:shd w:val="clear" w:color="auto" w:fill="8EAADB" w:themeFill="accent1" w:themeFillTint="99"/>
            <w:noWrap/>
            <w:hideMark/>
          </w:tcPr>
          <w:p w14:paraId="31F20BE2" w14:textId="77777777" w:rsidR="00052499" w:rsidRPr="00090B3E" w:rsidRDefault="00052499" w:rsidP="00052499">
            <w:pPr>
              <w:jc w:val="center"/>
              <w:rPr>
                <w:rFonts w:asciiTheme="minorHAnsi" w:hAnsiTheme="minorHAnsi" w:cstheme="minorHAnsi"/>
                <w:b/>
                <w:color w:val="000000"/>
              </w:rPr>
            </w:pPr>
            <w:r w:rsidRPr="00090B3E">
              <w:rPr>
                <w:rFonts w:asciiTheme="minorHAnsi" w:hAnsiTheme="minorHAnsi" w:cstheme="minorHAnsi"/>
                <w:b/>
                <w:color w:val="000000"/>
              </w:rPr>
              <w:t>RAZLIKA</w:t>
            </w:r>
          </w:p>
        </w:tc>
      </w:tr>
      <w:tr w:rsidR="00052499" w:rsidRPr="00090B3E" w14:paraId="4C7CA8F5" w14:textId="77777777" w:rsidTr="00052499">
        <w:trPr>
          <w:trHeight w:val="300"/>
          <w:jc w:val="center"/>
        </w:trPr>
        <w:tc>
          <w:tcPr>
            <w:tcW w:w="4390" w:type="dxa"/>
            <w:noWrap/>
            <w:hideMark/>
          </w:tcPr>
          <w:p w14:paraId="078B9817" w14:textId="77777777" w:rsidR="00052499" w:rsidRPr="00090B3E" w:rsidRDefault="00052499" w:rsidP="00052499">
            <w:pPr>
              <w:rPr>
                <w:rFonts w:asciiTheme="minorHAnsi" w:hAnsiTheme="minorHAnsi" w:cstheme="minorHAnsi"/>
                <w:color w:val="000000"/>
              </w:rPr>
            </w:pPr>
            <w:r w:rsidRPr="00090B3E">
              <w:rPr>
                <w:rFonts w:asciiTheme="minorHAnsi" w:hAnsiTheme="minorHAnsi" w:cstheme="minorHAnsi"/>
                <w:color w:val="000000"/>
              </w:rPr>
              <w:t> </w:t>
            </w:r>
          </w:p>
        </w:tc>
        <w:tc>
          <w:tcPr>
            <w:tcW w:w="322" w:type="dxa"/>
            <w:noWrap/>
            <w:hideMark/>
          </w:tcPr>
          <w:p w14:paraId="11565E49" w14:textId="77777777" w:rsidR="00052499" w:rsidRPr="00090B3E" w:rsidRDefault="00052499" w:rsidP="00052499">
            <w:pPr>
              <w:jc w:val="right"/>
              <w:rPr>
                <w:rFonts w:asciiTheme="minorHAnsi" w:hAnsiTheme="minorHAnsi" w:cstheme="minorHAnsi"/>
                <w:color w:val="000000"/>
              </w:rPr>
            </w:pPr>
            <w:r w:rsidRPr="00090B3E">
              <w:rPr>
                <w:rFonts w:asciiTheme="minorHAnsi" w:hAnsiTheme="minorHAnsi" w:cstheme="minorHAnsi"/>
                <w:color w:val="000000"/>
              </w:rPr>
              <w:t>2023</w:t>
            </w:r>
          </w:p>
        </w:tc>
        <w:tc>
          <w:tcPr>
            <w:tcW w:w="941" w:type="dxa"/>
            <w:noWrap/>
            <w:hideMark/>
          </w:tcPr>
          <w:p w14:paraId="396BC547" w14:textId="77777777" w:rsidR="00052499" w:rsidRPr="00090B3E" w:rsidRDefault="00052499" w:rsidP="00052499">
            <w:pPr>
              <w:jc w:val="right"/>
              <w:rPr>
                <w:rFonts w:asciiTheme="minorHAnsi" w:hAnsiTheme="minorHAnsi" w:cstheme="minorHAnsi"/>
                <w:color w:val="000000"/>
              </w:rPr>
            </w:pPr>
            <w:r w:rsidRPr="00090B3E">
              <w:rPr>
                <w:rFonts w:asciiTheme="minorHAnsi" w:hAnsiTheme="minorHAnsi" w:cstheme="minorHAnsi"/>
                <w:color w:val="000000"/>
              </w:rPr>
              <w:t>2024</w:t>
            </w:r>
          </w:p>
        </w:tc>
        <w:tc>
          <w:tcPr>
            <w:tcW w:w="941" w:type="dxa"/>
            <w:noWrap/>
            <w:hideMark/>
          </w:tcPr>
          <w:p w14:paraId="767BF574" w14:textId="77777777" w:rsidR="00052499" w:rsidRPr="00090B3E" w:rsidRDefault="00052499" w:rsidP="00052499">
            <w:pPr>
              <w:jc w:val="right"/>
              <w:rPr>
                <w:rFonts w:asciiTheme="minorHAnsi" w:hAnsiTheme="minorHAnsi" w:cstheme="minorHAnsi"/>
                <w:color w:val="000000"/>
              </w:rPr>
            </w:pPr>
            <w:r w:rsidRPr="00090B3E">
              <w:rPr>
                <w:rFonts w:asciiTheme="minorHAnsi" w:hAnsiTheme="minorHAnsi" w:cstheme="minorHAnsi"/>
                <w:color w:val="000000"/>
              </w:rPr>
              <w:t>2025</w:t>
            </w:r>
          </w:p>
        </w:tc>
        <w:tc>
          <w:tcPr>
            <w:tcW w:w="941" w:type="dxa"/>
            <w:noWrap/>
            <w:hideMark/>
          </w:tcPr>
          <w:p w14:paraId="0C8459FB" w14:textId="77777777" w:rsidR="00052499" w:rsidRPr="00090B3E" w:rsidRDefault="00052499" w:rsidP="00052499">
            <w:pPr>
              <w:jc w:val="right"/>
              <w:rPr>
                <w:rFonts w:asciiTheme="minorHAnsi" w:hAnsiTheme="minorHAnsi" w:cstheme="minorHAnsi"/>
                <w:color w:val="000000"/>
              </w:rPr>
            </w:pPr>
            <w:r w:rsidRPr="00090B3E">
              <w:rPr>
                <w:rFonts w:asciiTheme="minorHAnsi" w:hAnsiTheme="minorHAnsi" w:cstheme="minorHAnsi"/>
                <w:color w:val="000000"/>
              </w:rPr>
              <w:t>2026</w:t>
            </w:r>
          </w:p>
        </w:tc>
      </w:tr>
      <w:tr w:rsidR="00052499" w:rsidRPr="00090B3E" w14:paraId="4EF68C8C" w14:textId="77777777" w:rsidTr="00052499">
        <w:trPr>
          <w:trHeight w:val="300"/>
          <w:jc w:val="center"/>
        </w:trPr>
        <w:tc>
          <w:tcPr>
            <w:tcW w:w="4390" w:type="dxa"/>
            <w:noWrap/>
            <w:hideMark/>
          </w:tcPr>
          <w:p w14:paraId="656A9060" w14:textId="77777777" w:rsidR="00052499" w:rsidRPr="00090B3E" w:rsidRDefault="00052499" w:rsidP="00052499">
            <w:pPr>
              <w:rPr>
                <w:rFonts w:asciiTheme="minorHAnsi" w:hAnsiTheme="minorHAnsi" w:cstheme="minorHAnsi"/>
                <w:color w:val="000000"/>
              </w:rPr>
            </w:pPr>
            <w:r w:rsidRPr="00090B3E">
              <w:rPr>
                <w:rFonts w:asciiTheme="minorHAnsi" w:hAnsiTheme="minorHAnsi" w:cstheme="minorHAnsi"/>
                <w:color w:val="000000"/>
              </w:rPr>
              <w:t>Javni prihodi</w:t>
            </w:r>
          </w:p>
        </w:tc>
        <w:tc>
          <w:tcPr>
            <w:tcW w:w="322" w:type="dxa"/>
            <w:noWrap/>
            <w:hideMark/>
          </w:tcPr>
          <w:p w14:paraId="443196C1" w14:textId="77777777" w:rsidR="00052499" w:rsidRPr="00090B3E" w:rsidRDefault="00052499" w:rsidP="00052499">
            <w:pPr>
              <w:jc w:val="right"/>
              <w:rPr>
                <w:rFonts w:asciiTheme="minorHAnsi" w:hAnsiTheme="minorHAnsi" w:cstheme="minorHAnsi"/>
                <w:color w:val="000000"/>
              </w:rPr>
            </w:pPr>
            <w:r w:rsidRPr="00090B3E">
              <w:rPr>
                <w:rFonts w:asciiTheme="minorHAnsi" w:hAnsiTheme="minorHAnsi" w:cstheme="minorHAnsi"/>
                <w:color w:val="000000"/>
              </w:rPr>
              <w:t>334.11</w:t>
            </w:r>
          </w:p>
        </w:tc>
        <w:tc>
          <w:tcPr>
            <w:tcW w:w="941" w:type="dxa"/>
            <w:noWrap/>
            <w:hideMark/>
          </w:tcPr>
          <w:p w14:paraId="3D7148D3" w14:textId="77777777" w:rsidR="00052499" w:rsidRPr="00090B3E" w:rsidRDefault="00052499" w:rsidP="00052499">
            <w:pPr>
              <w:jc w:val="right"/>
              <w:rPr>
                <w:rFonts w:asciiTheme="minorHAnsi" w:hAnsiTheme="minorHAnsi" w:cstheme="minorHAnsi"/>
                <w:color w:val="000000"/>
              </w:rPr>
            </w:pPr>
            <w:r w:rsidRPr="00090B3E">
              <w:rPr>
                <w:rFonts w:asciiTheme="minorHAnsi" w:hAnsiTheme="minorHAnsi" w:cstheme="minorHAnsi"/>
                <w:color w:val="000000"/>
              </w:rPr>
              <w:t>595.85</w:t>
            </w:r>
          </w:p>
        </w:tc>
        <w:tc>
          <w:tcPr>
            <w:tcW w:w="941" w:type="dxa"/>
            <w:noWrap/>
            <w:hideMark/>
          </w:tcPr>
          <w:p w14:paraId="3E0390E8" w14:textId="77777777" w:rsidR="00052499" w:rsidRPr="00090B3E" w:rsidRDefault="00052499" w:rsidP="00052499">
            <w:pPr>
              <w:jc w:val="right"/>
              <w:rPr>
                <w:rFonts w:asciiTheme="minorHAnsi" w:hAnsiTheme="minorHAnsi" w:cstheme="minorHAnsi"/>
                <w:color w:val="000000"/>
              </w:rPr>
            </w:pPr>
            <w:r w:rsidRPr="00090B3E">
              <w:rPr>
                <w:rFonts w:asciiTheme="minorHAnsi" w:hAnsiTheme="minorHAnsi" w:cstheme="minorHAnsi"/>
                <w:color w:val="000000"/>
              </w:rPr>
              <w:t>597.14</w:t>
            </w:r>
          </w:p>
        </w:tc>
        <w:tc>
          <w:tcPr>
            <w:tcW w:w="941" w:type="dxa"/>
            <w:noWrap/>
            <w:hideMark/>
          </w:tcPr>
          <w:p w14:paraId="29DAEE59" w14:textId="77777777" w:rsidR="00052499" w:rsidRPr="00090B3E" w:rsidRDefault="00052499" w:rsidP="00052499">
            <w:pPr>
              <w:rPr>
                <w:rFonts w:asciiTheme="minorHAnsi" w:hAnsiTheme="minorHAnsi" w:cstheme="minorHAnsi"/>
                <w:color w:val="000000"/>
              </w:rPr>
            </w:pPr>
            <w:r w:rsidRPr="00090B3E">
              <w:rPr>
                <w:rFonts w:asciiTheme="minorHAnsi" w:hAnsiTheme="minorHAnsi" w:cstheme="minorHAnsi"/>
                <w:color w:val="000000"/>
              </w:rPr>
              <w:t> </w:t>
            </w:r>
          </w:p>
        </w:tc>
      </w:tr>
      <w:tr w:rsidR="00052499" w:rsidRPr="00090B3E" w14:paraId="1C9D21A7" w14:textId="77777777" w:rsidTr="00052499">
        <w:trPr>
          <w:trHeight w:val="300"/>
          <w:jc w:val="center"/>
        </w:trPr>
        <w:tc>
          <w:tcPr>
            <w:tcW w:w="4390" w:type="dxa"/>
            <w:noWrap/>
            <w:hideMark/>
          </w:tcPr>
          <w:p w14:paraId="637AA3E2" w14:textId="77777777" w:rsidR="00052499" w:rsidRPr="00090B3E" w:rsidRDefault="00052499" w:rsidP="00052499">
            <w:pPr>
              <w:rPr>
                <w:rFonts w:asciiTheme="minorHAnsi" w:hAnsiTheme="minorHAnsi" w:cstheme="minorHAnsi"/>
                <w:color w:val="000000"/>
              </w:rPr>
            </w:pPr>
            <w:r w:rsidRPr="00090B3E">
              <w:rPr>
                <w:rFonts w:asciiTheme="minorHAnsi" w:hAnsiTheme="minorHAnsi" w:cstheme="minorHAnsi"/>
                <w:color w:val="000000"/>
              </w:rPr>
              <w:t>Javna potrošnja</w:t>
            </w:r>
          </w:p>
        </w:tc>
        <w:tc>
          <w:tcPr>
            <w:tcW w:w="322" w:type="dxa"/>
            <w:noWrap/>
            <w:hideMark/>
          </w:tcPr>
          <w:p w14:paraId="72EE0AD0" w14:textId="77777777" w:rsidR="00052499" w:rsidRPr="00090B3E" w:rsidRDefault="00052499" w:rsidP="00052499">
            <w:pPr>
              <w:jc w:val="right"/>
              <w:rPr>
                <w:rFonts w:asciiTheme="minorHAnsi" w:hAnsiTheme="minorHAnsi" w:cstheme="minorHAnsi"/>
                <w:color w:val="000000"/>
              </w:rPr>
            </w:pPr>
            <w:r w:rsidRPr="00090B3E">
              <w:rPr>
                <w:rFonts w:asciiTheme="minorHAnsi" w:hAnsiTheme="minorHAnsi" w:cstheme="minorHAnsi"/>
                <w:color w:val="000000"/>
              </w:rPr>
              <w:t>285.55</w:t>
            </w:r>
          </w:p>
        </w:tc>
        <w:tc>
          <w:tcPr>
            <w:tcW w:w="941" w:type="dxa"/>
            <w:noWrap/>
            <w:hideMark/>
          </w:tcPr>
          <w:p w14:paraId="3121B51D" w14:textId="77777777" w:rsidR="00052499" w:rsidRPr="00090B3E" w:rsidRDefault="00052499" w:rsidP="00052499">
            <w:pPr>
              <w:jc w:val="right"/>
              <w:rPr>
                <w:rFonts w:asciiTheme="minorHAnsi" w:hAnsiTheme="minorHAnsi" w:cstheme="minorHAnsi"/>
                <w:color w:val="000000"/>
              </w:rPr>
            </w:pPr>
            <w:r w:rsidRPr="00090B3E">
              <w:rPr>
                <w:rFonts w:asciiTheme="minorHAnsi" w:hAnsiTheme="minorHAnsi" w:cstheme="minorHAnsi"/>
                <w:color w:val="000000"/>
              </w:rPr>
              <w:t>465.85</w:t>
            </w:r>
          </w:p>
        </w:tc>
        <w:tc>
          <w:tcPr>
            <w:tcW w:w="941" w:type="dxa"/>
            <w:noWrap/>
            <w:hideMark/>
          </w:tcPr>
          <w:p w14:paraId="752DF492" w14:textId="77777777" w:rsidR="00052499" w:rsidRPr="00090B3E" w:rsidRDefault="00052499" w:rsidP="00052499">
            <w:pPr>
              <w:jc w:val="right"/>
              <w:rPr>
                <w:rFonts w:asciiTheme="minorHAnsi" w:hAnsiTheme="minorHAnsi" w:cstheme="minorHAnsi"/>
                <w:color w:val="000000"/>
              </w:rPr>
            </w:pPr>
            <w:r w:rsidRPr="00090B3E">
              <w:rPr>
                <w:rFonts w:asciiTheme="minorHAnsi" w:hAnsiTheme="minorHAnsi" w:cstheme="minorHAnsi"/>
                <w:color w:val="000000"/>
              </w:rPr>
              <w:t>415.59</w:t>
            </w:r>
          </w:p>
        </w:tc>
        <w:tc>
          <w:tcPr>
            <w:tcW w:w="941" w:type="dxa"/>
            <w:noWrap/>
            <w:hideMark/>
          </w:tcPr>
          <w:p w14:paraId="7F0C7979" w14:textId="77777777" w:rsidR="00052499" w:rsidRPr="00090B3E" w:rsidRDefault="00052499" w:rsidP="00052499">
            <w:pPr>
              <w:rPr>
                <w:rFonts w:asciiTheme="minorHAnsi" w:hAnsiTheme="minorHAnsi" w:cstheme="minorHAnsi"/>
                <w:color w:val="000000"/>
              </w:rPr>
            </w:pPr>
            <w:r w:rsidRPr="00090B3E">
              <w:rPr>
                <w:rFonts w:asciiTheme="minorHAnsi" w:hAnsiTheme="minorHAnsi" w:cstheme="minorHAnsi"/>
                <w:color w:val="000000"/>
              </w:rPr>
              <w:t> </w:t>
            </w:r>
          </w:p>
        </w:tc>
      </w:tr>
      <w:tr w:rsidR="00052499" w:rsidRPr="00090B3E" w14:paraId="6607F3C7" w14:textId="77777777" w:rsidTr="00052499">
        <w:trPr>
          <w:trHeight w:val="300"/>
          <w:jc w:val="center"/>
        </w:trPr>
        <w:tc>
          <w:tcPr>
            <w:tcW w:w="4390" w:type="dxa"/>
            <w:noWrap/>
            <w:hideMark/>
          </w:tcPr>
          <w:p w14:paraId="5320BF89" w14:textId="77777777" w:rsidR="00052499" w:rsidRPr="00090B3E" w:rsidRDefault="00052499" w:rsidP="00052499">
            <w:pPr>
              <w:rPr>
                <w:rFonts w:asciiTheme="minorHAnsi" w:hAnsiTheme="minorHAnsi" w:cstheme="minorHAnsi"/>
                <w:color w:val="000000"/>
              </w:rPr>
            </w:pPr>
            <w:r w:rsidRPr="00090B3E">
              <w:rPr>
                <w:rFonts w:asciiTheme="minorHAnsi" w:hAnsiTheme="minorHAnsi" w:cstheme="minorHAnsi"/>
                <w:color w:val="000000"/>
              </w:rPr>
              <w:t>Sufict/deficit javnih finansija</w:t>
            </w:r>
          </w:p>
        </w:tc>
        <w:tc>
          <w:tcPr>
            <w:tcW w:w="322" w:type="dxa"/>
            <w:noWrap/>
            <w:hideMark/>
          </w:tcPr>
          <w:p w14:paraId="2A60C9A1" w14:textId="77777777" w:rsidR="00052499" w:rsidRPr="00090B3E" w:rsidRDefault="00052499" w:rsidP="00052499">
            <w:pPr>
              <w:jc w:val="right"/>
              <w:rPr>
                <w:rFonts w:asciiTheme="minorHAnsi" w:hAnsiTheme="minorHAnsi" w:cstheme="minorHAnsi"/>
                <w:color w:val="000000"/>
              </w:rPr>
            </w:pPr>
            <w:r w:rsidRPr="00090B3E">
              <w:rPr>
                <w:rFonts w:asciiTheme="minorHAnsi" w:hAnsiTheme="minorHAnsi" w:cstheme="minorHAnsi"/>
                <w:color w:val="000000"/>
              </w:rPr>
              <w:t>48.56</w:t>
            </w:r>
          </w:p>
        </w:tc>
        <w:tc>
          <w:tcPr>
            <w:tcW w:w="941" w:type="dxa"/>
            <w:noWrap/>
            <w:hideMark/>
          </w:tcPr>
          <w:p w14:paraId="5E23FDAD" w14:textId="77777777" w:rsidR="00052499" w:rsidRPr="00090B3E" w:rsidRDefault="00052499" w:rsidP="00052499">
            <w:pPr>
              <w:jc w:val="right"/>
              <w:rPr>
                <w:rFonts w:asciiTheme="minorHAnsi" w:hAnsiTheme="minorHAnsi" w:cstheme="minorHAnsi"/>
                <w:color w:val="000000"/>
              </w:rPr>
            </w:pPr>
            <w:r w:rsidRPr="00090B3E">
              <w:rPr>
                <w:rFonts w:asciiTheme="minorHAnsi" w:hAnsiTheme="minorHAnsi" w:cstheme="minorHAnsi"/>
                <w:color w:val="000000"/>
              </w:rPr>
              <w:t>130</w:t>
            </w:r>
          </w:p>
        </w:tc>
        <w:tc>
          <w:tcPr>
            <w:tcW w:w="941" w:type="dxa"/>
            <w:noWrap/>
            <w:hideMark/>
          </w:tcPr>
          <w:p w14:paraId="25C7CE09" w14:textId="77777777" w:rsidR="00052499" w:rsidRPr="00090B3E" w:rsidRDefault="00052499" w:rsidP="00052499">
            <w:pPr>
              <w:jc w:val="right"/>
              <w:rPr>
                <w:rFonts w:asciiTheme="minorHAnsi" w:hAnsiTheme="minorHAnsi" w:cstheme="minorHAnsi"/>
                <w:color w:val="000000"/>
              </w:rPr>
            </w:pPr>
            <w:r w:rsidRPr="00090B3E">
              <w:rPr>
                <w:rFonts w:asciiTheme="minorHAnsi" w:hAnsiTheme="minorHAnsi" w:cstheme="minorHAnsi"/>
                <w:color w:val="000000"/>
              </w:rPr>
              <w:t>181.55</w:t>
            </w:r>
          </w:p>
        </w:tc>
        <w:tc>
          <w:tcPr>
            <w:tcW w:w="941" w:type="dxa"/>
            <w:noWrap/>
            <w:hideMark/>
          </w:tcPr>
          <w:p w14:paraId="7D37F03B" w14:textId="77777777" w:rsidR="00052499" w:rsidRPr="00090B3E" w:rsidRDefault="00052499" w:rsidP="00052499">
            <w:pPr>
              <w:rPr>
                <w:rFonts w:asciiTheme="minorHAnsi" w:hAnsiTheme="minorHAnsi" w:cstheme="minorHAnsi"/>
                <w:color w:val="000000"/>
              </w:rPr>
            </w:pPr>
            <w:r w:rsidRPr="00090B3E">
              <w:rPr>
                <w:rFonts w:asciiTheme="minorHAnsi" w:hAnsiTheme="minorHAnsi" w:cstheme="minorHAnsi"/>
                <w:color w:val="000000"/>
              </w:rPr>
              <w:t> </w:t>
            </w:r>
          </w:p>
        </w:tc>
      </w:tr>
    </w:tbl>
    <w:p w14:paraId="5A200C4E" w14:textId="77777777" w:rsidR="00052499" w:rsidRDefault="00052499" w:rsidP="00052499">
      <w:pPr>
        <w:rPr>
          <w:b/>
          <w:color w:val="1F3864" w:themeColor="accent1" w:themeShade="80"/>
        </w:rPr>
      </w:pPr>
    </w:p>
    <w:p w14:paraId="1A850593" w14:textId="77777777" w:rsidR="00052499" w:rsidRPr="00090B3E" w:rsidRDefault="00052499" w:rsidP="00090B3E">
      <w:pPr>
        <w:jc w:val="both"/>
        <w:rPr>
          <w:rFonts w:cstheme="minorHAnsi"/>
          <w:sz w:val="24"/>
          <w:szCs w:val="24"/>
        </w:rPr>
      </w:pPr>
      <w:r w:rsidRPr="00090B3E">
        <w:rPr>
          <w:rFonts w:cstheme="minorHAnsi"/>
          <w:sz w:val="24"/>
          <w:szCs w:val="24"/>
        </w:rPr>
        <w:t xml:space="preserve">Kao što se može vidjeti iz tabele 4.7.2, javni prihodi u svim godinama projekcije će biti ostvareni na višem nivou nego što je to bilo projektovano prethodnim programom. Navedeni rast ostvariće se prvenstveno implementacijom reformi koje su dio ovog Programa, a koje će dodatno ubrzati stope ekonomskog rasta. </w:t>
      </w:r>
    </w:p>
    <w:p w14:paraId="7C3387D4" w14:textId="528973E9" w:rsidR="00052499" w:rsidRPr="00090B3E" w:rsidRDefault="00052499" w:rsidP="00090B3E">
      <w:pPr>
        <w:jc w:val="both"/>
        <w:rPr>
          <w:rFonts w:cstheme="minorHAnsi"/>
          <w:sz w:val="24"/>
          <w:szCs w:val="24"/>
        </w:rPr>
      </w:pPr>
      <w:r w:rsidRPr="00090B3E">
        <w:rPr>
          <w:rFonts w:cstheme="minorHAnsi"/>
          <w:sz w:val="24"/>
          <w:szCs w:val="24"/>
        </w:rPr>
        <w:t>Sa druge strane, javna potrošnja u 2023. godini je na višem nivou nego što je to bilo projektovano prethodnim programom kao rezultat dodatnih potreba za izdacima usljed usvojenih zakonskih rješenja, kretanja mandatornih idvajanja, I drugih troškova, kako je elaborirano u okvir</w:t>
      </w:r>
      <w:r w:rsidR="00C83383">
        <w:rPr>
          <w:rFonts w:cstheme="minorHAnsi"/>
          <w:sz w:val="24"/>
          <w:szCs w:val="24"/>
        </w:rPr>
        <w:t>u poglavlja 4.1, 4.2, 4.3 i 4.4.</w:t>
      </w:r>
    </w:p>
    <w:p w14:paraId="5FEECF64" w14:textId="77777777" w:rsidR="00052499" w:rsidRPr="00090B3E" w:rsidRDefault="00052499" w:rsidP="00090B3E">
      <w:pPr>
        <w:jc w:val="both"/>
        <w:rPr>
          <w:rFonts w:cstheme="minorHAnsi"/>
          <w:sz w:val="24"/>
          <w:szCs w:val="24"/>
        </w:rPr>
      </w:pPr>
      <w:r w:rsidRPr="00090B3E">
        <w:rPr>
          <w:rFonts w:cstheme="minorHAnsi"/>
          <w:sz w:val="24"/>
          <w:szCs w:val="24"/>
        </w:rPr>
        <w:lastRenderedPageBreak/>
        <w:t>Imajući u vidu projektovane prihoda i rashode, kako u 2023. Godini, tako u srednjem roku, projektuje se bolji rezultat, odnono niže deficit javne potrošnje u svim posmatranim godinama.</w:t>
      </w:r>
      <w:bookmarkStart w:id="150" w:name="_Toc88031667"/>
    </w:p>
    <w:p w14:paraId="67972770" w14:textId="77777777" w:rsidR="00052499" w:rsidRPr="00090B3E" w:rsidRDefault="00052499" w:rsidP="00052499">
      <w:pPr>
        <w:pStyle w:val="Heading2"/>
        <w:rPr>
          <w:rFonts w:asciiTheme="minorHAnsi" w:eastAsiaTheme="minorHAnsi" w:hAnsiTheme="minorHAnsi" w:cstheme="minorHAnsi"/>
          <w:b/>
          <w:sz w:val="24"/>
          <w:szCs w:val="24"/>
        </w:rPr>
      </w:pPr>
      <w:bookmarkStart w:id="151" w:name="_Toc88031668"/>
      <w:bookmarkStart w:id="152" w:name="_Toc125545780"/>
      <w:bookmarkStart w:id="153" w:name="_Toc153305361"/>
      <w:bookmarkEnd w:id="150"/>
      <w:r w:rsidRPr="00090B3E">
        <w:rPr>
          <w:rFonts w:asciiTheme="minorHAnsi" w:eastAsiaTheme="minorHAnsi" w:hAnsiTheme="minorHAnsi" w:cstheme="minorHAnsi"/>
          <w:b/>
          <w:sz w:val="24"/>
          <w:szCs w:val="24"/>
        </w:rPr>
        <w:t xml:space="preserve">4.8. Kvalitet </w:t>
      </w:r>
      <w:r w:rsidRPr="00090B3E">
        <w:rPr>
          <w:rFonts w:asciiTheme="minorHAnsi" w:hAnsiTheme="minorHAnsi" w:cstheme="minorHAnsi"/>
          <w:b/>
          <w:sz w:val="24"/>
          <w:szCs w:val="24"/>
        </w:rPr>
        <w:t>javnih</w:t>
      </w:r>
      <w:r w:rsidRPr="00090B3E">
        <w:rPr>
          <w:rFonts w:asciiTheme="minorHAnsi" w:eastAsiaTheme="minorHAnsi" w:hAnsiTheme="minorHAnsi" w:cstheme="minorHAnsi"/>
          <w:b/>
          <w:sz w:val="24"/>
          <w:szCs w:val="24"/>
        </w:rPr>
        <w:t xml:space="preserve"> finansija</w:t>
      </w:r>
      <w:bookmarkEnd w:id="153"/>
    </w:p>
    <w:p w14:paraId="2CD0D40C" w14:textId="77777777" w:rsidR="00052499" w:rsidRPr="00090B3E" w:rsidRDefault="00052499" w:rsidP="00090B3E">
      <w:pPr>
        <w:jc w:val="both"/>
        <w:rPr>
          <w:rFonts w:cstheme="minorHAnsi"/>
          <w:sz w:val="24"/>
          <w:szCs w:val="24"/>
        </w:rPr>
      </w:pPr>
      <w:r w:rsidRPr="00090B3E">
        <w:rPr>
          <w:rFonts w:cstheme="minorHAnsi"/>
          <w:sz w:val="24"/>
          <w:szCs w:val="24"/>
        </w:rPr>
        <w:t>Upravljanje javnim finansijama, jedan je od osnovnih preduslova ukupne makroekonomske i fiskalne stabilnosti, imajući u vidu da Crna Gora ne raspolaže instrumentima monetarne politike, u nedostatku emisione funkcije. Usljed navedenog, transparenta poreska politika, predvidiv i stimulativan poslovni ambijent i racionalno upravljanje troškovima, glavni su ciljevi kada je u pitanju kvalitet javnih finansija.</w:t>
      </w:r>
    </w:p>
    <w:p w14:paraId="62639A76" w14:textId="77777777" w:rsidR="00052499" w:rsidRPr="00090B3E" w:rsidRDefault="00052499" w:rsidP="00090B3E">
      <w:pPr>
        <w:jc w:val="both"/>
        <w:rPr>
          <w:rFonts w:cstheme="minorHAnsi"/>
          <w:sz w:val="24"/>
          <w:szCs w:val="24"/>
        </w:rPr>
      </w:pPr>
      <w:r w:rsidRPr="00090B3E">
        <w:rPr>
          <w:rFonts w:cstheme="minorHAnsi"/>
          <w:sz w:val="24"/>
          <w:szCs w:val="24"/>
        </w:rPr>
        <w:t>Shodno srednjoročnom okviru prezentovanom u ovom poglavlju, u periodu 2024 – 2026. godine postiže se stabilizacija ekonomskih tokova kroz projektovano povećanje javnih prihoda, optimizaciju diskrecionih rashoda, što uz projektovano povećanje investicija i smanjenje inflacije daje doprinos dugoročnoj održivosti javnih finansija. U tom cilju, ostvarivanje suficita tekuće budžetske potrošnje u svim godinama projekcije, otvara prostor da se zaduživanje isključivo vrši za finansiranje infrastrukturnh projekata kojima se generiše nova ekonomska vrijednost i otplatu starih dugova.</w:t>
      </w:r>
    </w:p>
    <w:p w14:paraId="2229935C" w14:textId="77777777" w:rsidR="00052499" w:rsidRPr="00090B3E" w:rsidRDefault="00052499" w:rsidP="00090B3E">
      <w:pPr>
        <w:jc w:val="both"/>
        <w:rPr>
          <w:rFonts w:cstheme="minorHAnsi"/>
          <w:sz w:val="24"/>
          <w:szCs w:val="24"/>
        </w:rPr>
      </w:pPr>
      <w:r w:rsidRPr="00090B3E">
        <w:rPr>
          <w:rFonts w:cstheme="minorHAnsi"/>
          <w:sz w:val="24"/>
          <w:szCs w:val="24"/>
        </w:rPr>
        <w:t>Dinamične stope ekonomskog rasta doprinose rastu javnih prihoda, što u uslovima značajnog rasta potrošnje mandatornog karaktera nije dovoljno za balansiranje javnih finansija. U vezi sa navedenim, novom Fiskalnom strategijom Vlade biće formulisane nove mjere poreske politike i politike upravljanja rashodima kao i nove strukturne mjere koje treba da doprinesu dodatnom ubrzavanju ekonoskog rasta i većoj otpornosti crnogorske ekonomije.</w:t>
      </w:r>
    </w:p>
    <w:p w14:paraId="3006F8E1" w14:textId="77777777" w:rsidR="00052499" w:rsidRPr="00090B3E" w:rsidRDefault="00052499" w:rsidP="00090B3E">
      <w:pPr>
        <w:spacing w:after="0"/>
        <w:jc w:val="both"/>
        <w:rPr>
          <w:rFonts w:cstheme="minorHAnsi"/>
          <w:sz w:val="24"/>
          <w:szCs w:val="24"/>
        </w:rPr>
      </w:pPr>
      <w:r w:rsidRPr="00090B3E">
        <w:rPr>
          <w:rFonts w:cstheme="minorHAnsi"/>
          <w:sz w:val="24"/>
          <w:szCs w:val="24"/>
        </w:rPr>
        <w:t>U oblasti poreske politike glavni cilj odnosi se na stvaranje uslova za sveobuhvatnu reformu poreskog sistema u cilju proširenja poreske baze, čime bi se stvorili uslovi za generisanje novih izvora prihoda, kroz prije svega:</w:t>
      </w:r>
    </w:p>
    <w:p w14:paraId="16869C05" w14:textId="77777777" w:rsidR="00052499" w:rsidRPr="00090B3E" w:rsidRDefault="00052499" w:rsidP="00090B3E">
      <w:pPr>
        <w:pStyle w:val="ListParagraph"/>
        <w:numPr>
          <w:ilvl w:val="0"/>
          <w:numId w:val="67"/>
        </w:numPr>
        <w:spacing w:after="0"/>
        <w:contextualSpacing w:val="0"/>
        <w:jc w:val="both"/>
        <w:rPr>
          <w:rFonts w:cstheme="minorHAnsi"/>
          <w:sz w:val="24"/>
          <w:szCs w:val="24"/>
        </w:rPr>
      </w:pPr>
      <w:r w:rsidRPr="00090B3E">
        <w:rPr>
          <w:rFonts w:cstheme="minorHAnsi"/>
          <w:sz w:val="24"/>
          <w:szCs w:val="24"/>
        </w:rPr>
        <w:t>smanjenje poreskog opterećenja na rad i sprovođenje programa za unapređenje konkurentnosti privrede i privlačenje kredibilnih investitora;</w:t>
      </w:r>
    </w:p>
    <w:p w14:paraId="451C1BD8" w14:textId="77777777" w:rsidR="00052499" w:rsidRPr="00090B3E" w:rsidRDefault="00052499" w:rsidP="00090B3E">
      <w:pPr>
        <w:pStyle w:val="ListParagraph"/>
        <w:numPr>
          <w:ilvl w:val="0"/>
          <w:numId w:val="67"/>
        </w:numPr>
        <w:spacing w:after="0"/>
        <w:contextualSpacing w:val="0"/>
        <w:jc w:val="both"/>
        <w:rPr>
          <w:rFonts w:cstheme="minorHAnsi"/>
          <w:sz w:val="24"/>
          <w:szCs w:val="24"/>
        </w:rPr>
      </w:pPr>
      <w:r w:rsidRPr="00090B3E">
        <w:rPr>
          <w:rFonts w:cstheme="minorHAnsi"/>
          <w:sz w:val="24"/>
          <w:szCs w:val="24"/>
        </w:rPr>
        <w:t>oporezivanje po visokoj stopi neprijavljene imovine i oduzimanje nelegalno stečene imovine;</w:t>
      </w:r>
    </w:p>
    <w:p w14:paraId="626517DD" w14:textId="77777777" w:rsidR="00052499" w:rsidRPr="00090B3E" w:rsidRDefault="00052499" w:rsidP="00090B3E">
      <w:pPr>
        <w:pStyle w:val="ListParagraph"/>
        <w:numPr>
          <w:ilvl w:val="0"/>
          <w:numId w:val="67"/>
        </w:numPr>
        <w:spacing w:after="0"/>
        <w:contextualSpacing w:val="0"/>
        <w:jc w:val="both"/>
        <w:rPr>
          <w:rFonts w:cstheme="minorHAnsi"/>
          <w:sz w:val="24"/>
          <w:szCs w:val="24"/>
        </w:rPr>
      </w:pPr>
      <w:r w:rsidRPr="00090B3E">
        <w:rPr>
          <w:rFonts w:cstheme="minorHAnsi"/>
          <w:sz w:val="24"/>
          <w:szCs w:val="24"/>
        </w:rPr>
        <w:t>izmjenu akcizne politike kroz povećanje visine akciza na proizvode koji negativno utiču na zdravlje stanovništa i korišćenje prihoda ostvarenih po tom osnovu za finansiranje usluga javnog zdravstva;</w:t>
      </w:r>
    </w:p>
    <w:p w14:paraId="5B5176CA" w14:textId="77777777" w:rsidR="00052499" w:rsidRPr="00090B3E" w:rsidRDefault="00052499" w:rsidP="00090B3E">
      <w:pPr>
        <w:pStyle w:val="ListParagraph"/>
        <w:numPr>
          <w:ilvl w:val="0"/>
          <w:numId w:val="67"/>
        </w:numPr>
        <w:spacing w:after="0"/>
        <w:contextualSpacing w:val="0"/>
        <w:jc w:val="both"/>
        <w:rPr>
          <w:rFonts w:cstheme="minorHAnsi"/>
          <w:sz w:val="24"/>
          <w:szCs w:val="24"/>
        </w:rPr>
      </w:pPr>
      <w:r w:rsidRPr="00090B3E">
        <w:rPr>
          <w:rFonts w:cstheme="minorHAnsi"/>
          <w:sz w:val="24"/>
          <w:szCs w:val="24"/>
        </w:rPr>
        <w:t>implementaciju novog zakonskog rješenja u oblasti priređivanja igara na sreću;</w:t>
      </w:r>
    </w:p>
    <w:p w14:paraId="5F4706BC" w14:textId="77777777" w:rsidR="00052499" w:rsidRPr="00090B3E" w:rsidRDefault="00052499" w:rsidP="00090B3E">
      <w:pPr>
        <w:pStyle w:val="ListParagraph"/>
        <w:numPr>
          <w:ilvl w:val="0"/>
          <w:numId w:val="67"/>
        </w:numPr>
        <w:spacing w:after="0"/>
        <w:contextualSpacing w:val="0"/>
        <w:jc w:val="both"/>
        <w:rPr>
          <w:rFonts w:cstheme="minorHAnsi"/>
          <w:sz w:val="24"/>
          <w:szCs w:val="24"/>
        </w:rPr>
      </w:pPr>
      <w:r w:rsidRPr="00090B3E">
        <w:rPr>
          <w:rFonts w:cstheme="minorHAnsi"/>
          <w:sz w:val="24"/>
          <w:szCs w:val="24"/>
        </w:rPr>
        <w:t>smanjenje "sive ekonomije" u cilju omogućavanja fer tržišne utakmice odnosno suzbijanja nelojalne konkurencije;</w:t>
      </w:r>
    </w:p>
    <w:p w14:paraId="42DA54F4" w14:textId="77777777" w:rsidR="00052499" w:rsidRPr="00090B3E" w:rsidRDefault="00052499" w:rsidP="00090B3E">
      <w:pPr>
        <w:pStyle w:val="ListParagraph"/>
        <w:numPr>
          <w:ilvl w:val="0"/>
          <w:numId w:val="67"/>
        </w:numPr>
        <w:spacing w:after="0"/>
        <w:contextualSpacing w:val="0"/>
        <w:jc w:val="both"/>
        <w:rPr>
          <w:rFonts w:cstheme="minorHAnsi"/>
          <w:sz w:val="24"/>
          <w:szCs w:val="24"/>
        </w:rPr>
      </w:pPr>
      <w:r w:rsidRPr="00090B3E">
        <w:rPr>
          <w:rFonts w:cstheme="minorHAnsi"/>
          <w:sz w:val="24"/>
          <w:szCs w:val="24"/>
        </w:rPr>
        <w:t>reformu poreske i carinske administracije;</w:t>
      </w:r>
    </w:p>
    <w:p w14:paraId="4CF9FBBE" w14:textId="77777777" w:rsidR="00052499" w:rsidRPr="00090B3E" w:rsidRDefault="00052499" w:rsidP="00090B3E">
      <w:pPr>
        <w:pStyle w:val="ListParagraph"/>
        <w:numPr>
          <w:ilvl w:val="0"/>
          <w:numId w:val="67"/>
        </w:numPr>
        <w:spacing w:after="0"/>
        <w:contextualSpacing w:val="0"/>
        <w:jc w:val="both"/>
        <w:rPr>
          <w:rFonts w:cstheme="minorHAnsi"/>
          <w:sz w:val="24"/>
          <w:szCs w:val="24"/>
        </w:rPr>
      </w:pPr>
      <w:r w:rsidRPr="00090B3E">
        <w:rPr>
          <w:rFonts w:cstheme="minorHAnsi"/>
          <w:sz w:val="24"/>
          <w:szCs w:val="24"/>
        </w:rPr>
        <w:t>bolju strategiju smanjenja poreskog duga.</w:t>
      </w:r>
    </w:p>
    <w:p w14:paraId="2D3B7F77" w14:textId="77777777" w:rsidR="00052499" w:rsidRPr="00090B3E" w:rsidRDefault="00052499" w:rsidP="00090B3E">
      <w:pPr>
        <w:jc w:val="both"/>
        <w:rPr>
          <w:rFonts w:cstheme="minorHAnsi"/>
          <w:sz w:val="24"/>
          <w:szCs w:val="24"/>
        </w:rPr>
      </w:pPr>
      <w:r w:rsidRPr="00090B3E">
        <w:rPr>
          <w:rFonts w:cstheme="minorHAnsi"/>
          <w:sz w:val="24"/>
          <w:szCs w:val="24"/>
        </w:rPr>
        <w:t xml:space="preserve">Bolje poslovno okruženje, povećanje broja preduzeća, formalne zaposlenosti, a samim tim i prihoda države obezbijediće se i implementacijom Programa za suzbijanje neformalne ekonomije </w:t>
      </w:r>
      <w:r w:rsidRPr="00090B3E">
        <w:rPr>
          <w:rFonts w:cstheme="minorHAnsi"/>
          <w:sz w:val="24"/>
          <w:szCs w:val="24"/>
        </w:rPr>
        <w:lastRenderedPageBreak/>
        <w:t>uz prateći Akcioni plan za njegovu implementaciju za period 2024-2026. godina, koji sadrži niz stumulativnih i represivnih aktivnosti, za smanjenje učešća neformalne ekonomije u BDP. U tom pravcu, ovu oblast posebno tangiraju mjere poput ’’Jačanje mehanizama za formalizaciju ekonomije kroz donošenje Programa  za suzbijanje neformalne ekonomije’’, čiji je cilj doprinos unapređenju poslovnog ambijenta i smanjenje učešća neformalne ekonomije u BDP i ’’Unapređenje upravljanja privrednim društvima u većinskom vlasništvu države”, čiji je cilj doprinos uspostavljanju funkcionalnog sistema monitoringa i planiranja, izvještavanja i nadzora nad radom privrednih društava u većinskom vlasništvu države, u skladu sa najboljim praksama zemalja OECD-a.</w:t>
      </w:r>
    </w:p>
    <w:p w14:paraId="5E95D118" w14:textId="77777777" w:rsidR="00052499" w:rsidRPr="00090B3E" w:rsidRDefault="00052499" w:rsidP="00090B3E">
      <w:pPr>
        <w:jc w:val="both"/>
        <w:rPr>
          <w:rFonts w:cstheme="minorHAnsi"/>
          <w:sz w:val="24"/>
          <w:szCs w:val="24"/>
        </w:rPr>
      </w:pPr>
      <w:r w:rsidRPr="00090B3E">
        <w:rPr>
          <w:rFonts w:cstheme="minorHAnsi"/>
          <w:sz w:val="24"/>
          <w:szCs w:val="24"/>
        </w:rPr>
        <w:t>Pored navedenog jedna od najznačajnijih mjera jeste i reforma preduzeća u većinskom vlasništvu države koja je detaljno razrađena u poglavlju 5 – Strukturne reforme.</w:t>
      </w:r>
    </w:p>
    <w:p w14:paraId="34836FE5" w14:textId="77777777" w:rsidR="00052499" w:rsidRPr="00090B3E" w:rsidRDefault="00052499" w:rsidP="00090B3E">
      <w:pPr>
        <w:jc w:val="both"/>
        <w:rPr>
          <w:rFonts w:cstheme="minorHAnsi"/>
          <w:sz w:val="24"/>
          <w:szCs w:val="24"/>
        </w:rPr>
      </w:pPr>
      <w:r w:rsidRPr="00090B3E">
        <w:rPr>
          <w:rFonts w:cstheme="minorHAnsi"/>
          <w:sz w:val="24"/>
          <w:szCs w:val="24"/>
        </w:rPr>
        <w:t>Kako bi se obezbijedila puna podrška planiranim reformskim procesima i povećala efikasnost rada Uprave prihoda i carina, koja vrši naplatu preko 90% javnih prihoda, Crna Gora uz podršku Svjetske banke realizuje projekat „Reforma poreske administracije“ koja podrazumijeva uvođenje integrisanog sistema upravljanja prihodima (IRMS), kao i sistema on line fiskalizacije u realnom vremenu, čime je unaprijeđena poreska disciplina što je u velikoj mjeri je doprinijelo ostvarenoj dobroj naplati po osnovu poreza na dodatu vrijednost.</w:t>
      </w:r>
    </w:p>
    <w:p w14:paraId="3168666E" w14:textId="77777777" w:rsidR="00052499" w:rsidRPr="00090B3E" w:rsidRDefault="00052499" w:rsidP="00090B3E">
      <w:pPr>
        <w:jc w:val="both"/>
        <w:rPr>
          <w:rFonts w:cstheme="minorHAnsi"/>
          <w:sz w:val="24"/>
          <w:szCs w:val="24"/>
        </w:rPr>
      </w:pPr>
      <w:r w:rsidRPr="00090B3E">
        <w:rPr>
          <w:rFonts w:cstheme="minorHAnsi"/>
          <w:sz w:val="24"/>
          <w:szCs w:val="24"/>
        </w:rPr>
        <w:t>Takođe, implementacijom projekta “Podrška Upravi carina u oblasti akciza“, obezbijedila se primjena nove nacionalne aplikacije za akcize u IT sisitemu Carinske uprave (CIS), kao i  međusobna povezanost i interoperabilnost sa drugim carinskim aplikacijama kao i sa budućim  aplikacijama. Uvođenjem novog informacionog sistema za elektronsku razmjenu podataka  omogućilo se programsko povezivanje softvera za razmjenu podataka o akcizama u digitalnom obliku, što doprinosi jačanju naplate akcizne dažbine kao i efikasnijoj borbi na planu suzbijanja  sive ekonomije.</w:t>
      </w:r>
    </w:p>
    <w:p w14:paraId="0D2E5352" w14:textId="77777777" w:rsidR="00052499" w:rsidRPr="00090B3E" w:rsidRDefault="00052499" w:rsidP="00090B3E">
      <w:pPr>
        <w:jc w:val="both"/>
        <w:rPr>
          <w:rFonts w:cstheme="minorHAnsi"/>
          <w:sz w:val="24"/>
          <w:szCs w:val="24"/>
        </w:rPr>
      </w:pPr>
      <w:r w:rsidRPr="00090B3E">
        <w:rPr>
          <w:rFonts w:cstheme="minorHAnsi"/>
          <w:sz w:val="24"/>
          <w:szCs w:val="24"/>
        </w:rPr>
        <w:t>Jedan od prioriteta u narednom period biće i efikasnije regulisanje i nadzor u oblasti priređivanja igara na sreću. Imajući u vidu da se oblik i dinamika priređivanja igara na sreću mijenjaju, kao i neophodnost širenja poreske baze kroz dalju primjenu elektronske fiskalizacije, Ministarstvo finansija je otpočelo aktivnosti koje u narednom periodu treba intezivirati, a tiču se izrade novog sistema nadzora. Svrha uvođenja novog on-line sistema nadzora je obezbjeđivanje analitičke osnove za efikasnije donošenje odluka, čuvanje i obradu realnih podataka koji su od značaja za utvrđivanje izvornih javnih prihoda, kao i podataka o naplati tih prihoda.</w:t>
      </w:r>
    </w:p>
    <w:p w14:paraId="453F1D99" w14:textId="77777777" w:rsidR="00052499" w:rsidRPr="00090B3E" w:rsidRDefault="00052499" w:rsidP="00090B3E">
      <w:pPr>
        <w:jc w:val="both"/>
        <w:rPr>
          <w:rFonts w:cstheme="minorHAnsi"/>
          <w:sz w:val="24"/>
          <w:szCs w:val="24"/>
        </w:rPr>
      </w:pPr>
      <w:r w:rsidRPr="00090B3E">
        <w:rPr>
          <w:rFonts w:cstheme="minorHAnsi"/>
          <w:sz w:val="24"/>
          <w:szCs w:val="24"/>
        </w:rPr>
        <w:t xml:space="preserve">Kada je u pitanju strategija upravljanja javnom potrošnjom strategija politike bazira se na: reformi penzionog i zdravstvenog sistema – u cilju što adekvatnije socijalne zaštite građana, reformi sistema socijalne zaštite u cilju usmjeravanja socijalnih fondova onima kojima je to potrebno, reformi preduzeća u većinskom vlasništvu države, optimizaciji javne uprave kroz sprovođenje funkcionalnih analiza koje treba da identifikuju oblasti u kojima je neophodno izvršiti racionalizaciju broja zaposlenih i onih oblasti koje zahtijevaju dodatno kadrovsko jačanje u </w:t>
      </w:r>
      <w:r w:rsidRPr="00090B3E">
        <w:rPr>
          <w:rFonts w:cstheme="minorHAnsi"/>
          <w:sz w:val="24"/>
          <w:szCs w:val="24"/>
        </w:rPr>
        <w:lastRenderedPageBreak/>
        <w:t>kontekstu zahtjeva iz EU agende i kvalitetnijeg pružanja javnih usluga, reformi sistema zarada u javnom sektoru, kao i zadržavanje visokog nivoa izdvajanja za finansiranje kapitalnih projekata i stvaranje pretpostavki za nastavak izgradnje autoputa „Bar-Boljari“ i drugih infrastrukturnih projekata kojima se stvaraju uslovi za dugoročni rast i razvoj.</w:t>
      </w:r>
    </w:p>
    <w:bookmarkEnd w:id="151"/>
    <w:bookmarkEnd w:id="152"/>
    <w:p w14:paraId="215F41E3" w14:textId="77777777" w:rsidR="00052499" w:rsidRDefault="00052499" w:rsidP="00052499">
      <w:pPr>
        <w:spacing w:after="0"/>
        <w:rPr>
          <w:sz w:val="24"/>
          <w:szCs w:val="24"/>
        </w:rPr>
      </w:pPr>
    </w:p>
    <w:p w14:paraId="5E6F69FE" w14:textId="77777777" w:rsidR="00052499" w:rsidRDefault="00052499" w:rsidP="00052499">
      <w:pPr>
        <w:rPr>
          <w:sz w:val="24"/>
          <w:szCs w:val="24"/>
        </w:rPr>
      </w:pPr>
      <w:r>
        <w:rPr>
          <w:sz w:val="24"/>
          <w:szCs w:val="24"/>
        </w:rPr>
        <w:br w:type="page"/>
      </w:r>
    </w:p>
    <w:tbl>
      <w:tblPr>
        <w:tblW w:w="5000" w:type="pct"/>
        <w:tblLook w:val="04A0" w:firstRow="1" w:lastRow="0" w:firstColumn="1" w:lastColumn="0" w:noHBand="0" w:noVBand="1"/>
      </w:tblPr>
      <w:tblGrid>
        <w:gridCol w:w="3678"/>
        <w:gridCol w:w="818"/>
        <w:gridCol w:w="559"/>
        <w:gridCol w:w="889"/>
        <w:gridCol w:w="572"/>
        <w:gridCol w:w="842"/>
        <w:gridCol w:w="574"/>
        <w:gridCol w:w="812"/>
        <w:gridCol w:w="570"/>
      </w:tblGrid>
      <w:tr w:rsidR="00052499" w:rsidRPr="00C17ACD" w14:paraId="274AAFAA" w14:textId="77777777" w:rsidTr="00052499">
        <w:trPr>
          <w:trHeight w:hRule="exact" w:val="198"/>
        </w:trPr>
        <w:tc>
          <w:tcPr>
            <w:tcW w:w="1974" w:type="pct"/>
            <w:tcBorders>
              <w:top w:val="double" w:sz="6" w:space="0" w:color="auto"/>
              <w:left w:val="double" w:sz="6" w:space="0" w:color="auto"/>
              <w:bottom w:val="double" w:sz="6" w:space="0" w:color="auto"/>
              <w:right w:val="nil"/>
            </w:tcBorders>
            <w:shd w:val="clear" w:color="000000" w:fill="0F243E"/>
            <w:noWrap/>
            <w:vAlign w:val="center"/>
            <w:hideMark/>
          </w:tcPr>
          <w:p w14:paraId="73422EE1" w14:textId="77777777" w:rsidR="00052499" w:rsidRPr="00C17ACD" w:rsidRDefault="00052499" w:rsidP="00052499">
            <w:pPr>
              <w:spacing w:after="0" w:line="240" w:lineRule="auto"/>
              <w:rPr>
                <w:rFonts w:ascii="Arial" w:eastAsia="Times New Roman" w:hAnsi="Arial" w:cs="Arial"/>
                <w:color w:val="FFFFFF"/>
                <w:sz w:val="16"/>
                <w:szCs w:val="16"/>
              </w:rPr>
            </w:pPr>
            <w:r w:rsidRPr="00C17ACD">
              <w:rPr>
                <w:rFonts w:ascii="Arial" w:eastAsia="Times New Roman" w:hAnsi="Arial" w:cs="Arial"/>
                <w:color w:val="FFFFFF"/>
                <w:sz w:val="16"/>
                <w:szCs w:val="16"/>
              </w:rPr>
              <w:lastRenderedPageBreak/>
              <w:t>BDP (u mil. €)</w:t>
            </w:r>
          </w:p>
        </w:tc>
        <w:tc>
          <w:tcPr>
            <w:tcW w:w="739" w:type="pct"/>
            <w:gridSpan w:val="2"/>
            <w:tcBorders>
              <w:top w:val="double" w:sz="6" w:space="0" w:color="auto"/>
              <w:left w:val="nil"/>
              <w:bottom w:val="double" w:sz="6" w:space="0" w:color="auto"/>
              <w:right w:val="double" w:sz="6" w:space="0" w:color="000000"/>
            </w:tcBorders>
            <w:shd w:val="clear" w:color="000000" w:fill="B8CCE4"/>
            <w:noWrap/>
            <w:vAlign w:val="center"/>
            <w:hideMark/>
          </w:tcPr>
          <w:p w14:paraId="4D0D665F" w14:textId="77777777" w:rsidR="00052499" w:rsidRPr="00C17ACD" w:rsidRDefault="00052499" w:rsidP="00052499">
            <w:pPr>
              <w:spacing w:after="0" w:line="240" w:lineRule="auto"/>
              <w:jc w:val="center"/>
              <w:rPr>
                <w:rFonts w:ascii="Calibri" w:eastAsia="Times New Roman" w:hAnsi="Calibri" w:cs="Calibri"/>
                <w:color w:val="16365C"/>
                <w:sz w:val="16"/>
                <w:szCs w:val="16"/>
              </w:rPr>
            </w:pPr>
            <w:r w:rsidRPr="00C17ACD">
              <w:rPr>
                <w:rFonts w:ascii="Calibri" w:eastAsia="Times New Roman" w:hAnsi="Calibri" w:cs="Calibri"/>
                <w:color w:val="16365C"/>
                <w:sz w:val="16"/>
                <w:szCs w:val="16"/>
              </w:rPr>
              <w:t>6447.1</w:t>
            </w:r>
          </w:p>
        </w:tc>
        <w:tc>
          <w:tcPr>
            <w:tcW w:w="784" w:type="pct"/>
            <w:gridSpan w:val="2"/>
            <w:tcBorders>
              <w:top w:val="double" w:sz="6" w:space="0" w:color="auto"/>
              <w:left w:val="nil"/>
              <w:bottom w:val="double" w:sz="6" w:space="0" w:color="auto"/>
              <w:right w:val="double" w:sz="6" w:space="0" w:color="000000"/>
            </w:tcBorders>
            <w:shd w:val="clear" w:color="000000" w:fill="B8CCE4"/>
            <w:noWrap/>
            <w:vAlign w:val="center"/>
            <w:hideMark/>
          </w:tcPr>
          <w:p w14:paraId="161D3570" w14:textId="77777777" w:rsidR="00052499" w:rsidRPr="00C17ACD" w:rsidRDefault="00052499" w:rsidP="00052499">
            <w:pPr>
              <w:spacing w:after="0" w:line="240" w:lineRule="auto"/>
              <w:jc w:val="center"/>
              <w:rPr>
                <w:rFonts w:ascii="Calibri" w:eastAsia="Times New Roman" w:hAnsi="Calibri" w:cs="Calibri"/>
                <w:color w:val="16365C"/>
                <w:sz w:val="16"/>
                <w:szCs w:val="16"/>
              </w:rPr>
            </w:pPr>
            <w:r w:rsidRPr="00C17ACD">
              <w:rPr>
                <w:rFonts w:ascii="Calibri" w:eastAsia="Times New Roman" w:hAnsi="Calibri" w:cs="Calibri"/>
                <w:color w:val="16365C"/>
                <w:sz w:val="16"/>
                <w:szCs w:val="16"/>
              </w:rPr>
              <w:t>7034.0</w:t>
            </w:r>
          </w:p>
        </w:tc>
        <w:tc>
          <w:tcPr>
            <w:tcW w:w="760" w:type="pct"/>
            <w:gridSpan w:val="2"/>
            <w:tcBorders>
              <w:top w:val="double" w:sz="6" w:space="0" w:color="auto"/>
              <w:left w:val="nil"/>
              <w:bottom w:val="double" w:sz="6" w:space="0" w:color="auto"/>
              <w:right w:val="double" w:sz="6" w:space="0" w:color="000000"/>
            </w:tcBorders>
            <w:shd w:val="clear" w:color="000000" w:fill="B8CCE4"/>
            <w:noWrap/>
            <w:vAlign w:val="center"/>
            <w:hideMark/>
          </w:tcPr>
          <w:p w14:paraId="7997C4E1" w14:textId="77777777" w:rsidR="00052499" w:rsidRPr="00C17ACD" w:rsidRDefault="00052499" w:rsidP="00052499">
            <w:pPr>
              <w:spacing w:after="0" w:line="240" w:lineRule="auto"/>
              <w:jc w:val="center"/>
              <w:rPr>
                <w:rFonts w:ascii="Calibri" w:eastAsia="Times New Roman" w:hAnsi="Calibri" w:cs="Calibri"/>
                <w:color w:val="16365C"/>
                <w:sz w:val="16"/>
                <w:szCs w:val="16"/>
              </w:rPr>
            </w:pPr>
            <w:r w:rsidRPr="00C17ACD">
              <w:rPr>
                <w:rFonts w:ascii="Calibri" w:eastAsia="Times New Roman" w:hAnsi="Calibri" w:cs="Calibri"/>
                <w:color w:val="16365C"/>
                <w:sz w:val="16"/>
                <w:szCs w:val="16"/>
              </w:rPr>
              <w:t>7424.5</w:t>
            </w:r>
          </w:p>
        </w:tc>
        <w:tc>
          <w:tcPr>
            <w:tcW w:w="742" w:type="pct"/>
            <w:gridSpan w:val="2"/>
            <w:tcBorders>
              <w:top w:val="double" w:sz="6" w:space="0" w:color="auto"/>
              <w:left w:val="nil"/>
              <w:bottom w:val="double" w:sz="6" w:space="0" w:color="auto"/>
              <w:right w:val="double" w:sz="6" w:space="0" w:color="000000"/>
            </w:tcBorders>
            <w:shd w:val="clear" w:color="000000" w:fill="B8CCE4"/>
            <w:noWrap/>
            <w:vAlign w:val="center"/>
            <w:hideMark/>
          </w:tcPr>
          <w:p w14:paraId="4E68D89C" w14:textId="77777777" w:rsidR="00052499" w:rsidRPr="00C17ACD" w:rsidRDefault="00052499" w:rsidP="00052499">
            <w:pPr>
              <w:spacing w:after="0" w:line="240" w:lineRule="auto"/>
              <w:jc w:val="center"/>
              <w:rPr>
                <w:rFonts w:ascii="Calibri" w:eastAsia="Times New Roman" w:hAnsi="Calibri" w:cs="Calibri"/>
                <w:color w:val="16365C"/>
                <w:sz w:val="16"/>
                <w:szCs w:val="16"/>
              </w:rPr>
            </w:pPr>
            <w:r w:rsidRPr="00C17ACD">
              <w:rPr>
                <w:rFonts w:ascii="Calibri" w:eastAsia="Times New Roman" w:hAnsi="Calibri" w:cs="Calibri"/>
                <w:color w:val="16365C"/>
                <w:sz w:val="16"/>
                <w:szCs w:val="16"/>
              </w:rPr>
              <w:t>7782.6</w:t>
            </w:r>
          </w:p>
        </w:tc>
      </w:tr>
      <w:tr w:rsidR="00052499" w:rsidRPr="00C17ACD" w14:paraId="7DF15241" w14:textId="77777777" w:rsidTr="00052499">
        <w:trPr>
          <w:trHeight w:hRule="exact" w:val="198"/>
        </w:trPr>
        <w:tc>
          <w:tcPr>
            <w:tcW w:w="1974" w:type="pct"/>
            <w:tcBorders>
              <w:top w:val="nil"/>
              <w:left w:val="nil"/>
              <w:bottom w:val="nil"/>
              <w:right w:val="nil"/>
            </w:tcBorders>
            <w:shd w:val="clear" w:color="000000" w:fill="FFFFFF"/>
            <w:noWrap/>
            <w:vAlign w:val="center"/>
            <w:hideMark/>
          </w:tcPr>
          <w:p w14:paraId="7741E22C" w14:textId="77777777" w:rsidR="00052499" w:rsidRPr="00C17ACD" w:rsidRDefault="00052499" w:rsidP="00052499">
            <w:pPr>
              <w:spacing w:after="0" w:line="240" w:lineRule="auto"/>
              <w:rPr>
                <w:rFonts w:eastAsia="Times New Roman" w:cs="Arial"/>
                <w:sz w:val="16"/>
                <w:szCs w:val="16"/>
              </w:rPr>
            </w:pPr>
            <w:r w:rsidRPr="00C17ACD">
              <w:rPr>
                <w:rFonts w:eastAsia="Times New Roman" w:cs="Arial"/>
                <w:sz w:val="16"/>
                <w:szCs w:val="16"/>
              </w:rPr>
              <w:t> </w:t>
            </w:r>
          </w:p>
        </w:tc>
        <w:tc>
          <w:tcPr>
            <w:tcW w:w="439" w:type="pct"/>
            <w:tcBorders>
              <w:top w:val="nil"/>
              <w:left w:val="nil"/>
              <w:bottom w:val="nil"/>
              <w:right w:val="nil"/>
            </w:tcBorders>
            <w:shd w:val="clear" w:color="000000" w:fill="FFFFFF"/>
            <w:noWrap/>
            <w:vAlign w:val="bottom"/>
            <w:hideMark/>
          </w:tcPr>
          <w:p w14:paraId="358EB4E3" w14:textId="77777777" w:rsidR="00052499" w:rsidRPr="00C17ACD" w:rsidRDefault="00052499" w:rsidP="00052499">
            <w:pPr>
              <w:spacing w:after="0" w:line="240" w:lineRule="auto"/>
              <w:rPr>
                <w:rFonts w:ascii="Arial" w:eastAsia="Times New Roman" w:hAnsi="Arial" w:cs="Arial"/>
                <w:sz w:val="16"/>
                <w:szCs w:val="16"/>
              </w:rPr>
            </w:pPr>
            <w:r w:rsidRPr="00C17ACD">
              <w:rPr>
                <w:rFonts w:ascii="Arial" w:eastAsia="Times New Roman" w:hAnsi="Arial" w:cs="Arial"/>
                <w:sz w:val="16"/>
                <w:szCs w:val="16"/>
              </w:rPr>
              <w:t> </w:t>
            </w:r>
          </w:p>
        </w:tc>
        <w:tc>
          <w:tcPr>
            <w:tcW w:w="300" w:type="pct"/>
            <w:tcBorders>
              <w:top w:val="nil"/>
              <w:left w:val="nil"/>
              <w:bottom w:val="nil"/>
              <w:right w:val="nil"/>
            </w:tcBorders>
            <w:shd w:val="clear" w:color="000000" w:fill="FFFFFF"/>
            <w:noWrap/>
            <w:vAlign w:val="bottom"/>
            <w:hideMark/>
          </w:tcPr>
          <w:p w14:paraId="3EBE2887" w14:textId="77777777" w:rsidR="00052499" w:rsidRPr="00C17ACD" w:rsidRDefault="00052499" w:rsidP="00052499">
            <w:pPr>
              <w:spacing w:after="0" w:line="240" w:lineRule="auto"/>
              <w:rPr>
                <w:rFonts w:ascii="Arial" w:eastAsia="Times New Roman" w:hAnsi="Arial" w:cs="Arial"/>
                <w:sz w:val="16"/>
                <w:szCs w:val="16"/>
              </w:rPr>
            </w:pPr>
            <w:r w:rsidRPr="00C17ACD">
              <w:rPr>
                <w:rFonts w:ascii="Arial" w:eastAsia="Times New Roman" w:hAnsi="Arial" w:cs="Arial"/>
                <w:sz w:val="16"/>
                <w:szCs w:val="16"/>
              </w:rPr>
              <w:t> </w:t>
            </w:r>
          </w:p>
        </w:tc>
        <w:tc>
          <w:tcPr>
            <w:tcW w:w="477" w:type="pct"/>
            <w:tcBorders>
              <w:top w:val="nil"/>
              <w:left w:val="nil"/>
              <w:bottom w:val="nil"/>
              <w:right w:val="nil"/>
            </w:tcBorders>
            <w:shd w:val="clear" w:color="000000" w:fill="FFFFFF"/>
            <w:noWrap/>
            <w:vAlign w:val="bottom"/>
            <w:hideMark/>
          </w:tcPr>
          <w:p w14:paraId="2025A880" w14:textId="77777777" w:rsidR="00052499" w:rsidRPr="00C17ACD" w:rsidRDefault="00052499" w:rsidP="00052499">
            <w:pPr>
              <w:spacing w:after="0" w:line="240" w:lineRule="auto"/>
              <w:rPr>
                <w:rFonts w:ascii="Arial" w:eastAsia="Times New Roman" w:hAnsi="Arial" w:cs="Arial"/>
                <w:sz w:val="16"/>
                <w:szCs w:val="16"/>
              </w:rPr>
            </w:pPr>
            <w:r w:rsidRPr="00C17ACD">
              <w:rPr>
                <w:rFonts w:ascii="Arial" w:eastAsia="Times New Roman" w:hAnsi="Arial" w:cs="Arial"/>
                <w:sz w:val="16"/>
                <w:szCs w:val="16"/>
              </w:rPr>
              <w:t> </w:t>
            </w:r>
          </w:p>
        </w:tc>
        <w:tc>
          <w:tcPr>
            <w:tcW w:w="307" w:type="pct"/>
            <w:tcBorders>
              <w:top w:val="nil"/>
              <w:left w:val="nil"/>
              <w:bottom w:val="nil"/>
              <w:right w:val="nil"/>
            </w:tcBorders>
            <w:shd w:val="clear" w:color="000000" w:fill="FFFFFF"/>
            <w:noWrap/>
            <w:vAlign w:val="bottom"/>
            <w:hideMark/>
          </w:tcPr>
          <w:p w14:paraId="5FBDE7BA" w14:textId="77777777" w:rsidR="00052499" w:rsidRPr="00C17ACD" w:rsidRDefault="00052499" w:rsidP="00052499">
            <w:pPr>
              <w:spacing w:after="0" w:line="240" w:lineRule="auto"/>
              <w:rPr>
                <w:rFonts w:ascii="Arial" w:eastAsia="Times New Roman" w:hAnsi="Arial" w:cs="Arial"/>
                <w:sz w:val="16"/>
                <w:szCs w:val="16"/>
              </w:rPr>
            </w:pPr>
            <w:r w:rsidRPr="00C17ACD">
              <w:rPr>
                <w:rFonts w:ascii="Arial" w:eastAsia="Times New Roman" w:hAnsi="Arial" w:cs="Arial"/>
                <w:sz w:val="16"/>
                <w:szCs w:val="16"/>
              </w:rPr>
              <w:t> </w:t>
            </w:r>
          </w:p>
        </w:tc>
        <w:tc>
          <w:tcPr>
            <w:tcW w:w="452" w:type="pct"/>
            <w:tcBorders>
              <w:top w:val="nil"/>
              <w:left w:val="nil"/>
              <w:bottom w:val="nil"/>
              <w:right w:val="nil"/>
            </w:tcBorders>
            <w:shd w:val="clear" w:color="000000" w:fill="FFFFFF"/>
            <w:noWrap/>
            <w:vAlign w:val="bottom"/>
            <w:hideMark/>
          </w:tcPr>
          <w:p w14:paraId="136FB160" w14:textId="77777777" w:rsidR="00052499" w:rsidRPr="00C17ACD" w:rsidRDefault="00052499" w:rsidP="00052499">
            <w:pPr>
              <w:spacing w:after="0" w:line="240" w:lineRule="auto"/>
              <w:rPr>
                <w:rFonts w:ascii="Arial" w:eastAsia="Times New Roman" w:hAnsi="Arial" w:cs="Arial"/>
                <w:sz w:val="16"/>
                <w:szCs w:val="16"/>
              </w:rPr>
            </w:pPr>
            <w:r w:rsidRPr="00C17ACD">
              <w:rPr>
                <w:rFonts w:ascii="Arial" w:eastAsia="Times New Roman" w:hAnsi="Arial" w:cs="Arial"/>
                <w:sz w:val="16"/>
                <w:szCs w:val="16"/>
              </w:rPr>
              <w:t> </w:t>
            </w:r>
          </w:p>
        </w:tc>
        <w:tc>
          <w:tcPr>
            <w:tcW w:w="308" w:type="pct"/>
            <w:tcBorders>
              <w:top w:val="nil"/>
              <w:left w:val="nil"/>
              <w:bottom w:val="nil"/>
              <w:right w:val="nil"/>
            </w:tcBorders>
            <w:shd w:val="clear" w:color="000000" w:fill="FFFFFF"/>
            <w:noWrap/>
            <w:vAlign w:val="bottom"/>
            <w:hideMark/>
          </w:tcPr>
          <w:p w14:paraId="3EF46B72" w14:textId="77777777" w:rsidR="00052499" w:rsidRPr="00C17ACD" w:rsidRDefault="00052499" w:rsidP="00052499">
            <w:pPr>
              <w:spacing w:after="0" w:line="240" w:lineRule="auto"/>
              <w:rPr>
                <w:rFonts w:ascii="Arial" w:eastAsia="Times New Roman" w:hAnsi="Arial" w:cs="Arial"/>
                <w:sz w:val="16"/>
                <w:szCs w:val="16"/>
              </w:rPr>
            </w:pPr>
            <w:r w:rsidRPr="00C17ACD">
              <w:rPr>
                <w:rFonts w:ascii="Arial" w:eastAsia="Times New Roman" w:hAnsi="Arial" w:cs="Arial"/>
                <w:sz w:val="16"/>
                <w:szCs w:val="16"/>
              </w:rPr>
              <w:t> </w:t>
            </w:r>
          </w:p>
        </w:tc>
        <w:tc>
          <w:tcPr>
            <w:tcW w:w="436" w:type="pct"/>
            <w:tcBorders>
              <w:top w:val="nil"/>
              <w:left w:val="nil"/>
              <w:bottom w:val="nil"/>
              <w:right w:val="nil"/>
            </w:tcBorders>
            <w:shd w:val="clear" w:color="000000" w:fill="FFFFFF"/>
            <w:noWrap/>
            <w:vAlign w:val="bottom"/>
            <w:hideMark/>
          </w:tcPr>
          <w:p w14:paraId="41CAB766" w14:textId="77777777" w:rsidR="00052499" w:rsidRPr="00C17ACD" w:rsidRDefault="00052499" w:rsidP="00052499">
            <w:pPr>
              <w:spacing w:after="0" w:line="240" w:lineRule="auto"/>
              <w:rPr>
                <w:rFonts w:ascii="Arial" w:eastAsia="Times New Roman" w:hAnsi="Arial" w:cs="Arial"/>
                <w:sz w:val="16"/>
                <w:szCs w:val="16"/>
              </w:rPr>
            </w:pPr>
            <w:r w:rsidRPr="00C17ACD">
              <w:rPr>
                <w:rFonts w:ascii="Arial" w:eastAsia="Times New Roman" w:hAnsi="Arial" w:cs="Arial"/>
                <w:sz w:val="16"/>
                <w:szCs w:val="16"/>
              </w:rPr>
              <w:t> </w:t>
            </w:r>
          </w:p>
        </w:tc>
        <w:tc>
          <w:tcPr>
            <w:tcW w:w="306" w:type="pct"/>
            <w:tcBorders>
              <w:top w:val="nil"/>
              <w:left w:val="nil"/>
              <w:bottom w:val="nil"/>
              <w:right w:val="nil"/>
            </w:tcBorders>
            <w:shd w:val="clear" w:color="000000" w:fill="FFFFFF"/>
            <w:noWrap/>
            <w:vAlign w:val="bottom"/>
            <w:hideMark/>
          </w:tcPr>
          <w:p w14:paraId="18EAACBB" w14:textId="77777777" w:rsidR="00052499" w:rsidRPr="00C17ACD" w:rsidRDefault="00052499" w:rsidP="00052499">
            <w:pPr>
              <w:spacing w:after="0" w:line="240" w:lineRule="auto"/>
              <w:rPr>
                <w:rFonts w:ascii="Arial" w:eastAsia="Times New Roman" w:hAnsi="Arial" w:cs="Arial"/>
                <w:sz w:val="16"/>
                <w:szCs w:val="16"/>
              </w:rPr>
            </w:pPr>
            <w:r w:rsidRPr="00C17ACD">
              <w:rPr>
                <w:rFonts w:ascii="Arial" w:eastAsia="Times New Roman" w:hAnsi="Arial" w:cs="Arial"/>
                <w:sz w:val="16"/>
                <w:szCs w:val="16"/>
              </w:rPr>
              <w:t> </w:t>
            </w:r>
          </w:p>
        </w:tc>
      </w:tr>
      <w:tr w:rsidR="00052499" w:rsidRPr="00C17ACD" w14:paraId="00296257" w14:textId="77777777" w:rsidTr="00052499">
        <w:trPr>
          <w:trHeight w:hRule="exact" w:val="198"/>
        </w:trPr>
        <w:tc>
          <w:tcPr>
            <w:tcW w:w="1974" w:type="pct"/>
            <w:vMerge w:val="restart"/>
            <w:tcBorders>
              <w:top w:val="double" w:sz="6" w:space="0" w:color="auto"/>
              <w:left w:val="double" w:sz="6" w:space="0" w:color="auto"/>
              <w:bottom w:val="double" w:sz="6" w:space="0" w:color="000000"/>
              <w:right w:val="nil"/>
            </w:tcBorders>
            <w:shd w:val="clear" w:color="000000" w:fill="0F243E"/>
            <w:noWrap/>
            <w:vAlign w:val="center"/>
            <w:hideMark/>
          </w:tcPr>
          <w:p w14:paraId="2DED7D07" w14:textId="77777777" w:rsidR="00052499" w:rsidRPr="00C17ACD" w:rsidRDefault="00052499" w:rsidP="00052499">
            <w:pPr>
              <w:spacing w:after="0" w:line="240" w:lineRule="auto"/>
              <w:jc w:val="center"/>
              <w:rPr>
                <w:rFonts w:ascii="Calibri" w:eastAsia="Times New Roman" w:hAnsi="Calibri" w:cs="Calibri"/>
                <w:b/>
                <w:bCs/>
                <w:color w:val="FFFFFF"/>
                <w:sz w:val="16"/>
                <w:szCs w:val="16"/>
              </w:rPr>
            </w:pPr>
            <w:r w:rsidRPr="00C17ACD">
              <w:rPr>
                <w:rFonts w:ascii="Calibri" w:eastAsia="Times New Roman" w:hAnsi="Calibri" w:cs="Calibri"/>
                <w:b/>
                <w:bCs/>
                <w:color w:val="FFFFFF"/>
                <w:sz w:val="16"/>
                <w:szCs w:val="16"/>
              </w:rPr>
              <w:t>Budžet Crne Gore</w:t>
            </w:r>
          </w:p>
        </w:tc>
        <w:tc>
          <w:tcPr>
            <w:tcW w:w="739" w:type="pct"/>
            <w:gridSpan w:val="2"/>
            <w:tcBorders>
              <w:top w:val="double" w:sz="6" w:space="0" w:color="auto"/>
              <w:left w:val="nil"/>
              <w:bottom w:val="single" w:sz="4" w:space="0" w:color="auto"/>
              <w:right w:val="double" w:sz="6" w:space="0" w:color="000000"/>
            </w:tcBorders>
            <w:shd w:val="clear" w:color="000000" w:fill="B8CCE4"/>
            <w:noWrap/>
            <w:vAlign w:val="center"/>
            <w:hideMark/>
          </w:tcPr>
          <w:p w14:paraId="0AE2414D" w14:textId="77777777" w:rsidR="00052499" w:rsidRPr="00C17ACD" w:rsidRDefault="00052499" w:rsidP="00052499">
            <w:pPr>
              <w:spacing w:after="0" w:line="240" w:lineRule="auto"/>
              <w:jc w:val="center"/>
              <w:rPr>
                <w:rFonts w:ascii="Calibri" w:eastAsia="Times New Roman" w:hAnsi="Calibri" w:cs="Calibri"/>
                <w:b/>
                <w:bCs/>
                <w:sz w:val="16"/>
                <w:szCs w:val="16"/>
              </w:rPr>
            </w:pPr>
            <w:r w:rsidRPr="00C17ACD">
              <w:rPr>
                <w:rFonts w:ascii="Calibri" w:eastAsia="Times New Roman" w:hAnsi="Calibri" w:cs="Calibri"/>
                <w:b/>
                <w:bCs/>
                <w:sz w:val="16"/>
                <w:szCs w:val="16"/>
              </w:rPr>
              <w:t>2023 PLAN</w:t>
            </w:r>
          </w:p>
        </w:tc>
        <w:tc>
          <w:tcPr>
            <w:tcW w:w="784" w:type="pct"/>
            <w:gridSpan w:val="2"/>
            <w:tcBorders>
              <w:top w:val="double" w:sz="6" w:space="0" w:color="auto"/>
              <w:left w:val="nil"/>
              <w:bottom w:val="single" w:sz="4" w:space="0" w:color="auto"/>
              <w:right w:val="double" w:sz="6" w:space="0" w:color="000000"/>
            </w:tcBorders>
            <w:shd w:val="clear" w:color="000000" w:fill="B8CCE4"/>
            <w:noWrap/>
            <w:vAlign w:val="center"/>
            <w:hideMark/>
          </w:tcPr>
          <w:p w14:paraId="24EFCC97" w14:textId="77777777" w:rsidR="00052499" w:rsidRPr="00C17ACD" w:rsidRDefault="00052499" w:rsidP="00052499">
            <w:pPr>
              <w:spacing w:after="0" w:line="240" w:lineRule="auto"/>
              <w:jc w:val="center"/>
              <w:rPr>
                <w:rFonts w:ascii="Calibri" w:eastAsia="Times New Roman" w:hAnsi="Calibri" w:cs="Calibri"/>
                <w:b/>
                <w:bCs/>
                <w:sz w:val="16"/>
                <w:szCs w:val="16"/>
              </w:rPr>
            </w:pPr>
            <w:r w:rsidRPr="00C17ACD">
              <w:rPr>
                <w:rFonts w:ascii="Calibri" w:eastAsia="Times New Roman" w:hAnsi="Calibri" w:cs="Calibri"/>
                <w:b/>
                <w:bCs/>
                <w:sz w:val="16"/>
                <w:szCs w:val="16"/>
              </w:rPr>
              <w:t>2024</w:t>
            </w:r>
          </w:p>
        </w:tc>
        <w:tc>
          <w:tcPr>
            <w:tcW w:w="760" w:type="pct"/>
            <w:gridSpan w:val="2"/>
            <w:tcBorders>
              <w:top w:val="double" w:sz="6" w:space="0" w:color="auto"/>
              <w:left w:val="nil"/>
              <w:bottom w:val="single" w:sz="4" w:space="0" w:color="auto"/>
              <w:right w:val="double" w:sz="6" w:space="0" w:color="000000"/>
            </w:tcBorders>
            <w:shd w:val="clear" w:color="000000" w:fill="B8CCE4"/>
            <w:noWrap/>
            <w:vAlign w:val="center"/>
            <w:hideMark/>
          </w:tcPr>
          <w:p w14:paraId="1E887760" w14:textId="77777777" w:rsidR="00052499" w:rsidRPr="00C17ACD" w:rsidRDefault="00052499" w:rsidP="00052499">
            <w:pPr>
              <w:spacing w:after="0" w:line="240" w:lineRule="auto"/>
              <w:jc w:val="center"/>
              <w:rPr>
                <w:rFonts w:ascii="Calibri" w:eastAsia="Times New Roman" w:hAnsi="Calibri" w:cs="Calibri"/>
                <w:b/>
                <w:bCs/>
                <w:sz w:val="16"/>
                <w:szCs w:val="16"/>
              </w:rPr>
            </w:pPr>
            <w:r w:rsidRPr="00C17ACD">
              <w:rPr>
                <w:rFonts w:ascii="Calibri" w:eastAsia="Times New Roman" w:hAnsi="Calibri" w:cs="Calibri"/>
                <w:b/>
                <w:bCs/>
                <w:sz w:val="16"/>
                <w:szCs w:val="16"/>
              </w:rPr>
              <w:t>2025</w:t>
            </w:r>
          </w:p>
        </w:tc>
        <w:tc>
          <w:tcPr>
            <w:tcW w:w="742" w:type="pct"/>
            <w:gridSpan w:val="2"/>
            <w:tcBorders>
              <w:top w:val="double" w:sz="6" w:space="0" w:color="auto"/>
              <w:left w:val="nil"/>
              <w:bottom w:val="single" w:sz="4" w:space="0" w:color="auto"/>
              <w:right w:val="double" w:sz="6" w:space="0" w:color="000000"/>
            </w:tcBorders>
            <w:shd w:val="clear" w:color="000000" w:fill="B8CCE4"/>
            <w:noWrap/>
            <w:vAlign w:val="center"/>
            <w:hideMark/>
          </w:tcPr>
          <w:p w14:paraId="74587264" w14:textId="77777777" w:rsidR="00052499" w:rsidRPr="00C17ACD" w:rsidRDefault="00052499" w:rsidP="00052499">
            <w:pPr>
              <w:spacing w:after="0" w:line="240" w:lineRule="auto"/>
              <w:jc w:val="center"/>
              <w:rPr>
                <w:rFonts w:ascii="Calibri" w:eastAsia="Times New Roman" w:hAnsi="Calibri" w:cs="Calibri"/>
                <w:b/>
                <w:bCs/>
                <w:sz w:val="16"/>
                <w:szCs w:val="16"/>
              </w:rPr>
            </w:pPr>
            <w:r w:rsidRPr="00C17ACD">
              <w:rPr>
                <w:rFonts w:ascii="Calibri" w:eastAsia="Times New Roman" w:hAnsi="Calibri" w:cs="Calibri"/>
                <w:b/>
                <w:bCs/>
                <w:sz w:val="16"/>
                <w:szCs w:val="16"/>
              </w:rPr>
              <w:t>2026</w:t>
            </w:r>
          </w:p>
        </w:tc>
      </w:tr>
      <w:tr w:rsidR="00052499" w:rsidRPr="00C17ACD" w14:paraId="2F1375FD" w14:textId="77777777" w:rsidTr="00052499">
        <w:trPr>
          <w:trHeight w:hRule="exact" w:val="198"/>
        </w:trPr>
        <w:tc>
          <w:tcPr>
            <w:tcW w:w="1974" w:type="pct"/>
            <w:vMerge/>
            <w:tcBorders>
              <w:top w:val="double" w:sz="6" w:space="0" w:color="auto"/>
              <w:left w:val="double" w:sz="6" w:space="0" w:color="auto"/>
              <w:bottom w:val="double" w:sz="6" w:space="0" w:color="000000"/>
              <w:right w:val="nil"/>
            </w:tcBorders>
            <w:vAlign w:val="center"/>
            <w:hideMark/>
          </w:tcPr>
          <w:p w14:paraId="4EAE4865" w14:textId="77777777" w:rsidR="00052499" w:rsidRPr="00C17ACD" w:rsidRDefault="00052499" w:rsidP="00052499">
            <w:pPr>
              <w:spacing w:after="0" w:line="240" w:lineRule="auto"/>
              <w:rPr>
                <w:rFonts w:ascii="Calibri" w:eastAsia="Times New Roman" w:hAnsi="Calibri" w:cs="Calibri"/>
                <w:b/>
                <w:bCs/>
                <w:color w:val="FFFFFF"/>
                <w:sz w:val="16"/>
                <w:szCs w:val="16"/>
              </w:rPr>
            </w:pPr>
          </w:p>
        </w:tc>
        <w:tc>
          <w:tcPr>
            <w:tcW w:w="439" w:type="pct"/>
            <w:tcBorders>
              <w:top w:val="nil"/>
              <w:left w:val="nil"/>
              <w:bottom w:val="double" w:sz="6" w:space="0" w:color="auto"/>
              <w:right w:val="single" w:sz="4" w:space="0" w:color="auto"/>
            </w:tcBorders>
            <w:shd w:val="clear" w:color="000000" w:fill="B8CCE4"/>
            <w:vAlign w:val="center"/>
            <w:hideMark/>
          </w:tcPr>
          <w:p w14:paraId="0F1C2BA7" w14:textId="77777777" w:rsidR="00052499" w:rsidRPr="00C17ACD" w:rsidRDefault="00052499" w:rsidP="00052499">
            <w:pPr>
              <w:spacing w:after="0" w:line="240" w:lineRule="auto"/>
              <w:jc w:val="center"/>
              <w:rPr>
                <w:rFonts w:ascii="Calibri" w:eastAsia="Times New Roman" w:hAnsi="Calibri" w:cs="Calibri"/>
                <w:b/>
                <w:bCs/>
                <w:sz w:val="16"/>
                <w:szCs w:val="16"/>
              </w:rPr>
            </w:pPr>
            <w:r w:rsidRPr="00C17ACD">
              <w:rPr>
                <w:rFonts w:ascii="Calibri" w:eastAsia="Times New Roman" w:hAnsi="Calibri" w:cs="Calibri"/>
                <w:b/>
                <w:bCs/>
                <w:sz w:val="16"/>
                <w:szCs w:val="16"/>
              </w:rPr>
              <w:t>mil. €</w:t>
            </w:r>
          </w:p>
        </w:tc>
        <w:tc>
          <w:tcPr>
            <w:tcW w:w="300" w:type="pct"/>
            <w:tcBorders>
              <w:top w:val="nil"/>
              <w:left w:val="nil"/>
              <w:bottom w:val="double" w:sz="6" w:space="0" w:color="auto"/>
              <w:right w:val="double" w:sz="6" w:space="0" w:color="auto"/>
            </w:tcBorders>
            <w:shd w:val="clear" w:color="000000" w:fill="B8CCE4"/>
            <w:vAlign w:val="center"/>
            <w:hideMark/>
          </w:tcPr>
          <w:p w14:paraId="46C3692E" w14:textId="77777777" w:rsidR="00052499" w:rsidRPr="00C17ACD" w:rsidRDefault="00052499" w:rsidP="00052499">
            <w:pPr>
              <w:spacing w:after="0" w:line="240" w:lineRule="auto"/>
              <w:jc w:val="center"/>
              <w:rPr>
                <w:rFonts w:ascii="Calibri" w:eastAsia="Times New Roman" w:hAnsi="Calibri" w:cs="Calibri"/>
                <w:b/>
                <w:bCs/>
                <w:sz w:val="16"/>
                <w:szCs w:val="16"/>
              </w:rPr>
            </w:pPr>
            <w:r w:rsidRPr="00C17ACD">
              <w:rPr>
                <w:rFonts w:ascii="Calibri" w:eastAsia="Times New Roman" w:hAnsi="Calibri" w:cs="Calibri"/>
                <w:b/>
                <w:bCs/>
                <w:sz w:val="16"/>
                <w:szCs w:val="16"/>
              </w:rPr>
              <w:t>% BDP</w:t>
            </w:r>
          </w:p>
        </w:tc>
        <w:tc>
          <w:tcPr>
            <w:tcW w:w="477" w:type="pct"/>
            <w:tcBorders>
              <w:top w:val="nil"/>
              <w:left w:val="nil"/>
              <w:bottom w:val="double" w:sz="6" w:space="0" w:color="auto"/>
              <w:right w:val="single" w:sz="4" w:space="0" w:color="auto"/>
            </w:tcBorders>
            <w:shd w:val="clear" w:color="000000" w:fill="B8CCE4"/>
            <w:vAlign w:val="center"/>
            <w:hideMark/>
          </w:tcPr>
          <w:p w14:paraId="51A6D670" w14:textId="77777777" w:rsidR="00052499" w:rsidRPr="00C17ACD" w:rsidRDefault="00052499" w:rsidP="00052499">
            <w:pPr>
              <w:spacing w:after="0" w:line="240" w:lineRule="auto"/>
              <w:jc w:val="center"/>
              <w:rPr>
                <w:rFonts w:ascii="Calibri" w:eastAsia="Times New Roman" w:hAnsi="Calibri" w:cs="Calibri"/>
                <w:b/>
                <w:bCs/>
                <w:sz w:val="16"/>
                <w:szCs w:val="16"/>
              </w:rPr>
            </w:pPr>
            <w:r w:rsidRPr="00C17ACD">
              <w:rPr>
                <w:rFonts w:ascii="Calibri" w:eastAsia="Times New Roman" w:hAnsi="Calibri" w:cs="Calibri"/>
                <w:b/>
                <w:bCs/>
                <w:sz w:val="16"/>
                <w:szCs w:val="16"/>
              </w:rPr>
              <w:t>mil. €</w:t>
            </w:r>
          </w:p>
        </w:tc>
        <w:tc>
          <w:tcPr>
            <w:tcW w:w="307" w:type="pct"/>
            <w:tcBorders>
              <w:top w:val="nil"/>
              <w:left w:val="nil"/>
              <w:bottom w:val="double" w:sz="6" w:space="0" w:color="auto"/>
              <w:right w:val="double" w:sz="6" w:space="0" w:color="auto"/>
            </w:tcBorders>
            <w:shd w:val="clear" w:color="000000" w:fill="B8CCE4"/>
            <w:vAlign w:val="center"/>
            <w:hideMark/>
          </w:tcPr>
          <w:p w14:paraId="087D6088" w14:textId="77777777" w:rsidR="00052499" w:rsidRPr="00C17ACD" w:rsidRDefault="00052499" w:rsidP="00052499">
            <w:pPr>
              <w:spacing w:after="0" w:line="240" w:lineRule="auto"/>
              <w:jc w:val="center"/>
              <w:rPr>
                <w:rFonts w:ascii="Calibri" w:eastAsia="Times New Roman" w:hAnsi="Calibri" w:cs="Calibri"/>
                <w:b/>
                <w:bCs/>
                <w:sz w:val="16"/>
                <w:szCs w:val="16"/>
              </w:rPr>
            </w:pPr>
            <w:r w:rsidRPr="00C17ACD">
              <w:rPr>
                <w:rFonts w:ascii="Calibri" w:eastAsia="Times New Roman" w:hAnsi="Calibri" w:cs="Calibri"/>
                <w:b/>
                <w:bCs/>
                <w:sz w:val="16"/>
                <w:szCs w:val="16"/>
              </w:rPr>
              <w:t>% BDP</w:t>
            </w:r>
          </w:p>
        </w:tc>
        <w:tc>
          <w:tcPr>
            <w:tcW w:w="452" w:type="pct"/>
            <w:tcBorders>
              <w:top w:val="nil"/>
              <w:left w:val="nil"/>
              <w:bottom w:val="double" w:sz="6" w:space="0" w:color="auto"/>
              <w:right w:val="single" w:sz="4" w:space="0" w:color="auto"/>
            </w:tcBorders>
            <w:shd w:val="clear" w:color="000000" w:fill="B8CCE4"/>
            <w:vAlign w:val="center"/>
            <w:hideMark/>
          </w:tcPr>
          <w:p w14:paraId="4CECECB7" w14:textId="77777777" w:rsidR="00052499" w:rsidRPr="00C17ACD" w:rsidRDefault="00052499" w:rsidP="00052499">
            <w:pPr>
              <w:spacing w:after="0" w:line="240" w:lineRule="auto"/>
              <w:jc w:val="center"/>
              <w:rPr>
                <w:rFonts w:ascii="Calibri" w:eastAsia="Times New Roman" w:hAnsi="Calibri" w:cs="Calibri"/>
                <w:b/>
                <w:bCs/>
                <w:sz w:val="16"/>
                <w:szCs w:val="16"/>
              </w:rPr>
            </w:pPr>
            <w:r w:rsidRPr="00C17ACD">
              <w:rPr>
                <w:rFonts w:ascii="Calibri" w:eastAsia="Times New Roman" w:hAnsi="Calibri" w:cs="Calibri"/>
                <w:b/>
                <w:bCs/>
                <w:sz w:val="16"/>
                <w:szCs w:val="16"/>
              </w:rPr>
              <w:t>mil. €</w:t>
            </w:r>
          </w:p>
        </w:tc>
        <w:tc>
          <w:tcPr>
            <w:tcW w:w="308" w:type="pct"/>
            <w:tcBorders>
              <w:top w:val="nil"/>
              <w:left w:val="nil"/>
              <w:bottom w:val="double" w:sz="6" w:space="0" w:color="auto"/>
              <w:right w:val="double" w:sz="6" w:space="0" w:color="auto"/>
            </w:tcBorders>
            <w:shd w:val="clear" w:color="000000" w:fill="B8CCE4"/>
            <w:vAlign w:val="center"/>
            <w:hideMark/>
          </w:tcPr>
          <w:p w14:paraId="384201DF" w14:textId="77777777" w:rsidR="00052499" w:rsidRPr="00C17ACD" w:rsidRDefault="00052499" w:rsidP="00052499">
            <w:pPr>
              <w:spacing w:after="0" w:line="240" w:lineRule="auto"/>
              <w:jc w:val="center"/>
              <w:rPr>
                <w:rFonts w:ascii="Calibri" w:eastAsia="Times New Roman" w:hAnsi="Calibri" w:cs="Calibri"/>
                <w:b/>
                <w:bCs/>
                <w:sz w:val="16"/>
                <w:szCs w:val="16"/>
              </w:rPr>
            </w:pPr>
            <w:r w:rsidRPr="00C17ACD">
              <w:rPr>
                <w:rFonts w:ascii="Calibri" w:eastAsia="Times New Roman" w:hAnsi="Calibri" w:cs="Calibri"/>
                <w:b/>
                <w:bCs/>
                <w:sz w:val="16"/>
                <w:szCs w:val="16"/>
              </w:rPr>
              <w:t>% BDP</w:t>
            </w:r>
          </w:p>
        </w:tc>
        <w:tc>
          <w:tcPr>
            <w:tcW w:w="436" w:type="pct"/>
            <w:tcBorders>
              <w:top w:val="nil"/>
              <w:left w:val="nil"/>
              <w:bottom w:val="double" w:sz="6" w:space="0" w:color="auto"/>
              <w:right w:val="single" w:sz="4" w:space="0" w:color="auto"/>
            </w:tcBorders>
            <w:shd w:val="clear" w:color="000000" w:fill="B8CCE4"/>
            <w:vAlign w:val="center"/>
            <w:hideMark/>
          </w:tcPr>
          <w:p w14:paraId="574E963C" w14:textId="77777777" w:rsidR="00052499" w:rsidRPr="00C17ACD" w:rsidRDefault="00052499" w:rsidP="00052499">
            <w:pPr>
              <w:spacing w:after="0" w:line="240" w:lineRule="auto"/>
              <w:jc w:val="center"/>
              <w:rPr>
                <w:rFonts w:ascii="Calibri" w:eastAsia="Times New Roman" w:hAnsi="Calibri" w:cs="Calibri"/>
                <w:b/>
                <w:bCs/>
                <w:sz w:val="16"/>
                <w:szCs w:val="16"/>
              </w:rPr>
            </w:pPr>
            <w:r w:rsidRPr="00C17ACD">
              <w:rPr>
                <w:rFonts w:ascii="Calibri" w:eastAsia="Times New Roman" w:hAnsi="Calibri" w:cs="Calibri"/>
                <w:b/>
                <w:bCs/>
                <w:sz w:val="16"/>
                <w:szCs w:val="16"/>
              </w:rPr>
              <w:t>mil. €</w:t>
            </w:r>
          </w:p>
        </w:tc>
        <w:tc>
          <w:tcPr>
            <w:tcW w:w="306" w:type="pct"/>
            <w:tcBorders>
              <w:top w:val="nil"/>
              <w:left w:val="nil"/>
              <w:bottom w:val="double" w:sz="6" w:space="0" w:color="auto"/>
              <w:right w:val="double" w:sz="6" w:space="0" w:color="auto"/>
            </w:tcBorders>
            <w:shd w:val="clear" w:color="000000" w:fill="B8CCE4"/>
            <w:vAlign w:val="center"/>
            <w:hideMark/>
          </w:tcPr>
          <w:p w14:paraId="7CE66DE9" w14:textId="77777777" w:rsidR="00052499" w:rsidRPr="00C17ACD" w:rsidRDefault="00052499" w:rsidP="00052499">
            <w:pPr>
              <w:spacing w:after="0" w:line="240" w:lineRule="auto"/>
              <w:jc w:val="center"/>
              <w:rPr>
                <w:rFonts w:ascii="Calibri" w:eastAsia="Times New Roman" w:hAnsi="Calibri" w:cs="Calibri"/>
                <w:b/>
                <w:bCs/>
                <w:sz w:val="16"/>
                <w:szCs w:val="16"/>
              </w:rPr>
            </w:pPr>
            <w:r w:rsidRPr="00C17ACD">
              <w:rPr>
                <w:rFonts w:ascii="Calibri" w:eastAsia="Times New Roman" w:hAnsi="Calibri" w:cs="Calibri"/>
                <w:b/>
                <w:bCs/>
                <w:sz w:val="16"/>
                <w:szCs w:val="16"/>
              </w:rPr>
              <w:t>% BDP</w:t>
            </w:r>
          </w:p>
        </w:tc>
      </w:tr>
      <w:tr w:rsidR="00052499" w:rsidRPr="00C17ACD" w14:paraId="0D3FA0A9" w14:textId="77777777" w:rsidTr="00052499">
        <w:trPr>
          <w:trHeight w:hRule="exact" w:val="198"/>
        </w:trPr>
        <w:tc>
          <w:tcPr>
            <w:tcW w:w="1974" w:type="pct"/>
            <w:tcBorders>
              <w:top w:val="nil"/>
              <w:left w:val="double" w:sz="6" w:space="0" w:color="auto"/>
              <w:bottom w:val="double" w:sz="6" w:space="0" w:color="auto"/>
              <w:right w:val="nil"/>
            </w:tcBorders>
            <w:shd w:val="clear" w:color="000000" w:fill="B8CCE4"/>
            <w:noWrap/>
            <w:vAlign w:val="center"/>
            <w:hideMark/>
          </w:tcPr>
          <w:p w14:paraId="18A22595" w14:textId="77777777" w:rsidR="00052499" w:rsidRPr="00C17ACD" w:rsidRDefault="00052499" w:rsidP="00052499">
            <w:pPr>
              <w:spacing w:after="0" w:line="240" w:lineRule="auto"/>
              <w:rPr>
                <w:rFonts w:ascii="Calibri" w:eastAsia="Times New Roman" w:hAnsi="Calibri" w:cs="Calibri"/>
                <w:b/>
                <w:bCs/>
                <w:sz w:val="16"/>
                <w:szCs w:val="16"/>
              </w:rPr>
            </w:pPr>
            <w:r w:rsidRPr="00C17ACD">
              <w:rPr>
                <w:rFonts w:ascii="Calibri" w:eastAsia="Times New Roman" w:hAnsi="Calibri" w:cs="Calibri"/>
                <w:b/>
                <w:bCs/>
                <w:sz w:val="16"/>
                <w:szCs w:val="16"/>
              </w:rPr>
              <w:t>Izvorni prihodi</w:t>
            </w:r>
          </w:p>
        </w:tc>
        <w:tc>
          <w:tcPr>
            <w:tcW w:w="439" w:type="pct"/>
            <w:tcBorders>
              <w:top w:val="nil"/>
              <w:left w:val="nil"/>
              <w:bottom w:val="double" w:sz="6" w:space="0" w:color="auto"/>
              <w:right w:val="single" w:sz="4" w:space="0" w:color="auto"/>
            </w:tcBorders>
            <w:shd w:val="clear" w:color="000000" w:fill="B8CCE4"/>
            <w:noWrap/>
            <w:vAlign w:val="center"/>
            <w:hideMark/>
          </w:tcPr>
          <w:p w14:paraId="1F888139"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2422.78</w:t>
            </w:r>
          </w:p>
        </w:tc>
        <w:tc>
          <w:tcPr>
            <w:tcW w:w="300" w:type="pct"/>
            <w:tcBorders>
              <w:top w:val="nil"/>
              <w:left w:val="nil"/>
              <w:bottom w:val="double" w:sz="6" w:space="0" w:color="auto"/>
              <w:right w:val="double" w:sz="6" w:space="0" w:color="auto"/>
            </w:tcBorders>
            <w:shd w:val="clear" w:color="000000" w:fill="B8CCE4"/>
            <w:noWrap/>
            <w:vAlign w:val="center"/>
            <w:hideMark/>
          </w:tcPr>
          <w:p w14:paraId="52D2351B"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37.6</w:t>
            </w:r>
          </w:p>
        </w:tc>
        <w:tc>
          <w:tcPr>
            <w:tcW w:w="477" w:type="pct"/>
            <w:tcBorders>
              <w:top w:val="single" w:sz="12" w:space="0" w:color="auto"/>
              <w:left w:val="single" w:sz="12" w:space="0" w:color="auto"/>
              <w:bottom w:val="single" w:sz="4" w:space="0" w:color="auto"/>
              <w:right w:val="single" w:sz="4" w:space="0" w:color="auto"/>
            </w:tcBorders>
            <w:shd w:val="clear" w:color="000000" w:fill="B8CCE4"/>
            <w:noWrap/>
            <w:vAlign w:val="center"/>
            <w:hideMark/>
          </w:tcPr>
          <w:p w14:paraId="654C3EFF"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2717.25</w:t>
            </w:r>
          </w:p>
        </w:tc>
        <w:tc>
          <w:tcPr>
            <w:tcW w:w="307" w:type="pct"/>
            <w:tcBorders>
              <w:top w:val="nil"/>
              <w:left w:val="nil"/>
              <w:bottom w:val="double" w:sz="6" w:space="0" w:color="auto"/>
              <w:right w:val="double" w:sz="6" w:space="0" w:color="auto"/>
            </w:tcBorders>
            <w:shd w:val="clear" w:color="000000" w:fill="B8CCE4"/>
            <w:noWrap/>
            <w:vAlign w:val="center"/>
            <w:hideMark/>
          </w:tcPr>
          <w:p w14:paraId="3919B5F2"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38.6</w:t>
            </w:r>
          </w:p>
        </w:tc>
        <w:tc>
          <w:tcPr>
            <w:tcW w:w="452" w:type="pct"/>
            <w:tcBorders>
              <w:top w:val="nil"/>
              <w:left w:val="nil"/>
              <w:bottom w:val="double" w:sz="6" w:space="0" w:color="auto"/>
              <w:right w:val="single" w:sz="4" w:space="0" w:color="auto"/>
            </w:tcBorders>
            <w:shd w:val="clear" w:color="000000" w:fill="B8CCE4"/>
            <w:noWrap/>
            <w:vAlign w:val="center"/>
            <w:hideMark/>
          </w:tcPr>
          <w:p w14:paraId="2A65E1AD"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2819.29</w:t>
            </w:r>
          </w:p>
        </w:tc>
        <w:tc>
          <w:tcPr>
            <w:tcW w:w="308" w:type="pct"/>
            <w:tcBorders>
              <w:top w:val="nil"/>
              <w:left w:val="nil"/>
              <w:bottom w:val="double" w:sz="6" w:space="0" w:color="auto"/>
              <w:right w:val="double" w:sz="6" w:space="0" w:color="auto"/>
            </w:tcBorders>
            <w:shd w:val="clear" w:color="000000" w:fill="B8CCE4"/>
            <w:noWrap/>
            <w:vAlign w:val="center"/>
            <w:hideMark/>
          </w:tcPr>
          <w:p w14:paraId="218F7EBE"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38.0</w:t>
            </w:r>
          </w:p>
        </w:tc>
        <w:tc>
          <w:tcPr>
            <w:tcW w:w="436" w:type="pct"/>
            <w:tcBorders>
              <w:top w:val="nil"/>
              <w:left w:val="nil"/>
              <w:bottom w:val="double" w:sz="6" w:space="0" w:color="auto"/>
              <w:right w:val="single" w:sz="4" w:space="0" w:color="auto"/>
            </w:tcBorders>
            <w:shd w:val="clear" w:color="000000" w:fill="B8CCE4"/>
            <w:noWrap/>
            <w:vAlign w:val="center"/>
            <w:hideMark/>
          </w:tcPr>
          <w:p w14:paraId="18FE1126"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2928.82</w:t>
            </w:r>
          </w:p>
        </w:tc>
        <w:tc>
          <w:tcPr>
            <w:tcW w:w="306" w:type="pct"/>
            <w:tcBorders>
              <w:top w:val="nil"/>
              <w:left w:val="nil"/>
              <w:bottom w:val="double" w:sz="6" w:space="0" w:color="auto"/>
              <w:right w:val="double" w:sz="6" w:space="0" w:color="auto"/>
            </w:tcBorders>
            <w:shd w:val="clear" w:color="000000" w:fill="B8CCE4"/>
            <w:noWrap/>
            <w:vAlign w:val="center"/>
            <w:hideMark/>
          </w:tcPr>
          <w:p w14:paraId="65E49547"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37.6</w:t>
            </w:r>
          </w:p>
        </w:tc>
      </w:tr>
      <w:tr w:rsidR="00052499" w:rsidRPr="00C17ACD" w14:paraId="674EAAAA" w14:textId="77777777" w:rsidTr="00052499">
        <w:trPr>
          <w:trHeight w:hRule="exact" w:val="198"/>
        </w:trPr>
        <w:tc>
          <w:tcPr>
            <w:tcW w:w="1974" w:type="pct"/>
            <w:tcBorders>
              <w:top w:val="nil"/>
              <w:left w:val="double" w:sz="6" w:space="0" w:color="auto"/>
              <w:bottom w:val="nil"/>
              <w:right w:val="nil"/>
            </w:tcBorders>
            <w:shd w:val="clear" w:color="000000" w:fill="FFFFFF"/>
            <w:noWrap/>
            <w:vAlign w:val="center"/>
            <w:hideMark/>
          </w:tcPr>
          <w:p w14:paraId="5D031B08" w14:textId="77777777" w:rsidR="00052499" w:rsidRPr="00C17ACD" w:rsidRDefault="00052499" w:rsidP="00052499">
            <w:pPr>
              <w:spacing w:after="0" w:line="240" w:lineRule="auto"/>
              <w:rPr>
                <w:rFonts w:ascii="Calibri" w:eastAsia="Times New Roman" w:hAnsi="Calibri" w:cs="Calibri"/>
                <w:b/>
                <w:bCs/>
                <w:sz w:val="16"/>
                <w:szCs w:val="16"/>
              </w:rPr>
            </w:pPr>
            <w:r w:rsidRPr="00C17ACD">
              <w:rPr>
                <w:rFonts w:ascii="Calibri" w:eastAsia="Times New Roman" w:hAnsi="Calibri" w:cs="Calibri"/>
                <w:b/>
                <w:bCs/>
                <w:sz w:val="16"/>
                <w:szCs w:val="16"/>
              </w:rPr>
              <w:t>Porezi</w:t>
            </w:r>
          </w:p>
        </w:tc>
        <w:tc>
          <w:tcPr>
            <w:tcW w:w="439" w:type="pct"/>
            <w:tcBorders>
              <w:top w:val="nil"/>
              <w:left w:val="nil"/>
              <w:bottom w:val="nil"/>
              <w:right w:val="single" w:sz="4" w:space="0" w:color="auto"/>
            </w:tcBorders>
            <w:shd w:val="clear" w:color="000000" w:fill="FFFFFF"/>
            <w:noWrap/>
            <w:vAlign w:val="center"/>
            <w:hideMark/>
          </w:tcPr>
          <w:p w14:paraId="5B30DF1E"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1581.31</w:t>
            </w:r>
          </w:p>
        </w:tc>
        <w:tc>
          <w:tcPr>
            <w:tcW w:w="300" w:type="pct"/>
            <w:tcBorders>
              <w:top w:val="nil"/>
              <w:left w:val="nil"/>
              <w:bottom w:val="nil"/>
              <w:right w:val="double" w:sz="6" w:space="0" w:color="auto"/>
            </w:tcBorders>
            <w:shd w:val="clear" w:color="000000" w:fill="FFFFFF"/>
            <w:noWrap/>
            <w:vAlign w:val="center"/>
            <w:hideMark/>
          </w:tcPr>
          <w:p w14:paraId="7CEC5A3C"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24.5</w:t>
            </w:r>
          </w:p>
        </w:tc>
        <w:tc>
          <w:tcPr>
            <w:tcW w:w="477" w:type="pct"/>
            <w:tcBorders>
              <w:top w:val="nil"/>
              <w:left w:val="nil"/>
              <w:bottom w:val="nil"/>
              <w:right w:val="single" w:sz="4" w:space="0" w:color="auto"/>
            </w:tcBorders>
            <w:shd w:val="clear" w:color="000000" w:fill="FFFFFF"/>
            <w:noWrap/>
            <w:vAlign w:val="center"/>
            <w:hideMark/>
          </w:tcPr>
          <w:p w14:paraId="124EB5EC"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1883.47</w:t>
            </w:r>
          </w:p>
        </w:tc>
        <w:tc>
          <w:tcPr>
            <w:tcW w:w="307" w:type="pct"/>
            <w:tcBorders>
              <w:top w:val="nil"/>
              <w:left w:val="nil"/>
              <w:bottom w:val="nil"/>
              <w:right w:val="double" w:sz="6" w:space="0" w:color="auto"/>
            </w:tcBorders>
            <w:shd w:val="clear" w:color="000000" w:fill="FFFFFF"/>
            <w:noWrap/>
            <w:vAlign w:val="center"/>
            <w:hideMark/>
          </w:tcPr>
          <w:p w14:paraId="70A5D79A"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26.8</w:t>
            </w:r>
          </w:p>
        </w:tc>
        <w:tc>
          <w:tcPr>
            <w:tcW w:w="452" w:type="pct"/>
            <w:tcBorders>
              <w:top w:val="nil"/>
              <w:left w:val="nil"/>
              <w:bottom w:val="nil"/>
              <w:right w:val="single" w:sz="4" w:space="0" w:color="auto"/>
            </w:tcBorders>
            <w:shd w:val="clear" w:color="000000" w:fill="FFFFFF"/>
            <w:noWrap/>
            <w:vAlign w:val="center"/>
            <w:hideMark/>
          </w:tcPr>
          <w:p w14:paraId="254D29FB"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1983.78</w:t>
            </w:r>
          </w:p>
        </w:tc>
        <w:tc>
          <w:tcPr>
            <w:tcW w:w="308" w:type="pct"/>
            <w:tcBorders>
              <w:top w:val="nil"/>
              <w:left w:val="nil"/>
              <w:bottom w:val="nil"/>
              <w:right w:val="double" w:sz="6" w:space="0" w:color="auto"/>
            </w:tcBorders>
            <w:shd w:val="clear" w:color="000000" w:fill="FFFFFF"/>
            <w:noWrap/>
            <w:vAlign w:val="center"/>
            <w:hideMark/>
          </w:tcPr>
          <w:p w14:paraId="1C503F8D"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26.7</w:t>
            </w:r>
          </w:p>
        </w:tc>
        <w:tc>
          <w:tcPr>
            <w:tcW w:w="436" w:type="pct"/>
            <w:tcBorders>
              <w:top w:val="nil"/>
              <w:left w:val="nil"/>
              <w:bottom w:val="nil"/>
              <w:right w:val="single" w:sz="4" w:space="0" w:color="auto"/>
            </w:tcBorders>
            <w:shd w:val="clear" w:color="000000" w:fill="FFFFFF"/>
            <w:noWrap/>
            <w:vAlign w:val="center"/>
            <w:hideMark/>
          </w:tcPr>
          <w:p w14:paraId="4DA2D4FF"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2062.36</w:t>
            </w:r>
          </w:p>
        </w:tc>
        <w:tc>
          <w:tcPr>
            <w:tcW w:w="306" w:type="pct"/>
            <w:tcBorders>
              <w:top w:val="nil"/>
              <w:left w:val="nil"/>
              <w:bottom w:val="nil"/>
              <w:right w:val="double" w:sz="6" w:space="0" w:color="auto"/>
            </w:tcBorders>
            <w:shd w:val="clear" w:color="000000" w:fill="FFFFFF"/>
            <w:noWrap/>
            <w:vAlign w:val="center"/>
            <w:hideMark/>
          </w:tcPr>
          <w:p w14:paraId="7AD20D21"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26.5</w:t>
            </w:r>
          </w:p>
        </w:tc>
      </w:tr>
      <w:tr w:rsidR="00052499" w:rsidRPr="00C17ACD" w14:paraId="021795E5" w14:textId="77777777" w:rsidTr="00052499">
        <w:trPr>
          <w:trHeight w:hRule="exact" w:val="198"/>
        </w:trPr>
        <w:tc>
          <w:tcPr>
            <w:tcW w:w="1974" w:type="pct"/>
            <w:tcBorders>
              <w:top w:val="nil"/>
              <w:left w:val="double" w:sz="6" w:space="0" w:color="auto"/>
              <w:bottom w:val="nil"/>
              <w:right w:val="nil"/>
            </w:tcBorders>
            <w:shd w:val="clear" w:color="000000" w:fill="FFFFFF"/>
            <w:noWrap/>
            <w:vAlign w:val="center"/>
            <w:hideMark/>
          </w:tcPr>
          <w:p w14:paraId="4FF62961" w14:textId="77777777" w:rsidR="00052499" w:rsidRPr="00C17ACD" w:rsidRDefault="00052499" w:rsidP="00052499">
            <w:pPr>
              <w:spacing w:after="0" w:line="240" w:lineRule="auto"/>
              <w:rPr>
                <w:rFonts w:ascii="Calibri" w:eastAsia="Times New Roman" w:hAnsi="Calibri" w:cs="Calibri"/>
                <w:sz w:val="16"/>
                <w:szCs w:val="16"/>
              </w:rPr>
            </w:pPr>
            <w:r w:rsidRPr="00C17ACD">
              <w:rPr>
                <w:rFonts w:ascii="Calibri" w:eastAsia="Times New Roman" w:hAnsi="Calibri" w:cs="Calibri"/>
                <w:sz w:val="16"/>
                <w:szCs w:val="16"/>
              </w:rPr>
              <w:t>Porez na dohodak fizičkih lica</w:t>
            </w:r>
          </w:p>
        </w:tc>
        <w:tc>
          <w:tcPr>
            <w:tcW w:w="439" w:type="pct"/>
            <w:tcBorders>
              <w:top w:val="nil"/>
              <w:left w:val="nil"/>
              <w:bottom w:val="nil"/>
              <w:right w:val="single" w:sz="4" w:space="0" w:color="auto"/>
            </w:tcBorders>
            <w:shd w:val="clear" w:color="000000" w:fill="FFFFFF"/>
            <w:noWrap/>
            <w:vAlign w:val="center"/>
            <w:hideMark/>
          </w:tcPr>
          <w:p w14:paraId="319E3E1D" w14:textId="77777777" w:rsidR="00052499" w:rsidRPr="00C17ACD" w:rsidRDefault="00052499" w:rsidP="00052499">
            <w:pPr>
              <w:spacing w:after="0" w:line="240" w:lineRule="auto"/>
              <w:jc w:val="right"/>
              <w:rPr>
                <w:rFonts w:ascii="Calibri" w:eastAsia="Times New Roman" w:hAnsi="Calibri" w:cs="Calibri"/>
                <w:sz w:val="16"/>
                <w:szCs w:val="16"/>
              </w:rPr>
            </w:pPr>
            <w:r w:rsidRPr="00C17ACD">
              <w:rPr>
                <w:rFonts w:ascii="Calibri" w:eastAsia="Times New Roman" w:hAnsi="Calibri" w:cs="Calibri"/>
                <w:sz w:val="16"/>
                <w:szCs w:val="16"/>
              </w:rPr>
              <w:t>62.30</w:t>
            </w:r>
          </w:p>
        </w:tc>
        <w:tc>
          <w:tcPr>
            <w:tcW w:w="300" w:type="pct"/>
            <w:tcBorders>
              <w:top w:val="nil"/>
              <w:left w:val="nil"/>
              <w:bottom w:val="nil"/>
              <w:right w:val="double" w:sz="6" w:space="0" w:color="auto"/>
            </w:tcBorders>
            <w:shd w:val="clear" w:color="000000" w:fill="FFFFFF"/>
            <w:noWrap/>
            <w:vAlign w:val="center"/>
            <w:hideMark/>
          </w:tcPr>
          <w:p w14:paraId="1EC1AA24"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1.0</w:t>
            </w:r>
          </w:p>
        </w:tc>
        <w:tc>
          <w:tcPr>
            <w:tcW w:w="477" w:type="pct"/>
            <w:tcBorders>
              <w:top w:val="nil"/>
              <w:left w:val="nil"/>
              <w:bottom w:val="nil"/>
              <w:right w:val="single" w:sz="4" w:space="0" w:color="auto"/>
            </w:tcBorders>
            <w:shd w:val="clear" w:color="000000" w:fill="FFFFFF"/>
            <w:noWrap/>
            <w:vAlign w:val="center"/>
            <w:hideMark/>
          </w:tcPr>
          <w:p w14:paraId="06A8E51F" w14:textId="77777777" w:rsidR="00052499" w:rsidRPr="00C17ACD" w:rsidRDefault="00052499" w:rsidP="00052499">
            <w:pPr>
              <w:spacing w:after="0" w:line="240" w:lineRule="auto"/>
              <w:jc w:val="right"/>
              <w:rPr>
                <w:rFonts w:ascii="Calibri" w:eastAsia="Times New Roman" w:hAnsi="Calibri" w:cs="Calibri"/>
                <w:sz w:val="16"/>
                <w:szCs w:val="16"/>
              </w:rPr>
            </w:pPr>
            <w:r w:rsidRPr="00C17ACD">
              <w:rPr>
                <w:rFonts w:ascii="Calibri" w:eastAsia="Times New Roman" w:hAnsi="Calibri" w:cs="Calibri"/>
                <w:sz w:val="16"/>
                <w:szCs w:val="16"/>
              </w:rPr>
              <w:t>80.77</w:t>
            </w:r>
          </w:p>
        </w:tc>
        <w:tc>
          <w:tcPr>
            <w:tcW w:w="307" w:type="pct"/>
            <w:tcBorders>
              <w:top w:val="nil"/>
              <w:left w:val="nil"/>
              <w:bottom w:val="nil"/>
              <w:right w:val="double" w:sz="6" w:space="0" w:color="auto"/>
            </w:tcBorders>
            <w:shd w:val="clear" w:color="000000" w:fill="FFFFFF"/>
            <w:noWrap/>
            <w:vAlign w:val="center"/>
            <w:hideMark/>
          </w:tcPr>
          <w:p w14:paraId="186A9907"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1.1</w:t>
            </w:r>
          </w:p>
        </w:tc>
        <w:tc>
          <w:tcPr>
            <w:tcW w:w="452" w:type="pct"/>
            <w:tcBorders>
              <w:top w:val="nil"/>
              <w:left w:val="nil"/>
              <w:bottom w:val="nil"/>
              <w:right w:val="single" w:sz="4" w:space="0" w:color="auto"/>
            </w:tcBorders>
            <w:shd w:val="clear" w:color="000000" w:fill="FFFFFF"/>
            <w:noWrap/>
            <w:vAlign w:val="center"/>
            <w:hideMark/>
          </w:tcPr>
          <w:p w14:paraId="4C7D4EF3" w14:textId="77777777" w:rsidR="00052499" w:rsidRPr="00C17ACD" w:rsidRDefault="00052499" w:rsidP="00052499">
            <w:pPr>
              <w:spacing w:after="0" w:line="240" w:lineRule="auto"/>
              <w:jc w:val="right"/>
              <w:rPr>
                <w:rFonts w:ascii="Calibri" w:eastAsia="Times New Roman" w:hAnsi="Calibri" w:cs="Calibri"/>
                <w:sz w:val="16"/>
                <w:szCs w:val="16"/>
              </w:rPr>
            </w:pPr>
            <w:r w:rsidRPr="00C17ACD">
              <w:rPr>
                <w:rFonts w:ascii="Calibri" w:eastAsia="Times New Roman" w:hAnsi="Calibri" w:cs="Calibri"/>
                <w:sz w:val="16"/>
                <w:szCs w:val="16"/>
              </w:rPr>
              <w:t>82.66</w:t>
            </w:r>
          </w:p>
        </w:tc>
        <w:tc>
          <w:tcPr>
            <w:tcW w:w="308" w:type="pct"/>
            <w:tcBorders>
              <w:top w:val="nil"/>
              <w:left w:val="nil"/>
              <w:bottom w:val="nil"/>
              <w:right w:val="double" w:sz="6" w:space="0" w:color="auto"/>
            </w:tcBorders>
            <w:shd w:val="clear" w:color="000000" w:fill="FFFFFF"/>
            <w:noWrap/>
            <w:vAlign w:val="center"/>
            <w:hideMark/>
          </w:tcPr>
          <w:p w14:paraId="7E4A9CF6"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1.1</w:t>
            </w:r>
          </w:p>
        </w:tc>
        <w:tc>
          <w:tcPr>
            <w:tcW w:w="436" w:type="pct"/>
            <w:tcBorders>
              <w:top w:val="nil"/>
              <w:left w:val="nil"/>
              <w:bottom w:val="nil"/>
              <w:right w:val="single" w:sz="4" w:space="0" w:color="auto"/>
            </w:tcBorders>
            <w:shd w:val="clear" w:color="000000" w:fill="FFFFFF"/>
            <w:noWrap/>
            <w:vAlign w:val="center"/>
            <w:hideMark/>
          </w:tcPr>
          <w:p w14:paraId="0F747DA9" w14:textId="77777777" w:rsidR="00052499" w:rsidRPr="00C17ACD" w:rsidRDefault="00052499" w:rsidP="00052499">
            <w:pPr>
              <w:spacing w:after="0" w:line="240" w:lineRule="auto"/>
              <w:jc w:val="right"/>
              <w:rPr>
                <w:rFonts w:ascii="Calibri" w:eastAsia="Times New Roman" w:hAnsi="Calibri" w:cs="Calibri"/>
                <w:sz w:val="16"/>
                <w:szCs w:val="16"/>
              </w:rPr>
            </w:pPr>
            <w:r w:rsidRPr="00C17ACD">
              <w:rPr>
                <w:rFonts w:ascii="Calibri" w:eastAsia="Times New Roman" w:hAnsi="Calibri" w:cs="Calibri"/>
                <w:sz w:val="16"/>
                <w:szCs w:val="16"/>
              </w:rPr>
              <w:t>86.21</w:t>
            </w:r>
          </w:p>
        </w:tc>
        <w:tc>
          <w:tcPr>
            <w:tcW w:w="306" w:type="pct"/>
            <w:tcBorders>
              <w:top w:val="nil"/>
              <w:left w:val="nil"/>
              <w:bottom w:val="nil"/>
              <w:right w:val="double" w:sz="6" w:space="0" w:color="auto"/>
            </w:tcBorders>
            <w:shd w:val="clear" w:color="000000" w:fill="FFFFFF"/>
            <w:noWrap/>
            <w:vAlign w:val="center"/>
            <w:hideMark/>
          </w:tcPr>
          <w:p w14:paraId="03056C47"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1.1</w:t>
            </w:r>
          </w:p>
        </w:tc>
      </w:tr>
      <w:tr w:rsidR="00052499" w:rsidRPr="00C17ACD" w14:paraId="7626E03C" w14:textId="77777777" w:rsidTr="00052499">
        <w:trPr>
          <w:trHeight w:hRule="exact" w:val="198"/>
        </w:trPr>
        <w:tc>
          <w:tcPr>
            <w:tcW w:w="1974" w:type="pct"/>
            <w:tcBorders>
              <w:top w:val="nil"/>
              <w:left w:val="double" w:sz="6" w:space="0" w:color="auto"/>
              <w:bottom w:val="nil"/>
              <w:right w:val="nil"/>
            </w:tcBorders>
            <w:shd w:val="clear" w:color="000000" w:fill="FFFFFF"/>
            <w:noWrap/>
            <w:vAlign w:val="center"/>
            <w:hideMark/>
          </w:tcPr>
          <w:p w14:paraId="5DDE2B36" w14:textId="77777777" w:rsidR="00052499" w:rsidRPr="00C17ACD" w:rsidRDefault="00052499" w:rsidP="00052499">
            <w:pPr>
              <w:spacing w:after="0" w:line="240" w:lineRule="auto"/>
              <w:rPr>
                <w:rFonts w:ascii="Calibri" w:eastAsia="Times New Roman" w:hAnsi="Calibri" w:cs="Calibri"/>
                <w:sz w:val="16"/>
                <w:szCs w:val="16"/>
              </w:rPr>
            </w:pPr>
            <w:r w:rsidRPr="00C17ACD">
              <w:rPr>
                <w:rFonts w:ascii="Calibri" w:eastAsia="Times New Roman" w:hAnsi="Calibri" w:cs="Calibri"/>
                <w:sz w:val="16"/>
                <w:szCs w:val="16"/>
              </w:rPr>
              <w:t>Porez na dobit pravnih lica</w:t>
            </w:r>
          </w:p>
        </w:tc>
        <w:tc>
          <w:tcPr>
            <w:tcW w:w="439" w:type="pct"/>
            <w:tcBorders>
              <w:top w:val="nil"/>
              <w:left w:val="nil"/>
              <w:bottom w:val="nil"/>
              <w:right w:val="single" w:sz="4" w:space="0" w:color="auto"/>
            </w:tcBorders>
            <w:shd w:val="clear" w:color="000000" w:fill="FFFFFF"/>
            <w:noWrap/>
            <w:vAlign w:val="center"/>
            <w:hideMark/>
          </w:tcPr>
          <w:p w14:paraId="2F2CB039" w14:textId="77777777" w:rsidR="00052499" w:rsidRPr="00C17ACD" w:rsidRDefault="00052499" w:rsidP="00052499">
            <w:pPr>
              <w:spacing w:after="0" w:line="240" w:lineRule="auto"/>
              <w:jc w:val="right"/>
              <w:rPr>
                <w:rFonts w:ascii="Calibri" w:eastAsia="Times New Roman" w:hAnsi="Calibri" w:cs="Calibri"/>
                <w:sz w:val="16"/>
                <w:szCs w:val="16"/>
              </w:rPr>
            </w:pPr>
            <w:r w:rsidRPr="00C17ACD">
              <w:rPr>
                <w:rFonts w:ascii="Calibri" w:eastAsia="Times New Roman" w:hAnsi="Calibri" w:cs="Calibri"/>
                <w:sz w:val="16"/>
                <w:szCs w:val="16"/>
              </w:rPr>
              <w:t>134.65</w:t>
            </w:r>
          </w:p>
        </w:tc>
        <w:tc>
          <w:tcPr>
            <w:tcW w:w="300" w:type="pct"/>
            <w:tcBorders>
              <w:top w:val="nil"/>
              <w:left w:val="nil"/>
              <w:bottom w:val="nil"/>
              <w:right w:val="double" w:sz="6" w:space="0" w:color="auto"/>
            </w:tcBorders>
            <w:shd w:val="clear" w:color="000000" w:fill="FFFFFF"/>
            <w:noWrap/>
            <w:vAlign w:val="center"/>
            <w:hideMark/>
          </w:tcPr>
          <w:p w14:paraId="60714555"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2.1</w:t>
            </w:r>
          </w:p>
        </w:tc>
        <w:tc>
          <w:tcPr>
            <w:tcW w:w="477" w:type="pct"/>
            <w:tcBorders>
              <w:top w:val="nil"/>
              <w:left w:val="nil"/>
              <w:bottom w:val="nil"/>
              <w:right w:val="single" w:sz="4" w:space="0" w:color="auto"/>
            </w:tcBorders>
            <w:shd w:val="clear" w:color="000000" w:fill="FFFFFF"/>
            <w:noWrap/>
            <w:vAlign w:val="center"/>
            <w:hideMark/>
          </w:tcPr>
          <w:p w14:paraId="747DCAC8" w14:textId="77777777" w:rsidR="00052499" w:rsidRPr="00C17ACD" w:rsidRDefault="00052499" w:rsidP="00052499">
            <w:pPr>
              <w:spacing w:after="0" w:line="240" w:lineRule="auto"/>
              <w:jc w:val="right"/>
              <w:rPr>
                <w:rFonts w:ascii="Calibri" w:eastAsia="Times New Roman" w:hAnsi="Calibri" w:cs="Calibri"/>
                <w:sz w:val="16"/>
                <w:szCs w:val="16"/>
              </w:rPr>
            </w:pPr>
            <w:r w:rsidRPr="00C17ACD">
              <w:rPr>
                <w:rFonts w:ascii="Calibri" w:eastAsia="Times New Roman" w:hAnsi="Calibri" w:cs="Calibri"/>
                <w:sz w:val="16"/>
                <w:szCs w:val="16"/>
              </w:rPr>
              <w:t>164.65</w:t>
            </w:r>
          </w:p>
        </w:tc>
        <w:tc>
          <w:tcPr>
            <w:tcW w:w="307" w:type="pct"/>
            <w:tcBorders>
              <w:top w:val="nil"/>
              <w:left w:val="nil"/>
              <w:bottom w:val="nil"/>
              <w:right w:val="double" w:sz="6" w:space="0" w:color="auto"/>
            </w:tcBorders>
            <w:shd w:val="clear" w:color="000000" w:fill="FFFFFF"/>
            <w:noWrap/>
            <w:vAlign w:val="center"/>
            <w:hideMark/>
          </w:tcPr>
          <w:p w14:paraId="18D952FE"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2.3</w:t>
            </w:r>
          </w:p>
        </w:tc>
        <w:tc>
          <w:tcPr>
            <w:tcW w:w="452" w:type="pct"/>
            <w:tcBorders>
              <w:top w:val="nil"/>
              <w:left w:val="nil"/>
              <w:bottom w:val="nil"/>
              <w:right w:val="single" w:sz="4" w:space="0" w:color="auto"/>
            </w:tcBorders>
            <w:shd w:val="clear" w:color="000000" w:fill="FFFFFF"/>
            <w:noWrap/>
            <w:vAlign w:val="center"/>
            <w:hideMark/>
          </w:tcPr>
          <w:p w14:paraId="6451A952" w14:textId="77777777" w:rsidR="00052499" w:rsidRPr="00C17ACD" w:rsidRDefault="00052499" w:rsidP="00052499">
            <w:pPr>
              <w:spacing w:after="0" w:line="240" w:lineRule="auto"/>
              <w:jc w:val="right"/>
              <w:rPr>
                <w:rFonts w:ascii="Calibri" w:eastAsia="Times New Roman" w:hAnsi="Calibri" w:cs="Calibri"/>
                <w:sz w:val="16"/>
                <w:szCs w:val="16"/>
              </w:rPr>
            </w:pPr>
            <w:r w:rsidRPr="00C17ACD">
              <w:rPr>
                <w:rFonts w:ascii="Calibri" w:eastAsia="Times New Roman" w:hAnsi="Calibri" w:cs="Calibri"/>
                <w:sz w:val="16"/>
                <w:szCs w:val="16"/>
              </w:rPr>
              <w:t>168.23</w:t>
            </w:r>
          </w:p>
        </w:tc>
        <w:tc>
          <w:tcPr>
            <w:tcW w:w="308" w:type="pct"/>
            <w:tcBorders>
              <w:top w:val="nil"/>
              <w:left w:val="nil"/>
              <w:bottom w:val="nil"/>
              <w:right w:val="double" w:sz="6" w:space="0" w:color="auto"/>
            </w:tcBorders>
            <w:shd w:val="clear" w:color="000000" w:fill="FFFFFF"/>
            <w:noWrap/>
            <w:vAlign w:val="center"/>
            <w:hideMark/>
          </w:tcPr>
          <w:p w14:paraId="2BD9A0D5"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2.3</w:t>
            </w:r>
          </w:p>
        </w:tc>
        <w:tc>
          <w:tcPr>
            <w:tcW w:w="436" w:type="pct"/>
            <w:tcBorders>
              <w:top w:val="nil"/>
              <w:left w:val="nil"/>
              <w:bottom w:val="nil"/>
              <w:right w:val="single" w:sz="4" w:space="0" w:color="auto"/>
            </w:tcBorders>
            <w:shd w:val="clear" w:color="000000" w:fill="FFFFFF"/>
            <w:noWrap/>
            <w:vAlign w:val="center"/>
            <w:hideMark/>
          </w:tcPr>
          <w:p w14:paraId="56FBD063" w14:textId="77777777" w:rsidR="00052499" w:rsidRPr="00C17ACD" w:rsidRDefault="00052499" w:rsidP="00052499">
            <w:pPr>
              <w:spacing w:after="0" w:line="240" w:lineRule="auto"/>
              <w:jc w:val="right"/>
              <w:rPr>
                <w:rFonts w:ascii="Calibri" w:eastAsia="Times New Roman" w:hAnsi="Calibri" w:cs="Calibri"/>
                <w:sz w:val="16"/>
                <w:szCs w:val="16"/>
              </w:rPr>
            </w:pPr>
            <w:r w:rsidRPr="00C17ACD">
              <w:rPr>
                <w:rFonts w:ascii="Calibri" w:eastAsia="Times New Roman" w:hAnsi="Calibri" w:cs="Calibri"/>
                <w:sz w:val="16"/>
                <w:szCs w:val="16"/>
              </w:rPr>
              <w:t>171.86</w:t>
            </w:r>
          </w:p>
        </w:tc>
        <w:tc>
          <w:tcPr>
            <w:tcW w:w="306" w:type="pct"/>
            <w:tcBorders>
              <w:top w:val="nil"/>
              <w:left w:val="nil"/>
              <w:bottom w:val="nil"/>
              <w:right w:val="double" w:sz="6" w:space="0" w:color="auto"/>
            </w:tcBorders>
            <w:shd w:val="clear" w:color="000000" w:fill="FFFFFF"/>
            <w:noWrap/>
            <w:vAlign w:val="center"/>
            <w:hideMark/>
          </w:tcPr>
          <w:p w14:paraId="15764AF9"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2.2</w:t>
            </w:r>
          </w:p>
        </w:tc>
      </w:tr>
      <w:tr w:rsidR="00052499" w:rsidRPr="00C17ACD" w14:paraId="2B3CD5FF" w14:textId="77777777" w:rsidTr="00052499">
        <w:trPr>
          <w:trHeight w:hRule="exact" w:val="198"/>
        </w:trPr>
        <w:tc>
          <w:tcPr>
            <w:tcW w:w="1974" w:type="pct"/>
            <w:tcBorders>
              <w:top w:val="nil"/>
              <w:left w:val="double" w:sz="6" w:space="0" w:color="auto"/>
              <w:bottom w:val="nil"/>
              <w:right w:val="nil"/>
            </w:tcBorders>
            <w:shd w:val="clear" w:color="000000" w:fill="FFFFFF"/>
            <w:noWrap/>
            <w:vAlign w:val="center"/>
            <w:hideMark/>
          </w:tcPr>
          <w:p w14:paraId="4C755D53" w14:textId="77777777" w:rsidR="00052499" w:rsidRPr="00C17ACD" w:rsidRDefault="00052499" w:rsidP="00052499">
            <w:pPr>
              <w:spacing w:after="0" w:line="240" w:lineRule="auto"/>
              <w:rPr>
                <w:rFonts w:ascii="Calibri" w:eastAsia="Times New Roman" w:hAnsi="Calibri" w:cs="Calibri"/>
                <w:sz w:val="16"/>
                <w:szCs w:val="16"/>
              </w:rPr>
            </w:pPr>
            <w:r w:rsidRPr="00C17ACD">
              <w:rPr>
                <w:rFonts w:ascii="Calibri" w:eastAsia="Times New Roman" w:hAnsi="Calibri" w:cs="Calibri"/>
                <w:sz w:val="16"/>
                <w:szCs w:val="16"/>
              </w:rPr>
              <w:t>Porez na promet nepokretnosti</w:t>
            </w:r>
          </w:p>
        </w:tc>
        <w:tc>
          <w:tcPr>
            <w:tcW w:w="439" w:type="pct"/>
            <w:tcBorders>
              <w:top w:val="nil"/>
              <w:left w:val="nil"/>
              <w:bottom w:val="nil"/>
              <w:right w:val="single" w:sz="4" w:space="0" w:color="auto"/>
            </w:tcBorders>
            <w:shd w:val="clear" w:color="000000" w:fill="FFFFFF"/>
            <w:noWrap/>
            <w:vAlign w:val="center"/>
            <w:hideMark/>
          </w:tcPr>
          <w:p w14:paraId="4D8A18FC" w14:textId="77777777" w:rsidR="00052499" w:rsidRPr="00C17ACD" w:rsidRDefault="00052499" w:rsidP="00052499">
            <w:pPr>
              <w:spacing w:after="0" w:line="240" w:lineRule="auto"/>
              <w:jc w:val="right"/>
              <w:rPr>
                <w:rFonts w:ascii="Calibri" w:eastAsia="Times New Roman" w:hAnsi="Calibri" w:cs="Calibri"/>
                <w:sz w:val="16"/>
                <w:szCs w:val="16"/>
              </w:rPr>
            </w:pPr>
            <w:r w:rsidRPr="00C17ACD">
              <w:rPr>
                <w:rFonts w:ascii="Calibri" w:eastAsia="Times New Roman" w:hAnsi="Calibri" w:cs="Calibri"/>
                <w:sz w:val="16"/>
                <w:szCs w:val="16"/>
              </w:rPr>
              <w:t>0.00</w:t>
            </w:r>
          </w:p>
        </w:tc>
        <w:tc>
          <w:tcPr>
            <w:tcW w:w="300" w:type="pct"/>
            <w:tcBorders>
              <w:top w:val="nil"/>
              <w:left w:val="nil"/>
              <w:bottom w:val="nil"/>
              <w:right w:val="double" w:sz="6" w:space="0" w:color="auto"/>
            </w:tcBorders>
            <w:shd w:val="clear" w:color="000000" w:fill="FFFFFF"/>
            <w:noWrap/>
            <w:vAlign w:val="center"/>
            <w:hideMark/>
          </w:tcPr>
          <w:p w14:paraId="45ED6199"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0.0</w:t>
            </w:r>
          </w:p>
        </w:tc>
        <w:tc>
          <w:tcPr>
            <w:tcW w:w="477" w:type="pct"/>
            <w:tcBorders>
              <w:top w:val="nil"/>
              <w:left w:val="nil"/>
              <w:bottom w:val="nil"/>
              <w:right w:val="single" w:sz="4" w:space="0" w:color="auto"/>
            </w:tcBorders>
            <w:shd w:val="clear" w:color="000000" w:fill="FFFFFF"/>
            <w:noWrap/>
            <w:vAlign w:val="center"/>
            <w:hideMark/>
          </w:tcPr>
          <w:p w14:paraId="3EC6138F" w14:textId="77777777" w:rsidR="00052499" w:rsidRPr="00C17ACD" w:rsidRDefault="00052499" w:rsidP="00052499">
            <w:pPr>
              <w:spacing w:after="0" w:line="240" w:lineRule="auto"/>
              <w:jc w:val="right"/>
              <w:rPr>
                <w:rFonts w:ascii="Calibri" w:eastAsia="Times New Roman" w:hAnsi="Calibri" w:cs="Calibri"/>
                <w:sz w:val="16"/>
                <w:szCs w:val="16"/>
              </w:rPr>
            </w:pPr>
            <w:r w:rsidRPr="00C17ACD">
              <w:rPr>
                <w:rFonts w:ascii="Calibri" w:eastAsia="Times New Roman" w:hAnsi="Calibri" w:cs="Calibri"/>
                <w:sz w:val="16"/>
                <w:szCs w:val="16"/>
              </w:rPr>
              <w:t>0.00</w:t>
            </w:r>
          </w:p>
        </w:tc>
        <w:tc>
          <w:tcPr>
            <w:tcW w:w="307" w:type="pct"/>
            <w:tcBorders>
              <w:top w:val="nil"/>
              <w:left w:val="nil"/>
              <w:bottom w:val="nil"/>
              <w:right w:val="double" w:sz="6" w:space="0" w:color="auto"/>
            </w:tcBorders>
            <w:shd w:val="clear" w:color="000000" w:fill="FFFFFF"/>
            <w:noWrap/>
            <w:vAlign w:val="center"/>
            <w:hideMark/>
          </w:tcPr>
          <w:p w14:paraId="4FE91AC8"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0.0</w:t>
            </w:r>
          </w:p>
        </w:tc>
        <w:tc>
          <w:tcPr>
            <w:tcW w:w="452" w:type="pct"/>
            <w:tcBorders>
              <w:top w:val="nil"/>
              <w:left w:val="nil"/>
              <w:bottom w:val="nil"/>
              <w:right w:val="single" w:sz="4" w:space="0" w:color="auto"/>
            </w:tcBorders>
            <w:shd w:val="clear" w:color="000000" w:fill="FFFFFF"/>
            <w:noWrap/>
            <w:vAlign w:val="center"/>
            <w:hideMark/>
          </w:tcPr>
          <w:p w14:paraId="3CB54F96" w14:textId="77777777" w:rsidR="00052499" w:rsidRPr="00C17ACD" w:rsidRDefault="00052499" w:rsidP="00052499">
            <w:pPr>
              <w:spacing w:after="0" w:line="240" w:lineRule="auto"/>
              <w:jc w:val="right"/>
              <w:rPr>
                <w:rFonts w:ascii="Calibri" w:eastAsia="Times New Roman" w:hAnsi="Calibri" w:cs="Calibri"/>
                <w:sz w:val="16"/>
                <w:szCs w:val="16"/>
              </w:rPr>
            </w:pPr>
            <w:r w:rsidRPr="00C17ACD">
              <w:rPr>
                <w:rFonts w:ascii="Calibri" w:eastAsia="Times New Roman" w:hAnsi="Calibri" w:cs="Calibri"/>
                <w:sz w:val="16"/>
                <w:szCs w:val="16"/>
              </w:rPr>
              <w:t>0.00</w:t>
            </w:r>
          </w:p>
        </w:tc>
        <w:tc>
          <w:tcPr>
            <w:tcW w:w="308" w:type="pct"/>
            <w:tcBorders>
              <w:top w:val="nil"/>
              <w:left w:val="nil"/>
              <w:bottom w:val="nil"/>
              <w:right w:val="double" w:sz="6" w:space="0" w:color="auto"/>
            </w:tcBorders>
            <w:shd w:val="clear" w:color="000000" w:fill="FFFFFF"/>
            <w:noWrap/>
            <w:vAlign w:val="center"/>
            <w:hideMark/>
          </w:tcPr>
          <w:p w14:paraId="12BAFAAC"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0.0</w:t>
            </w:r>
          </w:p>
        </w:tc>
        <w:tc>
          <w:tcPr>
            <w:tcW w:w="436" w:type="pct"/>
            <w:tcBorders>
              <w:top w:val="nil"/>
              <w:left w:val="nil"/>
              <w:bottom w:val="nil"/>
              <w:right w:val="single" w:sz="4" w:space="0" w:color="auto"/>
            </w:tcBorders>
            <w:shd w:val="clear" w:color="000000" w:fill="FFFFFF"/>
            <w:noWrap/>
            <w:vAlign w:val="center"/>
            <w:hideMark/>
          </w:tcPr>
          <w:p w14:paraId="2A2F4F69" w14:textId="77777777" w:rsidR="00052499" w:rsidRPr="00C17ACD" w:rsidRDefault="00052499" w:rsidP="00052499">
            <w:pPr>
              <w:spacing w:after="0" w:line="240" w:lineRule="auto"/>
              <w:jc w:val="right"/>
              <w:rPr>
                <w:rFonts w:ascii="Calibri" w:eastAsia="Times New Roman" w:hAnsi="Calibri" w:cs="Calibri"/>
                <w:sz w:val="16"/>
                <w:szCs w:val="16"/>
              </w:rPr>
            </w:pPr>
            <w:r w:rsidRPr="00C17ACD">
              <w:rPr>
                <w:rFonts w:ascii="Calibri" w:eastAsia="Times New Roman" w:hAnsi="Calibri" w:cs="Calibri"/>
                <w:sz w:val="16"/>
                <w:szCs w:val="16"/>
              </w:rPr>
              <w:t>0.00</w:t>
            </w:r>
          </w:p>
        </w:tc>
        <w:tc>
          <w:tcPr>
            <w:tcW w:w="306" w:type="pct"/>
            <w:tcBorders>
              <w:top w:val="nil"/>
              <w:left w:val="nil"/>
              <w:bottom w:val="nil"/>
              <w:right w:val="double" w:sz="6" w:space="0" w:color="auto"/>
            </w:tcBorders>
            <w:shd w:val="clear" w:color="000000" w:fill="FFFFFF"/>
            <w:noWrap/>
            <w:vAlign w:val="center"/>
            <w:hideMark/>
          </w:tcPr>
          <w:p w14:paraId="74062816"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0.0</w:t>
            </w:r>
          </w:p>
        </w:tc>
      </w:tr>
      <w:tr w:rsidR="00052499" w:rsidRPr="00C17ACD" w14:paraId="625DEDF7" w14:textId="77777777" w:rsidTr="00052499">
        <w:trPr>
          <w:trHeight w:hRule="exact" w:val="198"/>
        </w:trPr>
        <w:tc>
          <w:tcPr>
            <w:tcW w:w="1974" w:type="pct"/>
            <w:tcBorders>
              <w:top w:val="nil"/>
              <w:left w:val="double" w:sz="6" w:space="0" w:color="auto"/>
              <w:bottom w:val="nil"/>
              <w:right w:val="nil"/>
            </w:tcBorders>
            <w:shd w:val="clear" w:color="000000" w:fill="FFFFFF"/>
            <w:noWrap/>
            <w:vAlign w:val="center"/>
            <w:hideMark/>
          </w:tcPr>
          <w:p w14:paraId="57EA50CE" w14:textId="77777777" w:rsidR="00052499" w:rsidRPr="00C17ACD" w:rsidRDefault="00052499" w:rsidP="00052499">
            <w:pPr>
              <w:spacing w:after="0" w:line="240" w:lineRule="auto"/>
              <w:rPr>
                <w:rFonts w:ascii="Calibri" w:eastAsia="Times New Roman" w:hAnsi="Calibri" w:cs="Calibri"/>
                <w:sz w:val="16"/>
                <w:szCs w:val="16"/>
              </w:rPr>
            </w:pPr>
            <w:r w:rsidRPr="00C17ACD">
              <w:rPr>
                <w:rFonts w:ascii="Calibri" w:eastAsia="Times New Roman" w:hAnsi="Calibri" w:cs="Calibri"/>
                <w:sz w:val="16"/>
                <w:szCs w:val="16"/>
              </w:rPr>
              <w:t>Porez na dodatu vrijednost</w:t>
            </w:r>
          </w:p>
        </w:tc>
        <w:tc>
          <w:tcPr>
            <w:tcW w:w="439" w:type="pct"/>
            <w:tcBorders>
              <w:top w:val="nil"/>
              <w:left w:val="nil"/>
              <w:bottom w:val="nil"/>
              <w:right w:val="single" w:sz="4" w:space="0" w:color="auto"/>
            </w:tcBorders>
            <w:shd w:val="clear" w:color="000000" w:fill="FFFFFF"/>
            <w:noWrap/>
            <w:vAlign w:val="center"/>
            <w:hideMark/>
          </w:tcPr>
          <w:p w14:paraId="532ADF61" w14:textId="77777777" w:rsidR="00052499" w:rsidRPr="00C17ACD" w:rsidRDefault="00052499" w:rsidP="00052499">
            <w:pPr>
              <w:spacing w:after="0" w:line="240" w:lineRule="auto"/>
              <w:jc w:val="right"/>
              <w:rPr>
                <w:rFonts w:ascii="Calibri" w:eastAsia="Times New Roman" w:hAnsi="Calibri" w:cs="Calibri"/>
                <w:sz w:val="16"/>
                <w:szCs w:val="16"/>
              </w:rPr>
            </w:pPr>
            <w:r w:rsidRPr="00C17ACD">
              <w:rPr>
                <w:rFonts w:ascii="Calibri" w:eastAsia="Times New Roman" w:hAnsi="Calibri" w:cs="Calibri"/>
                <w:sz w:val="16"/>
                <w:szCs w:val="16"/>
              </w:rPr>
              <w:t>1028.04</w:t>
            </w:r>
          </w:p>
        </w:tc>
        <w:tc>
          <w:tcPr>
            <w:tcW w:w="300" w:type="pct"/>
            <w:tcBorders>
              <w:top w:val="nil"/>
              <w:left w:val="nil"/>
              <w:bottom w:val="nil"/>
              <w:right w:val="double" w:sz="6" w:space="0" w:color="auto"/>
            </w:tcBorders>
            <w:shd w:val="clear" w:color="000000" w:fill="FFFFFF"/>
            <w:noWrap/>
            <w:vAlign w:val="center"/>
            <w:hideMark/>
          </w:tcPr>
          <w:p w14:paraId="2EC85F56"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15.9</w:t>
            </w:r>
          </w:p>
        </w:tc>
        <w:tc>
          <w:tcPr>
            <w:tcW w:w="477" w:type="pct"/>
            <w:tcBorders>
              <w:top w:val="nil"/>
              <w:left w:val="nil"/>
              <w:bottom w:val="nil"/>
              <w:right w:val="single" w:sz="4" w:space="0" w:color="auto"/>
            </w:tcBorders>
            <w:shd w:val="clear" w:color="000000" w:fill="FFFFFF"/>
            <w:noWrap/>
            <w:vAlign w:val="center"/>
            <w:hideMark/>
          </w:tcPr>
          <w:p w14:paraId="57FE2A93" w14:textId="77777777" w:rsidR="00052499" w:rsidRPr="00C17ACD" w:rsidRDefault="00052499" w:rsidP="00052499">
            <w:pPr>
              <w:spacing w:after="0" w:line="240" w:lineRule="auto"/>
              <w:jc w:val="right"/>
              <w:rPr>
                <w:rFonts w:ascii="Calibri" w:eastAsia="Times New Roman" w:hAnsi="Calibri" w:cs="Calibri"/>
                <w:sz w:val="16"/>
                <w:szCs w:val="16"/>
              </w:rPr>
            </w:pPr>
            <w:r w:rsidRPr="00C17ACD">
              <w:rPr>
                <w:rFonts w:ascii="Calibri" w:eastAsia="Times New Roman" w:hAnsi="Calibri" w:cs="Calibri"/>
                <w:sz w:val="16"/>
                <w:szCs w:val="16"/>
              </w:rPr>
              <w:t>1199.63</w:t>
            </w:r>
          </w:p>
        </w:tc>
        <w:tc>
          <w:tcPr>
            <w:tcW w:w="307" w:type="pct"/>
            <w:tcBorders>
              <w:top w:val="nil"/>
              <w:left w:val="nil"/>
              <w:bottom w:val="nil"/>
              <w:right w:val="double" w:sz="6" w:space="0" w:color="auto"/>
            </w:tcBorders>
            <w:shd w:val="clear" w:color="000000" w:fill="FFFFFF"/>
            <w:noWrap/>
            <w:vAlign w:val="center"/>
            <w:hideMark/>
          </w:tcPr>
          <w:p w14:paraId="4CB43C6B"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17.1</w:t>
            </w:r>
          </w:p>
        </w:tc>
        <w:tc>
          <w:tcPr>
            <w:tcW w:w="452" w:type="pct"/>
            <w:tcBorders>
              <w:top w:val="nil"/>
              <w:left w:val="nil"/>
              <w:bottom w:val="nil"/>
              <w:right w:val="single" w:sz="4" w:space="0" w:color="auto"/>
            </w:tcBorders>
            <w:shd w:val="clear" w:color="000000" w:fill="FFFFFF"/>
            <w:noWrap/>
            <w:vAlign w:val="center"/>
            <w:hideMark/>
          </w:tcPr>
          <w:p w14:paraId="397EA7BE" w14:textId="77777777" w:rsidR="00052499" w:rsidRPr="00C17ACD" w:rsidRDefault="00052499" w:rsidP="00052499">
            <w:pPr>
              <w:spacing w:after="0" w:line="240" w:lineRule="auto"/>
              <w:jc w:val="right"/>
              <w:rPr>
                <w:rFonts w:ascii="Calibri" w:eastAsia="Times New Roman" w:hAnsi="Calibri" w:cs="Calibri"/>
                <w:sz w:val="16"/>
                <w:szCs w:val="16"/>
              </w:rPr>
            </w:pPr>
            <w:r w:rsidRPr="00C17ACD">
              <w:rPr>
                <w:rFonts w:ascii="Calibri" w:eastAsia="Times New Roman" w:hAnsi="Calibri" w:cs="Calibri"/>
                <w:sz w:val="16"/>
                <w:szCs w:val="16"/>
              </w:rPr>
              <w:t>1255.44</w:t>
            </w:r>
          </w:p>
        </w:tc>
        <w:tc>
          <w:tcPr>
            <w:tcW w:w="308" w:type="pct"/>
            <w:tcBorders>
              <w:top w:val="nil"/>
              <w:left w:val="nil"/>
              <w:bottom w:val="nil"/>
              <w:right w:val="double" w:sz="6" w:space="0" w:color="auto"/>
            </w:tcBorders>
            <w:shd w:val="clear" w:color="000000" w:fill="FFFFFF"/>
            <w:noWrap/>
            <w:vAlign w:val="center"/>
            <w:hideMark/>
          </w:tcPr>
          <w:p w14:paraId="4AF5F9D1"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16.9</w:t>
            </w:r>
          </w:p>
        </w:tc>
        <w:tc>
          <w:tcPr>
            <w:tcW w:w="436" w:type="pct"/>
            <w:tcBorders>
              <w:top w:val="nil"/>
              <w:left w:val="nil"/>
              <w:bottom w:val="nil"/>
              <w:right w:val="single" w:sz="4" w:space="0" w:color="auto"/>
            </w:tcBorders>
            <w:shd w:val="clear" w:color="000000" w:fill="FFFFFF"/>
            <w:noWrap/>
            <w:vAlign w:val="center"/>
            <w:hideMark/>
          </w:tcPr>
          <w:p w14:paraId="597D9FF0" w14:textId="77777777" w:rsidR="00052499" w:rsidRPr="00C17ACD" w:rsidRDefault="00052499" w:rsidP="00052499">
            <w:pPr>
              <w:spacing w:after="0" w:line="240" w:lineRule="auto"/>
              <w:jc w:val="right"/>
              <w:rPr>
                <w:rFonts w:ascii="Calibri" w:eastAsia="Times New Roman" w:hAnsi="Calibri" w:cs="Calibri"/>
                <w:sz w:val="16"/>
                <w:szCs w:val="16"/>
              </w:rPr>
            </w:pPr>
            <w:r w:rsidRPr="00C17ACD">
              <w:rPr>
                <w:rFonts w:ascii="Calibri" w:eastAsia="Times New Roman" w:hAnsi="Calibri" w:cs="Calibri"/>
                <w:sz w:val="16"/>
                <w:szCs w:val="16"/>
              </w:rPr>
              <w:t>1310.27</w:t>
            </w:r>
          </w:p>
        </w:tc>
        <w:tc>
          <w:tcPr>
            <w:tcW w:w="306" w:type="pct"/>
            <w:tcBorders>
              <w:top w:val="nil"/>
              <w:left w:val="nil"/>
              <w:bottom w:val="nil"/>
              <w:right w:val="double" w:sz="6" w:space="0" w:color="auto"/>
            </w:tcBorders>
            <w:shd w:val="clear" w:color="000000" w:fill="FFFFFF"/>
            <w:noWrap/>
            <w:vAlign w:val="center"/>
            <w:hideMark/>
          </w:tcPr>
          <w:p w14:paraId="436DB24C"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16.8</w:t>
            </w:r>
          </w:p>
        </w:tc>
      </w:tr>
      <w:tr w:rsidR="00052499" w:rsidRPr="00C17ACD" w14:paraId="0A059DFA" w14:textId="77777777" w:rsidTr="00052499">
        <w:trPr>
          <w:trHeight w:hRule="exact" w:val="198"/>
        </w:trPr>
        <w:tc>
          <w:tcPr>
            <w:tcW w:w="1974" w:type="pct"/>
            <w:tcBorders>
              <w:top w:val="nil"/>
              <w:left w:val="double" w:sz="6" w:space="0" w:color="auto"/>
              <w:bottom w:val="nil"/>
              <w:right w:val="nil"/>
            </w:tcBorders>
            <w:shd w:val="clear" w:color="000000" w:fill="FFFFFF"/>
            <w:noWrap/>
            <w:vAlign w:val="center"/>
            <w:hideMark/>
          </w:tcPr>
          <w:p w14:paraId="487F0D33" w14:textId="77777777" w:rsidR="00052499" w:rsidRPr="00C17ACD" w:rsidRDefault="00052499" w:rsidP="00052499">
            <w:pPr>
              <w:spacing w:after="0" w:line="240" w:lineRule="auto"/>
              <w:rPr>
                <w:rFonts w:ascii="Calibri" w:eastAsia="Times New Roman" w:hAnsi="Calibri" w:cs="Calibri"/>
                <w:sz w:val="16"/>
                <w:szCs w:val="16"/>
              </w:rPr>
            </w:pPr>
            <w:r w:rsidRPr="00C17ACD">
              <w:rPr>
                <w:rFonts w:ascii="Calibri" w:eastAsia="Times New Roman" w:hAnsi="Calibri" w:cs="Calibri"/>
                <w:sz w:val="16"/>
                <w:szCs w:val="16"/>
              </w:rPr>
              <w:t>Akcize</w:t>
            </w:r>
          </w:p>
        </w:tc>
        <w:tc>
          <w:tcPr>
            <w:tcW w:w="439" w:type="pct"/>
            <w:tcBorders>
              <w:top w:val="nil"/>
              <w:left w:val="nil"/>
              <w:bottom w:val="nil"/>
              <w:right w:val="single" w:sz="4" w:space="0" w:color="auto"/>
            </w:tcBorders>
            <w:shd w:val="clear" w:color="000000" w:fill="FFFFFF"/>
            <w:noWrap/>
            <w:vAlign w:val="center"/>
            <w:hideMark/>
          </w:tcPr>
          <w:p w14:paraId="4D2A29A7" w14:textId="77777777" w:rsidR="00052499" w:rsidRPr="00C17ACD" w:rsidRDefault="00052499" w:rsidP="00052499">
            <w:pPr>
              <w:spacing w:after="0" w:line="240" w:lineRule="auto"/>
              <w:jc w:val="right"/>
              <w:rPr>
                <w:rFonts w:ascii="Calibri" w:eastAsia="Times New Roman" w:hAnsi="Calibri" w:cs="Calibri"/>
                <w:sz w:val="16"/>
                <w:szCs w:val="16"/>
              </w:rPr>
            </w:pPr>
            <w:r w:rsidRPr="00C17ACD">
              <w:rPr>
                <w:rFonts w:ascii="Calibri" w:eastAsia="Times New Roman" w:hAnsi="Calibri" w:cs="Calibri"/>
                <w:sz w:val="16"/>
                <w:szCs w:val="16"/>
              </w:rPr>
              <w:t>296.41</w:t>
            </w:r>
          </w:p>
        </w:tc>
        <w:tc>
          <w:tcPr>
            <w:tcW w:w="300" w:type="pct"/>
            <w:tcBorders>
              <w:top w:val="nil"/>
              <w:left w:val="nil"/>
              <w:bottom w:val="nil"/>
              <w:right w:val="double" w:sz="6" w:space="0" w:color="auto"/>
            </w:tcBorders>
            <w:shd w:val="clear" w:color="000000" w:fill="FFFFFF"/>
            <w:noWrap/>
            <w:vAlign w:val="center"/>
            <w:hideMark/>
          </w:tcPr>
          <w:p w14:paraId="658CDA7C"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4.6</w:t>
            </w:r>
          </w:p>
        </w:tc>
        <w:tc>
          <w:tcPr>
            <w:tcW w:w="477" w:type="pct"/>
            <w:tcBorders>
              <w:top w:val="nil"/>
              <w:left w:val="nil"/>
              <w:bottom w:val="nil"/>
              <w:right w:val="single" w:sz="4" w:space="0" w:color="auto"/>
            </w:tcBorders>
            <w:shd w:val="clear" w:color="000000" w:fill="FFFFFF"/>
            <w:noWrap/>
            <w:vAlign w:val="center"/>
            <w:hideMark/>
          </w:tcPr>
          <w:p w14:paraId="67A6B9AF" w14:textId="77777777" w:rsidR="00052499" w:rsidRPr="00C17ACD" w:rsidRDefault="00052499" w:rsidP="00052499">
            <w:pPr>
              <w:spacing w:after="0" w:line="240" w:lineRule="auto"/>
              <w:jc w:val="right"/>
              <w:rPr>
                <w:rFonts w:ascii="Calibri" w:eastAsia="Times New Roman" w:hAnsi="Calibri" w:cs="Calibri"/>
                <w:sz w:val="16"/>
                <w:szCs w:val="16"/>
              </w:rPr>
            </w:pPr>
            <w:r w:rsidRPr="00C17ACD">
              <w:rPr>
                <w:rFonts w:ascii="Calibri" w:eastAsia="Times New Roman" w:hAnsi="Calibri" w:cs="Calibri"/>
                <w:sz w:val="16"/>
                <w:szCs w:val="16"/>
              </w:rPr>
              <w:t>365.80</w:t>
            </w:r>
          </w:p>
        </w:tc>
        <w:tc>
          <w:tcPr>
            <w:tcW w:w="307" w:type="pct"/>
            <w:tcBorders>
              <w:top w:val="nil"/>
              <w:left w:val="nil"/>
              <w:bottom w:val="nil"/>
              <w:right w:val="double" w:sz="6" w:space="0" w:color="auto"/>
            </w:tcBorders>
            <w:shd w:val="clear" w:color="000000" w:fill="FFFFFF"/>
            <w:noWrap/>
            <w:vAlign w:val="center"/>
            <w:hideMark/>
          </w:tcPr>
          <w:p w14:paraId="022E6B55"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5.2</w:t>
            </w:r>
          </w:p>
        </w:tc>
        <w:tc>
          <w:tcPr>
            <w:tcW w:w="452" w:type="pct"/>
            <w:tcBorders>
              <w:top w:val="nil"/>
              <w:left w:val="nil"/>
              <w:bottom w:val="nil"/>
              <w:right w:val="single" w:sz="4" w:space="0" w:color="auto"/>
            </w:tcBorders>
            <w:shd w:val="clear" w:color="000000" w:fill="FFFFFF"/>
            <w:noWrap/>
            <w:vAlign w:val="center"/>
            <w:hideMark/>
          </w:tcPr>
          <w:p w14:paraId="49D85FEA" w14:textId="77777777" w:rsidR="00052499" w:rsidRPr="00C17ACD" w:rsidRDefault="00052499" w:rsidP="00052499">
            <w:pPr>
              <w:spacing w:after="0" w:line="240" w:lineRule="auto"/>
              <w:jc w:val="right"/>
              <w:rPr>
                <w:rFonts w:ascii="Calibri" w:eastAsia="Times New Roman" w:hAnsi="Calibri" w:cs="Calibri"/>
                <w:sz w:val="16"/>
                <w:szCs w:val="16"/>
              </w:rPr>
            </w:pPr>
            <w:r w:rsidRPr="00C17ACD">
              <w:rPr>
                <w:rFonts w:ascii="Calibri" w:eastAsia="Times New Roman" w:hAnsi="Calibri" w:cs="Calibri"/>
                <w:sz w:val="16"/>
                <w:szCs w:val="16"/>
              </w:rPr>
              <w:t>400.18</w:t>
            </w:r>
          </w:p>
        </w:tc>
        <w:tc>
          <w:tcPr>
            <w:tcW w:w="308" w:type="pct"/>
            <w:tcBorders>
              <w:top w:val="nil"/>
              <w:left w:val="nil"/>
              <w:bottom w:val="nil"/>
              <w:right w:val="double" w:sz="6" w:space="0" w:color="auto"/>
            </w:tcBorders>
            <w:shd w:val="clear" w:color="000000" w:fill="FFFFFF"/>
            <w:noWrap/>
            <w:vAlign w:val="center"/>
            <w:hideMark/>
          </w:tcPr>
          <w:p w14:paraId="0CE46B28"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5.4</w:t>
            </w:r>
          </w:p>
        </w:tc>
        <w:tc>
          <w:tcPr>
            <w:tcW w:w="436" w:type="pct"/>
            <w:tcBorders>
              <w:top w:val="nil"/>
              <w:left w:val="nil"/>
              <w:bottom w:val="nil"/>
              <w:right w:val="single" w:sz="4" w:space="0" w:color="auto"/>
            </w:tcBorders>
            <w:shd w:val="clear" w:color="000000" w:fill="FFFFFF"/>
            <w:noWrap/>
            <w:vAlign w:val="center"/>
            <w:hideMark/>
          </w:tcPr>
          <w:p w14:paraId="31EF8B2A" w14:textId="77777777" w:rsidR="00052499" w:rsidRPr="00C17ACD" w:rsidRDefault="00052499" w:rsidP="00052499">
            <w:pPr>
              <w:spacing w:after="0" w:line="240" w:lineRule="auto"/>
              <w:jc w:val="right"/>
              <w:rPr>
                <w:rFonts w:ascii="Calibri" w:eastAsia="Times New Roman" w:hAnsi="Calibri" w:cs="Calibri"/>
                <w:sz w:val="16"/>
                <w:szCs w:val="16"/>
              </w:rPr>
            </w:pPr>
            <w:r w:rsidRPr="00C17ACD">
              <w:rPr>
                <w:rFonts w:ascii="Calibri" w:eastAsia="Times New Roman" w:hAnsi="Calibri" w:cs="Calibri"/>
                <w:sz w:val="16"/>
                <w:szCs w:val="16"/>
              </w:rPr>
              <w:t>412.10</w:t>
            </w:r>
          </w:p>
        </w:tc>
        <w:tc>
          <w:tcPr>
            <w:tcW w:w="306" w:type="pct"/>
            <w:tcBorders>
              <w:top w:val="nil"/>
              <w:left w:val="nil"/>
              <w:bottom w:val="nil"/>
              <w:right w:val="double" w:sz="6" w:space="0" w:color="auto"/>
            </w:tcBorders>
            <w:shd w:val="clear" w:color="000000" w:fill="FFFFFF"/>
            <w:noWrap/>
            <w:vAlign w:val="center"/>
            <w:hideMark/>
          </w:tcPr>
          <w:p w14:paraId="4DBA957C"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5.3</w:t>
            </w:r>
          </w:p>
        </w:tc>
      </w:tr>
      <w:tr w:rsidR="00052499" w:rsidRPr="00C17ACD" w14:paraId="3DFD2519" w14:textId="77777777" w:rsidTr="00052499">
        <w:trPr>
          <w:trHeight w:hRule="exact" w:val="198"/>
        </w:trPr>
        <w:tc>
          <w:tcPr>
            <w:tcW w:w="1974" w:type="pct"/>
            <w:tcBorders>
              <w:top w:val="nil"/>
              <w:left w:val="double" w:sz="6" w:space="0" w:color="auto"/>
              <w:bottom w:val="nil"/>
              <w:right w:val="nil"/>
            </w:tcBorders>
            <w:shd w:val="clear" w:color="000000" w:fill="FFFFFF"/>
            <w:noWrap/>
            <w:vAlign w:val="center"/>
            <w:hideMark/>
          </w:tcPr>
          <w:p w14:paraId="148A30D4" w14:textId="77777777" w:rsidR="00052499" w:rsidRPr="00C17ACD" w:rsidRDefault="00052499" w:rsidP="00052499">
            <w:pPr>
              <w:spacing w:after="0" w:line="240" w:lineRule="auto"/>
              <w:rPr>
                <w:rFonts w:ascii="Calibri" w:eastAsia="Times New Roman" w:hAnsi="Calibri" w:cs="Calibri"/>
                <w:sz w:val="16"/>
                <w:szCs w:val="16"/>
              </w:rPr>
            </w:pPr>
            <w:r w:rsidRPr="00C17ACD">
              <w:rPr>
                <w:rFonts w:ascii="Calibri" w:eastAsia="Times New Roman" w:hAnsi="Calibri" w:cs="Calibri"/>
                <w:sz w:val="16"/>
                <w:szCs w:val="16"/>
              </w:rPr>
              <w:t>Porez na međunarodnu trgovinu i transakcije</w:t>
            </w:r>
          </w:p>
        </w:tc>
        <w:tc>
          <w:tcPr>
            <w:tcW w:w="439" w:type="pct"/>
            <w:tcBorders>
              <w:top w:val="nil"/>
              <w:left w:val="nil"/>
              <w:bottom w:val="nil"/>
              <w:right w:val="single" w:sz="4" w:space="0" w:color="auto"/>
            </w:tcBorders>
            <w:shd w:val="clear" w:color="000000" w:fill="FFFFFF"/>
            <w:noWrap/>
            <w:vAlign w:val="center"/>
            <w:hideMark/>
          </w:tcPr>
          <w:p w14:paraId="147FE08D" w14:textId="77777777" w:rsidR="00052499" w:rsidRPr="00C17ACD" w:rsidRDefault="00052499" w:rsidP="00052499">
            <w:pPr>
              <w:spacing w:after="0" w:line="240" w:lineRule="auto"/>
              <w:jc w:val="right"/>
              <w:rPr>
                <w:rFonts w:ascii="Calibri" w:eastAsia="Times New Roman" w:hAnsi="Calibri" w:cs="Calibri"/>
                <w:sz w:val="16"/>
                <w:szCs w:val="16"/>
              </w:rPr>
            </w:pPr>
            <w:r w:rsidRPr="00C17ACD">
              <w:rPr>
                <w:rFonts w:ascii="Calibri" w:eastAsia="Times New Roman" w:hAnsi="Calibri" w:cs="Calibri"/>
                <w:sz w:val="16"/>
                <w:szCs w:val="16"/>
              </w:rPr>
              <w:t>47.65</w:t>
            </w:r>
          </w:p>
        </w:tc>
        <w:tc>
          <w:tcPr>
            <w:tcW w:w="300" w:type="pct"/>
            <w:tcBorders>
              <w:top w:val="nil"/>
              <w:left w:val="nil"/>
              <w:bottom w:val="nil"/>
              <w:right w:val="double" w:sz="6" w:space="0" w:color="auto"/>
            </w:tcBorders>
            <w:shd w:val="clear" w:color="000000" w:fill="FFFFFF"/>
            <w:noWrap/>
            <w:vAlign w:val="center"/>
            <w:hideMark/>
          </w:tcPr>
          <w:p w14:paraId="08D64928"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0.7</w:t>
            </w:r>
          </w:p>
        </w:tc>
        <w:tc>
          <w:tcPr>
            <w:tcW w:w="477" w:type="pct"/>
            <w:tcBorders>
              <w:top w:val="nil"/>
              <w:left w:val="nil"/>
              <w:bottom w:val="nil"/>
              <w:right w:val="single" w:sz="4" w:space="0" w:color="auto"/>
            </w:tcBorders>
            <w:shd w:val="clear" w:color="000000" w:fill="FFFFFF"/>
            <w:noWrap/>
            <w:vAlign w:val="center"/>
            <w:hideMark/>
          </w:tcPr>
          <w:p w14:paraId="1FC14565" w14:textId="77777777" w:rsidR="00052499" w:rsidRPr="00C17ACD" w:rsidRDefault="00052499" w:rsidP="00052499">
            <w:pPr>
              <w:spacing w:after="0" w:line="240" w:lineRule="auto"/>
              <w:jc w:val="right"/>
              <w:rPr>
                <w:rFonts w:ascii="Calibri" w:eastAsia="Times New Roman" w:hAnsi="Calibri" w:cs="Calibri"/>
                <w:sz w:val="16"/>
                <w:szCs w:val="16"/>
              </w:rPr>
            </w:pPr>
            <w:r w:rsidRPr="00C17ACD">
              <w:rPr>
                <w:rFonts w:ascii="Calibri" w:eastAsia="Times New Roman" w:hAnsi="Calibri" w:cs="Calibri"/>
                <w:sz w:val="16"/>
                <w:szCs w:val="16"/>
              </w:rPr>
              <w:t>58.30</w:t>
            </w:r>
          </w:p>
        </w:tc>
        <w:tc>
          <w:tcPr>
            <w:tcW w:w="307" w:type="pct"/>
            <w:tcBorders>
              <w:top w:val="nil"/>
              <w:left w:val="nil"/>
              <w:bottom w:val="nil"/>
              <w:right w:val="double" w:sz="6" w:space="0" w:color="auto"/>
            </w:tcBorders>
            <w:shd w:val="clear" w:color="000000" w:fill="FFFFFF"/>
            <w:noWrap/>
            <w:vAlign w:val="center"/>
            <w:hideMark/>
          </w:tcPr>
          <w:p w14:paraId="54900091"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0.8</w:t>
            </w:r>
          </w:p>
        </w:tc>
        <w:tc>
          <w:tcPr>
            <w:tcW w:w="452" w:type="pct"/>
            <w:tcBorders>
              <w:top w:val="nil"/>
              <w:left w:val="nil"/>
              <w:bottom w:val="nil"/>
              <w:right w:val="single" w:sz="4" w:space="0" w:color="auto"/>
            </w:tcBorders>
            <w:shd w:val="clear" w:color="000000" w:fill="FFFFFF"/>
            <w:noWrap/>
            <w:vAlign w:val="center"/>
            <w:hideMark/>
          </w:tcPr>
          <w:p w14:paraId="3372A274" w14:textId="77777777" w:rsidR="00052499" w:rsidRPr="00C17ACD" w:rsidRDefault="00052499" w:rsidP="00052499">
            <w:pPr>
              <w:spacing w:after="0" w:line="240" w:lineRule="auto"/>
              <w:jc w:val="right"/>
              <w:rPr>
                <w:rFonts w:ascii="Calibri" w:eastAsia="Times New Roman" w:hAnsi="Calibri" w:cs="Calibri"/>
                <w:sz w:val="16"/>
                <w:szCs w:val="16"/>
              </w:rPr>
            </w:pPr>
            <w:r w:rsidRPr="00C17ACD">
              <w:rPr>
                <w:rFonts w:ascii="Calibri" w:eastAsia="Times New Roman" w:hAnsi="Calibri" w:cs="Calibri"/>
                <w:sz w:val="16"/>
                <w:szCs w:val="16"/>
              </w:rPr>
              <w:t>62.26</w:t>
            </w:r>
          </w:p>
        </w:tc>
        <w:tc>
          <w:tcPr>
            <w:tcW w:w="308" w:type="pct"/>
            <w:tcBorders>
              <w:top w:val="nil"/>
              <w:left w:val="nil"/>
              <w:bottom w:val="nil"/>
              <w:right w:val="double" w:sz="6" w:space="0" w:color="auto"/>
            </w:tcBorders>
            <w:shd w:val="clear" w:color="000000" w:fill="FFFFFF"/>
            <w:noWrap/>
            <w:vAlign w:val="center"/>
            <w:hideMark/>
          </w:tcPr>
          <w:p w14:paraId="4FCF0592"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0.8</w:t>
            </w:r>
          </w:p>
        </w:tc>
        <w:tc>
          <w:tcPr>
            <w:tcW w:w="436" w:type="pct"/>
            <w:tcBorders>
              <w:top w:val="nil"/>
              <w:left w:val="nil"/>
              <w:bottom w:val="nil"/>
              <w:right w:val="single" w:sz="4" w:space="0" w:color="auto"/>
            </w:tcBorders>
            <w:shd w:val="clear" w:color="000000" w:fill="FFFFFF"/>
            <w:noWrap/>
            <w:vAlign w:val="center"/>
            <w:hideMark/>
          </w:tcPr>
          <w:p w14:paraId="54158C2D" w14:textId="77777777" w:rsidR="00052499" w:rsidRPr="00C17ACD" w:rsidRDefault="00052499" w:rsidP="00052499">
            <w:pPr>
              <w:spacing w:after="0" w:line="240" w:lineRule="auto"/>
              <w:jc w:val="right"/>
              <w:rPr>
                <w:rFonts w:ascii="Calibri" w:eastAsia="Times New Roman" w:hAnsi="Calibri" w:cs="Calibri"/>
                <w:sz w:val="16"/>
                <w:szCs w:val="16"/>
              </w:rPr>
            </w:pPr>
            <w:r w:rsidRPr="00C17ACD">
              <w:rPr>
                <w:rFonts w:ascii="Calibri" w:eastAsia="Times New Roman" w:hAnsi="Calibri" w:cs="Calibri"/>
                <w:sz w:val="16"/>
                <w:szCs w:val="16"/>
              </w:rPr>
              <w:t>66.24</w:t>
            </w:r>
          </w:p>
        </w:tc>
        <w:tc>
          <w:tcPr>
            <w:tcW w:w="306" w:type="pct"/>
            <w:tcBorders>
              <w:top w:val="nil"/>
              <w:left w:val="nil"/>
              <w:bottom w:val="nil"/>
              <w:right w:val="double" w:sz="6" w:space="0" w:color="auto"/>
            </w:tcBorders>
            <w:shd w:val="clear" w:color="000000" w:fill="FFFFFF"/>
            <w:noWrap/>
            <w:vAlign w:val="center"/>
            <w:hideMark/>
          </w:tcPr>
          <w:p w14:paraId="59AF87E4"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0.9</w:t>
            </w:r>
          </w:p>
        </w:tc>
      </w:tr>
      <w:tr w:rsidR="00052499" w:rsidRPr="00C17ACD" w14:paraId="553378BB" w14:textId="77777777" w:rsidTr="00052499">
        <w:trPr>
          <w:trHeight w:hRule="exact" w:val="198"/>
        </w:trPr>
        <w:tc>
          <w:tcPr>
            <w:tcW w:w="1974" w:type="pct"/>
            <w:tcBorders>
              <w:top w:val="nil"/>
              <w:left w:val="double" w:sz="6" w:space="0" w:color="auto"/>
              <w:bottom w:val="nil"/>
              <w:right w:val="nil"/>
            </w:tcBorders>
            <w:shd w:val="clear" w:color="000000" w:fill="FFFFFF"/>
            <w:noWrap/>
            <w:vAlign w:val="center"/>
            <w:hideMark/>
          </w:tcPr>
          <w:p w14:paraId="3384FFCF" w14:textId="77777777" w:rsidR="00052499" w:rsidRPr="00C17ACD" w:rsidRDefault="00052499" w:rsidP="00052499">
            <w:pPr>
              <w:spacing w:after="0" w:line="240" w:lineRule="auto"/>
              <w:rPr>
                <w:rFonts w:ascii="Calibri" w:eastAsia="Times New Roman" w:hAnsi="Calibri" w:cs="Calibri"/>
                <w:sz w:val="16"/>
                <w:szCs w:val="16"/>
              </w:rPr>
            </w:pPr>
            <w:r w:rsidRPr="00C17ACD">
              <w:rPr>
                <w:rFonts w:ascii="Calibri" w:eastAsia="Times New Roman" w:hAnsi="Calibri" w:cs="Calibri"/>
                <w:sz w:val="16"/>
                <w:szCs w:val="16"/>
              </w:rPr>
              <w:t>Ostali državni porezi</w:t>
            </w:r>
          </w:p>
        </w:tc>
        <w:tc>
          <w:tcPr>
            <w:tcW w:w="439" w:type="pct"/>
            <w:tcBorders>
              <w:top w:val="nil"/>
              <w:left w:val="nil"/>
              <w:bottom w:val="nil"/>
              <w:right w:val="single" w:sz="4" w:space="0" w:color="auto"/>
            </w:tcBorders>
            <w:shd w:val="clear" w:color="000000" w:fill="FFFFFF"/>
            <w:noWrap/>
            <w:vAlign w:val="center"/>
            <w:hideMark/>
          </w:tcPr>
          <w:p w14:paraId="105665DE" w14:textId="77777777" w:rsidR="00052499" w:rsidRPr="00C17ACD" w:rsidRDefault="00052499" w:rsidP="00052499">
            <w:pPr>
              <w:spacing w:after="0" w:line="240" w:lineRule="auto"/>
              <w:jc w:val="right"/>
              <w:rPr>
                <w:rFonts w:ascii="Calibri" w:eastAsia="Times New Roman" w:hAnsi="Calibri" w:cs="Calibri"/>
                <w:sz w:val="16"/>
                <w:szCs w:val="16"/>
              </w:rPr>
            </w:pPr>
            <w:r w:rsidRPr="00C17ACD">
              <w:rPr>
                <w:rFonts w:ascii="Calibri" w:eastAsia="Times New Roman" w:hAnsi="Calibri" w:cs="Calibri"/>
                <w:sz w:val="16"/>
                <w:szCs w:val="16"/>
              </w:rPr>
              <w:t>12.26</w:t>
            </w:r>
          </w:p>
        </w:tc>
        <w:tc>
          <w:tcPr>
            <w:tcW w:w="300" w:type="pct"/>
            <w:tcBorders>
              <w:top w:val="nil"/>
              <w:left w:val="nil"/>
              <w:bottom w:val="nil"/>
              <w:right w:val="double" w:sz="6" w:space="0" w:color="auto"/>
            </w:tcBorders>
            <w:shd w:val="clear" w:color="000000" w:fill="FFFFFF"/>
            <w:noWrap/>
            <w:vAlign w:val="center"/>
            <w:hideMark/>
          </w:tcPr>
          <w:p w14:paraId="5D8EBBEE"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0.2</w:t>
            </w:r>
          </w:p>
        </w:tc>
        <w:tc>
          <w:tcPr>
            <w:tcW w:w="477" w:type="pct"/>
            <w:tcBorders>
              <w:top w:val="nil"/>
              <w:left w:val="nil"/>
              <w:bottom w:val="nil"/>
              <w:right w:val="single" w:sz="4" w:space="0" w:color="auto"/>
            </w:tcBorders>
            <w:shd w:val="clear" w:color="000000" w:fill="FFFFFF"/>
            <w:noWrap/>
            <w:vAlign w:val="center"/>
            <w:hideMark/>
          </w:tcPr>
          <w:p w14:paraId="47CC81D6" w14:textId="77777777" w:rsidR="00052499" w:rsidRPr="00C17ACD" w:rsidRDefault="00052499" w:rsidP="00052499">
            <w:pPr>
              <w:spacing w:after="0" w:line="240" w:lineRule="auto"/>
              <w:jc w:val="right"/>
              <w:rPr>
                <w:rFonts w:ascii="Calibri" w:eastAsia="Times New Roman" w:hAnsi="Calibri" w:cs="Calibri"/>
                <w:sz w:val="16"/>
                <w:szCs w:val="16"/>
              </w:rPr>
            </w:pPr>
            <w:r w:rsidRPr="00C17ACD">
              <w:rPr>
                <w:rFonts w:ascii="Calibri" w:eastAsia="Times New Roman" w:hAnsi="Calibri" w:cs="Calibri"/>
                <w:sz w:val="16"/>
                <w:szCs w:val="16"/>
              </w:rPr>
              <w:t>14.32</w:t>
            </w:r>
          </w:p>
        </w:tc>
        <w:tc>
          <w:tcPr>
            <w:tcW w:w="307" w:type="pct"/>
            <w:tcBorders>
              <w:top w:val="nil"/>
              <w:left w:val="nil"/>
              <w:bottom w:val="nil"/>
              <w:right w:val="double" w:sz="6" w:space="0" w:color="auto"/>
            </w:tcBorders>
            <w:shd w:val="clear" w:color="000000" w:fill="FFFFFF"/>
            <w:noWrap/>
            <w:vAlign w:val="center"/>
            <w:hideMark/>
          </w:tcPr>
          <w:p w14:paraId="0B9DC98F"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0.2</w:t>
            </w:r>
          </w:p>
        </w:tc>
        <w:tc>
          <w:tcPr>
            <w:tcW w:w="452" w:type="pct"/>
            <w:tcBorders>
              <w:top w:val="nil"/>
              <w:left w:val="nil"/>
              <w:bottom w:val="nil"/>
              <w:right w:val="single" w:sz="4" w:space="0" w:color="auto"/>
            </w:tcBorders>
            <w:shd w:val="clear" w:color="000000" w:fill="FFFFFF"/>
            <w:noWrap/>
            <w:vAlign w:val="center"/>
            <w:hideMark/>
          </w:tcPr>
          <w:p w14:paraId="3F4A2C1F" w14:textId="77777777" w:rsidR="00052499" w:rsidRPr="00C17ACD" w:rsidRDefault="00052499" w:rsidP="00052499">
            <w:pPr>
              <w:spacing w:after="0" w:line="240" w:lineRule="auto"/>
              <w:jc w:val="right"/>
              <w:rPr>
                <w:rFonts w:ascii="Calibri" w:eastAsia="Times New Roman" w:hAnsi="Calibri" w:cs="Calibri"/>
                <w:sz w:val="16"/>
                <w:szCs w:val="16"/>
              </w:rPr>
            </w:pPr>
            <w:r w:rsidRPr="00C17ACD">
              <w:rPr>
                <w:rFonts w:ascii="Calibri" w:eastAsia="Times New Roman" w:hAnsi="Calibri" w:cs="Calibri"/>
                <w:sz w:val="16"/>
                <w:szCs w:val="16"/>
              </w:rPr>
              <w:t>15.01</w:t>
            </w:r>
          </w:p>
        </w:tc>
        <w:tc>
          <w:tcPr>
            <w:tcW w:w="308" w:type="pct"/>
            <w:tcBorders>
              <w:top w:val="nil"/>
              <w:left w:val="nil"/>
              <w:bottom w:val="nil"/>
              <w:right w:val="double" w:sz="6" w:space="0" w:color="auto"/>
            </w:tcBorders>
            <w:shd w:val="clear" w:color="000000" w:fill="FFFFFF"/>
            <w:noWrap/>
            <w:vAlign w:val="center"/>
            <w:hideMark/>
          </w:tcPr>
          <w:p w14:paraId="1B8B6B71"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0.2</w:t>
            </w:r>
          </w:p>
        </w:tc>
        <w:tc>
          <w:tcPr>
            <w:tcW w:w="436" w:type="pct"/>
            <w:tcBorders>
              <w:top w:val="nil"/>
              <w:left w:val="nil"/>
              <w:bottom w:val="nil"/>
              <w:right w:val="single" w:sz="4" w:space="0" w:color="auto"/>
            </w:tcBorders>
            <w:shd w:val="clear" w:color="000000" w:fill="FFFFFF"/>
            <w:noWrap/>
            <w:vAlign w:val="center"/>
            <w:hideMark/>
          </w:tcPr>
          <w:p w14:paraId="4EA5A125" w14:textId="77777777" w:rsidR="00052499" w:rsidRPr="00C17ACD" w:rsidRDefault="00052499" w:rsidP="00052499">
            <w:pPr>
              <w:spacing w:after="0" w:line="240" w:lineRule="auto"/>
              <w:jc w:val="right"/>
              <w:rPr>
                <w:rFonts w:ascii="Calibri" w:eastAsia="Times New Roman" w:hAnsi="Calibri" w:cs="Calibri"/>
                <w:sz w:val="16"/>
                <w:szCs w:val="16"/>
              </w:rPr>
            </w:pPr>
            <w:r w:rsidRPr="00C17ACD">
              <w:rPr>
                <w:rFonts w:ascii="Calibri" w:eastAsia="Times New Roman" w:hAnsi="Calibri" w:cs="Calibri"/>
                <w:sz w:val="16"/>
                <w:szCs w:val="16"/>
              </w:rPr>
              <w:t>15.68</w:t>
            </w:r>
          </w:p>
        </w:tc>
        <w:tc>
          <w:tcPr>
            <w:tcW w:w="306" w:type="pct"/>
            <w:tcBorders>
              <w:top w:val="nil"/>
              <w:left w:val="nil"/>
              <w:bottom w:val="nil"/>
              <w:right w:val="double" w:sz="6" w:space="0" w:color="auto"/>
            </w:tcBorders>
            <w:shd w:val="clear" w:color="000000" w:fill="FFFFFF"/>
            <w:noWrap/>
            <w:vAlign w:val="center"/>
            <w:hideMark/>
          </w:tcPr>
          <w:p w14:paraId="4323F324"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0.2</w:t>
            </w:r>
          </w:p>
        </w:tc>
      </w:tr>
      <w:tr w:rsidR="00052499" w:rsidRPr="00C17ACD" w14:paraId="476A6858" w14:textId="77777777" w:rsidTr="00052499">
        <w:trPr>
          <w:trHeight w:hRule="exact" w:val="198"/>
        </w:trPr>
        <w:tc>
          <w:tcPr>
            <w:tcW w:w="1974" w:type="pct"/>
            <w:tcBorders>
              <w:top w:val="nil"/>
              <w:left w:val="double" w:sz="6" w:space="0" w:color="auto"/>
              <w:bottom w:val="nil"/>
              <w:right w:val="nil"/>
            </w:tcBorders>
            <w:shd w:val="clear" w:color="000000" w:fill="FFFFFF"/>
            <w:noWrap/>
            <w:vAlign w:val="center"/>
            <w:hideMark/>
          </w:tcPr>
          <w:p w14:paraId="32AB70CE" w14:textId="77777777" w:rsidR="00052499" w:rsidRPr="00C17ACD" w:rsidRDefault="00052499" w:rsidP="00052499">
            <w:pPr>
              <w:spacing w:after="0" w:line="240" w:lineRule="auto"/>
              <w:rPr>
                <w:rFonts w:ascii="Calibri" w:eastAsia="Times New Roman" w:hAnsi="Calibri" w:cs="Calibri"/>
                <w:b/>
                <w:bCs/>
                <w:sz w:val="16"/>
                <w:szCs w:val="16"/>
              </w:rPr>
            </w:pPr>
            <w:r w:rsidRPr="00C17ACD">
              <w:rPr>
                <w:rFonts w:ascii="Calibri" w:eastAsia="Times New Roman" w:hAnsi="Calibri" w:cs="Calibri"/>
                <w:b/>
                <w:bCs/>
                <w:sz w:val="16"/>
                <w:szCs w:val="16"/>
              </w:rPr>
              <w:t>Doprinosi</w:t>
            </w:r>
          </w:p>
        </w:tc>
        <w:tc>
          <w:tcPr>
            <w:tcW w:w="439" w:type="pct"/>
            <w:tcBorders>
              <w:top w:val="nil"/>
              <w:left w:val="nil"/>
              <w:bottom w:val="nil"/>
              <w:right w:val="single" w:sz="4" w:space="0" w:color="auto"/>
            </w:tcBorders>
            <w:shd w:val="clear" w:color="000000" w:fill="FFFFFF"/>
            <w:noWrap/>
            <w:vAlign w:val="center"/>
            <w:hideMark/>
          </w:tcPr>
          <w:p w14:paraId="761364A0"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512.23</w:t>
            </w:r>
          </w:p>
        </w:tc>
        <w:tc>
          <w:tcPr>
            <w:tcW w:w="300" w:type="pct"/>
            <w:tcBorders>
              <w:top w:val="nil"/>
              <w:left w:val="nil"/>
              <w:bottom w:val="nil"/>
              <w:right w:val="double" w:sz="6" w:space="0" w:color="auto"/>
            </w:tcBorders>
            <w:shd w:val="clear" w:color="000000" w:fill="FFFFFF"/>
            <w:noWrap/>
            <w:vAlign w:val="center"/>
            <w:hideMark/>
          </w:tcPr>
          <w:p w14:paraId="61084D80"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7.9</w:t>
            </w:r>
          </w:p>
        </w:tc>
        <w:tc>
          <w:tcPr>
            <w:tcW w:w="477" w:type="pct"/>
            <w:tcBorders>
              <w:top w:val="nil"/>
              <w:left w:val="nil"/>
              <w:bottom w:val="nil"/>
              <w:right w:val="single" w:sz="4" w:space="0" w:color="auto"/>
            </w:tcBorders>
            <w:shd w:val="clear" w:color="000000" w:fill="FFFFFF"/>
            <w:noWrap/>
            <w:vAlign w:val="center"/>
            <w:hideMark/>
          </w:tcPr>
          <w:p w14:paraId="16921F9D"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605.40</w:t>
            </w:r>
          </w:p>
        </w:tc>
        <w:tc>
          <w:tcPr>
            <w:tcW w:w="307" w:type="pct"/>
            <w:tcBorders>
              <w:top w:val="nil"/>
              <w:left w:val="nil"/>
              <w:bottom w:val="nil"/>
              <w:right w:val="double" w:sz="6" w:space="0" w:color="auto"/>
            </w:tcBorders>
            <w:shd w:val="clear" w:color="000000" w:fill="FFFFFF"/>
            <w:noWrap/>
            <w:vAlign w:val="center"/>
            <w:hideMark/>
          </w:tcPr>
          <w:p w14:paraId="7ED38407"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8.6</w:t>
            </w:r>
          </w:p>
        </w:tc>
        <w:tc>
          <w:tcPr>
            <w:tcW w:w="452" w:type="pct"/>
            <w:tcBorders>
              <w:top w:val="nil"/>
              <w:left w:val="nil"/>
              <w:bottom w:val="nil"/>
              <w:right w:val="single" w:sz="4" w:space="0" w:color="auto"/>
            </w:tcBorders>
            <w:shd w:val="clear" w:color="000000" w:fill="FFFFFF"/>
            <w:noWrap/>
            <w:vAlign w:val="center"/>
            <w:hideMark/>
          </w:tcPr>
          <w:p w14:paraId="137CF103"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637.36</w:t>
            </w:r>
          </w:p>
        </w:tc>
        <w:tc>
          <w:tcPr>
            <w:tcW w:w="308" w:type="pct"/>
            <w:tcBorders>
              <w:top w:val="nil"/>
              <w:left w:val="nil"/>
              <w:bottom w:val="nil"/>
              <w:right w:val="double" w:sz="6" w:space="0" w:color="auto"/>
            </w:tcBorders>
            <w:shd w:val="clear" w:color="000000" w:fill="FFFFFF"/>
            <w:noWrap/>
            <w:vAlign w:val="center"/>
            <w:hideMark/>
          </w:tcPr>
          <w:p w14:paraId="3B36CC4B"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8.6</w:t>
            </w:r>
          </w:p>
        </w:tc>
        <w:tc>
          <w:tcPr>
            <w:tcW w:w="436" w:type="pct"/>
            <w:tcBorders>
              <w:top w:val="nil"/>
              <w:left w:val="nil"/>
              <w:bottom w:val="nil"/>
              <w:right w:val="single" w:sz="4" w:space="0" w:color="auto"/>
            </w:tcBorders>
            <w:shd w:val="clear" w:color="000000" w:fill="FFFFFF"/>
            <w:noWrap/>
            <w:vAlign w:val="center"/>
            <w:hideMark/>
          </w:tcPr>
          <w:p w14:paraId="404828AC"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670.22</w:t>
            </w:r>
          </w:p>
        </w:tc>
        <w:tc>
          <w:tcPr>
            <w:tcW w:w="306" w:type="pct"/>
            <w:tcBorders>
              <w:top w:val="nil"/>
              <w:left w:val="nil"/>
              <w:bottom w:val="nil"/>
              <w:right w:val="double" w:sz="6" w:space="0" w:color="auto"/>
            </w:tcBorders>
            <w:shd w:val="clear" w:color="000000" w:fill="FFFFFF"/>
            <w:noWrap/>
            <w:vAlign w:val="center"/>
            <w:hideMark/>
          </w:tcPr>
          <w:p w14:paraId="2B4D16A4"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8.6</w:t>
            </w:r>
          </w:p>
        </w:tc>
      </w:tr>
      <w:tr w:rsidR="00052499" w:rsidRPr="00C17ACD" w14:paraId="16D5135D" w14:textId="77777777" w:rsidTr="00052499">
        <w:trPr>
          <w:trHeight w:hRule="exact" w:val="198"/>
        </w:trPr>
        <w:tc>
          <w:tcPr>
            <w:tcW w:w="1974" w:type="pct"/>
            <w:tcBorders>
              <w:top w:val="nil"/>
              <w:left w:val="double" w:sz="6" w:space="0" w:color="auto"/>
              <w:bottom w:val="nil"/>
              <w:right w:val="nil"/>
            </w:tcBorders>
            <w:shd w:val="clear" w:color="000000" w:fill="FFFFFF"/>
            <w:noWrap/>
            <w:vAlign w:val="center"/>
            <w:hideMark/>
          </w:tcPr>
          <w:p w14:paraId="5831DED8" w14:textId="77777777" w:rsidR="00052499" w:rsidRPr="00C17ACD" w:rsidRDefault="00052499" w:rsidP="00052499">
            <w:pPr>
              <w:spacing w:after="0" w:line="240" w:lineRule="auto"/>
              <w:rPr>
                <w:rFonts w:ascii="Calibri" w:eastAsia="Times New Roman" w:hAnsi="Calibri" w:cs="Calibri"/>
                <w:sz w:val="16"/>
                <w:szCs w:val="16"/>
              </w:rPr>
            </w:pPr>
            <w:r w:rsidRPr="00C17ACD">
              <w:rPr>
                <w:rFonts w:ascii="Calibri" w:eastAsia="Times New Roman" w:hAnsi="Calibri" w:cs="Calibri"/>
                <w:sz w:val="16"/>
                <w:szCs w:val="16"/>
              </w:rPr>
              <w:t>Doprinosi za penzijsko i invalidsko osiguranje</w:t>
            </w:r>
          </w:p>
        </w:tc>
        <w:tc>
          <w:tcPr>
            <w:tcW w:w="439" w:type="pct"/>
            <w:tcBorders>
              <w:top w:val="nil"/>
              <w:left w:val="nil"/>
              <w:bottom w:val="nil"/>
              <w:right w:val="single" w:sz="4" w:space="0" w:color="auto"/>
            </w:tcBorders>
            <w:shd w:val="clear" w:color="000000" w:fill="FFFFFF"/>
            <w:noWrap/>
            <w:vAlign w:val="center"/>
            <w:hideMark/>
          </w:tcPr>
          <w:p w14:paraId="0C3EED5F" w14:textId="77777777" w:rsidR="00052499" w:rsidRPr="00C17ACD" w:rsidRDefault="00052499" w:rsidP="00052499">
            <w:pPr>
              <w:spacing w:after="0" w:line="240" w:lineRule="auto"/>
              <w:jc w:val="right"/>
              <w:rPr>
                <w:rFonts w:ascii="Calibri" w:eastAsia="Times New Roman" w:hAnsi="Calibri" w:cs="Calibri"/>
                <w:sz w:val="16"/>
                <w:szCs w:val="16"/>
              </w:rPr>
            </w:pPr>
            <w:r w:rsidRPr="00C17ACD">
              <w:rPr>
                <w:rFonts w:ascii="Calibri" w:eastAsia="Times New Roman" w:hAnsi="Calibri" w:cs="Calibri"/>
                <w:sz w:val="16"/>
                <w:szCs w:val="16"/>
              </w:rPr>
              <w:t>473.73</w:t>
            </w:r>
          </w:p>
        </w:tc>
        <w:tc>
          <w:tcPr>
            <w:tcW w:w="300" w:type="pct"/>
            <w:tcBorders>
              <w:top w:val="nil"/>
              <w:left w:val="nil"/>
              <w:bottom w:val="nil"/>
              <w:right w:val="double" w:sz="6" w:space="0" w:color="auto"/>
            </w:tcBorders>
            <w:shd w:val="clear" w:color="000000" w:fill="FFFFFF"/>
            <w:noWrap/>
            <w:vAlign w:val="center"/>
            <w:hideMark/>
          </w:tcPr>
          <w:p w14:paraId="65251460"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7.3</w:t>
            </w:r>
          </w:p>
        </w:tc>
        <w:tc>
          <w:tcPr>
            <w:tcW w:w="477" w:type="pct"/>
            <w:tcBorders>
              <w:top w:val="nil"/>
              <w:left w:val="nil"/>
              <w:bottom w:val="nil"/>
              <w:right w:val="single" w:sz="4" w:space="0" w:color="auto"/>
            </w:tcBorders>
            <w:shd w:val="clear" w:color="000000" w:fill="FFFFFF"/>
            <w:noWrap/>
            <w:vAlign w:val="center"/>
            <w:hideMark/>
          </w:tcPr>
          <w:p w14:paraId="5A8B8FEC" w14:textId="77777777" w:rsidR="00052499" w:rsidRPr="00C17ACD" w:rsidRDefault="00052499" w:rsidP="00052499">
            <w:pPr>
              <w:spacing w:after="0" w:line="240" w:lineRule="auto"/>
              <w:jc w:val="right"/>
              <w:rPr>
                <w:rFonts w:ascii="Calibri" w:eastAsia="Times New Roman" w:hAnsi="Calibri" w:cs="Calibri"/>
                <w:sz w:val="16"/>
                <w:szCs w:val="16"/>
              </w:rPr>
            </w:pPr>
            <w:r w:rsidRPr="00C17ACD">
              <w:rPr>
                <w:rFonts w:ascii="Calibri" w:eastAsia="Times New Roman" w:hAnsi="Calibri" w:cs="Calibri"/>
                <w:sz w:val="16"/>
                <w:szCs w:val="16"/>
              </w:rPr>
              <w:t>559.78</w:t>
            </w:r>
          </w:p>
        </w:tc>
        <w:tc>
          <w:tcPr>
            <w:tcW w:w="307" w:type="pct"/>
            <w:tcBorders>
              <w:top w:val="nil"/>
              <w:left w:val="nil"/>
              <w:bottom w:val="nil"/>
              <w:right w:val="double" w:sz="6" w:space="0" w:color="auto"/>
            </w:tcBorders>
            <w:shd w:val="clear" w:color="000000" w:fill="FFFFFF"/>
            <w:noWrap/>
            <w:vAlign w:val="center"/>
            <w:hideMark/>
          </w:tcPr>
          <w:p w14:paraId="371D43E6"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8.0</w:t>
            </w:r>
          </w:p>
        </w:tc>
        <w:tc>
          <w:tcPr>
            <w:tcW w:w="452" w:type="pct"/>
            <w:tcBorders>
              <w:top w:val="nil"/>
              <w:left w:val="nil"/>
              <w:bottom w:val="nil"/>
              <w:right w:val="single" w:sz="4" w:space="0" w:color="auto"/>
            </w:tcBorders>
            <w:shd w:val="clear" w:color="000000" w:fill="FFFFFF"/>
            <w:noWrap/>
            <w:vAlign w:val="center"/>
            <w:hideMark/>
          </w:tcPr>
          <w:p w14:paraId="78C2AF5C" w14:textId="77777777" w:rsidR="00052499" w:rsidRPr="00C17ACD" w:rsidRDefault="00052499" w:rsidP="00052499">
            <w:pPr>
              <w:spacing w:after="0" w:line="240" w:lineRule="auto"/>
              <w:jc w:val="right"/>
              <w:rPr>
                <w:rFonts w:ascii="Calibri" w:eastAsia="Times New Roman" w:hAnsi="Calibri" w:cs="Calibri"/>
                <w:sz w:val="16"/>
                <w:szCs w:val="16"/>
              </w:rPr>
            </w:pPr>
            <w:r w:rsidRPr="00C17ACD">
              <w:rPr>
                <w:rFonts w:ascii="Calibri" w:eastAsia="Times New Roman" w:hAnsi="Calibri" w:cs="Calibri"/>
                <w:sz w:val="16"/>
                <w:szCs w:val="16"/>
              </w:rPr>
              <w:t>585.24</w:t>
            </w:r>
          </w:p>
        </w:tc>
        <w:tc>
          <w:tcPr>
            <w:tcW w:w="308" w:type="pct"/>
            <w:tcBorders>
              <w:top w:val="nil"/>
              <w:left w:val="nil"/>
              <w:bottom w:val="nil"/>
              <w:right w:val="double" w:sz="6" w:space="0" w:color="auto"/>
            </w:tcBorders>
            <w:shd w:val="clear" w:color="000000" w:fill="FFFFFF"/>
            <w:noWrap/>
            <w:vAlign w:val="center"/>
            <w:hideMark/>
          </w:tcPr>
          <w:p w14:paraId="5FCE5056"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7.9</w:t>
            </w:r>
          </w:p>
        </w:tc>
        <w:tc>
          <w:tcPr>
            <w:tcW w:w="436" w:type="pct"/>
            <w:tcBorders>
              <w:top w:val="nil"/>
              <w:left w:val="nil"/>
              <w:bottom w:val="nil"/>
              <w:right w:val="single" w:sz="4" w:space="0" w:color="auto"/>
            </w:tcBorders>
            <w:shd w:val="clear" w:color="000000" w:fill="FFFFFF"/>
            <w:noWrap/>
            <w:vAlign w:val="center"/>
            <w:hideMark/>
          </w:tcPr>
          <w:p w14:paraId="08ECCD16" w14:textId="77777777" w:rsidR="00052499" w:rsidRPr="00C17ACD" w:rsidRDefault="00052499" w:rsidP="00052499">
            <w:pPr>
              <w:spacing w:after="0" w:line="240" w:lineRule="auto"/>
              <w:jc w:val="right"/>
              <w:rPr>
                <w:rFonts w:ascii="Calibri" w:eastAsia="Times New Roman" w:hAnsi="Calibri" w:cs="Calibri"/>
                <w:sz w:val="16"/>
                <w:szCs w:val="16"/>
              </w:rPr>
            </w:pPr>
            <w:r w:rsidRPr="00C17ACD">
              <w:rPr>
                <w:rFonts w:ascii="Calibri" w:eastAsia="Times New Roman" w:hAnsi="Calibri" w:cs="Calibri"/>
                <w:sz w:val="16"/>
                <w:szCs w:val="16"/>
              </w:rPr>
              <w:t>619.00</w:t>
            </w:r>
          </w:p>
        </w:tc>
        <w:tc>
          <w:tcPr>
            <w:tcW w:w="306" w:type="pct"/>
            <w:tcBorders>
              <w:top w:val="nil"/>
              <w:left w:val="nil"/>
              <w:bottom w:val="nil"/>
              <w:right w:val="double" w:sz="6" w:space="0" w:color="auto"/>
            </w:tcBorders>
            <w:shd w:val="clear" w:color="000000" w:fill="FFFFFF"/>
            <w:noWrap/>
            <w:vAlign w:val="center"/>
            <w:hideMark/>
          </w:tcPr>
          <w:p w14:paraId="7F84704C"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8.0</w:t>
            </w:r>
          </w:p>
        </w:tc>
      </w:tr>
      <w:tr w:rsidR="00052499" w:rsidRPr="00C17ACD" w14:paraId="1647DB5A" w14:textId="77777777" w:rsidTr="00052499">
        <w:trPr>
          <w:trHeight w:hRule="exact" w:val="198"/>
        </w:trPr>
        <w:tc>
          <w:tcPr>
            <w:tcW w:w="1974" w:type="pct"/>
            <w:tcBorders>
              <w:top w:val="nil"/>
              <w:left w:val="double" w:sz="6" w:space="0" w:color="auto"/>
              <w:bottom w:val="nil"/>
              <w:right w:val="nil"/>
            </w:tcBorders>
            <w:shd w:val="clear" w:color="000000" w:fill="FFFFFF"/>
            <w:noWrap/>
            <w:vAlign w:val="center"/>
            <w:hideMark/>
          </w:tcPr>
          <w:p w14:paraId="0754A517" w14:textId="77777777" w:rsidR="00052499" w:rsidRPr="00C17ACD" w:rsidRDefault="00052499" w:rsidP="00052499">
            <w:pPr>
              <w:spacing w:after="0" w:line="240" w:lineRule="auto"/>
              <w:rPr>
                <w:rFonts w:ascii="Calibri" w:eastAsia="Times New Roman" w:hAnsi="Calibri" w:cs="Calibri"/>
                <w:sz w:val="16"/>
                <w:szCs w:val="16"/>
              </w:rPr>
            </w:pPr>
            <w:r w:rsidRPr="00C17ACD">
              <w:rPr>
                <w:rFonts w:ascii="Calibri" w:eastAsia="Times New Roman" w:hAnsi="Calibri" w:cs="Calibri"/>
                <w:sz w:val="16"/>
                <w:szCs w:val="16"/>
              </w:rPr>
              <w:t>Doprinosi za zdravstveno osiguranje</w:t>
            </w:r>
          </w:p>
        </w:tc>
        <w:tc>
          <w:tcPr>
            <w:tcW w:w="439" w:type="pct"/>
            <w:tcBorders>
              <w:top w:val="nil"/>
              <w:left w:val="nil"/>
              <w:bottom w:val="nil"/>
              <w:right w:val="single" w:sz="4" w:space="0" w:color="auto"/>
            </w:tcBorders>
            <w:shd w:val="clear" w:color="000000" w:fill="FFFFFF"/>
            <w:noWrap/>
            <w:vAlign w:val="center"/>
            <w:hideMark/>
          </w:tcPr>
          <w:p w14:paraId="554E0FB6" w14:textId="77777777" w:rsidR="00052499" w:rsidRPr="00C17ACD" w:rsidRDefault="00052499" w:rsidP="00052499">
            <w:pPr>
              <w:spacing w:after="0" w:line="240" w:lineRule="auto"/>
              <w:jc w:val="right"/>
              <w:rPr>
                <w:rFonts w:ascii="Calibri" w:eastAsia="Times New Roman" w:hAnsi="Calibri" w:cs="Calibri"/>
                <w:sz w:val="16"/>
                <w:szCs w:val="16"/>
              </w:rPr>
            </w:pPr>
            <w:r w:rsidRPr="00C17ACD">
              <w:rPr>
                <w:rFonts w:ascii="Calibri" w:eastAsia="Times New Roman" w:hAnsi="Calibri" w:cs="Calibri"/>
                <w:sz w:val="16"/>
                <w:szCs w:val="16"/>
              </w:rPr>
              <w:t>1.50</w:t>
            </w:r>
          </w:p>
        </w:tc>
        <w:tc>
          <w:tcPr>
            <w:tcW w:w="300" w:type="pct"/>
            <w:tcBorders>
              <w:top w:val="nil"/>
              <w:left w:val="nil"/>
              <w:bottom w:val="nil"/>
              <w:right w:val="double" w:sz="6" w:space="0" w:color="auto"/>
            </w:tcBorders>
            <w:shd w:val="clear" w:color="000000" w:fill="FFFFFF"/>
            <w:noWrap/>
            <w:vAlign w:val="center"/>
            <w:hideMark/>
          </w:tcPr>
          <w:p w14:paraId="2EBDA757"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0.0</w:t>
            </w:r>
          </w:p>
        </w:tc>
        <w:tc>
          <w:tcPr>
            <w:tcW w:w="477" w:type="pct"/>
            <w:tcBorders>
              <w:top w:val="nil"/>
              <w:left w:val="nil"/>
              <w:bottom w:val="nil"/>
              <w:right w:val="single" w:sz="4" w:space="0" w:color="auto"/>
            </w:tcBorders>
            <w:shd w:val="clear" w:color="000000" w:fill="FFFFFF"/>
            <w:noWrap/>
            <w:vAlign w:val="center"/>
            <w:hideMark/>
          </w:tcPr>
          <w:p w14:paraId="3CC96F80" w14:textId="77777777" w:rsidR="00052499" w:rsidRPr="00C17ACD" w:rsidRDefault="00052499" w:rsidP="00052499">
            <w:pPr>
              <w:spacing w:after="0" w:line="240" w:lineRule="auto"/>
              <w:jc w:val="right"/>
              <w:rPr>
                <w:rFonts w:ascii="Calibri" w:eastAsia="Times New Roman" w:hAnsi="Calibri" w:cs="Calibri"/>
                <w:sz w:val="16"/>
                <w:szCs w:val="16"/>
              </w:rPr>
            </w:pPr>
            <w:r w:rsidRPr="00C17ACD">
              <w:rPr>
                <w:rFonts w:ascii="Calibri" w:eastAsia="Times New Roman" w:hAnsi="Calibri" w:cs="Calibri"/>
                <w:sz w:val="16"/>
                <w:szCs w:val="16"/>
              </w:rPr>
              <w:t>3.00</w:t>
            </w:r>
          </w:p>
        </w:tc>
        <w:tc>
          <w:tcPr>
            <w:tcW w:w="307" w:type="pct"/>
            <w:tcBorders>
              <w:top w:val="nil"/>
              <w:left w:val="nil"/>
              <w:bottom w:val="nil"/>
              <w:right w:val="double" w:sz="6" w:space="0" w:color="auto"/>
            </w:tcBorders>
            <w:shd w:val="clear" w:color="000000" w:fill="FFFFFF"/>
            <w:noWrap/>
            <w:vAlign w:val="center"/>
            <w:hideMark/>
          </w:tcPr>
          <w:p w14:paraId="16C75280"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0.0</w:t>
            </w:r>
          </w:p>
        </w:tc>
        <w:tc>
          <w:tcPr>
            <w:tcW w:w="452" w:type="pct"/>
            <w:tcBorders>
              <w:top w:val="nil"/>
              <w:left w:val="nil"/>
              <w:bottom w:val="nil"/>
              <w:right w:val="single" w:sz="4" w:space="0" w:color="auto"/>
            </w:tcBorders>
            <w:shd w:val="clear" w:color="000000" w:fill="FFFFFF"/>
            <w:noWrap/>
            <w:vAlign w:val="center"/>
            <w:hideMark/>
          </w:tcPr>
          <w:p w14:paraId="77B4B989" w14:textId="77777777" w:rsidR="00052499" w:rsidRPr="00C17ACD" w:rsidRDefault="00052499" w:rsidP="00052499">
            <w:pPr>
              <w:spacing w:after="0" w:line="240" w:lineRule="auto"/>
              <w:jc w:val="right"/>
              <w:rPr>
                <w:rFonts w:ascii="Calibri" w:eastAsia="Times New Roman" w:hAnsi="Calibri" w:cs="Calibri"/>
                <w:sz w:val="16"/>
                <w:szCs w:val="16"/>
              </w:rPr>
            </w:pPr>
            <w:r w:rsidRPr="00C17ACD">
              <w:rPr>
                <w:rFonts w:ascii="Calibri" w:eastAsia="Times New Roman" w:hAnsi="Calibri" w:cs="Calibri"/>
                <w:sz w:val="16"/>
                <w:szCs w:val="16"/>
              </w:rPr>
              <w:t>7.00</w:t>
            </w:r>
          </w:p>
        </w:tc>
        <w:tc>
          <w:tcPr>
            <w:tcW w:w="308" w:type="pct"/>
            <w:tcBorders>
              <w:top w:val="nil"/>
              <w:left w:val="nil"/>
              <w:bottom w:val="nil"/>
              <w:right w:val="double" w:sz="6" w:space="0" w:color="auto"/>
            </w:tcBorders>
            <w:shd w:val="clear" w:color="000000" w:fill="FFFFFF"/>
            <w:noWrap/>
            <w:vAlign w:val="center"/>
            <w:hideMark/>
          </w:tcPr>
          <w:p w14:paraId="6B3EB015"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0.1</w:t>
            </w:r>
          </w:p>
        </w:tc>
        <w:tc>
          <w:tcPr>
            <w:tcW w:w="436" w:type="pct"/>
            <w:tcBorders>
              <w:top w:val="nil"/>
              <w:left w:val="nil"/>
              <w:bottom w:val="nil"/>
              <w:right w:val="single" w:sz="4" w:space="0" w:color="auto"/>
            </w:tcBorders>
            <w:shd w:val="clear" w:color="000000" w:fill="FFFFFF"/>
            <w:noWrap/>
            <w:vAlign w:val="center"/>
            <w:hideMark/>
          </w:tcPr>
          <w:p w14:paraId="5EF60472" w14:textId="77777777" w:rsidR="00052499" w:rsidRPr="00C17ACD" w:rsidRDefault="00052499" w:rsidP="00052499">
            <w:pPr>
              <w:spacing w:after="0" w:line="240" w:lineRule="auto"/>
              <w:jc w:val="right"/>
              <w:rPr>
                <w:rFonts w:ascii="Calibri" w:eastAsia="Times New Roman" w:hAnsi="Calibri" w:cs="Calibri"/>
                <w:sz w:val="16"/>
                <w:szCs w:val="16"/>
              </w:rPr>
            </w:pPr>
            <w:r w:rsidRPr="00C17ACD">
              <w:rPr>
                <w:rFonts w:ascii="Calibri" w:eastAsia="Times New Roman" w:hAnsi="Calibri" w:cs="Calibri"/>
                <w:sz w:val="16"/>
                <w:szCs w:val="16"/>
              </w:rPr>
              <w:t>2.00</w:t>
            </w:r>
          </w:p>
        </w:tc>
        <w:tc>
          <w:tcPr>
            <w:tcW w:w="306" w:type="pct"/>
            <w:tcBorders>
              <w:top w:val="nil"/>
              <w:left w:val="nil"/>
              <w:bottom w:val="nil"/>
              <w:right w:val="double" w:sz="6" w:space="0" w:color="auto"/>
            </w:tcBorders>
            <w:shd w:val="clear" w:color="000000" w:fill="FFFFFF"/>
            <w:noWrap/>
            <w:vAlign w:val="center"/>
            <w:hideMark/>
          </w:tcPr>
          <w:p w14:paraId="1F157C22"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0.0</w:t>
            </w:r>
          </w:p>
        </w:tc>
      </w:tr>
      <w:tr w:rsidR="00052499" w:rsidRPr="00C17ACD" w14:paraId="164C23D3" w14:textId="77777777" w:rsidTr="00052499">
        <w:trPr>
          <w:trHeight w:hRule="exact" w:val="198"/>
        </w:trPr>
        <w:tc>
          <w:tcPr>
            <w:tcW w:w="1974" w:type="pct"/>
            <w:tcBorders>
              <w:top w:val="nil"/>
              <w:left w:val="double" w:sz="6" w:space="0" w:color="auto"/>
              <w:bottom w:val="nil"/>
              <w:right w:val="nil"/>
            </w:tcBorders>
            <w:shd w:val="clear" w:color="000000" w:fill="FFFFFF"/>
            <w:noWrap/>
            <w:vAlign w:val="center"/>
            <w:hideMark/>
          </w:tcPr>
          <w:p w14:paraId="5DB6CB9C" w14:textId="77777777" w:rsidR="00052499" w:rsidRPr="00C17ACD" w:rsidRDefault="00052499" w:rsidP="00052499">
            <w:pPr>
              <w:spacing w:after="0" w:line="240" w:lineRule="auto"/>
              <w:rPr>
                <w:rFonts w:ascii="Calibri" w:eastAsia="Times New Roman" w:hAnsi="Calibri" w:cs="Calibri"/>
                <w:sz w:val="16"/>
                <w:szCs w:val="16"/>
              </w:rPr>
            </w:pPr>
            <w:r w:rsidRPr="00C17ACD">
              <w:rPr>
                <w:rFonts w:ascii="Calibri" w:eastAsia="Times New Roman" w:hAnsi="Calibri" w:cs="Calibri"/>
                <w:sz w:val="16"/>
                <w:szCs w:val="16"/>
              </w:rPr>
              <w:t>Doprinosi za osiguranje od nezaposlenosti</w:t>
            </w:r>
          </w:p>
        </w:tc>
        <w:tc>
          <w:tcPr>
            <w:tcW w:w="439" w:type="pct"/>
            <w:tcBorders>
              <w:top w:val="nil"/>
              <w:left w:val="nil"/>
              <w:bottom w:val="nil"/>
              <w:right w:val="single" w:sz="4" w:space="0" w:color="auto"/>
            </w:tcBorders>
            <w:shd w:val="clear" w:color="000000" w:fill="FFFFFF"/>
            <w:noWrap/>
            <w:vAlign w:val="center"/>
            <w:hideMark/>
          </w:tcPr>
          <w:p w14:paraId="48ADF730" w14:textId="77777777" w:rsidR="00052499" w:rsidRPr="00C17ACD" w:rsidRDefault="00052499" w:rsidP="00052499">
            <w:pPr>
              <w:spacing w:after="0" w:line="240" w:lineRule="auto"/>
              <w:jc w:val="right"/>
              <w:rPr>
                <w:rFonts w:ascii="Calibri" w:eastAsia="Times New Roman" w:hAnsi="Calibri" w:cs="Calibri"/>
                <w:sz w:val="16"/>
                <w:szCs w:val="16"/>
              </w:rPr>
            </w:pPr>
            <w:r w:rsidRPr="00C17ACD">
              <w:rPr>
                <w:rFonts w:ascii="Calibri" w:eastAsia="Times New Roman" w:hAnsi="Calibri" w:cs="Calibri"/>
                <w:sz w:val="16"/>
                <w:szCs w:val="16"/>
              </w:rPr>
              <w:t>22.00</w:t>
            </w:r>
          </w:p>
        </w:tc>
        <w:tc>
          <w:tcPr>
            <w:tcW w:w="300" w:type="pct"/>
            <w:tcBorders>
              <w:top w:val="nil"/>
              <w:left w:val="nil"/>
              <w:bottom w:val="nil"/>
              <w:right w:val="double" w:sz="6" w:space="0" w:color="auto"/>
            </w:tcBorders>
            <w:shd w:val="clear" w:color="000000" w:fill="FFFFFF"/>
            <w:noWrap/>
            <w:vAlign w:val="center"/>
            <w:hideMark/>
          </w:tcPr>
          <w:p w14:paraId="54F0CC45"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0.3</w:t>
            </w:r>
          </w:p>
        </w:tc>
        <w:tc>
          <w:tcPr>
            <w:tcW w:w="477" w:type="pct"/>
            <w:tcBorders>
              <w:top w:val="nil"/>
              <w:left w:val="nil"/>
              <w:bottom w:val="nil"/>
              <w:right w:val="single" w:sz="4" w:space="0" w:color="auto"/>
            </w:tcBorders>
            <w:shd w:val="clear" w:color="000000" w:fill="FFFFFF"/>
            <w:noWrap/>
            <w:vAlign w:val="center"/>
            <w:hideMark/>
          </w:tcPr>
          <w:p w14:paraId="34D9591F" w14:textId="77777777" w:rsidR="00052499" w:rsidRPr="00C17ACD" w:rsidRDefault="00052499" w:rsidP="00052499">
            <w:pPr>
              <w:spacing w:after="0" w:line="240" w:lineRule="auto"/>
              <w:jc w:val="right"/>
              <w:rPr>
                <w:rFonts w:ascii="Calibri" w:eastAsia="Times New Roman" w:hAnsi="Calibri" w:cs="Calibri"/>
                <w:sz w:val="16"/>
                <w:szCs w:val="16"/>
              </w:rPr>
            </w:pPr>
            <w:r w:rsidRPr="00C17ACD">
              <w:rPr>
                <w:rFonts w:ascii="Calibri" w:eastAsia="Times New Roman" w:hAnsi="Calibri" w:cs="Calibri"/>
                <w:sz w:val="16"/>
                <w:szCs w:val="16"/>
              </w:rPr>
              <w:t>24.00</w:t>
            </w:r>
          </w:p>
        </w:tc>
        <w:tc>
          <w:tcPr>
            <w:tcW w:w="307" w:type="pct"/>
            <w:tcBorders>
              <w:top w:val="nil"/>
              <w:left w:val="nil"/>
              <w:bottom w:val="nil"/>
              <w:right w:val="double" w:sz="6" w:space="0" w:color="auto"/>
            </w:tcBorders>
            <w:shd w:val="clear" w:color="000000" w:fill="FFFFFF"/>
            <w:noWrap/>
            <w:vAlign w:val="center"/>
            <w:hideMark/>
          </w:tcPr>
          <w:p w14:paraId="113CBCE0"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0.3</w:t>
            </w:r>
          </w:p>
        </w:tc>
        <w:tc>
          <w:tcPr>
            <w:tcW w:w="452" w:type="pct"/>
            <w:tcBorders>
              <w:top w:val="nil"/>
              <w:left w:val="nil"/>
              <w:bottom w:val="nil"/>
              <w:right w:val="single" w:sz="4" w:space="0" w:color="auto"/>
            </w:tcBorders>
            <w:shd w:val="clear" w:color="000000" w:fill="FFFFFF"/>
            <w:noWrap/>
            <w:vAlign w:val="center"/>
            <w:hideMark/>
          </w:tcPr>
          <w:p w14:paraId="6226A335" w14:textId="77777777" w:rsidR="00052499" w:rsidRPr="00C17ACD" w:rsidRDefault="00052499" w:rsidP="00052499">
            <w:pPr>
              <w:spacing w:after="0" w:line="240" w:lineRule="auto"/>
              <w:jc w:val="right"/>
              <w:rPr>
                <w:rFonts w:ascii="Calibri" w:eastAsia="Times New Roman" w:hAnsi="Calibri" w:cs="Calibri"/>
                <w:sz w:val="16"/>
                <w:szCs w:val="16"/>
              </w:rPr>
            </w:pPr>
            <w:r w:rsidRPr="00C17ACD">
              <w:rPr>
                <w:rFonts w:ascii="Calibri" w:eastAsia="Times New Roman" w:hAnsi="Calibri" w:cs="Calibri"/>
                <w:sz w:val="16"/>
                <w:szCs w:val="16"/>
              </w:rPr>
              <w:t>25.41</w:t>
            </w:r>
          </w:p>
        </w:tc>
        <w:tc>
          <w:tcPr>
            <w:tcW w:w="308" w:type="pct"/>
            <w:tcBorders>
              <w:top w:val="nil"/>
              <w:left w:val="nil"/>
              <w:bottom w:val="nil"/>
              <w:right w:val="double" w:sz="6" w:space="0" w:color="auto"/>
            </w:tcBorders>
            <w:shd w:val="clear" w:color="000000" w:fill="FFFFFF"/>
            <w:noWrap/>
            <w:vAlign w:val="center"/>
            <w:hideMark/>
          </w:tcPr>
          <w:p w14:paraId="7F500D2E"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0.3</w:t>
            </w:r>
          </w:p>
        </w:tc>
        <w:tc>
          <w:tcPr>
            <w:tcW w:w="436" w:type="pct"/>
            <w:tcBorders>
              <w:top w:val="nil"/>
              <w:left w:val="nil"/>
              <w:bottom w:val="nil"/>
              <w:right w:val="single" w:sz="4" w:space="0" w:color="auto"/>
            </w:tcBorders>
            <w:shd w:val="clear" w:color="000000" w:fill="FFFFFF"/>
            <w:noWrap/>
            <w:vAlign w:val="center"/>
            <w:hideMark/>
          </w:tcPr>
          <w:p w14:paraId="3D169140" w14:textId="77777777" w:rsidR="00052499" w:rsidRPr="00C17ACD" w:rsidRDefault="00052499" w:rsidP="00052499">
            <w:pPr>
              <w:spacing w:after="0" w:line="240" w:lineRule="auto"/>
              <w:jc w:val="right"/>
              <w:rPr>
                <w:rFonts w:ascii="Calibri" w:eastAsia="Times New Roman" w:hAnsi="Calibri" w:cs="Calibri"/>
                <w:sz w:val="16"/>
                <w:szCs w:val="16"/>
              </w:rPr>
            </w:pPr>
            <w:r w:rsidRPr="00C17ACD">
              <w:rPr>
                <w:rFonts w:ascii="Calibri" w:eastAsia="Times New Roman" w:hAnsi="Calibri" w:cs="Calibri"/>
                <w:sz w:val="16"/>
                <w:szCs w:val="16"/>
              </w:rPr>
              <w:t>28.37</w:t>
            </w:r>
          </w:p>
        </w:tc>
        <w:tc>
          <w:tcPr>
            <w:tcW w:w="306" w:type="pct"/>
            <w:tcBorders>
              <w:top w:val="nil"/>
              <w:left w:val="nil"/>
              <w:bottom w:val="nil"/>
              <w:right w:val="double" w:sz="6" w:space="0" w:color="auto"/>
            </w:tcBorders>
            <w:shd w:val="clear" w:color="000000" w:fill="FFFFFF"/>
            <w:noWrap/>
            <w:vAlign w:val="center"/>
            <w:hideMark/>
          </w:tcPr>
          <w:p w14:paraId="25CF21B0"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0.4</w:t>
            </w:r>
          </w:p>
        </w:tc>
      </w:tr>
      <w:tr w:rsidR="00052499" w:rsidRPr="00C17ACD" w14:paraId="7D302052" w14:textId="77777777" w:rsidTr="00052499">
        <w:trPr>
          <w:trHeight w:hRule="exact" w:val="198"/>
        </w:trPr>
        <w:tc>
          <w:tcPr>
            <w:tcW w:w="1974" w:type="pct"/>
            <w:tcBorders>
              <w:top w:val="nil"/>
              <w:left w:val="double" w:sz="6" w:space="0" w:color="auto"/>
              <w:bottom w:val="nil"/>
              <w:right w:val="nil"/>
            </w:tcBorders>
            <w:shd w:val="clear" w:color="000000" w:fill="FFFFFF"/>
            <w:noWrap/>
            <w:vAlign w:val="center"/>
            <w:hideMark/>
          </w:tcPr>
          <w:p w14:paraId="020702B0" w14:textId="77777777" w:rsidR="00052499" w:rsidRPr="00C17ACD" w:rsidRDefault="00052499" w:rsidP="00052499">
            <w:pPr>
              <w:spacing w:after="0" w:line="240" w:lineRule="auto"/>
              <w:rPr>
                <w:rFonts w:ascii="Calibri" w:eastAsia="Times New Roman" w:hAnsi="Calibri" w:cs="Calibri"/>
                <w:sz w:val="16"/>
                <w:szCs w:val="16"/>
              </w:rPr>
            </w:pPr>
            <w:r w:rsidRPr="00C17ACD">
              <w:rPr>
                <w:rFonts w:ascii="Calibri" w:eastAsia="Times New Roman" w:hAnsi="Calibri" w:cs="Calibri"/>
                <w:sz w:val="16"/>
                <w:szCs w:val="16"/>
              </w:rPr>
              <w:t>Ostali doprinosi</w:t>
            </w:r>
          </w:p>
        </w:tc>
        <w:tc>
          <w:tcPr>
            <w:tcW w:w="439" w:type="pct"/>
            <w:tcBorders>
              <w:top w:val="nil"/>
              <w:left w:val="nil"/>
              <w:bottom w:val="nil"/>
              <w:right w:val="single" w:sz="4" w:space="0" w:color="auto"/>
            </w:tcBorders>
            <w:shd w:val="clear" w:color="000000" w:fill="FFFFFF"/>
            <w:noWrap/>
            <w:vAlign w:val="center"/>
            <w:hideMark/>
          </w:tcPr>
          <w:p w14:paraId="61FED3C8" w14:textId="77777777" w:rsidR="00052499" w:rsidRPr="00C17ACD" w:rsidRDefault="00052499" w:rsidP="00052499">
            <w:pPr>
              <w:spacing w:after="0" w:line="240" w:lineRule="auto"/>
              <w:jc w:val="right"/>
              <w:rPr>
                <w:rFonts w:ascii="Calibri" w:eastAsia="Times New Roman" w:hAnsi="Calibri" w:cs="Calibri"/>
                <w:sz w:val="16"/>
                <w:szCs w:val="16"/>
              </w:rPr>
            </w:pPr>
            <w:r w:rsidRPr="00C17ACD">
              <w:rPr>
                <w:rFonts w:ascii="Calibri" w:eastAsia="Times New Roman" w:hAnsi="Calibri" w:cs="Calibri"/>
                <w:sz w:val="16"/>
                <w:szCs w:val="16"/>
              </w:rPr>
              <w:t>15.00</w:t>
            </w:r>
          </w:p>
        </w:tc>
        <w:tc>
          <w:tcPr>
            <w:tcW w:w="300" w:type="pct"/>
            <w:tcBorders>
              <w:top w:val="nil"/>
              <w:left w:val="nil"/>
              <w:bottom w:val="nil"/>
              <w:right w:val="double" w:sz="6" w:space="0" w:color="auto"/>
            </w:tcBorders>
            <w:shd w:val="clear" w:color="000000" w:fill="FFFFFF"/>
            <w:noWrap/>
            <w:vAlign w:val="center"/>
            <w:hideMark/>
          </w:tcPr>
          <w:p w14:paraId="080F8231"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0.2</w:t>
            </w:r>
          </w:p>
        </w:tc>
        <w:tc>
          <w:tcPr>
            <w:tcW w:w="477" w:type="pct"/>
            <w:tcBorders>
              <w:top w:val="nil"/>
              <w:left w:val="nil"/>
              <w:bottom w:val="nil"/>
              <w:right w:val="single" w:sz="4" w:space="0" w:color="auto"/>
            </w:tcBorders>
            <w:shd w:val="clear" w:color="000000" w:fill="FFFFFF"/>
            <w:noWrap/>
            <w:vAlign w:val="center"/>
            <w:hideMark/>
          </w:tcPr>
          <w:p w14:paraId="560256CF" w14:textId="77777777" w:rsidR="00052499" w:rsidRPr="00C17ACD" w:rsidRDefault="00052499" w:rsidP="00052499">
            <w:pPr>
              <w:spacing w:after="0" w:line="240" w:lineRule="auto"/>
              <w:jc w:val="right"/>
              <w:rPr>
                <w:rFonts w:ascii="Calibri" w:eastAsia="Times New Roman" w:hAnsi="Calibri" w:cs="Calibri"/>
                <w:sz w:val="16"/>
                <w:szCs w:val="16"/>
              </w:rPr>
            </w:pPr>
            <w:r w:rsidRPr="00C17ACD">
              <w:rPr>
                <w:rFonts w:ascii="Calibri" w:eastAsia="Times New Roman" w:hAnsi="Calibri" w:cs="Calibri"/>
                <w:sz w:val="16"/>
                <w:szCs w:val="16"/>
              </w:rPr>
              <w:t>18.62</w:t>
            </w:r>
          </w:p>
        </w:tc>
        <w:tc>
          <w:tcPr>
            <w:tcW w:w="307" w:type="pct"/>
            <w:tcBorders>
              <w:top w:val="nil"/>
              <w:left w:val="nil"/>
              <w:bottom w:val="nil"/>
              <w:right w:val="double" w:sz="6" w:space="0" w:color="auto"/>
            </w:tcBorders>
            <w:shd w:val="clear" w:color="000000" w:fill="FFFFFF"/>
            <w:noWrap/>
            <w:vAlign w:val="center"/>
            <w:hideMark/>
          </w:tcPr>
          <w:p w14:paraId="32C92834"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0.3</w:t>
            </w:r>
          </w:p>
        </w:tc>
        <w:tc>
          <w:tcPr>
            <w:tcW w:w="452" w:type="pct"/>
            <w:tcBorders>
              <w:top w:val="nil"/>
              <w:left w:val="nil"/>
              <w:bottom w:val="nil"/>
              <w:right w:val="single" w:sz="4" w:space="0" w:color="auto"/>
            </w:tcBorders>
            <w:shd w:val="clear" w:color="000000" w:fill="FFFFFF"/>
            <w:noWrap/>
            <w:vAlign w:val="center"/>
            <w:hideMark/>
          </w:tcPr>
          <w:p w14:paraId="6A182708" w14:textId="77777777" w:rsidR="00052499" w:rsidRPr="00C17ACD" w:rsidRDefault="00052499" w:rsidP="00052499">
            <w:pPr>
              <w:spacing w:after="0" w:line="240" w:lineRule="auto"/>
              <w:jc w:val="right"/>
              <w:rPr>
                <w:rFonts w:ascii="Calibri" w:eastAsia="Times New Roman" w:hAnsi="Calibri" w:cs="Calibri"/>
                <w:sz w:val="16"/>
                <w:szCs w:val="16"/>
              </w:rPr>
            </w:pPr>
            <w:r w:rsidRPr="00C17ACD">
              <w:rPr>
                <w:rFonts w:ascii="Calibri" w:eastAsia="Times New Roman" w:hAnsi="Calibri" w:cs="Calibri"/>
                <w:sz w:val="16"/>
                <w:szCs w:val="16"/>
              </w:rPr>
              <w:t>19.71</w:t>
            </w:r>
          </w:p>
        </w:tc>
        <w:tc>
          <w:tcPr>
            <w:tcW w:w="308" w:type="pct"/>
            <w:tcBorders>
              <w:top w:val="nil"/>
              <w:left w:val="nil"/>
              <w:bottom w:val="nil"/>
              <w:right w:val="double" w:sz="6" w:space="0" w:color="auto"/>
            </w:tcBorders>
            <w:shd w:val="clear" w:color="000000" w:fill="FFFFFF"/>
            <w:noWrap/>
            <w:vAlign w:val="center"/>
            <w:hideMark/>
          </w:tcPr>
          <w:p w14:paraId="3B9E5D6F"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0.3</w:t>
            </w:r>
          </w:p>
        </w:tc>
        <w:tc>
          <w:tcPr>
            <w:tcW w:w="436" w:type="pct"/>
            <w:tcBorders>
              <w:top w:val="nil"/>
              <w:left w:val="nil"/>
              <w:bottom w:val="nil"/>
              <w:right w:val="single" w:sz="4" w:space="0" w:color="auto"/>
            </w:tcBorders>
            <w:shd w:val="clear" w:color="000000" w:fill="FFFFFF"/>
            <w:noWrap/>
            <w:vAlign w:val="center"/>
            <w:hideMark/>
          </w:tcPr>
          <w:p w14:paraId="45734B02" w14:textId="77777777" w:rsidR="00052499" w:rsidRPr="00C17ACD" w:rsidRDefault="00052499" w:rsidP="00052499">
            <w:pPr>
              <w:spacing w:after="0" w:line="240" w:lineRule="auto"/>
              <w:jc w:val="right"/>
              <w:rPr>
                <w:rFonts w:ascii="Calibri" w:eastAsia="Times New Roman" w:hAnsi="Calibri" w:cs="Calibri"/>
                <w:sz w:val="16"/>
                <w:szCs w:val="16"/>
              </w:rPr>
            </w:pPr>
            <w:r w:rsidRPr="00C17ACD">
              <w:rPr>
                <w:rFonts w:ascii="Calibri" w:eastAsia="Times New Roman" w:hAnsi="Calibri" w:cs="Calibri"/>
                <w:sz w:val="16"/>
                <w:szCs w:val="16"/>
              </w:rPr>
              <w:t>20.85</w:t>
            </w:r>
          </w:p>
        </w:tc>
        <w:tc>
          <w:tcPr>
            <w:tcW w:w="306" w:type="pct"/>
            <w:tcBorders>
              <w:top w:val="nil"/>
              <w:left w:val="nil"/>
              <w:bottom w:val="nil"/>
              <w:right w:val="double" w:sz="6" w:space="0" w:color="auto"/>
            </w:tcBorders>
            <w:shd w:val="clear" w:color="000000" w:fill="FFFFFF"/>
            <w:noWrap/>
            <w:vAlign w:val="center"/>
            <w:hideMark/>
          </w:tcPr>
          <w:p w14:paraId="731163D7"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0.3</w:t>
            </w:r>
          </w:p>
        </w:tc>
      </w:tr>
      <w:tr w:rsidR="00052499" w:rsidRPr="00C17ACD" w14:paraId="6D58F28F" w14:textId="77777777" w:rsidTr="00052499">
        <w:trPr>
          <w:trHeight w:hRule="exact" w:val="198"/>
        </w:trPr>
        <w:tc>
          <w:tcPr>
            <w:tcW w:w="1974" w:type="pct"/>
            <w:tcBorders>
              <w:top w:val="nil"/>
              <w:left w:val="double" w:sz="6" w:space="0" w:color="auto"/>
              <w:bottom w:val="nil"/>
              <w:right w:val="nil"/>
            </w:tcBorders>
            <w:shd w:val="clear" w:color="000000" w:fill="FFFFFF"/>
            <w:noWrap/>
            <w:vAlign w:val="center"/>
            <w:hideMark/>
          </w:tcPr>
          <w:p w14:paraId="3A54D550" w14:textId="77777777" w:rsidR="00052499" w:rsidRPr="00C17ACD" w:rsidRDefault="00052499" w:rsidP="00052499">
            <w:pPr>
              <w:spacing w:after="0" w:line="240" w:lineRule="auto"/>
              <w:rPr>
                <w:rFonts w:ascii="Calibri" w:eastAsia="Times New Roman" w:hAnsi="Calibri" w:cs="Calibri"/>
                <w:b/>
                <w:bCs/>
                <w:sz w:val="16"/>
                <w:szCs w:val="16"/>
              </w:rPr>
            </w:pPr>
            <w:r w:rsidRPr="00C17ACD">
              <w:rPr>
                <w:rFonts w:ascii="Calibri" w:eastAsia="Times New Roman" w:hAnsi="Calibri" w:cs="Calibri"/>
                <w:b/>
                <w:bCs/>
                <w:sz w:val="16"/>
                <w:szCs w:val="16"/>
              </w:rPr>
              <w:t>Takse</w:t>
            </w:r>
          </w:p>
        </w:tc>
        <w:tc>
          <w:tcPr>
            <w:tcW w:w="439" w:type="pct"/>
            <w:tcBorders>
              <w:top w:val="nil"/>
              <w:left w:val="nil"/>
              <w:bottom w:val="nil"/>
              <w:right w:val="single" w:sz="4" w:space="0" w:color="auto"/>
            </w:tcBorders>
            <w:shd w:val="clear" w:color="000000" w:fill="FFFFFF"/>
            <w:noWrap/>
            <w:vAlign w:val="center"/>
            <w:hideMark/>
          </w:tcPr>
          <w:p w14:paraId="63882AB6"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14.50</w:t>
            </w:r>
          </w:p>
        </w:tc>
        <w:tc>
          <w:tcPr>
            <w:tcW w:w="300" w:type="pct"/>
            <w:tcBorders>
              <w:top w:val="nil"/>
              <w:left w:val="nil"/>
              <w:bottom w:val="nil"/>
              <w:right w:val="double" w:sz="6" w:space="0" w:color="auto"/>
            </w:tcBorders>
            <w:shd w:val="clear" w:color="000000" w:fill="FFFFFF"/>
            <w:noWrap/>
            <w:vAlign w:val="center"/>
            <w:hideMark/>
          </w:tcPr>
          <w:p w14:paraId="79DB8159"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0.2</w:t>
            </w:r>
          </w:p>
        </w:tc>
        <w:tc>
          <w:tcPr>
            <w:tcW w:w="477" w:type="pct"/>
            <w:tcBorders>
              <w:top w:val="nil"/>
              <w:left w:val="nil"/>
              <w:bottom w:val="nil"/>
              <w:right w:val="single" w:sz="4" w:space="0" w:color="auto"/>
            </w:tcBorders>
            <w:shd w:val="clear" w:color="000000" w:fill="FFFFFF"/>
            <w:noWrap/>
            <w:vAlign w:val="center"/>
            <w:hideMark/>
          </w:tcPr>
          <w:p w14:paraId="74FE2F7C"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15.85</w:t>
            </w:r>
          </w:p>
        </w:tc>
        <w:tc>
          <w:tcPr>
            <w:tcW w:w="307" w:type="pct"/>
            <w:tcBorders>
              <w:top w:val="nil"/>
              <w:left w:val="nil"/>
              <w:bottom w:val="nil"/>
              <w:right w:val="double" w:sz="6" w:space="0" w:color="auto"/>
            </w:tcBorders>
            <w:shd w:val="clear" w:color="000000" w:fill="FFFFFF"/>
            <w:noWrap/>
            <w:vAlign w:val="center"/>
            <w:hideMark/>
          </w:tcPr>
          <w:p w14:paraId="5670A780"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0.2</w:t>
            </w:r>
          </w:p>
        </w:tc>
        <w:tc>
          <w:tcPr>
            <w:tcW w:w="452" w:type="pct"/>
            <w:tcBorders>
              <w:top w:val="nil"/>
              <w:left w:val="single" w:sz="12" w:space="0" w:color="auto"/>
              <w:bottom w:val="nil"/>
              <w:right w:val="single" w:sz="4" w:space="0" w:color="auto"/>
            </w:tcBorders>
            <w:shd w:val="clear" w:color="000000" w:fill="FFFFFF"/>
            <w:noWrap/>
            <w:vAlign w:val="center"/>
            <w:hideMark/>
          </w:tcPr>
          <w:p w14:paraId="3AD6B24A"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16.72</w:t>
            </w:r>
          </w:p>
        </w:tc>
        <w:tc>
          <w:tcPr>
            <w:tcW w:w="308" w:type="pct"/>
            <w:tcBorders>
              <w:top w:val="nil"/>
              <w:left w:val="nil"/>
              <w:bottom w:val="nil"/>
              <w:right w:val="double" w:sz="6" w:space="0" w:color="auto"/>
            </w:tcBorders>
            <w:shd w:val="clear" w:color="000000" w:fill="FFFFFF"/>
            <w:noWrap/>
            <w:vAlign w:val="center"/>
            <w:hideMark/>
          </w:tcPr>
          <w:p w14:paraId="5982A416"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0.2</w:t>
            </w:r>
          </w:p>
        </w:tc>
        <w:tc>
          <w:tcPr>
            <w:tcW w:w="436" w:type="pct"/>
            <w:tcBorders>
              <w:top w:val="nil"/>
              <w:left w:val="nil"/>
              <w:bottom w:val="nil"/>
              <w:right w:val="single" w:sz="4" w:space="0" w:color="auto"/>
            </w:tcBorders>
            <w:shd w:val="clear" w:color="000000" w:fill="FFFFFF"/>
            <w:noWrap/>
            <w:vAlign w:val="center"/>
            <w:hideMark/>
          </w:tcPr>
          <w:p w14:paraId="03DDCCB8"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17.53</w:t>
            </w:r>
          </w:p>
        </w:tc>
        <w:tc>
          <w:tcPr>
            <w:tcW w:w="306" w:type="pct"/>
            <w:tcBorders>
              <w:top w:val="nil"/>
              <w:left w:val="nil"/>
              <w:bottom w:val="nil"/>
              <w:right w:val="double" w:sz="6" w:space="0" w:color="auto"/>
            </w:tcBorders>
            <w:shd w:val="clear" w:color="000000" w:fill="FFFFFF"/>
            <w:noWrap/>
            <w:vAlign w:val="center"/>
            <w:hideMark/>
          </w:tcPr>
          <w:p w14:paraId="6F035175"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0.2</w:t>
            </w:r>
          </w:p>
        </w:tc>
      </w:tr>
      <w:tr w:rsidR="00052499" w:rsidRPr="00C17ACD" w14:paraId="3B9EF917" w14:textId="77777777" w:rsidTr="00052499">
        <w:trPr>
          <w:trHeight w:hRule="exact" w:val="198"/>
        </w:trPr>
        <w:tc>
          <w:tcPr>
            <w:tcW w:w="1974" w:type="pct"/>
            <w:tcBorders>
              <w:top w:val="nil"/>
              <w:left w:val="double" w:sz="6" w:space="0" w:color="auto"/>
              <w:bottom w:val="nil"/>
              <w:right w:val="nil"/>
            </w:tcBorders>
            <w:shd w:val="clear" w:color="000000" w:fill="FFFFFF"/>
            <w:noWrap/>
            <w:vAlign w:val="center"/>
            <w:hideMark/>
          </w:tcPr>
          <w:p w14:paraId="085E37F0" w14:textId="77777777" w:rsidR="00052499" w:rsidRPr="00C17ACD" w:rsidRDefault="00052499" w:rsidP="00052499">
            <w:pPr>
              <w:spacing w:after="0" w:line="240" w:lineRule="auto"/>
              <w:rPr>
                <w:rFonts w:ascii="Calibri" w:eastAsia="Times New Roman" w:hAnsi="Calibri" w:cs="Calibri"/>
                <w:b/>
                <w:bCs/>
                <w:sz w:val="16"/>
                <w:szCs w:val="16"/>
              </w:rPr>
            </w:pPr>
            <w:r w:rsidRPr="00C17ACD">
              <w:rPr>
                <w:rFonts w:ascii="Calibri" w:eastAsia="Times New Roman" w:hAnsi="Calibri" w:cs="Calibri"/>
                <w:b/>
                <w:bCs/>
                <w:sz w:val="16"/>
                <w:szCs w:val="16"/>
              </w:rPr>
              <w:t>Naknade</w:t>
            </w:r>
          </w:p>
        </w:tc>
        <w:tc>
          <w:tcPr>
            <w:tcW w:w="439" w:type="pct"/>
            <w:tcBorders>
              <w:top w:val="nil"/>
              <w:left w:val="nil"/>
              <w:bottom w:val="nil"/>
              <w:right w:val="single" w:sz="4" w:space="0" w:color="auto"/>
            </w:tcBorders>
            <w:shd w:val="clear" w:color="000000" w:fill="FFFFFF"/>
            <w:noWrap/>
            <w:vAlign w:val="center"/>
            <w:hideMark/>
          </w:tcPr>
          <w:p w14:paraId="21949987"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45.96</w:t>
            </w:r>
          </w:p>
        </w:tc>
        <w:tc>
          <w:tcPr>
            <w:tcW w:w="300" w:type="pct"/>
            <w:tcBorders>
              <w:top w:val="nil"/>
              <w:left w:val="nil"/>
              <w:bottom w:val="nil"/>
              <w:right w:val="double" w:sz="6" w:space="0" w:color="auto"/>
            </w:tcBorders>
            <w:shd w:val="clear" w:color="000000" w:fill="FFFFFF"/>
            <w:noWrap/>
            <w:vAlign w:val="center"/>
            <w:hideMark/>
          </w:tcPr>
          <w:p w14:paraId="5CD29161"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0.7</w:t>
            </w:r>
          </w:p>
        </w:tc>
        <w:tc>
          <w:tcPr>
            <w:tcW w:w="477" w:type="pct"/>
            <w:tcBorders>
              <w:top w:val="nil"/>
              <w:left w:val="nil"/>
              <w:bottom w:val="nil"/>
              <w:right w:val="single" w:sz="4" w:space="0" w:color="auto"/>
            </w:tcBorders>
            <w:shd w:val="clear" w:color="000000" w:fill="FFFFFF"/>
            <w:noWrap/>
            <w:vAlign w:val="center"/>
            <w:hideMark/>
          </w:tcPr>
          <w:p w14:paraId="15201F11"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62.82</w:t>
            </w:r>
          </w:p>
        </w:tc>
        <w:tc>
          <w:tcPr>
            <w:tcW w:w="307" w:type="pct"/>
            <w:tcBorders>
              <w:top w:val="nil"/>
              <w:left w:val="nil"/>
              <w:bottom w:val="nil"/>
              <w:right w:val="double" w:sz="6" w:space="0" w:color="auto"/>
            </w:tcBorders>
            <w:shd w:val="clear" w:color="000000" w:fill="FFFFFF"/>
            <w:noWrap/>
            <w:vAlign w:val="center"/>
            <w:hideMark/>
          </w:tcPr>
          <w:p w14:paraId="0C548713"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0.9</w:t>
            </w:r>
          </w:p>
        </w:tc>
        <w:tc>
          <w:tcPr>
            <w:tcW w:w="452" w:type="pct"/>
            <w:tcBorders>
              <w:top w:val="nil"/>
              <w:left w:val="nil"/>
              <w:bottom w:val="nil"/>
              <w:right w:val="single" w:sz="4" w:space="0" w:color="auto"/>
            </w:tcBorders>
            <w:shd w:val="clear" w:color="000000" w:fill="FFFFFF"/>
            <w:noWrap/>
            <w:vAlign w:val="center"/>
            <w:hideMark/>
          </w:tcPr>
          <w:p w14:paraId="21CEAAB6"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66.47</w:t>
            </w:r>
          </w:p>
        </w:tc>
        <w:tc>
          <w:tcPr>
            <w:tcW w:w="308" w:type="pct"/>
            <w:tcBorders>
              <w:top w:val="nil"/>
              <w:left w:val="nil"/>
              <w:bottom w:val="nil"/>
              <w:right w:val="double" w:sz="6" w:space="0" w:color="auto"/>
            </w:tcBorders>
            <w:shd w:val="clear" w:color="000000" w:fill="FFFFFF"/>
            <w:noWrap/>
            <w:vAlign w:val="center"/>
            <w:hideMark/>
          </w:tcPr>
          <w:p w14:paraId="1077D48C"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0.9</w:t>
            </w:r>
          </w:p>
        </w:tc>
        <w:tc>
          <w:tcPr>
            <w:tcW w:w="436" w:type="pct"/>
            <w:tcBorders>
              <w:top w:val="nil"/>
              <w:left w:val="nil"/>
              <w:bottom w:val="nil"/>
              <w:right w:val="single" w:sz="4" w:space="0" w:color="auto"/>
            </w:tcBorders>
            <w:shd w:val="clear" w:color="000000" w:fill="FFFFFF"/>
            <w:noWrap/>
            <w:vAlign w:val="center"/>
            <w:hideMark/>
          </w:tcPr>
          <w:p w14:paraId="6021BCD3"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68.02</w:t>
            </w:r>
          </w:p>
        </w:tc>
        <w:tc>
          <w:tcPr>
            <w:tcW w:w="306" w:type="pct"/>
            <w:tcBorders>
              <w:top w:val="nil"/>
              <w:left w:val="nil"/>
              <w:bottom w:val="nil"/>
              <w:right w:val="double" w:sz="6" w:space="0" w:color="auto"/>
            </w:tcBorders>
            <w:shd w:val="clear" w:color="000000" w:fill="FFFFFF"/>
            <w:noWrap/>
            <w:vAlign w:val="center"/>
            <w:hideMark/>
          </w:tcPr>
          <w:p w14:paraId="0955CCD0"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0.9</w:t>
            </w:r>
          </w:p>
        </w:tc>
      </w:tr>
      <w:tr w:rsidR="00052499" w:rsidRPr="00C17ACD" w14:paraId="71DBB5C7" w14:textId="77777777" w:rsidTr="00052499">
        <w:trPr>
          <w:trHeight w:hRule="exact" w:val="198"/>
        </w:trPr>
        <w:tc>
          <w:tcPr>
            <w:tcW w:w="1974" w:type="pct"/>
            <w:tcBorders>
              <w:top w:val="nil"/>
              <w:left w:val="double" w:sz="6" w:space="0" w:color="auto"/>
              <w:bottom w:val="nil"/>
              <w:right w:val="nil"/>
            </w:tcBorders>
            <w:shd w:val="clear" w:color="000000" w:fill="FFFFFF"/>
            <w:noWrap/>
            <w:vAlign w:val="center"/>
            <w:hideMark/>
          </w:tcPr>
          <w:p w14:paraId="5CC6C3AA" w14:textId="77777777" w:rsidR="00052499" w:rsidRPr="00C17ACD" w:rsidRDefault="00052499" w:rsidP="00052499">
            <w:pPr>
              <w:spacing w:after="0" w:line="240" w:lineRule="auto"/>
              <w:rPr>
                <w:rFonts w:ascii="Calibri" w:eastAsia="Times New Roman" w:hAnsi="Calibri" w:cs="Calibri"/>
                <w:b/>
                <w:bCs/>
                <w:sz w:val="16"/>
                <w:szCs w:val="16"/>
              </w:rPr>
            </w:pPr>
            <w:r w:rsidRPr="00C17ACD">
              <w:rPr>
                <w:rFonts w:ascii="Calibri" w:eastAsia="Times New Roman" w:hAnsi="Calibri" w:cs="Calibri"/>
                <w:b/>
                <w:bCs/>
                <w:sz w:val="16"/>
                <w:szCs w:val="16"/>
              </w:rPr>
              <w:t>Ostali prihodi</w:t>
            </w:r>
          </w:p>
        </w:tc>
        <w:tc>
          <w:tcPr>
            <w:tcW w:w="439" w:type="pct"/>
            <w:tcBorders>
              <w:top w:val="nil"/>
              <w:left w:val="nil"/>
              <w:bottom w:val="nil"/>
              <w:right w:val="single" w:sz="4" w:space="0" w:color="auto"/>
            </w:tcBorders>
            <w:shd w:val="clear" w:color="000000" w:fill="FFFFFF"/>
            <w:noWrap/>
            <w:vAlign w:val="center"/>
            <w:hideMark/>
          </w:tcPr>
          <w:p w14:paraId="504D4891"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200.41</w:t>
            </w:r>
          </w:p>
        </w:tc>
        <w:tc>
          <w:tcPr>
            <w:tcW w:w="300" w:type="pct"/>
            <w:tcBorders>
              <w:top w:val="nil"/>
              <w:left w:val="nil"/>
              <w:bottom w:val="nil"/>
              <w:right w:val="double" w:sz="6" w:space="0" w:color="auto"/>
            </w:tcBorders>
            <w:shd w:val="clear" w:color="000000" w:fill="FFFFFF"/>
            <w:noWrap/>
            <w:vAlign w:val="center"/>
            <w:hideMark/>
          </w:tcPr>
          <w:p w14:paraId="3FE5CD86"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3.1</w:t>
            </w:r>
          </w:p>
        </w:tc>
        <w:tc>
          <w:tcPr>
            <w:tcW w:w="477" w:type="pct"/>
            <w:tcBorders>
              <w:top w:val="nil"/>
              <w:left w:val="nil"/>
              <w:bottom w:val="nil"/>
              <w:right w:val="single" w:sz="4" w:space="0" w:color="auto"/>
            </w:tcBorders>
            <w:shd w:val="clear" w:color="000000" w:fill="FFFFFF"/>
            <w:noWrap/>
            <w:vAlign w:val="center"/>
            <w:hideMark/>
          </w:tcPr>
          <w:p w14:paraId="6E0A6844"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108.41</w:t>
            </w:r>
          </w:p>
        </w:tc>
        <w:tc>
          <w:tcPr>
            <w:tcW w:w="307" w:type="pct"/>
            <w:tcBorders>
              <w:top w:val="nil"/>
              <w:left w:val="nil"/>
              <w:bottom w:val="nil"/>
              <w:right w:val="double" w:sz="6" w:space="0" w:color="auto"/>
            </w:tcBorders>
            <w:shd w:val="clear" w:color="000000" w:fill="FFFFFF"/>
            <w:noWrap/>
            <w:vAlign w:val="center"/>
            <w:hideMark/>
          </w:tcPr>
          <w:p w14:paraId="204EE9B2"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1.5</w:t>
            </w:r>
          </w:p>
        </w:tc>
        <w:tc>
          <w:tcPr>
            <w:tcW w:w="452" w:type="pct"/>
            <w:tcBorders>
              <w:top w:val="nil"/>
              <w:left w:val="nil"/>
              <w:bottom w:val="nil"/>
              <w:right w:val="single" w:sz="4" w:space="0" w:color="auto"/>
            </w:tcBorders>
            <w:shd w:val="clear" w:color="000000" w:fill="FFFFFF"/>
            <w:noWrap/>
            <w:vAlign w:val="center"/>
            <w:hideMark/>
          </w:tcPr>
          <w:p w14:paraId="0E682836"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69.76</w:t>
            </w:r>
          </w:p>
        </w:tc>
        <w:tc>
          <w:tcPr>
            <w:tcW w:w="308" w:type="pct"/>
            <w:tcBorders>
              <w:top w:val="nil"/>
              <w:left w:val="nil"/>
              <w:bottom w:val="nil"/>
              <w:right w:val="double" w:sz="6" w:space="0" w:color="auto"/>
            </w:tcBorders>
            <w:shd w:val="clear" w:color="000000" w:fill="FFFFFF"/>
            <w:noWrap/>
            <w:vAlign w:val="center"/>
            <w:hideMark/>
          </w:tcPr>
          <w:p w14:paraId="4CDB4B3A"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0.9</w:t>
            </w:r>
          </w:p>
        </w:tc>
        <w:tc>
          <w:tcPr>
            <w:tcW w:w="436" w:type="pct"/>
            <w:tcBorders>
              <w:top w:val="nil"/>
              <w:left w:val="nil"/>
              <w:bottom w:val="nil"/>
              <w:right w:val="single" w:sz="4" w:space="0" w:color="auto"/>
            </w:tcBorders>
            <w:shd w:val="clear" w:color="000000" w:fill="FFFFFF"/>
            <w:noWrap/>
            <w:vAlign w:val="center"/>
            <w:hideMark/>
          </w:tcPr>
          <w:p w14:paraId="13E1BEF9"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60.49</w:t>
            </w:r>
          </w:p>
        </w:tc>
        <w:tc>
          <w:tcPr>
            <w:tcW w:w="306" w:type="pct"/>
            <w:tcBorders>
              <w:top w:val="nil"/>
              <w:left w:val="nil"/>
              <w:bottom w:val="nil"/>
              <w:right w:val="double" w:sz="6" w:space="0" w:color="auto"/>
            </w:tcBorders>
            <w:shd w:val="clear" w:color="000000" w:fill="FFFFFF"/>
            <w:noWrap/>
            <w:vAlign w:val="center"/>
            <w:hideMark/>
          </w:tcPr>
          <w:p w14:paraId="56681432"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0.8</w:t>
            </w:r>
          </w:p>
        </w:tc>
      </w:tr>
      <w:tr w:rsidR="00052499" w:rsidRPr="00C17ACD" w14:paraId="3046206A" w14:textId="77777777" w:rsidTr="00052499">
        <w:trPr>
          <w:trHeight w:hRule="exact" w:val="198"/>
        </w:trPr>
        <w:tc>
          <w:tcPr>
            <w:tcW w:w="1974" w:type="pct"/>
            <w:tcBorders>
              <w:top w:val="nil"/>
              <w:left w:val="double" w:sz="6" w:space="0" w:color="auto"/>
              <w:bottom w:val="nil"/>
              <w:right w:val="nil"/>
            </w:tcBorders>
            <w:shd w:val="clear" w:color="000000" w:fill="FFFFFF"/>
            <w:vAlign w:val="center"/>
            <w:hideMark/>
          </w:tcPr>
          <w:p w14:paraId="14D9778D" w14:textId="77777777" w:rsidR="00052499" w:rsidRPr="00C17ACD" w:rsidRDefault="00052499" w:rsidP="00052499">
            <w:pPr>
              <w:spacing w:after="0" w:line="240" w:lineRule="auto"/>
              <w:rPr>
                <w:rFonts w:ascii="Calibri" w:eastAsia="Times New Roman" w:hAnsi="Calibri" w:cs="Calibri"/>
                <w:b/>
                <w:bCs/>
                <w:sz w:val="16"/>
                <w:szCs w:val="16"/>
              </w:rPr>
            </w:pPr>
            <w:r w:rsidRPr="00C17ACD">
              <w:rPr>
                <w:rFonts w:ascii="Calibri" w:eastAsia="Times New Roman" w:hAnsi="Calibri" w:cs="Calibri"/>
                <w:b/>
                <w:bCs/>
                <w:sz w:val="16"/>
                <w:szCs w:val="16"/>
              </w:rPr>
              <w:t>Primici od otplate kredita i sredstva prenijeta iz prethodne godine</w:t>
            </w:r>
          </w:p>
        </w:tc>
        <w:tc>
          <w:tcPr>
            <w:tcW w:w="439" w:type="pct"/>
            <w:tcBorders>
              <w:top w:val="nil"/>
              <w:left w:val="nil"/>
              <w:bottom w:val="nil"/>
              <w:right w:val="single" w:sz="4" w:space="0" w:color="auto"/>
            </w:tcBorders>
            <w:shd w:val="clear" w:color="000000" w:fill="FFFFFF"/>
            <w:noWrap/>
            <w:vAlign w:val="center"/>
            <w:hideMark/>
          </w:tcPr>
          <w:p w14:paraId="75CC1132"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0.00</w:t>
            </w:r>
          </w:p>
        </w:tc>
        <w:tc>
          <w:tcPr>
            <w:tcW w:w="300" w:type="pct"/>
            <w:tcBorders>
              <w:top w:val="nil"/>
              <w:left w:val="nil"/>
              <w:bottom w:val="nil"/>
              <w:right w:val="double" w:sz="6" w:space="0" w:color="auto"/>
            </w:tcBorders>
            <w:shd w:val="clear" w:color="000000" w:fill="FFFFFF"/>
            <w:noWrap/>
            <w:vAlign w:val="center"/>
            <w:hideMark/>
          </w:tcPr>
          <w:p w14:paraId="30BC951D"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0.0</w:t>
            </w:r>
          </w:p>
        </w:tc>
        <w:tc>
          <w:tcPr>
            <w:tcW w:w="477" w:type="pct"/>
            <w:tcBorders>
              <w:top w:val="nil"/>
              <w:left w:val="nil"/>
              <w:bottom w:val="nil"/>
              <w:right w:val="single" w:sz="4" w:space="0" w:color="auto"/>
            </w:tcBorders>
            <w:shd w:val="clear" w:color="000000" w:fill="FFFFFF"/>
            <w:noWrap/>
            <w:vAlign w:val="center"/>
            <w:hideMark/>
          </w:tcPr>
          <w:p w14:paraId="4DB14D61"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0.00</w:t>
            </w:r>
          </w:p>
        </w:tc>
        <w:tc>
          <w:tcPr>
            <w:tcW w:w="307" w:type="pct"/>
            <w:tcBorders>
              <w:top w:val="nil"/>
              <w:left w:val="nil"/>
              <w:bottom w:val="nil"/>
              <w:right w:val="double" w:sz="6" w:space="0" w:color="auto"/>
            </w:tcBorders>
            <w:shd w:val="clear" w:color="000000" w:fill="FFFFFF"/>
            <w:noWrap/>
            <w:vAlign w:val="center"/>
            <w:hideMark/>
          </w:tcPr>
          <w:p w14:paraId="25F265E5"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0.0</w:t>
            </w:r>
          </w:p>
        </w:tc>
        <w:tc>
          <w:tcPr>
            <w:tcW w:w="452" w:type="pct"/>
            <w:tcBorders>
              <w:top w:val="nil"/>
              <w:left w:val="nil"/>
              <w:bottom w:val="nil"/>
              <w:right w:val="single" w:sz="4" w:space="0" w:color="auto"/>
            </w:tcBorders>
            <w:shd w:val="clear" w:color="000000" w:fill="FFFFFF"/>
            <w:noWrap/>
            <w:vAlign w:val="center"/>
            <w:hideMark/>
          </w:tcPr>
          <w:p w14:paraId="5F3BCBFF"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0.00</w:t>
            </w:r>
          </w:p>
        </w:tc>
        <w:tc>
          <w:tcPr>
            <w:tcW w:w="308" w:type="pct"/>
            <w:tcBorders>
              <w:top w:val="nil"/>
              <w:left w:val="nil"/>
              <w:bottom w:val="nil"/>
              <w:right w:val="double" w:sz="6" w:space="0" w:color="auto"/>
            </w:tcBorders>
            <w:shd w:val="clear" w:color="000000" w:fill="FFFFFF"/>
            <w:noWrap/>
            <w:vAlign w:val="center"/>
            <w:hideMark/>
          </w:tcPr>
          <w:p w14:paraId="140DCC42"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0.0</w:t>
            </w:r>
          </w:p>
        </w:tc>
        <w:tc>
          <w:tcPr>
            <w:tcW w:w="436" w:type="pct"/>
            <w:tcBorders>
              <w:top w:val="nil"/>
              <w:left w:val="nil"/>
              <w:bottom w:val="nil"/>
              <w:right w:val="single" w:sz="4" w:space="0" w:color="auto"/>
            </w:tcBorders>
            <w:shd w:val="clear" w:color="000000" w:fill="FFFFFF"/>
            <w:noWrap/>
            <w:vAlign w:val="center"/>
            <w:hideMark/>
          </w:tcPr>
          <w:p w14:paraId="7061B28D"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0.00</w:t>
            </w:r>
          </w:p>
        </w:tc>
        <w:tc>
          <w:tcPr>
            <w:tcW w:w="306" w:type="pct"/>
            <w:tcBorders>
              <w:top w:val="nil"/>
              <w:left w:val="nil"/>
              <w:bottom w:val="nil"/>
              <w:right w:val="double" w:sz="6" w:space="0" w:color="auto"/>
            </w:tcBorders>
            <w:shd w:val="clear" w:color="000000" w:fill="FFFFFF"/>
            <w:noWrap/>
            <w:vAlign w:val="center"/>
            <w:hideMark/>
          </w:tcPr>
          <w:p w14:paraId="6F0BBC5D"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0.0</w:t>
            </w:r>
          </w:p>
        </w:tc>
      </w:tr>
      <w:tr w:rsidR="00052499" w:rsidRPr="00C17ACD" w14:paraId="1E47BE31" w14:textId="77777777" w:rsidTr="00052499">
        <w:trPr>
          <w:trHeight w:hRule="exact" w:val="198"/>
        </w:trPr>
        <w:tc>
          <w:tcPr>
            <w:tcW w:w="1974" w:type="pct"/>
            <w:tcBorders>
              <w:top w:val="nil"/>
              <w:left w:val="double" w:sz="6" w:space="0" w:color="auto"/>
              <w:bottom w:val="nil"/>
              <w:right w:val="nil"/>
            </w:tcBorders>
            <w:shd w:val="clear" w:color="000000" w:fill="FFFFFF"/>
            <w:noWrap/>
            <w:vAlign w:val="center"/>
            <w:hideMark/>
          </w:tcPr>
          <w:p w14:paraId="0D565A41" w14:textId="77777777" w:rsidR="00052499" w:rsidRPr="00C17ACD" w:rsidRDefault="00052499" w:rsidP="00052499">
            <w:pPr>
              <w:spacing w:after="0" w:line="240" w:lineRule="auto"/>
              <w:rPr>
                <w:rFonts w:ascii="Calibri" w:eastAsia="Times New Roman" w:hAnsi="Calibri" w:cs="Calibri"/>
                <w:b/>
                <w:bCs/>
                <w:sz w:val="16"/>
                <w:szCs w:val="16"/>
              </w:rPr>
            </w:pPr>
            <w:r w:rsidRPr="00C17ACD">
              <w:rPr>
                <w:rFonts w:ascii="Calibri" w:eastAsia="Times New Roman" w:hAnsi="Calibri" w:cs="Calibri"/>
                <w:b/>
                <w:bCs/>
                <w:sz w:val="16"/>
                <w:szCs w:val="16"/>
              </w:rPr>
              <w:t>Donacije</w:t>
            </w:r>
          </w:p>
        </w:tc>
        <w:tc>
          <w:tcPr>
            <w:tcW w:w="439" w:type="pct"/>
            <w:tcBorders>
              <w:top w:val="nil"/>
              <w:left w:val="nil"/>
              <w:bottom w:val="nil"/>
              <w:right w:val="single" w:sz="4" w:space="0" w:color="auto"/>
            </w:tcBorders>
            <w:shd w:val="clear" w:color="000000" w:fill="FFFFFF"/>
            <w:noWrap/>
            <w:vAlign w:val="center"/>
            <w:hideMark/>
          </w:tcPr>
          <w:p w14:paraId="44D117A0"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68.38</w:t>
            </w:r>
          </w:p>
        </w:tc>
        <w:tc>
          <w:tcPr>
            <w:tcW w:w="300" w:type="pct"/>
            <w:tcBorders>
              <w:top w:val="nil"/>
              <w:left w:val="nil"/>
              <w:bottom w:val="double" w:sz="6" w:space="0" w:color="auto"/>
              <w:right w:val="double" w:sz="6" w:space="0" w:color="auto"/>
            </w:tcBorders>
            <w:shd w:val="clear" w:color="000000" w:fill="FFFFFF"/>
            <w:noWrap/>
            <w:vAlign w:val="center"/>
            <w:hideMark/>
          </w:tcPr>
          <w:p w14:paraId="24842ED1"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1.1</w:t>
            </w:r>
          </w:p>
        </w:tc>
        <w:tc>
          <w:tcPr>
            <w:tcW w:w="477" w:type="pct"/>
            <w:tcBorders>
              <w:top w:val="nil"/>
              <w:left w:val="nil"/>
              <w:bottom w:val="nil"/>
              <w:right w:val="single" w:sz="4" w:space="0" w:color="auto"/>
            </w:tcBorders>
            <w:shd w:val="clear" w:color="000000" w:fill="FFFFFF"/>
            <w:noWrap/>
            <w:vAlign w:val="center"/>
            <w:hideMark/>
          </w:tcPr>
          <w:p w14:paraId="7E04CBA8"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41.30</w:t>
            </w:r>
          </w:p>
        </w:tc>
        <w:tc>
          <w:tcPr>
            <w:tcW w:w="307" w:type="pct"/>
            <w:tcBorders>
              <w:top w:val="nil"/>
              <w:left w:val="nil"/>
              <w:bottom w:val="double" w:sz="6" w:space="0" w:color="auto"/>
              <w:right w:val="double" w:sz="6" w:space="0" w:color="auto"/>
            </w:tcBorders>
            <w:shd w:val="clear" w:color="000000" w:fill="FFFFFF"/>
            <w:noWrap/>
            <w:vAlign w:val="center"/>
            <w:hideMark/>
          </w:tcPr>
          <w:p w14:paraId="1905F407"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0.6</w:t>
            </w:r>
          </w:p>
        </w:tc>
        <w:tc>
          <w:tcPr>
            <w:tcW w:w="452" w:type="pct"/>
            <w:tcBorders>
              <w:top w:val="nil"/>
              <w:left w:val="nil"/>
              <w:bottom w:val="nil"/>
              <w:right w:val="single" w:sz="4" w:space="0" w:color="auto"/>
            </w:tcBorders>
            <w:shd w:val="clear" w:color="000000" w:fill="FFFFFF"/>
            <w:noWrap/>
            <w:vAlign w:val="center"/>
            <w:hideMark/>
          </w:tcPr>
          <w:p w14:paraId="146F7E19"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45.20</w:t>
            </w:r>
          </w:p>
        </w:tc>
        <w:tc>
          <w:tcPr>
            <w:tcW w:w="308" w:type="pct"/>
            <w:tcBorders>
              <w:top w:val="nil"/>
              <w:left w:val="nil"/>
              <w:bottom w:val="double" w:sz="6" w:space="0" w:color="auto"/>
              <w:right w:val="double" w:sz="6" w:space="0" w:color="auto"/>
            </w:tcBorders>
            <w:shd w:val="clear" w:color="000000" w:fill="FFFFFF"/>
            <w:noWrap/>
            <w:vAlign w:val="center"/>
            <w:hideMark/>
          </w:tcPr>
          <w:p w14:paraId="1445387C"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0.6</w:t>
            </w:r>
          </w:p>
        </w:tc>
        <w:tc>
          <w:tcPr>
            <w:tcW w:w="436" w:type="pct"/>
            <w:tcBorders>
              <w:top w:val="nil"/>
              <w:left w:val="nil"/>
              <w:bottom w:val="nil"/>
              <w:right w:val="single" w:sz="4" w:space="0" w:color="auto"/>
            </w:tcBorders>
            <w:shd w:val="clear" w:color="000000" w:fill="FFFFFF"/>
            <w:noWrap/>
            <w:vAlign w:val="center"/>
            <w:hideMark/>
          </w:tcPr>
          <w:p w14:paraId="3E94B7C0"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50.20</w:t>
            </w:r>
          </w:p>
        </w:tc>
        <w:tc>
          <w:tcPr>
            <w:tcW w:w="306" w:type="pct"/>
            <w:tcBorders>
              <w:top w:val="nil"/>
              <w:left w:val="nil"/>
              <w:bottom w:val="double" w:sz="6" w:space="0" w:color="auto"/>
              <w:right w:val="double" w:sz="6" w:space="0" w:color="auto"/>
            </w:tcBorders>
            <w:shd w:val="clear" w:color="000000" w:fill="FFFFFF"/>
            <w:noWrap/>
            <w:vAlign w:val="center"/>
            <w:hideMark/>
          </w:tcPr>
          <w:p w14:paraId="6A5A1E42"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0.6</w:t>
            </w:r>
          </w:p>
        </w:tc>
      </w:tr>
      <w:tr w:rsidR="00052499" w:rsidRPr="00C17ACD" w14:paraId="5D8390EC" w14:textId="77777777" w:rsidTr="00052499">
        <w:trPr>
          <w:trHeight w:hRule="exact" w:val="198"/>
        </w:trPr>
        <w:tc>
          <w:tcPr>
            <w:tcW w:w="1974" w:type="pct"/>
            <w:tcBorders>
              <w:top w:val="double" w:sz="6" w:space="0" w:color="auto"/>
              <w:left w:val="double" w:sz="6" w:space="0" w:color="auto"/>
              <w:bottom w:val="double" w:sz="6" w:space="0" w:color="auto"/>
              <w:right w:val="nil"/>
            </w:tcBorders>
            <w:shd w:val="clear" w:color="000000" w:fill="B8CCE4"/>
            <w:noWrap/>
            <w:vAlign w:val="center"/>
            <w:hideMark/>
          </w:tcPr>
          <w:p w14:paraId="41582D13" w14:textId="77777777" w:rsidR="00052499" w:rsidRPr="00C17ACD" w:rsidRDefault="00052499" w:rsidP="00052499">
            <w:pPr>
              <w:spacing w:after="0" w:line="240" w:lineRule="auto"/>
              <w:rPr>
                <w:rFonts w:ascii="Calibri" w:eastAsia="Times New Roman" w:hAnsi="Calibri" w:cs="Calibri"/>
                <w:b/>
                <w:bCs/>
                <w:sz w:val="16"/>
                <w:szCs w:val="16"/>
              </w:rPr>
            </w:pPr>
            <w:r w:rsidRPr="00C17ACD">
              <w:rPr>
                <w:rFonts w:ascii="Calibri" w:eastAsia="Times New Roman" w:hAnsi="Calibri" w:cs="Calibri"/>
                <w:b/>
                <w:bCs/>
                <w:sz w:val="16"/>
                <w:szCs w:val="16"/>
              </w:rPr>
              <w:t>Izdaci</w:t>
            </w:r>
          </w:p>
        </w:tc>
        <w:tc>
          <w:tcPr>
            <w:tcW w:w="439" w:type="pct"/>
            <w:tcBorders>
              <w:top w:val="double" w:sz="6" w:space="0" w:color="auto"/>
              <w:left w:val="nil"/>
              <w:bottom w:val="double" w:sz="6" w:space="0" w:color="auto"/>
              <w:right w:val="single" w:sz="4" w:space="0" w:color="auto"/>
            </w:tcBorders>
            <w:shd w:val="clear" w:color="000000" w:fill="B8CCE4"/>
            <w:noWrap/>
            <w:vAlign w:val="center"/>
            <w:hideMark/>
          </w:tcPr>
          <w:p w14:paraId="6EC6127B"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2982.49</w:t>
            </w:r>
          </w:p>
        </w:tc>
        <w:tc>
          <w:tcPr>
            <w:tcW w:w="300" w:type="pct"/>
            <w:tcBorders>
              <w:top w:val="nil"/>
              <w:left w:val="nil"/>
              <w:bottom w:val="double" w:sz="6" w:space="0" w:color="auto"/>
              <w:right w:val="double" w:sz="6" w:space="0" w:color="auto"/>
            </w:tcBorders>
            <w:shd w:val="clear" w:color="000000" w:fill="B8CCE4"/>
            <w:noWrap/>
            <w:vAlign w:val="center"/>
            <w:hideMark/>
          </w:tcPr>
          <w:p w14:paraId="3FBFFE0E"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46.3</w:t>
            </w:r>
          </w:p>
        </w:tc>
        <w:tc>
          <w:tcPr>
            <w:tcW w:w="477" w:type="pct"/>
            <w:tcBorders>
              <w:top w:val="double" w:sz="6" w:space="0" w:color="auto"/>
              <w:left w:val="nil"/>
              <w:bottom w:val="double" w:sz="6" w:space="0" w:color="auto"/>
              <w:right w:val="single" w:sz="4" w:space="0" w:color="auto"/>
            </w:tcBorders>
            <w:shd w:val="clear" w:color="000000" w:fill="B8CCE4"/>
            <w:noWrap/>
            <w:vAlign w:val="center"/>
            <w:hideMark/>
          </w:tcPr>
          <w:p w14:paraId="43824537"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2952.56</w:t>
            </w:r>
          </w:p>
        </w:tc>
        <w:tc>
          <w:tcPr>
            <w:tcW w:w="307" w:type="pct"/>
            <w:tcBorders>
              <w:top w:val="nil"/>
              <w:left w:val="nil"/>
              <w:bottom w:val="double" w:sz="6" w:space="0" w:color="auto"/>
              <w:right w:val="double" w:sz="6" w:space="0" w:color="auto"/>
            </w:tcBorders>
            <w:shd w:val="clear" w:color="000000" w:fill="B8CCE4"/>
            <w:noWrap/>
            <w:vAlign w:val="center"/>
            <w:hideMark/>
          </w:tcPr>
          <w:p w14:paraId="77A6188F"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42.0</w:t>
            </w:r>
          </w:p>
        </w:tc>
        <w:tc>
          <w:tcPr>
            <w:tcW w:w="452" w:type="pct"/>
            <w:tcBorders>
              <w:top w:val="double" w:sz="6" w:space="0" w:color="auto"/>
              <w:left w:val="nil"/>
              <w:bottom w:val="double" w:sz="6" w:space="0" w:color="auto"/>
              <w:right w:val="single" w:sz="4" w:space="0" w:color="auto"/>
            </w:tcBorders>
            <w:shd w:val="clear" w:color="000000" w:fill="B8CCE4"/>
            <w:noWrap/>
            <w:vAlign w:val="center"/>
            <w:hideMark/>
          </w:tcPr>
          <w:p w14:paraId="3A090E06"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3034.76</w:t>
            </w:r>
          </w:p>
        </w:tc>
        <w:tc>
          <w:tcPr>
            <w:tcW w:w="308" w:type="pct"/>
            <w:tcBorders>
              <w:top w:val="nil"/>
              <w:left w:val="nil"/>
              <w:bottom w:val="double" w:sz="6" w:space="0" w:color="auto"/>
              <w:right w:val="double" w:sz="6" w:space="0" w:color="auto"/>
            </w:tcBorders>
            <w:shd w:val="clear" w:color="000000" w:fill="B8CCE4"/>
            <w:noWrap/>
            <w:vAlign w:val="center"/>
            <w:hideMark/>
          </w:tcPr>
          <w:p w14:paraId="086BE190"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40.9</w:t>
            </w:r>
          </w:p>
        </w:tc>
        <w:tc>
          <w:tcPr>
            <w:tcW w:w="436" w:type="pct"/>
            <w:tcBorders>
              <w:top w:val="double" w:sz="6" w:space="0" w:color="auto"/>
              <w:left w:val="nil"/>
              <w:bottom w:val="double" w:sz="6" w:space="0" w:color="auto"/>
              <w:right w:val="single" w:sz="4" w:space="0" w:color="auto"/>
            </w:tcBorders>
            <w:shd w:val="clear" w:color="000000" w:fill="B8CCE4"/>
            <w:noWrap/>
            <w:vAlign w:val="center"/>
            <w:hideMark/>
          </w:tcPr>
          <w:p w14:paraId="2DB8FB93"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3109.70</w:t>
            </w:r>
          </w:p>
        </w:tc>
        <w:tc>
          <w:tcPr>
            <w:tcW w:w="306" w:type="pct"/>
            <w:tcBorders>
              <w:top w:val="nil"/>
              <w:left w:val="nil"/>
              <w:bottom w:val="double" w:sz="6" w:space="0" w:color="auto"/>
              <w:right w:val="double" w:sz="6" w:space="0" w:color="auto"/>
            </w:tcBorders>
            <w:shd w:val="clear" w:color="000000" w:fill="B8CCE4"/>
            <w:noWrap/>
            <w:vAlign w:val="center"/>
            <w:hideMark/>
          </w:tcPr>
          <w:p w14:paraId="2C97FAF7"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40.0</w:t>
            </w:r>
          </w:p>
        </w:tc>
      </w:tr>
      <w:tr w:rsidR="00052499" w:rsidRPr="00C17ACD" w14:paraId="32F4B035" w14:textId="77777777" w:rsidTr="00052499">
        <w:trPr>
          <w:trHeight w:hRule="exact" w:val="198"/>
        </w:trPr>
        <w:tc>
          <w:tcPr>
            <w:tcW w:w="1974" w:type="pct"/>
            <w:tcBorders>
              <w:top w:val="nil"/>
              <w:left w:val="double" w:sz="6" w:space="0" w:color="auto"/>
              <w:bottom w:val="double" w:sz="6" w:space="0" w:color="auto"/>
              <w:right w:val="nil"/>
            </w:tcBorders>
            <w:shd w:val="clear" w:color="000000" w:fill="B8CCE4"/>
            <w:noWrap/>
            <w:vAlign w:val="center"/>
            <w:hideMark/>
          </w:tcPr>
          <w:p w14:paraId="1B5B9A9C" w14:textId="77777777" w:rsidR="00052499" w:rsidRPr="00C17ACD" w:rsidRDefault="00052499" w:rsidP="00052499">
            <w:pPr>
              <w:spacing w:after="0" w:line="240" w:lineRule="auto"/>
              <w:rPr>
                <w:rFonts w:ascii="Calibri" w:eastAsia="Times New Roman" w:hAnsi="Calibri" w:cs="Calibri"/>
                <w:b/>
                <w:bCs/>
                <w:sz w:val="16"/>
                <w:szCs w:val="16"/>
              </w:rPr>
            </w:pPr>
            <w:r w:rsidRPr="00C17ACD">
              <w:rPr>
                <w:rFonts w:ascii="Calibri" w:eastAsia="Times New Roman" w:hAnsi="Calibri" w:cs="Calibri"/>
                <w:b/>
                <w:bCs/>
                <w:sz w:val="16"/>
                <w:szCs w:val="16"/>
              </w:rPr>
              <w:t>Tekuća budžetska potrošnja</w:t>
            </w:r>
          </w:p>
        </w:tc>
        <w:tc>
          <w:tcPr>
            <w:tcW w:w="439" w:type="pct"/>
            <w:tcBorders>
              <w:top w:val="nil"/>
              <w:left w:val="nil"/>
              <w:bottom w:val="double" w:sz="6" w:space="0" w:color="auto"/>
              <w:right w:val="single" w:sz="4" w:space="0" w:color="auto"/>
            </w:tcBorders>
            <w:shd w:val="clear" w:color="000000" w:fill="B8CCE4"/>
            <w:noWrap/>
            <w:vAlign w:val="center"/>
            <w:hideMark/>
          </w:tcPr>
          <w:p w14:paraId="2447033A"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1286.68</w:t>
            </w:r>
          </w:p>
        </w:tc>
        <w:tc>
          <w:tcPr>
            <w:tcW w:w="300" w:type="pct"/>
            <w:tcBorders>
              <w:top w:val="nil"/>
              <w:left w:val="nil"/>
              <w:bottom w:val="double" w:sz="6" w:space="0" w:color="auto"/>
              <w:right w:val="double" w:sz="6" w:space="0" w:color="auto"/>
            </w:tcBorders>
            <w:shd w:val="clear" w:color="000000" w:fill="B8CCE4"/>
            <w:noWrap/>
            <w:vAlign w:val="center"/>
            <w:hideMark/>
          </w:tcPr>
          <w:p w14:paraId="53539685"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20.0</w:t>
            </w:r>
          </w:p>
        </w:tc>
        <w:tc>
          <w:tcPr>
            <w:tcW w:w="477" w:type="pct"/>
            <w:tcBorders>
              <w:top w:val="nil"/>
              <w:left w:val="nil"/>
              <w:bottom w:val="double" w:sz="6" w:space="0" w:color="auto"/>
              <w:right w:val="single" w:sz="4" w:space="0" w:color="auto"/>
            </w:tcBorders>
            <w:shd w:val="clear" w:color="000000" w:fill="B8CCE4"/>
            <w:noWrap/>
            <w:vAlign w:val="center"/>
            <w:hideMark/>
          </w:tcPr>
          <w:p w14:paraId="48C24CF9"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2626.21</w:t>
            </w:r>
          </w:p>
        </w:tc>
        <w:tc>
          <w:tcPr>
            <w:tcW w:w="307" w:type="pct"/>
            <w:tcBorders>
              <w:top w:val="nil"/>
              <w:left w:val="nil"/>
              <w:bottom w:val="double" w:sz="6" w:space="0" w:color="auto"/>
              <w:right w:val="double" w:sz="6" w:space="0" w:color="auto"/>
            </w:tcBorders>
            <w:shd w:val="clear" w:color="000000" w:fill="B8CCE4"/>
            <w:noWrap/>
            <w:vAlign w:val="center"/>
            <w:hideMark/>
          </w:tcPr>
          <w:p w14:paraId="610FD26F"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37.3</w:t>
            </w:r>
          </w:p>
        </w:tc>
        <w:tc>
          <w:tcPr>
            <w:tcW w:w="452" w:type="pct"/>
            <w:tcBorders>
              <w:top w:val="nil"/>
              <w:left w:val="nil"/>
              <w:bottom w:val="double" w:sz="6" w:space="0" w:color="auto"/>
              <w:right w:val="single" w:sz="4" w:space="0" w:color="auto"/>
            </w:tcBorders>
            <w:shd w:val="clear" w:color="000000" w:fill="B8CCE4"/>
            <w:noWrap/>
            <w:vAlign w:val="center"/>
            <w:hideMark/>
          </w:tcPr>
          <w:p w14:paraId="3708CE55"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2710.29</w:t>
            </w:r>
          </w:p>
        </w:tc>
        <w:tc>
          <w:tcPr>
            <w:tcW w:w="308" w:type="pct"/>
            <w:tcBorders>
              <w:top w:val="nil"/>
              <w:left w:val="nil"/>
              <w:bottom w:val="double" w:sz="6" w:space="0" w:color="auto"/>
              <w:right w:val="double" w:sz="6" w:space="0" w:color="auto"/>
            </w:tcBorders>
            <w:shd w:val="clear" w:color="000000" w:fill="B8CCE4"/>
            <w:noWrap/>
            <w:vAlign w:val="center"/>
            <w:hideMark/>
          </w:tcPr>
          <w:p w14:paraId="67E05CD5"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36.5</w:t>
            </w:r>
          </w:p>
        </w:tc>
        <w:tc>
          <w:tcPr>
            <w:tcW w:w="436" w:type="pct"/>
            <w:tcBorders>
              <w:top w:val="nil"/>
              <w:left w:val="nil"/>
              <w:bottom w:val="double" w:sz="6" w:space="0" w:color="auto"/>
              <w:right w:val="single" w:sz="4" w:space="0" w:color="auto"/>
            </w:tcBorders>
            <w:shd w:val="clear" w:color="000000" w:fill="B8CCE4"/>
            <w:noWrap/>
            <w:vAlign w:val="center"/>
            <w:hideMark/>
          </w:tcPr>
          <w:p w14:paraId="25563BEF"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2785.24</w:t>
            </w:r>
          </w:p>
        </w:tc>
        <w:tc>
          <w:tcPr>
            <w:tcW w:w="306" w:type="pct"/>
            <w:tcBorders>
              <w:top w:val="nil"/>
              <w:left w:val="nil"/>
              <w:bottom w:val="double" w:sz="6" w:space="0" w:color="auto"/>
              <w:right w:val="double" w:sz="6" w:space="0" w:color="auto"/>
            </w:tcBorders>
            <w:shd w:val="clear" w:color="000000" w:fill="B8CCE4"/>
            <w:noWrap/>
            <w:vAlign w:val="center"/>
            <w:hideMark/>
          </w:tcPr>
          <w:p w14:paraId="78461085"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35.8</w:t>
            </w:r>
          </w:p>
        </w:tc>
      </w:tr>
      <w:tr w:rsidR="00052499" w:rsidRPr="00C17ACD" w14:paraId="6957CE18" w14:textId="77777777" w:rsidTr="00052499">
        <w:trPr>
          <w:trHeight w:hRule="exact" w:val="198"/>
        </w:trPr>
        <w:tc>
          <w:tcPr>
            <w:tcW w:w="1974" w:type="pct"/>
            <w:tcBorders>
              <w:top w:val="nil"/>
              <w:left w:val="double" w:sz="6" w:space="0" w:color="auto"/>
              <w:bottom w:val="nil"/>
              <w:right w:val="nil"/>
            </w:tcBorders>
            <w:shd w:val="clear" w:color="000000" w:fill="FFFFFF"/>
            <w:noWrap/>
            <w:vAlign w:val="center"/>
            <w:hideMark/>
          </w:tcPr>
          <w:p w14:paraId="7018BEB0" w14:textId="77777777" w:rsidR="00052499" w:rsidRPr="00C17ACD" w:rsidRDefault="00052499" w:rsidP="00052499">
            <w:pPr>
              <w:spacing w:after="0" w:line="240" w:lineRule="auto"/>
              <w:rPr>
                <w:rFonts w:ascii="Calibri" w:eastAsia="Times New Roman" w:hAnsi="Calibri" w:cs="Calibri"/>
                <w:b/>
                <w:bCs/>
                <w:sz w:val="16"/>
                <w:szCs w:val="16"/>
              </w:rPr>
            </w:pPr>
            <w:r w:rsidRPr="00C17ACD">
              <w:rPr>
                <w:rFonts w:ascii="Calibri" w:eastAsia="Times New Roman" w:hAnsi="Calibri" w:cs="Calibri"/>
                <w:b/>
                <w:bCs/>
                <w:sz w:val="16"/>
                <w:szCs w:val="16"/>
              </w:rPr>
              <w:t>Tekući izdaci</w:t>
            </w:r>
          </w:p>
        </w:tc>
        <w:tc>
          <w:tcPr>
            <w:tcW w:w="439" w:type="pct"/>
            <w:tcBorders>
              <w:top w:val="nil"/>
              <w:left w:val="nil"/>
              <w:bottom w:val="nil"/>
              <w:right w:val="single" w:sz="4" w:space="0" w:color="auto"/>
            </w:tcBorders>
            <w:shd w:val="clear" w:color="000000" w:fill="FFFFFF"/>
            <w:noWrap/>
            <w:vAlign w:val="center"/>
            <w:hideMark/>
          </w:tcPr>
          <w:p w14:paraId="00585330"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1080.32</w:t>
            </w:r>
          </w:p>
        </w:tc>
        <w:tc>
          <w:tcPr>
            <w:tcW w:w="300" w:type="pct"/>
            <w:tcBorders>
              <w:top w:val="nil"/>
              <w:left w:val="nil"/>
              <w:bottom w:val="nil"/>
              <w:right w:val="double" w:sz="6" w:space="0" w:color="auto"/>
            </w:tcBorders>
            <w:shd w:val="clear" w:color="000000" w:fill="FFFFFF"/>
            <w:noWrap/>
            <w:vAlign w:val="center"/>
            <w:hideMark/>
          </w:tcPr>
          <w:p w14:paraId="577C059E"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16.8</w:t>
            </w:r>
          </w:p>
        </w:tc>
        <w:tc>
          <w:tcPr>
            <w:tcW w:w="477" w:type="pct"/>
            <w:tcBorders>
              <w:top w:val="nil"/>
              <w:left w:val="nil"/>
              <w:bottom w:val="nil"/>
              <w:right w:val="single" w:sz="4" w:space="0" w:color="auto"/>
            </w:tcBorders>
            <w:shd w:val="clear" w:color="000000" w:fill="FFFFFF"/>
            <w:noWrap/>
            <w:vAlign w:val="center"/>
            <w:hideMark/>
          </w:tcPr>
          <w:p w14:paraId="4BF06C8B"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1128.36</w:t>
            </w:r>
          </w:p>
        </w:tc>
        <w:tc>
          <w:tcPr>
            <w:tcW w:w="307" w:type="pct"/>
            <w:tcBorders>
              <w:top w:val="nil"/>
              <w:left w:val="nil"/>
              <w:bottom w:val="nil"/>
              <w:right w:val="double" w:sz="6" w:space="0" w:color="auto"/>
            </w:tcBorders>
            <w:shd w:val="clear" w:color="000000" w:fill="FFFFFF"/>
            <w:noWrap/>
            <w:vAlign w:val="center"/>
            <w:hideMark/>
          </w:tcPr>
          <w:p w14:paraId="6180F92B"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16.0</w:t>
            </w:r>
          </w:p>
        </w:tc>
        <w:tc>
          <w:tcPr>
            <w:tcW w:w="452" w:type="pct"/>
            <w:tcBorders>
              <w:top w:val="nil"/>
              <w:left w:val="nil"/>
              <w:bottom w:val="nil"/>
              <w:right w:val="single" w:sz="4" w:space="0" w:color="auto"/>
            </w:tcBorders>
            <w:shd w:val="clear" w:color="000000" w:fill="FFFFFF"/>
            <w:noWrap/>
            <w:vAlign w:val="center"/>
            <w:hideMark/>
          </w:tcPr>
          <w:p w14:paraId="2BE3DD4F"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1141.84</w:t>
            </w:r>
          </w:p>
        </w:tc>
        <w:tc>
          <w:tcPr>
            <w:tcW w:w="308" w:type="pct"/>
            <w:tcBorders>
              <w:top w:val="nil"/>
              <w:left w:val="nil"/>
              <w:bottom w:val="nil"/>
              <w:right w:val="double" w:sz="6" w:space="0" w:color="auto"/>
            </w:tcBorders>
            <w:shd w:val="clear" w:color="000000" w:fill="FFFFFF"/>
            <w:noWrap/>
            <w:vAlign w:val="center"/>
            <w:hideMark/>
          </w:tcPr>
          <w:p w14:paraId="5FADEEBF"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15.4</w:t>
            </w:r>
          </w:p>
        </w:tc>
        <w:tc>
          <w:tcPr>
            <w:tcW w:w="436" w:type="pct"/>
            <w:tcBorders>
              <w:top w:val="nil"/>
              <w:left w:val="nil"/>
              <w:bottom w:val="nil"/>
              <w:right w:val="single" w:sz="4" w:space="0" w:color="auto"/>
            </w:tcBorders>
            <w:shd w:val="clear" w:color="000000" w:fill="FFFFFF"/>
            <w:noWrap/>
            <w:vAlign w:val="center"/>
            <w:hideMark/>
          </w:tcPr>
          <w:p w14:paraId="2EAD076E"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1173.01</w:t>
            </w:r>
          </w:p>
        </w:tc>
        <w:tc>
          <w:tcPr>
            <w:tcW w:w="306" w:type="pct"/>
            <w:tcBorders>
              <w:top w:val="nil"/>
              <w:left w:val="nil"/>
              <w:bottom w:val="nil"/>
              <w:right w:val="double" w:sz="6" w:space="0" w:color="auto"/>
            </w:tcBorders>
            <w:shd w:val="clear" w:color="000000" w:fill="FFFFFF"/>
            <w:noWrap/>
            <w:vAlign w:val="center"/>
            <w:hideMark/>
          </w:tcPr>
          <w:p w14:paraId="3F02CBF8"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15.1</w:t>
            </w:r>
          </w:p>
        </w:tc>
      </w:tr>
      <w:tr w:rsidR="00052499" w:rsidRPr="00C17ACD" w14:paraId="477600C8" w14:textId="77777777" w:rsidTr="00052499">
        <w:trPr>
          <w:trHeight w:hRule="exact" w:val="198"/>
        </w:trPr>
        <w:tc>
          <w:tcPr>
            <w:tcW w:w="1974" w:type="pct"/>
            <w:tcBorders>
              <w:top w:val="nil"/>
              <w:left w:val="double" w:sz="6" w:space="0" w:color="auto"/>
              <w:bottom w:val="nil"/>
              <w:right w:val="nil"/>
            </w:tcBorders>
            <w:shd w:val="clear" w:color="000000" w:fill="FFFFFF"/>
            <w:noWrap/>
            <w:vAlign w:val="center"/>
            <w:hideMark/>
          </w:tcPr>
          <w:p w14:paraId="688A6939" w14:textId="77777777" w:rsidR="00052499" w:rsidRPr="00C17ACD" w:rsidRDefault="00052499" w:rsidP="00052499">
            <w:pPr>
              <w:spacing w:after="0" w:line="240" w:lineRule="auto"/>
              <w:rPr>
                <w:rFonts w:ascii="Calibri" w:eastAsia="Times New Roman" w:hAnsi="Calibri" w:cs="Calibri"/>
                <w:b/>
                <w:bCs/>
                <w:sz w:val="16"/>
                <w:szCs w:val="16"/>
              </w:rPr>
            </w:pPr>
            <w:r w:rsidRPr="00C17ACD">
              <w:rPr>
                <w:rFonts w:ascii="Calibri" w:eastAsia="Times New Roman" w:hAnsi="Calibri" w:cs="Calibri"/>
                <w:b/>
                <w:bCs/>
                <w:sz w:val="16"/>
                <w:szCs w:val="16"/>
              </w:rPr>
              <w:t>Bruto zarade i doprinosi na teret poslodavca</w:t>
            </w:r>
          </w:p>
        </w:tc>
        <w:tc>
          <w:tcPr>
            <w:tcW w:w="439" w:type="pct"/>
            <w:tcBorders>
              <w:top w:val="nil"/>
              <w:left w:val="nil"/>
              <w:bottom w:val="nil"/>
              <w:right w:val="single" w:sz="4" w:space="0" w:color="auto"/>
            </w:tcBorders>
            <w:shd w:val="clear" w:color="000000" w:fill="FFFFFF"/>
            <w:noWrap/>
            <w:vAlign w:val="center"/>
            <w:hideMark/>
          </w:tcPr>
          <w:p w14:paraId="20F3AF3D"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635.22</w:t>
            </w:r>
          </w:p>
        </w:tc>
        <w:tc>
          <w:tcPr>
            <w:tcW w:w="300" w:type="pct"/>
            <w:tcBorders>
              <w:top w:val="nil"/>
              <w:left w:val="nil"/>
              <w:bottom w:val="nil"/>
              <w:right w:val="double" w:sz="6" w:space="0" w:color="auto"/>
            </w:tcBorders>
            <w:shd w:val="clear" w:color="000000" w:fill="FFFFFF"/>
            <w:noWrap/>
            <w:vAlign w:val="center"/>
            <w:hideMark/>
          </w:tcPr>
          <w:p w14:paraId="3F96707B"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9.9</w:t>
            </w:r>
          </w:p>
        </w:tc>
        <w:tc>
          <w:tcPr>
            <w:tcW w:w="477" w:type="pct"/>
            <w:tcBorders>
              <w:top w:val="nil"/>
              <w:left w:val="nil"/>
              <w:bottom w:val="nil"/>
              <w:right w:val="single" w:sz="4" w:space="0" w:color="auto"/>
            </w:tcBorders>
            <w:shd w:val="clear" w:color="000000" w:fill="FFFFFF"/>
            <w:noWrap/>
            <w:vAlign w:val="center"/>
            <w:hideMark/>
          </w:tcPr>
          <w:p w14:paraId="0965F6CE"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674.66</w:t>
            </w:r>
          </w:p>
        </w:tc>
        <w:tc>
          <w:tcPr>
            <w:tcW w:w="307" w:type="pct"/>
            <w:tcBorders>
              <w:top w:val="nil"/>
              <w:left w:val="nil"/>
              <w:bottom w:val="nil"/>
              <w:right w:val="double" w:sz="6" w:space="0" w:color="auto"/>
            </w:tcBorders>
            <w:shd w:val="clear" w:color="000000" w:fill="FFFFFF"/>
            <w:noWrap/>
            <w:vAlign w:val="center"/>
            <w:hideMark/>
          </w:tcPr>
          <w:p w14:paraId="27B9E154"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9.6</w:t>
            </w:r>
          </w:p>
        </w:tc>
        <w:tc>
          <w:tcPr>
            <w:tcW w:w="452" w:type="pct"/>
            <w:tcBorders>
              <w:top w:val="nil"/>
              <w:left w:val="nil"/>
              <w:bottom w:val="nil"/>
              <w:right w:val="single" w:sz="4" w:space="0" w:color="auto"/>
            </w:tcBorders>
            <w:shd w:val="clear" w:color="000000" w:fill="FFFFFF"/>
            <w:noWrap/>
            <w:vAlign w:val="center"/>
            <w:hideMark/>
          </w:tcPr>
          <w:p w14:paraId="2106189A"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678.38</w:t>
            </w:r>
          </w:p>
        </w:tc>
        <w:tc>
          <w:tcPr>
            <w:tcW w:w="308" w:type="pct"/>
            <w:tcBorders>
              <w:top w:val="nil"/>
              <w:left w:val="nil"/>
              <w:bottom w:val="nil"/>
              <w:right w:val="double" w:sz="6" w:space="0" w:color="auto"/>
            </w:tcBorders>
            <w:shd w:val="clear" w:color="000000" w:fill="FFFFFF"/>
            <w:noWrap/>
            <w:vAlign w:val="center"/>
            <w:hideMark/>
          </w:tcPr>
          <w:p w14:paraId="01EA918F"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9.1</w:t>
            </w:r>
          </w:p>
        </w:tc>
        <w:tc>
          <w:tcPr>
            <w:tcW w:w="436" w:type="pct"/>
            <w:tcBorders>
              <w:top w:val="nil"/>
              <w:left w:val="nil"/>
              <w:bottom w:val="nil"/>
              <w:right w:val="single" w:sz="4" w:space="0" w:color="auto"/>
            </w:tcBorders>
            <w:shd w:val="clear" w:color="000000" w:fill="FFFFFF"/>
            <w:noWrap/>
            <w:vAlign w:val="center"/>
            <w:hideMark/>
          </w:tcPr>
          <w:p w14:paraId="1EDEC49D"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678.38</w:t>
            </w:r>
          </w:p>
        </w:tc>
        <w:tc>
          <w:tcPr>
            <w:tcW w:w="306" w:type="pct"/>
            <w:tcBorders>
              <w:top w:val="nil"/>
              <w:left w:val="nil"/>
              <w:bottom w:val="nil"/>
              <w:right w:val="double" w:sz="6" w:space="0" w:color="auto"/>
            </w:tcBorders>
            <w:shd w:val="clear" w:color="000000" w:fill="FFFFFF"/>
            <w:noWrap/>
            <w:vAlign w:val="center"/>
            <w:hideMark/>
          </w:tcPr>
          <w:p w14:paraId="63296E36"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8.7</w:t>
            </w:r>
          </w:p>
        </w:tc>
      </w:tr>
      <w:tr w:rsidR="00052499" w:rsidRPr="00C17ACD" w14:paraId="1FA379B3" w14:textId="77777777" w:rsidTr="00052499">
        <w:trPr>
          <w:trHeight w:hRule="exact" w:val="198"/>
        </w:trPr>
        <w:tc>
          <w:tcPr>
            <w:tcW w:w="1974" w:type="pct"/>
            <w:tcBorders>
              <w:top w:val="nil"/>
              <w:left w:val="double" w:sz="6" w:space="0" w:color="auto"/>
              <w:bottom w:val="nil"/>
              <w:right w:val="nil"/>
            </w:tcBorders>
            <w:shd w:val="clear" w:color="000000" w:fill="FFFFFF"/>
            <w:noWrap/>
            <w:vAlign w:val="center"/>
            <w:hideMark/>
          </w:tcPr>
          <w:p w14:paraId="1508D977" w14:textId="77777777" w:rsidR="00052499" w:rsidRPr="00C17ACD" w:rsidRDefault="00052499" w:rsidP="00052499">
            <w:pPr>
              <w:spacing w:after="0" w:line="240" w:lineRule="auto"/>
              <w:rPr>
                <w:rFonts w:ascii="Calibri" w:eastAsia="Times New Roman" w:hAnsi="Calibri" w:cs="Calibri"/>
                <w:b/>
                <w:bCs/>
                <w:sz w:val="16"/>
                <w:szCs w:val="16"/>
              </w:rPr>
            </w:pPr>
            <w:r w:rsidRPr="00C17ACD">
              <w:rPr>
                <w:rFonts w:ascii="Calibri" w:eastAsia="Times New Roman" w:hAnsi="Calibri" w:cs="Calibri"/>
                <w:b/>
                <w:bCs/>
                <w:sz w:val="16"/>
                <w:szCs w:val="16"/>
              </w:rPr>
              <w:t>Ostala lična primanja</w:t>
            </w:r>
          </w:p>
        </w:tc>
        <w:tc>
          <w:tcPr>
            <w:tcW w:w="439" w:type="pct"/>
            <w:tcBorders>
              <w:top w:val="nil"/>
              <w:left w:val="nil"/>
              <w:bottom w:val="nil"/>
              <w:right w:val="single" w:sz="4" w:space="0" w:color="auto"/>
            </w:tcBorders>
            <w:shd w:val="clear" w:color="000000" w:fill="FFFFFF"/>
            <w:noWrap/>
            <w:vAlign w:val="center"/>
            <w:hideMark/>
          </w:tcPr>
          <w:p w14:paraId="0F8B77C9"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19.61</w:t>
            </w:r>
          </w:p>
        </w:tc>
        <w:tc>
          <w:tcPr>
            <w:tcW w:w="300" w:type="pct"/>
            <w:tcBorders>
              <w:top w:val="nil"/>
              <w:left w:val="nil"/>
              <w:bottom w:val="nil"/>
              <w:right w:val="double" w:sz="6" w:space="0" w:color="auto"/>
            </w:tcBorders>
            <w:shd w:val="clear" w:color="000000" w:fill="FFFFFF"/>
            <w:noWrap/>
            <w:vAlign w:val="center"/>
            <w:hideMark/>
          </w:tcPr>
          <w:p w14:paraId="747F0D6B"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0.3</w:t>
            </w:r>
          </w:p>
        </w:tc>
        <w:tc>
          <w:tcPr>
            <w:tcW w:w="477" w:type="pct"/>
            <w:tcBorders>
              <w:top w:val="nil"/>
              <w:left w:val="nil"/>
              <w:bottom w:val="nil"/>
              <w:right w:val="single" w:sz="4" w:space="0" w:color="auto"/>
            </w:tcBorders>
            <w:shd w:val="clear" w:color="000000" w:fill="FFFFFF"/>
            <w:noWrap/>
            <w:vAlign w:val="center"/>
            <w:hideMark/>
          </w:tcPr>
          <w:p w14:paraId="4932B2F0"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19.33</w:t>
            </w:r>
          </w:p>
        </w:tc>
        <w:tc>
          <w:tcPr>
            <w:tcW w:w="307" w:type="pct"/>
            <w:tcBorders>
              <w:top w:val="nil"/>
              <w:left w:val="nil"/>
              <w:bottom w:val="nil"/>
              <w:right w:val="double" w:sz="6" w:space="0" w:color="auto"/>
            </w:tcBorders>
            <w:shd w:val="clear" w:color="000000" w:fill="FFFFFF"/>
            <w:noWrap/>
            <w:vAlign w:val="center"/>
            <w:hideMark/>
          </w:tcPr>
          <w:p w14:paraId="39077EC6"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0.3</w:t>
            </w:r>
          </w:p>
        </w:tc>
        <w:tc>
          <w:tcPr>
            <w:tcW w:w="452" w:type="pct"/>
            <w:tcBorders>
              <w:top w:val="nil"/>
              <w:left w:val="nil"/>
              <w:bottom w:val="nil"/>
              <w:right w:val="single" w:sz="4" w:space="0" w:color="auto"/>
            </w:tcBorders>
            <w:shd w:val="clear" w:color="000000" w:fill="FFFFFF"/>
            <w:noWrap/>
            <w:vAlign w:val="center"/>
            <w:hideMark/>
          </w:tcPr>
          <w:p w14:paraId="6F9746BF"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18.41</w:t>
            </w:r>
          </w:p>
        </w:tc>
        <w:tc>
          <w:tcPr>
            <w:tcW w:w="308" w:type="pct"/>
            <w:tcBorders>
              <w:top w:val="nil"/>
              <w:left w:val="nil"/>
              <w:bottom w:val="nil"/>
              <w:right w:val="double" w:sz="6" w:space="0" w:color="auto"/>
            </w:tcBorders>
            <w:shd w:val="clear" w:color="000000" w:fill="FFFFFF"/>
            <w:noWrap/>
            <w:vAlign w:val="center"/>
            <w:hideMark/>
          </w:tcPr>
          <w:p w14:paraId="1981FEE8"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0.2</w:t>
            </w:r>
          </w:p>
        </w:tc>
        <w:tc>
          <w:tcPr>
            <w:tcW w:w="436" w:type="pct"/>
            <w:tcBorders>
              <w:top w:val="nil"/>
              <w:left w:val="nil"/>
              <w:bottom w:val="nil"/>
              <w:right w:val="single" w:sz="4" w:space="0" w:color="auto"/>
            </w:tcBorders>
            <w:shd w:val="clear" w:color="000000" w:fill="FFFFFF"/>
            <w:noWrap/>
            <w:vAlign w:val="center"/>
            <w:hideMark/>
          </w:tcPr>
          <w:p w14:paraId="2B1CC4F4"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18.41</w:t>
            </w:r>
          </w:p>
        </w:tc>
        <w:tc>
          <w:tcPr>
            <w:tcW w:w="306" w:type="pct"/>
            <w:tcBorders>
              <w:top w:val="nil"/>
              <w:left w:val="nil"/>
              <w:bottom w:val="nil"/>
              <w:right w:val="double" w:sz="6" w:space="0" w:color="auto"/>
            </w:tcBorders>
            <w:shd w:val="clear" w:color="000000" w:fill="FFFFFF"/>
            <w:noWrap/>
            <w:vAlign w:val="center"/>
            <w:hideMark/>
          </w:tcPr>
          <w:p w14:paraId="09BC80BD"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0.2</w:t>
            </w:r>
          </w:p>
        </w:tc>
      </w:tr>
      <w:tr w:rsidR="00052499" w:rsidRPr="00C17ACD" w14:paraId="4D84D12C" w14:textId="77777777" w:rsidTr="00052499">
        <w:trPr>
          <w:trHeight w:hRule="exact" w:val="198"/>
        </w:trPr>
        <w:tc>
          <w:tcPr>
            <w:tcW w:w="1974" w:type="pct"/>
            <w:tcBorders>
              <w:top w:val="nil"/>
              <w:left w:val="double" w:sz="6" w:space="0" w:color="auto"/>
              <w:bottom w:val="nil"/>
              <w:right w:val="nil"/>
            </w:tcBorders>
            <w:shd w:val="clear" w:color="000000" w:fill="FFFFFF"/>
            <w:noWrap/>
            <w:vAlign w:val="center"/>
            <w:hideMark/>
          </w:tcPr>
          <w:p w14:paraId="5D8093DA" w14:textId="77777777" w:rsidR="00052499" w:rsidRPr="00C17ACD" w:rsidRDefault="00052499" w:rsidP="00052499">
            <w:pPr>
              <w:spacing w:after="0" w:line="240" w:lineRule="auto"/>
              <w:rPr>
                <w:rFonts w:ascii="Calibri" w:eastAsia="Times New Roman" w:hAnsi="Calibri" w:cs="Calibri"/>
                <w:b/>
                <w:bCs/>
                <w:sz w:val="16"/>
                <w:szCs w:val="16"/>
              </w:rPr>
            </w:pPr>
            <w:r w:rsidRPr="00C17ACD">
              <w:rPr>
                <w:rFonts w:ascii="Calibri" w:eastAsia="Times New Roman" w:hAnsi="Calibri" w:cs="Calibri"/>
                <w:b/>
                <w:bCs/>
                <w:sz w:val="16"/>
                <w:szCs w:val="16"/>
              </w:rPr>
              <w:t>Rashodi za materijal i usluge</w:t>
            </w:r>
          </w:p>
        </w:tc>
        <w:tc>
          <w:tcPr>
            <w:tcW w:w="439" w:type="pct"/>
            <w:tcBorders>
              <w:top w:val="nil"/>
              <w:left w:val="nil"/>
              <w:bottom w:val="nil"/>
              <w:right w:val="single" w:sz="4" w:space="0" w:color="auto"/>
            </w:tcBorders>
            <w:shd w:val="clear" w:color="000000" w:fill="FFFFFF"/>
            <w:noWrap/>
            <w:vAlign w:val="center"/>
            <w:hideMark/>
          </w:tcPr>
          <w:p w14:paraId="28B50B82"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127.77</w:t>
            </w:r>
          </w:p>
        </w:tc>
        <w:tc>
          <w:tcPr>
            <w:tcW w:w="300" w:type="pct"/>
            <w:tcBorders>
              <w:top w:val="nil"/>
              <w:left w:val="nil"/>
              <w:bottom w:val="nil"/>
              <w:right w:val="double" w:sz="6" w:space="0" w:color="auto"/>
            </w:tcBorders>
            <w:shd w:val="clear" w:color="000000" w:fill="FFFFFF"/>
            <w:noWrap/>
            <w:vAlign w:val="center"/>
            <w:hideMark/>
          </w:tcPr>
          <w:p w14:paraId="448730A0"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2.0</w:t>
            </w:r>
          </w:p>
        </w:tc>
        <w:tc>
          <w:tcPr>
            <w:tcW w:w="477" w:type="pct"/>
            <w:tcBorders>
              <w:top w:val="nil"/>
              <w:left w:val="nil"/>
              <w:bottom w:val="nil"/>
              <w:right w:val="single" w:sz="4" w:space="0" w:color="auto"/>
            </w:tcBorders>
            <w:shd w:val="clear" w:color="000000" w:fill="FFFFFF"/>
            <w:noWrap/>
            <w:vAlign w:val="center"/>
            <w:hideMark/>
          </w:tcPr>
          <w:p w14:paraId="11613F06"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105.36</w:t>
            </w:r>
          </w:p>
        </w:tc>
        <w:tc>
          <w:tcPr>
            <w:tcW w:w="307" w:type="pct"/>
            <w:tcBorders>
              <w:top w:val="nil"/>
              <w:left w:val="nil"/>
              <w:bottom w:val="nil"/>
              <w:right w:val="double" w:sz="6" w:space="0" w:color="auto"/>
            </w:tcBorders>
            <w:shd w:val="clear" w:color="000000" w:fill="FFFFFF"/>
            <w:noWrap/>
            <w:vAlign w:val="center"/>
            <w:hideMark/>
          </w:tcPr>
          <w:p w14:paraId="5ABB74F0"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1.5</w:t>
            </w:r>
          </w:p>
        </w:tc>
        <w:tc>
          <w:tcPr>
            <w:tcW w:w="452" w:type="pct"/>
            <w:tcBorders>
              <w:top w:val="nil"/>
              <w:left w:val="nil"/>
              <w:bottom w:val="nil"/>
              <w:right w:val="single" w:sz="4" w:space="0" w:color="auto"/>
            </w:tcBorders>
            <w:shd w:val="clear" w:color="000000" w:fill="FFFFFF"/>
            <w:noWrap/>
            <w:vAlign w:val="center"/>
            <w:hideMark/>
          </w:tcPr>
          <w:p w14:paraId="6481F806"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102.78</w:t>
            </w:r>
          </w:p>
        </w:tc>
        <w:tc>
          <w:tcPr>
            <w:tcW w:w="308" w:type="pct"/>
            <w:tcBorders>
              <w:top w:val="nil"/>
              <w:left w:val="nil"/>
              <w:bottom w:val="nil"/>
              <w:right w:val="double" w:sz="6" w:space="0" w:color="auto"/>
            </w:tcBorders>
            <w:shd w:val="clear" w:color="000000" w:fill="FFFFFF"/>
            <w:noWrap/>
            <w:vAlign w:val="center"/>
            <w:hideMark/>
          </w:tcPr>
          <w:p w14:paraId="6914DA0A"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1.4</w:t>
            </w:r>
          </w:p>
        </w:tc>
        <w:tc>
          <w:tcPr>
            <w:tcW w:w="436" w:type="pct"/>
            <w:tcBorders>
              <w:top w:val="nil"/>
              <w:left w:val="nil"/>
              <w:bottom w:val="nil"/>
              <w:right w:val="single" w:sz="4" w:space="0" w:color="auto"/>
            </w:tcBorders>
            <w:shd w:val="clear" w:color="000000" w:fill="FFFFFF"/>
            <w:noWrap/>
            <w:vAlign w:val="center"/>
            <w:hideMark/>
          </w:tcPr>
          <w:p w14:paraId="5FFDA5FF"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102.71</w:t>
            </w:r>
          </w:p>
        </w:tc>
        <w:tc>
          <w:tcPr>
            <w:tcW w:w="306" w:type="pct"/>
            <w:tcBorders>
              <w:top w:val="nil"/>
              <w:left w:val="nil"/>
              <w:bottom w:val="nil"/>
              <w:right w:val="double" w:sz="6" w:space="0" w:color="auto"/>
            </w:tcBorders>
            <w:shd w:val="clear" w:color="000000" w:fill="FFFFFF"/>
            <w:noWrap/>
            <w:vAlign w:val="center"/>
            <w:hideMark/>
          </w:tcPr>
          <w:p w14:paraId="20D604DA"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1.3</w:t>
            </w:r>
          </w:p>
        </w:tc>
      </w:tr>
      <w:tr w:rsidR="00052499" w:rsidRPr="00C17ACD" w14:paraId="0143B030" w14:textId="77777777" w:rsidTr="00052499">
        <w:trPr>
          <w:trHeight w:hRule="exact" w:val="198"/>
        </w:trPr>
        <w:tc>
          <w:tcPr>
            <w:tcW w:w="1974" w:type="pct"/>
            <w:tcBorders>
              <w:top w:val="nil"/>
              <w:left w:val="double" w:sz="6" w:space="0" w:color="auto"/>
              <w:bottom w:val="nil"/>
              <w:right w:val="nil"/>
            </w:tcBorders>
            <w:shd w:val="clear" w:color="000000" w:fill="FFFFFF"/>
            <w:noWrap/>
            <w:vAlign w:val="center"/>
            <w:hideMark/>
          </w:tcPr>
          <w:p w14:paraId="7B5964BD" w14:textId="77777777" w:rsidR="00052499" w:rsidRPr="00C17ACD" w:rsidRDefault="00052499" w:rsidP="00052499">
            <w:pPr>
              <w:spacing w:after="0" w:line="240" w:lineRule="auto"/>
              <w:rPr>
                <w:rFonts w:ascii="Calibri" w:eastAsia="Times New Roman" w:hAnsi="Calibri" w:cs="Calibri"/>
                <w:b/>
                <w:bCs/>
                <w:sz w:val="16"/>
                <w:szCs w:val="16"/>
              </w:rPr>
            </w:pPr>
            <w:r w:rsidRPr="00C17ACD">
              <w:rPr>
                <w:rFonts w:ascii="Calibri" w:eastAsia="Times New Roman" w:hAnsi="Calibri" w:cs="Calibri"/>
                <w:b/>
                <w:bCs/>
                <w:sz w:val="16"/>
                <w:szCs w:val="16"/>
              </w:rPr>
              <w:t>Tekuće održavanje</w:t>
            </w:r>
          </w:p>
        </w:tc>
        <w:tc>
          <w:tcPr>
            <w:tcW w:w="439" w:type="pct"/>
            <w:tcBorders>
              <w:top w:val="nil"/>
              <w:left w:val="nil"/>
              <w:bottom w:val="nil"/>
              <w:right w:val="single" w:sz="4" w:space="0" w:color="auto"/>
            </w:tcBorders>
            <w:shd w:val="clear" w:color="000000" w:fill="FFFFFF"/>
            <w:noWrap/>
            <w:vAlign w:val="center"/>
            <w:hideMark/>
          </w:tcPr>
          <w:p w14:paraId="2F7AAC1C"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34.84</w:t>
            </w:r>
          </w:p>
        </w:tc>
        <w:tc>
          <w:tcPr>
            <w:tcW w:w="300" w:type="pct"/>
            <w:tcBorders>
              <w:top w:val="nil"/>
              <w:left w:val="nil"/>
              <w:bottom w:val="nil"/>
              <w:right w:val="double" w:sz="6" w:space="0" w:color="auto"/>
            </w:tcBorders>
            <w:shd w:val="clear" w:color="000000" w:fill="FFFFFF"/>
            <w:noWrap/>
            <w:vAlign w:val="center"/>
            <w:hideMark/>
          </w:tcPr>
          <w:p w14:paraId="102974FB"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0.5</w:t>
            </w:r>
          </w:p>
        </w:tc>
        <w:tc>
          <w:tcPr>
            <w:tcW w:w="477" w:type="pct"/>
            <w:tcBorders>
              <w:top w:val="nil"/>
              <w:left w:val="nil"/>
              <w:bottom w:val="nil"/>
              <w:right w:val="single" w:sz="4" w:space="0" w:color="auto"/>
            </w:tcBorders>
            <w:shd w:val="clear" w:color="000000" w:fill="FFFFFF"/>
            <w:noWrap/>
            <w:vAlign w:val="center"/>
            <w:hideMark/>
          </w:tcPr>
          <w:p w14:paraId="21798D9D"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39.12</w:t>
            </w:r>
          </w:p>
        </w:tc>
        <w:tc>
          <w:tcPr>
            <w:tcW w:w="307" w:type="pct"/>
            <w:tcBorders>
              <w:top w:val="nil"/>
              <w:left w:val="nil"/>
              <w:bottom w:val="nil"/>
              <w:right w:val="double" w:sz="6" w:space="0" w:color="auto"/>
            </w:tcBorders>
            <w:shd w:val="clear" w:color="000000" w:fill="FFFFFF"/>
            <w:noWrap/>
            <w:vAlign w:val="center"/>
            <w:hideMark/>
          </w:tcPr>
          <w:p w14:paraId="4F3A7E00"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0.6</w:t>
            </w:r>
          </w:p>
        </w:tc>
        <w:tc>
          <w:tcPr>
            <w:tcW w:w="452" w:type="pct"/>
            <w:tcBorders>
              <w:top w:val="nil"/>
              <w:left w:val="nil"/>
              <w:bottom w:val="nil"/>
              <w:right w:val="single" w:sz="4" w:space="0" w:color="auto"/>
            </w:tcBorders>
            <w:shd w:val="clear" w:color="000000" w:fill="FFFFFF"/>
            <w:noWrap/>
            <w:vAlign w:val="center"/>
            <w:hideMark/>
          </w:tcPr>
          <w:p w14:paraId="1200A829"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38.90</w:t>
            </w:r>
          </w:p>
        </w:tc>
        <w:tc>
          <w:tcPr>
            <w:tcW w:w="308" w:type="pct"/>
            <w:tcBorders>
              <w:top w:val="nil"/>
              <w:left w:val="nil"/>
              <w:bottom w:val="nil"/>
              <w:right w:val="double" w:sz="6" w:space="0" w:color="auto"/>
            </w:tcBorders>
            <w:shd w:val="clear" w:color="000000" w:fill="FFFFFF"/>
            <w:noWrap/>
            <w:vAlign w:val="center"/>
            <w:hideMark/>
          </w:tcPr>
          <w:p w14:paraId="3E3FDE6C"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0.5</w:t>
            </w:r>
          </w:p>
        </w:tc>
        <w:tc>
          <w:tcPr>
            <w:tcW w:w="436" w:type="pct"/>
            <w:tcBorders>
              <w:top w:val="nil"/>
              <w:left w:val="nil"/>
              <w:bottom w:val="nil"/>
              <w:right w:val="single" w:sz="4" w:space="0" w:color="auto"/>
            </w:tcBorders>
            <w:shd w:val="clear" w:color="000000" w:fill="FFFFFF"/>
            <w:noWrap/>
            <w:vAlign w:val="center"/>
            <w:hideMark/>
          </w:tcPr>
          <w:p w14:paraId="3344B18C"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38.90</w:t>
            </w:r>
          </w:p>
        </w:tc>
        <w:tc>
          <w:tcPr>
            <w:tcW w:w="306" w:type="pct"/>
            <w:tcBorders>
              <w:top w:val="nil"/>
              <w:left w:val="nil"/>
              <w:bottom w:val="nil"/>
              <w:right w:val="double" w:sz="6" w:space="0" w:color="auto"/>
            </w:tcBorders>
            <w:shd w:val="clear" w:color="000000" w:fill="FFFFFF"/>
            <w:noWrap/>
            <w:vAlign w:val="center"/>
            <w:hideMark/>
          </w:tcPr>
          <w:p w14:paraId="6D5C194E"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0.5</w:t>
            </w:r>
          </w:p>
        </w:tc>
      </w:tr>
      <w:tr w:rsidR="00052499" w:rsidRPr="00C17ACD" w14:paraId="6721DEE1" w14:textId="77777777" w:rsidTr="00052499">
        <w:trPr>
          <w:trHeight w:hRule="exact" w:val="198"/>
        </w:trPr>
        <w:tc>
          <w:tcPr>
            <w:tcW w:w="1974" w:type="pct"/>
            <w:tcBorders>
              <w:top w:val="nil"/>
              <w:left w:val="double" w:sz="6" w:space="0" w:color="auto"/>
              <w:bottom w:val="nil"/>
              <w:right w:val="nil"/>
            </w:tcBorders>
            <w:shd w:val="clear" w:color="000000" w:fill="FFFFFF"/>
            <w:noWrap/>
            <w:vAlign w:val="center"/>
            <w:hideMark/>
          </w:tcPr>
          <w:p w14:paraId="1CCAD5D1" w14:textId="77777777" w:rsidR="00052499" w:rsidRPr="00C17ACD" w:rsidRDefault="00052499" w:rsidP="00052499">
            <w:pPr>
              <w:spacing w:after="0" w:line="240" w:lineRule="auto"/>
              <w:rPr>
                <w:rFonts w:ascii="Calibri" w:eastAsia="Times New Roman" w:hAnsi="Calibri" w:cs="Calibri"/>
                <w:b/>
                <w:bCs/>
                <w:sz w:val="16"/>
                <w:szCs w:val="16"/>
              </w:rPr>
            </w:pPr>
            <w:r w:rsidRPr="00C17ACD">
              <w:rPr>
                <w:rFonts w:ascii="Calibri" w:eastAsia="Times New Roman" w:hAnsi="Calibri" w:cs="Calibri"/>
                <w:b/>
                <w:bCs/>
                <w:sz w:val="16"/>
                <w:szCs w:val="16"/>
              </w:rPr>
              <w:t>Kamate</w:t>
            </w:r>
          </w:p>
        </w:tc>
        <w:tc>
          <w:tcPr>
            <w:tcW w:w="439" w:type="pct"/>
            <w:tcBorders>
              <w:top w:val="nil"/>
              <w:left w:val="nil"/>
              <w:bottom w:val="nil"/>
              <w:right w:val="single" w:sz="4" w:space="0" w:color="auto"/>
            </w:tcBorders>
            <w:shd w:val="clear" w:color="000000" w:fill="FFFFFF"/>
            <w:noWrap/>
            <w:vAlign w:val="center"/>
            <w:hideMark/>
          </w:tcPr>
          <w:p w14:paraId="2C796521"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110.03</w:t>
            </w:r>
          </w:p>
        </w:tc>
        <w:tc>
          <w:tcPr>
            <w:tcW w:w="300" w:type="pct"/>
            <w:tcBorders>
              <w:top w:val="nil"/>
              <w:left w:val="nil"/>
              <w:bottom w:val="nil"/>
              <w:right w:val="double" w:sz="6" w:space="0" w:color="auto"/>
            </w:tcBorders>
            <w:shd w:val="clear" w:color="000000" w:fill="FFFFFF"/>
            <w:noWrap/>
            <w:vAlign w:val="center"/>
            <w:hideMark/>
          </w:tcPr>
          <w:p w14:paraId="48297CCA"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1.7</w:t>
            </w:r>
          </w:p>
        </w:tc>
        <w:tc>
          <w:tcPr>
            <w:tcW w:w="477" w:type="pct"/>
            <w:tcBorders>
              <w:top w:val="nil"/>
              <w:left w:val="nil"/>
              <w:bottom w:val="nil"/>
              <w:right w:val="single" w:sz="4" w:space="0" w:color="auto"/>
            </w:tcBorders>
            <w:shd w:val="clear" w:color="000000" w:fill="FFFFFF"/>
            <w:noWrap/>
            <w:vAlign w:val="center"/>
            <w:hideMark/>
          </w:tcPr>
          <w:p w14:paraId="7AA532C0"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138.39</w:t>
            </w:r>
          </w:p>
        </w:tc>
        <w:tc>
          <w:tcPr>
            <w:tcW w:w="307" w:type="pct"/>
            <w:tcBorders>
              <w:top w:val="nil"/>
              <w:left w:val="nil"/>
              <w:bottom w:val="nil"/>
              <w:right w:val="double" w:sz="6" w:space="0" w:color="auto"/>
            </w:tcBorders>
            <w:shd w:val="clear" w:color="000000" w:fill="FFFFFF"/>
            <w:noWrap/>
            <w:vAlign w:val="center"/>
            <w:hideMark/>
          </w:tcPr>
          <w:p w14:paraId="2E98DE58"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2.0</w:t>
            </w:r>
          </w:p>
        </w:tc>
        <w:tc>
          <w:tcPr>
            <w:tcW w:w="452" w:type="pct"/>
            <w:tcBorders>
              <w:top w:val="nil"/>
              <w:left w:val="nil"/>
              <w:bottom w:val="nil"/>
              <w:right w:val="single" w:sz="4" w:space="0" w:color="auto"/>
            </w:tcBorders>
            <w:shd w:val="clear" w:color="000000" w:fill="FFFFFF"/>
            <w:noWrap/>
            <w:vAlign w:val="center"/>
            <w:hideMark/>
          </w:tcPr>
          <w:p w14:paraId="3996B3B4"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161.62</w:t>
            </w:r>
          </w:p>
        </w:tc>
        <w:tc>
          <w:tcPr>
            <w:tcW w:w="308" w:type="pct"/>
            <w:tcBorders>
              <w:top w:val="nil"/>
              <w:left w:val="nil"/>
              <w:bottom w:val="nil"/>
              <w:right w:val="double" w:sz="6" w:space="0" w:color="auto"/>
            </w:tcBorders>
            <w:shd w:val="clear" w:color="000000" w:fill="FFFFFF"/>
            <w:noWrap/>
            <w:vAlign w:val="center"/>
            <w:hideMark/>
          </w:tcPr>
          <w:p w14:paraId="6578E325"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2.2</w:t>
            </w:r>
          </w:p>
        </w:tc>
        <w:tc>
          <w:tcPr>
            <w:tcW w:w="436" w:type="pct"/>
            <w:tcBorders>
              <w:top w:val="nil"/>
              <w:left w:val="nil"/>
              <w:bottom w:val="nil"/>
              <w:right w:val="single" w:sz="4" w:space="0" w:color="auto"/>
            </w:tcBorders>
            <w:shd w:val="clear" w:color="000000" w:fill="FFFFFF"/>
            <w:noWrap/>
            <w:vAlign w:val="center"/>
            <w:hideMark/>
          </w:tcPr>
          <w:p w14:paraId="69AEEBB7"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192.95</w:t>
            </w:r>
          </w:p>
        </w:tc>
        <w:tc>
          <w:tcPr>
            <w:tcW w:w="306" w:type="pct"/>
            <w:tcBorders>
              <w:top w:val="nil"/>
              <w:left w:val="nil"/>
              <w:bottom w:val="nil"/>
              <w:right w:val="double" w:sz="6" w:space="0" w:color="auto"/>
            </w:tcBorders>
            <w:shd w:val="clear" w:color="000000" w:fill="FFFFFF"/>
            <w:noWrap/>
            <w:vAlign w:val="center"/>
            <w:hideMark/>
          </w:tcPr>
          <w:p w14:paraId="7695AD2F"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2.5</w:t>
            </w:r>
          </w:p>
        </w:tc>
      </w:tr>
      <w:tr w:rsidR="00052499" w:rsidRPr="00C17ACD" w14:paraId="446CEC5C" w14:textId="77777777" w:rsidTr="00052499">
        <w:trPr>
          <w:trHeight w:hRule="exact" w:val="198"/>
        </w:trPr>
        <w:tc>
          <w:tcPr>
            <w:tcW w:w="1974" w:type="pct"/>
            <w:tcBorders>
              <w:top w:val="nil"/>
              <w:left w:val="double" w:sz="6" w:space="0" w:color="auto"/>
              <w:bottom w:val="nil"/>
              <w:right w:val="nil"/>
            </w:tcBorders>
            <w:shd w:val="clear" w:color="000000" w:fill="FFFFFF"/>
            <w:noWrap/>
            <w:vAlign w:val="center"/>
            <w:hideMark/>
          </w:tcPr>
          <w:p w14:paraId="197052DB" w14:textId="77777777" w:rsidR="00052499" w:rsidRPr="00C17ACD" w:rsidRDefault="00052499" w:rsidP="00052499">
            <w:pPr>
              <w:spacing w:after="0" w:line="240" w:lineRule="auto"/>
              <w:rPr>
                <w:rFonts w:ascii="Calibri" w:eastAsia="Times New Roman" w:hAnsi="Calibri" w:cs="Calibri"/>
                <w:b/>
                <w:bCs/>
                <w:sz w:val="16"/>
                <w:szCs w:val="16"/>
              </w:rPr>
            </w:pPr>
            <w:r w:rsidRPr="00C17ACD">
              <w:rPr>
                <w:rFonts w:ascii="Calibri" w:eastAsia="Times New Roman" w:hAnsi="Calibri" w:cs="Calibri"/>
                <w:b/>
                <w:bCs/>
                <w:sz w:val="16"/>
                <w:szCs w:val="16"/>
              </w:rPr>
              <w:t>Renta</w:t>
            </w:r>
          </w:p>
        </w:tc>
        <w:tc>
          <w:tcPr>
            <w:tcW w:w="439" w:type="pct"/>
            <w:tcBorders>
              <w:top w:val="nil"/>
              <w:left w:val="nil"/>
              <w:bottom w:val="nil"/>
              <w:right w:val="single" w:sz="4" w:space="0" w:color="auto"/>
            </w:tcBorders>
            <w:shd w:val="clear" w:color="000000" w:fill="FFFFFF"/>
            <w:noWrap/>
            <w:vAlign w:val="center"/>
            <w:hideMark/>
          </w:tcPr>
          <w:p w14:paraId="05274B5E"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12.24</w:t>
            </w:r>
          </w:p>
        </w:tc>
        <w:tc>
          <w:tcPr>
            <w:tcW w:w="300" w:type="pct"/>
            <w:tcBorders>
              <w:top w:val="nil"/>
              <w:left w:val="nil"/>
              <w:bottom w:val="nil"/>
              <w:right w:val="double" w:sz="6" w:space="0" w:color="auto"/>
            </w:tcBorders>
            <w:shd w:val="clear" w:color="000000" w:fill="FFFFFF"/>
            <w:noWrap/>
            <w:vAlign w:val="center"/>
            <w:hideMark/>
          </w:tcPr>
          <w:p w14:paraId="4F830447"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0.2</w:t>
            </w:r>
          </w:p>
        </w:tc>
        <w:tc>
          <w:tcPr>
            <w:tcW w:w="477" w:type="pct"/>
            <w:tcBorders>
              <w:top w:val="nil"/>
              <w:left w:val="nil"/>
              <w:bottom w:val="nil"/>
              <w:right w:val="single" w:sz="4" w:space="0" w:color="auto"/>
            </w:tcBorders>
            <w:shd w:val="clear" w:color="000000" w:fill="FFFFFF"/>
            <w:noWrap/>
            <w:vAlign w:val="center"/>
            <w:hideMark/>
          </w:tcPr>
          <w:p w14:paraId="7047FB4C"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13.69</w:t>
            </w:r>
          </w:p>
        </w:tc>
        <w:tc>
          <w:tcPr>
            <w:tcW w:w="307" w:type="pct"/>
            <w:tcBorders>
              <w:top w:val="nil"/>
              <w:left w:val="nil"/>
              <w:bottom w:val="nil"/>
              <w:right w:val="double" w:sz="6" w:space="0" w:color="auto"/>
            </w:tcBorders>
            <w:shd w:val="clear" w:color="000000" w:fill="FFFFFF"/>
            <w:noWrap/>
            <w:vAlign w:val="center"/>
            <w:hideMark/>
          </w:tcPr>
          <w:p w14:paraId="148074D8"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0.2</w:t>
            </w:r>
          </w:p>
        </w:tc>
        <w:tc>
          <w:tcPr>
            <w:tcW w:w="452" w:type="pct"/>
            <w:tcBorders>
              <w:top w:val="nil"/>
              <w:left w:val="nil"/>
              <w:bottom w:val="nil"/>
              <w:right w:val="single" w:sz="4" w:space="0" w:color="auto"/>
            </w:tcBorders>
            <w:shd w:val="clear" w:color="000000" w:fill="FFFFFF"/>
            <w:noWrap/>
            <w:vAlign w:val="center"/>
            <w:hideMark/>
          </w:tcPr>
          <w:p w14:paraId="1F0F3B0B"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13.24</w:t>
            </w:r>
          </w:p>
        </w:tc>
        <w:tc>
          <w:tcPr>
            <w:tcW w:w="308" w:type="pct"/>
            <w:tcBorders>
              <w:top w:val="nil"/>
              <w:left w:val="nil"/>
              <w:bottom w:val="nil"/>
              <w:right w:val="double" w:sz="6" w:space="0" w:color="auto"/>
            </w:tcBorders>
            <w:shd w:val="clear" w:color="000000" w:fill="FFFFFF"/>
            <w:noWrap/>
            <w:vAlign w:val="center"/>
            <w:hideMark/>
          </w:tcPr>
          <w:p w14:paraId="2658CDCB"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0.2</w:t>
            </w:r>
          </w:p>
        </w:tc>
        <w:tc>
          <w:tcPr>
            <w:tcW w:w="436" w:type="pct"/>
            <w:tcBorders>
              <w:top w:val="nil"/>
              <w:left w:val="nil"/>
              <w:bottom w:val="nil"/>
              <w:right w:val="single" w:sz="4" w:space="0" w:color="auto"/>
            </w:tcBorders>
            <w:shd w:val="clear" w:color="000000" w:fill="FFFFFF"/>
            <w:noWrap/>
            <w:vAlign w:val="center"/>
            <w:hideMark/>
          </w:tcPr>
          <w:p w14:paraId="37DBB273"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13.18</w:t>
            </w:r>
          </w:p>
        </w:tc>
        <w:tc>
          <w:tcPr>
            <w:tcW w:w="306" w:type="pct"/>
            <w:tcBorders>
              <w:top w:val="nil"/>
              <w:left w:val="nil"/>
              <w:bottom w:val="nil"/>
              <w:right w:val="double" w:sz="6" w:space="0" w:color="auto"/>
            </w:tcBorders>
            <w:shd w:val="clear" w:color="000000" w:fill="FFFFFF"/>
            <w:noWrap/>
            <w:vAlign w:val="center"/>
            <w:hideMark/>
          </w:tcPr>
          <w:p w14:paraId="0259A71E"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0.2</w:t>
            </w:r>
          </w:p>
        </w:tc>
      </w:tr>
      <w:tr w:rsidR="00052499" w:rsidRPr="00C17ACD" w14:paraId="1A37BE44" w14:textId="77777777" w:rsidTr="00052499">
        <w:trPr>
          <w:trHeight w:hRule="exact" w:val="198"/>
        </w:trPr>
        <w:tc>
          <w:tcPr>
            <w:tcW w:w="1974" w:type="pct"/>
            <w:tcBorders>
              <w:top w:val="nil"/>
              <w:left w:val="double" w:sz="6" w:space="0" w:color="auto"/>
              <w:bottom w:val="nil"/>
              <w:right w:val="nil"/>
            </w:tcBorders>
            <w:shd w:val="clear" w:color="000000" w:fill="FFFFFF"/>
            <w:noWrap/>
            <w:vAlign w:val="center"/>
            <w:hideMark/>
          </w:tcPr>
          <w:p w14:paraId="21B463B0" w14:textId="77777777" w:rsidR="00052499" w:rsidRPr="00C17ACD" w:rsidRDefault="00052499" w:rsidP="00052499">
            <w:pPr>
              <w:spacing w:after="0" w:line="240" w:lineRule="auto"/>
              <w:rPr>
                <w:rFonts w:ascii="Calibri" w:eastAsia="Times New Roman" w:hAnsi="Calibri" w:cs="Calibri"/>
                <w:b/>
                <w:bCs/>
                <w:sz w:val="16"/>
                <w:szCs w:val="16"/>
              </w:rPr>
            </w:pPr>
            <w:r w:rsidRPr="00C17ACD">
              <w:rPr>
                <w:rFonts w:ascii="Calibri" w:eastAsia="Times New Roman" w:hAnsi="Calibri" w:cs="Calibri"/>
                <w:b/>
                <w:bCs/>
                <w:sz w:val="16"/>
                <w:szCs w:val="16"/>
              </w:rPr>
              <w:t>Subvencije</w:t>
            </w:r>
          </w:p>
        </w:tc>
        <w:tc>
          <w:tcPr>
            <w:tcW w:w="439" w:type="pct"/>
            <w:tcBorders>
              <w:top w:val="nil"/>
              <w:left w:val="nil"/>
              <w:bottom w:val="nil"/>
              <w:right w:val="single" w:sz="4" w:space="0" w:color="auto"/>
            </w:tcBorders>
            <w:shd w:val="clear" w:color="000000" w:fill="FFFFFF"/>
            <w:noWrap/>
            <w:vAlign w:val="center"/>
            <w:hideMark/>
          </w:tcPr>
          <w:p w14:paraId="20610E63"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72.82</w:t>
            </w:r>
          </w:p>
        </w:tc>
        <w:tc>
          <w:tcPr>
            <w:tcW w:w="300" w:type="pct"/>
            <w:tcBorders>
              <w:top w:val="nil"/>
              <w:left w:val="nil"/>
              <w:bottom w:val="nil"/>
              <w:right w:val="double" w:sz="6" w:space="0" w:color="auto"/>
            </w:tcBorders>
            <w:shd w:val="clear" w:color="000000" w:fill="FFFFFF"/>
            <w:noWrap/>
            <w:vAlign w:val="center"/>
            <w:hideMark/>
          </w:tcPr>
          <w:p w14:paraId="4671AF53"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1.1</w:t>
            </w:r>
          </w:p>
        </w:tc>
        <w:tc>
          <w:tcPr>
            <w:tcW w:w="477" w:type="pct"/>
            <w:tcBorders>
              <w:top w:val="nil"/>
              <w:left w:val="nil"/>
              <w:bottom w:val="nil"/>
              <w:right w:val="single" w:sz="4" w:space="0" w:color="auto"/>
            </w:tcBorders>
            <w:shd w:val="clear" w:color="000000" w:fill="FFFFFF"/>
            <w:noWrap/>
            <w:vAlign w:val="center"/>
            <w:hideMark/>
          </w:tcPr>
          <w:p w14:paraId="125FE84F"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67.15</w:t>
            </w:r>
          </w:p>
        </w:tc>
        <w:tc>
          <w:tcPr>
            <w:tcW w:w="307" w:type="pct"/>
            <w:tcBorders>
              <w:top w:val="nil"/>
              <w:left w:val="nil"/>
              <w:bottom w:val="nil"/>
              <w:right w:val="double" w:sz="6" w:space="0" w:color="auto"/>
            </w:tcBorders>
            <w:shd w:val="clear" w:color="000000" w:fill="FFFFFF"/>
            <w:noWrap/>
            <w:vAlign w:val="center"/>
            <w:hideMark/>
          </w:tcPr>
          <w:p w14:paraId="045FDA6C"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1.0</w:t>
            </w:r>
          </w:p>
        </w:tc>
        <w:tc>
          <w:tcPr>
            <w:tcW w:w="452" w:type="pct"/>
            <w:tcBorders>
              <w:top w:val="nil"/>
              <w:left w:val="nil"/>
              <w:bottom w:val="nil"/>
              <w:right w:val="single" w:sz="4" w:space="0" w:color="auto"/>
            </w:tcBorders>
            <w:shd w:val="clear" w:color="000000" w:fill="FFFFFF"/>
            <w:noWrap/>
            <w:vAlign w:val="center"/>
            <w:hideMark/>
          </w:tcPr>
          <w:p w14:paraId="6C4B0BCB"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68.79</w:t>
            </w:r>
          </w:p>
        </w:tc>
        <w:tc>
          <w:tcPr>
            <w:tcW w:w="308" w:type="pct"/>
            <w:tcBorders>
              <w:top w:val="nil"/>
              <w:left w:val="nil"/>
              <w:bottom w:val="nil"/>
              <w:right w:val="double" w:sz="6" w:space="0" w:color="auto"/>
            </w:tcBorders>
            <w:shd w:val="clear" w:color="000000" w:fill="FFFFFF"/>
            <w:noWrap/>
            <w:vAlign w:val="center"/>
            <w:hideMark/>
          </w:tcPr>
          <w:p w14:paraId="16104B2F"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0.9</w:t>
            </w:r>
          </w:p>
        </w:tc>
        <w:tc>
          <w:tcPr>
            <w:tcW w:w="436" w:type="pct"/>
            <w:tcBorders>
              <w:top w:val="nil"/>
              <w:left w:val="nil"/>
              <w:bottom w:val="nil"/>
              <w:right w:val="single" w:sz="4" w:space="0" w:color="auto"/>
            </w:tcBorders>
            <w:shd w:val="clear" w:color="000000" w:fill="FFFFFF"/>
            <w:noWrap/>
            <w:vAlign w:val="center"/>
            <w:hideMark/>
          </w:tcPr>
          <w:p w14:paraId="0A20F4DD"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68.79</w:t>
            </w:r>
          </w:p>
        </w:tc>
        <w:tc>
          <w:tcPr>
            <w:tcW w:w="306" w:type="pct"/>
            <w:tcBorders>
              <w:top w:val="nil"/>
              <w:left w:val="nil"/>
              <w:bottom w:val="nil"/>
              <w:right w:val="double" w:sz="6" w:space="0" w:color="auto"/>
            </w:tcBorders>
            <w:shd w:val="clear" w:color="000000" w:fill="FFFFFF"/>
            <w:noWrap/>
            <w:vAlign w:val="center"/>
            <w:hideMark/>
          </w:tcPr>
          <w:p w14:paraId="2D5E6AE6"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0.9</w:t>
            </w:r>
          </w:p>
        </w:tc>
      </w:tr>
      <w:tr w:rsidR="00052499" w:rsidRPr="00C17ACD" w14:paraId="239CB267" w14:textId="77777777" w:rsidTr="00052499">
        <w:trPr>
          <w:trHeight w:hRule="exact" w:val="198"/>
        </w:trPr>
        <w:tc>
          <w:tcPr>
            <w:tcW w:w="1974" w:type="pct"/>
            <w:tcBorders>
              <w:top w:val="nil"/>
              <w:left w:val="double" w:sz="6" w:space="0" w:color="auto"/>
              <w:bottom w:val="nil"/>
              <w:right w:val="nil"/>
            </w:tcBorders>
            <w:shd w:val="clear" w:color="000000" w:fill="FFFFFF"/>
            <w:noWrap/>
            <w:vAlign w:val="center"/>
            <w:hideMark/>
          </w:tcPr>
          <w:p w14:paraId="678AFFD5" w14:textId="77777777" w:rsidR="00052499" w:rsidRPr="00C17ACD" w:rsidRDefault="00052499" w:rsidP="00052499">
            <w:pPr>
              <w:spacing w:after="0" w:line="240" w:lineRule="auto"/>
              <w:rPr>
                <w:rFonts w:ascii="Calibri" w:eastAsia="Times New Roman" w:hAnsi="Calibri" w:cs="Calibri"/>
                <w:b/>
                <w:bCs/>
                <w:sz w:val="16"/>
                <w:szCs w:val="16"/>
              </w:rPr>
            </w:pPr>
            <w:r w:rsidRPr="00C17ACD">
              <w:rPr>
                <w:rFonts w:ascii="Calibri" w:eastAsia="Times New Roman" w:hAnsi="Calibri" w:cs="Calibri"/>
                <w:b/>
                <w:bCs/>
                <w:sz w:val="16"/>
                <w:szCs w:val="16"/>
              </w:rPr>
              <w:t>Ostali izdaci</w:t>
            </w:r>
          </w:p>
        </w:tc>
        <w:tc>
          <w:tcPr>
            <w:tcW w:w="439" w:type="pct"/>
            <w:tcBorders>
              <w:top w:val="nil"/>
              <w:left w:val="nil"/>
              <w:bottom w:val="nil"/>
              <w:right w:val="single" w:sz="4" w:space="0" w:color="auto"/>
            </w:tcBorders>
            <w:shd w:val="clear" w:color="000000" w:fill="FFFFFF"/>
            <w:noWrap/>
            <w:vAlign w:val="center"/>
            <w:hideMark/>
          </w:tcPr>
          <w:p w14:paraId="5A857302"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67.79</w:t>
            </w:r>
          </w:p>
        </w:tc>
        <w:tc>
          <w:tcPr>
            <w:tcW w:w="300" w:type="pct"/>
            <w:tcBorders>
              <w:top w:val="nil"/>
              <w:left w:val="nil"/>
              <w:bottom w:val="nil"/>
              <w:right w:val="double" w:sz="6" w:space="0" w:color="auto"/>
            </w:tcBorders>
            <w:shd w:val="clear" w:color="000000" w:fill="FFFFFF"/>
            <w:noWrap/>
            <w:vAlign w:val="center"/>
            <w:hideMark/>
          </w:tcPr>
          <w:p w14:paraId="4C99EB64"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1.1</w:t>
            </w:r>
          </w:p>
        </w:tc>
        <w:tc>
          <w:tcPr>
            <w:tcW w:w="477" w:type="pct"/>
            <w:tcBorders>
              <w:top w:val="nil"/>
              <w:left w:val="nil"/>
              <w:bottom w:val="nil"/>
              <w:right w:val="single" w:sz="4" w:space="0" w:color="auto"/>
            </w:tcBorders>
            <w:shd w:val="clear" w:color="000000" w:fill="FFFFFF"/>
            <w:noWrap/>
            <w:vAlign w:val="center"/>
            <w:hideMark/>
          </w:tcPr>
          <w:p w14:paraId="47E84919"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70.67</w:t>
            </w:r>
          </w:p>
        </w:tc>
        <w:tc>
          <w:tcPr>
            <w:tcW w:w="307" w:type="pct"/>
            <w:tcBorders>
              <w:top w:val="nil"/>
              <w:left w:val="nil"/>
              <w:bottom w:val="nil"/>
              <w:right w:val="double" w:sz="6" w:space="0" w:color="auto"/>
            </w:tcBorders>
            <w:shd w:val="clear" w:color="000000" w:fill="FFFFFF"/>
            <w:noWrap/>
            <w:vAlign w:val="center"/>
            <w:hideMark/>
          </w:tcPr>
          <w:p w14:paraId="354921E5"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1.0</w:t>
            </w:r>
          </w:p>
        </w:tc>
        <w:tc>
          <w:tcPr>
            <w:tcW w:w="452" w:type="pct"/>
            <w:tcBorders>
              <w:top w:val="nil"/>
              <w:left w:val="nil"/>
              <w:bottom w:val="nil"/>
              <w:right w:val="single" w:sz="4" w:space="0" w:color="auto"/>
            </w:tcBorders>
            <w:shd w:val="clear" w:color="000000" w:fill="FFFFFF"/>
            <w:noWrap/>
            <w:vAlign w:val="center"/>
            <w:hideMark/>
          </w:tcPr>
          <w:p w14:paraId="51A6118D"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59.72</w:t>
            </w:r>
          </w:p>
        </w:tc>
        <w:tc>
          <w:tcPr>
            <w:tcW w:w="308" w:type="pct"/>
            <w:tcBorders>
              <w:top w:val="nil"/>
              <w:left w:val="nil"/>
              <w:bottom w:val="nil"/>
              <w:right w:val="double" w:sz="6" w:space="0" w:color="auto"/>
            </w:tcBorders>
            <w:shd w:val="clear" w:color="000000" w:fill="FFFFFF"/>
            <w:noWrap/>
            <w:vAlign w:val="center"/>
            <w:hideMark/>
          </w:tcPr>
          <w:p w14:paraId="6AFC3360"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0.8</w:t>
            </w:r>
          </w:p>
        </w:tc>
        <w:tc>
          <w:tcPr>
            <w:tcW w:w="436" w:type="pct"/>
            <w:tcBorders>
              <w:top w:val="nil"/>
              <w:left w:val="nil"/>
              <w:bottom w:val="nil"/>
              <w:right w:val="single" w:sz="4" w:space="0" w:color="auto"/>
            </w:tcBorders>
            <w:shd w:val="clear" w:color="000000" w:fill="FFFFFF"/>
            <w:noWrap/>
            <w:vAlign w:val="center"/>
            <w:hideMark/>
          </w:tcPr>
          <w:p w14:paraId="684BCBF4"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59.70</w:t>
            </w:r>
          </w:p>
        </w:tc>
        <w:tc>
          <w:tcPr>
            <w:tcW w:w="306" w:type="pct"/>
            <w:tcBorders>
              <w:top w:val="nil"/>
              <w:left w:val="nil"/>
              <w:bottom w:val="nil"/>
              <w:right w:val="double" w:sz="6" w:space="0" w:color="auto"/>
            </w:tcBorders>
            <w:shd w:val="clear" w:color="000000" w:fill="FFFFFF"/>
            <w:noWrap/>
            <w:vAlign w:val="center"/>
            <w:hideMark/>
          </w:tcPr>
          <w:p w14:paraId="3EDC4700"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0.8</w:t>
            </w:r>
          </w:p>
        </w:tc>
      </w:tr>
      <w:tr w:rsidR="00052499" w:rsidRPr="00C17ACD" w14:paraId="7050EA21" w14:textId="77777777" w:rsidTr="00052499">
        <w:trPr>
          <w:trHeight w:hRule="exact" w:val="198"/>
        </w:trPr>
        <w:tc>
          <w:tcPr>
            <w:tcW w:w="1974" w:type="pct"/>
            <w:tcBorders>
              <w:top w:val="nil"/>
              <w:left w:val="double" w:sz="6" w:space="0" w:color="auto"/>
              <w:bottom w:val="nil"/>
              <w:right w:val="nil"/>
            </w:tcBorders>
            <w:shd w:val="clear" w:color="000000" w:fill="FFFFFF"/>
            <w:noWrap/>
            <w:vAlign w:val="center"/>
            <w:hideMark/>
          </w:tcPr>
          <w:p w14:paraId="4D74E65E" w14:textId="77777777" w:rsidR="00052499" w:rsidRPr="00C17ACD" w:rsidRDefault="00052499" w:rsidP="00052499">
            <w:pPr>
              <w:spacing w:after="0" w:line="240" w:lineRule="auto"/>
              <w:rPr>
                <w:rFonts w:ascii="Calibri" w:eastAsia="Times New Roman" w:hAnsi="Calibri" w:cs="Calibri"/>
                <w:b/>
                <w:bCs/>
                <w:sz w:val="16"/>
                <w:szCs w:val="16"/>
              </w:rPr>
            </w:pPr>
            <w:r w:rsidRPr="00C17ACD">
              <w:rPr>
                <w:rFonts w:ascii="Calibri" w:eastAsia="Times New Roman" w:hAnsi="Calibri" w:cs="Calibri"/>
                <w:b/>
                <w:bCs/>
                <w:sz w:val="16"/>
                <w:szCs w:val="16"/>
              </w:rPr>
              <w:t>Kapitalni izdaci u tekućem budžetu</w:t>
            </w:r>
          </w:p>
        </w:tc>
        <w:tc>
          <w:tcPr>
            <w:tcW w:w="439" w:type="pct"/>
            <w:tcBorders>
              <w:top w:val="nil"/>
              <w:left w:val="nil"/>
              <w:bottom w:val="nil"/>
              <w:right w:val="single" w:sz="4" w:space="0" w:color="auto"/>
            </w:tcBorders>
            <w:shd w:val="clear" w:color="000000" w:fill="FFFFFF"/>
            <w:noWrap/>
            <w:vAlign w:val="center"/>
            <w:hideMark/>
          </w:tcPr>
          <w:p w14:paraId="18B692E5"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67.36</w:t>
            </w:r>
          </w:p>
        </w:tc>
        <w:tc>
          <w:tcPr>
            <w:tcW w:w="300" w:type="pct"/>
            <w:tcBorders>
              <w:top w:val="nil"/>
              <w:left w:val="nil"/>
              <w:bottom w:val="nil"/>
              <w:right w:val="double" w:sz="6" w:space="0" w:color="auto"/>
            </w:tcBorders>
            <w:shd w:val="clear" w:color="000000" w:fill="FFFFFF"/>
            <w:noWrap/>
            <w:vAlign w:val="center"/>
            <w:hideMark/>
          </w:tcPr>
          <w:p w14:paraId="2F2E2080"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1.0</w:t>
            </w:r>
          </w:p>
        </w:tc>
        <w:tc>
          <w:tcPr>
            <w:tcW w:w="477" w:type="pct"/>
            <w:tcBorders>
              <w:top w:val="nil"/>
              <w:left w:val="nil"/>
              <w:bottom w:val="nil"/>
              <w:right w:val="single" w:sz="4" w:space="0" w:color="auto"/>
            </w:tcBorders>
            <w:shd w:val="clear" w:color="000000" w:fill="FFFFFF"/>
            <w:noWrap/>
            <w:vAlign w:val="center"/>
            <w:hideMark/>
          </w:tcPr>
          <w:p w14:paraId="17A1A904"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71.77</w:t>
            </w:r>
          </w:p>
        </w:tc>
        <w:tc>
          <w:tcPr>
            <w:tcW w:w="307" w:type="pct"/>
            <w:tcBorders>
              <w:top w:val="nil"/>
              <w:left w:val="nil"/>
              <w:bottom w:val="nil"/>
              <w:right w:val="double" w:sz="6" w:space="0" w:color="auto"/>
            </w:tcBorders>
            <w:shd w:val="clear" w:color="000000" w:fill="FFFFFF"/>
            <w:noWrap/>
            <w:vAlign w:val="center"/>
            <w:hideMark/>
          </w:tcPr>
          <w:p w14:paraId="2FDDC21D"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1.0</w:t>
            </w:r>
          </w:p>
        </w:tc>
        <w:tc>
          <w:tcPr>
            <w:tcW w:w="452" w:type="pct"/>
            <w:tcBorders>
              <w:top w:val="nil"/>
              <w:left w:val="nil"/>
              <w:bottom w:val="nil"/>
              <w:right w:val="single" w:sz="4" w:space="0" w:color="auto"/>
            </w:tcBorders>
            <w:shd w:val="clear" w:color="000000" w:fill="FFFFFF"/>
            <w:noWrap/>
            <w:vAlign w:val="center"/>
            <w:hideMark/>
          </w:tcPr>
          <w:p w14:paraId="696CAD32"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70.57</w:t>
            </w:r>
          </w:p>
        </w:tc>
        <w:tc>
          <w:tcPr>
            <w:tcW w:w="308" w:type="pct"/>
            <w:tcBorders>
              <w:top w:val="nil"/>
              <w:left w:val="nil"/>
              <w:bottom w:val="nil"/>
              <w:right w:val="double" w:sz="6" w:space="0" w:color="auto"/>
            </w:tcBorders>
            <w:shd w:val="clear" w:color="000000" w:fill="FFFFFF"/>
            <w:noWrap/>
            <w:vAlign w:val="center"/>
            <w:hideMark/>
          </w:tcPr>
          <w:p w14:paraId="093D4F21"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1.0</w:t>
            </w:r>
          </w:p>
        </w:tc>
        <w:tc>
          <w:tcPr>
            <w:tcW w:w="436" w:type="pct"/>
            <w:tcBorders>
              <w:top w:val="nil"/>
              <w:left w:val="nil"/>
              <w:bottom w:val="nil"/>
              <w:right w:val="single" w:sz="4" w:space="0" w:color="auto"/>
            </w:tcBorders>
            <w:shd w:val="clear" w:color="000000" w:fill="FFFFFF"/>
            <w:noWrap/>
            <w:vAlign w:val="center"/>
            <w:hideMark/>
          </w:tcPr>
          <w:p w14:paraId="1011510D"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70.15</w:t>
            </w:r>
          </w:p>
        </w:tc>
        <w:tc>
          <w:tcPr>
            <w:tcW w:w="306" w:type="pct"/>
            <w:tcBorders>
              <w:top w:val="nil"/>
              <w:left w:val="nil"/>
              <w:bottom w:val="nil"/>
              <w:right w:val="double" w:sz="6" w:space="0" w:color="auto"/>
            </w:tcBorders>
            <w:shd w:val="clear" w:color="000000" w:fill="FFFFFF"/>
            <w:noWrap/>
            <w:vAlign w:val="center"/>
            <w:hideMark/>
          </w:tcPr>
          <w:p w14:paraId="035F0BB6"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0.9</w:t>
            </w:r>
          </w:p>
        </w:tc>
      </w:tr>
      <w:tr w:rsidR="00052499" w:rsidRPr="00C17ACD" w14:paraId="44F5ACDE" w14:textId="77777777" w:rsidTr="00052499">
        <w:trPr>
          <w:trHeight w:hRule="exact" w:val="198"/>
        </w:trPr>
        <w:tc>
          <w:tcPr>
            <w:tcW w:w="1974" w:type="pct"/>
            <w:tcBorders>
              <w:top w:val="nil"/>
              <w:left w:val="double" w:sz="6" w:space="0" w:color="auto"/>
              <w:bottom w:val="nil"/>
              <w:right w:val="nil"/>
            </w:tcBorders>
            <w:shd w:val="clear" w:color="000000" w:fill="FFFFFF"/>
            <w:noWrap/>
            <w:vAlign w:val="center"/>
            <w:hideMark/>
          </w:tcPr>
          <w:p w14:paraId="6B32E9D9" w14:textId="77777777" w:rsidR="00052499" w:rsidRPr="00C17ACD" w:rsidRDefault="00052499" w:rsidP="00052499">
            <w:pPr>
              <w:spacing w:after="0" w:line="240" w:lineRule="auto"/>
              <w:rPr>
                <w:rFonts w:ascii="Calibri" w:eastAsia="Times New Roman" w:hAnsi="Calibri" w:cs="Calibri"/>
                <w:b/>
                <w:bCs/>
                <w:sz w:val="16"/>
                <w:szCs w:val="16"/>
              </w:rPr>
            </w:pPr>
            <w:r w:rsidRPr="00C17ACD">
              <w:rPr>
                <w:rFonts w:ascii="Calibri" w:eastAsia="Times New Roman" w:hAnsi="Calibri" w:cs="Calibri"/>
                <w:b/>
                <w:bCs/>
                <w:sz w:val="16"/>
                <w:szCs w:val="16"/>
              </w:rPr>
              <w:t>Transferi za socijalnu zaštitu</w:t>
            </w:r>
          </w:p>
        </w:tc>
        <w:tc>
          <w:tcPr>
            <w:tcW w:w="439" w:type="pct"/>
            <w:tcBorders>
              <w:top w:val="nil"/>
              <w:left w:val="nil"/>
              <w:bottom w:val="nil"/>
              <w:right w:val="single" w:sz="4" w:space="0" w:color="auto"/>
            </w:tcBorders>
            <w:shd w:val="clear" w:color="000000" w:fill="FFFFFF"/>
            <w:noWrap/>
            <w:vAlign w:val="center"/>
            <w:hideMark/>
          </w:tcPr>
          <w:p w14:paraId="1B421F66"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840.81</w:t>
            </w:r>
          </w:p>
        </w:tc>
        <w:tc>
          <w:tcPr>
            <w:tcW w:w="300" w:type="pct"/>
            <w:tcBorders>
              <w:top w:val="nil"/>
              <w:left w:val="nil"/>
              <w:bottom w:val="nil"/>
              <w:right w:val="double" w:sz="6" w:space="0" w:color="auto"/>
            </w:tcBorders>
            <w:shd w:val="clear" w:color="000000" w:fill="FFFFFF"/>
            <w:noWrap/>
            <w:vAlign w:val="center"/>
            <w:hideMark/>
          </w:tcPr>
          <w:p w14:paraId="52BB3F61"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13.0</w:t>
            </w:r>
          </w:p>
        </w:tc>
        <w:tc>
          <w:tcPr>
            <w:tcW w:w="477" w:type="pct"/>
            <w:tcBorders>
              <w:top w:val="nil"/>
              <w:left w:val="nil"/>
              <w:bottom w:val="nil"/>
              <w:right w:val="single" w:sz="4" w:space="0" w:color="auto"/>
            </w:tcBorders>
            <w:shd w:val="clear" w:color="000000" w:fill="FFFFFF"/>
            <w:noWrap/>
            <w:vAlign w:val="center"/>
            <w:hideMark/>
          </w:tcPr>
          <w:p w14:paraId="747B5655"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1011.02</w:t>
            </w:r>
          </w:p>
        </w:tc>
        <w:tc>
          <w:tcPr>
            <w:tcW w:w="307" w:type="pct"/>
            <w:tcBorders>
              <w:top w:val="nil"/>
              <w:left w:val="nil"/>
              <w:bottom w:val="nil"/>
              <w:right w:val="double" w:sz="6" w:space="0" w:color="auto"/>
            </w:tcBorders>
            <w:shd w:val="clear" w:color="000000" w:fill="FFFFFF"/>
            <w:noWrap/>
            <w:vAlign w:val="center"/>
            <w:hideMark/>
          </w:tcPr>
          <w:p w14:paraId="3AAC02E0"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14.4</w:t>
            </w:r>
          </w:p>
        </w:tc>
        <w:tc>
          <w:tcPr>
            <w:tcW w:w="452" w:type="pct"/>
            <w:tcBorders>
              <w:top w:val="nil"/>
              <w:left w:val="nil"/>
              <w:bottom w:val="nil"/>
              <w:right w:val="single" w:sz="4" w:space="0" w:color="auto"/>
            </w:tcBorders>
            <w:shd w:val="clear" w:color="000000" w:fill="FFFFFF"/>
            <w:noWrap/>
            <w:vAlign w:val="center"/>
            <w:hideMark/>
          </w:tcPr>
          <w:p w14:paraId="73F718EC"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1061.50</w:t>
            </w:r>
          </w:p>
        </w:tc>
        <w:tc>
          <w:tcPr>
            <w:tcW w:w="308" w:type="pct"/>
            <w:tcBorders>
              <w:top w:val="nil"/>
              <w:left w:val="nil"/>
              <w:bottom w:val="nil"/>
              <w:right w:val="double" w:sz="6" w:space="0" w:color="auto"/>
            </w:tcBorders>
            <w:shd w:val="clear" w:color="000000" w:fill="FFFFFF"/>
            <w:noWrap/>
            <w:vAlign w:val="center"/>
            <w:hideMark/>
          </w:tcPr>
          <w:p w14:paraId="698415DC"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14.3</w:t>
            </w:r>
          </w:p>
        </w:tc>
        <w:tc>
          <w:tcPr>
            <w:tcW w:w="436" w:type="pct"/>
            <w:tcBorders>
              <w:top w:val="nil"/>
              <w:left w:val="nil"/>
              <w:bottom w:val="nil"/>
              <w:right w:val="single" w:sz="4" w:space="0" w:color="auto"/>
            </w:tcBorders>
            <w:shd w:val="clear" w:color="000000" w:fill="FFFFFF"/>
            <w:noWrap/>
            <w:vAlign w:val="center"/>
            <w:hideMark/>
          </w:tcPr>
          <w:p w14:paraId="0B478A24"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1105.68</w:t>
            </w:r>
          </w:p>
        </w:tc>
        <w:tc>
          <w:tcPr>
            <w:tcW w:w="306" w:type="pct"/>
            <w:tcBorders>
              <w:top w:val="nil"/>
              <w:left w:val="nil"/>
              <w:bottom w:val="nil"/>
              <w:right w:val="double" w:sz="6" w:space="0" w:color="auto"/>
            </w:tcBorders>
            <w:shd w:val="clear" w:color="000000" w:fill="FFFFFF"/>
            <w:noWrap/>
            <w:vAlign w:val="center"/>
            <w:hideMark/>
          </w:tcPr>
          <w:p w14:paraId="528B4C29"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14.2</w:t>
            </w:r>
          </w:p>
        </w:tc>
      </w:tr>
      <w:tr w:rsidR="00052499" w:rsidRPr="00C17ACD" w14:paraId="202921EF" w14:textId="77777777" w:rsidTr="00052499">
        <w:trPr>
          <w:trHeight w:hRule="exact" w:val="198"/>
        </w:trPr>
        <w:tc>
          <w:tcPr>
            <w:tcW w:w="1974" w:type="pct"/>
            <w:tcBorders>
              <w:top w:val="nil"/>
              <w:left w:val="double" w:sz="6" w:space="0" w:color="auto"/>
              <w:bottom w:val="nil"/>
              <w:right w:val="nil"/>
            </w:tcBorders>
            <w:shd w:val="clear" w:color="000000" w:fill="FFFFFF"/>
            <w:noWrap/>
            <w:vAlign w:val="center"/>
            <w:hideMark/>
          </w:tcPr>
          <w:p w14:paraId="1FF590AD" w14:textId="77777777" w:rsidR="00052499" w:rsidRPr="00C17ACD" w:rsidRDefault="00052499" w:rsidP="00052499">
            <w:pPr>
              <w:spacing w:after="0" w:line="240" w:lineRule="auto"/>
              <w:rPr>
                <w:rFonts w:ascii="Calibri" w:eastAsia="Times New Roman" w:hAnsi="Calibri" w:cs="Calibri"/>
                <w:sz w:val="16"/>
                <w:szCs w:val="16"/>
              </w:rPr>
            </w:pPr>
            <w:r w:rsidRPr="00C17ACD">
              <w:rPr>
                <w:rFonts w:ascii="Calibri" w:eastAsia="Times New Roman" w:hAnsi="Calibri" w:cs="Calibri"/>
                <w:sz w:val="16"/>
                <w:szCs w:val="16"/>
              </w:rPr>
              <w:t>Prava iz oblasti socijalne zaštite</w:t>
            </w:r>
          </w:p>
        </w:tc>
        <w:tc>
          <w:tcPr>
            <w:tcW w:w="439" w:type="pct"/>
            <w:tcBorders>
              <w:top w:val="nil"/>
              <w:left w:val="nil"/>
              <w:bottom w:val="nil"/>
              <w:right w:val="single" w:sz="4" w:space="0" w:color="auto"/>
            </w:tcBorders>
            <w:shd w:val="clear" w:color="000000" w:fill="FFFFFF"/>
            <w:noWrap/>
            <w:vAlign w:val="center"/>
            <w:hideMark/>
          </w:tcPr>
          <w:p w14:paraId="2ABBF006" w14:textId="77777777" w:rsidR="00052499" w:rsidRPr="00C17ACD" w:rsidRDefault="00052499" w:rsidP="00052499">
            <w:pPr>
              <w:spacing w:after="0" w:line="240" w:lineRule="auto"/>
              <w:jc w:val="right"/>
              <w:rPr>
                <w:rFonts w:ascii="Calibri" w:eastAsia="Times New Roman" w:hAnsi="Calibri" w:cs="Calibri"/>
                <w:sz w:val="16"/>
                <w:szCs w:val="16"/>
              </w:rPr>
            </w:pPr>
            <w:r w:rsidRPr="00C17ACD">
              <w:rPr>
                <w:rFonts w:ascii="Calibri" w:eastAsia="Times New Roman" w:hAnsi="Calibri" w:cs="Calibri"/>
                <w:sz w:val="16"/>
                <w:szCs w:val="16"/>
              </w:rPr>
              <w:t>207.35</w:t>
            </w:r>
          </w:p>
        </w:tc>
        <w:tc>
          <w:tcPr>
            <w:tcW w:w="300" w:type="pct"/>
            <w:tcBorders>
              <w:top w:val="nil"/>
              <w:left w:val="nil"/>
              <w:bottom w:val="nil"/>
              <w:right w:val="double" w:sz="6" w:space="0" w:color="auto"/>
            </w:tcBorders>
            <w:shd w:val="clear" w:color="000000" w:fill="FFFFFF"/>
            <w:noWrap/>
            <w:vAlign w:val="center"/>
            <w:hideMark/>
          </w:tcPr>
          <w:p w14:paraId="06F3F258"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3.2</w:t>
            </w:r>
          </w:p>
        </w:tc>
        <w:tc>
          <w:tcPr>
            <w:tcW w:w="477" w:type="pct"/>
            <w:tcBorders>
              <w:top w:val="nil"/>
              <w:left w:val="nil"/>
              <w:bottom w:val="nil"/>
              <w:right w:val="single" w:sz="4" w:space="0" w:color="auto"/>
            </w:tcBorders>
            <w:shd w:val="clear" w:color="000000" w:fill="FFFFFF"/>
            <w:noWrap/>
            <w:vAlign w:val="center"/>
            <w:hideMark/>
          </w:tcPr>
          <w:p w14:paraId="57A4DD7A" w14:textId="77777777" w:rsidR="00052499" w:rsidRPr="00C17ACD" w:rsidRDefault="00052499" w:rsidP="00052499">
            <w:pPr>
              <w:spacing w:after="0" w:line="240" w:lineRule="auto"/>
              <w:jc w:val="right"/>
              <w:rPr>
                <w:rFonts w:ascii="Calibri" w:eastAsia="Times New Roman" w:hAnsi="Calibri" w:cs="Calibri"/>
                <w:sz w:val="16"/>
                <w:szCs w:val="16"/>
              </w:rPr>
            </w:pPr>
            <w:r w:rsidRPr="00C17ACD">
              <w:rPr>
                <w:rFonts w:ascii="Calibri" w:eastAsia="Times New Roman" w:hAnsi="Calibri" w:cs="Calibri"/>
                <w:sz w:val="16"/>
                <w:szCs w:val="16"/>
              </w:rPr>
              <w:t>212.06</w:t>
            </w:r>
          </w:p>
        </w:tc>
        <w:tc>
          <w:tcPr>
            <w:tcW w:w="307" w:type="pct"/>
            <w:tcBorders>
              <w:top w:val="nil"/>
              <w:left w:val="nil"/>
              <w:bottom w:val="nil"/>
              <w:right w:val="double" w:sz="6" w:space="0" w:color="auto"/>
            </w:tcBorders>
            <w:shd w:val="clear" w:color="000000" w:fill="FFFFFF"/>
            <w:noWrap/>
            <w:vAlign w:val="center"/>
            <w:hideMark/>
          </w:tcPr>
          <w:p w14:paraId="6AD18468"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3.0</w:t>
            </w:r>
          </w:p>
        </w:tc>
        <w:tc>
          <w:tcPr>
            <w:tcW w:w="452" w:type="pct"/>
            <w:tcBorders>
              <w:top w:val="nil"/>
              <w:left w:val="nil"/>
              <w:bottom w:val="nil"/>
              <w:right w:val="single" w:sz="4" w:space="0" w:color="auto"/>
            </w:tcBorders>
            <w:shd w:val="clear" w:color="000000" w:fill="FFFFFF"/>
            <w:noWrap/>
            <w:vAlign w:val="center"/>
            <w:hideMark/>
          </w:tcPr>
          <w:p w14:paraId="02D189FD" w14:textId="77777777" w:rsidR="00052499" w:rsidRPr="00C17ACD" w:rsidRDefault="00052499" w:rsidP="00052499">
            <w:pPr>
              <w:spacing w:after="0" w:line="240" w:lineRule="auto"/>
              <w:jc w:val="right"/>
              <w:rPr>
                <w:rFonts w:ascii="Calibri" w:eastAsia="Times New Roman" w:hAnsi="Calibri" w:cs="Calibri"/>
                <w:sz w:val="16"/>
                <w:szCs w:val="16"/>
              </w:rPr>
            </w:pPr>
            <w:r w:rsidRPr="00C17ACD">
              <w:rPr>
                <w:rFonts w:ascii="Calibri" w:eastAsia="Times New Roman" w:hAnsi="Calibri" w:cs="Calibri"/>
                <w:sz w:val="16"/>
                <w:szCs w:val="16"/>
              </w:rPr>
              <w:t>222.54</w:t>
            </w:r>
          </w:p>
        </w:tc>
        <w:tc>
          <w:tcPr>
            <w:tcW w:w="308" w:type="pct"/>
            <w:tcBorders>
              <w:top w:val="nil"/>
              <w:left w:val="nil"/>
              <w:bottom w:val="nil"/>
              <w:right w:val="double" w:sz="6" w:space="0" w:color="auto"/>
            </w:tcBorders>
            <w:shd w:val="clear" w:color="000000" w:fill="FFFFFF"/>
            <w:noWrap/>
            <w:vAlign w:val="center"/>
            <w:hideMark/>
          </w:tcPr>
          <w:p w14:paraId="3BA75A4B"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3.0</w:t>
            </w:r>
          </w:p>
        </w:tc>
        <w:tc>
          <w:tcPr>
            <w:tcW w:w="436" w:type="pct"/>
            <w:tcBorders>
              <w:top w:val="nil"/>
              <w:left w:val="nil"/>
              <w:bottom w:val="nil"/>
              <w:right w:val="single" w:sz="4" w:space="0" w:color="auto"/>
            </w:tcBorders>
            <w:shd w:val="clear" w:color="000000" w:fill="FFFFFF"/>
            <w:noWrap/>
            <w:vAlign w:val="center"/>
            <w:hideMark/>
          </w:tcPr>
          <w:p w14:paraId="1E3FCF9C" w14:textId="77777777" w:rsidR="00052499" w:rsidRPr="00C17ACD" w:rsidRDefault="00052499" w:rsidP="00052499">
            <w:pPr>
              <w:spacing w:after="0" w:line="240" w:lineRule="auto"/>
              <w:jc w:val="right"/>
              <w:rPr>
                <w:rFonts w:ascii="Calibri" w:eastAsia="Times New Roman" w:hAnsi="Calibri" w:cs="Calibri"/>
                <w:sz w:val="16"/>
                <w:szCs w:val="16"/>
              </w:rPr>
            </w:pPr>
            <w:r w:rsidRPr="00C17ACD">
              <w:rPr>
                <w:rFonts w:ascii="Calibri" w:eastAsia="Times New Roman" w:hAnsi="Calibri" w:cs="Calibri"/>
                <w:sz w:val="16"/>
                <w:szCs w:val="16"/>
              </w:rPr>
              <w:t>226.73</w:t>
            </w:r>
          </w:p>
        </w:tc>
        <w:tc>
          <w:tcPr>
            <w:tcW w:w="306" w:type="pct"/>
            <w:tcBorders>
              <w:top w:val="nil"/>
              <w:left w:val="nil"/>
              <w:bottom w:val="nil"/>
              <w:right w:val="double" w:sz="6" w:space="0" w:color="auto"/>
            </w:tcBorders>
            <w:shd w:val="clear" w:color="000000" w:fill="FFFFFF"/>
            <w:noWrap/>
            <w:vAlign w:val="center"/>
            <w:hideMark/>
          </w:tcPr>
          <w:p w14:paraId="110C4E6B"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2.9</w:t>
            </w:r>
          </w:p>
        </w:tc>
      </w:tr>
      <w:tr w:rsidR="00052499" w:rsidRPr="00C17ACD" w14:paraId="67769D9E" w14:textId="77777777" w:rsidTr="00052499">
        <w:trPr>
          <w:trHeight w:hRule="exact" w:val="198"/>
        </w:trPr>
        <w:tc>
          <w:tcPr>
            <w:tcW w:w="1974" w:type="pct"/>
            <w:tcBorders>
              <w:top w:val="nil"/>
              <w:left w:val="double" w:sz="6" w:space="0" w:color="auto"/>
              <w:bottom w:val="nil"/>
              <w:right w:val="nil"/>
            </w:tcBorders>
            <w:shd w:val="clear" w:color="000000" w:fill="FFFFFF"/>
            <w:noWrap/>
            <w:vAlign w:val="center"/>
            <w:hideMark/>
          </w:tcPr>
          <w:p w14:paraId="6507971A" w14:textId="77777777" w:rsidR="00052499" w:rsidRPr="00C17ACD" w:rsidRDefault="00052499" w:rsidP="00052499">
            <w:pPr>
              <w:spacing w:after="0" w:line="240" w:lineRule="auto"/>
              <w:rPr>
                <w:rFonts w:ascii="Calibri" w:eastAsia="Times New Roman" w:hAnsi="Calibri" w:cs="Calibri"/>
                <w:sz w:val="16"/>
                <w:szCs w:val="16"/>
              </w:rPr>
            </w:pPr>
            <w:r w:rsidRPr="00C17ACD">
              <w:rPr>
                <w:rFonts w:ascii="Calibri" w:eastAsia="Times New Roman" w:hAnsi="Calibri" w:cs="Calibri"/>
                <w:sz w:val="16"/>
                <w:szCs w:val="16"/>
              </w:rPr>
              <w:t>Sredstva za tehnološke viškove</w:t>
            </w:r>
          </w:p>
        </w:tc>
        <w:tc>
          <w:tcPr>
            <w:tcW w:w="439" w:type="pct"/>
            <w:tcBorders>
              <w:top w:val="nil"/>
              <w:left w:val="nil"/>
              <w:bottom w:val="nil"/>
              <w:right w:val="single" w:sz="4" w:space="0" w:color="auto"/>
            </w:tcBorders>
            <w:shd w:val="clear" w:color="000000" w:fill="FFFFFF"/>
            <w:noWrap/>
            <w:vAlign w:val="center"/>
            <w:hideMark/>
          </w:tcPr>
          <w:p w14:paraId="6F3CB302" w14:textId="77777777" w:rsidR="00052499" w:rsidRPr="00C17ACD" w:rsidRDefault="00052499" w:rsidP="00052499">
            <w:pPr>
              <w:spacing w:after="0" w:line="240" w:lineRule="auto"/>
              <w:jc w:val="right"/>
              <w:rPr>
                <w:rFonts w:ascii="Calibri" w:eastAsia="Times New Roman" w:hAnsi="Calibri" w:cs="Calibri"/>
                <w:sz w:val="16"/>
                <w:szCs w:val="16"/>
              </w:rPr>
            </w:pPr>
            <w:r w:rsidRPr="00C17ACD">
              <w:rPr>
                <w:rFonts w:ascii="Calibri" w:eastAsia="Times New Roman" w:hAnsi="Calibri" w:cs="Calibri"/>
                <w:sz w:val="16"/>
                <w:szCs w:val="16"/>
              </w:rPr>
              <w:t>28.61</w:t>
            </w:r>
          </w:p>
        </w:tc>
        <w:tc>
          <w:tcPr>
            <w:tcW w:w="300" w:type="pct"/>
            <w:tcBorders>
              <w:top w:val="nil"/>
              <w:left w:val="nil"/>
              <w:bottom w:val="nil"/>
              <w:right w:val="double" w:sz="6" w:space="0" w:color="auto"/>
            </w:tcBorders>
            <w:shd w:val="clear" w:color="000000" w:fill="FFFFFF"/>
            <w:noWrap/>
            <w:vAlign w:val="center"/>
            <w:hideMark/>
          </w:tcPr>
          <w:p w14:paraId="06AC4985"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0.4</w:t>
            </w:r>
          </w:p>
        </w:tc>
        <w:tc>
          <w:tcPr>
            <w:tcW w:w="477" w:type="pct"/>
            <w:tcBorders>
              <w:top w:val="nil"/>
              <w:left w:val="nil"/>
              <w:bottom w:val="nil"/>
              <w:right w:val="single" w:sz="4" w:space="0" w:color="auto"/>
            </w:tcBorders>
            <w:shd w:val="clear" w:color="000000" w:fill="FFFFFF"/>
            <w:noWrap/>
            <w:vAlign w:val="center"/>
            <w:hideMark/>
          </w:tcPr>
          <w:p w14:paraId="1A8D151D" w14:textId="77777777" w:rsidR="00052499" w:rsidRPr="00C17ACD" w:rsidRDefault="00052499" w:rsidP="00052499">
            <w:pPr>
              <w:spacing w:after="0" w:line="240" w:lineRule="auto"/>
              <w:jc w:val="right"/>
              <w:rPr>
                <w:rFonts w:ascii="Calibri" w:eastAsia="Times New Roman" w:hAnsi="Calibri" w:cs="Calibri"/>
                <w:sz w:val="16"/>
                <w:szCs w:val="16"/>
              </w:rPr>
            </w:pPr>
            <w:r w:rsidRPr="00C17ACD">
              <w:rPr>
                <w:rFonts w:ascii="Calibri" w:eastAsia="Times New Roman" w:hAnsi="Calibri" w:cs="Calibri"/>
                <w:sz w:val="16"/>
                <w:szCs w:val="16"/>
              </w:rPr>
              <w:t>25.11</w:t>
            </w:r>
          </w:p>
        </w:tc>
        <w:tc>
          <w:tcPr>
            <w:tcW w:w="307" w:type="pct"/>
            <w:tcBorders>
              <w:top w:val="nil"/>
              <w:left w:val="nil"/>
              <w:bottom w:val="nil"/>
              <w:right w:val="double" w:sz="6" w:space="0" w:color="auto"/>
            </w:tcBorders>
            <w:shd w:val="clear" w:color="000000" w:fill="FFFFFF"/>
            <w:noWrap/>
            <w:vAlign w:val="center"/>
            <w:hideMark/>
          </w:tcPr>
          <w:p w14:paraId="316FA9F1"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0.4</w:t>
            </w:r>
          </w:p>
        </w:tc>
        <w:tc>
          <w:tcPr>
            <w:tcW w:w="452" w:type="pct"/>
            <w:tcBorders>
              <w:top w:val="nil"/>
              <w:left w:val="nil"/>
              <w:bottom w:val="nil"/>
              <w:right w:val="single" w:sz="4" w:space="0" w:color="auto"/>
            </w:tcBorders>
            <w:shd w:val="clear" w:color="000000" w:fill="FFFFFF"/>
            <w:noWrap/>
            <w:vAlign w:val="center"/>
            <w:hideMark/>
          </w:tcPr>
          <w:p w14:paraId="23D74311" w14:textId="77777777" w:rsidR="00052499" w:rsidRPr="00C17ACD" w:rsidRDefault="00052499" w:rsidP="00052499">
            <w:pPr>
              <w:spacing w:after="0" w:line="240" w:lineRule="auto"/>
              <w:jc w:val="right"/>
              <w:rPr>
                <w:rFonts w:ascii="Calibri" w:eastAsia="Times New Roman" w:hAnsi="Calibri" w:cs="Calibri"/>
                <w:sz w:val="16"/>
                <w:szCs w:val="16"/>
              </w:rPr>
            </w:pPr>
            <w:r w:rsidRPr="00C17ACD">
              <w:rPr>
                <w:rFonts w:ascii="Calibri" w:eastAsia="Times New Roman" w:hAnsi="Calibri" w:cs="Calibri"/>
                <w:sz w:val="16"/>
                <w:szCs w:val="16"/>
              </w:rPr>
              <w:t>25.11</w:t>
            </w:r>
          </w:p>
        </w:tc>
        <w:tc>
          <w:tcPr>
            <w:tcW w:w="308" w:type="pct"/>
            <w:tcBorders>
              <w:top w:val="nil"/>
              <w:left w:val="nil"/>
              <w:bottom w:val="nil"/>
              <w:right w:val="double" w:sz="6" w:space="0" w:color="auto"/>
            </w:tcBorders>
            <w:shd w:val="clear" w:color="000000" w:fill="FFFFFF"/>
            <w:noWrap/>
            <w:vAlign w:val="center"/>
            <w:hideMark/>
          </w:tcPr>
          <w:p w14:paraId="1434A5B7"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0.3</w:t>
            </w:r>
          </w:p>
        </w:tc>
        <w:tc>
          <w:tcPr>
            <w:tcW w:w="436" w:type="pct"/>
            <w:tcBorders>
              <w:top w:val="nil"/>
              <w:left w:val="nil"/>
              <w:bottom w:val="nil"/>
              <w:right w:val="single" w:sz="4" w:space="0" w:color="auto"/>
            </w:tcBorders>
            <w:shd w:val="clear" w:color="000000" w:fill="FFFFFF"/>
            <w:noWrap/>
            <w:vAlign w:val="center"/>
            <w:hideMark/>
          </w:tcPr>
          <w:p w14:paraId="42C61C58" w14:textId="77777777" w:rsidR="00052499" w:rsidRPr="00C17ACD" w:rsidRDefault="00052499" w:rsidP="00052499">
            <w:pPr>
              <w:spacing w:after="0" w:line="240" w:lineRule="auto"/>
              <w:jc w:val="right"/>
              <w:rPr>
                <w:rFonts w:ascii="Calibri" w:eastAsia="Times New Roman" w:hAnsi="Calibri" w:cs="Calibri"/>
                <w:sz w:val="16"/>
                <w:szCs w:val="16"/>
              </w:rPr>
            </w:pPr>
            <w:r w:rsidRPr="00C17ACD">
              <w:rPr>
                <w:rFonts w:ascii="Calibri" w:eastAsia="Times New Roman" w:hAnsi="Calibri" w:cs="Calibri"/>
                <w:sz w:val="16"/>
                <w:szCs w:val="16"/>
              </w:rPr>
              <w:t>25.11</w:t>
            </w:r>
          </w:p>
        </w:tc>
        <w:tc>
          <w:tcPr>
            <w:tcW w:w="306" w:type="pct"/>
            <w:tcBorders>
              <w:top w:val="nil"/>
              <w:left w:val="nil"/>
              <w:bottom w:val="nil"/>
              <w:right w:val="double" w:sz="6" w:space="0" w:color="auto"/>
            </w:tcBorders>
            <w:shd w:val="clear" w:color="000000" w:fill="FFFFFF"/>
            <w:noWrap/>
            <w:vAlign w:val="center"/>
            <w:hideMark/>
          </w:tcPr>
          <w:p w14:paraId="453A4505"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0.3</w:t>
            </w:r>
          </w:p>
        </w:tc>
      </w:tr>
      <w:tr w:rsidR="00052499" w:rsidRPr="00C17ACD" w14:paraId="372642AD" w14:textId="77777777" w:rsidTr="00052499">
        <w:trPr>
          <w:trHeight w:hRule="exact" w:val="198"/>
        </w:trPr>
        <w:tc>
          <w:tcPr>
            <w:tcW w:w="1974" w:type="pct"/>
            <w:tcBorders>
              <w:top w:val="nil"/>
              <w:left w:val="double" w:sz="6" w:space="0" w:color="auto"/>
              <w:bottom w:val="nil"/>
              <w:right w:val="nil"/>
            </w:tcBorders>
            <w:shd w:val="clear" w:color="000000" w:fill="FFFFFF"/>
            <w:noWrap/>
            <w:vAlign w:val="center"/>
            <w:hideMark/>
          </w:tcPr>
          <w:p w14:paraId="4C899735" w14:textId="77777777" w:rsidR="00052499" w:rsidRPr="00C17ACD" w:rsidRDefault="00052499" w:rsidP="00052499">
            <w:pPr>
              <w:spacing w:after="0" w:line="240" w:lineRule="auto"/>
              <w:rPr>
                <w:rFonts w:ascii="Calibri" w:eastAsia="Times New Roman" w:hAnsi="Calibri" w:cs="Calibri"/>
                <w:sz w:val="16"/>
                <w:szCs w:val="16"/>
              </w:rPr>
            </w:pPr>
            <w:r w:rsidRPr="00C17ACD">
              <w:rPr>
                <w:rFonts w:ascii="Calibri" w:eastAsia="Times New Roman" w:hAnsi="Calibri" w:cs="Calibri"/>
                <w:sz w:val="16"/>
                <w:szCs w:val="16"/>
              </w:rPr>
              <w:t>Prava iz oblasti penzijskog i invalidskog osiguranja</w:t>
            </w:r>
          </w:p>
        </w:tc>
        <w:tc>
          <w:tcPr>
            <w:tcW w:w="439" w:type="pct"/>
            <w:tcBorders>
              <w:top w:val="nil"/>
              <w:left w:val="nil"/>
              <w:bottom w:val="nil"/>
              <w:right w:val="single" w:sz="4" w:space="0" w:color="auto"/>
            </w:tcBorders>
            <w:shd w:val="clear" w:color="000000" w:fill="FFFFFF"/>
            <w:noWrap/>
            <w:vAlign w:val="center"/>
            <w:hideMark/>
          </w:tcPr>
          <w:p w14:paraId="557A99CE" w14:textId="77777777" w:rsidR="00052499" w:rsidRPr="00C17ACD" w:rsidRDefault="00052499" w:rsidP="00052499">
            <w:pPr>
              <w:spacing w:after="0" w:line="240" w:lineRule="auto"/>
              <w:jc w:val="right"/>
              <w:rPr>
                <w:rFonts w:ascii="Calibri" w:eastAsia="Times New Roman" w:hAnsi="Calibri" w:cs="Calibri"/>
                <w:sz w:val="16"/>
                <w:szCs w:val="16"/>
              </w:rPr>
            </w:pPr>
            <w:r w:rsidRPr="00C17ACD">
              <w:rPr>
                <w:rFonts w:ascii="Calibri" w:eastAsia="Times New Roman" w:hAnsi="Calibri" w:cs="Calibri"/>
                <w:sz w:val="16"/>
                <w:szCs w:val="16"/>
              </w:rPr>
              <w:t>567.40</w:t>
            </w:r>
          </w:p>
        </w:tc>
        <w:tc>
          <w:tcPr>
            <w:tcW w:w="300" w:type="pct"/>
            <w:tcBorders>
              <w:top w:val="nil"/>
              <w:left w:val="nil"/>
              <w:bottom w:val="nil"/>
              <w:right w:val="double" w:sz="6" w:space="0" w:color="auto"/>
            </w:tcBorders>
            <w:shd w:val="clear" w:color="000000" w:fill="FFFFFF"/>
            <w:noWrap/>
            <w:vAlign w:val="center"/>
            <w:hideMark/>
          </w:tcPr>
          <w:p w14:paraId="5B6B4D99"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8.8</w:t>
            </w:r>
          </w:p>
        </w:tc>
        <w:tc>
          <w:tcPr>
            <w:tcW w:w="477" w:type="pct"/>
            <w:tcBorders>
              <w:top w:val="nil"/>
              <w:left w:val="nil"/>
              <w:bottom w:val="nil"/>
              <w:right w:val="single" w:sz="4" w:space="0" w:color="auto"/>
            </w:tcBorders>
            <w:shd w:val="clear" w:color="000000" w:fill="FFFFFF"/>
            <w:noWrap/>
            <w:vAlign w:val="center"/>
            <w:hideMark/>
          </w:tcPr>
          <w:p w14:paraId="3E8CD7A6" w14:textId="77777777" w:rsidR="00052499" w:rsidRPr="00C17ACD" w:rsidRDefault="00052499" w:rsidP="00052499">
            <w:pPr>
              <w:spacing w:after="0" w:line="240" w:lineRule="auto"/>
              <w:jc w:val="right"/>
              <w:rPr>
                <w:rFonts w:ascii="Calibri" w:eastAsia="Times New Roman" w:hAnsi="Calibri" w:cs="Calibri"/>
                <w:sz w:val="16"/>
                <w:szCs w:val="16"/>
              </w:rPr>
            </w:pPr>
            <w:r w:rsidRPr="00C17ACD">
              <w:rPr>
                <w:rFonts w:ascii="Calibri" w:eastAsia="Times New Roman" w:hAnsi="Calibri" w:cs="Calibri"/>
                <w:sz w:val="16"/>
                <w:szCs w:val="16"/>
              </w:rPr>
              <w:t>737.19</w:t>
            </w:r>
          </w:p>
        </w:tc>
        <w:tc>
          <w:tcPr>
            <w:tcW w:w="307" w:type="pct"/>
            <w:tcBorders>
              <w:top w:val="nil"/>
              <w:left w:val="nil"/>
              <w:bottom w:val="nil"/>
              <w:right w:val="double" w:sz="6" w:space="0" w:color="auto"/>
            </w:tcBorders>
            <w:shd w:val="clear" w:color="000000" w:fill="FFFFFF"/>
            <w:noWrap/>
            <w:vAlign w:val="center"/>
            <w:hideMark/>
          </w:tcPr>
          <w:p w14:paraId="3C39D8D1"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10.5</w:t>
            </w:r>
          </w:p>
        </w:tc>
        <w:tc>
          <w:tcPr>
            <w:tcW w:w="452" w:type="pct"/>
            <w:tcBorders>
              <w:top w:val="nil"/>
              <w:left w:val="nil"/>
              <w:bottom w:val="nil"/>
              <w:right w:val="single" w:sz="4" w:space="0" w:color="auto"/>
            </w:tcBorders>
            <w:shd w:val="clear" w:color="000000" w:fill="FFFFFF"/>
            <w:noWrap/>
            <w:vAlign w:val="center"/>
            <w:hideMark/>
          </w:tcPr>
          <w:p w14:paraId="123F97C8" w14:textId="77777777" w:rsidR="00052499" w:rsidRPr="00C17ACD" w:rsidRDefault="00052499" w:rsidP="00052499">
            <w:pPr>
              <w:spacing w:after="0" w:line="240" w:lineRule="auto"/>
              <w:jc w:val="right"/>
              <w:rPr>
                <w:rFonts w:ascii="Calibri" w:eastAsia="Times New Roman" w:hAnsi="Calibri" w:cs="Calibri"/>
                <w:sz w:val="16"/>
                <w:szCs w:val="16"/>
              </w:rPr>
            </w:pPr>
            <w:r w:rsidRPr="00C17ACD">
              <w:rPr>
                <w:rFonts w:ascii="Calibri" w:eastAsia="Times New Roman" w:hAnsi="Calibri" w:cs="Calibri"/>
                <w:sz w:val="16"/>
                <w:szCs w:val="16"/>
              </w:rPr>
              <w:t>777.19</w:t>
            </w:r>
          </w:p>
        </w:tc>
        <w:tc>
          <w:tcPr>
            <w:tcW w:w="308" w:type="pct"/>
            <w:tcBorders>
              <w:top w:val="nil"/>
              <w:left w:val="nil"/>
              <w:bottom w:val="nil"/>
              <w:right w:val="double" w:sz="6" w:space="0" w:color="auto"/>
            </w:tcBorders>
            <w:shd w:val="clear" w:color="000000" w:fill="FFFFFF"/>
            <w:noWrap/>
            <w:vAlign w:val="center"/>
            <w:hideMark/>
          </w:tcPr>
          <w:p w14:paraId="2CAE7C92"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10.5</w:t>
            </w:r>
          </w:p>
        </w:tc>
        <w:tc>
          <w:tcPr>
            <w:tcW w:w="436" w:type="pct"/>
            <w:tcBorders>
              <w:top w:val="nil"/>
              <w:left w:val="nil"/>
              <w:bottom w:val="nil"/>
              <w:right w:val="single" w:sz="4" w:space="0" w:color="auto"/>
            </w:tcBorders>
            <w:shd w:val="clear" w:color="000000" w:fill="FFFFFF"/>
            <w:noWrap/>
            <w:vAlign w:val="center"/>
            <w:hideMark/>
          </w:tcPr>
          <w:p w14:paraId="3CEDA742" w14:textId="77777777" w:rsidR="00052499" w:rsidRPr="00C17ACD" w:rsidRDefault="00052499" w:rsidP="00052499">
            <w:pPr>
              <w:spacing w:after="0" w:line="240" w:lineRule="auto"/>
              <w:jc w:val="right"/>
              <w:rPr>
                <w:rFonts w:ascii="Calibri" w:eastAsia="Times New Roman" w:hAnsi="Calibri" w:cs="Calibri"/>
                <w:sz w:val="16"/>
                <w:szCs w:val="16"/>
              </w:rPr>
            </w:pPr>
            <w:r w:rsidRPr="00C17ACD">
              <w:rPr>
                <w:rFonts w:ascii="Calibri" w:eastAsia="Times New Roman" w:hAnsi="Calibri" w:cs="Calibri"/>
                <w:sz w:val="16"/>
                <w:szCs w:val="16"/>
              </w:rPr>
              <w:t>817.19</w:t>
            </w:r>
          </w:p>
        </w:tc>
        <w:tc>
          <w:tcPr>
            <w:tcW w:w="306" w:type="pct"/>
            <w:tcBorders>
              <w:top w:val="nil"/>
              <w:left w:val="nil"/>
              <w:bottom w:val="nil"/>
              <w:right w:val="double" w:sz="6" w:space="0" w:color="auto"/>
            </w:tcBorders>
            <w:shd w:val="clear" w:color="000000" w:fill="FFFFFF"/>
            <w:noWrap/>
            <w:vAlign w:val="center"/>
            <w:hideMark/>
          </w:tcPr>
          <w:p w14:paraId="04366DFD"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10.5</w:t>
            </w:r>
          </w:p>
        </w:tc>
      </w:tr>
      <w:tr w:rsidR="00052499" w:rsidRPr="00C17ACD" w14:paraId="3953348A" w14:textId="77777777" w:rsidTr="00052499">
        <w:trPr>
          <w:trHeight w:hRule="exact" w:val="198"/>
        </w:trPr>
        <w:tc>
          <w:tcPr>
            <w:tcW w:w="1974" w:type="pct"/>
            <w:tcBorders>
              <w:top w:val="nil"/>
              <w:left w:val="double" w:sz="6" w:space="0" w:color="auto"/>
              <w:bottom w:val="nil"/>
              <w:right w:val="nil"/>
            </w:tcBorders>
            <w:shd w:val="clear" w:color="000000" w:fill="FFFFFF"/>
            <w:noWrap/>
            <w:vAlign w:val="center"/>
            <w:hideMark/>
          </w:tcPr>
          <w:p w14:paraId="51D8B06D" w14:textId="77777777" w:rsidR="00052499" w:rsidRPr="00C17ACD" w:rsidRDefault="00052499" w:rsidP="00052499">
            <w:pPr>
              <w:spacing w:after="0" w:line="240" w:lineRule="auto"/>
              <w:rPr>
                <w:rFonts w:ascii="Calibri" w:eastAsia="Times New Roman" w:hAnsi="Calibri" w:cs="Calibri"/>
                <w:sz w:val="16"/>
                <w:szCs w:val="16"/>
              </w:rPr>
            </w:pPr>
            <w:r w:rsidRPr="00C17ACD">
              <w:rPr>
                <w:rFonts w:ascii="Calibri" w:eastAsia="Times New Roman" w:hAnsi="Calibri" w:cs="Calibri"/>
                <w:sz w:val="16"/>
                <w:szCs w:val="16"/>
              </w:rPr>
              <w:t>Ostala prava iz oblasti zdravstvene zaštite</w:t>
            </w:r>
          </w:p>
        </w:tc>
        <w:tc>
          <w:tcPr>
            <w:tcW w:w="439" w:type="pct"/>
            <w:tcBorders>
              <w:top w:val="nil"/>
              <w:left w:val="nil"/>
              <w:bottom w:val="nil"/>
              <w:right w:val="single" w:sz="4" w:space="0" w:color="auto"/>
            </w:tcBorders>
            <w:shd w:val="clear" w:color="000000" w:fill="FFFFFF"/>
            <w:noWrap/>
            <w:vAlign w:val="center"/>
            <w:hideMark/>
          </w:tcPr>
          <w:p w14:paraId="00F52DAD" w14:textId="77777777" w:rsidR="00052499" w:rsidRPr="00C17ACD" w:rsidRDefault="00052499" w:rsidP="00052499">
            <w:pPr>
              <w:spacing w:after="0" w:line="240" w:lineRule="auto"/>
              <w:jc w:val="right"/>
              <w:rPr>
                <w:rFonts w:ascii="Calibri" w:eastAsia="Times New Roman" w:hAnsi="Calibri" w:cs="Calibri"/>
                <w:sz w:val="16"/>
                <w:szCs w:val="16"/>
              </w:rPr>
            </w:pPr>
            <w:r w:rsidRPr="00C17ACD">
              <w:rPr>
                <w:rFonts w:ascii="Calibri" w:eastAsia="Times New Roman" w:hAnsi="Calibri" w:cs="Calibri"/>
                <w:sz w:val="16"/>
                <w:szCs w:val="16"/>
              </w:rPr>
              <w:t>21.85</w:t>
            </w:r>
          </w:p>
        </w:tc>
        <w:tc>
          <w:tcPr>
            <w:tcW w:w="300" w:type="pct"/>
            <w:tcBorders>
              <w:top w:val="nil"/>
              <w:left w:val="nil"/>
              <w:bottom w:val="nil"/>
              <w:right w:val="double" w:sz="6" w:space="0" w:color="auto"/>
            </w:tcBorders>
            <w:shd w:val="clear" w:color="000000" w:fill="FFFFFF"/>
            <w:noWrap/>
            <w:vAlign w:val="center"/>
            <w:hideMark/>
          </w:tcPr>
          <w:p w14:paraId="58E604C9"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0.3</w:t>
            </w:r>
          </w:p>
        </w:tc>
        <w:tc>
          <w:tcPr>
            <w:tcW w:w="477" w:type="pct"/>
            <w:tcBorders>
              <w:top w:val="nil"/>
              <w:left w:val="nil"/>
              <w:bottom w:val="nil"/>
              <w:right w:val="single" w:sz="4" w:space="0" w:color="auto"/>
            </w:tcBorders>
            <w:shd w:val="clear" w:color="000000" w:fill="FFFFFF"/>
            <w:noWrap/>
            <w:vAlign w:val="center"/>
            <w:hideMark/>
          </w:tcPr>
          <w:p w14:paraId="0B52830B" w14:textId="77777777" w:rsidR="00052499" w:rsidRPr="00C17ACD" w:rsidRDefault="00052499" w:rsidP="00052499">
            <w:pPr>
              <w:spacing w:after="0" w:line="240" w:lineRule="auto"/>
              <w:jc w:val="right"/>
              <w:rPr>
                <w:rFonts w:ascii="Calibri" w:eastAsia="Times New Roman" w:hAnsi="Calibri" w:cs="Calibri"/>
                <w:sz w:val="16"/>
                <w:szCs w:val="16"/>
              </w:rPr>
            </w:pPr>
            <w:r w:rsidRPr="00C17ACD">
              <w:rPr>
                <w:rFonts w:ascii="Calibri" w:eastAsia="Times New Roman" w:hAnsi="Calibri" w:cs="Calibri"/>
                <w:sz w:val="16"/>
                <w:szCs w:val="16"/>
              </w:rPr>
              <w:t>21.06</w:t>
            </w:r>
          </w:p>
        </w:tc>
        <w:tc>
          <w:tcPr>
            <w:tcW w:w="307" w:type="pct"/>
            <w:tcBorders>
              <w:top w:val="nil"/>
              <w:left w:val="nil"/>
              <w:bottom w:val="nil"/>
              <w:right w:val="double" w:sz="6" w:space="0" w:color="auto"/>
            </w:tcBorders>
            <w:shd w:val="clear" w:color="000000" w:fill="FFFFFF"/>
            <w:noWrap/>
            <w:vAlign w:val="center"/>
            <w:hideMark/>
          </w:tcPr>
          <w:p w14:paraId="7779EAC6"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0.3</w:t>
            </w:r>
          </w:p>
        </w:tc>
        <w:tc>
          <w:tcPr>
            <w:tcW w:w="452" w:type="pct"/>
            <w:tcBorders>
              <w:top w:val="nil"/>
              <w:left w:val="nil"/>
              <w:bottom w:val="nil"/>
              <w:right w:val="single" w:sz="4" w:space="0" w:color="auto"/>
            </w:tcBorders>
            <w:shd w:val="clear" w:color="000000" w:fill="FFFFFF"/>
            <w:noWrap/>
            <w:vAlign w:val="center"/>
            <w:hideMark/>
          </w:tcPr>
          <w:p w14:paraId="1B30AD76" w14:textId="77777777" w:rsidR="00052499" w:rsidRPr="00C17ACD" w:rsidRDefault="00052499" w:rsidP="00052499">
            <w:pPr>
              <w:spacing w:after="0" w:line="240" w:lineRule="auto"/>
              <w:jc w:val="right"/>
              <w:rPr>
                <w:rFonts w:ascii="Calibri" w:eastAsia="Times New Roman" w:hAnsi="Calibri" w:cs="Calibri"/>
                <w:sz w:val="16"/>
                <w:szCs w:val="16"/>
              </w:rPr>
            </w:pPr>
            <w:r w:rsidRPr="00C17ACD">
              <w:rPr>
                <w:rFonts w:ascii="Calibri" w:eastAsia="Times New Roman" w:hAnsi="Calibri" w:cs="Calibri"/>
                <w:sz w:val="16"/>
                <w:szCs w:val="16"/>
              </w:rPr>
              <w:t>21.06</w:t>
            </w:r>
          </w:p>
        </w:tc>
        <w:tc>
          <w:tcPr>
            <w:tcW w:w="308" w:type="pct"/>
            <w:tcBorders>
              <w:top w:val="nil"/>
              <w:left w:val="nil"/>
              <w:bottom w:val="nil"/>
              <w:right w:val="double" w:sz="6" w:space="0" w:color="auto"/>
            </w:tcBorders>
            <w:shd w:val="clear" w:color="000000" w:fill="FFFFFF"/>
            <w:noWrap/>
            <w:vAlign w:val="center"/>
            <w:hideMark/>
          </w:tcPr>
          <w:p w14:paraId="357B4157"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0.3</w:t>
            </w:r>
          </w:p>
        </w:tc>
        <w:tc>
          <w:tcPr>
            <w:tcW w:w="436" w:type="pct"/>
            <w:tcBorders>
              <w:top w:val="nil"/>
              <w:left w:val="nil"/>
              <w:bottom w:val="nil"/>
              <w:right w:val="single" w:sz="4" w:space="0" w:color="auto"/>
            </w:tcBorders>
            <w:shd w:val="clear" w:color="000000" w:fill="FFFFFF"/>
            <w:noWrap/>
            <w:vAlign w:val="center"/>
            <w:hideMark/>
          </w:tcPr>
          <w:p w14:paraId="5486664B" w14:textId="77777777" w:rsidR="00052499" w:rsidRPr="00C17ACD" w:rsidRDefault="00052499" w:rsidP="00052499">
            <w:pPr>
              <w:spacing w:after="0" w:line="240" w:lineRule="auto"/>
              <w:jc w:val="right"/>
              <w:rPr>
                <w:rFonts w:ascii="Calibri" w:eastAsia="Times New Roman" w:hAnsi="Calibri" w:cs="Calibri"/>
                <w:sz w:val="16"/>
                <w:szCs w:val="16"/>
              </w:rPr>
            </w:pPr>
            <w:r w:rsidRPr="00C17ACD">
              <w:rPr>
                <w:rFonts w:ascii="Calibri" w:eastAsia="Times New Roman" w:hAnsi="Calibri" w:cs="Calibri"/>
                <w:sz w:val="16"/>
                <w:szCs w:val="16"/>
              </w:rPr>
              <w:t>21.06</w:t>
            </w:r>
          </w:p>
        </w:tc>
        <w:tc>
          <w:tcPr>
            <w:tcW w:w="306" w:type="pct"/>
            <w:tcBorders>
              <w:top w:val="nil"/>
              <w:left w:val="nil"/>
              <w:bottom w:val="nil"/>
              <w:right w:val="double" w:sz="6" w:space="0" w:color="auto"/>
            </w:tcBorders>
            <w:shd w:val="clear" w:color="000000" w:fill="FFFFFF"/>
            <w:noWrap/>
            <w:vAlign w:val="center"/>
            <w:hideMark/>
          </w:tcPr>
          <w:p w14:paraId="430F3439"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0.3</w:t>
            </w:r>
          </w:p>
        </w:tc>
      </w:tr>
      <w:tr w:rsidR="00052499" w:rsidRPr="00C17ACD" w14:paraId="3C284344" w14:textId="77777777" w:rsidTr="00052499">
        <w:trPr>
          <w:trHeight w:hRule="exact" w:val="198"/>
        </w:trPr>
        <w:tc>
          <w:tcPr>
            <w:tcW w:w="1974" w:type="pct"/>
            <w:tcBorders>
              <w:top w:val="nil"/>
              <w:left w:val="double" w:sz="6" w:space="0" w:color="auto"/>
              <w:bottom w:val="nil"/>
              <w:right w:val="nil"/>
            </w:tcBorders>
            <w:shd w:val="clear" w:color="000000" w:fill="FFFFFF"/>
            <w:noWrap/>
            <w:vAlign w:val="center"/>
            <w:hideMark/>
          </w:tcPr>
          <w:p w14:paraId="48137710" w14:textId="77777777" w:rsidR="00052499" w:rsidRPr="00C17ACD" w:rsidRDefault="00052499" w:rsidP="00052499">
            <w:pPr>
              <w:spacing w:after="0" w:line="240" w:lineRule="auto"/>
              <w:rPr>
                <w:rFonts w:ascii="Calibri" w:eastAsia="Times New Roman" w:hAnsi="Calibri" w:cs="Calibri"/>
                <w:sz w:val="16"/>
                <w:szCs w:val="16"/>
              </w:rPr>
            </w:pPr>
            <w:r w:rsidRPr="00C17ACD">
              <w:rPr>
                <w:rFonts w:ascii="Calibri" w:eastAsia="Times New Roman" w:hAnsi="Calibri" w:cs="Calibri"/>
                <w:sz w:val="16"/>
                <w:szCs w:val="16"/>
              </w:rPr>
              <w:t>Ostala prava iz oblasti zdravstvenog osiguranja</w:t>
            </w:r>
          </w:p>
        </w:tc>
        <w:tc>
          <w:tcPr>
            <w:tcW w:w="439" w:type="pct"/>
            <w:tcBorders>
              <w:top w:val="nil"/>
              <w:left w:val="nil"/>
              <w:bottom w:val="nil"/>
              <w:right w:val="single" w:sz="4" w:space="0" w:color="auto"/>
            </w:tcBorders>
            <w:shd w:val="clear" w:color="000000" w:fill="FFFFFF"/>
            <w:noWrap/>
            <w:vAlign w:val="center"/>
            <w:hideMark/>
          </w:tcPr>
          <w:p w14:paraId="2DCB6DFD" w14:textId="77777777" w:rsidR="00052499" w:rsidRPr="00C17ACD" w:rsidRDefault="00052499" w:rsidP="00052499">
            <w:pPr>
              <w:spacing w:after="0" w:line="240" w:lineRule="auto"/>
              <w:jc w:val="right"/>
              <w:rPr>
                <w:rFonts w:ascii="Calibri" w:eastAsia="Times New Roman" w:hAnsi="Calibri" w:cs="Calibri"/>
                <w:sz w:val="16"/>
                <w:szCs w:val="16"/>
              </w:rPr>
            </w:pPr>
            <w:r w:rsidRPr="00C17ACD">
              <w:rPr>
                <w:rFonts w:ascii="Calibri" w:eastAsia="Times New Roman" w:hAnsi="Calibri" w:cs="Calibri"/>
                <w:sz w:val="16"/>
                <w:szCs w:val="16"/>
              </w:rPr>
              <w:t>15.60</w:t>
            </w:r>
          </w:p>
        </w:tc>
        <w:tc>
          <w:tcPr>
            <w:tcW w:w="300" w:type="pct"/>
            <w:tcBorders>
              <w:top w:val="nil"/>
              <w:left w:val="nil"/>
              <w:bottom w:val="nil"/>
              <w:right w:val="double" w:sz="6" w:space="0" w:color="auto"/>
            </w:tcBorders>
            <w:shd w:val="clear" w:color="000000" w:fill="FFFFFF"/>
            <w:noWrap/>
            <w:vAlign w:val="center"/>
            <w:hideMark/>
          </w:tcPr>
          <w:p w14:paraId="70476031"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0.2</w:t>
            </w:r>
          </w:p>
        </w:tc>
        <w:tc>
          <w:tcPr>
            <w:tcW w:w="477" w:type="pct"/>
            <w:tcBorders>
              <w:top w:val="nil"/>
              <w:left w:val="nil"/>
              <w:bottom w:val="nil"/>
              <w:right w:val="single" w:sz="4" w:space="0" w:color="auto"/>
            </w:tcBorders>
            <w:shd w:val="clear" w:color="000000" w:fill="FFFFFF"/>
            <w:noWrap/>
            <w:vAlign w:val="center"/>
            <w:hideMark/>
          </w:tcPr>
          <w:p w14:paraId="7D423D78" w14:textId="77777777" w:rsidR="00052499" w:rsidRPr="00C17ACD" w:rsidRDefault="00052499" w:rsidP="00052499">
            <w:pPr>
              <w:spacing w:after="0" w:line="240" w:lineRule="auto"/>
              <w:jc w:val="right"/>
              <w:rPr>
                <w:rFonts w:ascii="Calibri" w:eastAsia="Times New Roman" w:hAnsi="Calibri" w:cs="Calibri"/>
                <w:sz w:val="16"/>
                <w:szCs w:val="16"/>
              </w:rPr>
            </w:pPr>
            <w:r w:rsidRPr="00C17ACD">
              <w:rPr>
                <w:rFonts w:ascii="Calibri" w:eastAsia="Times New Roman" w:hAnsi="Calibri" w:cs="Calibri"/>
                <w:sz w:val="16"/>
                <w:szCs w:val="16"/>
              </w:rPr>
              <w:t>15.60</w:t>
            </w:r>
          </w:p>
        </w:tc>
        <w:tc>
          <w:tcPr>
            <w:tcW w:w="307" w:type="pct"/>
            <w:tcBorders>
              <w:top w:val="nil"/>
              <w:left w:val="nil"/>
              <w:bottom w:val="nil"/>
              <w:right w:val="double" w:sz="6" w:space="0" w:color="auto"/>
            </w:tcBorders>
            <w:shd w:val="clear" w:color="000000" w:fill="FFFFFF"/>
            <w:noWrap/>
            <w:vAlign w:val="center"/>
            <w:hideMark/>
          </w:tcPr>
          <w:p w14:paraId="713D2697"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0.2</w:t>
            </w:r>
          </w:p>
        </w:tc>
        <w:tc>
          <w:tcPr>
            <w:tcW w:w="452" w:type="pct"/>
            <w:tcBorders>
              <w:top w:val="nil"/>
              <w:left w:val="nil"/>
              <w:bottom w:val="nil"/>
              <w:right w:val="single" w:sz="4" w:space="0" w:color="auto"/>
            </w:tcBorders>
            <w:shd w:val="clear" w:color="000000" w:fill="FFFFFF"/>
            <w:noWrap/>
            <w:vAlign w:val="center"/>
            <w:hideMark/>
          </w:tcPr>
          <w:p w14:paraId="51FE74C0" w14:textId="77777777" w:rsidR="00052499" w:rsidRPr="00C17ACD" w:rsidRDefault="00052499" w:rsidP="00052499">
            <w:pPr>
              <w:spacing w:after="0" w:line="240" w:lineRule="auto"/>
              <w:jc w:val="right"/>
              <w:rPr>
                <w:rFonts w:ascii="Calibri" w:eastAsia="Times New Roman" w:hAnsi="Calibri" w:cs="Calibri"/>
                <w:sz w:val="16"/>
                <w:szCs w:val="16"/>
              </w:rPr>
            </w:pPr>
            <w:r w:rsidRPr="00C17ACD">
              <w:rPr>
                <w:rFonts w:ascii="Calibri" w:eastAsia="Times New Roman" w:hAnsi="Calibri" w:cs="Calibri"/>
                <w:sz w:val="16"/>
                <w:szCs w:val="16"/>
              </w:rPr>
              <w:t>15.60</w:t>
            </w:r>
          </w:p>
        </w:tc>
        <w:tc>
          <w:tcPr>
            <w:tcW w:w="308" w:type="pct"/>
            <w:tcBorders>
              <w:top w:val="nil"/>
              <w:left w:val="nil"/>
              <w:bottom w:val="nil"/>
              <w:right w:val="double" w:sz="6" w:space="0" w:color="auto"/>
            </w:tcBorders>
            <w:shd w:val="clear" w:color="000000" w:fill="FFFFFF"/>
            <w:noWrap/>
            <w:vAlign w:val="center"/>
            <w:hideMark/>
          </w:tcPr>
          <w:p w14:paraId="29D1DA5E"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0.2</w:t>
            </w:r>
          </w:p>
        </w:tc>
        <w:tc>
          <w:tcPr>
            <w:tcW w:w="436" w:type="pct"/>
            <w:tcBorders>
              <w:top w:val="nil"/>
              <w:left w:val="nil"/>
              <w:bottom w:val="nil"/>
              <w:right w:val="single" w:sz="4" w:space="0" w:color="auto"/>
            </w:tcBorders>
            <w:shd w:val="clear" w:color="000000" w:fill="FFFFFF"/>
            <w:noWrap/>
            <w:vAlign w:val="center"/>
            <w:hideMark/>
          </w:tcPr>
          <w:p w14:paraId="72B32236" w14:textId="77777777" w:rsidR="00052499" w:rsidRPr="00C17ACD" w:rsidRDefault="00052499" w:rsidP="00052499">
            <w:pPr>
              <w:spacing w:after="0" w:line="240" w:lineRule="auto"/>
              <w:jc w:val="right"/>
              <w:rPr>
                <w:rFonts w:ascii="Calibri" w:eastAsia="Times New Roman" w:hAnsi="Calibri" w:cs="Calibri"/>
                <w:sz w:val="16"/>
                <w:szCs w:val="16"/>
              </w:rPr>
            </w:pPr>
            <w:r w:rsidRPr="00C17ACD">
              <w:rPr>
                <w:rFonts w:ascii="Calibri" w:eastAsia="Times New Roman" w:hAnsi="Calibri" w:cs="Calibri"/>
                <w:sz w:val="16"/>
                <w:szCs w:val="16"/>
              </w:rPr>
              <w:t>15.60</w:t>
            </w:r>
          </w:p>
        </w:tc>
        <w:tc>
          <w:tcPr>
            <w:tcW w:w="306" w:type="pct"/>
            <w:tcBorders>
              <w:top w:val="nil"/>
              <w:left w:val="nil"/>
              <w:bottom w:val="nil"/>
              <w:right w:val="double" w:sz="6" w:space="0" w:color="auto"/>
            </w:tcBorders>
            <w:shd w:val="clear" w:color="000000" w:fill="FFFFFF"/>
            <w:noWrap/>
            <w:vAlign w:val="center"/>
            <w:hideMark/>
          </w:tcPr>
          <w:p w14:paraId="5D345831"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0.2</w:t>
            </w:r>
          </w:p>
        </w:tc>
      </w:tr>
      <w:tr w:rsidR="00052499" w:rsidRPr="00C17ACD" w14:paraId="35F20A04" w14:textId="77777777" w:rsidTr="00052499">
        <w:trPr>
          <w:trHeight w:hRule="exact" w:val="198"/>
        </w:trPr>
        <w:tc>
          <w:tcPr>
            <w:tcW w:w="1974" w:type="pct"/>
            <w:tcBorders>
              <w:top w:val="nil"/>
              <w:left w:val="double" w:sz="6" w:space="0" w:color="auto"/>
              <w:bottom w:val="nil"/>
              <w:right w:val="nil"/>
            </w:tcBorders>
            <w:shd w:val="clear" w:color="000000" w:fill="FFFFFF"/>
            <w:vAlign w:val="center"/>
            <w:hideMark/>
          </w:tcPr>
          <w:p w14:paraId="6FA95E05" w14:textId="77777777" w:rsidR="00052499" w:rsidRPr="00C17ACD" w:rsidRDefault="00052499" w:rsidP="00052499">
            <w:pPr>
              <w:spacing w:after="0" w:line="240" w:lineRule="auto"/>
              <w:rPr>
                <w:rFonts w:ascii="Calibri" w:eastAsia="Times New Roman" w:hAnsi="Calibri" w:cs="Calibri"/>
                <w:b/>
                <w:bCs/>
                <w:sz w:val="16"/>
                <w:szCs w:val="16"/>
              </w:rPr>
            </w:pPr>
            <w:r w:rsidRPr="00C17ACD">
              <w:rPr>
                <w:rFonts w:ascii="Calibri" w:eastAsia="Times New Roman" w:hAnsi="Calibri" w:cs="Calibri"/>
                <w:b/>
                <w:bCs/>
                <w:sz w:val="16"/>
                <w:szCs w:val="16"/>
              </w:rPr>
              <w:t>Transferi institucijama pojedinicima nevladinom i javnom sektoru</w:t>
            </w:r>
          </w:p>
        </w:tc>
        <w:tc>
          <w:tcPr>
            <w:tcW w:w="439" w:type="pct"/>
            <w:tcBorders>
              <w:top w:val="nil"/>
              <w:left w:val="nil"/>
              <w:bottom w:val="nil"/>
              <w:right w:val="single" w:sz="4" w:space="0" w:color="auto"/>
            </w:tcBorders>
            <w:shd w:val="clear" w:color="000000" w:fill="FFFFFF"/>
            <w:noWrap/>
            <w:vAlign w:val="center"/>
            <w:hideMark/>
          </w:tcPr>
          <w:p w14:paraId="4F88C93F"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367.66</w:t>
            </w:r>
          </w:p>
        </w:tc>
        <w:tc>
          <w:tcPr>
            <w:tcW w:w="300" w:type="pct"/>
            <w:tcBorders>
              <w:top w:val="nil"/>
              <w:left w:val="nil"/>
              <w:bottom w:val="double" w:sz="6" w:space="0" w:color="auto"/>
              <w:right w:val="double" w:sz="6" w:space="0" w:color="auto"/>
            </w:tcBorders>
            <w:shd w:val="clear" w:color="000000" w:fill="FFFFFF"/>
            <w:noWrap/>
            <w:vAlign w:val="center"/>
            <w:hideMark/>
          </w:tcPr>
          <w:p w14:paraId="4D9D5139"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5.7</w:t>
            </w:r>
          </w:p>
        </w:tc>
        <w:tc>
          <w:tcPr>
            <w:tcW w:w="477" w:type="pct"/>
            <w:tcBorders>
              <w:top w:val="nil"/>
              <w:left w:val="nil"/>
              <w:bottom w:val="nil"/>
              <w:right w:val="single" w:sz="4" w:space="0" w:color="auto"/>
            </w:tcBorders>
            <w:shd w:val="clear" w:color="000000" w:fill="FFFFFF"/>
            <w:noWrap/>
            <w:vAlign w:val="center"/>
            <w:hideMark/>
          </w:tcPr>
          <w:p w14:paraId="2741E1A8"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415.07</w:t>
            </w:r>
          </w:p>
        </w:tc>
        <w:tc>
          <w:tcPr>
            <w:tcW w:w="307" w:type="pct"/>
            <w:tcBorders>
              <w:top w:val="nil"/>
              <w:left w:val="nil"/>
              <w:bottom w:val="double" w:sz="6" w:space="0" w:color="auto"/>
              <w:right w:val="double" w:sz="6" w:space="0" w:color="auto"/>
            </w:tcBorders>
            <w:shd w:val="clear" w:color="000000" w:fill="FFFFFF"/>
            <w:noWrap/>
            <w:vAlign w:val="center"/>
            <w:hideMark/>
          </w:tcPr>
          <w:p w14:paraId="257ABDBA"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5.9</w:t>
            </w:r>
          </w:p>
        </w:tc>
        <w:tc>
          <w:tcPr>
            <w:tcW w:w="452" w:type="pct"/>
            <w:tcBorders>
              <w:top w:val="nil"/>
              <w:left w:val="nil"/>
              <w:bottom w:val="nil"/>
              <w:right w:val="single" w:sz="4" w:space="0" w:color="auto"/>
            </w:tcBorders>
            <w:shd w:val="clear" w:color="000000" w:fill="FFFFFF"/>
            <w:noWrap/>
            <w:vAlign w:val="center"/>
            <w:hideMark/>
          </w:tcPr>
          <w:p w14:paraId="70CD5E49"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436.39</w:t>
            </w:r>
          </w:p>
        </w:tc>
        <w:tc>
          <w:tcPr>
            <w:tcW w:w="308" w:type="pct"/>
            <w:tcBorders>
              <w:top w:val="nil"/>
              <w:left w:val="nil"/>
              <w:bottom w:val="double" w:sz="6" w:space="0" w:color="auto"/>
              <w:right w:val="double" w:sz="6" w:space="0" w:color="auto"/>
            </w:tcBorders>
            <w:shd w:val="clear" w:color="000000" w:fill="FFFFFF"/>
            <w:noWrap/>
            <w:vAlign w:val="center"/>
            <w:hideMark/>
          </w:tcPr>
          <w:p w14:paraId="11A70EEF"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5.9</w:t>
            </w:r>
          </w:p>
        </w:tc>
        <w:tc>
          <w:tcPr>
            <w:tcW w:w="436" w:type="pct"/>
            <w:tcBorders>
              <w:top w:val="nil"/>
              <w:left w:val="nil"/>
              <w:bottom w:val="nil"/>
              <w:right w:val="single" w:sz="4" w:space="0" w:color="auto"/>
            </w:tcBorders>
            <w:shd w:val="clear" w:color="000000" w:fill="FFFFFF"/>
            <w:noWrap/>
            <w:vAlign w:val="center"/>
            <w:hideMark/>
          </w:tcPr>
          <w:p w14:paraId="50F49667"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436.39</w:t>
            </w:r>
          </w:p>
        </w:tc>
        <w:tc>
          <w:tcPr>
            <w:tcW w:w="306" w:type="pct"/>
            <w:tcBorders>
              <w:top w:val="nil"/>
              <w:left w:val="nil"/>
              <w:bottom w:val="double" w:sz="6" w:space="0" w:color="auto"/>
              <w:right w:val="double" w:sz="6" w:space="0" w:color="auto"/>
            </w:tcBorders>
            <w:shd w:val="clear" w:color="000000" w:fill="FFFFFF"/>
            <w:noWrap/>
            <w:vAlign w:val="center"/>
            <w:hideMark/>
          </w:tcPr>
          <w:p w14:paraId="523AD45E"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5.6</w:t>
            </w:r>
          </w:p>
        </w:tc>
      </w:tr>
      <w:tr w:rsidR="00052499" w:rsidRPr="00C17ACD" w14:paraId="5BD33CDE" w14:textId="77777777" w:rsidTr="00052499">
        <w:trPr>
          <w:trHeight w:hRule="exact" w:val="198"/>
        </w:trPr>
        <w:tc>
          <w:tcPr>
            <w:tcW w:w="1974" w:type="pct"/>
            <w:tcBorders>
              <w:top w:val="double" w:sz="6" w:space="0" w:color="auto"/>
              <w:left w:val="double" w:sz="6" w:space="0" w:color="auto"/>
              <w:bottom w:val="double" w:sz="6" w:space="0" w:color="auto"/>
              <w:right w:val="nil"/>
            </w:tcBorders>
            <w:shd w:val="clear" w:color="000000" w:fill="B8CCE4"/>
            <w:noWrap/>
            <w:vAlign w:val="center"/>
            <w:hideMark/>
          </w:tcPr>
          <w:p w14:paraId="21771C90" w14:textId="77777777" w:rsidR="00052499" w:rsidRPr="00C17ACD" w:rsidRDefault="00052499" w:rsidP="00052499">
            <w:pPr>
              <w:spacing w:after="0" w:line="240" w:lineRule="auto"/>
              <w:rPr>
                <w:rFonts w:ascii="Calibri" w:eastAsia="Times New Roman" w:hAnsi="Calibri" w:cs="Calibri"/>
                <w:b/>
                <w:bCs/>
                <w:sz w:val="16"/>
                <w:szCs w:val="16"/>
              </w:rPr>
            </w:pPr>
            <w:r w:rsidRPr="00C17ACD">
              <w:rPr>
                <w:rFonts w:ascii="Calibri" w:eastAsia="Times New Roman" w:hAnsi="Calibri" w:cs="Calibri"/>
                <w:b/>
                <w:bCs/>
                <w:sz w:val="16"/>
                <w:szCs w:val="16"/>
              </w:rPr>
              <w:t>Kapitalni budžet</w:t>
            </w:r>
          </w:p>
        </w:tc>
        <w:tc>
          <w:tcPr>
            <w:tcW w:w="439" w:type="pct"/>
            <w:tcBorders>
              <w:top w:val="double" w:sz="6" w:space="0" w:color="auto"/>
              <w:left w:val="nil"/>
              <w:bottom w:val="double" w:sz="6" w:space="0" w:color="auto"/>
              <w:right w:val="single" w:sz="4" w:space="0" w:color="auto"/>
            </w:tcBorders>
            <w:shd w:val="clear" w:color="000000" w:fill="B8CCE4"/>
            <w:noWrap/>
            <w:vAlign w:val="center"/>
            <w:hideMark/>
          </w:tcPr>
          <w:p w14:paraId="718F835F"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200.66</w:t>
            </w:r>
          </w:p>
        </w:tc>
        <w:tc>
          <w:tcPr>
            <w:tcW w:w="300" w:type="pct"/>
            <w:tcBorders>
              <w:top w:val="nil"/>
              <w:left w:val="nil"/>
              <w:bottom w:val="double" w:sz="6" w:space="0" w:color="auto"/>
              <w:right w:val="double" w:sz="6" w:space="0" w:color="auto"/>
            </w:tcBorders>
            <w:shd w:val="clear" w:color="000000" w:fill="B8CCE4"/>
            <w:noWrap/>
            <w:vAlign w:val="center"/>
            <w:hideMark/>
          </w:tcPr>
          <w:p w14:paraId="29AFC328"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3.1</w:t>
            </w:r>
          </w:p>
        </w:tc>
        <w:tc>
          <w:tcPr>
            <w:tcW w:w="477" w:type="pct"/>
            <w:tcBorders>
              <w:top w:val="double" w:sz="6" w:space="0" w:color="auto"/>
              <w:left w:val="nil"/>
              <w:bottom w:val="double" w:sz="6" w:space="0" w:color="auto"/>
              <w:right w:val="single" w:sz="4" w:space="0" w:color="auto"/>
            </w:tcBorders>
            <w:shd w:val="clear" w:color="000000" w:fill="B8CCE4"/>
            <w:noWrap/>
            <w:vAlign w:val="center"/>
            <w:hideMark/>
          </w:tcPr>
          <w:p w14:paraId="56DEA1E2"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240.01</w:t>
            </w:r>
          </w:p>
        </w:tc>
        <w:tc>
          <w:tcPr>
            <w:tcW w:w="307" w:type="pct"/>
            <w:tcBorders>
              <w:top w:val="nil"/>
              <w:left w:val="nil"/>
              <w:bottom w:val="double" w:sz="6" w:space="0" w:color="auto"/>
              <w:right w:val="double" w:sz="6" w:space="0" w:color="auto"/>
            </w:tcBorders>
            <w:shd w:val="clear" w:color="000000" w:fill="B8CCE4"/>
            <w:noWrap/>
            <w:vAlign w:val="center"/>
            <w:hideMark/>
          </w:tcPr>
          <w:p w14:paraId="35F53877"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3.4</w:t>
            </w:r>
          </w:p>
        </w:tc>
        <w:tc>
          <w:tcPr>
            <w:tcW w:w="452" w:type="pct"/>
            <w:tcBorders>
              <w:top w:val="double" w:sz="6" w:space="0" w:color="auto"/>
              <w:left w:val="nil"/>
              <w:bottom w:val="double" w:sz="6" w:space="0" w:color="auto"/>
              <w:right w:val="single" w:sz="4" w:space="0" w:color="auto"/>
            </w:tcBorders>
            <w:shd w:val="clear" w:color="000000" w:fill="B8CCE4"/>
            <w:noWrap/>
            <w:vAlign w:val="center"/>
            <w:hideMark/>
          </w:tcPr>
          <w:p w14:paraId="1B83ED26"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250.03</w:t>
            </w:r>
          </w:p>
        </w:tc>
        <w:tc>
          <w:tcPr>
            <w:tcW w:w="308" w:type="pct"/>
            <w:tcBorders>
              <w:top w:val="nil"/>
              <w:left w:val="nil"/>
              <w:bottom w:val="double" w:sz="6" w:space="0" w:color="auto"/>
              <w:right w:val="double" w:sz="6" w:space="0" w:color="auto"/>
            </w:tcBorders>
            <w:shd w:val="clear" w:color="000000" w:fill="B8CCE4"/>
            <w:noWrap/>
            <w:vAlign w:val="center"/>
            <w:hideMark/>
          </w:tcPr>
          <w:p w14:paraId="2F2D7BF6"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3.4</w:t>
            </w:r>
          </w:p>
        </w:tc>
        <w:tc>
          <w:tcPr>
            <w:tcW w:w="436" w:type="pct"/>
            <w:tcBorders>
              <w:top w:val="double" w:sz="6" w:space="0" w:color="auto"/>
              <w:left w:val="nil"/>
              <w:bottom w:val="double" w:sz="6" w:space="0" w:color="auto"/>
              <w:right w:val="single" w:sz="4" w:space="0" w:color="auto"/>
            </w:tcBorders>
            <w:shd w:val="clear" w:color="000000" w:fill="B8CCE4"/>
            <w:noWrap/>
            <w:vAlign w:val="center"/>
            <w:hideMark/>
          </w:tcPr>
          <w:p w14:paraId="7EF945D5"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270.03</w:t>
            </w:r>
          </w:p>
        </w:tc>
        <w:tc>
          <w:tcPr>
            <w:tcW w:w="306" w:type="pct"/>
            <w:tcBorders>
              <w:top w:val="nil"/>
              <w:left w:val="nil"/>
              <w:bottom w:val="double" w:sz="6" w:space="0" w:color="auto"/>
              <w:right w:val="double" w:sz="6" w:space="0" w:color="auto"/>
            </w:tcBorders>
            <w:shd w:val="clear" w:color="000000" w:fill="B8CCE4"/>
            <w:noWrap/>
            <w:vAlign w:val="center"/>
            <w:hideMark/>
          </w:tcPr>
          <w:p w14:paraId="3BF908CC"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3.5</w:t>
            </w:r>
          </w:p>
        </w:tc>
      </w:tr>
      <w:tr w:rsidR="00052499" w:rsidRPr="00C17ACD" w14:paraId="02814C9E" w14:textId="77777777" w:rsidTr="00052499">
        <w:trPr>
          <w:trHeight w:hRule="exact" w:val="198"/>
        </w:trPr>
        <w:tc>
          <w:tcPr>
            <w:tcW w:w="1974" w:type="pct"/>
            <w:tcBorders>
              <w:top w:val="nil"/>
              <w:left w:val="double" w:sz="6" w:space="0" w:color="auto"/>
              <w:bottom w:val="double" w:sz="6" w:space="0" w:color="auto"/>
              <w:right w:val="double" w:sz="6" w:space="0" w:color="auto"/>
            </w:tcBorders>
            <w:shd w:val="clear" w:color="000000" w:fill="FFFFFF"/>
            <w:noWrap/>
            <w:vAlign w:val="center"/>
            <w:hideMark/>
          </w:tcPr>
          <w:p w14:paraId="51D30AC8" w14:textId="77777777" w:rsidR="00052499" w:rsidRPr="00C17ACD" w:rsidRDefault="00052499" w:rsidP="00052499">
            <w:pPr>
              <w:spacing w:after="0" w:line="240" w:lineRule="auto"/>
              <w:rPr>
                <w:rFonts w:ascii="Calibri" w:eastAsia="Times New Roman" w:hAnsi="Calibri" w:cs="Calibri"/>
                <w:b/>
                <w:bCs/>
                <w:sz w:val="16"/>
                <w:szCs w:val="16"/>
              </w:rPr>
            </w:pPr>
            <w:r w:rsidRPr="00C17ACD">
              <w:rPr>
                <w:rFonts w:ascii="Calibri" w:eastAsia="Times New Roman" w:hAnsi="Calibri" w:cs="Calibri"/>
                <w:b/>
                <w:bCs/>
                <w:sz w:val="16"/>
                <w:szCs w:val="16"/>
              </w:rPr>
              <w:t>Rezerve</w:t>
            </w:r>
          </w:p>
        </w:tc>
        <w:tc>
          <w:tcPr>
            <w:tcW w:w="439" w:type="pct"/>
            <w:tcBorders>
              <w:top w:val="double" w:sz="6" w:space="0" w:color="auto"/>
              <w:left w:val="nil"/>
              <w:bottom w:val="nil"/>
              <w:right w:val="single" w:sz="4" w:space="0" w:color="auto"/>
            </w:tcBorders>
            <w:shd w:val="clear" w:color="000000" w:fill="FFFFFF"/>
            <w:noWrap/>
            <w:vAlign w:val="center"/>
            <w:hideMark/>
          </w:tcPr>
          <w:p w14:paraId="28517758"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74.18</w:t>
            </w:r>
          </w:p>
        </w:tc>
        <w:tc>
          <w:tcPr>
            <w:tcW w:w="300" w:type="pct"/>
            <w:tcBorders>
              <w:top w:val="nil"/>
              <w:left w:val="nil"/>
              <w:bottom w:val="nil"/>
              <w:right w:val="double" w:sz="6" w:space="0" w:color="auto"/>
            </w:tcBorders>
            <w:shd w:val="clear" w:color="000000" w:fill="FFFFFF"/>
            <w:noWrap/>
            <w:vAlign w:val="center"/>
            <w:hideMark/>
          </w:tcPr>
          <w:p w14:paraId="585C38E5"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1.2</w:t>
            </w:r>
          </w:p>
        </w:tc>
        <w:tc>
          <w:tcPr>
            <w:tcW w:w="477" w:type="pct"/>
            <w:tcBorders>
              <w:top w:val="nil"/>
              <w:left w:val="nil"/>
              <w:bottom w:val="double" w:sz="6" w:space="0" w:color="auto"/>
              <w:right w:val="single" w:sz="4" w:space="0" w:color="auto"/>
            </w:tcBorders>
            <w:shd w:val="clear" w:color="000000" w:fill="FFFFFF"/>
            <w:noWrap/>
            <w:vAlign w:val="center"/>
            <w:hideMark/>
          </w:tcPr>
          <w:p w14:paraId="64FF7F6F"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60.88</w:t>
            </w:r>
          </w:p>
        </w:tc>
        <w:tc>
          <w:tcPr>
            <w:tcW w:w="307" w:type="pct"/>
            <w:tcBorders>
              <w:top w:val="nil"/>
              <w:left w:val="nil"/>
              <w:bottom w:val="nil"/>
              <w:right w:val="double" w:sz="6" w:space="0" w:color="auto"/>
            </w:tcBorders>
            <w:shd w:val="clear" w:color="000000" w:fill="FFFFFF"/>
            <w:noWrap/>
            <w:vAlign w:val="center"/>
            <w:hideMark/>
          </w:tcPr>
          <w:p w14:paraId="38C8A1C9"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0.9</w:t>
            </w:r>
          </w:p>
        </w:tc>
        <w:tc>
          <w:tcPr>
            <w:tcW w:w="452" w:type="pct"/>
            <w:tcBorders>
              <w:top w:val="nil"/>
              <w:left w:val="nil"/>
              <w:bottom w:val="double" w:sz="6" w:space="0" w:color="auto"/>
              <w:right w:val="single" w:sz="4" w:space="0" w:color="auto"/>
            </w:tcBorders>
            <w:shd w:val="clear" w:color="000000" w:fill="FFFFFF"/>
            <w:noWrap/>
            <w:vAlign w:val="center"/>
            <w:hideMark/>
          </w:tcPr>
          <w:p w14:paraId="03F37B68"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50.00</w:t>
            </w:r>
          </w:p>
        </w:tc>
        <w:tc>
          <w:tcPr>
            <w:tcW w:w="308" w:type="pct"/>
            <w:tcBorders>
              <w:top w:val="nil"/>
              <w:left w:val="nil"/>
              <w:bottom w:val="nil"/>
              <w:right w:val="double" w:sz="6" w:space="0" w:color="auto"/>
            </w:tcBorders>
            <w:shd w:val="clear" w:color="000000" w:fill="FFFFFF"/>
            <w:noWrap/>
            <w:vAlign w:val="center"/>
            <w:hideMark/>
          </w:tcPr>
          <w:p w14:paraId="2ED20106"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0.7</w:t>
            </w:r>
          </w:p>
        </w:tc>
        <w:tc>
          <w:tcPr>
            <w:tcW w:w="436" w:type="pct"/>
            <w:tcBorders>
              <w:top w:val="nil"/>
              <w:left w:val="nil"/>
              <w:bottom w:val="double" w:sz="6" w:space="0" w:color="auto"/>
              <w:right w:val="single" w:sz="4" w:space="0" w:color="auto"/>
            </w:tcBorders>
            <w:shd w:val="clear" w:color="000000" w:fill="FFFFFF"/>
            <w:noWrap/>
            <w:vAlign w:val="center"/>
            <w:hideMark/>
          </w:tcPr>
          <w:p w14:paraId="497E1E84"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30.00</w:t>
            </w:r>
          </w:p>
        </w:tc>
        <w:tc>
          <w:tcPr>
            <w:tcW w:w="306" w:type="pct"/>
            <w:tcBorders>
              <w:top w:val="nil"/>
              <w:left w:val="nil"/>
              <w:bottom w:val="nil"/>
              <w:right w:val="double" w:sz="6" w:space="0" w:color="auto"/>
            </w:tcBorders>
            <w:shd w:val="clear" w:color="000000" w:fill="FFFFFF"/>
            <w:noWrap/>
            <w:vAlign w:val="center"/>
            <w:hideMark/>
          </w:tcPr>
          <w:p w14:paraId="066597E8"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0.4</w:t>
            </w:r>
          </w:p>
        </w:tc>
      </w:tr>
      <w:tr w:rsidR="00052499" w:rsidRPr="00C17ACD" w14:paraId="5F76EE8C" w14:textId="77777777" w:rsidTr="00052499">
        <w:trPr>
          <w:trHeight w:hRule="exact" w:val="198"/>
        </w:trPr>
        <w:tc>
          <w:tcPr>
            <w:tcW w:w="1974" w:type="pct"/>
            <w:tcBorders>
              <w:top w:val="nil"/>
              <w:left w:val="double" w:sz="6" w:space="0" w:color="auto"/>
              <w:bottom w:val="double" w:sz="6" w:space="0" w:color="auto"/>
              <w:right w:val="nil"/>
            </w:tcBorders>
            <w:shd w:val="clear" w:color="000000" w:fill="FFFFFF"/>
            <w:noWrap/>
            <w:vAlign w:val="center"/>
            <w:hideMark/>
          </w:tcPr>
          <w:p w14:paraId="3564F8C1" w14:textId="77777777" w:rsidR="00052499" w:rsidRPr="00C17ACD" w:rsidRDefault="00052499" w:rsidP="00052499">
            <w:pPr>
              <w:spacing w:after="0" w:line="240" w:lineRule="auto"/>
              <w:rPr>
                <w:rFonts w:ascii="Calibri" w:eastAsia="Times New Roman" w:hAnsi="Calibri" w:cs="Calibri"/>
                <w:sz w:val="16"/>
                <w:szCs w:val="16"/>
              </w:rPr>
            </w:pPr>
            <w:r w:rsidRPr="00C17ACD">
              <w:rPr>
                <w:rFonts w:ascii="Calibri" w:eastAsia="Times New Roman" w:hAnsi="Calibri" w:cs="Calibri"/>
                <w:sz w:val="16"/>
                <w:szCs w:val="16"/>
              </w:rPr>
              <w:t>Otplata garancija</w:t>
            </w:r>
          </w:p>
        </w:tc>
        <w:tc>
          <w:tcPr>
            <w:tcW w:w="439" w:type="pct"/>
            <w:tcBorders>
              <w:top w:val="double" w:sz="6" w:space="0" w:color="auto"/>
              <w:left w:val="nil"/>
              <w:bottom w:val="nil"/>
              <w:right w:val="single" w:sz="4" w:space="0" w:color="auto"/>
            </w:tcBorders>
            <w:shd w:val="clear" w:color="000000" w:fill="FFFFFF"/>
            <w:noWrap/>
            <w:vAlign w:val="center"/>
            <w:hideMark/>
          </w:tcPr>
          <w:p w14:paraId="7DA7D629"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0.00</w:t>
            </w:r>
          </w:p>
        </w:tc>
        <w:tc>
          <w:tcPr>
            <w:tcW w:w="300" w:type="pct"/>
            <w:tcBorders>
              <w:top w:val="double" w:sz="6" w:space="0" w:color="auto"/>
              <w:left w:val="nil"/>
              <w:bottom w:val="double" w:sz="6" w:space="0" w:color="auto"/>
              <w:right w:val="double" w:sz="6" w:space="0" w:color="auto"/>
            </w:tcBorders>
            <w:shd w:val="clear" w:color="000000" w:fill="FFFFFF"/>
            <w:noWrap/>
            <w:vAlign w:val="center"/>
            <w:hideMark/>
          </w:tcPr>
          <w:p w14:paraId="2ACFCFC4"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0.0</w:t>
            </w:r>
          </w:p>
        </w:tc>
        <w:tc>
          <w:tcPr>
            <w:tcW w:w="477" w:type="pct"/>
            <w:tcBorders>
              <w:top w:val="nil"/>
              <w:left w:val="nil"/>
              <w:bottom w:val="double" w:sz="6" w:space="0" w:color="auto"/>
              <w:right w:val="single" w:sz="4" w:space="0" w:color="auto"/>
            </w:tcBorders>
            <w:shd w:val="clear" w:color="000000" w:fill="FFFFFF"/>
            <w:noWrap/>
            <w:vAlign w:val="center"/>
            <w:hideMark/>
          </w:tcPr>
          <w:p w14:paraId="01626933"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0.00</w:t>
            </w:r>
          </w:p>
        </w:tc>
        <w:tc>
          <w:tcPr>
            <w:tcW w:w="307" w:type="pct"/>
            <w:tcBorders>
              <w:top w:val="double" w:sz="6" w:space="0" w:color="auto"/>
              <w:left w:val="nil"/>
              <w:bottom w:val="double" w:sz="6" w:space="0" w:color="auto"/>
              <w:right w:val="double" w:sz="6" w:space="0" w:color="auto"/>
            </w:tcBorders>
            <w:shd w:val="clear" w:color="000000" w:fill="FFFFFF"/>
            <w:noWrap/>
            <w:vAlign w:val="center"/>
            <w:hideMark/>
          </w:tcPr>
          <w:p w14:paraId="376A7895"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0.0</w:t>
            </w:r>
          </w:p>
        </w:tc>
        <w:tc>
          <w:tcPr>
            <w:tcW w:w="452" w:type="pct"/>
            <w:tcBorders>
              <w:top w:val="nil"/>
              <w:left w:val="nil"/>
              <w:bottom w:val="double" w:sz="6" w:space="0" w:color="auto"/>
              <w:right w:val="single" w:sz="4" w:space="0" w:color="auto"/>
            </w:tcBorders>
            <w:shd w:val="clear" w:color="000000" w:fill="FFFFFF"/>
            <w:noWrap/>
            <w:vAlign w:val="center"/>
            <w:hideMark/>
          </w:tcPr>
          <w:p w14:paraId="0AA0C8AC"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0.00</w:t>
            </w:r>
          </w:p>
        </w:tc>
        <w:tc>
          <w:tcPr>
            <w:tcW w:w="308" w:type="pct"/>
            <w:tcBorders>
              <w:top w:val="double" w:sz="6" w:space="0" w:color="auto"/>
              <w:left w:val="nil"/>
              <w:bottom w:val="double" w:sz="6" w:space="0" w:color="auto"/>
              <w:right w:val="double" w:sz="6" w:space="0" w:color="auto"/>
            </w:tcBorders>
            <w:shd w:val="clear" w:color="000000" w:fill="FFFFFF"/>
            <w:noWrap/>
            <w:vAlign w:val="center"/>
            <w:hideMark/>
          </w:tcPr>
          <w:p w14:paraId="553F1393"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0.0</w:t>
            </w:r>
          </w:p>
        </w:tc>
        <w:tc>
          <w:tcPr>
            <w:tcW w:w="436" w:type="pct"/>
            <w:tcBorders>
              <w:top w:val="nil"/>
              <w:left w:val="nil"/>
              <w:bottom w:val="double" w:sz="6" w:space="0" w:color="auto"/>
              <w:right w:val="single" w:sz="4" w:space="0" w:color="auto"/>
            </w:tcBorders>
            <w:shd w:val="clear" w:color="000000" w:fill="FFFFFF"/>
            <w:noWrap/>
            <w:vAlign w:val="center"/>
            <w:hideMark/>
          </w:tcPr>
          <w:p w14:paraId="6FDEC4DE"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0.00</w:t>
            </w:r>
          </w:p>
        </w:tc>
        <w:tc>
          <w:tcPr>
            <w:tcW w:w="306" w:type="pct"/>
            <w:tcBorders>
              <w:top w:val="double" w:sz="6" w:space="0" w:color="auto"/>
              <w:left w:val="nil"/>
              <w:bottom w:val="double" w:sz="6" w:space="0" w:color="auto"/>
              <w:right w:val="double" w:sz="6" w:space="0" w:color="auto"/>
            </w:tcBorders>
            <w:shd w:val="clear" w:color="000000" w:fill="FFFFFF"/>
            <w:noWrap/>
            <w:vAlign w:val="center"/>
            <w:hideMark/>
          </w:tcPr>
          <w:p w14:paraId="50336A04"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0.0</w:t>
            </w:r>
          </w:p>
        </w:tc>
      </w:tr>
      <w:tr w:rsidR="00052499" w:rsidRPr="00C17ACD" w14:paraId="3A6F5157" w14:textId="77777777" w:rsidTr="00052499">
        <w:trPr>
          <w:trHeight w:hRule="exact" w:val="198"/>
        </w:trPr>
        <w:tc>
          <w:tcPr>
            <w:tcW w:w="1974" w:type="pct"/>
            <w:tcBorders>
              <w:top w:val="nil"/>
              <w:left w:val="double" w:sz="6" w:space="0" w:color="auto"/>
              <w:bottom w:val="double" w:sz="6" w:space="0" w:color="auto"/>
              <w:right w:val="nil"/>
            </w:tcBorders>
            <w:shd w:val="clear" w:color="000000" w:fill="FFFFFF"/>
            <w:noWrap/>
            <w:vAlign w:val="center"/>
            <w:hideMark/>
          </w:tcPr>
          <w:p w14:paraId="70AA5B8E" w14:textId="77777777" w:rsidR="00052499" w:rsidRPr="00C17ACD" w:rsidRDefault="00052499" w:rsidP="00052499">
            <w:pPr>
              <w:spacing w:after="0" w:line="240" w:lineRule="auto"/>
              <w:rPr>
                <w:rFonts w:ascii="Calibri" w:eastAsia="Times New Roman" w:hAnsi="Calibri" w:cs="Calibri"/>
                <w:sz w:val="16"/>
                <w:szCs w:val="16"/>
              </w:rPr>
            </w:pPr>
            <w:r w:rsidRPr="00C17ACD">
              <w:rPr>
                <w:rFonts w:ascii="Calibri" w:eastAsia="Times New Roman" w:hAnsi="Calibri" w:cs="Calibri"/>
                <w:sz w:val="16"/>
                <w:szCs w:val="16"/>
              </w:rPr>
              <w:t>Otplata obaveza iz prethodnog perioda</w:t>
            </w:r>
          </w:p>
        </w:tc>
        <w:tc>
          <w:tcPr>
            <w:tcW w:w="439" w:type="pct"/>
            <w:tcBorders>
              <w:top w:val="double" w:sz="6" w:space="0" w:color="auto"/>
              <w:left w:val="nil"/>
              <w:bottom w:val="nil"/>
              <w:right w:val="single" w:sz="4" w:space="0" w:color="auto"/>
            </w:tcBorders>
            <w:shd w:val="clear" w:color="000000" w:fill="FFFFFF"/>
            <w:noWrap/>
            <w:vAlign w:val="center"/>
            <w:hideMark/>
          </w:tcPr>
          <w:p w14:paraId="5287499A"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27.95</w:t>
            </w:r>
          </w:p>
        </w:tc>
        <w:tc>
          <w:tcPr>
            <w:tcW w:w="300" w:type="pct"/>
            <w:tcBorders>
              <w:top w:val="nil"/>
              <w:left w:val="nil"/>
              <w:bottom w:val="double" w:sz="6" w:space="0" w:color="auto"/>
              <w:right w:val="double" w:sz="6" w:space="0" w:color="auto"/>
            </w:tcBorders>
            <w:shd w:val="clear" w:color="000000" w:fill="FFFFFF"/>
            <w:noWrap/>
            <w:vAlign w:val="center"/>
            <w:hideMark/>
          </w:tcPr>
          <w:p w14:paraId="2B1F6BE4"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0.4</w:t>
            </w:r>
          </w:p>
        </w:tc>
        <w:tc>
          <w:tcPr>
            <w:tcW w:w="477" w:type="pct"/>
            <w:tcBorders>
              <w:top w:val="nil"/>
              <w:left w:val="nil"/>
              <w:bottom w:val="double" w:sz="6" w:space="0" w:color="auto"/>
              <w:right w:val="single" w:sz="4" w:space="0" w:color="auto"/>
            </w:tcBorders>
            <w:shd w:val="clear" w:color="000000" w:fill="FFFFFF"/>
            <w:noWrap/>
            <w:vAlign w:val="center"/>
            <w:hideMark/>
          </w:tcPr>
          <w:p w14:paraId="6F7AE696"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25.46</w:t>
            </w:r>
          </w:p>
        </w:tc>
        <w:tc>
          <w:tcPr>
            <w:tcW w:w="307" w:type="pct"/>
            <w:tcBorders>
              <w:top w:val="nil"/>
              <w:left w:val="nil"/>
              <w:bottom w:val="double" w:sz="6" w:space="0" w:color="auto"/>
              <w:right w:val="double" w:sz="6" w:space="0" w:color="auto"/>
            </w:tcBorders>
            <w:shd w:val="clear" w:color="000000" w:fill="FFFFFF"/>
            <w:noWrap/>
            <w:vAlign w:val="center"/>
            <w:hideMark/>
          </w:tcPr>
          <w:p w14:paraId="58ED03BF"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0.4</w:t>
            </w:r>
          </w:p>
        </w:tc>
        <w:tc>
          <w:tcPr>
            <w:tcW w:w="452" w:type="pct"/>
            <w:tcBorders>
              <w:top w:val="nil"/>
              <w:left w:val="nil"/>
              <w:bottom w:val="double" w:sz="6" w:space="0" w:color="auto"/>
              <w:right w:val="single" w:sz="4" w:space="0" w:color="auto"/>
            </w:tcBorders>
            <w:shd w:val="clear" w:color="000000" w:fill="FFFFFF"/>
            <w:noWrap/>
            <w:vAlign w:val="center"/>
            <w:hideMark/>
          </w:tcPr>
          <w:p w14:paraId="17B5AEF3"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24.43</w:t>
            </w:r>
          </w:p>
        </w:tc>
        <w:tc>
          <w:tcPr>
            <w:tcW w:w="308" w:type="pct"/>
            <w:tcBorders>
              <w:top w:val="nil"/>
              <w:left w:val="nil"/>
              <w:bottom w:val="double" w:sz="6" w:space="0" w:color="auto"/>
              <w:right w:val="double" w:sz="6" w:space="0" w:color="auto"/>
            </w:tcBorders>
            <w:shd w:val="clear" w:color="000000" w:fill="FFFFFF"/>
            <w:noWrap/>
            <w:vAlign w:val="center"/>
            <w:hideMark/>
          </w:tcPr>
          <w:p w14:paraId="30055DB8"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0.3</w:t>
            </w:r>
          </w:p>
        </w:tc>
        <w:tc>
          <w:tcPr>
            <w:tcW w:w="436" w:type="pct"/>
            <w:tcBorders>
              <w:top w:val="nil"/>
              <w:left w:val="nil"/>
              <w:bottom w:val="double" w:sz="6" w:space="0" w:color="auto"/>
              <w:right w:val="single" w:sz="4" w:space="0" w:color="auto"/>
            </w:tcBorders>
            <w:shd w:val="clear" w:color="000000" w:fill="FFFFFF"/>
            <w:noWrap/>
            <w:vAlign w:val="center"/>
            <w:hideMark/>
          </w:tcPr>
          <w:p w14:paraId="58E93395"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24.43</w:t>
            </w:r>
          </w:p>
        </w:tc>
        <w:tc>
          <w:tcPr>
            <w:tcW w:w="306" w:type="pct"/>
            <w:tcBorders>
              <w:top w:val="nil"/>
              <w:left w:val="nil"/>
              <w:bottom w:val="double" w:sz="6" w:space="0" w:color="auto"/>
              <w:right w:val="double" w:sz="6" w:space="0" w:color="auto"/>
            </w:tcBorders>
            <w:shd w:val="clear" w:color="000000" w:fill="FFFFFF"/>
            <w:noWrap/>
            <w:vAlign w:val="center"/>
            <w:hideMark/>
          </w:tcPr>
          <w:p w14:paraId="056CCFDF"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0.3</w:t>
            </w:r>
          </w:p>
        </w:tc>
      </w:tr>
      <w:tr w:rsidR="00052499" w:rsidRPr="00C17ACD" w14:paraId="35DCEF00" w14:textId="77777777" w:rsidTr="00052499">
        <w:trPr>
          <w:trHeight w:hRule="exact" w:val="198"/>
        </w:trPr>
        <w:tc>
          <w:tcPr>
            <w:tcW w:w="1974" w:type="pct"/>
            <w:tcBorders>
              <w:top w:val="nil"/>
              <w:left w:val="double" w:sz="6" w:space="0" w:color="auto"/>
              <w:bottom w:val="nil"/>
              <w:right w:val="nil"/>
            </w:tcBorders>
            <w:shd w:val="clear" w:color="000000" w:fill="FFFFFF"/>
            <w:noWrap/>
            <w:vAlign w:val="center"/>
            <w:hideMark/>
          </w:tcPr>
          <w:p w14:paraId="5B903A57" w14:textId="77777777" w:rsidR="00052499" w:rsidRPr="00C17ACD" w:rsidRDefault="00052499" w:rsidP="00052499">
            <w:pPr>
              <w:spacing w:after="0" w:line="240" w:lineRule="auto"/>
              <w:rPr>
                <w:rFonts w:ascii="Calibri" w:eastAsia="Times New Roman" w:hAnsi="Calibri" w:cs="Calibri"/>
                <w:b/>
                <w:bCs/>
                <w:sz w:val="16"/>
                <w:szCs w:val="16"/>
              </w:rPr>
            </w:pPr>
            <w:r w:rsidRPr="00C17ACD">
              <w:rPr>
                <w:rFonts w:ascii="Calibri" w:eastAsia="Times New Roman" w:hAnsi="Calibri" w:cs="Calibri"/>
                <w:b/>
                <w:bCs/>
                <w:sz w:val="16"/>
                <w:szCs w:val="16"/>
              </w:rPr>
              <w:t>Neto promjena obaveza</w:t>
            </w:r>
          </w:p>
        </w:tc>
        <w:tc>
          <w:tcPr>
            <w:tcW w:w="439" w:type="pct"/>
            <w:tcBorders>
              <w:top w:val="double" w:sz="6" w:space="0" w:color="auto"/>
              <w:left w:val="nil"/>
              <w:bottom w:val="nil"/>
              <w:right w:val="single" w:sz="4" w:space="0" w:color="auto"/>
            </w:tcBorders>
            <w:shd w:val="clear" w:color="000000" w:fill="FFFFFF"/>
            <w:noWrap/>
            <w:vAlign w:val="center"/>
            <w:hideMark/>
          </w:tcPr>
          <w:p w14:paraId="471AFD3D"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0.00</w:t>
            </w:r>
          </w:p>
        </w:tc>
        <w:tc>
          <w:tcPr>
            <w:tcW w:w="300" w:type="pct"/>
            <w:tcBorders>
              <w:top w:val="nil"/>
              <w:left w:val="nil"/>
              <w:bottom w:val="double" w:sz="6" w:space="0" w:color="auto"/>
              <w:right w:val="double" w:sz="6" w:space="0" w:color="auto"/>
            </w:tcBorders>
            <w:shd w:val="clear" w:color="000000" w:fill="FFFFFF"/>
            <w:noWrap/>
            <w:vAlign w:val="center"/>
            <w:hideMark/>
          </w:tcPr>
          <w:p w14:paraId="7171DAA2"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0.0</w:t>
            </w:r>
          </w:p>
        </w:tc>
        <w:tc>
          <w:tcPr>
            <w:tcW w:w="477" w:type="pct"/>
            <w:tcBorders>
              <w:top w:val="nil"/>
              <w:left w:val="nil"/>
              <w:bottom w:val="nil"/>
              <w:right w:val="single" w:sz="4" w:space="0" w:color="auto"/>
            </w:tcBorders>
            <w:shd w:val="clear" w:color="000000" w:fill="FFFFFF"/>
            <w:noWrap/>
            <w:vAlign w:val="center"/>
            <w:hideMark/>
          </w:tcPr>
          <w:p w14:paraId="37DD7203"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0.00</w:t>
            </w:r>
          </w:p>
        </w:tc>
        <w:tc>
          <w:tcPr>
            <w:tcW w:w="307" w:type="pct"/>
            <w:tcBorders>
              <w:top w:val="nil"/>
              <w:left w:val="nil"/>
              <w:bottom w:val="double" w:sz="6" w:space="0" w:color="auto"/>
              <w:right w:val="double" w:sz="6" w:space="0" w:color="auto"/>
            </w:tcBorders>
            <w:shd w:val="clear" w:color="000000" w:fill="FFFFFF"/>
            <w:noWrap/>
            <w:vAlign w:val="center"/>
            <w:hideMark/>
          </w:tcPr>
          <w:p w14:paraId="456BABFD"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0.0</w:t>
            </w:r>
          </w:p>
        </w:tc>
        <w:tc>
          <w:tcPr>
            <w:tcW w:w="452" w:type="pct"/>
            <w:tcBorders>
              <w:top w:val="nil"/>
              <w:left w:val="nil"/>
              <w:bottom w:val="nil"/>
              <w:right w:val="single" w:sz="4" w:space="0" w:color="auto"/>
            </w:tcBorders>
            <w:shd w:val="clear" w:color="000000" w:fill="FFFFFF"/>
            <w:noWrap/>
            <w:vAlign w:val="center"/>
            <w:hideMark/>
          </w:tcPr>
          <w:p w14:paraId="4EB1ED04"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0.00</w:t>
            </w:r>
          </w:p>
        </w:tc>
        <w:tc>
          <w:tcPr>
            <w:tcW w:w="308" w:type="pct"/>
            <w:tcBorders>
              <w:top w:val="nil"/>
              <w:left w:val="nil"/>
              <w:bottom w:val="double" w:sz="6" w:space="0" w:color="auto"/>
              <w:right w:val="double" w:sz="6" w:space="0" w:color="auto"/>
            </w:tcBorders>
            <w:shd w:val="clear" w:color="000000" w:fill="FFFFFF"/>
            <w:noWrap/>
            <w:vAlign w:val="center"/>
            <w:hideMark/>
          </w:tcPr>
          <w:p w14:paraId="1ADE7FB5"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0.0</w:t>
            </w:r>
          </w:p>
        </w:tc>
        <w:tc>
          <w:tcPr>
            <w:tcW w:w="436" w:type="pct"/>
            <w:tcBorders>
              <w:top w:val="nil"/>
              <w:left w:val="nil"/>
              <w:bottom w:val="nil"/>
              <w:right w:val="single" w:sz="4" w:space="0" w:color="auto"/>
            </w:tcBorders>
            <w:shd w:val="clear" w:color="000000" w:fill="FFFFFF"/>
            <w:noWrap/>
            <w:vAlign w:val="center"/>
            <w:hideMark/>
          </w:tcPr>
          <w:p w14:paraId="64D600A5"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0.00</w:t>
            </w:r>
          </w:p>
        </w:tc>
        <w:tc>
          <w:tcPr>
            <w:tcW w:w="306" w:type="pct"/>
            <w:tcBorders>
              <w:top w:val="nil"/>
              <w:left w:val="nil"/>
              <w:bottom w:val="double" w:sz="6" w:space="0" w:color="auto"/>
              <w:right w:val="double" w:sz="6" w:space="0" w:color="auto"/>
            </w:tcBorders>
            <w:shd w:val="clear" w:color="000000" w:fill="FFFFFF"/>
            <w:noWrap/>
            <w:vAlign w:val="center"/>
            <w:hideMark/>
          </w:tcPr>
          <w:p w14:paraId="00E39522"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0.0</w:t>
            </w:r>
          </w:p>
        </w:tc>
      </w:tr>
      <w:tr w:rsidR="00052499" w:rsidRPr="00C17ACD" w14:paraId="561EBDFF" w14:textId="77777777" w:rsidTr="00052499">
        <w:trPr>
          <w:trHeight w:hRule="exact" w:val="198"/>
        </w:trPr>
        <w:tc>
          <w:tcPr>
            <w:tcW w:w="1974" w:type="pct"/>
            <w:tcBorders>
              <w:top w:val="double" w:sz="6" w:space="0" w:color="auto"/>
              <w:left w:val="double" w:sz="6" w:space="0" w:color="auto"/>
              <w:bottom w:val="double" w:sz="6" w:space="0" w:color="auto"/>
              <w:right w:val="double" w:sz="6" w:space="0" w:color="auto"/>
            </w:tcBorders>
            <w:shd w:val="clear" w:color="000000" w:fill="B8CCE4"/>
            <w:noWrap/>
            <w:vAlign w:val="center"/>
            <w:hideMark/>
          </w:tcPr>
          <w:p w14:paraId="77C9AEEF" w14:textId="77777777" w:rsidR="00052499" w:rsidRPr="00C17ACD" w:rsidRDefault="00052499" w:rsidP="00052499">
            <w:pPr>
              <w:spacing w:after="0" w:line="240" w:lineRule="auto"/>
              <w:rPr>
                <w:rFonts w:ascii="Calibri" w:eastAsia="Times New Roman" w:hAnsi="Calibri" w:cs="Calibri"/>
                <w:b/>
                <w:bCs/>
                <w:sz w:val="16"/>
                <w:szCs w:val="16"/>
              </w:rPr>
            </w:pPr>
            <w:r w:rsidRPr="00C17ACD">
              <w:rPr>
                <w:rFonts w:ascii="Calibri" w:eastAsia="Times New Roman" w:hAnsi="Calibri" w:cs="Calibri"/>
                <w:b/>
                <w:bCs/>
                <w:sz w:val="16"/>
                <w:szCs w:val="16"/>
              </w:rPr>
              <w:t>Suficit/ Deficit</w:t>
            </w:r>
          </w:p>
        </w:tc>
        <w:tc>
          <w:tcPr>
            <w:tcW w:w="439" w:type="pct"/>
            <w:tcBorders>
              <w:top w:val="double" w:sz="6" w:space="0" w:color="auto"/>
              <w:left w:val="nil"/>
              <w:bottom w:val="double" w:sz="6" w:space="0" w:color="auto"/>
              <w:right w:val="single" w:sz="4" w:space="0" w:color="auto"/>
            </w:tcBorders>
            <w:shd w:val="clear" w:color="000000" w:fill="B8CCE4"/>
            <w:noWrap/>
            <w:vAlign w:val="center"/>
            <w:hideMark/>
          </w:tcPr>
          <w:p w14:paraId="0F490DA0"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-216.31</w:t>
            </w:r>
          </w:p>
        </w:tc>
        <w:tc>
          <w:tcPr>
            <w:tcW w:w="300" w:type="pct"/>
            <w:tcBorders>
              <w:top w:val="nil"/>
              <w:left w:val="nil"/>
              <w:bottom w:val="double" w:sz="6" w:space="0" w:color="auto"/>
              <w:right w:val="double" w:sz="6" w:space="0" w:color="auto"/>
            </w:tcBorders>
            <w:shd w:val="clear" w:color="000000" w:fill="B8CCE4"/>
            <w:noWrap/>
            <w:vAlign w:val="center"/>
            <w:hideMark/>
          </w:tcPr>
          <w:p w14:paraId="009C5DEA"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-3.4</w:t>
            </w:r>
          </w:p>
        </w:tc>
        <w:tc>
          <w:tcPr>
            <w:tcW w:w="477" w:type="pct"/>
            <w:tcBorders>
              <w:top w:val="double" w:sz="6" w:space="0" w:color="auto"/>
              <w:left w:val="nil"/>
              <w:bottom w:val="double" w:sz="6" w:space="0" w:color="auto"/>
              <w:right w:val="single" w:sz="4" w:space="0" w:color="auto"/>
            </w:tcBorders>
            <w:shd w:val="clear" w:color="000000" w:fill="B8CCE4"/>
            <w:noWrap/>
            <w:vAlign w:val="center"/>
            <w:hideMark/>
          </w:tcPr>
          <w:p w14:paraId="09CB829F"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-235.31</w:t>
            </w:r>
          </w:p>
        </w:tc>
        <w:tc>
          <w:tcPr>
            <w:tcW w:w="307" w:type="pct"/>
            <w:tcBorders>
              <w:top w:val="nil"/>
              <w:left w:val="nil"/>
              <w:bottom w:val="double" w:sz="6" w:space="0" w:color="auto"/>
              <w:right w:val="double" w:sz="6" w:space="0" w:color="auto"/>
            </w:tcBorders>
            <w:shd w:val="clear" w:color="000000" w:fill="B8CCE4"/>
            <w:noWrap/>
            <w:vAlign w:val="center"/>
            <w:hideMark/>
          </w:tcPr>
          <w:p w14:paraId="5F5ED278"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-3.3</w:t>
            </w:r>
          </w:p>
        </w:tc>
        <w:tc>
          <w:tcPr>
            <w:tcW w:w="452" w:type="pct"/>
            <w:tcBorders>
              <w:top w:val="double" w:sz="6" w:space="0" w:color="auto"/>
              <w:left w:val="nil"/>
              <w:bottom w:val="double" w:sz="6" w:space="0" w:color="auto"/>
              <w:right w:val="single" w:sz="4" w:space="0" w:color="auto"/>
            </w:tcBorders>
            <w:shd w:val="clear" w:color="000000" w:fill="B8CCE4"/>
            <w:noWrap/>
            <w:vAlign w:val="center"/>
            <w:hideMark/>
          </w:tcPr>
          <w:p w14:paraId="53BD4096"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-215.47</w:t>
            </w:r>
          </w:p>
        </w:tc>
        <w:tc>
          <w:tcPr>
            <w:tcW w:w="308" w:type="pct"/>
            <w:tcBorders>
              <w:top w:val="nil"/>
              <w:left w:val="nil"/>
              <w:bottom w:val="double" w:sz="6" w:space="0" w:color="auto"/>
              <w:right w:val="double" w:sz="6" w:space="0" w:color="auto"/>
            </w:tcBorders>
            <w:shd w:val="clear" w:color="000000" w:fill="B8CCE4"/>
            <w:noWrap/>
            <w:vAlign w:val="center"/>
            <w:hideMark/>
          </w:tcPr>
          <w:p w14:paraId="1E63ADBC"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-2.9</w:t>
            </w:r>
          </w:p>
        </w:tc>
        <w:tc>
          <w:tcPr>
            <w:tcW w:w="436" w:type="pct"/>
            <w:tcBorders>
              <w:top w:val="double" w:sz="6" w:space="0" w:color="auto"/>
              <w:left w:val="nil"/>
              <w:bottom w:val="double" w:sz="6" w:space="0" w:color="auto"/>
              <w:right w:val="single" w:sz="4" w:space="0" w:color="auto"/>
            </w:tcBorders>
            <w:shd w:val="clear" w:color="000000" w:fill="B8CCE4"/>
            <w:noWrap/>
            <w:vAlign w:val="center"/>
            <w:hideMark/>
          </w:tcPr>
          <w:p w14:paraId="710CC6B5"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-180.88</w:t>
            </w:r>
          </w:p>
        </w:tc>
        <w:tc>
          <w:tcPr>
            <w:tcW w:w="306" w:type="pct"/>
            <w:tcBorders>
              <w:top w:val="nil"/>
              <w:left w:val="nil"/>
              <w:bottom w:val="double" w:sz="6" w:space="0" w:color="auto"/>
              <w:right w:val="double" w:sz="6" w:space="0" w:color="auto"/>
            </w:tcBorders>
            <w:shd w:val="clear" w:color="000000" w:fill="B8CCE4"/>
            <w:noWrap/>
            <w:vAlign w:val="center"/>
            <w:hideMark/>
          </w:tcPr>
          <w:p w14:paraId="122FFD8D"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-2.3</w:t>
            </w:r>
          </w:p>
        </w:tc>
      </w:tr>
      <w:tr w:rsidR="00052499" w:rsidRPr="00C17ACD" w14:paraId="5C751333" w14:textId="77777777" w:rsidTr="00052499">
        <w:trPr>
          <w:trHeight w:hRule="exact" w:val="198"/>
        </w:trPr>
        <w:tc>
          <w:tcPr>
            <w:tcW w:w="1974" w:type="pct"/>
            <w:tcBorders>
              <w:top w:val="nil"/>
              <w:left w:val="double" w:sz="6" w:space="0" w:color="auto"/>
              <w:bottom w:val="double" w:sz="6" w:space="0" w:color="auto"/>
              <w:right w:val="nil"/>
            </w:tcBorders>
            <w:shd w:val="clear" w:color="000000" w:fill="B8CCE4"/>
            <w:noWrap/>
            <w:vAlign w:val="center"/>
            <w:hideMark/>
          </w:tcPr>
          <w:p w14:paraId="746BCD2E" w14:textId="77777777" w:rsidR="00052499" w:rsidRPr="00C17ACD" w:rsidRDefault="00052499" w:rsidP="00052499">
            <w:pPr>
              <w:spacing w:after="0" w:line="240" w:lineRule="auto"/>
              <w:rPr>
                <w:rFonts w:ascii="Calibri" w:eastAsia="Times New Roman" w:hAnsi="Calibri" w:cs="Calibri"/>
                <w:b/>
                <w:bCs/>
                <w:sz w:val="16"/>
                <w:szCs w:val="16"/>
              </w:rPr>
            </w:pPr>
            <w:r w:rsidRPr="00C17ACD">
              <w:rPr>
                <w:rFonts w:ascii="Calibri" w:eastAsia="Times New Roman" w:hAnsi="Calibri" w:cs="Calibri"/>
                <w:b/>
                <w:bCs/>
                <w:sz w:val="16"/>
                <w:szCs w:val="16"/>
              </w:rPr>
              <w:t>Korigovani suficit/deficit</w:t>
            </w:r>
          </w:p>
        </w:tc>
        <w:tc>
          <w:tcPr>
            <w:tcW w:w="439" w:type="pct"/>
            <w:tcBorders>
              <w:top w:val="nil"/>
              <w:left w:val="nil"/>
              <w:bottom w:val="double" w:sz="6" w:space="0" w:color="auto"/>
              <w:right w:val="single" w:sz="4" w:space="0" w:color="auto"/>
            </w:tcBorders>
            <w:shd w:val="clear" w:color="000000" w:fill="B8CCE4"/>
            <w:noWrap/>
            <w:vAlign w:val="center"/>
            <w:hideMark/>
          </w:tcPr>
          <w:p w14:paraId="66AB4CFA"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-216.31</w:t>
            </w:r>
          </w:p>
        </w:tc>
        <w:tc>
          <w:tcPr>
            <w:tcW w:w="300" w:type="pct"/>
            <w:tcBorders>
              <w:top w:val="nil"/>
              <w:left w:val="nil"/>
              <w:bottom w:val="double" w:sz="6" w:space="0" w:color="auto"/>
              <w:right w:val="double" w:sz="6" w:space="0" w:color="auto"/>
            </w:tcBorders>
            <w:shd w:val="clear" w:color="000000" w:fill="B8CCE4"/>
            <w:noWrap/>
            <w:vAlign w:val="center"/>
            <w:hideMark/>
          </w:tcPr>
          <w:p w14:paraId="54B508FB"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-3.4</w:t>
            </w:r>
          </w:p>
        </w:tc>
        <w:tc>
          <w:tcPr>
            <w:tcW w:w="477" w:type="pct"/>
            <w:tcBorders>
              <w:top w:val="nil"/>
              <w:left w:val="nil"/>
              <w:bottom w:val="double" w:sz="6" w:space="0" w:color="auto"/>
              <w:right w:val="single" w:sz="4" w:space="0" w:color="auto"/>
            </w:tcBorders>
            <w:shd w:val="clear" w:color="000000" w:fill="B8CCE4"/>
            <w:noWrap/>
            <w:vAlign w:val="center"/>
            <w:hideMark/>
          </w:tcPr>
          <w:p w14:paraId="4026702E"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-235.31</w:t>
            </w:r>
          </w:p>
        </w:tc>
        <w:tc>
          <w:tcPr>
            <w:tcW w:w="307" w:type="pct"/>
            <w:tcBorders>
              <w:top w:val="nil"/>
              <w:left w:val="nil"/>
              <w:bottom w:val="double" w:sz="6" w:space="0" w:color="auto"/>
              <w:right w:val="double" w:sz="6" w:space="0" w:color="auto"/>
            </w:tcBorders>
            <w:shd w:val="clear" w:color="000000" w:fill="B8CCE4"/>
            <w:noWrap/>
            <w:vAlign w:val="center"/>
            <w:hideMark/>
          </w:tcPr>
          <w:p w14:paraId="1DAA7D3D"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-3.3</w:t>
            </w:r>
          </w:p>
        </w:tc>
        <w:tc>
          <w:tcPr>
            <w:tcW w:w="452" w:type="pct"/>
            <w:tcBorders>
              <w:top w:val="nil"/>
              <w:left w:val="nil"/>
              <w:bottom w:val="double" w:sz="6" w:space="0" w:color="auto"/>
              <w:right w:val="single" w:sz="4" w:space="0" w:color="auto"/>
            </w:tcBorders>
            <w:shd w:val="clear" w:color="000000" w:fill="B8CCE4"/>
            <w:noWrap/>
            <w:vAlign w:val="center"/>
            <w:hideMark/>
          </w:tcPr>
          <w:p w14:paraId="30934F8C"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-215.47</w:t>
            </w:r>
          </w:p>
        </w:tc>
        <w:tc>
          <w:tcPr>
            <w:tcW w:w="308" w:type="pct"/>
            <w:tcBorders>
              <w:top w:val="nil"/>
              <w:left w:val="nil"/>
              <w:bottom w:val="double" w:sz="6" w:space="0" w:color="auto"/>
              <w:right w:val="double" w:sz="6" w:space="0" w:color="auto"/>
            </w:tcBorders>
            <w:shd w:val="clear" w:color="000000" w:fill="B8CCE4"/>
            <w:noWrap/>
            <w:vAlign w:val="center"/>
            <w:hideMark/>
          </w:tcPr>
          <w:p w14:paraId="1E5F8527"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-2.9</w:t>
            </w:r>
          </w:p>
        </w:tc>
        <w:tc>
          <w:tcPr>
            <w:tcW w:w="436" w:type="pct"/>
            <w:tcBorders>
              <w:top w:val="nil"/>
              <w:left w:val="nil"/>
              <w:bottom w:val="double" w:sz="6" w:space="0" w:color="auto"/>
              <w:right w:val="single" w:sz="4" w:space="0" w:color="auto"/>
            </w:tcBorders>
            <w:shd w:val="clear" w:color="000000" w:fill="B8CCE4"/>
            <w:noWrap/>
            <w:vAlign w:val="center"/>
            <w:hideMark/>
          </w:tcPr>
          <w:p w14:paraId="5183F418"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-180.88</w:t>
            </w:r>
          </w:p>
        </w:tc>
        <w:tc>
          <w:tcPr>
            <w:tcW w:w="306" w:type="pct"/>
            <w:tcBorders>
              <w:top w:val="nil"/>
              <w:left w:val="nil"/>
              <w:bottom w:val="double" w:sz="6" w:space="0" w:color="auto"/>
              <w:right w:val="double" w:sz="6" w:space="0" w:color="auto"/>
            </w:tcBorders>
            <w:shd w:val="clear" w:color="000000" w:fill="B8CCE4"/>
            <w:noWrap/>
            <w:vAlign w:val="center"/>
            <w:hideMark/>
          </w:tcPr>
          <w:p w14:paraId="4E382F22"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-2.3</w:t>
            </w:r>
          </w:p>
        </w:tc>
      </w:tr>
      <w:tr w:rsidR="00052499" w:rsidRPr="00C17ACD" w14:paraId="09705CFA" w14:textId="77777777" w:rsidTr="00052499">
        <w:trPr>
          <w:trHeight w:hRule="exact" w:val="198"/>
        </w:trPr>
        <w:tc>
          <w:tcPr>
            <w:tcW w:w="1974" w:type="pct"/>
            <w:tcBorders>
              <w:top w:val="nil"/>
              <w:left w:val="double" w:sz="6" w:space="0" w:color="auto"/>
              <w:bottom w:val="double" w:sz="6" w:space="0" w:color="auto"/>
              <w:right w:val="nil"/>
            </w:tcBorders>
            <w:shd w:val="clear" w:color="000000" w:fill="B8CCE4"/>
            <w:noWrap/>
            <w:vAlign w:val="center"/>
            <w:hideMark/>
          </w:tcPr>
          <w:p w14:paraId="126E824B" w14:textId="77777777" w:rsidR="00052499" w:rsidRPr="00C17ACD" w:rsidRDefault="00052499" w:rsidP="00052499">
            <w:pPr>
              <w:spacing w:after="0" w:line="240" w:lineRule="auto"/>
              <w:rPr>
                <w:rFonts w:ascii="Calibri" w:eastAsia="Times New Roman" w:hAnsi="Calibri" w:cs="Calibri"/>
                <w:b/>
                <w:bCs/>
                <w:sz w:val="16"/>
                <w:szCs w:val="16"/>
              </w:rPr>
            </w:pPr>
            <w:r w:rsidRPr="00C17ACD">
              <w:rPr>
                <w:rFonts w:ascii="Calibri" w:eastAsia="Times New Roman" w:hAnsi="Calibri" w:cs="Calibri"/>
                <w:b/>
                <w:bCs/>
                <w:sz w:val="16"/>
                <w:szCs w:val="16"/>
              </w:rPr>
              <w:t>Primarni suficit/deficit</w:t>
            </w:r>
          </w:p>
        </w:tc>
        <w:tc>
          <w:tcPr>
            <w:tcW w:w="439" w:type="pct"/>
            <w:tcBorders>
              <w:top w:val="nil"/>
              <w:left w:val="nil"/>
              <w:bottom w:val="double" w:sz="6" w:space="0" w:color="auto"/>
              <w:right w:val="single" w:sz="4" w:space="0" w:color="auto"/>
            </w:tcBorders>
            <w:shd w:val="clear" w:color="000000" w:fill="B8CCE4"/>
            <w:noWrap/>
            <w:vAlign w:val="center"/>
            <w:hideMark/>
          </w:tcPr>
          <w:p w14:paraId="348926E7"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-106.29</w:t>
            </w:r>
          </w:p>
        </w:tc>
        <w:tc>
          <w:tcPr>
            <w:tcW w:w="300" w:type="pct"/>
            <w:tcBorders>
              <w:top w:val="nil"/>
              <w:left w:val="nil"/>
              <w:bottom w:val="double" w:sz="6" w:space="0" w:color="auto"/>
              <w:right w:val="double" w:sz="6" w:space="0" w:color="auto"/>
            </w:tcBorders>
            <w:shd w:val="clear" w:color="000000" w:fill="B8CCE4"/>
            <w:noWrap/>
            <w:vAlign w:val="center"/>
            <w:hideMark/>
          </w:tcPr>
          <w:p w14:paraId="0CA6337A"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-1.6</w:t>
            </w:r>
          </w:p>
        </w:tc>
        <w:tc>
          <w:tcPr>
            <w:tcW w:w="477" w:type="pct"/>
            <w:tcBorders>
              <w:top w:val="nil"/>
              <w:left w:val="nil"/>
              <w:bottom w:val="double" w:sz="6" w:space="0" w:color="auto"/>
              <w:right w:val="single" w:sz="4" w:space="0" w:color="auto"/>
            </w:tcBorders>
            <w:shd w:val="clear" w:color="000000" w:fill="B8CCE4"/>
            <w:noWrap/>
            <w:vAlign w:val="center"/>
            <w:hideMark/>
          </w:tcPr>
          <w:p w14:paraId="5F1194B4"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-96.91</w:t>
            </w:r>
          </w:p>
        </w:tc>
        <w:tc>
          <w:tcPr>
            <w:tcW w:w="307" w:type="pct"/>
            <w:tcBorders>
              <w:top w:val="nil"/>
              <w:left w:val="nil"/>
              <w:bottom w:val="double" w:sz="6" w:space="0" w:color="auto"/>
              <w:right w:val="double" w:sz="6" w:space="0" w:color="auto"/>
            </w:tcBorders>
            <w:shd w:val="clear" w:color="000000" w:fill="B8CCE4"/>
            <w:noWrap/>
            <w:vAlign w:val="center"/>
            <w:hideMark/>
          </w:tcPr>
          <w:p w14:paraId="40829EDF"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-1.4</w:t>
            </w:r>
          </w:p>
        </w:tc>
        <w:tc>
          <w:tcPr>
            <w:tcW w:w="452" w:type="pct"/>
            <w:tcBorders>
              <w:top w:val="nil"/>
              <w:left w:val="nil"/>
              <w:bottom w:val="double" w:sz="6" w:space="0" w:color="auto"/>
              <w:right w:val="single" w:sz="4" w:space="0" w:color="auto"/>
            </w:tcBorders>
            <w:shd w:val="clear" w:color="000000" w:fill="B8CCE4"/>
            <w:noWrap/>
            <w:vAlign w:val="center"/>
            <w:hideMark/>
          </w:tcPr>
          <w:p w14:paraId="6E15B6E9"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-53.85</w:t>
            </w:r>
          </w:p>
        </w:tc>
        <w:tc>
          <w:tcPr>
            <w:tcW w:w="308" w:type="pct"/>
            <w:tcBorders>
              <w:top w:val="nil"/>
              <w:left w:val="nil"/>
              <w:bottom w:val="double" w:sz="6" w:space="0" w:color="auto"/>
              <w:right w:val="double" w:sz="6" w:space="0" w:color="auto"/>
            </w:tcBorders>
            <w:shd w:val="clear" w:color="000000" w:fill="B8CCE4"/>
            <w:noWrap/>
            <w:vAlign w:val="center"/>
            <w:hideMark/>
          </w:tcPr>
          <w:p w14:paraId="52170A0B"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-0.7</w:t>
            </w:r>
          </w:p>
        </w:tc>
        <w:tc>
          <w:tcPr>
            <w:tcW w:w="436" w:type="pct"/>
            <w:tcBorders>
              <w:top w:val="nil"/>
              <w:left w:val="nil"/>
              <w:bottom w:val="double" w:sz="6" w:space="0" w:color="auto"/>
              <w:right w:val="single" w:sz="4" w:space="0" w:color="auto"/>
            </w:tcBorders>
            <w:shd w:val="clear" w:color="000000" w:fill="B8CCE4"/>
            <w:noWrap/>
            <w:vAlign w:val="center"/>
            <w:hideMark/>
          </w:tcPr>
          <w:p w14:paraId="58E93C82"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12.07</w:t>
            </w:r>
          </w:p>
        </w:tc>
        <w:tc>
          <w:tcPr>
            <w:tcW w:w="306" w:type="pct"/>
            <w:tcBorders>
              <w:top w:val="nil"/>
              <w:left w:val="nil"/>
              <w:bottom w:val="double" w:sz="6" w:space="0" w:color="auto"/>
              <w:right w:val="double" w:sz="6" w:space="0" w:color="auto"/>
            </w:tcBorders>
            <w:shd w:val="clear" w:color="000000" w:fill="B8CCE4"/>
            <w:noWrap/>
            <w:vAlign w:val="center"/>
            <w:hideMark/>
          </w:tcPr>
          <w:p w14:paraId="06C33261"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0.2</w:t>
            </w:r>
          </w:p>
        </w:tc>
      </w:tr>
      <w:tr w:rsidR="00052499" w:rsidRPr="00C17ACD" w14:paraId="48FB6E68" w14:textId="77777777" w:rsidTr="00052499">
        <w:trPr>
          <w:trHeight w:hRule="exact" w:val="198"/>
        </w:trPr>
        <w:tc>
          <w:tcPr>
            <w:tcW w:w="1974" w:type="pct"/>
            <w:tcBorders>
              <w:top w:val="nil"/>
              <w:left w:val="double" w:sz="6" w:space="0" w:color="auto"/>
              <w:bottom w:val="double" w:sz="6" w:space="0" w:color="auto"/>
              <w:right w:val="nil"/>
            </w:tcBorders>
            <w:shd w:val="clear" w:color="000000" w:fill="B8CCE4"/>
            <w:noWrap/>
            <w:vAlign w:val="center"/>
            <w:hideMark/>
          </w:tcPr>
          <w:p w14:paraId="36AB9CF7" w14:textId="77777777" w:rsidR="00052499" w:rsidRPr="00C17ACD" w:rsidRDefault="00052499" w:rsidP="00052499">
            <w:pPr>
              <w:spacing w:after="0" w:line="240" w:lineRule="auto"/>
              <w:rPr>
                <w:rFonts w:ascii="Calibri" w:eastAsia="Times New Roman" w:hAnsi="Calibri" w:cs="Calibri"/>
                <w:b/>
                <w:bCs/>
                <w:sz w:val="16"/>
                <w:szCs w:val="16"/>
              </w:rPr>
            </w:pPr>
            <w:r w:rsidRPr="00C17ACD">
              <w:rPr>
                <w:rFonts w:ascii="Calibri" w:eastAsia="Times New Roman" w:hAnsi="Calibri" w:cs="Calibri"/>
                <w:b/>
                <w:bCs/>
                <w:sz w:val="16"/>
                <w:szCs w:val="16"/>
              </w:rPr>
              <w:t>Otplata duga</w:t>
            </w:r>
          </w:p>
        </w:tc>
        <w:tc>
          <w:tcPr>
            <w:tcW w:w="439" w:type="pct"/>
            <w:tcBorders>
              <w:top w:val="nil"/>
              <w:left w:val="nil"/>
              <w:bottom w:val="double" w:sz="6" w:space="0" w:color="auto"/>
              <w:right w:val="single" w:sz="4" w:space="0" w:color="auto"/>
            </w:tcBorders>
            <w:shd w:val="clear" w:color="000000" w:fill="B8CCE4"/>
            <w:noWrap/>
            <w:vAlign w:val="center"/>
            <w:hideMark/>
          </w:tcPr>
          <w:p w14:paraId="70B187C5"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338.09</w:t>
            </w:r>
          </w:p>
        </w:tc>
        <w:tc>
          <w:tcPr>
            <w:tcW w:w="300" w:type="pct"/>
            <w:tcBorders>
              <w:top w:val="nil"/>
              <w:left w:val="nil"/>
              <w:bottom w:val="double" w:sz="6" w:space="0" w:color="auto"/>
              <w:right w:val="double" w:sz="6" w:space="0" w:color="auto"/>
            </w:tcBorders>
            <w:shd w:val="clear" w:color="000000" w:fill="B8CCE4"/>
            <w:noWrap/>
            <w:vAlign w:val="center"/>
            <w:hideMark/>
          </w:tcPr>
          <w:p w14:paraId="65B27AD0"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5.2</w:t>
            </w:r>
          </w:p>
        </w:tc>
        <w:tc>
          <w:tcPr>
            <w:tcW w:w="477" w:type="pct"/>
            <w:tcBorders>
              <w:top w:val="nil"/>
              <w:left w:val="nil"/>
              <w:bottom w:val="double" w:sz="6" w:space="0" w:color="auto"/>
              <w:right w:val="single" w:sz="4" w:space="0" w:color="auto"/>
            </w:tcBorders>
            <w:shd w:val="clear" w:color="000000" w:fill="B8CCE4"/>
            <w:noWrap/>
            <w:vAlign w:val="center"/>
            <w:hideMark/>
          </w:tcPr>
          <w:p w14:paraId="0B1E6D49"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518.72</w:t>
            </w:r>
          </w:p>
        </w:tc>
        <w:tc>
          <w:tcPr>
            <w:tcW w:w="307" w:type="pct"/>
            <w:tcBorders>
              <w:top w:val="nil"/>
              <w:left w:val="nil"/>
              <w:bottom w:val="double" w:sz="6" w:space="0" w:color="auto"/>
              <w:right w:val="double" w:sz="6" w:space="0" w:color="auto"/>
            </w:tcBorders>
            <w:shd w:val="clear" w:color="000000" w:fill="B8CCE4"/>
            <w:noWrap/>
            <w:vAlign w:val="center"/>
            <w:hideMark/>
          </w:tcPr>
          <w:p w14:paraId="29533654"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7.4</w:t>
            </w:r>
          </w:p>
        </w:tc>
        <w:tc>
          <w:tcPr>
            <w:tcW w:w="452" w:type="pct"/>
            <w:tcBorders>
              <w:top w:val="nil"/>
              <w:left w:val="nil"/>
              <w:bottom w:val="double" w:sz="6" w:space="0" w:color="auto"/>
              <w:right w:val="single" w:sz="4" w:space="0" w:color="auto"/>
            </w:tcBorders>
            <w:shd w:val="clear" w:color="000000" w:fill="B8CCE4"/>
            <w:noWrap/>
            <w:vAlign w:val="center"/>
            <w:hideMark/>
          </w:tcPr>
          <w:p w14:paraId="7857FFD1"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804.98</w:t>
            </w:r>
          </w:p>
        </w:tc>
        <w:tc>
          <w:tcPr>
            <w:tcW w:w="308" w:type="pct"/>
            <w:tcBorders>
              <w:top w:val="nil"/>
              <w:left w:val="nil"/>
              <w:bottom w:val="double" w:sz="6" w:space="0" w:color="auto"/>
              <w:right w:val="double" w:sz="6" w:space="0" w:color="auto"/>
            </w:tcBorders>
            <w:shd w:val="clear" w:color="000000" w:fill="B8CCE4"/>
            <w:noWrap/>
            <w:vAlign w:val="center"/>
            <w:hideMark/>
          </w:tcPr>
          <w:p w14:paraId="62FDE3D1"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10.8</w:t>
            </w:r>
          </w:p>
        </w:tc>
        <w:tc>
          <w:tcPr>
            <w:tcW w:w="436" w:type="pct"/>
            <w:tcBorders>
              <w:top w:val="nil"/>
              <w:left w:val="nil"/>
              <w:bottom w:val="double" w:sz="6" w:space="0" w:color="auto"/>
              <w:right w:val="single" w:sz="4" w:space="0" w:color="auto"/>
            </w:tcBorders>
            <w:shd w:val="clear" w:color="000000" w:fill="B8CCE4"/>
            <w:noWrap/>
            <w:vAlign w:val="center"/>
            <w:hideMark/>
          </w:tcPr>
          <w:p w14:paraId="4119C289"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275.12</w:t>
            </w:r>
          </w:p>
        </w:tc>
        <w:tc>
          <w:tcPr>
            <w:tcW w:w="306" w:type="pct"/>
            <w:tcBorders>
              <w:top w:val="nil"/>
              <w:left w:val="nil"/>
              <w:bottom w:val="double" w:sz="6" w:space="0" w:color="auto"/>
              <w:right w:val="double" w:sz="6" w:space="0" w:color="auto"/>
            </w:tcBorders>
            <w:shd w:val="clear" w:color="000000" w:fill="B8CCE4"/>
            <w:noWrap/>
            <w:vAlign w:val="center"/>
            <w:hideMark/>
          </w:tcPr>
          <w:p w14:paraId="1448D40B"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3.5</w:t>
            </w:r>
          </w:p>
        </w:tc>
      </w:tr>
      <w:tr w:rsidR="00052499" w:rsidRPr="00C17ACD" w14:paraId="51539425" w14:textId="77777777" w:rsidTr="00052499">
        <w:trPr>
          <w:trHeight w:hRule="exact" w:val="198"/>
        </w:trPr>
        <w:tc>
          <w:tcPr>
            <w:tcW w:w="1974" w:type="pct"/>
            <w:tcBorders>
              <w:top w:val="nil"/>
              <w:left w:val="double" w:sz="6" w:space="0" w:color="auto"/>
              <w:bottom w:val="nil"/>
              <w:right w:val="nil"/>
            </w:tcBorders>
            <w:shd w:val="clear" w:color="000000" w:fill="FFFFFF"/>
            <w:noWrap/>
            <w:vAlign w:val="center"/>
            <w:hideMark/>
          </w:tcPr>
          <w:p w14:paraId="70C75F66" w14:textId="77777777" w:rsidR="00052499" w:rsidRPr="00C17ACD" w:rsidRDefault="00052499" w:rsidP="00052499">
            <w:pPr>
              <w:spacing w:after="0" w:line="240" w:lineRule="auto"/>
              <w:rPr>
                <w:rFonts w:ascii="Calibri" w:eastAsia="Times New Roman" w:hAnsi="Calibri" w:cs="Calibri"/>
                <w:sz w:val="16"/>
                <w:szCs w:val="16"/>
              </w:rPr>
            </w:pPr>
            <w:r w:rsidRPr="00C17ACD">
              <w:rPr>
                <w:rFonts w:ascii="Calibri" w:eastAsia="Times New Roman" w:hAnsi="Calibri" w:cs="Calibri"/>
                <w:sz w:val="16"/>
                <w:szCs w:val="16"/>
              </w:rPr>
              <w:t>Otplata duga rezidentima</w:t>
            </w:r>
          </w:p>
        </w:tc>
        <w:tc>
          <w:tcPr>
            <w:tcW w:w="439" w:type="pct"/>
            <w:tcBorders>
              <w:top w:val="nil"/>
              <w:left w:val="nil"/>
              <w:bottom w:val="nil"/>
              <w:right w:val="single" w:sz="4" w:space="0" w:color="auto"/>
            </w:tcBorders>
            <w:shd w:val="clear" w:color="000000" w:fill="FFFFFF"/>
            <w:noWrap/>
            <w:vAlign w:val="center"/>
            <w:hideMark/>
          </w:tcPr>
          <w:p w14:paraId="2BA3C12B"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96.56</w:t>
            </w:r>
          </w:p>
        </w:tc>
        <w:tc>
          <w:tcPr>
            <w:tcW w:w="300" w:type="pct"/>
            <w:tcBorders>
              <w:top w:val="nil"/>
              <w:left w:val="nil"/>
              <w:bottom w:val="nil"/>
              <w:right w:val="double" w:sz="6" w:space="0" w:color="auto"/>
            </w:tcBorders>
            <w:shd w:val="clear" w:color="000000" w:fill="FFFFFF"/>
            <w:noWrap/>
            <w:vAlign w:val="center"/>
            <w:hideMark/>
          </w:tcPr>
          <w:p w14:paraId="443664DD"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1.5</w:t>
            </w:r>
          </w:p>
        </w:tc>
        <w:tc>
          <w:tcPr>
            <w:tcW w:w="477" w:type="pct"/>
            <w:tcBorders>
              <w:top w:val="nil"/>
              <w:left w:val="nil"/>
              <w:bottom w:val="nil"/>
              <w:right w:val="single" w:sz="4" w:space="0" w:color="auto"/>
            </w:tcBorders>
            <w:shd w:val="clear" w:color="000000" w:fill="FFFFFF"/>
            <w:noWrap/>
            <w:vAlign w:val="center"/>
            <w:hideMark/>
          </w:tcPr>
          <w:p w14:paraId="75C84EBE" w14:textId="77777777" w:rsidR="00052499" w:rsidRPr="00C17ACD" w:rsidRDefault="00052499" w:rsidP="00052499">
            <w:pPr>
              <w:spacing w:after="0" w:line="240" w:lineRule="auto"/>
              <w:jc w:val="right"/>
              <w:rPr>
                <w:rFonts w:ascii="Calibri" w:eastAsia="Times New Roman" w:hAnsi="Calibri" w:cs="Calibri"/>
                <w:sz w:val="16"/>
                <w:szCs w:val="16"/>
              </w:rPr>
            </w:pPr>
            <w:r w:rsidRPr="00C17ACD">
              <w:rPr>
                <w:rFonts w:ascii="Calibri" w:eastAsia="Times New Roman" w:hAnsi="Calibri" w:cs="Calibri"/>
                <w:sz w:val="16"/>
                <w:szCs w:val="16"/>
              </w:rPr>
              <w:t>212.82</w:t>
            </w:r>
          </w:p>
        </w:tc>
        <w:tc>
          <w:tcPr>
            <w:tcW w:w="307" w:type="pct"/>
            <w:tcBorders>
              <w:top w:val="nil"/>
              <w:left w:val="nil"/>
              <w:bottom w:val="nil"/>
              <w:right w:val="double" w:sz="6" w:space="0" w:color="auto"/>
            </w:tcBorders>
            <w:shd w:val="clear" w:color="000000" w:fill="FFFFFF"/>
            <w:noWrap/>
            <w:vAlign w:val="center"/>
            <w:hideMark/>
          </w:tcPr>
          <w:p w14:paraId="2081D4C6"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3.0</w:t>
            </w:r>
          </w:p>
        </w:tc>
        <w:tc>
          <w:tcPr>
            <w:tcW w:w="452" w:type="pct"/>
            <w:tcBorders>
              <w:top w:val="nil"/>
              <w:left w:val="nil"/>
              <w:bottom w:val="nil"/>
              <w:right w:val="single" w:sz="4" w:space="0" w:color="auto"/>
            </w:tcBorders>
            <w:shd w:val="clear" w:color="000000" w:fill="FFFFFF"/>
            <w:noWrap/>
            <w:vAlign w:val="center"/>
            <w:hideMark/>
          </w:tcPr>
          <w:p w14:paraId="2FCC6C40" w14:textId="77777777" w:rsidR="00052499" w:rsidRPr="00C17ACD" w:rsidRDefault="00052499" w:rsidP="00052499">
            <w:pPr>
              <w:spacing w:after="0" w:line="240" w:lineRule="auto"/>
              <w:jc w:val="right"/>
              <w:rPr>
                <w:rFonts w:ascii="Calibri" w:eastAsia="Times New Roman" w:hAnsi="Calibri" w:cs="Calibri"/>
                <w:sz w:val="16"/>
                <w:szCs w:val="16"/>
              </w:rPr>
            </w:pPr>
            <w:r w:rsidRPr="00C17ACD">
              <w:rPr>
                <w:rFonts w:ascii="Calibri" w:eastAsia="Times New Roman" w:hAnsi="Calibri" w:cs="Calibri"/>
                <w:sz w:val="16"/>
                <w:szCs w:val="16"/>
              </w:rPr>
              <w:t>48.94</w:t>
            </w:r>
          </w:p>
        </w:tc>
        <w:tc>
          <w:tcPr>
            <w:tcW w:w="308" w:type="pct"/>
            <w:tcBorders>
              <w:top w:val="nil"/>
              <w:left w:val="nil"/>
              <w:bottom w:val="nil"/>
              <w:right w:val="double" w:sz="6" w:space="0" w:color="auto"/>
            </w:tcBorders>
            <w:shd w:val="clear" w:color="000000" w:fill="FFFFFF"/>
            <w:noWrap/>
            <w:vAlign w:val="center"/>
            <w:hideMark/>
          </w:tcPr>
          <w:p w14:paraId="50618F31"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0.7</w:t>
            </w:r>
          </w:p>
        </w:tc>
        <w:tc>
          <w:tcPr>
            <w:tcW w:w="436" w:type="pct"/>
            <w:tcBorders>
              <w:top w:val="nil"/>
              <w:left w:val="nil"/>
              <w:bottom w:val="nil"/>
              <w:right w:val="single" w:sz="4" w:space="0" w:color="auto"/>
            </w:tcBorders>
            <w:shd w:val="clear" w:color="000000" w:fill="FFFFFF"/>
            <w:noWrap/>
            <w:vAlign w:val="center"/>
            <w:hideMark/>
          </w:tcPr>
          <w:p w14:paraId="49BF30A1" w14:textId="77777777" w:rsidR="00052499" w:rsidRPr="00C17ACD" w:rsidRDefault="00052499" w:rsidP="00052499">
            <w:pPr>
              <w:spacing w:after="0" w:line="240" w:lineRule="auto"/>
              <w:jc w:val="right"/>
              <w:rPr>
                <w:rFonts w:ascii="Calibri" w:eastAsia="Times New Roman" w:hAnsi="Calibri" w:cs="Calibri"/>
                <w:sz w:val="16"/>
                <w:szCs w:val="16"/>
              </w:rPr>
            </w:pPr>
            <w:r w:rsidRPr="00C17ACD">
              <w:rPr>
                <w:rFonts w:ascii="Calibri" w:eastAsia="Times New Roman" w:hAnsi="Calibri" w:cs="Calibri"/>
                <w:sz w:val="16"/>
                <w:szCs w:val="16"/>
              </w:rPr>
              <w:t>93.31</w:t>
            </w:r>
          </w:p>
        </w:tc>
        <w:tc>
          <w:tcPr>
            <w:tcW w:w="306" w:type="pct"/>
            <w:tcBorders>
              <w:top w:val="nil"/>
              <w:left w:val="nil"/>
              <w:bottom w:val="nil"/>
              <w:right w:val="double" w:sz="6" w:space="0" w:color="auto"/>
            </w:tcBorders>
            <w:shd w:val="clear" w:color="000000" w:fill="FFFFFF"/>
            <w:noWrap/>
            <w:vAlign w:val="center"/>
            <w:hideMark/>
          </w:tcPr>
          <w:p w14:paraId="46B9648F"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1.2</w:t>
            </w:r>
          </w:p>
        </w:tc>
      </w:tr>
      <w:tr w:rsidR="00052499" w:rsidRPr="00C17ACD" w14:paraId="5C49780F" w14:textId="77777777" w:rsidTr="00052499">
        <w:trPr>
          <w:trHeight w:hRule="exact" w:val="198"/>
        </w:trPr>
        <w:tc>
          <w:tcPr>
            <w:tcW w:w="1974" w:type="pct"/>
            <w:tcBorders>
              <w:top w:val="nil"/>
              <w:left w:val="double" w:sz="6" w:space="0" w:color="auto"/>
              <w:bottom w:val="nil"/>
              <w:right w:val="nil"/>
            </w:tcBorders>
            <w:shd w:val="clear" w:color="000000" w:fill="FFFFFF"/>
            <w:noWrap/>
            <w:vAlign w:val="center"/>
            <w:hideMark/>
          </w:tcPr>
          <w:p w14:paraId="0E673340" w14:textId="77777777" w:rsidR="00052499" w:rsidRPr="00C17ACD" w:rsidRDefault="00052499" w:rsidP="00052499">
            <w:pPr>
              <w:spacing w:after="0" w:line="240" w:lineRule="auto"/>
              <w:rPr>
                <w:rFonts w:ascii="Calibri" w:eastAsia="Times New Roman" w:hAnsi="Calibri" w:cs="Calibri"/>
                <w:sz w:val="16"/>
                <w:szCs w:val="16"/>
              </w:rPr>
            </w:pPr>
            <w:r w:rsidRPr="00C17ACD">
              <w:rPr>
                <w:rFonts w:ascii="Calibri" w:eastAsia="Times New Roman" w:hAnsi="Calibri" w:cs="Calibri"/>
                <w:sz w:val="16"/>
                <w:szCs w:val="16"/>
              </w:rPr>
              <w:t>Otplata duga nerezidentima</w:t>
            </w:r>
          </w:p>
        </w:tc>
        <w:tc>
          <w:tcPr>
            <w:tcW w:w="439" w:type="pct"/>
            <w:tcBorders>
              <w:top w:val="nil"/>
              <w:left w:val="nil"/>
              <w:bottom w:val="nil"/>
              <w:right w:val="single" w:sz="4" w:space="0" w:color="auto"/>
            </w:tcBorders>
            <w:shd w:val="clear" w:color="000000" w:fill="FFFFFF"/>
            <w:noWrap/>
            <w:vAlign w:val="center"/>
            <w:hideMark/>
          </w:tcPr>
          <w:p w14:paraId="2825CFA1"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241.53</w:t>
            </w:r>
          </w:p>
        </w:tc>
        <w:tc>
          <w:tcPr>
            <w:tcW w:w="300" w:type="pct"/>
            <w:tcBorders>
              <w:top w:val="nil"/>
              <w:left w:val="nil"/>
              <w:bottom w:val="nil"/>
              <w:right w:val="double" w:sz="6" w:space="0" w:color="auto"/>
            </w:tcBorders>
            <w:shd w:val="clear" w:color="000000" w:fill="FFFFFF"/>
            <w:noWrap/>
            <w:vAlign w:val="center"/>
            <w:hideMark/>
          </w:tcPr>
          <w:p w14:paraId="4D9B21DD"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3.7</w:t>
            </w:r>
          </w:p>
        </w:tc>
        <w:tc>
          <w:tcPr>
            <w:tcW w:w="477" w:type="pct"/>
            <w:tcBorders>
              <w:top w:val="nil"/>
              <w:left w:val="nil"/>
              <w:bottom w:val="nil"/>
              <w:right w:val="single" w:sz="4" w:space="0" w:color="auto"/>
            </w:tcBorders>
            <w:shd w:val="clear" w:color="000000" w:fill="FFFFFF"/>
            <w:noWrap/>
            <w:vAlign w:val="center"/>
            <w:hideMark/>
          </w:tcPr>
          <w:p w14:paraId="536EF4F9" w14:textId="77777777" w:rsidR="00052499" w:rsidRPr="00C17ACD" w:rsidRDefault="00052499" w:rsidP="00052499">
            <w:pPr>
              <w:spacing w:after="0" w:line="240" w:lineRule="auto"/>
              <w:jc w:val="right"/>
              <w:rPr>
                <w:rFonts w:ascii="Calibri" w:eastAsia="Times New Roman" w:hAnsi="Calibri" w:cs="Calibri"/>
                <w:sz w:val="16"/>
                <w:szCs w:val="16"/>
              </w:rPr>
            </w:pPr>
            <w:r w:rsidRPr="00C17ACD">
              <w:rPr>
                <w:rFonts w:ascii="Calibri" w:eastAsia="Times New Roman" w:hAnsi="Calibri" w:cs="Calibri"/>
                <w:sz w:val="16"/>
                <w:szCs w:val="16"/>
              </w:rPr>
              <w:t>305.90</w:t>
            </w:r>
          </w:p>
        </w:tc>
        <w:tc>
          <w:tcPr>
            <w:tcW w:w="307" w:type="pct"/>
            <w:tcBorders>
              <w:top w:val="nil"/>
              <w:left w:val="nil"/>
              <w:bottom w:val="nil"/>
              <w:right w:val="double" w:sz="6" w:space="0" w:color="auto"/>
            </w:tcBorders>
            <w:shd w:val="clear" w:color="000000" w:fill="FFFFFF"/>
            <w:noWrap/>
            <w:vAlign w:val="center"/>
            <w:hideMark/>
          </w:tcPr>
          <w:p w14:paraId="62B8DE8E"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4.3</w:t>
            </w:r>
          </w:p>
        </w:tc>
        <w:tc>
          <w:tcPr>
            <w:tcW w:w="452" w:type="pct"/>
            <w:tcBorders>
              <w:top w:val="nil"/>
              <w:left w:val="nil"/>
              <w:bottom w:val="nil"/>
              <w:right w:val="single" w:sz="4" w:space="0" w:color="auto"/>
            </w:tcBorders>
            <w:shd w:val="clear" w:color="000000" w:fill="FFFFFF"/>
            <w:noWrap/>
            <w:vAlign w:val="center"/>
            <w:hideMark/>
          </w:tcPr>
          <w:p w14:paraId="693ECF37" w14:textId="77777777" w:rsidR="00052499" w:rsidRPr="00C17ACD" w:rsidRDefault="00052499" w:rsidP="00052499">
            <w:pPr>
              <w:spacing w:after="0" w:line="240" w:lineRule="auto"/>
              <w:jc w:val="right"/>
              <w:rPr>
                <w:rFonts w:ascii="Calibri" w:eastAsia="Times New Roman" w:hAnsi="Calibri" w:cs="Calibri"/>
                <w:sz w:val="16"/>
                <w:szCs w:val="16"/>
              </w:rPr>
            </w:pPr>
            <w:r w:rsidRPr="00C17ACD">
              <w:rPr>
                <w:rFonts w:ascii="Calibri" w:eastAsia="Times New Roman" w:hAnsi="Calibri" w:cs="Calibri"/>
                <w:sz w:val="16"/>
                <w:szCs w:val="16"/>
              </w:rPr>
              <w:t>756.04</w:t>
            </w:r>
          </w:p>
        </w:tc>
        <w:tc>
          <w:tcPr>
            <w:tcW w:w="308" w:type="pct"/>
            <w:tcBorders>
              <w:top w:val="nil"/>
              <w:left w:val="nil"/>
              <w:bottom w:val="nil"/>
              <w:right w:val="double" w:sz="6" w:space="0" w:color="auto"/>
            </w:tcBorders>
            <w:shd w:val="clear" w:color="000000" w:fill="FFFFFF"/>
            <w:noWrap/>
            <w:vAlign w:val="center"/>
            <w:hideMark/>
          </w:tcPr>
          <w:p w14:paraId="29A064D2"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10.2</w:t>
            </w:r>
          </w:p>
        </w:tc>
        <w:tc>
          <w:tcPr>
            <w:tcW w:w="436" w:type="pct"/>
            <w:tcBorders>
              <w:top w:val="nil"/>
              <w:left w:val="nil"/>
              <w:bottom w:val="nil"/>
              <w:right w:val="single" w:sz="4" w:space="0" w:color="auto"/>
            </w:tcBorders>
            <w:shd w:val="clear" w:color="000000" w:fill="FFFFFF"/>
            <w:noWrap/>
            <w:vAlign w:val="center"/>
            <w:hideMark/>
          </w:tcPr>
          <w:p w14:paraId="09489F17" w14:textId="77777777" w:rsidR="00052499" w:rsidRPr="00C17ACD" w:rsidRDefault="00052499" w:rsidP="00052499">
            <w:pPr>
              <w:spacing w:after="0" w:line="240" w:lineRule="auto"/>
              <w:jc w:val="right"/>
              <w:rPr>
                <w:rFonts w:ascii="Calibri" w:eastAsia="Times New Roman" w:hAnsi="Calibri" w:cs="Calibri"/>
                <w:sz w:val="16"/>
                <w:szCs w:val="16"/>
              </w:rPr>
            </w:pPr>
            <w:r w:rsidRPr="00C17ACD">
              <w:rPr>
                <w:rFonts w:ascii="Calibri" w:eastAsia="Times New Roman" w:hAnsi="Calibri" w:cs="Calibri"/>
                <w:sz w:val="16"/>
                <w:szCs w:val="16"/>
              </w:rPr>
              <w:t>181.81</w:t>
            </w:r>
          </w:p>
        </w:tc>
        <w:tc>
          <w:tcPr>
            <w:tcW w:w="306" w:type="pct"/>
            <w:tcBorders>
              <w:top w:val="nil"/>
              <w:left w:val="nil"/>
              <w:bottom w:val="nil"/>
              <w:right w:val="double" w:sz="6" w:space="0" w:color="auto"/>
            </w:tcBorders>
            <w:shd w:val="clear" w:color="000000" w:fill="FFFFFF"/>
            <w:noWrap/>
            <w:vAlign w:val="center"/>
            <w:hideMark/>
          </w:tcPr>
          <w:p w14:paraId="420BDDD1"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2.3</w:t>
            </w:r>
          </w:p>
        </w:tc>
      </w:tr>
      <w:tr w:rsidR="00052499" w:rsidRPr="00C17ACD" w14:paraId="1DCD87A6" w14:textId="77777777" w:rsidTr="00052499">
        <w:trPr>
          <w:trHeight w:hRule="exact" w:val="198"/>
        </w:trPr>
        <w:tc>
          <w:tcPr>
            <w:tcW w:w="1974" w:type="pct"/>
            <w:tcBorders>
              <w:top w:val="double" w:sz="6" w:space="0" w:color="auto"/>
              <w:left w:val="double" w:sz="6" w:space="0" w:color="auto"/>
              <w:bottom w:val="double" w:sz="6" w:space="0" w:color="auto"/>
              <w:right w:val="nil"/>
            </w:tcBorders>
            <w:shd w:val="clear" w:color="000000" w:fill="B8CCE4"/>
            <w:noWrap/>
            <w:vAlign w:val="center"/>
            <w:hideMark/>
          </w:tcPr>
          <w:p w14:paraId="098FCF30" w14:textId="77777777" w:rsidR="00052499" w:rsidRPr="00C17ACD" w:rsidRDefault="00052499" w:rsidP="00052499">
            <w:pPr>
              <w:spacing w:after="0" w:line="240" w:lineRule="auto"/>
              <w:rPr>
                <w:rFonts w:ascii="Calibri" w:eastAsia="Times New Roman" w:hAnsi="Calibri" w:cs="Calibri"/>
                <w:b/>
                <w:bCs/>
                <w:sz w:val="16"/>
                <w:szCs w:val="16"/>
              </w:rPr>
            </w:pPr>
            <w:r w:rsidRPr="00C17ACD">
              <w:rPr>
                <w:rFonts w:ascii="Calibri" w:eastAsia="Times New Roman" w:hAnsi="Calibri" w:cs="Calibri"/>
                <w:b/>
                <w:bCs/>
                <w:sz w:val="16"/>
                <w:szCs w:val="16"/>
              </w:rPr>
              <w:t>Izdaci za kupovinu hartija od vrijednosti</w:t>
            </w:r>
          </w:p>
        </w:tc>
        <w:tc>
          <w:tcPr>
            <w:tcW w:w="439" w:type="pct"/>
            <w:tcBorders>
              <w:top w:val="double" w:sz="6" w:space="0" w:color="auto"/>
              <w:left w:val="nil"/>
              <w:bottom w:val="double" w:sz="6" w:space="0" w:color="auto"/>
              <w:right w:val="single" w:sz="4" w:space="0" w:color="auto"/>
            </w:tcBorders>
            <w:shd w:val="clear" w:color="000000" w:fill="B8CCE4"/>
            <w:noWrap/>
            <w:vAlign w:val="center"/>
            <w:hideMark/>
          </w:tcPr>
          <w:p w14:paraId="6D0C21F4"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0.78</w:t>
            </w:r>
          </w:p>
        </w:tc>
        <w:tc>
          <w:tcPr>
            <w:tcW w:w="300" w:type="pct"/>
            <w:tcBorders>
              <w:top w:val="double" w:sz="6" w:space="0" w:color="auto"/>
              <w:left w:val="nil"/>
              <w:bottom w:val="double" w:sz="6" w:space="0" w:color="auto"/>
              <w:right w:val="double" w:sz="6" w:space="0" w:color="auto"/>
            </w:tcBorders>
            <w:shd w:val="clear" w:color="000000" w:fill="B8CCE4"/>
            <w:noWrap/>
            <w:vAlign w:val="center"/>
            <w:hideMark/>
          </w:tcPr>
          <w:p w14:paraId="057F6C5B"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0.0</w:t>
            </w:r>
          </w:p>
        </w:tc>
        <w:tc>
          <w:tcPr>
            <w:tcW w:w="477" w:type="pct"/>
            <w:tcBorders>
              <w:top w:val="double" w:sz="6" w:space="0" w:color="auto"/>
              <w:left w:val="nil"/>
              <w:bottom w:val="double" w:sz="6" w:space="0" w:color="auto"/>
              <w:right w:val="single" w:sz="4" w:space="0" w:color="auto"/>
            </w:tcBorders>
            <w:shd w:val="clear" w:color="000000" w:fill="B8CCE4"/>
            <w:noWrap/>
            <w:vAlign w:val="center"/>
            <w:hideMark/>
          </w:tcPr>
          <w:p w14:paraId="046C82F4"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2.28</w:t>
            </w:r>
          </w:p>
        </w:tc>
        <w:tc>
          <w:tcPr>
            <w:tcW w:w="307" w:type="pct"/>
            <w:tcBorders>
              <w:top w:val="double" w:sz="6" w:space="0" w:color="auto"/>
              <w:left w:val="nil"/>
              <w:bottom w:val="double" w:sz="6" w:space="0" w:color="auto"/>
              <w:right w:val="double" w:sz="6" w:space="0" w:color="auto"/>
            </w:tcBorders>
            <w:shd w:val="clear" w:color="000000" w:fill="B8CCE4"/>
            <w:noWrap/>
            <w:vAlign w:val="center"/>
            <w:hideMark/>
          </w:tcPr>
          <w:p w14:paraId="51E87E57"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0.0</w:t>
            </w:r>
          </w:p>
        </w:tc>
        <w:tc>
          <w:tcPr>
            <w:tcW w:w="452" w:type="pct"/>
            <w:tcBorders>
              <w:top w:val="double" w:sz="6" w:space="0" w:color="auto"/>
              <w:left w:val="nil"/>
              <w:bottom w:val="double" w:sz="6" w:space="0" w:color="auto"/>
              <w:right w:val="single" w:sz="4" w:space="0" w:color="auto"/>
            </w:tcBorders>
            <w:shd w:val="clear" w:color="000000" w:fill="B8CCE4"/>
            <w:noWrap/>
            <w:vAlign w:val="center"/>
            <w:hideMark/>
          </w:tcPr>
          <w:p w14:paraId="5F43B62E"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2.28</w:t>
            </w:r>
          </w:p>
        </w:tc>
        <w:tc>
          <w:tcPr>
            <w:tcW w:w="308" w:type="pct"/>
            <w:tcBorders>
              <w:top w:val="double" w:sz="6" w:space="0" w:color="auto"/>
              <w:left w:val="nil"/>
              <w:bottom w:val="double" w:sz="6" w:space="0" w:color="auto"/>
              <w:right w:val="double" w:sz="6" w:space="0" w:color="auto"/>
            </w:tcBorders>
            <w:shd w:val="clear" w:color="000000" w:fill="B8CCE4"/>
            <w:noWrap/>
            <w:vAlign w:val="center"/>
            <w:hideMark/>
          </w:tcPr>
          <w:p w14:paraId="43B0F61A"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0.0</w:t>
            </w:r>
          </w:p>
        </w:tc>
        <w:tc>
          <w:tcPr>
            <w:tcW w:w="436" w:type="pct"/>
            <w:tcBorders>
              <w:top w:val="double" w:sz="6" w:space="0" w:color="auto"/>
              <w:left w:val="nil"/>
              <w:bottom w:val="double" w:sz="6" w:space="0" w:color="auto"/>
              <w:right w:val="single" w:sz="4" w:space="0" w:color="auto"/>
            </w:tcBorders>
            <w:shd w:val="clear" w:color="000000" w:fill="B8CCE4"/>
            <w:noWrap/>
            <w:vAlign w:val="center"/>
            <w:hideMark/>
          </w:tcPr>
          <w:p w14:paraId="76DE12CB"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1.58</w:t>
            </w:r>
          </w:p>
        </w:tc>
        <w:tc>
          <w:tcPr>
            <w:tcW w:w="306" w:type="pct"/>
            <w:tcBorders>
              <w:top w:val="double" w:sz="6" w:space="0" w:color="auto"/>
              <w:left w:val="nil"/>
              <w:bottom w:val="double" w:sz="6" w:space="0" w:color="auto"/>
              <w:right w:val="double" w:sz="6" w:space="0" w:color="auto"/>
            </w:tcBorders>
            <w:shd w:val="clear" w:color="000000" w:fill="B8CCE4"/>
            <w:noWrap/>
            <w:vAlign w:val="center"/>
            <w:hideMark/>
          </w:tcPr>
          <w:p w14:paraId="4083DD4C"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0.0</w:t>
            </w:r>
          </w:p>
        </w:tc>
      </w:tr>
      <w:tr w:rsidR="00052499" w:rsidRPr="00C17ACD" w14:paraId="727CE661" w14:textId="77777777" w:rsidTr="00052499">
        <w:trPr>
          <w:trHeight w:hRule="exact" w:val="198"/>
        </w:trPr>
        <w:tc>
          <w:tcPr>
            <w:tcW w:w="1974" w:type="pct"/>
            <w:tcBorders>
              <w:top w:val="nil"/>
              <w:left w:val="double" w:sz="6" w:space="0" w:color="auto"/>
              <w:bottom w:val="double" w:sz="6" w:space="0" w:color="auto"/>
              <w:right w:val="nil"/>
            </w:tcBorders>
            <w:shd w:val="clear" w:color="000000" w:fill="B8CCE4"/>
            <w:noWrap/>
            <w:vAlign w:val="center"/>
            <w:hideMark/>
          </w:tcPr>
          <w:p w14:paraId="70D9B961" w14:textId="77777777" w:rsidR="00052499" w:rsidRPr="00C17ACD" w:rsidRDefault="00052499" w:rsidP="00052499">
            <w:pPr>
              <w:spacing w:after="0" w:line="240" w:lineRule="auto"/>
              <w:rPr>
                <w:rFonts w:ascii="Calibri" w:eastAsia="Times New Roman" w:hAnsi="Calibri" w:cs="Calibri"/>
                <w:b/>
                <w:bCs/>
                <w:sz w:val="16"/>
                <w:szCs w:val="16"/>
              </w:rPr>
            </w:pPr>
            <w:r w:rsidRPr="00C17ACD">
              <w:rPr>
                <w:rFonts w:ascii="Calibri" w:eastAsia="Times New Roman" w:hAnsi="Calibri" w:cs="Calibri"/>
                <w:b/>
                <w:bCs/>
                <w:sz w:val="16"/>
                <w:szCs w:val="16"/>
              </w:rPr>
              <w:t>Pozajmice i krediti</w:t>
            </w:r>
          </w:p>
        </w:tc>
        <w:tc>
          <w:tcPr>
            <w:tcW w:w="439" w:type="pct"/>
            <w:tcBorders>
              <w:top w:val="nil"/>
              <w:left w:val="nil"/>
              <w:bottom w:val="double" w:sz="6" w:space="0" w:color="auto"/>
              <w:right w:val="single" w:sz="4" w:space="0" w:color="auto"/>
            </w:tcBorders>
            <w:shd w:val="clear" w:color="000000" w:fill="B8CCE4"/>
            <w:noWrap/>
            <w:vAlign w:val="center"/>
            <w:hideMark/>
          </w:tcPr>
          <w:p w14:paraId="6BA9A26A"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4.52</w:t>
            </w:r>
          </w:p>
        </w:tc>
        <w:tc>
          <w:tcPr>
            <w:tcW w:w="300" w:type="pct"/>
            <w:tcBorders>
              <w:top w:val="nil"/>
              <w:left w:val="nil"/>
              <w:bottom w:val="double" w:sz="6" w:space="0" w:color="auto"/>
              <w:right w:val="double" w:sz="6" w:space="0" w:color="auto"/>
            </w:tcBorders>
            <w:shd w:val="clear" w:color="000000" w:fill="B8CCE4"/>
            <w:noWrap/>
            <w:vAlign w:val="center"/>
            <w:hideMark/>
          </w:tcPr>
          <w:p w14:paraId="65C8B72A"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0.1</w:t>
            </w:r>
          </w:p>
        </w:tc>
        <w:tc>
          <w:tcPr>
            <w:tcW w:w="477" w:type="pct"/>
            <w:tcBorders>
              <w:top w:val="nil"/>
              <w:left w:val="nil"/>
              <w:bottom w:val="double" w:sz="6" w:space="0" w:color="auto"/>
              <w:right w:val="single" w:sz="4" w:space="0" w:color="auto"/>
            </w:tcBorders>
            <w:shd w:val="clear" w:color="000000" w:fill="B8CCE4"/>
            <w:noWrap/>
            <w:vAlign w:val="center"/>
            <w:hideMark/>
          </w:tcPr>
          <w:p w14:paraId="6027AD6F"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4.50</w:t>
            </w:r>
          </w:p>
        </w:tc>
        <w:tc>
          <w:tcPr>
            <w:tcW w:w="307" w:type="pct"/>
            <w:tcBorders>
              <w:top w:val="nil"/>
              <w:left w:val="nil"/>
              <w:bottom w:val="double" w:sz="6" w:space="0" w:color="auto"/>
              <w:right w:val="double" w:sz="6" w:space="0" w:color="auto"/>
            </w:tcBorders>
            <w:shd w:val="clear" w:color="000000" w:fill="B8CCE4"/>
            <w:noWrap/>
            <w:vAlign w:val="center"/>
            <w:hideMark/>
          </w:tcPr>
          <w:p w14:paraId="6D3559BB"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0.1</w:t>
            </w:r>
          </w:p>
        </w:tc>
        <w:tc>
          <w:tcPr>
            <w:tcW w:w="452" w:type="pct"/>
            <w:tcBorders>
              <w:top w:val="nil"/>
              <w:left w:val="nil"/>
              <w:bottom w:val="double" w:sz="6" w:space="0" w:color="auto"/>
              <w:right w:val="single" w:sz="4" w:space="0" w:color="auto"/>
            </w:tcBorders>
            <w:shd w:val="clear" w:color="000000" w:fill="B8CCE4"/>
            <w:noWrap/>
            <w:vAlign w:val="center"/>
            <w:hideMark/>
          </w:tcPr>
          <w:p w14:paraId="32C0560B"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4.50</w:t>
            </w:r>
          </w:p>
        </w:tc>
        <w:tc>
          <w:tcPr>
            <w:tcW w:w="308" w:type="pct"/>
            <w:tcBorders>
              <w:top w:val="nil"/>
              <w:left w:val="nil"/>
              <w:bottom w:val="double" w:sz="6" w:space="0" w:color="auto"/>
              <w:right w:val="double" w:sz="6" w:space="0" w:color="auto"/>
            </w:tcBorders>
            <w:shd w:val="clear" w:color="000000" w:fill="B8CCE4"/>
            <w:noWrap/>
            <w:vAlign w:val="center"/>
            <w:hideMark/>
          </w:tcPr>
          <w:p w14:paraId="17B1A842"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0.1</w:t>
            </w:r>
          </w:p>
        </w:tc>
        <w:tc>
          <w:tcPr>
            <w:tcW w:w="436" w:type="pct"/>
            <w:tcBorders>
              <w:top w:val="nil"/>
              <w:left w:val="nil"/>
              <w:bottom w:val="double" w:sz="6" w:space="0" w:color="auto"/>
              <w:right w:val="single" w:sz="4" w:space="0" w:color="auto"/>
            </w:tcBorders>
            <w:shd w:val="clear" w:color="000000" w:fill="B8CCE4"/>
            <w:noWrap/>
            <w:vAlign w:val="center"/>
            <w:hideMark/>
          </w:tcPr>
          <w:p w14:paraId="1590B1AA"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4.50</w:t>
            </w:r>
          </w:p>
        </w:tc>
        <w:tc>
          <w:tcPr>
            <w:tcW w:w="306" w:type="pct"/>
            <w:tcBorders>
              <w:top w:val="nil"/>
              <w:left w:val="nil"/>
              <w:bottom w:val="double" w:sz="6" w:space="0" w:color="auto"/>
              <w:right w:val="double" w:sz="6" w:space="0" w:color="auto"/>
            </w:tcBorders>
            <w:shd w:val="clear" w:color="000000" w:fill="B8CCE4"/>
            <w:noWrap/>
            <w:vAlign w:val="center"/>
            <w:hideMark/>
          </w:tcPr>
          <w:p w14:paraId="6AFC7762"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0.1</w:t>
            </w:r>
          </w:p>
        </w:tc>
      </w:tr>
      <w:tr w:rsidR="00052499" w:rsidRPr="00C17ACD" w14:paraId="209885C4" w14:textId="77777777" w:rsidTr="00052499">
        <w:trPr>
          <w:trHeight w:hRule="exact" w:val="198"/>
        </w:trPr>
        <w:tc>
          <w:tcPr>
            <w:tcW w:w="1974" w:type="pct"/>
            <w:tcBorders>
              <w:top w:val="nil"/>
              <w:left w:val="double" w:sz="6" w:space="0" w:color="auto"/>
              <w:bottom w:val="double" w:sz="6" w:space="0" w:color="auto"/>
              <w:right w:val="nil"/>
            </w:tcBorders>
            <w:shd w:val="clear" w:color="000000" w:fill="B8CCE4"/>
            <w:noWrap/>
            <w:vAlign w:val="center"/>
            <w:hideMark/>
          </w:tcPr>
          <w:p w14:paraId="3C9F1A23" w14:textId="77777777" w:rsidR="00052499" w:rsidRPr="00C17ACD" w:rsidRDefault="00052499" w:rsidP="00052499">
            <w:pPr>
              <w:spacing w:after="0" w:line="240" w:lineRule="auto"/>
              <w:rPr>
                <w:rFonts w:ascii="Calibri" w:eastAsia="Times New Roman" w:hAnsi="Calibri" w:cs="Calibri"/>
                <w:b/>
                <w:bCs/>
                <w:sz w:val="16"/>
                <w:szCs w:val="16"/>
              </w:rPr>
            </w:pPr>
            <w:r w:rsidRPr="00C17ACD">
              <w:rPr>
                <w:rFonts w:ascii="Calibri" w:eastAsia="Times New Roman" w:hAnsi="Calibri" w:cs="Calibri"/>
                <w:b/>
                <w:bCs/>
                <w:sz w:val="16"/>
                <w:szCs w:val="16"/>
              </w:rPr>
              <w:t>Nedostajuća sredstva</w:t>
            </w:r>
          </w:p>
        </w:tc>
        <w:tc>
          <w:tcPr>
            <w:tcW w:w="439" w:type="pct"/>
            <w:tcBorders>
              <w:top w:val="nil"/>
              <w:left w:val="nil"/>
              <w:bottom w:val="double" w:sz="6" w:space="0" w:color="auto"/>
              <w:right w:val="single" w:sz="4" w:space="0" w:color="auto"/>
            </w:tcBorders>
            <w:shd w:val="clear" w:color="000000" w:fill="B8CCE4"/>
            <w:noWrap/>
            <w:vAlign w:val="center"/>
            <w:hideMark/>
          </w:tcPr>
          <w:p w14:paraId="3EBA9724"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-559.70</w:t>
            </w:r>
          </w:p>
        </w:tc>
        <w:tc>
          <w:tcPr>
            <w:tcW w:w="300" w:type="pct"/>
            <w:tcBorders>
              <w:top w:val="nil"/>
              <w:left w:val="nil"/>
              <w:bottom w:val="double" w:sz="6" w:space="0" w:color="auto"/>
              <w:right w:val="double" w:sz="6" w:space="0" w:color="auto"/>
            </w:tcBorders>
            <w:shd w:val="clear" w:color="000000" w:fill="B8CCE4"/>
            <w:noWrap/>
            <w:vAlign w:val="center"/>
            <w:hideMark/>
          </w:tcPr>
          <w:p w14:paraId="17452589"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-8.7</w:t>
            </w:r>
          </w:p>
        </w:tc>
        <w:tc>
          <w:tcPr>
            <w:tcW w:w="477" w:type="pct"/>
            <w:tcBorders>
              <w:top w:val="nil"/>
              <w:left w:val="nil"/>
              <w:bottom w:val="double" w:sz="6" w:space="0" w:color="auto"/>
              <w:right w:val="single" w:sz="4" w:space="0" w:color="auto"/>
            </w:tcBorders>
            <w:shd w:val="clear" w:color="000000" w:fill="B8CCE4"/>
            <w:noWrap/>
            <w:vAlign w:val="center"/>
            <w:hideMark/>
          </w:tcPr>
          <w:p w14:paraId="52BDA9FF"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-760.81</w:t>
            </w:r>
          </w:p>
        </w:tc>
        <w:tc>
          <w:tcPr>
            <w:tcW w:w="307" w:type="pct"/>
            <w:tcBorders>
              <w:top w:val="nil"/>
              <w:left w:val="nil"/>
              <w:bottom w:val="double" w:sz="6" w:space="0" w:color="auto"/>
              <w:right w:val="double" w:sz="6" w:space="0" w:color="auto"/>
            </w:tcBorders>
            <w:shd w:val="clear" w:color="000000" w:fill="B8CCE4"/>
            <w:noWrap/>
            <w:vAlign w:val="center"/>
            <w:hideMark/>
          </w:tcPr>
          <w:p w14:paraId="512F8270"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-10.8</w:t>
            </w:r>
          </w:p>
        </w:tc>
        <w:tc>
          <w:tcPr>
            <w:tcW w:w="452" w:type="pct"/>
            <w:tcBorders>
              <w:top w:val="nil"/>
              <w:left w:val="nil"/>
              <w:bottom w:val="double" w:sz="6" w:space="0" w:color="auto"/>
              <w:right w:val="single" w:sz="4" w:space="0" w:color="auto"/>
            </w:tcBorders>
            <w:shd w:val="clear" w:color="000000" w:fill="B8CCE4"/>
            <w:noWrap/>
            <w:vAlign w:val="center"/>
            <w:hideMark/>
          </w:tcPr>
          <w:p w14:paraId="26ABE49F"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-1027.23</w:t>
            </w:r>
          </w:p>
        </w:tc>
        <w:tc>
          <w:tcPr>
            <w:tcW w:w="308" w:type="pct"/>
            <w:tcBorders>
              <w:top w:val="nil"/>
              <w:left w:val="nil"/>
              <w:bottom w:val="double" w:sz="6" w:space="0" w:color="auto"/>
              <w:right w:val="double" w:sz="6" w:space="0" w:color="auto"/>
            </w:tcBorders>
            <w:shd w:val="clear" w:color="000000" w:fill="B8CCE4"/>
            <w:noWrap/>
            <w:vAlign w:val="center"/>
            <w:hideMark/>
          </w:tcPr>
          <w:p w14:paraId="2B6E6AC0"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-13.8</w:t>
            </w:r>
          </w:p>
        </w:tc>
        <w:tc>
          <w:tcPr>
            <w:tcW w:w="436" w:type="pct"/>
            <w:tcBorders>
              <w:top w:val="nil"/>
              <w:left w:val="nil"/>
              <w:bottom w:val="double" w:sz="6" w:space="0" w:color="auto"/>
              <w:right w:val="single" w:sz="4" w:space="0" w:color="auto"/>
            </w:tcBorders>
            <w:shd w:val="clear" w:color="000000" w:fill="B8CCE4"/>
            <w:noWrap/>
            <w:vAlign w:val="center"/>
            <w:hideMark/>
          </w:tcPr>
          <w:p w14:paraId="46020A10"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-462.08</w:t>
            </w:r>
          </w:p>
        </w:tc>
        <w:tc>
          <w:tcPr>
            <w:tcW w:w="306" w:type="pct"/>
            <w:tcBorders>
              <w:top w:val="nil"/>
              <w:left w:val="nil"/>
              <w:bottom w:val="double" w:sz="6" w:space="0" w:color="auto"/>
              <w:right w:val="double" w:sz="6" w:space="0" w:color="auto"/>
            </w:tcBorders>
            <w:shd w:val="clear" w:color="000000" w:fill="B8CCE4"/>
            <w:noWrap/>
            <w:vAlign w:val="center"/>
            <w:hideMark/>
          </w:tcPr>
          <w:p w14:paraId="5748D822"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-5.9</w:t>
            </w:r>
          </w:p>
        </w:tc>
      </w:tr>
      <w:tr w:rsidR="00052499" w:rsidRPr="00C17ACD" w14:paraId="55DB4E31" w14:textId="77777777" w:rsidTr="00052499">
        <w:trPr>
          <w:trHeight w:hRule="exact" w:val="198"/>
        </w:trPr>
        <w:tc>
          <w:tcPr>
            <w:tcW w:w="1974" w:type="pct"/>
            <w:tcBorders>
              <w:top w:val="nil"/>
              <w:left w:val="double" w:sz="6" w:space="0" w:color="auto"/>
              <w:bottom w:val="double" w:sz="6" w:space="0" w:color="auto"/>
              <w:right w:val="nil"/>
            </w:tcBorders>
            <w:shd w:val="clear" w:color="000000" w:fill="B8CCE4"/>
            <w:noWrap/>
            <w:vAlign w:val="center"/>
            <w:hideMark/>
          </w:tcPr>
          <w:p w14:paraId="16507BE2" w14:textId="77777777" w:rsidR="00052499" w:rsidRPr="00C17ACD" w:rsidRDefault="00052499" w:rsidP="00052499">
            <w:pPr>
              <w:spacing w:after="0" w:line="240" w:lineRule="auto"/>
              <w:rPr>
                <w:rFonts w:ascii="Calibri" w:eastAsia="Times New Roman" w:hAnsi="Calibri" w:cs="Calibri"/>
                <w:b/>
                <w:bCs/>
                <w:sz w:val="16"/>
                <w:szCs w:val="16"/>
              </w:rPr>
            </w:pPr>
            <w:r w:rsidRPr="00C17ACD">
              <w:rPr>
                <w:rFonts w:ascii="Calibri" w:eastAsia="Times New Roman" w:hAnsi="Calibri" w:cs="Calibri"/>
                <w:b/>
                <w:bCs/>
                <w:sz w:val="16"/>
                <w:szCs w:val="16"/>
              </w:rPr>
              <w:t>Finansiranje</w:t>
            </w:r>
          </w:p>
        </w:tc>
        <w:tc>
          <w:tcPr>
            <w:tcW w:w="439" w:type="pct"/>
            <w:tcBorders>
              <w:top w:val="nil"/>
              <w:left w:val="nil"/>
              <w:bottom w:val="double" w:sz="6" w:space="0" w:color="auto"/>
              <w:right w:val="single" w:sz="4" w:space="0" w:color="auto"/>
            </w:tcBorders>
            <w:shd w:val="clear" w:color="000000" w:fill="B8CCE4"/>
            <w:noWrap/>
            <w:vAlign w:val="center"/>
            <w:hideMark/>
          </w:tcPr>
          <w:p w14:paraId="28AD521D"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559.70</w:t>
            </w:r>
          </w:p>
        </w:tc>
        <w:tc>
          <w:tcPr>
            <w:tcW w:w="300" w:type="pct"/>
            <w:tcBorders>
              <w:top w:val="nil"/>
              <w:left w:val="nil"/>
              <w:bottom w:val="double" w:sz="6" w:space="0" w:color="auto"/>
              <w:right w:val="double" w:sz="6" w:space="0" w:color="auto"/>
            </w:tcBorders>
            <w:shd w:val="clear" w:color="000000" w:fill="B8CCE4"/>
            <w:noWrap/>
            <w:vAlign w:val="center"/>
            <w:hideMark/>
          </w:tcPr>
          <w:p w14:paraId="1C33E12D"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8.7</w:t>
            </w:r>
          </w:p>
        </w:tc>
        <w:tc>
          <w:tcPr>
            <w:tcW w:w="477" w:type="pct"/>
            <w:tcBorders>
              <w:top w:val="nil"/>
              <w:left w:val="nil"/>
              <w:bottom w:val="double" w:sz="6" w:space="0" w:color="auto"/>
              <w:right w:val="single" w:sz="4" w:space="0" w:color="auto"/>
            </w:tcBorders>
            <w:shd w:val="clear" w:color="000000" w:fill="B8CCE4"/>
            <w:noWrap/>
            <w:vAlign w:val="center"/>
            <w:hideMark/>
          </w:tcPr>
          <w:p w14:paraId="0D524F7F"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760.81</w:t>
            </w:r>
          </w:p>
        </w:tc>
        <w:tc>
          <w:tcPr>
            <w:tcW w:w="307" w:type="pct"/>
            <w:tcBorders>
              <w:top w:val="nil"/>
              <w:left w:val="nil"/>
              <w:bottom w:val="double" w:sz="6" w:space="0" w:color="auto"/>
              <w:right w:val="double" w:sz="6" w:space="0" w:color="auto"/>
            </w:tcBorders>
            <w:shd w:val="clear" w:color="000000" w:fill="B8CCE4"/>
            <w:noWrap/>
            <w:vAlign w:val="center"/>
            <w:hideMark/>
          </w:tcPr>
          <w:p w14:paraId="29C06DF1"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10.8</w:t>
            </w:r>
          </w:p>
        </w:tc>
        <w:tc>
          <w:tcPr>
            <w:tcW w:w="452" w:type="pct"/>
            <w:tcBorders>
              <w:top w:val="nil"/>
              <w:left w:val="nil"/>
              <w:bottom w:val="double" w:sz="6" w:space="0" w:color="auto"/>
              <w:right w:val="single" w:sz="4" w:space="0" w:color="auto"/>
            </w:tcBorders>
            <w:shd w:val="clear" w:color="000000" w:fill="B8CCE4"/>
            <w:noWrap/>
            <w:vAlign w:val="center"/>
            <w:hideMark/>
          </w:tcPr>
          <w:p w14:paraId="56466FDF"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1027.23</w:t>
            </w:r>
          </w:p>
        </w:tc>
        <w:tc>
          <w:tcPr>
            <w:tcW w:w="308" w:type="pct"/>
            <w:tcBorders>
              <w:top w:val="nil"/>
              <w:left w:val="nil"/>
              <w:bottom w:val="double" w:sz="6" w:space="0" w:color="auto"/>
              <w:right w:val="double" w:sz="6" w:space="0" w:color="auto"/>
            </w:tcBorders>
            <w:shd w:val="clear" w:color="000000" w:fill="B8CCE4"/>
            <w:noWrap/>
            <w:vAlign w:val="center"/>
            <w:hideMark/>
          </w:tcPr>
          <w:p w14:paraId="673E9620"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13.8</w:t>
            </w:r>
          </w:p>
        </w:tc>
        <w:tc>
          <w:tcPr>
            <w:tcW w:w="436" w:type="pct"/>
            <w:tcBorders>
              <w:top w:val="nil"/>
              <w:left w:val="nil"/>
              <w:bottom w:val="double" w:sz="6" w:space="0" w:color="auto"/>
              <w:right w:val="single" w:sz="4" w:space="0" w:color="auto"/>
            </w:tcBorders>
            <w:shd w:val="clear" w:color="000000" w:fill="B8CCE4"/>
            <w:noWrap/>
            <w:vAlign w:val="center"/>
            <w:hideMark/>
          </w:tcPr>
          <w:p w14:paraId="67123AD7"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462.08</w:t>
            </w:r>
          </w:p>
        </w:tc>
        <w:tc>
          <w:tcPr>
            <w:tcW w:w="306" w:type="pct"/>
            <w:tcBorders>
              <w:top w:val="nil"/>
              <w:left w:val="nil"/>
              <w:bottom w:val="double" w:sz="6" w:space="0" w:color="auto"/>
              <w:right w:val="double" w:sz="6" w:space="0" w:color="auto"/>
            </w:tcBorders>
            <w:shd w:val="clear" w:color="000000" w:fill="B8CCE4"/>
            <w:noWrap/>
            <w:vAlign w:val="center"/>
            <w:hideMark/>
          </w:tcPr>
          <w:p w14:paraId="4168358E"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5.9</w:t>
            </w:r>
          </w:p>
        </w:tc>
      </w:tr>
      <w:tr w:rsidR="00052499" w:rsidRPr="00C17ACD" w14:paraId="4BC5C132" w14:textId="77777777" w:rsidTr="00052499">
        <w:trPr>
          <w:trHeight w:hRule="exact" w:val="198"/>
        </w:trPr>
        <w:tc>
          <w:tcPr>
            <w:tcW w:w="1974" w:type="pct"/>
            <w:tcBorders>
              <w:top w:val="nil"/>
              <w:left w:val="double" w:sz="6" w:space="0" w:color="auto"/>
              <w:bottom w:val="nil"/>
              <w:right w:val="nil"/>
            </w:tcBorders>
            <w:shd w:val="clear" w:color="000000" w:fill="FFFFFF"/>
            <w:noWrap/>
            <w:vAlign w:val="center"/>
            <w:hideMark/>
          </w:tcPr>
          <w:p w14:paraId="5953A430" w14:textId="77777777" w:rsidR="00052499" w:rsidRPr="00C17ACD" w:rsidRDefault="00052499" w:rsidP="00052499">
            <w:pPr>
              <w:spacing w:after="0" w:line="240" w:lineRule="auto"/>
              <w:rPr>
                <w:rFonts w:ascii="Calibri" w:eastAsia="Times New Roman" w:hAnsi="Calibri" w:cs="Calibri"/>
                <w:sz w:val="16"/>
                <w:szCs w:val="16"/>
              </w:rPr>
            </w:pPr>
            <w:r w:rsidRPr="00C17ACD">
              <w:rPr>
                <w:rFonts w:ascii="Calibri" w:eastAsia="Times New Roman" w:hAnsi="Calibri" w:cs="Calibri"/>
                <w:sz w:val="16"/>
                <w:szCs w:val="16"/>
              </w:rPr>
              <w:t>Pozajmice i krediti</w:t>
            </w:r>
          </w:p>
        </w:tc>
        <w:tc>
          <w:tcPr>
            <w:tcW w:w="439" w:type="pct"/>
            <w:tcBorders>
              <w:top w:val="nil"/>
              <w:left w:val="nil"/>
              <w:bottom w:val="nil"/>
              <w:right w:val="single" w:sz="4" w:space="0" w:color="auto"/>
            </w:tcBorders>
            <w:shd w:val="clear" w:color="000000" w:fill="FFFFFF"/>
            <w:noWrap/>
            <w:vAlign w:val="center"/>
            <w:hideMark/>
          </w:tcPr>
          <w:p w14:paraId="78CE9EF9" w14:textId="77777777" w:rsidR="00052499" w:rsidRPr="00C17ACD" w:rsidRDefault="00052499" w:rsidP="00052499">
            <w:pPr>
              <w:spacing w:after="0" w:line="240" w:lineRule="auto"/>
              <w:jc w:val="right"/>
              <w:rPr>
                <w:rFonts w:ascii="Calibri" w:eastAsia="Times New Roman" w:hAnsi="Calibri" w:cs="Calibri"/>
                <w:sz w:val="16"/>
                <w:szCs w:val="16"/>
              </w:rPr>
            </w:pPr>
            <w:r w:rsidRPr="00C17ACD">
              <w:rPr>
                <w:rFonts w:ascii="Calibri" w:eastAsia="Times New Roman" w:hAnsi="Calibri" w:cs="Calibri"/>
                <w:sz w:val="16"/>
                <w:szCs w:val="16"/>
              </w:rPr>
              <w:t>500.95</w:t>
            </w:r>
          </w:p>
        </w:tc>
        <w:tc>
          <w:tcPr>
            <w:tcW w:w="300" w:type="pct"/>
            <w:tcBorders>
              <w:top w:val="nil"/>
              <w:left w:val="nil"/>
              <w:bottom w:val="nil"/>
              <w:right w:val="double" w:sz="6" w:space="0" w:color="auto"/>
            </w:tcBorders>
            <w:shd w:val="clear" w:color="000000" w:fill="FFFFFF"/>
            <w:noWrap/>
            <w:vAlign w:val="center"/>
            <w:hideMark/>
          </w:tcPr>
          <w:p w14:paraId="29B5B8FC"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7.8</w:t>
            </w:r>
          </w:p>
        </w:tc>
        <w:tc>
          <w:tcPr>
            <w:tcW w:w="477" w:type="pct"/>
            <w:tcBorders>
              <w:top w:val="single" w:sz="4" w:space="0" w:color="auto"/>
              <w:left w:val="single" w:sz="12" w:space="0" w:color="auto"/>
              <w:bottom w:val="nil"/>
              <w:right w:val="single" w:sz="4" w:space="0" w:color="auto"/>
            </w:tcBorders>
            <w:shd w:val="clear" w:color="000000" w:fill="FFFFFF"/>
            <w:noWrap/>
            <w:vAlign w:val="center"/>
            <w:hideMark/>
          </w:tcPr>
          <w:p w14:paraId="3B865F35" w14:textId="77777777" w:rsidR="00052499" w:rsidRPr="00C17ACD" w:rsidRDefault="00052499" w:rsidP="00052499">
            <w:pPr>
              <w:spacing w:after="0" w:line="240" w:lineRule="auto"/>
              <w:jc w:val="right"/>
              <w:rPr>
                <w:rFonts w:ascii="Calibri" w:eastAsia="Times New Roman" w:hAnsi="Calibri" w:cs="Calibri"/>
                <w:sz w:val="16"/>
                <w:szCs w:val="16"/>
              </w:rPr>
            </w:pPr>
            <w:r w:rsidRPr="00C17ACD">
              <w:rPr>
                <w:rFonts w:ascii="Calibri" w:eastAsia="Times New Roman" w:hAnsi="Calibri" w:cs="Calibri"/>
                <w:sz w:val="16"/>
                <w:szCs w:val="16"/>
              </w:rPr>
              <w:t>645.06</w:t>
            </w:r>
          </w:p>
        </w:tc>
        <w:tc>
          <w:tcPr>
            <w:tcW w:w="307" w:type="pct"/>
            <w:tcBorders>
              <w:top w:val="nil"/>
              <w:left w:val="nil"/>
              <w:bottom w:val="nil"/>
              <w:right w:val="double" w:sz="6" w:space="0" w:color="auto"/>
            </w:tcBorders>
            <w:shd w:val="clear" w:color="000000" w:fill="FFFFFF"/>
            <w:noWrap/>
            <w:vAlign w:val="center"/>
            <w:hideMark/>
          </w:tcPr>
          <w:p w14:paraId="2CFF4EEB"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9.2</w:t>
            </w:r>
          </w:p>
        </w:tc>
        <w:tc>
          <w:tcPr>
            <w:tcW w:w="452" w:type="pct"/>
            <w:tcBorders>
              <w:top w:val="single" w:sz="4" w:space="0" w:color="auto"/>
              <w:left w:val="single" w:sz="12" w:space="0" w:color="auto"/>
              <w:bottom w:val="nil"/>
              <w:right w:val="single" w:sz="4" w:space="0" w:color="auto"/>
            </w:tcBorders>
            <w:shd w:val="clear" w:color="000000" w:fill="FFFFFF"/>
            <w:noWrap/>
            <w:vAlign w:val="center"/>
            <w:hideMark/>
          </w:tcPr>
          <w:p w14:paraId="59835EF7" w14:textId="77777777" w:rsidR="00052499" w:rsidRPr="00C17ACD" w:rsidRDefault="00052499" w:rsidP="00052499">
            <w:pPr>
              <w:spacing w:after="0" w:line="240" w:lineRule="auto"/>
              <w:jc w:val="right"/>
              <w:rPr>
                <w:rFonts w:ascii="Calibri" w:eastAsia="Times New Roman" w:hAnsi="Calibri" w:cs="Calibri"/>
                <w:sz w:val="16"/>
                <w:szCs w:val="16"/>
              </w:rPr>
            </w:pPr>
            <w:r w:rsidRPr="00C17ACD">
              <w:rPr>
                <w:rFonts w:ascii="Calibri" w:eastAsia="Times New Roman" w:hAnsi="Calibri" w:cs="Calibri"/>
                <w:sz w:val="16"/>
                <w:szCs w:val="16"/>
              </w:rPr>
              <w:t>911.48</w:t>
            </w:r>
          </w:p>
        </w:tc>
        <w:tc>
          <w:tcPr>
            <w:tcW w:w="308" w:type="pct"/>
            <w:tcBorders>
              <w:top w:val="nil"/>
              <w:left w:val="nil"/>
              <w:bottom w:val="nil"/>
              <w:right w:val="double" w:sz="6" w:space="0" w:color="auto"/>
            </w:tcBorders>
            <w:shd w:val="clear" w:color="000000" w:fill="FFFFFF"/>
            <w:noWrap/>
            <w:vAlign w:val="center"/>
            <w:hideMark/>
          </w:tcPr>
          <w:p w14:paraId="1FDF2284"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12.3</w:t>
            </w:r>
          </w:p>
        </w:tc>
        <w:tc>
          <w:tcPr>
            <w:tcW w:w="436" w:type="pct"/>
            <w:tcBorders>
              <w:top w:val="single" w:sz="4" w:space="0" w:color="auto"/>
              <w:left w:val="single" w:sz="12" w:space="0" w:color="auto"/>
              <w:bottom w:val="nil"/>
              <w:right w:val="single" w:sz="4" w:space="0" w:color="auto"/>
            </w:tcBorders>
            <w:shd w:val="clear" w:color="000000" w:fill="FFFFFF"/>
            <w:noWrap/>
            <w:vAlign w:val="center"/>
            <w:hideMark/>
          </w:tcPr>
          <w:p w14:paraId="4E3BF44C" w14:textId="77777777" w:rsidR="00052499" w:rsidRPr="00C17ACD" w:rsidRDefault="00052499" w:rsidP="00052499">
            <w:pPr>
              <w:spacing w:after="0" w:line="240" w:lineRule="auto"/>
              <w:jc w:val="right"/>
              <w:rPr>
                <w:rFonts w:ascii="Calibri" w:eastAsia="Times New Roman" w:hAnsi="Calibri" w:cs="Calibri"/>
                <w:sz w:val="16"/>
                <w:szCs w:val="16"/>
              </w:rPr>
            </w:pPr>
            <w:r w:rsidRPr="00C17ACD">
              <w:rPr>
                <w:rFonts w:ascii="Calibri" w:eastAsia="Times New Roman" w:hAnsi="Calibri" w:cs="Calibri"/>
                <w:sz w:val="16"/>
                <w:szCs w:val="16"/>
              </w:rPr>
              <w:t>346.33</w:t>
            </w:r>
          </w:p>
        </w:tc>
        <w:tc>
          <w:tcPr>
            <w:tcW w:w="306" w:type="pct"/>
            <w:tcBorders>
              <w:top w:val="nil"/>
              <w:left w:val="nil"/>
              <w:bottom w:val="nil"/>
              <w:right w:val="double" w:sz="6" w:space="0" w:color="auto"/>
            </w:tcBorders>
            <w:shd w:val="clear" w:color="000000" w:fill="FFFFFF"/>
            <w:noWrap/>
            <w:vAlign w:val="center"/>
            <w:hideMark/>
          </w:tcPr>
          <w:p w14:paraId="6D17F959"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4.5</w:t>
            </w:r>
          </w:p>
        </w:tc>
      </w:tr>
      <w:tr w:rsidR="00052499" w:rsidRPr="00C17ACD" w14:paraId="769162CF" w14:textId="77777777" w:rsidTr="00052499">
        <w:trPr>
          <w:trHeight w:hRule="exact" w:val="198"/>
        </w:trPr>
        <w:tc>
          <w:tcPr>
            <w:tcW w:w="1974" w:type="pct"/>
            <w:tcBorders>
              <w:top w:val="nil"/>
              <w:left w:val="double" w:sz="6" w:space="0" w:color="auto"/>
              <w:bottom w:val="nil"/>
              <w:right w:val="nil"/>
            </w:tcBorders>
            <w:shd w:val="clear" w:color="000000" w:fill="FFFFFF"/>
            <w:noWrap/>
            <w:vAlign w:val="center"/>
            <w:hideMark/>
          </w:tcPr>
          <w:p w14:paraId="7C916A5C" w14:textId="77777777" w:rsidR="00052499" w:rsidRPr="00C17ACD" w:rsidRDefault="00052499" w:rsidP="00052499">
            <w:pPr>
              <w:spacing w:after="0" w:line="240" w:lineRule="auto"/>
              <w:rPr>
                <w:rFonts w:ascii="Calibri" w:eastAsia="Times New Roman" w:hAnsi="Calibri" w:cs="Calibri"/>
                <w:sz w:val="16"/>
                <w:szCs w:val="16"/>
              </w:rPr>
            </w:pPr>
            <w:r w:rsidRPr="00C17ACD">
              <w:rPr>
                <w:rFonts w:ascii="Calibri" w:eastAsia="Times New Roman" w:hAnsi="Calibri" w:cs="Calibri"/>
                <w:sz w:val="16"/>
                <w:szCs w:val="16"/>
              </w:rPr>
              <w:t>Prihodi od privatizacije</w:t>
            </w:r>
          </w:p>
        </w:tc>
        <w:tc>
          <w:tcPr>
            <w:tcW w:w="439" w:type="pct"/>
            <w:tcBorders>
              <w:top w:val="nil"/>
              <w:left w:val="nil"/>
              <w:bottom w:val="nil"/>
              <w:right w:val="single" w:sz="4" w:space="0" w:color="auto"/>
            </w:tcBorders>
            <w:shd w:val="clear" w:color="000000" w:fill="FFFFFF"/>
            <w:noWrap/>
            <w:vAlign w:val="center"/>
            <w:hideMark/>
          </w:tcPr>
          <w:p w14:paraId="71AA4B66" w14:textId="77777777" w:rsidR="00052499" w:rsidRPr="00C17ACD" w:rsidRDefault="00052499" w:rsidP="00052499">
            <w:pPr>
              <w:spacing w:after="0" w:line="240" w:lineRule="auto"/>
              <w:jc w:val="right"/>
              <w:rPr>
                <w:rFonts w:ascii="Calibri" w:eastAsia="Times New Roman" w:hAnsi="Calibri" w:cs="Calibri"/>
                <w:sz w:val="16"/>
                <w:szCs w:val="16"/>
              </w:rPr>
            </w:pPr>
            <w:r w:rsidRPr="00C17ACD">
              <w:rPr>
                <w:rFonts w:ascii="Calibri" w:eastAsia="Times New Roman" w:hAnsi="Calibri" w:cs="Calibri"/>
                <w:sz w:val="16"/>
                <w:szCs w:val="16"/>
              </w:rPr>
              <w:t>6.00</w:t>
            </w:r>
          </w:p>
        </w:tc>
        <w:tc>
          <w:tcPr>
            <w:tcW w:w="300" w:type="pct"/>
            <w:tcBorders>
              <w:top w:val="nil"/>
              <w:left w:val="nil"/>
              <w:bottom w:val="nil"/>
              <w:right w:val="double" w:sz="6" w:space="0" w:color="auto"/>
            </w:tcBorders>
            <w:shd w:val="clear" w:color="000000" w:fill="FFFFFF"/>
            <w:noWrap/>
            <w:vAlign w:val="center"/>
            <w:hideMark/>
          </w:tcPr>
          <w:p w14:paraId="2D1B6B30"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0.1</w:t>
            </w:r>
          </w:p>
        </w:tc>
        <w:tc>
          <w:tcPr>
            <w:tcW w:w="477" w:type="pct"/>
            <w:tcBorders>
              <w:top w:val="nil"/>
              <w:left w:val="nil"/>
              <w:bottom w:val="nil"/>
              <w:right w:val="single" w:sz="4" w:space="0" w:color="auto"/>
            </w:tcBorders>
            <w:shd w:val="clear" w:color="000000" w:fill="FFFFFF"/>
            <w:noWrap/>
            <w:vAlign w:val="center"/>
            <w:hideMark/>
          </w:tcPr>
          <w:p w14:paraId="0FEBCFE8" w14:textId="77777777" w:rsidR="00052499" w:rsidRPr="00C17ACD" w:rsidRDefault="00052499" w:rsidP="00052499">
            <w:pPr>
              <w:spacing w:after="0" w:line="240" w:lineRule="auto"/>
              <w:jc w:val="right"/>
              <w:rPr>
                <w:rFonts w:ascii="Calibri" w:eastAsia="Times New Roman" w:hAnsi="Calibri" w:cs="Calibri"/>
                <w:sz w:val="16"/>
                <w:szCs w:val="16"/>
              </w:rPr>
            </w:pPr>
            <w:r w:rsidRPr="00C17ACD">
              <w:rPr>
                <w:rFonts w:ascii="Calibri" w:eastAsia="Times New Roman" w:hAnsi="Calibri" w:cs="Calibri"/>
                <w:sz w:val="16"/>
                <w:szCs w:val="16"/>
              </w:rPr>
              <w:t>6.00</w:t>
            </w:r>
          </w:p>
        </w:tc>
        <w:tc>
          <w:tcPr>
            <w:tcW w:w="307" w:type="pct"/>
            <w:tcBorders>
              <w:top w:val="nil"/>
              <w:left w:val="nil"/>
              <w:bottom w:val="nil"/>
              <w:right w:val="double" w:sz="6" w:space="0" w:color="auto"/>
            </w:tcBorders>
            <w:shd w:val="clear" w:color="000000" w:fill="FFFFFF"/>
            <w:noWrap/>
            <w:vAlign w:val="center"/>
            <w:hideMark/>
          </w:tcPr>
          <w:p w14:paraId="6493A4FC"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0.1</w:t>
            </w:r>
          </w:p>
        </w:tc>
        <w:tc>
          <w:tcPr>
            <w:tcW w:w="452" w:type="pct"/>
            <w:tcBorders>
              <w:top w:val="nil"/>
              <w:left w:val="nil"/>
              <w:bottom w:val="nil"/>
              <w:right w:val="single" w:sz="4" w:space="0" w:color="auto"/>
            </w:tcBorders>
            <w:shd w:val="clear" w:color="000000" w:fill="FFFFFF"/>
            <w:noWrap/>
            <w:vAlign w:val="center"/>
            <w:hideMark/>
          </w:tcPr>
          <w:p w14:paraId="0F2D501C" w14:textId="77777777" w:rsidR="00052499" w:rsidRPr="00C17ACD" w:rsidRDefault="00052499" w:rsidP="00052499">
            <w:pPr>
              <w:spacing w:after="0" w:line="240" w:lineRule="auto"/>
              <w:jc w:val="right"/>
              <w:rPr>
                <w:rFonts w:ascii="Calibri" w:eastAsia="Times New Roman" w:hAnsi="Calibri" w:cs="Calibri"/>
                <w:sz w:val="16"/>
                <w:szCs w:val="16"/>
              </w:rPr>
            </w:pPr>
            <w:r w:rsidRPr="00C17ACD">
              <w:rPr>
                <w:rFonts w:ascii="Calibri" w:eastAsia="Times New Roman" w:hAnsi="Calibri" w:cs="Calibri"/>
                <w:sz w:val="16"/>
                <w:szCs w:val="16"/>
              </w:rPr>
              <w:t>6.00</w:t>
            </w:r>
          </w:p>
        </w:tc>
        <w:tc>
          <w:tcPr>
            <w:tcW w:w="308" w:type="pct"/>
            <w:tcBorders>
              <w:top w:val="nil"/>
              <w:left w:val="nil"/>
              <w:bottom w:val="nil"/>
              <w:right w:val="double" w:sz="6" w:space="0" w:color="auto"/>
            </w:tcBorders>
            <w:shd w:val="clear" w:color="000000" w:fill="FFFFFF"/>
            <w:noWrap/>
            <w:vAlign w:val="center"/>
            <w:hideMark/>
          </w:tcPr>
          <w:p w14:paraId="5866FF9D"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0.1</w:t>
            </w:r>
          </w:p>
        </w:tc>
        <w:tc>
          <w:tcPr>
            <w:tcW w:w="436" w:type="pct"/>
            <w:tcBorders>
              <w:top w:val="nil"/>
              <w:left w:val="nil"/>
              <w:bottom w:val="nil"/>
              <w:right w:val="single" w:sz="4" w:space="0" w:color="auto"/>
            </w:tcBorders>
            <w:shd w:val="clear" w:color="000000" w:fill="FFFFFF"/>
            <w:noWrap/>
            <w:vAlign w:val="center"/>
            <w:hideMark/>
          </w:tcPr>
          <w:p w14:paraId="026901C8" w14:textId="77777777" w:rsidR="00052499" w:rsidRPr="00C17ACD" w:rsidRDefault="00052499" w:rsidP="00052499">
            <w:pPr>
              <w:spacing w:after="0" w:line="240" w:lineRule="auto"/>
              <w:jc w:val="right"/>
              <w:rPr>
                <w:rFonts w:ascii="Calibri" w:eastAsia="Times New Roman" w:hAnsi="Calibri" w:cs="Calibri"/>
                <w:sz w:val="16"/>
                <w:szCs w:val="16"/>
              </w:rPr>
            </w:pPr>
            <w:r w:rsidRPr="00C17ACD">
              <w:rPr>
                <w:rFonts w:ascii="Calibri" w:eastAsia="Times New Roman" w:hAnsi="Calibri" w:cs="Calibri"/>
                <w:sz w:val="16"/>
                <w:szCs w:val="16"/>
              </w:rPr>
              <w:t>6.00</w:t>
            </w:r>
          </w:p>
        </w:tc>
        <w:tc>
          <w:tcPr>
            <w:tcW w:w="306" w:type="pct"/>
            <w:tcBorders>
              <w:top w:val="nil"/>
              <w:left w:val="nil"/>
              <w:bottom w:val="nil"/>
              <w:right w:val="double" w:sz="6" w:space="0" w:color="auto"/>
            </w:tcBorders>
            <w:shd w:val="clear" w:color="000000" w:fill="FFFFFF"/>
            <w:noWrap/>
            <w:vAlign w:val="center"/>
            <w:hideMark/>
          </w:tcPr>
          <w:p w14:paraId="1175FDAC"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0.1</w:t>
            </w:r>
          </w:p>
        </w:tc>
      </w:tr>
      <w:tr w:rsidR="00052499" w:rsidRPr="00C17ACD" w14:paraId="65D0CD78" w14:textId="77777777" w:rsidTr="00052499">
        <w:trPr>
          <w:trHeight w:hRule="exact" w:val="198"/>
        </w:trPr>
        <w:tc>
          <w:tcPr>
            <w:tcW w:w="1974" w:type="pct"/>
            <w:tcBorders>
              <w:top w:val="nil"/>
              <w:left w:val="double" w:sz="6" w:space="0" w:color="auto"/>
              <w:bottom w:val="nil"/>
              <w:right w:val="nil"/>
            </w:tcBorders>
            <w:shd w:val="clear" w:color="000000" w:fill="FFFFFF"/>
            <w:noWrap/>
            <w:vAlign w:val="center"/>
            <w:hideMark/>
          </w:tcPr>
          <w:p w14:paraId="4288A04D" w14:textId="77777777" w:rsidR="00052499" w:rsidRPr="00C17ACD" w:rsidRDefault="00052499" w:rsidP="00052499">
            <w:pPr>
              <w:spacing w:after="0" w:line="240" w:lineRule="auto"/>
              <w:rPr>
                <w:rFonts w:ascii="Calibri" w:eastAsia="Times New Roman" w:hAnsi="Calibri" w:cs="Calibri"/>
                <w:sz w:val="16"/>
                <w:szCs w:val="16"/>
              </w:rPr>
            </w:pPr>
            <w:r w:rsidRPr="00C17ACD">
              <w:rPr>
                <w:rFonts w:ascii="Calibri" w:eastAsia="Times New Roman" w:hAnsi="Calibri" w:cs="Calibri"/>
                <w:sz w:val="16"/>
                <w:szCs w:val="16"/>
              </w:rPr>
              <w:t xml:space="preserve">Primici od otplate kredita </w:t>
            </w:r>
          </w:p>
        </w:tc>
        <w:tc>
          <w:tcPr>
            <w:tcW w:w="439" w:type="pct"/>
            <w:tcBorders>
              <w:top w:val="nil"/>
              <w:left w:val="nil"/>
              <w:bottom w:val="nil"/>
              <w:right w:val="single" w:sz="4" w:space="0" w:color="auto"/>
            </w:tcBorders>
            <w:shd w:val="clear" w:color="000000" w:fill="FFFFFF"/>
            <w:noWrap/>
            <w:vAlign w:val="center"/>
            <w:hideMark/>
          </w:tcPr>
          <w:p w14:paraId="0E7A829E" w14:textId="77777777" w:rsidR="00052499" w:rsidRPr="00C17ACD" w:rsidRDefault="00052499" w:rsidP="00052499">
            <w:pPr>
              <w:spacing w:after="0" w:line="240" w:lineRule="auto"/>
              <w:jc w:val="right"/>
              <w:rPr>
                <w:rFonts w:ascii="Calibri" w:eastAsia="Times New Roman" w:hAnsi="Calibri" w:cs="Calibri"/>
                <w:sz w:val="16"/>
                <w:szCs w:val="16"/>
              </w:rPr>
            </w:pPr>
            <w:r w:rsidRPr="00C17ACD">
              <w:rPr>
                <w:rFonts w:ascii="Calibri" w:eastAsia="Times New Roman" w:hAnsi="Calibri" w:cs="Calibri"/>
                <w:sz w:val="16"/>
                <w:szCs w:val="16"/>
              </w:rPr>
              <w:t>9.75</w:t>
            </w:r>
          </w:p>
        </w:tc>
        <w:tc>
          <w:tcPr>
            <w:tcW w:w="300" w:type="pct"/>
            <w:tcBorders>
              <w:top w:val="nil"/>
              <w:left w:val="nil"/>
              <w:bottom w:val="nil"/>
              <w:right w:val="double" w:sz="6" w:space="0" w:color="auto"/>
            </w:tcBorders>
            <w:shd w:val="clear" w:color="000000" w:fill="FFFFFF"/>
            <w:noWrap/>
            <w:vAlign w:val="center"/>
            <w:hideMark/>
          </w:tcPr>
          <w:p w14:paraId="0CF1964F"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0.2</w:t>
            </w:r>
          </w:p>
        </w:tc>
        <w:tc>
          <w:tcPr>
            <w:tcW w:w="477" w:type="pct"/>
            <w:tcBorders>
              <w:top w:val="nil"/>
              <w:left w:val="nil"/>
              <w:bottom w:val="nil"/>
              <w:right w:val="single" w:sz="4" w:space="0" w:color="auto"/>
            </w:tcBorders>
            <w:shd w:val="clear" w:color="000000" w:fill="FFFFFF"/>
            <w:noWrap/>
            <w:vAlign w:val="center"/>
            <w:hideMark/>
          </w:tcPr>
          <w:p w14:paraId="2B1FFCF0" w14:textId="77777777" w:rsidR="00052499" w:rsidRPr="00C17ACD" w:rsidRDefault="00052499" w:rsidP="00052499">
            <w:pPr>
              <w:spacing w:after="0" w:line="240" w:lineRule="auto"/>
              <w:jc w:val="right"/>
              <w:rPr>
                <w:rFonts w:ascii="Calibri" w:eastAsia="Times New Roman" w:hAnsi="Calibri" w:cs="Calibri"/>
                <w:sz w:val="16"/>
                <w:szCs w:val="16"/>
              </w:rPr>
            </w:pPr>
            <w:r w:rsidRPr="00C17ACD">
              <w:rPr>
                <w:rFonts w:ascii="Calibri" w:eastAsia="Times New Roman" w:hAnsi="Calibri" w:cs="Calibri"/>
                <w:sz w:val="16"/>
                <w:szCs w:val="16"/>
              </w:rPr>
              <w:t>9.75</w:t>
            </w:r>
          </w:p>
        </w:tc>
        <w:tc>
          <w:tcPr>
            <w:tcW w:w="307" w:type="pct"/>
            <w:tcBorders>
              <w:top w:val="nil"/>
              <w:left w:val="nil"/>
              <w:bottom w:val="nil"/>
              <w:right w:val="double" w:sz="6" w:space="0" w:color="auto"/>
            </w:tcBorders>
            <w:shd w:val="clear" w:color="000000" w:fill="FFFFFF"/>
            <w:noWrap/>
            <w:vAlign w:val="center"/>
            <w:hideMark/>
          </w:tcPr>
          <w:p w14:paraId="05374B6C"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0.1</w:t>
            </w:r>
          </w:p>
        </w:tc>
        <w:tc>
          <w:tcPr>
            <w:tcW w:w="452" w:type="pct"/>
            <w:tcBorders>
              <w:top w:val="nil"/>
              <w:left w:val="nil"/>
              <w:bottom w:val="nil"/>
              <w:right w:val="single" w:sz="4" w:space="0" w:color="auto"/>
            </w:tcBorders>
            <w:shd w:val="clear" w:color="000000" w:fill="FFFFFF"/>
            <w:noWrap/>
            <w:vAlign w:val="center"/>
            <w:hideMark/>
          </w:tcPr>
          <w:p w14:paraId="3555259B" w14:textId="77777777" w:rsidR="00052499" w:rsidRPr="00C17ACD" w:rsidRDefault="00052499" w:rsidP="00052499">
            <w:pPr>
              <w:spacing w:after="0" w:line="240" w:lineRule="auto"/>
              <w:jc w:val="right"/>
              <w:rPr>
                <w:rFonts w:ascii="Calibri" w:eastAsia="Times New Roman" w:hAnsi="Calibri" w:cs="Calibri"/>
                <w:sz w:val="16"/>
                <w:szCs w:val="16"/>
              </w:rPr>
            </w:pPr>
            <w:r w:rsidRPr="00C17ACD">
              <w:rPr>
                <w:rFonts w:ascii="Calibri" w:eastAsia="Times New Roman" w:hAnsi="Calibri" w:cs="Calibri"/>
                <w:sz w:val="16"/>
                <w:szCs w:val="16"/>
              </w:rPr>
              <w:t>9.75</w:t>
            </w:r>
          </w:p>
        </w:tc>
        <w:tc>
          <w:tcPr>
            <w:tcW w:w="308" w:type="pct"/>
            <w:tcBorders>
              <w:top w:val="nil"/>
              <w:left w:val="nil"/>
              <w:bottom w:val="nil"/>
              <w:right w:val="double" w:sz="6" w:space="0" w:color="auto"/>
            </w:tcBorders>
            <w:shd w:val="clear" w:color="000000" w:fill="FFFFFF"/>
            <w:noWrap/>
            <w:vAlign w:val="center"/>
            <w:hideMark/>
          </w:tcPr>
          <w:p w14:paraId="1E908E11"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0.1</w:t>
            </w:r>
          </w:p>
        </w:tc>
        <w:tc>
          <w:tcPr>
            <w:tcW w:w="436" w:type="pct"/>
            <w:tcBorders>
              <w:top w:val="nil"/>
              <w:left w:val="nil"/>
              <w:bottom w:val="nil"/>
              <w:right w:val="single" w:sz="4" w:space="0" w:color="auto"/>
            </w:tcBorders>
            <w:shd w:val="clear" w:color="000000" w:fill="FFFFFF"/>
            <w:noWrap/>
            <w:vAlign w:val="center"/>
            <w:hideMark/>
          </w:tcPr>
          <w:p w14:paraId="2AA6E517" w14:textId="77777777" w:rsidR="00052499" w:rsidRPr="00C17ACD" w:rsidRDefault="00052499" w:rsidP="00052499">
            <w:pPr>
              <w:spacing w:after="0" w:line="240" w:lineRule="auto"/>
              <w:jc w:val="right"/>
              <w:rPr>
                <w:rFonts w:ascii="Calibri" w:eastAsia="Times New Roman" w:hAnsi="Calibri" w:cs="Calibri"/>
                <w:sz w:val="16"/>
                <w:szCs w:val="16"/>
              </w:rPr>
            </w:pPr>
            <w:r w:rsidRPr="00C17ACD">
              <w:rPr>
                <w:rFonts w:ascii="Calibri" w:eastAsia="Times New Roman" w:hAnsi="Calibri" w:cs="Calibri"/>
                <w:sz w:val="16"/>
                <w:szCs w:val="16"/>
              </w:rPr>
              <w:t>9.75</w:t>
            </w:r>
          </w:p>
        </w:tc>
        <w:tc>
          <w:tcPr>
            <w:tcW w:w="306" w:type="pct"/>
            <w:tcBorders>
              <w:top w:val="nil"/>
              <w:left w:val="nil"/>
              <w:bottom w:val="nil"/>
              <w:right w:val="double" w:sz="6" w:space="0" w:color="auto"/>
            </w:tcBorders>
            <w:shd w:val="clear" w:color="000000" w:fill="FFFFFF"/>
            <w:noWrap/>
            <w:vAlign w:val="center"/>
            <w:hideMark/>
          </w:tcPr>
          <w:p w14:paraId="5FAF5EB2"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0.1</w:t>
            </w:r>
          </w:p>
        </w:tc>
      </w:tr>
      <w:tr w:rsidR="00052499" w:rsidRPr="00C17ACD" w14:paraId="2B55A7B4" w14:textId="77777777" w:rsidTr="00052499">
        <w:trPr>
          <w:trHeight w:hRule="exact" w:val="198"/>
        </w:trPr>
        <w:tc>
          <w:tcPr>
            <w:tcW w:w="1974" w:type="pct"/>
            <w:tcBorders>
              <w:top w:val="nil"/>
              <w:left w:val="double" w:sz="6" w:space="0" w:color="auto"/>
              <w:bottom w:val="double" w:sz="6" w:space="0" w:color="auto"/>
              <w:right w:val="nil"/>
            </w:tcBorders>
            <w:shd w:val="clear" w:color="000000" w:fill="FFFFFF"/>
            <w:noWrap/>
            <w:vAlign w:val="center"/>
            <w:hideMark/>
          </w:tcPr>
          <w:p w14:paraId="166769A2" w14:textId="77777777" w:rsidR="00052499" w:rsidRPr="00C17ACD" w:rsidRDefault="00052499" w:rsidP="00052499">
            <w:pPr>
              <w:spacing w:after="0" w:line="240" w:lineRule="auto"/>
              <w:rPr>
                <w:rFonts w:ascii="Calibri" w:eastAsia="Times New Roman" w:hAnsi="Calibri" w:cs="Calibri"/>
                <w:b/>
                <w:bCs/>
                <w:sz w:val="16"/>
                <w:szCs w:val="16"/>
              </w:rPr>
            </w:pPr>
            <w:r w:rsidRPr="00C17ACD">
              <w:rPr>
                <w:rFonts w:ascii="Calibri" w:eastAsia="Times New Roman" w:hAnsi="Calibri" w:cs="Calibri"/>
                <w:b/>
                <w:bCs/>
                <w:sz w:val="16"/>
                <w:szCs w:val="16"/>
              </w:rPr>
              <w:t>Povećanje/smanjenje depozita</w:t>
            </w:r>
          </w:p>
        </w:tc>
        <w:tc>
          <w:tcPr>
            <w:tcW w:w="439" w:type="pct"/>
            <w:tcBorders>
              <w:top w:val="nil"/>
              <w:left w:val="nil"/>
              <w:bottom w:val="double" w:sz="6" w:space="0" w:color="auto"/>
              <w:right w:val="single" w:sz="4" w:space="0" w:color="auto"/>
            </w:tcBorders>
            <w:shd w:val="clear" w:color="000000" w:fill="FFFFFF"/>
            <w:noWrap/>
            <w:vAlign w:val="center"/>
            <w:hideMark/>
          </w:tcPr>
          <w:p w14:paraId="184C3B0E" w14:textId="77777777" w:rsidR="00052499" w:rsidRPr="00C17ACD" w:rsidRDefault="00052499" w:rsidP="00052499">
            <w:pPr>
              <w:spacing w:after="0" w:line="240" w:lineRule="auto"/>
              <w:jc w:val="right"/>
              <w:rPr>
                <w:rFonts w:ascii="Calibri" w:eastAsia="Times New Roman" w:hAnsi="Calibri" w:cs="Calibri"/>
                <w:sz w:val="16"/>
                <w:szCs w:val="16"/>
              </w:rPr>
            </w:pPr>
            <w:r w:rsidRPr="00C17ACD">
              <w:rPr>
                <w:rFonts w:ascii="Calibri" w:eastAsia="Times New Roman" w:hAnsi="Calibri" w:cs="Calibri"/>
                <w:sz w:val="16"/>
                <w:szCs w:val="16"/>
              </w:rPr>
              <w:t>43.00</w:t>
            </w:r>
          </w:p>
        </w:tc>
        <w:tc>
          <w:tcPr>
            <w:tcW w:w="300" w:type="pct"/>
            <w:tcBorders>
              <w:top w:val="nil"/>
              <w:left w:val="nil"/>
              <w:bottom w:val="double" w:sz="6" w:space="0" w:color="auto"/>
              <w:right w:val="double" w:sz="6" w:space="0" w:color="auto"/>
            </w:tcBorders>
            <w:shd w:val="clear" w:color="000000" w:fill="FFFFFF"/>
            <w:noWrap/>
            <w:vAlign w:val="center"/>
            <w:hideMark/>
          </w:tcPr>
          <w:p w14:paraId="3F823B56"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0.7</w:t>
            </w:r>
          </w:p>
        </w:tc>
        <w:tc>
          <w:tcPr>
            <w:tcW w:w="477" w:type="pct"/>
            <w:tcBorders>
              <w:top w:val="nil"/>
              <w:left w:val="nil"/>
              <w:bottom w:val="double" w:sz="6" w:space="0" w:color="auto"/>
              <w:right w:val="single" w:sz="4" w:space="0" w:color="auto"/>
            </w:tcBorders>
            <w:shd w:val="clear" w:color="000000" w:fill="FFFFFF"/>
            <w:noWrap/>
            <w:vAlign w:val="center"/>
            <w:hideMark/>
          </w:tcPr>
          <w:p w14:paraId="022B3560" w14:textId="77777777" w:rsidR="00052499" w:rsidRPr="00C17ACD" w:rsidRDefault="00052499" w:rsidP="00052499">
            <w:pPr>
              <w:spacing w:after="0" w:line="240" w:lineRule="auto"/>
              <w:jc w:val="right"/>
              <w:rPr>
                <w:rFonts w:ascii="Calibri" w:eastAsia="Times New Roman" w:hAnsi="Calibri" w:cs="Calibri"/>
                <w:sz w:val="16"/>
                <w:szCs w:val="16"/>
              </w:rPr>
            </w:pPr>
            <w:r w:rsidRPr="00C17ACD">
              <w:rPr>
                <w:rFonts w:ascii="Calibri" w:eastAsia="Times New Roman" w:hAnsi="Calibri" w:cs="Calibri"/>
                <w:sz w:val="16"/>
                <w:szCs w:val="16"/>
              </w:rPr>
              <w:t>100.00</w:t>
            </w:r>
          </w:p>
        </w:tc>
        <w:tc>
          <w:tcPr>
            <w:tcW w:w="307" w:type="pct"/>
            <w:tcBorders>
              <w:top w:val="nil"/>
              <w:left w:val="nil"/>
              <w:bottom w:val="double" w:sz="6" w:space="0" w:color="auto"/>
              <w:right w:val="double" w:sz="6" w:space="0" w:color="auto"/>
            </w:tcBorders>
            <w:shd w:val="clear" w:color="000000" w:fill="FFFFFF"/>
            <w:noWrap/>
            <w:vAlign w:val="center"/>
            <w:hideMark/>
          </w:tcPr>
          <w:p w14:paraId="4EAB6344"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1.4</w:t>
            </w:r>
          </w:p>
        </w:tc>
        <w:tc>
          <w:tcPr>
            <w:tcW w:w="452" w:type="pct"/>
            <w:tcBorders>
              <w:top w:val="nil"/>
              <w:left w:val="nil"/>
              <w:bottom w:val="double" w:sz="6" w:space="0" w:color="auto"/>
              <w:right w:val="single" w:sz="4" w:space="0" w:color="auto"/>
            </w:tcBorders>
            <w:shd w:val="clear" w:color="000000" w:fill="FFFFFF"/>
            <w:noWrap/>
            <w:vAlign w:val="center"/>
            <w:hideMark/>
          </w:tcPr>
          <w:p w14:paraId="200BF4CF" w14:textId="77777777" w:rsidR="00052499" w:rsidRPr="00C17ACD" w:rsidRDefault="00052499" w:rsidP="00052499">
            <w:pPr>
              <w:spacing w:after="0" w:line="240" w:lineRule="auto"/>
              <w:jc w:val="right"/>
              <w:rPr>
                <w:rFonts w:ascii="Calibri" w:eastAsia="Times New Roman" w:hAnsi="Calibri" w:cs="Calibri"/>
                <w:sz w:val="16"/>
                <w:szCs w:val="16"/>
              </w:rPr>
            </w:pPr>
            <w:r w:rsidRPr="00C17ACD">
              <w:rPr>
                <w:rFonts w:ascii="Calibri" w:eastAsia="Times New Roman" w:hAnsi="Calibri" w:cs="Calibri"/>
                <w:sz w:val="16"/>
                <w:szCs w:val="16"/>
              </w:rPr>
              <w:t>100.00</w:t>
            </w:r>
          </w:p>
        </w:tc>
        <w:tc>
          <w:tcPr>
            <w:tcW w:w="308" w:type="pct"/>
            <w:tcBorders>
              <w:top w:val="nil"/>
              <w:left w:val="nil"/>
              <w:bottom w:val="double" w:sz="6" w:space="0" w:color="auto"/>
              <w:right w:val="double" w:sz="6" w:space="0" w:color="auto"/>
            </w:tcBorders>
            <w:shd w:val="clear" w:color="000000" w:fill="FFFFFF"/>
            <w:noWrap/>
            <w:vAlign w:val="center"/>
            <w:hideMark/>
          </w:tcPr>
          <w:p w14:paraId="05BB7029"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1.3</w:t>
            </w:r>
          </w:p>
        </w:tc>
        <w:tc>
          <w:tcPr>
            <w:tcW w:w="436" w:type="pct"/>
            <w:tcBorders>
              <w:top w:val="nil"/>
              <w:left w:val="nil"/>
              <w:bottom w:val="double" w:sz="6" w:space="0" w:color="auto"/>
              <w:right w:val="single" w:sz="4" w:space="0" w:color="auto"/>
            </w:tcBorders>
            <w:shd w:val="clear" w:color="000000" w:fill="FFFFFF"/>
            <w:noWrap/>
            <w:vAlign w:val="center"/>
            <w:hideMark/>
          </w:tcPr>
          <w:p w14:paraId="02CA88E6" w14:textId="77777777" w:rsidR="00052499" w:rsidRPr="00C17ACD" w:rsidRDefault="00052499" w:rsidP="00052499">
            <w:pPr>
              <w:spacing w:after="0" w:line="240" w:lineRule="auto"/>
              <w:jc w:val="right"/>
              <w:rPr>
                <w:rFonts w:ascii="Calibri" w:eastAsia="Times New Roman" w:hAnsi="Calibri" w:cs="Calibri"/>
                <w:sz w:val="16"/>
                <w:szCs w:val="16"/>
              </w:rPr>
            </w:pPr>
            <w:r w:rsidRPr="00C17ACD">
              <w:rPr>
                <w:rFonts w:ascii="Calibri" w:eastAsia="Times New Roman" w:hAnsi="Calibri" w:cs="Calibri"/>
                <w:sz w:val="16"/>
                <w:szCs w:val="16"/>
              </w:rPr>
              <w:t>100.00</w:t>
            </w:r>
          </w:p>
        </w:tc>
        <w:tc>
          <w:tcPr>
            <w:tcW w:w="306" w:type="pct"/>
            <w:tcBorders>
              <w:top w:val="nil"/>
              <w:left w:val="nil"/>
              <w:bottom w:val="double" w:sz="6" w:space="0" w:color="auto"/>
              <w:right w:val="double" w:sz="6" w:space="0" w:color="auto"/>
            </w:tcBorders>
            <w:shd w:val="clear" w:color="000000" w:fill="FFFFFF"/>
            <w:noWrap/>
            <w:vAlign w:val="center"/>
            <w:hideMark/>
          </w:tcPr>
          <w:p w14:paraId="2EF29548" w14:textId="77777777" w:rsidR="00052499" w:rsidRPr="00C17ACD" w:rsidRDefault="00052499" w:rsidP="00052499">
            <w:pPr>
              <w:spacing w:after="0" w:line="240" w:lineRule="auto"/>
              <w:jc w:val="right"/>
              <w:rPr>
                <w:rFonts w:ascii="Calibri" w:eastAsia="Times New Roman" w:hAnsi="Calibri" w:cs="Calibri"/>
                <w:b/>
                <w:bCs/>
                <w:sz w:val="16"/>
                <w:szCs w:val="16"/>
              </w:rPr>
            </w:pPr>
            <w:r w:rsidRPr="00C17ACD">
              <w:rPr>
                <w:rFonts w:ascii="Calibri" w:eastAsia="Times New Roman" w:hAnsi="Calibri" w:cs="Calibri"/>
                <w:b/>
                <w:bCs/>
                <w:sz w:val="16"/>
                <w:szCs w:val="16"/>
              </w:rPr>
              <w:t>1.3</w:t>
            </w:r>
          </w:p>
        </w:tc>
      </w:tr>
    </w:tbl>
    <w:p w14:paraId="100F65E2" w14:textId="77777777" w:rsidR="00052499" w:rsidRDefault="00052499" w:rsidP="00052499"/>
    <w:tbl>
      <w:tblPr>
        <w:tblW w:w="5000" w:type="pct"/>
        <w:tblLook w:val="04A0" w:firstRow="1" w:lastRow="0" w:firstColumn="1" w:lastColumn="0" w:noHBand="0" w:noVBand="1"/>
      </w:tblPr>
      <w:tblGrid>
        <w:gridCol w:w="4288"/>
        <w:gridCol w:w="665"/>
        <w:gridCol w:w="551"/>
        <w:gridCol w:w="671"/>
        <w:gridCol w:w="576"/>
        <w:gridCol w:w="665"/>
        <w:gridCol w:w="618"/>
        <w:gridCol w:w="665"/>
        <w:gridCol w:w="615"/>
      </w:tblGrid>
      <w:tr w:rsidR="00052499" w:rsidRPr="00555FBC" w14:paraId="38C6152F" w14:textId="77777777" w:rsidTr="00052499">
        <w:trPr>
          <w:trHeight w:val="198"/>
        </w:trPr>
        <w:tc>
          <w:tcPr>
            <w:tcW w:w="2302" w:type="pct"/>
            <w:tcBorders>
              <w:top w:val="double" w:sz="6" w:space="0" w:color="auto"/>
              <w:left w:val="double" w:sz="6" w:space="0" w:color="auto"/>
              <w:bottom w:val="double" w:sz="6" w:space="0" w:color="auto"/>
              <w:right w:val="nil"/>
            </w:tcBorders>
            <w:shd w:val="clear" w:color="000000" w:fill="323E1A"/>
            <w:noWrap/>
            <w:vAlign w:val="center"/>
            <w:hideMark/>
          </w:tcPr>
          <w:p w14:paraId="37D0C9BC" w14:textId="15BDA387" w:rsidR="00052499" w:rsidRPr="00555FBC" w:rsidRDefault="00052499" w:rsidP="00052499">
            <w:pPr>
              <w:spacing w:after="0" w:line="240" w:lineRule="auto"/>
              <w:rPr>
                <w:rFonts w:ascii="Calibri" w:eastAsia="Times New Roman" w:hAnsi="Calibri" w:cs="Calibri"/>
                <w:color w:val="FFFFFF"/>
                <w:sz w:val="16"/>
                <w:szCs w:val="16"/>
              </w:rPr>
            </w:pPr>
            <w:r>
              <w:lastRenderedPageBreak/>
              <w:br w:type="page"/>
            </w:r>
            <w:r w:rsidRPr="00555FBC">
              <w:rPr>
                <w:rFonts w:ascii="Calibri" w:eastAsia="Times New Roman" w:hAnsi="Calibri" w:cs="Calibri"/>
                <w:color w:val="FFFFFF"/>
                <w:sz w:val="16"/>
                <w:szCs w:val="16"/>
              </w:rPr>
              <w:t>BDP (u mil. €)</w:t>
            </w:r>
          </w:p>
        </w:tc>
        <w:tc>
          <w:tcPr>
            <w:tcW w:w="653" w:type="pct"/>
            <w:gridSpan w:val="2"/>
            <w:tcBorders>
              <w:top w:val="double" w:sz="6" w:space="0" w:color="auto"/>
              <w:left w:val="nil"/>
              <w:bottom w:val="double" w:sz="6" w:space="0" w:color="auto"/>
              <w:right w:val="double" w:sz="6" w:space="0" w:color="000000"/>
            </w:tcBorders>
            <w:shd w:val="clear" w:color="000000" w:fill="D8E4BC"/>
            <w:noWrap/>
            <w:vAlign w:val="center"/>
            <w:hideMark/>
          </w:tcPr>
          <w:p w14:paraId="5FD7F8DA" w14:textId="77777777" w:rsidR="00052499" w:rsidRPr="00555FBC" w:rsidRDefault="00052499" w:rsidP="00052499">
            <w:pPr>
              <w:spacing w:after="0" w:line="240" w:lineRule="auto"/>
              <w:jc w:val="center"/>
              <w:rPr>
                <w:rFonts w:ascii="Calibri" w:eastAsia="Times New Roman" w:hAnsi="Calibri" w:cs="Calibri"/>
                <w:sz w:val="16"/>
                <w:szCs w:val="16"/>
              </w:rPr>
            </w:pPr>
            <w:r w:rsidRPr="00555FBC">
              <w:rPr>
                <w:rFonts w:ascii="Calibri" w:eastAsia="Times New Roman" w:hAnsi="Calibri" w:cs="Calibri"/>
                <w:sz w:val="16"/>
                <w:szCs w:val="16"/>
              </w:rPr>
              <w:t>6447.1</w:t>
            </w:r>
          </w:p>
        </w:tc>
        <w:tc>
          <w:tcPr>
            <w:tcW w:w="669" w:type="pct"/>
            <w:gridSpan w:val="2"/>
            <w:tcBorders>
              <w:top w:val="double" w:sz="6" w:space="0" w:color="auto"/>
              <w:left w:val="nil"/>
              <w:bottom w:val="double" w:sz="6" w:space="0" w:color="auto"/>
              <w:right w:val="double" w:sz="6" w:space="0" w:color="000000"/>
            </w:tcBorders>
            <w:shd w:val="clear" w:color="000000" w:fill="D8E4BC"/>
            <w:noWrap/>
            <w:vAlign w:val="center"/>
            <w:hideMark/>
          </w:tcPr>
          <w:p w14:paraId="7B72AEF0" w14:textId="77777777" w:rsidR="00052499" w:rsidRPr="00555FBC" w:rsidRDefault="00052499" w:rsidP="00052499">
            <w:pPr>
              <w:spacing w:after="0" w:line="240" w:lineRule="auto"/>
              <w:jc w:val="center"/>
              <w:rPr>
                <w:rFonts w:ascii="Calibri" w:eastAsia="Times New Roman" w:hAnsi="Calibri" w:cs="Calibri"/>
                <w:sz w:val="16"/>
                <w:szCs w:val="16"/>
              </w:rPr>
            </w:pPr>
            <w:r w:rsidRPr="00555FBC">
              <w:rPr>
                <w:rFonts w:ascii="Calibri" w:eastAsia="Times New Roman" w:hAnsi="Calibri" w:cs="Calibri"/>
                <w:sz w:val="16"/>
                <w:szCs w:val="16"/>
              </w:rPr>
              <w:t>7034.0</w:t>
            </w:r>
          </w:p>
        </w:tc>
        <w:tc>
          <w:tcPr>
            <w:tcW w:w="689" w:type="pct"/>
            <w:gridSpan w:val="2"/>
            <w:tcBorders>
              <w:top w:val="double" w:sz="6" w:space="0" w:color="auto"/>
              <w:left w:val="nil"/>
              <w:bottom w:val="double" w:sz="6" w:space="0" w:color="auto"/>
              <w:right w:val="double" w:sz="6" w:space="0" w:color="000000"/>
            </w:tcBorders>
            <w:shd w:val="clear" w:color="000000" w:fill="D8E4BC"/>
            <w:noWrap/>
            <w:vAlign w:val="center"/>
            <w:hideMark/>
          </w:tcPr>
          <w:p w14:paraId="79AE3508" w14:textId="77777777" w:rsidR="00052499" w:rsidRPr="00555FBC" w:rsidRDefault="00052499" w:rsidP="00052499">
            <w:pPr>
              <w:spacing w:after="0" w:line="240" w:lineRule="auto"/>
              <w:jc w:val="center"/>
              <w:rPr>
                <w:rFonts w:ascii="Calibri" w:eastAsia="Times New Roman" w:hAnsi="Calibri" w:cs="Calibri"/>
                <w:sz w:val="16"/>
                <w:szCs w:val="16"/>
              </w:rPr>
            </w:pPr>
            <w:r w:rsidRPr="00555FBC">
              <w:rPr>
                <w:rFonts w:ascii="Calibri" w:eastAsia="Times New Roman" w:hAnsi="Calibri" w:cs="Calibri"/>
                <w:sz w:val="16"/>
                <w:szCs w:val="16"/>
              </w:rPr>
              <w:t>7424.5</w:t>
            </w:r>
          </w:p>
        </w:tc>
        <w:tc>
          <w:tcPr>
            <w:tcW w:w="687" w:type="pct"/>
            <w:gridSpan w:val="2"/>
            <w:tcBorders>
              <w:top w:val="double" w:sz="6" w:space="0" w:color="auto"/>
              <w:left w:val="nil"/>
              <w:bottom w:val="double" w:sz="6" w:space="0" w:color="auto"/>
              <w:right w:val="double" w:sz="6" w:space="0" w:color="000000"/>
            </w:tcBorders>
            <w:shd w:val="clear" w:color="000000" w:fill="D8E4BC"/>
            <w:noWrap/>
            <w:vAlign w:val="center"/>
            <w:hideMark/>
          </w:tcPr>
          <w:p w14:paraId="2B3559E3" w14:textId="77777777" w:rsidR="00052499" w:rsidRPr="00555FBC" w:rsidRDefault="00052499" w:rsidP="00052499">
            <w:pPr>
              <w:spacing w:after="0" w:line="240" w:lineRule="auto"/>
              <w:jc w:val="center"/>
              <w:rPr>
                <w:rFonts w:ascii="Calibri" w:eastAsia="Times New Roman" w:hAnsi="Calibri" w:cs="Calibri"/>
                <w:sz w:val="16"/>
                <w:szCs w:val="16"/>
              </w:rPr>
            </w:pPr>
            <w:r w:rsidRPr="00555FBC">
              <w:rPr>
                <w:rFonts w:ascii="Calibri" w:eastAsia="Times New Roman" w:hAnsi="Calibri" w:cs="Calibri"/>
                <w:sz w:val="16"/>
                <w:szCs w:val="16"/>
              </w:rPr>
              <w:t>7782.6</w:t>
            </w:r>
          </w:p>
        </w:tc>
      </w:tr>
      <w:tr w:rsidR="00052499" w:rsidRPr="00555FBC" w14:paraId="75A1AB4D" w14:textId="77777777" w:rsidTr="00052499">
        <w:trPr>
          <w:trHeight w:val="198"/>
        </w:trPr>
        <w:tc>
          <w:tcPr>
            <w:tcW w:w="2302" w:type="pct"/>
            <w:tcBorders>
              <w:top w:val="nil"/>
              <w:left w:val="nil"/>
              <w:bottom w:val="nil"/>
              <w:right w:val="nil"/>
            </w:tcBorders>
            <w:shd w:val="clear" w:color="000000" w:fill="FFFFFF"/>
            <w:noWrap/>
            <w:vAlign w:val="bottom"/>
            <w:hideMark/>
          </w:tcPr>
          <w:p w14:paraId="22277D00" w14:textId="77777777" w:rsidR="00052499" w:rsidRPr="00555FBC" w:rsidRDefault="00052499" w:rsidP="00052499">
            <w:pPr>
              <w:spacing w:after="0" w:line="240" w:lineRule="auto"/>
              <w:rPr>
                <w:rFonts w:ascii="Calibri" w:eastAsia="Times New Roman" w:hAnsi="Calibri" w:cs="Calibri"/>
                <w:sz w:val="16"/>
                <w:szCs w:val="16"/>
              </w:rPr>
            </w:pPr>
            <w:r w:rsidRPr="00555FBC">
              <w:rPr>
                <w:rFonts w:ascii="Calibri" w:eastAsia="Times New Roman" w:hAnsi="Calibri" w:cs="Calibri"/>
                <w:sz w:val="16"/>
                <w:szCs w:val="16"/>
              </w:rPr>
              <w:t> </w:t>
            </w:r>
          </w:p>
        </w:tc>
        <w:tc>
          <w:tcPr>
            <w:tcW w:w="357" w:type="pct"/>
            <w:tcBorders>
              <w:top w:val="nil"/>
              <w:left w:val="nil"/>
              <w:bottom w:val="nil"/>
              <w:right w:val="nil"/>
            </w:tcBorders>
            <w:shd w:val="clear" w:color="000000" w:fill="FFFFFF"/>
            <w:noWrap/>
            <w:vAlign w:val="bottom"/>
            <w:hideMark/>
          </w:tcPr>
          <w:p w14:paraId="5FF32311" w14:textId="77777777" w:rsidR="00052499" w:rsidRPr="00555FBC" w:rsidRDefault="00052499" w:rsidP="00052499">
            <w:pPr>
              <w:spacing w:after="0" w:line="240" w:lineRule="auto"/>
              <w:rPr>
                <w:rFonts w:ascii="Calibri" w:eastAsia="Times New Roman" w:hAnsi="Calibri" w:cs="Calibri"/>
                <w:sz w:val="16"/>
                <w:szCs w:val="16"/>
              </w:rPr>
            </w:pPr>
            <w:r w:rsidRPr="00555FBC">
              <w:rPr>
                <w:rFonts w:ascii="Calibri" w:eastAsia="Times New Roman" w:hAnsi="Calibri" w:cs="Calibri"/>
                <w:sz w:val="16"/>
                <w:szCs w:val="16"/>
              </w:rPr>
              <w:t> </w:t>
            </w:r>
          </w:p>
        </w:tc>
        <w:tc>
          <w:tcPr>
            <w:tcW w:w="296" w:type="pct"/>
            <w:tcBorders>
              <w:top w:val="nil"/>
              <w:left w:val="nil"/>
              <w:bottom w:val="nil"/>
              <w:right w:val="nil"/>
            </w:tcBorders>
            <w:shd w:val="clear" w:color="000000" w:fill="FFFFFF"/>
            <w:noWrap/>
            <w:vAlign w:val="bottom"/>
            <w:hideMark/>
          </w:tcPr>
          <w:p w14:paraId="0D953A9D" w14:textId="77777777" w:rsidR="00052499" w:rsidRPr="00555FBC" w:rsidRDefault="00052499" w:rsidP="00052499">
            <w:pPr>
              <w:spacing w:after="0" w:line="240" w:lineRule="auto"/>
              <w:rPr>
                <w:rFonts w:ascii="Calibri" w:eastAsia="Times New Roman" w:hAnsi="Calibri" w:cs="Calibri"/>
                <w:sz w:val="16"/>
                <w:szCs w:val="16"/>
              </w:rPr>
            </w:pPr>
            <w:r w:rsidRPr="00555FBC">
              <w:rPr>
                <w:rFonts w:ascii="Calibri" w:eastAsia="Times New Roman" w:hAnsi="Calibri" w:cs="Calibri"/>
                <w:sz w:val="16"/>
                <w:szCs w:val="16"/>
              </w:rPr>
              <w:t> </w:t>
            </w:r>
          </w:p>
        </w:tc>
        <w:tc>
          <w:tcPr>
            <w:tcW w:w="360" w:type="pct"/>
            <w:tcBorders>
              <w:top w:val="nil"/>
              <w:left w:val="nil"/>
              <w:bottom w:val="nil"/>
              <w:right w:val="nil"/>
            </w:tcBorders>
            <w:shd w:val="clear" w:color="000000" w:fill="FFFFFF"/>
            <w:noWrap/>
            <w:vAlign w:val="bottom"/>
            <w:hideMark/>
          </w:tcPr>
          <w:p w14:paraId="30F6610B" w14:textId="77777777" w:rsidR="00052499" w:rsidRPr="00555FBC" w:rsidRDefault="00052499" w:rsidP="00052499">
            <w:pPr>
              <w:spacing w:after="0" w:line="240" w:lineRule="auto"/>
              <w:rPr>
                <w:rFonts w:ascii="Calibri" w:eastAsia="Times New Roman" w:hAnsi="Calibri" w:cs="Calibri"/>
                <w:sz w:val="16"/>
                <w:szCs w:val="16"/>
              </w:rPr>
            </w:pPr>
            <w:r w:rsidRPr="00555FBC">
              <w:rPr>
                <w:rFonts w:ascii="Calibri" w:eastAsia="Times New Roman" w:hAnsi="Calibri" w:cs="Calibri"/>
                <w:sz w:val="16"/>
                <w:szCs w:val="16"/>
              </w:rPr>
              <w:t> </w:t>
            </w:r>
          </w:p>
        </w:tc>
        <w:tc>
          <w:tcPr>
            <w:tcW w:w="309" w:type="pct"/>
            <w:tcBorders>
              <w:top w:val="nil"/>
              <w:left w:val="nil"/>
              <w:bottom w:val="nil"/>
              <w:right w:val="nil"/>
            </w:tcBorders>
            <w:shd w:val="clear" w:color="000000" w:fill="FFFFFF"/>
            <w:noWrap/>
            <w:vAlign w:val="bottom"/>
            <w:hideMark/>
          </w:tcPr>
          <w:p w14:paraId="76F5ABD3" w14:textId="77777777" w:rsidR="00052499" w:rsidRPr="00555FBC" w:rsidRDefault="00052499" w:rsidP="00052499">
            <w:pPr>
              <w:spacing w:after="0" w:line="240" w:lineRule="auto"/>
              <w:rPr>
                <w:rFonts w:ascii="Calibri" w:eastAsia="Times New Roman" w:hAnsi="Calibri" w:cs="Calibri"/>
                <w:sz w:val="16"/>
                <w:szCs w:val="16"/>
              </w:rPr>
            </w:pPr>
            <w:r w:rsidRPr="00555FBC">
              <w:rPr>
                <w:rFonts w:ascii="Calibri" w:eastAsia="Times New Roman" w:hAnsi="Calibri" w:cs="Calibri"/>
                <w:sz w:val="16"/>
                <w:szCs w:val="16"/>
              </w:rPr>
              <w:t> </w:t>
            </w:r>
          </w:p>
        </w:tc>
        <w:tc>
          <w:tcPr>
            <w:tcW w:w="357" w:type="pct"/>
            <w:tcBorders>
              <w:top w:val="nil"/>
              <w:left w:val="nil"/>
              <w:bottom w:val="nil"/>
              <w:right w:val="nil"/>
            </w:tcBorders>
            <w:shd w:val="clear" w:color="000000" w:fill="FFFFFF"/>
            <w:noWrap/>
            <w:vAlign w:val="bottom"/>
            <w:hideMark/>
          </w:tcPr>
          <w:p w14:paraId="49CDACC5" w14:textId="77777777" w:rsidR="00052499" w:rsidRPr="00555FBC" w:rsidRDefault="00052499" w:rsidP="00052499">
            <w:pPr>
              <w:spacing w:after="0" w:line="240" w:lineRule="auto"/>
              <w:rPr>
                <w:rFonts w:ascii="Calibri" w:eastAsia="Times New Roman" w:hAnsi="Calibri" w:cs="Calibri"/>
                <w:sz w:val="16"/>
                <w:szCs w:val="16"/>
              </w:rPr>
            </w:pPr>
            <w:r w:rsidRPr="00555FBC">
              <w:rPr>
                <w:rFonts w:ascii="Calibri" w:eastAsia="Times New Roman" w:hAnsi="Calibri" w:cs="Calibri"/>
                <w:sz w:val="16"/>
                <w:szCs w:val="16"/>
              </w:rPr>
              <w:t> </w:t>
            </w:r>
          </w:p>
        </w:tc>
        <w:tc>
          <w:tcPr>
            <w:tcW w:w="332" w:type="pct"/>
            <w:tcBorders>
              <w:top w:val="nil"/>
              <w:left w:val="nil"/>
              <w:bottom w:val="nil"/>
              <w:right w:val="nil"/>
            </w:tcBorders>
            <w:shd w:val="clear" w:color="000000" w:fill="FFFFFF"/>
            <w:noWrap/>
            <w:vAlign w:val="bottom"/>
            <w:hideMark/>
          </w:tcPr>
          <w:p w14:paraId="7269E9CA" w14:textId="77777777" w:rsidR="00052499" w:rsidRPr="00555FBC" w:rsidRDefault="00052499" w:rsidP="00052499">
            <w:pPr>
              <w:spacing w:after="0" w:line="240" w:lineRule="auto"/>
              <w:rPr>
                <w:rFonts w:ascii="Calibri" w:eastAsia="Times New Roman" w:hAnsi="Calibri" w:cs="Calibri"/>
                <w:sz w:val="16"/>
                <w:szCs w:val="16"/>
              </w:rPr>
            </w:pPr>
            <w:r w:rsidRPr="00555FBC">
              <w:rPr>
                <w:rFonts w:ascii="Calibri" w:eastAsia="Times New Roman" w:hAnsi="Calibri" w:cs="Calibri"/>
                <w:sz w:val="16"/>
                <w:szCs w:val="16"/>
              </w:rPr>
              <w:t> </w:t>
            </w:r>
          </w:p>
        </w:tc>
        <w:tc>
          <w:tcPr>
            <w:tcW w:w="357" w:type="pct"/>
            <w:tcBorders>
              <w:top w:val="nil"/>
              <w:left w:val="nil"/>
              <w:bottom w:val="nil"/>
              <w:right w:val="nil"/>
            </w:tcBorders>
            <w:shd w:val="clear" w:color="000000" w:fill="FFFFFF"/>
            <w:noWrap/>
            <w:vAlign w:val="bottom"/>
            <w:hideMark/>
          </w:tcPr>
          <w:p w14:paraId="643ADD9F" w14:textId="77777777" w:rsidR="00052499" w:rsidRPr="00555FBC" w:rsidRDefault="00052499" w:rsidP="00052499">
            <w:pPr>
              <w:spacing w:after="0" w:line="240" w:lineRule="auto"/>
              <w:rPr>
                <w:rFonts w:ascii="Calibri" w:eastAsia="Times New Roman" w:hAnsi="Calibri" w:cs="Calibri"/>
                <w:sz w:val="16"/>
                <w:szCs w:val="16"/>
              </w:rPr>
            </w:pPr>
            <w:r w:rsidRPr="00555FBC">
              <w:rPr>
                <w:rFonts w:ascii="Calibri" w:eastAsia="Times New Roman" w:hAnsi="Calibri" w:cs="Calibri"/>
                <w:sz w:val="16"/>
                <w:szCs w:val="16"/>
              </w:rPr>
              <w:t> </w:t>
            </w:r>
          </w:p>
        </w:tc>
        <w:tc>
          <w:tcPr>
            <w:tcW w:w="330" w:type="pct"/>
            <w:tcBorders>
              <w:top w:val="nil"/>
              <w:left w:val="nil"/>
              <w:bottom w:val="nil"/>
              <w:right w:val="nil"/>
            </w:tcBorders>
            <w:shd w:val="clear" w:color="000000" w:fill="FFFFFF"/>
            <w:noWrap/>
            <w:vAlign w:val="bottom"/>
            <w:hideMark/>
          </w:tcPr>
          <w:p w14:paraId="415504B0" w14:textId="77777777" w:rsidR="00052499" w:rsidRPr="00555FBC" w:rsidRDefault="00052499" w:rsidP="00052499">
            <w:pPr>
              <w:spacing w:after="0" w:line="240" w:lineRule="auto"/>
              <w:rPr>
                <w:rFonts w:ascii="Calibri" w:eastAsia="Times New Roman" w:hAnsi="Calibri" w:cs="Calibri"/>
                <w:sz w:val="16"/>
                <w:szCs w:val="16"/>
              </w:rPr>
            </w:pPr>
            <w:r w:rsidRPr="00555FBC">
              <w:rPr>
                <w:rFonts w:ascii="Calibri" w:eastAsia="Times New Roman" w:hAnsi="Calibri" w:cs="Calibri"/>
                <w:sz w:val="16"/>
                <w:szCs w:val="16"/>
              </w:rPr>
              <w:t> </w:t>
            </w:r>
          </w:p>
        </w:tc>
      </w:tr>
      <w:tr w:rsidR="00052499" w:rsidRPr="00555FBC" w14:paraId="0B25C2F4" w14:textId="77777777" w:rsidTr="00052499">
        <w:trPr>
          <w:trHeight w:val="198"/>
        </w:trPr>
        <w:tc>
          <w:tcPr>
            <w:tcW w:w="2302" w:type="pct"/>
            <w:tcBorders>
              <w:top w:val="nil"/>
              <w:left w:val="nil"/>
              <w:bottom w:val="nil"/>
              <w:right w:val="nil"/>
            </w:tcBorders>
            <w:shd w:val="clear" w:color="000000" w:fill="FFFFFF"/>
            <w:noWrap/>
            <w:vAlign w:val="bottom"/>
            <w:hideMark/>
          </w:tcPr>
          <w:p w14:paraId="5635A13B" w14:textId="77777777" w:rsidR="00052499" w:rsidRPr="00555FBC" w:rsidRDefault="00052499" w:rsidP="00052499">
            <w:pPr>
              <w:spacing w:after="0" w:line="240" w:lineRule="auto"/>
              <w:rPr>
                <w:rFonts w:ascii="Calibri" w:eastAsia="Times New Roman" w:hAnsi="Calibri" w:cs="Calibri"/>
                <w:sz w:val="16"/>
                <w:szCs w:val="16"/>
              </w:rPr>
            </w:pPr>
            <w:r w:rsidRPr="00555FBC">
              <w:rPr>
                <w:rFonts w:ascii="Calibri" w:eastAsia="Times New Roman" w:hAnsi="Calibri" w:cs="Calibri"/>
                <w:sz w:val="16"/>
                <w:szCs w:val="16"/>
              </w:rPr>
              <w:t> </w:t>
            </w:r>
          </w:p>
        </w:tc>
        <w:tc>
          <w:tcPr>
            <w:tcW w:w="653" w:type="pct"/>
            <w:gridSpan w:val="2"/>
            <w:tcBorders>
              <w:top w:val="nil"/>
              <w:left w:val="nil"/>
              <w:bottom w:val="double" w:sz="6" w:space="0" w:color="auto"/>
              <w:right w:val="nil"/>
            </w:tcBorders>
            <w:shd w:val="clear" w:color="000000" w:fill="FFFFFF"/>
            <w:noWrap/>
            <w:vAlign w:val="bottom"/>
            <w:hideMark/>
          </w:tcPr>
          <w:p w14:paraId="627742CD" w14:textId="77777777" w:rsidR="00052499" w:rsidRPr="00555FBC" w:rsidRDefault="00052499" w:rsidP="00052499">
            <w:pPr>
              <w:spacing w:after="0" w:line="240" w:lineRule="auto"/>
              <w:jc w:val="center"/>
              <w:rPr>
                <w:rFonts w:ascii="Calibri" w:eastAsia="Times New Roman" w:hAnsi="Calibri" w:cs="Calibri"/>
                <w:i/>
                <w:iCs/>
                <w:sz w:val="16"/>
                <w:szCs w:val="16"/>
              </w:rPr>
            </w:pPr>
            <w:r w:rsidRPr="00555FBC">
              <w:rPr>
                <w:rFonts w:ascii="Calibri" w:eastAsia="Times New Roman" w:hAnsi="Calibri" w:cs="Calibri"/>
                <w:i/>
                <w:iCs/>
                <w:sz w:val="16"/>
                <w:szCs w:val="16"/>
              </w:rPr>
              <w:t> </w:t>
            </w:r>
          </w:p>
        </w:tc>
        <w:tc>
          <w:tcPr>
            <w:tcW w:w="669" w:type="pct"/>
            <w:gridSpan w:val="2"/>
            <w:tcBorders>
              <w:top w:val="nil"/>
              <w:left w:val="nil"/>
              <w:bottom w:val="double" w:sz="6" w:space="0" w:color="auto"/>
              <w:right w:val="nil"/>
            </w:tcBorders>
            <w:shd w:val="clear" w:color="000000" w:fill="FFFFFF"/>
            <w:noWrap/>
            <w:vAlign w:val="bottom"/>
            <w:hideMark/>
          </w:tcPr>
          <w:p w14:paraId="144AA1AB" w14:textId="77777777" w:rsidR="00052499" w:rsidRPr="00555FBC" w:rsidRDefault="00052499" w:rsidP="00052499">
            <w:pPr>
              <w:spacing w:after="0" w:line="240" w:lineRule="auto"/>
              <w:jc w:val="center"/>
              <w:rPr>
                <w:rFonts w:ascii="Calibri" w:eastAsia="Times New Roman" w:hAnsi="Calibri" w:cs="Calibri"/>
                <w:i/>
                <w:iCs/>
                <w:sz w:val="16"/>
                <w:szCs w:val="16"/>
              </w:rPr>
            </w:pPr>
            <w:r w:rsidRPr="00555FBC">
              <w:rPr>
                <w:rFonts w:ascii="Calibri" w:eastAsia="Times New Roman" w:hAnsi="Calibri" w:cs="Calibri"/>
                <w:i/>
                <w:iCs/>
                <w:sz w:val="16"/>
                <w:szCs w:val="16"/>
              </w:rPr>
              <w:t> </w:t>
            </w:r>
          </w:p>
        </w:tc>
        <w:tc>
          <w:tcPr>
            <w:tcW w:w="689" w:type="pct"/>
            <w:gridSpan w:val="2"/>
            <w:tcBorders>
              <w:top w:val="nil"/>
              <w:left w:val="nil"/>
              <w:bottom w:val="double" w:sz="6" w:space="0" w:color="auto"/>
              <w:right w:val="nil"/>
            </w:tcBorders>
            <w:shd w:val="clear" w:color="000000" w:fill="FFFFFF"/>
            <w:noWrap/>
            <w:vAlign w:val="bottom"/>
            <w:hideMark/>
          </w:tcPr>
          <w:p w14:paraId="0E28E5E1" w14:textId="77777777" w:rsidR="00052499" w:rsidRPr="00555FBC" w:rsidRDefault="00052499" w:rsidP="00052499">
            <w:pPr>
              <w:spacing w:after="0" w:line="240" w:lineRule="auto"/>
              <w:jc w:val="center"/>
              <w:rPr>
                <w:rFonts w:ascii="Calibri" w:eastAsia="Times New Roman" w:hAnsi="Calibri" w:cs="Calibri"/>
                <w:i/>
                <w:iCs/>
                <w:sz w:val="16"/>
                <w:szCs w:val="16"/>
              </w:rPr>
            </w:pPr>
            <w:r w:rsidRPr="00555FBC">
              <w:rPr>
                <w:rFonts w:ascii="Calibri" w:eastAsia="Times New Roman" w:hAnsi="Calibri" w:cs="Calibri"/>
                <w:i/>
                <w:iCs/>
                <w:sz w:val="16"/>
                <w:szCs w:val="16"/>
              </w:rPr>
              <w:t> </w:t>
            </w:r>
          </w:p>
        </w:tc>
        <w:tc>
          <w:tcPr>
            <w:tcW w:w="687" w:type="pct"/>
            <w:gridSpan w:val="2"/>
            <w:tcBorders>
              <w:top w:val="nil"/>
              <w:left w:val="nil"/>
              <w:bottom w:val="double" w:sz="6" w:space="0" w:color="auto"/>
              <w:right w:val="nil"/>
            </w:tcBorders>
            <w:shd w:val="clear" w:color="000000" w:fill="FFFFFF"/>
            <w:noWrap/>
            <w:vAlign w:val="bottom"/>
            <w:hideMark/>
          </w:tcPr>
          <w:p w14:paraId="5207AA86" w14:textId="77777777" w:rsidR="00052499" w:rsidRPr="00555FBC" w:rsidRDefault="00052499" w:rsidP="00052499">
            <w:pPr>
              <w:spacing w:after="0" w:line="240" w:lineRule="auto"/>
              <w:jc w:val="center"/>
              <w:rPr>
                <w:rFonts w:ascii="Calibri" w:eastAsia="Times New Roman" w:hAnsi="Calibri" w:cs="Calibri"/>
                <w:i/>
                <w:iCs/>
                <w:sz w:val="16"/>
                <w:szCs w:val="16"/>
              </w:rPr>
            </w:pPr>
            <w:r w:rsidRPr="00555FBC">
              <w:rPr>
                <w:rFonts w:ascii="Calibri" w:eastAsia="Times New Roman" w:hAnsi="Calibri" w:cs="Calibri"/>
                <w:i/>
                <w:iCs/>
                <w:sz w:val="16"/>
                <w:szCs w:val="16"/>
              </w:rPr>
              <w:t> </w:t>
            </w:r>
          </w:p>
        </w:tc>
      </w:tr>
      <w:tr w:rsidR="00052499" w:rsidRPr="00555FBC" w14:paraId="58F6FB3B" w14:textId="77777777" w:rsidTr="00052499">
        <w:trPr>
          <w:trHeight w:val="198"/>
        </w:trPr>
        <w:tc>
          <w:tcPr>
            <w:tcW w:w="2302" w:type="pct"/>
            <w:vMerge w:val="restart"/>
            <w:tcBorders>
              <w:top w:val="double" w:sz="6" w:space="0" w:color="auto"/>
              <w:left w:val="double" w:sz="6" w:space="0" w:color="auto"/>
              <w:bottom w:val="double" w:sz="6" w:space="0" w:color="000000"/>
              <w:right w:val="double" w:sz="6" w:space="0" w:color="auto"/>
            </w:tcBorders>
            <w:shd w:val="clear" w:color="000000" w:fill="323E1A"/>
            <w:noWrap/>
            <w:vAlign w:val="center"/>
            <w:hideMark/>
          </w:tcPr>
          <w:p w14:paraId="42B4D02D" w14:textId="77777777" w:rsidR="00052499" w:rsidRPr="00555FBC" w:rsidRDefault="00052499" w:rsidP="00052499">
            <w:pPr>
              <w:spacing w:after="0" w:line="240" w:lineRule="auto"/>
              <w:jc w:val="center"/>
              <w:rPr>
                <w:rFonts w:ascii="Calibri" w:eastAsia="Times New Roman" w:hAnsi="Calibri" w:cs="Calibri"/>
                <w:b/>
                <w:bCs/>
                <w:color w:val="FFFFFF"/>
                <w:sz w:val="16"/>
                <w:szCs w:val="16"/>
              </w:rPr>
            </w:pPr>
            <w:r w:rsidRPr="00555FBC">
              <w:rPr>
                <w:rFonts w:ascii="Calibri" w:eastAsia="Times New Roman" w:hAnsi="Calibri" w:cs="Calibri"/>
                <w:b/>
                <w:bCs/>
                <w:color w:val="FFFFFF"/>
                <w:sz w:val="16"/>
                <w:szCs w:val="16"/>
              </w:rPr>
              <w:t>Local government</w:t>
            </w:r>
          </w:p>
        </w:tc>
        <w:tc>
          <w:tcPr>
            <w:tcW w:w="653" w:type="pct"/>
            <w:gridSpan w:val="2"/>
            <w:tcBorders>
              <w:top w:val="double" w:sz="6" w:space="0" w:color="auto"/>
              <w:left w:val="nil"/>
              <w:bottom w:val="single" w:sz="4" w:space="0" w:color="auto"/>
              <w:right w:val="double" w:sz="6" w:space="0" w:color="000000"/>
            </w:tcBorders>
            <w:shd w:val="clear" w:color="000000" w:fill="D8E4BC"/>
            <w:noWrap/>
            <w:vAlign w:val="center"/>
            <w:hideMark/>
          </w:tcPr>
          <w:p w14:paraId="2DA31767" w14:textId="77777777" w:rsidR="00052499" w:rsidRPr="00555FBC" w:rsidRDefault="00052499" w:rsidP="00052499">
            <w:pPr>
              <w:spacing w:after="0" w:line="240" w:lineRule="auto"/>
              <w:jc w:val="center"/>
              <w:rPr>
                <w:rFonts w:ascii="Calibri" w:eastAsia="Times New Roman" w:hAnsi="Calibri" w:cs="Calibri"/>
                <w:b/>
                <w:bCs/>
                <w:sz w:val="16"/>
                <w:szCs w:val="16"/>
              </w:rPr>
            </w:pPr>
            <w:r w:rsidRPr="00555FBC">
              <w:rPr>
                <w:rFonts w:ascii="Calibri" w:eastAsia="Times New Roman" w:hAnsi="Calibri" w:cs="Calibri"/>
                <w:b/>
                <w:bCs/>
                <w:sz w:val="16"/>
                <w:szCs w:val="16"/>
              </w:rPr>
              <w:t>2023 PLAN</w:t>
            </w:r>
          </w:p>
        </w:tc>
        <w:tc>
          <w:tcPr>
            <w:tcW w:w="669" w:type="pct"/>
            <w:gridSpan w:val="2"/>
            <w:tcBorders>
              <w:top w:val="double" w:sz="6" w:space="0" w:color="auto"/>
              <w:left w:val="nil"/>
              <w:bottom w:val="single" w:sz="4" w:space="0" w:color="auto"/>
              <w:right w:val="double" w:sz="6" w:space="0" w:color="000000"/>
            </w:tcBorders>
            <w:shd w:val="clear" w:color="000000" w:fill="D8E4BC"/>
            <w:noWrap/>
            <w:vAlign w:val="center"/>
            <w:hideMark/>
          </w:tcPr>
          <w:p w14:paraId="64C5A814" w14:textId="77777777" w:rsidR="00052499" w:rsidRPr="00555FBC" w:rsidRDefault="00052499" w:rsidP="00052499">
            <w:pPr>
              <w:spacing w:after="0" w:line="240" w:lineRule="auto"/>
              <w:jc w:val="center"/>
              <w:rPr>
                <w:rFonts w:ascii="Calibri" w:eastAsia="Times New Roman" w:hAnsi="Calibri" w:cs="Calibri"/>
                <w:b/>
                <w:bCs/>
                <w:sz w:val="16"/>
                <w:szCs w:val="16"/>
              </w:rPr>
            </w:pPr>
            <w:r w:rsidRPr="00555FBC">
              <w:rPr>
                <w:rFonts w:ascii="Calibri" w:eastAsia="Times New Roman" w:hAnsi="Calibri" w:cs="Calibri"/>
                <w:b/>
                <w:bCs/>
                <w:sz w:val="16"/>
                <w:szCs w:val="16"/>
              </w:rPr>
              <w:t>2024</w:t>
            </w:r>
          </w:p>
        </w:tc>
        <w:tc>
          <w:tcPr>
            <w:tcW w:w="689" w:type="pct"/>
            <w:gridSpan w:val="2"/>
            <w:tcBorders>
              <w:top w:val="double" w:sz="6" w:space="0" w:color="auto"/>
              <w:left w:val="nil"/>
              <w:bottom w:val="single" w:sz="4" w:space="0" w:color="auto"/>
              <w:right w:val="double" w:sz="6" w:space="0" w:color="000000"/>
            </w:tcBorders>
            <w:shd w:val="clear" w:color="000000" w:fill="D8E4BC"/>
            <w:noWrap/>
            <w:vAlign w:val="center"/>
            <w:hideMark/>
          </w:tcPr>
          <w:p w14:paraId="0DCDE30E" w14:textId="77777777" w:rsidR="00052499" w:rsidRPr="00555FBC" w:rsidRDefault="00052499" w:rsidP="00052499">
            <w:pPr>
              <w:spacing w:after="0" w:line="240" w:lineRule="auto"/>
              <w:jc w:val="center"/>
              <w:rPr>
                <w:rFonts w:ascii="Calibri" w:eastAsia="Times New Roman" w:hAnsi="Calibri" w:cs="Calibri"/>
                <w:b/>
                <w:bCs/>
                <w:sz w:val="16"/>
                <w:szCs w:val="16"/>
              </w:rPr>
            </w:pPr>
            <w:r w:rsidRPr="00555FBC">
              <w:rPr>
                <w:rFonts w:ascii="Calibri" w:eastAsia="Times New Roman" w:hAnsi="Calibri" w:cs="Calibri"/>
                <w:b/>
                <w:bCs/>
                <w:sz w:val="16"/>
                <w:szCs w:val="16"/>
              </w:rPr>
              <w:t>2025</w:t>
            </w:r>
          </w:p>
        </w:tc>
        <w:tc>
          <w:tcPr>
            <w:tcW w:w="687" w:type="pct"/>
            <w:gridSpan w:val="2"/>
            <w:tcBorders>
              <w:top w:val="double" w:sz="6" w:space="0" w:color="auto"/>
              <w:left w:val="nil"/>
              <w:bottom w:val="single" w:sz="4" w:space="0" w:color="auto"/>
              <w:right w:val="double" w:sz="6" w:space="0" w:color="000000"/>
            </w:tcBorders>
            <w:shd w:val="clear" w:color="000000" w:fill="D8E4BC"/>
            <w:noWrap/>
            <w:vAlign w:val="center"/>
            <w:hideMark/>
          </w:tcPr>
          <w:p w14:paraId="2E8C571F" w14:textId="77777777" w:rsidR="00052499" w:rsidRPr="00555FBC" w:rsidRDefault="00052499" w:rsidP="00052499">
            <w:pPr>
              <w:spacing w:after="0" w:line="240" w:lineRule="auto"/>
              <w:jc w:val="center"/>
              <w:rPr>
                <w:rFonts w:ascii="Calibri" w:eastAsia="Times New Roman" w:hAnsi="Calibri" w:cs="Calibri"/>
                <w:b/>
                <w:bCs/>
                <w:sz w:val="16"/>
                <w:szCs w:val="16"/>
              </w:rPr>
            </w:pPr>
            <w:r w:rsidRPr="00555FBC">
              <w:rPr>
                <w:rFonts w:ascii="Calibri" w:eastAsia="Times New Roman" w:hAnsi="Calibri" w:cs="Calibri"/>
                <w:b/>
                <w:bCs/>
                <w:sz w:val="16"/>
                <w:szCs w:val="16"/>
              </w:rPr>
              <w:t>2026</w:t>
            </w:r>
          </w:p>
        </w:tc>
      </w:tr>
      <w:tr w:rsidR="00052499" w:rsidRPr="00555FBC" w14:paraId="66906EF8" w14:textId="77777777" w:rsidTr="00052499">
        <w:trPr>
          <w:trHeight w:val="198"/>
        </w:trPr>
        <w:tc>
          <w:tcPr>
            <w:tcW w:w="2302" w:type="pct"/>
            <w:vMerge/>
            <w:tcBorders>
              <w:top w:val="double" w:sz="6" w:space="0" w:color="auto"/>
              <w:left w:val="double" w:sz="6" w:space="0" w:color="auto"/>
              <w:bottom w:val="double" w:sz="6" w:space="0" w:color="000000"/>
              <w:right w:val="double" w:sz="6" w:space="0" w:color="auto"/>
            </w:tcBorders>
            <w:vAlign w:val="center"/>
            <w:hideMark/>
          </w:tcPr>
          <w:p w14:paraId="1610DE67" w14:textId="77777777" w:rsidR="00052499" w:rsidRPr="00555FBC" w:rsidRDefault="00052499" w:rsidP="00052499">
            <w:pPr>
              <w:spacing w:after="0" w:line="240" w:lineRule="auto"/>
              <w:rPr>
                <w:rFonts w:ascii="Calibri" w:eastAsia="Times New Roman" w:hAnsi="Calibri" w:cs="Calibri"/>
                <w:b/>
                <w:bCs/>
                <w:color w:val="FFFFFF"/>
                <w:sz w:val="16"/>
                <w:szCs w:val="16"/>
              </w:rPr>
            </w:pPr>
          </w:p>
        </w:tc>
        <w:tc>
          <w:tcPr>
            <w:tcW w:w="357" w:type="pct"/>
            <w:tcBorders>
              <w:top w:val="nil"/>
              <w:left w:val="nil"/>
              <w:bottom w:val="double" w:sz="6" w:space="0" w:color="auto"/>
              <w:right w:val="nil"/>
            </w:tcBorders>
            <w:shd w:val="clear" w:color="000000" w:fill="D8E4BC"/>
            <w:vAlign w:val="center"/>
            <w:hideMark/>
          </w:tcPr>
          <w:p w14:paraId="2030D256" w14:textId="77777777" w:rsidR="00052499" w:rsidRPr="00555FBC" w:rsidRDefault="00052499" w:rsidP="00052499">
            <w:pPr>
              <w:spacing w:after="0" w:line="240" w:lineRule="auto"/>
              <w:jc w:val="center"/>
              <w:rPr>
                <w:rFonts w:ascii="Calibri" w:eastAsia="Times New Roman" w:hAnsi="Calibri" w:cs="Calibri"/>
                <w:b/>
                <w:bCs/>
                <w:sz w:val="16"/>
                <w:szCs w:val="16"/>
              </w:rPr>
            </w:pPr>
            <w:r w:rsidRPr="00555FBC">
              <w:rPr>
                <w:rFonts w:ascii="Calibri" w:eastAsia="Times New Roman" w:hAnsi="Calibri" w:cs="Calibri"/>
                <w:b/>
                <w:bCs/>
                <w:sz w:val="16"/>
                <w:szCs w:val="16"/>
              </w:rPr>
              <w:t>mil.€</w:t>
            </w:r>
          </w:p>
        </w:tc>
        <w:tc>
          <w:tcPr>
            <w:tcW w:w="296" w:type="pct"/>
            <w:tcBorders>
              <w:top w:val="nil"/>
              <w:left w:val="single" w:sz="4" w:space="0" w:color="auto"/>
              <w:bottom w:val="nil"/>
              <w:right w:val="double" w:sz="6" w:space="0" w:color="auto"/>
            </w:tcBorders>
            <w:shd w:val="clear" w:color="000000" w:fill="D8E4BC"/>
            <w:vAlign w:val="center"/>
            <w:hideMark/>
          </w:tcPr>
          <w:p w14:paraId="0C01FA92" w14:textId="77777777" w:rsidR="00052499" w:rsidRPr="00555FBC" w:rsidRDefault="00052499" w:rsidP="00052499">
            <w:pPr>
              <w:spacing w:after="0" w:line="240" w:lineRule="auto"/>
              <w:jc w:val="center"/>
              <w:rPr>
                <w:rFonts w:ascii="Calibri" w:eastAsia="Times New Roman" w:hAnsi="Calibri" w:cs="Calibri"/>
                <w:b/>
                <w:bCs/>
                <w:sz w:val="16"/>
                <w:szCs w:val="16"/>
              </w:rPr>
            </w:pPr>
            <w:r w:rsidRPr="00555FBC">
              <w:rPr>
                <w:rFonts w:ascii="Calibri" w:eastAsia="Times New Roman" w:hAnsi="Calibri" w:cs="Calibri"/>
                <w:b/>
                <w:bCs/>
                <w:sz w:val="16"/>
                <w:szCs w:val="16"/>
              </w:rPr>
              <w:t>% BDP</w:t>
            </w:r>
          </w:p>
        </w:tc>
        <w:tc>
          <w:tcPr>
            <w:tcW w:w="360" w:type="pct"/>
            <w:tcBorders>
              <w:top w:val="nil"/>
              <w:left w:val="nil"/>
              <w:bottom w:val="double" w:sz="6" w:space="0" w:color="auto"/>
              <w:right w:val="nil"/>
            </w:tcBorders>
            <w:shd w:val="clear" w:color="000000" w:fill="D8E4BC"/>
            <w:vAlign w:val="center"/>
            <w:hideMark/>
          </w:tcPr>
          <w:p w14:paraId="42F677E6" w14:textId="77777777" w:rsidR="00052499" w:rsidRPr="00555FBC" w:rsidRDefault="00052499" w:rsidP="00052499">
            <w:pPr>
              <w:spacing w:after="0" w:line="240" w:lineRule="auto"/>
              <w:jc w:val="center"/>
              <w:rPr>
                <w:rFonts w:ascii="Calibri" w:eastAsia="Times New Roman" w:hAnsi="Calibri" w:cs="Calibri"/>
                <w:b/>
                <w:bCs/>
                <w:sz w:val="16"/>
                <w:szCs w:val="16"/>
              </w:rPr>
            </w:pPr>
            <w:r w:rsidRPr="00555FBC">
              <w:rPr>
                <w:rFonts w:ascii="Calibri" w:eastAsia="Times New Roman" w:hAnsi="Calibri" w:cs="Calibri"/>
                <w:b/>
                <w:bCs/>
                <w:sz w:val="16"/>
                <w:szCs w:val="16"/>
              </w:rPr>
              <w:t>mil.€</w:t>
            </w:r>
          </w:p>
        </w:tc>
        <w:tc>
          <w:tcPr>
            <w:tcW w:w="309" w:type="pct"/>
            <w:tcBorders>
              <w:top w:val="nil"/>
              <w:left w:val="single" w:sz="4" w:space="0" w:color="auto"/>
              <w:bottom w:val="nil"/>
              <w:right w:val="double" w:sz="6" w:space="0" w:color="auto"/>
            </w:tcBorders>
            <w:shd w:val="clear" w:color="000000" w:fill="D8E4BC"/>
            <w:vAlign w:val="center"/>
            <w:hideMark/>
          </w:tcPr>
          <w:p w14:paraId="046289A0" w14:textId="77777777" w:rsidR="00052499" w:rsidRPr="00555FBC" w:rsidRDefault="00052499" w:rsidP="00052499">
            <w:pPr>
              <w:spacing w:after="0" w:line="240" w:lineRule="auto"/>
              <w:jc w:val="center"/>
              <w:rPr>
                <w:rFonts w:ascii="Calibri" w:eastAsia="Times New Roman" w:hAnsi="Calibri" w:cs="Calibri"/>
                <w:b/>
                <w:bCs/>
                <w:sz w:val="16"/>
                <w:szCs w:val="16"/>
              </w:rPr>
            </w:pPr>
            <w:r w:rsidRPr="00555FBC">
              <w:rPr>
                <w:rFonts w:ascii="Calibri" w:eastAsia="Times New Roman" w:hAnsi="Calibri" w:cs="Calibri"/>
                <w:b/>
                <w:bCs/>
                <w:sz w:val="16"/>
                <w:szCs w:val="16"/>
              </w:rPr>
              <w:t>% BDP</w:t>
            </w:r>
          </w:p>
        </w:tc>
        <w:tc>
          <w:tcPr>
            <w:tcW w:w="357" w:type="pct"/>
            <w:tcBorders>
              <w:top w:val="nil"/>
              <w:left w:val="nil"/>
              <w:bottom w:val="double" w:sz="6" w:space="0" w:color="auto"/>
              <w:right w:val="nil"/>
            </w:tcBorders>
            <w:shd w:val="clear" w:color="000000" w:fill="D8E4BC"/>
            <w:vAlign w:val="center"/>
            <w:hideMark/>
          </w:tcPr>
          <w:p w14:paraId="53467526" w14:textId="77777777" w:rsidR="00052499" w:rsidRPr="00555FBC" w:rsidRDefault="00052499" w:rsidP="00052499">
            <w:pPr>
              <w:spacing w:after="0" w:line="240" w:lineRule="auto"/>
              <w:jc w:val="center"/>
              <w:rPr>
                <w:rFonts w:ascii="Calibri" w:eastAsia="Times New Roman" w:hAnsi="Calibri" w:cs="Calibri"/>
                <w:b/>
                <w:bCs/>
                <w:sz w:val="16"/>
                <w:szCs w:val="16"/>
              </w:rPr>
            </w:pPr>
            <w:r w:rsidRPr="00555FBC">
              <w:rPr>
                <w:rFonts w:ascii="Calibri" w:eastAsia="Times New Roman" w:hAnsi="Calibri" w:cs="Calibri"/>
                <w:b/>
                <w:bCs/>
                <w:sz w:val="16"/>
                <w:szCs w:val="16"/>
              </w:rPr>
              <w:t>mil.€</w:t>
            </w:r>
          </w:p>
        </w:tc>
        <w:tc>
          <w:tcPr>
            <w:tcW w:w="332" w:type="pct"/>
            <w:tcBorders>
              <w:top w:val="nil"/>
              <w:left w:val="single" w:sz="4" w:space="0" w:color="auto"/>
              <w:bottom w:val="nil"/>
              <w:right w:val="double" w:sz="6" w:space="0" w:color="auto"/>
            </w:tcBorders>
            <w:shd w:val="clear" w:color="000000" w:fill="D8E4BC"/>
            <w:vAlign w:val="center"/>
            <w:hideMark/>
          </w:tcPr>
          <w:p w14:paraId="51090B38" w14:textId="77777777" w:rsidR="00052499" w:rsidRPr="00555FBC" w:rsidRDefault="00052499" w:rsidP="00052499">
            <w:pPr>
              <w:spacing w:after="0" w:line="240" w:lineRule="auto"/>
              <w:jc w:val="center"/>
              <w:rPr>
                <w:rFonts w:ascii="Calibri" w:eastAsia="Times New Roman" w:hAnsi="Calibri" w:cs="Calibri"/>
                <w:b/>
                <w:bCs/>
                <w:sz w:val="16"/>
                <w:szCs w:val="16"/>
              </w:rPr>
            </w:pPr>
            <w:r w:rsidRPr="00555FBC">
              <w:rPr>
                <w:rFonts w:ascii="Calibri" w:eastAsia="Times New Roman" w:hAnsi="Calibri" w:cs="Calibri"/>
                <w:b/>
                <w:bCs/>
                <w:sz w:val="16"/>
                <w:szCs w:val="16"/>
              </w:rPr>
              <w:t>% BDP</w:t>
            </w:r>
          </w:p>
        </w:tc>
        <w:tc>
          <w:tcPr>
            <w:tcW w:w="357" w:type="pct"/>
            <w:tcBorders>
              <w:top w:val="nil"/>
              <w:left w:val="nil"/>
              <w:bottom w:val="double" w:sz="6" w:space="0" w:color="auto"/>
              <w:right w:val="nil"/>
            </w:tcBorders>
            <w:shd w:val="clear" w:color="000000" w:fill="D8E4BC"/>
            <w:vAlign w:val="center"/>
            <w:hideMark/>
          </w:tcPr>
          <w:p w14:paraId="63004A12" w14:textId="77777777" w:rsidR="00052499" w:rsidRPr="00555FBC" w:rsidRDefault="00052499" w:rsidP="00052499">
            <w:pPr>
              <w:spacing w:after="0" w:line="240" w:lineRule="auto"/>
              <w:jc w:val="center"/>
              <w:rPr>
                <w:rFonts w:ascii="Calibri" w:eastAsia="Times New Roman" w:hAnsi="Calibri" w:cs="Calibri"/>
                <w:b/>
                <w:bCs/>
                <w:sz w:val="16"/>
                <w:szCs w:val="16"/>
              </w:rPr>
            </w:pPr>
            <w:r w:rsidRPr="00555FBC">
              <w:rPr>
                <w:rFonts w:ascii="Calibri" w:eastAsia="Times New Roman" w:hAnsi="Calibri" w:cs="Calibri"/>
                <w:b/>
                <w:bCs/>
                <w:sz w:val="16"/>
                <w:szCs w:val="16"/>
              </w:rPr>
              <w:t>mil.€</w:t>
            </w:r>
          </w:p>
        </w:tc>
        <w:tc>
          <w:tcPr>
            <w:tcW w:w="330" w:type="pct"/>
            <w:tcBorders>
              <w:top w:val="nil"/>
              <w:left w:val="single" w:sz="4" w:space="0" w:color="auto"/>
              <w:bottom w:val="nil"/>
              <w:right w:val="double" w:sz="6" w:space="0" w:color="auto"/>
            </w:tcBorders>
            <w:shd w:val="clear" w:color="000000" w:fill="D8E4BC"/>
            <w:vAlign w:val="center"/>
            <w:hideMark/>
          </w:tcPr>
          <w:p w14:paraId="1D266F81" w14:textId="77777777" w:rsidR="00052499" w:rsidRPr="00555FBC" w:rsidRDefault="00052499" w:rsidP="00052499">
            <w:pPr>
              <w:spacing w:after="0" w:line="240" w:lineRule="auto"/>
              <w:jc w:val="center"/>
              <w:rPr>
                <w:rFonts w:ascii="Calibri" w:eastAsia="Times New Roman" w:hAnsi="Calibri" w:cs="Calibri"/>
                <w:b/>
                <w:bCs/>
                <w:sz w:val="16"/>
                <w:szCs w:val="16"/>
              </w:rPr>
            </w:pPr>
            <w:r w:rsidRPr="00555FBC">
              <w:rPr>
                <w:rFonts w:ascii="Calibri" w:eastAsia="Times New Roman" w:hAnsi="Calibri" w:cs="Calibri"/>
                <w:b/>
                <w:bCs/>
                <w:sz w:val="16"/>
                <w:szCs w:val="16"/>
              </w:rPr>
              <w:t>% BDP</w:t>
            </w:r>
          </w:p>
        </w:tc>
      </w:tr>
      <w:tr w:rsidR="00052499" w:rsidRPr="00555FBC" w14:paraId="7FC16E20" w14:textId="77777777" w:rsidTr="00052499">
        <w:trPr>
          <w:trHeight w:val="198"/>
        </w:trPr>
        <w:tc>
          <w:tcPr>
            <w:tcW w:w="2302" w:type="pct"/>
            <w:tcBorders>
              <w:top w:val="nil"/>
              <w:left w:val="double" w:sz="6" w:space="0" w:color="auto"/>
              <w:bottom w:val="double" w:sz="6" w:space="0" w:color="auto"/>
              <w:right w:val="nil"/>
            </w:tcBorders>
            <w:shd w:val="clear" w:color="000000" w:fill="D8E4BC"/>
            <w:vAlign w:val="center"/>
            <w:hideMark/>
          </w:tcPr>
          <w:p w14:paraId="4DFE0865" w14:textId="77777777" w:rsidR="00052499" w:rsidRPr="00555FBC" w:rsidRDefault="00052499" w:rsidP="00052499">
            <w:pPr>
              <w:spacing w:after="0" w:line="240" w:lineRule="auto"/>
              <w:rPr>
                <w:rFonts w:ascii="Calibri" w:eastAsia="Times New Roman" w:hAnsi="Calibri" w:cs="Calibri"/>
                <w:b/>
                <w:bCs/>
                <w:sz w:val="16"/>
                <w:szCs w:val="16"/>
              </w:rPr>
            </w:pPr>
            <w:r w:rsidRPr="00555FBC">
              <w:rPr>
                <w:rFonts w:ascii="Calibri" w:eastAsia="Times New Roman" w:hAnsi="Calibri" w:cs="Calibri"/>
                <w:b/>
                <w:bCs/>
                <w:sz w:val="16"/>
                <w:szCs w:val="16"/>
              </w:rPr>
              <w:t>Izvorni prihodi</w:t>
            </w:r>
          </w:p>
        </w:tc>
        <w:tc>
          <w:tcPr>
            <w:tcW w:w="357" w:type="pct"/>
            <w:tcBorders>
              <w:top w:val="nil"/>
              <w:left w:val="nil"/>
              <w:bottom w:val="double" w:sz="6" w:space="0" w:color="auto"/>
              <w:right w:val="single" w:sz="4" w:space="0" w:color="auto"/>
            </w:tcBorders>
            <w:shd w:val="clear" w:color="000000" w:fill="D8E4BC"/>
            <w:noWrap/>
            <w:vAlign w:val="bottom"/>
            <w:hideMark/>
          </w:tcPr>
          <w:p w14:paraId="2594DE8A"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337.27</w:t>
            </w:r>
          </w:p>
        </w:tc>
        <w:tc>
          <w:tcPr>
            <w:tcW w:w="296" w:type="pct"/>
            <w:tcBorders>
              <w:top w:val="double" w:sz="6" w:space="0" w:color="auto"/>
              <w:left w:val="nil"/>
              <w:bottom w:val="double" w:sz="6" w:space="0" w:color="auto"/>
              <w:right w:val="double" w:sz="6" w:space="0" w:color="auto"/>
            </w:tcBorders>
            <w:shd w:val="clear" w:color="000000" w:fill="D8E4BC"/>
            <w:noWrap/>
            <w:vAlign w:val="bottom"/>
            <w:hideMark/>
          </w:tcPr>
          <w:p w14:paraId="5B2A116C"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5.23</w:t>
            </w:r>
          </w:p>
        </w:tc>
        <w:tc>
          <w:tcPr>
            <w:tcW w:w="360" w:type="pct"/>
            <w:tcBorders>
              <w:top w:val="nil"/>
              <w:left w:val="nil"/>
              <w:bottom w:val="double" w:sz="6" w:space="0" w:color="auto"/>
              <w:right w:val="single" w:sz="4" w:space="0" w:color="auto"/>
            </w:tcBorders>
            <w:shd w:val="clear" w:color="000000" w:fill="D8E4BC"/>
            <w:noWrap/>
            <w:vAlign w:val="bottom"/>
            <w:hideMark/>
          </w:tcPr>
          <w:p w14:paraId="77EB4C66"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365.03</w:t>
            </w:r>
          </w:p>
        </w:tc>
        <w:tc>
          <w:tcPr>
            <w:tcW w:w="309" w:type="pct"/>
            <w:tcBorders>
              <w:top w:val="double" w:sz="6" w:space="0" w:color="auto"/>
              <w:left w:val="nil"/>
              <w:bottom w:val="double" w:sz="6" w:space="0" w:color="auto"/>
              <w:right w:val="double" w:sz="6" w:space="0" w:color="auto"/>
            </w:tcBorders>
            <w:shd w:val="clear" w:color="000000" w:fill="D8E4BC"/>
            <w:noWrap/>
            <w:vAlign w:val="bottom"/>
            <w:hideMark/>
          </w:tcPr>
          <w:p w14:paraId="18DEE20A"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5.19</w:t>
            </w:r>
          </w:p>
        </w:tc>
        <w:tc>
          <w:tcPr>
            <w:tcW w:w="357" w:type="pct"/>
            <w:tcBorders>
              <w:top w:val="nil"/>
              <w:left w:val="nil"/>
              <w:bottom w:val="double" w:sz="6" w:space="0" w:color="auto"/>
              <w:right w:val="single" w:sz="4" w:space="0" w:color="auto"/>
            </w:tcBorders>
            <w:shd w:val="clear" w:color="000000" w:fill="D8E4BC"/>
            <w:noWrap/>
            <w:vAlign w:val="bottom"/>
            <w:hideMark/>
          </w:tcPr>
          <w:p w14:paraId="39924C36"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381.53</w:t>
            </w:r>
          </w:p>
        </w:tc>
        <w:tc>
          <w:tcPr>
            <w:tcW w:w="332" w:type="pct"/>
            <w:tcBorders>
              <w:top w:val="double" w:sz="6" w:space="0" w:color="auto"/>
              <w:left w:val="nil"/>
              <w:bottom w:val="double" w:sz="6" w:space="0" w:color="auto"/>
              <w:right w:val="double" w:sz="6" w:space="0" w:color="auto"/>
            </w:tcBorders>
            <w:shd w:val="clear" w:color="000000" w:fill="D8E4BC"/>
            <w:noWrap/>
            <w:vAlign w:val="bottom"/>
            <w:hideMark/>
          </w:tcPr>
          <w:p w14:paraId="3C827E65"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5.14</w:t>
            </w:r>
          </w:p>
        </w:tc>
        <w:tc>
          <w:tcPr>
            <w:tcW w:w="357" w:type="pct"/>
            <w:tcBorders>
              <w:top w:val="nil"/>
              <w:left w:val="nil"/>
              <w:bottom w:val="double" w:sz="6" w:space="0" w:color="auto"/>
              <w:right w:val="single" w:sz="4" w:space="0" w:color="auto"/>
            </w:tcBorders>
            <w:shd w:val="clear" w:color="000000" w:fill="D8E4BC"/>
            <w:noWrap/>
            <w:vAlign w:val="bottom"/>
            <w:hideMark/>
          </w:tcPr>
          <w:p w14:paraId="7537CD2B"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396.32</w:t>
            </w:r>
          </w:p>
        </w:tc>
        <w:tc>
          <w:tcPr>
            <w:tcW w:w="330" w:type="pct"/>
            <w:tcBorders>
              <w:top w:val="double" w:sz="6" w:space="0" w:color="auto"/>
              <w:left w:val="nil"/>
              <w:bottom w:val="double" w:sz="6" w:space="0" w:color="auto"/>
              <w:right w:val="double" w:sz="6" w:space="0" w:color="auto"/>
            </w:tcBorders>
            <w:shd w:val="clear" w:color="000000" w:fill="D8E4BC"/>
            <w:noWrap/>
            <w:vAlign w:val="bottom"/>
            <w:hideMark/>
          </w:tcPr>
          <w:p w14:paraId="78C6DAB6"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5.34</w:t>
            </w:r>
          </w:p>
        </w:tc>
      </w:tr>
      <w:tr w:rsidR="00052499" w:rsidRPr="00555FBC" w14:paraId="5FD4E3E8" w14:textId="77777777" w:rsidTr="00052499">
        <w:trPr>
          <w:trHeight w:val="198"/>
        </w:trPr>
        <w:tc>
          <w:tcPr>
            <w:tcW w:w="2302" w:type="pct"/>
            <w:tcBorders>
              <w:top w:val="nil"/>
              <w:left w:val="double" w:sz="6" w:space="0" w:color="auto"/>
              <w:bottom w:val="nil"/>
              <w:right w:val="double" w:sz="6" w:space="0" w:color="auto"/>
            </w:tcBorders>
            <w:shd w:val="clear" w:color="000000" w:fill="FFFFFF"/>
            <w:vAlign w:val="center"/>
            <w:hideMark/>
          </w:tcPr>
          <w:p w14:paraId="3AAAC520" w14:textId="77777777" w:rsidR="00052499" w:rsidRPr="00555FBC" w:rsidRDefault="00052499" w:rsidP="00052499">
            <w:pPr>
              <w:spacing w:after="0" w:line="240" w:lineRule="auto"/>
              <w:rPr>
                <w:rFonts w:ascii="Calibri" w:eastAsia="Times New Roman" w:hAnsi="Calibri" w:cs="Calibri"/>
                <w:b/>
                <w:bCs/>
                <w:sz w:val="16"/>
                <w:szCs w:val="16"/>
              </w:rPr>
            </w:pPr>
            <w:r w:rsidRPr="00555FBC">
              <w:rPr>
                <w:rFonts w:ascii="Calibri" w:eastAsia="Times New Roman" w:hAnsi="Calibri" w:cs="Calibri"/>
                <w:b/>
                <w:bCs/>
                <w:sz w:val="16"/>
                <w:szCs w:val="16"/>
              </w:rPr>
              <w:t>Porezi</w:t>
            </w:r>
          </w:p>
        </w:tc>
        <w:tc>
          <w:tcPr>
            <w:tcW w:w="357" w:type="pct"/>
            <w:tcBorders>
              <w:top w:val="nil"/>
              <w:left w:val="nil"/>
              <w:bottom w:val="nil"/>
              <w:right w:val="single" w:sz="4" w:space="0" w:color="auto"/>
            </w:tcBorders>
            <w:shd w:val="clear" w:color="000000" w:fill="FFFFFF"/>
            <w:noWrap/>
            <w:vAlign w:val="bottom"/>
            <w:hideMark/>
          </w:tcPr>
          <w:p w14:paraId="44592E12"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185.59</w:t>
            </w:r>
          </w:p>
        </w:tc>
        <w:tc>
          <w:tcPr>
            <w:tcW w:w="296" w:type="pct"/>
            <w:tcBorders>
              <w:top w:val="nil"/>
              <w:left w:val="nil"/>
              <w:bottom w:val="nil"/>
              <w:right w:val="double" w:sz="6" w:space="0" w:color="auto"/>
            </w:tcBorders>
            <w:shd w:val="clear" w:color="000000" w:fill="FFFFFF"/>
            <w:noWrap/>
            <w:vAlign w:val="bottom"/>
            <w:hideMark/>
          </w:tcPr>
          <w:p w14:paraId="2C495363"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2.88</w:t>
            </w:r>
          </w:p>
        </w:tc>
        <w:tc>
          <w:tcPr>
            <w:tcW w:w="360" w:type="pct"/>
            <w:tcBorders>
              <w:top w:val="nil"/>
              <w:left w:val="nil"/>
              <w:bottom w:val="nil"/>
              <w:right w:val="single" w:sz="4" w:space="0" w:color="auto"/>
            </w:tcBorders>
            <w:shd w:val="clear" w:color="000000" w:fill="FFFFFF"/>
            <w:noWrap/>
            <w:vAlign w:val="bottom"/>
            <w:hideMark/>
          </w:tcPr>
          <w:p w14:paraId="1410D78E"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201.43</w:t>
            </w:r>
          </w:p>
        </w:tc>
        <w:tc>
          <w:tcPr>
            <w:tcW w:w="309" w:type="pct"/>
            <w:tcBorders>
              <w:top w:val="nil"/>
              <w:left w:val="nil"/>
              <w:bottom w:val="nil"/>
              <w:right w:val="double" w:sz="6" w:space="0" w:color="auto"/>
            </w:tcBorders>
            <w:shd w:val="clear" w:color="000000" w:fill="FFFFFF"/>
            <w:noWrap/>
            <w:vAlign w:val="bottom"/>
            <w:hideMark/>
          </w:tcPr>
          <w:p w14:paraId="652A2D36"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2.86</w:t>
            </w:r>
          </w:p>
        </w:tc>
        <w:tc>
          <w:tcPr>
            <w:tcW w:w="357" w:type="pct"/>
            <w:tcBorders>
              <w:top w:val="nil"/>
              <w:left w:val="nil"/>
              <w:bottom w:val="nil"/>
              <w:right w:val="single" w:sz="4" w:space="0" w:color="auto"/>
            </w:tcBorders>
            <w:shd w:val="clear" w:color="000000" w:fill="FFFFFF"/>
            <w:noWrap/>
            <w:vAlign w:val="bottom"/>
            <w:hideMark/>
          </w:tcPr>
          <w:p w14:paraId="1E156D86"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208.47</w:t>
            </w:r>
          </w:p>
        </w:tc>
        <w:tc>
          <w:tcPr>
            <w:tcW w:w="332" w:type="pct"/>
            <w:tcBorders>
              <w:top w:val="nil"/>
              <w:left w:val="nil"/>
              <w:bottom w:val="nil"/>
              <w:right w:val="double" w:sz="6" w:space="0" w:color="auto"/>
            </w:tcBorders>
            <w:shd w:val="clear" w:color="000000" w:fill="FFFFFF"/>
            <w:noWrap/>
            <w:vAlign w:val="bottom"/>
            <w:hideMark/>
          </w:tcPr>
          <w:p w14:paraId="37177FA7"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2.81</w:t>
            </w:r>
          </w:p>
        </w:tc>
        <w:tc>
          <w:tcPr>
            <w:tcW w:w="357" w:type="pct"/>
            <w:tcBorders>
              <w:top w:val="nil"/>
              <w:left w:val="nil"/>
              <w:bottom w:val="nil"/>
              <w:right w:val="single" w:sz="4" w:space="0" w:color="auto"/>
            </w:tcBorders>
            <w:shd w:val="clear" w:color="000000" w:fill="FFFFFF"/>
            <w:noWrap/>
            <w:vAlign w:val="bottom"/>
            <w:hideMark/>
          </w:tcPr>
          <w:p w14:paraId="1B88F892"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217.19</w:t>
            </w:r>
          </w:p>
        </w:tc>
        <w:tc>
          <w:tcPr>
            <w:tcW w:w="330" w:type="pct"/>
            <w:tcBorders>
              <w:top w:val="nil"/>
              <w:left w:val="nil"/>
              <w:bottom w:val="nil"/>
              <w:right w:val="double" w:sz="6" w:space="0" w:color="auto"/>
            </w:tcBorders>
            <w:shd w:val="clear" w:color="000000" w:fill="FFFFFF"/>
            <w:noWrap/>
            <w:vAlign w:val="bottom"/>
            <w:hideMark/>
          </w:tcPr>
          <w:p w14:paraId="70B4B6C7"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2.93</w:t>
            </w:r>
          </w:p>
        </w:tc>
      </w:tr>
      <w:tr w:rsidR="00052499" w:rsidRPr="00555FBC" w14:paraId="3CB625A7" w14:textId="77777777" w:rsidTr="00052499">
        <w:trPr>
          <w:trHeight w:val="198"/>
        </w:trPr>
        <w:tc>
          <w:tcPr>
            <w:tcW w:w="2302" w:type="pct"/>
            <w:tcBorders>
              <w:top w:val="nil"/>
              <w:left w:val="double" w:sz="6" w:space="0" w:color="auto"/>
              <w:bottom w:val="nil"/>
              <w:right w:val="double" w:sz="6" w:space="0" w:color="auto"/>
            </w:tcBorders>
            <w:shd w:val="clear" w:color="000000" w:fill="FFFFFF"/>
            <w:vAlign w:val="center"/>
            <w:hideMark/>
          </w:tcPr>
          <w:p w14:paraId="05381F9D" w14:textId="77777777" w:rsidR="00052499" w:rsidRPr="00555FBC" w:rsidRDefault="00052499" w:rsidP="00052499">
            <w:pPr>
              <w:spacing w:after="0" w:line="240" w:lineRule="auto"/>
              <w:rPr>
                <w:rFonts w:ascii="Calibri" w:eastAsia="Times New Roman" w:hAnsi="Calibri" w:cs="Calibri"/>
                <w:sz w:val="16"/>
                <w:szCs w:val="16"/>
              </w:rPr>
            </w:pPr>
            <w:r w:rsidRPr="00555FBC">
              <w:rPr>
                <w:rFonts w:ascii="Calibri" w:eastAsia="Times New Roman" w:hAnsi="Calibri" w:cs="Calibri"/>
                <w:sz w:val="16"/>
                <w:szCs w:val="16"/>
              </w:rPr>
              <w:t>Porez na dohodak fizičkih lica</w:t>
            </w:r>
          </w:p>
        </w:tc>
        <w:tc>
          <w:tcPr>
            <w:tcW w:w="357" w:type="pct"/>
            <w:tcBorders>
              <w:top w:val="nil"/>
              <w:left w:val="nil"/>
              <w:bottom w:val="nil"/>
              <w:right w:val="single" w:sz="4" w:space="0" w:color="auto"/>
            </w:tcBorders>
            <w:shd w:val="clear" w:color="000000" w:fill="FFFFFF"/>
            <w:noWrap/>
            <w:vAlign w:val="bottom"/>
            <w:hideMark/>
          </w:tcPr>
          <w:p w14:paraId="552185D4" w14:textId="77777777" w:rsidR="00052499" w:rsidRPr="00555FBC" w:rsidRDefault="00052499" w:rsidP="00052499">
            <w:pPr>
              <w:spacing w:after="0" w:line="240" w:lineRule="auto"/>
              <w:jc w:val="right"/>
              <w:rPr>
                <w:rFonts w:ascii="Calibri" w:eastAsia="Times New Roman" w:hAnsi="Calibri" w:cs="Calibri"/>
                <w:sz w:val="16"/>
                <w:szCs w:val="16"/>
              </w:rPr>
            </w:pPr>
            <w:r w:rsidRPr="00555FBC">
              <w:rPr>
                <w:rFonts w:ascii="Calibri" w:eastAsia="Times New Roman" w:hAnsi="Calibri" w:cs="Calibri"/>
                <w:sz w:val="16"/>
                <w:szCs w:val="16"/>
              </w:rPr>
              <w:t>68.54</w:t>
            </w:r>
          </w:p>
        </w:tc>
        <w:tc>
          <w:tcPr>
            <w:tcW w:w="296" w:type="pct"/>
            <w:tcBorders>
              <w:top w:val="nil"/>
              <w:left w:val="nil"/>
              <w:bottom w:val="nil"/>
              <w:right w:val="double" w:sz="6" w:space="0" w:color="auto"/>
            </w:tcBorders>
            <w:shd w:val="clear" w:color="000000" w:fill="FFFFFF"/>
            <w:noWrap/>
            <w:vAlign w:val="bottom"/>
            <w:hideMark/>
          </w:tcPr>
          <w:p w14:paraId="0217EDE9"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1.06</w:t>
            </w:r>
          </w:p>
        </w:tc>
        <w:tc>
          <w:tcPr>
            <w:tcW w:w="360" w:type="pct"/>
            <w:tcBorders>
              <w:top w:val="nil"/>
              <w:left w:val="nil"/>
              <w:bottom w:val="nil"/>
              <w:right w:val="single" w:sz="4" w:space="0" w:color="auto"/>
            </w:tcBorders>
            <w:shd w:val="clear" w:color="000000" w:fill="FFFFFF"/>
            <w:noWrap/>
            <w:vAlign w:val="bottom"/>
            <w:hideMark/>
          </w:tcPr>
          <w:p w14:paraId="6B0EB997" w14:textId="77777777" w:rsidR="00052499" w:rsidRPr="00555FBC" w:rsidRDefault="00052499" w:rsidP="00052499">
            <w:pPr>
              <w:spacing w:after="0" w:line="240" w:lineRule="auto"/>
              <w:jc w:val="right"/>
              <w:rPr>
                <w:rFonts w:ascii="Calibri" w:eastAsia="Times New Roman" w:hAnsi="Calibri" w:cs="Calibri"/>
                <w:sz w:val="16"/>
                <w:szCs w:val="16"/>
              </w:rPr>
            </w:pPr>
            <w:r w:rsidRPr="00555FBC">
              <w:rPr>
                <w:rFonts w:ascii="Calibri" w:eastAsia="Times New Roman" w:hAnsi="Calibri" w:cs="Calibri"/>
                <w:sz w:val="16"/>
                <w:szCs w:val="16"/>
              </w:rPr>
              <w:t>70.59</w:t>
            </w:r>
          </w:p>
        </w:tc>
        <w:tc>
          <w:tcPr>
            <w:tcW w:w="309" w:type="pct"/>
            <w:tcBorders>
              <w:top w:val="nil"/>
              <w:left w:val="nil"/>
              <w:bottom w:val="nil"/>
              <w:right w:val="double" w:sz="6" w:space="0" w:color="auto"/>
            </w:tcBorders>
            <w:shd w:val="clear" w:color="000000" w:fill="FFFFFF"/>
            <w:noWrap/>
            <w:vAlign w:val="bottom"/>
            <w:hideMark/>
          </w:tcPr>
          <w:p w14:paraId="2EF2CDAB"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1.00</w:t>
            </w:r>
          </w:p>
        </w:tc>
        <w:tc>
          <w:tcPr>
            <w:tcW w:w="357" w:type="pct"/>
            <w:tcBorders>
              <w:top w:val="nil"/>
              <w:left w:val="nil"/>
              <w:bottom w:val="nil"/>
              <w:right w:val="single" w:sz="4" w:space="0" w:color="auto"/>
            </w:tcBorders>
            <w:shd w:val="clear" w:color="000000" w:fill="FFFFFF"/>
            <w:noWrap/>
            <w:vAlign w:val="bottom"/>
            <w:hideMark/>
          </w:tcPr>
          <w:p w14:paraId="33C8F49C" w14:textId="77777777" w:rsidR="00052499" w:rsidRPr="00555FBC" w:rsidRDefault="00052499" w:rsidP="00052499">
            <w:pPr>
              <w:spacing w:after="0" w:line="240" w:lineRule="auto"/>
              <w:jc w:val="right"/>
              <w:rPr>
                <w:rFonts w:ascii="Calibri" w:eastAsia="Times New Roman" w:hAnsi="Calibri" w:cs="Calibri"/>
                <w:sz w:val="16"/>
                <w:szCs w:val="16"/>
              </w:rPr>
            </w:pPr>
            <w:r w:rsidRPr="00555FBC">
              <w:rPr>
                <w:rFonts w:ascii="Calibri" w:eastAsia="Times New Roman" w:hAnsi="Calibri" w:cs="Calibri"/>
                <w:sz w:val="16"/>
                <w:szCs w:val="16"/>
              </w:rPr>
              <w:t>72.71</w:t>
            </w:r>
          </w:p>
        </w:tc>
        <w:tc>
          <w:tcPr>
            <w:tcW w:w="332" w:type="pct"/>
            <w:tcBorders>
              <w:top w:val="nil"/>
              <w:left w:val="nil"/>
              <w:bottom w:val="nil"/>
              <w:right w:val="double" w:sz="6" w:space="0" w:color="auto"/>
            </w:tcBorders>
            <w:shd w:val="clear" w:color="000000" w:fill="FFFFFF"/>
            <w:noWrap/>
            <w:vAlign w:val="bottom"/>
            <w:hideMark/>
          </w:tcPr>
          <w:p w14:paraId="3F5CD632"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0.98</w:t>
            </w:r>
          </w:p>
        </w:tc>
        <w:tc>
          <w:tcPr>
            <w:tcW w:w="357" w:type="pct"/>
            <w:tcBorders>
              <w:top w:val="nil"/>
              <w:left w:val="nil"/>
              <w:bottom w:val="nil"/>
              <w:right w:val="single" w:sz="4" w:space="0" w:color="auto"/>
            </w:tcBorders>
            <w:shd w:val="clear" w:color="000000" w:fill="FFFFFF"/>
            <w:noWrap/>
            <w:vAlign w:val="bottom"/>
            <w:hideMark/>
          </w:tcPr>
          <w:p w14:paraId="6792079D" w14:textId="77777777" w:rsidR="00052499" w:rsidRPr="00555FBC" w:rsidRDefault="00052499" w:rsidP="00052499">
            <w:pPr>
              <w:spacing w:after="0" w:line="240" w:lineRule="auto"/>
              <w:jc w:val="right"/>
              <w:rPr>
                <w:rFonts w:ascii="Calibri" w:eastAsia="Times New Roman" w:hAnsi="Calibri" w:cs="Calibri"/>
                <w:sz w:val="16"/>
                <w:szCs w:val="16"/>
              </w:rPr>
            </w:pPr>
            <w:r w:rsidRPr="00555FBC">
              <w:rPr>
                <w:rFonts w:ascii="Calibri" w:eastAsia="Times New Roman" w:hAnsi="Calibri" w:cs="Calibri"/>
                <w:sz w:val="16"/>
                <w:szCs w:val="16"/>
              </w:rPr>
              <w:t>76.35</w:t>
            </w:r>
          </w:p>
        </w:tc>
        <w:tc>
          <w:tcPr>
            <w:tcW w:w="330" w:type="pct"/>
            <w:tcBorders>
              <w:top w:val="nil"/>
              <w:left w:val="nil"/>
              <w:bottom w:val="nil"/>
              <w:right w:val="double" w:sz="6" w:space="0" w:color="auto"/>
            </w:tcBorders>
            <w:shd w:val="clear" w:color="000000" w:fill="FFFFFF"/>
            <w:noWrap/>
            <w:vAlign w:val="bottom"/>
            <w:hideMark/>
          </w:tcPr>
          <w:p w14:paraId="683B0EDD"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1.03</w:t>
            </w:r>
          </w:p>
        </w:tc>
      </w:tr>
      <w:tr w:rsidR="00052499" w:rsidRPr="00555FBC" w14:paraId="3318E4CC" w14:textId="77777777" w:rsidTr="00052499">
        <w:trPr>
          <w:trHeight w:val="198"/>
        </w:trPr>
        <w:tc>
          <w:tcPr>
            <w:tcW w:w="2302" w:type="pct"/>
            <w:tcBorders>
              <w:top w:val="nil"/>
              <w:left w:val="double" w:sz="6" w:space="0" w:color="auto"/>
              <w:bottom w:val="nil"/>
              <w:right w:val="double" w:sz="6" w:space="0" w:color="auto"/>
            </w:tcBorders>
            <w:shd w:val="clear" w:color="000000" w:fill="FFFFFF"/>
            <w:vAlign w:val="center"/>
            <w:hideMark/>
          </w:tcPr>
          <w:p w14:paraId="32CF4AB1" w14:textId="77777777" w:rsidR="00052499" w:rsidRPr="00555FBC" w:rsidRDefault="00052499" w:rsidP="00052499">
            <w:pPr>
              <w:spacing w:after="0" w:line="240" w:lineRule="auto"/>
              <w:rPr>
                <w:rFonts w:ascii="Calibri" w:eastAsia="Times New Roman" w:hAnsi="Calibri" w:cs="Calibri"/>
                <w:sz w:val="16"/>
                <w:szCs w:val="16"/>
              </w:rPr>
            </w:pPr>
            <w:r w:rsidRPr="00555FBC">
              <w:rPr>
                <w:rFonts w:ascii="Calibri" w:eastAsia="Times New Roman" w:hAnsi="Calibri" w:cs="Calibri"/>
                <w:sz w:val="16"/>
                <w:szCs w:val="16"/>
              </w:rPr>
              <w:t>Porez na nepokretnosti</w:t>
            </w:r>
          </w:p>
        </w:tc>
        <w:tc>
          <w:tcPr>
            <w:tcW w:w="357" w:type="pct"/>
            <w:tcBorders>
              <w:top w:val="nil"/>
              <w:left w:val="nil"/>
              <w:bottom w:val="nil"/>
              <w:right w:val="single" w:sz="4" w:space="0" w:color="auto"/>
            </w:tcBorders>
            <w:shd w:val="clear" w:color="000000" w:fill="FFFFFF"/>
            <w:noWrap/>
            <w:vAlign w:val="bottom"/>
            <w:hideMark/>
          </w:tcPr>
          <w:p w14:paraId="557125AB" w14:textId="77777777" w:rsidR="00052499" w:rsidRPr="00555FBC" w:rsidRDefault="00052499" w:rsidP="00052499">
            <w:pPr>
              <w:spacing w:after="0" w:line="240" w:lineRule="auto"/>
              <w:jc w:val="right"/>
              <w:rPr>
                <w:rFonts w:ascii="Calibri" w:eastAsia="Times New Roman" w:hAnsi="Calibri" w:cs="Calibri"/>
                <w:sz w:val="16"/>
                <w:szCs w:val="16"/>
              </w:rPr>
            </w:pPr>
            <w:r w:rsidRPr="00555FBC">
              <w:rPr>
                <w:rFonts w:ascii="Calibri" w:eastAsia="Times New Roman" w:hAnsi="Calibri" w:cs="Calibri"/>
                <w:sz w:val="16"/>
                <w:szCs w:val="16"/>
              </w:rPr>
              <w:t>81.05</w:t>
            </w:r>
          </w:p>
        </w:tc>
        <w:tc>
          <w:tcPr>
            <w:tcW w:w="296" w:type="pct"/>
            <w:tcBorders>
              <w:top w:val="nil"/>
              <w:left w:val="nil"/>
              <w:bottom w:val="nil"/>
              <w:right w:val="double" w:sz="6" w:space="0" w:color="auto"/>
            </w:tcBorders>
            <w:shd w:val="clear" w:color="000000" w:fill="FFFFFF"/>
            <w:noWrap/>
            <w:vAlign w:val="bottom"/>
            <w:hideMark/>
          </w:tcPr>
          <w:p w14:paraId="70BEE1E4"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1.26</w:t>
            </w:r>
          </w:p>
        </w:tc>
        <w:tc>
          <w:tcPr>
            <w:tcW w:w="360" w:type="pct"/>
            <w:tcBorders>
              <w:top w:val="nil"/>
              <w:left w:val="nil"/>
              <w:bottom w:val="nil"/>
              <w:right w:val="single" w:sz="4" w:space="0" w:color="auto"/>
            </w:tcBorders>
            <w:shd w:val="clear" w:color="000000" w:fill="FFFFFF"/>
            <w:noWrap/>
            <w:vAlign w:val="bottom"/>
            <w:hideMark/>
          </w:tcPr>
          <w:p w14:paraId="65ECE0AF" w14:textId="77777777" w:rsidR="00052499" w:rsidRPr="00555FBC" w:rsidRDefault="00052499" w:rsidP="00052499">
            <w:pPr>
              <w:spacing w:after="0" w:line="240" w:lineRule="auto"/>
              <w:jc w:val="right"/>
              <w:rPr>
                <w:rFonts w:ascii="Calibri" w:eastAsia="Times New Roman" w:hAnsi="Calibri" w:cs="Calibri"/>
                <w:sz w:val="16"/>
                <w:szCs w:val="16"/>
              </w:rPr>
            </w:pPr>
            <w:r w:rsidRPr="00555FBC">
              <w:rPr>
                <w:rFonts w:ascii="Calibri" w:eastAsia="Times New Roman" w:hAnsi="Calibri" w:cs="Calibri"/>
                <w:sz w:val="16"/>
                <w:szCs w:val="16"/>
              </w:rPr>
              <w:t>89.16</w:t>
            </w:r>
          </w:p>
        </w:tc>
        <w:tc>
          <w:tcPr>
            <w:tcW w:w="309" w:type="pct"/>
            <w:tcBorders>
              <w:top w:val="nil"/>
              <w:left w:val="nil"/>
              <w:bottom w:val="nil"/>
              <w:right w:val="double" w:sz="6" w:space="0" w:color="auto"/>
            </w:tcBorders>
            <w:shd w:val="clear" w:color="000000" w:fill="FFFFFF"/>
            <w:noWrap/>
            <w:vAlign w:val="bottom"/>
            <w:hideMark/>
          </w:tcPr>
          <w:p w14:paraId="4B749954"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1.27</w:t>
            </w:r>
          </w:p>
        </w:tc>
        <w:tc>
          <w:tcPr>
            <w:tcW w:w="357" w:type="pct"/>
            <w:tcBorders>
              <w:top w:val="nil"/>
              <w:left w:val="nil"/>
              <w:bottom w:val="nil"/>
              <w:right w:val="single" w:sz="4" w:space="0" w:color="auto"/>
            </w:tcBorders>
            <w:shd w:val="clear" w:color="000000" w:fill="FFFFFF"/>
            <w:noWrap/>
            <w:vAlign w:val="bottom"/>
            <w:hideMark/>
          </w:tcPr>
          <w:p w14:paraId="532AF9BD" w14:textId="77777777" w:rsidR="00052499" w:rsidRPr="00555FBC" w:rsidRDefault="00052499" w:rsidP="00052499">
            <w:pPr>
              <w:spacing w:after="0" w:line="240" w:lineRule="auto"/>
              <w:jc w:val="right"/>
              <w:rPr>
                <w:rFonts w:ascii="Calibri" w:eastAsia="Times New Roman" w:hAnsi="Calibri" w:cs="Calibri"/>
                <w:sz w:val="16"/>
                <w:szCs w:val="16"/>
              </w:rPr>
            </w:pPr>
            <w:r w:rsidRPr="00555FBC">
              <w:rPr>
                <w:rFonts w:ascii="Calibri" w:eastAsia="Times New Roman" w:hAnsi="Calibri" w:cs="Calibri"/>
                <w:sz w:val="16"/>
                <w:szCs w:val="16"/>
              </w:rPr>
              <w:t>92.73</w:t>
            </w:r>
          </w:p>
        </w:tc>
        <w:tc>
          <w:tcPr>
            <w:tcW w:w="332" w:type="pct"/>
            <w:tcBorders>
              <w:top w:val="nil"/>
              <w:left w:val="nil"/>
              <w:bottom w:val="nil"/>
              <w:right w:val="double" w:sz="6" w:space="0" w:color="auto"/>
            </w:tcBorders>
            <w:shd w:val="clear" w:color="000000" w:fill="FFFFFF"/>
            <w:noWrap/>
            <w:vAlign w:val="bottom"/>
            <w:hideMark/>
          </w:tcPr>
          <w:p w14:paraId="32BBB9C7"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1.25</w:t>
            </w:r>
          </w:p>
        </w:tc>
        <w:tc>
          <w:tcPr>
            <w:tcW w:w="357" w:type="pct"/>
            <w:tcBorders>
              <w:top w:val="nil"/>
              <w:left w:val="nil"/>
              <w:bottom w:val="nil"/>
              <w:right w:val="single" w:sz="4" w:space="0" w:color="auto"/>
            </w:tcBorders>
            <w:shd w:val="clear" w:color="000000" w:fill="FFFFFF"/>
            <w:noWrap/>
            <w:vAlign w:val="bottom"/>
            <w:hideMark/>
          </w:tcPr>
          <w:p w14:paraId="66D2D345" w14:textId="77777777" w:rsidR="00052499" w:rsidRPr="00555FBC" w:rsidRDefault="00052499" w:rsidP="00052499">
            <w:pPr>
              <w:spacing w:after="0" w:line="240" w:lineRule="auto"/>
              <w:jc w:val="right"/>
              <w:rPr>
                <w:rFonts w:ascii="Calibri" w:eastAsia="Times New Roman" w:hAnsi="Calibri" w:cs="Calibri"/>
                <w:sz w:val="16"/>
                <w:szCs w:val="16"/>
              </w:rPr>
            </w:pPr>
            <w:r w:rsidRPr="00555FBC">
              <w:rPr>
                <w:rFonts w:ascii="Calibri" w:eastAsia="Times New Roman" w:hAnsi="Calibri" w:cs="Calibri"/>
                <w:sz w:val="16"/>
                <w:szCs w:val="16"/>
              </w:rPr>
              <w:t>96.58</w:t>
            </w:r>
          </w:p>
        </w:tc>
        <w:tc>
          <w:tcPr>
            <w:tcW w:w="330" w:type="pct"/>
            <w:tcBorders>
              <w:top w:val="nil"/>
              <w:left w:val="nil"/>
              <w:bottom w:val="nil"/>
              <w:right w:val="double" w:sz="6" w:space="0" w:color="auto"/>
            </w:tcBorders>
            <w:shd w:val="clear" w:color="000000" w:fill="FFFFFF"/>
            <w:noWrap/>
            <w:vAlign w:val="bottom"/>
            <w:hideMark/>
          </w:tcPr>
          <w:p w14:paraId="40FFDEF3"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1.24</w:t>
            </w:r>
          </w:p>
        </w:tc>
      </w:tr>
      <w:tr w:rsidR="00052499" w:rsidRPr="00555FBC" w14:paraId="0CA81BB5" w14:textId="77777777" w:rsidTr="00052499">
        <w:trPr>
          <w:trHeight w:val="198"/>
        </w:trPr>
        <w:tc>
          <w:tcPr>
            <w:tcW w:w="2302" w:type="pct"/>
            <w:tcBorders>
              <w:top w:val="nil"/>
              <w:left w:val="double" w:sz="6" w:space="0" w:color="auto"/>
              <w:bottom w:val="nil"/>
              <w:right w:val="double" w:sz="6" w:space="0" w:color="auto"/>
            </w:tcBorders>
            <w:shd w:val="clear" w:color="000000" w:fill="FFFFFF"/>
            <w:vAlign w:val="center"/>
            <w:hideMark/>
          </w:tcPr>
          <w:p w14:paraId="5D0E3BC0" w14:textId="77777777" w:rsidR="00052499" w:rsidRPr="00555FBC" w:rsidRDefault="00052499" w:rsidP="00052499">
            <w:pPr>
              <w:spacing w:after="0" w:line="240" w:lineRule="auto"/>
              <w:rPr>
                <w:rFonts w:ascii="Calibri" w:eastAsia="Times New Roman" w:hAnsi="Calibri" w:cs="Calibri"/>
                <w:sz w:val="16"/>
                <w:szCs w:val="16"/>
              </w:rPr>
            </w:pPr>
            <w:r w:rsidRPr="00555FBC">
              <w:rPr>
                <w:rFonts w:ascii="Calibri" w:eastAsia="Times New Roman" w:hAnsi="Calibri" w:cs="Calibri"/>
                <w:sz w:val="16"/>
                <w:szCs w:val="16"/>
              </w:rPr>
              <w:t>Porez na promet nepokretnosti</w:t>
            </w:r>
          </w:p>
        </w:tc>
        <w:tc>
          <w:tcPr>
            <w:tcW w:w="357" w:type="pct"/>
            <w:tcBorders>
              <w:top w:val="nil"/>
              <w:left w:val="nil"/>
              <w:bottom w:val="nil"/>
              <w:right w:val="single" w:sz="4" w:space="0" w:color="auto"/>
            </w:tcBorders>
            <w:shd w:val="clear" w:color="000000" w:fill="FFFFFF"/>
            <w:noWrap/>
            <w:vAlign w:val="bottom"/>
            <w:hideMark/>
          </w:tcPr>
          <w:p w14:paraId="06172632" w14:textId="77777777" w:rsidR="00052499" w:rsidRPr="00555FBC" w:rsidRDefault="00052499" w:rsidP="00052499">
            <w:pPr>
              <w:spacing w:after="0" w:line="240" w:lineRule="auto"/>
              <w:jc w:val="right"/>
              <w:rPr>
                <w:rFonts w:ascii="Calibri" w:eastAsia="Times New Roman" w:hAnsi="Calibri" w:cs="Calibri"/>
                <w:sz w:val="16"/>
                <w:szCs w:val="16"/>
              </w:rPr>
            </w:pPr>
            <w:r w:rsidRPr="00555FBC">
              <w:rPr>
                <w:rFonts w:ascii="Calibri" w:eastAsia="Times New Roman" w:hAnsi="Calibri" w:cs="Calibri"/>
                <w:sz w:val="16"/>
                <w:szCs w:val="16"/>
              </w:rPr>
              <w:t>19.39</w:t>
            </w:r>
          </w:p>
        </w:tc>
        <w:tc>
          <w:tcPr>
            <w:tcW w:w="296" w:type="pct"/>
            <w:tcBorders>
              <w:top w:val="nil"/>
              <w:left w:val="nil"/>
              <w:bottom w:val="nil"/>
              <w:right w:val="double" w:sz="6" w:space="0" w:color="auto"/>
            </w:tcBorders>
            <w:shd w:val="clear" w:color="000000" w:fill="FFFFFF"/>
            <w:noWrap/>
            <w:vAlign w:val="bottom"/>
            <w:hideMark/>
          </w:tcPr>
          <w:p w14:paraId="4120FFCA"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0.30</w:t>
            </w:r>
          </w:p>
        </w:tc>
        <w:tc>
          <w:tcPr>
            <w:tcW w:w="360" w:type="pct"/>
            <w:tcBorders>
              <w:top w:val="nil"/>
              <w:left w:val="nil"/>
              <w:bottom w:val="nil"/>
              <w:right w:val="single" w:sz="4" w:space="0" w:color="auto"/>
            </w:tcBorders>
            <w:shd w:val="clear" w:color="000000" w:fill="FFFFFF"/>
            <w:noWrap/>
            <w:vAlign w:val="bottom"/>
            <w:hideMark/>
          </w:tcPr>
          <w:p w14:paraId="2A01C7FE" w14:textId="77777777" w:rsidR="00052499" w:rsidRPr="00555FBC" w:rsidRDefault="00052499" w:rsidP="00052499">
            <w:pPr>
              <w:spacing w:after="0" w:line="240" w:lineRule="auto"/>
              <w:jc w:val="right"/>
              <w:rPr>
                <w:rFonts w:ascii="Calibri" w:eastAsia="Times New Roman" w:hAnsi="Calibri" w:cs="Calibri"/>
                <w:sz w:val="16"/>
                <w:szCs w:val="16"/>
              </w:rPr>
            </w:pPr>
            <w:r w:rsidRPr="00555FBC">
              <w:rPr>
                <w:rFonts w:ascii="Calibri" w:eastAsia="Times New Roman" w:hAnsi="Calibri" w:cs="Calibri"/>
                <w:sz w:val="16"/>
                <w:szCs w:val="16"/>
              </w:rPr>
              <w:t>24.24</w:t>
            </w:r>
          </w:p>
        </w:tc>
        <w:tc>
          <w:tcPr>
            <w:tcW w:w="309" w:type="pct"/>
            <w:tcBorders>
              <w:top w:val="nil"/>
              <w:left w:val="nil"/>
              <w:bottom w:val="nil"/>
              <w:right w:val="double" w:sz="6" w:space="0" w:color="auto"/>
            </w:tcBorders>
            <w:shd w:val="clear" w:color="000000" w:fill="FFFFFF"/>
            <w:noWrap/>
            <w:vAlign w:val="bottom"/>
            <w:hideMark/>
          </w:tcPr>
          <w:p w14:paraId="21622C6C"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0.34</w:t>
            </w:r>
          </w:p>
        </w:tc>
        <w:tc>
          <w:tcPr>
            <w:tcW w:w="357" w:type="pct"/>
            <w:tcBorders>
              <w:top w:val="nil"/>
              <w:left w:val="nil"/>
              <w:bottom w:val="nil"/>
              <w:right w:val="single" w:sz="4" w:space="0" w:color="auto"/>
            </w:tcBorders>
            <w:shd w:val="clear" w:color="000000" w:fill="FFFFFF"/>
            <w:noWrap/>
            <w:vAlign w:val="bottom"/>
            <w:hideMark/>
          </w:tcPr>
          <w:p w14:paraId="4E4EFA35" w14:textId="77777777" w:rsidR="00052499" w:rsidRPr="00555FBC" w:rsidRDefault="00052499" w:rsidP="00052499">
            <w:pPr>
              <w:spacing w:after="0" w:line="240" w:lineRule="auto"/>
              <w:jc w:val="right"/>
              <w:rPr>
                <w:rFonts w:ascii="Calibri" w:eastAsia="Times New Roman" w:hAnsi="Calibri" w:cs="Calibri"/>
                <w:sz w:val="16"/>
                <w:szCs w:val="16"/>
              </w:rPr>
            </w:pPr>
            <w:r w:rsidRPr="00555FBC">
              <w:rPr>
                <w:rFonts w:ascii="Calibri" w:eastAsia="Times New Roman" w:hAnsi="Calibri" w:cs="Calibri"/>
                <w:sz w:val="16"/>
                <w:szCs w:val="16"/>
              </w:rPr>
              <w:t>24.73</w:t>
            </w:r>
          </w:p>
        </w:tc>
        <w:tc>
          <w:tcPr>
            <w:tcW w:w="332" w:type="pct"/>
            <w:tcBorders>
              <w:top w:val="nil"/>
              <w:left w:val="nil"/>
              <w:bottom w:val="nil"/>
              <w:right w:val="double" w:sz="6" w:space="0" w:color="auto"/>
            </w:tcBorders>
            <w:shd w:val="clear" w:color="000000" w:fill="FFFFFF"/>
            <w:noWrap/>
            <w:vAlign w:val="bottom"/>
            <w:hideMark/>
          </w:tcPr>
          <w:p w14:paraId="46E1AE54"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0.33</w:t>
            </w:r>
          </w:p>
        </w:tc>
        <w:tc>
          <w:tcPr>
            <w:tcW w:w="357" w:type="pct"/>
            <w:tcBorders>
              <w:top w:val="nil"/>
              <w:left w:val="nil"/>
              <w:bottom w:val="nil"/>
              <w:right w:val="single" w:sz="4" w:space="0" w:color="auto"/>
            </w:tcBorders>
            <w:shd w:val="clear" w:color="000000" w:fill="FFFFFF"/>
            <w:noWrap/>
            <w:vAlign w:val="bottom"/>
            <w:hideMark/>
          </w:tcPr>
          <w:p w14:paraId="5AE995A5" w14:textId="77777777" w:rsidR="00052499" w:rsidRPr="00555FBC" w:rsidRDefault="00052499" w:rsidP="00052499">
            <w:pPr>
              <w:spacing w:after="0" w:line="240" w:lineRule="auto"/>
              <w:jc w:val="right"/>
              <w:rPr>
                <w:rFonts w:ascii="Calibri" w:eastAsia="Times New Roman" w:hAnsi="Calibri" w:cs="Calibri"/>
                <w:sz w:val="16"/>
                <w:szCs w:val="16"/>
              </w:rPr>
            </w:pPr>
            <w:r w:rsidRPr="00555FBC">
              <w:rPr>
                <w:rFonts w:ascii="Calibri" w:eastAsia="Times New Roman" w:hAnsi="Calibri" w:cs="Calibri"/>
                <w:sz w:val="16"/>
                <w:szCs w:val="16"/>
              </w:rPr>
              <w:t>25.22</w:t>
            </w:r>
          </w:p>
        </w:tc>
        <w:tc>
          <w:tcPr>
            <w:tcW w:w="330" w:type="pct"/>
            <w:tcBorders>
              <w:top w:val="nil"/>
              <w:left w:val="nil"/>
              <w:bottom w:val="nil"/>
              <w:right w:val="double" w:sz="6" w:space="0" w:color="auto"/>
            </w:tcBorders>
            <w:shd w:val="clear" w:color="000000" w:fill="FFFFFF"/>
            <w:noWrap/>
            <w:vAlign w:val="bottom"/>
            <w:hideMark/>
          </w:tcPr>
          <w:p w14:paraId="4E1EBF92"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0.34</w:t>
            </w:r>
          </w:p>
        </w:tc>
      </w:tr>
      <w:tr w:rsidR="00052499" w:rsidRPr="00555FBC" w14:paraId="45BB09F2" w14:textId="77777777" w:rsidTr="00052499">
        <w:trPr>
          <w:trHeight w:val="198"/>
        </w:trPr>
        <w:tc>
          <w:tcPr>
            <w:tcW w:w="2302" w:type="pct"/>
            <w:tcBorders>
              <w:top w:val="nil"/>
              <w:left w:val="double" w:sz="6" w:space="0" w:color="auto"/>
              <w:bottom w:val="nil"/>
              <w:right w:val="double" w:sz="6" w:space="0" w:color="auto"/>
            </w:tcBorders>
            <w:shd w:val="clear" w:color="000000" w:fill="FFFFFF"/>
            <w:vAlign w:val="center"/>
            <w:hideMark/>
          </w:tcPr>
          <w:p w14:paraId="283BB62A" w14:textId="77777777" w:rsidR="00052499" w:rsidRPr="00555FBC" w:rsidRDefault="00052499" w:rsidP="00052499">
            <w:pPr>
              <w:spacing w:after="0" w:line="240" w:lineRule="auto"/>
              <w:rPr>
                <w:rFonts w:ascii="Calibri" w:eastAsia="Times New Roman" w:hAnsi="Calibri" w:cs="Calibri"/>
                <w:sz w:val="16"/>
                <w:szCs w:val="16"/>
              </w:rPr>
            </w:pPr>
            <w:r w:rsidRPr="00555FBC">
              <w:rPr>
                <w:rFonts w:ascii="Calibri" w:eastAsia="Times New Roman" w:hAnsi="Calibri" w:cs="Calibri"/>
                <w:sz w:val="16"/>
                <w:szCs w:val="16"/>
              </w:rPr>
              <w:t>Lokalni porezi</w:t>
            </w:r>
          </w:p>
        </w:tc>
        <w:tc>
          <w:tcPr>
            <w:tcW w:w="357" w:type="pct"/>
            <w:tcBorders>
              <w:top w:val="nil"/>
              <w:left w:val="nil"/>
              <w:bottom w:val="nil"/>
              <w:right w:val="single" w:sz="4" w:space="0" w:color="auto"/>
            </w:tcBorders>
            <w:shd w:val="clear" w:color="000000" w:fill="FFFFFF"/>
            <w:noWrap/>
            <w:vAlign w:val="bottom"/>
            <w:hideMark/>
          </w:tcPr>
          <w:p w14:paraId="15C820B5" w14:textId="77777777" w:rsidR="00052499" w:rsidRPr="00555FBC" w:rsidRDefault="00052499" w:rsidP="00052499">
            <w:pPr>
              <w:spacing w:after="0" w:line="240" w:lineRule="auto"/>
              <w:jc w:val="right"/>
              <w:rPr>
                <w:rFonts w:ascii="Calibri" w:eastAsia="Times New Roman" w:hAnsi="Calibri" w:cs="Calibri"/>
                <w:sz w:val="16"/>
                <w:szCs w:val="16"/>
              </w:rPr>
            </w:pPr>
            <w:r w:rsidRPr="00555FBC">
              <w:rPr>
                <w:rFonts w:ascii="Calibri" w:eastAsia="Times New Roman" w:hAnsi="Calibri" w:cs="Calibri"/>
                <w:sz w:val="16"/>
                <w:szCs w:val="16"/>
              </w:rPr>
              <w:t>16.61</w:t>
            </w:r>
          </w:p>
        </w:tc>
        <w:tc>
          <w:tcPr>
            <w:tcW w:w="296" w:type="pct"/>
            <w:tcBorders>
              <w:top w:val="nil"/>
              <w:left w:val="nil"/>
              <w:bottom w:val="nil"/>
              <w:right w:val="double" w:sz="6" w:space="0" w:color="auto"/>
            </w:tcBorders>
            <w:shd w:val="clear" w:color="000000" w:fill="FFFFFF"/>
            <w:noWrap/>
            <w:vAlign w:val="bottom"/>
            <w:hideMark/>
          </w:tcPr>
          <w:p w14:paraId="399B831D"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0.26</w:t>
            </w:r>
          </w:p>
        </w:tc>
        <w:tc>
          <w:tcPr>
            <w:tcW w:w="360" w:type="pct"/>
            <w:tcBorders>
              <w:top w:val="nil"/>
              <w:left w:val="nil"/>
              <w:bottom w:val="nil"/>
              <w:right w:val="single" w:sz="4" w:space="0" w:color="auto"/>
            </w:tcBorders>
            <w:shd w:val="clear" w:color="000000" w:fill="FFFFFF"/>
            <w:noWrap/>
            <w:vAlign w:val="bottom"/>
            <w:hideMark/>
          </w:tcPr>
          <w:p w14:paraId="1E01D4B1" w14:textId="77777777" w:rsidR="00052499" w:rsidRPr="00555FBC" w:rsidRDefault="00052499" w:rsidP="00052499">
            <w:pPr>
              <w:spacing w:after="0" w:line="240" w:lineRule="auto"/>
              <w:jc w:val="right"/>
              <w:rPr>
                <w:rFonts w:ascii="Calibri" w:eastAsia="Times New Roman" w:hAnsi="Calibri" w:cs="Calibri"/>
                <w:sz w:val="16"/>
                <w:szCs w:val="16"/>
              </w:rPr>
            </w:pPr>
            <w:r w:rsidRPr="00555FBC">
              <w:rPr>
                <w:rFonts w:ascii="Calibri" w:eastAsia="Times New Roman" w:hAnsi="Calibri" w:cs="Calibri"/>
                <w:sz w:val="16"/>
                <w:szCs w:val="16"/>
              </w:rPr>
              <w:t>17.44</w:t>
            </w:r>
          </w:p>
        </w:tc>
        <w:tc>
          <w:tcPr>
            <w:tcW w:w="309" w:type="pct"/>
            <w:tcBorders>
              <w:top w:val="nil"/>
              <w:left w:val="nil"/>
              <w:bottom w:val="nil"/>
              <w:right w:val="double" w:sz="6" w:space="0" w:color="auto"/>
            </w:tcBorders>
            <w:shd w:val="clear" w:color="000000" w:fill="FFFFFF"/>
            <w:noWrap/>
            <w:vAlign w:val="bottom"/>
            <w:hideMark/>
          </w:tcPr>
          <w:p w14:paraId="47494605"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0.25</w:t>
            </w:r>
          </w:p>
        </w:tc>
        <w:tc>
          <w:tcPr>
            <w:tcW w:w="357" w:type="pct"/>
            <w:tcBorders>
              <w:top w:val="nil"/>
              <w:left w:val="nil"/>
              <w:bottom w:val="nil"/>
              <w:right w:val="single" w:sz="4" w:space="0" w:color="auto"/>
            </w:tcBorders>
            <w:shd w:val="clear" w:color="000000" w:fill="FFFFFF"/>
            <w:noWrap/>
            <w:vAlign w:val="bottom"/>
            <w:hideMark/>
          </w:tcPr>
          <w:p w14:paraId="610FFEBD" w14:textId="77777777" w:rsidR="00052499" w:rsidRPr="00555FBC" w:rsidRDefault="00052499" w:rsidP="00052499">
            <w:pPr>
              <w:spacing w:after="0" w:line="240" w:lineRule="auto"/>
              <w:jc w:val="right"/>
              <w:rPr>
                <w:rFonts w:ascii="Calibri" w:eastAsia="Times New Roman" w:hAnsi="Calibri" w:cs="Calibri"/>
                <w:sz w:val="16"/>
                <w:szCs w:val="16"/>
              </w:rPr>
            </w:pPr>
            <w:r w:rsidRPr="00555FBC">
              <w:rPr>
                <w:rFonts w:ascii="Calibri" w:eastAsia="Times New Roman" w:hAnsi="Calibri" w:cs="Calibri"/>
                <w:sz w:val="16"/>
                <w:szCs w:val="16"/>
              </w:rPr>
              <w:t>18.31</w:t>
            </w:r>
          </w:p>
        </w:tc>
        <w:tc>
          <w:tcPr>
            <w:tcW w:w="332" w:type="pct"/>
            <w:tcBorders>
              <w:top w:val="nil"/>
              <w:left w:val="nil"/>
              <w:bottom w:val="nil"/>
              <w:right w:val="double" w:sz="6" w:space="0" w:color="auto"/>
            </w:tcBorders>
            <w:shd w:val="clear" w:color="000000" w:fill="FFFFFF"/>
            <w:noWrap/>
            <w:vAlign w:val="bottom"/>
            <w:hideMark/>
          </w:tcPr>
          <w:p w14:paraId="3DAC7918"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0.25</w:t>
            </w:r>
          </w:p>
        </w:tc>
        <w:tc>
          <w:tcPr>
            <w:tcW w:w="357" w:type="pct"/>
            <w:tcBorders>
              <w:top w:val="nil"/>
              <w:left w:val="nil"/>
              <w:bottom w:val="nil"/>
              <w:right w:val="single" w:sz="4" w:space="0" w:color="auto"/>
            </w:tcBorders>
            <w:shd w:val="clear" w:color="000000" w:fill="FFFFFF"/>
            <w:noWrap/>
            <w:vAlign w:val="bottom"/>
            <w:hideMark/>
          </w:tcPr>
          <w:p w14:paraId="1CAE5ECB" w14:textId="77777777" w:rsidR="00052499" w:rsidRPr="00555FBC" w:rsidRDefault="00052499" w:rsidP="00052499">
            <w:pPr>
              <w:spacing w:after="0" w:line="240" w:lineRule="auto"/>
              <w:jc w:val="right"/>
              <w:rPr>
                <w:rFonts w:ascii="Calibri" w:eastAsia="Times New Roman" w:hAnsi="Calibri" w:cs="Calibri"/>
                <w:sz w:val="16"/>
                <w:szCs w:val="16"/>
              </w:rPr>
            </w:pPr>
            <w:r w:rsidRPr="00555FBC">
              <w:rPr>
                <w:rFonts w:ascii="Calibri" w:eastAsia="Times New Roman" w:hAnsi="Calibri" w:cs="Calibri"/>
                <w:sz w:val="16"/>
                <w:szCs w:val="16"/>
              </w:rPr>
              <w:t>19.05</w:t>
            </w:r>
          </w:p>
        </w:tc>
        <w:tc>
          <w:tcPr>
            <w:tcW w:w="330" w:type="pct"/>
            <w:tcBorders>
              <w:top w:val="nil"/>
              <w:left w:val="nil"/>
              <w:bottom w:val="nil"/>
              <w:right w:val="double" w:sz="6" w:space="0" w:color="auto"/>
            </w:tcBorders>
            <w:shd w:val="clear" w:color="000000" w:fill="FFFFFF"/>
            <w:noWrap/>
            <w:vAlign w:val="bottom"/>
            <w:hideMark/>
          </w:tcPr>
          <w:p w14:paraId="687759C0"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0.26</w:t>
            </w:r>
          </w:p>
        </w:tc>
      </w:tr>
      <w:tr w:rsidR="00052499" w:rsidRPr="00555FBC" w14:paraId="3B4F0899" w14:textId="77777777" w:rsidTr="00052499">
        <w:trPr>
          <w:trHeight w:val="198"/>
        </w:trPr>
        <w:tc>
          <w:tcPr>
            <w:tcW w:w="2302" w:type="pct"/>
            <w:tcBorders>
              <w:top w:val="nil"/>
              <w:left w:val="double" w:sz="6" w:space="0" w:color="auto"/>
              <w:bottom w:val="nil"/>
              <w:right w:val="double" w:sz="6" w:space="0" w:color="auto"/>
            </w:tcBorders>
            <w:shd w:val="clear" w:color="000000" w:fill="FFFFFF"/>
            <w:vAlign w:val="center"/>
            <w:hideMark/>
          </w:tcPr>
          <w:p w14:paraId="337951AC" w14:textId="77777777" w:rsidR="00052499" w:rsidRPr="00555FBC" w:rsidRDefault="00052499" w:rsidP="00052499">
            <w:pPr>
              <w:spacing w:after="0" w:line="240" w:lineRule="auto"/>
              <w:rPr>
                <w:rFonts w:ascii="Calibri" w:eastAsia="Times New Roman" w:hAnsi="Calibri" w:cs="Calibri"/>
                <w:b/>
                <w:bCs/>
                <w:sz w:val="16"/>
                <w:szCs w:val="16"/>
              </w:rPr>
            </w:pPr>
            <w:r w:rsidRPr="00555FBC">
              <w:rPr>
                <w:rFonts w:ascii="Calibri" w:eastAsia="Times New Roman" w:hAnsi="Calibri" w:cs="Calibri"/>
                <w:b/>
                <w:bCs/>
                <w:sz w:val="16"/>
                <w:szCs w:val="16"/>
              </w:rPr>
              <w:t>Takse</w:t>
            </w:r>
          </w:p>
        </w:tc>
        <w:tc>
          <w:tcPr>
            <w:tcW w:w="357" w:type="pct"/>
            <w:tcBorders>
              <w:top w:val="nil"/>
              <w:left w:val="nil"/>
              <w:bottom w:val="nil"/>
              <w:right w:val="single" w:sz="4" w:space="0" w:color="auto"/>
            </w:tcBorders>
            <w:shd w:val="clear" w:color="000000" w:fill="FFFFFF"/>
            <w:noWrap/>
            <w:vAlign w:val="bottom"/>
            <w:hideMark/>
          </w:tcPr>
          <w:p w14:paraId="503EF545"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4.97</w:t>
            </w:r>
          </w:p>
        </w:tc>
        <w:tc>
          <w:tcPr>
            <w:tcW w:w="296" w:type="pct"/>
            <w:tcBorders>
              <w:top w:val="nil"/>
              <w:left w:val="nil"/>
              <w:bottom w:val="nil"/>
              <w:right w:val="double" w:sz="6" w:space="0" w:color="auto"/>
            </w:tcBorders>
            <w:shd w:val="clear" w:color="000000" w:fill="FFFFFF"/>
            <w:noWrap/>
            <w:vAlign w:val="bottom"/>
            <w:hideMark/>
          </w:tcPr>
          <w:p w14:paraId="1A544457"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0.08</w:t>
            </w:r>
          </w:p>
        </w:tc>
        <w:tc>
          <w:tcPr>
            <w:tcW w:w="360" w:type="pct"/>
            <w:tcBorders>
              <w:top w:val="nil"/>
              <w:left w:val="nil"/>
              <w:bottom w:val="nil"/>
              <w:right w:val="single" w:sz="4" w:space="0" w:color="auto"/>
            </w:tcBorders>
            <w:shd w:val="clear" w:color="000000" w:fill="FFFFFF"/>
            <w:noWrap/>
            <w:vAlign w:val="bottom"/>
            <w:hideMark/>
          </w:tcPr>
          <w:p w14:paraId="2DCE8324"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5.34</w:t>
            </w:r>
          </w:p>
        </w:tc>
        <w:tc>
          <w:tcPr>
            <w:tcW w:w="309" w:type="pct"/>
            <w:tcBorders>
              <w:top w:val="nil"/>
              <w:left w:val="nil"/>
              <w:bottom w:val="nil"/>
              <w:right w:val="double" w:sz="6" w:space="0" w:color="auto"/>
            </w:tcBorders>
            <w:shd w:val="clear" w:color="000000" w:fill="FFFFFF"/>
            <w:noWrap/>
            <w:vAlign w:val="bottom"/>
            <w:hideMark/>
          </w:tcPr>
          <w:p w14:paraId="6689C522"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0.08</w:t>
            </w:r>
          </w:p>
        </w:tc>
        <w:tc>
          <w:tcPr>
            <w:tcW w:w="357" w:type="pct"/>
            <w:tcBorders>
              <w:top w:val="nil"/>
              <w:left w:val="nil"/>
              <w:bottom w:val="nil"/>
              <w:right w:val="single" w:sz="4" w:space="0" w:color="auto"/>
            </w:tcBorders>
            <w:shd w:val="clear" w:color="000000" w:fill="FFFFFF"/>
            <w:noWrap/>
            <w:vAlign w:val="bottom"/>
            <w:hideMark/>
          </w:tcPr>
          <w:p w14:paraId="4E5C8703"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5.74</w:t>
            </w:r>
          </w:p>
        </w:tc>
        <w:tc>
          <w:tcPr>
            <w:tcW w:w="332" w:type="pct"/>
            <w:tcBorders>
              <w:top w:val="nil"/>
              <w:left w:val="nil"/>
              <w:bottom w:val="nil"/>
              <w:right w:val="double" w:sz="6" w:space="0" w:color="auto"/>
            </w:tcBorders>
            <w:shd w:val="clear" w:color="000000" w:fill="FFFFFF"/>
            <w:noWrap/>
            <w:vAlign w:val="bottom"/>
            <w:hideMark/>
          </w:tcPr>
          <w:p w14:paraId="4EB459E0"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0.08</w:t>
            </w:r>
          </w:p>
        </w:tc>
        <w:tc>
          <w:tcPr>
            <w:tcW w:w="357" w:type="pct"/>
            <w:tcBorders>
              <w:top w:val="nil"/>
              <w:left w:val="nil"/>
              <w:bottom w:val="nil"/>
              <w:right w:val="single" w:sz="4" w:space="0" w:color="auto"/>
            </w:tcBorders>
            <w:shd w:val="clear" w:color="000000" w:fill="FFFFFF"/>
            <w:noWrap/>
            <w:vAlign w:val="bottom"/>
            <w:hideMark/>
          </w:tcPr>
          <w:p w14:paraId="77E8D3C4"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5.97</w:t>
            </w:r>
          </w:p>
        </w:tc>
        <w:tc>
          <w:tcPr>
            <w:tcW w:w="330" w:type="pct"/>
            <w:tcBorders>
              <w:top w:val="nil"/>
              <w:left w:val="nil"/>
              <w:bottom w:val="nil"/>
              <w:right w:val="double" w:sz="6" w:space="0" w:color="auto"/>
            </w:tcBorders>
            <w:shd w:val="clear" w:color="000000" w:fill="FFFFFF"/>
            <w:noWrap/>
            <w:vAlign w:val="bottom"/>
            <w:hideMark/>
          </w:tcPr>
          <w:p w14:paraId="3A110DE6"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0.08</w:t>
            </w:r>
          </w:p>
        </w:tc>
      </w:tr>
      <w:tr w:rsidR="00052499" w:rsidRPr="00555FBC" w14:paraId="6916F50F" w14:textId="77777777" w:rsidTr="00052499">
        <w:trPr>
          <w:trHeight w:val="198"/>
        </w:trPr>
        <w:tc>
          <w:tcPr>
            <w:tcW w:w="2302" w:type="pct"/>
            <w:tcBorders>
              <w:top w:val="nil"/>
              <w:left w:val="double" w:sz="6" w:space="0" w:color="auto"/>
              <w:bottom w:val="nil"/>
              <w:right w:val="double" w:sz="6" w:space="0" w:color="auto"/>
            </w:tcBorders>
            <w:shd w:val="clear" w:color="000000" w:fill="FFFFFF"/>
            <w:vAlign w:val="center"/>
            <w:hideMark/>
          </w:tcPr>
          <w:p w14:paraId="62099977" w14:textId="77777777" w:rsidR="00052499" w:rsidRPr="00555FBC" w:rsidRDefault="00052499" w:rsidP="00052499">
            <w:pPr>
              <w:spacing w:after="0" w:line="240" w:lineRule="auto"/>
              <w:rPr>
                <w:rFonts w:ascii="Calibri" w:eastAsia="Times New Roman" w:hAnsi="Calibri" w:cs="Calibri"/>
                <w:b/>
                <w:bCs/>
                <w:sz w:val="16"/>
                <w:szCs w:val="16"/>
              </w:rPr>
            </w:pPr>
            <w:r w:rsidRPr="00555FBC">
              <w:rPr>
                <w:rFonts w:ascii="Calibri" w:eastAsia="Times New Roman" w:hAnsi="Calibri" w:cs="Calibri"/>
                <w:b/>
                <w:bCs/>
                <w:sz w:val="16"/>
                <w:szCs w:val="16"/>
              </w:rPr>
              <w:t>Naknade</w:t>
            </w:r>
          </w:p>
        </w:tc>
        <w:tc>
          <w:tcPr>
            <w:tcW w:w="357" w:type="pct"/>
            <w:tcBorders>
              <w:top w:val="nil"/>
              <w:left w:val="nil"/>
              <w:bottom w:val="nil"/>
              <w:right w:val="single" w:sz="4" w:space="0" w:color="auto"/>
            </w:tcBorders>
            <w:shd w:val="clear" w:color="000000" w:fill="FFFFFF"/>
            <w:noWrap/>
            <w:vAlign w:val="bottom"/>
            <w:hideMark/>
          </w:tcPr>
          <w:p w14:paraId="255159CD"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65.79</w:t>
            </w:r>
          </w:p>
        </w:tc>
        <w:tc>
          <w:tcPr>
            <w:tcW w:w="296" w:type="pct"/>
            <w:tcBorders>
              <w:top w:val="nil"/>
              <w:left w:val="nil"/>
              <w:bottom w:val="nil"/>
              <w:right w:val="double" w:sz="6" w:space="0" w:color="auto"/>
            </w:tcBorders>
            <w:shd w:val="clear" w:color="000000" w:fill="FFFFFF"/>
            <w:noWrap/>
            <w:vAlign w:val="bottom"/>
            <w:hideMark/>
          </w:tcPr>
          <w:p w14:paraId="3CEED2B5"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1.02</w:t>
            </w:r>
          </w:p>
        </w:tc>
        <w:tc>
          <w:tcPr>
            <w:tcW w:w="360" w:type="pct"/>
            <w:tcBorders>
              <w:top w:val="nil"/>
              <w:left w:val="nil"/>
              <w:bottom w:val="nil"/>
              <w:right w:val="single" w:sz="4" w:space="0" w:color="auto"/>
            </w:tcBorders>
            <w:shd w:val="clear" w:color="000000" w:fill="FFFFFF"/>
            <w:noWrap/>
            <w:vAlign w:val="bottom"/>
            <w:hideMark/>
          </w:tcPr>
          <w:p w14:paraId="31163D4D"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75.56</w:t>
            </w:r>
          </w:p>
        </w:tc>
        <w:tc>
          <w:tcPr>
            <w:tcW w:w="309" w:type="pct"/>
            <w:tcBorders>
              <w:top w:val="nil"/>
              <w:left w:val="nil"/>
              <w:bottom w:val="nil"/>
              <w:right w:val="double" w:sz="6" w:space="0" w:color="auto"/>
            </w:tcBorders>
            <w:shd w:val="clear" w:color="000000" w:fill="FFFFFF"/>
            <w:noWrap/>
            <w:vAlign w:val="bottom"/>
            <w:hideMark/>
          </w:tcPr>
          <w:p w14:paraId="3D3A7AC1"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1.07</w:t>
            </w:r>
          </w:p>
        </w:tc>
        <w:tc>
          <w:tcPr>
            <w:tcW w:w="357" w:type="pct"/>
            <w:tcBorders>
              <w:top w:val="nil"/>
              <w:left w:val="nil"/>
              <w:bottom w:val="nil"/>
              <w:right w:val="single" w:sz="4" w:space="0" w:color="auto"/>
            </w:tcBorders>
            <w:shd w:val="clear" w:color="000000" w:fill="FFFFFF"/>
            <w:noWrap/>
            <w:vAlign w:val="bottom"/>
            <w:hideMark/>
          </w:tcPr>
          <w:p w14:paraId="07841868"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82.79</w:t>
            </w:r>
          </w:p>
        </w:tc>
        <w:tc>
          <w:tcPr>
            <w:tcW w:w="332" w:type="pct"/>
            <w:tcBorders>
              <w:top w:val="nil"/>
              <w:left w:val="nil"/>
              <w:bottom w:val="nil"/>
              <w:right w:val="double" w:sz="6" w:space="0" w:color="auto"/>
            </w:tcBorders>
            <w:shd w:val="clear" w:color="000000" w:fill="FFFFFF"/>
            <w:noWrap/>
            <w:vAlign w:val="bottom"/>
            <w:hideMark/>
          </w:tcPr>
          <w:p w14:paraId="71A8FC89"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1.12</w:t>
            </w:r>
          </w:p>
        </w:tc>
        <w:tc>
          <w:tcPr>
            <w:tcW w:w="357" w:type="pct"/>
            <w:tcBorders>
              <w:top w:val="nil"/>
              <w:left w:val="nil"/>
              <w:bottom w:val="nil"/>
              <w:right w:val="single" w:sz="4" w:space="0" w:color="auto"/>
            </w:tcBorders>
            <w:shd w:val="clear" w:color="000000" w:fill="FFFFFF"/>
            <w:noWrap/>
            <w:vAlign w:val="bottom"/>
            <w:hideMark/>
          </w:tcPr>
          <w:p w14:paraId="7AECFACB"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86.63</w:t>
            </w:r>
          </w:p>
        </w:tc>
        <w:tc>
          <w:tcPr>
            <w:tcW w:w="330" w:type="pct"/>
            <w:tcBorders>
              <w:top w:val="nil"/>
              <w:left w:val="nil"/>
              <w:bottom w:val="nil"/>
              <w:right w:val="double" w:sz="6" w:space="0" w:color="auto"/>
            </w:tcBorders>
            <w:shd w:val="clear" w:color="000000" w:fill="FFFFFF"/>
            <w:noWrap/>
            <w:vAlign w:val="bottom"/>
            <w:hideMark/>
          </w:tcPr>
          <w:p w14:paraId="705E34A8"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1.17</w:t>
            </w:r>
          </w:p>
        </w:tc>
      </w:tr>
      <w:tr w:rsidR="00052499" w:rsidRPr="00555FBC" w14:paraId="079B22C5" w14:textId="77777777" w:rsidTr="00052499">
        <w:trPr>
          <w:trHeight w:val="198"/>
        </w:trPr>
        <w:tc>
          <w:tcPr>
            <w:tcW w:w="2302" w:type="pct"/>
            <w:tcBorders>
              <w:top w:val="nil"/>
              <w:left w:val="double" w:sz="6" w:space="0" w:color="auto"/>
              <w:bottom w:val="nil"/>
              <w:right w:val="double" w:sz="6" w:space="0" w:color="auto"/>
            </w:tcBorders>
            <w:shd w:val="clear" w:color="000000" w:fill="FFFFFF"/>
            <w:vAlign w:val="center"/>
            <w:hideMark/>
          </w:tcPr>
          <w:p w14:paraId="30C42D2C" w14:textId="77777777" w:rsidR="00052499" w:rsidRPr="00555FBC" w:rsidRDefault="00052499" w:rsidP="00052499">
            <w:pPr>
              <w:spacing w:after="0" w:line="240" w:lineRule="auto"/>
              <w:rPr>
                <w:rFonts w:ascii="Calibri" w:eastAsia="Times New Roman" w:hAnsi="Calibri" w:cs="Calibri"/>
                <w:b/>
                <w:bCs/>
                <w:sz w:val="16"/>
                <w:szCs w:val="16"/>
              </w:rPr>
            </w:pPr>
            <w:r w:rsidRPr="00555FBC">
              <w:rPr>
                <w:rFonts w:ascii="Calibri" w:eastAsia="Times New Roman" w:hAnsi="Calibri" w:cs="Calibri"/>
                <w:b/>
                <w:bCs/>
                <w:sz w:val="16"/>
                <w:szCs w:val="16"/>
              </w:rPr>
              <w:t>Ostali prihodi</w:t>
            </w:r>
          </w:p>
        </w:tc>
        <w:tc>
          <w:tcPr>
            <w:tcW w:w="357" w:type="pct"/>
            <w:tcBorders>
              <w:top w:val="nil"/>
              <w:left w:val="nil"/>
              <w:bottom w:val="nil"/>
              <w:right w:val="single" w:sz="4" w:space="0" w:color="auto"/>
            </w:tcBorders>
            <w:shd w:val="clear" w:color="000000" w:fill="FFFFFF"/>
            <w:noWrap/>
            <w:vAlign w:val="bottom"/>
            <w:hideMark/>
          </w:tcPr>
          <w:p w14:paraId="7105B9F6"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15.11</w:t>
            </w:r>
          </w:p>
        </w:tc>
        <w:tc>
          <w:tcPr>
            <w:tcW w:w="296" w:type="pct"/>
            <w:tcBorders>
              <w:top w:val="nil"/>
              <w:left w:val="nil"/>
              <w:bottom w:val="nil"/>
              <w:right w:val="double" w:sz="6" w:space="0" w:color="auto"/>
            </w:tcBorders>
            <w:shd w:val="clear" w:color="000000" w:fill="FFFFFF"/>
            <w:noWrap/>
            <w:vAlign w:val="bottom"/>
            <w:hideMark/>
          </w:tcPr>
          <w:p w14:paraId="03BC0F6D"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0.23</w:t>
            </w:r>
          </w:p>
        </w:tc>
        <w:tc>
          <w:tcPr>
            <w:tcW w:w="360" w:type="pct"/>
            <w:tcBorders>
              <w:top w:val="nil"/>
              <w:left w:val="nil"/>
              <w:bottom w:val="nil"/>
              <w:right w:val="single" w:sz="4" w:space="0" w:color="auto"/>
            </w:tcBorders>
            <w:shd w:val="clear" w:color="000000" w:fill="FFFFFF"/>
            <w:noWrap/>
            <w:vAlign w:val="bottom"/>
            <w:hideMark/>
          </w:tcPr>
          <w:p w14:paraId="60A88237"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15.58</w:t>
            </w:r>
          </w:p>
        </w:tc>
        <w:tc>
          <w:tcPr>
            <w:tcW w:w="309" w:type="pct"/>
            <w:tcBorders>
              <w:top w:val="nil"/>
              <w:left w:val="nil"/>
              <w:bottom w:val="nil"/>
              <w:right w:val="double" w:sz="6" w:space="0" w:color="auto"/>
            </w:tcBorders>
            <w:shd w:val="clear" w:color="000000" w:fill="FFFFFF"/>
            <w:noWrap/>
            <w:vAlign w:val="bottom"/>
            <w:hideMark/>
          </w:tcPr>
          <w:p w14:paraId="3B986BF8"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0.22</w:t>
            </w:r>
          </w:p>
        </w:tc>
        <w:tc>
          <w:tcPr>
            <w:tcW w:w="357" w:type="pct"/>
            <w:tcBorders>
              <w:top w:val="nil"/>
              <w:left w:val="nil"/>
              <w:bottom w:val="nil"/>
              <w:right w:val="single" w:sz="4" w:space="0" w:color="auto"/>
            </w:tcBorders>
            <w:shd w:val="clear" w:color="000000" w:fill="FFFFFF"/>
            <w:noWrap/>
            <w:vAlign w:val="bottom"/>
            <w:hideMark/>
          </w:tcPr>
          <w:p w14:paraId="6172E9D3"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16.06</w:t>
            </w:r>
          </w:p>
        </w:tc>
        <w:tc>
          <w:tcPr>
            <w:tcW w:w="332" w:type="pct"/>
            <w:tcBorders>
              <w:top w:val="nil"/>
              <w:left w:val="nil"/>
              <w:bottom w:val="nil"/>
              <w:right w:val="double" w:sz="6" w:space="0" w:color="auto"/>
            </w:tcBorders>
            <w:shd w:val="clear" w:color="000000" w:fill="FFFFFF"/>
            <w:noWrap/>
            <w:vAlign w:val="bottom"/>
            <w:hideMark/>
          </w:tcPr>
          <w:p w14:paraId="1081309A"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0.22</w:t>
            </w:r>
          </w:p>
        </w:tc>
        <w:tc>
          <w:tcPr>
            <w:tcW w:w="357" w:type="pct"/>
            <w:tcBorders>
              <w:top w:val="nil"/>
              <w:left w:val="nil"/>
              <w:bottom w:val="nil"/>
              <w:right w:val="single" w:sz="4" w:space="0" w:color="auto"/>
            </w:tcBorders>
            <w:shd w:val="clear" w:color="000000" w:fill="FFFFFF"/>
            <w:noWrap/>
            <w:vAlign w:val="bottom"/>
            <w:hideMark/>
          </w:tcPr>
          <w:p w14:paraId="47323B78"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16.70</w:t>
            </w:r>
          </w:p>
        </w:tc>
        <w:tc>
          <w:tcPr>
            <w:tcW w:w="330" w:type="pct"/>
            <w:tcBorders>
              <w:top w:val="nil"/>
              <w:left w:val="nil"/>
              <w:bottom w:val="nil"/>
              <w:right w:val="double" w:sz="6" w:space="0" w:color="auto"/>
            </w:tcBorders>
            <w:shd w:val="clear" w:color="000000" w:fill="FFFFFF"/>
            <w:noWrap/>
            <w:vAlign w:val="bottom"/>
            <w:hideMark/>
          </w:tcPr>
          <w:p w14:paraId="6D2034EC"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0.22</w:t>
            </w:r>
          </w:p>
        </w:tc>
      </w:tr>
      <w:tr w:rsidR="00052499" w:rsidRPr="00555FBC" w14:paraId="01D35033" w14:textId="77777777" w:rsidTr="00052499">
        <w:trPr>
          <w:trHeight w:val="198"/>
        </w:trPr>
        <w:tc>
          <w:tcPr>
            <w:tcW w:w="2302" w:type="pct"/>
            <w:tcBorders>
              <w:top w:val="nil"/>
              <w:left w:val="double" w:sz="6" w:space="0" w:color="auto"/>
              <w:bottom w:val="nil"/>
              <w:right w:val="double" w:sz="6" w:space="0" w:color="auto"/>
            </w:tcBorders>
            <w:shd w:val="clear" w:color="000000" w:fill="FFFFFF"/>
            <w:vAlign w:val="center"/>
            <w:hideMark/>
          </w:tcPr>
          <w:p w14:paraId="65919BBB" w14:textId="77777777" w:rsidR="00052499" w:rsidRPr="00555FBC" w:rsidRDefault="00052499" w:rsidP="00052499">
            <w:pPr>
              <w:spacing w:after="0" w:line="240" w:lineRule="auto"/>
              <w:rPr>
                <w:rFonts w:ascii="Calibri" w:eastAsia="Times New Roman" w:hAnsi="Calibri" w:cs="Calibri"/>
                <w:b/>
                <w:bCs/>
                <w:sz w:val="16"/>
                <w:szCs w:val="16"/>
              </w:rPr>
            </w:pPr>
            <w:r w:rsidRPr="00555FBC">
              <w:rPr>
                <w:rFonts w:ascii="Calibri" w:eastAsia="Times New Roman" w:hAnsi="Calibri" w:cs="Calibri"/>
                <w:b/>
                <w:bCs/>
                <w:sz w:val="16"/>
                <w:szCs w:val="16"/>
              </w:rPr>
              <w:t>Primici od otplate kredita</w:t>
            </w:r>
          </w:p>
        </w:tc>
        <w:tc>
          <w:tcPr>
            <w:tcW w:w="357" w:type="pct"/>
            <w:tcBorders>
              <w:top w:val="nil"/>
              <w:left w:val="nil"/>
              <w:bottom w:val="nil"/>
              <w:right w:val="single" w:sz="4" w:space="0" w:color="auto"/>
            </w:tcBorders>
            <w:shd w:val="clear" w:color="000000" w:fill="FFFFFF"/>
            <w:noWrap/>
            <w:vAlign w:val="bottom"/>
            <w:hideMark/>
          </w:tcPr>
          <w:p w14:paraId="1E104FAB"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0.00</w:t>
            </w:r>
          </w:p>
        </w:tc>
        <w:tc>
          <w:tcPr>
            <w:tcW w:w="296" w:type="pct"/>
            <w:tcBorders>
              <w:top w:val="nil"/>
              <w:left w:val="nil"/>
              <w:bottom w:val="nil"/>
              <w:right w:val="double" w:sz="6" w:space="0" w:color="auto"/>
            </w:tcBorders>
            <w:shd w:val="clear" w:color="000000" w:fill="FFFFFF"/>
            <w:noWrap/>
            <w:vAlign w:val="bottom"/>
            <w:hideMark/>
          </w:tcPr>
          <w:p w14:paraId="72CD1AD3"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0.00</w:t>
            </w:r>
          </w:p>
        </w:tc>
        <w:tc>
          <w:tcPr>
            <w:tcW w:w="360" w:type="pct"/>
            <w:tcBorders>
              <w:top w:val="nil"/>
              <w:left w:val="nil"/>
              <w:bottom w:val="nil"/>
              <w:right w:val="single" w:sz="4" w:space="0" w:color="auto"/>
            </w:tcBorders>
            <w:shd w:val="clear" w:color="000000" w:fill="FFFFFF"/>
            <w:noWrap/>
            <w:vAlign w:val="bottom"/>
            <w:hideMark/>
          </w:tcPr>
          <w:p w14:paraId="418B0A56"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0.00</w:t>
            </w:r>
          </w:p>
        </w:tc>
        <w:tc>
          <w:tcPr>
            <w:tcW w:w="309" w:type="pct"/>
            <w:tcBorders>
              <w:top w:val="nil"/>
              <w:left w:val="nil"/>
              <w:bottom w:val="nil"/>
              <w:right w:val="double" w:sz="6" w:space="0" w:color="auto"/>
            </w:tcBorders>
            <w:shd w:val="clear" w:color="000000" w:fill="FFFFFF"/>
            <w:noWrap/>
            <w:vAlign w:val="bottom"/>
            <w:hideMark/>
          </w:tcPr>
          <w:p w14:paraId="0E185E7C"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0.00</w:t>
            </w:r>
          </w:p>
        </w:tc>
        <w:tc>
          <w:tcPr>
            <w:tcW w:w="357" w:type="pct"/>
            <w:tcBorders>
              <w:top w:val="nil"/>
              <w:left w:val="nil"/>
              <w:bottom w:val="nil"/>
              <w:right w:val="single" w:sz="4" w:space="0" w:color="auto"/>
            </w:tcBorders>
            <w:shd w:val="clear" w:color="000000" w:fill="FFFFFF"/>
            <w:noWrap/>
            <w:vAlign w:val="bottom"/>
            <w:hideMark/>
          </w:tcPr>
          <w:p w14:paraId="57ED7B56"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0.00</w:t>
            </w:r>
          </w:p>
        </w:tc>
        <w:tc>
          <w:tcPr>
            <w:tcW w:w="332" w:type="pct"/>
            <w:tcBorders>
              <w:top w:val="nil"/>
              <w:left w:val="nil"/>
              <w:bottom w:val="nil"/>
              <w:right w:val="double" w:sz="6" w:space="0" w:color="auto"/>
            </w:tcBorders>
            <w:shd w:val="clear" w:color="000000" w:fill="FFFFFF"/>
            <w:noWrap/>
            <w:vAlign w:val="bottom"/>
            <w:hideMark/>
          </w:tcPr>
          <w:p w14:paraId="4CA1663D"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0.00</w:t>
            </w:r>
          </w:p>
        </w:tc>
        <w:tc>
          <w:tcPr>
            <w:tcW w:w="357" w:type="pct"/>
            <w:tcBorders>
              <w:top w:val="nil"/>
              <w:left w:val="nil"/>
              <w:bottom w:val="nil"/>
              <w:right w:val="single" w:sz="4" w:space="0" w:color="auto"/>
            </w:tcBorders>
            <w:shd w:val="clear" w:color="000000" w:fill="FFFFFF"/>
            <w:noWrap/>
            <w:vAlign w:val="bottom"/>
            <w:hideMark/>
          </w:tcPr>
          <w:p w14:paraId="66DBFD63"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0.00</w:t>
            </w:r>
          </w:p>
        </w:tc>
        <w:tc>
          <w:tcPr>
            <w:tcW w:w="330" w:type="pct"/>
            <w:tcBorders>
              <w:top w:val="nil"/>
              <w:left w:val="nil"/>
              <w:bottom w:val="nil"/>
              <w:right w:val="double" w:sz="6" w:space="0" w:color="auto"/>
            </w:tcBorders>
            <w:shd w:val="clear" w:color="000000" w:fill="FFFFFF"/>
            <w:noWrap/>
            <w:vAlign w:val="bottom"/>
            <w:hideMark/>
          </w:tcPr>
          <w:p w14:paraId="2094A6E5"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0.00</w:t>
            </w:r>
          </w:p>
        </w:tc>
      </w:tr>
      <w:tr w:rsidR="00052499" w:rsidRPr="00555FBC" w14:paraId="7C7E6A2A" w14:textId="77777777" w:rsidTr="00052499">
        <w:trPr>
          <w:trHeight w:val="198"/>
        </w:trPr>
        <w:tc>
          <w:tcPr>
            <w:tcW w:w="2302" w:type="pct"/>
            <w:tcBorders>
              <w:top w:val="nil"/>
              <w:left w:val="double" w:sz="6" w:space="0" w:color="auto"/>
              <w:bottom w:val="nil"/>
              <w:right w:val="double" w:sz="6" w:space="0" w:color="auto"/>
            </w:tcBorders>
            <w:shd w:val="clear" w:color="000000" w:fill="FFFFFF"/>
            <w:vAlign w:val="center"/>
            <w:hideMark/>
          </w:tcPr>
          <w:p w14:paraId="22B86010" w14:textId="77777777" w:rsidR="00052499" w:rsidRPr="00555FBC" w:rsidRDefault="00052499" w:rsidP="00052499">
            <w:pPr>
              <w:spacing w:after="0" w:line="240" w:lineRule="auto"/>
              <w:rPr>
                <w:rFonts w:ascii="Calibri" w:eastAsia="Times New Roman" w:hAnsi="Calibri" w:cs="Calibri"/>
                <w:b/>
                <w:bCs/>
                <w:sz w:val="16"/>
                <w:szCs w:val="16"/>
              </w:rPr>
            </w:pPr>
            <w:r w:rsidRPr="00555FBC">
              <w:rPr>
                <w:rFonts w:ascii="Calibri" w:eastAsia="Times New Roman" w:hAnsi="Calibri" w:cs="Calibri"/>
                <w:b/>
                <w:bCs/>
                <w:sz w:val="16"/>
                <w:szCs w:val="16"/>
              </w:rPr>
              <w:t>Donacije i transferi</w:t>
            </w:r>
          </w:p>
        </w:tc>
        <w:tc>
          <w:tcPr>
            <w:tcW w:w="357" w:type="pct"/>
            <w:tcBorders>
              <w:top w:val="nil"/>
              <w:left w:val="nil"/>
              <w:bottom w:val="nil"/>
              <w:right w:val="single" w:sz="4" w:space="0" w:color="auto"/>
            </w:tcBorders>
            <w:shd w:val="clear" w:color="000000" w:fill="FFFFFF"/>
            <w:noWrap/>
            <w:vAlign w:val="bottom"/>
            <w:hideMark/>
          </w:tcPr>
          <w:p w14:paraId="164A0DC0"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65.81</w:t>
            </w:r>
          </w:p>
        </w:tc>
        <w:tc>
          <w:tcPr>
            <w:tcW w:w="296" w:type="pct"/>
            <w:tcBorders>
              <w:top w:val="nil"/>
              <w:left w:val="nil"/>
              <w:bottom w:val="double" w:sz="6" w:space="0" w:color="auto"/>
              <w:right w:val="double" w:sz="6" w:space="0" w:color="auto"/>
            </w:tcBorders>
            <w:shd w:val="clear" w:color="000000" w:fill="FFFFFF"/>
            <w:noWrap/>
            <w:vAlign w:val="bottom"/>
            <w:hideMark/>
          </w:tcPr>
          <w:p w14:paraId="31FE3141"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1.02</w:t>
            </w:r>
          </w:p>
        </w:tc>
        <w:tc>
          <w:tcPr>
            <w:tcW w:w="360" w:type="pct"/>
            <w:tcBorders>
              <w:top w:val="nil"/>
              <w:left w:val="nil"/>
              <w:bottom w:val="nil"/>
              <w:right w:val="single" w:sz="4" w:space="0" w:color="auto"/>
            </w:tcBorders>
            <w:shd w:val="clear" w:color="000000" w:fill="FFFFFF"/>
            <w:noWrap/>
            <w:vAlign w:val="bottom"/>
            <w:hideMark/>
          </w:tcPr>
          <w:p w14:paraId="7FB44E6B"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67.12</w:t>
            </w:r>
          </w:p>
        </w:tc>
        <w:tc>
          <w:tcPr>
            <w:tcW w:w="309" w:type="pct"/>
            <w:tcBorders>
              <w:top w:val="nil"/>
              <w:left w:val="nil"/>
              <w:bottom w:val="double" w:sz="6" w:space="0" w:color="auto"/>
              <w:right w:val="double" w:sz="6" w:space="0" w:color="auto"/>
            </w:tcBorders>
            <w:shd w:val="clear" w:color="000000" w:fill="FFFFFF"/>
            <w:noWrap/>
            <w:vAlign w:val="bottom"/>
            <w:hideMark/>
          </w:tcPr>
          <w:p w14:paraId="43316DD6"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0.95</w:t>
            </w:r>
          </w:p>
        </w:tc>
        <w:tc>
          <w:tcPr>
            <w:tcW w:w="357" w:type="pct"/>
            <w:tcBorders>
              <w:top w:val="nil"/>
              <w:left w:val="nil"/>
              <w:bottom w:val="nil"/>
              <w:right w:val="single" w:sz="4" w:space="0" w:color="auto"/>
            </w:tcBorders>
            <w:shd w:val="clear" w:color="000000" w:fill="FFFFFF"/>
            <w:noWrap/>
            <w:vAlign w:val="bottom"/>
            <w:hideMark/>
          </w:tcPr>
          <w:p w14:paraId="5A4F7419"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68.47</w:t>
            </w:r>
          </w:p>
        </w:tc>
        <w:tc>
          <w:tcPr>
            <w:tcW w:w="332" w:type="pct"/>
            <w:tcBorders>
              <w:top w:val="nil"/>
              <w:left w:val="nil"/>
              <w:bottom w:val="double" w:sz="6" w:space="0" w:color="auto"/>
              <w:right w:val="double" w:sz="6" w:space="0" w:color="auto"/>
            </w:tcBorders>
            <w:shd w:val="clear" w:color="000000" w:fill="FFFFFF"/>
            <w:noWrap/>
            <w:vAlign w:val="bottom"/>
            <w:hideMark/>
          </w:tcPr>
          <w:p w14:paraId="3525B641"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0.92</w:t>
            </w:r>
          </w:p>
        </w:tc>
        <w:tc>
          <w:tcPr>
            <w:tcW w:w="357" w:type="pct"/>
            <w:tcBorders>
              <w:top w:val="nil"/>
              <w:left w:val="nil"/>
              <w:bottom w:val="nil"/>
              <w:right w:val="single" w:sz="4" w:space="0" w:color="auto"/>
            </w:tcBorders>
            <w:shd w:val="clear" w:color="000000" w:fill="FFFFFF"/>
            <w:noWrap/>
            <w:vAlign w:val="bottom"/>
            <w:hideMark/>
          </w:tcPr>
          <w:p w14:paraId="02CDA6EC"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69.83</w:t>
            </w:r>
          </w:p>
        </w:tc>
        <w:tc>
          <w:tcPr>
            <w:tcW w:w="330" w:type="pct"/>
            <w:tcBorders>
              <w:top w:val="nil"/>
              <w:left w:val="nil"/>
              <w:bottom w:val="double" w:sz="6" w:space="0" w:color="auto"/>
              <w:right w:val="double" w:sz="6" w:space="0" w:color="auto"/>
            </w:tcBorders>
            <w:shd w:val="clear" w:color="000000" w:fill="FFFFFF"/>
            <w:noWrap/>
            <w:vAlign w:val="bottom"/>
            <w:hideMark/>
          </w:tcPr>
          <w:p w14:paraId="26894DE7"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0.94</w:t>
            </w:r>
          </w:p>
        </w:tc>
      </w:tr>
      <w:tr w:rsidR="00052499" w:rsidRPr="00555FBC" w14:paraId="355083D2" w14:textId="77777777" w:rsidTr="00052499">
        <w:trPr>
          <w:trHeight w:val="198"/>
        </w:trPr>
        <w:tc>
          <w:tcPr>
            <w:tcW w:w="2302" w:type="pct"/>
            <w:tcBorders>
              <w:top w:val="double" w:sz="6" w:space="0" w:color="auto"/>
              <w:left w:val="double" w:sz="6" w:space="0" w:color="auto"/>
              <w:bottom w:val="double" w:sz="6" w:space="0" w:color="auto"/>
              <w:right w:val="double" w:sz="6" w:space="0" w:color="auto"/>
            </w:tcBorders>
            <w:shd w:val="clear" w:color="000000" w:fill="D8E4BC"/>
            <w:noWrap/>
            <w:vAlign w:val="center"/>
            <w:hideMark/>
          </w:tcPr>
          <w:p w14:paraId="18BBB689" w14:textId="77777777" w:rsidR="00052499" w:rsidRPr="00555FBC" w:rsidRDefault="00052499" w:rsidP="00052499">
            <w:pPr>
              <w:spacing w:after="0" w:line="240" w:lineRule="auto"/>
              <w:rPr>
                <w:rFonts w:ascii="Calibri" w:eastAsia="Times New Roman" w:hAnsi="Calibri" w:cs="Calibri"/>
                <w:b/>
                <w:bCs/>
                <w:sz w:val="16"/>
                <w:szCs w:val="16"/>
              </w:rPr>
            </w:pPr>
            <w:r w:rsidRPr="00555FBC">
              <w:rPr>
                <w:rFonts w:ascii="Calibri" w:eastAsia="Times New Roman" w:hAnsi="Calibri" w:cs="Calibri"/>
                <w:b/>
                <w:bCs/>
                <w:sz w:val="16"/>
                <w:szCs w:val="16"/>
              </w:rPr>
              <w:t xml:space="preserve">Ukupni izdaci </w:t>
            </w:r>
          </w:p>
        </w:tc>
        <w:tc>
          <w:tcPr>
            <w:tcW w:w="357" w:type="pct"/>
            <w:tcBorders>
              <w:top w:val="double" w:sz="6" w:space="0" w:color="auto"/>
              <w:left w:val="nil"/>
              <w:bottom w:val="double" w:sz="6" w:space="0" w:color="auto"/>
              <w:right w:val="single" w:sz="4" w:space="0" w:color="auto"/>
            </w:tcBorders>
            <w:shd w:val="clear" w:color="000000" w:fill="D8E4BC"/>
            <w:noWrap/>
            <w:vAlign w:val="bottom"/>
            <w:hideMark/>
          </w:tcPr>
          <w:p w14:paraId="7456612F"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417.48</w:t>
            </w:r>
          </w:p>
        </w:tc>
        <w:tc>
          <w:tcPr>
            <w:tcW w:w="296" w:type="pct"/>
            <w:tcBorders>
              <w:top w:val="nil"/>
              <w:left w:val="nil"/>
              <w:bottom w:val="double" w:sz="6" w:space="0" w:color="auto"/>
              <w:right w:val="double" w:sz="6" w:space="0" w:color="auto"/>
            </w:tcBorders>
            <w:shd w:val="clear" w:color="000000" w:fill="D8E4BC"/>
            <w:noWrap/>
            <w:vAlign w:val="bottom"/>
            <w:hideMark/>
          </w:tcPr>
          <w:p w14:paraId="30DB49DA"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6.48</w:t>
            </w:r>
          </w:p>
        </w:tc>
        <w:tc>
          <w:tcPr>
            <w:tcW w:w="360" w:type="pct"/>
            <w:tcBorders>
              <w:top w:val="double" w:sz="6" w:space="0" w:color="auto"/>
              <w:left w:val="nil"/>
              <w:bottom w:val="double" w:sz="6" w:space="0" w:color="auto"/>
              <w:right w:val="single" w:sz="4" w:space="0" w:color="auto"/>
            </w:tcBorders>
            <w:shd w:val="clear" w:color="000000" w:fill="D8E4BC"/>
            <w:noWrap/>
            <w:vAlign w:val="bottom"/>
            <w:hideMark/>
          </w:tcPr>
          <w:p w14:paraId="67ACFABF"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406.10</w:t>
            </w:r>
          </w:p>
        </w:tc>
        <w:tc>
          <w:tcPr>
            <w:tcW w:w="309" w:type="pct"/>
            <w:tcBorders>
              <w:top w:val="nil"/>
              <w:left w:val="nil"/>
              <w:bottom w:val="double" w:sz="6" w:space="0" w:color="auto"/>
              <w:right w:val="double" w:sz="6" w:space="0" w:color="auto"/>
            </w:tcBorders>
            <w:shd w:val="clear" w:color="000000" w:fill="D8E4BC"/>
            <w:noWrap/>
            <w:vAlign w:val="bottom"/>
            <w:hideMark/>
          </w:tcPr>
          <w:p w14:paraId="721C6752"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5.77</w:t>
            </w:r>
          </w:p>
        </w:tc>
        <w:tc>
          <w:tcPr>
            <w:tcW w:w="357" w:type="pct"/>
            <w:tcBorders>
              <w:top w:val="double" w:sz="6" w:space="0" w:color="auto"/>
              <w:left w:val="nil"/>
              <w:bottom w:val="double" w:sz="6" w:space="0" w:color="auto"/>
              <w:right w:val="single" w:sz="4" w:space="0" w:color="auto"/>
            </w:tcBorders>
            <w:shd w:val="clear" w:color="000000" w:fill="D8E4BC"/>
            <w:noWrap/>
            <w:vAlign w:val="bottom"/>
            <w:hideMark/>
          </w:tcPr>
          <w:p w14:paraId="46B4B13F"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412.32</w:t>
            </w:r>
          </w:p>
        </w:tc>
        <w:tc>
          <w:tcPr>
            <w:tcW w:w="332" w:type="pct"/>
            <w:tcBorders>
              <w:top w:val="nil"/>
              <w:left w:val="nil"/>
              <w:bottom w:val="double" w:sz="6" w:space="0" w:color="auto"/>
              <w:right w:val="double" w:sz="6" w:space="0" w:color="auto"/>
            </w:tcBorders>
            <w:shd w:val="clear" w:color="000000" w:fill="D8E4BC"/>
            <w:noWrap/>
            <w:vAlign w:val="bottom"/>
            <w:hideMark/>
          </w:tcPr>
          <w:p w14:paraId="1D008C7D"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5.55</w:t>
            </w:r>
          </w:p>
        </w:tc>
        <w:tc>
          <w:tcPr>
            <w:tcW w:w="357" w:type="pct"/>
            <w:tcBorders>
              <w:top w:val="double" w:sz="6" w:space="0" w:color="auto"/>
              <w:left w:val="nil"/>
              <w:bottom w:val="double" w:sz="6" w:space="0" w:color="auto"/>
              <w:right w:val="single" w:sz="4" w:space="0" w:color="auto"/>
            </w:tcBorders>
            <w:shd w:val="clear" w:color="000000" w:fill="D8E4BC"/>
            <w:noWrap/>
            <w:vAlign w:val="bottom"/>
            <w:hideMark/>
          </w:tcPr>
          <w:p w14:paraId="391A5FA4"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422.65</w:t>
            </w:r>
          </w:p>
        </w:tc>
        <w:tc>
          <w:tcPr>
            <w:tcW w:w="330" w:type="pct"/>
            <w:tcBorders>
              <w:top w:val="nil"/>
              <w:left w:val="nil"/>
              <w:bottom w:val="double" w:sz="6" w:space="0" w:color="auto"/>
              <w:right w:val="double" w:sz="6" w:space="0" w:color="auto"/>
            </w:tcBorders>
            <w:shd w:val="clear" w:color="000000" w:fill="D8E4BC"/>
            <w:noWrap/>
            <w:vAlign w:val="bottom"/>
            <w:hideMark/>
          </w:tcPr>
          <w:p w14:paraId="43D3F450"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5.69</w:t>
            </w:r>
          </w:p>
        </w:tc>
      </w:tr>
      <w:tr w:rsidR="00052499" w:rsidRPr="00555FBC" w14:paraId="72555850" w14:textId="77777777" w:rsidTr="00052499">
        <w:trPr>
          <w:trHeight w:val="198"/>
        </w:trPr>
        <w:tc>
          <w:tcPr>
            <w:tcW w:w="2302" w:type="pct"/>
            <w:tcBorders>
              <w:top w:val="nil"/>
              <w:left w:val="double" w:sz="6" w:space="0" w:color="auto"/>
              <w:bottom w:val="double" w:sz="6" w:space="0" w:color="auto"/>
              <w:right w:val="double" w:sz="6" w:space="0" w:color="auto"/>
            </w:tcBorders>
            <w:shd w:val="clear" w:color="000000" w:fill="D8E4BC"/>
            <w:noWrap/>
            <w:vAlign w:val="center"/>
            <w:hideMark/>
          </w:tcPr>
          <w:p w14:paraId="6CDDD233" w14:textId="77777777" w:rsidR="00052499" w:rsidRPr="00555FBC" w:rsidRDefault="00052499" w:rsidP="00052499">
            <w:pPr>
              <w:spacing w:after="0" w:line="240" w:lineRule="auto"/>
              <w:rPr>
                <w:rFonts w:ascii="Calibri" w:eastAsia="Times New Roman" w:hAnsi="Calibri" w:cs="Calibri"/>
                <w:b/>
                <w:bCs/>
                <w:sz w:val="16"/>
                <w:szCs w:val="16"/>
              </w:rPr>
            </w:pPr>
            <w:r w:rsidRPr="00555FBC">
              <w:rPr>
                <w:rFonts w:ascii="Calibri" w:eastAsia="Times New Roman" w:hAnsi="Calibri" w:cs="Calibri"/>
                <w:b/>
                <w:bCs/>
                <w:sz w:val="16"/>
                <w:szCs w:val="16"/>
              </w:rPr>
              <w:t>Tekuća budžetska potrošnja</w:t>
            </w:r>
          </w:p>
        </w:tc>
        <w:tc>
          <w:tcPr>
            <w:tcW w:w="357" w:type="pct"/>
            <w:tcBorders>
              <w:top w:val="nil"/>
              <w:left w:val="nil"/>
              <w:bottom w:val="double" w:sz="6" w:space="0" w:color="auto"/>
              <w:right w:val="single" w:sz="4" w:space="0" w:color="auto"/>
            </w:tcBorders>
            <w:shd w:val="clear" w:color="000000" w:fill="D8E4BC"/>
            <w:noWrap/>
            <w:vAlign w:val="bottom"/>
            <w:hideMark/>
          </w:tcPr>
          <w:p w14:paraId="14D5D03D"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220.09</w:t>
            </w:r>
          </w:p>
        </w:tc>
        <w:tc>
          <w:tcPr>
            <w:tcW w:w="296" w:type="pct"/>
            <w:tcBorders>
              <w:top w:val="nil"/>
              <w:left w:val="nil"/>
              <w:bottom w:val="double" w:sz="6" w:space="0" w:color="auto"/>
              <w:right w:val="double" w:sz="6" w:space="0" w:color="auto"/>
            </w:tcBorders>
            <w:shd w:val="clear" w:color="000000" w:fill="D8E4BC"/>
            <w:noWrap/>
            <w:vAlign w:val="bottom"/>
            <w:hideMark/>
          </w:tcPr>
          <w:p w14:paraId="69A2623D"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3.41</w:t>
            </w:r>
          </w:p>
        </w:tc>
        <w:tc>
          <w:tcPr>
            <w:tcW w:w="360" w:type="pct"/>
            <w:tcBorders>
              <w:top w:val="nil"/>
              <w:left w:val="nil"/>
              <w:bottom w:val="double" w:sz="6" w:space="0" w:color="auto"/>
              <w:right w:val="single" w:sz="4" w:space="0" w:color="auto"/>
            </w:tcBorders>
            <w:shd w:val="clear" w:color="000000" w:fill="D8E4BC"/>
            <w:noWrap/>
            <w:vAlign w:val="bottom"/>
            <w:hideMark/>
          </w:tcPr>
          <w:p w14:paraId="159FB333"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226.62</w:t>
            </w:r>
          </w:p>
        </w:tc>
        <w:tc>
          <w:tcPr>
            <w:tcW w:w="309" w:type="pct"/>
            <w:tcBorders>
              <w:top w:val="nil"/>
              <w:left w:val="nil"/>
              <w:bottom w:val="double" w:sz="6" w:space="0" w:color="auto"/>
              <w:right w:val="double" w:sz="6" w:space="0" w:color="auto"/>
            </w:tcBorders>
            <w:shd w:val="clear" w:color="000000" w:fill="D8E4BC"/>
            <w:noWrap/>
            <w:vAlign w:val="bottom"/>
            <w:hideMark/>
          </w:tcPr>
          <w:p w14:paraId="2AAA7ABA"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3.22</w:t>
            </w:r>
          </w:p>
        </w:tc>
        <w:tc>
          <w:tcPr>
            <w:tcW w:w="357" w:type="pct"/>
            <w:tcBorders>
              <w:top w:val="nil"/>
              <w:left w:val="nil"/>
              <w:bottom w:val="double" w:sz="6" w:space="0" w:color="auto"/>
              <w:right w:val="single" w:sz="4" w:space="0" w:color="auto"/>
            </w:tcBorders>
            <w:shd w:val="clear" w:color="000000" w:fill="D8E4BC"/>
            <w:noWrap/>
            <w:vAlign w:val="bottom"/>
            <w:hideMark/>
          </w:tcPr>
          <w:p w14:paraId="69330B2F"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230.54</w:t>
            </w:r>
          </w:p>
        </w:tc>
        <w:tc>
          <w:tcPr>
            <w:tcW w:w="332" w:type="pct"/>
            <w:tcBorders>
              <w:top w:val="nil"/>
              <w:left w:val="nil"/>
              <w:bottom w:val="double" w:sz="6" w:space="0" w:color="auto"/>
              <w:right w:val="double" w:sz="6" w:space="0" w:color="auto"/>
            </w:tcBorders>
            <w:shd w:val="clear" w:color="000000" w:fill="D8E4BC"/>
            <w:noWrap/>
            <w:vAlign w:val="bottom"/>
            <w:hideMark/>
          </w:tcPr>
          <w:p w14:paraId="6640ED34"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3.11</w:t>
            </w:r>
          </w:p>
        </w:tc>
        <w:tc>
          <w:tcPr>
            <w:tcW w:w="357" w:type="pct"/>
            <w:tcBorders>
              <w:top w:val="nil"/>
              <w:left w:val="nil"/>
              <w:bottom w:val="double" w:sz="6" w:space="0" w:color="auto"/>
              <w:right w:val="single" w:sz="4" w:space="0" w:color="auto"/>
            </w:tcBorders>
            <w:shd w:val="clear" w:color="000000" w:fill="D8E4BC"/>
            <w:noWrap/>
            <w:vAlign w:val="bottom"/>
            <w:hideMark/>
          </w:tcPr>
          <w:p w14:paraId="63D8C9A4"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234.36</w:t>
            </w:r>
          </w:p>
        </w:tc>
        <w:tc>
          <w:tcPr>
            <w:tcW w:w="330" w:type="pct"/>
            <w:tcBorders>
              <w:top w:val="nil"/>
              <w:left w:val="nil"/>
              <w:bottom w:val="double" w:sz="6" w:space="0" w:color="auto"/>
              <w:right w:val="double" w:sz="6" w:space="0" w:color="auto"/>
            </w:tcBorders>
            <w:shd w:val="clear" w:color="000000" w:fill="D8E4BC"/>
            <w:noWrap/>
            <w:vAlign w:val="bottom"/>
            <w:hideMark/>
          </w:tcPr>
          <w:p w14:paraId="0EBC8C0C"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3.16</w:t>
            </w:r>
          </w:p>
        </w:tc>
      </w:tr>
      <w:tr w:rsidR="00052499" w:rsidRPr="00555FBC" w14:paraId="2ED1A61F" w14:textId="77777777" w:rsidTr="00052499">
        <w:trPr>
          <w:trHeight w:val="198"/>
        </w:trPr>
        <w:tc>
          <w:tcPr>
            <w:tcW w:w="2302" w:type="pct"/>
            <w:tcBorders>
              <w:top w:val="nil"/>
              <w:left w:val="double" w:sz="6" w:space="0" w:color="auto"/>
              <w:bottom w:val="nil"/>
              <w:right w:val="double" w:sz="6" w:space="0" w:color="auto"/>
            </w:tcBorders>
            <w:shd w:val="clear" w:color="000000" w:fill="FFFFFF"/>
            <w:vAlign w:val="center"/>
            <w:hideMark/>
          </w:tcPr>
          <w:p w14:paraId="4F29D87E" w14:textId="77777777" w:rsidR="00052499" w:rsidRPr="00555FBC" w:rsidRDefault="00052499" w:rsidP="00052499">
            <w:pPr>
              <w:spacing w:after="0" w:line="240" w:lineRule="auto"/>
              <w:rPr>
                <w:rFonts w:ascii="Calibri" w:eastAsia="Times New Roman" w:hAnsi="Calibri" w:cs="Calibri"/>
                <w:b/>
                <w:bCs/>
                <w:sz w:val="16"/>
                <w:szCs w:val="16"/>
              </w:rPr>
            </w:pPr>
            <w:r w:rsidRPr="00555FBC">
              <w:rPr>
                <w:rFonts w:ascii="Calibri" w:eastAsia="Times New Roman" w:hAnsi="Calibri" w:cs="Calibri"/>
                <w:b/>
                <w:bCs/>
                <w:sz w:val="16"/>
                <w:szCs w:val="16"/>
              </w:rPr>
              <w:t>Tekući izdaci</w:t>
            </w:r>
          </w:p>
        </w:tc>
        <w:tc>
          <w:tcPr>
            <w:tcW w:w="357" w:type="pct"/>
            <w:tcBorders>
              <w:top w:val="nil"/>
              <w:left w:val="nil"/>
              <w:bottom w:val="nil"/>
              <w:right w:val="single" w:sz="4" w:space="0" w:color="auto"/>
            </w:tcBorders>
            <w:shd w:val="clear" w:color="000000" w:fill="FFFFFF"/>
            <w:noWrap/>
            <w:vAlign w:val="bottom"/>
            <w:hideMark/>
          </w:tcPr>
          <w:p w14:paraId="1363351D"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127.55</w:t>
            </w:r>
          </w:p>
        </w:tc>
        <w:tc>
          <w:tcPr>
            <w:tcW w:w="296" w:type="pct"/>
            <w:tcBorders>
              <w:top w:val="nil"/>
              <w:left w:val="nil"/>
              <w:bottom w:val="nil"/>
              <w:right w:val="double" w:sz="6" w:space="0" w:color="auto"/>
            </w:tcBorders>
            <w:shd w:val="clear" w:color="000000" w:fill="FFFFFF"/>
            <w:noWrap/>
            <w:vAlign w:val="bottom"/>
            <w:hideMark/>
          </w:tcPr>
          <w:p w14:paraId="5FF95D1E"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1.98</w:t>
            </w:r>
          </w:p>
        </w:tc>
        <w:tc>
          <w:tcPr>
            <w:tcW w:w="360" w:type="pct"/>
            <w:tcBorders>
              <w:top w:val="nil"/>
              <w:left w:val="nil"/>
              <w:bottom w:val="nil"/>
              <w:right w:val="single" w:sz="4" w:space="0" w:color="auto"/>
            </w:tcBorders>
            <w:shd w:val="clear" w:color="000000" w:fill="FFFFFF"/>
            <w:noWrap/>
            <w:vAlign w:val="bottom"/>
            <w:hideMark/>
          </w:tcPr>
          <w:p w14:paraId="7C7641F4"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133.18</w:t>
            </w:r>
          </w:p>
        </w:tc>
        <w:tc>
          <w:tcPr>
            <w:tcW w:w="309" w:type="pct"/>
            <w:tcBorders>
              <w:top w:val="nil"/>
              <w:left w:val="nil"/>
              <w:bottom w:val="nil"/>
              <w:right w:val="double" w:sz="6" w:space="0" w:color="auto"/>
            </w:tcBorders>
            <w:shd w:val="clear" w:color="000000" w:fill="FFFFFF"/>
            <w:noWrap/>
            <w:vAlign w:val="bottom"/>
            <w:hideMark/>
          </w:tcPr>
          <w:p w14:paraId="5FCD29B8"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1.89</w:t>
            </w:r>
          </w:p>
        </w:tc>
        <w:tc>
          <w:tcPr>
            <w:tcW w:w="357" w:type="pct"/>
            <w:tcBorders>
              <w:top w:val="nil"/>
              <w:left w:val="nil"/>
              <w:bottom w:val="nil"/>
              <w:right w:val="single" w:sz="4" w:space="0" w:color="auto"/>
            </w:tcBorders>
            <w:shd w:val="clear" w:color="000000" w:fill="FFFFFF"/>
            <w:noWrap/>
            <w:vAlign w:val="bottom"/>
            <w:hideMark/>
          </w:tcPr>
          <w:p w14:paraId="5CC67041"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136.20</w:t>
            </w:r>
          </w:p>
        </w:tc>
        <w:tc>
          <w:tcPr>
            <w:tcW w:w="332" w:type="pct"/>
            <w:tcBorders>
              <w:top w:val="nil"/>
              <w:left w:val="nil"/>
              <w:bottom w:val="nil"/>
              <w:right w:val="double" w:sz="6" w:space="0" w:color="auto"/>
            </w:tcBorders>
            <w:shd w:val="clear" w:color="000000" w:fill="FFFFFF"/>
            <w:noWrap/>
            <w:vAlign w:val="bottom"/>
            <w:hideMark/>
          </w:tcPr>
          <w:p w14:paraId="43CD437B"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1.83</w:t>
            </w:r>
          </w:p>
        </w:tc>
        <w:tc>
          <w:tcPr>
            <w:tcW w:w="357" w:type="pct"/>
            <w:tcBorders>
              <w:top w:val="nil"/>
              <w:left w:val="nil"/>
              <w:bottom w:val="nil"/>
              <w:right w:val="single" w:sz="4" w:space="0" w:color="auto"/>
            </w:tcBorders>
            <w:shd w:val="clear" w:color="000000" w:fill="FFFFFF"/>
            <w:noWrap/>
            <w:vAlign w:val="bottom"/>
            <w:hideMark/>
          </w:tcPr>
          <w:p w14:paraId="34A2A5AB"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139.07</w:t>
            </w:r>
          </w:p>
        </w:tc>
        <w:tc>
          <w:tcPr>
            <w:tcW w:w="330" w:type="pct"/>
            <w:tcBorders>
              <w:top w:val="nil"/>
              <w:left w:val="nil"/>
              <w:bottom w:val="nil"/>
              <w:right w:val="double" w:sz="6" w:space="0" w:color="auto"/>
            </w:tcBorders>
            <w:shd w:val="clear" w:color="000000" w:fill="FFFFFF"/>
            <w:noWrap/>
            <w:vAlign w:val="bottom"/>
            <w:hideMark/>
          </w:tcPr>
          <w:p w14:paraId="5EBA5EBF"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1.87</w:t>
            </w:r>
          </w:p>
        </w:tc>
      </w:tr>
      <w:tr w:rsidR="00052499" w:rsidRPr="00555FBC" w14:paraId="21A5A431" w14:textId="77777777" w:rsidTr="00052499">
        <w:trPr>
          <w:trHeight w:val="198"/>
        </w:trPr>
        <w:tc>
          <w:tcPr>
            <w:tcW w:w="2302" w:type="pct"/>
            <w:tcBorders>
              <w:top w:val="nil"/>
              <w:left w:val="double" w:sz="6" w:space="0" w:color="auto"/>
              <w:bottom w:val="nil"/>
              <w:right w:val="double" w:sz="6" w:space="0" w:color="auto"/>
            </w:tcBorders>
            <w:shd w:val="clear" w:color="000000" w:fill="FFFFFF"/>
            <w:vAlign w:val="center"/>
            <w:hideMark/>
          </w:tcPr>
          <w:p w14:paraId="3BDEB9D8" w14:textId="77777777" w:rsidR="00052499" w:rsidRPr="00555FBC" w:rsidRDefault="00052499" w:rsidP="00052499">
            <w:pPr>
              <w:spacing w:after="0" w:line="240" w:lineRule="auto"/>
              <w:rPr>
                <w:rFonts w:ascii="Calibri" w:eastAsia="Times New Roman" w:hAnsi="Calibri" w:cs="Calibri"/>
                <w:b/>
                <w:bCs/>
                <w:sz w:val="16"/>
                <w:szCs w:val="16"/>
              </w:rPr>
            </w:pPr>
            <w:r w:rsidRPr="00555FBC">
              <w:rPr>
                <w:rFonts w:ascii="Calibri" w:eastAsia="Times New Roman" w:hAnsi="Calibri" w:cs="Calibri"/>
                <w:b/>
                <w:bCs/>
                <w:sz w:val="16"/>
                <w:szCs w:val="16"/>
              </w:rPr>
              <w:t>Bruto zarade i doprinosi na teret poslodavca</w:t>
            </w:r>
          </w:p>
        </w:tc>
        <w:tc>
          <w:tcPr>
            <w:tcW w:w="357" w:type="pct"/>
            <w:tcBorders>
              <w:top w:val="nil"/>
              <w:left w:val="nil"/>
              <w:bottom w:val="nil"/>
              <w:right w:val="single" w:sz="4" w:space="0" w:color="auto"/>
            </w:tcBorders>
            <w:shd w:val="clear" w:color="000000" w:fill="FFFFFF"/>
            <w:noWrap/>
            <w:vAlign w:val="bottom"/>
            <w:hideMark/>
          </w:tcPr>
          <w:p w14:paraId="6A8C715A"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69.51</w:t>
            </w:r>
          </w:p>
        </w:tc>
        <w:tc>
          <w:tcPr>
            <w:tcW w:w="296" w:type="pct"/>
            <w:tcBorders>
              <w:top w:val="nil"/>
              <w:left w:val="nil"/>
              <w:bottom w:val="nil"/>
              <w:right w:val="double" w:sz="6" w:space="0" w:color="auto"/>
            </w:tcBorders>
            <w:shd w:val="clear" w:color="000000" w:fill="FFFFFF"/>
            <w:noWrap/>
            <w:vAlign w:val="bottom"/>
            <w:hideMark/>
          </w:tcPr>
          <w:p w14:paraId="28E57A64"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1.08</w:t>
            </w:r>
          </w:p>
        </w:tc>
        <w:tc>
          <w:tcPr>
            <w:tcW w:w="360" w:type="pct"/>
            <w:tcBorders>
              <w:top w:val="nil"/>
              <w:left w:val="nil"/>
              <w:bottom w:val="nil"/>
              <w:right w:val="single" w:sz="4" w:space="0" w:color="auto"/>
            </w:tcBorders>
            <w:shd w:val="clear" w:color="000000" w:fill="FFFFFF"/>
            <w:noWrap/>
            <w:vAlign w:val="bottom"/>
            <w:hideMark/>
          </w:tcPr>
          <w:p w14:paraId="06950900"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73.55</w:t>
            </w:r>
          </w:p>
        </w:tc>
        <w:tc>
          <w:tcPr>
            <w:tcW w:w="309" w:type="pct"/>
            <w:tcBorders>
              <w:top w:val="nil"/>
              <w:left w:val="nil"/>
              <w:bottom w:val="nil"/>
              <w:right w:val="double" w:sz="6" w:space="0" w:color="auto"/>
            </w:tcBorders>
            <w:shd w:val="clear" w:color="000000" w:fill="FFFFFF"/>
            <w:noWrap/>
            <w:vAlign w:val="bottom"/>
            <w:hideMark/>
          </w:tcPr>
          <w:p w14:paraId="1E870118"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1.05</w:t>
            </w:r>
          </w:p>
        </w:tc>
        <w:tc>
          <w:tcPr>
            <w:tcW w:w="357" w:type="pct"/>
            <w:tcBorders>
              <w:top w:val="nil"/>
              <w:left w:val="nil"/>
              <w:bottom w:val="nil"/>
              <w:right w:val="single" w:sz="4" w:space="0" w:color="auto"/>
            </w:tcBorders>
            <w:shd w:val="clear" w:color="000000" w:fill="FFFFFF"/>
            <w:noWrap/>
            <w:vAlign w:val="bottom"/>
            <w:hideMark/>
          </w:tcPr>
          <w:p w14:paraId="3C41C31F"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74.29</w:t>
            </w:r>
          </w:p>
        </w:tc>
        <w:tc>
          <w:tcPr>
            <w:tcW w:w="332" w:type="pct"/>
            <w:tcBorders>
              <w:top w:val="nil"/>
              <w:left w:val="nil"/>
              <w:bottom w:val="nil"/>
              <w:right w:val="double" w:sz="6" w:space="0" w:color="auto"/>
            </w:tcBorders>
            <w:shd w:val="clear" w:color="000000" w:fill="FFFFFF"/>
            <w:noWrap/>
            <w:vAlign w:val="bottom"/>
            <w:hideMark/>
          </w:tcPr>
          <w:p w14:paraId="41E74817"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1.00</w:t>
            </w:r>
          </w:p>
        </w:tc>
        <w:tc>
          <w:tcPr>
            <w:tcW w:w="357" w:type="pct"/>
            <w:tcBorders>
              <w:top w:val="nil"/>
              <w:left w:val="nil"/>
              <w:bottom w:val="nil"/>
              <w:right w:val="single" w:sz="4" w:space="0" w:color="auto"/>
            </w:tcBorders>
            <w:shd w:val="clear" w:color="000000" w:fill="FFFFFF"/>
            <w:noWrap/>
            <w:vAlign w:val="bottom"/>
            <w:hideMark/>
          </w:tcPr>
          <w:p w14:paraId="60C56D4D"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75.03</w:t>
            </w:r>
          </w:p>
        </w:tc>
        <w:tc>
          <w:tcPr>
            <w:tcW w:w="330" w:type="pct"/>
            <w:tcBorders>
              <w:top w:val="nil"/>
              <w:left w:val="nil"/>
              <w:bottom w:val="nil"/>
              <w:right w:val="double" w:sz="6" w:space="0" w:color="auto"/>
            </w:tcBorders>
            <w:shd w:val="clear" w:color="000000" w:fill="FFFFFF"/>
            <w:noWrap/>
            <w:vAlign w:val="bottom"/>
            <w:hideMark/>
          </w:tcPr>
          <w:p w14:paraId="10FEFFBD"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1.01</w:t>
            </w:r>
          </w:p>
        </w:tc>
      </w:tr>
      <w:tr w:rsidR="00052499" w:rsidRPr="00555FBC" w14:paraId="6AA43706" w14:textId="77777777" w:rsidTr="00052499">
        <w:trPr>
          <w:trHeight w:val="198"/>
        </w:trPr>
        <w:tc>
          <w:tcPr>
            <w:tcW w:w="2302" w:type="pct"/>
            <w:tcBorders>
              <w:top w:val="nil"/>
              <w:left w:val="double" w:sz="6" w:space="0" w:color="auto"/>
              <w:bottom w:val="nil"/>
              <w:right w:val="double" w:sz="6" w:space="0" w:color="auto"/>
            </w:tcBorders>
            <w:shd w:val="clear" w:color="000000" w:fill="FFFFFF"/>
            <w:vAlign w:val="center"/>
            <w:hideMark/>
          </w:tcPr>
          <w:p w14:paraId="6A98BDEB" w14:textId="77777777" w:rsidR="00052499" w:rsidRPr="00555FBC" w:rsidRDefault="00052499" w:rsidP="00052499">
            <w:pPr>
              <w:spacing w:after="0" w:line="240" w:lineRule="auto"/>
              <w:rPr>
                <w:rFonts w:ascii="Calibri" w:eastAsia="Times New Roman" w:hAnsi="Calibri" w:cs="Calibri"/>
                <w:b/>
                <w:bCs/>
                <w:sz w:val="16"/>
                <w:szCs w:val="16"/>
              </w:rPr>
            </w:pPr>
            <w:r w:rsidRPr="00555FBC">
              <w:rPr>
                <w:rFonts w:ascii="Calibri" w:eastAsia="Times New Roman" w:hAnsi="Calibri" w:cs="Calibri"/>
                <w:b/>
                <w:bCs/>
                <w:sz w:val="16"/>
                <w:szCs w:val="16"/>
              </w:rPr>
              <w:t>Ostala lična primanja</w:t>
            </w:r>
          </w:p>
        </w:tc>
        <w:tc>
          <w:tcPr>
            <w:tcW w:w="357" w:type="pct"/>
            <w:tcBorders>
              <w:top w:val="nil"/>
              <w:left w:val="nil"/>
              <w:bottom w:val="nil"/>
              <w:right w:val="single" w:sz="4" w:space="0" w:color="auto"/>
            </w:tcBorders>
            <w:shd w:val="clear" w:color="000000" w:fill="FFFFFF"/>
            <w:noWrap/>
            <w:vAlign w:val="bottom"/>
            <w:hideMark/>
          </w:tcPr>
          <w:p w14:paraId="00BAE393"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5.61</w:t>
            </w:r>
          </w:p>
        </w:tc>
        <w:tc>
          <w:tcPr>
            <w:tcW w:w="296" w:type="pct"/>
            <w:tcBorders>
              <w:top w:val="nil"/>
              <w:left w:val="nil"/>
              <w:bottom w:val="nil"/>
              <w:right w:val="double" w:sz="6" w:space="0" w:color="auto"/>
            </w:tcBorders>
            <w:shd w:val="clear" w:color="000000" w:fill="FFFFFF"/>
            <w:noWrap/>
            <w:vAlign w:val="bottom"/>
            <w:hideMark/>
          </w:tcPr>
          <w:p w14:paraId="1CB933E7"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0.09</w:t>
            </w:r>
          </w:p>
        </w:tc>
        <w:tc>
          <w:tcPr>
            <w:tcW w:w="360" w:type="pct"/>
            <w:tcBorders>
              <w:top w:val="nil"/>
              <w:left w:val="nil"/>
              <w:bottom w:val="nil"/>
              <w:right w:val="single" w:sz="4" w:space="0" w:color="auto"/>
            </w:tcBorders>
            <w:shd w:val="clear" w:color="000000" w:fill="FFFFFF"/>
            <w:noWrap/>
            <w:vAlign w:val="bottom"/>
            <w:hideMark/>
          </w:tcPr>
          <w:p w14:paraId="0808F2EC"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5.61</w:t>
            </w:r>
          </w:p>
        </w:tc>
        <w:tc>
          <w:tcPr>
            <w:tcW w:w="309" w:type="pct"/>
            <w:tcBorders>
              <w:top w:val="nil"/>
              <w:left w:val="nil"/>
              <w:bottom w:val="nil"/>
              <w:right w:val="double" w:sz="6" w:space="0" w:color="auto"/>
            </w:tcBorders>
            <w:shd w:val="clear" w:color="000000" w:fill="FFFFFF"/>
            <w:noWrap/>
            <w:vAlign w:val="bottom"/>
            <w:hideMark/>
          </w:tcPr>
          <w:p w14:paraId="5A5C0A15"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0.08</w:t>
            </w:r>
          </w:p>
        </w:tc>
        <w:tc>
          <w:tcPr>
            <w:tcW w:w="357" w:type="pct"/>
            <w:tcBorders>
              <w:top w:val="nil"/>
              <w:left w:val="nil"/>
              <w:bottom w:val="nil"/>
              <w:right w:val="single" w:sz="4" w:space="0" w:color="auto"/>
            </w:tcBorders>
            <w:shd w:val="clear" w:color="000000" w:fill="FFFFFF"/>
            <w:noWrap/>
            <w:vAlign w:val="bottom"/>
            <w:hideMark/>
          </w:tcPr>
          <w:p w14:paraId="17FBAE9F"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5.67</w:t>
            </w:r>
          </w:p>
        </w:tc>
        <w:tc>
          <w:tcPr>
            <w:tcW w:w="332" w:type="pct"/>
            <w:tcBorders>
              <w:top w:val="nil"/>
              <w:left w:val="nil"/>
              <w:bottom w:val="nil"/>
              <w:right w:val="double" w:sz="6" w:space="0" w:color="auto"/>
            </w:tcBorders>
            <w:shd w:val="clear" w:color="000000" w:fill="FFFFFF"/>
            <w:noWrap/>
            <w:vAlign w:val="bottom"/>
            <w:hideMark/>
          </w:tcPr>
          <w:p w14:paraId="2D66C39C"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0.08</w:t>
            </w:r>
          </w:p>
        </w:tc>
        <w:tc>
          <w:tcPr>
            <w:tcW w:w="357" w:type="pct"/>
            <w:tcBorders>
              <w:top w:val="nil"/>
              <w:left w:val="nil"/>
              <w:bottom w:val="nil"/>
              <w:right w:val="single" w:sz="4" w:space="0" w:color="auto"/>
            </w:tcBorders>
            <w:shd w:val="clear" w:color="000000" w:fill="FFFFFF"/>
            <w:noWrap/>
            <w:vAlign w:val="bottom"/>
            <w:hideMark/>
          </w:tcPr>
          <w:p w14:paraId="5A6AF3D7"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5.90</w:t>
            </w:r>
          </w:p>
        </w:tc>
        <w:tc>
          <w:tcPr>
            <w:tcW w:w="330" w:type="pct"/>
            <w:tcBorders>
              <w:top w:val="nil"/>
              <w:left w:val="nil"/>
              <w:bottom w:val="nil"/>
              <w:right w:val="double" w:sz="6" w:space="0" w:color="auto"/>
            </w:tcBorders>
            <w:shd w:val="clear" w:color="000000" w:fill="FFFFFF"/>
            <w:noWrap/>
            <w:vAlign w:val="bottom"/>
            <w:hideMark/>
          </w:tcPr>
          <w:p w14:paraId="54195379"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0.08</w:t>
            </w:r>
          </w:p>
        </w:tc>
      </w:tr>
      <w:tr w:rsidR="00052499" w:rsidRPr="00555FBC" w14:paraId="35BAFBAC" w14:textId="77777777" w:rsidTr="00052499">
        <w:trPr>
          <w:trHeight w:val="198"/>
        </w:trPr>
        <w:tc>
          <w:tcPr>
            <w:tcW w:w="2302" w:type="pct"/>
            <w:tcBorders>
              <w:top w:val="nil"/>
              <w:left w:val="double" w:sz="6" w:space="0" w:color="auto"/>
              <w:bottom w:val="nil"/>
              <w:right w:val="double" w:sz="6" w:space="0" w:color="auto"/>
            </w:tcBorders>
            <w:shd w:val="clear" w:color="000000" w:fill="FFFFFF"/>
            <w:vAlign w:val="center"/>
            <w:hideMark/>
          </w:tcPr>
          <w:p w14:paraId="38DFDADD" w14:textId="77777777" w:rsidR="00052499" w:rsidRPr="00555FBC" w:rsidRDefault="00052499" w:rsidP="00052499">
            <w:pPr>
              <w:spacing w:after="0" w:line="240" w:lineRule="auto"/>
              <w:rPr>
                <w:rFonts w:ascii="Calibri" w:eastAsia="Times New Roman" w:hAnsi="Calibri" w:cs="Calibri"/>
                <w:b/>
                <w:bCs/>
                <w:sz w:val="16"/>
                <w:szCs w:val="16"/>
              </w:rPr>
            </w:pPr>
            <w:r w:rsidRPr="00555FBC">
              <w:rPr>
                <w:rFonts w:ascii="Calibri" w:eastAsia="Times New Roman" w:hAnsi="Calibri" w:cs="Calibri"/>
                <w:b/>
                <w:bCs/>
                <w:sz w:val="16"/>
                <w:szCs w:val="16"/>
              </w:rPr>
              <w:t>Rashodi za materijal i usluge</w:t>
            </w:r>
          </w:p>
        </w:tc>
        <w:tc>
          <w:tcPr>
            <w:tcW w:w="357" w:type="pct"/>
            <w:tcBorders>
              <w:top w:val="nil"/>
              <w:left w:val="nil"/>
              <w:bottom w:val="nil"/>
              <w:right w:val="single" w:sz="4" w:space="0" w:color="auto"/>
            </w:tcBorders>
            <w:shd w:val="clear" w:color="000000" w:fill="FFFFFF"/>
            <w:noWrap/>
            <w:vAlign w:val="bottom"/>
            <w:hideMark/>
          </w:tcPr>
          <w:p w14:paraId="7EDC2985"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24.63</w:t>
            </w:r>
          </w:p>
        </w:tc>
        <w:tc>
          <w:tcPr>
            <w:tcW w:w="296" w:type="pct"/>
            <w:tcBorders>
              <w:top w:val="nil"/>
              <w:left w:val="nil"/>
              <w:bottom w:val="nil"/>
              <w:right w:val="double" w:sz="6" w:space="0" w:color="auto"/>
            </w:tcBorders>
            <w:shd w:val="clear" w:color="000000" w:fill="FFFFFF"/>
            <w:noWrap/>
            <w:vAlign w:val="bottom"/>
            <w:hideMark/>
          </w:tcPr>
          <w:p w14:paraId="5F31E054"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0.38</w:t>
            </w:r>
          </w:p>
        </w:tc>
        <w:tc>
          <w:tcPr>
            <w:tcW w:w="360" w:type="pct"/>
            <w:tcBorders>
              <w:top w:val="nil"/>
              <w:left w:val="nil"/>
              <w:bottom w:val="nil"/>
              <w:right w:val="single" w:sz="4" w:space="0" w:color="auto"/>
            </w:tcBorders>
            <w:shd w:val="clear" w:color="000000" w:fill="FFFFFF"/>
            <w:noWrap/>
            <w:vAlign w:val="bottom"/>
            <w:hideMark/>
          </w:tcPr>
          <w:p w14:paraId="1777F107"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24.87</w:t>
            </w:r>
          </w:p>
        </w:tc>
        <w:tc>
          <w:tcPr>
            <w:tcW w:w="309" w:type="pct"/>
            <w:tcBorders>
              <w:top w:val="nil"/>
              <w:left w:val="nil"/>
              <w:bottom w:val="nil"/>
              <w:right w:val="double" w:sz="6" w:space="0" w:color="auto"/>
            </w:tcBorders>
            <w:shd w:val="clear" w:color="000000" w:fill="FFFFFF"/>
            <w:noWrap/>
            <w:vAlign w:val="bottom"/>
            <w:hideMark/>
          </w:tcPr>
          <w:p w14:paraId="6F664C57"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0.35</w:t>
            </w:r>
          </w:p>
        </w:tc>
        <w:tc>
          <w:tcPr>
            <w:tcW w:w="357" w:type="pct"/>
            <w:tcBorders>
              <w:top w:val="nil"/>
              <w:left w:val="nil"/>
              <w:bottom w:val="nil"/>
              <w:right w:val="single" w:sz="4" w:space="0" w:color="auto"/>
            </w:tcBorders>
            <w:shd w:val="clear" w:color="000000" w:fill="FFFFFF"/>
            <w:noWrap/>
            <w:vAlign w:val="bottom"/>
            <w:hideMark/>
          </w:tcPr>
          <w:p w14:paraId="428BABA7"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25.23</w:t>
            </w:r>
          </w:p>
        </w:tc>
        <w:tc>
          <w:tcPr>
            <w:tcW w:w="332" w:type="pct"/>
            <w:tcBorders>
              <w:top w:val="nil"/>
              <w:left w:val="nil"/>
              <w:bottom w:val="nil"/>
              <w:right w:val="double" w:sz="6" w:space="0" w:color="auto"/>
            </w:tcBorders>
            <w:shd w:val="clear" w:color="000000" w:fill="FFFFFF"/>
            <w:noWrap/>
            <w:vAlign w:val="bottom"/>
            <w:hideMark/>
          </w:tcPr>
          <w:p w14:paraId="0344FDDD"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0.34</w:t>
            </w:r>
          </w:p>
        </w:tc>
        <w:tc>
          <w:tcPr>
            <w:tcW w:w="357" w:type="pct"/>
            <w:tcBorders>
              <w:top w:val="nil"/>
              <w:left w:val="nil"/>
              <w:bottom w:val="nil"/>
              <w:right w:val="single" w:sz="4" w:space="0" w:color="auto"/>
            </w:tcBorders>
            <w:shd w:val="clear" w:color="000000" w:fill="FFFFFF"/>
            <w:noWrap/>
            <w:vAlign w:val="bottom"/>
            <w:hideMark/>
          </w:tcPr>
          <w:p w14:paraId="08CBB2BF"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25.98</w:t>
            </w:r>
          </w:p>
        </w:tc>
        <w:tc>
          <w:tcPr>
            <w:tcW w:w="330" w:type="pct"/>
            <w:tcBorders>
              <w:top w:val="nil"/>
              <w:left w:val="nil"/>
              <w:bottom w:val="nil"/>
              <w:right w:val="double" w:sz="6" w:space="0" w:color="auto"/>
            </w:tcBorders>
            <w:shd w:val="clear" w:color="000000" w:fill="FFFFFF"/>
            <w:noWrap/>
            <w:vAlign w:val="bottom"/>
            <w:hideMark/>
          </w:tcPr>
          <w:p w14:paraId="09950A5B"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0.35</w:t>
            </w:r>
          </w:p>
        </w:tc>
      </w:tr>
      <w:tr w:rsidR="00052499" w:rsidRPr="00555FBC" w14:paraId="4D2711E2" w14:textId="77777777" w:rsidTr="00052499">
        <w:trPr>
          <w:trHeight w:val="198"/>
        </w:trPr>
        <w:tc>
          <w:tcPr>
            <w:tcW w:w="2302" w:type="pct"/>
            <w:tcBorders>
              <w:top w:val="nil"/>
              <w:left w:val="double" w:sz="6" w:space="0" w:color="auto"/>
              <w:bottom w:val="nil"/>
              <w:right w:val="double" w:sz="6" w:space="0" w:color="auto"/>
            </w:tcBorders>
            <w:shd w:val="clear" w:color="000000" w:fill="FFFFFF"/>
            <w:vAlign w:val="center"/>
            <w:hideMark/>
          </w:tcPr>
          <w:p w14:paraId="6155D006" w14:textId="77777777" w:rsidR="00052499" w:rsidRPr="00555FBC" w:rsidRDefault="00052499" w:rsidP="00052499">
            <w:pPr>
              <w:spacing w:after="0" w:line="240" w:lineRule="auto"/>
              <w:rPr>
                <w:rFonts w:ascii="Calibri" w:eastAsia="Times New Roman" w:hAnsi="Calibri" w:cs="Calibri"/>
                <w:b/>
                <w:bCs/>
                <w:sz w:val="16"/>
                <w:szCs w:val="16"/>
              </w:rPr>
            </w:pPr>
            <w:r w:rsidRPr="00555FBC">
              <w:rPr>
                <w:rFonts w:ascii="Calibri" w:eastAsia="Times New Roman" w:hAnsi="Calibri" w:cs="Calibri"/>
                <w:b/>
                <w:bCs/>
                <w:sz w:val="16"/>
                <w:szCs w:val="16"/>
              </w:rPr>
              <w:t>Tekuće održavanje</w:t>
            </w:r>
          </w:p>
        </w:tc>
        <w:tc>
          <w:tcPr>
            <w:tcW w:w="357" w:type="pct"/>
            <w:tcBorders>
              <w:top w:val="nil"/>
              <w:left w:val="nil"/>
              <w:bottom w:val="nil"/>
              <w:right w:val="single" w:sz="4" w:space="0" w:color="auto"/>
            </w:tcBorders>
            <w:shd w:val="clear" w:color="000000" w:fill="FFFFFF"/>
            <w:noWrap/>
            <w:vAlign w:val="bottom"/>
            <w:hideMark/>
          </w:tcPr>
          <w:p w14:paraId="341A679F"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7.97</w:t>
            </w:r>
          </w:p>
        </w:tc>
        <w:tc>
          <w:tcPr>
            <w:tcW w:w="296" w:type="pct"/>
            <w:tcBorders>
              <w:top w:val="nil"/>
              <w:left w:val="nil"/>
              <w:bottom w:val="nil"/>
              <w:right w:val="double" w:sz="6" w:space="0" w:color="auto"/>
            </w:tcBorders>
            <w:shd w:val="clear" w:color="000000" w:fill="FFFFFF"/>
            <w:noWrap/>
            <w:vAlign w:val="bottom"/>
            <w:hideMark/>
          </w:tcPr>
          <w:p w14:paraId="740618BF"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0.12</w:t>
            </w:r>
          </w:p>
        </w:tc>
        <w:tc>
          <w:tcPr>
            <w:tcW w:w="360" w:type="pct"/>
            <w:tcBorders>
              <w:top w:val="nil"/>
              <w:left w:val="nil"/>
              <w:bottom w:val="nil"/>
              <w:right w:val="single" w:sz="4" w:space="0" w:color="auto"/>
            </w:tcBorders>
            <w:shd w:val="clear" w:color="000000" w:fill="FFFFFF"/>
            <w:noWrap/>
            <w:vAlign w:val="bottom"/>
            <w:hideMark/>
          </w:tcPr>
          <w:p w14:paraId="28F05D5C"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7.97</w:t>
            </w:r>
          </w:p>
        </w:tc>
        <w:tc>
          <w:tcPr>
            <w:tcW w:w="309" w:type="pct"/>
            <w:tcBorders>
              <w:top w:val="nil"/>
              <w:left w:val="nil"/>
              <w:bottom w:val="nil"/>
              <w:right w:val="double" w:sz="6" w:space="0" w:color="auto"/>
            </w:tcBorders>
            <w:shd w:val="clear" w:color="000000" w:fill="FFFFFF"/>
            <w:noWrap/>
            <w:vAlign w:val="bottom"/>
            <w:hideMark/>
          </w:tcPr>
          <w:p w14:paraId="283A6392"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0.11</w:t>
            </w:r>
          </w:p>
        </w:tc>
        <w:tc>
          <w:tcPr>
            <w:tcW w:w="357" w:type="pct"/>
            <w:tcBorders>
              <w:top w:val="nil"/>
              <w:left w:val="nil"/>
              <w:bottom w:val="nil"/>
              <w:right w:val="single" w:sz="4" w:space="0" w:color="auto"/>
            </w:tcBorders>
            <w:shd w:val="clear" w:color="000000" w:fill="FFFFFF"/>
            <w:noWrap/>
            <w:vAlign w:val="bottom"/>
            <w:hideMark/>
          </w:tcPr>
          <w:p w14:paraId="630AA703"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8.05</w:t>
            </w:r>
          </w:p>
        </w:tc>
        <w:tc>
          <w:tcPr>
            <w:tcW w:w="332" w:type="pct"/>
            <w:tcBorders>
              <w:top w:val="nil"/>
              <w:left w:val="nil"/>
              <w:bottom w:val="nil"/>
              <w:right w:val="double" w:sz="6" w:space="0" w:color="auto"/>
            </w:tcBorders>
            <w:shd w:val="clear" w:color="000000" w:fill="FFFFFF"/>
            <w:noWrap/>
            <w:vAlign w:val="bottom"/>
            <w:hideMark/>
          </w:tcPr>
          <w:p w14:paraId="2AB6092A"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0.11</w:t>
            </w:r>
          </w:p>
        </w:tc>
        <w:tc>
          <w:tcPr>
            <w:tcW w:w="357" w:type="pct"/>
            <w:tcBorders>
              <w:top w:val="nil"/>
              <w:left w:val="nil"/>
              <w:bottom w:val="nil"/>
              <w:right w:val="single" w:sz="4" w:space="0" w:color="auto"/>
            </w:tcBorders>
            <w:shd w:val="clear" w:color="000000" w:fill="FFFFFF"/>
            <w:noWrap/>
            <w:vAlign w:val="bottom"/>
            <w:hideMark/>
          </w:tcPr>
          <w:p w14:paraId="248A5964"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8.37</w:t>
            </w:r>
          </w:p>
        </w:tc>
        <w:tc>
          <w:tcPr>
            <w:tcW w:w="330" w:type="pct"/>
            <w:tcBorders>
              <w:top w:val="nil"/>
              <w:left w:val="nil"/>
              <w:bottom w:val="nil"/>
              <w:right w:val="double" w:sz="6" w:space="0" w:color="auto"/>
            </w:tcBorders>
            <w:shd w:val="clear" w:color="000000" w:fill="FFFFFF"/>
            <w:noWrap/>
            <w:vAlign w:val="bottom"/>
            <w:hideMark/>
          </w:tcPr>
          <w:p w14:paraId="6A940F97"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0.11</w:t>
            </w:r>
          </w:p>
        </w:tc>
      </w:tr>
      <w:tr w:rsidR="00052499" w:rsidRPr="00555FBC" w14:paraId="4ACBACE3" w14:textId="77777777" w:rsidTr="00052499">
        <w:trPr>
          <w:trHeight w:val="198"/>
        </w:trPr>
        <w:tc>
          <w:tcPr>
            <w:tcW w:w="2302" w:type="pct"/>
            <w:tcBorders>
              <w:top w:val="nil"/>
              <w:left w:val="double" w:sz="6" w:space="0" w:color="auto"/>
              <w:bottom w:val="nil"/>
              <w:right w:val="double" w:sz="6" w:space="0" w:color="auto"/>
            </w:tcBorders>
            <w:shd w:val="clear" w:color="000000" w:fill="FFFFFF"/>
            <w:vAlign w:val="center"/>
            <w:hideMark/>
          </w:tcPr>
          <w:p w14:paraId="6EE5F8DE" w14:textId="77777777" w:rsidR="00052499" w:rsidRPr="00555FBC" w:rsidRDefault="00052499" w:rsidP="00052499">
            <w:pPr>
              <w:spacing w:after="0" w:line="240" w:lineRule="auto"/>
              <w:rPr>
                <w:rFonts w:ascii="Calibri" w:eastAsia="Times New Roman" w:hAnsi="Calibri" w:cs="Calibri"/>
                <w:b/>
                <w:bCs/>
                <w:sz w:val="16"/>
                <w:szCs w:val="16"/>
              </w:rPr>
            </w:pPr>
            <w:r w:rsidRPr="00555FBC">
              <w:rPr>
                <w:rFonts w:ascii="Calibri" w:eastAsia="Times New Roman" w:hAnsi="Calibri" w:cs="Calibri"/>
                <w:b/>
                <w:bCs/>
                <w:sz w:val="16"/>
                <w:szCs w:val="16"/>
              </w:rPr>
              <w:t>Kamate</w:t>
            </w:r>
          </w:p>
        </w:tc>
        <w:tc>
          <w:tcPr>
            <w:tcW w:w="357" w:type="pct"/>
            <w:tcBorders>
              <w:top w:val="nil"/>
              <w:left w:val="nil"/>
              <w:bottom w:val="nil"/>
              <w:right w:val="single" w:sz="4" w:space="0" w:color="auto"/>
            </w:tcBorders>
            <w:shd w:val="clear" w:color="000000" w:fill="FFFFFF"/>
            <w:noWrap/>
            <w:vAlign w:val="bottom"/>
            <w:hideMark/>
          </w:tcPr>
          <w:p w14:paraId="078960D3"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2.80</w:t>
            </w:r>
          </w:p>
        </w:tc>
        <w:tc>
          <w:tcPr>
            <w:tcW w:w="296" w:type="pct"/>
            <w:tcBorders>
              <w:top w:val="nil"/>
              <w:left w:val="nil"/>
              <w:bottom w:val="nil"/>
              <w:right w:val="double" w:sz="6" w:space="0" w:color="auto"/>
            </w:tcBorders>
            <w:shd w:val="clear" w:color="000000" w:fill="FFFFFF"/>
            <w:noWrap/>
            <w:vAlign w:val="bottom"/>
            <w:hideMark/>
          </w:tcPr>
          <w:p w14:paraId="3C544203"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0.04</w:t>
            </w:r>
          </w:p>
        </w:tc>
        <w:tc>
          <w:tcPr>
            <w:tcW w:w="360" w:type="pct"/>
            <w:tcBorders>
              <w:top w:val="nil"/>
              <w:left w:val="nil"/>
              <w:bottom w:val="nil"/>
              <w:right w:val="single" w:sz="4" w:space="0" w:color="auto"/>
            </w:tcBorders>
            <w:shd w:val="clear" w:color="000000" w:fill="FFFFFF"/>
            <w:noWrap/>
            <w:vAlign w:val="bottom"/>
            <w:hideMark/>
          </w:tcPr>
          <w:p w14:paraId="0775523F"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2.80</w:t>
            </w:r>
          </w:p>
        </w:tc>
        <w:tc>
          <w:tcPr>
            <w:tcW w:w="309" w:type="pct"/>
            <w:tcBorders>
              <w:top w:val="nil"/>
              <w:left w:val="nil"/>
              <w:bottom w:val="nil"/>
              <w:right w:val="double" w:sz="6" w:space="0" w:color="auto"/>
            </w:tcBorders>
            <w:shd w:val="clear" w:color="000000" w:fill="FFFFFF"/>
            <w:noWrap/>
            <w:vAlign w:val="bottom"/>
            <w:hideMark/>
          </w:tcPr>
          <w:p w14:paraId="3AE0F69B"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0.04</w:t>
            </w:r>
          </w:p>
        </w:tc>
        <w:tc>
          <w:tcPr>
            <w:tcW w:w="357" w:type="pct"/>
            <w:tcBorders>
              <w:top w:val="nil"/>
              <w:left w:val="nil"/>
              <w:bottom w:val="nil"/>
              <w:right w:val="single" w:sz="4" w:space="0" w:color="auto"/>
            </w:tcBorders>
            <w:shd w:val="clear" w:color="000000" w:fill="FFFFFF"/>
            <w:noWrap/>
            <w:vAlign w:val="bottom"/>
            <w:hideMark/>
          </w:tcPr>
          <w:p w14:paraId="6361693B"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2.83</w:t>
            </w:r>
          </w:p>
        </w:tc>
        <w:tc>
          <w:tcPr>
            <w:tcW w:w="332" w:type="pct"/>
            <w:tcBorders>
              <w:top w:val="nil"/>
              <w:left w:val="nil"/>
              <w:bottom w:val="nil"/>
              <w:right w:val="double" w:sz="6" w:space="0" w:color="auto"/>
            </w:tcBorders>
            <w:shd w:val="clear" w:color="000000" w:fill="FFFFFF"/>
            <w:noWrap/>
            <w:vAlign w:val="bottom"/>
            <w:hideMark/>
          </w:tcPr>
          <w:p w14:paraId="2B0EDCDE"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0.04</w:t>
            </w:r>
          </w:p>
        </w:tc>
        <w:tc>
          <w:tcPr>
            <w:tcW w:w="357" w:type="pct"/>
            <w:tcBorders>
              <w:top w:val="nil"/>
              <w:left w:val="nil"/>
              <w:bottom w:val="nil"/>
              <w:right w:val="single" w:sz="4" w:space="0" w:color="auto"/>
            </w:tcBorders>
            <w:shd w:val="clear" w:color="000000" w:fill="FFFFFF"/>
            <w:noWrap/>
            <w:vAlign w:val="bottom"/>
            <w:hideMark/>
          </w:tcPr>
          <w:p w14:paraId="743C01B8"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2.94</w:t>
            </w:r>
          </w:p>
        </w:tc>
        <w:tc>
          <w:tcPr>
            <w:tcW w:w="330" w:type="pct"/>
            <w:tcBorders>
              <w:top w:val="nil"/>
              <w:left w:val="nil"/>
              <w:bottom w:val="nil"/>
              <w:right w:val="double" w:sz="6" w:space="0" w:color="auto"/>
            </w:tcBorders>
            <w:shd w:val="clear" w:color="000000" w:fill="FFFFFF"/>
            <w:noWrap/>
            <w:vAlign w:val="bottom"/>
            <w:hideMark/>
          </w:tcPr>
          <w:p w14:paraId="3D1ADE37"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0.04</w:t>
            </w:r>
          </w:p>
        </w:tc>
      </w:tr>
      <w:tr w:rsidR="00052499" w:rsidRPr="00555FBC" w14:paraId="40A05800" w14:textId="77777777" w:rsidTr="00052499">
        <w:trPr>
          <w:trHeight w:val="198"/>
        </w:trPr>
        <w:tc>
          <w:tcPr>
            <w:tcW w:w="2302" w:type="pct"/>
            <w:tcBorders>
              <w:top w:val="nil"/>
              <w:left w:val="double" w:sz="6" w:space="0" w:color="auto"/>
              <w:bottom w:val="nil"/>
              <w:right w:val="double" w:sz="6" w:space="0" w:color="auto"/>
            </w:tcBorders>
            <w:shd w:val="clear" w:color="000000" w:fill="FFFFFF"/>
            <w:vAlign w:val="center"/>
            <w:hideMark/>
          </w:tcPr>
          <w:p w14:paraId="02B45031" w14:textId="77777777" w:rsidR="00052499" w:rsidRPr="00555FBC" w:rsidRDefault="00052499" w:rsidP="00052499">
            <w:pPr>
              <w:spacing w:after="0" w:line="240" w:lineRule="auto"/>
              <w:rPr>
                <w:rFonts w:ascii="Calibri" w:eastAsia="Times New Roman" w:hAnsi="Calibri" w:cs="Calibri"/>
                <w:b/>
                <w:bCs/>
                <w:sz w:val="16"/>
                <w:szCs w:val="16"/>
              </w:rPr>
            </w:pPr>
            <w:r w:rsidRPr="00555FBC">
              <w:rPr>
                <w:rFonts w:ascii="Calibri" w:eastAsia="Times New Roman" w:hAnsi="Calibri" w:cs="Calibri"/>
                <w:b/>
                <w:bCs/>
                <w:sz w:val="16"/>
                <w:szCs w:val="16"/>
              </w:rPr>
              <w:t>Renta</w:t>
            </w:r>
          </w:p>
        </w:tc>
        <w:tc>
          <w:tcPr>
            <w:tcW w:w="357" w:type="pct"/>
            <w:tcBorders>
              <w:top w:val="nil"/>
              <w:left w:val="nil"/>
              <w:bottom w:val="nil"/>
              <w:right w:val="single" w:sz="4" w:space="0" w:color="auto"/>
            </w:tcBorders>
            <w:shd w:val="clear" w:color="000000" w:fill="FFFFFF"/>
            <w:noWrap/>
            <w:vAlign w:val="bottom"/>
            <w:hideMark/>
          </w:tcPr>
          <w:p w14:paraId="5A752577"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0.98</w:t>
            </w:r>
          </w:p>
        </w:tc>
        <w:tc>
          <w:tcPr>
            <w:tcW w:w="296" w:type="pct"/>
            <w:tcBorders>
              <w:top w:val="nil"/>
              <w:left w:val="nil"/>
              <w:bottom w:val="nil"/>
              <w:right w:val="double" w:sz="6" w:space="0" w:color="auto"/>
            </w:tcBorders>
            <w:shd w:val="clear" w:color="000000" w:fill="FFFFFF"/>
            <w:noWrap/>
            <w:vAlign w:val="bottom"/>
            <w:hideMark/>
          </w:tcPr>
          <w:p w14:paraId="5B2B32E1"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0.02</w:t>
            </w:r>
          </w:p>
        </w:tc>
        <w:tc>
          <w:tcPr>
            <w:tcW w:w="360" w:type="pct"/>
            <w:tcBorders>
              <w:top w:val="nil"/>
              <w:left w:val="nil"/>
              <w:bottom w:val="nil"/>
              <w:right w:val="single" w:sz="4" w:space="0" w:color="auto"/>
            </w:tcBorders>
            <w:shd w:val="clear" w:color="000000" w:fill="FFFFFF"/>
            <w:noWrap/>
            <w:vAlign w:val="bottom"/>
            <w:hideMark/>
          </w:tcPr>
          <w:p w14:paraId="234BBAC1"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0.98</w:t>
            </w:r>
          </w:p>
        </w:tc>
        <w:tc>
          <w:tcPr>
            <w:tcW w:w="309" w:type="pct"/>
            <w:tcBorders>
              <w:top w:val="nil"/>
              <w:left w:val="nil"/>
              <w:bottom w:val="nil"/>
              <w:right w:val="double" w:sz="6" w:space="0" w:color="auto"/>
            </w:tcBorders>
            <w:shd w:val="clear" w:color="000000" w:fill="FFFFFF"/>
            <w:noWrap/>
            <w:vAlign w:val="bottom"/>
            <w:hideMark/>
          </w:tcPr>
          <w:p w14:paraId="2B484FDD"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0.01</w:t>
            </w:r>
          </w:p>
        </w:tc>
        <w:tc>
          <w:tcPr>
            <w:tcW w:w="357" w:type="pct"/>
            <w:tcBorders>
              <w:top w:val="nil"/>
              <w:left w:val="nil"/>
              <w:bottom w:val="nil"/>
              <w:right w:val="single" w:sz="4" w:space="0" w:color="auto"/>
            </w:tcBorders>
            <w:shd w:val="clear" w:color="000000" w:fill="FFFFFF"/>
            <w:noWrap/>
            <w:vAlign w:val="bottom"/>
            <w:hideMark/>
          </w:tcPr>
          <w:p w14:paraId="102C8B48"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1.00</w:t>
            </w:r>
          </w:p>
        </w:tc>
        <w:tc>
          <w:tcPr>
            <w:tcW w:w="332" w:type="pct"/>
            <w:tcBorders>
              <w:top w:val="nil"/>
              <w:left w:val="nil"/>
              <w:bottom w:val="nil"/>
              <w:right w:val="double" w:sz="6" w:space="0" w:color="auto"/>
            </w:tcBorders>
            <w:shd w:val="clear" w:color="000000" w:fill="FFFFFF"/>
            <w:noWrap/>
            <w:vAlign w:val="bottom"/>
            <w:hideMark/>
          </w:tcPr>
          <w:p w14:paraId="17E81343"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0.01</w:t>
            </w:r>
          </w:p>
        </w:tc>
        <w:tc>
          <w:tcPr>
            <w:tcW w:w="357" w:type="pct"/>
            <w:tcBorders>
              <w:top w:val="nil"/>
              <w:left w:val="nil"/>
              <w:bottom w:val="nil"/>
              <w:right w:val="single" w:sz="4" w:space="0" w:color="auto"/>
            </w:tcBorders>
            <w:shd w:val="clear" w:color="000000" w:fill="FFFFFF"/>
            <w:noWrap/>
            <w:vAlign w:val="bottom"/>
            <w:hideMark/>
          </w:tcPr>
          <w:p w14:paraId="3D37BD78"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1.04</w:t>
            </w:r>
          </w:p>
        </w:tc>
        <w:tc>
          <w:tcPr>
            <w:tcW w:w="330" w:type="pct"/>
            <w:tcBorders>
              <w:top w:val="nil"/>
              <w:left w:val="nil"/>
              <w:bottom w:val="nil"/>
              <w:right w:val="double" w:sz="6" w:space="0" w:color="auto"/>
            </w:tcBorders>
            <w:shd w:val="clear" w:color="000000" w:fill="FFFFFF"/>
            <w:noWrap/>
            <w:vAlign w:val="bottom"/>
            <w:hideMark/>
          </w:tcPr>
          <w:p w14:paraId="1E6C6D0D"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0.01</w:t>
            </w:r>
          </w:p>
        </w:tc>
      </w:tr>
      <w:tr w:rsidR="00052499" w:rsidRPr="00555FBC" w14:paraId="250C749B" w14:textId="77777777" w:rsidTr="00052499">
        <w:trPr>
          <w:trHeight w:val="198"/>
        </w:trPr>
        <w:tc>
          <w:tcPr>
            <w:tcW w:w="2302" w:type="pct"/>
            <w:tcBorders>
              <w:top w:val="nil"/>
              <w:left w:val="double" w:sz="6" w:space="0" w:color="auto"/>
              <w:bottom w:val="nil"/>
              <w:right w:val="double" w:sz="6" w:space="0" w:color="auto"/>
            </w:tcBorders>
            <w:shd w:val="clear" w:color="000000" w:fill="FFFFFF"/>
            <w:vAlign w:val="center"/>
            <w:hideMark/>
          </w:tcPr>
          <w:p w14:paraId="625CCE64" w14:textId="77777777" w:rsidR="00052499" w:rsidRPr="00555FBC" w:rsidRDefault="00052499" w:rsidP="00052499">
            <w:pPr>
              <w:spacing w:after="0" w:line="240" w:lineRule="auto"/>
              <w:rPr>
                <w:rFonts w:ascii="Calibri" w:eastAsia="Times New Roman" w:hAnsi="Calibri" w:cs="Calibri"/>
                <w:b/>
                <w:bCs/>
                <w:sz w:val="16"/>
                <w:szCs w:val="16"/>
              </w:rPr>
            </w:pPr>
            <w:r w:rsidRPr="00555FBC">
              <w:rPr>
                <w:rFonts w:ascii="Calibri" w:eastAsia="Times New Roman" w:hAnsi="Calibri" w:cs="Calibri"/>
                <w:b/>
                <w:bCs/>
                <w:sz w:val="16"/>
                <w:szCs w:val="16"/>
              </w:rPr>
              <w:t>Subvencije</w:t>
            </w:r>
          </w:p>
        </w:tc>
        <w:tc>
          <w:tcPr>
            <w:tcW w:w="357" w:type="pct"/>
            <w:tcBorders>
              <w:top w:val="nil"/>
              <w:left w:val="nil"/>
              <w:bottom w:val="nil"/>
              <w:right w:val="single" w:sz="4" w:space="0" w:color="auto"/>
            </w:tcBorders>
            <w:shd w:val="clear" w:color="000000" w:fill="FFFFFF"/>
            <w:noWrap/>
            <w:vAlign w:val="bottom"/>
            <w:hideMark/>
          </w:tcPr>
          <w:p w14:paraId="1D66BCBB"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6.31</w:t>
            </w:r>
          </w:p>
        </w:tc>
        <w:tc>
          <w:tcPr>
            <w:tcW w:w="296" w:type="pct"/>
            <w:tcBorders>
              <w:top w:val="nil"/>
              <w:left w:val="nil"/>
              <w:bottom w:val="nil"/>
              <w:right w:val="double" w:sz="6" w:space="0" w:color="auto"/>
            </w:tcBorders>
            <w:shd w:val="clear" w:color="000000" w:fill="FFFFFF"/>
            <w:noWrap/>
            <w:vAlign w:val="bottom"/>
            <w:hideMark/>
          </w:tcPr>
          <w:p w14:paraId="096302B7"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0.10</w:t>
            </w:r>
          </w:p>
        </w:tc>
        <w:tc>
          <w:tcPr>
            <w:tcW w:w="360" w:type="pct"/>
            <w:tcBorders>
              <w:top w:val="nil"/>
              <w:left w:val="nil"/>
              <w:bottom w:val="nil"/>
              <w:right w:val="single" w:sz="4" w:space="0" w:color="auto"/>
            </w:tcBorders>
            <w:shd w:val="clear" w:color="000000" w:fill="FFFFFF"/>
            <w:noWrap/>
            <w:vAlign w:val="bottom"/>
            <w:hideMark/>
          </w:tcPr>
          <w:p w14:paraId="366BE379"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7.66</w:t>
            </w:r>
          </w:p>
        </w:tc>
        <w:tc>
          <w:tcPr>
            <w:tcW w:w="309" w:type="pct"/>
            <w:tcBorders>
              <w:top w:val="nil"/>
              <w:left w:val="nil"/>
              <w:bottom w:val="nil"/>
              <w:right w:val="double" w:sz="6" w:space="0" w:color="auto"/>
            </w:tcBorders>
            <w:shd w:val="clear" w:color="000000" w:fill="FFFFFF"/>
            <w:noWrap/>
            <w:vAlign w:val="bottom"/>
            <w:hideMark/>
          </w:tcPr>
          <w:p w14:paraId="64026D40"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0.11</w:t>
            </w:r>
          </w:p>
        </w:tc>
        <w:tc>
          <w:tcPr>
            <w:tcW w:w="357" w:type="pct"/>
            <w:tcBorders>
              <w:top w:val="nil"/>
              <w:left w:val="nil"/>
              <w:bottom w:val="nil"/>
              <w:right w:val="single" w:sz="4" w:space="0" w:color="auto"/>
            </w:tcBorders>
            <w:shd w:val="clear" w:color="000000" w:fill="FFFFFF"/>
            <w:noWrap/>
            <w:vAlign w:val="bottom"/>
            <w:hideMark/>
          </w:tcPr>
          <w:p w14:paraId="4C26175A"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9.29</w:t>
            </w:r>
          </w:p>
        </w:tc>
        <w:tc>
          <w:tcPr>
            <w:tcW w:w="332" w:type="pct"/>
            <w:tcBorders>
              <w:top w:val="nil"/>
              <w:left w:val="nil"/>
              <w:bottom w:val="nil"/>
              <w:right w:val="double" w:sz="6" w:space="0" w:color="auto"/>
            </w:tcBorders>
            <w:shd w:val="clear" w:color="000000" w:fill="FFFFFF"/>
            <w:noWrap/>
            <w:vAlign w:val="bottom"/>
            <w:hideMark/>
          </w:tcPr>
          <w:p w14:paraId="6C5AAF22"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0.13</w:t>
            </w:r>
          </w:p>
        </w:tc>
        <w:tc>
          <w:tcPr>
            <w:tcW w:w="357" w:type="pct"/>
            <w:tcBorders>
              <w:top w:val="nil"/>
              <w:left w:val="nil"/>
              <w:bottom w:val="nil"/>
              <w:right w:val="single" w:sz="4" w:space="0" w:color="auto"/>
            </w:tcBorders>
            <w:shd w:val="clear" w:color="000000" w:fill="FFFFFF"/>
            <w:noWrap/>
            <w:vAlign w:val="bottom"/>
            <w:hideMark/>
          </w:tcPr>
          <w:p w14:paraId="6DFDAA94"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9.66</w:t>
            </w:r>
          </w:p>
        </w:tc>
        <w:tc>
          <w:tcPr>
            <w:tcW w:w="330" w:type="pct"/>
            <w:tcBorders>
              <w:top w:val="nil"/>
              <w:left w:val="nil"/>
              <w:bottom w:val="nil"/>
              <w:right w:val="double" w:sz="6" w:space="0" w:color="auto"/>
            </w:tcBorders>
            <w:shd w:val="clear" w:color="000000" w:fill="FFFFFF"/>
            <w:noWrap/>
            <w:vAlign w:val="bottom"/>
            <w:hideMark/>
          </w:tcPr>
          <w:p w14:paraId="3785DA17"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0.13</w:t>
            </w:r>
          </w:p>
        </w:tc>
      </w:tr>
      <w:tr w:rsidR="00052499" w:rsidRPr="00555FBC" w14:paraId="7C90028E" w14:textId="77777777" w:rsidTr="00052499">
        <w:trPr>
          <w:trHeight w:val="198"/>
        </w:trPr>
        <w:tc>
          <w:tcPr>
            <w:tcW w:w="2302" w:type="pct"/>
            <w:tcBorders>
              <w:top w:val="nil"/>
              <w:left w:val="double" w:sz="6" w:space="0" w:color="auto"/>
              <w:bottom w:val="nil"/>
              <w:right w:val="double" w:sz="6" w:space="0" w:color="auto"/>
            </w:tcBorders>
            <w:shd w:val="clear" w:color="000000" w:fill="FFFFFF"/>
            <w:vAlign w:val="center"/>
            <w:hideMark/>
          </w:tcPr>
          <w:p w14:paraId="69E22663" w14:textId="77777777" w:rsidR="00052499" w:rsidRPr="00555FBC" w:rsidRDefault="00052499" w:rsidP="00052499">
            <w:pPr>
              <w:spacing w:after="0" w:line="240" w:lineRule="auto"/>
              <w:rPr>
                <w:rFonts w:ascii="Calibri" w:eastAsia="Times New Roman" w:hAnsi="Calibri" w:cs="Calibri"/>
                <w:b/>
                <w:bCs/>
                <w:sz w:val="16"/>
                <w:szCs w:val="16"/>
              </w:rPr>
            </w:pPr>
            <w:r w:rsidRPr="00555FBC">
              <w:rPr>
                <w:rFonts w:ascii="Calibri" w:eastAsia="Times New Roman" w:hAnsi="Calibri" w:cs="Calibri"/>
                <w:b/>
                <w:bCs/>
                <w:sz w:val="16"/>
                <w:szCs w:val="16"/>
              </w:rPr>
              <w:t>Ostali izdaci</w:t>
            </w:r>
          </w:p>
        </w:tc>
        <w:tc>
          <w:tcPr>
            <w:tcW w:w="357" w:type="pct"/>
            <w:tcBorders>
              <w:top w:val="nil"/>
              <w:left w:val="nil"/>
              <w:bottom w:val="nil"/>
              <w:right w:val="single" w:sz="4" w:space="0" w:color="auto"/>
            </w:tcBorders>
            <w:shd w:val="clear" w:color="000000" w:fill="FFFFFF"/>
            <w:noWrap/>
            <w:vAlign w:val="bottom"/>
            <w:hideMark/>
          </w:tcPr>
          <w:p w14:paraId="23E79A21"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9.74</w:t>
            </w:r>
          </w:p>
        </w:tc>
        <w:tc>
          <w:tcPr>
            <w:tcW w:w="296" w:type="pct"/>
            <w:tcBorders>
              <w:top w:val="nil"/>
              <w:left w:val="nil"/>
              <w:bottom w:val="nil"/>
              <w:right w:val="double" w:sz="6" w:space="0" w:color="auto"/>
            </w:tcBorders>
            <w:shd w:val="clear" w:color="000000" w:fill="FFFFFF"/>
            <w:noWrap/>
            <w:vAlign w:val="bottom"/>
            <w:hideMark/>
          </w:tcPr>
          <w:p w14:paraId="0710A8A0"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0.15</w:t>
            </w:r>
          </w:p>
        </w:tc>
        <w:tc>
          <w:tcPr>
            <w:tcW w:w="360" w:type="pct"/>
            <w:tcBorders>
              <w:top w:val="nil"/>
              <w:left w:val="nil"/>
              <w:bottom w:val="nil"/>
              <w:right w:val="single" w:sz="4" w:space="0" w:color="auto"/>
            </w:tcBorders>
            <w:shd w:val="clear" w:color="000000" w:fill="FFFFFF"/>
            <w:noWrap/>
            <w:vAlign w:val="bottom"/>
            <w:hideMark/>
          </w:tcPr>
          <w:p w14:paraId="2521C44A"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9.74</w:t>
            </w:r>
          </w:p>
        </w:tc>
        <w:tc>
          <w:tcPr>
            <w:tcW w:w="309" w:type="pct"/>
            <w:tcBorders>
              <w:top w:val="nil"/>
              <w:left w:val="nil"/>
              <w:bottom w:val="nil"/>
              <w:right w:val="double" w:sz="6" w:space="0" w:color="auto"/>
            </w:tcBorders>
            <w:shd w:val="clear" w:color="000000" w:fill="FFFFFF"/>
            <w:noWrap/>
            <w:vAlign w:val="bottom"/>
            <w:hideMark/>
          </w:tcPr>
          <w:p w14:paraId="1B740D46"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0.14</w:t>
            </w:r>
          </w:p>
        </w:tc>
        <w:tc>
          <w:tcPr>
            <w:tcW w:w="357" w:type="pct"/>
            <w:tcBorders>
              <w:top w:val="nil"/>
              <w:left w:val="nil"/>
              <w:bottom w:val="nil"/>
              <w:right w:val="single" w:sz="4" w:space="0" w:color="auto"/>
            </w:tcBorders>
            <w:shd w:val="clear" w:color="000000" w:fill="FFFFFF"/>
            <w:noWrap/>
            <w:vAlign w:val="bottom"/>
            <w:hideMark/>
          </w:tcPr>
          <w:p w14:paraId="4E2DE75B"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9.84</w:t>
            </w:r>
          </w:p>
        </w:tc>
        <w:tc>
          <w:tcPr>
            <w:tcW w:w="332" w:type="pct"/>
            <w:tcBorders>
              <w:top w:val="nil"/>
              <w:left w:val="nil"/>
              <w:bottom w:val="nil"/>
              <w:right w:val="double" w:sz="6" w:space="0" w:color="auto"/>
            </w:tcBorders>
            <w:shd w:val="clear" w:color="000000" w:fill="FFFFFF"/>
            <w:noWrap/>
            <w:vAlign w:val="bottom"/>
            <w:hideMark/>
          </w:tcPr>
          <w:p w14:paraId="52117F59"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0.13</w:t>
            </w:r>
          </w:p>
        </w:tc>
        <w:tc>
          <w:tcPr>
            <w:tcW w:w="357" w:type="pct"/>
            <w:tcBorders>
              <w:top w:val="nil"/>
              <w:left w:val="nil"/>
              <w:bottom w:val="nil"/>
              <w:right w:val="single" w:sz="4" w:space="0" w:color="auto"/>
            </w:tcBorders>
            <w:shd w:val="clear" w:color="000000" w:fill="FFFFFF"/>
            <w:noWrap/>
            <w:vAlign w:val="bottom"/>
            <w:hideMark/>
          </w:tcPr>
          <w:p w14:paraId="044F6BC0"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10.14</w:t>
            </w:r>
          </w:p>
        </w:tc>
        <w:tc>
          <w:tcPr>
            <w:tcW w:w="330" w:type="pct"/>
            <w:tcBorders>
              <w:top w:val="nil"/>
              <w:left w:val="nil"/>
              <w:bottom w:val="nil"/>
              <w:right w:val="double" w:sz="6" w:space="0" w:color="auto"/>
            </w:tcBorders>
            <w:shd w:val="clear" w:color="000000" w:fill="FFFFFF"/>
            <w:noWrap/>
            <w:vAlign w:val="bottom"/>
            <w:hideMark/>
          </w:tcPr>
          <w:p w14:paraId="75E5663C"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0.14</w:t>
            </w:r>
          </w:p>
        </w:tc>
      </w:tr>
      <w:tr w:rsidR="00052499" w:rsidRPr="00555FBC" w14:paraId="3CD0A929" w14:textId="77777777" w:rsidTr="00052499">
        <w:trPr>
          <w:trHeight w:val="198"/>
        </w:trPr>
        <w:tc>
          <w:tcPr>
            <w:tcW w:w="2302" w:type="pct"/>
            <w:tcBorders>
              <w:top w:val="nil"/>
              <w:left w:val="double" w:sz="6" w:space="0" w:color="auto"/>
              <w:bottom w:val="nil"/>
              <w:right w:val="double" w:sz="6" w:space="0" w:color="auto"/>
            </w:tcBorders>
            <w:shd w:val="clear" w:color="000000" w:fill="FFFFFF"/>
            <w:vAlign w:val="center"/>
            <w:hideMark/>
          </w:tcPr>
          <w:p w14:paraId="3BBEFE0B" w14:textId="77777777" w:rsidR="00052499" w:rsidRPr="00555FBC" w:rsidRDefault="00052499" w:rsidP="00052499">
            <w:pPr>
              <w:spacing w:after="0" w:line="240" w:lineRule="auto"/>
              <w:rPr>
                <w:rFonts w:ascii="Calibri" w:eastAsia="Times New Roman" w:hAnsi="Calibri" w:cs="Calibri"/>
                <w:b/>
                <w:bCs/>
                <w:sz w:val="16"/>
                <w:szCs w:val="16"/>
              </w:rPr>
            </w:pPr>
            <w:r w:rsidRPr="00555FBC">
              <w:rPr>
                <w:rFonts w:ascii="Calibri" w:eastAsia="Times New Roman" w:hAnsi="Calibri" w:cs="Calibri"/>
                <w:b/>
                <w:bCs/>
                <w:sz w:val="16"/>
                <w:szCs w:val="16"/>
              </w:rPr>
              <w:t>Transferi za socijalnu zaštitu</w:t>
            </w:r>
          </w:p>
        </w:tc>
        <w:tc>
          <w:tcPr>
            <w:tcW w:w="357" w:type="pct"/>
            <w:tcBorders>
              <w:top w:val="nil"/>
              <w:left w:val="nil"/>
              <w:bottom w:val="nil"/>
              <w:right w:val="single" w:sz="4" w:space="0" w:color="auto"/>
            </w:tcBorders>
            <w:shd w:val="clear" w:color="000000" w:fill="FFFFFF"/>
            <w:noWrap/>
            <w:vAlign w:val="bottom"/>
            <w:hideMark/>
          </w:tcPr>
          <w:p w14:paraId="2924BA99"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1.15</w:t>
            </w:r>
          </w:p>
        </w:tc>
        <w:tc>
          <w:tcPr>
            <w:tcW w:w="296" w:type="pct"/>
            <w:tcBorders>
              <w:top w:val="nil"/>
              <w:left w:val="nil"/>
              <w:bottom w:val="nil"/>
              <w:right w:val="double" w:sz="6" w:space="0" w:color="auto"/>
            </w:tcBorders>
            <w:shd w:val="clear" w:color="000000" w:fill="FFFFFF"/>
            <w:noWrap/>
            <w:vAlign w:val="bottom"/>
            <w:hideMark/>
          </w:tcPr>
          <w:p w14:paraId="011747D1"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0.02</w:t>
            </w:r>
          </w:p>
        </w:tc>
        <w:tc>
          <w:tcPr>
            <w:tcW w:w="360" w:type="pct"/>
            <w:tcBorders>
              <w:top w:val="nil"/>
              <w:left w:val="nil"/>
              <w:bottom w:val="nil"/>
              <w:right w:val="single" w:sz="4" w:space="0" w:color="auto"/>
            </w:tcBorders>
            <w:shd w:val="clear" w:color="000000" w:fill="FFFFFF"/>
            <w:noWrap/>
            <w:vAlign w:val="bottom"/>
            <w:hideMark/>
          </w:tcPr>
          <w:p w14:paraId="752AD44B"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1.18</w:t>
            </w:r>
          </w:p>
        </w:tc>
        <w:tc>
          <w:tcPr>
            <w:tcW w:w="309" w:type="pct"/>
            <w:tcBorders>
              <w:top w:val="nil"/>
              <w:left w:val="nil"/>
              <w:bottom w:val="nil"/>
              <w:right w:val="double" w:sz="6" w:space="0" w:color="auto"/>
            </w:tcBorders>
            <w:shd w:val="clear" w:color="000000" w:fill="FFFFFF"/>
            <w:noWrap/>
            <w:vAlign w:val="bottom"/>
            <w:hideMark/>
          </w:tcPr>
          <w:p w14:paraId="071F4A5F"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0.02</w:t>
            </w:r>
          </w:p>
        </w:tc>
        <w:tc>
          <w:tcPr>
            <w:tcW w:w="357" w:type="pct"/>
            <w:tcBorders>
              <w:top w:val="nil"/>
              <w:left w:val="nil"/>
              <w:bottom w:val="nil"/>
              <w:right w:val="single" w:sz="4" w:space="0" w:color="auto"/>
            </w:tcBorders>
            <w:shd w:val="clear" w:color="000000" w:fill="FFFFFF"/>
            <w:noWrap/>
            <w:vAlign w:val="bottom"/>
            <w:hideMark/>
          </w:tcPr>
          <w:p w14:paraId="5674C699"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1.19</w:t>
            </w:r>
          </w:p>
        </w:tc>
        <w:tc>
          <w:tcPr>
            <w:tcW w:w="332" w:type="pct"/>
            <w:tcBorders>
              <w:top w:val="nil"/>
              <w:left w:val="nil"/>
              <w:bottom w:val="nil"/>
              <w:right w:val="double" w:sz="6" w:space="0" w:color="auto"/>
            </w:tcBorders>
            <w:shd w:val="clear" w:color="000000" w:fill="FFFFFF"/>
            <w:noWrap/>
            <w:vAlign w:val="bottom"/>
            <w:hideMark/>
          </w:tcPr>
          <w:p w14:paraId="58F3BC3D"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0.02</w:t>
            </w:r>
          </w:p>
        </w:tc>
        <w:tc>
          <w:tcPr>
            <w:tcW w:w="357" w:type="pct"/>
            <w:tcBorders>
              <w:top w:val="nil"/>
              <w:left w:val="nil"/>
              <w:bottom w:val="nil"/>
              <w:right w:val="single" w:sz="4" w:space="0" w:color="auto"/>
            </w:tcBorders>
            <w:shd w:val="clear" w:color="000000" w:fill="FFFFFF"/>
            <w:noWrap/>
            <w:vAlign w:val="bottom"/>
            <w:hideMark/>
          </w:tcPr>
          <w:p w14:paraId="19895624"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1.24</w:t>
            </w:r>
          </w:p>
        </w:tc>
        <w:tc>
          <w:tcPr>
            <w:tcW w:w="330" w:type="pct"/>
            <w:tcBorders>
              <w:top w:val="nil"/>
              <w:left w:val="nil"/>
              <w:bottom w:val="nil"/>
              <w:right w:val="double" w:sz="6" w:space="0" w:color="auto"/>
            </w:tcBorders>
            <w:shd w:val="clear" w:color="000000" w:fill="FFFFFF"/>
            <w:noWrap/>
            <w:vAlign w:val="bottom"/>
            <w:hideMark/>
          </w:tcPr>
          <w:p w14:paraId="44BA5EB9"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0.02</w:t>
            </w:r>
          </w:p>
        </w:tc>
      </w:tr>
      <w:tr w:rsidR="00052499" w:rsidRPr="00555FBC" w14:paraId="212F6C20" w14:textId="77777777" w:rsidTr="00052499">
        <w:trPr>
          <w:trHeight w:val="198"/>
        </w:trPr>
        <w:tc>
          <w:tcPr>
            <w:tcW w:w="2302" w:type="pct"/>
            <w:tcBorders>
              <w:top w:val="nil"/>
              <w:left w:val="double" w:sz="6" w:space="0" w:color="auto"/>
              <w:bottom w:val="nil"/>
              <w:right w:val="double" w:sz="6" w:space="0" w:color="auto"/>
            </w:tcBorders>
            <w:shd w:val="clear" w:color="000000" w:fill="FFFFFF"/>
            <w:vAlign w:val="center"/>
            <w:hideMark/>
          </w:tcPr>
          <w:p w14:paraId="2BF66E73" w14:textId="77777777" w:rsidR="00052499" w:rsidRPr="00555FBC" w:rsidRDefault="00052499" w:rsidP="00052499">
            <w:pPr>
              <w:spacing w:after="0" w:line="240" w:lineRule="auto"/>
              <w:rPr>
                <w:rFonts w:ascii="Calibri" w:eastAsia="Times New Roman" w:hAnsi="Calibri" w:cs="Calibri"/>
                <w:b/>
                <w:bCs/>
                <w:sz w:val="16"/>
                <w:szCs w:val="16"/>
              </w:rPr>
            </w:pPr>
            <w:r w:rsidRPr="00555FBC">
              <w:rPr>
                <w:rFonts w:ascii="Calibri" w:eastAsia="Times New Roman" w:hAnsi="Calibri" w:cs="Calibri"/>
                <w:b/>
                <w:bCs/>
                <w:sz w:val="16"/>
                <w:szCs w:val="16"/>
              </w:rPr>
              <w:t>Transferi institucijama, pojedinicima nevladinom i javnom sektoru</w:t>
            </w:r>
          </w:p>
        </w:tc>
        <w:tc>
          <w:tcPr>
            <w:tcW w:w="357" w:type="pct"/>
            <w:tcBorders>
              <w:top w:val="nil"/>
              <w:left w:val="nil"/>
              <w:bottom w:val="nil"/>
              <w:right w:val="single" w:sz="4" w:space="0" w:color="auto"/>
            </w:tcBorders>
            <w:shd w:val="clear" w:color="000000" w:fill="FFFFFF"/>
            <w:noWrap/>
            <w:vAlign w:val="bottom"/>
            <w:hideMark/>
          </w:tcPr>
          <w:p w14:paraId="27F8027A"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88.13</w:t>
            </w:r>
          </w:p>
        </w:tc>
        <w:tc>
          <w:tcPr>
            <w:tcW w:w="296" w:type="pct"/>
            <w:tcBorders>
              <w:top w:val="nil"/>
              <w:left w:val="nil"/>
              <w:bottom w:val="nil"/>
              <w:right w:val="double" w:sz="6" w:space="0" w:color="auto"/>
            </w:tcBorders>
            <w:shd w:val="clear" w:color="000000" w:fill="FFFFFF"/>
            <w:noWrap/>
            <w:vAlign w:val="bottom"/>
            <w:hideMark/>
          </w:tcPr>
          <w:p w14:paraId="7083CDD8"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1.37</w:t>
            </w:r>
          </w:p>
        </w:tc>
        <w:tc>
          <w:tcPr>
            <w:tcW w:w="360" w:type="pct"/>
            <w:tcBorders>
              <w:top w:val="nil"/>
              <w:left w:val="nil"/>
              <w:bottom w:val="nil"/>
              <w:right w:val="single" w:sz="4" w:space="0" w:color="auto"/>
            </w:tcBorders>
            <w:shd w:val="clear" w:color="000000" w:fill="FFFFFF"/>
            <w:noWrap/>
            <w:vAlign w:val="bottom"/>
            <w:hideMark/>
          </w:tcPr>
          <w:p w14:paraId="0B7CDB45"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89.01</w:t>
            </w:r>
          </w:p>
        </w:tc>
        <w:tc>
          <w:tcPr>
            <w:tcW w:w="309" w:type="pct"/>
            <w:tcBorders>
              <w:top w:val="nil"/>
              <w:left w:val="nil"/>
              <w:bottom w:val="nil"/>
              <w:right w:val="double" w:sz="6" w:space="0" w:color="auto"/>
            </w:tcBorders>
            <w:shd w:val="clear" w:color="000000" w:fill="FFFFFF"/>
            <w:noWrap/>
            <w:vAlign w:val="bottom"/>
            <w:hideMark/>
          </w:tcPr>
          <w:p w14:paraId="4FF4AD06"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1.27</w:t>
            </w:r>
          </w:p>
        </w:tc>
        <w:tc>
          <w:tcPr>
            <w:tcW w:w="357" w:type="pct"/>
            <w:tcBorders>
              <w:top w:val="nil"/>
              <w:left w:val="nil"/>
              <w:bottom w:val="nil"/>
              <w:right w:val="single" w:sz="4" w:space="0" w:color="auto"/>
            </w:tcBorders>
            <w:shd w:val="clear" w:color="000000" w:fill="FFFFFF"/>
            <w:noWrap/>
            <w:vAlign w:val="bottom"/>
            <w:hideMark/>
          </w:tcPr>
          <w:p w14:paraId="789E998A"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89.90</w:t>
            </w:r>
          </w:p>
        </w:tc>
        <w:tc>
          <w:tcPr>
            <w:tcW w:w="332" w:type="pct"/>
            <w:tcBorders>
              <w:top w:val="nil"/>
              <w:left w:val="nil"/>
              <w:bottom w:val="nil"/>
              <w:right w:val="double" w:sz="6" w:space="0" w:color="auto"/>
            </w:tcBorders>
            <w:shd w:val="clear" w:color="000000" w:fill="FFFFFF"/>
            <w:noWrap/>
            <w:vAlign w:val="bottom"/>
            <w:hideMark/>
          </w:tcPr>
          <w:p w14:paraId="77754594"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1.21</w:t>
            </w:r>
          </w:p>
        </w:tc>
        <w:tc>
          <w:tcPr>
            <w:tcW w:w="357" w:type="pct"/>
            <w:tcBorders>
              <w:top w:val="nil"/>
              <w:left w:val="nil"/>
              <w:bottom w:val="nil"/>
              <w:right w:val="single" w:sz="4" w:space="0" w:color="auto"/>
            </w:tcBorders>
            <w:shd w:val="clear" w:color="000000" w:fill="FFFFFF"/>
            <w:noWrap/>
            <w:vAlign w:val="bottom"/>
            <w:hideMark/>
          </w:tcPr>
          <w:p w14:paraId="68FB481B"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90.80</w:t>
            </w:r>
          </w:p>
        </w:tc>
        <w:tc>
          <w:tcPr>
            <w:tcW w:w="330" w:type="pct"/>
            <w:tcBorders>
              <w:top w:val="nil"/>
              <w:left w:val="nil"/>
              <w:bottom w:val="nil"/>
              <w:right w:val="double" w:sz="6" w:space="0" w:color="auto"/>
            </w:tcBorders>
            <w:shd w:val="clear" w:color="000000" w:fill="FFFFFF"/>
            <w:noWrap/>
            <w:vAlign w:val="bottom"/>
            <w:hideMark/>
          </w:tcPr>
          <w:p w14:paraId="0B0A3211"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1.22</w:t>
            </w:r>
          </w:p>
        </w:tc>
      </w:tr>
      <w:tr w:rsidR="00052499" w:rsidRPr="00555FBC" w14:paraId="2AC3FEAF" w14:textId="77777777" w:rsidTr="00052499">
        <w:trPr>
          <w:trHeight w:val="198"/>
        </w:trPr>
        <w:tc>
          <w:tcPr>
            <w:tcW w:w="2302" w:type="pct"/>
            <w:tcBorders>
              <w:top w:val="nil"/>
              <w:left w:val="double" w:sz="6" w:space="0" w:color="auto"/>
              <w:bottom w:val="nil"/>
              <w:right w:val="double" w:sz="6" w:space="0" w:color="auto"/>
            </w:tcBorders>
            <w:shd w:val="clear" w:color="000000" w:fill="FFFFFF"/>
            <w:vAlign w:val="center"/>
            <w:hideMark/>
          </w:tcPr>
          <w:p w14:paraId="3353D913" w14:textId="77777777" w:rsidR="00052499" w:rsidRPr="00555FBC" w:rsidRDefault="00052499" w:rsidP="00052499">
            <w:pPr>
              <w:spacing w:after="0" w:line="240" w:lineRule="auto"/>
              <w:rPr>
                <w:rFonts w:ascii="Calibri" w:eastAsia="Times New Roman" w:hAnsi="Calibri" w:cs="Calibri"/>
                <w:b/>
                <w:bCs/>
                <w:sz w:val="16"/>
                <w:szCs w:val="16"/>
              </w:rPr>
            </w:pPr>
            <w:r w:rsidRPr="00555FBC">
              <w:rPr>
                <w:rFonts w:ascii="Calibri" w:eastAsia="Times New Roman" w:hAnsi="Calibri" w:cs="Calibri"/>
                <w:b/>
                <w:bCs/>
                <w:sz w:val="16"/>
                <w:szCs w:val="16"/>
              </w:rPr>
              <w:t xml:space="preserve">Kapitalni izdaci </w:t>
            </w:r>
          </w:p>
        </w:tc>
        <w:tc>
          <w:tcPr>
            <w:tcW w:w="357" w:type="pct"/>
            <w:tcBorders>
              <w:top w:val="nil"/>
              <w:left w:val="nil"/>
              <w:bottom w:val="nil"/>
              <w:right w:val="single" w:sz="4" w:space="0" w:color="auto"/>
            </w:tcBorders>
            <w:shd w:val="clear" w:color="000000" w:fill="FFFFFF"/>
            <w:noWrap/>
            <w:vAlign w:val="bottom"/>
            <w:hideMark/>
          </w:tcPr>
          <w:p w14:paraId="32BB7263"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177.31</w:t>
            </w:r>
          </w:p>
        </w:tc>
        <w:tc>
          <w:tcPr>
            <w:tcW w:w="296" w:type="pct"/>
            <w:tcBorders>
              <w:top w:val="nil"/>
              <w:left w:val="nil"/>
              <w:bottom w:val="nil"/>
              <w:right w:val="double" w:sz="6" w:space="0" w:color="auto"/>
            </w:tcBorders>
            <w:shd w:val="clear" w:color="000000" w:fill="FFFFFF"/>
            <w:noWrap/>
            <w:vAlign w:val="bottom"/>
            <w:hideMark/>
          </w:tcPr>
          <w:p w14:paraId="5C201A8D"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2.75</w:t>
            </w:r>
          </w:p>
        </w:tc>
        <w:tc>
          <w:tcPr>
            <w:tcW w:w="360" w:type="pct"/>
            <w:tcBorders>
              <w:top w:val="nil"/>
              <w:left w:val="nil"/>
              <w:bottom w:val="nil"/>
              <w:right w:val="single" w:sz="4" w:space="0" w:color="auto"/>
            </w:tcBorders>
            <w:shd w:val="clear" w:color="000000" w:fill="FFFFFF"/>
            <w:noWrap/>
            <w:vAlign w:val="bottom"/>
            <w:hideMark/>
          </w:tcPr>
          <w:p w14:paraId="56A78437"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159.58</w:t>
            </w:r>
          </w:p>
        </w:tc>
        <w:tc>
          <w:tcPr>
            <w:tcW w:w="309" w:type="pct"/>
            <w:tcBorders>
              <w:top w:val="nil"/>
              <w:left w:val="nil"/>
              <w:bottom w:val="nil"/>
              <w:right w:val="double" w:sz="6" w:space="0" w:color="auto"/>
            </w:tcBorders>
            <w:shd w:val="clear" w:color="000000" w:fill="FFFFFF"/>
            <w:noWrap/>
            <w:vAlign w:val="bottom"/>
            <w:hideMark/>
          </w:tcPr>
          <w:p w14:paraId="73880885"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2.27</w:t>
            </w:r>
          </w:p>
        </w:tc>
        <w:tc>
          <w:tcPr>
            <w:tcW w:w="357" w:type="pct"/>
            <w:tcBorders>
              <w:top w:val="nil"/>
              <w:left w:val="nil"/>
              <w:bottom w:val="nil"/>
              <w:right w:val="single" w:sz="4" w:space="0" w:color="auto"/>
            </w:tcBorders>
            <w:shd w:val="clear" w:color="000000" w:fill="FFFFFF"/>
            <w:noWrap/>
            <w:vAlign w:val="bottom"/>
            <w:hideMark/>
          </w:tcPr>
          <w:p w14:paraId="44BBCEA7"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162.87</w:t>
            </w:r>
          </w:p>
        </w:tc>
        <w:tc>
          <w:tcPr>
            <w:tcW w:w="332" w:type="pct"/>
            <w:tcBorders>
              <w:top w:val="nil"/>
              <w:left w:val="nil"/>
              <w:bottom w:val="nil"/>
              <w:right w:val="double" w:sz="6" w:space="0" w:color="auto"/>
            </w:tcBorders>
            <w:shd w:val="clear" w:color="000000" w:fill="FFFFFF"/>
            <w:noWrap/>
            <w:vAlign w:val="bottom"/>
            <w:hideMark/>
          </w:tcPr>
          <w:p w14:paraId="73F3ABB7"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2.19</w:t>
            </w:r>
          </w:p>
        </w:tc>
        <w:tc>
          <w:tcPr>
            <w:tcW w:w="357" w:type="pct"/>
            <w:tcBorders>
              <w:top w:val="nil"/>
              <w:left w:val="nil"/>
              <w:bottom w:val="nil"/>
              <w:right w:val="single" w:sz="4" w:space="0" w:color="auto"/>
            </w:tcBorders>
            <w:shd w:val="clear" w:color="000000" w:fill="FFFFFF"/>
            <w:noWrap/>
            <w:vAlign w:val="bottom"/>
            <w:hideMark/>
          </w:tcPr>
          <w:p w14:paraId="660F7D85"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169.38</w:t>
            </w:r>
          </w:p>
        </w:tc>
        <w:tc>
          <w:tcPr>
            <w:tcW w:w="330" w:type="pct"/>
            <w:tcBorders>
              <w:top w:val="nil"/>
              <w:left w:val="nil"/>
              <w:bottom w:val="nil"/>
              <w:right w:val="double" w:sz="6" w:space="0" w:color="auto"/>
            </w:tcBorders>
            <w:shd w:val="clear" w:color="000000" w:fill="FFFFFF"/>
            <w:noWrap/>
            <w:vAlign w:val="bottom"/>
            <w:hideMark/>
          </w:tcPr>
          <w:p w14:paraId="7B4F42D6"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2.28</w:t>
            </w:r>
          </w:p>
        </w:tc>
      </w:tr>
      <w:tr w:rsidR="00052499" w:rsidRPr="00555FBC" w14:paraId="47E29670" w14:textId="77777777" w:rsidTr="00052499">
        <w:trPr>
          <w:trHeight w:val="198"/>
        </w:trPr>
        <w:tc>
          <w:tcPr>
            <w:tcW w:w="2302" w:type="pct"/>
            <w:tcBorders>
              <w:top w:val="nil"/>
              <w:left w:val="double" w:sz="6" w:space="0" w:color="auto"/>
              <w:bottom w:val="nil"/>
              <w:right w:val="double" w:sz="6" w:space="0" w:color="auto"/>
            </w:tcBorders>
            <w:shd w:val="clear" w:color="000000" w:fill="FFFFFF"/>
            <w:vAlign w:val="center"/>
            <w:hideMark/>
          </w:tcPr>
          <w:p w14:paraId="3C0E4BA1" w14:textId="77777777" w:rsidR="00052499" w:rsidRPr="00555FBC" w:rsidRDefault="00052499" w:rsidP="00052499">
            <w:pPr>
              <w:spacing w:after="0" w:line="240" w:lineRule="auto"/>
              <w:rPr>
                <w:rFonts w:ascii="Calibri" w:eastAsia="Times New Roman" w:hAnsi="Calibri" w:cs="Calibri"/>
                <w:b/>
                <w:bCs/>
                <w:sz w:val="16"/>
                <w:szCs w:val="16"/>
              </w:rPr>
            </w:pPr>
            <w:r w:rsidRPr="00555FBC">
              <w:rPr>
                <w:rFonts w:ascii="Calibri" w:eastAsia="Times New Roman" w:hAnsi="Calibri" w:cs="Calibri"/>
                <w:b/>
                <w:bCs/>
                <w:sz w:val="16"/>
                <w:szCs w:val="16"/>
              </w:rPr>
              <w:t>Pozajmice i krediti</w:t>
            </w:r>
          </w:p>
        </w:tc>
        <w:tc>
          <w:tcPr>
            <w:tcW w:w="357" w:type="pct"/>
            <w:tcBorders>
              <w:top w:val="nil"/>
              <w:left w:val="nil"/>
              <w:bottom w:val="nil"/>
              <w:right w:val="single" w:sz="4" w:space="0" w:color="auto"/>
            </w:tcBorders>
            <w:shd w:val="clear" w:color="000000" w:fill="FFFFFF"/>
            <w:noWrap/>
            <w:vAlign w:val="bottom"/>
            <w:hideMark/>
          </w:tcPr>
          <w:p w14:paraId="0B7820FB"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0.00</w:t>
            </w:r>
          </w:p>
        </w:tc>
        <w:tc>
          <w:tcPr>
            <w:tcW w:w="296" w:type="pct"/>
            <w:tcBorders>
              <w:top w:val="nil"/>
              <w:left w:val="nil"/>
              <w:bottom w:val="nil"/>
              <w:right w:val="double" w:sz="6" w:space="0" w:color="auto"/>
            </w:tcBorders>
            <w:shd w:val="clear" w:color="000000" w:fill="FFFFFF"/>
            <w:noWrap/>
            <w:vAlign w:val="bottom"/>
            <w:hideMark/>
          </w:tcPr>
          <w:p w14:paraId="1A95E739"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0.00</w:t>
            </w:r>
          </w:p>
        </w:tc>
        <w:tc>
          <w:tcPr>
            <w:tcW w:w="360" w:type="pct"/>
            <w:tcBorders>
              <w:top w:val="nil"/>
              <w:left w:val="nil"/>
              <w:bottom w:val="nil"/>
              <w:right w:val="single" w:sz="4" w:space="0" w:color="auto"/>
            </w:tcBorders>
            <w:shd w:val="clear" w:color="000000" w:fill="FFFFFF"/>
            <w:noWrap/>
            <w:vAlign w:val="bottom"/>
            <w:hideMark/>
          </w:tcPr>
          <w:p w14:paraId="03D4255E"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0.00</w:t>
            </w:r>
          </w:p>
        </w:tc>
        <w:tc>
          <w:tcPr>
            <w:tcW w:w="309" w:type="pct"/>
            <w:tcBorders>
              <w:top w:val="nil"/>
              <w:left w:val="nil"/>
              <w:bottom w:val="nil"/>
              <w:right w:val="double" w:sz="6" w:space="0" w:color="auto"/>
            </w:tcBorders>
            <w:shd w:val="clear" w:color="000000" w:fill="FFFFFF"/>
            <w:noWrap/>
            <w:vAlign w:val="bottom"/>
            <w:hideMark/>
          </w:tcPr>
          <w:p w14:paraId="7CAA2857"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0.00</w:t>
            </w:r>
          </w:p>
        </w:tc>
        <w:tc>
          <w:tcPr>
            <w:tcW w:w="357" w:type="pct"/>
            <w:tcBorders>
              <w:top w:val="nil"/>
              <w:left w:val="nil"/>
              <w:bottom w:val="nil"/>
              <w:right w:val="single" w:sz="4" w:space="0" w:color="auto"/>
            </w:tcBorders>
            <w:shd w:val="clear" w:color="000000" w:fill="FFFFFF"/>
            <w:noWrap/>
            <w:vAlign w:val="bottom"/>
            <w:hideMark/>
          </w:tcPr>
          <w:p w14:paraId="26DA7D5B"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0.00</w:t>
            </w:r>
          </w:p>
        </w:tc>
        <w:tc>
          <w:tcPr>
            <w:tcW w:w="332" w:type="pct"/>
            <w:tcBorders>
              <w:top w:val="nil"/>
              <w:left w:val="nil"/>
              <w:bottom w:val="nil"/>
              <w:right w:val="double" w:sz="6" w:space="0" w:color="auto"/>
            </w:tcBorders>
            <w:shd w:val="clear" w:color="000000" w:fill="FFFFFF"/>
            <w:noWrap/>
            <w:vAlign w:val="bottom"/>
            <w:hideMark/>
          </w:tcPr>
          <w:p w14:paraId="2707C754"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0.00</w:t>
            </w:r>
          </w:p>
        </w:tc>
        <w:tc>
          <w:tcPr>
            <w:tcW w:w="357" w:type="pct"/>
            <w:tcBorders>
              <w:top w:val="nil"/>
              <w:left w:val="nil"/>
              <w:bottom w:val="nil"/>
              <w:right w:val="single" w:sz="4" w:space="0" w:color="auto"/>
            </w:tcBorders>
            <w:shd w:val="clear" w:color="000000" w:fill="FFFFFF"/>
            <w:noWrap/>
            <w:vAlign w:val="bottom"/>
            <w:hideMark/>
          </w:tcPr>
          <w:p w14:paraId="7076AEFD"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0.00</w:t>
            </w:r>
          </w:p>
        </w:tc>
        <w:tc>
          <w:tcPr>
            <w:tcW w:w="330" w:type="pct"/>
            <w:tcBorders>
              <w:top w:val="nil"/>
              <w:left w:val="nil"/>
              <w:bottom w:val="nil"/>
              <w:right w:val="double" w:sz="6" w:space="0" w:color="auto"/>
            </w:tcBorders>
            <w:shd w:val="clear" w:color="000000" w:fill="FFFFFF"/>
            <w:noWrap/>
            <w:vAlign w:val="bottom"/>
            <w:hideMark/>
          </w:tcPr>
          <w:p w14:paraId="14241912"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0.00</w:t>
            </w:r>
          </w:p>
        </w:tc>
      </w:tr>
      <w:tr w:rsidR="00052499" w:rsidRPr="00555FBC" w14:paraId="5A2E3CAB" w14:textId="77777777" w:rsidTr="00052499">
        <w:trPr>
          <w:trHeight w:val="198"/>
        </w:trPr>
        <w:tc>
          <w:tcPr>
            <w:tcW w:w="2302" w:type="pct"/>
            <w:tcBorders>
              <w:top w:val="nil"/>
              <w:left w:val="double" w:sz="6" w:space="0" w:color="auto"/>
              <w:bottom w:val="nil"/>
              <w:right w:val="double" w:sz="6" w:space="0" w:color="auto"/>
            </w:tcBorders>
            <w:shd w:val="clear" w:color="000000" w:fill="FFFFFF"/>
            <w:vAlign w:val="center"/>
            <w:hideMark/>
          </w:tcPr>
          <w:p w14:paraId="5AB22ACA" w14:textId="77777777" w:rsidR="00052499" w:rsidRPr="00555FBC" w:rsidRDefault="00052499" w:rsidP="00052499">
            <w:pPr>
              <w:spacing w:after="0" w:line="240" w:lineRule="auto"/>
              <w:rPr>
                <w:rFonts w:ascii="Calibri" w:eastAsia="Times New Roman" w:hAnsi="Calibri" w:cs="Calibri"/>
                <w:b/>
                <w:bCs/>
                <w:sz w:val="16"/>
                <w:szCs w:val="16"/>
              </w:rPr>
            </w:pPr>
            <w:r w:rsidRPr="00555FBC">
              <w:rPr>
                <w:rFonts w:ascii="Calibri" w:eastAsia="Times New Roman" w:hAnsi="Calibri" w:cs="Calibri"/>
                <w:b/>
                <w:bCs/>
                <w:sz w:val="16"/>
                <w:szCs w:val="16"/>
              </w:rPr>
              <w:t>Otplata obaveza iz prethodnog perioda</w:t>
            </w:r>
          </w:p>
        </w:tc>
        <w:tc>
          <w:tcPr>
            <w:tcW w:w="357" w:type="pct"/>
            <w:tcBorders>
              <w:top w:val="nil"/>
              <w:left w:val="nil"/>
              <w:bottom w:val="nil"/>
              <w:right w:val="single" w:sz="4" w:space="0" w:color="auto"/>
            </w:tcBorders>
            <w:shd w:val="clear" w:color="000000" w:fill="FFFFFF"/>
            <w:noWrap/>
            <w:vAlign w:val="bottom"/>
            <w:hideMark/>
          </w:tcPr>
          <w:p w14:paraId="00207B00"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20.08</w:t>
            </w:r>
          </w:p>
        </w:tc>
        <w:tc>
          <w:tcPr>
            <w:tcW w:w="296" w:type="pct"/>
            <w:tcBorders>
              <w:top w:val="nil"/>
              <w:left w:val="nil"/>
              <w:bottom w:val="nil"/>
              <w:right w:val="double" w:sz="6" w:space="0" w:color="auto"/>
            </w:tcBorders>
            <w:shd w:val="clear" w:color="000000" w:fill="FFFFFF"/>
            <w:noWrap/>
            <w:vAlign w:val="bottom"/>
            <w:hideMark/>
          </w:tcPr>
          <w:p w14:paraId="791B6CE3"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0.31</w:t>
            </w:r>
          </w:p>
        </w:tc>
        <w:tc>
          <w:tcPr>
            <w:tcW w:w="360" w:type="pct"/>
            <w:tcBorders>
              <w:top w:val="nil"/>
              <w:left w:val="nil"/>
              <w:bottom w:val="nil"/>
              <w:right w:val="single" w:sz="4" w:space="0" w:color="auto"/>
            </w:tcBorders>
            <w:shd w:val="clear" w:color="000000" w:fill="FFFFFF"/>
            <w:noWrap/>
            <w:vAlign w:val="bottom"/>
            <w:hideMark/>
          </w:tcPr>
          <w:p w14:paraId="2C2D4205"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19.90</w:t>
            </w:r>
          </w:p>
        </w:tc>
        <w:tc>
          <w:tcPr>
            <w:tcW w:w="309" w:type="pct"/>
            <w:tcBorders>
              <w:top w:val="nil"/>
              <w:left w:val="nil"/>
              <w:bottom w:val="nil"/>
              <w:right w:val="double" w:sz="6" w:space="0" w:color="auto"/>
            </w:tcBorders>
            <w:shd w:val="clear" w:color="000000" w:fill="FFFFFF"/>
            <w:noWrap/>
            <w:vAlign w:val="bottom"/>
            <w:hideMark/>
          </w:tcPr>
          <w:p w14:paraId="5F4A7DED"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0.28</w:t>
            </w:r>
          </w:p>
        </w:tc>
        <w:tc>
          <w:tcPr>
            <w:tcW w:w="357" w:type="pct"/>
            <w:tcBorders>
              <w:top w:val="nil"/>
              <w:left w:val="nil"/>
              <w:bottom w:val="nil"/>
              <w:right w:val="single" w:sz="4" w:space="0" w:color="auto"/>
            </w:tcBorders>
            <w:shd w:val="clear" w:color="000000" w:fill="FFFFFF"/>
            <w:noWrap/>
            <w:vAlign w:val="bottom"/>
            <w:hideMark/>
          </w:tcPr>
          <w:p w14:paraId="47CDCB35"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18.91</w:t>
            </w:r>
          </w:p>
        </w:tc>
        <w:tc>
          <w:tcPr>
            <w:tcW w:w="332" w:type="pct"/>
            <w:tcBorders>
              <w:top w:val="nil"/>
              <w:left w:val="nil"/>
              <w:bottom w:val="nil"/>
              <w:right w:val="double" w:sz="6" w:space="0" w:color="auto"/>
            </w:tcBorders>
            <w:shd w:val="clear" w:color="000000" w:fill="FFFFFF"/>
            <w:noWrap/>
            <w:vAlign w:val="bottom"/>
            <w:hideMark/>
          </w:tcPr>
          <w:p w14:paraId="3CF98F7D"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0.25</w:t>
            </w:r>
          </w:p>
        </w:tc>
        <w:tc>
          <w:tcPr>
            <w:tcW w:w="357" w:type="pct"/>
            <w:tcBorders>
              <w:top w:val="nil"/>
              <w:left w:val="nil"/>
              <w:bottom w:val="nil"/>
              <w:right w:val="single" w:sz="4" w:space="0" w:color="auto"/>
            </w:tcBorders>
            <w:shd w:val="clear" w:color="000000" w:fill="FFFFFF"/>
            <w:noWrap/>
            <w:vAlign w:val="bottom"/>
            <w:hideMark/>
          </w:tcPr>
          <w:p w14:paraId="4D028314"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18.91</w:t>
            </w:r>
          </w:p>
        </w:tc>
        <w:tc>
          <w:tcPr>
            <w:tcW w:w="330" w:type="pct"/>
            <w:tcBorders>
              <w:top w:val="nil"/>
              <w:left w:val="nil"/>
              <w:bottom w:val="nil"/>
              <w:right w:val="double" w:sz="6" w:space="0" w:color="auto"/>
            </w:tcBorders>
            <w:shd w:val="clear" w:color="000000" w:fill="FFFFFF"/>
            <w:noWrap/>
            <w:vAlign w:val="bottom"/>
            <w:hideMark/>
          </w:tcPr>
          <w:p w14:paraId="746B79D8"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0.25</w:t>
            </w:r>
          </w:p>
        </w:tc>
      </w:tr>
      <w:tr w:rsidR="00052499" w:rsidRPr="00555FBC" w14:paraId="729C2392" w14:textId="77777777" w:rsidTr="00052499">
        <w:trPr>
          <w:trHeight w:val="198"/>
        </w:trPr>
        <w:tc>
          <w:tcPr>
            <w:tcW w:w="2302" w:type="pct"/>
            <w:tcBorders>
              <w:top w:val="nil"/>
              <w:left w:val="double" w:sz="6" w:space="0" w:color="auto"/>
              <w:bottom w:val="nil"/>
              <w:right w:val="double" w:sz="6" w:space="0" w:color="auto"/>
            </w:tcBorders>
            <w:shd w:val="clear" w:color="000000" w:fill="FFFFFF"/>
            <w:vAlign w:val="center"/>
            <w:hideMark/>
          </w:tcPr>
          <w:p w14:paraId="3ADA46DC" w14:textId="77777777" w:rsidR="00052499" w:rsidRPr="00555FBC" w:rsidRDefault="00052499" w:rsidP="00052499">
            <w:pPr>
              <w:spacing w:after="0" w:line="240" w:lineRule="auto"/>
              <w:rPr>
                <w:rFonts w:ascii="Calibri" w:eastAsia="Times New Roman" w:hAnsi="Calibri" w:cs="Calibri"/>
                <w:b/>
                <w:bCs/>
                <w:sz w:val="16"/>
                <w:szCs w:val="16"/>
              </w:rPr>
            </w:pPr>
            <w:r w:rsidRPr="00555FBC">
              <w:rPr>
                <w:rFonts w:ascii="Calibri" w:eastAsia="Times New Roman" w:hAnsi="Calibri" w:cs="Calibri"/>
                <w:b/>
                <w:bCs/>
                <w:sz w:val="16"/>
                <w:szCs w:val="16"/>
              </w:rPr>
              <w:t>Rezerve</w:t>
            </w:r>
          </w:p>
        </w:tc>
        <w:tc>
          <w:tcPr>
            <w:tcW w:w="357" w:type="pct"/>
            <w:tcBorders>
              <w:top w:val="nil"/>
              <w:left w:val="nil"/>
              <w:bottom w:val="nil"/>
              <w:right w:val="single" w:sz="4" w:space="0" w:color="auto"/>
            </w:tcBorders>
            <w:shd w:val="clear" w:color="000000" w:fill="FFFFFF"/>
            <w:noWrap/>
            <w:vAlign w:val="bottom"/>
            <w:hideMark/>
          </w:tcPr>
          <w:p w14:paraId="62DD3E7C"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3.3</w:t>
            </w:r>
          </w:p>
        </w:tc>
        <w:tc>
          <w:tcPr>
            <w:tcW w:w="296" w:type="pct"/>
            <w:tcBorders>
              <w:top w:val="nil"/>
              <w:left w:val="nil"/>
              <w:bottom w:val="nil"/>
              <w:right w:val="double" w:sz="6" w:space="0" w:color="auto"/>
            </w:tcBorders>
            <w:shd w:val="clear" w:color="000000" w:fill="FFFFFF"/>
            <w:noWrap/>
            <w:vAlign w:val="bottom"/>
            <w:hideMark/>
          </w:tcPr>
          <w:p w14:paraId="5CB30FB5"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0.05</w:t>
            </w:r>
          </w:p>
        </w:tc>
        <w:tc>
          <w:tcPr>
            <w:tcW w:w="360" w:type="pct"/>
            <w:tcBorders>
              <w:top w:val="nil"/>
              <w:left w:val="nil"/>
              <w:bottom w:val="nil"/>
              <w:right w:val="single" w:sz="4" w:space="0" w:color="auto"/>
            </w:tcBorders>
            <w:shd w:val="clear" w:color="000000" w:fill="FFFFFF"/>
            <w:noWrap/>
            <w:vAlign w:val="bottom"/>
            <w:hideMark/>
          </w:tcPr>
          <w:p w14:paraId="5C6E8BD6"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3.3</w:t>
            </w:r>
          </w:p>
        </w:tc>
        <w:tc>
          <w:tcPr>
            <w:tcW w:w="309" w:type="pct"/>
            <w:tcBorders>
              <w:top w:val="nil"/>
              <w:left w:val="nil"/>
              <w:bottom w:val="nil"/>
              <w:right w:val="double" w:sz="6" w:space="0" w:color="auto"/>
            </w:tcBorders>
            <w:shd w:val="clear" w:color="000000" w:fill="FFFFFF"/>
            <w:noWrap/>
            <w:vAlign w:val="bottom"/>
            <w:hideMark/>
          </w:tcPr>
          <w:p w14:paraId="17F77EF7"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0.05</w:t>
            </w:r>
          </w:p>
        </w:tc>
        <w:tc>
          <w:tcPr>
            <w:tcW w:w="357" w:type="pct"/>
            <w:tcBorders>
              <w:top w:val="nil"/>
              <w:left w:val="nil"/>
              <w:bottom w:val="nil"/>
              <w:right w:val="single" w:sz="4" w:space="0" w:color="auto"/>
            </w:tcBorders>
            <w:shd w:val="clear" w:color="000000" w:fill="FFFFFF"/>
            <w:noWrap/>
            <w:vAlign w:val="bottom"/>
            <w:hideMark/>
          </w:tcPr>
          <w:p w14:paraId="0CCE84A1"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3.3</w:t>
            </w:r>
          </w:p>
        </w:tc>
        <w:tc>
          <w:tcPr>
            <w:tcW w:w="332" w:type="pct"/>
            <w:tcBorders>
              <w:top w:val="nil"/>
              <w:left w:val="nil"/>
              <w:bottom w:val="nil"/>
              <w:right w:val="double" w:sz="6" w:space="0" w:color="auto"/>
            </w:tcBorders>
            <w:shd w:val="clear" w:color="000000" w:fill="FFFFFF"/>
            <w:noWrap/>
            <w:vAlign w:val="bottom"/>
            <w:hideMark/>
          </w:tcPr>
          <w:p w14:paraId="69C2BF1F"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0.04</w:t>
            </w:r>
          </w:p>
        </w:tc>
        <w:tc>
          <w:tcPr>
            <w:tcW w:w="357" w:type="pct"/>
            <w:tcBorders>
              <w:top w:val="nil"/>
              <w:left w:val="nil"/>
              <w:bottom w:val="nil"/>
              <w:right w:val="single" w:sz="4" w:space="0" w:color="auto"/>
            </w:tcBorders>
            <w:shd w:val="clear" w:color="000000" w:fill="FFFFFF"/>
            <w:noWrap/>
            <w:vAlign w:val="bottom"/>
            <w:hideMark/>
          </w:tcPr>
          <w:p w14:paraId="6F2AEFA9"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3.3</w:t>
            </w:r>
          </w:p>
        </w:tc>
        <w:tc>
          <w:tcPr>
            <w:tcW w:w="330" w:type="pct"/>
            <w:tcBorders>
              <w:top w:val="nil"/>
              <w:left w:val="nil"/>
              <w:bottom w:val="nil"/>
              <w:right w:val="double" w:sz="6" w:space="0" w:color="auto"/>
            </w:tcBorders>
            <w:shd w:val="clear" w:color="000000" w:fill="FFFFFF"/>
            <w:noWrap/>
            <w:vAlign w:val="bottom"/>
            <w:hideMark/>
          </w:tcPr>
          <w:p w14:paraId="5D3919B5"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0.04</w:t>
            </w:r>
          </w:p>
        </w:tc>
      </w:tr>
      <w:tr w:rsidR="00052499" w:rsidRPr="00555FBC" w14:paraId="01120CD9" w14:textId="77777777" w:rsidTr="00052499">
        <w:trPr>
          <w:trHeight w:val="198"/>
        </w:trPr>
        <w:tc>
          <w:tcPr>
            <w:tcW w:w="2302" w:type="pct"/>
            <w:tcBorders>
              <w:top w:val="double" w:sz="6" w:space="0" w:color="auto"/>
              <w:left w:val="double" w:sz="6" w:space="0" w:color="auto"/>
              <w:bottom w:val="double" w:sz="6" w:space="0" w:color="auto"/>
              <w:right w:val="double" w:sz="6" w:space="0" w:color="auto"/>
            </w:tcBorders>
            <w:shd w:val="clear" w:color="000000" w:fill="FFFFFF"/>
            <w:vAlign w:val="center"/>
            <w:hideMark/>
          </w:tcPr>
          <w:p w14:paraId="6B0D8AAD" w14:textId="77777777" w:rsidR="00052499" w:rsidRPr="00555FBC" w:rsidRDefault="00052499" w:rsidP="00052499">
            <w:pPr>
              <w:spacing w:after="0" w:line="240" w:lineRule="auto"/>
              <w:rPr>
                <w:rFonts w:ascii="Calibri" w:eastAsia="Times New Roman" w:hAnsi="Calibri" w:cs="Calibri"/>
                <w:sz w:val="16"/>
                <w:szCs w:val="16"/>
              </w:rPr>
            </w:pPr>
            <w:r w:rsidRPr="00555FBC">
              <w:rPr>
                <w:rFonts w:ascii="Calibri" w:eastAsia="Times New Roman" w:hAnsi="Calibri" w:cs="Calibri"/>
                <w:sz w:val="16"/>
                <w:szCs w:val="16"/>
              </w:rPr>
              <w:t>Otplata garancija</w:t>
            </w:r>
          </w:p>
        </w:tc>
        <w:tc>
          <w:tcPr>
            <w:tcW w:w="357" w:type="pct"/>
            <w:tcBorders>
              <w:top w:val="double" w:sz="6" w:space="0" w:color="auto"/>
              <w:left w:val="nil"/>
              <w:bottom w:val="double" w:sz="6" w:space="0" w:color="auto"/>
              <w:right w:val="single" w:sz="4" w:space="0" w:color="auto"/>
            </w:tcBorders>
            <w:shd w:val="clear" w:color="000000" w:fill="FFFFFF"/>
            <w:noWrap/>
            <w:vAlign w:val="bottom"/>
            <w:hideMark/>
          </w:tcPr>
          <w:p w14:paraId="018E0BC2"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0.0</w:t>
            </w:r>
          </w:p>
        </w:tc>
        <w:tc>
          <w:tcPr>
            <w:tcW w:w="296" w:type="pct"/>
            <w:tcBorders>
              <w:top w:val="double" w:sz="6" w:space="0" w:color="auto"/>
              <w:left w:val="nil"/>
              <w:bottom w:val="double" w:sz="6" w:space="0" w:color="auto"/>
              <w:right w:val="double" w:sz="6" w:space="0" w:color="auto"/>
            </w:tcBorders>
            <w:shd w:val="clear" w:color="000000" w:fill="FFFFFF"/>
            <w:noWrap/>
            <w:vAlign w:val="bottom"/>
            <w:hideMark/>
          </w:tcPr>
          <w:p w14:paraId="4165BD29"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0.00</w:t>
            </w:r>
          </w:p>
        </w:tc>
        <w:tc>
          <w:tcPr>
            <w:tcW w:w="360" w:type="pct"/>
            <w:tcBorders>
              <w:top w:val="double" w:sz="6" w:space="0" w:color="auto"/>
              <w:left w:val="nil"/>
              <w:bottom w:val="double" w:sz="6" w:space="0" w:color="auto"/>
              <w:right w:val="single" w:sz="4" w:space="0" w:color="auto"/>
            </w:tcBorders>
            <w:shd w:val="clear" w:color="000000" w:fill="FFFFFF"/>
            <w:noWrap/>
            <w:vAlign w:val="bottom"/>
            <w:hideMark/>
          </w:tcPr>
          <w:p w14:paraId="7716A3C3"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0.0</w:t>
            </w:r>
          </w:p>
        </w:tc>
        <w:tc>
          <w:tcPr>
            <w:tcW w:w="309" w:type="pct"/>
            <w:tcBorders>
              <w:top w:val="double" w:sz="6" w:space="0" w:color="auto"/>
              <w:left w:val="nil"/>
              <w:bottom w:val="double" w:sz="6" w:space="0" w:color="auto"/>
              <w:right w:val="double" w:sz="6" w:space="0" w:color="auto"/>
            </w:tcBorders>
            <w:shd w:val="clear" w:color="000000" w:fill="FFFFFF"/>
            <w:noWrap/>
            <w:vAlign w:val="bottom"/>
            <w:hideMark/>
          </w:tcPr>
          <w:p w14:paraId="3A955B4A"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0.00</w:t>
            </w:r>
          </w:p>
        </w:tc>
        <w:tc>
          <w:tcPr>
            <w:tcW w:w="357" w:type="pct"/>
            <w:tcBorders>
              <w:top w:val="double" w:sz="6" w:space="0" w:color="auto"/>
              <w:left w:val="nil"/>
              <w:bottom w:val="double" w:sz="6" w:space="0" w:color="auto"/>
              <w:right w:val="single" w:sz="4" w:space="0" w:color="auto"/>
            </w:tcBorders>
            <w:shd w:val="clear" w:color="000000" w:fill="FFFFFF"/>
            <w:noWrap/>
            <w:vAlign w:val="bottom"/>
            <w:hideMark/>
          </w:tcPr>
          <w:p w14:paraId="0EDBEBA5"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0.0</w:t>
            </w:r>
          </w:p>
        </w:tc>
        <w:tc>
          <w:tcPr>
            <w:tcW w:w="332" w:type="pct"/>
            <w:tcBorders>
              <w:top w:val="double" w:sz="6" w:space="0" w:color="auto"/>
              <w:left w:val="nil"/>
              <w:bottom w:val="double" w:sz="6" w:space="0" w:color="auto"/>
              <w:right w:val="double" w:sz="6" w:space="0" w:color="auto"/>
            </w:tcBorders>
            <w:shd w:val="clear" w:color="000000" w:fill="FFFFFF"/>
            <w:noWrap/>
            <w:vAlign w:val="bottom"/>
            <w:hideMark/>
          </w:tcPr>
          <w:p w14:paraId="25EBD08A"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0.00</w:t>
            </w:r>
          </w:p>
        </w:tc>
        <w:tc>
          <w:tcPr>
            <w:tcW w:w="357" w:type="pct"/>
            <w:tcBorders>
              <w:top w:val="double" w:sz="6" w:space="0" w:color="auto"/>
              <w:left w:val="nil"/>
              <w:bottom w:val="double" w:sz="6" w:space="0" w:color="auto"/>
              <w:right w:val="single" w:sz="4" w:space="0" w:color="auto"/>
            </w:tcBorders>
            <w:shd w:val="clear" w:color="000000" w:fill="FFFFFF"/>
            <w:noWrap/>
            <w:vAlign w:val="bottom"/>
            <w:hideMark/>
          </w:tcPr>
          <w:p w14:paraId="62AC0F6E"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0.0</w:t>
            </w:r>
          </w:p>
        </w:tc>
        <w:tc>
          <w:tcPr>
            <w:tcW w:w="330" w:type="pct"/>
            <w:tcBorders>
              <w:top w:val="double" w:sz="6" w:space="0" w:color="auto"/>
              <w:left w:val="nil"/>
              <w:bottom w:val="double" w:sz="6" w:space="0" w:color="auto"/>
              <w:right w:val="double" w:sz="6" w:space="0" w:color="auto"/>
            </w:tcBorders>
            <w:shd w:val="clear" w:color="000000" w:fill="FFFFFF"/>
            <w:noWrap/>
            <w:vAlign w:val="bottom"/>
            <w:hideMark/>
          </w:tcPr>
          <w:p w14:paraId="7DD8CBDE"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0.00</w:t>
            </w:r>
          </w:p>
        </w:tc>
      </w:tr>
      <w:tr w:rsidR="00052499" w:rsidRPr="00555FBC" w14:paraId="097CE23E" w14:textId="77777777" w:rsidTr="00052499">
        <w:trPr>
          <w:trHeight w:val="198"/>
        </w:trPr>
        <w:tc>
          <w:tcPr>
            <w:tcW w:w="2302" w:type="pct"/>
            <w:tcBorders>
              <w:top w:val="nil"/>
              <w:left w:val="double" w:sz="6" w:space="0" w:color="auto"/>
              <w:bottom w:val="double" w:sz="6" w:space="0" w:color="auto"/>
              <w:right w:val="double" w:sz="6" w:space="0" w:color="auto"/>
            </w:tcBorders>
            <w:shd w:val="clear" w:color="000000" w:fill="FFFFFF"/>
            <w:vAlign w:val="center"/>
            <w:hideMark/>
          </w:tcPr>
          <w:p w14:paraId="2C83846D" w14:textId="77777777" w:rsidR="00052499" w:rsidRPr="00555FBC" w:rsidRDefault="00052499" w:rsidP="00052499">
            <w:pPr>
              <w:spacing w:after="0" w:line="240" w:lineRule="auto"/>
              <w:rPr>
                <w:rFonts w:ascii="Calibri" w:eastAsia="Times New Roman" w:hAnsi="Calibri" w:cs="Calibri"/>
                <w:b/>
                <w:bCs/>
                <w:sz w:val="16"/>
                <w:szCs w:val="16"/>
              </w:rPr>
            </w:pPr>
            <w:r w:rsidRPr="00555FBC">
              <w:rPr>
                <w:rFonts w:ascii="Calibri" w:eastAsia="Times New Roman" w:hAnsi="Calibri" w:cs="Calibri"/>
                <w:b/>
                <w:bCs/>
                <w:sz w:val="16"/>
                <w:szCs w:val="16"/>
              </w:rPr>
              <w:t>Neto promjena obaveza</w:t>
            </w:r>
          </w:p>
        </w:tc>
        <w:tc>
          <w:tcPr>
            <w:tcW w:w="357" w:type="pct"/>
            <w:tcBorders>
              <w:top w:val="nil"/>
              <w:left w:val="nil"/>
              <w:bottom w:val="double" w:sz="6" w:space="0" w:color="auto"/>
              <w:right w:val="single" w:sz="4" w:space="0" w:color="auto"/>
            </w:tcBorders>
            <w:shd w:val="clear" w:color="000000" w:fill="FFFFFF"/>
            <w:noWrap/>
            <w:vAlign w:val="bottom"/>
            <w:hideMark/>
          </w:tcPr>
          <w:p w14:paraId="4C7C07CA"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0.0</w:t>
            </w:r>
          </w:p>
        </w:tc>
        <w:tc>
          <w:tcPr>
            <w:tcW w:w="296" w:type="pct"/>
            <w:tcBorders>
              <w:top w:val="nil"/>
              <w:left w:val="nil"/>
              <w:bottom w:val="double" w:sz="6" w:space="0" w:color="auto"/>
              <w:right w:val="double" w:sz="6" w:space="0" w:color="auto"/>
            </w:tcBorders>
            <w:shd w:val="clear" w:color="000000" w:fill="FFFFFF"/>
            <w:noWrap/>
            <w:vAlign w:val="bottom"/>
            <w:hideMark/>
          </w:tcPr>
          <w:p w14:paraId="4D43AC95"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0.00</w:t>
            </w:r>
          </w:p>
        </w:tc>
        <w:tc>
          <w:tcPr>
            <w:tcW w:w="360" w:type="pct"/>
            <w:tcBorders>
              <w:top w:val="nil"/>
              <w:left w:val="nil"/>
              <w:bottom w:val="double" w:sz="6" w:space="0" w:color="auto"/>
              <w:right w:val="single" w:sz="4" w:space="0" w:color="auto"/>
            </w:tcBorders>
            <w:shd w:val="clear" w:color="000000" w:fill="FFFFFF"/>
            <w:noWrap/>
            <w:vAlign w:val="bottom"/>
            <w:hideMark/>
          </w:tcPr>
          <w:p w14:paraId="3840AA58"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0.0</w:t>
            </w:r>
          </w:p>
        </w:tc>
        <w:tc>
          <w:tcPr>
            <w:tcW w:w="309" w:type="pct"/>
            <w:tcBorders>
              <w:top w:val="nil"/>
              <w:left w:val="nil"/>
              <w:bottom w:val="double" w:sz="6" w:space="0" w:color="auto"/>
              <w:right w:val="double" w:sz="6" w:space="0" w:color="auto"/>
            </w:tcBorders>
            <w:shd w:val="clear" w:color="000000" w:fill="FFFFFF"/>
            <w:noWrap/>
            <w:vAlign w:val="bottom"/>
            <w:hideMark/>
          </w:tcPr>
          <w:p w14:paraId="23D3C01F"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0.00</w:t>
            </w:r>
          </w:p>
        </w:tc>
        <w:tc>
          <w:tcPr>
            <w:tcW w:w="357" w:type="pct"/>
            <w:tcBorders>
              <w:top w:val="nil"/>
              <w:left w:val="nil"/>
              <w:bottom w:val="double" w:sz="6" w:space="0" w:color="auto"/>
              <w:right w:val="single" w:sz="4" w:space="0" w:color="auto"/>
            </w:tcBorders>
            <w:shd w:val="clear" w:color="000000" w:fill="FFFFFF"/>
            <w:noWrap/>
            <w:vAlign w:val="bottom"/>
            <w:hideMark/>
          </w:tcPr>
          <w:p w14:paraId="0D7E2A0D"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0.0</w:t>
            </w:r>
          </w:p>
        </w:tc>
        <w:tc>
          <w:tcPr>
            <w:tcW w:w="332" w:type="pct"/>
            <w:tcBorders>
              <w:top w:val="nil"/>
              <w:left w:val="nil"/>
              <w:bottom w:val="double" w:sz="6" w:space="0" w:color="auto"/>
              <w:right w:val="double" w:sz="6" w:space="0" w:color="auto"/>
            </w:tcBorders>
            <w:shd w:val="clear" w:color="000000" w:fill="FFFFFF"/>
            <w:noWrap/>
            <w:vAlign w:val="bottom"/>
            <w:hideMark/>
          </w:tcPr>
          <w:p w14:paraId="3C1FDE75"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0.00</w:t>
            </w:r>
          </w:p>
        </w:tc>
        <w:tc>
          <w:tcPr>
            <w:tcW w:w="357" w:type="pct"/>
            <w:tcBorders>
              <w:top w:val="nil"/>
              <w:left w:val="nil"/>
              <w:bottom w:val="double" w:sz="6" w:space="0" w:color="auto"/>
              <w:right w:val="single" w:sz="4" w:space="0" w:color="auto"/>
            </w:tcBorders>
            <w:shd w:val="clear" w:color="000000" w:fill="FFFFFF"/>
            <w:noWrap/>
            <w:vAlign w:val="bottom"/>
            <w:hideMark/>
          </w:tcPr>
          <w:p w14:paraId="2DA60F03"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0.0</w:t>
            </w:r>
          </w:p>
        </w:tc>
        <w:tc>
          <w:tcPr>
            <w:tcW w:w="330" w:type="pct"/>
            <w:tcBorders>
              <w:top w:val="nil"/>
              <w:left w:val="nil"/>
              <w:bottom w:val="double" w:sz="6" w:space="0" w:color="auto"/>
              <w:right w:val="double" w:sz="6" w:space="0" w:color="auto"/>
            </w:tcBorders>
            <w:shd w:val="clear" w:color="000000" w:fill="FFFFFF"/>
            <w:noWrap/>
            <w:vAlign w:val="bottom"/>
            <w:hideMark/>
          </w:tcPr>
          <w:p w14:paraId="569ABE21"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0.00</w:t>
            </w:r>
          </w:p>
        </w:tc>
      </w:tr>
      <w:tr w:rsidR="00052499" w:rsidRPr="00555FBC" w14:paraId="61E37B4A" w14:textId="77777777" w:rsidTr="00052499">
        <w:trPr>
          <w:trHeight w:val="198"/>
        </w:trPr>
        <w:tc>
          <w:tcPr>
            <w:tcW w:w="2302" w:type="pct"/>
            <w:tcBorders>
              <w:top w:val="nil"/>
              <w:left w:val="double" w:sz="6" w:space="0" w:color="auto"/>
              <w:bottom w:val="double" w:sz="6" w:space="0" w:color="auto"/>
              <w:right w:val="double" w:sz="6" w:space="0" w:color="auto"/>
            </w:tcBorders>
            <w:shd w:val="clear" w:color="000000" w:fill="D8E4BC"/>
            <w:vAlign w:val="center"/>
            <w:hideMark/>
          </w:tcPr>
          <w:p w14:paraId="1700075E" w14:textId="77777777" w:rsidR="00052499" w:rsidRPr="00555FBC" w:rsidRDefault="00052499" w:rsidP="00052499">
            <w:pPr>
              <w:spacing w:after="0" w:line="240" w:lineRule="auto"/>
              <w:rPr>
                <w:rFonts w:ascii="Calibri" w:eastAsia="Times New Roman" w:hAnsi="Calibri" w:cs="Calibri"/>
                <w:b/>
                <w:bCs/>
                <w:sz w:val="16"/>
                <w:szCs w:val="16"/>
              </w:rPr>
            </w:pPr>
            <w:r w:rsidRPr="00555FBC">
              <w:rPr>
                <w:rFonts w:ascii="Calibri" w:eastAsia="Times New Roman" w:hAnsi="Calibri" w:cs="Calibri"/>
                <w:b/>
                <w:bCs/>
                <w:sz w:val="16"/>
                <w:szCs w:val="16"/>
              </w:rPr>
              <w:t>Suficit/Deficit</w:t>
            </w:r>
          </w:p>
        </w:tc>
        <w:tc>
          <w:tcPr>
            <w:tcW w:w="357" w:type="pct"/>
            <w:tcBorders>
              <w:top w:val="nil"/>
              <w:left w:val="nil"/>
              <w:bottom w:val="double" w:sz="6" w:space="0" w:color="auto"/>
              <w:right w:val="nil"/>
            </w:tcBorders>
            <w:shd w:val="clear" w:color="000000" w:fill="D8E4BC"/>
            <w:noWrap/>
            <w:vAlign w:val="bottom"/>
            <w:hideMark/>
          </w:tcPr>
          <w:p w14:paraId="77276661"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-80.20</w:t>
            </w:r>
          </w:p>
        </w:tc>
        <w:tc>
          <w:tcPr>
            <w:tcW w:w="296" w:type="pct"/>
            <w:tcBorders>
              <w:top w:val="nil"/>
              <w:left w:val="single" w:sz="4" w:space="0" w:color="auto"/>
              <w:bottom w:val="double" w:sz="6" w:space="0" w:color="auto"/>
              <w:right w:val="double" w:sz="6" w:space="0" w:color="auto"/>
            </w:tcBorders>
            <w:shd w:val="clear" w:color="000000" w:fill="D8E4BC"/>
            <w:noWrap/>
            <w:vAlign w:val="bottom"/>
            <w:hideMark/>
          </w:tcPr>
          <w:p w14:paraId="3D8F9126"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-1.24</w:t>
            </w:r>
          </w:p>
        </w:tc>
        <w:tc>
          <w:tcPr>
            <w:tcW w:w="360" w:type="pct"/>
            <w:tcBorders>
              <w:top w:val="nil"/>
              <w:left w:val="nil"/>
              <w:bottom w:val="double" w:sz="6" w:space="0" w:color="auto"/>
              <w:right w:val="nil"/>
            </w:tcBorders>
            <w:shd w:val="clear" w:color="000000" w:fill="D8E4BC"/>
            <w:noWrap/>
            <w:vAlign w:val="bottom"/>
            <w:hideMark/>
          </w:tcPr>
          <w:p w14:paraId="47C026A9"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-41.07</w:t>
            </w:r>
          </w:p>
        </w:tc>
        <w:tc>
          <w:tcPr>
            <w:tcW w:w="309" w:type="pct"/>
            <w:tcBorders>
              <w:top w:val="nil"/>
              <w:left w:val="single" w:sz="4" w:space="0" w:color="auto"/>
              <w:bottom w:val="double" w:sz="6" w:space="0" w:color="auto"/>
              <w:right w:val="double" w:sz="6" w:space="0" w:color="auto"/>
            </w:tcBorders>
            <w:shd w:val="clear" w:color="000000" w:fill="D8E4BC"/>
            <w:noWrap/>
            <w:vAlign w:val="bottom"/>
            <w:hideMark/>
          </w:tcPr>
          <w:p w14:paraId="319802A7"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-0.58</w:t>
            </w:r>
          </w:p>
        </w:tc>
        <w:tc>
          <w:tcPr>
            <w:tcW w:w="357" w:type="pct"/>
            <w:tcBorders>
              <w:top w:val="nil"/>
              <w:left w:val="nil"/>
              <w:bottom w:val="double" w:sz="6" w:space="0" w:color="auto"/>
              <w:right w:val="nil"/>
            </w:tcBorders>
            <w:shd w:val="clear" w:color="000000" w:fill="D8E4BC"/>
            <w:noWrap/>
            <w:vAlign w:val="bottom"/>
            <w:hideMark/>
          </w:tcPr>
          <w:p w14:paraId="2FAA91AB"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-30.79</w:t>
            </w:r>
          </w:p>
        </w:tc>
        <w:tc>
          <w:tcPr>
            <w:tcW w:w="332" w:type="pct"/>
            <w:tcBorders>
              <w:top w:val="nil"/>
              <w:left w:val="single" w:sz="4" w:space="0" w:color="auto"/>
              <w:bottom w:val="double" w:sz="6" w:space="0" w:color="auto"/>
              <w:right w:val="double" w:sz="6" w:space="0" w:color="auto"/>
            </w:tcBorders>
            <w:shd w:val="clear" w:color="000000" w:fill="D8E4BC"/>
            <w:noWrap/>
            <w:vAlign w:val="bottom"/>
            <w:hideMark/>
          </w:tcPr>
          <w:p w14:paraId="3DA30E29"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-0.41</w:t>
            </w:r>
          </w:p>
        </w:tc>
        <w:tc>
          <w:tcPr>
            <w:tcW w:w="357" w:type="pct"/>
            <w:tcBorders>
              <w:top w:val="nil"/>
              <w:left w:val="nil"/>
              <w:bottom w:val="double" w:sz="6" w:space="0" w:color="auto"/>
              <w:right w:val="nil"/>
            </w:tcBorders>
            <w:shd w:val="clear" w:color="000000" w:fill="D8E4BC"/>
            <w:noWrap/>
            <w:vAlign w:val="bottom"/>
            <w:hideMark/>
          </w:tcPr>
          <w:p w14:paraId="336307D9"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-26.32</w:t>
            </w:r>
          </w:p>
        </w:tc>
        <w:tc>
          <w:tcPr>
            <w:tcW w:w="330" w:type="pct"/>
            <w:tcBorders>
              <w:top w:val="nil"/>
              <w:left w:val="single" w:sz="4" w:space="0" w:color="auto"/>
              <w:bottom w:val="double" w:sz="6" w:space="0" w:color="auto"/>
              <w:right w:val="double" w:sz="6" w:space="0" w:color="auto"/>
            </w:tcBorders>
            <w:shd w:val="clear" w:color="000000" w:fill="D8E4BC"/>
            <w:noWrap/>
            <w:vAlign w:val="bottom"/>
            <w:hideMark/>
          </w:tcPr>
          <w:p w14:paraId="7930D836"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-0.35</w:t>
            </w:r>
          </w:p>
        </w:tc>
      </w:tr>
      <w:tr w:rsidR="00052499" w:rsidRPr="00555FBC" w14:paraId="361426C3" w14:textId="77777777" w:rsidTr="00052499">
        <w:trPr>
          <w:trHeight w:val="198"/>
        </w:trPr>
        <w:tc>
          <w:tcPr>
            <w:tcW w:w="2302" w:type="pct"/>
            <w:tcBorders>
              <w:top w:val="nil"/>
              <w:left w:val="double" w:sz="6" w:space="0" w:color="auto"/>
              <w:bottom w:val="double" w:sz="6" w:space="0" w:color="auto"/>
              <w:right w:val="double" w:sz="6" w:space="0" w:color="auto"/>
            </w:tcBorders>
            <w:shd w:val="clear" w:color="000000" w:fill="D8E4BC"/>
            <w:vAlign w:val="center"/>
            <w:hideMark/>
          </w:tcPr>
          <w:p w14:paraId="6EFDA078" w14:textId="77777777" w:rsidR="00052499" w:rsidRPr="00555FBC" w:rsidRDefault="00052499" w:rsidP="00052499">
            <w:pPr>
              <w:spacing w:after="0" w:line="240" w:lineRule="auto"/>
              <w:rPr>
                <w:rFonts w:ascii="Calibri" w:eastAsia="Times New Roman" w:hAnsi="Calibri" w:cs="Calibri"/>
                <w:b/>
                <w:bCs/>
                <w:sz w:val="16"/>
                <w:szCs w:val="16"/>
              </w:rPr>
            </w:pPr>
            <w:r w:rsidRPr="00555FBC">
              <w:rPr>
                <w:rFonts w:ascii="Calibri" w:eastAsia="Times New Roman" w:hAnsi="Calibri" w:cs="Calibri"/>
                <w:b/>
                <w:bCs/>
                <w:sz w:val="16"/>
                <w:szCs w:val="16"/>
              </w:rPr>
              <w:t>Korigovani suficit/deficit</w:t>
            </w:r>
          </w:p>
        </w:tc>
        <w:tc>
          <w:tcPr>
            <w:tcW w:w="357" w:type="pct"/>
            <w:tcBorders>
              <w:top w:val="nil"/>
              <w:left w:val="nil"/>
              <w:bottom w:val="double" w:sz="6" w:space="0" w:color="auto"/>
              <w:right w:val="nil"/>
            </w:tcBorders>
            <w:shd w:val="clear" w:color="000000" w:fill="D8E4BC"/>
            <w:noWrap/>
            <w:vAlign w:val="bottom"/>
            <w:hideMark/>
          </w:tcPr>
          <w:p w14:paraId="13020C97"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-80.20</w:t>
            </w:r>
          </w:p>
        </w:tc>
        <w:tc>
          <w:tcPr>
            <w:tcW w:w="296" w:type="pct"/>
            <w:tcBorders>
              <w:top w:val="nil"/>
              <w:left w:val="single" w:sz="4" w:space="0" w:color="auto"/>
              <w:bottom w:val="double" w:sz="6" w:space="0" w:color="auto"/>
              <w:right w:val="double" w:sz="6" w:space="0" w:color="auto"/>
            </w:tcBorders>
            <w:shd w:val="clear" w:color="000000" w:fill="D8E4BC"/>
            <w:noWrap/>
            <w:vAlign w:val="bottom"/>
            <w:hideMark/>
          </w:tcPr>
          <w:p w14:paraId="50A9AD09"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-1.24</w:t>
            </w:r>
          </w:p>
        </w:tc>
        <w:tc>
          <w:tcPr>
            <w:tcW w:w="360" w:type="pct"/>
            <w:tcBorders>
              <w:top w:val="nil"/>
              <w:left w:val="nil"/>
              <w:bottom w:val="double" w:sz="6" w:space="0" w:color="auto"/>
              <w:right w:val="nil"/>
            </w:tcBorders>
            <w:shd w:val="clear" w:color="000000" w:fill="D8E4BC"/>
            <w:noWrap/>
            <w:vAlign w:val="bottom"/>
            <w:hideMark/>
          </w:tcPr>
          <w:p w14:paraId="1860043E"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-41.07</w:t>
            </w:r>
          </w:p>
        </w:tc>
        <w:tc>
          <w:tcPr>
            <w:tcW w:w="309" w:type="pct"/>
            <w:tcBorders>
              <w:top w:val="nil"/>
              <w:left w:val="single" w:sz="4" w:space="0" w:color="auto"/>
              <w:bottom w:val="double" w:sz="6" w:space="0" w:color="auto"/>
              <w:right w:val="double" w:sz="6" w:space="0" w:color="auto"/>
            </w:tcBorders>
            <w:shd w:val="clear" w:color="000000" w:fill="D8E4BC"/>
            <w:noWrap/>
            <w:vAlign w:val="bottom"/>
            <w:hideMark/>
          </w:tcPr>
          <w:p w14:paraId="368F8D6D"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-0.58</w:t>
            </w:r>
          </w:p>
        </w:tc>
        <w:tc>
          <w:tcPr>
            <w:tcW w:w="357" w:type="pct"/>
            <w:tcBorders>
              <w:top w:val="nil"/>
              <w:left w:val="nil"/>
              <w:bottom w:val="double" w:sz="6" w:space="0" w:color="auto"/>
              <w:right w:val="nil"/>
            </w:tcBorders>
            <w:shd w:val="clear" w:color="000000" w:fill="D8E4BC"/>
            <w:noWrap/>
            <w:vAlign w:val="bottom"/>
            <w:hideMark/>
          </w:tcPr>
          <w:p w14:paraId="3C314C57"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-30.79</w:t>
            </w:r>
          </w:p>
        </w:tc>
        <w:tc>
          <w:tcPr>
            <w:tcW w:w="332" w:type="pct"/>
            <w:tcBorders>
              <w:top w:val="nil"/>
              <w:left w:val="single" w:sz="4" w:space="0" w:color="auto"/>
              <w:bottom w:val="double" w:sz="6" w:space="0" w:color="auto"/>
              <w:right w:val="double" w:sz="6" w:space="0" w:color="auto"/>
            </w:tcBorders>
            <w:shd w:val="clear" w:color="000000" w:fill="D8E4BC"/>
            <w:noWrap/>
            <w:vAlign w:val="bottom"/>
            <w:hideMark/>
          </w:tcPr>
          <w:p w14:paraId="4A4A72DB"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-0.41</w:t>
            </w:r>
          </w:p>
        </w:tc>
        <w:tc>
          <w:tcPr>
            <w:tcW w:w="357" w:type="pct"/>
            <w:tcBorders>
              <w:top w:val="nil"/>
              <w:left w:val="nil"/>
              <w:bottom w:val="double" w:sz="6" w:space="0" w:color="auto"/>
              <w:right w:val="nil"/>
            </w:tcBorders>
            <w:shd w:val="clear" w:color="000000" w:fill="D8E4BC"/>
            <w:noWrap/>
            <w:vAlign w:val="bottom"/>
            <w:hideMark/>
          </w:tcPr>
          <w:p w14:paraId="25251FD1"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-26.32</w:t>
            </w:r>
          </w:p>
        </w:tc>
        <w:tc>
          <w:tcPr>
            <w:tcW w:w="330" w:type="pct"/>
            <w:tcBorders>
              <w:top w:val="nil"/>
              <w:left w:val="single" w:sz="4" w:space="0" w:color="auto"/>
              <w:bottom w:val="double" w:sz="6" w:space="0" w:color="auto"/>
              <w:right w:val="double" w:sz="6" w:space="0" w:color="auto"/>
            </w:tcBorders>
            <w:shd w:val="clear" w:color="000000" w:fill="D8E4BC"/>
            <w:noWrap/>
            <w:vAlign w:val="bottom"/>
            <w:hideMark/>
          </w:tcPr>
          <w:p w14:paraId="1C4249C1"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-0.35</w:t>
            </w:r>
          </w:p>
        </w:tc>
      </w:tr>
      <w:tr w:rsidR="00052499" w:rsidRPr="00555FBC" w14:paraId="451AB6F3" w14:textId="77777777" w:rsidTr="00052499">
        <w:trPr>
          <w:trHeight w:val="198"/>
        </w:trPr>
        <w:tc>
          <w:tcPr>
            <w:tcW w:w="2302" w:type="pct"/>
            <w:tcBorders>
              <w:top w:val="nil"/>
              <w:left w:val="double" w:sz="6" w:space="0" w:color="auto"/>
              <w:bottom w:val="double" w:sz="6" w:space="0" w:color="auto"/>
              <w:right w:val="double" w:sz="6" w:space="0" w:color="auto"/>
            </w:tcBorders>
            <w:shd w:val="clear" w:color="000000" w:fill="D8E4BC"/>
            <w:vAlign w:val="center"/>
            <w:hideMark/>
          </w:tcPr>
          <w:p w14:paraId="3E1FE2C7" w14:textId="77777777" w:rsidR="00052499" w:rsidRPr="00555FBC" w:rsidRDefault="00052499" w:rsidP="00052499">
            <w:pPr>
              <w:spacing w:after="0" w:line="240" w:lineRule="auto"/>
              <w:rPr>
                <w:rFonts w:ascii="Calibri" w:eastAsia="Times New Roman" w:hAnsi="Calibri" w:cs="Calibri"/>
                <w:b/>
                <w:bCs/>
                <w:sz w:val="16"/>
                <w:szCs w:val="16"/>
              </w:rPr>
            </w:pPr>
            <w:r w:rsidRPr="00555FBC">
              <w:rPr>
                <w:rFonts w:ascii="Calibri" w:eastAsia="Times New Roman" w:hAnsi="Calibri" w:cs="Calibri"/>
                <w:b/>
                <w:bCs/>
                <w:sz w:val="16"/>
                <w:szCs w:val="16"/>
              </w:rPr>
              <w:t>Primarni suficit/deficit</w:t>
            </w:r>
          </w:p>
        </w:tc>
        <w:tc>
          <w:tcPr>
            <w:tcW w:w="357" w:type="pct"/>
            <w:tcBorders>
              <w:top w:val="nil"/>
              <w:left w:val="nil"/>
              <w:bottom w:val="double" w:sz="6" w:space="0" w:color="auto"/>
              <w:right w:val="nil"/>
            </w:tcBorders>
            <w:shd w:val="clear" w:color="000000" w:fill="D8E4BC"/>
            <w:noWrap/>
            <w:vAlign w:val="bottom"/>
            <w:hideMark/>
          </w:tcPr>
          <w:p w14:paraId="684BC142"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-77.40</w:t>
            </w:r>
          </w:p>
        </w:tc>
        <w:tc>
          <w:tcPr>
            <w:tcW w:w="296" w:type="pct"/>
            <w:tcBorders>
              <w:top w:val="nil"/>
              <w:left w:val="single" w:sz="4" w:space="0" w:color="auto"/>
              <w:bottom w:val="double" w:sz="6" w:space="0" w:color="auto"/>
              <w:right w:val="double" w:sz="6" w:space="0" w:color="auto"/>
            </w:tcBorders>
            <w:shd w:val="clear" w:color="000000" w:fill="D8E4BC"/>
            <w:noWrap/>
            <w:vAlign w:val="bottom"/>
            <w:hideMark/>
          </w:tcPr>
          <w:p w14:paraId="3D42006E"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-1.20</w:t>
            </w:r>
          </w:p>
        </w:tc>
        <w:tc>
          <w:tcPr>
            <w:tcW w:w="360" w:type="pct"/>
            <w:tcBorders>
              <w:top w:val="nil"/>
              <w:left w:val="nil"/>
              <w:bottom w:val="double" w:sz="6" w:space="0" w:color="auto"/>
              <w:right w:val="nil"/>
            </w:tcBorders>
            <w:shd w:val="clear" w:color="000000" w:fill="D8E4BC"/>
            <w:noWrap/>
            <w:vAlign w:val="bottom"/>
            <w:hideMark/>
          </w:tcPr>
          <w:p w14:paraId="281754AE"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-38.27</w:t>
            </w:r>
          </w:p>
        </w:tc>
        <w:tc>
          <w:tcPr>
            <w:tcW w:w="309" w:type="pct"/>
            <w:tcBorders>
              <w:top w:val="nil"/>
              <w:left w:val="single" w:sz="4" w:space="0" w:color="auto"/>
              <w:bottom w:val="double" w:sz="6" w:space="0" w:color="auto"/>
              <w:right w:val="double" w:sz="6" w:space="0" w:color="auto"/>
            </w:tcBorders>
            <w:shd w:val="clear" w:color="000000" w:fill="D8E4BC"/>
            <w:noWrap/>
            <w:vAlign w:val="bottom"/>
            <w:hideMark/>
          </w:tcPr>
          <w:p w14:paraId="22184D16"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-0.54</w:t>
            </w:r>
          </w:p>
        </w:tc>
        <w:tc>
          <w:tcPr>
            <w:tcW w:w="357" w:type="pct"/>
            <w:tcBorders>
              <w:top w:val="nil"/>
              <w:left w:val="nil"/>
              <w:bottom w:val="double" w:sz="6" w:space="0" w:color="auto"/>
              <w:right w:val="nil"/>
            </w:tcBorders>
            <w:shd w:val="clear" w:color="000000" w:fill="D8E4BC"/>
            <w:noWrap/>
            <w:vAlign w:val="bottom"/>
            <w:hideMark/>
          </w:tcPr>
          <w:p w14:paraId="19520F79"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-27.96</w:t>
            </w:r>
          </w:p>
        </w:tc>
        <w:tc>
          <w:tcPr>
            <w:tcW w:w="332" w:type="pct"/>
            <w:tcBorders>
              <w:top w:val="nil"/>
              <w:left w:val="single" w:sz="4" w:space="0" w:color="auto"/>
              <w:bottom w:val="double" w:sz="6" w:space="0" w:color="auto"/>
              <w:right w:val="double" w:sz="6" w:space="0" w:color="auto"/>
            </w:tcBorders>
            <w:shd w:val="clear" w:color="000000" w:fill="D8E4BC"/>
            <w:noWrap/>
            <w:vAlign w:val="bottom"/>
            <w:hideMark/>
          </w:tcPr>
          <w:p w14:paraId="7C285D8F"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-0.38</w:t>
            </w:r>
          </w:p>
        </w:tc>
        <w:tc>
          <w:tcPr>
            <w:tcW w:w="357" w:type="pct"/>
            <w:tcBorders>
              <w:top w:val="nil"/>
              <w:left w:val="nil"/>
              <w:bottom w:val="double" w:sz="6" w:space="0" w:color="auto"/>
              <w:right w:val="nil"/>
            </w:tcBorders>
            <w:shd w:val="clear" w:color="000000" w:fill="D8E4BC"/>
            <w:noWrap/>
            <w:vAlign w:val="bottom"/>
            <w:hideMark/>
          </w:tcPr>
          <w:p w14:paraId="339A3787"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-23.38</w:t>
            </w:r>
          </w:p>
        </w:tc>
        <w:tc>
          <w:tcPr>
            <w:tcW w:w="330" w:type="pct"/>
            <w:tcBorders>
              <w:top w:val="nil"/>
              <w:left w:val="single" w:sz="4" w:space="0" w:color="auto"/>
              <w:bottom w:val="double" w:sz="6" w:space="0" w:color="auto"/>
              <w:right w:val="double" w:sz="6" w:space="0" w:color="auto"/>
            </w:tcBorders>
            <w:shd w:val="clear" w:color="000000" w:fill="D8E4BC"/>
            <w:noWrap/>
            <w:vAlign w:val="bottom"/>
            <w:hideMark/>
          </w:tcPr>
          <w:p w14:paraId="3E510432"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-0.31</w:t>
            </w:r>
          </w:p>
        </w:tc>
      </w:tr>
      <w:tr w:rsidR="00052499" w:rsidRPr="00555FBC" w14:paraId="74813785" w14:textId="77777777" w:rsidTr="00052499">
        <w:trPr>
          <w:trHeight w:val="198"/>
        </w:trPr>
        <w:tc>
          <w:tcPr>
            <w:tcW w:w="2302" w:type="pct"/>
            <w:tcBorders>
              <w:top w:val="nil"/>
              <w:left w:val="double" w:sz="6" w:space="0" w:color="auto"/>
              <w:bottom w:val="double" w:sz="6" w:space="0" w:color="auto"/>
              <w:right w:val="double" w:sz="6" w:space="0" w:color="auto"/>
            </w:tcBorders>
            <w:shd w:val="clear" w:color="000000" w:fill="D8E4BC"/>
            <w:vAlign w:val="center"/>
            <w:hideMark/>
          </w:tcPr>
          <w:p w14:paraId="2CE95861" w14:textId="77777777" w:rsidR="00052499" w:rsidRPr="00555FBC" w:rsidRDefault="00052499" w:rsidP="00052499">
            <w:pPr>
              <w:spacing w:after="0" w:line="240" w:lineRule="auto"/>
              <w:rPr>
                <w:rFonts w:ascii="Calibri" w:eastAsia="Times New Roman" w:hAnsi="Calibri" w:cs="Calibri"/>
                <w:b/>
                <w:bCs/>
                <w:sz w:val="16"/>
                <w:szCs w:val="16"/>
              </w:rPr>
            </w:pPr>
            <w:r w:rsidRPr="00555FBC">
              <w:rPr>
                <w:rFonts w:ascii="Calibri" w:eastAsia="Times New Roman" w:hAnsi="Calibri" w:cs="Calibri"/>
                <w:b/>
                <w:bCs/>
                <w:sz w:val="16"/>
                <w:szCs w:val="16"/>
              </w:rPr>
              <w:t>Otplata duga</w:t>
            </w:r>
          </w:p>
        </w:tc>
        <w:tc>
          <w:tcPr>
            <w:tcW w:w="357" w:type="pct"/>
            <w:tcBorders>
              <w:top w:val="nil"/>
              <w:left w:val="nil"/>
              <w:bottom w:val="double" w:sz="6" w:space="0" w:color="auto"/>
              <w:right w:val="nil"/>
            </w:tcBorders>
            <w:shd w:val="clear" w:color="000000" w:fill="D8E4BC"/>
            <w:noWrap/>
            <w:vAlign w:val="bottom"/>
            <w:hideMark/>
          </w:tcPr>
          <w:p w14:paraId="0EF03B63"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12.19</w:t>
            </w:r>
          </w:p>
        </w:tc>
        <w:tc>
          <w:tcPr>
            <w:tcW w:w="296" w:type="pct"/>
            <w:tcBorders>
              <w:top w:val="nil"/>
              <w:left w:val="single" w:sz="4" w:space="0" w:color="auto"/>
              <w:bottom w:val="double" w:sz="6" w:space="0" w:color="auto"/>
              <w:right w:val="double" w:sz="6" w:space="0" w:color="auto"/>
            </w:tcBorders>
            <w:shd w:val="clear" w:color="000000" w:fill="D8E4BC"/>
            <w:noWrap/>
            <w:vAlign w:val="bottom"/>
            <w:hideMark/>
          </w:tcPr>
          <w:p w14:paraId="3122F6A5"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0.19</w:t>
            </w:r>
          </w:p>
        </w:tc>
        <w:tc>
          <w:tcPr>
            <w:tcW w:w="360" w:type="pct"/>
            <w:tcBorders>
              <w:top w:val="nil"/>
              <w:left w:val="nil"/>
              <w:bottom w:val="double" w:sz="6" w:space="0" w:color="auto"/>
              <w:right w:val="nil"/>
            </w:tcBorders>
            <w:shd w:val="clear" w:color="000000" w:fill="D8E4BC"/>
            <w:noWrap/>
            <w:vAlign w:val="bottom"/>
            <w:hideMark/>
          </w:tcPr>
          <w:p w14:paraId="255CDBD4"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13.32</w:t>
            </w:r>
          </w:p>
        </w:tc>
        <w:tc>
          <w:tcPr>
            <w:tcW w:w="309" w:type="pct"/>
            <w:tcBorders>
              <w:top w:val="nil"/>
              <w:left w:val="single" w:sz="4" w:space="0" w:color="auto"/>
              <w:bottom w:val="double" w:sz="6" w:space="0" w:color="auto"/>
              <w:right w:val="double" w:sz="6" w:space="0" w:color="auto"/>
            </w:tcBorders>
            <w:shd w:val="clear" w:color="000000" w:fill="D8E4BC"/>
            <w:noWrap/>
            <w:vAlign w:val="bottom"/>
            <w:hideMark/>
          </w:tcPr>
          <w:p w14:paraId="766A1D38"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0.19</w:t>
            </w:r>
          </w:p>
        </w:tc>
        <w:tc>
          <w:tcPr>
            <w:tcW w:w="357" w:type="pct"/>
            <w:tcBorders>
              <w:top w:val="nil"/>
              <w:left w:val="nil"/>
              <w:bottom w:val="double" w:sz="6" w:space="0" w:color="auto"/>
              <w:right w:val="nil"/>
            </w:tcBorders>
            <w:shd w:val="clear" w:color="000000" w:fill="D8E4BC"/>
            <w:noWrap/>
            <w:vAlign w:val="bottom"/>
            <w:hideMark/>
          </w:tcPr>
          <w:p w14:paraId="5FEFD8F0"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14.57</w:t>
            </w:r>
          </w:p>
        </w:tc>
        <w:tc>
          <w:tcPr>
            <w:tcW w:w="332" w:type="pct"/>
            <w:tcBorders>
              <w:top w:val="nil"/>
              <w:left w:val="single" w:sz="4" w:space="0" w:color="auto"/>
              <w:bottom w:val="double" w:sz="6" w:space="0" w:color="auto"/>
              <w:right w:val="double" w:sz="6" w:space="0" w:color="auto"/>
            </w:tcBorders>
            <w:shd w:val="clear" w:color="000000" w:fill="D8E4BC"/>
            <w:noWrap/>
            <w:vAlign w:val="bottom"/>
            <w:hideMark/>
          </w:tcPr>
          <w:p w14:paraId="0F626919"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0.20</w:t>
            </w:r>
          </w:p>
        </w:tc>
        <w:tc>
          <w:tcPr>
            <w:tcW w:w="357" w:type="pct"/>
            <w:tcBorders>
              <w:top w:val="nil"/>
              <w:left w:val="nil"/>
              <w:bottom w:val="double" w:sz="6" w:space="0" w:color="auto"/>
              <w:right w:val="nil"/>
            </w:tcBorders>
            <w:shd w:val="clear" w:color="000000" w:fill="D8E4BC"/>
            <w:noWrap/>
            <w:vAlign w:val="bottom"/>
            <w:hideMark/>
          </w:tcPr>
          <w:p w14:paraId="4D66ABDD"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15.15</w:t>
            </w:r>
          </w:p>
        </w:tc>
        <w:tc>
          <w:tcPr>
            <w:tcW w:w="330" w:type="pct"/>
            <w:tcBorders>
              <w:top w:val="nil"/>
              <w:left w:val="single" w:sz="4" w:space="0" w:color="auto"/>
              <w:bottom w:val="double" w:sz="6" w:space="0" w:color="auto"/>
              <w:right w:val="double" w:sz="6" w:space="0" w:color="auto"/>
            </w:tcBorders>
            <w:shd w:val="clear" w:color="000000" w:fill="D8E4BC"/>
            <w:noWrap/>
            <w:vAlign w:val="bottom"/>
            <w:hideMark/>
          </w:tcPr>
          <w:p w14:paraId="76DC1792"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0.20</w:t>
            </w:r>
          </w:p>
        </w:tc>
      </w:tr>
      <w:tr w:rsidR="00052499" w:rsidRPr="00555FBC" w14:paraId="4FE12BE1" w14:textId="77777777" w:rsidTr="00052499">
        <w:trPr>
          <w:trHeight w:val="198"/>
        </w:trPr>
        <w:tc>
          <w:tcPr>
            <w:tcW w:w="2302" w:type="pct"/>
            <w:tcBorders>
              <w:top w:val="nil"/>
              <w:left w:val="double" w:sz="6" w:space="0" w:color="auto"/>
              <w:bottom w:val="nil"/>
              <w:right w:val="double" w:sz="6" w:space="0" w:color="auto"/>
            </w:tcBorders>
            <w:shd w:val="clear" w:color="000000" w:fill="FFFFFF"/>
            <w:vAlign w:val="center"/>
            <w:hideMark/>
          </w:tcPr>
          <w:p w14:paraId="1C3BD058" w14:textId="77777777" w:rsidR="00052499" w:rsidRPr="00555FBC" w:rsidRDefault="00052499" w:rsidP="00052499">
            <w:pPr>
              <w:spacing w:after="0" w:line="240" w:lineRule="auto"/>
              <w:rPr>
                <w:rFonts w:ascii="Calibri" w:eastAsia="Times New Roman" w:hAnsi="Calibri" w:cs="Calibri"/>
                <w:sz w:val="16"/>
                <w:szCs w:val="16"/>
              </w:rPr>
            </w:pPr>
            <w:r w:rsidRPr="00555FBC">
              <w:rPr>
                <w:rFonts w:ascii="Calibri" w:eastAsia="Times New Roman" w:hAnsi="Calibri" w:cs="Calibri"/>
                <w:sz w:val="16"/>
                <w:szCs w:val="16"/>
              </w:rPr>
              <w:t>Otplata duga rezidentima</w:t>
            </w:r>
          </w:p>
        </w:tc>
        <w:tc>
          <w:tcPr>
            <w:tcW w:w="357" w:type="pct"/>
            <w:tcBorders>
              <w:top w:val="nil"/>
              <w:left w:val="nil"/>
              <w:bottom w:val="nil"/>
              <w:right w:val="single" w:sz="4" w:space="0" w:color="auto"/>
            </w:tcBorders>
            <w:shd w:val="clear" w:color="000000" w:fill="FFFFFF"/>
            <w:noWrap/>
            <w:vAlign w:val="bottom"/>
            <w:hideMark/>
          </w:tcPr>
          <w:p w14:paraId="3DB49084" w14:textId="77777777" w:rsidR="00052499" w:rsidRPr="00555FBC" w:rsidRDefault="00052499" w:rsidP="00052499">
            <w:pPr>
              <w:spacing w:after="0" w:line="240" w:lineRule="auto"/>
              <w:jc w:val="right"/>
              <w:rPr>
                <w:rFonts w:ascii="Calibri" w:eastAsia="Times New Roman" w:hAnsi="Calibri" w:cs="Calibri"/>
                <w:sz w:val="16"/>
                <w:szCs w:val="16"/>
              </w:rPr>
            </w:pPr>
            <w:r w:rsidRPr="00555FBC">
              <w:rPr>
                <w:rFonts w:ascii="Calibri" w:eastAsia="Times New Roman" w:hAnsi="Calibri" w:cs="Calibri"/>
                <w:sz w:val="16"/>
                <w:szCs w:val="16"/>
              </w:rPr>
              <w:t>9.5</w:t>
            </w:r>
          </w:p>
        </w:tc>
        <w:tc>
          <w:tcPr>
            <w:tcW w:w="296" w:type="pct"/>
            <w:tcBorders>
              <w:top w:val="nil"/>
              <w:left w:val="nil"/>
              <w:bottom w:val="nil"/>
              <w:right w:val="double" w:sz="6" w:space="0" w:color="auto"/>
            </w:tcBorders>
            <w:shd w:val="clear" w:color="000000" w:fill="FFFFFF"/>
            <w:noWrap/>
            <w:vAlign w:val="bottom"/>
            <w:hideMark/>
          </w:tcPr>
          <w:p w14:paraId="5318FBE8"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0.15</w:t>
            </w:r>
          </w:p>
        </w:tc>
        <w:tc>
          <w:tcPr>
            <w:tcW w:w="360" w:type="pct"/>
            <w:tcBorders>
              <w:top w:val="nil"/>
              <w:left w:val="nil"/>
              <w:bottom w:val="nil"/>
              <w:right w:val="single" w:sz="4" w:space="0" w:color="auto"/>
            </w:tcBorders>
            <w:shd w:val="clear" w:color="000000" w:fill="FFFFFF"/>
            <w:noWrap/>
            <w:vAlign w:val="bottom"/>
            <w:hideMark/>
          </w:tcPr>
          <w:p w14:paraId="0084D8F7" w14:textId="77777777" w:rsidR="00052499" w:rsidRPr="00555FBC" w:rsidRDefault="00052499" w:rsidP="00052499">
            <w:pPr>
              <w:spacing w:after="0" w:line="240" w:lineRule="auto"/>
              <w:jc w:val="right"/>
              <w:rPr>
                <w:rFonts w:ascii="Calibri" w:eastAsia="Times New Roman" w:hAnsi="Calibri" w:cs="Calibri"/>
                <w:sz w:val="16"/>
                <w:szCs w:val="16"/>
              </w:rPr>
            </w:pPr>
            <w:r w:rsidRPr="00555FBC">
              <w:rPr>
                <w:rFonts w:ascii="Calibri" w:eastAsia="Times New Roman" w:hAnsi="Calibri" w:cs="Calibri"/>
                <w:sz w:val="16"/>
                <w:szCs w:val="16"/>
              </w:rPr>
              <w:t>10.1</w:t>
            </w:r>
          </w:p>
        </w:tc>
        <w:tc>
          <w:tcPr>
            <w:tcW w:w="309" w:type="pct"/>
            <w:tcBorders>
              <w:top w:val="nil"/>
              <w:left w:val="nil"/>
              <w:bottom w:val="nil"/>
              <w:right w:val="double" w:sz="6" w:space="0" w:color="auto"/>
            </w:tcBorders>
            <w:shd w:val="clear" w:color="000000" w:fill="FFFFFF"/>
            <w:noWrap/>
            <w:vAlign w:val="bottom"/>
            <w:hideMark/>
          </w:tcPr>
          <w:p w14:paraId="03841B81"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0.14</w:t>
            </w:r>
          </w:p>
        </w:tc>
        <w:tc>
          <w:tcPr>
            <w:tcW w:w="357" w:type="pct"/>
            <w:tcBorders>
              <w:top w:val="nil"/>
              <w:left w:val="nil"/>
              <w:bottom w:val="nil"/>
              <w:right w:val="single" w:sz="4" w:space="0" w:color="auto"/>
            </w:tcBorders>
            <w:shd w:val="clear" w:color="000000" w:fill="FFFFFF"/>
            <w:noWrap/>
            <w:vAlign w:val="bottom"/>
            <w:hideMark/>
          </w:tcPr>
          <w:p w14:paraId="7E1FD7F0" w14:textId="77777777" w:rsidR="00052499" w:rsidRPr="00555FBC" w:rsidRDefault="00052499" w:rsidP="00052499">
            <w:pPr>
              <w:spacing w:after="0" w:line="240" w:lineRule="auto"/>
              <w:jc w:val="right"/>
              <w:rPr>
                <w:rFonts w:ascii="Calibri" w:eastAsia="Times New Roman" w:hAnsi="Calibri" w:cs="Calibri"/>
                <w:sz w:val="16"/>
                <w:szCs w:val="16"/>
              </w:rPr>
            </w:pPr>
            <w:r w:rsidRPr="00555FBC">
              <w:rPr>
                <w:rFonts w:ascii="Calibri" w:eastAsia="Times New Roman" w:hAnsi="Calibri" w:cs="Calibri"/>
                <w:sz w:val="16"/>
                <w:szCs w:val="16"/>
              </w:rPr>
              <w:t>10.8</w:t>
            </w:r>
          </w:p>
        </w:tc>
        <w:tc>
          <w:tcPr>
            <w:tcW w:w="332" w:type="pct"/>
            <w:tcBorders>
              <w:top w:val="nil"/>
              <w:left w:val="nil"/>
              <w:bottom w:val="nil"/>
              <w:right w:val="double" w:sz="6" w:space="0" w:color="auto"/>
            </w:tcBorders>
            <w:shd w:val="clear" w:color="000000" w:fill="FFFFFF"/>
            <w:noWrap/>
            <w:vAlign w:val="bottom"/>
            <w:hideMark/>
          </w:tcPr>
          <w:p w14:paraId="26AC00BE"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0.15</w:t>
            </w:r>
          </w:p>
        </w:tc>
        <w:tc>
          <w:tcPr>
            <w:tcW w:w="357" w:type="pct"/>
            <w:tcBorders>
              <w:top w:val="nil"/>
              <w:left w:val="nil"/>
              <w:bottom w:val="nil"/>
              <w:right w:val="single" w:sz="4" w:space="0" w:color="auto"/>
            </w:tcBorders>
            <w:shd w:val="clear" w:color="000000" w:fill="FFFFFF"/>
            <w:noWrap/>
            <w:vAlign w:val="bottom"/>
            <w:hideMark/>
          </w:tcPr>
          <w:p w14:paraId="2FA5387D" w14:textId="77777777" w:rsidR="00052499" w:rsidRPr="00555FBC" w:rsidRDefault="00052499" w:rsidP="00052499">
            <w:pPr>
              <w:spacing w:after="0" w:line="240" w:lineRule="auto"/>
              <w:jc w:val="right"/>
              <w:rPr>
                <w:rFonts w:ascii="Calibri" w:eastAsia="Times New Roman" w:hAnsi="Calibri" w:cs="Calibri"/>
                <w:sz w:val="16"/>
                <w:szCs w:val="16"/>
              </w:rPr>
            </w:pPr>
            <w:r w:rsidRPr="00555FBC">
              <w:rPr>
                <w:rFonts w:ascii="Calibri" w:eastAsia="Times New Roman" w:hAnsi="Calibri" w:cs="Calibri"/>
                <w:sz w:val="16"/>
                <w:szCs w:val="16"/>
              </w:rPr>
              <w:t>11.3</w:t>
            </w:r>
          </w:p>
        </w:tc>
        <w:tc>
          <w:tcPr>
            <w:tcW w:w="330" w:type="pct"/>
            <w:tcBorders>
              <w:top w:val="nil"/>
              <w:left w:val="nil"/>
              <w:bottom w:val="nil"/>
              <w:right w:val="double" w:sz="6" w:space="0" w:color="auto"/>
            </w:tcBorders>
            <w:shd w:val="clear" w:color="000000" w:fill="FFFFFF"/>
            <w:noWrap/>
            <w:vAlign w:val="bottom"/>
            <w:hideMark/>
          </w:tcPr>
          <w:p w14:paraId="7074E77A"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0.15</w:t>
            </w:r>
          </w:p>
        </w:tc>
      </w:tr>
      <w:tr w:rsidR="00052499" w:rsidRPr="00555FBC" w14:paraId="49410514" w14:textId="77777777" w:rsidTr="00052499">
        <w:trPr>
          <w:trHeight w:val="198"/>
        </w:trPr>
        <w:tc>
          <w:tcPr>
            <w:tcW w:w="2302" w:type="pct"/>
            <w:tcBorders>
              <w:top w:val="nil"/>
              <w:left w:val="double" w:sz="6" w:space="0" w:color="auto"/>
              <w:bottom w:val="nil"/>
              <w:right w:val="double" w:sz="6" w:space="0" w:color="auto"/>
            </w:tcBorders>
            <w:shd w:val="clear" w:color="000000" w:fill="FFFFFF"/>
            <w:vAlign w:val="center"/>
            <w:hideMark/>
          </w:tcPr>
          <w:p w14:paraId="0C5D3A9F" w14:textId="77777777" w:rsidR="00052499" w:rsidRPr="00555FBC" w:rsidRDefault="00052499" w:rsidP="00052499">
            <w:pPr>
              <w:spacing w:after="0" w:line="240" w:lineRule="auto"/>
              <w:rPr>
                <w:rFonts w:ascii="Calibri" w:eastAsia="Times New Roman" w:hAnsi="Calibri" w:cs="Calibri"/>
                <w:sz w:val="16"/>
                <w:szCs w:val="16"/>
              </w:rPr>
            </w:pPr>
            <w:r w:rsidRPr="00555FBC">
              <w:rPr>
                <w:rFonts w:ascii="Calibri" w:eastAsia="Times New Roman" w:hAnsi="Calibri" w:cs="Calibri"/>
                <w:sz w:val="16"/>
                <w:szCs w:val="16"/>
              </w:rPr>
              <w:t>Otplata duga nerezidentima</w:t>
            </w:r>
          </w:p>
        </w:tc>
        <w:tc>
          <w:tcPr>
            <w:tcW w:w="357" w:type="pct"/>
            <w:tcBorders>
              <w:top w:val="nil"/>
              <w:left w:val="nil"/>
              <w:bottom w:val="nil"/>
              <w:right w:val="single" w:sz="4" w:space="0" w:color="auto"/>
            </w:tcBorders>
            <w:shd w:val="clear" w:color="000000" w:fill="FFFFFF"/>
            <w:noWrap/>
            <w:vAlign w:val="bottom"/>
            <w:hideMark/>
          </w:tcPr>
          <w:p w14:paraId="6F9E9E1B" w14:textId="77777777" w:rsidR="00052499" w:rsidRPr="00555FBC" w:rsidRDefault="00052499" w:rsidP="00052499">
            <w:pPr>
              <w:spacing w:after="0" w:line="240" w:lineRule="auto"/>
              <w:jc w:val="right"/>
              <w:rPr>
                <w:rFonts w:ascii="Calibri" w:eastAsia="Times New Roman" w:hAnsi="Calibri" w:cs="Calibri"/>
                <w:sz w:val="16"/>
                <w:szCs w:val="16"/>
              </w:rPr>
            </w:pPr>
            <w:r w:rsidRPr="00555FBC">
              <w:rPr>
                <w:rFonts w:ascii="Calibri" w:eastAsia="Times New Roman" w:hAnsi="Calibri" w:cs="Calibri"/>
                <w:sz w:val="16"/>
                <w:szCs w:val="16"/>
              </w:rPr>
              <w:t>2.7</w:t>
            </w:r>
          </w:p>
        </w:tc>
        <w:tc>
          <w:tcPr>
            <w:tcW w:w="296" w:type="pct"/>
            <w:tcBorders>
              <w:top w:val="nil"/>
              <w:left w:val="nil"/>
              <w:bottom w:val="nil"/>
              <w:right w:val="double" w:sz="6" w:space="0" w:color="auto"/>
            </w:tcBorders>
            <w:shd w:val="clear" w:color="000000" w:fill="FFFFFF"/>
            <w:noWrap/>
            <w:vAlign w:val="bottom"/>
            <w:hideMark/>
          </w:tcPr>
          <w:p w14:paraId="3324626D"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0.04</w:t>
            </w:r>
          </w:p>
        </w:tc>
        <w:tc>
          <w:tcPr>
            <w:tcW w:w="360" w:type="pct"/>
            <w:tcBorders>
              <w:top w:val="nil"/>
              <w:left w:val="nil"/>
              <w:bottom w:val="nil"/>
              <w:right w:val="single" w:sz="4" w:space="0" w:color="auto"/>
            </w:tcBorders>
            <w:shd w:val="clear" w:color="000000" w:fill="FFFFFF"/>
            <w:noWrap/>
            <w:vAlign w:val="bottom"/>
            <w:hideMark/>
          </w:tcPr>
          <w:p w14:paraId="15E0C9BD" w14:textId="77777777" w:rsidR="00052499" w:rsidRPr="00555FBC" w:rsidRDefault="00052499" w:rsidP="00052499">
            <w:pPr>
              <w:spacing w:after="0" w:line="240" w:lineRule="auto"/>
              <w:jc w:val="right"/>
              <w:rPr>
                <w:rFonts w:ascii="Calibri" w:eastAsia="Times New Roman" w:hAnsi="Calibri" w:cs="Calibri"/>
                <w:sz w:val="16"/>
                <w:szCs w:val="16"/>
              </w:rPr>
            </w:pPr>
            <w:r w:rsidRPr="00555FBC">
              <w:rPr>
                <w:rFonts w:ascii="Calibri" w:eastAsia="Times New Roman" w:hAnsi="Calibri" w:cs="Calibri"/>
                <w:sz w:val="16"/>
                <w:szCs w:val="16"/>
              </w:rPr>
              <w:t>3.2</w:t>
            </w:r>
          </w:p>
        </w:tc>
        <w:tc>
          <w:tcPr>
            <w:tcW w:w="309" w:type="pct"/>
            <w:tcBorders>
              <w:top w:val="nil"/>
              <w:left w:val="nil"/>
              <w:bottom w:val="nil"/>
              <w:right w:val="double" w:sz="6" w:space="0" w:color="auto"/>
            </w:tcBorders>
            <w:shd w:val="clear" w:color="000000" w:fill="FFFFFF"/>
            <w:noWrap/>
            <w:vAlign w:val="bottom"/>
            <w:hideMark/>
          </w:tcPr>
          <w:p w14:paraId="6BA81ED7"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0.05</w:t>
            </w:r>
          </w:p>
        </w:tc>
        <w:tc>
          <w:tcPr>
            <w:tcW w:w="357" w:type="pct"/>
            <w:tcBorders>
              <w:top w:val="nil"/>
              <w:left w:val="nil"/>
              <w:bottom w:val="nil"/>
              <w:right w:val="single" w:sz="4" w:space="0" w:color="auto"/>
            </w:tcBorders>
            <w:shd w:val="clear" w:color="000000" w:fill="FFFFFF"/>
            <w:noWrap/>
            <w:vAlign w:val="bottom"/>
            <w:hideMark/>
          </w:tcPr>
          <w:p w14:paraId="2BB40D60" w14:textId="77777777" w:rsidR="00052499" w:rsidRPr="00555FBC" w:rsidRDefault="00052499" w:rsidP="00052499">
            <w:pPr>
              <w:spacing w:after="0" w:line="240" w:lineRule="auto"/>
              <w:jc w:val="right"/>
              <w:rPr>
                <w:rFonts w:ascii="Calibri" w:eastAsia="Times New Roman" w:hAnsi="Calibri" w:cs="Calibri"/>
                <w:sz w:val="16"/>
                <w:szCs w:val="16"/>
              </w:rPr>
            </w:pPr>
            <w:r w:rsidRPr="00555FBC">
              <w:rPr>
                <w:rFonts w:ascii="Calibri" w:eastAsia="Times New Roman" w:hAnsi="Calibri" w:cs="Calibri"/>
                <w:sz w:val="16"/>
                <w:szCs w:val="16"/>
              </w:rPr>
              <w:t>3.7</w:t>
            </w:r>
          </w:p>
        </w:tc>
        <w:tc>
          <w:tcPr>
            <w:tcW w:w="332" w:type="pct"/>
            <w:tcBorders>
              <w:top w:val="nil"/>
              <w:left w:val="nil"/>
              <w:bottom w:val="nil"/>
              <w:right w:val="double" w:sz="6" w:space="0" w:color="auto"/>
            </w:tcBorders>
            <w:shd w:val="clear" w:color="000000" w:fill="FFFFFF"/>
            <w:noWrap/>
            <w:vAlign w:val="bottom"/>
            <w:hideMark/>
          </w:tcPr>
          <w:p w14:paraId="3571EBAD"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0.05</w:t>
            </w:r>
          </w:p>
        </w:tc>
        <w:tc>
          <w:tcPr>
            <w:tcW w:w="357" w:type="pct"/>
            <w:tcBorders>
              <w:top w:val="nil"/>
              <w:left w:val="nil"/>
              <w:bottom w:val="nil"/>
              <w:right w:val="single" w:sz="4" w:space="0" w:color="auto"/>
            </w:tcBorders>
            <w:shd w:val="clear" w:color="000000" w:fill="FFFFFF"/>
            <w:noWrap/>
            <w:vAlign w:val="bottom"/>
            <w:hideMark/>
          </w:tcPr>
          <w:p w14:paraId="6E6B107B" w14:textId="77777777" w:rsidR="00052499" w:rsidRPr="00555FBC" w:rsidRDefault="00052499" w:rsidP="00052499">
            <w:pPr>
              <w:spacing w:after="0" w:line="240" w:lineRule="auto"/>
              <w:jc w:val="right"/>
              <w:rPr>
                <w:rFonts w:ascii="Calibri" w:eastAsia="Times New Roman" w:hAnsi="Calibri" w:cs="Calibri"/>
                <w:sz w:val="16"/>
                <w:szCs w:val="16"/>
              </w:rPr>
            </w:pPr>
            <w:r w:rsidRPr="00555FBC">
              <w:rPr>
                <w:rFonts w:ascii="Calibri" w:eastAsia="Times New Roman" w:hAnsi="Calibri" w:cs="Calibri"/>
                <w:sz w:val="16"/>
                <w:szCs w:val="16"/>
              </w:rPr>
              <w:t>3.9</w:t>
            </w:r>
          </w:p>
        </w:tc>
        <w:tc>
          <w:tcPr>
            <w:tcW w:w="330" w:type="pct"/>
            <w:tcBorders>
              <w:top w:val="nil"/>
              <w:left w:val="nil"/>
              <w:bottom w:val="nil"/>
              <w:right w:val="double" w:sz="6" w:space="0" w:color="auto"/>
            </w:tcBorders>
            <w:shd w:val="clear" w:color="000000" w:fill="FFFFFF"/>
            <w:noWrap/>
            <w:vAlign w:val="bottom"/>
            <w:hideMark/>
          </w:tcPr>
          <w:p w14:paraId="1C642736"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0.05</w:t>
            </w:r>
          </w:p>
        </w:tc>
      </w:tr>
      <w:tr w:rsidR="00052499" w:rsidRPr="00555FBC" w14:paraId="78416BC7" w14:textId="77777777" w:rsidTr="00052499">
        <w:trPr>
          <w:trHeight w:val="198"/>
        </w:trPr>
        <w:tc>
          <w:tcPr>
            <w:tcW w:w="2302" w:type="pct"/>
            <w:tcBorders>
              <w:top w:val="double" w:sz="6" w:space="0" w:color="auto"/>
              <w:left w:val="double" w:sz="6" w:space="0" w:color="auto"/>
              <w:bottom w:val="double" w:sz="6" w:space="0" w:color="auto"/>
              <w:right w:val="double" w:sz="6" w:space="0" w:color="auto"/>
            </w:tcBorders>
            <w:shd w:val="clear" w:color="000000" w:fill="D8E4BC"/>
            <w:vAlign w:val="center"/>
            <w:hideMark/>
          </w:tcPr>
          <w:p w14:paraId="5E6CAE86" w14:textId="77777777" w:rsidR="00052499" w:rsidRPr="00555FBC" w:rsidRDefault="00052499" w:rsidP="00052499">
            <w:pPr>
              <w:spacing w:after="0" w:line="240" w:lineRule="auto"/>
              <w:rPr>
                <w:rFonts w:ascii="Calibri" w:eastAsia="Times New Roman" w:hAnsi="Calibri" w:cs="Calibri"/>
                <w:b/>
                <w:bCs/>
                <w:sz w:val="16"/>
                <w:szCs w:val="16"/>
              </w:rPr>
            </w:pPr>
            <w:r w:rsidRPr="00555FBC">
              <w:rPr>
                <w:rFonts w:ascii="Calibri" w:eastAsia="Times New Roman" w:hAnsi="Calibri" w:cs="Calibri"/>
                <w:b/>
                <w:bCs/>
                <w:sz w:val="16"/>
                <w:szCs w:val="16"/>
              </w:rPr>
              <w:t>Izdaci za kupovinu hartija od vrijednosti</w:t>
            </w:r>
          </w:p>
        </w:tc>
        <w:tc>
          <w:tcPr>
            <w:tcW w:w="357" w:type="pct"/>
            <w:tcBorders>
              <w:top w:val="double" w:sz="6" w:space="0" w:color="auto"/>
              <w:left w:val="double" w:sz="6" w:space="0" w:color="auto"/>
              <w:bottom w:val="double" w:sz="6" w:space="0" w:color="auto"/>
              <w:right w:val="nil"/>
            </w:tcBorders>
            <w:shd w:val="clear" w:color="000000" w:fill="D8E4BC"/>
            <w:noWrap/>
            <w:vAlign w:val="bottom"/>
            <w:hideMark/>
          </w:tcPr>
          <w:p w14:paraId="0A7037DB"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0.00</w:t>
            </w:r>
          </w:p>
        </w:tc>
        <w:tc>
          <w:tcPr>
            <w:tcW w:w="296" w:type="pct"/>
            <w:tcBorders>
              <w:top w:val="double" w:sz="6" w:space="0" w:color="auto"/>
              <w:left w:val="double" w:sz="6" w:space="0" w:color="auto"/>
              <w:bottom w:val="double" w:sz="6" w:space="0" w:color="auto"/>
              <w:right w:val="nil"/>
            </w:tcBorders>
            <w:shd w:val="clear" w:color="000000" w:fill="D8E4BC"/>
            <w:noWrap/>
            <w:vAlign w:val="bottom"/>
            <w:hideMark/>
          </w:tcPr>
          <w:p w14:paraId="0E1B72A0"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0.00</w:t>
            </w:r>
          </w:p>
        </w:tc>
        <w:tc>
          <w:tcPr>
            <w:tcW w:w="360" w:type="pct"/>
            <w:tcBorders>
              <w:top w:val="double" w:sz="6" w:space="0" w:color="auto"/>
              <w:left w:val="double" w:sz="6" w:space="0" w:color="auto"/>
              <w:bottom w:val="double" w:sz="6" w:space="0" w:color="auto"/>
              <w:right w:val="nil"/>
            </w:tcBorders>
            <w:shd w:val="clear" w:color="000000" w:fill="D8E4BC"/>
            <w:noWrap/>
            <w:vAlign w:val="bottom"/>
            <w:hideMark/>
          </w:tcPr>
          <w:p w14:paraId="4E092217"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0.00</w:t>
            </w:r>
          </w:p>
        </w:tc>
        <w:tc>
          <w:tcPr>
            <w:tcW w:w="309" w:type="pct"/>
            <w:tcBorders>
              <w:top w:val="double" w:sz="6" w:space="0" w:color="auto"/>
              <w:left w:val="double" w:sz="6" w:space="0" w:color="auto"/>
              <w:bottom w:val="double" w:sz="6" w:space="0" w:color="auto"/>
              <w:right w:val="nil"/>
            </w:tcBorders>
            <w:shd w:val="clear" w:color="000000" w:fill="D8E4BC"/>
            <w:noWrap/>
            <w:vAlign w:val="bottom"/>
            <w:hideMark/>
          </w:tcPr>
          <w:p w14:paraId="4F6DAE83"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0.00</w:t>
            </w:r>
          </w:p>
        </w:tc>
        <w:tc>
          <w:tcPr>
            <w:tcW w:w="357" w:type="pct"/>
            <w:tcBorders>
              <w:top w:val="double" w:sz="6" w:space="0" w:color="auto"/>
              <w:left w:val="double" w:sz="6" w:space="0" w:color="auto"/>
              <w:bottom w:val="double" w:sz="6" w:space="0" w:color="auto"/>
              <w:right w:val="nil"/>
            </w:tcBorders>
            <w:shd w:val="clear" w:color="000000" w:fill="D8E4BC"/>
            <w:noWrap/>
            <w:vAlign w:val="bottom"/>
            <w:hideMark/>
          </w:tcPr>
          <w:p w14:paraId="3DCCAF7B"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0.00</w:t>
            </w:r>
          </w:p>
        </w:tc>
        <w:tc>
          <w:tcPr>
            <w:tcW w:w="332" w:type="pct"/>
            <w:tcBorders>
              <w:top w:val="double" w:sz="6" w:space="0" w:color="auto"/>
              <w:left w:val="double" w:sz="6" w:space="0" w:color="auto"/>
              <w:bottom w:val="double" w:sz="6" w:space="0" w:color="auto"/>
              <w:right w:val="double" w:sz="6" w:space="0" w:color="auto"/>
            </w:tcBorders>
            <w:shd w:val="clear" w:color="000000" w:fill="D8E4BC"/>
            <w:noWrap/>
            <w:vAlign w:val="bottom"/>
            <w:hideMark/>
          </w:tcPr>
          <w:p w14:paraId="7074DDFE"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0.00</w:t>
            </w:r>
          </w:p>
        </w:tc>
        <w:tc>
          <w:tcPr>
            <w:tcW w:w="357" w:type="pct"/>
            <w:tcBorders>
              <w:top w:val="double" w:sz="6" w:space="0" w:color="auto"/>
              <w:left w:val="nil"/>
              <w:bottom w:val="double" w:sz="6" w:space="0" w:color="auto"/>
              <w:right w:val="nil"/>
            </w:tcBorders>
            <w:shd w:val="clear" w:color="000000" w:fill="D8E4BC"/>
            <w:noWrap/>
            <w:vAlign w:val="bottom"/>
            <w:hideMark/>
          </w:tcPr>
          <w:p w14:paraId="4E755115"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0.00</w:t>
            </w:r>
          </w:p>
        </w:tc>
        <w:tc>
          <w:tcPr>
            <w:tcW w:w="330" w:type="pct"/>
            <w:tcBorders>
              <w:top w:val="double" w:sz="6" w:space="0" w:color="auto"/>
              <w:left w:val="double" w:sz="6" w:space="0" w:color="auto"/>
              <w:bottom w:val="double" w:sz="6" w:space="0" w:color="auto"/>
              <w:right w:val="double" w:sz="6" w:space="0" w:color="auto"/>
            </w:tcBorders>
            <w:shd w:val="clear" w:color="000000" w:fill="D8E4BC"/>
            <w:noWrap/>
            <w:vAlign w:val="bottom"/>
            <w:hideMark/>
          </w:tcPr>
          <w:p w14:paraId="05B47D8E"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0.00</w:t>
            </w:r>
          </w:p>
        </w:tc>
      </w:tr>
      <w:tr w:rsidR="00052499" w:rsidRPr="00555FBC" w14:paraId="0EFB729D" w14:textId="77777777" w:rsidTr="00052499">
        <w:trPr>
          <w:trHeight w:val="198"/>
        </w:trPr>
        <w:tc>
          <w:tcPr>
            <w:tcW w:w="2302" w:type="pct"/>
            <w:tcBorders>
              <w:top w:val="nil"/>
              <w:left w:val="double" w:sz="6" w:space="0" w:color="auto"/>
              <w:bottom w:val="double" w:sz="6" w:space="0" w:color="auto"/>
              <w:right w:val="double" w:sz="6" w:space="0" w:color="auto"/>
            </w:tcBorders>
            <w:shd w:val="clear" w:color="000000" w:fill="D8E4BC"/>
            <w:vAlign w:val="center"/>
            <w:hideMark/>
          </w:tcPr>
          <w:p w14:paraId="00D09E2B" w14:textId="77777777" w:rsidR="00052499" w:rsidRPr="00555FBC" w:rsidRDefault="00052499" w:rsidP="00052499">
            <w:pPr>
              <w:spacing w:after="0" w:line="240" w:lineRule="auto"/>
              <w:rPr>
                <w:rFonts w:ascii="Calibri" w:eastAsia="Times New Roman" w:hAnsi="Calibri" w:cs="Calibri"/>
                <w:b/>
                <w:bCs/>
                <w:sz w:val="16"/>
                <w:szCs w:val="16"/>
              </w:rPr>
            </w:pPr>
            <w:r w:rsidRPr="00555FBC">
              <w:rPr>
                <w:rFonts w:ascii="Calibri" w:eastAsia="Times New Roman" w:hAnsi="Calibri" w:cs="Calibri"/>
                <w:b/>
                <w:bCs/>
                <w:sz w:val="16"/>
                <w:szCs w:val="16"/>
              </w:rPr>
              <w:t>Pozajmice i krediti</w:t>
            </w:r>
          </w:p>
        </w:tc>
        <w:tc>
          <w:tcPr>
            <w:tcW w:w="357" w:type="pct"/>
            <w:tcBorders>
              <w:top w:val="nil"/>
              <w:left w:val="double" w:sz="6" w:space="0" w:color="auto"/>
              <w:bottom w:val="double" w:sz="6" w:space="0" w:color="auto"/>
              <w:right w:val="nil"/>
            </w:tcBorders>
            <w:shd w:val="clear" w:color="000000" w:fill="D8E4BC"/>
            <w:noWrap/>
            <w:vAlign w:val="bottom"/>
            <w:hideMark/>
          </w:tcPr>
          <w:p w14:paraId="5E50883F"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1.56</w:t>
            </w:r>
          </w:p>
        </w:tc>
        <w:tc>
          <w:tcPr>
            <w:tcW w:w="296" w:type="pct"/>
            <w:tcBorders>
              <w:top w:val="nil"/>
              <w:left w:val="double" w:sz="6" w:space="0" w:color="auto"/>
              <w:bottom w:val="double" w:sz="6" w:space="0" w:color="auto"/>
              <w:right w:val="nil"/>
            </w:tcBorders>
            <w:shd w:val="clear" w:color="000000" w:fill="D8E4BC"/>
            <w:noWrap/>
            <w:vAlign w:val="bottom"/>
            <w:hideMark/>
          </w:tcPr>
          <w:p w14:paraId="5287D4AB"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0.00</w:t>
            </w:r>
          </w:p>
        </w:tc>
        <w:tc>
          <w:tcPr>
            <w:tcW w:w="360" w:type="pct"/>
            <w:tcBorders>
              <w:top w:val="nil"/>
              <w:left w:val="double" w:sz="6" w:space="0" w:color="auto"/>
              <w:bottom w:val="double" w:sz="6" w:space="0" w:color="auto"/>
              <w:right w:val="nil"/>
            </w:tcBorders>
            <w:shd w:val="clear" w:color="000000" w:fill="D8E4BC"/>
            <w:noWrap/>
            <w:vAlign w:val="bottom"/>
            <w:hideMark/>
          </w:tcPr>
          <w:p w14:paraId="3FF68C1F"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0.00</w:t>
            </w:r>
          </w:p>
        </w:tc>
        <w:tc>
          <w:tcPr>
            <w:tcW w:w="309" w:type="pct"/>
            <w:tcBorders>
              <w:top w:val="nil"/>
              <w:left w:val="double" w:sz="6" w:space="0" w:color="auto"/>
              <w:bottom w:val="double" w:sz="6" w:space="0" w:color="auto"/>
              <w:right w:val="nil"/>
            </w:tcBorders>
            <w:shd w:val="clear" w:color="000000" w:fill="D8E4BC"/>
            <w:noWrap/>
            <w:vAlign w:val="bottom"/>
            <w:hideMark/>
          </w:tcPr>
          <w:p w14:paraId="706A5F98"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0.00</w:t>
            </w:r>
          </w:p>
        </w:tc>
        <w:tc>
          <w:tcPr>
            <w:tcW w:w="357" w:type="pct"/>
            <w:tcBorders>
              <w:top w:val="nil"/>
              <w:left w:val="double" w:sz="6" w:space="0" w:color="auto"/>
              <w:bottom w:val="double" w:sz="6" w:space="0" w:color="auto"/>
              <w:right w:val="nil"/>
            </w:tcBorders>
            <w:shd w:val="clear" w:color="000000" w:fill="D8E4BC"/>
            <w:noWrap/>
            <w:vAlign w:val="bottom"/>
            <w:hideMark/>
          </w:tcPr>
          <w:p w14:paraId="3BE23E5C"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0.00</w:t>
            </w:r>
          </w:p>
        </w:tc>
        <w:tc>
          <w:tcPr>
            <w:tcW w:w="332" w:type="pct"/>
            <w:tcBorders>
              <w:top w:val="nil"/>
              <w:left w:val="double" w:sz="6" w:space="0" w:color="auto"/>
              <w:bottom w:val="double" w:sz="6" w:space="0" w:color="auto"/>
              <w:right w:val="double" w:sz="6" w:space="0" w:color="auto"/>
            </w:tcBorders>
            <w:shd w:val="clear" w:color="000000" w:fill="D8E4BC"/>
            <w:noWrap/>
            <w:vAlign w:val="bottom"/>
            <w:hideMark/>
          </w:tcPr>
          <w:p w14:paraId="717F17E0"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0.00</w:t>
            </w:r>
          </w:p>
        </w:tc>
        <w:tc>
          <w:tcPr>
            <w:tcW w:w="357" w:type="pct"/>
            <w:tcBorders>
              <w:top w:val="nil"/>
              <w:left w:val="nil"/>
              <w:bottom w:val="double" w:sz="6" w:space="0" w:color="auto"/>
              <w:right w:val="nil"/>
            </w:tcBorders>
            <w:shd w:val="clear" w:color="000000" w:fill="D8E4BC"/>
            <w:noWrap/>
            <w:vAlign w:val="bottom"/>
            <w:hideMark/>
          </w:tcPr>
          <w:p w14:paraId="33C3DF04"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0.00</w:t>
            </w:r>
          </w:p>
        </w:tc>
        <w:tc>
          <w:tcPr>
            <w:tcW w:w="330" w:type="pct"/>
            <w:tcBorders>
              <w:top w:val="nil"/>
              <w:left w:val="double" w:sz="6" w:space="0" w:color="auto"/>
              <w:bottom w:val="double" w:sz="6" w:space="0" w:color="auto"/>
              <w:right w:val="double" w:sz="6" w:space="0" w:color="auto"/>
            </w:tcBorders>
            <w:shd w:val="clear" w:color="000000" w:fill="D8E4BC"/>
            <w:noWrap/>
            <w:vAlign w:val="bottom"/>
            <w:hideMark/>
          </w:tcPr>
          <w:p w14:paraId="7C4F72FE"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0.00</w:t>
            </w:r>
          </w:p>
        </w:tc>
      </w:tr>
      <w:tr w:rsidR="00052499" w:rsidRPr="00555FBC" w14:paraId="5FBB0CA9" w14:textId="77777777" w:rsidTr="00052499">
        <w:trPr>
          <w:trHeight w:val="198"/>
        </w:trPr>
        <w:tc>
          <w:tcPr>
            <w:tcW w:w="2302" w:type="pct"/>
            <w:tcBorders>
              <w:top w:val="nil"/>
              <w:left w:val="double" w:sz="6" w:space="0" w:color="auto"/>
              <w:bottom w:val="double" w:sz="6" w:space="0" w:color="auto"/>
              <w:right w:val="double" w:sz="6" w:space="0" w:color="auto"/>
            </w:tcBorders>
            <w:shd w:val="clear" w:color="000000" w:fill="D8E4BC"/>
            <w:vAlign w:val="center"/>
            <w:hideMark/>
          </w:tcPr>
          <w:p w14:paraId="5F6899B8" w14:textId="77777777" w:rsidR="00052499" w:rsidRPr="00555FBC" w:rsidRDefault="00052499" w:rsidP="00052499">
            <w:pPr>
              <w:spacing w:after="0" w:line="240" w:lineRule="auto"/>
              <w:rPr>
                <w:rFonts w:ascii="Calibri" w:eastAsia="Times New Roman" w:hAnsi="Calibri" w:cs="Calibri"/>
                <w:b/>
                <w:bCs/>
                <w:sz w:val="16"/>
                <w:szCs w:val="16"/>
              </w:rPr>
            </w:pPr>
            <w:r w:rsidRPr="00555FBC">
              <w:rPr>
                <w:rFonts w:ascii="Calibri" w:eastAsia="Times New Roman" w:hAnsi="Calibri" w:cs="Calibri"/>
                <w:b/>
                <w:bCs/>
                <w:sz w:val="16"/>
                <w:szCs w:val="16"/>
              </w:rPr>
              <w:t>Nedostajuća sredstva</w:t>
            </w:r>
          </w:p>
        </w:tc>
        <w:tc>
          <w:tcPr>
            <w:tcW w:w="357" w:type="pct"/>
            <w:tcBorders>
              <w:top w:val="nil"/>
              <w:left w:val="nil"/>
              <w:bottom w:val="double" w:sz="6" w:space="0" w:color="auto"/>
              <w:right w:val="nil"/>
            </w:tcBorders>
            <w:shd w:val="clear" w:color="000000" w:fill="D8E4BC"/>
            <w:noWrap/>
            <w:vAlign w:val="bottom"/>
            <w:hideMark/>
          </w:tcPr>
          <w:p w14:paraId="4ADE19E2"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-93.95</w:t>
            </w:r>
          </w:p>
        </w:tc>
        <w:tc>
          <w:tcPr>
            <w:tcW w:w="296" w:type="pct"/>
            <w:tcBorders>
              <w:top w:val="nil"/>
              <w:left w:val="single" w:sz="4" w:space="0" w:color="auto"/>
              <w:bottom w:val="double" w:sz="6" w:space="0" w:color="auto"/>
              <w:right w:val="double" w:sz="6" w:space="0" w:color="auto"/>
            </w:tcBorders>
            <w:shd w:val="clear" w:color="000000" w:fill="D8E4BC"/>
            <w:noWrap/>
            <w:vAlign w:val="bottom"/>
            <w:hideMark/>
          </w:tcPr>
          <w:p w14:paraId="4593DE79"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-1.46</w:t>
            </w:r>
          </w:p>
        </w:tc>
        <w:tc>
          <w:tcPr>
            <w:tcW w:w="360" w:type="pct"/>
            <w:tcBorders>
              <w:top w:val="nil"/>
              <w:left w:val="nil"/>
              <w:bottom w:val="double" w:sz="6" w:space="0" w:color="auto"/>
              <w:right w:val="nil"/>
            </w:tcBorders>
            <w:shd w:val="clear" w:color="000000" w:fill="D8E4BC"/>
            <w:noWrap/>
            <w:vAlign w:val="bottom"/>
            <w:hideMark/>
          </w:tcPr>
          <w:p w14:paraId="54CAACF6"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-54.39</w:t>
            </w:r>
          </w:p>
        </w:tc>
        <w:tc>
          <w:tcPr>
            <w:tcW w:w="309" w:type="pct"/>
            <w:tcBorders>
              <w:top w:val="nil"/>
              <w:left w:val="single" w:sz="4" w:space="0" w:color="auto"/>
              <w:bottom w:val="double" w:sz="6" w:space="0" w:color="auto"/>
              <w:right w:val="double" w:sz="6" w:space="0" w:color="auto"/>
            </w:tcBorders>
            <w:shd w:val="clear" w:color="000000" w:fill="D8E4BC"/>
            <w:noWrap/>
            <w:vAlign w:val="bottom"/>
            <w:hideMark/>
          </w:tcPr>
          <w:p w14:paraId="7E5A2D82"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-0.77</w:t>
            </w:r>
          </w:p>
        </w:tc>
        <w:tc>
          <w:tcPr>
            <w:tcW w:w="357" w:type="pct"/>
            <w:tcBorders>
              <w:top w:val="nil"/>
              <w:left w:val="nil"/>
              <w:bottom w:val="double" w:sz="6" w:space="0" w:color="auto"/>
              <w:right w:val="nil"/>
            </w:tcBorders>
            <w:shd w:val="clear" w:color="000000" w:fill="D8E4BC"/>
            <w:noWrap/>
            <w:vAlign w:val="bottom"/>
            <w:hideMark/>
          </w:tcPr>
          <w:p w14:paraId="6490D3C1"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-45.35</w:t>
            </w:r>
          </w:p>
        </w:tc>
        <w:tc>
          <w:tcPr>
            <w:tcW w:w="332" w:type="pct"/>
            <w:tcBorders>
              <w:top w:val="nil"/>
              <w:left w:val="single" w:sz="4" w:space="0" w:color="auto"/>
              <w:bottom w:val="double" w:sz="6" w:space="0" w:color="auto"/>
              <w:right w:val="double" w:sz="6" w:space="0" w:color="auto"/>
            </w:tcBorders>
            <w:shd w:val="clear" w:color="000000" w:fill="D8E4BC"/>
            <w:noWrap/>
            <w:vAlign w:val="bottom"/>
            <w:hideMark/>
          </w:tcPr>
          <w:p w14:paraId="231872F3"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-0.61</w:t>
            </w:r>
          </w:p>
        </w:tc>
        <w:tc>
          <w:tcPr>
            <w:tcW w:w="357" w:type="pct"/>
            <w:tcBorders>
              <w:top w:val="nil"/>
              <w:left w:val="nil"/>
              <w:bottom w:val="double" w:sz="6" w:space="0" w:color="auto"/>
              <w:right w:val="nil"/>
            </w:tcBorders>
            <w:shd w:val="clear" w:color="000000" w:fill="D8E4BC"/>
            <w:noWrap/>
            <w:vAlign w:val="bottom"/>
            <w:hideMark/>
          </w:tcPr>
          <w:p w14:paraId="7BFE93F7"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-41.47</w:t>
            </w:r>
          </w:p>
        </w:tc>
        <w:tc>
          <w:tcPr>
            <w:tcW w:w="330" w:type="pct"/>
            <w:tcBorders>
              <w:top w:val="nil"/>
              <w:left w:val="single" w:sz="4" w:space="0" w:color="auto"/>
              <w:bottom w:val="double" w:sz="6" w:space="0" w:color="auto"/>
              <w:right w:val="double" w:sz="6" w:space="0" w:color="auto"/>
            </w:tcBorders>
            <w:shd w:val="clear" w:color="000000" w:fill="D8E4BC"/>
            <w:noWrap/>
            <w:vAlign w:val="bottom"/>
            <w:hideMark/>
          </w:tcPr>
          <w:p w14:paraId="707F53B4"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-0.56</w:t>
            </w:r>
          </w:p>
        </w:tc>
      </w:tr>
      <w:tr w:rsidR="00052499" w:rsidRPr="00555FBC" w14:paraId="2B154206" w14:textId="77777777" w:rsidTr="00052499">
        <w:trPr>
          <w:trHeight w:val="198"/>
        </w:trPr>
        <w:tc>
          <w:tcPr>
            <w:tcW w:w="2302" w:type="pct"/>
            <w:tcBorders>
              <w:top w:val="nil"/>
              <w:left w:val="double" w:sz="6" w:space="0" w:color="auto"/>
              <w:bottom w:val="double" w:sz="6" w:space="0" w:color="auto"/>
              <w:right w:val="double" w:sz="6" w:space="0" w:color="auto"/>
            </w:tcBorders>
            <w:shd w:val="clear" w:color="000000" w:fill="D8E4BC"/>
            <w:vAlign w:val="center"/>
            <w:hideMark/>
          </w:tcPr>
          <w:p w14:paraId="25E19B5E" w14:textId="77777777" w:rsidR="00052499" w:rsidRPr="00555FBC" w:rsidRDefault="00052499" w:rsidP="00052499">
            <w:pPr>
              <w:spacing w:after="0" w:line="240" w:lineRule="auto"/>
              <w:rPr>
                <w:rFonts w:ascii="Calibri" w:eastAsia="Times New Roman" w:hAnsi="Calibri" w:cs="Calibri"/>
                <w:b/>
                <w:bCs/>
                <w:sz w:val="16"/>
                <w:szCs w:val="16"/>
              </w:rPr>
            </w:pPr>
            <w:r w:rsidRPr="00555FBC">
              <w:rPr>
                <w:rFonts w:ascii="Calibri" w:eastAsia="Times New Roman" w:hAnsi="Calibri" w:cs="Calibri"/>
                <w:b/>
                <w:bCs/>
                <w:sz w:val="16"/>
                <w:szCs w:val="16"/>
              </w:rPr>
              <w:t>Finansiranje</w:t>
            </w:r>
          </w:p>
        </w:tc>
        <w:tc>
          <w:tcPr>
            <w:tcW w:w="357" w:type="pct"/>
            <w:tcBorders>
              <w:top w:val="nil"/>
              <w:left w:val="nil"/>
              <w:bottom w:val="double" w:sz="6" w:space="0" w:color="auto"/>
              <w:right w:val="single" w:sz="4" w:space="0" w:color="auto"/>
            </w:tcBorders>
            <w:shd w:val="clear" w:color="000000" w:fill="D8E4BC"/>
            <w:noWrap/>
            <w:vAlign w:val="bottom"/>
            <w:hideMark/>
          </w:tcPr>
          <w:p w14:paraId="5B12352C"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93.95</w:t>
            </w:r>
          </w:p>
        </w:tc>
        <w:tc>
          <w:tcPr>
            <w:tcW w:w="296" w:type="pct"/>
            <w:tcBorders>
              <w:top w:val="nil"/>
              <w:left w:val="nil"/>
              <w:bottom w:val="double" w:sz="6" w:space="0" w:color="auto"/>
              <w:right w:val="double" w:sz="6" w:space="0" w:color="auto"/>
            </w:tcBorders>
            <w:shd w:val="clear" w:color="000000" w:fill="D8E4BC"/>
            <w:noWrap/>
            <w:vAlign w:val="bottom"/>
            <w:hideMark/>
          </w:tcPr>
          <w:p w14:paraId="648EB286"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1.46</w:t>
            </w:r>
          </w:p>
        </w:tc>
        <w:tc>
          <w:tcPr>
            <w:tcW w:w="360" w:type="pct"/>
            <w:tcBorders>
              <w:top w:val="nil"/>
              <w:left w:val="nil"/>
              <w:bottom w:val="double" w:sz="6" w:space="0" w:color="auto"/>
              <w:right w:val="single" w:sz="4" w:space="0" w:color="auto"/>
            </w:tcBorders>
            <w:shd w:val="clear" w:color="000000" w:fill="D8E4BC"/>
            <w:noWrap/>
            <w:vAlign w:val="bottom"/>
            <w:hideMark/>
          </w:tcPr>
          <w:p w14:paraId="51639AD7"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54.39</w:t>
            </w:r>
          </w:p>
        </w:tc>
        <w:tc>
          <w:tcPr>
            <w:tcW w:w="309" w:type="pct"/>
            <w:tcBorders>
              <w:top w:val="nil"/>
              <w:left w:val="nil"/>
              <w:bottom w:val="double" w:sz="6" w:space="0" w:color="auto"/>
              <w:right w:val="double" w:sz="6" w:space="0" w:color="auto"/>
            </w:tcBorders>
            <w:shd w:val="clear" w:color="000000" w:fill="D8E4BC"/>
            <w:noWrap/>
            <w:vAlign w:val="bottom"/>
            <w:hideMark/>
          </w:tcPr>
          <w:p w14:paraId="753813FA"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0.77</w:t>
            </w:r>
          </w:p>
        </w:tc>
        <w:tc>
          <w:tcPr>
            <w:tcW w:w="357" w:type="pct"/>
            <w:tcBorders>
              <w:top w:val="nil"/>
              <w:left w:val="nil"/>
              <w:bottom w:val="double" w:sz="6" w:space="0" w:color="auto"/>
              <w:right w:val="single" w:sz="4" w:space="0" w:color="auto"/>
            </w:tcBorders>
            <w:shd w:val="clear" w:color="000000" w:fill="D8E4BC"/>
            <w:noWrap/>
            <w:vAlign w:val="bottom"/>
            <w:hideMark/>
          </w:tcPr>
          <w:p w14:paraId="036350EA"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45.35</w:t>
            </w:r>
          </w:p>
        </w:tc>
        <w:tc>
          <w:tcPr>
            <w:tcW w:w="332" w:type="pct"/>
            <w:tcBorders>
              <w:top w:val="nil"/>
              <w:left w:val="nil"/>
              <w:bottom w:val="double" w:sz="6" w:space="0" w:color="auto"/>
              <w:right w:val="double" w:sz="6" w:space="0" w:color="auto"/>
            </w:tcBorders>
            <w:shd w:val="clear" w:color="000000" w:fill="D8E4BC"/>
            <w:noWrap/>
            <w:vAlign w:val="bottom"/>
            <w:hideMark/>
          </w:tcPr>
          <w:p w14:paraId="1423D47D"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0.61</w:t>
            </w:r>
          </w:p>
        </w:tc>
        <w:tc>
          <w:tcPr>
            <w:tcW w:w="357" w:type="pct"/>
            <w:tcBorders>
              <w:top w:val="nil"/>
              <w:left w:val="nil"/>
              <w:bottom w:val="double" w:sz="6" w:space="0" w:color="auto"/>
              <w:right w:val="single" w:sz="4" w:space="0" w:color="auto"/>
            </w:tcBorders>
            <w:shd w:val="clear" w:color="000000" w:fill="D8E4BC"/>
            <w:noWrap/>
            <w:vAlign w:val="bottom"/>
            <w:hideMark/>
          </w:tcPr>
          <w:p w14:paraId="3D9B6AB8"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41.47</w:t>
            </w:r>
          </w:p>
        </w:tc>
        <w:tc>
          <w:tcPr>
            <w:tcW w:w="330" w:type="pct"/>
            <w:tcBorders>
              <w:top w:val="nil"/>
              <w:left w:val="nil"/>
              <w:bottom w:val="double" w:sz="6" w:space="0" w:color="auto"/>
              <w:right w:val="double" w:sz="6" w:space="0" w:color="auto"/>
            </w:tcBorders>
            <w:shd w:val="clear" w:color="000000" w:fill="D8E4BC"/>
            <w:noWrap/>
            <w:vAlign w:val="bottom"/>
            <w:hideMark/>
          </w:tcPr>
          <w:p w14:paraId="0E59EE3D"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0.56</w:t>
            </w:r>
          </w:p>
        </w:tc>
      </w:tr>
      <w:tr w:rsidR="00052499" w:rsidRPr="00555FBC" w14:paraId="22C2F7D1" w14:textId="77777777" w:rsidTr="00052499">
        <w:trPr>
          <w:trHeight w:val="198"/>
        </w:trPr>
        <w:tc>
          <w:tcPr>
            <w:tcW w:w="2302" w:type="pct"/>
            <w:tcBorders>
              <w:top w:val="nil"/>
              <w:left w:val="double" w:sz="6" w:space="0" w:color="auto"/>
              <w:bottom w:val="nil"/>
              <w:right w:val="double" w:sz="6" w:space="0" w:color="auto"/>
            </w:tcBorders>
            <w:shd w:val="clear" w:color="000000" w:fill="FFFFFF"/>
            <w:vAlign w:val="center"/>
            <w:hideMark/>
          </w:tcPr>
          <w:p w14:paraId="6992ABEE" w14:textId="77777777" w:rsidR="00052499" w:rsidRPr="00555FBC" w:rsidRDefault="00052499" w:rsidP="00052499">
            <w:pPr>
              <w:spacing w:after="0" w:line="240" w:lineRule="auto"/>
              <w:rPr>
                <w:rFonts w:ascii="Calibri" w:eastAsia="Times New Roman" w:hAnsi="Calibri" w:cs="Calibri"/>
                <w:sz w:val="16"/>
                <w:szCs w:val="16"/>
              </w:rPr>
            </w:pPr>
            <w:r w:rsidRPr="00555FBC">
              <w:rPr>
                <w:rFonts w:ascii="Calibri" w:eastAsia="Times New Roman" w:hAnsi="Calibri" w:cs="Calibri"/>
                <w:sz w:val="16"/>
                <w:szCs w:val="16"/>
              </w:rPr>
              <w:t>Pozajmice i krediti</w:t>
            </w:r>
          </w:p>
        </w:tc>
        <w:tc>
          <w:tcPr>
            <w:tcW w:w="357" w:type="pct"/>
            <w:tcBorders>
              <w:top w:val="nil"/>
              <w:left w:val="nil"/>
              <w:bottom w:val="nil"/>
              <w:right w:val="single" w:sz="4" w:space="0" w:color="auto"/>
            </w:tcBorders>
            <w:shd w:val="clear" w:color="000000" w:fill="FFFFFF"/>
            <w:noWrap/>
            <w:vAlign w:val="bottom"/>
            <w:hideMark/>
          </w:tcPr>
          <w:p w14:paraId="3ADABBCD" w14:textId="77777777" w:rsidR="00052499" w:rsidRPr="00555FBC" w:rsidRDefault="00052499" w:rsidP="00052499">
            <w:pPr>
              <w:spacing w:after="0" w:line="240" w:lineRule="auto"/>
              <w:jc w:val="right"/>
              <w:rPr>
                <w:rFonts w:ascii="Calibri" w:eastAsia="Times New Roman" w:hAnsi="Calibri" w:cs="Calibri"/>
                <w:sz w:val="16"/>
                <w:szCs w:val="16"/>
              </w:rPr>
            </w:pPr>
            <w:r w:rsidRPr="00555FBC">
              <w:rPr>
                <w:rFonts w:ascii="Calibri" w:eastAsia="Times New Roman" w:hAnsi="Calibri" w:cs="Calibri"/>
                <w:sz w:val="16"/>
                <w:szCs w:val="16"/>
              </w:rPr>
              <w:t>10.5</w:t>
            </w:r>
          </w:p>
        </w:tc>
        <w:tc>
          <w:tcPr>
            <w:tcW w:w="296" w:type="pct"/>
            <w:tcBorders>
              <w:top w:val="nil"/>
              <w:left w:val="nil"/>
              <w:bottom w:val="nil"/>
              <w:right w:val="double" w:sz="6" w:space="0" w:color="auto"/>
            </w:tcBorders>
            <w:shd w:val="clear" w:color="000000" w:fill="FFFFFF"/>
            <w:noWrap/>
            <w:vAlign w:val="bottom"/>
            <w:hideMark/>
          </w:tcPr>
          <w:p w14:paraId="7463885A"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0.16</w:t>
            </w:r>
          </w:p>
        </w:tc>
        <w:tc>
          <w:tcPr>
            <w:tcW w:w="360" w:type="pct"/>
            <w:tcBorders>
              <w:top w:val="nil"/>
              <w:left w:val="nil"/>
              <w:bottom w:val="nil"/>
              <w:right w:val="single" w:sz="4" w:space="0" w:color="auto"/>
            </w:tcBorders>
            <w:shd w:val="clear" w:color="000000" w:fill="FFFFFF"/>
            <w:noWrap/>
            <w:vAlign w:val="bottom"/>
            <w:hideMark/>
          </w:tcPr>
          <w:p w14:paraId="2972DF94" w14:textId="77777777" w:rsidR="00052499" w:rsidRPr="00555FBC" w:rsidRDefault="00052499" w:rsidP="00052499">
            <w:pPr>
              <w:spacing w:after="0" w:line="240" w:lineRule="auto"/>
              <w:jc w:val="right"/>
              <w:rPr>
                <w:rFonts w:ascii="Calibri" w:eastAsia="Times New Roman" w:hAnsi="Calibri" w:cs="Calibri"/>
                <w:sz w:val="16"/>
                <w:szCs w:val="16"/>
              </w:rPr>
            </w:pPr>
            <w:r w:rsidRPr="00555FBC">
              <w:rPr>
                <w:rFonts w:ascii="Calibri" w:eastAsia="Times New Roman" w:hAnsi="Calibri" w:cs="Calibri"/>
                <w:sz w:val="16"/>
                <w:szCs w:val="16"/>
              </w:rPr>
              <w:t>12.2</w:t>
            </w:r>
          </w:p>
        </w:tc>
        <w:tc>
          <w:tcPr>
            <w:tcW w:w="309" w:type="pct"/>
            <w:tcBorders>
              <w:top w:val="nil"/>
              <w:left w:val="nil"/>
              <w:bottom w:val="nil"/>
              <w:right w:val="double" w:sz="6" w:space="0" w:color="auto"/>
            </w:tcBorders>
            <w:shd w:val="clear" w:color="000000" w:fill="FFFFFF"/>
            <w:noWrap/>
            <w:vAlign w:val="bottom"/>
            <w:hideMark/>
          </w:tcPr>
          <w:p w14:paraId="36F80669"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0.17</w:t>
            </w:r>
          </w:p>
        </w:tc>
        <w:tc>
          <w:tcPr>
            <w:tcW w:w="357" w:type="pct"/>
            <w:tcBorders>
              <w:top w:val="nil"/>
              <w:left w:val="nil"/>
              <w:bottom w:val="nil"/>
              <w:right w:val="single" w:sz="4" w:space="0" w:color="auto"/>
            </w:tcBorders>
            <w:shd w:val="clear" w:color="000000" w:fill="FFFFFF"/>
            <w:noWrap/>
            <w:vAlign w:val="bottom"/>
            <w:hideMark/>
          </w:tcPr>
          <w:p w14:paraId="641AB539" w14:textId="77777777" w:rsidR="00052499" w:rsidRPr="00555FBC" w:rsidRDefault="00052499" w:rsidP="00052499">
            <w:pPr>
              <w:spacing w:after="0" w:line="240" w:lineRule="auto"/>
              <w:jc w:val="right"/>
              <w:rPr>
                <w:rFonts w:ascii="Calibri" w:eastAsia="Times New Roman" w:hAnsi="Calibri" w:cs="Calibri"/>
                <w:sz w:val="16"/>
                <w:szCs w:val="16"/>
              </w:rPr>
            </w:pPr>
            <w:r w:rsidRPr="00555FBC">
              <w:rPr>
                <w:rFonts w:ascii="Calibri" w:eastAsia="Times New Roman" w:hAnsi="Calibri" w:cs="Calibri"/>
                <w:sz w:val="16"/>
                <w:szCs w:val="16"/>
              </w:rPr>
              <w:t>14.3</w:t>
            </w:r>
          </w:p>
        </w:tc>
        <w:tc>
          <w:tcPr>
            <w:tcW w:w="332" w:type="pct"/>
            <w:tcBorders>
              <w:top w:val="nil"/>
              <w:left w:val="nil"/>
              <w:bottom w:val="nil"/>
              <w:right w:val="double" w:sz="6" w:space="0" w:color="auto"/>
            </w:tcBorders>
            <w:shd w:val="clear" w:color="000000" w:fill="FFFFFF"/>
            <w:noWrap/>
            <w:vAlign w:val="bottom"/>
            <w:hideMark/>
          </w:tcPr>
          <w:p w14:paraId="6FA725B1"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0.19</w:t>
            </w:r>
          </w:p>
        </w:tc>
        <w:tc>
          <w:tcPr>
            <w:tcW w:w="357" w:type="pct"/>
            <w:tcBorders>
              <w:top w:val="nil"/>
              <w:left w:val="nil"/>
              <w:bottom w:val="nil"/>
              <w:right w:val="single" w:sz="4" w:space="0" w:color="auto"/>
            </w:tcBorders>
            <w:shd w:val="clear" w:color="000000" w:fill="FFFFFF"/>
            <w:noWrap/>
            <w:vAlign w:val="bottom"/>
            <w:hideMark/>
          </w:tcPr>
          <w:p w14:paraId="7A5DFD45" w14:textId="77777777" w:rsidR="00052499" w:rsidRPr="00555FBC" w:rsidRDefault="00052499" w:rsidP="00052499">
            <w:pPr>
              <w:spacing w:after="0" w:line="240" w:lineRule="auto"/>
              <w:jc w:val="right"/>
              <w:rPr>
                <w:rFonts w:ascii="Calibri" w:eastAsia="Times New Roman" w:hAnsi="Calibri" w:cs="Calibri"/>
                <w:sz w:val="16"/>
                <w:szCs w:val="16"/>
              </w:rPr>
            </w:pPr>
            <w:r w:rsidRPr="00555FBC">
              <w:rPr>
                <w:rFonts w:ascii="Calibri" w:eastAsia="Times New Roman" w:hAnsi="Calibri" w:cs="Calibri"/>
                <w:sz w:val="16"/>
                <w:szCs w:val="16"/>
              </w:rPr>
              <w:t>7.6</w:t>
            </w:r>
          </w:p>
        </w:tc>
        <w:tc>
          <w:tcPr>
            <w:tcW w:w="330" w:type="pct"/>
            <w:tcBorders>
              <w:top w:val="nil"/>
              <w:left w:val="nil"/>
              <w:bottom w:val="nil"/>
              <w:right w:val="double" w:sz="6" w:space="0" w:color="auto"/>
            </w:tcBorders>
            <w:shd w:val="clear" w:color="000000" w:fill="FFFFFF"/>
            <w:noWrap/>
            <w:vAlign w:val="bottom"/>
            <w:hideMark/>
          </w:tcPr>
          <w:p w14:paraId="02CA3795"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0.10</w:t>
            </w:r>
          </w:p>
        </w:tc>
      </w:tr>
      <w:tr w:rsidR="00052499" w:rsidRPr="00555FBC" w14:paraId="4E728659" w14:textId="77777777" w:rsidTr="00052499">
        <w:trPr>
          <w:trHeight w:val="198"/>
        </w:trPr>
        <w:tc>
          <w:tcPr>
            <w:tcW w:w="2302" w:type="pct"/>
            <w:tcBorders>
              <w:top w:val="nil"/>
              <w:left w:val="double" w:sz="6" w:space="0" w:color="auto"/>
              <w:bottom w:val="nil"/>
              <w:right w:val="double" w:sz="6" w:space="0" w:color="auto"/>
            </w:tcBorders>
            <w:shd w:val="clear" w:color="000000" w:fill="FFFFFF"/>
            <w:vAlign w:val="center"/>
            <w:hideMark/>
          </w:tcPr>
          <w:p w14:paraId="2CA9D89B" w14:textId="77777777" w:rsidR="00052499" w:rsidRPr="00555FBC" w:rsidRDefault="00052499" w:rsidP="00052499">
            <w:pPr>
              <w:spacing w:after="0" w:line="240" w:lineRule="auto"/>
              <w:rPr>
                <w:rFonts w:ascii="Calibri" w:eastAsia="Times New Roman" w:hAnsi="Calibri" w:cs="Calibri"/>
                <w:sz w:val="16"/>
                <w:szCs w:val="16"/>
              </w:rPr>
            </w:pPr>
            <w:r w:rsidRPr="00555FBC">
              <w:rPr>
                <w:rFonts w:ascii="Calibri" w:eastAsia="Times New Roman" w:hAnsi="Calibri" w:cs="Calibri"/>
                <w:sz w:val="16"/>
                <w:szCs w:val="16"/>
              </w:rPr>
              <w:t>Primici od prodaje imovine</w:t>
            </w:r>
          </w:p>
        </w:tc>
        <w:tc>
          <w:tcPr>
            <w:tcW w:w="357" w:type="pct"/>
            <w:tcBorders>
              <w:top w:val="nil"/>
              <w:left w:val="nil"/>
              <w:bottom w:val="nil"/>
              <w:right w:val="single" w:sz="4" w:space="0" w:color="auto"/>
            </w:tcBorders>
            <w:shd w:val="clear" w:color="000000" w:fill="FFFFFF"/>
            <w:noWrap/>
            <w:vAlign w:val="center"/>
            <w:hideMark/>
          </w:tcPr>
          <w:p w14:paraId="0AE78E53" w14:textId="77777777" w:rsidR="00052499" w:rsidRPr="00555FBC" w:rsidRDefault="00052499" w:rsidP="00052499">
            <w:pPr>
              <w:spacing w:after="0" w:line="240" w:lineRule="auto"/>
              <w:jc w:val="right"/>
              <w:rPr>
                <w:rFonts w:ascii="Calibri" w:eastAsia="Times New Roman" w:hAnsi="Calibri" w:cs="Calibri"/>
                <w:sz w:val="16"/>
                <w:szCs w:val="16"/>
              </w:rPr>
            </w:pPr>
            <w:r w:rsidRPr="00555FBC">
              <w:rPr>
                <w:rFonts w:ascii="Calibri" w:eastAsia="Times New Roman" w:hAnsi="Calibri" w:cs="Calibri"/>
                <w:sz w:val="16"/>
                <w:szCs w:val="16"/>
              </w:rPr>
              <w:t>15.43</w:t>
            </w:r>
          </w:p>
        </w:tc>
        <w:tc>
          <w:tcPr>
            <w:tcW w:w="296" w:type="pct"/>
            <w:tcBorders>
              <w:top w:val="nil"/>
              <w:left w:val="nil"/>
              <w:bottom w:val="nil"/>
              <w:right w:val="double" w:sz="6" w:space="0" w:color="auto"/>
            </w:tcBorders>
            <w:shd w:val="clear" w:color="000000" w:fill="FFFFFF"/>
            <w:noWrap/>
            <w:vAlign w:val="bottom"/>
            <w:hideMark/>
          </w:tcPr>
          <w:p w14:paraId="704BBBB9"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0.24</w:t>
            </w:r>
          </w:p>
        </w:tc>
        <w:tc>
          <w:tcPr>
            <w:tcW w:w="360" w:type="pct"/>
            <w:tcBorders>
              <w:top w:val="nil"/>
              <w:left w:val="nil"/>
              <w:bottom w:val="nil"/>
              <w:right w:val="single" w:sz="4" w:space="0" w:color="auto"/>
            </w:tcBorders>
            <w:shd w:val="clear" w:color="000000" w:fill="FFFFFF"/>
            <w:noWrap/>
            <w:vAlign w:val="center"/>
            <w:hideMark/>
          </w:tcPr>
          <w:p w14:paraId="246DA38B" w14:textId="77777777" w:rsidR="00052499" w:rsidRPr="00555FBC" w:rsidRDefault="00052499" w:rsidP="00052499">
            <w:pPr>
              <w:spacing w:after="0" w:line="240" w:lineRule="auto"/>
              <w:jc w:val="right"/>
              <w:rPr>
                <w:rFonts w:ascii="Calibri" w:eastAsia="Times New Roman" w:hAnsi="Calibri" w:cs="Calibri"/>
                <w:sz w:val="16"/>
                <w:szCs w:val="16"/>
              </w:rPr>
            </w:pPr>
            <w:r w:rsidRPr="00555FBC">
              <w:rPr>
                <w:rFonts w:ascii="Calibri" w:eastAsia="Times New Roman" w:hAnsi="Calibri" w:cs="Calibri"/>
                <w:sz w:val="16"/>
                <w:szCs w:val="16"/>
              </w:rPr>
              <w:t>16.51</w:t>
            </w:r>
          </w:p>
        </w:tc>
        <w:tc>
          <w:tcPr>
            <w:tcW w:w="309" w:type="pct"/>
            <w:tcBorders>
              <w:top w:val="nil"/>
              <w:left w:val="nil"/>
              <w:bottom w:val="nil"/>
              <w:right w:val="double" w:sz="6" w:space="0" w:color="auto"/>
            </w:tcBorders>
            <w:shd w:val="clear" w:color="000000" w:fill="FFFFFF"/>
            <w:noWrap/>
            <w:vAlign w:val="bottom"/>
            <w:hideMark/>
          </w:tcPr>
          <w:p w14:paraId="1D27BE60"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0.23</w:t>
            </w:r>
          </w:p>
        </w:tc>
        <w:tc>
          <w:tcPr>
            <w:tcW w:w="357" w:type="pct"/>
            <w:tcBorders>
              <w:top w:val="nil"/>
              <w:left w:val="nil"/>
              <w:bottom w:val="nil"/>
              <w:right w:val="single" w:sz="4" w:space="0" w:color="auto"/>
            </w:tcBorders>
            <w:shd w:val="clear" w:color="000000" w:fill="FFFFFF"/>
            <w:noWrap/>
            <w:vAlign w:val="center"/>
            <w:hideMark/>
          </w:tcPr>
          <w:p w14:paraId="18BF292B" w14:textId="77777777" w:rsidR="00052499" w:rsidRPr="00555FBC" w:rsidRDefault="00052499" w:rsidP="00052499">
            <w:pPr>
              <w:spacing w:after="0" w:line="240" w:lineRule="auto"/>
              <w:jc w:val="right"/>
              <w:rPr>
                <w:rFonts w:ascii="Calibri" w:eastAsia="Times New Roman" w:hAnsi="Calibri" w:cs="Calibri"/>
                <w:sz w:val="16"/>
                <w:szCs w:val="16"/>
              </w:rPr>
            </w:pPr>
            <w:r w:rsidRPr="00555FBC">
              <w:rPr>
                <w:rFonts w:ascii="Calibri" w:eastAsia="Times New Roman" w:hAnsi="Calibri" w:cs="Calibri"/>
                <w:sz w:val="16"/>
                <w:szCs w:val="16"/>
              </w:rPr>
              <w:t>17.68</w:t>
            </w:r>
          </w:p>
        </w:tc>
        <w:tc>
          <w:tcPr>
            <w:tcW w:w="332" w:type="pct"/>
            <w:tcBorders>
              <w:top w:val="nil"/>
              <w:left w:val="nil"/>
              <w:bottom w:val="nil"/>
              <w:right w:val="double" w:sz="6" w:space="0" w:color="auto"/>
            </w:tcBorders>
            <w:shd w:val="clear" w:color="000000" w:fill="FFFFFF"/>
            <w:noWrap/>
            <w:vAlign w:val="bottom"/>
            <w:hideMark/>
          </w:tcPr>
          <w:p w14:paraId="789B0440"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0.24</w:t>
            </w:r>
          </w:p>
        </w:tc>
        <w:tc>
          <w:tcPr>
            <w:tcW w:w="357" w:type="pct"/>
            <w:tcBorders>
              <w:top w:val="nil"/>
              <w:left w:val="nil"/>
              <w:bottom w:val="nil"/>
              <w:right w:val="single" w:sz="4" w:space="0" w:color="auto"/>
            </w:tcBorders>
            <w:shd w:val="clear" w:color="000000" w:fill="FFFFFF"/>
            <w:noWrap/>
            <w:vAlign w:val="center"/>
            <w:hideMark/>
          </w:tcPr>
          <w:p w14:paraId="6DFEFCD7" w14:textId="77777777" w:rsidR="00052499" w:rsidRPr="00555FBC" w:rsidRDefault="00052499" w:rsidP="00052499">
            <w:pPr>
              <w:spacing w:after="0" w:line="240" w:lineRule="auto"/>
              <w:jc w:val="right"/>
              <w:rPr>
                <w:rFonts w:ascii="Calibri" w:eastAsia="Times New Roman" w:hAnsi="Calibri" w:cs="Calibri"/>
                <w:sz w:val="16"/>
                <w:szCs w:val="16"/>
              </w:rPr>
            </w:pPr>
            <w:r w:rsidRPr="00555FBC">
              <w:rPr>
                <w:rFonts w:ascii="Calibri" w:eastAsia="Times New Roman" w:hAnsi="Calibri" w:cs="Calibri"/>
                <w:sz w:val="16"/>
                <w:szCs w:val="16"/>
              </w:rPr>
              <w:t>18.39</w:t>
            </w:r>
          </w:p>
        </w:tc>
        <w:tc>
          <w:tcPr>
            <w:tcW w:w="330" w:type="pct"/>
            <w:tcBorders>
              <w:top w:val="nil"/>
              <w:left w:val="nil"/>
              <w:bottom w:val="nil"/>
              <w:right w:val="double" w:sz="6" w:space="0" w:color="auto"/>
            </w:tcBorders>
            <w:shd w:val="clear" w:color="000000" w:fill="FFFFFF"/>
            <w:noWrap/>
            <w:vAlign w:val="bottom"/>
            <w:hideMark/>
          </w:tcPr>
          <w:p w14:paraId="6A36AC07"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0.25</w:t>
            </w:r>
          </w:p>
        </w:tc>
      </w:tr>
      <w:tr w:rsidR="00052499" w:rsidRPr="00555FBC" w14:paraId="18B3DE2F" w14:textId="77777777" w:rsidTr="00052499">
        <w:trPr>
          <w:trHeight w:val="198"/>
        </w:trPr>
        <w:tc>
          <w:tcPr>
            <w:tcW w:w="2302" w:type="pct"/>
            <w:tcBorders>
              <w:top w:val="nil"/>
              <w:left w:val="double" w:sz="6" w:space="0" w:color="auto"/>
              <w:bottom w:val="nil"/>
              <w:right w:val="double" w:sz="6" w:space="0" w:color="auto"/>
            </w:tcBorders>
            <w:shd w:val="clear" w:color="000000" w:fill="FFFFFF"/>
            <w:vAlign w:val="center"/>
            <w:hideMark/>
          </w:tcPr>
          <w:p w14:paraId="1A98DD33" w14:textId="77777777" w:rsidR="00052499" w:rsidRPr="00555FBC" w:rsidRDefault="00052499" w:rsidP="00052499">
            <w:pPr>
              <w:spacing w:after="0" w:line="240" w:lineRule="auto"/>
              <w:rPr>
                <w:rFonts w:ascii="Calibri" w:eastAsia="Times New Roman" w:hAnsi="Calibri" w:cs="Calibri"/>
                <w:sz w:val="16"/>
                <w:szCs w:val="16"/>
              </w:rPr>
            </w:pPr>
            <w:r w:rsidRPr="00555FBC">
              <w:rPr>
                <w:rFonts w:ascii="Calibri" w:eastAsia="Times New Roman" w:hAnsi="Calibri" w:cs="Calibri"/>
                <w:sz w:val="16"/>
                <w:szCs w:val="16"/>
              </w:rPr>
              <w:t>Primici od otplate kredita</w:t>
            </w:r>
          </w:p>
        </w:tc>
        <w:tc>
          <w:tcPr>
            <w:tcW w:w="357" w:type="pct"/>
            <w:tcBorders>
              <w:top w:val="nil"/>
              <w:left w:val="nil"/>
              <w:bottom w:val="nil"/>
              <w:right w:val="nil"/>
            </w:tcBorders>
            <w:shd w:val="clear" w:color="000000" w:fill="FFFFFF"/>
            <w:noWrap/>
            <w:vAlign w:val="center"/>
            <w:hideMark/>
          </w:tcPr>
          <w:p w14:paraId="756AB156" w14:textId="77777777" w:rsidR="00052499" w:rsidRPr="00555FBC" w:rsidRDefault="00052499" w:rsidP="00052499">
            <w:pPr>
              <w:spacing w:after="0" w:line="240" w:lineRule="auto"/>
              <w:jc w:val="right"/>
              <w:rPr>
                <w:rFonts w:ascii="Calibri" w:eastAsia="Times New Roman" w:hAnsi="Calibri" w:cs="Calibri"/>
                <w:sz w:val="16"/>
                <w:szCs w:val="16"/>
              </w:rPr>
            </w:pPr>
            <w:r w:rsidRPr="00555FBC">
              <w:rPr>
                <w:rFonts w:ascii="Calibri" w:eastAsia="Times New Roman" w:hAnsi="Calibri" w:cs="Calibri"/>
                <w:sz w:val="16"/>
                <w:szCs w:val="16"/>
              </w:rPr>
              <w:t>0.05</w:t>
            </w:r>
          </w:p>
        </w:tc>
        <w:tc>
          <w:tcPr>
            <w:tcW w:w="296" w:type="pct"/>
            <w:tcBorders>
              <w:top w:val="nil"/>
              <w:left w:val="single" w:sz="4" w:space="0" w:color="auto"/>
              <w:bottom w:val="nil"/>
              <w:right w:val="double" w:sz="6" w:space="0" w:color="auto"/>
            </w:tcBorders>
            <w:shd w:val="clear" w:color="000000" w:fill="FFFFFF"/>
            <w:noWrap/>
            <w:vAlign w:val="bottom"/>
            <w:hideMark/>
          </w:tcPr>
          <w:p w14:paraId="192218D8"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0.00</w:t>
            </w:r>
          </w:p>
        </w:tc>
        <w:tc>
          <w:tcPr>
            <w:tcW w:w="360" w:type="pct"/>
            <w:tcBorders>
              <w:top w:val="nil"/>
              <w:left w:val="nil"/>
              <w:bottom w:val="nil"/>
              <w:right w:val="nil"/>
            </w:tcBorders>
            <w:shd w:val="clear" w:color="000000" w:fill="FFFFFF"/>
            <w:noWrap/>
            <w:vAlign w:val="center"/>
            <w:hideMark/>
          </w:tcPr>
          <w:p w14:paraId="4C1FDFD3" w14:textId="77777777" w:rsidR="00052499" w:rsidRPr="00555FBC" w:rsidRDefault="00052499" w:rsidP="00052499">
            <w:pPr>
              <w:spacing w:after="0" w:line="240" w:lineRule="auto"/>
              <w:jc w:val="right"/>
              <w:rPr>
                <w:rFonts w:ascii="Calibri" w:eastAsia="Times New Roman" w:hAnsi="Calibri" w:cs="Calibri"/>
                <w:sz w:val="16"/>
                <w:szCs w:val="16"/>
              </w:rPr>
            </w:pPr>
            <w:r w:rsidRPr="00555FBC">
              <w:rPr>
                <w:rFonts w:ascii="Calibri" w:eastAsia="Times New Roman" w:hAnsi="Calibri" w:cs="Calibri"/>
                <w:sz w:val="16"/>
                <w:szCs w:val="16"/>
              </w:rPr>
              <w:t>0.06</w:t>
            </w:r>
          </w:p>
        </w:tc>
        <w:tc>
          <w:tcPr>
            <w:tcW w:w="309" w:type="pct"/>
            <w:tcBorders>
              <w:top w:val="nil"/>
              <w:left w:val="single" w:sz="4" w:space="0" w:color="auto"/>
              <w:bottom w:val="nil"/>
              <w:right w:val="double" w:sz="6" w:space="0" w:color="auto"/>
            </w:tcBorders>
            <w:shd w:val="clear" w:color="000000" w:fill="FFFFFF"/>
            <w:noWrap/>
            <w:vAlign w:val="bottom"/>
            <w:hideMark/>
          </w:tcPr>
          <w:p w14:paraId="7DDA74D2" w14:textId="77777777" w:rsidR="00052499" w:rsidRPr="00555FBC" w:rsidRDefault="00052499" w:rsidP="00052499">
            <w:pPr>
              <w:spacing w:after="0" w:line="240" w:lineRule="auto"/>
              <w:rPr>
                <w:rFonts w:ascii="Calibri" w:eastAsia="Times New Roman" w:hAnsi="Calibri" w:cs="Calibri"/>
                <w:b/>
                <w:bCs/>
                <w:sz w:val="16"/>
                <w:szCs w:val="16"/>
              </w:rPr>
            </w:pPr>
            <w:r w:rsidRPr="00555FBC">
              <w:rPr>
                <w:rFonts w:ascii="Calibri" w:eastAsia="Times New Roman" w:hAnsi="Calibri" w:cs="Calibri"/>
                <w:b/>
                <w:bCs/>
                <w:sz w:val="16"/>
                <w:szCs w:val="16"/>
              </w:rPr>
              <w:t> </w:t>
            </w:r>
          </w:p>
        </w:tc>
        <w:tc>
          <w:tcPr>
            <w:tcW w:w="357" w:type="pct"/>
            <w:tcBorders>
              <w:top w:val="nil"/>
              <w:left w:val="nil"/>
              <w:bottom w:val="nil"/>
              <w:right w:val="nil"/>
            </w:tcBorders>
            <w:shd w:val="clear" w:color="000000" w:fill="FFFFFF"/>
            <w:noWrap/>
            <w:vAlign w:val="center"/>
            <w:hideMark/>
          </w:tcPr>
          <w:p w14:paraId="40C08DF5" w14:textId="77777777" w:rsidR="00052499" w:rsidRPr="00555FBC" w:rsidRDefault="00052499" w:rsidP="00052499">
            <w:pPr>
              <w:spacing w:after="0" w:line="240" w:lineRule="auto"/>
              <w:jc w:val="right"/>
              <w:rPr>
                <w:rFonts w:ascii="Calibri" w:eastAsia="Times New Roman" w:hAnsi="Calibri" w:cs="Calibri"/>
                <w:sz w:val="16"/>
                <w:szCs w:val="16"/>
              </w:rPr>
            </w:pPr>
            <w:r w:rsidRPr="00555FBC">
              <w:rPr>
                <w:rFonts w:ascii="Calibri" w:eastAsia="Times New Roman" w:hAnsi="Calibri" w:cs="Calibri"/>
                <w:sz w:val="16"/>
                <w:szCs w:val="16"/>
              </w:rPr>
              <w:t>0.06</w:t>
            </w:r>
          </w:p>
        </w:tc>
        <w:tc>
          <w:tcPr>
            <w:tcW w:w="332" w:type="pct"/>
            <w:tcBorders>
              <w:top w:val="nil"/>
              <w:left w:val="single" w:sz="4" w:space="0" w:color="auto"/>
              <w:bottom w:val="nil"/>
              <w:right w:val="double" w:sz="6" w:space="0" w:color="auto"/>
            </w:tcBorders>
            <w:shd w:val="clear" w:color="000000" w:fill="FFFFFF"/>
            <w:noWrap/>
            <w:vAlign w:val="bottom"/>
            <w:hideMark/>
          </w:tcPr>
          <w:p w14:paraId="3612B89C" w14:textId="77777777" w:rsidR="00052499" w:rsidRPr="00555FBC" w:rsidRDefault="00052499" w:rsidP="00052499">
            <w:pPr>
              <w:spacing w:after="0" w:line="240" w:lineRule="auto"/>
              <w:rPr>
                <w:rFonts w:ascii="Calibri" w:eastAsia="Times New Roman" w:hAnsi="Calibri" w:cs="Calibri"/>
                <w:b/>
                <w:bCs/>
                <w:sz w:val="16"/>
                <w:szCs w:val="16"/>
              </w:rPr>
            </w:pPr>
            <w:r w:rsidRPr="00555FBC">
              <w:rPr>
                <w:rFonts w:ascii="Calibri" w:eastAsia="Times New Roman" w:hAnsi="Calibri" w:cs="Calibri"/>
                <w:b/>
                <w:bCs/>
                <w:sz w:val="16"/>
                <w:szCs w:val="16"/>
              </w:rPr>
              <w:t> </w:t>
            </w:r>
          </w:p>
        </w:tc>
        <w:tc>
          <w:tcPr>
            <w:tcW w:w="357" w:type="pct"/>
            <w:tcBorders>
              <w:top w:val="nil"/>
              <w:left w:val="nil"/>
              <w:bottom w:val="nil"/>
              <w:right w:val="nil"/>
            </w:tcBorders>
            <w:shd w:val="clear" w:color="000000" w:fill="FFFFFF"/>
            <w:noWrap/>
            <w:vAlign w:val="center"/>
            <w:hideMark/>
          </w:tcPr>
          <w:p w14:paraId="074112E4" w14:textId="77777777" w:rsidR="00052499" w:rsidRPr="00555FBC" w:rsidRDefault="00052499" w:rsidP="00052499">
            <w:pPr>
              <w:spacing w:after="0" w:line="240" w:lineRule="auto"/>
              <w:jc w:val="right"/>
              <w:rPr>
                <w:rFonts w:ascii="Calibri" w:eastAsia="Times New Roman" w:hAnsi="Calibri" w:cs="Calibri"/>
                <w:sz w:val="16"/>
                <w:szCs w:val="16"/>
              </w:rPr>
            </w:pPr>
            <w:r w:rsidRPr="00555FBC">
              <w:rPr>
                <w:rFonts w:ascii="Calibri" w:eastAsia="Times New Roman" w:hAnsi="Calibri" w:cs="Calibri"/>
                <w:sz w:val="16"/>
                <w:szCs w:val="16"/>
              </w:rPr>
              <w:t>0.00</w:t>
            </w:r>
          </w:p>
        </w:tc>
        <w:tc>
          <w:tcPr>
            <w:tcW w:w="330" w:type="pct"/>
            <w:tcBorders>
              <w:top w:val="nil"/>
              <w:left w:val="single" w:sz="4" w:space="0" w:color="auto"/>
              <w:bottom w:val="nil"/>
              <w:right w:val="double" w:sz="6" w:space="0" w:color="auto"/>
            </w:tcBorders>
            <w:shd w:val="clear" w:color="000000" w:fill="FFFFFF"/>
            <w:noWrap/>
            <w:vAlign w:val="bottom"/>
            <w:hideMark/>
          </w:tcPr>
          <w:p w14:paraId="667E5C9D" w14:textId="77777777" w:rsidR="00052499" w:rsidRPr="00555FBC" w:rsidRDefault="00052499" w:rsidP="00052499">
            <w:pPr>
              <w:spacing w:after="0" w:line="240" w:lineRule="auto"/>
              <w:rPr>
                <w:rFonts w:ascii="Calibri" w:eastAsia="Times New Roman" w:hAnsi="Calibri" w:cs="Calibri"/>
                <w:b/>
                <w:bCs/>
                <w:sz w:val="16"/>
                <w:szCs w:val="16"/>
              </w:rPr>
            </w:pPr>
            <w:r w:rsidRPr="00555FBC">
              <w:rPr>
                <w:rFonts w:ascii="Calibri" w:eastAsia="Times New Roman" w:hAnsi="Calibri" w:cs="Calibri"/>
                <w:b/>
                <w:bCs/>
                <w:sz w:val="16"/>
                <w:szCs w:val="16"/>
              </w:rPr>
              <w:t> </w:t>
            </w:r>
          </w:p>
        </w:tc>
      </w:tr>
      <w:tr w:rsidR="00052499" w:rsidRPr="00555FBC" w14:paraId="4E304322" w14:textId="77777777" w:rsidTr="00052499">
        <w:trPr>
          <w:trHeight w:val="198"/>
        </w:trPr>
        <w:tc>
          <w:tcPr>
            <w:tcW w:w="2302" w:type="pct"/>
            <w:tcBorders>
              <w:top w:val="nil"/>
              <w:left w:val="double" w:sz="6" w:space="0" w:color="auto"/>
              <w:bottom w:val="double" w:sz="6" w:space="0" w:color="auto"/>
              <w:right w:val="double" w:sz="6" w:space="0" w:color="auto"/>
            </w:tcBorders>
            <w:shd w:val="clear" w:color="000000" w:fill="FFFFFF"/>
            <w:vAlign w:val="center"/>
            <w:hideMark/>
          </w:tcPr>
          <w:p w14:paraId="475F812C" w14:textId="77777777" w:rsidR="00052499" w:rsidRPr="00555FBC" w:rsidRDefault="00052499" w:rsidP="00052499">
            <w:pPr>
              <w:spacing w:after="0" w:line="240" w:lineRule="auto"/>
              <w:rPr>
                <w:rFonts w:ascii="Calibri" w:eastAsia="Times New Roman" w:hAnsi="Calibri" w:cs="Calibri"/>
                <w:sz w:val="16"/>
                <w:szCs w:val="16"/>
              </w:rPr>
            </w:pPr>
            <w:r w:rsidRPr="00555FBC">
              <w:rPr>
                <w:rFonts w:ascii="Calibri" w:eastAsia="Times New Roman" w:hAnsi="Calibri" w:cs="Calibri"/>
                <w:sz w:val="16"/>
                <w:szCs w:val="16"/>
              </w:rPr>
              <w:t>Povećanje/smanjenje depozita</w:t>
            </w:r>
          </w:p>
        </w:tc>
        <w:tc>
          <w:tcPr>
            <w:tcW w:w="357" w:type="pct"/>
            <w:tcBorders>
              <w:top w:val="nil"/>
              <w:left w:val="nil"/>
              <w:bottom w:val="double" w:sz="6" w:space="0" w:color="auto"/>
              <w:right w:val="nil"/>
            </w:tcBorders>
            <w:shd w:val="clear" w:color="000000" w:fill="FFFFFF"/>
            <w:noWrap/>
            <w:vAlign w:val="bottom"/>
            <w:hideMark/>
          </w:tcPr>
          <w:p w14:paraId="35EB557E" w14:textId="77777777" w:rsidR="00052499" w:rsidRPr="00555FBC" w:rsidRDefault="00052499" w:rsidP="00052499">
            <w:pPr>
              <w:spacing w:after="0" w:line="240" w:lineRule="auto"/>
              <w:jc w:val="right"/>
              <w:rPr>
                <w:rFonts w:ascii="Calibri" w:eastAsia="Times New Roman" w:hAnsi="Calibri" w:cs="Calibri"/>
                <w:sz w:val="16"/>
                <w:szCs w:val="16"/>
              </w:rPr>
            </w:pPr>
            <w:r w:rsidRPr="00555FBC">
              <w:rPr>
                <w:rFonts w:ascii="Calibri" w:eastAsia="Times New Roman" w:hAnsi="Calibri" w:cs="Calibri"/>
                <w:sz w:val="16"/>
                <w:szCs w:val="16"/>
              </w:rPr>
              <w:t>57.98</w:t>
            </w:r>
          </w:p>
        </w:tc>
        <w:tc>
          <w:tcPr>
            <w:tcW w:w="296" w:type="pct"/>
            <w:tcBorders>
              <w:top w:val="nil"/>
              <w:left w:val="single" w:sz="4" w:space="0" w:color="auto"/>
              <w:bottom w:val="double" w:sz="6" w:space="0" w:color="auto"/>
              <w:right w:val="double" w:sz="6" w:space="0" w:color="auto"/>
            </w:tcBorders>
            <w:shd w:val="clear" w:color="000000" w:fill="FFFFFF"/>
            <w:noWrap/>
            <w:vAlign w:val="bottom"/>
            <w:hideMark/>
          </w:tcPr>
          <w:p w14:paraId="203B9AD1"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0.90</w:t>
            </w:r>
          </w:p>
        </w:tc>
        <w:tc>
          <w:tcPr>
            <w:tcW w:w="360" w:type="pct"/>
            <w:tcBorders>
              <w:top w:val="nil"/>
              <w:left w:val="nil"/>
              <w:bottom w:val="double" w:sz="6" w:space="0" w:color="auto"/>
              <w:right w:val="nil"/>
            </w:tcBorders>
            <w:shd w:val="clear" w:color="000000" w:fill="FFFFFF"/>
            <w:noWrap/>
            <w:vAlign w:val="bottom"/>
            <w:hideMark/>
          </w:tcPr>
          <w:p w14:paraId="29AF07D0" w14:textId="77777777" w:rsidR="00052499" w:rsidRPr="00555FBC" w:rsidRDefault="00052499" w:rsidP="00052499">
            <w:pPr>
              <w:spacing w:after="0" w:line="240" w:lineRule="auto"/>
              <w:jc w:val="right"/>
              <w:rPr>
                <w:rFonts w:ascii="Calibri" w:eastAsia="Times New Roman" w:hAnsi="Calibri" w:cs="Calibri"/>
                <w:sz w:val="16"/>
                <w:szCs w:val="16"/>
              </w:rPr>
            </w:pPr>
            <w:r w:rsidRPr="00555FBC">
              <w:rPr>
                <w:rFonts w:ascii="Calibri" w:eastAsia="Times New Roman" w:hAnsi="Calibri" w:cs="Calibri"/>
                <w:sz w:val="16"/>
                <w:szCs w:val="16"/>
              </w:rPr>
              <w:t>15.64</w:t>
            </w:r>
          </w:p>
        </w:tc>
        <w:tc>
          <w:tcPr>
            <w:tcW w:w="309" w:type="pct"/>
            <w:tcBorders>
              <w:top w:val="nil"/>
              <w:left w:val="single" w:sz="4" w:space="0" w:color="auto"/>
              <w:bottom w:val="double" w:sz="6" w:space="0" w:color="auto"/>
              <w:right w:val="double" w:sz="6" w:space="0" w:color="auto"/>
            </w:tcBorders>
            <w:shd w:val="clear" w:color="000000" w:fill="FFFFFF"/>
            <w:noWrap/>
            <w:vAlign w:val="bottom"/>
            <w:hideMark/>
          </w:tcPr>
          <w:p w14:paraId="3ACB7FC5"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0.22</w:t>
            </w:r>
          </w:p>
        </w:tc>
        <w:tc>
          <w:tcPr>
            <w:tcW w:w="357" w:type="pct"/>
            <w:tcBorders>
              <w:top w:val="nil"/>
              <w:left w:val="nil"/>
              <w:bottom w:val="double" w:sz="6" w:space="0" w:color="auto"/>
              <w:right w:val="nil"/>
            </w:tcBorders>
            <w:shd w:val="clear" w:color="000000" w:fill="FFFFFF"/>
            <w:noWrap/>
            <w:vAlign w:val="bottom"/>
            <w:hideMark/>
          </w:tcPr>
          <w:p w14:paraId="2BF16DCD" w14:textId="77777777" w:rsidR="00052499" w:rsidRPr="00555FBC" w:rsidRDefault="00052499" w:rsidP="00052499">
            <w:pPr>
              <w:spacing w:after="0" w:line="240" w:lineRule="auto"/>
              <w:jc w:val="right"/>
              <w:rPr>
                <w:rFonts w:ascii="Calibri" w:eastAsia="Times New Roman" w:hAnsi="Calibri" w:cs="Calibri"/>
                <w:sz w:val="16"/>
                <w:szCs w:val="16"/>
              </w:rPr>
            </w:pPr>
            <w:r w:rsidRPr="00555FBC">
              <w:rPr>
                <w:rFonts w:ascii="Calibri" w:eastAsia="Times New Roman" w:hAnsi="Calibri" w:cs="Calibri"/>
                <w:sz w:val="16"/>
                <w:szCs w:val="16"/>
              </w:rPr>
              <w:t>3.23</w:t>
            </w:r>
          </w:p>
        </w:tc>
        <w:tc>
          <w:tcPr>
            <w:tcW w:w="332" w:type="pct"/>
            <w:tcBorders>
              <w:top w:val="nil"/>
              <w:left w:val="single" w:sz="4" w:space="0" w:color="auto"/>
              <w:bottom w:val="double" w:sz="6" w:space="0" w:color="auto"/>
              <w:right w:val="double" w:sz="6" w:space="0" w:color="auto"/>
            </w:tcBorders>
            <w:shd w:val="clear" w:color="000000" w:fill="FFFFFF"/>
            <w:noWrap/>
            <w:vAlign w:val="bottom"/>
            <w:hideMark/>
          </w:tcPr>
          <w:p w14:paraId="680E2504"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0.04</w:t>
            </w:r>
          </w:p>
        </w:tc>
        <w:tc>
          <w:tcPr>
            <w:tcW w:w="357" w:type="pct"/>
            <w:tcBorders>
              <w:top w:val="nil"/>
              <w:left w:val="nil"/>
              <w:bottom w:val="double" w:sz="6" w:space="0" w:color="auto"/>
              <w:right w:val="nil"/>
            </w:tcBorders>
            <w:shd w:val="clear" w:color="000000" w:fill="FFFFFF"/>
            <w:noWrap/>
            <w:vAlign w:val="bottom"/>
            <w:hideMark/>
          </w:tcPr>
          <w:p w14:paraId="01AEF89A" w14:textId="77777777" w:rsidR="00052499" w:rsidRPr="00555FBC" w:rsidRDefault="00052499" w:rsidP="00052499">
            <w:pPr>
              <w:spacing w:after="0" w:line="240" w:lineRule="auto"/>
              <w:jc w:val="right"/>
              <w:rPr>
                <w:rFonts w:ascii="Calibri" w:eastAsia="Times New Roman" w:hAnsi="Calibri" w:cs="Calibri"/>
                <w:sz w:val="16"/>
                <w:szCs w:val="16"/>
              </w:rPr>
            </w:pPr>
            <w:r w:rsidRPr="00555FBC">
              <w:rPr>
                <w:rFonts w:ascii="Calibri" w:eastAsia="Times New Roman" w:hAnsi="Calibri" w:cs="Calibri"/>
                <w:sz w:val="16"/>
                <w:szCs w:val="16"/>
              </w:rPr>
              <w:t>5.04</w:t>
            </w:r>
          </w:p>
        </w:tc>
        <w:tc>
          <w:tcPr>
            <w:tcW w:w="330" w:type="pct"/>
            <w:tcBorders>
              <w:top w:val="nil"/>
              <w:left w:val="single" w:sz="4" w:space="0" w:color="auto"/>
              <w:bottom w:val="double" w:sz="6" w:space="0" w:color="auto"/>
              <w:right w:val="double" w:sz="6" w:space="0" w:color="auto"/>
            </w:tcBorders>
            <w:shd w:val="clear" w:color="000000" w:fill="FFFFFF"/>
            <w:noWrap/>
            <w:vAlign w:val="bottom"/>
            <w:hideMark/>
          </w:tcPr>
          <w:p w14:paraId="3083DFDF"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0.07</w:t>
            </w:r>
          </w:p>
        </w:tc>
      </w:tr>
      <w:tr w:rsidR="00052499" w:rsidRPr="00555FBC" w14:paraId="656E42B8" w14:textId="77777777" w:rsidTr="00052499">
        <w:trPr>
          <w:trHeight w:val="198"/>
        </w:trPr>
        <w:tc>
          <w:tcPr>
            <w:tcW w:w="2302" w:type="pct"/>
            <w:tcBorders>
              <w:top w:val="nil"/>
              <w:left w:val="double" w:sz="6" w:space="0" w:color="auto"/>
              <w:bottom w:val="double" w:sz="6" w:space="0" w:color="auto"/>
              <w:right w:val="double" w:sz="6" w:space="0" w:color="auto"/>
            </w:tcBorders>
            <w:shd w:val="clear" w:color="000000" w:fill="D8E4BC"/>
            <w:vAlign w:val="center"/>
            <w:hideMark/>
          </w:tcPr>
          <w:p w14:paraId="2C8C4705" w14:textId="77777777" w:rsidR="00052499" w:rsidRPr="00555FBC" w:rsidRDefault="00052499" w:rsidP="00052499">
            <w:pPr>
              <w:spacing w:after="0" w:line="240" w:lineRule="auto"/>
              <w:rPr>
                <w:rFonts w:ascii="Calibri" w:eastAsia="Times New Roman" w:hAnsi="Calibri" w:cs="Calibri"/>
                <w:b/>
                <w:bCs/>
                <w:sz w:val="16"/>
                <w:szCs w:val="16"/>
              </w:rPr>
            </w:pPr>
            <w:r w:rsidRPr="00555FBC">
              <w:rPr>
                <w:rFonts w:ascii="Calibri" w:eastAsia="Times New Roman" w:hAnsi="Calibri" w:cs="Calibri"/>
                <w:b/>
                <w:bCs/>
                <w:sz w:val="16"/>
                <w:szCs w:val="16"/>
              </w:rPr>
              <w:t xml:space="preserve">Transferi iz budžeta CG </w:t>
            </w:r>
          </w:p>
        </w:tc>
        <w:tc>
          <w:tcPr>
            <w:tcW w:w="357" w:type="pct"/>
            <w:tcBorders>
              <w:top w:val="nil"/>
              <w:left w:val="nil"/>
              <w:bottom w:val="double" w:sz="6" w:space="0" w:color="auto"/>
              <w:right w:val="single" w:sz="4" w:space="0" w:color="auto"/>
            </w:tcBorders>
            <w:shd w:val="clear" w:color="000000" w:fill="D8E4BC"/>
            <w:noWrap/>
            <w:vAlign w:val="bottom"/>
            <w:hideMark/>
          </w:tcPr>
          <w:p w14:paraId="1C8D523A"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10.0</w:t>
            </w:r>
          </w:p>
        </w:tc>
        <w:tc>
          <w:tcPr>
            <w:tcW w:w="296" w:type="pct"/>
            <w:tcBorders>
              <w:top w:val="nil"/>
              <w:left w:val="nil"/>
              <w:bottom w:val="double" w:sz="6" w:space="0" w:color="auto"/>
              <w:right w:val="double" w:sz="6" w:space="0" w:color="auto"/>
            </w:tcBorders>
            <w:shd w:val="clear" w:color="000000" w:fill="D8E4BC"/>
            <w:noWrap/>
            <w:vAlign w:val="bottom"/>
            <w:hideMark/>
          </w:tcPr>
          <w:p w14:paraId="74983284"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0.15</w:t>
            </w:r>
          </w:p>
        </w:tc>
        <w:tc>
          <w:tcPr>
            <w:tcW w:w="360" w:type="pct"/>
            <w:tcBorders>
              <w:top w:val="nil"/>
              <w:left w:val="nil"/>
              <w:bottom w:val="double" w:sz="6" w:space="0" w:color="auto"/>
              <w:right w:val="single" w:sz="4" w:space="0" w:color="auto"/>
            </w:tcBorders>
            <w:shd w:val="clear" w:color="000000" w:fill="D8E4BC"/>
            <w:noWrap/>
            <w:vAlign w:val="bottom"/>
            <w:hideMark/>
          </w:tcPr>
          <w:p w14:paraId="0DD6DBAE"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10.0</w:t>
            </w:r>
          </w:p>
        </w:tc>
        <w:tc>
          <w:tcPr>
            <w:tcW w:w="309" w:type="pct"/>
            <w:tcBorders>
              <w:top w:val="nil"/>
              <w:left w:val="nil"/>
              <w:bottom w:val="double" w:sz="6" w:space="0" w:color="auto"/>
              <w:right w:val="double" w:sz="6" w:space="0" w:color="auto"/>
            </w:tcBorders>
            <w:shd w:val="clear" w:color="000000" w:fill="D8E4BC"/>
            <w:noWrap/>
            <w:vAlign w:val="bottom"/>
            <w:hideMark/>
          </w:tcPr>
          <w:p w14:paraId="06B66114"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0.14</w:t>
            </w:r>
          </w:p>
        </w:tc>
        <w:tc>
          <w:tcPr>
            <w:tcW w:w="357" w:type="pct"/>
            <w:tcBorders>
              <w:top w:val="nil"/>
              <w:left w:val="nil"/>
              <w:bottom w:val="double" w:sz="6" w:space="0" w:color="auto"/>
              <w:right w:val="single" w:sz="4" w:space="0" w:color="auto"/>
            </w:tcBorders>
            <w:shd w:val="clear" w:color="000000" w:fill="D8E4BC"/>
            <w:noWrap/>
            <w:vAlign w:val="bottom"/>
            <w:hideMark/>
          </w:tcPr>
          <w:p w14:paraId="1DB6FEF4"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10.1</w:t>
            </w:r>
          </w:p>
        </w:tc>
        <w:tc>
          <w:tcPr>
            <w:tcW w:w="332" w:type="pct"/>
            <w:tcBorders>
              <w:top w:val="nil"/>
              <w:left w:val="nil"/>
              <w:bottom w:val="double" w:sz="6" w:space="0" w:color="auto"/>
              <w:right w:val="double" w:sz="6" w:space="0" w:color="auto"/>
            </w:tcBorders>
            <w:shd w:val="clear" w:color="000000" w:fill="D8E4BC"/>
            <w:noWrap/>
            <w:vAlign w:val="bottom"/>
            <w:hideMark/>
          </w:tcPr>
          <w:p w14:paraId="105FA372"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0.14</w:t>
            </w:r>
          </w:p>
        </w:tc>
        <w:tc>
          <w:tcPr>
            <w:tcW w:w="357" w:type="pct"/>
            <w:tcBorders>
              <w:top w:val="nil"/>
              <w:left w:val="nil"/>
              <w:bottom w:val="double" w:sz="6" w:space="0" w:color="auto"/>
              <w:right w:val="single" w:sz="4" w:space="0" w:color="auto"/>
            </w:tcBorders>
            <w:shd w:val="clear" w:color="000000" w:fill="D8E4BC"/>
            <w:noWrap/>
            <w:vAlign w:val="bottom"/>
            <w:hideMark/>
          </w:tcPr>
          <w:p w14:paraId="400E06DC"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10.5</w:t>
            </w:r>
          </w:p>
        </w:tc>
        <w:tc>
          <w:tcPr>
            <w:tcW w:w="330" w:type="pct"/>
            <w:tcBorders>
              <w:top w:val="nil"/>
              <w:left w:val="nil"/>
              <w:bottom w:val="double" w:sz="6" w:space="0" w:color="auto"/>
              <w:right w:val="double" w:sz="6" w:space="0" w:color="auto"/>
            </w:tcBorders>
            <w:shd w:val="clear" w:color="000000" w:fill="D8E4BC"/>
            <w:noWrap/>
            <w:vAlign w:val="bottom"/>
            <w:hideMark/>
          </w:tcPr>
          <w:p w14:paraId="7529F378" w14:textId="77777777" w:rsidR="00052499" w:rsidRPr="00555FBC" w:rsidRDefault="00052499" w:rsidP="00052499">
            <w:pPr>
              <w:spacing w:after="0" w:line="240" w:lineRule="auto"/>
              <w:jc w:val="right"/>
              <w:rPr>
                <w:rFonts w:ascii="Calibri" w:eastAsia="Times New Roman" w:hAnsi="Calibri" w:cs="Calibri"/>
                <w:b/>
                <w:bCs/>
                <w:sz w:val="16"/>
                <w:szCs w:val="16"/>
              </w:rPr>
            </w:pPr>
            <w:r w:rsidRPr="00555FBC">
              <w:rPr>
                <w:rFonts w:ascii="Calibri" w:eastAsia="Times New Roman" w:hAnsi="Calibri" w:cs="Calibri"/>
                <w:b/>
                <w:bCs/>
                <w:sz w:val="16"/>
                <w:szCs w:val="16"/>
              </w:rPr>
              <w:t>0.14</w:t>
            </w:r>
          </w:p>
        </w:tc>
      </w:tr>
    </w:tbl>
    <w:p w14:paraId="52027E0F" w14:textId="77777777" w:rsidR="00052499" w:rsidRPr="00110B0F" w:rsidRDefault="00052499" w:rsidP="00052499"/>
    <w:p w14:paraId="44AAF0E5" w14:textId="77777777" w:rsidR="00052499" w:rsidRDefault="00052499" w:rsidP="00052499">
      <w:pPr>
        <w:rPr>
          <w:noProof/>
          <w:lang w:val="en-GB" w:eastAsia="en-GB"/>
        </w:rPr>
      </w:pPr>
      <w:r>
        <w:rPr>
          <w:noProof/>
          <w:lang w:val="en-GB" w:eastAsia="en-GB"/>
        </w:rPr>
        <w:br w:type="page"/>
      </w:r>
    </w:p>
    <w:p w14:paraId="6CE86D29" w14:textId="77777777" w:rsidR="00052499" w:rsidRPr="00555FBC" w:rsidRDefault="00052499" w:rsidP="00052499">
      <w:pPr>
        <w:rPr>
          <w:lang w:val="en-GB" w:eastAsia="en-GB"/>
        </w:rPr>
      </w:pPr>
      <w:r w:rsidRPr="00555FBC">
        <w:rPr>
          <w:noProof/>
          <w:lang w:val="en-GB" w:eastAsia="en-GB"/>
        </w:rPr>
        <w:lastRenderedPageBreak/>
        <w:drawing>
          <wp:anchor distT="0" distB="0" distL="114300" distR="114300" simplePos="0" relativeHeight="251699200" behindDoc="1" locked="0" layoutInCell="1" allowOverlap="1" wp14:anchorId="537D51C3" wp14:editId="09B69363">
            <wp:simplePos x="0" y="0"/>
            <wp:positionH relativeFrom="margin">
              <wp:align>left</wp:align>
            </wp:positionH>
            <wp:positionV relativeFrom="page">
              <wp:posOffset>200025</wp:posOffset>
            </wp:positionV>
            <wp:extent cx="6096000" cy="9478010"/>
            <wp:effectExtent l="0" t="0" r="0" b="8890"/>
            <wp:wrapTight wrapText="bothSides">
              <wp:wrapPolygon edited="0">
                <wp:start x="0" y="0"/>
                <wp:lineTo x="0" y="21577"/>
                <wp:lineTo x="21533" y="21577"/>
                <wp:lineTo x="21533"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096000" cy="94780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CDF122E" w14:textId="7F0CA451" w:rsidR="00A60C23" w:rsidRPr="0078602A" w:rsidRDefault="00A60C23" w:rsidP="00CB2E14">
      <w:pPr>
        <w:pStyle w:val="Heading1"/>
        <w:shd w:val="clear" w:color="auto" w:fill="B4C6E7" w:themeFill="accent1" w:themeFillTint="66"/>
        <w:rPr>
          <w:b/>
        </w:rPr>
      </w:pPr>
      <w:bookmarkStart w:id="154" w:name="_Toc153305362"/>
      <w:bookmarkEnd w:id="109"/>
      <w:r w:rsidRPr="0078602A">
        <w:rPr>
          <w:b/>
        </w:rPr>
        <w:lastRenderedPageBreak/>
        <w:t>5. STRUKTURNE REFORME U 2024-2026.</w:t>
      </w:r>
      <w:bookmarkEnd w:id="154"/>
    </w:p>
    <w:p w14:paraId="38E45D3C" w14:textId="3CDC15BC" w:rsidR="008C364B" w:rsidRPr="002D4036" w:rsidRDefault="008C364B" w:rsidP="0065415E">
      <w:pPr>
        <w:pStyle w:val="Heading1"/>
        <w:rPr>
          <w:b/>
          <w:bCs/>
          <w:color w:val="002465"/>
        </w:rPr>
      </w:pPr>
      <w:bookmarkStart w:id="155" w:name="_Toc153305363"/>
      <w:r w:rsidRPr="002D4036">
        <w:rPr>
          <w:b/>
          <w:bCs/>
          <w:color w:val="002465"/>
        </w:rPr>
        <w:t>5.1 Konkurentnost</w:t>
      </w:r>
      <w:bookmarkEnd w:id="155"/>
    </w:p>
    <w:p w14:paraId="3B27370F" w14:textId="0C9A26FC" w:rsidR="0039112E" w:rsidRPr="00CB2E14" w:rsidRDefault="005E1CB4" w:rsidP="00CB2E14">
      <w:pPr>
        <w:rPr>
          <w:color w:val="1F3864" w:themeColor="accent1" w:themeShade="80"/>
          <w:sz w:val="26"/>
          <w:szCs w:val="26"/>
        </w:rPr>
      </w:pPr>
      <w:r w:rsidRPr="00CB2E14">
        <w:rPr>
          <w:color w:val="1F3864" w:themeColor="accent1" w:themeShade="80"/>
          <w:sz w:val="26"/>
          <w:szCs w:val="26"/>
        </w:rPr>
        <w:t>a</w:t>
      </w:r>
      <w:r w:rsidR="002800F8" w:rsidRPr="00CB2E14">
        <w:rPr>
          <w:color w:val="1F3864" w:themeColor="accent1" w:themeShade="80"/>
          <w:sz w:val="26"/>
          <w:szCs w:val="26"/>
        </w:rPr>
        <w:t>.</w:t>
      </w:r>
      <w:r w:rsidRPr="00CB2E14">
        <w:rPr>
          <w:color w:val="1F3864" w:themeColor="accent1" w:themeShade="80"/>
          <w:sz w:val="26"/>
          <w:szCs w:val="26"/>
        </w:rPr>
        <w:t xml:space="preserve"> </w:t>
      </w:r>
      <w:r w:rsidR="008D0B88" w:rsidRPr="00CB2E14">
        <w:rPr>
          <w:color w:val="1F3864" w:themeColor="accent1" w:themeShade="80"/>
          <w:sz w:val="26"/>
          <w:szCs w:val="26"/>
        </w:rPr>
        <w:t>Analiza ključnih prepreka</w:t>
      </w:r>
      <w:r w:rsidRPr="00CB2E14">
        <w:rPr>
          <w:color w:val="1F3864" w:themeColor="accent1" w:themeShade="80"/>
          <w:sz w:val="26"/>
          <w:szCs w:val="26"/>
        </w:rPr>
        <w:t xml:space="preserve"> </w:t>
      </w:r>
    </w:p>
    <w:p w14:paraId="31828B1A" w14:textId="77777777" w:rsidR="008E01F0" w:rsidRPr="008E01F0" w:rsidRDefault="008E01F0" w:rsidP="008E01F0">
      <w:pPr>
        <w:jc w:val="both"/>
        <w:rPr>
          <w:rFonts w:cstheme="minorHAnsi"/>
          <w:sz w:val="24"/>
          <w:szCs w:val="24"/>
          <w:lang w:val="de-DE"/>
        </w:rPr>
      </w:pPr>
      <w:r w:rsidRPr="008E01F0">
        <w:rPr>
          <w:rFonts w:cstheme="minorHAnsi"/>
          <w:sz w:val="24"/>
          <w:szCs w:val="24"/>
          <w:lang w:val="de-DE"/>
        </w:rPr>
        <w:t xml:space="preserve">Crna Gora se suočava sa povećanom ekonomskom neizvješnoću izazvanom globalnim šokovima i visokom inflacijom. Pored njih, više je strukturnih izazova koji nepovoljno utiču na konkurentnost ekonomije i njenu održivost, a među najvećima su </w:t>
      </w:r>
      <w:r w:rsidRPr="008E01F0">
        <w:rPr>
          <w:rFonts w:cstheme="minorHAnsi"/>
          <w:b/>
          <w:bCs/>
          <w:sz w:val="24"/>
          <w:szCs w:val="24"/>
          <w:lang w:val="de-DE"/>
        </w:rPr>
        <w:t>nepovoljno regulatorno okruženje, neformalno poslovanje i slabosti u nadzoru i upravljanju u državnim preduzećima</w:t>
      </w:r>
      <w:r w:rsidRPr="008E01F0">
        <w:rPr>
          <w:rFonts w:cstheme="minorHAnsi"/>
          <w:sz w:val="24"/>
          <w:szCs w:val="24"/>
          <w:lang w:val="de-DE"/>
        </w:rPr>
        <w:t>.</w:t>
      </w:r>
    </w:p>
    <w:p w14:paraId="781F2B2D" w14:textId="77777777" w:rsidR="008E01F0" w:rsidRPr="008E01F0" w:rsidRDefault="008E01F0" w:rsidP="008E01F0">
      <w:pPr>
        <w:jc w:val="both"/>
        <w:rPr>
          <w:rFonts w:cstheme="minorHAnsi"/>
          <w:sz w:val="24"/>
          <w:szCs w:val="24"/>
          <w:lang w:val="sr-Latn-ME"/>
        </w:rPr>
      </w:pPr>
      <w:r w:rsidRPr="008E01F0">
        <w:rPr>
          <w:rFonts w:cstheme="minorHAnsi"/>
          <w:sz w:val="24"/>
          <w:szCs w:val="24"/>
          <w:lang w:val="pl-PL"/>
        </w:rPr>
        <w:t xml:space="preserve">Prema  istraživanju Privredne komore Crne Gore </w:t>
      </w:r>
      <w:r w:rsidRPr="008E01F0">
        <w:rPr>
          <w:rFonts w:cstheme="minorHAnsi"/>
          <w:i/>
          <w:iCs/>
          <w:sz w:val="24"/>
          <w:szCs w:val="24"/>
          <w:lang w:val="pl-PL"/>
        </w:rPr>
        <w:t xml:space="preserve">„Poslovni ambijent u Crnoj Gori” (PKCG, 2023), </w:t>
      </w:r>
      <w:r w:rsidRPr="008E01F0">
        <w:rPr>
          <w:rFonts w:cstheme="minorHAnsi"/>
          <w:sz w:val="24"/>
          <w:szCs w:val="24"/>
          <w:lang w:val="pl-PL"/>
        </w:rPr>
        <w:t xml:space="preserve">poslovni ambijent u 2023. godini je umjereno nepovoljan, sa prosječnom ocjenom 2,41 od 5. Privrednici fiskalne i parafiskalne namete ocjenjuju visokim, prvenstveno stopu PDV-a kod fiskaliteta, kao i naknade izvršiteljima i lokalne naknade među parafiskalitetima. Prema IPSOS </w:t>
      </w:r>
      <w:r w:rsidRPr="008E01F0">
        <w:rPr>
          <w:rFonts w:cstheme="minorHAnsi"/>
          <w:i/>
          <w:iCs/>
          <w:sz w:val="24"/>
          <w:szCs w:val="24"/>
          <w:lang w:val="pl-PL"/>
        </w:rPr>
        <w:t>Istraživanju među domaćinstvima i preduzećima sa ciljem utvrđivanja obima i strukture sive ekonomije u Crnoj Gori</w:t>
      </w:r>
      <w:r w:rsidRPr="008E01F0">
        <w:rPr>
          <w:rFonts w:cstheme="minorHAnsi"/>
          <w:sz w:val="24"/>
          <w:szCs w:val="24"/>
          <w:lang w:val="pl-PL"/>
        </w:rPr>
        <w:t xml:space="preserve"> (2022), jedan od ključnih uzroka uticaja na sivu ekonomiju na tržištu rada su visoki porezi i doprinosi, i to brojni i visoki parafiskalni nameti (kao što su dozvole, takse i ostali nameti). </w:t>
      </w:r>
      <w:r w:rsidRPr="008E01F0">
        <w:rPr>
          <w:rFonts w:cstheme="minorHAnsi"/>
          <w:sz w:val="24"/>
          <w:szCs w:val="24"/>
          <w:lang w:val="sr-Latn-ME"/>
        </w:rPr>
        <w:t xml:space="preserve">Drugim riječima, nepredvidivost poslovnog ambijenta, odnosno česte izmjene propisa, otežavaju nove investicije, registraciju biznisa i poslovanje mikro i malih preduzeća. Kada se tome doda složenost i sporost administracije i nedovoljna transparentnost u odlučivanju, sve navedeno nepovoljno utiče na ukupni poslovni ambijent, </w:t>
      </w:r>
      <w:r w:rsidRPr="008E01F0">
        <w:rPr>
          <w:rFonts w:cstheme="minorHAnsi"/>
          <w:sz w:val="24"/>
          <w:szCs w:val="24"/>
        </w:rPr>
        <w:t>a</w:t>
      </w:r>
      <w:r w:rsidRPr="008E01F0">
        <w:rPr>
          <w:rFonts w:cstheme="minorHAnsi"/>
          <w:sz w:val="24"/>
          <w:szCs w:val="24"/>
          <w:lang w:val="sr-Latn-ME"/>
        </w:rPr>
        <w:t xml:space="preserve"> </w:t>
      </w:r>
      <w:r w:rsidRPr="008E01F0">
        <w:rPr>
          <w:rFonts w:cstheme="minorHAnsi"/>
          <w:sz w:val="24"/>
          <w:szCs w:val="24"/>
        </w:rPr>
        <w:t>time</w:t>
      </w:r>
      <w:r w:rsidRPr="008E01F0">
        <w:rPr>
          <w:rFonts w:cstheme="minorHAnsi"/>
          <w:sz w:val="24"/>
          <w:szCs w:val="24"/>
          <w:lang w:val="sr-Latn-ME"/>
        </w:rPr>
        <w:t xml:space="preserve"> </w:t>
      </w:r>
      <w:r w:rsidRPr="008E01F0">
        <w:rPr>
          <w:rFonts w:cstheme="minorHAnsi"/>
          <w:sz w:val="24"/>
          <w:szCs w:val="24"/>
        </w:rPr>
        <w:t>i</w:t>
      </w:r>
      <w:r w:rsidRPr="008E01F0">
        <w:rPr>
          <w:rFonts w:cstheme="minorHAnsi"/>
          <w:sz w:val="24"/>
          <w:szCs w:val="24"/>
          <w:lang w:val="sr-Latn-ME"/>
        </w:rPr>
        <w:t xml:space="preserve"> </w:t>
      </w:r>
      <w:r w:rsidRPr="008E01F0">
        <w:rPr>
          <w:rFonts w:cstheme="minorHAnsi"/>
          <w:sz w:val="24"/>
          <w:szCs w:val="24"/>
        </w:rPr>
        <w:t>na</w:t>
      </w:r>
      <w:r w:rsidRPr="008E01F0">
        <w:rPr>
          <w:rFonts w:cstheme="minorHAnsi"/>
          <w:sz w:val="24"/>
          <w:szCs w:val="24"/>
          <w:lang w:val="sr-Latn-ME"/>
        </w:rPr>
        <w:t xml:space="preserve"> </w:t>
      </w:r>
      <w:r w:rsidRPr="008E01F0">
        <w:rPr>
          <w:rFonts w:cstheme="minorHAnsi"/>
          <w:sz w:val="24"/>
          <w:szCs w:val="24"/>
        </w:rPr>
        <w:t>neformalnu</w:t>
      </w:r>
      <w:r w:rsidRPr="008E01F0">
        <w:rPr>
          <w:rFonts w:cstheme="minorHAnsi"/>
          <w:sz w:val="24"/>
          <w:szCs w:val="24"/>
          <w:lang w:val="sr-Latn-ME"/>
        </w:rPr>
        <w:t xml:space="preserve"> </w:t>
      </w:r>
      <w:r w:rsidRPr="008E01F0">
        <w:rPr>
          <w:rFonts w:cstheme="minorHAnsi"/>
          <w:sz w:val="24"/>
          <w:szCs w:val="24"/>
        </w:rPr>
        <w:t>ekonomiju</w:t>
      </w:r>
      <w:r w:rsidRPr="008E01F0">
        <w:rPr>
          <w:rFonts w:cstheme="minorHAnsi"/>
          <w:sz w:val="24"/>
          <w:szCs w:val="24"/>
          <w:lang w:val="sr-Latn-ME"/>
        </w:rPr>
        <w:t>.</w:t>
      </w:r>
    </w:p>
    <w:p w14:paraId="1981C24C" w14:textId="44414B9F" w:rsidR="008E01F0" w:rsidRDefault="008E01F0" w:rsidP="008E01F0">
      <w:pPr>
        <w:jc w:val="both"/>
        <w:rPr>
          <w:rFonts w:cstheme="minorHAnsi"/>
          <w:bCs/>
          <w:sz w:val="24"/>
          <w:szCs w:val="24"/>
          <w:lang w:val="sr-Latn-ME"/>
        </w:rPr>
      </w:pPr>
      <w:r w:rsidRPr="008E01F0">
        <w:rPr>
          <w:rFonts w:cstheme="minorHAnsi"/>
          <w:sz w:val="24"/>
          <w:szCs w:val="24"/>
          <w:lang w:val="sr-Latn-ME"/>
        </w:rPr>
        <w:t xml:space="preserve">Neformalna ekonomija je faktički direktna posljedica ekonomske i fiskalne politike u kombinaciji sa složenošću regulatornog okruženja i administrativnih procedura. Ekonomski faktori  u pojedinim sektorima ukazuju da su pojedini sektori privrede podložniji razvoju neformalne ekonomije, od drugih.  To se u Crnoj Gori naročito odnosi na turizam, trgovinu, saobraćaj, građevinarstvo, poljoprivredu, šumarstvo i drvopreradu. </w:t>
      </w:r>
      <w:r w:rsidRPr="008E01F0">
        <w:rPr>
          <w:rFonts w:cstheme="minorHAnsi"/>
          <w:bCs/>
          <w:sz w:val="24"/>
          <w:szCs w:val="24"/>
          <w:lang w:val="sr-Latn-ME"/>
        </w:rPr>
        <w:t>Neformalnosti se reflektuju kroz neevidentiranje prometa proizvoda i usluga, og</w:t>
      </w:r>
      <w:r w:rsidR="00530DF2">
        <w:rPr>
          <w:rFonts w:cstheme="minorHAnsi"/>
          <w:bCs/>
          <w:sz w:val="24"/>
          <w:szCs w:val="24"/>
          <w:lang w:val="sr-Latn-ME"/>
        </w:rPr>
        <w:t>r</w:t>
      </w:r>
      <w:r w:rsidRPr="008E01F0">
        <w:rPr>
          <w:rFonts w:cstheme="minorHAnsi"/>
          <w:bCs/>
          <w:sz w:val="24"/>
          <w:szCs w:val="24"/>
          <w:lang w:val="sr-Latn-ME"/>
        </w:rPr>
        <w:t>aničene trgovinske olakšice, prodaju akcizne robe na javnim površinama, izbjegavanje zaključivanja ugovora o radu i isplate zarada bez poreza i doprinosa, nepravilnosti prilikom angažovanja sezonske radne snage bilo da su u pitanju rezidenti ili nerezidenti, kroz obavljanje djelatnosti bez odobrenja za rad i bez prethodno izvršene poreske registracije</w:t>
      </w:r>
      <w:r w:rsidRPr="008E01F0">
        <w:rPr>
          <w:rFonts w:cstheme="minorHAnsi"/>
          <w:bCs/>
          <w:sz w:val="24"/>
          <w:szCs w:val="24"/>
          <w:lang w:val="sr-Latn-RS"/>
        </w:rPr>
        <w:t xml:space="preserve">, </w:t>
      </w:r>
      <w:r w:rsidRPr="008E01F0">
        <w:rPr>
          <w:rFonts w:cstheme="minorHAnsi"/>
          <w:bCs/>
          <w:sz w:val="24"/>
          <w:szCs w:val="24"/>
          <w:lang w:val="sr-Latn-ME"/>
        </w:rPr>
        <w:t>itd.</w:t>
      </w:r>
      <w:r w:rsidRPr="008E01F0">
        <w:rPr>
          <w:rFonts w:cstheme="minorHAnsi"/>
          <w:sz w:val="24"/>
          <w:szCs w:val="24"/>
          <w:lang w:val="sr-Latn-ME"/>
        </w:rPr>
        <w:t xml:space="preserve"> </w:t>
      </w:r>
      <w:r w:rsidRPr="008E01F0">
        <w:rPr>
          <w:rFonts w:cstheme="minorHAnsi"/>
          <w:sz w:val="24"/>
          <w:szCs w:val="24"/>
        </w:rPr>
        <w:t>Nedostatak</w:t>
      </w:r>
      <w:r w:rsidRPr="008E01F0">
        <w:rPr>
          <w:rFonts w:cstheme="minorHAnsi"/>
          <w:sz w:val="24"/>
          <w:szCs w:val="24"/>
          <w:lang w:val="sr-Latn-ME"/>
        </w:rPr>
        <w:t xml:space="preserve"> </w:t>
      </w:r>
      <w:r w:rsidRPr="008E01F0">
        <w:rPr>
          <w:rFonts w:cstheme="minorHAnsi"/>
          <w:sz w:val="24"/>
          <w:szCs w:val="24"/>
        </w:rPr>
        <w:t>administrativnih</w:t>
      </w:r>
      <w:r w:rsidRPr="008E01F0">
        <w:rPr>
          <w:rFonts w:cstheme="minorHAnsi"/>
          <w:sz w:val="24"/>
          <w:szCs w:val="24"/>
          <w:lang w:val="sr-Latn-ME"/>
        </w:rPr>
        <w:t xml:space="preserve"> </w:t>
      </w:r>
      <w:r w:rsidRPr="008E01F0">
        <w:rPr>
          <w:rFonts w:cstheme="minorHAnsi"/>
          <w:sz w:val="24"/>
          <w:szCs w:val="24"/>
        </w:rPr>
        <w:t>kapaciteta</w:t>
      </w:r>
      <w:r w:rsidRPr="008E01F0">
        <w:rPr>
          <w:rFonts w:cstheme="minorHAnsi"/>
          <w:sz w:val="24"/>
          <w:szCs w:val="24"/>
          <w:lang w:val="sr-Latn-ME"/>
        </w:rPr>
        <w:t xml:space="preserve">, </w:t>
      </w:r>
      <w:r w:rsidRPr="008E01F0">
        <w:rPr>
          <w:rFonts w:cstheme="minorHAnsi"/>
          <w:sz w:val="24"/>
          <w:szCs w:val="24"/>
        </w:rPr>
        <w:t>neadekvatna</w:t>
      </w:r>
      <w:r w:rsidRPr="008E01F0">
        <w:rPr>
          <w:rFonts w:cstheme="minorHAnsi"/>
          <w:sz w:val="24"/>
          <w:szCs w:val="24"/>
          <w:lang w:val="sr-Latn-ME"/>
        </w:rPr>
        <w:t xml:space="preserve"> </w:t>
      </w:r>
      <w:r w:rsidRPr="008E01F0">
        <w:rPr>
          <w:rFonts w:cstheme="minorHAnsi"/>
          <w:sz w:val="24"/>
          <w:szCs w:val="24"/>
        </w:rPr>
        <w:t>koordinacija</w:t>
      </w:r>
      <w:r w:rsidRPr="008E01F0">
        <w:rPr>
          <w:rFonts w:cstheme="minorHAnsi"/>
          <w:sz w:val="24"/>
          <w:szCs w:val="24"/>
          <w:lang w:val="sr-Latn-ME"/>
        </w:rPr>
        <w:t xml:space="preserve"> </w:t>
      </w:r>
      <w:r w:rsidRPr="008E01F0">
        <w:rPr>
          <w:rFonts w:cstheme="minorHAnsi"/>
          <w:sz w:val="24"/>
          <w:szCs w:val="24"/>
        </w:rPr>
        <w:t>i</w:t>
      </w:r>
      <w:r w:rsidRPr="008E01F0">
        <w:rPr>
          <w:rFonts w:cstheme="minorHAnsi"/>
          <w:sz w:val="24"/>
          <w:szCs w:val="24"/>
          <w:lang w:val="sr-Latn-ME"/>
        </w:rPr>
        <w:t xml:space="preserve"> </w:t>
      </w:r>
      <w:r w:rsidRPr="008E01F0">
        <w:rPr>
          <w:rFonts w:cstheme="minorHAnsi"/>
          <w:sz w:val="24"/>
          <w:szCs w:val="24"/>
        </w:rPr>
        <w:t>funkcionalnost</w:t>
      </w:r>
      <w:r w:rsidRPr="008E01F0">
        <w:rPr>
          <w:rFonts w:cstheme="minorHAnsi"/>
          <w:sz w:val="24"/>
          <w:szCs w:val="24"/>
          <w:lang w:val="sr-Latn-ME"/>
        </w:rPr>
        <w:t xml:space="preserve"> </w:t>
      </w:r>
      <w:r w:rsidRPr="008E01F0">
        <w:rPr>
          <w:rFonts w:cstheme="minorHAnsi"/>
          <w:bCs/>
          <w:sz w:val="24"/>
          <w:szCs w:val="24"/>
        </w:rPr>
        <w:t>inspekcijskih</w:t>
      </w:r>
      <w:r w:rsidRPr="008E01F0">
        <w:rPr>
          <w:rFonts w:cstheme="minorHAnsi"/>
          <w:bCs/>
          <w:sz w:val="24"/>
          <w:szCs w:val="24"/>
          <w:lang w:val="sr-Latn-ME"/>
        </w:rPr>
        <w:t xml:space="preserve"> </w:t>
      </w:r>
      <w:r w:rsidRPr="008E01F0">
        <w:rPr>
          <w:rFonts w:cstheme="minorHAnsi"/>
          <w:bCs/>
          <w:sz w:val="24"/>
          <w:szCs w:val="24"/>
        </w:rPr>
        <w:t>organa</w:t>
      </w:r>
      <w:r w:rsidRPr="008E01F0">
        <w:rPr>
          <w:rFonts w:cstheme="minorHAnsi"/>
          <w:bCs/>
          <w:sz w:val="24"/>
          <w:szCs w:val="24"/>
          <w:lang w:val="sr-Latn-ME"/>
        </w:rPr>
        <w:t xml:space="preserve"> </w:t>
      </w:r>
      <w:r w:rsidRPr="008E01F0">
        <w:rPr>
          <w:rFonts w:cstheme="minorHAnsi"/>
          <w:bCs/>
          <w:sz w:val="24"/>
          <w:szCs w:val="24"/>
        </w:rPr>
        <w:t>su</w:t>
      </w:r>
      <w:r w:rsidRPr="008E01F0">
        <w:rPr>
          <w:rFonts w:cstheme="minorHAnsi"/>
          <w:bCs/>
          <w:sz w:val="24"/>
          <w:szCs w:val="24"/>
          <w:lang w:val="sr-Latn-ME"/>
        </w:rPr>
        <w:t xml:space="preserve"> </w:t>
      </w:r>
      <w:r w:rsidRPr="008E01F0">
        <w:rPr>
          <w:rFonts w:cstheme="minorHAnsi"/>
          <w:bCs/>
          <w:sz w:val="24"/>
          <w:szCs w:val="24"/>
        </w:rPr>
        <w:t>dodatni</w:t>
      </w:r>
      <w:r w:rsidRPr="008E01F0">
        <w:rPr>
          <w:rFonts w:cstheme="minorHAnsi"/>
          <w:bCs/>
          <w:sz w:val="24"/>
          <w:szCs w:val="24"/>
          <w:lang w:val="sr-Latn-ME"/>
        </w:rPr>
        <w:t xml:space="preserve"> </w:t>
      </w:r>
      <w:r w:rsidRPr="008E01F0">
        <w:rPr>
          <w:rFonts w:cstheme="minorHAnsi"/>
          <w:bCs/>
          <w:sz w:val="24"/>
          <w:szCs w:val="24"/>
        </w:rPr>
        <w:t>uzrok</w:t>
      </w:r>
      <w:r w:rsidRPr="008E01F0">
        <w:rPr>
          <w:rFonts w:cstheme="minorHAnsi"/>
          <w:bCs/>
          <w:sz w:val="24"/>
          <w:szCs w:val="24"/>
          <w:lang w:val="sr-Latn-ME"/>
        </w:rPr>
        <w:t xml:space="preserve"> </w:t>
      </w:r>
      <w:r w:rsidRPr="008E01F0">
        <w:rPr>
          <w:rFonts w:cstheme="minorHAnsi"/>
          <w:bCs/>
          <w:sz w:val="24"/>
          <w:szCs w:val="24"/>
        </w:rPr>
        <w:t>neformalne</w:t>
      </w:r>
      <w:r w:rsidRPr="008E01F0">
        <w:rPr>
          <w:rFonts w:cstheme="minorHAnsi"/>
          <w:bCs/>
          <w:sz w:val="24"/>
          <w:szCs w:val="24"/>
          <w:lang w:val="sr-Latn-ME"/>
        </w:rPr>
        <w:t xml:space="preserve"> </w:t>
      </w:r>
      <w:r w:rsidRPr="008E01F0">
        <w:rPr>
          <w:rFonts w:cstheme="minorHAnsi"/>
          <w:bCs/>
          <w:sz w:val="24"/>
          <w:szCs w:val="24"/>
        </w:rPr>
        <w:t>ekonomije</w:t>
      </w:r>
      <w:r w:rsidRPr="008E01F0">
        <w:rPr>
          <w:rFonts w:cstheme="minorHAnsi"/>
          <w:bCs/>
          <w:sz w:val="24"/>
          <w:szCs w:val="24"/>
          <w:lang w:val="sr-Latn-ME"/>
        </w:rPr>
        <w:t xml:space="preserve">. </w:t>
      </w:r>
    </w:p>
    <w:p w14:paraId="282754EA" w14:textId="17FEDBBF" w:rsidR="009B5280" w:rsidRPr="00CB6213" w:rsidRDefault="009B5280" w:rsidP="008E01F0">
      <w:pPr>
        <w:jc w:val="both"/>
        <w:rPr>
          <w:rFonts w:eastAsia="Times New Roman" w:cstheme="minorHAnsi"/>
          <w:kern w:val="0"/>
          <w:sz w:val="24"/>
          <w:szCs w:val="24"/>
          <w:lang w:val="sr-Latn-ME"/>
          <w14:ligatures w14:val="none"/>
        </w:rPr>
      </w:pPr>
      <w:r>
        <w:rPr>
          <w:rFonts w:eastAsia="Times New Roman" w:cstheme="minorHAnsi"/>
          <w:kern w:val="0"/>
          <w:sz w:val="24"/>
          <w:szCs w:val="24"/>
          <w:lang w:val="bs"/>
          <w14:ligatures w14:val="none"/>
        </w:rPr>
        <w:t>Nepovoljan regulatorni okvir</w:t>
      </w:r>
      <w:r w:rsidRPr="009B5280">
        <w:rPr>
          <w:rFonts w:eastAsia="Times New Roman" w:cstheme="minorHAnsi"/>
          <w:kern w:val="0"/>
          <w:sz w:val="24"/>
          <w:szCs w:val="24"/>
          <w:lang w:val="bs"/>
          <w14:ligatures w14:val="none"/>
        </w:rPr>
        <w:t xml:space="preserve"> </w:t>
      </w:r>
      <w:r>
        <w:rPr>
          <w:rFonts w:eastAsia="Times New Roman" w:cstheme="minorHAnsi"/>
          <w:kern w:val="0"/>
          <w:sz w:val="24"/>
          <w:szCs w:val="24"/>
          <w:lang w:val="bs"/>
          <w14:ligatures w14:val="none"/>
        </w:rPr>
        <w:t xml:space="preserve">direktno je povezan i sa </w:t>
      </w:r>
      <w:r w:rsidRPr="009B5280">
        <w:rPr>
          <w:rFonts w:eastAsia="Times New Roman" w:cstheme="minorHAnsi"/>
          <w:kern w:val="0"/>
          <w:sz w:val="24"/>
          <w:szCs w:val="24"/>
          <w:lang w:val="bs"/>
          <w14:ligatures w14:val="none"/>
        </w:rPr>
        <w:t>nasljed</w:t>
      </w:r>
      <w:r>
        <w:rPr>
          <w:rFonts w:eastAsia="Times New Roman" w:cstheme="minorHAnsi"/>
          <w:kern w:val="0"/>
          <w:sz w:val="24"/>
          <w:szCs w:val="24"/>
          <w:lang w:val="bs"/>
          <w14:ligatures w14:val="none"/>
        </w:rPr>
        <w:t>ima</w:t>
      </w:r>
      <w:r w:rsidRPr="009B5280">
        <w:rPr>
          <w:rFonts w:eastAsia="Times New Roman" w:cstheme="minorHAnsi"/>
          <w:kern w:val="0"/>
          <w:sz w:val="24"/>
          <w:szCs w:val="24"/>
          <w:lang w:val="bs"/>
          <w14:ligatures w14:val="none"/>
        </w:rPr>
        <w:t xml:space="preserve"> nezavršene tranzicije, </w:t>
      </w:r>
      <w:r>
        <w:rPr>
          <w:rFonts w:eastAsia="Times New Roman" w:cstheme="minorHAnsi"/>
          <w:kern w:val="0"/>
          <w:sz w:val="24"/>
          <w:szCs w:val="24"/>
          <w:lang w:val="bs"/>
          <w14:ligatures w14:val="none"/>
        </w:rPr>
        <w:t xml:space="preserve">kao </w:t>
      </w:r>
      <w:r w:rsidRPr="009B5280">
        <w:rPr>
          <w:rFonts w:eastAsia="Times New Roman" w:cstheme="minorHAnsi"/>
          <w:kern w:val="0"/>
          <w:sz w:val="24"/>
          <w:szCs w:val="24"/>
          <w:lang w:val="bs"/>
          <w14:ligatures w14:val="none"/>
        </w:rPr>
        <w:t>preprek</w:t>
      </w:r>
      <w:r>
        <w:rPr>
          <w:rFonts w:eastAsia="Times New Roman" w:cstheme="minorHAnsi"/>
          <w:kern w:val="0"/>
          <w:sz w:val="24"/>
          <w:szCs w:val="24"/>
          <w:lang w:val="bs"/>
          <w14:ligatures w14:val="none"/>
        </w:rPr>
        <w:t>e u</w:t>
      </w:r>
      <w:r w:rsidRPr="009B5280">
        <w:rPr>
          <w:rFonts w:eastAsia="Times New Roman" w:cstheme="minorHAnsi"/>
          <w:kern w:val="0"/>
          <w:sz w:val="24"/>
          <w:szCs w:val="24"/>
          <w:lang w:val="bs"/>
          <w14:ligatures w14:val="none"/>
        </w:rPr>
        <w:t xml:space="preserve"> razvoju privatnog sektora i</w:t>
      </w:r>
      <w:r>
        <w:rPr>
          <w:rFonts w:eastAsia="Times New Roman" w:cstheme="minorHAnsi"/>
          <w:kern w:val="0"/>
          <w:sz w:val="24"/>
          <w:szCs w:val="24"/>
          <w:lang w:val="bs"/>
          <w14:ligatures w14:val="none"/>
        </w:rPr>
        <w:t xml:space="preserve"> privrede u cjelini. To se prvenstveno odnosi na</w:t>
      </w:r>
      <w:r w:rsidRPr="009B5280">
        <w:rPr>
          <w:rFonts w:eastAsia="Times New Roman" w:cstheme="minorHAnsi"/>
          <w:kern w:val="0"/>
          <w:sz w:val="24"/>
          <w:szCs w:val="24"/>
          <w:lang w:val="bs"/>
          <w14:ligatures w14:val="none"/>
        </w:rPr>
        <w:t xml:space="preserve"> </w:t>
      </w:r>
      <w:r w:rsidRPr="009B5280">
        <w:rPr>
          <w:rFonts w:eastAsia="Times New Roman" w:cstheme="minorHAnsi"/>
          <w:b/>
          <w:bCs/>
          <w:kern w:val="0"/>
          <w:sz w:val="24"/>
          <w:szCs w:val="24"/>
          <w:lang w:val="bs"/>
          <w14:ligatures w14:val="none"/>
        </w:rPr>
        <w:t>slabosti u korporativnom upravljanju u privrednim društvima u većinskom vlasništvu</w:t>
      </w:r>
      <w:r w:rsidR="00B46AA3">
        <w:rPr>
          <w:rFonts w:eastAsia="Times New Roman" w:cstheme="minorHAnsi"/>
          <w:b/>
          <w:bCs/>
          <w:kern w:val="0"/>
          <w:sz w:val="24"/>
          <w:szCs w:val="24"/>
          <w:lang w:val="bs"/>
          <w14:ligatures w14:val="none"/>
        </w:rPr>
        <w:t xml:space="preserve"> države</w:t>
      </w:r>
      <w:r w:rsidRPr="009B5280">
        <w:rPr>
          <w:rFonts w:eastAsia="Times New Roman" w:cstheme="minorHAnsi"/>
          <w:kern w:val="0"/>
          <w:sz w:val="24"/>
          <w:szCs w:val="24"/>
          <w:lang w:val="bs"/>
          <w14:ligatures w14:val="none"/>
        </w:rPr>
        <w:t xml:space="preserve"> </w:t>
      </w:r>
      <w:r w:rsidR="00837504">
        <w:rPr>
          <w:rFonts w:eastAsia="Times New Roman" w:cstheme="minorHAnsi"/>
          <w:kern w:val="0"/>
          <w:sz w:val="24"/>
          <w:szCs w:val="24"/>
          <w:lang w:val="bs"/>
          <w14:ligatures w14:val="none"/>
        </w:rPr>
        <w:t>(u daljem tekstu: državna preduzeća)</w:t>
      </w:r>
      <w:r w:rsidR="001C2E87" w:rsidRPr="001C2E87">
        <w:rPr>
          <w:rFonts w:eastAsia="Times New Roman" w:cstheme="minorHAnsi"/>
          <w:kern w:val="0"/>
          <w:sz w:val="24"/>
          <w:szCs w:val="24"/>
          <w:lang w:val="bs"/>
          <w14:ligatures w14:val="none"/>
        </w:rPr>
        <w:t xml:space="preserve"> kao strukturnom izazovu</w:t>
      </w:r>
      <w:r w:rsidR="00837504">
        <w:rPr>
          <w:rFonts w:eastAsia="Times New Roman" w:cstheme="minorHAnsi"/>
          <w:kern w:val="0"/>
          <w:sz w:val="24"/>
          <w:szCs w:val="24"/>
          <w:lang w:val="bs"/>
          <w14:ligatures w14:val="none"/>
        </w:rPr>
        <w:t xml:space="preserve">. </w:t>
      </w:r>
      <w:r w:rsidR="00101AB3" w:rsidRPr="00101AB3">
        <w:rPr>
          <w:rFonts w:eastAsia="Times New Roman" w:cstheme="minorHAnsi"/>
          <w:kern w:val="0"/>
          <w:sz w:val="24"/>
          <w:szCs w:val="24"/>
          <w:lang w:val="sr-Latn-ME"/>
          <w14:ligatures w14:val="none"/>
        </w:rPr>
        <w:t xml:space="preserve">Međunarodni monetarni fond u izvještaju za Crnu Goru iz februara 2022. u okviru člana 4 statuta navodi da je „ukupni okvir za nadzor nad radom javnih preduzeća slab“ i da „jačanje nadzora može donijeti značajne fiskalne i ekonomske benefite“. </w:t>
      </w:r>
      <w:r w:rsidRPr="009B5280">
        <w:rPr>
          <w:rFonts w:eastAsia="Times New Roman" w:cstheme="minorHAnsi"/>
          <w:bCs/>
          <w:kern w:val="0"/>
          <w:sz w:val="24"/>
          <w:szCs w:val="24"/>
          <w:lang w:val="sr-Latn-RS"/>
          <w14:ligatures w14:val="none"/>
        </w:rPr>
        <w:t xml:space="preserve">Neefikasno i/ili loše upravljanje privrednim društvima u većinskom vlasništvu države </w:t>
      </w:r>
      <w:r w:rsidRPr="009B5280">
        <w:rPr>
          <w:rFonts w:eastAsia="Times New Roman" w:cstheme="minorHAnsi"/>
          <w:bCs/>
          <w:kern w:val="0"/>
          <w:sz w:val="24"/>
          <w:szCs w:val="24"/>
          <w:lang w:val="sr-Latn-RS"/>
          <w14:ligatures w14:val="none"/>
        </w:rPr>
        <w:lastRenderedPageBreak/>
        <w:t>nameću značajne ekonomske i fiskalne troškove za državu</w:t>
      </w:r>
      <w:r w:rsidR="00AB6CDA">
        <w:rPr>
          <w:rFonts w:eastAsia="Times New Roman" w:cstheme="minorHAnsi"/>
          <w:bCs/>
          <w:kern w:val="0"/>
          <w:sz w:val="24"/>
          <w:szCs w:val="24"/>
          <w:lang w:val="sr-Latn-RS"/>
          <w14:ligatures w14:val="none"/>
        </w:rPr>
        <w:t>. Oni</w:t>
      </w:r>
      <w:r w:rsidRPr="009B5280">
        <w:rPr>
          <w:rFonts w:eastAsia="Times New Roman" w:cstheme="minorHAnsi"/>
          <w:bCs/>
          <w:kern w:val="0"/>
          <w:sz w:val="24"/>
          <w:szCs w:val="24"/>
          <w:lang w:val="sr-Latn-RS"/>
          <w14:ligatures w14:val="none"/>
        </w:rPr>
        <w:t xml:space="preserve"> se ogledaju kroz aktiviranje </w:t>
      </w:r>
      <w:r w:rsidRPr="009B5280">
        <w:rPr>
          <w:rFonts w:eastAsia="Times New Roman" w:cstheme="minorHAnsi"/>
          <w:kern w:val="0"/>
          <w:sz w:val="24"/>
          <w:szCs w:val="24"/>
          <w:lang w:val="bs" w:bidi="sr-Cyrl-CS"/>
          <w14:ligatures w14:val="none"/>
        </w:rPr>
        <w:t xml:space="preserve">garancija za kredite pojedinih </w:t>
      </w:r>
      <w:r w:rsidR="007323F4">
        <w:rPr>
          <w:rFonts w:eastAsia="Times New Roman" w:cstheme="minorHAnsi"/>
          <w:kern w:val="0"/>
          <w:sz w:val="24"/>
          <w:szCs w:val="24"/>
          <w:lang w:val="bs" w:bidi="sr-Cyrl-CS"/>
          <w14:ligatures w14:val="none"/>
        </w:rPr>
        <w:t>državnih preduzeća</w:t>
      </w:r>
      <w:r w:rsidRPr="009B5280">
        <w:rPr>
          <w:rFonts w:eastAsia="Times New Roman" w:cstheme="minorHAnsi"/>
          <w:kern w:val="0"/>
          <w:sz w:val="24"/>
          <w:szCs w:val="24"/>
          <w:lang w:val="sr-Latn-ME"/>
          <w14:ligatures w14:val="none"/>
        </w:rPr>
        <w:t xml:space="preserve">, izdvajanje </w:t>
      </w:r>
      <w:r w:rsidR="007323F4">
        <w:rPr>
          <w:rFonts w:eastAsia="Times New Roman" w:cstheme="minorHAnsi"/>
          <w:kern w:val="0"/>
          <w:sz w:val="24"/>
          <w:szCs w:val="24"/>
          <w:lang w:val="bs" w:bidi="sr-Cyrl-CS"/>
          <w14:ligatures w14:val="none"/>
        </w:rPr>
        <w:t>značajnih</w:t>
      </w:r>
      <w:r w:rsidRPr="009B5280">
        <w:rPr>
          <w:rFonts w:eastAsia="Times New Roman" w:cstheme="minorHAnsi"/>
          <w:kern w:val="0"/>
          <w:sz w:val="24"/>
          <w:szCs w:val="24"/>
          <w:lang w:val="bs" w:bidi="sr-Cyrl-CS"/>
          <w14:ligatures w14:val="none"/>
        </w:rPr>
        <w:t xml:space="preserve"> sredst</w:t>
      </w:r>
      <w:r w:rsidR="007323F4">
        <w:rPr>
          <w:rFonts w:eastAsia="Times New Roman" w:cstheme="minorHAnsi"/>
          <w:kern w:val="0"/>
          <w:sz w:val="24"/>
          <w:szCs w:val="24"/>
          <w:lang w:val="bs" w:bidi="sr-Cyrl-CS"/>
          <w14:ligatures w14:val="none"/>
        </w:rPr>
        <w:t>a</w:t>
      </w:r>
      <w:r w:rsidRPr="009B5280">
        <w:rPr>
          <w:rFonts w:eastAsia="Times New Roman" w:cstheme="minorHAnsi"/>
          <w:kern w:val="0"/>
          <w:sz w:val="24"/>
          <w:szCs w:val="24"/>
          <w:lang w:val="bs" w:bidi="sr-Cyrl-CS"/>
          <w14:ligatures w14:val="none"/>
        </w:rPr>
        <w:t>va iz bud</w:t>
      </w:r>
      <w:r w:rsidRPr="009B5280">
        <w:rPr>
          <w:rFonts w:eastAsia="Times New Roman" w:cstheme="minorHAnsi"/>
          <w:kern w:val="0"/>
          <w:sz w:val="24"/>
          <w:szCs w:val="24"/>
          <w:lang w:val="sr-Latn-ME"/>
          <w14:ligatures w14:val="none"/>
        </w:rPr>
        <w:t>ž</w:t>
      </w:r>
      <w:r w:rsidRPr="009B5280">
        <w:rPr>
          <w:rFonts w:eastAsia="Times New Roman" w:cstheme="minorHAnsi"/>
          <w:kern w:val="0"/>
          <w:sz w:val="24"/>
          <w:szCs w:val="24"/>
          <w:lang w:val="bs" w:bidi="sr-Cyrl-CS"/>
          <w14:ligatures w14:val="none"/>
        </w:rPr>
        <w:t>eta opredijeljen</w:t>
      </w:r>
      <w:r w:rsidRPr="009B5280">
        <w:rPr>
          <w:rFonts w:eastAsia="Times New Roman" w:cstheme="minorHAnsi"/>
          <w:kern w:val="0"/>
          <w:sz w:val="24"/>
          <w:szCs w:val="24"/>
          <w:lang w:val="sr-Latn-ME"/>
          <w14:ligatures w14:val="none"/>
        </w:rPr>
        <w:t>ih</w:t>
      </w:r>
      <w:r w:rsidRPr="009B5280">
        <w:rPr>
          <w:rFonts w:eastAsia="Times New Roman" w:cstheme="minorHAnsi"/>
          <w:kern w:val="0"/>
          <w:sz w:val="24"/>
          <w:szCs w:val="24"/>
          <w:lang w:val="bs" w:bidi="sr-Cyrl-CS"/>
          <w14:ligatures w14:val="none"/>
        </w:rPr>
        <w:t xml:space="preserve"> pojednim privrednim drustvima</w:t>
      </w:r>
      <w:r w:rsidRPr="009B5280">
        <w:rPr>
          <w:rFonts w:eastAsia="Times New Roman" w:cstheme="minorHAnsi"/>
          <w:kern w:val="0"/>
          <w:sz w:val="24"/>
          <w:szCs w:val="24"/>
          <w:lang w:val="sr-Latn-ME"/>
          <w14:ligatures w14:val="none"/>
        </w:rPr>
        <w:t>, pozajmice iz budžeta</w:t>
      </w:r>
      <w:r w:rsidR="00AB6CDA">
        <w:rPr>
          <w:rFonts w:eastAsia="Times New Roman" w:cstheme="minorHAnsi"/>
          <w:kern w:val="0"/>
          <w:sz w:val="24"/>
          <w:szCs w:val="24"/>
          <w:lang w:val="sr-Latn-ME"/>
          <w14:ligatures w14:val="none"/>
        </w:rPr>
        <w:t>. Takođe i</w:t>
      </w:r>
      <w:r w:rsidRPr="009B5280">
        <w:rPr>
          <w:rFonts w:eastAsia="Times New Roman" w:cstheme="minorHAnsi"/>
          <w:kern w:val="0"/>
          <w:sz w:val="24"/>
          <w:szCs w:val="24"/>
          <w:lang w:val="sr-Latn-ME"/>
          <w14:ligatures w14:val="none"/>
        </w:rPr>
        <w:t xml:space="preserve"> </w:t>
      </w:r>
      <w:r w:rsidRPr="009B5280">
        <w:rPr>
          <w:rFonts w:eastAsia="Times New Roman" w:cstheme="minorHAnsi"/>
          <w:kern w:val="0"/>
          <w:sz w:val="24"/>
          <w:szCs w:val="24"/>
          <w:lang w:val="bs" w:bidi="sr-Cyrl-CS"/>
          <w14:ligatures w14:val="none"/>
        </w:rPr>
        <w:t>izgubljen</w:t>
      </w:r>
      <w:r w:rsidRPr="009B5280">
        <w:rPr>
          <w:rFonts w:eastAsia="Times New Roman" w:cstheme="minorHAnsi"/>
          <w:kern w:val="0"/>
          <w:sz w:val="24"/>
          <w:szCs w:val="24"/>
          <w:lang w:val="sr-Latn-ME"/>
          <w14:ligatures w14:val="none"/>
        </w:rPr>
        <w:t>e</w:t>
      </w:r>
      <w:r w:rsidRPr="009B5280">
        <w:rPr>
          <w:rFonts w:eastAsia="Times New Roman" w:cstheme="minorHAnsi"/>
          <w:kern w:val="0"/>
          <w:sz w:val="24"/>
          <w:szCs w:val="24"/>
          <w:lang w:val="bs" w:bidi="sr-Cyrl-CS"/>
          <w14:ligatures w14:val="none"/>
        </w:rPr>
        <w:t xml:space="preserve"> prihod</w:t>
      </w:r>
      <w:r w:rsidRPr="009B5280">
        <w:rPr>
          <w:rFonts w:eastAsia="Times New Roman" w:cstheme="minorHAnsi"/>
          <w:kern w:val="0"/>
          <w:sz w:val="24"/>
          <w:szCs w:val="24"/>
          <w:lang w:val="sr-Latn-ME"/>
          <w14:ligatures w14:val="none"/>
        </w:rPr>
        <w:t>e</w:t>
      </w:r>
      <w:r w:rsidRPr="009B5280">
        <w:rPr>
          <w:rFonts w:eastAsia="Times New Roman" w:cstheme="minorHAnsi"/>
          <w:kern w:val="0"/>
          <w:sz w:val="24"/>
          <w:szCs w:val="24"/>
          <w:lang w:val="bs" w:bidi="sr-Cyrl-CS"/>
          <w14:ligatures w14:val="none"/>
        </w:rPr>
        <w:t xml:space="preserve"> dr</w:t>
      </w:r>
      <w:r w:rsidRPr="009B5280">
        <w:rPr>
          <w:rFonts w:eastAsia="Times New Roman" w:cstheme="minorHAnsi"/>
          <w:kern w:val="0"/>
          <w:sz w:val="24"/>
          <w:szCs w:val="24"/>
          <w:lang w:val="sr-Latn-ME"/>
          <w14:ligatures w14:val="none"/>
        </w:rPr>
        <w:t>ž</w:t>
      </w:r>
      <w:r w:rsidRPr="009B5280">
        <w:rPr>
          <w:rFonts w:eastAsia="Times New Roman" w:cstheme="minorHAnsi"/>
          <w:kern w:val="0"/>
          <w:sz w:val="24"/>
          <w:szCs w:val="24"/>
          <w:lang w:val="bs" w:bidi="sr-Cyrl-CS"/>
          <w14:ligatures w14:val="none"/>
        </w:rPr>
        <w:t xml:space="preserve">ave </w:t>
      </w:r>
      <w:r w:rsidRPr="009B5280">
        <w:rPr>
          <w:rFonts w:eastAsia="Times New Roman" w:cstheme="minorHAnsi"/>
          <w:kern w:val="0"/>
          <w:sz w:val="24"/>
          <w:szCs w:val="24"/>
          <w:lang w:val="sr-Latn-ME"/>
          <w14:ligatures w14:val="none"/>
        </w:rPr>
        <w:t>koji su uslovljeni</w:t>
      </w:r>
      <w:r w:rsidRPr="009B5280">
        <w:rPr>
          <w:rFonts w:eastAsia="Times New Roman" w:cstheme="minorHAnsi"/>
          <w:kern w:val="0"/>
          <w:sz w:val="24"/>
          <w:szCs w:val="24"/>
          <w:lang w:val="bs" w:bidi="sr-Cyrl-CS"/>
          <w14:ligatures w14:val="none"/>
        </w:rPr>
        <w:t xml:space="preserve"> lo</w:t>
      </w:r>
      <w:r w:rsidRPr="009B5280">
        <w:rPr>
          <w:rFonts w:eastAsia="Times New Roman" w:cstheme="minorHAnsi"/>
          <w:kern w:val="0"/>
          <w:sz w:val="24"/>
          <w:szCs w:val="24"/>
          <w:lang w:val="sr-Latn-ME"/>
          <w14:ligatures w14:val="none"/>
        </w:rPr>
        <w:t>š</w:t>
      </w:r>
      <w:r w:rsidRPr="009B5280">
        <w:rPr>
          <w:rFonts w:eastAsia="Times New Roman" w:cstheme="minorHAnsi"/>
          <w:kern w:val="0"/>
          <w:sz w:val="24"/>
          <w:szCs w:val="24"/>
          <w:lang w:val="bs" w:bidi="sr-Cyrl-CS"/>
          <w14:ligatures w14:val="none"/>
        </w:rPr>
        <w:t>im upravljanjem i poslovanjem nekih od ovih dru</w:t>
      </w:r>
      <w:r w:rsidRPr="009B5280">
        <w:rPr>
          <w:rFonts w:eastAsia="Times New Roman" w:cstheme="minorHAnsi"/>
          <w:kern w:val="0"/>
          <w:sz w:val="24"/>
          <w:szCs w:val="24"/>
          <w:lang w:val="sr-Latn-ME"/>
          <w14:ligatures w14:val="none"/>
        </w:rPr>
        <w:t>š</w:t>
      </w:r>
      <w:r w:rsidRPr="009B5280">
        <w:rPr>
          <w:rFonts w:eastAsia="Times New Roman" w:cstheme="minorHAnsi"/>
          <w:kern w:val="0"/>
          <w:sz w:val="24"/>
          <w:szCs w:val="24"/>
          <w:lang w:val="bs" w:bidi="sr-Cyrl-CS"/>
          <w14:ligatures w14:val="none"/>
        </w:rPr>
        <w:t>tava.</w:t>
      </w:r>
      <w:r w:rsidR="00101AB3" w:rsidRPr="00101AB3">
        <w:rPr>
          <w:rFonts w:eastAsia="Times New Roman" w:cstheme="minorHAnsi"/>
          <w:kern w:val="0"/>
          <w:sz w:val="24"/>
          <w:szCs w:val="24"/>
          <w:lang w:val="sr-Latn-ME"/>
          <w14:ligatures w14:val="none"/>
        </w:rPr>
        <w:t xml:space="preserve"> </w:t>
      </w:r>
      <w:r w:rsidR="00101AB3" w:rsidRPr="00186061">
        <w:rPr>
          <w:rFonts w:eastAsia="Times New Roman" w:cstheme="minorHAnsi"/>
          <w:kern w:val="0"/>
          <w:sz w:val="24"/>
          <w:szCs w:val="24"/>
          <w:lang w:val="sr-Latn-ME"/>
          <w14:ligatures w14:val="none"/>
        </w:rPr>
        <w:t>Država kao većinski vlasnik nema jasan model</w:t>
      </w:r>
      <w:r w:rsidR="00101AB3" w:rsidRPr="00101AB3">
        <w:rPr>
          <w:rFonts w:eastAsia="Times New Roman" w:cstheme="minorHAnsi"/>
          <w:kern w:val="0"/>
          <w:sz w:val="24"/>
          <w:szCs w:val="24"/>
          <w:lang w:val="sr-Latn-ME"/>
          <w14:ligatures w14:val="none"/>
        </w:rPr>
        <w:t xml:space="preserve"> nadzora nad poslovanjem </w:t>
      </w:r>
      <w:r w:rsidR="00B46AA3">
        <w:rPr>
          <w:rFonts w:eastAsia="Times New Roman" w:cstheme="minorHAnsi"/>
          <w:kern w:val="0"/>
          <w:sz w:val="24"/>
          <w:szCs w:val="24"/>
          <w:lang w:val="sr-Latn-ME"/>
          <w14:ligatures w14:val="none"/>
        </w:rPr>
        <w:t>državnih</w:t>
      </w:r>
      <w:r w:rsidR="00101AB3" w:rsidRPr="00101AB3">
        <w:rPr>
          <w:rFonts w:eastAsia="Times New Roman" w:cstheme="minorHAnsi"/>
          <w:kern w:val="0"/>
          <w:sz w:val="24"/>
          <w:szCs w:val="24"/>
          <w:lang w:val="sr-Latn-ME"/>
          <w14:ligatures w14:val="none"/>
        </w:rPr>
        <w:t xml:space="preserve"> preduzeća. Taj nadzor je godinama fragmentiran između više nadležnih institucija, bez objedinjenog i standardizovanog </w:t>
      </w:r>
      <w:r w:rsidR="00101AB3">
        <w:rPr>
          <w:rFonts w:eastAsia="Times New Roman" w:cstheme="minorHAnsi"/>
          <w:kern w:val="0"/>
          <w:sz w:val="24"/>
          <w:szCs w:val="24"/>
          <w:lang w:val="sr-Latn-ME"/>
          <w14:ligatures w14:val="none"/>
        </w:rPr>
        <w:t>načina</w:t>
      </w:r>
      <w:r w:rsidR="00101AB3" w:rsidRPr="00101AB3">
        <w:rPr>
          <w:rFonts w:eastAsia="Times New Roman" w:cstheme="minorHAnsi"/>
          <w:kern w:val="0"/>
          <w:sz w:val="24"/>
          <w:szCs w:val="24"/>
          <w:lang w:val="sr-Latn-ME"/>
          <w14:ligatures w14:val="none"/>
        </w:rPr>
        <w:t xml:space="preserve"> planiranja i izvještavanja o poslovanju </w:t>
      </w:r>
      <w:r w:rsidR="007323F4">
        <w:rPr>
          <w:rFonts w:eastAsia="Times New Roman" w:cstheme="minorHAnsi"/>
          <w:kern w:val="0"/>
          <w:sz w:val="24"/>
          <w:szCs w:val="24"/>
          <w:lang w:val="sr-Latn-ME"/>
          <w14:ligatures w14:val="none"/>
        </w:rPr>
        <w:t xml:space="preserve">državnih </w:t>
      </w:r>
      <w:r w:rsidR="00101AB3" w:rsidRPr="00101AB3">
        <w:rPr>
          <w:rFonts w:eastAsia="Times New Roman" w:cstheme="minorHAnsi"/>
          <w:kern w:val="0"/>
          <w:sz w:val="24"/>
          <w:szCs w:val="24"/>
          <w:lang w:val="sr-Latn-ME"/>
          <w14:ligatures w14:val="none"/>
        </w:rPr>
        <w:t xml:space="preserve">preduzeća. </w:t>
      </w:r>
      <w:r w:rsidR="00CB6213" w:rsidRPr="00CB6213">
        <w:rPr>
          <w:rFonts w:eastAsia="Times New Roman" w:cstheme="minorHAnsi"/>
          <w:kern w:val="0"/>
          <w:sz w:val="24"/>
          <w:szCs w:val="24"/>
          <w:lang w:val="sr-Latn-ME"/>
          <w14:ligatures w14:val="none"/>
        </w:rPr>
        <w:t xml:space="preserve">Navedeno se odnosi na nefinansijska državna preduzeća, a kada je riječ o IRF-u kao finansijskom preduzeću, ključni izazovi su njegova ograničenja u obavljanju </w:t>
      </w:r>
      <w:r w:rsidR="00CB6213" w:rsidRPr="00CB6213">
        <w:rPr>
          <w:rFonts w:eastAsia="Times New Roman" w:cstheme="minorHAnsi"/>
          <w:iCs/>
          <w:kern w:val="0"/>
          <w:sz w:val="24"/>
          <w:szCs w:val="24"/>
          <w:lang w:val="sr-Latn-RS"/>
          <w14:ligatures w14:val="none"/>
        </w:rPr>
        <w:t>poslova osiguranja izvoza, radi podsticanja izvoz i internacionalizaciju domaćih privrednih subjekata.</w:t>
      </w:r>
    </w:p>
    <w:p w14:paraId="55C9FC0B" w14:textId="4489E448" w:rsidR="008C364B" w:rsidRPr="0047692E" w:rsidRDefault="00A15711" w:rsidP="0047692E">
      <w:pPr>
        <w:rPr>
          <w:rFonts w:eastAsia="Times New Roman"/>
          <w:color w:val="1F3864" w:themeColor="accent1" w:themeShade="80"/>
          <w:kern w:val="0"/>
          <w:sz w:val="26"/>
          <w:szCs w:val="26"/>
          <w:lang w:val="bs" w:bidi="sr-Cyrl-CS"/>
          <w14:ligatures w14:val="none"/>
        </w:rPr>
      </w:pPr>
      <w:r w:rsidRPr="0047692E">
        <w:rPr>
          <w:color w:val="1F3864" w:themeColor="accent1" w:themeShade="80"/>
          <w:sz w:val="26"/>
          <w:szCs w:val="26"/>
        </w:rPr>
        <w:t>b)</w:t>
      </w:r>
      <w:r w:rsidR="009760C0" w:rsidRPr="0047692E">
        <w:rPr>
          <w:color w:val="1F3864" w:themeColor="accent1" w:themeShade="80"/>
          <w:sz w:val="26"/>
          <w:szCs w:val="26"/>
        </w:rPr>
        <w:t xml:space="preserve"> </w:t>
      </w:r>
      <w:r w:rsidR="007C609C" w:rsidRPr="0047692E">
        <w:rPr>
          <w:color w:val="1F3864" w:themeColor="accent1" w:themeShade="80"/>
          <w:sz w:val="26"/>
          <w:szCs w:val="26"/>
        </w:rPr>
        <w:t xml:space="preserve">Strukturne reforme </w:t>
      </w:r>
      <w:r w:rsidRPr="0047692E">
        <w:rPr>
          <w:color w:val="1F3864" w:themeColor="accent1" w:themeShade="80"/>
          <w:sz w:val="26"/>
          <w:szCs w:val="26"/>
        </w:rPr>
        <w:t>i reformske mjere u odgovoru na identifikovane pre</w:t>
      </w:r>
      <w:r w:rsidR="009760C0" w:rsidRPr="0047692E">
        <w:rPr>
          <w:color w:val="1F3864" w:themeColor="accent1" w:themeShade="80"/>
          <w:sz w:val="26"/>
          <w:szCs w:val="26"/>
        </w:rPr>
        <w:t>p</w:t>
      </w:r>
      <w:r w:rsidRPr="0047692E">
        <w:rPr>
          <w:color w:val="1F3864" w:themeColor="accent1" w:themeShade="80"/>
          <w:sz w:val="26"/>
          <w:szCs w:val="26"/>
        </w:rPr>
        <w:t xml:space="preserve">reke </w:t>
      </w:r>
    </w:p>
    <w:p w14:paraId="3573BC98" w14:textId="41183A93" w:rsidR="00A15711" w:rsidRPr="00034E7A" w:rsidRDefault="00211679" w:rsidP="00A15711">
      <w:pPr>
        <w:jc w:val="both"/>
        <w:rPr>
          <w:rFonts w:cstheme="minorHAnsi"/>
          <w:i/>
          <w:iCs/>
          <w:sz w:val="24"/>
          <w:szCs w:val="24"/>
        </w:rPr>
      </w:pPr>
      <w:r w:rsidRPr="008C364B">
        <w:rPr>
          <w:rFonts w:cstheme="minorHAnsi"/>
          <w:sz w:val="24"/>
          <w:szCs w:val="24"/>
          <w:lang w:val="sr-Latn-ME"/>
        </w:rPr>
        <w:t>Polazeći od izazova</w:t>
      </w:r>
      <w:r w:rsidR="008460B1">
        <w:rPr>
          <w:rFonts w:cstheme="minorHAnsi"/>
          <w:sz w:val="24"/>
          <w:szCs w:val="24"/>
          <w:lang w:val="sr-Latn-ME"/>
        </w:rPr>
        <w:t xml:space="preserve"> povećanju konkurentnosti</w:t>
      </w:r>
      <w:r w:rsidRPr="008C364B">
        <w:rPr>
          <w:rFonts w:cstheme="minorHAnsi"/>
          <w:sz w:val="24"/>
          <w:szCs w:val="24"/>
          <w:lang w:val="sr-Latn-ME"/>
        </w:rPr>
        <w:t xml:space="preserve">, </w:t>
      </w:r>
      <w:r w:rsidR="004E2900" w:rsidRPr="008C364B">
        <w:rPr>
          <w:rFonts w:cstheme="minorHAnsi"/>
          <w:sz w:val="24"/>
          <w:szCs w:val="24"/>
          <w:lang w:val="sr-Latn-ME"/>
        </w:rPr>
        <w:t>prep</w:t>
      </w:r>
      <w:r w:rsidRPr="008C364B">
        <w:rPr>
          <w:rFonts w:cstheme="minorHAnsi"/>
          <w:sz w:val="24"/>
          <w:szCs w:val="24"/>
          <w:lang w:val="sr-Latn-ME"/>
        </w:rPr>
        <w:t>oruka sa ministarskog dijaloga iz maja 2023.godine, kao i obav</w:t>
      </w:r>
      <w:r w:rsidR="001C6C11" w:rsidRPr="008C364B">
        <w:rPr>
          <w:rFonts w:cstheme="minorHAnsi"/>
          <w:sz w:val="24"/>
          <w:szCs w:val="24"/>
          <w:lang w:val="sr-Latn-ME"/>
        </w:rPr>
        <w:t>ez</w:t>
      </w:r>
      <w:r w:rsidRPr="008C364B">
        <w:rPr>
          <w:rFonts w:cstheme="minorHAnsi"/>
          <w:sz w:val="24"/>
          <w:szCs w:val="24"/>
          <w:lang w:val="sr-Latn-ME"/>
        </w:rPr>
        <w:t xml:space="preserve">a iz </w:t>
      </w:r>
      <w:r w:rsidR="001C6C11" w:rsidRPr="008C364B">
        <w:rPr>
          <w:rFonts w:cstheme="minorHAnsi"/>
          <w:sz w:val="24"/>
          <w:szCs w:val="24"/>
          <w:lang w:val="sr-Latn-ME"/>
        </w:rPr>
        <w:t>pr</w:t>
      </w:r>
      <w:r w:rsidRPr="008C364B">
        <w:rPr>
          <w:rFonts w:cstheme="minorHAnsi"/>
          <w:sz w:val="24"/>
          <w:szCs w:val="24"/>
          <w:lang w:val="sr-Latn-ME"/>
        </w:rPr>
        <w:t>egov</w:t>
      </w:r>
      <w:r w:rsidR="006E3C16">
        <w:rPr>
          <w:rFonts w:cstheme="minorHAnsi"/>
          <w:sz w:val="24"/>
          <w:szCs w:val="24"/>
          <w:lang w:val="sr-Latn-ME"/>
        </w:rPr>
        <w:t>ara</w:t>
      </w:r>
      <w:r w:rsidRPr="008C364B">
        <w:rPr>
          <w:rFonts w:cstheme="minorHAnsi"/>
          <w:sz w:val="24"/>
          <w:szCs w:val="24"/>
          <w:lang w:val="sr-Latn-ME"/>
        </w:rPr>
        <w:t>čkih poglavlja u pregovorima za članstvo u EU</w:t>
      </w:r>
      <w:r w:rsidR="001C6C11" w:rsidRPr="008C364B">
        <w:rPr>
          <w:rFonts w:cstheme="minorHAnsi"/>
          <w:sz w:val="24"/>
          <w:szCs w:val="24"/>
          <w:lang w:val="sr-Latn-ME"/>
        </w:rPr>
        <w:t xml:space="preserve">, u </w:t>
      </w:r>
      <w:r w:rsidR="007C609C">
        <w:rPr>
          <w:rFonts w:cstheme="minorHAnsi"/>
          <w:sz w:val="24"/>
          <w:szCs w:val="24"/>
          <w:lang w:val="sr-Latn-ME"/>
        </w:rPr>
        <w:t>odgov</w:t>
      </w:r>
      <w:r w:rsidR="009760C0">
        <w:rPr>
          <w:rFonts w:cstheme="minorHAnsi"/>
          <w:sz w:val="24"/>
          <w:szCs w:val="24"/>
          <w:lang w:val="sr-Latn-ME"/>
        </w:rPr>
        <w:t>oru</w:t>
      </w:r>
      <w:r w:rsidR="007C609C">
        <w:rPr>
          <w:rFonts w:cstheme="minorHAnsi"/>
          <w:sz w:val="24"/>
          <w:szCs w:val="24"/>
          <w:lang w:val="sr-Latn-ME"/>
        </w:rPr>
        <w:t xml:space="preserve"> na prepreke povećanju konkurent</w:t>
      </w:r>
      <w:r w:rsidR="009760C0">
        <w:rPr>
          <w:rFonts w:cstheme="minorHAnsi"/>
          <w:sz w:val="24"/>
          <w:szCs w:val="24"/>
          <w:lang w:val="sr-Latn-ME"/>
        </w:rPr>
        <w:t>n</w:t>
      </w:r>
      <w:r w:rsidR="007C609C">
        <w:rPr>
          <w:rFonts w:cstheme="minorHAnsi"/>
          <w:sz w:val="24"/>
          <w:szCs w:val="24"/>
          <w:lang w:val="sr-Latn-ME"/>
        </w:rPr>
        <w:t>osti,</w:t>
      </w:r>
      <w:r w:rsidR="0062773A">
        <w:rPr>
          <w:rFonts w:cstheme="minorHAnsi"/>
          <w:sz w:val="24"/>
          <w:szCs w:val="24"/>
          <w:lang w:val="sr-Latn-ME"/>
        </w:rPr>
        <w:t xml:space="preserve"> </w:t>
      </w:r>
      <w:r w:rsidR="004E2900" w:rsidRPr="008C364B">
        <w:rPr>
          <w:rFonts w:cstheme="minorHAnsi"/>
          <w:sz w:val="24"/>
          <w:szCs w:val="24"/>
          <w:lang w:val="sr-Latn-ME"/>
        </w:rPr>
        <w:t>pr</w:t>
      </w:r>
      <w:r w:rsidR="001C6C11" w:rsidRPr="008C364B">
        <w:rPr>
          <w:rFonts w:cstheme="minorHAnsi"/>
          <w:sz w:val="24"/>
          <w:szCs w:val="24"/>
          <w:lang w:val="sr-Latn-ME"/>
        </w:rPr>
        <w:t>edložene</w:t>
      </w:r>
      <w:r w:rsidR="007C609C">
        <w:rPr>
          <w:rFonts w:cstheme="minorHAnsi"/>
          <w:sz w:val="24"/>
          <w:szCs w:val="24"/>
          <w:lang w:val="sr-Latn-ME"/>
        </w:rPr>
        <w:t xml:space="preserve"> su</w:t>
      </w:r>
      <w:r w:rsidR="001C6C11" w:rsidRPr="008C364B">
        <w:rPr>
          <w:rFonts w:cstheme="minorHAnsi"/>
          <w:sz w:val="24"/>
          <w:szCs w:val="24"/>
          <w:lang w:val="sr-Latn-ME"/>
        </w:rPr>
        <w:t xml:space="preserve"> dvije </w:t>
      </w:r>
      <w:r w:rsidR="007C609C">
        <w:rPr>
          <w:rFonts w:cstheme="minorHAnsi"/>
          <w:sz w:val="24"/>
          <w:szCs w:val="24"/>
          <w:lang w:val="sr-Latn-ME"/>
        </w:rPr>
        <w:t xml:space="preserve">strukturne reforme i to: </w:t>
      </w:r>
      <w:r w:rsidR="007C609C" w:rsidRPr="00186061">
        <w:rPr>
          <w:rFonts w:cstheme="minorHAnsi"/>
          <w:i/>
          <w:iCs/>
          <w:sz w:val="24"/>
          <w:szCs w:val="24"/>
          <w:lang w:val="sr-Latn-ME"/>
        </w:rPr>
        <w:t>„</w:t>
      </w:r>
      <w:r w:rsidR="00186061" w:rsidRPr="00186061">
        <w:rPr>
          <w:rFonts w:cstheme="minorHAnsi"/>
          <w:i/>
          <w:iCs/>
          <w:sz w:val="24"/>
          <w:szCs w:val="24"/>
        </w:rPr>
        <w:t>Unapređenje poslovnog okruženja i f</w:t>
      </w:r>
      <w:r w:rsidR="00186061" w:rsidRPr="00186061">
        <w:rPr>
          <w:rFonts w:cstheme="minorHAnsi"/>
          <w:i/>
          <w:iCs/>
          <w:sz w:val="24"/>
          <w:szCs w:val="24"/>
          <w:lang w:val="sr-Latn-ME"/>
        </w:rPr>
        <w:t>ormalizacija ekonomije</w:t>
      </w:r>
      <w:r w:rsidR="007C609C" w:rsidRPr="00034E7A">
        <w:rPr>
          <w:rFonts w:cstheme="minorHAnsi"/>
          <w:i/>
          <w:iCs/>
          <w:sz w:val="24"/>
          <w:szCs w:val="24"/>
          <w:lang w:val="sr-Latn-ME"/>
        </w:rPr>
        <w:t xml:space="preserve">“ i </w:t>
      </w:r>
      <w:r w:rsidR="00CA42DE" w:rsidRPr="00034E7A">
        <w:rPr>
          <w:rFonts w:cstheme="minorHAnsi"/>
          <w:i/>
          <w:iCs/>
          <w:sz w:val="24"/>
          <w:szCs w:val="24"/>
          <w:lang w:val="sr-Latn-ME"/>
        </w:rPr>
        <w:t>„</w:t>
      </w:r>
      <w:r w:rsidR="000D24B8" w:rsidRPr="000D24B8">
        <w:rPr>
          <w:rFonts w:cstheme="minorHAnsi"/>
          <w:i/>
          <w:iCs/>
          <w:sz w:val="24"/>
          <w:szCs w:val="24"/>
          <w:lang w:val="sr-Latn-RS"/>
        </w:rPr>
        <w:t>Reforma preduzeća u većinskom vlasništvu države</w:t>
      </w:r>
      <w:r w:rsidR="000D24B8">
        <w:rPr>
          <w:rFonts w:cstheme="minorHAnsi"/>
          <w:i/>
          <w:iCs/>
          <w:sz w:val="24"/>
          <w:szCs w:val="24"/>
          <w:lang w:val="sr-Latn-RS"/>
        </w:rPr>
        <w:t>.“</w:t>
      </w:r>
      <w:r w:rsidR="003C0C26" w:rsidRPr="00034E7A">
        <w:rPr>
          <w:rFonts w:cstheme="minorHAnsi"/>
          <w:i/>
          <w:iCs/>
          <w:sz w:val="24"/>
          <w:szCs w:val="24"/>
        </w:rPr>
        <w:t>.</w:t>
      </w:r>
    </w:p>
    <w:p w14:paraId="64967941" w14:textId="160BB173" w:rsidR="009760C0" w:rsidRPr="0047692E" w:rsidRDefault="009760C0" w:rsidP="0047692E">
      <w:pPr>
        <w:rPr>
          <w:color w:val="1F3864" w:themeColor="accent1" w:themeShade="80"/>
          <w:sz w:val="26"/>
          <w:szCs w:val="26"/>
        </w:rPr>
      </w:pPr>
      <w:r w:rsidRPr="0047692E">
        <w:rPr>
          <w:color w:val="1F3864" w:themeColor="accent1" w:themeShade="80"/>
          <w:sz w:val="26"/>
          <w:szCs w:val="26"/>
        </w:rPr>
        <w:t xml:space="preserve">Strukturna reforma br. 1: </w:t>
      </w:r>
      <w:r w:rsidR="006355E2" w:rsidRPr="0047692E">
        <w:rPr>
          <w:color w:val="1F3864" w:themeColor="accent1" w:themeShade="80"/>
          <w:sz w:val="26"/>
          <w:szCs w:val="26"/>
        </w:rPr>
        <w:t>Unapređenje poslovnog okruženja i f</w:t>
      </w:r>
      <w:r w:rsidR="0077081C" w:rsidRPr="0047692E">
        <w:rPr>
          <w:color w:val="1F3864" w:themeColor="accent1" w:themeShade="80"/>
          <w:sz w:val="26"/>
          <w:szCs w:val="26"/>
          <w:lang w:val="sr-Latn-ME"/>
        </w:rPr>
        <w:t>ormalizacija ekonomije</w:t>
      </w:r>
    </w:p>
    <w:p w14:paraId="5314C516" w14:textId="59A3434C" w:rsidR="00C5728F" w:rsidRPr="001609EB" w:rsidRDefault="009760C0" w:rsidP="002D117F">
      <w:pPr>
        <w:jc w:val="both"/>
        <w:rPr>
          <w:rFonts w:cstheme="minorHAnsi"/>
          <w:bCs/>
          <w:i/>
          <w:iCs/>
          <w:sz w:val="24"/>
          <w:szCs w:val="24"/>
          <w:lang w:val="sr-Latn-ME"/>
        </w:rPr>
      </w:pPr>
      <w:bookmarkStart w:id="156" w:name="_Hlk150582224"/>
      <w:r w:rsidRPr="009760C0">
        <w:rPr>
          <w:rFonts w:cstheme="minorHAnsi"/>
          <w:sz w:val="24"/>
          <w:szCs w:val="24"/>
          <w:lang w:val="sr-Latn-ME"/>
        </w:rPr>
        <w:t>Predložena s</w:t>
      </w:r>
      <w:r>
        <w:rPr>
          <w:rFonts w:cstheme="minorHAnsi"/>
          <w:sz w:val="24"/>
          <w:szCs w:val="24"/>
          <w:lang w:val="sr-Latn-ME"/>
        </w:rPr>
        <w:t>t</w:t>
      </w:r>
      <w:r w:rsidRPr="009760C0">
        <w:rPr>
          <w:rFonts w:cstheme="minorHAnsi"/>
          <w:sz w:val="24"/>
          <w:szCs w:val="24"/>
          <w:lang w:val="sr-Latn-ME"/>
        </w:rPr>
        <w:t>rukturna reforma se vezuje</w:t>
      </w:r>
      <w:r>
        <w:rPr>
          <w:rFonts w:cstheme="minorHAnsi"/>
          <w:b/>
          <w:bCs/>
          <w:sz w:val="24"/>
          <w:szCs w:val="24"/>
          <w:lang w:val="sr-Latn-ME"/>
        </w:rPr>
        <w:t xml:space="preserve"> </w:t>
      </w:r>
      <w:r w:rsidR="001C6C11" w:rsidRPr="008C364B">
        <w:rPr>
          <w:rFonts w:cstheme="minorHAnsi"/>
          <w:sz w:val="24"/>
          <w:szCs w:val="24"/>
          <w:lang w:val="sr-Latn-ME"/>
        </w:rPr>
        <w:t>za podoblasti: „</w:t>
      </w:r>
      <w:r>
        <w:rPr>
          <w:rFonts w:cstheme="minorHAnsi"/>
          <w:sz w:val="24"/>
          <w:szCs w:val="24"/>
        </w:rPr>
        <w:t>Poslovno okruženje i smanjenje neformalne ekonomije</w:t>
      </w:r>
      <w:r w:rsidR="001C6C11" w:rsidRPr="008C364B">
        <w:rPr>
          <w:rFonts w:cstheme="minorHAnsi"/>
          <w:sz w:val="24"/>
          <w:szCs w:val="24"/>
        </w:rPr>
        <w:t>”, “</w:t>
      </w:r>
      <w:r>
        <w:rPr>
          <w:rFonts w:cstheme="minorHAnsi"/>
          <w:sz w:val="24"/>
          <w:szCs w:val="24"/>
        </w:rPr>
        <w:t>Reforme ekonomskih integracija</w:t>
      </w:r>
      <w:r w:rsidR="001C6C11" w:rsidRPr="008C364B">
        <w:rPr>
          <w:rFonts w:cstheme="minorHAnsi"/>
          <w:sz w:val="24"/>
          <w:szCs w:val="24"/>
        </w:rPr>
        <w:t>”</w:t>
      </w:r>
      <w:r w:rsidR="002800F8" w:rsidRPr="008C364B">
        <w:rPr>
          <w:rFonts w:cstheme="minorHAnsi"/>
          <w:sz w:val="24"/>
          <w:szCs w:val="24"/>
        </w:rPr>
        <w:t>.</w:t>
      </w:r>
      <w:r w:rsidR="00040011">
        <w:rPr>
          <w:rFonts w:cstheme="minorHAnsi"/>
          <w:sz w:val="24"/>
          <w:szCs w:val="24"/>
        </w:rPr>
        <w:t xml:space="preserve"> </w:t>
      </w:r>
      <w:bookmarkEnd w:id="156"/>
      <w:r w:rsidR="001556A8">
        <w:rPr>
          <w:rFonts w:cstheme="minorHAnsi"/>
          <w:sz w:val="24"/>
          <w:szCs w:val="24"/>
        </w:rPr>
        <w:t xml:space="preserve">Njen </w:t>
      </w:r>
      <w:r>
        <w:rPr>
          <w:rFonts w:cstheme="minorHAnsi"/>
          <w:sz w:val="24"/>
          <w:szCs w:val="24"/>
        </w:rPr>
        <w:t xml:space="preserve">cilj </w:t>
      </w:r>
      <w:r w:rsidR="001556A8">
        <w:rPr>
          <w:rFonts w:cstheme="minorHAnsi"/>
          <w:sz w:val="24"/>
          <w:szCs w:val="24"/>
        </w:rPr>
        <w:t xml:space="preserve">je </w:t>
      </w:r>
      <w:r>
        <w:rPr>
          <w:rFonts w:cstheme="minorHAnsi"/>
          <w:sz w:val="24"/>
          <w:szCs w:val="24"/>
        </w:rPr>
        <w:t>doprinos boljem poslovnom okruženju</w:t>
      </w:r>
      <w:r w:rsidR="004838C9">
        <w:rPr>
          <w:rFonts w:cstheme="minorHAnsi"/>
          <w:sz w:val="24"/>
          <w:szCs w:val="24"/>
        </w:rPr>
        <w:t>, povećanju broja preduzeća</w:t>
      </w:r>
      <w:r w:rsidR="001556A8">
        <w:rPr>
          <w:rFonts w:cstheme="minorHAnsi"/>
          <w:sz w:val="24"/>
          <w:szCs w:val="24"/>
        </w:rPr>
        <w:t xml:space="preserve">, </w:t>
      </w:r>
      <w:r w:rsidR="004838C9">
        <w:rPr>
          <w:rFonts w:cstheme="minorHAnsi"/>
          <w:sz w:val="24"/>
          <w:szCs w:val="24"/>
        </w:rPr>
        <w:t xml:space="preserve">formalne zaposlenosti </w:t>
      </w:r>
      <w:r w:rsidR="001556A8">
        <w:rPr>
          <w:rFonts w:cstheme="minorHAnsi"/>
          <w:sz w:val="24"/>
          <w:szCs w:val="24"/>
        </w:rPr>
        <w:t xml:space="preserve">i </w:t>
      </w:r>
      <w:r w:rsidR="004838C9">
        <w:rPr>
          <w:rFonts w:cstheme="minorHAnsi"/>
          <w:sz w:val="24"/>
          <w:szCs w:val="24"/>
        </w:rPr>
        <w:t xml:space="preserve">prihoda države. </w:t>
      </w:r>
      <w:r w:rsidR="00F12D8A">
        <w:rPr>
          <w:rFonts w:cstheme="minorHAnsi"/>
          <w:sz w:val="24"/>
          <w:szCs w:val="24"/>
        </w:rPr>
        <w:t xml:space="preserve">Strukturna reforma će se razraditi kroz reformsku </w:t>
      </w:r>
      <w:r w:rsidR="00F12D8A" w:rsidRPr="00A4453F">
        <w:rPr>
          <w:rFonts w:cstheme="minorHAnsi"/>
          <w:sz w:val="24"/>
          <w:szCs w:val="24"/>
        </w:rPr>
        <w:t>mjeru</w:t>
      </w:r>
      <w:r w:rsidRPr="00A4453F">
        <w:rPr>
          <w:rFonts w:cstheme="minorHAnsi"/>
          <w:sz w:val="24"/>
          <w:szCs w:val="24"/>
        </w:rPr>
        <w:t xml:space="preserve"> implementacij</w:t>
      </w:r>
      <w:r w:rsidR="00F12D8A" w:rsidRPr="00A4453F">
        <w:rPr>
          <w:rFonts w:cstheme="minorHAnsi"/>
          <w:sz w:val="24"/>
          <w:szCs w:val="24"/>
        </w:rPr>
        <w:t>e</w:t>
      </w:r>
      <w:r w:rsidRPr="00A4453F">
        <w:rPr>
          <w:rFonts w:cstheme="minorHAnsi"/>
          <w:sz w:val="24"/>
          <w:szCs w:val="24"/>
        </w:rPr>
        <w:t xml:space="preserve"> Programa za suzbij</w:t>
      </w:r>
      <w:r w:rsidR="004838C9" w:rsidRPr="00A4453F">
        <w:rPr>
          <w:rFonts w:cstheme="minorHAnsi"/>
          <w:sz w:val="24"/>
          <w:szCs w:val="24"/>
        </w:rPr>
        <w:t>a</w:t>
      </w:r>
      <w:r w:rsidRPr="00A4453F">
        <w:rPr>
          <w:rFonts w:cstheme="minorHAnsi"/>
          <w:sz w:val="24"/>
          <w:szCs w:val="24"/>
        </w:rPr>
        <w:t xml:space="preserve">nje neformalne ekonomije </w:t>
      </w:r>
      <w:r w:rsidR="004838C9" w:rsidRPr="00A4453F">
        <w:rPr>
          <w:rFonts w:cstheme="minorHAnsi"/>
          <w:sz w:val="24"/>
          <w:szCs w:val="24"/>
        </w:rPr>
        <w:t>i</w:t>
      </w:r>
      <w:r w:rsidRPr="00A4453F">
        <w:rPr>
          <w:rFonts w:cstheme="minorHAnsi"/>
          <w:sz w:val="24"/>
          <w:szCs w:val="24"/>
        </w:rPr>
        <w:t xml:space="preserve"> Akcionog plana za n</w:t>
      </w:r>
      <w:r w:rsidR="004838C9" w:rsidRPr="00A4453F">
        <w:rPr>
          <w:rFonts w:cstheme="minorHAnsi"/>
          <w:sz w:val="24"/>
          <w:szCs w:val="24"/>
        </w:rPr>
        <w:t>jeg</w:t>
      </w:r>
      <w:r w:rsidRPr="00A4453F">
        <w:rPr>
          <w:rFonts w:cstheme="minorHAnsi"/>
          <w:sz w:val="24"/>
          <w:szCs w:val="24"/>
        </w:rPr>
        <w:t>ovu implementaciju</w:t>
      </w:r>
      <w:r w:rsidR="00040011" w:rsidRPr="00A4453F">
        <w:rPr>
          <w:rFonts w:cstheme="minorHAnsi"/>
          <w:sz w:val="24"/>
          <w:szCs w:val="24"/>
        </w:rPr>
        <w:t xml:space="preserve"> </w:t>
      </w:r>
      <w:r w:rsidR="004838C9" w:rsidRPr="00A4453F">
        <w:rPr>
          <w:rFonts w:cstheme="minorHAnsi"/>
          <w:sz w:val="24"/>
          <w:szCs w:val="24"/>
        </w:rPr>
        <w:t>za period 2024-2026</w:t>
      </w:r>
      <w:r w:rsidR="002E6EEB">
        <w:rPr>
          <w:rFonts w:cstheme="minorHAnsi"/>
          <w:sz w:val="24"/>
          <w:szCs w:val="24"/>
        </w:rPr>
        <w:t>, koji će sadržati niz st</w:t>
      </w:r>
      <w:r w:rsidR="00530DF2">
        <w:rPr>
          <w:rFonts w:cstheme="minorHAnsi"/>
          <w:sz w:val="24"/>
          <w:szCs w:val="24"/>
        </w:rPr>
        <w:t>i</w:t>
      </w:r>
      <w:r w:rsidR="002E6EEB">
        <w:rPr>
          <w:rFonts w:cstheme="minorHAnsi"/>
          <w:sz w:val="24"/>
          <w:szCs w:val="24"/>
        </w:rPr>
        <w:t xml:space="preserve">mulativnih i represivnih aktivnosti, za smanjenje učešća neformalne ekonomije u BDP. </w:t>
      </w:r>
      <w:r w:rsidR="002E6EEB" w:rsidRPr="002E6EEB">
        <w:rPr>
          <w:rFonts w:cstheme="minorHAnsi"/>
          <w:sz w:val="24"/>
          <w:szCs w:val="24"/>
        </w:rPr>
        <w:t>Mjera</w:t>
      </w:r>
      <w:r w:rsidR="002E6EEB">
        <w:rPr>
          <w:rFonts w:cstheme="minorHAnsi"/>
          <w:sz w:val="24"/>
          <w:szCs w:val="24"/>
        </w:rPr>
        <w:t xml:space="preserve"> integriše dvije m</w:t>
      </w:r>
      <w:r w:rsidR="0077081C">
        <w:rPr>
          <w:rFonts w:cstheme="minorHAnsi"/>
          <w:sz w:val="24"/>
          <w:szCs w:val="24"/>
        </w:rPr>
        <w:t>je</w:t>
      </w:r>
      <w:r w:rsidR="002E6EEB">
        <w:rPr>
          <w:rFonts w:cstheme="minorHAnsi"/>
          <w:sz w:val="24"/>
          <w:szCs w:val="24"/>
        </w:rPr>
        <w:t>re iz PER-a 2023. ko</w:t>
      </w:r>
      <w:r w:rsidR="0077081C">
        <w:rPr>
          <w:rFonts w:cstheme="minorHAnsi"/>
          <w:sz w:val="24"/>
          <w:szCs w:val="24"/>
        </w:rPr>
        <w:t>je</w:t>
      </w:r>
      <w:r w:rsidR="002E6EEB">
        <w:rPr>
          <w:rFonts w:cstheme="minorHAnsi"/>
          <w:sz w:val="24"/>
          <w:szCs w:val="24"/>
        </w:rPr>
        <w:t xml:space="preserve"> se nastavljaju u srednjem roku i to:</w:t>
      </w:r>
      <w:r w:rsidR="0077081C">
        <w:rPr>
          <w:rFonts w:cstheme="minorHAnsi"/>
          <w:sz w:val="24"/>
          <w:szCs w:val="24"/>
        </w:rPr>
        <w:t xml:space="preserve"> reformsku mjeru br. 13 “</w:t>
      </w:r>
      <w:r w:rsidR="0077081C" w:rsidRPr="0077081C">
        <w:rPr>
          <w:rFonts w:cstheme="minorHAnsi"/>
          <w:bCs/>
          <w:i/>
          <w:iCs/>
          <w:sz w:val="24"/>
          <w:szCs w:val="24"/>
        </w:rPr>
        <w:t>Olakšanje trgovine robama i uslugama kroz implementaciju CEFTA dodatnih protokola 5, 6 i 7”,</w:t>
      </w:r>
      <w:r w:rsidR="0077081C">
        <w:rPr>
          <w:rFonts w:cstheme="minorHAnsi"/>
          <w:b/>
          <w:sz w:val="24"/>
          <w:szCs w:val="24"/>
        </w:rPr>
        <w:t xml:space="preserve"> </w:t>
      </w:r>
      <w:r w:rsidR="0077081C" w:rsidRPr="0077081C">
        <w:rPr>
          <w:rFonts w:cstheme="minorHAnsi"/>
          <w:bCs/>
          <w:sz w:val="24"/>
          <w:szCs w:val="24"/>
        </w:rPr>
        <w:t>i reformsku mjeru 14:</w:t>
      </w:r>
      <w:r w:rsidR="0062773A">
        <w:rPr>
          <w:rFonts w:cstheme="minorHAnsi"/>
          <w:b/>
          <w:sz w:val="24"/>
          <w:szCs w:val="24"/>
        </w:rPr>
        <w:t xml:space="preserve"> </w:t>
      </w:r>
      <w:r w:rsidR="00BD46B4">
        <w:rPr>
          <w:rFonts w:cstheme="minorHAnsi"/>
          <w:b/>
          <w:sz w:val="24"/>
          <w:szCs w:val="24"/>
        </w:rPr>
        <w:t xml:space="preserve"> </w:t>
      </w:r>
      <w:r w:rsidR="0077081C">
        <w:rPr>
          <w:rFonts w:cstheme="minorHAnsi"/>
          <w:sz w:val="24"/>
          <w:szCs w:val="24"/>
        </w:rPr>
        <w:t>”</w:t>
      </w:r>
      <w:r w:rsidR="0077081C" w:rsidRPr="0077081C">
        <w:rPr>
          <w:rFonts w:cstheme="minorHAnsi"/>
          <w:bCs/>
          <w:i/>
          <w:iCs/>
          <w:sz w:val="24"/>
          <w:szCs w:val="24"/>
        </w:rPr>
        <w:t>Jačanje mehanizama za formalizaciju  ekonomije</w:t>
      </w:r>
      <w:r w:rsidR="00186061" w:rsidRPr="00186061">
        <w:rPr>
          <w:rFonts w:cstheme="minorHAnsi"/>
          <w:i/>
          <w:iCs/>
          <w:color w:val="004E9A"/>
          <w:sz w:val="24"/>
          <w:szCs w:val="24"/>
          <w:lang w:val="sr-Latn-ME"/>
        </w:rPr>
        <w:t xml:space="preserve"> </w:t>
      </w:r>
      <w:r w:rsidR="00186061" w:rsidRPr="00186061">
        <w:rPr>
          <w:rFonts w:cstheme="minorHAnsi"/>
          <w:bCs/>
          <w:i/>
          <w:iCs/>
          <w:sz w:val="24"/>
          <w:szCs w:val="24"/>
          <w:lang w:val="sr-Latn-ME"/>
        </w:rPr>
        <w:t>kroz donošenje Programa  za suzbijanje neformalne ekonomije</w:t>
      </w:r>
      <w:r w:rsidR="00186061">
        <w:rPr>
          <w:rFonts w:cstheme="minorHAnsi"/>
          <w:bCs/>
          <w:i/>
          <w:iCs/>
          <w:sz w:val="24"/>
          <w:szCs w:val="24"/>
          <w:lang w:val="sr-Latn-ME"/>
        </w:rPr>
        <w:t>.“</w:t>
      </w:r>
    </w:p>
    <w:p w14:paraId="0D54C175" w14:textId="7F3720F1" w:rsidR="001C6C11" w:rsidRPr="002D4036" w:rsidRDefault="001C6C11" w:rsidP="00857CEB">
      <w:pPr>
        <w:jc w:val="both"/>
        <w:rPr>
          <w:rFonts w:cstheme="minorHAnsi"/>
          <w:i/>
          <w:iCs/>
          <w:color w:val="002465"/>
          <w:sz w:val="24"/>
          <w:szCs w:val="24"/>
          <w:lang w:val="sr-Latn-ME"/>
        </w:rPr>
      </w:pPr>
      <w:r w:rsidRPr="002D4036">
        <w:rPr>
          <w:rFonts w:cstheme="minorHAnsi"/>
          <w:i/>
          <w:iCs/>
          <w:color w:val="002465"/>
          <w:sz w:val="24"/>
          <w:szCs w:val="24"/>
        </w:rPr>
        <w:t>Reformska mjera br.1:</w:t>
      </w:r>
      <w:bookmarkStart w:id="157" w:name="_Hlk150579210"/>
      <w:r w:rsidR="00857CEB">
        <w:rPr>
          <w:rFonts w:cstheme="minorHAnsi"/>
          <w:i/>
          <w:iCs/>
          <w:color w:val="002465"/>
          <w:sz w:val="24"/>
          <w:szCs w:val="24"/>
        </w:rPr>
        <w:t xml:space="preserve"> </w:t>
      </w:r>
      <w:r w:rsidR="0077081C" w:rsidRPr="002D4036">
        <w:rPr>
          <w:rFonts w:cstheme="minorHAnsi"/>
          <w:i/>
          <w:iCs/>
          <w:color w:val="002465"/>
          <w:sz w:val="24"/>
          <w:szCs w:val="24"/>
        </w:rPr>
        <w:t>Jačanje mehanizama</w:t>
      </w:r>
      <w:r w:rsidR="004838C9" w:rsidRPr="002D4036">
        <w:rPr>
          <w:rFonts w:cstheme="minorHAnsi"/>
          <w:i/>
          <w:iCs/>
          <w:color w:val="002465"/>
          <w:sz w:val="24"/>
          <w:szCs w:val="24"/>
          <w:lang w:val="sr-Latn-ME"/>
        </w:rPr>
        <w:t xml:space="preserve"> za </w:t>
      </w:r>
      <w:r w:rsidR="0077081C" w:rsidRPr="002D4036">
        <w:rPr>
          <w:rFonts w:cstheme="minorHAnsi"/>
          <w:i/>
          <w:iCs/>
          <w:color w:val="002465"/>
          <w:sz w:val="24"/>
          <w:szCs w:val="24"/>
          <w:lang w:val="sr-Latn-ME"/>
        </w:rPr>
        <w:t xml:space="preserve">formalizaciju ekonomije kroz donošenje Programa </w:t>
      </w:r>
      <w:r w:rsidR="002E6EEB" w:rsidRPr="002D4036">
        <w:rPr>
          <w:rFonts w:cstheme="minorHAnsi"/>
          <w:i/>
          <w:iCs/>
          <w:color w:val="002465"/>
          <w:sz w:val="24"/>
          <w:szCs w:val="24"/>
          <w:lang w:val="sr-Latn-ME"/>
        </w:rPr>
        <w:t xml:space="preserve"> </w:t>
      </w:r>
      <w:r w:rsidR="0077081C" w:rsidRPr="002D4036">
        <w:rPr>
          <w:rFonts w:cstheme="minorHAnsi"/>
          <w:i/>
          <w:iCs/>
          <w:color w:val="002465"/>
          <w:sz w:val="24"/>
          <w:szCs w:val="24"/>
          <w:lang w:val="sr-Latn-ME"/>
        </w:rPr>
        <w:t xml:space="preserve">za suzbijanje </w:t>
      </w:r>
      <w:r w:rsidR="003626FE" w:rsidRPr="002D4036">
        <w:rPr>
          <w:rFonts w:cstheme="minorHAnsi"/>
          <w:i/>
          <w:iCs/>
          <w:color w:val="002465"/>
          <w:sz w:val="24"/>
          <w:szCs w:val="24"/>
          <w:lang w:val="sr-Latn-ME"/>
        </w:rPr>
        <w:t>ne</w:t>
      </w:r>
      <w:r w:rsidR="0077081C" w:rsidRPr="002D4036">
        <w:rPr>
          <w:rFonts w:cstheme="minorHAnsi"/>
          <w:i/>
          <w:iCs/>
          <w:color w:val="002465"/>
          <w:sz w:val="24"/>
          <w:szCs w:val="24"/>
          <w:lang w:val="sr-Latn-ME"/>
        </w:rPr>
        <w:t xml:space="preserve">formalne ekonomije </w:t>
      </w:r>
    </w:p>
    <w:bookmarkEnd w:id="157"/>
    <w:p w14:paraId="082FA57C" w14:textId="723C8001" w:rsidR="004333EF" w:rsidRPr="004333EF" w:rsidRDefault="00935910" w:rsidP="004333EF">
      <w:pPr>
        <w:jc w:val="both"/>
        <w:rPr>
          <w:rFonts w:ascii="Calibri" w:eastAsia="Calibri" w:hAnsi="Calibri" w:cs="Calibri"/>
          <w:noProof/>
          <w:kern w:val="0"/>
          <w:sz w:val="24"/>
          <w:szCs w:val="24"/>
          <w:lang w:val="sr-Latn-RS" w:eastAsia="sr-Cyrl-CS" w:bidi="sr-Cyrl-CS"/>
          <w14:ligatures w14:val="none"/>
        </w:rPr>
      </w:pPr>
      <w:r w:rsidRPr="004333EF">
        <w:rPr>
          <w:rFonts w:cstheme="minorHAnsi"/>
          <w:b/>
          <w:bCs/>
          <w:sz w:val="24"/>
          <w:szCs w:val="24"/>
          <w:lang w:val="sr-Latn-ME"/>
        </w:rPr>
        <w:t xml:space="preserve">Opis reformske mjere. </w:t>
      </w:r>
      <w:r w:rsidR="004333EF" w:rsidRPr="004333EF">
        <w:rPr>
          <w:rFonts w:ascii="Calibri" w:eastAsia="Calibri" w:hAnsi="Calibri" w:cs="Calibri"/>
          <w:bCs/>
          <w:noProof/>
          <w:kern w:val="0"/>
          <w:sz w:val="24"/>
          <w:szCs w:val="24"/>
          <w:lang w:val="sr-Latn-ME" w:eastAsia="sr-Cyrl-CS" w:bidi="sr-Cyrl-CS"/>
          <w14:ligatures w14:val="none"/>
        </w:rPr>
        <w:t>Cilj rеformske mjere je doprinos unapređenju poslovnog ambijenta i smanjenje učešća neformalne ekonomije u BDP. Mjera podrazumijeva impl</w:t>
      </w:r>
      <w:r w:rsidR="0062773A">
        <w:rPr>
          <w:rFonts w:ascii="Calibri" w:eastAsia="Calibri" w:hAnsi="Calibri" w:cs="Calibri"/>
          <w:bCs/>
          <w:noProof/>
          <w:kern w:val="0"/>
          <w:sz w:val="24"/>
          <w:szCs w:val="24"/>
          <w:lang w:val="sr-Latn-ME" w:eastAsia="sr-Cyrl-CS" w:bidi="sr-Cyrl-CS"/>
          <w14:ligatures w14:val="none"/>
        </w:rPr>
        <w:t>e</w:t>
      </w:r>
      <w:r w:rsidR="004333EF" w:rsidRPr="004333EF">
        <w:rPr>
          <w:rFonts w:ascii="Calibri" w:eastAsia="Calibri" w:hAnsi="Calibri" w:cs="Calibri"/>
          <w:bCs/>
          <w:noProof/>
          <w:kern w:val="0"/>
          <w:sz w:val="24"/>
          <w:szCs w:val="24"/>
          <w:lang w:val="sr-Latn-ME" w:eastAsia="sr-Cyrl-CS" w:bidi="sr-Cyrl-CS"/>
          <w14:ligatures w14:val="none"/>
        </w:rPr>
        <w:t>mentaciju Programa za suzbijanje neformalne ekonomije s pratećim Akcionim planom za period 2024-2026.godine,</w:t>
      </w:r>
      <w:r w:rsidR="004333EF" w:rsidRPr="004333EF">
        <w:rPr>
          <w:rFonts w:ascii="Calibri" w:eastAsia="Calibri" w:hAnsi="Calibri" w:cs="Calibri"/>
          <w:kern w:val="0"/>
          <w:sz w:val="24"/>
          <w:szCs w:val="24"/>
          <w:lang w:val="sr-Latn-RS" w:eastAsia="sr-Cyrl-CS" w:bidi="sr-Cyrl-CS"/>
          <w14:ligatures w14:val="none"/>
        </w:rPr>
        <w:t xml:space="preserve"> koji treba da bude usvojen do kraja 2023. godine, čime će se odgovoriti na preporuku br. 5 sa ministarskog dijaloga iz maja 2023.</w:t>
      </w:r>
      <w:r w:rsidR="0062773A">
        <w:rPr>
          <w:rFonts w:ascii="Calibri" w:eastAsia="Calibri" w:hAnsi="Calibri" w:cs="Calibri"/>
          <w:kern w:val="0"/>
          <w:sz w:val="24"/>
          <w:szCs w:val="24"/>
          <w:lang w:val="sr-Latn-RS" w:eastAsia="sr-Cyrl-CS" w:bidi="sr-Cyrl-CS"/>
          <w14:ligatures w14:val="none"/>
        </w:rPr>
        <w:t xml:space="preserve"> </w:t>
      </w:r>
      <w:r w:rsidR="004333EF" w:rsidRPr="004333EF">
        <w:rPr>
          <w:rFonts w:ascii="Calibri" w:eastAsia="Calibri" w:hAnsi="Calibri" w:cs="Calibri"/>
          <w:kern w:val="0"/>
          <w:sz w:val="24"/>
          <w:szCs w:val="24"/>
          <w:lang w:val="sr-Latn-RS" w:eastAsia="sr-Cyrl-CS" w:bidi="sr-Cyrl-CS"/>
          <w14:ligatures w14:val="none"/>
        </w:rPr>
        <w:t>godine.</w:t>
      </w:r>
      <w:r w:rsidR="004333EF" w:rsidRPr="004333EF">
        <w:rPr>
          <w:rFonts w:ascii="Calibri" w:eastAsia="Calibri" w:hAnsi="Calibri" w:cs="Calibri"/>
          <w:kern w:val="0"/>
          <w:sz w:val="24"/>
          <w:szCs w:val="24"/>
          <w:vertAlign w:val="superscript"/>
          <w:lang w:val="sr-Latn-RS" w:eastAsia="sr-Cyrl-CS" w:bidi="sr-Cyrl-CS"/>
          <w14:ligatures w14:val="none"/>
        </w:rPr>
        <w:footnoteReference w:id="22"/>
      </w:r>
      <w:r w:rsidR="0062773A">
        <w:rPr>
          <w:rFonts w:ascii="Calibri" w:eastAsia="Calibri" w:hAnsi="Calibri" w:cs="Calibri"/>
          <w:kern w:val="0"/>
          <w:sz w:val="24"/>
          <w:szCs w:val="24"/>
          <w:lang w:val="sr-Latn-RS" w:eastAsia="sr-Cyrl-CS" w:bidi="sr-Cyrl-CS"/>
          <w14:ligatures w14:val="none"/>
        </w:rPr>
        <w:t xml:space="preserve"> </w:t>
      </w:r>
      <w:r w:rsidR="004333EF" w:rsidRPr="004333EF">
        <w:rPr>
          <w:rFonts w:ascii="Calibri" w:eastAsia="Calibri" w:hAnsi="Calibri" w:cs="Calibri"/>
          <w:bCs/>
          <w:noProof/>
          <w:kern w:val="0"/>
          <w:sz w:val="24"/>
          <w:szCs w:val="24"/>
          <w:lang w:val="sr-Latn-ME" w:eastAsia="sr-Cyrl-CS" w:bidi="sr-Cyrl-CS"/>
          <w14:ligatures w14:val="none"/>
        </w:rPr>
        <w:t xml:space="preserve">Mjera predstavlja nastavak i integraciju reformskih </w:t>
      </w:r>
      <w:r w:rsidR="004333EF" w:rsidRPr="004333EF">
        <w:rPr>
          <w:rFonts w:ascii="Calibri" w:eastAsia="Calibri" w:hAnsi="Calibri" w:cs="Calibri"/>
          <w:bCs/>
          <w:noProof/>
          <w:kern w:val="0"/>
          <w:sz w:val="24"/>
          <w:szCs w:val="24"/>
          <w:lang w:val="sr-Latn-ME" w:eastAsia="sr-Cyrl-CS" w:bidi="sr-Cyrl-CS"/>
          <w14:ligatures w14:val="none"/>
        </w:rPr>
        <w:lastRenderedPageBreak/>
        <w:t>mjera br. 13 i 14  iz PER-a 2023-2025.</w:t>
      </w:r>
      <w:r w:rsidR="0062773A">
        <w:rPr>
          <w:rFonts w:ascii="Calibri" w:eastAsia="Calibri" w:hAnsi="Calibri" w:cs="Calibri"/>
          <w:bCs/>
          <w:noProof/>
          <w:kern w:val="0"/>
          <w:sz w:val="24"/>
          <w:szCs w:val="24"/>
          <w:lang w:val="sr-Latn-ME" w:eastAsia="sr-Cyrl-CS" w:bidi="sr-Cyrl-CS"/>
          <w14:ligatures w14:val="none"/>
        </w:rPr>
        <w:t xml:space="preserve"> </w:t>
      </w:r>
      <w:r w:rsidR="004333EF" w:rsidRPr="004333EF">
        <w:rPr>
          <w:rFonts w:ascii="Calibri" w:eastAsia="Calibri" w:hAnsi="Calibri" w:cs="Calibri"/>
          <w:bCs/>
          <w:noProof/>
          <w:kern w:val="0"/>
          <w:sz w:val="24"/>
          <w:szCs w:val="24"/>
          <w:lang w:val="sr-Latn-ME" w:eastAsia="sr-Cyrl-CS" w:bidi="sr-Cyrl-CS"/>
          <w14:ligatures w14:val="none"/>
        </w:rPr>
        <w:t xml:space="preserve">godina koje su se odnosile na unapređenje poslovnog okruženja i suzbijanje neformalne ekonomije kroz </w:t>
      </w:r>
      <w:r w:rsidR="004333EF" w:rsidRPr="004333EF">
        <w:rPr>
          <w:rFonts w:ascii="Calibri" w:eastAsia="Calibri" w:hAnsi="Calibri" w:cs="Calibri"/>
          <w:bCs/>
          <w:noProof/>
          <w:kern w:val="0"/>
          <w:sz w:val="24"/>
          <w:szCs w:val="24"/>
          <w:lang w:eastAsia="sr-Cyrl-CS" w:bidi="sr-Cyrl-CS"/>
          <w14:ligatures w14:val="none"/>
        </w:rPr>
        <w:t>uvo</w:t>
      </w:r>
      <w:r w:rsidR="004333EF" w:rsidRPr="004333EF">
        <w:rPr>
          <w:rFonts w:ascii="Calibri" w:eastAsia="Calibri" w:hAnsi="Calibri" w:cs="Calibri"/>
          <w:bCs/>
          <w:noProof/>
          <w:kern w:val="0"/>
          <w:sz w:val="24"/>
          <w:szCs w:val="24"/>
          <w:lang w:val="sr-Latn-ME" w:eastAsia="sr-Cyrl-CS" w:bidi="sr-Cyrl-CS"/>
          <w14:ligatures w14:val="none"/>
        </w:rPr>
        <w:t>đ</w:t>
      </w:r>
      <w:r w:rsidR="004333EF" w:rsidRPr="004333EF">
        <w:rPr>
          <w:rFonts w:ascii="Calibri" w:eastAsia="Calibri" w:hAnsi="Calibri" w:cs="Calibri"/>
          <w:bCs/>
          <w:noProof/>
          <w:kern w:val="0"/>
          <w:sz w:val="24"/>
          <w:szCs w:val="24"/>
          <w:lang w:eastAsia="sr-Cyrl-CS" w:bidi="sr-Cyrl-CS"/>
          <w14:ligatures w14:val="none"/>
        </w:rPr>
        <w:t>enj</w:t>
      </w:r>
      <w:r w:rsidR="0062773A">
        <w:rPr>
          <w:rFonts w:ascii="Calibri" w:eastAsia="Calibri" w:hAnsi="Calibri" w:cs="Calibri"/>
          <w:bCs/>
          <w:noProof/>
          <w:kern w:val="0"/>
          <w:sz w:val="24"/>
          <w:szCs w:val="24"/>
          <w:lang w:eastAsia="sr-Cyrl-CS" w:bidi="sr-Cyrl-CS"/>
          <w14:ligatures w14:val="none"/>
        </w:rPr>
        <w:t>e</w:t>
      </w:r>
      <w:r w:rsidR="004333EF" w:rsidRPr="004333EF">
        <w:rPr>
          <w:rFonts w:ascii="Calibri" w:eastAsia="Calibri" w:hAnsi="Calibri" w:cs="Calibri"/>
          <w:bCs/>
          <w:noProof/>
          <w:kern w:val="0"/>
          <w:sz w:val="24"/>
          <w:szCs w:val="24"/>
          <w:lang w:val="sr-Latn-ME" w:eastAsia="sr-Cyrl-CS" w:bidi="sr-Cyrl-CS"/>
          <w14:ligatures w14:val="none"/>
        </w:rPr>
        <w:t xml:space="preserve"> </w:t>
      </w:r>
      <w:r w:rsidR="004333EF" w:rsidRPr="004333EF">
        <w:rPr>
          <w:rFonts w:ascii="Calibri" w:eastAsia="Calibri" w:hAnsi="Calibri" w:cs="Calibri"/>
          <w:bCs/>
          <w:noProof/>
          <w:kern w:val="0"/>
          <w:sz w:val="24"/>
          <w:szCs w:val="24"/>
          <w:lang w:eastAsia="sr-Cyrl-CS" w:bidi="sr-Cyrl-CS"/>
          <w14:ligatures w14:val="none"/>
        </w:rPr>
        <w:t>novog</w:t>
      </w:r>
      <w:r w:rsidR="004333EF" w:rsidRPr="004333EF">
        <w:rPr>
          <w:rFonts w:ascii="Calibri" w:eastAsia="Calibri" w:hAnsi="Calibri" w:cs="Calibri"/>
          <w:bCs/>
          <w:noProof/>
          <w:kern w:val="0"/>
          <w:sz w:val="24"/>
          <w:szCs w:val="24"/>
          <w:lang w:val="sr-Latn-ME" w:eastAsia="sr-Cyrl-CS" w:bidi="sr-Cyrl-CS"/>
          <w14:ligatures w14:val="none"/>
        </w:rPr>
        <w:t xml:space="preserve"> </w:t>
      </w:r>
      <w:r w:rsidR="004333EF" w:rsidRPr="004333EF">
        <w:rPr>
          <w:rFonts w:ascii="Calibri" w:eastAsia="Calibri" w:hAnsi="Calibri" w:cs="Calibri"/>
          <w:bCs/>
          <w:noProof/>
          <w:kern w:val="0"/>
          <w:sz w:val="24"/>
          <w:szCs w:val="24"/>
          <w:lang w:eastAsia="sr-Cyrl-CS" w:bidi="sr-Cyrl-CS"/>
          <w14:ligatures w14:val="none"/>
        </w:rPr>
        <w:t>integrisanog</w:t>
      </w:r>
      <w:r w:rsidR="004333EF" w:rsidRPr="004333EF">
        <w:rPr>
          <w:rFonts w:ascii="Calibri" w:eastAsia="Calibri" w:hAnsi="Calibri" w:cs="Calibri"/>
          <w:bCs/>
          <w:noProof/>
          <w:kern w:val="0"/>
          <w:sz w:val="24"/>
          <w:szCs w:val="24"/>
          <w:lang w:val="sr-Latn-ME" w:eastAsia="sr-Cyrl-CS" w:bidi="sr-Cyrl-CS"/>
          <w14:ligatures w14:val="none"/>
        </w:rPr>
        <w:t xml:space="preserve"> </w:t>
      </w:r>
      <w:r w:rsidR="004333EF" w:rsidRPr="004333EF">
        <w:rPr>
          <w:rFonts w:ascii="Calibri" w:eastAsia="Calibri" w:hAnsi="Calibri" w:cs="Calibri"/>
          <w:bCs/>
          <w:noProof/>
          <w:kern w:val="0"/>
          <w:sz w:val="24"/>
          <w:szCs w:val="24"/>
          <w:lang w:eastAsia="sr-Cyrl-CS" w:bidi="sr-Cyrl-CS"/>
          <w14:ligatures w14:val="none"/>
        </w:rPr>
        <w:t>IT</w:t>
      </w:r>
      <w:r w:rsidR="004333EF" w:rsidRPr="004333EF">
        <w:rPr>
          <w:rFonts w:ascii="Calibri" w:eastAsia="Calibri" w:hAnsi="Calibri" w:cs="Calibri"/>
          <w:bCs/>
          <w:noProof/>
          <w:kern w:val="0"/>
          <w:sz w:val="24"/>
          <w:szCs w:val="24"/>
          <w:lang w:val="sr-Latn-ME" w:eastAsia="sr-Cyrl-CS" w:bidi="sr-Cyrl-CS"/>
          <w14:ligatures w14:val="none"/>
        </w:rPr>
        <w:t xml:space="preserve"> </w:t>
      </w:r>
      <w:r w:rsidR="004333EF" w:rsidRPr="004333EF">
        <w:rPr>
          <w:rFonts w:ascii="Calibri" w:eastAsia="Calibri" w:hAnsi="Calibri" w:cs="Calibri"/>
          <w:bCs/>
          <w:noProof/>
          <w:kern w:val="0"/>
          <w:sz w:val="24"/>
          <w:szCs w:val="24"/>
          <w:lang w:eastAsia="sr-Cyrl-CS" w:bidi="sr-Cyrl-CS"/>
          <w14:ligatures w14:val="none"/>
        </w:rPr>
        <w:t>sistema</w:t>
      </w:r>
      <w:r w:rsidR="004333EF" w:rsidRPr="004333EF">
        <w:rPr>
          <w:rFonts w:ascii="Calibri" w:eastAsia="Calibri" w:hAnsi="Calibri" w:cs="Calibri"/>
          <w:bCs/>
          <w:noProof/>
          <w:kern w:val="0"/>
          <w:sz w:val="24"/>
          <w:szCs w:val="24"/>
          <w:lang w:val="sr-Latn-ME" w:eastAsia="sr-Cyrl-CS" w:bidi="sr-Cyrl-CS"/>
          <w14:ligatures w14:val="none"/>
        </w:rPr>
        <w:t xml:space="preserve"> </w:t>
      </w:r>
      <w:r w:rsidR="004333EF" w:rsidRPr="004333EF">
        <w:rPr>
          <w:rFonts w:ascii="Calibri" w:eastAsia="Calibri" w:hAnsi="Calibri" w:cs="Calibri"/>
          <w:bCs/>
          <w:noProof/>
          <w:kern w:val="0"/>
          <w:sz w:val="24"/>
          <w:szCs w:val="24"/>
          <w:lang w:eastAsia="sr-Cyrl-CS" w:bidi="sr-Cyrl-CS"/>
          <w14:ligatures w14:val="none"/>
        </w:rPr>
        <w:t>za</w:t>
      </w:r>
      <w:r w:rsidR="004333EF" w:rsidRPr="004333EF">
        <w:rPr>
          <w:rFonts w:ascii="Calibri" w:eastAsia="Calibri" w:hAnsi="Calibri" w:cs="Calibri"/>
          <w:bCs/>
          <w:noProof/>
          <w:kern w:val="0"/>
          <w:sz w:val="24"/>
          <w:szCs w:val="24"/>
          <w:lang w:val="sr-Latn-ME" w:eastAsia="sr-Cyrl-CS" w:bidi="sr-Cyrl-CS"/>
          <w14:ligatures w14:val="none"/>
        </w:rPr>
        <w:t xml:space="preserve"> </w:t>
      </w:r>
      <w:r w:rsidR="004333EF" w:rsidRPr="004333EF">
        <w:rPr>
          <w:rFonts w:ascii="Calibri" w:eastAsia="Calibri" w:hAnsi="Calibri" w:cs="Calibri"/>
          <w:bCs/>
          <w:noProof/>
          <w:kern w:val="0"/>
          <w:sz w:val="24"/>
          <w:szCs w:val="24"/>
          <w:lang w:eastAsia="sr-Cyrl-CS" w:bidi="sr-Cyrl-CS"/>
          <w14:ligatures w14:val="none"/>
        </w:rPr>
        <w:t>upravljanje</w:t>
      </w:r>
      <w:r w:rsidR="004333EF" w:rsidRPr="004333EF">
        <w:rPr>
          <w:rFonts w:ascii="Calibri" w:eastAsia="Calibri" w:hAnsi="Calibri" w:cs="Calibri"/>
          <w:bCs/>
          <w:noProof/>
          <w:kern w:val="0"/>
          <w:sz w:val="24"/>
          <w:szCs w:val="24"/>
          <w:lang w:val="sr-Latn-ME" w:eastAsia="sr-Cyrl-CS" w:bidi="sr-Cyrl-CS"/>
          <w14:ligatures w14:val="none"/>
        </w:rPr>
        <w:t xml:space="preserve"> </w:t>
      </w:r>
      <w:r w:rsidR="004333EF" w:rsidRPr="004333EF">
        <w:rPr>
          <w:rFonts w:ascii="Calibri" w:eastAsia="Calibri" w:hAnsi="Calibri" w:cs="Calibri"/>
          <w:bCs/>
          <w:noProof/>
          <w:kern w:val="0"/>
          <w:sz w:val="24"/>
          <w:szCs w:val="24"/>
          <w:lang w:eastAsia="sr-Cyrl-CS" w:bidi="sr-Cyrl-CS"/>
          <w14:ligatures w14:val="none"/>
        </w:rPr>
        <w:t>prihodima</w:t>
      </w:r>
      <w:r w:rsidR="004333EF" w:rsidRPr="004333EF">
        <w:rPr>
          <w:rFonts w:ascii="Calibri" w:eastAsia="Calibri" w:hAnsi="Calibri" w:cs="Calibri"/>
          <w:bCs/>
          <w:noProof/>
          <w:kern w:val="0"/>
          <w:sz w:val="24"/>
          <w:szCs w:val="24"/>
          <w:lang w:val="sr-Latn-ME" w:eastAsia="sr-Cyrl-CS" w:bidi="sr-Cyrl-CS"/>
          <w14:ligatures w14:val="none"/>
        </w:rPr>
        <w:t xml:space="preserve"> (</w:t>
      </w:r>
      <w:r w:rsidR="004333EF" w:rsidRPr="004333EF">
        <w:rPr>
          <w:rFonts w:ascii="Calibri" w:eastAsia="Calibri" w:hAnsi="Calibri" w:cs="Calibri"/>
          <w:bCs/>
          <w:noProof/>
          <w:kern w:val="0"/>
          <w:sz w:val="24"/>
          <w:szCs w:val="24"/>
          <w:lang w:eastAsia="sr-Cyrl-CS" w:bidi="sr-Cyrl-CS"/>
          <w14:ligatures w14:val="none"/>
        </w:rPr>
        <w:t>IRMS</w:t>
      </w:r>
      <w:r w:rsidR="004333EF" w:rsidRPr="004333EF">
        <w:rPr>
          <w:rFonts w:ascii="Calibri" w:eastAsia="Calibri" w:hAnsi="Calibri" w:cs="Calibri"/>
          <w:bCs/>
          <w:noProof/>
          <w:kern w:val="0"/>
          <w:sz w:val="24"/>
          <w:szCs w:val="24"/>
          <w:lang w:val="sr-Latn-ME" w:eastAsia="sr-Cyrl-CS" w:bidi="sr-Cyrl-CS"/>
          <w14:ligatures w14:val="none"/>
        </w:rPr>
        <w:t>), kao i kroz pojednostavljenje trgovine robama i uslugama.</w:t>
      </w:r>
      <w:r w:rsidR="0062773A">
        <w:rPr>
          <w:rFonts w:ascii="Calibri" w:eastAsia="Calibri" w:hAnsi="Calibri" w:cs="Calibri"/>
          <w:bCs/>
          <w:noProof/>
          <w:kern w:val="0"/>
          <w:sz w:val="24"/>
          <w:szCs w:val="24"/>
          <w:lang w:val="sr-Latn-ME" w:eastAsia="sr-Cyrl-CS" w:bidi="sr-Cyrl-CS"/>
          <w14:ligatures w14:val="none"/>
        </w:rPr>
        <w:t xml:space="preserve"> </w:t>
      </w:r>
      <w:r w:rsidR="004333EF" w:rsidRPr="004333EF">
        <w:rPr>
          <w:rFonts w:ascii="Calibri" w:eastAsia="Calibri" w:hAnsi="Calibri" w:cs="Calibri"/>
          <w:bCs/>
          <w:noProof/>
          <w:kern w:val="0"/>
          <w:sz w:val="24"/>
          <w:szCs w:val="24"/>
          <w:lang w:val="sr-Latn-ME" w:eastAsia="sr-Cyrl-CS" w:bidi="sr-Cyrl-CS"/>
          <w14:ligatures w14:val="none"/>
        </w:rPr>
        <w:t xml:space="preserve">Mjera </w:t>
      </w:r>
      <w:r w:rsidR="004333EF" w:rsidRPr="004333EF">
        <w:rPr>
          <w:rFonts w:ascii="Calibri" w:eastAsia="Calibri" w:hAnsi="Calibri" w:cs="Calibri"/>
          <w:bCs/>
          <w:noProof/>
          <w:kern w:val="0"/>
          <w:sz w:val="24"/>
          <w:szCs w:val="24"/>
          <w:lang w:eastAsia="sr-Cyrl-CS" w:bidi="sr-Cyrl-CS"/>
          <w14:ligatures w14:val="none"/>
        </w:rPr>
        <w:t>je</w:t>
      </w:r>
      <w:r w:rsidR="004333EF" w:rsidRPr="004333EF">
        <w:rPr>
          <w:rFonts w:ascii="Calibri" w:eastAsia="Calibri" w:hAnsi="Calibri" w:cs="Calibri"/>
          <w:bCs/>
          <w:noProof/>
          <w:kern w:val="0"/>
          <w:sz w:val="24"/>
          <w:szCs w:val="24"/>
          <w:lang w:val="sr-Latn-ME" w:eastAsia="sr-Cyrl-CS" w:bidi="sr-Cyrl-CS"/>
          <w14:ligatures w14:val="none"/>
        </w:rPr>
        <w:t xml:space="preserve"> </w:t>
      </w:r>
      <w:r w:rsidR="004333EF" w:rsidRPr="004333EF">
        <w:rPr>
          <w:rFonts w:ascii="Calibri" w:eastAsia="Calibri" w:hAnsi="Calibri" w:cs="Calibri"/>
          <w:bCs/>
          <w:noProof/>
          <w:kern w:val="0"/>
          <w:sz w:val="24"/>
          <w:szCs w:val="24"/>
          <w:lang w:eastAsia="sr-Cyrl-CS" w:bidi="sr-Cyrl-CS"/>
          <w14:ligatures w14:val="none"/>
        </w:rPr>
        <w:t>u</w:t>
      </w:r>
      <w:r w:rsidR="004333EF" w:rsidRPr="004333EF">
        <w:rPr>
          <w:rFonts w:ascii="Calibri" w:eastAsia="Calibri" w:hAnsi="Calibri" w:cs="Calibri"/>
          <w:bCs/>
          <w:noProof/>
          <w:kern w:val="0"/>
          <w:sz w:val="24"/>
          <w:szCs w:val="24"/>
          <w:lang w:val="sr-Latn-ME" w:eastAsia="sr-Cyrl-CS" w:bidi="sr-Cyrl-CS"/>
          <w14:ligatures w14:val="none"/>
        </w:rPr>
        <w:t xml:space="preserve"> </w:t>
      </w:r>
      <w:r w:rsidR="004333EF" w:rsidRPr="004333EF">
        <w:rPr>
          <w:rFonts w:ascii="Calibri" w:eastAsia="Calibri" w:hAnsi="Calibri" w:cs="Calibri"/>
          <w:bCs/>
          <w:noProof/>
          <w:kern w:val="0"/>
          <w:sz w:val="24"/>
          <w:szCs w:val="24"/>
          <w:lang w:eastAsia="sr-Cyrl-CS" w:bidi="sr-Cyrl-CS"/>
          <w14:ligatures w14:val="none"/>
        </w:rPr>
        <w:t>skladu</w:t>
      </w:r>
      <w:r w:rsidR="004333EF" w:rsidRPr="004333EF">
        <w:rPr>
          <w:rFonts w:ascii="Calibri" w:eastAsia="Calibri" w:hAnsi="Calibri" w:cs="Calibri"/>
          <w:bCs/>
          <w:noProof/>
          <w:kern w:val="0"/>
          <w:sz w:val="24"/>
          <w:szCs w:val="24"/>
          <w:lang w:val="sr-Latn-ME" w:eastAsia="sr-Cyrl-CS" w:bidi="sr-Cyrl-CS"/>
          <w14:ligatures w14:val="none"/>
        </w:rPr>
        <w:t xml:space="preserve"> </w:t>
      </w:r>
      <w:r w:rsidR="004333EF" w:rsidRPr="004333EF">
        <w:rPr>
          <w:rFonts w:ascii="Calibri" w:eastAsia="Calibri" w:hAnsi="Calibri" w:cs="Calibri"/>
          <w:bCs/>
          <w:noProof/>
          <w:kern w:val="0"/>
          <w:sz w:val="24"/>
          <w:szCs w:val="24"/>
          <w:lang w:eastAsia="sr-Cyrl-CS" w:bidi="sr-Cyrl-CS"/>
          <w14:ligatures w14:val="none"/>
        </w:rPr>
        <w:t>sa</w:t>
      </w:r>
      <w:r w:rsidR="004333EF" w:rsidRPr="004333EF">
        <w:rPr>
          <w:rFonts w:ascii="Calibri" w:eastAsia="Calibri" w:hAnsi="Calibri" w:cs="Calibri"/>
          <w:bCs/>
          <w:noProof/>
          <w:kern w:val="0"/>
          <w:sz w:val="24"/>
          <w:szCs w:val="24"/>
          <w:lang w:val="sr-Latn-ME" w:eastAsia="sr-Cyrl-CS" w:bidi="sr-Cyrl-CS"/>
          <w14:ligatures w14:val="none"/>
        </w:rPr>
        <w:t xml:space="preserve"> </w:t>
      </w:r>
      <w:r w:rsidR="004333EF" w:rsidRPr="004333EF">
        <w:rPr>
          <w:rFonts w:ascii="Calibri" w:eastAsia="Calibri" w:hAnsi="Calibri" w:cs="Calibri"/>
          <w:bCs/>
          <w:noProof/>
          <w:kern w:val="0"/>
          <w:sz w:val="24"/>
          <w:szCs w:val="24"/>
          <w:lang w:eastAsia="sr-Cyrl-CS" w:bidi="sr-Cyrl-CS"/>
          <w14:ligatures w14:val="none"/>
        </w:rPr>
        <w:t>Programom</w:t>
      </w:r>
      <w:r w:rsidR="004333EF" w:rsidRPr="004333EF">
        <w:rPr>
          <w:rFonts w:ascii="Calibri" w:eastAsia="Calibri" w:hAnsi="Calibri" w:cs="Calibri"/>
          <w:bCs/>
          <w:noProof/>
          <w:kern w:val="0"/>
          <w:sz w:val="24"/>
          <w:szCs w:val="24"/>
          <w:lang w:val="sr-Latn-ME" w:eastAsia="sr-Cyrl-CS" w:bidi="sr-Cyrl-CS"/>
          <w14:ligatures w14:val="none"/>
        </w:rPr>
        <w:t xml:space="preserve"> </w:t>
      </w:r>
      <w:r w:rsidR="004333EF" w:rsidRPr="004333EF">
        <w:rPr>
          <w:rFonts w:ascii="Calibri" w:eastAsia="Calibri" w:hAnsi="Calibri" w:cs="Calibri"/>
          <w:bCs/>
          <w:noProof/>
          <w:kern w:val="0"/>
          <w:sz w:val="24"/>
          <w:szCs w:val="24"/>
          <w:lang w:eastAsia="sr-Cyrl-CS" w:bidi="sr-Cyrl-CS"/>
          <w14:ligatures w14:val="none"/>
        </w:rPr>
        <w:t>upravljanja</w:t>
      </w:r>
      <w:r w:rsidR="004333EF" w:rsidRPr="004333EF">
        <w:rPr>
          <w:rFonts w:ascii="Calibri" w:eastAsia="Calibri" w:hAnsi="Calibri" w:cs="Calibri"/>
          <w:bCs/>
          <w:noProof/>
          <w:kern w:val="0"/>
          <w:sz w:val="24"/>
          <w:szCs w:val="24"/>
          <w:lang w:val="sr-Latn-ME" w:eastAsia="sr-Cyrl-CS" w:bidi="sr-Cyrl-CS"/>
          <w14:ligatures w14:val="none"/>
        </w:rPr>
        <w:t xml:space="preserve"> </w:t>
      </w:r>
      <w:r w:rsidR="004333EF" w:rsidRPr="004333EF">
        <w:rPr>
          <w:rFonts w:ascii="Calibri" w:eastAsia="Calibri" w:hAnsi="Calibri" w:cs="Calibri"/>
          <w:bCs/>
          <w:noProof/>
          <w:kern w:val="0"/>
          <w:sz w:val="24"/>
          <w:szCs w:val="24"/>
          <w:lang w:eastAsia="sr-Cyrl-CS" w:bidi="sr-Cyrl-CS"/>
          <w14:ligatures w14:val="none"/>
        </w:rPr>
        <w:t>javnim</w:t>
      </w:r>
      <w:r w:rsidR="004333EF" w:rsidRPr="004333EF">
        <w:rPr>
          <w:rFonts w:ascii="Calibri" w:eastAsia="Calibri" w:hAnsi="Calibri" w:cs="Calibri"/>
          <w:bCs/>
          <w:noProof/>
          <w:kern w:val="0"/>
          <w:sz w:val="24"/>
          <w:szCs w:val="24"/>
          <w:lang w:val="sr-Latn-ME" w:eastAsia="sr-Cyrl-CS" w:bidi="sr-Cyrl-CS"/>
          <w14:ligatures w14:val="none"/>
        </w:rPr>
        <w:t xml:space="preserve"> </w:t>
      </w:r>
      <w:r w:rsidR="004333EF" w:rsidRPr="004333EF">
        <w:rPr>
          <w:rFonts w:ascii="Calibri" w:eastAsia="Calibri" w:hAnsi="Calibri" w:cs="Calibri"/>
          <w:bCs/>
          <w:noProof/>
          <w:kern w:val="0"/>
          <w:sz w:val="24"/>
          <w:szCs w:val="24"/>
          <w:lang w:eastAsia="sr-Cyrl-CS" w:bidi="sr-Cyrl-CS"/>
          <w14:ligatures w14:val="none"/>
        </w:rPr>
        <w:t>finansijama 2022-2026</w:t>
      </w:r>
      <w:r w:rsidR="004333EF" w:rsidRPr="004333EF">
        <w:rPr>
          <w:rFonts w:ascii="Calibri" w:eastAsia="Calibri" w:hAnsi="Calibri" w:cs="Calibri"/>
          <w:bCs/>
          <w:noProof/>
          <w:kern w:val="0"/>
          <w:sz w:val="24"/>
          <w:szCs w:val="24"/>
          <w:lang w:val="sr-Latn-ME" w:eastAsia="sr-Cyrl-CS" w:bidi="sr-Cyrl-CS"/>
          <w14:ligatures w14:val="none"/>
        </w:rPr>
        <w:t xml:space="preserve">, </w:t>
      </w:r>
      <w:r w:rsidR="004333EF" w:rsidRPr="004333EF">
        <w:rPr>
          <w:rFonts w:ascii="Calibri" w:eastAsia="Calibri" w:hAnsi="Calibri" w:cs="Calibri"/>
          <w:bCs/>
          <w:noProof/>
          <w:kern w:val="0"/>
          <w:sz w:val="24"/>
          <w:szCs w:val="24"/>
          <w:lang w:eastAsia="sr-Cyrl-CS" w:bidi="sr-Cyrl-CS"/>
          <w14:ligatures w14:val="none"/>
        </w:rPr>
        <w:t>kao</w:t>
      </w:r>
      <w:r w:rsidR="004333EF" w:rsidRPr="004333EF">
        <w:rPr>
          <w:rFonts w:ascii="Calibri" w:eastAsia="Calibri" w:hAnsi="Calibri" w:cs="Calibri"/>
          <w:bCs/>
          <w:noProof/>
          <w:kern w:val="0"/>
          <w:sz w:val="24"/>
          <w:szCs w:val="24"/>
          <w:lang w:val="sr-Latn-ME" w:eastAsia="sr-Cyrl-CS" w:bidi="sr-Cyrl-CS"/>
          <w14:ligatures w14:val="none"/>
        </w:rPr>
        <w:t xml:space="preserve"> </w:t>
      </w:r>
      <w:r w:rsidR="004333EF" w:rsidRPr="004333EF">
        <w:rPr>
          <w:rFonts w:ascii="Calibri" w:eastAsia="Calibri" w:hAnsi="Calibri" w:cs="Calibri"/>
          <w:bCs/>
          <w:noProof/>
          <w:kern w:val="0"/>
          <w:sz w:val="24"/>
          <w:szCs w:val="24"/>
          <w:lang w:eastAsia="sr-Cyrl-CS" w:bidi="sr-Cyrl-CS"/>
          <w14:ligatures w14:val="none"/>
        </w:rPr>
        <w:t>i</w:t>
      </w:r>
      <w:r w:rsidR="004333EF" w:rsidRPr="004333EF">
        <w:rPr>
          <w:rFonts w:ascii="Calibri" w:eastAsia="Calibri" w:hAnsi="Calibri" w:cs="Calibri"/>
          <w:bCs/>
          <w:noProof/>
          <w:kern w:val="0"/>
          <w:sz w:val="24"/>
          <w:szCs w:val="24"/>
          <w:lang w:val="sr-Latn-ME" w:eastAsia="sr-Cyrl-CS" w:bidi="sr-Cyrl-CS"/>
          <w14:ligatures w14:val="none"/>
        </w:rPr>
        <w:t xml:space="preserve"> </w:t>
      </w:r>
      <w:r w:rsidR="004333EF" w:rsidRPr="004333EF">
        <w:rPr>
          <w:rFonts w:ascii="Calibri" w:eastAsia="Calibri" w:hAnsi="Calibri" w:cs="Calibri"/>
          <w:bCs/>
          <w:noProof/>
          <w:kern w:val="0"/>
          <w:sz w:val="24"/>
          <w:szCs w:val="24"/>
          <w:lang w:eastAsia="sr-Cyrl-CS" w:bidi="sr-Cyrl-CS"/>
          <w14:ligatures w14:val="none"/>
        </w:rPr>
        <w:t>sa</w:t>
      </w:r>
      <w:r w:rsidR="004333EF" w:rsidRPr="004333EF">
        <w:rPr>
          <w:rFonts w:ascii="Calibri" w:eastAsia="Calibri" w:hAnsi="Calibri" w:cs="Calibri"/>
          <w:bCs/>
          <w:noProof/>
          <w:kern w:val="0"/>
          <w:sz w:val="24"/>
          <w:szCs w:val="24"/>
          <w:lang w:val="sr-Latn-ME" w:eastAsia="sr-Cyrl-CS" w:bidi="sr-Cyrl-CS"/>
          <w14:ligatures w14:val="none"/>
        </w:rPr>
        <w:t xml:space="preserve"> </w:t>
      </w:r>
      <w:r w:rsidR="004333EF" w:rsidRPr="004333EF">
        <w:rPr>
          <w:rFonts w:ascii="Calibri" w:eastAsia="Calibri" w:hAnsi="Calibri" w:cs="Calibri"/>
          <w:bCs/>
          <w:noProof/>
          <w:kern w:val="0"/>
          <w:sz w:val="24"/>
          <w:szCs w:val="24"/>
          <w:lang w:eastAsia="sr-Cyrl-CS" w:bidi="sr-Cyrl-CS"/>
          <w14:ligatures w14:val="none"/>
        </w:rPr>
        <w:t>ciljevima</w:t>
      </w:r>
      <w:r w:rsidR="004333EF" w:rsidRPr="004333EF">
        <w:rPr>
          <w:rFonts w:ascii="Calibri" w:eastAsia="Calibri" w:hAnsi="Calibri" w:cs="Calibri"/>
          <w:bCs/>
          <w:noProof/>
          <w:kern w:val="0"/>
          <w:sz w:val="24"/>
          <w:szCs w:val="24"/>
          <w:lang w:val="sr-Latn-ME" w:eastAsia="sr-Cyrl-CS" w:bidi="sr-Cyrl-CS"/>
          <w14:ligatures w14:val="none"/>
        </w:rPr>
        <w:t xml:space="preserve"> </w:t>
      </w:r>
      <w:r w:rsidR="004333EF" w:rsidRPr="004333EF">
        <w:rPr>
          <w:rFonts w:ascii="Calibri" w:eastAsia="Calibri" w:hAnsi="Calibri" w:cs="Calibri"/>
          <w:bCs/>
          <w:noProof/>
          <w:kern w:val="0"/>
          <w:sz w:val="24"/>
          <w:szCs w:val="24"/>
          <w:lang w:eastAsia="sr-Cyrl-CS" w:bidi="sr-Cyrl-CS"/>
          <w14:ligatures w14:val="none"/>
        </w:rPr>
        <w:t>odr</w:t>
      </w:r>
      <w:r w:rsidR="004333EF" w:rsidRPr="004333EF">
        <w:rPr>
          <w:rFonts w:ascii="Calibri" w:eastAsia="Calibri" w:hAnsi="Calibri" w:cs="Calibri"/>
          <w:bCs/>
          <w:noProof/>
          <w:kern w:val="0"/>
          <w:sz w:val="24"/>
          <w:szCs w:val="24"/>
          <w:lang w:val="sr-Latn-ME" w:eastAsia="sr-Cyrl-CS" w:bidi="sr-Cyrl-CS"/>
          <w14:ligatures w14:val="none"/>
        </w:rPr>
        <w:t>ž</w:t>
      </w:r>
      <w:r w:rsidR="004333EF" w:rsidRPr="004333EF">
        <w:rPr>
          <w:rFonts w:ascii="Calibri" w:eastAsia="Calibri" w:hAnsi="Calibri" w:cs="Calibri"/>
          <w:bCs/>
          <w:noProof/>
          <w:kern w:val="0"/>
          <w:sz w:val="24"/>
          <w:szCs w:val="24"/>
          <w:lang w:eastAsia="sr-Cyrl-CS" w:bidi="sr-Cyrl-CS"/>
          <w14:ligatures w14:val="none"/>
        </w:rPr>
        <w:t>ivog</w:t>
      </w:r>
      <w:r w:rsidR="004333EF" w:rsidRPr="004333EF">
        <w:rPr>
          <w:rFonts w:ascii="Calibri" w:eastAsia="Calibri" w:hAnsi="Calibri" w:cs="Calibri"/>
          <w:bCs/>
          <w:noProof/>
          <w:kern w:val="0"/>
          <w:sz w:val="24"/>
          <w:szCs w:val="24"/>
          <w:lang w:val="sr-Latn-ME" w:eastAsia="sr-Cyrl-CS" w:bidi="sr-Cyrl-CS"/>
          <w14:ligatures w14:val="none"/>
        </w:rPr>
        <w:t xml:space="preserve"> </w:t>
      </w:r>
      <w:r w:rsidR="004333EF" w:rsidRPr="004333EF">
        <w:rPr>
          <w:rFonts w:ascii="Calibri" w:eastAsia="Calibri" w:hAnsi="Calibri" w:cs="Calibri"/>
          <w:bCs/>
          <w:noProof/>
          <w:kern w:val="0"/>
          <w:sz w:val="24"/>
          <w:szCs w:val="24"/>
          <w:lang w:eastAsia="sr-Cyrl-CS" w:bidi="sr-Cyrl-CS"/>
          <w14:ligatures w14:val="none"/>
        </w:rPr>
        <w:t>razvoja</w:t>
      </w:r>
      <w:r w:rsidR="004333EF" w:rsidRPr="004333EF">
        <w:rPr>
          <w:rFonts w:ascii="Calibri" w:eastAsia="Calibri" w:hAnsi="Calibri" w:cs="Calibri"/>
          <w:bCs/>
          <w:noProof/>
          <w:kern w:val="0"/>
          <w:sz w:val="24"/>
          <w:szCs w:val="24"/>
          <w:lang w:val="sr-Latn-ME" w:eastAsia="sr-Cyrl-CS" w:bidi="sr-Cyrl-CS"/>
          <w14:ligatures w14:val="none"/>
        </w:rPr>
        <w:t xml:space="preserve"> 8 - </w:t>
      </w:r>
      <w:r w:rsidR="004333EF" w:rsidRPr="004333EF">
        <w:rPr>
          <w:rFonts w:ascii="Calibri" w:eastAsia="Calibri" w:hAnsi="Calibri" w:cs="Calibri"/>
          <w:bCs/>
          <w:noProof/>
          <w:kern w:val="0"/>
          <w:sz w:val="24"/>
          <w:szCs w:val="24"/>
          <w:lang w:eastAsia="sr-Cyrl-CS" w:bidi="sr-Cyrl-CS"/>
          <w14:ligatures w14:val="none"/>
        </w:rPr>
        <w:t>Dostojanstven</w:t>
      </w:r>
      <w:r w:rsidR="004333EF" w:rsidRPr="004333EF">
        <w:rPr>
          <w:rFonts w:ascii="Calibri" w:eastAsia="Calibri" w:hAnsi="Calibri" w:cs="Calibri"/>
          <w:bCs/>
          <w:noProof/>
          <w:kern w:val="0"/>
          <w:sz w:val="24"/>
          <w:szCs w:val="24"/>
          <w:lang w:val="sr-Latn-ME" w:eastAsia="sr-Cyrl-CS" w:bidi="sr-Cyrl-CS"/>
          <w14:ligatures w14:val="none"/>
        </w:rPr>
        <w:t xml:space="preserve"> </w:t>
      </w:r>
      <w:r w:rsidR="004333EF" w:rsidRPr="004333EF">
        <w:rPr>
          <w:rFonts w:ascii="Calibri" w:eastAsia="Calibri" w:hAnsi="Calibri" w:cs="Calibri"/>
          <w:bCs/>
          <w:noProof/>
          <w:kern w:val="0"/>
          <w:sz w:val="24"/>
          <w:szCs w:val="24"/>
          <w:lang w:eastAsia="sr-Cyrl-CS" w:bidi="sr-Cyrl-CS"/>
          <w14:ligatures w14:val="none"/>
        </w:rPr>
        <w:t>rad</w:t>
      </w:r>
      <w:r w:rsidR="004333EF" w:rsidRPr="004333EF">
        <w:rPr>
          <w:rFonts w:ascii="Calibri" w:eastAsia="Calibri" w:hAnsi="Calibri" w:cs="Calibri"/>
          <w:bCs/>
          <w:noProof/>
          <w:kern w:val="0"/>
          <w:sz w:val="24"/>
          <w:szCs w:val="24"/>
          <w:lang w:val="sr-Latn-ME" w:eastAsia="sr-Cyrl-CS" w:bidi="sr-Cyrl-CS"/>
          <w14:ligatures w14:val="none"/>
        </w:rPr>
        <w:t xml:space="preserve"> </w:t>
      </w:r>
      <w:r w:rsidR="004333EF" w:rsidRPr="004333EF">
        <w:rPr>
          <w:rFonts w:ascii="Calibri" w:eastAsia="Calibri" w:hAnsi="Calibri" w:cs="Calibri"/>
          <w:bCs/>
          <w:noProof/>
          <w:kern w:val="0"/>
          <w:sz w:val="24"/>
          <w:szCs w:val="24"/>
          <w:lang w:eastAsia="sr-Cyrl-CS" w:bidi="sr-Cyrl-CS"/>
          <w14:ligatures w14:val="none"/>
        </w:rPr>
        <w:t>i</w:t>
      </w:r>
      <w:r w:rsidR="004333EF" w:rsidRPr="004333EF">
        <w:rPr>
          <w:rFonts w:ascii="Calibri" w:eastAsia="Calibri" w:hAnsi="Calibri" w:cs="Calibri"/>
          <w:bCs/>
          <w:noProof/>
          <w:kern w:val="0"/>
          <w:sz w:val="24"/>
          <w:szCs w:val="24"/>
          <w:lang w:val="sr-Latn-ME" w:eastAsia="sr-Cyrl-CS" w:bidi="sr-Cyrl-CS"/>
          <w14:ligatures w14:val="none"/>
        </w:rPr>
        <w:t xml:space="preserve"> </w:t>
      </w:r>
      <w:r w:rsidR="004333EF" w:rsidRPr="004333EF">
        <w:rPr>
          <w:rFonts w:ascii="Calibri" w:eastAsia="Calibri" w:hAnsi="Calibri" w:cs="Calibri"/>
          <w:bCs/>
          <w:noProof/>
          <w:kern w:val="0"/>
          <w:sz w:val="24"/>
          <w:szCs w:val="24"/>
          <w:lang w:eastAsia="sr-Cyrl-CS" w:bidi="sr-Cyrl-CS"/>
          <w14:ligatures w14:val="none"/>
        </w:rPr>
        <w:t>ekonomski</w:t>
      </w:r>
      <w:r w:rsidR="004333EF" w:rsidRPr="004333EF">
        <w:rPr>
          <w:rFonts w:ascii="Calibri" w:eastAsia="Calibri" w:hAnsi="Calibri" w:cs="Calibri"/>
          <w:bCs/>
          <w:noProof/>
          <w:kern w:val="0"/>
          <w:sz w:val="24"/>
          <w:szCs w:val="24"/>
          <w:lang w:val="sr-Latn-ME" w:eastAsia="sr-Cyrl-CS" w:bidi="sr-Cyrl-CS"/>
          <w14:ligatures w14:val="none"/>
        </w:rPr>
        <w:t xml:space="preserve"> </w:t>
      </w:r>
      <w:r w:rsidR="004333EF" w:rsidRPr="004333EF">
        <w:rPr>
          <w:rFonts w:ascii="Calibri" w:eastAsia="Calibri" w:hAnsi="Calibri" w:cs="Calibri"/>
          <w:bCs/>
          <w:noProof/>
          <w:kern w:val="0"/>
          <w:sz w:val="24"/>
          <w:szCs w:val="24"/>
          <w:lang w:eastAsia="sr-Cyrl-CS" w:bidi="sr-Cyrl-CS"/>
          <w14:ligatures w14:val="none"/>
        </w:rPr>
        <w:t>rast</w:t>
      </w:r>
      <w:r w:rsidR="004333EF" w:rsidRPr="004333EF">
        <w:rPr>
          <w:rFonts w:ascii="Calibri" w:eastAsia="Calibri" w:hAnsi="Calibri" w:cs="Calibri"/>
          <w:bCs/>
          <w:noProof/>
          <w:kern w:val="0"/>
          <w:sz w:val="24"/>
          <w:szCs w:val="24"/>
          <w:lang w:val="sr-Latn-ME" w:eastAsia="sr-Cyrl-CS" w:bidi="sr-Cyrl-CS"/>
          <w14:ligatures w14:val="none"/>
        </w:rPr>
        <w:t xml:space="preserve"> </w:t>
      </w:r>
      <w:r w:rsidR="004333EF" w:rsidRPr="004333EF">
        <w:rPr>
          <w:rFonts w:ascii="Calibri" w:eastAsia="Calibri" w:hAnsi="Calibri" w:cs="Calibri"/>
          <w:bCs/>
          <w:noProof/>
          <w:kern w:val="0"/>
          <w:sz w:val="24"/>
          <w:szCs w:val="24"/>
          <w:lang w:eastAsia="sr-Cyrl-CS" w:bidi="sr-Cyrl-CS"/>
          <w14:ligatures w14:val="none"/>
        </w:rPr>
        <w:t>i</w:t>
      </w:r>
      <w:r w:rsidR="004333EF" w:rsidRPr="004333EF">
        <w:rPr>
          <w:rFonts w:ascii="Calibri" w:eastAsia="Calibri" w:hAnsi="Calibri" w:cs="Calibri"/>
          <w:bCs/>
          <w:noProof/>
          <w:kern w:val="0"/>
          <w:sz w:val="24"/>
          <w:szCs w:val="24"/>
          <w:lang w:val="sr-Latn-ME" w:eastAsia="sr-Cyrl-CS" w:bidi="sr-Cyrl-CS"/>
          <w14:ligatures w14:val="none"/>
        </w:rPr>
        <w:t xml:space="preserve"> 9 - </w:t>
      </w:r>
      <w:r w:rsidR="004333EF" w:rsidRPr="004333EF">
        <w:rPr>
          <w:rFonts w:ascii="Calibri" w:eastAsia="Calibri" w:hAnsi="Calibri" w:cs="Calibri"/>
          <w:bCs/>
          <w:noProof/>
          <w:kern w:val="0"/>
          <w:sz w:val="24"/>
          <w:szCs w:val="24"/>
          <w:lang w:eastAsia="sr-Cyrl-CS" w:bidi="sr-Cyrl-CS"/>
          <w14:ligatures w14:val="none"/>
        </w:rPr>
        <w:t>Industrija</w:t>
      </w:r>
      <w:r w:rsidR="004333EF" w:rsidRPr="004333EF">
        <w:rPr>
          <w:rFonts w:ascii="Calibri" w:eastAsia="Calibri" w:hAnsi="Calibri" w:cs="Calibri"/>
          <w:bCs/>
          <w:noProof/>
          <w:kern w:val="0"/>
          <w:sz w:val="24"/>
          <w:szCs w:val="24"/>
          <w:lang w:val="sr-Latn-ME" w:eastAsia="sr-Cyrl-CS" w:bidi="sr-Cyrl-CS"/>
          <w14:ligatures w14:val="none"/>
        </w:rPr>
        <w:t xml:space="preserve">, </w:t>
      </w:r>
      <w:r w:rsidR="004333EF" w:rsidRPr="004333EF">
        <w:rPr>
          <w:rFonts w:ascii="Calibri" w:eastAsia="Calibri" w:hAnsi="Calibri" w:cs="Calibri"/>
          <w:bCs/>
          <w:noProof/>
          <w:kern w:val="0"/>
          <w:sz w:val="24"/>
          <w:szCs w:val="24"/>
          <w:lang w:eastAsia="sr-Cyrl-CS" w:bidi="sr-Cyrl-CS"/>
          <w14:ligatures w14:val="none"/>
        </w:rPr>
        <w:t>inovacije</w:t>
      </w:r>
      <w:r w:rsidR="004333EF" w:rsidRPr="004333EF">
        <w:rPr>
          <w:rFonts w:ascii="Calibri" w:eastAsia="Calibri" w:hAnsi="Calibri" w:cs="Calibri"/>
          <w:bCs/>
          <w:noProof/>
          <w:kern w:val="0"/>
          <w:sz w:val="24"/>
          <w:szCs w:val="24"/>
          <w:lang w:val="sr-Latn-ME" w:eastAsia="sr-Cyrl-CS" w:bidi="sr-Cyrl-CS"/>
          <w14:ligatures w14:val="none"/>
        </w:rPr>
        <w:t xml:space="preserve"> </w:t>
      </w:r>
      <w:r w:rsidR="004333EF" w:rsidRPr="004333EF">
        <w:rPr>
          <w:rFonts w:ascii="Calibri" w:eastAsia="Calibri" w:hAnsi="Calibri" w:cs="Calibri"/>
          <w:bCs/>
          <w:noProof/>
          <w:kern w:val="0"/>
          <w:sz w:val="24"/>
          <w:szCs w:val="24"/>
          <w:lang w:eastAsia="sr-Cyrl-CS" w:bidi="sr-Cyrl-CS"/>
          <w14:ligatures w14:val="none"/>
        </w:rPr>
        <w:t>i</w:t>
      </w:r>
      <w:r w:rsidR="004333EF" w:rsidRPr="004333EF">
        <w:rPr>
          <w:rFonts w:ascii="Calibri" w:eastAsia="Calibri" w:hAnsi="Calibri" w:cs="Calibri"/>
          <w:bCs/>
          <w:noProof/>
          <w:kern w:val="0"/>
          <w:sz w:val="24"/>
          <w:szCs w:val="24"/>
          <w:lang w:val="sr-Latn-ME" w:eastAsia="sr-Cyrl-CS" w:bidi="sr-Cyrl-CS"/>
          <w14:ligatures w14:val="none"/>
        </w:rPr>
        <w:t xml:space="preserve"> </w:t>
      </w:r>
      <w:r w:rsidR="004333EF" w:rsidRPr="004333EF">
        <w:rPr>
          <w:rFonts w:ascii="Calibri" w:eastAsia="Calibri" w:hAnsi="Calibri" w:cs="Calibri"/>
          <w:bCs/>
          <w:noProof/>
          <w:kern w:val="0"/>
          <w:sz w:val="24"/>
          <w:szCs w:val="24"/>
          <w:lang w:eastAsia="sr-Cyrl-CS" w:bidi="sr-Cyrl-CS"/>
          <w14:ligatures w14:val="none"/>
        </w:rPr>
        <w:t>infrastruktura</w:t>
      </w:r>
      <w:r w:rsidR="004333EF" w:rsidRPr="004333EF">
        <w:rPr>
          <w:rFonts w:ascii="Calibri" w:eastAsia="Calibri" w:hAnsi="Calibri" w:cs="Calibri"/>
          <w:bCs/>
          <w:noProof/>
          <w:kern w:val="0"/>
          <w:sz w:val="24"/>
          <w:szCs w:val="24"/>
          <w:lang w:val="sr-Latn-ME" w:eastAsia="sr-Cyrl-CS" w:bidi="sr-Cyrl-CS"/>
          <w14:ligatures w14:val="none"/>
        </w:rPr>
        <w:t xml:space="preserve">. </w:t>
      </w:r>
      <w:r w:rsidR="004333EF" w:rsidRPr="004333EF">
        <w:rPr>
          <w:rFonts w:ascii="Calibri" w:eastAsia="Calibri" w:hAnsi="Calibri" w:cs="Calibri"/>
          <w:noProof/>
          <w:kern w:val="0"/>
          <w:sz w:val="24"/>
          <w:szCs w:val="24"/>
          <w:lang w:val="it-IT" w:eastAsia="sr-Cyrl-CS" w:bidi="sr-Cyrl-CS"/>
          <w14:ligatures w14:val="none"/>
        </w:rPr>
        <w:t xml:space="preserve">Takođe, uključuje aktivnosti prekogranične </w:t>
      </w:r>
      <w:r w:rsidR="004333EF" w:rsidRPr="004333EF">
        <w:rPr>
          <w:rFonts w:ascii="Calibri" w:eastAsia="Calibri" w:hAnsi="Calibri" w:cs="Calibri"/>
          <w:noProof/>
          <w:kern w:val="0"/>
          <w:sz w:val="24"/>
          <w:szCs w:val="24"/>
          <w:lang w:val="sr-Latn-RS" w:eastAsia="sr-Cyrl-CS" w:bidi="sr-Cyrl-CS"/>
          <w14:ligatures w14:val="none"/>
        </w:rPr>
        <w:t>trgovine robom kroz implementaciju Sporazuma o trgovinskim olakšicama STO i CEFTA dodatnih protokola 5, 6 i 7.</w:t>
      </w:r>
    </w:p>
    <w:p w14:paraId="26EC4C68" w14:textId="77777777" w:rsidR="004333EF" w:rsidRPr="004333EF" w:rsidRDefault="004333EF" w:rsidP="004333EF">
      <w:pPr>
        <w:widowControl w:val="0"/>
        <w:spacing w:after="0" w:line="240" w:lineRule="auto"/>
        <w:rPr>
          <w:rFonts w:ascii="Calibri" w:eastAsia="Calibri" w:hAnsi="Calibri" w:cs="Calibri"/>
          <w:b/>
          <w:bCs/>
          <w:kern w:val="0"/>
          <w:sz w:val="24"/>
          <w:szCs w:val="24"/>
          <w:lang w:val="sr-Latn-RS" w:eastAsia="sr-Cyrl-CS" w:bidi="sr-Cyrl-CS"/>
          <w14:ligatures w14:val="none"/>
        </w:rPr>
      </w:pPr>
      <w:r w:rsidRPr="004333EF">
        <w:rPr>
          <w:rFonts w:ascii="Calibri" w:eastAsia="Calibri" w:hAnsi="Calibri" w:cs="Calibri"/>
          <w:b/>
          <w:bCs/>
          <w:kern w:val="0"/>
          <w:sz w:val="24"/>
          <w:szCs w:val="24"/>
          <w:lang w:val="sr-Latn-RS" w:eastAsia="sr-Cyrl-CS" w:bidi="sr-Cyrl-CS"/>
          <w14:ligatures w14:val="none"/>
        </w:rPr>
        <w:t>Aktivnosti planirane za 2024.</w:t>
      </w:r>
    </w:p>
    <w:p w14:paraId="523BFAC3" w14:textId="2EC84CEC" w:rsidR="004333EF" w:rsidRPr="004333EF" w:rsidRDefault="004333EF" w:rsidP="00FD3827">
      <w:pPr>
        <w:widowControl w:val="0"/>
        <w:numPr>
          <w:ilvl w:val="0"/>
          <w:numId w:val="18"/>
        </w:numPr>
        <w:spacing w:after="0" w:line="240" w:lineRule="auto"/>
        <w:contextualSpacing/>
        <w:jc w:val="both"/>
        <w:rPr>
          <w:rFonts w:ascii="Calibri" w:eastAsia="Calibri" w:hAnsi="Calibri" w:cs="Calibri"/>
          <w:kern w:val="0"/>
          <w:sz w:val="24"/>
          <w:szCs w:val="24"/>
          <w:lang w:val="sr-Latn-RS" w:eastAsia="sr-Cyrl-CS" w:bidi="sr-Cyrl-CS"/>
          <w14:ligatures w14:val="none"/>
        </w:rPr>
      </w:pPr>
      <w:bookmarkStart w:id="158" w:name="_Hlk150603281"/>
      <w:r w:rsidRPr="004333EF">
        <w:rPr>
          <w:rFonts w:ascii="Calibri" w:eastAsia="Calibri" w:hAnsi="Calibri" w:cs="Calibri"/>
          <w:kern w:val="0"/>
          <w:sz w:val="24"/>
          <w:szCs w:val="24"/>
          <w:lang w:val="sr-Latn-RS" w:eastAsia="sr-Cyrl-CS" w:bidi="sr-Cyrl-CS"/>
          <w14:ligatures w14:val="none"/>
        </w:rPr>
        <w:t>Jačanje međuresorne saradnje na lokalnom i centralnom nivou i unapređenje administrativnih kapaciteta sa ciljem pune implementacije akcionog plana</w:t>
      </w:r>
      <w:r w:rsidR="00E41591">
        <w:rPr>
          <w:rFonts w:ascii="Calibri" w:eastAsia="Calibri" w:hAnsi="Calibri" w:cs="Calibri"/>
          <w:kern w:val="0"/>
          <w:sz w:val="24"/>
          <w:szCs w:val="24"/>
          <w:lang w:val="sr-Latn-RS" w:eastAsia="sr-Cyrl-CS" w:bidi="sr-Cyrl-CS"/>
          <w14:ligatures w14:val="none"/>
        </w:rPr>
        <w:t>. MF</w:t>
      </w:r>
    </w:p>
    <w:p w14:paraId="164BFE51" w14:textId="0900CA6D" w:rsidR="004333EF" w:rsidRPr="004333EF" w:rsidRDefault="004333EF" w:rsidP="00FD3827">
      <w:pPr>
        <w:widowControl w:val="0"/>
        <w:numPr>
          <w:ilvl w:val="0"/>
          <w:numId w:val="18"/>
        </w:numPr>
        <w:spacing w:after="0" w:line="240" w:lineRule="auto"/>
        <w:contextualSpacing/>
        <w:jc w:val="both"/>
        <w:rPr>
          <w:rFonts w:ascii="Calibri" w:eastAsia="Calibri" w:hAnsi="Calibri" w:cs="Calibri"/>
          <w:b/>
          <w:i/>
          <w:kern w:val="0"/>
          <w:sz w:val="24"/>
          <w:szCs w:val="24"/>
          <w:lang w:val="sr-Latn-RS" w:eastAsia="sr-Cyrl-CS" w:bidi="sr-Cyrl-CS"/>
          <w14:ligatures w14:val="none"/>
        </w:rPr>
      </w:pPr>
      <w:r w:rsidRPr="004333EF">
        <w:rPr>
          <w:rFonts w:ascii="Calibri" w:eastAsia="Calibri" w:hAnsi="Calibri" w:cs="Calibri"/>
          <w:kern w:val="0"/>
          <w:sz w:val="24"/>
          <w:szCs w:val="24"/>
          <w:lang w:val="sr-Latn-RS" w:eastAsia="sr-Cyrl-CS" w:bidi="sr-Cyrl-CS"/>
          <w14:ligatures w14:val="none"/>
        </w:rPr>
        <w:t xml:space="preserve">Jačanje </w:t>
      </w:r>
      <w:r w:rsidRPr="004333EF">
        <w:rPr>
          <w:rFonts w:ascii="Calibri" w:eastAsia="Calibri" w:hAnsi="Calibri" w:cs="Calibri"/>
          <w:kern w:val="0"/>
          <w:sz w:val="24"/>
          <w:szCs w:val="24"/>
          <w:lang w:eastAsia="sr-Cyrl-CS" w:bidi="sr-Cyrl-CS"/>
          <w14:ligatures w14:val="none"/>
        </w:rPr>
        <w:t>institucionalnog</w:t>
      </w:r>
      <w:r w:rsidRPr="004333EF">
        <w:rPr>
          <w:rFonts w:ascii="Calibri" w:eastAsia="Calibri" w:hAnsi="Calibri" w:cs="Calibri"/>
          <w:kern w:val="0"/>
          <w:sz w:val="24"/>
          <w:szCs w:val="24"/>
          <w:lang w:val="sr-Latn-RS" w:eastAsia="sr-Cyrl-CS" w:bidi="sr-Cyrl-CS"/>
          <w14:ligatures w14:val="none"/>
        </w:rPr>
        <w:t xml:space="preserve"> </w:t>
      </w:r>
      <w:r w:rsidRPr="004333EF">
        <w:rPr>
          <w:rFonts w:ascii="Calibri" w:eastAsia="Calibri" w:hAnsi="Calibri" w:cs="Calibri"/>
          <w:kern w:val="0"/>
          <w:sz w:val="24"/>
          <w:szCs w:val="24"/>
          <w:lang w:eastAsia="sr-Cyrl-CS" w:bidi="sr-Cyrl-CS"/>
          <w14:ligatures w14:val="none"/>
        </w:rPr>
        <w:t>okvira</w:t>
      </w:r>
      <w:r w:rsidRPr="004333EF">
        <w:rPr>
          <w:rFonts w:ascii="Calibri" w:eastAsia="Calibri" w:hAnsi="Calibri" w:cs="Calibri"/>
          <w:kern w:val="0"/>
          <w:sz w:val="24"/>
          <w:szCs w:val="24"/>
          <w:lang w:val="sr-Latn-RS" w:eastAsia="sr-Cyrl-CS" w:bidi="sr-Cyrl-CS"/>
          <w14:ligatures w14:val="none"/>
        </w:rPr>
        <w:t xml:space="preserve"> </w:t>
      </w:r>
      <w:r w:rsidRPr="004333EF">
        <w:rPr>
          <w:rFonts w:ascii="Calibri" w:eastAsia="Calibri" w:hAnsi="Calibri" w:cs="Calibri"/>
          <w:kern w:val="0"/>
          <w:sz w:val="24"/>
          <w:szCs w:val="24"/>
          <w:lang w:eastAsia="sr-Cyrl-CS" w:bidi="sr-Cyrl-CS"/>
          <w14:ligatures w14:val="none"/>
        </w:rPr>
        <w:t>za</w:t>
      </w:r>
      <w:r w:rsidRPr="004333EF">
        <w:rPr>
          <w:rFonts w:ascii="Calibri" w:eastAsia="Calibri" w:hAnsi="Calibri" w:cs="Calibri"/>
          <w:kern w:val="0"/>
          <w:sz w:val="24"/>
          <w:szCs w:val="24"/>
          <w:lang w:val="sr-Latn-RS" w:eastAsia="sr-Cyrl-CS" w:bidi="sr-Cyrl-CS"/>
          <w14:ligatures w14:val="none"/>
        </w:rPr>
        <w:t xml:space="preserve"> </w:t>
      </w:r>
      <w:r w:rsidRPr="004333EF">
        <w:rPr>
          <w:rFonts w:ascii="Calibri" w:eastAsia="Calibri" w:hAnsi="Calibri" w:cs="Calibri"/>
          <w:kern w:val="0"/>
          <w:sz w:val="24"/>
          <w:szCs w:val="24"/>
          <w:lang w:eastAsia="sr-Cyrl-CS" w:bidi="sr-Cyrl-CS"/>
          <w14:ligatures w14:val="none"/>
        </w:rPr>
        <w:t>suzbijanje</w:t>
      </w:r>
      <w:r w:rsidRPr="004333EF">
        <w:rPr>
          <w:rFonts w:ascii="Calibri" w:eastAsia="Calibri" w:hAnsi="Calibri" w:cs="Calibri"/>
          <w:kern w:val="0"/>
          <w:sz w:val="24"/>
          <w:szCs w:val="24"/>
          <w:lang w:val="sr-Latn-RS" w:eastAsia="sr-Cyrl-CS" w:bidi="sr-Cyrl-CS"/>
          <w14:ligatures w14:val="none"/>
        </w:rPr>
        <w:t xml:space="preserve"> </w:t>
      </w:r>
      <w:r w:rsidRPr="004333EF">
        <w:rPr>
          <w:rFonts w:ascii="Calibri" w:eastAsia="Calibri" w:hAnsi="Calibri" w:cs="Calibri"/>
          <w:kern w:val="0"/>
          <w:sz w:val="24"/>
          <w:szCs w:val="24"/>
          <w:lang w:eastAsia="sr-Cyrl-CS" w:bidi="sr-Cyrl-CS"/>
          <w14:ligatures w14:val="none"/>
        </w:rPr>
        <w:t>neformalne</w:t>
      </w:r>
      <w:r w:rsidRPr="004333EF">
        <w:rPr>
          <w:rFonts w:ascii="Calibri" w:eastAsia="Calibri" w:hAnsi="Calibri" w:cs="Calibri"/>
          <w:kern w:val="0"/>
          <w:sz w:val="24"/>
          <w:szCs w:val="24"/>
          <w:lang w:val="sr-Latn-RS" w:eastAsia="sr-Cyrl-CS" w:bidi="sr-Cyrl-CS"/>
          <w14:ligatures w14:val="none"/>
        </w:rPr>
        <w:t xml:space="preserve"> </w:t>
      </w:r>
      <w:r w:rsidRPr="004333EF">
        <w:rPr>
          <w:rFonts w:ascii="Calibri" w:eastAsia="Calibri" w:hAnsi="Calibri" w:cs="Calibri"/>
          <w:kern w:val="0"/>
          <w:sz w:val="24"/>
          <w:szCs w:val="24"/>
          <w:lang w:eastAsia="sr-Cyrl-CS" w:bidi="sr-Cyrl-CS"/>
          <w14:ligatures w14:val="none"/>
        </w:rPr>
        <w:t>ekonomije</w:t>
      </w:r>
      <w:r w:rsidRPr="004333EF">
        <w:rPr>
          <w:rFonts w:ascii="Calibri" w:eastAsia="Calibri" w:hAnsi="Calibri" w:cs="Calibri"/>
          <w:kern w:val="0"/>
          <w:sz w:val="24"/>
          <w:szCs w:val="24"/>
          <w:lang w:val="sr-Latn-RS" w:eastAsia="sr-Cyrl-CS" w:bidi="sr-Cyrl-CS"/>
          <w14:ligatures w14:val="none"/>
        </w:rPr>
        <w:t xml:space="preserve"> </w:t>
      </w:r>
      <w:r w:rsidRPr="004333EF">
        <w:rPr>
          <w:rFonts w:ascii="Calibri" w:eastAsia="Calibri" w:hAnsi="Calibri" w:cs="Calibri"/>
          <w:kern w:val="0"/>
          <w:sz w:val="24"/>
          <w:szCs w:val="24"/>
          <w:lang w:eastAsia="sr-Cyrl-CS" w:bidi="sr-Cyrl-CS"/>
          <w14:ligatures w14:val="none"/>
        </w:rPr>
        <w:t>kroz</w:t>
      </w:r>
      <w:r w:rsidRPr="004333EF">
        <w:rPr>
          <w:rFonts w:ascii="Calibri" w:eastAsia="Calibri" w:hAnsi="Calibri" w:cs="Calibri"/>
          <w:kern w:val="0"/>
          <w:sz w:val="24"/>
          <w:szCs w:val="24"/>
          <w:lang w:val="sr-Latn-RS" w:eastAsia="sr-Cyrl-CS" w:bidi="sr-Cyrl-CS"/>
          <w14:ligatures w14:val="none"/>
        </w:rPr>
        <w:t xml:space="preserve"> osnivanje Komisije za suzbijanj</w:t>
      </w:r>
      <w:r w:rsidR="00530DF2">
        <w:rPr>
          <w:rFonts w:ascii="Calibri" w:eastAsia="Calibri" w:hAnsi="Calibri" w:cs="Calibri"/>
          <w:kern w:val="0"/>
          <w:sz w:val="24"/>
          <w:szCs w:val="24"/>
          <w:lang w:val="sr-Latn-RS" w:eastAsia="sr-Cyrl-CS" w:bidi="sr-Cyrl-CS"/>
          <w14:ligatures w14:val="none"/>
        </w:rPr>
        <w:t>e</w:t>
      </w:r>
      <w:r w:rsidRPr="004333EF">
        <w:rPr>
          <w:rFonts w:ascii="Calibri" w:eastAsia="Calibri" w:hAnsi="Calibri" w:cs="Calibri"/>
          <w:kern w:val="0"/>
          <w:sz w:val="24"/>
          <w:szCs w:val="24"/>
          <w:lang w:val="sr-Latn-RS" w:eastAsia="sr-Cyrl-CS" w:bidi="sr-Cyrl-CS"/>
          <w14:ligatures w14:val="none"/>
        </w:rPr>
        <w:t xml:space="preserve"> neformalne ekonomije.</w:t>
      </w:r>
      <w:r w:rsidRPr="004333EF">
        <w:rPr>
          <w:rFonts w:ascii="Calibri" w:eastAsia="Calibri" w:hAnsi="Calibri" w:cs="Calibri"/>
          <w:i/>
          <w:iCs/>
          <w:kern w:val="0"/>
          <w:sz w:val="24"/>
          <w:szCs w:val="24"/>
          <w:lang w:val="sr-Latn-RS" w:eastAsia="sr-Cyrl-CS" w:bidi="sr-Cyrl-CS"/>
          <w14:ligatures w14:val="none"/>
        </w:rPr>
        <w:t xml:space="preserve"> </w:t>
      </w:r>
      <w:r w:rsidR="008E01F0" w:rsidRPr="0062773A">
        <w:rPr>
          <w:rFonts w:ascii="Calibri" w:eastAsia="Calibri" w:hAnsi="Calibri" w:cs="Calibri"/>
          <w:iCs/>
          <w:kern w:val="0"/>
          <w:sz w:val="24"/>
          <w:szCs w:val="24"/>
          <w:lang w:val="sr-Latn-RS" w:eastAsia="sr-Cyrl-CS" w:bidi="sr-Cyrl-CS"/>
          <w14:ligatures w14:val="none"/>
        </w:rPr>
        <w:t>MF</w:t>
      </w:r>
    </w:p>
    <w:p w14:paraId="7C683014" w14:textId="0AFCB62C" w:rsidR="004333EF" w:rsidRPr="0062773A" w:rsidRDefault="004333EF" w:rsidP="00FD3827">
      <w:pPr>
        <w:widowControl w:val="0"/>
        <w:numPr>
          <w:ilvl w:val="0"/>
          <w:numId w:val="18"/>
        </w:numPr>
        <w:spacing w:after="0" w:line="240" w:lineRule="auto"/>
        <w:contextualSpacing/>
        <w:jc w:val="both"/>
        <w:rPr>
          <w:rFonts w:ascii="Calibri" w:eastAsia="Calibri" w:hAnsi="Calibri" w:cs="Calibri"/>
          <w:b/>
          <w:iCs/>
          <w:kern w:val="0"/>
          <w:sz w:val="24"/>
          <w:szCs w:val="24"/>
          <w:lang w:val="sr-Latn-RS" w:eastAsia="sr-Cyrl-CS" w:bidi="sr-Cyrl-CS"/>
          <w14:ligatures w14:val="none"/>
        </w:rPr>
      </w:pPr>
      <w:r w:rsidRPr="004333EF">
        <w:rPr>
          <w:rFonts w:ascii="Calibri" w:eastAsia="Calibri" w:hAnsi="Calibri" w:cs="Calibri"/>
          <w:kern w:val="0"/>
          <w:sz w:val="24"/>
          <w:szCs w:val="24"/>
          <w:lang w:val="sr-Latn-RS" w:eastAsia="sr-Cyrl-CS" w:bidi="sr-Cyrl-CS"/>
          <w14:ligatures w14:val="none"/>
        </w:rPr>
        <w:t xml:space="preserve">Realizacija </w:t>
      </w:r>
      <w:bookmarkEnd w:id="158"/>
      <w:r w:rsidRPr="004333EF">
        <w:rPr>
          <w:rFonts w:ascii="Calibri" w:eastAsia="Calibri" w:hAnsi="Calibri" w:cs="Calibri"/>
          <w:kern w:val="0"/>
          <w:sz w:val="24"/>
          <w:szCs w:val="24"/>
          <w:lang w:val="sr-Latn-RS" w:eastAsia="sr-Cyrl-CS" w:bidi="sr-Cyrl-CS"/>
          <w14:ligatures w14:val="none"/>
        </w:rPr>
        <w:t>s</w:t>
      </w:r>
      <w:r w:rsidRPr="004333EF">
        <w:rPr>
          <w:rFonts w:ascii="Calibri" w:eastAsia="Calibri" w:hAnsi="Calibri" w:cs="Calibri"/>
          <w:kern w:val="0"/>
          <w:sz w:val="24"/>
          <w:szCs w:val="24"/>
          <w:lang w:eastAsia="sr-Cyrl-CS" w:bidi="sr-Cyrl-CS"/>
          <w14:ligatures w14:val="none"/>
        </w:rPr>
        <w:t>timulativnih</w:t>
      </w:r>
      <w:r w:rsidRPr="004333EF">
        <w:rPr>
          <w:rFonts w:ascii="Calibri" w:eastAsia="Calibri" w:hAnsi="Calibri" w:cs="Calibri"/>
          <w:kern w:val="0"/>
          <w:sz w:val="24"/>
          <w:szCs w:val="24"/>
          <w:lang w:val="sr-Latn-RS" w:eastAsia="sr-Cyrl-CS" w:bidi="sr-Cyrl-CS"/>
          <w14:ligatures w14:val="none"/>
        </w:rPr>
        <w:t xml:space="preserve"> </w:t>
      </w:r>
      <w:r w:rsidRPr="004333EF">
        <w:rPr>
          <w:rFonts w:ascii="Calibri" w:eastAsia="Calibri" w:hAnsi="Calibri" w:cs="Calibri"/>
          <w:kern w:val="0"/>
          <w:sz w:val="24"/>
          <w:szCs w:val="24"/>
          <w:lang w:eastAsia="sr-Cyrl-CS" w:bidi="sr-Cyrl-CS"/>
          <w14:ligatures w14:val="none"/>
        </w:rPr>
        <w:t>i</w:t>
      </w:r>
      <w:r w:rsidRPr="004333EF">
        <w:rPr>
          <w:rFonts w:ascii="Calibri" w:eastAsia="Calibri" w:hAnsi="Calibri" w:cs="Calibri"/>
          <w:kern w:val="0"/>
          <w:sz w:val="24"/>
          <w:szCs w:val="24"/>
          <w:lang w:val="sr-Latn-RS" w:eastAsia="sr-Cyrl-CS" w:bidi="sr-Cyrl-CS"/>
          <w14:ligatures w14:val="none"/>
        </w:rPr>
        <w:t xml:space="preserve"> </w:t>
      </w:r>
      <w:r w:rsidRPr="004333EF">
        <w:rPr>
          <w:rFonts w:ascii="Calibri" w:eastAsia="Calibri" w:hAnsi="Calibri" w:cs="Calibri"/>
          <w:kern w:val="0"/>
          <w:sz w:val="24"/>
          <w:szCs w:val="24"/>
          <w:lang w:eastAsia="sr-Cyrl-CS" w:bidi="sr-Cyrl-CS"/>
          <w14:ligatures w14:val="none"/>
        </w:rPr>
        <w:t>represivnih</w:t>
      </w:r>
      <w:r w:rsidRPr="004333EF">
        <w:rPr>
          <w:rFonts w:ascii="Calibri" w:eastAsia="Calibri" w:hAnsi="Calibri" w:cs="Calibri"/>
          <w:kern w:val="0"/>
          <w:sz w:val="24"/>
          <w:szCs w:val="24"/>
          <w:lang w:val="sr-Latn-RS" w:eastAsia="sr-Cyrl-CS" w:bidi="sr-Cyrl-CS"/>
          <w14:ligatures w14:val="none"/>
        </w:rPr>
        <w:t xml:space="preserve"> </w:t>
      </w:r>
      <w:r w:rsidRPr="004333EF">
        <w:rPr>
          <w:rFonts w:ascii="Calibri" w:eastAsia="Calibri" w:hAnsi="Calibri" w:cs="Calibri"/>
          <w:kern w:val="0"/>
          <w:sz w:val="24"/>
          <w:szCs w:val="24"/>
          <w:lang w:eastAsia="sr-Cyrl-CS" w:bidi="sr-Cyrl-CS"/>
          <w14:ligatures w14:val="none"/>
        </w:rPr>
        <w:t>aktivnosti</w:t>
      </w:r>
      <w:r w:rsidRPr="004333EF">
        <w:rPr>
          <w:rFonts w:ascii="Calibri" w:eastAsia="Calibri" w:hAnsi="Calibri" w:cs="Calibri"/>
          <w:kern w:val="0"/>
          <w:sz w:val="24"/>
          <w:szCs w:val="24"/>
          <w:lang w:val="sr-Latn-RS" w:eastAsia="sr-Cyrl-CS" w:bidi="sr-Cyrl-CS"/>
          <w14:ligatures w14:val="none"/>
        </w:rPr>
        <w:t xml:space="preserve"> </w:t>
      </w:r>
      <w:r w:rsidRPr="004333EF">
        <w:rPr>
          <w:rFonts w:ascii="Calibri" w:eastAsia="Calibri" w:hAnsi="Calibri" w:cs="Calibri"/>
          <w:kern w:val="0"/>
          <w:sz w:val="24"/>
          <w:szCs w:val="24"/>
          <w:lang w:eastAsia="sr-Cyrl-CS" w:bidi="sr-Cyrl-CS"/>
          <w14:ligatures w14:val="none"/>
        </w:rPr>
        <w:t>iz</w:t>
      </w:r>
      <w:r w:rsidRPr="004333EF">
        <w:rPr>
          <w:rFonts w:ascii="Calibri" w:eastAsia="Calibri" w:hAnsi="Calibri" w:cs="Calibri"/>
          <w:kern w:val="0"/>
          <w:sz w:val="24"/>
          <w:szCs w:val="24"/>
          <w:lang w:val="sr-Latn-RS" w:eastAsia="sr-Cyrl-CS" w:bidi="sr-Cyrl-CS"/>
          <w14:ligatures w14:val="none"/>
        </w:rPr>
        <w:t xml:space="preserve"> </w:t>
      </w:r>
      <w:r w:rsidRPr="004333EF">
        <w:rPr>
          <w:rFonts w:ascii="Calibri" w:eastAsia="Calibri" w:hAnsi="Calibri" w:cs="Calibri"/>
          <w:kern w:val="0"/>
          <w:sz w:val="24"/>
          <w:szCs w:val="24"/>
          <w:lang w:eastAsia="sr-Cyrl-CS" w:bidi="sr-Cyrl-CS"/>
          <w14:ligatures w14:val="none"/>
        </w:rPr>
        <w:t>AP</w:t>
      </w:r>
      <w:r w:rsidRPr="004333EF">
        <w:rPr>
          <w:rFonts w:ascii="Calibri" w:eastAsia="Calibri" w:hAnsi="Calibri" w:cs="Calibri"/>
          <w:kern w:val="0"/>
          <w:sz w:val="24"/>
          <w:szCs w:val="24"/>
          <w:lang w:val="sr-Latn-RS" w:eastAsia="sr-Cyrl-CS" w:bidi="sr-Cyrl-CS"/>
          <w14:ligatures w14:val="none"/>
        </w:rPr>
        <w:t xml:space="preserve"> </w:t>
      </w:r>
      <w:r w:rsidRPr="004333EF">
        <w:rPr>
          <w:rFonts w:ascii="Calibri" w:eastAsia="Calibri" w:hAnsi="Calibri" w:cs="Calibri"/>
          <w:kern w:val="0"/>
          <w:sz w:val="24"/>
          <w:szCs w:val="24"/>
          <w:lang w:eastAsia="sr-Cyrl-CS" w:bidi="sr-Cyrl-CS"/>
          <w14:ligatures w14:val="none"/>
        </w:rPr>
        <w:t>za</w:t>
      </w:r>
      <w:r w:rsidRPr="004333EF">
        <w:rPr>
          <w:rFonts w:ascii="Calibri" w:eastAsia="Calibri" w:hAnsi="Calibri" w:cs="Calibri"/>
          <w:kern w:val="0"/>
          <w:sz w:val="24"/>
          <w:szCs w:val="24"/>
          <w:lang w:val="sr-Latn-RS" w:eastAsia="sr-Cyrl-CS" w:bidi="sr-Cyrl-CS"/>
          <w14:ligatures w14:val="none"/>
        </w:rPr>
        <w:t xml:space="preserve"> </w:t>
      </w:r>
      <w:r w:rsidRPr="004333EF">
        <w:rPr>
          <w:rFonts w:ascii="Calibri" w:eastAsia="Calibri" w:hAnsi="Calibri" w:cs="Calibri"/>
          <w:kern w:val="0"/>
          <w:sz w:val="24"/>
          <w:szCs w:val="24"/>
          <w:lang w:eastAsia="sr-Cyrl-CS" w:bidi="sr-Cyrl-CS"/>
          <w14:ligatures w14:val="none"/>
        </w:rPr>
        <w:t>suzbijanje</w:t>
      </w:r>
      <w:r w:rsidRPr="004333EF">
        <w:rPr>
          <w:rFonts w:ascii="Calibri" w:eastAsia="Calibri" w:hAnsi="Calibri" w:cs="Calibri"/>
          <w:kern w:val="0"/>
          <w:sz w:val="24"/>
          <w:szCs w:val="24"/>
          <w:lang w:val="sr-Latn-RS" w:eastAsia="sr-Cyrl-CS" w:bidi="sr-Cyrl-CS"/>
          <w14:ligatures w14:val="none"/>
        </w:rPr>
        <w:t xml:space="preserve"> </w:t>
      </w:r>
      <w:r w:rsidRPr="004333EF">
        <w:rPr>
          <w:rFonts w:ascii="Calibri" w:eastAsia="Calibri" w:hAnsi="Calibri" w:cs="Calibri"/>
          <w:kern w:val="0"/>
          <w:sz w:val="24"/>
          <w:szCs w:val="24"/>
          <w:lang w:eastAsia="sr-Cyrl-CS" w:bidi="sr-Cyrl-CS"/>
          <w14:ligatures w14:val="none"/>
        </w:rPr>
        <w:t>neformalne</w:t>
      </w:r>
      <w:r w:rsidRPr="004333EF">
        <w:rPr>
          <w:rFonts w:ascii="Calibri" w:eastAsia="Calibri" w:hAnsi="Calibri" w:cs="Calibri"/>
          <w:kern w:val="0"/>
          <w:sz w:val="24"/>
          <w:szCs w:val="24"/>
          <w:lang w:val="sr-Latn-RS" w:eastAsia="sr-Cyrl-CS" w:bidi="sr-Cyrl-CS"/>
          <w14:ligatures w14:val="none"/>
        </w:rPr>
        <w:t xml:space="preserve"> </w:t>
      </w:r>
      <w:r w:rsidRPr="004333EF">
        <w:rPr>
          <w:rFonts w:ascii="Calibri" w:eastAsia="Calibri" w:hAnsi="Calibri" w:cs="Calibri"/>
          <w:kern w:val="0"/>
          <w:sz w:val="24"/>
          <w:szCs w:val="24"/>
          <w:lang w:eastAsia="sr-Cyrl-CS" w:bidi="sr-Cyrl-CS"/>
          <w14:ligatures w14:val="none"/>
        </w:rPr>
        <w:t>ekonomije</w:t>
      </w:r>
      <w:r w:rsidRPr="004333EF">
        <w:rPr>
          <w:rFonts w:ascii="Calibri" w:eastAsia="Calibri" w:hAnsi="Calibri" w:cs="Calibri"/>
          <w:kern w:val="0"/>
          <w:sz w:val="24"/>
          <w:szCs w:val="24"/>
          <w:lang w:val="sr-Latn-RS" w:eastAsia="sr-Cyrl-CS" w:bidi="sr-Cyrl-CS"/>
          <w14:ligatures w14:val="none"/>
        </w:rPr>
        <w:t xml:space="preserve"> </w:t>
      </w:r>
      <w:r w:rsidRPr="004333EF">
        <w:rPr>
          <w:rFonts w:ascii="Calibri" w:eastAsia="Calibri" w:hAnsi="Calibri" w:cs="Calibri"/>
          <w:kern w:val="0"/>
          <w:sz w:val="24"/>
          <w:szCs w:val="24"/>
          <w:lang w:eastAsia="sr-Cyrl-CS" w:bidi="sr-Cyrl-CS"/>
          <w14:ligatures w14:val="none"/>
        </w:rPr>
        <w:t>na</w:t>
      </w:r>
      <w:r w:rsidRPr="004333EF">
        <w:rPr>
          <w:rFonts w:ascii="Calibri" w:eastAsia="Calibri" w:hAnsi="Calibri" w:cs="Calibri"/>
          <w:kern w:val="0"/>
          <w:sz w:val="24"/>
          <w:szCs w:val="24"/>
          <w:lang w:val="sr-Latn-RS" w:eastAsia="sr-Cyrl-CS" w:bidi="sr-Cyrl-CS"/>
          <w14:ligatures w14:val="none"/>
        </w:rPr>
        <w:t xml:space="preserve"> </w:t>
      </w:r>
      <w:r w:rsidRPr="004333EF">
        <w:rPr>
          <w:rFonts w:ascii="Calibri" w:eastAsia="Calibri" w:hAnsi="Calibri" w:cs="Calibri"/>
          <w:kern w:val="0"/>
          <w:sz w:val="24"/>
          <w:szCs w:val="24"/>
          <w:lang w:eastAsia="sr-Cyrl-CS" w:bidi="sr-Cyrl-CS"/>
          <w14:ligatures w14:val="none"/>
        </w:rPr>
        <w:t>tr</w:t>
      </w:r>
      <w:r w:rsidRPr="004333EF">
        <w:rPr>
          <w:rFonts w:ascii="Calibri" w:eastAsia="Calibri" w:hAnsi="Calibri" w:cs="Calibri"/>
          <w:kern w:val="0"/>
          <w:sz w:val="24"/>
          <w:szCs w:val="24"/>
          <w:lang w:val="sr-Latn-RS" w:eastAsia="sr-Cyrl-CS" w:bidi="sr-Cyrl-CS"/>
          <w14:ligatures w14:val="none"/>
        </w:rPr>
        <w:t>ž</w:t>
      </w:r>
      <w:r w:rsidRPr="004333EF">
        <w:rPr>
          <w:rFonts w:ascii="Calibri" w:eastAsia="Calibri" w:hAnsi="Calibri" w:cs="Calibri"/>
          <w:kern w:val="0"/>
          <w:sz w:val="24"/>
          <w:szCs w:val="24"/>
          <w:lang w:eastAsia="sr-Cyrl-CS" w:bidi="sr-Cyrl-CS"/>
          <w14:ligatures w14:val="none"/>
        </w:rPr>
        <w:t>i</w:t>
      </w:r>
      <w:r w:rsidRPr="004333EF">
        <w:rPr>
          <w:rFonts w:ascii="Calibri" w:eastAsia="Calibri" w:hAnsi="Calibri" w:cs="Calibri"/>
          <w:kern w:val="0"/>
          <w:sz w:val="24"/>
          <w:szCs w:val="24"/>
          <w:lang w:val="sr-Latn-RS" w:eastAsia="sr-Cyrl-CS" w:bidi="sr-Cyrl-CS"/>
          <w14:ligatures w14:val="none"/>
        </w:rPr>
        <w:t>š</w:t>
      </w:r>
      <w:r w:rsidRPr="004333EF">
        <w:rPr>
          <w:rFonts w:ascii="Calibri" w:eastAsia="Calibri" w:hAnsi="Calibri" w:cs="Calibri"/>
          <w:kern w:val="0"/>
          <w:sz w:val="24"/>
          <w:szCs w:val="24"/>
          <w:lang w:eastAsia="sr-Cyrl-CS" w:bidi="sr-Cyrl-CS"/>
          <w14:ligatures w14:val="none"/>
        </w:rPr>
        <w:t>tu</w:t>
      </w:r>
      <w:r w:rsidRPr="004333EF">
        <w:rPr>
          <w:rFonts w:ascii="Calibri" w:eastAsia="Calibri" w:hAnsi="Calibri" w:cs="Calibri"/>
          <w:kern w:val="0"/>
          <w:sz w:val="24"/>
          <w:szCs w:val="24"/>
          <w:lang w:val="sr-Latn-RS" w:eastAsia="sr-Cyrl-CS" w:bidi="sr-Cyrl-CS"/>
          <w14:ligatures w14:val="none"/>
        </w:rPr>
        <w:t xml:space="preserve"> </w:t>
      </w:r>
      <w:r w:rsidRPr="004333EF">
        <w:rPr>
          <w:rFonts w:ascii="Calibri" w:eastAsia="Calibri" w:hAnsi="Calibri" w:cs="Calibri"/>
          <w:kern w:val="0"/>
          <w:sz w:val="24"/>
          <w:szCs w:val="24"/>
          <w:lang w:eastAsia="sr-Cyrl-CS" w:bidi="sr-Cyrl-CS"/>
          <w14:ligatures w14:val="none"/>
        </w:rPr>
        <w:t>roba</w:t>
      </w:r>
      <w:r w:rsidRPr="004333EF">
        <w:rPr>
          <w:rFonts w:ascii="Calibri" w:eastAsia="Calibri" w:hAnsi="Calibri" w:cs="Calibri"/>
          <w:kern w:val="0"/>
          <w:sz w:val="24"/>
          <w:szCs w:val="24"/>
          <w:lang w:val="sr-Latn-RS" w:eastAsia="sr-Cyrl-CS" w:bidi="sr-Cyrl-CS"/>
          <w14:ligatures w14:val="none"/>
        </w:rPr>
        <w:t xml:space="preserve"> </w:t>
      </w:r>
      <w:r w:rsidRPr="004333EF">
        <w:rPr>
          <w:rFonts w:ascii="Calibri" w:eastAsia="Calibri" w:hAnsi="Calibri" w:cs="Calibri"/>
          <w:kern w:val="0"/>
          <w:sz w:val="24"/>
          <w:szCs w:val="24"/>
          <w:lang w:eastAsia="sr-Cyrl-CS" w:bidi="sr-Cyrl-CS"/>
          <w14:ligatures w14:val="none"/>
        </w:rPr>
        <w:t>i</w:t>
      </w:r>
      <w:r w:rsidRPr="004333EF">
        <w:rPr>
          <w:rFonts w:ascii="Calibri" w:eastAsia="Calibri" w:hAnsi="Calibri" w:cs="Calibri"/>
          <w:kern w:val="0"/>
          <w:sz w:val="24"/>
          <w:szCs w:val="24"/>
          <w:lang w:val="sr-Latn-RS" w:eastAsia="sr-Cyrl-CS" w:bidi="sr-Cyrl-CS"/>
          <w14:ligatures w14:val="none"/>
        </w:rPr>
        <w:t xml:space="preserve"> </w:t>
      </w:r>
      <w:r w:rsidRPr="004333EF">
        <w:rPr>
          <w:rFonts w:ascii="Calibri" w:eastAsia="Calibri" w:hAnsi="Calibri" w:cs="Calibri"/>
          <w:kern w:val="0"/>
          <w:sz w:val="24"/>
          <w:szCs w:val="24"/>
          <w:lang w:eastAsia="sr-Cyrl-CS" w:bidi="sr-Cyrl-CS"/>
          <w14:ligatures w14:val="none"/>
        </w:rPr>
        <w:t>usluga</w:t>
      </w:r>
      <w:r w:rsidRPr="004333EF">
        <w:rPr>
          <w:rFonts w:ascii="Calibri" w:eastAsia="Calibri" w:hAnsi="Calibri" w:cs="Calibri"/>
          <w:kern w:val="0"/>
          <w:sz w:val="24"/>
          <w:szCs w:val="24"/>
          <w:lang w:val="sr-Latn-RS" w:eastAsia="sr-Cyrl-CS" w:bidi="sr-Cyrl-CS"/>
          <w14:ligatures w14:val="none"/>
        </w:rPr>
        <w:t xml:space="preserve"> </w:t>
      </w:r>
      <w:r w:rsidRPr="004333EF">
        <w:rPr>
          <w:rFonts w:ascii="Calibri" w:eastAsia="Calibri" w:hAnsi="Calibri" w:cs="Calibri"/>
          <w:kern w:val="0"/>
          <w:sz w:val="24"/>
          <w:szCs w:val="24"/>
          <w:lang w:eastAsia="sr-Cyrl-CS" w:bidi="sr-Cyrl-CS"/>
          <w14:ligatures w14:val="none"/>
        </w:rPr>
        <w:t>i</w:t>
      </w:r>
      <w:r w:rsidRPr="004333EF">
        <w:rPr>
          <w:rFonts w:ascii="Calibri" w:eastAsia="Calibri" w:hAnsi="Calibri" w:cs="Calibri"/>
          <w:kern w:val="0"/>
          <w:sz w:val="24"/>
          <w:szCs w:val="24"/>
          <w:lang w:val="sr-Latn-RS" w:eastAsia="sr-Cyrl-CS" w:bidi="sr-Cyrl-CS"/>
          <w14:ligatures w14:val="none"/>
        </w:rPr>
        <w:t xml:space="preserve"> </w:t>
      </w:r>
      <w:r w:rsidRPr="004333EF">
        <w:rPr>
          <w:rFonts w:ascii="Calibri" w:eastAsia="Calibri" w:hAnsi="Calibri" w:cs="Calibri"/>
          <w:kern w:val="0"/>
          <w:sz w:val="24"/>
          <w:szCs w:val="24"/>
          <w:lang w:eastAsia="sr-Cyrl-CS" w:bidi="sr-Cyrl-CS"/>
          <w14:ligatures w14:val="none"/>
        </w:rPr>
        <w:t>na</w:t>
      </w:r>
      <w:r w:rsidRPr="004333EF">
        <w:rPr>
          <w:rFonts w:ascii="Calibri" w:eastAsia="Calibri" w:hAnsi="Calibri" w:cs="Calibri"/>
          <w:kern w:val="0"/>
          <w:sz w:val="24"/>
          <w:szCs w:val="24"/>
          <w:lang w:val="sr-Latn-RS" w:eastAsia="sr-Cyrl-CS" w:bidi="sr-Cyrl-CS"/>
          <w14:ligatures w14:val="none"/>
        </w:rPr>
        <w:t xml:space="preserve"> </w:t>
      </w:r>
      <w:r w:rsidRPr="004333EF">
        <w:rPr>
          <w:rFonts w:ascii="Calibri" w:eastAsia="Calibri" w:hAnsi="Calibri" w:cs="Calibri"/>
          <w:kern w:val="0"/>
          <w:sz w:val="24"/>
          <w:szCs w:val="24"/>
          <w:lang w:eastAsia="sr-Cyrl-CS" w:bidi="sr-Cyrl-CS"/>
          <w14:ligatures w14:val="none"/>
        </w:rPr>
        <w:t>tr</w:t>
      </w:r>
      <w:r w:rsidRPr="004333EF">
        <w:rPr>
          <w:rFonts w:ascii="Calibri" w:eastAsia="Calibri" w:hAnsi="Calibri" w:cs="Calibri"/>
          <w:kern w:val="0"/>
          <w:sz w:val="24"/>
          <w:szCs w:val="24"/>
          <w:lang w:val="sr-Latn-RS" w:eastAsia="sr-Cyrl-CS" w:bidi="sr-Cyrl-CS"/>
          <w14:ligatures w14:val="none"/>
        </w:rPr>
        <w:t>ž</w:t>
      </w:r>
      <w:r w:rsidRPr="004333EF">
        <w:rPr>
          <w:rFonts w:ascii="Calibri" w:eastAsia="Calibri" w:hAnsi="Calibri" w:cs="Calibri"/>
          <w:kern w:val="0"/>
          <w:sz w:val="24"/>
          <w:szCs w:val="24"/>
          <w:lang w:eastAsia="sr-Cyrl-CS" w:bidi="sr-Cyrl-CS"/>
          <w14:ligatures w14:val="none"/>
        </w:rPr>
        <w:t>i</w:t>
      </w:r>
      <w:r w:rsidRPr="004333EF">
        <w:rPr>
          <w:rFonts w:ascii="Calibri" w:eastAsia="Calibri" w:hAnsi="Calibri" w:cs="Calibri"/>
          <w:kern w:val="0"/>
          <w:sz w:val="24"/>
          <w:szCs w:val="24"/>
          <w:lang w:val="sr-Latn-RS" w:eastAsia="sr-Cyrl-CS" w:bidi="sr-Cyrl-CS"/>
          <w14:ligatures w14:val="none"/>
        </w:rPr>
        <w:t>š</w:t>
      </w:r>
      <w:r w:rsidRPr="004333EF">
        <w:rPr>
          <w:rFonts w:ascii="Calibri" w:eastAsia="Calibri" w:hAnsi="Calibri" w:cs="Calibri"/>
          <w:kern w:val="0"/>
          <w:sz w:val="24"/>
          <w:szCs w:val="24"/>
          <w:lang w:eastAsia="sr-Cyrl-CS" w:bidi="sr-Cyrl-CS"/>
          <w14:ligatures w14:val="none"/>
        </w:rPr>
        <w:t>tu</w:t>
      </w:r>
      <w:r w:rsidRPr="004333EF">
        <w:rPr>
          <w:rFonts w:ascii="Calibri" w:eastAsia="Calibri" w:hAnsi="Calibri" w:cs="Calibri"/>
          <w:kern w:val="0"/>
          <w:sz w:val="24"/>
          <w:szCs w:val="24"/>
          <w:lang w:val="sr-Latn-RS" w:eastAsia="sr-Cyrl-CS" w:bidi="sr-Cyrl-CS"/>
          <w14:ligatures w14:val="none"/>
        </w:rPr>
        <w:t xml:space="preserve"> </w:t>
      </w:r>
      <w:r w:rsidRPr="004333EF">
        <w:rPr>
          <w:rFonts w:ascii="Calibri" w:eastAsia="Calibri" w:hAnsi="Calibri" w:cs="Calibri"/>
          <w:kern w:val="0"/>
          <w:sz w:val="24"/>
          <w:szCs w:val="24"/>
          <w:lang w:eastAsia="sr-Cyrl-CS" w:bidi="sr-Cyrl-CS"/>
          <w14:ligatures w14:val="none"/>
        </w:rPr>
        <w:t>rada</w:t>
      </w:r>
      <w:r w:rsidRPr="004333EF">
        <w:rPr>
          <w:rFonts w:ascii="Calibri" w:eastAsia="Calibri" w:hAnsi="Calibri" w:cs="Calibri"/>
          <w:kern w:val="0"/>
          <w:sz w:val="24"/>
          <w:szCs w:val="24"/>
          <w:lang w:val="sr-Latn-RS" w:eastAsia="sr-Cyrl-CS" w:bidi="sr-Cyrl-CS"/>
          <w14:ligatures w14:val="none"/>
        </w:rPr>
        <w:t xml:space="preserve">, </w:t>
      </w:r>
      <w:r w:rsidRPr="004333EF">
        <w:rPr>
          <w:rFonts w:ascii="Calibri" w:eastAsia="Calibri" w:hAnsi="Calibri" w:cs="Calibri"/>
          <w:kern w:val="0"/>
          <w:sz w:val="24"/>
          <w:szCs w:val="24"/>
          <w:lang w:eastAsia="sr-Cyrl-CS" w:bidi="sr-Cyrl-CS"/>
          <w14:ligatures w14:val="none"/>
        </w:rPr>
        <w:t>planiranih</w:t>
      </w:r>
      <w:r w:rsidRPr="004333EF">
        <w:rPr>
          <w:rFonts w:ascii="Calibri" w:eastAsia="Calibri" w:hAnsi="Calibri" w:cs="Calibri"/>
          <w:kern w:val="0"/>
          <w:sz w:val="24"/>
          <w:szCs w:val="24"/>
          <w:lang w:val="sr-Latn-RS" w:eastAsia="sr-Cyrl-CS" w:bidi="sr-Cyrl-CS"/>
          <w14:ligatures w14:val="none"/>
        </w:rPr>
        <w:t xml:space="preserve"> </w:t>
      </w:r>
      <w:r w:rsidRPr="004333EF">
        <w:rPr>
          <w:rFonts w:ascii="Calibri" w:eastAsia="Calibri" w:hAnsi="Calibri" w:cs="Calibri"/>
          <w:kern w:val="0"/>
          <w:sz w:val="24"/>
          <w:szCs w:val="24"/>
          <w:lang w:eastAsia="sr-Cyrl-CS" w:bidi="sr-Cyrl-CS"/>
          <w14:ligatures w14:val="none"/>
        </w:rPr>
        <w:t>za</w:t>
      </w:r>
      <w:r w:rsidRPr="004333EF">
        <w:rPr>
          <w:rFonts w:ascii="Calibri" w:eastAsia="Calibri" w:hAnsi="Calibri" w:cs="Calibri"/>
          <w:kern w:val="0"/>
          <w:sz w:val="24"/>
          <w:szCs w:val="24"/>
          <w:lang w:val="sr-Latn-RS" w:eastAsia="sr-Cyrl-CS" w:bidi="sr-Cyrl-CS"/>
          <w14:ligatures w14:val="none"/>
        </w:rPr>
        <w:t xml:space="preserve"> 2024. </w:t>
      </w:r>
      <w:r w:rsidRPr="004333EF">
        <w:rPr>
          <w:rFonts w:ascii="Calibri" w:eastAsia="Calibri" w:hAnsi="Calibri" w:cs="Calibri"/>
          <w:kern w:val="0"/>
          <w:sz w:val="24"/>
          <w:szCs w:val="24"/>
          <w:lang w:eastAsia="sr-Cyrl-CS" w:bidi="sr-Cyrl-CS"/>
          <w14:ligatures w14:val="none"/>
        </w:rPr>
        <w:t>godinu</w:t>
      </w:r>
      <w:r w:rsidR="0062773A">
        <w:rPr>
          <w:rFonts w:ascii="Calibri" w:eastAsia="Calibri" w:hAnsi="Calibri" w:cs="Calibri"/>
          <w:kern w:val="0"/>
          <w:sz w:val="24"/>
          <w:szCs w:val="24"/>
          <w:lang w:val="sr-Latn-RS" w:eastAsia="sr-Cyrl-CS" w:bidi="sr-Cyrl-CS"/>
          <w14:ligatures w14:val="none"/>
        </w:rPr>
        <w:t>.</w:t>
      </w:r>
      <w:r w:rsidRPr="004333EF">
        <w:rPr>
          <w:rFonts w:ascii="Calibri" w:eastAsia="Calibri" w:hAnsi="Calibri" w:cs="Calibri"/>
          <w:kern w:val="0"/>
          <w:sz w:val="24"/>
          <w:szCs w:val="24"/>
          <w:lang w:val="sr-Latn-RS" w:eastAsia="sr-Cyrl-CS" w:bidi="sr-Cyrl-CS"/>
          <w14:ligatures w14:val="none"/>
        </w:rPr>
        <w:t xml:space="preserve"> </w:t>
      </w:r>
      <w:r w:rsidR="008E01F0" w:rsidRPr="0062773A">
        <w:rPr>
          <w:rFonts w:ascii="Calibri" w:eastAsia="Calibri" w:hAnsi="Calibri" w:cs="Calibri"/>
          <w:iCs/>
          <w:kern w:val="0"/>
          <w:sz w:val="24"/>
          <w:szCs w:val="24"/>
          <w:lang w:eastAsia="sr-Cyrl-CS" w:bidi="sr-Cyrl-CS"/>
          <w14:ligatures w14:val="none"/>
        </w:rPr>
        <w:t>MER, MF, MPŠV, MPPUDI</w:t>
      </w:r>
      <w:r w:rsidR="0062773A">
        <w:rPr>
          <w:rFonts w:ascii="Calibri" w:eastAsia="Calibri" w:hAnsi="Calibri" w:cs="Calibri"/>
          <w:iCs/>
          <w:kern w:val="0"/>
          <w:sz w:val="24"/>
          <w:szCs w:val="24"/>
          <w:lang w:eastAsia="sr-Cyrl-CS" w:bidi="sr-Cyrl-CS"/>
          <w14:ligatures w14:val="none"/>
        </w:rPr>
        <w:t>,</w:t>
      </w:r>
      <w:r w:rsidR="008E01F0" w:rsidRPr="0062773A">
        <w:rPr>
          <w:rFonts w:ascii="Calibri" w:eastAsia="Calibri" w:hAnsi="Calibri" w:cs="Calibri"/>
          <w:iCs/>
          <w:kern w:val="0"/>
          <w:sz w:val="24"/>
          <w:szCs w:val="24"/>
          <w:lang w:eastAsia="sr-Cyrl-CS" w:bidi="sr-Cyrl-CS"/>
          <w14:ligatures w14:val="none"/>
        </w:rPr>
        <w:t xml:space="preserve"> MRSS</w:t>
      </w:r>
      <w:r w:rsidRPr="0062773A">
        <w:rPr>
          <w:rFonts w:ascii="Calibri" w:eastAsia="Calibri" w:hAnsi="Calibri" w:cs="Calibri"/>
          <w:kern w:val="0"/>
          <w:sz w:val="24"/>
          <w:szCs w:val="24"/>
          <w:lang w:val="sr-Latn-RS" w:eastAsia="sr-Cyrl-CS" w:bidi="sr-Cyrl-CS"/>
          <w14:ligatures w14:val="none"/>
        </w:rPr>
        <w:t xml:space="preserve"> </w:t>
      </w:r>
    </w:p>
    <w:p w14:paraId="44097A7C" w14:textId="0DD96E4D" w:rsidR="004333EF" w:rsidRPr="004333EF" w:rsidRDefault="004333EF" w:rsidP="00FD3827">
      <w:pPr>
        <w:numPr>
          <w:ilvl w:val="0"/>
          <w:numId w:val="18"/>
        </w:numPr>
        <w:spacing w:line="256" w:lineRule="auto"/>
        <w:contextualSpacing/>
        <w:rPr>
          <w:rFonts w:ascii="Calibri" w:eastAsia="Calibri" w:hAnsi="Calibri" w:cs="Calibri"/>
          <w:bCs/>
          <w:kern w:val="0"/>
          <w:sz w:val="24"/>
          <w:szCs w:val="24"/>
          <w:lang w:val="sr-Latn-RS" w:eastAsia="sr-Cyrl-CS" w:bidi="sr-Cyrl-CS"/>
          <w14:ligatures w14:val="none"/>
        </w:rPr>
      </w:pPr>
      <w:r w:rsidRPr="004333EF">
        <w:rPr>
          <w:rFonts w:ascii="Calibri" w:eastAsia="Calibri" w:hAnsi="Calibri" w:cs="Calibri"/>
          <w:bCs/>
          <w:kern w:val="0"/>
          <w:sz w:val="24"/>
          <w:szCs w:val="24"/>
          <w:lang w:val="sr-Latn-RS" w:eastAsia="sr-Cyrl-CS" w:bidi="sr-Cyrl-CS"/>
          <w14:ligatures w14:val="none"/>
        </w:rPr>
        <w:t xml:space="preserve">Nastavak aktivnosti na uvođenju IRMS. </w:t>
      </w:r>
      <w:r w:rsidR="008E01F0" w:rsidRPr="0062773A">
        <w:rPr>
          <w:rFonts w:ascii="Calibri" w:eastAsia="Calibri" w:hAnsi="Calibri" w:cs="Calibri"/>
          <w:bCs/>
          <w:kern w:val="0"/>
          <w:sz w:val="24"/>
          <w:szCs w:val="24"/>
          <w:lang w:val="sr-Latn-RS" w:eastAsia="sr-Cyrl-CS" w:bidi="sr-Cyrl-CS"/>
          <w14:ligatures w14:val="none"/>
        </w:rPr>
        <w:t>MF</w:t>
      </w:r>
    </w:p>
    <w:p w14:paraId="35235C89" w14:textId="605B2EB6" w:rsidR="008E01F0" w:rsidRPr="008E01F0" w:rsidRDefault="004333EF" w:rsidP="00FD3827">
      <w:pPr>
        <w:widowControl w:val="0"/>
        <w:numPr>
          <w:ilvl w:val="0"/>
          <w:numId w:val="18"/>
        </w:numPr>
        <w:spacing w:after="0" w:line="256" w:lineRule="auto"/>
        <w:contextualSpacing/>
        <w:jc w:val="both"/>
        <w:rPr>
          <w:rFonts w:ascii="Calibri" w:eastAsia="Calibri" w:hAnsi="Calibri" w:cs="Calibri"/>
          <w:b/>
          <w:noProof/>
          <w:kern w:val="0"/>
          <w:sz w:val="24"/>
          <w:szCs w:val="24"/>
          <w:lang w:val="sr-Latn-RS" w:eastAsia="sr-Cyrl-CS" w:bidi="sr-Cyrl-CS"/>
          <w14:ligatures w14:val="none"/>
        </w:rPr>
      </w:pPr>
      <w:r w:rsidRPr="004333EF">
        <w:rPr>
          <w:rFonts w:ascii="Calibri" w:eastAsia="Calibri" w:hAnsi="Calibri" w:cs="Calibri"/>
          <w:kern w:val="0"/>
          <w:sz w:val="24"/>
          <w:szCs w:val="24"/>
          <w:lang w:eastAsia="sr-Cyrl-CS" w:bidi="sr-Cyrl-CS"/>
          <w14:ligatures w14:val="none"/>
        </w:rPr>
        <w:t>Nastavak</w:t>
      </w:r>
      <w:r w:rsidRPr="004333EF">
        <w:rPr>
          <w:rFonts w:ascii="Calibri" w:eastAsia="Calibri" w:hAnsi="Calibri" w:cs="Calibri"/>
          <w:bCs/>
          <w:noProof/>
          <w:kern w:val="0"/>
          <w:sz w:val="24"/>
          <w:szCs w:val="24"/>
          <w:lang w:val="sr-Latn-RS" w:eastAsia="sr-Cyrl-CS" w:bidi="sr-Cyrl-CS"/>
          <w14:ligatures w14:val="none"/>
        </w:rPr>
        <w:t xml:space="preserve"> pojednostavljenja i</w:t>
      </w:r>
      <w:bookmarkStart w:id="159" w:name="_Hlk151192775"/>
      <w:r w:rsidRPr="004333EF">
        <w:rPr>
          <w:rFonts w:ascii="Calibri" w:eastAsia="Calibri" w:hAnsi="Calibri" w:cs="Calibri"/>
          <w:bCs/>
          <w:noProof/>
          <w:kern w:val="0"/>
          <w:sz w:val="24"/>
          <w:szCs w:val="24"/>
          <w:lang w:val="sr-Latn-RS" w:eastAsia="sr-Cyrl-CS" w:bidi="sr-Cyrl-CS"/>
          <w14:ligatures w14:val="none"/>
        </w:rPr>
        <w:t xml:space="preserve"> modernizacije carinskih postupaka uz proširenje automatske obrade i elektronske razmjene podataka</w:t>
      </w:r>
      <w:bookmarkStart w:id="160" w:name="_Hlk150083116"/>
      <w:r w:rsidRPr="004333EF">
        <w:rPr>
          <w:rFonts w:ascii="Calibri" w:eastAsia="Calibri" w:hAnsi="Calibri" w:cs="Calibri"/>
          <w:bCs/>
          <w:noProof/>
          <w:kern w:val="0"/>
          <w:sz w:val="24"/>
          <w:szCs w:val="24"/>
          <w:lang w:val="sr-Latn-RS" w:eastAsia="sr-Cyrl-CS" w:bidi="sr-Cyrl-CS"/>
          <w14:ligatures w14:val="none"/>
        </w:rPr>
        <w:t xml:space="preserve">, </w:t>
      </w:r>
      <w:bookmarkEnd w:id="159"/>
      <w:r w:rsidRPr="004333EF">
        <w:rPr>
          <w:rFonts w:ascii="Calibri" w:eastAsia="Calibri" w:hAnsi="Calibri" w:cs="Calibri"/>
          <w:bCs/>
          <w:noProof/>
          <w:kern w:val="0"/>
          <w:sz w:val="24"/>
          <w:szCs w:val="24"/>
          <w:lang w:val="sr-Latn-RS" w:eastAsia="sr-Cyrl-CS" w:bidi="sr-Cyrl-CS"/>
          <w14:ligatures w14:val="none"/>
        </w:rPr>
        <w:t xml:space="preserve">kao i aktivnosti na implementaciji CEFTA protokola  6 i 7 o pojednostavljenju trgovine uslugama. </w:t>
      </w:r>
      <w:r w:rsidR="008E01F0">
        <w:rPr>
          <w:rFonts w:ascii="Calibri" w:eastAsia="Calibri" w:hAnsi="Calibri" w:cs="Calibri"/>
          <w:bCs/>
          <w:noProof/>
          <w:kern w:val="0"/>
          <w:sz w:val="24"/>
          <w:szCs w:val="24"/>
          <w:lang w:val="sr-Latn-RS" w:eastAsia="sr-Cyrl-CS" w:bidi="sr-Cyrl-CS"/>
          <w14:ligatures w14:val="none"/>
        </w:rPr>
        <w:t>MF, MER</w:t>
      </w:r>
    </w:p>
    <w:p w14:paraId="6123394F" w14:textId="77777777" w:rsidR="008E01F0" w:rsidRDefault="008E01F0" w:rsidP="008E01F0">
      <w:pPr>
        <w:widowControl w:val="0"/>
        <w:spacing w:after="0" w:line="256" w:lineRule="auto"/>
        <w:ind w:left="360"/>
        <w:contextualSpacing/>
        <w:jc w:val="both"/>
        <w:rPr>
          <w:rFonts w:ascii="Calibri" w:eastAsia="Calibri" w:hAnsi="Calibri" w:cs="Calibri"/>
          <w:bCs/>
          <w:i/>
          <w:iCs/>
          <w:noProof/>
          <w:kern w:val="0"/>
          <w:sz w:val="24"/>
          <w:szCs w:val="24"/>
          <w:lang w:val="sr-Latn-RS" w:eastAsia="sr-Cyrl-CS" w:bidi="sr-Cyrl-CS"/>
          <w14:ligatures w14:val="none"/>
        </w:rPr>
      </w:pPr>
    </w:p>
    <w:p w14:paraId="0D8537C4" w14:textId="28A1C585" w:rsidR="004333EF" w:rsidRPr="004333EF" w:rsidRDefault="004333EF" w:rsidP="008E01F0">
      <w:pPr>
        <w:widowControl w:val="0"/>
        <w:spacing w:after="0" w:line="256" w:lineRule="auto"/>
        <w:ind w:left="360"/>
        <w:contextualSpacing/>
        <w:jc w:val="both"/>
        <w:rPr>
          <w:rFonts w:ascii="Calibri" w:eastAsia="Calibri" w:hAnsi="Calibri" w:cs="Calibri"/>
          <w:b/>
          <w:noProof/>
          <w:kern w:val="0"/>
          <w:sz w:val="24"/>
          <w:szCs w:val="24"/>
          <w:lang w:val="sr-Latn-RS" w:eastAsia="sr-Cyrl-CS" w:bidi="sr-Cyrl-CS"/>
          <w14:ligatures w14:val="none"/>
        </w:rPr>
      </w:pPr>
      <w:r w:rsidRPr="004333EF">
        <w:rPr>
          <w:rFonts w:ascii="Calibri" w:eastAsia="Calibri" w:hAnsi="Calibri" w:cs="Calibri"/>
          <w:b/>
          <w:noProof/>
          <w:kern w:val="0"/>
          <w:sz w:val="24"/>
          <w:szCs w:val="24"/>
          <w:lang w:val="sr-Latn-RS" w:eastAsia="sr-Cyrl-CS" w:bidi="sr-Cyrl-CS"/>
          <w14:ligatures w14:val="none"/>
        </w:rPr>
        <w:t>Aktivnosti za 2025.</w:t>
      </w:r>
    </w:p>
    <w:bookmarkEnd w:id="160"/>
    <w:p w14:paraId="5213510B" w14:textId="77777777" w:rsidR="0062773A" w:rsidRPr="0062773A" w:rsidRDefault="004333EF" w:rsidP="00FD3827">
      <w:pPr>
        <w:pStyle w:val="ListParagraph"/>
        <w:widowControl w:val="0"/>
        <w:numPr>
          <w:ilvl w:val="0"/>
          <w:numId w:val="26"/>
        </w:numPr>
        <w:tabs>
          <w:tab w:val="left" w:pos="1080"/>
        </w:tabs>
        <w:spacing w:after="0" w:line="240" w:lineRule="auto"/>
        <w:jc w:val="both"/>
        <w:rPr>
          <w:rFonts w:ascii="Calibri" w:eastAsia="Calibri" w:hAnsi="Calibri" w:cs="Calibri"/>
          <w:b/>
          <w:i/>
          <w:iCs/>
          <w:kern w:val="0"/>
          <w:sz w:val="24"/>
          <w:szCs w:val="24"/>
          <w:lang w:val="sr-Latn-RS" w:eastAsia="sr-Cyrl-CS" w:bidi="sr-Cyrl-CS"/>
          <w14:ligatures w14:val="none"/>
        </w:rPr>
      </w:pPr>
      <w:r w:rsidRPr="0062773A">
        <w:rPr>
          <w:rFonts w:ascii="Calibri" w:eastAsia="Calibri" w:hAnsi="Calibri" w:cs="Calibri"/>
          <w:bCs/>
          <w:noProof/>
          <w:kern w:val="0"/>
          <w:sz w:val="24"/>
          <w:szCs w:val="24"/>
          <w:lang w:val="sr-Latn-RS" w:eastAsia="sr-Cyrl-CS" w:bidi="sr-Cyrl-CS"/>
          <w14:ligatures w14:val="none"/>
        </w:rPr>
        <w:t xml:space="preserve">Monitoring i izvještavanje o ostvarenim rezultatima implementacije aktivnosti planiranih Akcionim planom za 2024. </w:t>
      </w:r>
      <w:r w:rsidR="0062773A" w:rsidRPr="0062773A">
        <w:rPr>
          <w:rFonts w:ascii="Calibri" w:eastAsia="Calibri" w:hAnsi="Calibri" w:cs="Calibri"/>
          <w:bCs/>
          <w:iCs/>
          <w:noProof/>
          <w:kern w:val="0"/>
          <w:sz w:val="24"/>
          <w:szCs w:val="24"/>
          <w:lang w:val="sr-Latn-RS" w:eastAsia="sr-Cyrl-CS" w:bidi="sr-Cyrl-CS"/>
          <w14:ligatures w14:val="none"/>
        </w:rPr>
        <w:t>MF</w:t>
      </w:r>
    </w:p>
    <w:p w14:paraId="6893DD28" w14:textId="77777777" w:rsidR="0062773A" w:rsidRPr="0062773A" w:rsidRDefault="004333EF" w:rsidP="00FD3827">
      <w:pPr>
        <w:pStyle w:val="ListParagraph"/>
        <w:widowControl w:val="0"/>
        <w:numPr>
          <w:ilvl w:val="0"/>
          <w:numId w:val="26"/>
        </w:numPr>
        <w:spacing w:after="0" w:line="256" w:lineRule="auto"/>
        <w:jc w:val="both"/>
        <w:rPr>
          <w:rFonts w:ascii="Calibri" w:eastAsia="Calibri" w:hAnsi="Calibri" w:cs="Calibri"/>
          <w:b/>
          <w:bCs/>
          <w:kern w:val="0"/>
          <w:sz w:val="24"/>
          <w:szCs w:val="24"/>
          <w:lang w:val="sr-Latn-RS" w:eastAsia="sr-Cyrl-CS" w:bidi="sr-Cyrl-CS"/>
          <w14:ligatures w14:val="none"/>
        </w:rPr>
      </w:pPr>
      <w:r w:rsidRPr="0062773A">
        <w:rPr>
          <w:rFonts w:ascii="Calibri" w:eastAsia="Calibri" w:hAnsi="Calibri" w:cs="Calibri"/>
          <w:bCs/>
          <w:noProof/>
          <w:kern w:val="0"/>
          <w:sz w:val="24"/>
          <w:szCs w:val="24"/>
          <w:lang w:val="sr-Latn-RS" w:eastAsia="sr-Cyrl-CS" w:bidi="sr-Cyrl-CS"/>
          <w14:ligatures w14:val="none"/>
        </w:rPr>
        <w:t xml:space="preserve">Nastavak aktivnosti na jačanju </w:t>
      </w:r>
      <w:r w:rsidRPr="0062773A">
        <w:rPr>
          <w:rFonts w:ascii="Calibri" w:eastAsia="Calibri" w:hAnsi="Calibri" w:cs="Calibri"/>
          <w:bCs/>
          <w:noProof/>
          <w:kern w:val="0"/>
          <w:sz w:val="24"/>
          <w:szCs w:val="24"/>
          <w:lang w:eastAsia="sr-Cyrl-CS" w:bidi="sr-Cyrl-CS"/>
          <w14:ligatures w14:val="none"/>
        </w:rPr>
        <w:t>institucionalnog</w:t>
      </w:r>
      <w:r w:rsidRPr="0062773A">
        <w:rPr>
          <w:rFonts w:ascii="Calibri" w:eastAsia="Calibri" w:hAnsi="Calibri" w:cs="Calibri"/>
          <w:bCs/>
          <w:noProof/>
          <w:kern w:val="0"/>
          <w:sz w:val="24"/>
          <w:szCs w:val="24"/>
          <w:lang w:val="sr-Latn-RS" w:eastAsia="sr-Cyrl-CS" w:bidi="sr-Cyrl-CS"/>
          <w14:ligatures w14:val="none"/>
        </w:rPr>
        <w:t xml:space="preserve"> </w:t>
      </w:r>
      <w:r w:rsidRPr="0062773A">
        <w:rPr>
          <w:rFonts w:ascii="Calibri" w:eastAsia="Calibri" w:hAnsi="Calibri" w:cs="Calibri"/>
          <w:bCs/>
          <w:noProof/>
          <w:kern w:val="0"/>
          <w:sz w:val="24"/>
          <w:szCs w:val="24"/>
          <w:lang w:eastAsia="sr-Cyrl-CS" w:bidi="sr-Cyrl-CS"/>
          <w14:ligatures w14:val="none"/>
        </w:rPr>
        <w:t>okvira</w:t>
      </w:r>
      <w:r w:rsidRPr="0062773A">
        <w:rPr>
          <w:rFonts w:ascii="Calibri" w:eastAsia="Calibri" w:hAnsi="Calibri" w:cs="Calibri"/>
          <w:bCs/>
          <w:noProof/>
          <w:kern w:val="0"/>
          <w:sz w:val="24"/>
          <w:szCs w:val="24"/>
          <w:lang w:val="sr-Latn-RS" w:eastAsia="sr-Cyrl-CS" w:bidi="sr-Cyrl-CS"/>
          <w14:ligatures w14:val="none"/>
        </w:rPr>
        <w:t xml:space="preserve"> </w:t>
      </w:r>
      <w:r w:rsidRPr="0062773A">
        <w:rPr>
          <w:rFonts w:ascii="Calibri" w:eastAsia="Calibri" w:hAnsi="Calibri" w:cs="Calibri"/>
          <w:bCs/>
          <w:noProof/>
          <w:kern w:val="0"/>
          <w:sz w:val="24"/>
          <w:szCs w:val="24"/>
          <w:lang w:eastAsia="sr-Cyrl-CS" w:bidi="sr-Cyrl-CS"/>
          <w14:ligatures w14:val="none"/>
        </w:rPr>
        <w:t>i</w:t>
      </w:r>
      <w:r w:rsidRPr="0062773A">
        <w:rPr>
          <w:rFonts w:ascii="Calibri" w:eastAsia="Calibri" w:hAnsi="Calibri" w:cs="Calibri"/>
          <w:bCs/>
          <w:noProof/>
          <w:kern w:val="0"/>
          <w:sz w:val="24"/>
          <w:szCs w:val="24"/>
          <w:lang w:val="sr-Latn-RS" w:eastAsia="sr-Cyrl-CS" w:bidi="sr-Cyrl-CS"/>
          <w14:ligatures w14:val="none"/>
        </w:rPr>
        <w:t xml:space="preserve"> </w:t>
      </w:r>
      <w:r w:rsidRPr="0062773A">
        <w:rPr>
          <w:rFonts w:ascii="Calibri" w:eastAsia="Calibri" w:hAnsi="Calibri" w:cs="Calibri"/>
          <w:bCs/>
          <w:noProof/>
          <w:kern w:val="0"/>
          <w:sz w:val="24"/>
          <w:szCs w:val="24"/>
          <w:lang w:eastAsia="sr-Cyrl-CS" w:bidi="sr-Cyrl-CS"/>
          <w14:ligatures w14:val="none"/>
        </w:rPr>
        <w:t>administrativnih</w:t>
      </w:r>
      <w:r w:rsidRPr="0062773A">
        <w:rPr>
          <w:rFonts w:ascii="Calibri" w:eastAsia="Calibri" w:hAnsi="Calibri" w:cs="Calibri"/>
          <w:bCs/>
          <w:noProof/>
          <w:kern w:val="0"/>
          <w:sz w:val="24"/>
          <w:szCs w:val="24"/>
          <w:lang w:val="sr-Latn-RS" w:eastAsia="sr-Cyrl-CS" w:bidi="sr-Cyrl-CS"/>
          <w14:ligatures w14:val="none"/>
        </w:rPr>
        <w:t xml:space="preserve"> </w:t>
      </w:r>
      <w:r w:rsidRPr="0062773A">
        <w:rPr>
          <w:rFonts w:ascii="Calibri" w:eastAsia="Calibri" w:hAnsi="Calibri" w:cs="Calibri"/>
          <w:bCs/>
          <w:noProof/>
          <w:kern w:val="0"/>
          <w:sz w:val="24"/>
          <w:szCs w:val="24"/>
          <w:lang w:eastAsia="sr-Cyrl-CS" w:bidi="sr-Cyrl-CS"/>
          <w14:ligatures w14:val="none"/>
        </w:rPr>
        <w:t>kapaciteta</w:t>
      </w:r>
      <w:r w:rsidRPr="0062773A">
        <w:rPr>
          <w:rFonts w:ascii="Calibri" w:eastAsia="Calibri" w:hAnsi="Calibri" w:cs="Calibri"/>
          <w:bCs/>
          <w:noProof/>
          <w:kern w:val="0"/>
          <w:sz w:val="24"/>
          <w:szCs w:val="24"/>
          <w:lang w:val="sr-Latn-RS" w:eastAsia="sr-Cyrl-CS" w:bidi="sr-Cyrl-CS"/>
          <w14:ligatures w14:val="none"/>
        </w:rPr>
        <w:t xml:space="preserve"> </w:t>
      </w:r>
      <w:r w:rsidRPr="0062773A">
        <w:rPr>
          <w:rFonts w:ascii="Calibri" w:eastAsia="Calibri" w:hAnsi="Calibri" w:cs="Calibri"/>
          <w:bCs/>
          <w:noProof/>
          <w:kern w:val="0"/>
          <w:sz w:val="24"/>
          <w:szCs w:val="24"/>
          <w:lang w:eastAsia="sr-Cyrl-CS" w:bidi="sr-Cyrl-CS"/>
          <w14:ligatures w14:val="none"/>
        </w:rPr>
        <w:t>na</w:t>
      </w:r>
      <w:r w:rsidRPr="0062773A">
        <w:rPr>
          <w:rFonts w:ascii="Calibri" w:eastAsia="Calibri" w:hAnsi="Calibri" w:cs="Calibri"/>
          <w:bCs/>
          <w:noProof/>
          <w:kern w:val="0"/>
          <w:sz w:val="24"/>
          <w:szCs w:val="24"/>
          <w:lang w:val="sr-Latn-RS" w:eastAsia="sr-Cyrl-CS" w:bidi="sr-Cyrl-CS"/>
          <w14:ligatures w14:val="none"/>
        </w:rPr>
        <w:t xml:space="preserve"> </w:t>
      </w:r>
      <w:r w:rsidRPr="0062773A">
        <w:rPr>
          <w:rFonts w:ascii="Calibri" w:eastAsia="Calibri" w:hAnsi="Calibri" w:cs="Calibri"/>
          <w:bCs/>
          <w:noProof/>
          <w:kern w:val="0"/>
          <w:sz w:val="24"/>
          <w:szCs w:val="24"/>
          <w:lang w:eastAsia="sr-Cyrl-CS" w:bidi="sr-Cyrl-CS"/>
          <w14:ligatures w14:val="none"/>
        </w:rPr>
        <w:t>centralnom</w:t>
      </w:r>
      <w:r w:rsidRPr="0062773A">
        <w:rPr>
          <w:rFonts w:ascii="Calibri" w:eastAsia="Calibri" w:hAnsi="Calibri" w:cs="Calibri"/>
          <w:bCs/>
          <w:noProof/>
          <w:kern w:val="0"/>
          <w:sz w:val="24"/>
          <w:szCs w:val="24"/>
          <w:lang w:val="sr-Latn-RS" w:eastAsia="sr-Cyrl-CS" w:bidi="sr-Cyrl-CS"/>
          <w14:ligatures w14:val="none"/>
        </w:rPr>
        <w:t xml:space="preserve"> </w:t>
      </w:r>
      <w:r w:rsidRPr="0062773A">
        <w:rPr>
          <w:rFonts w:ascii="Calibri" w:eastAsia="Calibri" w:hAnsi="Calibri" w:cs="Calibri"/>
          <w:bCs/>
          <w:noProof/>
          <w:kern w:val="0"/>
          <w:sz w:val="24"/>
          <w:szCs w:val="24"/>
          <w:lang w:eastAsia="sr-Cyrl-CS" w:bidi="sr-Cyrl-CS"/>
          <w14:ligatures w14:val="none"/>
        </w:rPr>
        <w:t>i</w:t>
      </w:r>
      <w:r w:rsidRPr="0062773A">
        <w:rPr>
          <w:rFonts w:ascii="Calibri" w:eastAsia="Calibri" w:hAnsi="Calibri" w:cs="Calibri"/>
          <w:bCs/>
          <w:noProof/>
          <w:kern w:val="0"/>
          <w:sz w:val="24"/>
          <w:szCs w:val="24"/>
          <w:lang w:val="sr-Latn-RS" w:eastAsia="sr-Cyrl-CS" w:bidi="sr-Cyrl-CS"/>
          <w14:ligatures w14:val="none"/>
        </w:rPr>
        <w:t xml:space="preserve"> </w:t>
      </w:r>
      <w:r w:rsidRPr="0062773A">
        <w:rPr>
          <w:rFonts w:ascii="Calibri" w:eastAsia="Calibri" w:hAnsi="Calibri" w:cs="Calibri"/>
          <w:bCs/>
          <w:noProof/>
          <w:kern w:val="0"/>
          <w:sz w:val="24"/>
          <w:szCs w:val="24"/>
          <w:lang w:eastAsia="sr-Cyrl-CS" w:bidi="sr-Cyrl-CS"/>
          <w14:ligatures w14:val="none"/>
        </w:rPr>
        <w:t>lokalnom</w:t>
      </w:r>
      <w:r w:rsidRPr="0062773A">
        <w:rPr>
          <w:rFonts w:ascii="Calibri" w:eastAsia="Calibri" w:hAnsi="Calibri" w:cs="Calibri"/>
          <w:bCs/>
          <w:noProof/>
          <w:kern w:val="0"/>
          <w:sz w:val="24"/>
          <w:szCs w:val="24"/>
          <w:lang w:val="sr-Latn-RS" w:eastAsia="sr-Cyrl-CS" w:bidi="sr-Cyrl-CS"/>
          <w14:ligatures w14:val="none"/>
        </w:rPr>
        <w:t xml:space="preserve"> </w:t>
      </w:r>
      <w:r w:rsidRPr="0062773A">
        <w:rPr>
          <w:rFonts w:ascii="Calibri" w:eastAsia="Calibri" w:hAnsi="Calibri" w:cs="Calibri"/>
          <w:bCs/>
          <w:noProof/>
          <w:kern w:val="0"/>
          <w:sz w:val="24"/>
          <w:szCs w:val="24"/>
          <w:lang w:eastAsia="sr-Cyrl-CS" w:bidi="sr-Cyrl-CS"/>
          <w14:ligatures w14:val="none"/>
        </w:rPr>
        <w:t>nivou</w:t>
      </w:r>
      <w:r w:rsidRPr="0062773A">
        <w:rPr>
          <w:rFonts w:ascii="Calibri" w:eastAsia="Calibri" w:hAnsi="Calibri" w:cs="Calibri"/>
          <w:bCs/>
          <w:noProof/>
          <w:kern w:val="0"/>
          <w:sz w:val="24"/>
          <w:szCs w:val="24"/>
          <w:lang w:val="sr-Latn-RS" w:eastAsia="sr-Cyrl-CS" w:bidi="sr-Cyrl-CS"/>
          <w14:ligatures w14:val="none"/>
        </w:rPr>
        <w:t xml:space="preserve"> </w:t>
      </w:r>
      <w:r w:rsidRPr="0062773A">
        <w:rPr>
          <w:rFonts w:ascii="Calibri" w:eastAsia="Calibri" w:hAnsi="Calibri" w:cs="Calibri"/>
          <w:bCs/>
          <w:noProof/>
          <w:kern w:val="0"/>
          <w:sz w:val="24"/>
          <w:szCs w:val="24"/>
          <w:lang w:eastAsia="sr-Cyrl-CS" w:bidi="sr-Cyrl-CS"/>
          <w14:ligatures w14:val="none"/>
        </w:rPr>
        <w:t>za</w:t>
      </w:r>
      <w:r w:rsidRPr="0062773A">
        <w:rPr>
          <w:rFonts w:ascii="Calibri" w:eastAsia="Calibri" w:hAnsi="Calibri" w:cs="Calibri"/>
          <w:bCs/>
          <w:noProof/>
          <w:kern w:val="0"/>
          <w:sz w:val="24"/>
          <w:szCs w:val="24"/>
          <w:lang w:val="sr-Latn-RS" w:eastAsia="sr-Cyrl-CS" w:bidi="sr-Cyrl-CS"/>
          <w14:ligatures w14:val="none"/>
        </w:rPr>
        <w:t xml:space="preserve"> </w:t>
      </w:r>
      <w:r w:rsidRPr="0062773A">
        <w:rPr>
          <w:rFonts w:ascii="Calibri" w:eastAsia="Calibri" w:hAnsi="Calibri" w:cs="Calibri"/>
          <w:bCs/>
          <w:noProof/>
          <w:kern w:val="0"/>
          <w:sz w:val="24"/>
          <w:szCs w:val="24"/>
          <w:lang w:eastAsia="sr-Cyrl-CS" w:bidi="sr-Cyrl-CS"/>
          <w14:ligatures w14:val="none"/>
        </w:rPr>
        <w:t>smanjenje</w:t>
      </w:r>
      <w:r w:rsidRPr="0062773A">
        <w:rPr>
          <w:rFonts w:ascii="Calibri" w:eastAsia="Calibri" w:hAnsi="Calibri" w:cs="Calibri"/>
          <w:bCs/>
          <w:noProof/>
          <w:kern w:val="0"/>
          <w:sz w:val="24"/>
          <w:szCs w:val="24"/>
          <w:lang w:val="sr-Latn-RS" w:eastAsia="sr-Cyrl-CS" w:bidi="sr-Cyrl-CS"/>
          <w14:ligatures w14:val="none"/>
        </w:rPr>
        <w:t xml:space="preserve"> </w:t>
      </w:r>
      <w:r w:rsidRPr="0062773A">
        <w:rPr>
          <w:rFonts w:ascii="Calibri" w:eastAsia="Calibri" w:hAnsi="Calibri" w:cs="Calibri"/>
          <w:bCs/>
          <w:noProof/>
          <w:kern w:val="0"/>
          <w:sz w:val="24"/>
          <w:szCs w:val="24"/>
          <w:lang w:eastAsia="sr-Cyrl-CS" w:bidi="sr-Cyrl-CS"/>
          <w14:ligatures w14:val="none"/>
        </w:rPr>
        <w:t>neformalne</w:t>
      </w:r>
      <w:r w:rsidRPr="0062773A">
        <w:rPr>
          <w:rFonts w:ascii="Calibri" w:eastAsia="Calibri" w:hAnsi="Calibri" w:cs="Calibri"/>
          <w:bCs/>
          <w:noProof/>
          <w:kern w:val="0"/>
          <w:sz w:val="24"/>
          <w:szCs w:val="24"/>
          <w:lang w:val="sr-Latn-RS" w:eastAsia="sr-Cyrl-CS" w:bidi="sr-Cyrl-CS"/>
          <w14:ligatures w14:val="none"/>
        </w:rPr>
        <w:t xml:space="preserve"> </w:t>
      </w:r>
      <w:r w:rsidRPr="0062773A">
        <w:rPr>
          <w:rFonts w:ascii="Calibri" w:eastAsia="Calibri" w:hAnsi="Calibri" w:cs="Calibri"/>
          <w:bCs/>
          <w:noProof/>
          <w:kern w:val="0"/>
          <w:sz w:val="24"/>
          <w:szCs w:val="24"/>
          <w:lang w:eastAsia="sr-Cyrl-CS" w:bidi="sr-Cyrl-CS"/>
          <w14:ligatures w14:val="none"/>
        </w:rPr>
        <w:t>ekonomije</w:t>
      </w:r>
      <w:r w:rsidRPr="0062773A">
        <w:rPr>
          <w:rFonts w:ascii="Calibri" w:eastAsia="Calibri" w:hAnsi="Calibri" w:cs="Calibri"/>
          <w:bCs/>
          <w:noProof/>
          <w:kern w:val="0"/>
          <w:sz w:val="24"/>
          <w:szCs w:val="24"/>
          <w:lang w:val="sr-Latn-RS" w:eastAsia="sr-Cyrl-CS" w:bidi="sr-Cyrl-CS"/>
          <w14:ligatures w14:val="none"/>
        </w:rPr>
        <w:t xml:space="preserve">. </w:t>
      </w:r>
      <w:r w:rsidR="008E01F0" w:rsidRPr="0062773A">
        <w:rPr>
          <w:rFonts w:ascii="Calibri" w:eastAsia="Calibri" w:hAnsi="Calibri" w:cs="Calibri"/>
          <w:bCs/>
          <w:iCs/>
          <w:noProof/>
          <w:kern w:val="0"/>
          <w:sz w:val="24"/>
          <w:szCs w:val="24"/>
          <w:lang w:val="sr-Latn-RS" w:eastAsia="sr-Cyrl-CS" w:bidi="sr-Cyrl-CS"/>
          <w14:ligatures w14:val="none"/>
        </w:rPr>
        <w:t>MF, JLS</w:t>
      </w:r>
    </w:p>
    <w:p w14:paraId="7E305950" w14:textId="7E62708A" w:rsidR="0062773A" w:rsidRPr="0062773A" w:rsidRDefault="004333EF" w:rsidP="00FD3827">
      <w:pPr>
        <w:pStyle w:val="ListParagraph"/>
        <w:widowControl w:val="0"/>
        <w:numPr>
          <w:ilvl w:val="0"/>
          <w:numId w:val="26"/>
        </w:numPr>
        <w:spacing w:after="0" w:line="256" w:lineRule="auto"/>
        <w:jc w:val="both"/>
        <w:rPr>
          <w:rFonts w:ascii="Calibri" w:eastAsia="Calibri" w:hAnsi="Calibri" w:cs="Calibri"/>
          <w:b/>
          <w:bCs/>
          <w:kern w:val="0"/>
          <w:sz w:val="24"/>
          <w:szCs w:val="24"/>
          <w:lang w:val="sr-Latn-RS" w:eastAsia="sr-Cyrl-CS" w:bidi="sr-Cyrl-CS"/>
          <w14:ligatures w14:val="none"/>
        </w:rPr>
      </w:pPr>
      <w:r w:rsidRPr="0062773A">
        <w:rPr>
          <w:rFonts w:ascii="Calibri" w:eastAsia="Calibri" w:hAnsi="Calibri" w:cs="Calibri"/>
          <w:noProof/>
          <w:kern w:val="0"/>
          <w:sz w:val="24"/>
          <w:szCs w:val="24"/>
          <w:lang w:val="sr-Latn-RS" w:eastAsia="sr-Cyrl-CS" w:bidi="sr-Cyrl-CS"/>
          <w14:ligatures w14:val="none"/>
        </w:rPr>
        <w:t>Nastavak aktivnosti iz AP u 2024. na podršci tranziciji u formalnu ekonomiju, kroz stimulativne i represivne mjere u sektorima turizma, gradjevinarstva, trgovine, proljoprivrede i šumarstva</w:t>
      </w:r>
      <w:r w:rsidRPr="0062773A">
        <w:rPr>
          <w:rFonts w:ascii="Calibri" w:eastAsia="Calibri" w:hAnsi="Calibri" w:cs="Calibri"/>
          <w:b/>
          <w:bCs/>
          <w:noProof/>
          <w:kern w:val="0"/>
          <w:sz w:val="24"/>
          <w:szCs w:val="24"/>
          <w:lang w:val="sr-Latn-RS" w:eastAsia="sr-Cyrl-CS" w:bidi="sr-Cyrl-CS"/>
          <w14:ligatures w14:val="none"/>
        </w:rPr>
        <w:t>.</w:t>
      </w:r>
      <w:r w:rsidRPr="0062773A">
        <w:rPr>
          <w:rFonts w:ascii="Calibri" w:eastAsia="Calibri" w:hAnsi="Calibri" w:cs="Calibri"/>
          <w:i/>
          <w:iCs/>
          <w:noProof/>
          <w:kern w:val="0"/>
          <w:sz w:val="24"/>
          <w:szCs w:val="24"/>
          <w:lang w:val="sr-Latn-RS" w:eastAsia="sr-Cyrl-CS" w:bidi="sr-Cyrl-CS"/>
          <w14:ligatures w14:val="none"/>
        </w:rPr>
        <w:t xml:space="preserve"> </w:t>
      </w:r>
      <w:bookmarkStart w:id="161" w:name="_Hlk150606058"/>
      <w:r w:rsidR="008E01F0" w:rsidRPr="0062773A">
        <w:rPr>
          <w:rFonts w:ascii="Calibri" w:eastAsia="Calibri" w:hAnsi="Calibri" w:cs="Calibri"/>
          <w:iCs/>
          <w:kern w:val="0"/>
          <w:sz w:val="24"/>
          <w:szCs w:val="24"/>
          <w:lang w:eastAsia="sr-Cyrl-CS" w:bidi="sr-Cyrl-CS"/>
          <w14:ligatures w14:val="none"/>
        </w:rPr>
        <w:t>MER, MF, MPŠV, MPPUDI; MRSS</w:t>
      </w:r>
      <w:r w:rsidR="008E01F0" w:rsidRPr="0062773A">
        <w:rPr>
          <w:rFonts w:ascii="Calibri" w:eastAsia="Calibri" w:hAnsi="Calibri" w:cs="Calibri"/>
          <w:kern w:val="0"/>
          <w:sz w:val="24"/>
          <w:szCs w:val="24"/>
          <w:lang w:val="sr-Latn-RS" w:eastAsia="sr-Cyrl-CS" w:bidi="sr-Cyrl-CS"/>
          <w14:ligatures w14:val="none"/>
        </w:rPr>
        <w:t xml:space="preserve"> </w:t>
      </w:r>
    </w:p>
    <w:p w14:paraId="425F477C" w14:textId="3D5843DD" w:rsidR="004333EF" w:rsidRPr="0062773A" w:rsidRDefault="004333EF" w:rsidP="00FD3827">
      <w:pPr>
        <w:pStyle w:val="ListParagraph"/>
        <w:widowControl w:val="0"/>
        <w:numPr>
          <w:ilvl w:val="0"/>
          <w:numId w:val="26"/>
        </w:numPr>
        <w:spacing w:after="0" w:line="256" w:lineRule="auto"/>
        <w:jc w:val="both"/>
        <w:rPr>
          <w:rFonts w:ascii="Calibri" w:eastAsia="Calibri" w:hAnsi="Calibri" w:cs="Calibri"/>
          <w:b/>
          <w:bCs/>
          <w:kern w:val="0"/>
          <w:sz w:val="24"/>
          <w:szCs w:val="24"/>
          <w:lang w:val="sr-Latn-RS" w:eastAsia="sr-Cyrl-CS" w:bidi="sr-Cyrl-CS"/>
          <w14:ligatures w14:val="none"/>
        </w:rPr>
      </w:pPr>
      <w:r w:rsidRPr="0062773A">
        <w:rPr>
          <w:rFonts w:ascii="Calibri" w:eastAsia="Calibri" w:hAnsi="Calibri" w:cs="Calibri"/>
          <w:bCs/>
          <w:kern w:val="0"/>
          <w:sz w:val="24"/>
          <w:szCs w:val="24"/>
          <w:lang w:val="sr-Latn-RS" w:eastAsia="sr-Cyrl-CS" w:bidi="sr-Cyrl-CS"/>
          <w14:ligatures w14:val="none"/>
        </w:rPr>
        <w:t>Nastavak aktivnosti na uvođenju IRMS i u</w:t>
      </w:r>
      <w:r w:rsidRPr="0062773A">
        <w:rPr>
          <w:rFonts w:ascii="Calibri" w:eastAsia="Calibri" w:hAnsi="Calibri" w:cs="Calibri"/>
          <w:kern w:val="0"/>
          <w:sz w:val="24"/>
          <w:szCs w:val="24"/>
          <w:lang w:val="sr-Latn-RS" w:eastAsia="sr-Cyrl-CS" w:bidi="sr-Cyrl-CS"/>
          <w14:ligatures w14:val="none"/>
        </w:rPr>
        <w:t xml:space="preserve">napređenje koordinacije izmedju inspekcija i ostalih organa na državnom i lokalnom nivou kroz unapređenje IT sistema za bolje povezivanje baza podataka inspekcijskih službi sa nadležnim organima lokalne i državne uprave. </w:t>
      </w:r>
      <w:r w:rsidR="008E01F0" w:rsidRPr="0062773A">
        <w:rPr>
          <w:rFonts w:ascii="Calibri" w:eastAsia="Calibri" w:hAnsi="Calibri" w:cs="Calibri"/>
          <w:kern w:val="0"/>
          <w:sz w:val="24"/>
          <w:szCs w:val="24"/>
          <w:lang w:val="sr-Latn-RS" w:eastAsia="sr-Cyrl-CS" w:bidi="sr-Cyrl-CS"/>
          <w14:ligatures w14:val="none"/>
        </w:rPr>
        <w:t>MF, MJU</w:t>
      </w:r>
    </w:p>
    <w:p w14:paraId="5C462641" w14:textId="592B5389" w:rsidR="004333EF" w:rsidRPr="0062773A" w:rsidRDefault="004333EF" w:rsidP="00FD3827">
      <w:pPr>
        <w:pStyle w:val="ListParagraph"/>
        <w:numPr>
          <w:ilvl w:val="0"/>
          <w:numId w:val="26"/>
        </w:numPr>
        <w:spacing w:line="256" w:lineRule="auto"/>
        <w:jc w:val="both"/>
        <w:rPr>
          <w:rFonts w:ascii="Calibri" w:eastAsia="Calibri" w:hAnsi="Calibri" w:cs="Calibri"/>
          <w:b/>
          <w:bCs/>
          <w:i/>
          <w:iCs/>
          <w:noProof/>
          <w:kern w:val="0"/>
          <w:sz w:val="24"/>
          <w:szCs w:val="24"/>
          <w:lang w:val="sr-Latn-RS" w:eastAsia="sr-Cyrl-CS" w:bidi="sr-Cyrl-CS"/>
          <w14:ligatures w14:val="none"/>
        </w:rPr>
      </w:pPr>
      <w:r w:rsidRPr="0062773A">
        <w:rPr>
          <w:rFonts w:ascii="Calibri" w:eastAsia="Calibri" w:hAnsi="Calibri" w:cs="Calibri"/>
          <w:bCs/>
          <w:kern w:val="0"/>
          <w:sz w:val="24"/>
          <w:szCs w:val="24"/>
          <w:lang w:val="sr-Latn-RS" w:eastAsia="sr-Cyrl-CS" w:bidi="sr-Cyrl-CS"/>
          <w14:ligatures w14:val="none"/>
        </w:rPr>
        <w:t>Nastavak aktivnosti na modernizaciji carinskih postupaka uz proširenje automatske obrade i elektronske razmjene podataka u okviru implementacije CEFTA protokola  5, kao i pojednostavljenje trgovine uslugama</w:t>
      </w:r>
      <w:r w:rsidRPr="0062773A">
        <w:rPr>
          <w:rFonts w:ascii="Calibri" w:eastAsia="Calibri" w:hAnsi="Calibri" w:cs="Calibri"/>
          <w:bCs/>
          <w:i/>
          <w:iCs/>
          <w:kern w:val="0"/>
          <w:sz w:val="24"/>
          <w:szCs w:val="24"/>
          <w:lang w:val="sr-Latn-RS" w:eastAsia="sr-Cyrl-CS" w:bidi="sr-Cyrl-CS"/>
          <w14:ligatures w14:val="none"/>
        </w:rPr>
        <w:t>.</w:t>
      </w:r>
      <w:r w:rsidR="0062773A" w:rsidRPr="0062773A">
        <w:rPr>
          <w:rFonts w:ascii="Calibri" w:eastAsia="Calibri" w:hAnsi="Calibri" w:cs="Calibri"/>
          <w:bCs/>
          <w:i/>
          <w:iCs/>
          <w:kern w:val="0"/>
          <w:sz w:val="24"/>
          <w:szCs w:val="24"/>
          <w:lang w:val="sr-Latn-RS" w:eastAsia="sr-Cyrl-CS" w:bidi="sr-Cyrl-CS"/>
          <w14:ligatures w14:val="none"/>
        </w:rPr>
        <w:t xml:space="preserve"> </w:t>
      </w:r>
      <w:r w:rsidR="008E01F0" w:rsidRPr="0062773A">
        <w:rPr>
          <w:rFonts w:ascii="Calibri" w:eastAsia="Calibri" w:hAnsi="Calibri" w:cs="Calibri"/>
          <w:bCs/>
          <w:iCs/>
          <w:kern w:val="0"/>
          <w:sz w:val="24"/>
          <w:szCs w:val="24"/>
          <w:lang w:val="sr-Latn-RS" w:eastAsia="sr-Cyrl-CS" w:bidi="sr-Cyrl-CS"/>
          <w14:ligatures w14:val="none"/>
        </w:rPr>
        <w:t>MF; MER</w:t>
      </w:r>
    </w:p>
    <w:bookmarkEnd w:id="161"/>
    <w:p w14:paraId="0A366D06" w14:textId="77777777" w:rsidR="004333EF" w:rsidRPr="004333EF" w:rsidRDefault="004333EF" w:rsidP="004333EF">
      <w:pPr>
        <w:spacing w:line="256" w:lineRule="auto"/>
        <w:ind w:left="360"/>
        <w:jc w:val="both"/>
        <w:rPr>
          <w:rFonts w:ascii="Calibri" w:eastAsia="Calibri" w:hAnsi="Calibri" w:cs="Calibri"/>
          <w:b/>
          <w:bCs/>
          <w:noProof/>
          <w:kern w:val="0"/>
          <w:sz w:val="24"/>
          <w:szCs w:val="24"/>
          <w:lang w:val="sr-Latn-RS" w:eastAsia="sr-Cyrl-CS" w:bidi="sr-Cyrl-CS"/>
          <w14:ligatures w14:val="none"/>
        </w:rPr>
      </w:pPr>
      <w:r w:rsidRPr="004333EF">
        <w:rPr>
          <w:rFonts w:ascii="Calibri" w:eastAsia="Calibri" w:hAnsi="Calibri" w:cs="Calibri"/>
          <w:b/>
          <w:bCs/>
          <w:noProof/>
          <w:kern w:val="0"/>
          <w:sz w:val="24"/>
          <w:szCs w:val="24"/>
          <w:lang w:val="sr-Latn-RS" w:eastAsia="sr-Cyrl-CS" w:bidi="sr-Cyrl-CS"/>
          <w14:ligatures w14:val="none"/>
        </w:rPr>
        <w:t>Aktivnosti za 2026.</w:t>
      </w:r>
    </w:p>
    <w:p w14:paraId="650137C0" w14:textId="53FE3FDE" w:rsidR="004333EF" w:rsidRPr="004333EF" w:rsidRDefault="004333EF" w:rsidP="00FD3827">
      <w:pPr>
        <w:numPr>
          <w:ilvl w:val="0"/>
          <w:numId w:val="19"/>
        </w:numPr>
        <w:spacing w:line="256" w:lineRule="auto"/>
        <w:contextualSpacing/>
        <w:jc w:val="both"/>
        <w:rPr>
          <w:rFonts w:ascii="Calibri" w:eastAsia="Calibri" w:hAnsi="Calibri" w:cs="Calibri"/>
          <w:noProof/>
          <w:kern w:val="0"/>
          <w:sz w:val="24"/>
          <w:szCs w:val="24"/>
          <w:lang w:val="sr-Latn-RS" w:eastAsia="sr-Cyrl-CS" w:bidi="sr-Cyrl-CS"/>
          <w14:ligatures w14:val="none"/>
        </w:rPr>
      </w:pPr>
      <w:r w:rsidRPr="004333EF">
        <w:rPr>
          <w:rFonts w:ascii="Calibri" w:eastAsia="Calibri" w:hAnsi="Calibri" w:cs="Calibri"/>
          <w:noProof/>
          <w:kern w:val="0"/>
          <w:sz w:val="24"/>
          <w:szCs w:val="24"/>
          <w:lang w:val="sr-Latn-RS" w:eastAsia="sr-Cyrl-CS" w:bidi="sr-Cyrl-CS"/>
          <w14:ligatures w14:val="none"/>
        </w:rPr>
        <w:t>Monitoring i izvještavanje o ostvarenim rezultatima implementacije aktivnosti planiranih Akcionim planom za 2025.</w:t>
      </w:r>
      <w:r w:rsidRPr="004333EF">
        <w:rPr>
          <w:rFonts w:ascii="Calibri" w:eastAsia="Calibri" w:hAnsi="Calibri" w:cs="Calibri"/>
          <w:bCs/>
          <w:i/>
          <w:iCs/>
          <w:noProof/>
          <w:kern w:val="0"/>
          <w:sz w:val="24"/>
          <w:szCs w:val="24"/>
          <w:lang w:val="sr-Latn-RS" w:eastAsia="sr-Cyrl-CS" w:bidi="sr-Cyrl-CS"/>
          <w14:ligatures w14:val="none"/>
        </w:rPr>
        <w:t xml:space="preserve"> </w:t>
      </w:r>
      <w:r w:rsidR="008E01F0" w:rsidRPr="00B668FE">
        <w:rPr>
          <w:rFonts w:ascii="Calibri" w:eastAsia="Calibri" w:hAnsi="Calibri" w:cs="Calibri"/>
          <w:bCs/>
          <w:iCs/>
          <w:noProof/>
          <w:kern w:val="0"/>
          <w:sz w:val="24"/>
          <w:szCs w:val="24"/>
          <w:lang w:val="sr-Latn-RS" w:eastAsia="sr-Cyrl-CS" w:bidi="sr-Cyrl-CS"/>
          <w14:ligatures w14:val="none"/>
        </w:rPr>
        <w:t>MF</w:t>
      </w:r>
    </w:p>
    <w:p w14:paraId="7AC49FE8" w14:textId="3A2F03B4" w:rsidR="004333EF" w:rsidRPr="004333EF" w:rsidRDefault="004333EF" w:rsidP="00FD3827">
      <w:pPr>
        <w:numPr>
          <w:ilvl w:val="0"/>
          <w:numId w:val="19"/>
        </w:numPr>
        <w:spacing w:line="256" w:lineRule="auto"/>
        <w:contextualSpacing/>
        <w:jc w:val="both"/>
        <w:rPr>
          <w:rFonts w:ascii="Calibri" w:eastAsia="Calibri" w:hAnsi="Calibri" w:cs="Calibri"/>
          <w:noProof/>
          <w:kern w:val="0"/>
          <w:sz w:val="24"/>
          <w:szCs w:val="24"/>
          <w:lang w:val="sr-Latn-RS" w:eastAsia="sr-Cyrl-CS" w:bidi="sr-Cyrl-CS"/>
          <w14:ligatures w14:val="none"/>
        </w:rPr>
      </w:pPr>
      <w:r w:rsidRPr="004333EF">
        <w:rPr>
          <w:rFonts w:ascii="Calibri" w:eastAsia="Calibri" w:hAnsi="Calibri" w:cs="Calibri"/>
          <w:bCs/>
          <w:noProof/>
          <w:kern w:val="0"/>
          <w:sz w:val="24"/>
          <w:szCs w:val="24"/>
          <w:lang w:val="sr-Latn-ME" w:eastAsia="sr-Cyrl-CS" w:bidi="sr-Cyrl-CS"/>
          <w14:ligatures w14:val="none"/>
        </w:rPr>
        <w:lastRenderedPageBreak/>
        <w:t>Nastavak aktivnosti iz AP iz 2024. i 2025.</w:t>
      </w:r>
      <w:r w:rsidR="00B668FE">
        <w:rPr>
          <w:rFonts w:ascii="Calibri" w:eastAsia="Calibri" w:hAnsi="Calibri" w:cs="Calibri"/>
          <w:bCs/>
          <w:noProof/>
          <w:kern w:val="0"/>
          <w:sz w:val="24"/>
          <w:szCs w:val="24"/>
          <w:lang w:val="sr-Latn-ME" w:eastAsia="sr-Cyrl-CS" w:bidi="sr-Cyrl-CS"/>
          <w14:ligatures w14:val="none"/>
        </w:rPr>
        <w:t xml:space="preserve"> </w:t>
      </w:r>
      <w:r w:rsidR="00B668FE" w:rsidRPr="00B668FE">
        <w:rPr>
          <w:rFonts w:ascii="Calibri" w:eastAsia="Calibri" w:hAnsi="Calibri" w:cs="Calibri"/>
          <w:bCs/>
          <w:iCs/>
          <w:noProof/>
          <w:kern w:val="0"/>
          <w:sz w:val="24"/>
          <w:szCs w:val="24"/>
          <w:lang w:val="sr-Latn-RS" w:eastAsia="sr-Cyrl-CS" w:bidi="sr-Cyrl-CS"/>
          <w14:ligatures w14:val="none"/>
        </w:rPr>
        <w:t>MF</w:t>
      </w:r>
    </w:p>
    <w:p w14:paraId="3E84C249" w14:textId="07277452" w:rsidR="00507207" w:rsidRPr="00B668FE" w:rsidRDefault="004333EF" w:rsidP="00FD3827">
      <w:pPr>
        <w:numPr>
          <w:ilvl w:val="0"/>
          <w:numId w:val="19"/>
        </w:numPr>
        <w:spacing w:line="256" w:lineRule="auto"/>
        <w:contextualSpacing/>
        <w:jc w:val="both"/>
        <w:rPr>
          <w:rFonts w:ascii="Calibri" w:eastAsia="Calibri" w:hAnsi="Calibri" w:cs="Calibri"/>
          <w:noProof/>
          <w:kern w:val="0"/>
          <w:sz w:val="24"/>
          <w:szCs w:val="24"/>
          <w:lang w:val="sr-Latn-RS" w:eastAsia="sr-Cyrl-CS" w:bidi="sr-Cyrl-CS"/>
          <w14:ligatures w14:val="none"/>
        </w:rPr>
      </w:pPr>
      <w:r w:rsidRPr="004333EF">
        <w:rPr>
          <w:rFonts w:ascii="Calibri" w:eastAsia="Calibri" w:hAnsi="Calibri" w:cs="Calibri"/>
          <w:kern w:val="0"/>
          <w:sz w:val="24"/>
          <w:szCs w:val="24"/>
          <w:lang w:val="sr-Latn-RS" w:eastAsia="sr-Cyrl-CS" w:bidi="sr-Cyrl-CS"/>
          <w14:ligatures w14:val="none"/>
        </w:rPr>
        <w:t>Sprovođenje novog istraživanje među domaćinstvima i preduzećima</w:t>
      </w:r>
      <w:r w:rsidR="008E01F0">
        <w:rPr>
          <w:rFonts w:ascii="Calibri" w:eastAsia="Calibri" w:hAnsi="Calibri" w:cs="Calibri"/>
          <w:kern w:val="0"/>
          <w:sz w:val="24"/>
          <w:szCs w:val="24"/>
          <w:lang w:val="sr-Latn-RS" w:eastAsia="sr-Cyrl-CS" w:bidi="sr-Cyrl-CS"/>
          <w14:ligatures w14:val="none"/>
        </w:rPr>
        <w:t xml:space="preserve"> radi</w:t>
      </w:r>
      <w:r w:rsidRPr="004333EF">
        <w:rPr>
          <w:rFonts w:ascii="Calibri" w:eastAsia="Calibri" w:hAnsi="Calibri" w:cs="Calibri"/>
          <w:kern w:val="0"/>
          <w:sz w:val="24"/>
          <w:szCs w:val="24"/>
          <w:lang w:val="sr-Latn-RS" w:eastAsia="sr-Cyrl-CS" w:bidi="sr-Cyrl-CS"/>
          <w14:ligatures w14:val="none"/>
        </w:rPr>
        <w:t xml:space="preserve"> utvrđivanja obima i strukture sive ekonomije kako bi se utvrdio napredak u odnosu na 2022. </w:t>
      </w:r>
      <w:r w:rsidR="008E01F0" w:rsidRPr="00B668FE">
        <w:rPr>
          <w:rFonts w:ascii="Calibri" w:eastAsia="Calibri" w:hAnsi="Calibri" w:cs="Calibri"/>
          <w:bCs/>
          <w:iCs/>
          <w:kern w:val="0"/>
          <w:sz w:val="24"/>
          <w:szCs w:val="24"/>
          <w:lang w:val="sr-Latn-RS" w:eastAsia="sr-Cyrl-CS" w:bidi="sr-Cyrl-CS"/>
          <w14:ligatures w14:val="none"/>
        </w:rPr>
        <w:t>MF</w:t>
      </w:r>
      <w:r w:rsidR="007A6C0A">
        <w:rPr>
          <w:rFonts w:ascii="Calibri" w:eastAsia="Calibri" w:hAnsi="Calibri" w:cs="Calibri"/>
          <w:bCs/>
          <w:iCs/>
          <w:kern w:val="0"/>
          <w:sz w:val="24"/>
          <w:szCs w:val="24"/>
          <w:lang w:val="sr-Latn-RS" w:eastAsia="sr-Cyrl-CS" w:bidi="sr-Cyrl-CS"/>
          <w14:ligatures w14:val="none"/>
        </w:rPr>
        <w:t xml:space="preserve"> </w:t>
      </w:r>
    </w:p>
    <w:p w14:paraId="28A324A6" w14:textId="77777777" w:rsidR="00B668FE" w:rsidRPr="004333EF" w:rsidRDefault="00B668FE" w:rsidP="00B668FE">
      <w:pPr>
        <w:spacing w:line="256" w:lineRule="auto"/>
        <w:contextualSpacing/>
        <w:jc w:val="both"/>
        <w:rPr>
          <w:rFonts w:ascii="Calibri" w:eastAsia="Calibri" w:hAnsi="Calibri" w:cs="Calibri"/>
          <w:noProof/>
          <w:kern w:val="0"/>
          <w:sz w:val="24"/>
          <w:szCs w:val="24"/>
          <w:lang w:val="sr-Latn-RS" w:eastAsia="sr-Cyrl-CS" w:bidi="sr-Cyrl-CS"/>
          <w14:ligatures w14:val="none"/>
        </w:rPr>
      </w:pPr>
    </w:p>
    <w:p w14:paraId="0A1D735D" w14:textId="4019A0FB" w:rsidR="00507207" w:rsidRPr="002B47D4" w:rsidRDefault="00507207" w:rsidP="00507207">
      <w:pPr>
        <w:ind w:left="360"/>
        <w:jc w:val="both"/>
        <w:rPr>
          <w:rFonts w:eastAsia="Calibri" w:cstheme="minorHAnsi"/>
          <w:b/>
          <w:noProof/>
          <w:kern w:val="0"/>
          <w:sz w:val="24"/>
          <w:szCs w:val="24"/>
          <w:lang w:val="sr-Latn-RS" w:eastAsia="sr-Cyrl-CS" w:bidi="sr-Cyrl-CS"/>
          <w14:ligatures w14:val="none"/>
        </w:rPr>
      </w:pPr>
      <w:r w:rsidRPr="002B47D4">
        <w:rPr>
          <w:rFonts w:eastAsia="Calibri" w:cstheme="minorHAnsi"/>
          <w:b/>
          <w:noProof/>
          <w:kern w:val="0"/>
          <w:sz w:val="24"/>
          <w:szCs w:val="24"/>
          <w:lang w:val="sr-Latn-RS" w:eastAsia="sr-Cyrl-CS" w:bidi="sr-Cyrl-CS"/>
          <w14:ligatures w14:val="none"/>
        </w:rPr>
        <w:t>2. Indikatori rezultata</w:t>
      </w:r>
    </w:p>
    <w:tbl>
      <w:tblPr>
        <w:tblStyle w:val="GridTable6Colorful-Accent5"/>
        <w:tblW w:w="9355" w:type="dxa"/>
        <w:tblLayout w:type="fixed"/>
        <w:tblLook w:val="04A0" w:firstRow="1" w:lastRow="0" w:firstColumn="1" w:lastColumn="0" w:noHBand="0" w:noVBand="1"/>
      </w:tblPr>
      <w:tblGrid>
        <w:gridCol w:w="4135"/>
        <w:gridCol w:w="1440"/>
        <w:gridCol w:w="1710"/>
        <w:gridCol w:w="2070"/>
      </w:tblGrid>
      <w:tr w:rsidR="00A37D96" w:rsidRPr="002B47D4" w14:paraId="284A522A" w14:textId="77777777" w:rsidTr="002009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35" w:type="dxa"/>
          </w:tcPr>
          <w:p w14:paraId="7DC09A63" w14:textId="46505839" w:rsidR="00A37D96" w:rsidRPr="0020090C" w:rsidRDefault="00A37D96" w:rsidP="00082B85">
            <w:pPr>
              <w:spacing w:after="160" w:line="259" w:lineRule="auto"/>
              <w:ind w:left="360"/>
              <w:jc w:val="center"/>
              <w:rPr>
                <w:rFonts w:eastAsia="Calibri" w:cstheme="minorHAnsi"/>
                <w:bCs w:val="0"/>
                <w:noProof/>
                <w:color w:val="auto"/>
                <w:sz w:val="20"/>
                <w:szCs w:val="20"/>
                <w:lang w:val="sr-Latn-RS" w:eastAsia="sr-Cyrl-CS" w:bidi="sr-Cyrl-CS"/>
              </w:rPr>
            </w:pPr>
            <w:r w:rsidRPr="0020090C">
              <w:rPr>
                <w:rFonts w:eastAsia="Calibri" w:cstheme="minorHAnsi"/>
                <w:noProof/>
                <w:color w:val="auto"/>
                <w:sz w:val="20"/>
                <w:szCs w:val="20"/>
                <w:lang w:val="sr-Latn-RS" w:eastAsia="sr-Cyrl-CS" w:bidi="sr-Cyrl-CS"/>
              </w:rPr>
              <w:t>Indikator</w:t>
            </w:r>
          </w:p>
        </w:tc>
        <w:tc>
          <w:tcPr>
            <w:tcW w:w="1440" w:type="dxa"/>
          </w:tcPr>
          <w:p w14:paraId="60EFCD69" w14:textId="447ACA21" w:rsidR="00A37D96" w:rsidRPr="0020090C" w:rsidRDefault="00A37D96" w:rsidP="00082B85">
            <w:pPr>
              <w:spacing w:line="259" w:lineRule="auto"/>
              <w:jc w:val="center"/>
              <w:cnfStyle w:val="100000000000" w:firstRow="1" w:lastRow="0" w:firstColumn="0" w:lastColumn="0" w:oddVBand="0" w:evenVBand="0" w:oddHBand="0" w:evenHBand="0" w:firstRowFirstColumn="0" w:firstRowLastColumn="0" w:lastRowFirstColumn="0" w:lastRowLastColumn="0"/>
              <w:rPr>
                <w:rFonts w:eastAsia="Calibri" w:cstheme="minorHAnsi"/>
                <w:bCs w:val="0"/>
                <w:noProof/>
                <w:color w:val="auto"/>
                <w:sz w:val="20"/>
                <w:szCs w:val="20"/>
                <w:lang w:val="sr-Latn-RS" w:eastAsia="sr-Cyrl-CS" w:bidi="sr-Cyrl-CS"/>
              </w:rPr>
            </w:pPr>
            <w:r w:rsidRPr="0020090C">
              <w:rPr>
                <w:rFonts w:eastAsia="Calibri" w:cstheme="minorHAnsi"/>
                <w:noProof/>
                <w:color w:val="auto"/>
                <w:sz w:val="20"/>
                <w:szCs w:val="20"/>
                <w:lang w:val="sr-Latn-RS" w:eastAsia="sr-Cyrl-CS" w:bidi="sr-Cyrl-CS"/>
              </w:rPr>
              <w:t>Početna vrijednost</w:t>
            </w:r>
          </w:p>
          <w:p w14:paraId="6AA82250" w14:textId="77777777" w:rsidR="00A37D96" w:rsidRPr="0020090C" w:rsidRDefault="00A37D96" w:rsidP="00082B85">
            <w:pPr>
              <w:spacing w:line="259" w:lineRule="auto"/>
              <w:ind w:left="360"/>
              <w:cnfStyle w:val="100000000000" w:firstRow="1" w:lastRow="0" w:firstColumn="0" w:lastColumn="0" w:oddVBand="0" w:evenVBand="0" w:oddHBand="0" w:evenHBand="0" w:firstRowFirstColumn="0" w:firstRowLastColumn="0" w:lastRowFirstColumn="0" w:lastRowLastColumn="0"/>
              <w:rPr>
                <w:rFonts w:eastAsia="Calibri" w:cstheme="minorHAnsi"/>
                <w:bCs w:val="0"/>
                <w:noProof/>
                <w:color w:val="auto"/>
                <w:sz w:val="20"/>
                <w:szCs w:val="20"/>
                <w:lang w:val="sr-Latn-RS" w:eastAsia="sr-Cyrl-CS" w:bidi="sr-Cyrl-CS"/>
              </w:rPr>
            </w:pPr>
            <w:r w:rsidRPr="0020090C">
              <w:rPr>
                <w:rFonts w:eastAsia="Calibri" w:cstheme="minorHAnsi"/>
                <w:noProof/>
                <w:color w:val="auto"/>
                <w:sz w:val="20"/>
                <w:szCs w:val="20"/>
                <w:lang w:val="sr-Latn-RS" w:eastAsia="sr-Cyrl-CS" w:bidi="sr-Cyrl-CS"/>
              </w:rPr>
              <w:t>(2022)</w:t>
            </w:r>
          </w:p>
        </w:tc>
        <w:tc>
          <w:tcPr>
            <w:tcW w:w="1710" w:type="dxa"/>
          </w:tcPr>
          <w:p w14:paraId="4F3949DA" w14:textId="615293A2" w:rsidR="00A37D96" w:rsidRPr="0020090C" w:rsidRDefault="00A37D96" w:rsidP="00082B85">
            <w:pPr>
              <w:spacing w:line="259" w:lineRule="auto"/>
              <w:ind w:left="360"/>
              <w:jc w:val="center"/>
              <w:cnfStyle w:val="100000000000" w:firstRow="1" w:lastRow="0" w:firstColumn="0" w:lastColumn="0" w:oddVBand="0" w:evenVBand="0" w:oddHBand="0" w:evenHBand="0" w:firstRowFirstColumn="0" w:firstRowLastColumn="0" w:lastRowFirstColumn="0" w:lastRowLastColumn="0"/>
              <w:rPr>
                <w:rFonts w:eastAsia="Calibri" w:cstheme="minorHAnsi"/>
                <w:bCs w:val="0"/>
                <w:noProof/>
                <w:color w:val="auto"/>
                <w:sz w:val="20"/>
                <w:szCs w:val="20"/>
                <w:lang w:val="sr-Latn-RS" w:eastAsia="sr-Cyrl-CS" w:bidi="sr-Cyrl-CS"/>
              </w:rPr>
            </w:pPr>
            <w:r w:rsidRPr="0020090C">
              <w:rPr>
                <w:rFonts w:eastAsia="Calibri" w:cstheme="minorHAnsi"/>
                <w:noProof/>
                <w:color w:val="auto"/>
                <w:sz w:val="20"/>
                <w:szCs w:val="20"/>
                <w:lang w:val="sr-Latn-RS" w:eastAsia="sr-Cyrl-CS" w:bidi="sr-Cyrl-CS"/>
              </w:rPr>
              <w:t>Me</w:t>
            </w:r>
            <w:r w:rsidR="00E93DF1" w:rsidRPr="0020090C">
              <w:rPr>
                <w:rFonts w:eastAsia="Calibri" w:cstheme="minorHAnsi"/>
                <w:noProof/>
                <w:color w:val="auto"/>
                <w:sz w:val="20"/>
                <w:szCs w:val="20"/>
                <w:lang w:val="sr-Latn-RS" w:eastAsia="sr-Cyrl-CS" w:bidi="sr-Cyrl-CS"/>
              </w:rPr>
              <w:t>đ</w:t>
            </w:r>
            <w:r w:rsidRPr="0020090C">
              <w:rPr>
                <w:rFonts w:eastAsia="Calibri" w:cstheme="minorHAnsi"/>
                <w:noProof/>
                <w:color w:val="auto"/>
                <w:sz w:val="20"/>
                <w:szCs w:val="20"/>
                <w:lang w:val="sr-Latn-RS" w:eastAsia="sr-Cyrl-CS" w:bidi="sr-Cyrl-CS"/>
              </w:rPr>
              <w:t>urezultat</w:t>
            </w:r>
          </w:p>
          <w:p w14:paraId="63D31486" w14:textId="586829F5" w:rsidR="00A37D96" w:rsidRPr="0020090C" w:rsidRDefault="00082B85" w:rsidP="00082B85">
            <w:pPr>
              <w:spacing w:line="259" w:lineRule="auto"/>
              <w:ind w:left="360"/>
              <w:cnfStyle w:val="100000000000" w:firstRow="1" w:lastRow="0" w:firstColumn="0" w:lastColumn="0" w:oddVBand="0" w:evenVBand="0" w:oddHBand="0" w:evenHBand="0" w:firstRowFirstColumn="0" w:firstRowLastColumn="0" w:lastRowFirstColumn="0" w:lastRowLastColumn="0"/>
              <w:rPr>
                <w:rFonts w:eastAsia="Calibri" w:cstheme="minorHAnsi"/>
                <w:bCs w:val="0"/>
                <w:noProof/>
                <w:color w:val="auto"/>
                <w:sz w:val="20"/>
                <w:szCs w:val="20"/>
                <w:lang w:val="sr-Latn-RS" w:eastAsia="sr-Cyrl-CS" w:bidi="sr-Cyrl-CS"/>
              </w:rPr>
            </w:pPr>
            <w:r>
              <w:rPr>
                <w:rFonts w:eastAsia="Calibri" w:cstheme="minorHAnsi"/>
                <w:noProof/>
                <w:color w:val="auto"/>
                <w:sz w:val="20"/>
                <w:szCs w:val="20"/>
                <w:lang w:val="sr-Latn-RS" w:eastAsia="sr-Cyrl-CS" w:bidi="sr-Cyrl-CS"/>
              </w:rPr>
              <w:t xml:space="preserve">      </w:t>
            </w:r>
            <w:r w:rsidR="00A37D96" w:rsidRPr="0020090C">
              <w:rPr>
                <w:rFonts w:eastAsia="Calibri" w:cstheme="minorHAnsi"/>
                <w:noProof/>
                <w:color w:val="auto"/>
                <w:sz w:val="20"/>
                <w:szCs w:val="20"/>
                <w:lang w:val="sr-Latn-RS" w:eastAsia="sr-Cyrl-CS" w:bidi="sr-Cyrl-CS"/>
              </w:rPr>
              <w:t>(2025)</w:t>
            </w:r>
          </w:p>
        </w:tc>
        <w:tc>
          <w:tcPr>
            <w:tcW w:w="2070" w:type="dxa"/>
          </w:tcPr>
          <w:p w14:paraId="33C73AD6" w14:textId="77777777" w:rsidR="00A37D96" w:rsidRPr="0020090C" w:rsidRDefault="00A37D96" w:rsidP="00082B85">
            <w:pPr>
              <w:spacing w:line="259" w:lineRule="auto"/>
              <w:ind w:left="360"/>
              <w:jc w:val="center"/>
              <w:cnfStyle w:val="100000000000" w:firstRow="1" w:lastRow="0" w:firstColumn="0" w:lastColumn="0" w:oddVBand="0" w:evenVBand="0" w:oddHBand="0" w:evenHBand="0" w:firstRowFirstColumn="0" w:firstRowLastColumn="0" w:lastRowFirstColumn="0" w:lastRowLastColumn="0"/>
              <w:rPr>
                <w:rFonts w:eastAsia="Calibri" w:cstheme="minorHAnsi"/>
                <w:bCs w:val="0"/>
                <w:noProof/>
                <w:color w:val="auto"/>
                <w:sz w:val="20"/>
                <w:szCs w:val="20"/>
                <w:lang w:val="sr-Latn-RS" w:eastAsia="sr-Cyrl-CS" w:bidi="sr-Cyrl-CS"/>
              </w:rPr>
            </w:pPr>
            <w:r w:rsidRPr="0020090C">
              <w:rPr>
                <w:rFonts w:eastAsia="Calibri" w:cstheme="minorHAnsi"/>
                <w:noProof/>
                <w:color w:val="auto"/>
                <w:sz w:val="20"/>
                <w:szCs w:val="20"/>
                <w:lang w:val="sr-Latn-RS" w:eastAsia="sr-Cyrl-CS" w:bidi="sr-Cyrl-CS"/>
              </w:rPr>
              <w:t>Ciljna vrijednost</w:t>
            </w:r>
          </w:p>
          <w:p w14:paraId="7D28FBA1" w14:textId="77777777" w:rsidR="00A37D96" w:rsidRPr="0020090C" w:rsidRDefault="00A37D96" w:rsidP="00082B85">
            <w:pPr>
              <w:spacing w:line="259" w:lineRule="auto"/>
              <w:ind w:left="360"/>
              <w:jc w:val="center"/>
              <w:cnfStyle w:val="100000000000" w:firstRow="1" w:lastRow="0" w:firstColumn="0" w:lastColumn="0" w:oddVBand="0" w:evenVBand="0" w:oddHBand="0" w:evenHBand="0" w:firstRowFirstColumn="0" w:firstRowLastColumn="0" w:lastRowFirstColumn="0" w:lastRowLastColumn="0"/>
              <w:rPr>
                <w:rFonts w:eastAsia="Calibri" w:cstheme="minorHAnsi"/>
                <w:bCs w:val="0"/>
                <w:noProof/>
                <w:color w:val="auto"/>
                <w:sz w:val="20"/>
                <w:szCs w:val="20"/>
                <w:lang w:val="sr-Latn-RS" w:eastAsia="sr-Cyrl-CS" w:bidi="sr-Cyrl-CS"/>
              </w:rPr>
            </w:pPr>
            <w:r w:rsidRPr="0020090C">
              <w:rPr>
                <w:rFonts w:eastAsia="Calibri" w:cstheme="minorHAnsi"/>
                <w:noProof/>
                <w:color w:val="auto"/>
                <w:sz w:val="20"/>
                <w:szCs w:val="20"/>
                <w:lang w:val="sr-Latn-RS" w:eastAsia="sr-Cyrl-CS" w:bidi="sr-Cyrl-CS"/>
              </w:rPr>
              <w:t>(2026)</w:t>
            </w:r>
          </w:p>
        </w:tc>
      </w:tr>
      <w:tr w:rsidR="00A37D96" w:rsidRPr="002B47D4" w14:paraId="2D2D37A7" w14:textId="77777777" w:rsidTr="002009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35" w:type="dxa"/>
          </w:tcPr>
          <w:p w14:paraId="463EE6B4" w14:textId="77777777" w:rsidR="00A37D96" w:rsidRPr="004D422C" w:rsidRDefault="00A37D96" w:rsidP="00A37D96">
            <w:pPr>
              <w:spacing w:after="160" w:line="259" w:lineRule="auto"/>
              <w:ind w:left="360"/>
              <w:jc w:val="both"/>
              <w:rPr>
                <w:rFonts w:eastAsia="Calibri" w:cstheme="minorHAnsi"/>
                <w:b w:val="0"/>
                <w:bCs w:val="0"/>
                <w:noProof/>
                <w:color w:val="auto"/>
                <w:sz w:val="20"/>
                <w:szCs w:val="20"/>
                <w:lang w:val="sr-Latn-RS" w:eastAsia="sr-Cyrl-CS" w:bidi="sr-Cyrl-CS"/>
              </w:rPr>
            </w:pPr>
            <w:r w:rsidRPr="004D422C">
              <w:rPr>
                <w:rFonts w:eastAsia="Calibri" w:cstheme="minorHAnsi"/>
                <w:b w:val="0"/>
                <w:bCs w:val="0"/>
                <w:noProof/>
                <w:color w:val="auto"/>
                <w:sz w:val="20"/>
                <w:szCs w:val="20"/>
                <w:lang w:val="sr-Latn-RS" w:eastAsia="sr-Cyrl-CS" w:bidi="sr-Cyrl-CS"/>
              </w:rPr>
              <w:t>% realizovanih aktivnosti iz Akcionog plana</w:t>
            </w:r>
          </w:p>
        </w:tc>
        <w:tc>
          <w:tcPr>
            <w:tcW w:w="1440" w:type="dxa"/>
          </w:tcPr>
          <w:p w14:paraId="7625723C" w14:textId="77777777" w:rsidR="00A37D96" w:rsidRPr="0020090C" w:rsidRDefault="00A37D96" w:rsidP="00A37D96">
            <w:pPr>
              <w:spacing w:after="160" w:line="259" w:lineRule="auto"/>
              <w:ind w:left="360"/>
              <w:jc w:val="both"/>
              <w:cnfStyle w:val="000000100000" w:firstRow="0" w:lastRow="0" w:firstColumn="0" w:lastColumn="0" w:oddVBand="0" w:evenVBand="0" w:oddHBand="1" w:evenHBand="0" w:firstRowFirstColumn="0" w:firstRowLastColumn="0" w:lastRowFirstColumn="0" w:lastRowLastColumn="0"/>
              <w:rPr>
                <w:rFonts w:eastAsia="Calibri" w:cstheme="minorHAnsi"/>
                <w:bCs/>
                <w:noProof/>
                <w:color w:val="auto"/>
                <w:sz w:val="20"/>
                <w:szCs w:val="20"/>
                <w:lang w:val="sr-Latn-RS" w:eastAsia="sr-Cyrl-CS" w:bidi="sr-Cyrl-CS"/>
              </w:rPr>
            </w:pPr>
            <w:r w:rsidRPr="0020090C">
              <w:rPr>
                <w:rFonts w:eastAsia="Calibri" w:cstheme="minorHAnsi"/>
                <w:bCs/>
                <w:noProof/>
                <w:color w:val="auto"/>
                <w:sz w:val="20"/>
                <w:szCs w:val="20"/>
                <w:lang w:val="sr-Latn-RS" w:eastAsia="sr-Cyrl-CS" w:bidi="sr-Cyrl-CS"/>
              </w:rPr>
              <w:t>-</w:t>
            </w:r>
          </w:p>
        </w:tc>
        <w:tc>
          <w:tcPr>
            <w:tcW w:w="1710" w:type="dxa"/>
          </w:tcPr>
          <w:p w14:paraId="159C68C0" w14:textId="77777777" w:rsidR="00A37D96" w:rsidRPr="0020090C" w:rsidRDefault="00A37D96" w:rsidP="00A37D96">
            <w:pPr>
              <w:spacing w:after="160" w:line="259" w:lineRule="auto"/>
              <w:ind w:left="360"/>
              <w:jc w:val="both"/>
              <w:cnfStyle w:val="000000100000" w:firstRow="0" w:lastRow="0" w:firstColumn="0" w:lastColumn="0" w:oddVBand="0" w:evenVBand="0" w:oddHBand="1" w:evenHBand="0" w:firstRowFirstColumn="0" w:firstRowLastColumn="0" w:lastRowFirstColumn="0" w:lastRowLastColumn="0"/>
              <w:rPr>
                <w:rFonts w:eastAsia="Calibri" w:cstheme="minorHAnsi"/>
                <w:bCs/>
                <w:noProof/>
                <w:color w:val="auto"/>
                <w:sz w:val="20"/>
                <w:szCs w:val="20"/>
                <w:lang w:val="sr-Latn-RS" w:eastAsia="sr-Cyrl-CS" w:bidi="sr-Cyrl-CS"/>
              </w:rPr>
            </w:pPr>
            <w:r w:rsidRPr="0020090C">
              <w:rPr>
                <w:rFonts w:eastAsia="Calibri" w:cstheme="minorHAnsi"/>
                <w:bCs/>
                <w:noProof/>
                <w:color w:val="auto"/>
                <w:sz w:val="20"/>
                <w:szCs w:val="20"/>
                <w:lang w:val="sr-Latn-RS" w:eastAsia="sr-Cyrl-CS" w:bidi="sr-Cyrl-CS"/>
              </w:rPr>
              <w:t>80</w:t>
            </w:r>
          </w:p>
        </w:tc>
        <w:tc>
          <w:tcPr>
            <w:tcW w:w="2070" w:type="dxa"/>
          </w:tcPr>
          <w:p w14:paraId="2C6B5874" w14:textId="77777777" w:rsidR="00A37D96" w:rsidRPr="0020090C" w:rsidRDefault="00A37D96" w:rsidP="00A37D96">
            <w:pPr>
              <w:spacing w:after="160" w:line="259" w:lineRule="auto"/>
              <w:ind w:left="360"/>
              <w:jc w:val="both"/>
              <w:cnfStyle w:val="000000100000" w:firstRow="0" w:lastRow="0" w:firstColumn="0" w:lastColumn="0" w:oddVBand="0" w:evenVBand="0" w:oddHBand="1" w:evenHBand="0" w:firstRowFirstColumn="0" w:firstRowLastColumn="0" w:lastRowFirstColumn="0" w:lastRowLastColumn="0"/>
              <w:rPr>
                <w:rFonts w:eastAsia="Calibri" w:cstheme="minorHAnsi"/>
                <w:bCs/>
                <w:noProof/>
                <w:color w:val="auto"/>
                <w:sz w:val="20"/>
                <w:szCs w:val="20"/>
                <w:lang w:val="sr-Latn-RS" w:eastAsia="sr-Cyrl-CS" w:bidi="sr-Cyrl-CS"/>
              </w:rPr>
            </w:pPr>
            <w:r w:rsidRPr="0020090C">
              <w:rPr>
                <w:rFonts w:eastAsia="Calibri" w:cstheme="minorHAnsi"/>
                <w:bCs/>
                <w:noProof/>
                <w:color w:val="auto"/>
                <w:sz w:val="20"/>
                <w:szCs w:val="20"/>
                <w:lang w:val="sr-Latn-RS" w:eastAsia="sr-Cyrl-CS" w:bidi="sr-Cyrl-CS"/>
              </w:rPr>
              <w:t>90</w:t>
            </w:r>
          </w:p>
        </w:tc>
      </w:tr>
      <w:tr w:rsidR="00A37D96" w:rsidRPr="002B47D4" w14:paraId="4D9116A9" w14:textId="77777777" w:rsidTr="0020090C">
        <w:tc>
          <w:tcPr>
            <w:cnfStyle w:val="001000000000" w:firstRow="0" w:lastRow="0" w:firstColumn="1" w:lastColumn="0" w:oddVBand="0" w:evenVBand="0" w:oddHBand="0" w:evenHBand="0" w:firstRowFirstColumn="0" w:firstRowLastColumn="0" w:lastRowFirstColumn="0" w:lastRowLastColumn="0"/>
            <w:tcW w:w="4135" w:type="dxa"/>
          </w:tcPr>
          <w:p w14:paraId="3ABCCF85" w14:textId="77777777" w:rsidR="00A37D96" w:rsidRPr="004D422C" w:rsidRDefault="00A37D96" w:rsidP="00A37D96">
            <w:pPr>
              <w:spacing w:after="160" w:line="259" w:lineRule="auto"/>
              <w:ind w:left="360"/>
              <w:jc w:val="both"/>
              <w:rPr>
                <w:rFonts w:eastAsia="Calibri" w:cstheme="minorHAnsi"/>
                <w:b w:val="0"/>
                <w:bCs w:val="0"/>
                <w:noProof/>
                <w:color w:val="auto"/>
                <w:sz w:val="20"/>
                <w:szCs w:val="20"/>
                <w:lang w:val="sr-Latn-RS" w:eastAsia="sr-Cyrl-CS" w:bidi="sr-Cyrl-CS"/>
              </w:rPr>
            </w:pPr>
            <w:r w:rsidRPr="004D422C">
              <w:rPr>
                <w:rFonts w:eastAsia="Calibri" w:cstheme="minorHAnsi"/>
                <w:b w:val="0"/>
                <w:bCs w:val="0"/>
                <w:noProof/>
                <w:color w:val="auto"/>
                <w:sz w:val="20"/>
                <w:szCs w:val="20"/>
                <w:lang w:val="sr-Latn-RS" w:eastAsia="sr-Cyrl-CS" w:bidi="sr-Cyrl-CS"/>
              </w:rPr>
              <w:t>Broj registrovanih privrednih subjekata</w:t>
            </w:r>
          </w:p>
        </w:tc>
        <w:tc>
          <w:tcPr>
            <w:tcW w:w="1440" w:type="dxa"/>
          </w:tcPr>
          <w:p w14:paraId="7871F096" w14:textId="77777777" w:rsidR="00A37D96" w:rsidRPr="0020090C" w:rsidRDefault="00A37D96" w:rsidP="00A37D96">
            <w:pPr>
              <w:spacing w:after="160" w:line="259" w:lineRule="auto"/>
              <w:ind w:left="360"/>
              <w:jc w:val="both"/>
              <w:cnfStyle w:val="000000000000" w:firstRow="0" w:lastRow="0" w:firstColumn="0" w:lastColumn="0" w:oddVBand="0" w:evenVBand="0" w:oddHBand="0" w:evenHBand="0" w:firstRowFirstColumn="0" w:firstRowLastColumn="0" w:lastRowFirstColumn="0" w:lastRowLastColumn="0"/>
              <w:rPr>
                <w:rFonts w:eastAsia="Calibri" w:cstheme="minorHAnsi"/>
                <w:bCs/>
                <w:noProof/>
                <w:color w:val="auto"/>
                <w:sz w:val="20"/>
                <w:szCs w:val="20"/>
                <w:lang w:val="sr-Latn-RS" w:eastAsia="sr-Cyrl-CS" w:bidi="sr-Cyrl-CS"/>
              </w:rPr>
            </w:pPr>
            <w:r w:rsidRPr="0020090C">
              <w:rPr>
                <w:rFonts w:eastAsia="Calibri" w:cstheme="minorHAnsi"/>
                <w:bCs/>
                <w:noProof/>
                <w:color w:val="auto"/>
                <w:sz w:val="20"/>
                <w:szCs w:val="20"/>
                <w:lang w:val="sr-Latn-ME" w:eastAsia="sr-Cyrl-CS" w:bidi="sr-Cyrl-CS"/>
              </w:rPr>
              <w:t>45.675</w:t>
            </w:r>
          </w:p>
        </w:tc>
        <w:tc>
          <w:tcPr>
            <w:tcW w:w="1710" w:type="dxa"/>
          </w:tcPr>
          <w:p w14:paraId="4627B170" w14:textId="77777777" w:rsidR="00A37D96" w:rsidRPr="0020090C" w:rsidRDefault="00A37D96" w:rsidP="00A37D96">
            <w:pPr>
              <w:spacing w:after="160" w:line="259" w:lineRule="auto"/>
              <w:ind w:left="360"/>
              <w:jc w:val="both"/>
              <w:cnfStyle w:val="000000000000" w:firstRow="0" w:lastRow="0" w:firstColumn="0" w:lastColumn="0" w:oddVBand="0" w:evenVBand="0" w:oddHBand="0" w:evenHBand="0" w:firstRowFirstColumn="0" w:firstRowLastColumn="0" w:lastRowFirstColumn="0" w:lastRowLastColumn="0"/>
              <w:rPr>
                <w:rFonts w:eastAsia="Calibri" w:cstheme="minorHAnsi"/>
                <w:bCs/>
                <w:noProof/>
                <w:color w:val="auto"/>
                <w:sz w:val="20"/>
                <w:szCs w:val="20"/>
                <w:lang w:val="sr-Latn-RS" w:eastAsia="sr-Cyrl-CS" w:bidi="sr-Cyrl-CS"/>
              </w:rPr>
            </w:pPr>
            <w:r w:rsidRPr="0020090C">
              <w:rPr>
                <w:rFonts w:eastAsia="Calibri" w:cstheme="minorHAnsi"/>
                <w:bCs/>
                <w:noProof/>
                <w:color w:val="auto"/>
                <w:sz w:val="20"/>
                <w:szCs w:val="20"/>
                <w:lang w:val="sr-Latn-ME" w:eastAsia="sr-Cyrl-CS" w:bidi="sr-Cyrl-CS"/>
              </w:rPr>
              <w:t>47.930</w:t>
            </w:r>
          </w:p>
        </w:tc>
        <w:tc>
          <w:tcPr>
            <w:tcW w:w="2070" w:type="dxa"/>
          </w:tcPr>
          <w:p w14:paraId="7BCEF4C5" w14:textId="77777777" w:rsidR="00A37D96" w:rsidRPr="0020090C" w:rsidRDefault="00A37D96" w:rsidP="00A37D96">
            <w:pPr>
              <w:spacing w:after="160" w:line="259" w:lineRule="auto"/>
              <w:ind w:left="360"/>
              <w:jc w:val="both"/>
              <w:cnfStyle w:val="000000000000" w:firstRow="0" w:lastRow="0" w:firstColumn="0" w:lastColumn="0" w:oddVBand="0" w:evenVBand="0" w:oddHBand="0" w:evenHBand="0" w:firstRowFirstColumn="0" w:firstRowLastColumn="0" w:lastRowFirstColumn="0" w:lastRowLastColumn="0"/>
              <w:rPr>
                <w:rFonts w:eastAsia="Calibri" w:cstheme="minorHAnsi"/>
                <w:bCs/>
                <w:noProof/>
                <w:color w:val="auto"/>
                <w:sz w:val="20"/>
                <w:szCs w:val="20"/>
                <w:lang w:val="sr-Latn-RS" w:eastAsia="sr-Cyrl-CS" w:bidi="sr-Cyrl-CS"/>
              </w:rPr>
            </w:pPr>
            <w:r w:rsidRPr="0020090C">
              <w:rPr>
                <w:rFonts w:eastAsia="Calibri" w:cstheme="minorHAnsi"/>
                <w:bCs/>
                <w:noProof/>
                <w:color w:val="auto"/>
                <w:sz w:val="20"/>
                <w:szCs w:val="20"/>
                <w:lang w:val="sr-Latn-ME" w:eastAsia="sr-Cyrl-CS" w:bidi="sr-Cyrl-CS"/>
              </w:rPr>
              <w:t>48.686</w:t>
            </w:r>
          </w:p>
        </w:tc>
      </w:tr>
      <w:tr w:rsidR="00A37D96" w:rsidRPr="002B47D4" w14:paraId="1275A73F" w14:textId="77777777" w:rsidTr="002009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35" w:type="dxa"/>
          </w:tcPr>
          <w:p w14:paraId="521F3D37" w14:textId="77777777" w:rsidR="00A37D96" w:rsidRPr="004D422C" w:rsidRDefault="00A37D96" w:rsidP="00A37D96">
            <w:pPr>
              <w:spacing w:after="160" w:line="259" w:lineRule="auto"/>
              <w:ind w:left="360"/>
              <w:jc w:val="both"/>
              <w:rPr>
                <w:rFonts w:eastAsia="Calibri" w:cstheme="minorHAnsi"/>
                <w:b w:val="0"/>
                <w:bCs w:val="0"/>
                <w:noProof/>
                <w:color w:val="auto"/>
                <w:sz w:val="20"/>
                <w:szCs w:val="20"/>
                <w:lang w:val="sr-Latn-RS" w:eastAsia="sr-Cyrl-CS" w:bidi="sr-Cyrl-CS"/>
              </w:rPr>
            </w:pPr>
            <w:r w:rsidRPr="004D422C">
              <w:rPr>
                <w:rFonts w:eastAsia="Calibri" w:cstheme="minorHAnsi"/>
                <w:b w:val="0"/>
                <w:bCs w:val="0"/>
                <w:noProof/>
                <w:color w:val="auto"/>
                <w:sz w:val="20"/>
                <w:szCs w:val="20"/>
                <w:lang w:val="sr-Latn-RS" w:eastAsia="sr-Cyrl-CS" w:bidi="sr-Cyrl-CS"/>
              </w:rPr>
              <w:t>% učešća sive ekonomije u BDP</w:t>
            </w:r>
          </w:p>
        </w:tc>
        <w:tc>
          <w:tcPr>
            <w:tcW w:w="1440" w:type="dxa"/>
          </w:tcPr>
          <w:p w14:paraId="137C4F6F" w14:textId="77777777" w:rsidR="00A37D96" w:rsidRPr="0020090C" w:rsidRDefault="00A37D96" w:rsidP="00A37D96">
            <w:pPr>
              <w:spacing w:after="160" w:line="259" w:lineRule="auto"/>
              <w:ind w:left="360"/>
              <w:jc w:val="both"/>
              <w:cnfStyle w:val="000000100000" w:firstRow="0" w:lastRow="0" w:firstColumn="0" w:lastColumn="0" w:oddVBand="0" w:evenVBand="0" w:oddHBand="1" w:evenHBand="0" w:firstRowFirstColumn="0" w:firstRowLastColumn="0" w:lastRowFirstColumn="0" w:lastRowLastColumn="0"/>
              <w:rPr>
                <w:rFonts w:eastAsia="Calibri" w:cstheme="minorHAnsi"/>
                <w:bCs/>
                <w:noProof/>
                <w:color w:val="auto"/>
                <w:sz w:val="20"/>
                <w:szCs w:val="20"/>
                <w:lang w:val="sr-Latn-RS" w:eastAsia="sr-Cyrl-CS" w:bidi="sr-Cyrl-CS"/>
              </w:rPr>
            </w:pPr>
            <w:r w:rsidRPr="0020090C">
              <w:rPr>
                <w:rFonts w:eastAsia="Calibri" w:cstheme="minorHAnsi"/>
                <w:bCs/>
                <w:noProof/>
                <w:color w:val="auto"/>
                <w:sz w:val="20"/>
                <w:szCs w:val="20"/>
                <w:lang w:val="sr-Latn-RS" w:eastAsia="sr-Cyrl-CS" w:bidi="sr-Cyrl-CS"/>
              </w:rPr>
              <w:t>20,6</w:t>
            </w:r>
          </w:p>
        </w:tc>
        <w:tc>
          <w:tcPr>
            <w:tcW w:w="1710" w:type="dxa"/>
          </w:tcPr>
          <w:p w14:paraId="230010BF" w14:textId="77777777" w:rsidR="00A37D96" w:rsidRPr="0020090C" w:rsidRDefault="00A37D96" w:rsidP="00A37D96">
            <w:pPr>
              <w:spacing w:after="160" w:line="259" w:lineRule="auto"/>
              <w:ind w:left="360"/>
              <w:jc w:val="both"/>
              <w:cnfStyle w:val="000000100000" w:firstRow="0" w:lastRow="0" w:firstColumn="0" w:lastColumn="0" w:oddVBand="0" w:evenVBand="0" w:oddHBand="1" w:evenHBand="0" w:firstRowFirstColumn="0" w:firstRowLastColumn="0" w:lastRowFirstColumn="0" w:lastRowLastColumn="0"/>
              <w:rPr>
                <w:rFonts w:eastAsia="Calibri" w:cstheme="minorHAnsi"/>
                <w:bCs/>
                <w:noProof/>
                <w:color w:val="auto"/>
                <w:sz w:val="20"/>
                <w:szCs w:val="20"/>
                <w:lang w:val="sr-Latn-RS" w:eastAsia="sr-Cyrl-CS" w:bidi="sr-Cyrl-CS"/>
              </w:rPr>
            </w:pPr>
            <w:r w:rsidRPr="0020090C">
              <w:rPr>
                <w:rFonts w:eastAsia="Calibri" w:cstheme="minorHAnsi"/>
                <w:bCs/>
                <w:noProof/>
                <w:color w:val="auto"/>
                <w:sz w:val="20"/>
                <w:szCs w:val="20"/>
                <w:lang w:val="sr-Latn-RS" w:eastAsia="sr-Cyrl-CS" w:bidi="sr-Cyrl-CS"/>
              </w:rPr>
              <w:t>17,5</w:t>
            </w:r>
          </w:p>
        </w:tc>
        <w:tc>
          <w:tcPr>
            <w:tcW w:w="2070" w:type="dxa"/>
          </w:tcPr>
          <w:p w14:paraId="548F246F" w14:textId="77777777" w:rsidR="00A37D96" w:rsidRPr="0020090C" w:rsidRDefault="00A37D96" w:rsidP="00A37D96">
            <w:pPr>
              <w:spacing w:after="160" w:line="259" w:lineRule="auto"/>
              <w:ind w:left="360"/>
              <w:jc w:val="both"/>
              <w:cnfStyle w:val="000000100000" w:firstRow="0" w:lastRow="0" w:firstColumn="0" w:lastColumn="0" w:oddVBand="0" w:evenVBand="0" w:oddHBand="1" w:evenHBand="0" w:firstRowFirstColumn="0" w:firstRowLastColumn="0" w:lastRowFirstColumn="0" w:lastRowLastColumn="0"/>
              <w:rPr>
                <w:rFonts w:eastAsia="Calibri" w:cstheme="minorHAnsi"/>
                <w:bCs/>
                <w:noProof/>
                <w:color w:val="auto"/>
                <w:sz w:val="20"/>
                <w:szCs w:val="20"/>
                <w:lang w:val="sr-Latn-RS" w:eastAsia="sr-Cyrl-CS" w:bidi="sr-Cyrl-CS"/>
              </w:rPr>
            </w:pPr>
            <w:r w:rsidRPr="0020090C">
              <w:rPr>
                <w:rFonts w:eastAsia="Calibri" w:cstheme="minorHAnsi"/>
                <w:bCs/>
                <w:noProof/>
                <w:color w:val="auto"/>
                <w:sz w:val="20"/>
                <w:szCs w:val="20"/>
                <w:lang w:val="sr-Latn-RS" w:eastAsia="sr-Cyrl-CS" w:bidi="sr-Cyrl-CS"/>
              </w:rPr>
              <w:t>17,2</w:t>
            </w:r>
          </w:p>
        </w:tc>
      </w:tr>
    </w:tbl>
    <w:p w14:paraId="71BDDEBA" w14:textId="7DE1F055" w:rsidR="00507207" w:rsidRPr="002B47D4" w:rsidRDefault="00507207" w:rsidP="00507207">
      <w:pPr>
        <w:jc w:val="both"/>
        <w:rPr>
          <w:rFonts w:ascii="Calibri" w:eastAsia="Calibri" w:hAnsi="Calibri" w:cs="Times New Roman"/>
          <w:sz w:val="24"/>
          <w:szCs w:val="24"/>
        </w:rPr>
      </w:pPr>
      <w:r w:rsidRPr="002B47D4">
        <w:rPr>
          <w:rFonts w:eastAsia="Calibri" w:cstheme="minorHAnsi"/>
          <w:b/>
          <w:noProof/>
          <w:kern w:val="0"/>
          <w:sz w:val="24"/>
          <w:szCs w:val="24"/>
          <w:lang w:val="sr-Latn-RS" w:eastAsia="sr-Cyrl-CS" w:bidi="sr-Cyrl-CS"/>
          <w14:ligatures w14:val="none"/>
        </w:rPr>
        <w:t xml:space="preserve">3.Očekivani uticaj na konkurentnost. </w:t>
      </w:r>
      <w:r w:rsidRPr="002B47D4">
        <w:rPr>
          <w:rFonts w:ascii="Calibri" w:eastAsia="Calibri" w:hAnsi="Calibri" w:cs="Times New Roman"/>
          <w:sz w:val="24"/>
          <w:szCs w:val="24"/>
        </w:rPr>
        <w:t xml:space="preserve">Implementacijom planiranih aktivnosti iz akcionog plana </w:t>
      </w:r>
      <w:r w:rsidR="00554606" w:rsidRPr="002B47D4">
        <w:rPr>
          <w:rFonts w:ascii="Calibri" w:eastAsia="Calibri" w:hAnsi="Calibri" w:cs="Times New Roman"/>
          <w:sz w:val="24"/>
          <w:szCs w:val="24"/>
        </w:rPr>
        <w:t>doprinijeće se boljem poslovnom okruženju, povećanju broja preduzeća i formalne zaposlenosti.</w:t>
      </w:r>
      <w:r w:rsidR="00002535" w:rsidRPr="002B47D4">
        <w:rPr>
          <w:rFonts w:ascii="Calibri" w:eastAsia="Calibri" w:hAnsi="Calibri" w:cs="Times New Roman"/>
          <w:sz w:val="24"/>
          <w:szCs w:val="24"/>
        </w:rPr>
        <w:t xml:space="preserve"> Tako</w:t>
      </w:r>
      <w:r w:rsidR="00B668FE">
        <w:rPr>
          <w:rFonts w:ascii="Calibri" w:eastAsia="Calibri" w:hAnsi="Calibri" w:cs="Times New Roman"/>
          <w:sz w:val="24"/>
          <w:szCs w:val="24"/>
        </w:rPr>
        <w:t>đ</w:t>
      </w:r>
      <w:r w:rsidR="00002535" w:rsidRPr="002B47D4">
        <w:rPr>
          <w:rFonts w:ascii="Calibri" w:eastAsia="Calibri" w:hAnsi="Calibri" w:cs="Times New Roman"/>
          <w:sz w:val="24"/>
          <w:szCs w:val="24"/>
        </w:rPr>
        <w:t>e se očekuje povećanj</w:t>
      </w:r>
      <w:r w:rsidR="00B668FE">
        <w:rPr>
          <w:rFonts w:ascii="Calibri" w:eastAsia="Calibri" w:hAnsi="Calibri" w:cs="Times New Roman"/>
          <w:sz w:val="24"/>
          <w:szCs w:val="24"/>
        </w:rPr>
        <w:t>e</w:t>
      </w:r>
      <w:r w:rsidR="00002535" w:rsidRPr="002B47D4">
        <w:rPr>
          <w:rFonts w:ascii="Calibri" w:eastAsia="Calibri" w:hAnsi="Calibri" w:cs="Times New Roman"/>
          <w:sz w:val="24"/>
          <w:szCs w:val="24"/>
        </w:rPr>
        <w:t xml:space="preserve"> javnih prihoda</w:t>
      </w:r>
      <w:r w:rsidR="0093563E" w:rsidRPr="002B47D4">
        <w:rPr>
          <w:rFonts w:ascii="Calibri" w:eastAsia="Calibri" w:hAnsi="Calibri" w:cs="Times New Roman"/>
          <w:sz w:val="24"/>
          <w:szCs w:val="24"/>
        </w:rPr>
        <w:t xml:space="preserve">, </w:t>
      </w:r>
      <w:r w:rsidR="00B668FE">
        <w:rPr>
          <w:rFonts w:ascii="Calibri" w:eastAsia="Calibri" w:hAnsi="Calibri" w:cs="Times New Roman"/>
          <w:sz w:val="24"/>
          <w:szCs w:val="24"/>
        </w:rPr>
        <w:t>i</w:t>
      </w:r>
      <w:r w:rsidR="0093563E" w:rsidRPr="002B47D4">
        <w:rPr>
          <w:rFonts w:ascii="Calibri" w:eastAsia="Calibri" w:hAnsi="Calibri" w:cs="Times New Roman"/>
          <w:sz w:val="24"/>
          <w:szCs w:val="24"/>
        </w:rPr>
        <w:t xml:space="preserve"> smanjenje učešća sive ekonomije sa 20,6% BDP na 17,2% BDP.</w:t>
      </w:r>
    </w:p>
    <w:p w14:paraId="54BC317F" w14:textId="037AAB59" w:rsidR="004333EF" w:rsidRDefault="00507207" w:rsidP="00507207">
      <w:pPr>
        <w:jc w:val="both"/>
        <w:rPr>
          <w:rFonts w:ascii="Calibri" w:eastAsia="Calibri" w:hAnsi="Calibri" w:cs="Calibri"/>
          <w:kern w:val="0"/>
          <w:sz w:val="24"/>
          <w:szCs w:val="24"/>
          <w:lang w:val="sr-Latn-RS" w:eastAsia="sr-Cyrl-CS" w:bidi="sr-Cyrl-CS"/>
          <w14:ligatures w14:val="none"/>
        </w:rPr>
      </w:pPr>
      <w:r w:rsidRPr="002B47D4">
        <w:rPr>
          <w:rFonts w:eastAsia="Calibri" w:cstheme="minorHAnsi"/>
          <w:b/>
          <w:noProof/>
          <w:kern w:val="0"/>
          <w:sz w:val="24"/>
          <w:szCs w:val="24"/>
          <w:lang w:val="sr-Latn-RS" w:eastAsia="sr-Cyrl-CS" w:bidi="sr-Cyrl-CS"/>
          <w14:ligatures w14:val="none"/>
        </w:rPr>
        <w:t>4.</w:t>
      </w:r>
      <w:r w:rsidRPr="002B47D4">
        <w:rPr>
          <w:rFonts w:ascii="Calibri" w:eastAsia="Calibri" w:hAnsi="Calibri" w:cs="Calibri"/>
          <w:kern w:val="0"/>
          <w:sz w:val="24"/>
          <w:szCs w:val="24"/>
          <w:lang w:val="sr-Latn-RS" w:eastAsia="sr-Cyrl-CS" w:bidi="sr-Cyrl-CS"/>
          <w14:ligatures w14:val="none"/>
        </w:rPr>
        <w:t xml:space="preserve"> </w:t>
      </w:r>
      <w:r w:rsidRPr="002B47D4">
        <w:rPr>
          <w:rFonts w:ascii="Calibri" w:eastAsia="Calibri" w:hAnsi="Calibri" w:cs="Calibri"/>
          <w:b/>
          <w:bCs/>
          <w:kern w:val="0"/>
          <w:sz w:val="24"/>
          <w:szCs w:val="24"/>
          <w:lang w:val="sr-Latn-RS" w:eastAsia="sr-Cyrl-CS" w:bidi="sr-Cyrl-CS"/>
          <w14:ligatures w14:val="none"/>
        </w:rPr>
        <w:t>Procijenjeni troškovi sprovođenja reformske mjere i izvori finansiranja.</w:t>
      </w:r>
      <w:r w:rsidRPr="002B47D4">
        <w:rPr>
          <w:rFonts w:ascii="Calibri" w:eastAsia="Calibri" w:hAnsi="Calibri" w:cs="Calibri"/>
          <w:kern w:val="0"/>
          <w:sz w:val="24"/>
          <w:szCs w:val="24"/>
          <w:lang w:val="sr-Latn-RS" w:eastAsia="sr-Cyrl-CS" w:bidi="sr-Cyrl-CS"/>
          <w14:ligatures w14:val="none"/>
        </w:rPr>
        <w:t xml:space="preserve"> </w:t>
      </w:r>
      <w:r w:rsidR="004333EF" w:rsidRPr="004333EF">
        <w:rPr>
          <w:rFonts w:ascii="Calibri" w:eastAsia="Calibri" w:hAnsi="Calibri" w:cs="Calibri"/>
          <w:kern w:val="0"/>
          <w:sz w:val="24"/>
          <w:szCs w:val="24"/>
          <w:lang w:val="sr-Latn-RS" w:eastAsia="sr-Cyrl-CS" w:bidi="sr-Cyrl-CS"/>
          <w14:ligatures w14:val="none"/>
        </w:rPr>
        <w:t>Dodatna sredstva za implementaciju biće opredijeljena najvećim dijelom iz Budžeta Crne Gore, kao i kroz  projekte/programe međunarodnih donatora. Dodatna sredstva za implementaciju Akcionog plana u 2022.</w:t>
      </w:r>
      <w:r w:rsidR="002917EE">
        <w:rPr>
          <w:rFonts w:ascii="Calibri" w:eastAsia="Calibri" w:hAnsi="Calibri" w:cs="Calibri"/>
          <w:kern w:val="0"/>
          <w:sz w:val="24"/>
          <w:szCs w:val="24"/>
          <w:lang w:val="sr-Latn-RS" w:eastAsia="sr-Cyrl-CS" w:bidi="sr-Cyrl-CS"/>
          <w14:ligatures w14:val="none"/>
        </w:rPr>
        <w:t xml:space="preserve"> </w:t>
      </w:r>
      <w:r w:rsidR="004333EF" w:rsidRPr="004333EF">
        <w:rPr>
          <w:rFonts w:ascii="Calibri" w:eastAsia="Calibri" w:hAnsi="Calibri" w:cs="Calibri"/>
          <w:kern w:val="0"/>
          <w:sz w:val="24"/>
          <w:szCs w:val="24"/>
          <w:lang w:val="sr-Latn-RS" w:eastAsia="sr-Cyrl-CS" w:bidi="sr-Cyrl-CS"/>
          <w14:ligatures w14:val="none"/>
        </w:rPr>
        <w:t>godini za jačanje insitutucionalnog okvira kroz osnivanje Komisije za suzbijanje neformalne ekonomije za period 2024-2026.</w:t>
      </w:r>
      <w:r w:rsidR="002917EE">
        <w:rPr>
          <w:rFonts w:ascii="Calibri" w:eastAsia="Calibri" w:hAnsi="Calibri" w:cs="Calibri"/>
          <w:kern w:val="0"/>
          <w:sz w:val="24"/>
          <w:szCs w:val="24"/>
          <w:lang w:val="sr-Latn-RS" w:eastAsia="sr-Cyrl-CS" w:bidi="sr-Cyrl-CS"/>
          <w14:ligatures w14:val="none"/>
        </w:rPr>
        <w:t xml:space="preserve"> </w:t>
      </w:r>
      <w:r w:rsidR="004333EF" w:rsidRPr="004333EF">
        <w:rPr>
          <w:rFonts w:ascii="Calibri" w:eastAsia="Calibri" w:hAnsi="Calibri" w:cs="Calibri"/>
          <w:kern w:val="0"/>
          <w:sz w:val="24"/>
          <w:szCs w:val="24"/>
          <w:lang w:val="sr-Latn-RS" w:eastAsia="sr-Cyrl-CS" w:bidi="sr-Cyrl-CS"/>
          <w14:ligatures w14:val="none"/>
        </w:rPr>
        <w:t xml:space="preserve">godine, iznosiće cca 192.000 eura. Dodatna sredstva za sprovođenje istraživanja u 2026. o učešću sive ekonomije u BDP, iznosiće cca 100.000 eura. </w:t>
      </w:r>
      <w:r w:rsidR="00530DF2" w:rsidRPr="00E413CB">
        <w:rPr>
          <w:rFonts w:ascii="Calibri" w:eastAsia="Calibri" w:hAnsi="Calibri" w:cs="Calibri"/>
          <w:kern w:val="0"/>
          <w:sz w:val="24"/>
          <w:szCs w:val="24"/>
          <w:lang w:val="sr-Latn-RS" w:eastAsia="sr-Cyrl-CS" w:bidi="sr-Cyrl-CS"/>
          <w14:ligatures w14:val="none"/>
        </w:rPr>
        <w:t xml:space="preserve">Ukupna vrijednost troškova za </w:t>
      </w:r>
      <w:r w:rsidR="002F384F" w:rsidRPr="00E413CB">
        <w:rPr>
          <w:rFonts w:ascii="Calibri" w:eastAsia="Calibri" w:hAnsi="Calibri" w:cs="Calibri"/>
          <w:kern w:val="0"/>
          <w:sz w:val="24"/>
          <w:szCs w:val="24"/>
          <w:lang w:val="sr-Latn-RS" w:eastAsia="sr-Cyrl-CS" w:bidi="sr-Cyrl-CS"/>
          <w14:ligatures w14:val="none"/>
        </w:rPr>
        <w:t>hardwer za IRMS je cca. 1</w:t>
      </w:r>
      <w:r w:rsidR="00E413CB">
        <w:rPr>
          <w:rFonts w:ascii="Calibri" w:eastAsia="Calibri" w:hAnsi="Calibri" w:cs="Calibri"/>
          <w:kern w:val="0"/>
          <w:sz w:val="24"/>
          <w:szCs w:val="24"/>
          <w:lang w:val="sr-Latn-RS" w:eastAsia="sr-Cyrl-CS" w:bidi="sr-Cyrl-CS"/>
          <w14:ligatures w14:val="none"/>
        </w:rPr>
        <w:t>.</w:t>
      </w:r>
      <w:r w:rsidR="002F384F" w:rsidRPr="00E413CB">
        <w:rPr>
          <w:rFonts w:ascii="Calibri" w:eastAsia="Calibri" w:hAnsi="Calibri" w:cs="Calibri"/>
          <w:kern w:val="0"/>
          <w:sz w:val="24"/>
          <w:szCs w:val="24"/>
          <w:lang w:val="sr-Latn-RS" w:eastAsia="sr-Cyrl-CS" w:bidi="sr-Cyrl-CS"/>
          <w14:ligatures w14:val="none"/>
        </w:rPr>
        <w:t>100</w:t>
      </w:r>
      <w:r w:rsidR="00E413CB">
        <w:rPr>
          <w:rFonts w:ascii="Calibri" w:eastAsia="Calibri" w:hAnsi="Calibri" w:cs="Calibri"/>
          <w:kern w:val="0"/>
          <w:sz w:val="24"/>
          <w:szCs w:val="24"/>
          <w:lang w:val="sr-Latn-RS" w:eastAsia="sr-Cyrl-CS" w:bidi="sr-Cyrl-CS"/>
          <w14:ligatures w14:val="none"/>
        </w:rPr>
        <w:t>.</w:t>
      </w:r>
      <w:r w:rsidR="002F384F" w:rsidRPr="00E413CB">
        <w:rPr>
          <w:rFonts w:ascii="Calibri" w:eastAsia="Calibri" w:hAnsi="Calibri" w:cs="Calibri"/>
          <w:kern w:val="0"/>
          <w:sz w:val="24"/>
          <w:szCs w:val="24"/>
          <w:lang w:val="sr-Latn-RS" w:eastAsia="sr-Cyrl-CS" w:bidi="sr-Cyrl-CS"/>
          <w14:ligatures w14:val="none"/>
        </w:rPr>
        <w:t>000</w:t>
      </w:r>
      <w:r w:rsidR="00E413CB">
        <w:rPr>
          <w:rFonts w:ascii="Calibri" w:eastAsia="Calibri" w:hAnsi="Calibri" w:cs="Calibri"/>
          <w:kern w:val="0"/>
          <w:sz w:val="24"/>
          <w:szCs w:val="24"/>
          <w:lang w:val="sr-Latn-RS" w:eastAsia="sr-Cyrl-CS" w:bidi="sr-Cyrl-CS"/>
          <w14:ligatures w14:val="none"/>
        </w:rPr>
        <w:t xml:space="preserve">,00 </w:t>
      </w:r>
      <w:r w:rsidR="002F384F" w:rsidRPr="00E413CB">
        <w:rPr>
          <w:rFonts w:ascii="Calibri" w:eastAsia="Calibri" w:hAnsi="Calibri" w:cs="Calibri"/>
          <w:kern w:val="0"/>
          <w:sz w:val="24"/>
          <w:szCs w:val="24"/>
          <w:lang w:val="sr-Latn-RS" w:eastAsia="sr-Cyrl-CS" w:bidi="sr-Cyrl-CS"/>
          <w14:ligatures w14:val="none"/>
        </w:rPr>
        <w:t>eura, a u</w:t>
      </w:r>
      <w:r w:rsidR="00530DF2" w:rsidRPr="00E413CB">
        <w:rPr>
          <w:rFonts w:ascii="Calibri" w:eastAsia="Calibri" w:hAnsi="Calibri" w:cs="Calibri"/>
          <w:kern w:val="0"/>
          <w:sz w:val="24"/>
          <w:szCs w:val="24"/>
          <w:lang w:val="sr-Latn-RS" w:eastAsia="sr-Cyrl-CS" w:bidi="sr-Cyrl-CS"/>
          <w14:ligatures w14:val="none"/>
        </w:rPr>
        <w:t>kupn</w:t>
      </w:r>
      <w:r w:rsidR="002F384F" w:rsidRPr="00E413CB">
        <w:rPr>
          <w:rFonts w:ascii="Calibri" w:eastAsia="Calibri" w:hAnsi="Calibri" w:cs="Calibri"/>
          <w:kern w:val="0"/>
          <w:sz w:val="24"/>
          <w:szCs w:val="24"/>
          <w:lang w:val="sr-Latn-RS" w:eastAsia="sr-Cyrl-CS" w:bidi="sr-Cyrl-CS"/>
          <w14:ligatures w14:val="none"/>
        </w:rPr>
        <w:t>o</w:t>
      </w:r>
      <w:r w:rsidR="00530DF2" w:rsidRPr="00E413CB">
        <w:rPr>
          <w:rFonts w:ascii="Calibri" w:eastAsia="Calibri" w:hAnsi="Calibri" w:cs="Calibri"/>
          <w:kern w:val="0"/>
          <w:sz w:val="24"/>
          <w:szCs w:val="24"/>
          <w:lang w:val="sr-Latn-RS" w:eastAsia="sr-Cyrl-CS" w:bidi="sr-Cyrl-CS"/>
          <w14:ligatures w14:val="none"/>
        </w:rPr>
        <w:t xml:space="preserve"> </w:t>
      </w:r>
      <w:r w:rsidR="002F384F" w:rsidRPr="00E413CB">
        <w:rPr>
          <w:rFonts w:ascii="Calibri" w:eastAsia="Calibri" w:hAnsi="Calibri" w:cs="Calibri"/>
          <w:kern w:val="0"/>
          <w:sz w:val="24"/>
          <w:szCs w:val="24"/>
          <w:lang w:val="sr-Latn-RS" w:eastAsia="sr-Cyrl-CS" w:bidi="sr-Cyrl-CS"/>
          <w14:ligatures w14:val="none"/>
        </w:rPr>
        <w:t xml:space="preserve">softversko rješenje </w:t>
      </w:r>
      <w:r w:rsidR="00E413CB">
        <w:rPr>
          <w:rFonts w:ascii="Calibri" w:eastAsia="Calibri" w:hAnsi="Calibri" w:cs="Calibri"/>
          <w:kern w:val="0"/>
          <w:sz w:val="24"/>
          <w:szCs w:val="24"/>
          <w:lang w:val="sr-Latn-RS" w:eastAsia="sr-Cyrl-CS" w:bidi="sr-Cyrl-CS"/>
          <w14:ligatures w14:val="none"/>
        </w:rPr>
        <w:t xml:space="preserve">za implementaciju IRMS </w:t>
      </w:r>
      <w:r w:rsidR="002F384F" w:rsidRPr="00E413CB">
        <w:rPr>
          <w:rFonts w:ascii="Calibri" w:eastAsia="Calibri" w:hAnsi="Calibri" w:cs="Calibri"/>
          <w:kern w:val="0"/>
          <w:sz w:val="24"/>
          <w:szCs w:val="24"/>
          <w:lang w:val="sr-Latn-RS" w:eastAsia="sr-Cyrl-CS" w:bidi="sr-Cyrl-CS"/>
          <w14:ligatures w14:val="none"/>
        </w:rPr>
        <w:t>je</w:t>
      </w:r>
      <w:r w:rsidR="00530DF2" w:rsidRPr="00E413CB">
        <w:rPr>
          <w:rFonts w:ascii="Calibri" w:eastAsia="Calibri" w:hAnsi="Calibri" w:cs="Calibri"/>
          <w:kern w:val="0"/>
          <w:sz w:val="24"/>
          <w:szCs w:val="24"/>
          <w:lang w:val="sr-Latn-RS" w:eastAsia="sr-Cyrl-CS" w:bidi="sr-Cyrl-CS"/>
          <w14:ligatures w14:val="none"/>
        </w:rPr>
        <w:t xml:space="preserve"> </w:t>
      </w:r>
      <w:r w:rsidR="002F384F" w:rsidRPr="00E413CB">
        <w:rPr>
          <w:rFonts w:ascii="Calibri" w:eastAsia="Calibri" w:hAnsi="Calibri" w:cs="Calibri"/>
          <w:kern w:val="0"/>
          <w:sz w:val="24"/>
          <w:szCs w:val="24"/>
          <w:lang w:val="sr-Latn-RS" w:eastAsia="sr-Cyrl-CS" w:bidi="sr-Cyrl-CS"/>
          <w14:ligatures w14:val="none"/>
        </w:rPr>
        <w:t>cca. 7</w:t>
      </w:r>
      <w:r w:rsidR="00CB5533">
        <w:rPr>
          <w:rFonts w:ascii="Calibri" w:eastAsia="Calibri" w:hAnsi="Calibri" w:cs="Calibri"/>
          <w:kern w:val="0"/>
          <w:sz w:val="24"/>
          <w:szCs w:val="24"/>
          <w:lang w:val="sr-Latn-RS" w:eastAsia="sr-Cyrl-CS" w:bidi="sr-Cyrl-CS"/>
          <w14:ligatures w14:val="none"/>
        </w:rPr>
        <w:t>.</w:t>
      </w:r>
      <w:r w:rsidR="002F384F" w:rsidRPr="00E413CB">
        <w:rPr>
          <w:rFonts w:ascii="Calibri" w:eastAsia="Calibri" w:hAnsi="Calibri" w:cs="Calibri"/>
          <w:kern w:val="0"/>
          <w:sz w:val="24"/>
          <w:szCs w:val="24"/>
          <w:lang w:val="sr-Latn-RS" w:eastAsia="sr-Cyrl-CS" w:bidi="sr-Cyrl-CS"/>
          <w14:ligatures w14:val="none"/>
        </w:rPr>
        <w:t>6</w:t>
      </w:r>
      <w:r w:rsidR="00E413CB" w:rsidRPr="00E413CB">
        <w:rPr>
          <w:rFonts w:ascii="Calibri" w:eastAsia="Calibri" w:hAnsi="Calibri" w:cs="Calibri"/>
          <w:kern w:val="0"/>
          <w:sz w:val="24"/>
          <w:szCs w:val="24"/>
          <w:lang w:val="sr-Latn-RS" w:eastAsia="sr-Cyrl-CS" w:bidi="sr-Cyrl-CS"/>
          <w14:ligatures w14:val="none"/>
        </w:rPr>
        <w:t>50</w:t>
      </w:r>
      <w:r w:rsidR="00CB5533">
        <w:rPr>
          <w:rFonts w:ascii="Calibri" w:eastAsia="Calibri" w:hAnsi="Calibri" w:cs="Calibri"/>
          <w:kern w:val="0"/>
          <w:sz w:val="24"/>
          <w:szCs w:val="24"/>
          <w:lang w:val="sr-Latn-RS" w:eastAsia="sr-Cyrl-CS" w:bidi="sr-Cyrl-CS"/>
          <w14:ligatures w14:val="none"/>
        </w:rPr>
        <w:t>.</w:t>
      </w:r>
      <w:r w:rsidR="00E413CB" w:rsidRPr="00E413CB">
        <w:rPr>
          <w:rFonts w:ascii="Calibri" w:eastAsia="Calibri" w:hAnsi="Calibri" w:cs="Calibri"/>
          <w:kern w:val="0"/>
          <w:sz w:val="24"/>
          <w:szCs w:val="24"/>
          <w:lang w:val="sr-Latn-RS" w:eastAsia="sr-Cyrl-CS" w:bidi="sr-Cyrl-CS"/>
          <w14:ligatures w14:val="none"/>
        </w:rPr>
        <w:t>000</w:t>
      </w:r>
      <w:r w:rsidR="002F384F" w:rsidRPr="00E413CB">
        <w:rPr>
          <w:rFonts w:ascii="Calibri" w:eastAsia="Calibri" w:hAnsi="Calibri" w:cs="Calibri"/>
          <w:kern w:val="0"/>
          <w:sz w:val="24"/>
          <w:szCs w:val="24"/>
          <w:lang w:val="sr-Latn-RS" w:eastAsia="sr-Cyrl-CS" w:bidi="sr-Cyrl-CS"/>
          <w14:ligatures w14:val="none"/>
        </w:rPr>
        <w:t xml:space="preserve">.00 </w:t>
      </w:r>
      <w:r w:rsidR="00530DF2" w:rsidRPr="00E413CB">
        <w:rPr>
          <w:rFonts w:ascii="Calibri" w:eastAsia="Calibri" w:hAnsi="Calibri" w:cs="Calibri"/>
          <w:kern w:val="0"/>
          <w:sz w:val="24"/>
          <w:szCs w:val="24"/>
          <w:lang w:val="sr-Latn-RS" w:eastAsia="sr-Cyrl-CS" w:bidi="sr-Cyrl-CS"/>
          <w14:ligatures w14:val="none"/>
        </w:rPr>
        <w:t>eura.</w:t>
      </w:r>
      <w:r w:rsidR="00530DF2" w:rsidRPr="00530DF2">
        <w:rPr>
          <w:rFonts w:ascii="Calibri" w:eastAsia="Calibri" w:hAnsi="Calibri" w:cs="Calibri"/>
          <w:kern w:val="0"/>
          <w:sz w:val="24"/>
          <w:szCs w:val="24"/>
          <w:lang w:val="sr-Latn-RS" w:eastAsia="sr-Cyrl-CS" w:bidi="sr-Cyrl-CS"/>
          <w14:ligatures w14:val="none"/>
        </w:rPr>
        <w:t xml:space="preserve">  </w:t>
      </w:r>
      <w:r w:rsidR="000D24B8">
        <w:rPr>
          <w:rFonts w:ascii="Calibri" w:eastAsia="Calibri" w:hAnsi="Calibri" w:cs="Calibri"/>
          <w:kern w:val="0"/>
          <w:sz w:val="24"/>
          <w:szCs w:val="24"/>
          <w:lang w:val="sr-Latn-RS" w:eastAsia="sr-Cyrl-CS" w:bidi="sr-Cyrl-CS"/>
          <w14:ligatures w14:val="none"/>
        </w:rPr>
        <w:t xml:space="preserve">Dodatna sredstava za modernizaciju carinskih procedura u </w:t>
      </w:r>
      <w:r w:rsidR="000968F6">
        <w:rPr>
          <w:rFonts w:ascii="Calibri" w:eastAsia="Calibri" w:hAnsi="Calibri" w:cs="Calibri"/>
          <w:kern w:val="0"/>
          <w:sz w:val="24"/>
          <w:szCs w:val="24"/>
          <w:lang w:val="sr-Latn-RS" w:eastAsia="sr-Cyrl-CS" w:bidi="sr-Cyrl-CS"/>
          <w14:ligatures w14:val="none"/>
        </w:rPr>
        <w:t>b</w:t>
      </w:r>
      <w:r w:rsidR="000D24B8">
        <w:rPr>
          <w:rFonts w:ascii="Calibri" w:eastAsia="Calibri" w:hAnsi="Calibri" w:cs="Calibri"/>
          <w:kern w:val="0"/>
          <w:sz w:val="24"/>
          <w:szCs w:val="24"/>
          <w:lang w:val="sr-Latn-RS" w:eastAsia="sr-Cyrl-CS" w:bidi="sr-Cyrl-CS"/>
          <w14:ligatures w14:val="none"/>
        </w:rPr>
        <w:t xml:space="preserve">orbi protiv neformalne ekonomije iznosiće </w:t>
      </w:r>
      <w:r w:rsidR="000968F6">
        <w:rPr>
          <w:rFonts w:ascii="Calibri" w:eastAsia="Calibri" w:hAnsi="Calibri" w:cs="Calibri"/>
          <w:kern w:val="0"/>
          <w:sz w:val="24"/>
          <w:szCs w:val="24"/>
          <w:lang w:val="sr-Latn-RS" w:eastAsia="sr-Cyrl-CS" w:bidi="sr-Cyrl-CS"/>
          <w14:ligatures w14:val="none"/>
        </w:rPr>
        <w:t xml:space="preserve">1.161 eura u periodu 2024-2026. </w:t>
      </w:r>
    </w:p>
    <w:p w14:paraId="7328C39A" w14:textId="6BEBEBA6" w:rsidR="00507207" w:rsidRPr="002B47D4" w:rsidRDefault="00507207" w:rsidP="00507207">
      <w:pPr>
        <w:jc w:val="both"/>
        <w:rPr>
          <w:rFonts w:ascii="Calibri" w:eastAsia="Calibri" w:hAnsi="Calibri" w:cs="Calibri"/>
          <w:kern w:val="0"/>
          <w:sz w:val="24"/>
          <w:szCs w:val="24"/>
          <w:lang w:val="sr-Latn-RS" w:eastAsia="sr-Cyrl-CS" w:bidi="sr-Cyrl-CS"/>
          <w14:ligatures w14:val="none"/>
        </w:rPr>
      </w:pPr>
      <w:r w:rsidRPr="002B47D4">
        <w:rPr>
          <w:rFonts w:eastAsia="Calibri" w:cstheme="minorHAnsi"/>
          <w:b/>
          <w:noProof/>
          <w:kern w:val="0"/>
          <w:sz w:val="24"/>
          <w:szCs w:val="24"/>
          <w:lang w:val="sr-Latn-RS" w:eastAsia="sr-Cyrl-CS" w:bidi="sr-Cyrl-CS"/>
          <w14:ligatures w14:val="none"/>
        </w:rPr>
        <w:t>5.</w:t>
      </w:r>
      <w:r w:rsidRPr="002B47D4">
        <w:rPr>
          <w:rFonts w:ascii="Calibri" w:eastAsia="Calibri" w:hAnsi="Calibri" w:cs="Calibri"/>
          <w:b/>
          <w:kern w:val="0"/>
          <w:lang w:val="sr-Latn-RS" w:eastAsia="sr-Cyrl-CS" w:bidi="sr-Cyrl-CS"/>
          <w14:ligatures w14:val="none"/>
        </w:rPr>
        <w:t xml:space="preserve"> </w:t>
      </w:r>
      <w:r w:rsidRPr="002917EE">
        <w:rPr>
          <w:rFonts w:ascii="Calibri" w:eastAsia="Calibri" w:hAnsi="Calibri" w:cs="Calibri"/>
          <w:b/>
          <w:kern w:val="0"/>
          <w:sz w:val="24"/>
          <w:szCs w:val="24"/>
          <w:lang w:val="sr-Latn-RS" w:eastAsia="sr-Cyrl-CS" w:bidi="sr-Cyrl-CS"/>
          <w14:ligatures w14:val="none"/>
        </w:rPr>
        <w:t>Očekivani uticaj reformske mjere na socijalne ciljeve, kao što su zaposlenost, smanjenje siromaštva, rodna ravnopravnost i pristup zdravstvenim uslugama.</w:t>
      </w:r>
      <w:r w:rsidRPr="002917EE">
        <w:rPr>
          <w:rFonts w:ascii="Calibri" w:eastAsia="Calibri" w:hAnsi="Calibri" w:cs="Calibri"/>
          <w:kern w:val="0"/>
          <w:sz w:val="24"/>
          <w:szCs w:val="24"/>
          <w:lang w:val="sr-Latn-RS" w:eastAsia="sr-Cyrl-CS" w:bidi="sr-Cyrl-CS"/>
          <w14:ligatures w14:val="none"/>
        </w:rPr>
        <w:t xml:space="preserve"> Smanjenjem nivoa neformalne ekonomije stvaraju se uslovi za povećanje zaposlenosti,  a u srednjem roku doći će i do smanjenja siromaštva i socijalne jednakosti. Takođe, ostvariće se bolje funcionisanje tržišta rada usljed kvalitetnijeg nadzora i koordiniranog rada više inspekcija, kao i bolja  informisanost javnosti i veća vidljivost rada inspektora na terenu</w:t>
      </w:r>
      <w:r w:rsidRPr="002B47D4">
        <w:rPr>
          <w:rFonts w:ascii="Calibri" w:eastAsia="Calibri" w:hAnsi="Calibri" w:cs="Calibri"/>
          <w:kern w:val="0"/>
          <w:sz w:val="24"/>
          <w:szCs w:val="24"/>
          <w:lang w:val="sr-Latn-RS" w:eastAsia="sr-Cyrl-CS" w:bidi="sr-Cyrl-CS"/>
          <w14:ligatures w14:val="none"/>
        </w:rPr>
        <w:t>.</w:t>
      </w:r>
    </w:p>
    <w:p w14:paraId="6E7EC984" w14:textId="353673DC" w:rsidR="00507207" w:rsidRDefault="00507207" w:rsidP="00507207">
      <w:pPr>
        <w:jc w:val="both"/>
        <w:rPr>
          <w:rFonts w:ascii="Calibri" w:eastAsia="Calibri" w:hAnsi="Calibri" w:cs="Calibri"/>
          <w:kern w:val="0"/>
          <w:sz w:val="24"/>
          <w:szCs w:val="24"/>
          <w:lang w:val="sr-Latn-RS" w:eastAsia="sr-Cyrl-CS" w:bidi="sr-Cyrl-CS"/>
          <w14:ligatures w14:val="none"/>
        </w:rPr>
      </w:pPr>
      <w:r w:rsidRPr="002B47D4">
        <w:rPr>
          <w:rFonts w:eastAsia="Calibri" w:cstheme="minorHAnsi"/>
          <w:b/>
          <w:noProof/>
          <w:kern w:val="0"/>
          <w:sz w:val="24"/>
          <w:szCs w:val="24"/>
          <w:lang w:val="sr-Latn-RS" w:eastAsia="sr-Cyrl-CS" w:bidi="sr-Cyrl-CS"/>
          <w14:ligatures w14:val="none"/>
        </w:rPr>
        <w:t>6.</w:t>
      </w:r>
      <w:r w:rsidRPr="002B47D4">
        <w:rPr>
          <w:rFonts w:ascii="Calibri" w:eastAsia="Calibri" w:hAnsi="Calibri" w:cs="Calibri"/>
          <w:kern w:val="0"/>
          <w:sz w:val="24"/>
          <w:szCs w:val="24"/>
          <w:lang w:val="sr-Latn-RS" w:eastAsia="sr-Cyrl-CS" w:bidi="sr-Cyrl-CS"/>
          <w14:ligatures w14:val="none"/>
        </w:rPr>
        <w:t xml:space="preserve"> </w:t>
      </w:r>
      <w:r w:rsidRPr="002B47D4">
        <w:rPr>
          <w:rFonts w:ascii="Calibri" w:eastAsia="Calibri" w:hAnsi="Calibri" w:cs="Calibri"/>
          <w:b/>
          <w:bCs/>
          <w:kern w:val="0"/>
          <w:sz w:val="24"/>
          <w:szCs w:val="24"/>
          <w:lang w:val="sr-Latn-RS" w:eastAsia="sr-Cyrl-CS" w:bidi="sr-Cyrl-CS"/>
          <w14:ligatures w14:val="none"/>
        </w:rPr>
        <w:t>Očekivani uticaj na životnu sredinu i klimatske promjene.</w:t>
      </w:r>
      <w:r w:rsidR="002A00FF" w:rsidRPr="002B47D4">
        <w:rPr>
          <w:rFonts w:ascii="Calibri" w:eastAsia="Calibri" w:hAnsi="Calibri" w:cs="Calibri"/>
          <w:b/>
          <w:bCs/>
          <w:kern w:val="0"/>
          <w:sz w:val="24"/>
          <w:szCs w:val="24"/>
          <w:lang w:val="sr-Latn-RS" w:eastAsia="sr-Cyrl-CS" w:bidi="sr-Cyrl-CS"/>
          <w14:ligatures w14:val="none"/>
        </w:rPr>
        <w:t xml:space="preserve"> </w:t>
      </w:r>
      <w:r w:rsidRPr="002B47D4">
        <w:rPr>
          <w:rFonts w:ascii="Calibri" w:eastAsia="Calibri" w:hAnsi="Calibri" w:cs="Calibri"/>
          <w:kern w:val="0"/>
          <w:sz w:val="24"/>
          <w:szCs w:val="24"/>
          <w:lang w:val="sr-Latn-RS" w:eastAsia="sr-Cyrl-CS" w:bidi="sr-Cyrl-CS"/>
          <w14:ligatures w14:val="none"/>
        </w:rPr>
        <w:t xml:space="preserve">Implementacija akcionog plana će imati višestruki pozitivan uticaj na životnu srednu kroz digitalizaciju sprovođenja poslovnih procesa, </w:t>
      </w:r>
      <w:r w:rsidR="001B5449" w:rsidRPr="002B47D4">
        <w:rPr>
          <w:rFonts w:ascii="Calibri" w:eastAsia="Calibri" w:hAnsi="Calibri" w:cs="Calibri"/>
          <w:kern w:val="0"/>
          <w:sz w:val="24"/>
          <w:szCs w:val="24"/>
          <w:lang w:val="sr-Latn-RS" w:eastAsia="sr-Cyrl-CS" w:bidi="sr-Cyrl-CS"/>
          <w14:ligatures w14:val="none"/>
        </w:rPr>
        <w:t>stimulativnim mjerama za otvaranje zelenih radnih mjesta u oblasti poljoprivrede,</w:t>
      </w:r>
      <w:r w:rsidR="001B5449">
        <w:rPr>
          <w:rFonts w:ascii="Calibri" w:eastAsia="Calibri" w:hAnsi="Calibri" w:cs="Calibri"/>
          <w:kern w:val="0"/>
          <w:sz w:val="24"/>
          <w:szCs w:val="24"/>
          <w:lang w:val="sr-Latn-RS" w:eastAsia="sr-Cyrl-CS" w:bidi="sr-Cyrl-CS"/>
          <w14:ligatures w14:val="none"/>
        </w:rPr>
        <w:t xml:space="preserve"> šumarstva i turizma, </w:t>
      </w:r>
      <w:r w:rsidRPr="002A00FF">
        <w:rPr>
          <w:rFonts w:ascii="Calibri" w:eastAsia="Calibri" w:hAnsi="Calibri" w:cs="Calibri"/>
          <w:kern w:val="0"/>
          <w:sz w:val="24"/>
          <w:szCs w:val="24"/>
          <w:lang w:val="sr-Latn-RS" w:eastAsia="sr-Cyrl-CS" w:bidi="sr-Cyrl-CS"/>
          <w14:ligatures w14:val="none"/>
        </w:rPr>
        <w:t>povećanjem broja inspekcijskih kontrola u raznim segmentima (turizam, šumarstvo, rad, socijalna zaštita i sl.)</w:t>
      </w:r>
      <w:r w:rsidR="001B5449">
        <w:rPr>
          <w:rFonts w:ascii="Calibri" w:eastAsia="Calibri" w:hAnsi="Calibri" w:cs="Calibri"/>
          <w:kern w:val="0"/>
          <w:sz w:val="24"/>
          <w:szCs w:val="24"/>
          <w:lang w:val="sr-Latn-RS" w:eastAsia="sr-Cyrl-CS" w:bidi="sr-Cyrl-CS"/>
          <w14:ligatures w14:val="none"/>
        </w:rPr>
        <w:t>.</w:t>
      </w:r>
    </w:p>
    <w:p w14:paraId="4209F813" w14:textId="77777777" w:rsidR="00507207" w:rsidRPr="00507207" w:rsidRDefault="00507207" w:rsidP="00507207">
      <w:pPr>
        <w:jc w:val="both"/>
        <w:rPr>
          <w:rFonts w:eastAsia="Calibri" w:cstheme="minorHAnsi"/>
          <w:b/>
          <w:noProof/>
          <w:kern w:val="0"/>
          <w:sz w:val="24"/>
          <w:szCs w:val="24"/>
          <w:lang w:val="sr-Latn-RS" w:eastAsia="sr-Cyrl-CS" w:bidi="sr-Cyrl-CS"/>
          <w14:ligatures w14:val="none"/>
        </w:rPr>
      </w:pPr>
      <w:r>
        <w:rPr>
          <w:rFonts w:eastAsia="Calibri" w:cstheme="minorHAnsi"/>
          <w:b/>
          <w:noProof/>
          <w:kern w:val="0"/>
          <w:sz w:val="24"/>
          <w:szCs w:val="24"/>
          <w:lang w:val="sr-Latn-RS" w:eastAsia="sr-Cyrl-CS" w:bidi="sr-Cyrl-CS"/>
          <w14:ligatures w14:val="none"/>
        </w:rPr>
        <w:lastRenderedPageBreak/>
        <w:t xml:space="preserve">7. Potencijalni rizici. </w:t>
      </w:r>
    </w:p>
    <w:tbl>
      <w:tblPr>
        <w:tblStyle w:val="GridTable1Light-Accent5"/>
        <w:tblW w:w="9535" w:type="dxa"/>
        <w:tblLayout w:type="fixed"/>
        <w:tblLook w:val="04A0" w:firstRow="1" w:lastRow="0" w:firstColumn="1" w:lastColumn="0" w:noHBand="0" w:noVBand="1"/>
      </w:tblPr>
      <w:tblGrid>
        <w:gridCol w:w="3865"/>
        <w:gridCol w:w="1980"/>
        <w:gridCol w:w="3690"/>
      </w:tblGrid>
      <w:tr w:rsidR="00507207" w:rsidRPr="00082B85" w14:paraId="06AF5D43" w14:textId="77777777" w:rsidTr="004D42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65" w:type="dxa"/>
          </w:tcPr>
          <w:p w14:paraId="137EC93F" w14:textId="77777777" w:rsidR="00507207" w:rsidRPr="00082B85" w:rsidRDefault="00507207" w:rsidP="00507207">
            <w:pPr>
              <w:jc w:val="center"/>
              <w:rPr>
                <w:rFonts w:ascii="Calibri" w:eastAsia="Calibri" w:hAnsi="Calibri" w:cs="Calibri"/>
                <w:sz w:val="20"/>
                <w:szCs w:val="20"/>
                <w:lang w:val="sr-Latn-RS"/>
              </w:rPr>
            </w:pPr>
            <w:r w:rsidRPr="00082B85">
              <w:rPr>
                <w:rFonts w:ascii="Calibri" w:eastAsia="Calibri" w:hAnsi="Calibri" w:cs="Calibri"/>
                <w:sz w:val="20"/>
                <w:szCs w:val="20"/>
                <w:lang w:val="sr-Latn-RS"/>
              </w:rPr>
              <w:t xml:space="preserve">Rizik </w:t>
            </w:r>
          </w:p>
        </w:tc>
        <w:tc>
          <w:tcPr>
            <w:tcW w:w="1980" w:type="dxa"/>
          </w:tcPr>
          <w:p w14:paraId="01FB2F49" w14:textId="77777777" w:rsidR="00507207" w:rsidRPr="00082B85" w:rsidRDefault="00507207" w:rsidP="00507207">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0"/>
                <w:szCs w:val="20"/>
                <w:lang w:val="sr-Latn-RS"/>
              </w:rPr>
            </w:pPr>
            <w:r w:rsidRPr="00082B85">
              <w:rPr>
                <w:rFonts w:ascii="Calibri" w:eastAsia="Calibri" w:hAnsi="Calibri" w:cs="Calibri"/>
                <w:sz w:val="20"/>
                <w:szCs w:val="20"/>
                <w:lang w:val="sr-Latn-RS"/>
              </w:rPr>
              <w:t>Vjerovatnoća za ostvarivanje rizika (niska ili visoka)</w:t>
            </w:r>
          </w:p>
        </w:tc>
        <w:tc>
          <w:tcPr>
            <w:tcW w:w="3690" w:type="dxa"/>
          </w:tcPr>
          <w:p w14:paraId="1C51BC3E" w14:textId="77777777" w:rsidR="00507207" w:rsidRPr="00082B85" w:rsidRDefault="00507207" w:rsidP="00507207">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0"/>
                <w:szCs w:val="20"/>
                <w:lang w:val="sr-Latn-RS"/>
              </w:rPr>
            </w:pPr>
            <w:r w:rsidRPr="00082B85">
              <w:rPr>
                <w:rFonts w:ascii="Calibri" w:eastAsia="Calibri" w:hAnsi="Calibri" w:cs="Calibri"/>
                <w:sz w:val="20"/>
                <w:szCs w:val="20"/>
                <w:lang w:val="sr-Latn-RS"/>
              </w:rPr>
              <w:t>Planirane aktivnosti ublažavanja negativnih efekata rizika</w:t>
            </w:r>
          </w:p>
        </w:tc>
      </w:tr>
      <w:tr w:rsidR="00507207" w:rsidRPr="00082B85" w14:paraId="78321CC7" w14:textId="77777777" w:rsidTr="004D422C">
        <w:tc>
          <w:tcPr>
            <w:cnfStyle w:val="001000000000" w:firstRow="0" w:lastRow="0" w:firstColumn="1" w:lastColumn="0" w:oddVBand="0" w:evenVBand="0" w:oddHBand="0" w:evenHBand="0" w:firstRowFirstColumn="0" w:firstRowLastColumn="0" w:lastRowFirstColumn="0" w:lastRowLastColumn="0"/>
            <w:tcW w:w="3865" w:type="dxa"/>
          </w:tcPr>
          <w:p w14:paraId="10998971" w14:textId="77777777" w:rsidR="00507207" w:rsidRPr="00082B85" w:rsidRDefault="00507207" w:rsidP="00BD7CF1">
            <w:pPr>
              <w:jc w:val="both"/>
              <w:rPr>
                <w:rFonts w:ascii="Calibri" w:eastAsia="Calibri" w:hAnsi="Calibri" w:cs="Calibri"/>
                <w:b w:val="0"/>
                <w:bCs w:val="0"/>
                <w:sz w:val="20"/>
                <w:szCs w:val="20"/>
                <w:lang w:val="sr-Latn-RS"/>
              </w:rPr>
            </w:pPr>
            <w:r w:rsidRPr="00082B85">
              <w:rPr>
                <w:rFonts w:ascii="Calibri" w:eastAsia="Calibri" w:hAnsi="Calibri" w:cs="Calibri"/>
                <w:b w:val="0"/>
                <w:bCs w:val="0"/>
                <w:sz w:val="20"/>
                <w:szCs w:val="20"/>
                <w:lang w:val="sr-Latn-RS"/>
              </w:rPr>
              <w:t xml:space="preserve">Nedovoljna koordinacija rada na  implementaciji planiranih aktivnosti što može dovesti do odlaganja rokova za implementaciju </w:t>
            </w:r>
          </w:p>
        </w:tc>
        <w:tc>
          <w:tcPr>
            <w:tcW w:w="1980" w:type="dxa"/>
          </w:tcPr>
          <w:p w14:paraId="6D3A6D12" w14:textId="7603C107" w:rsidR="00507207" w:rsidRPr="00082B85" w:rsidRDefault="00507207" w:rsidP="0050720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sr-Latn-RS"/>
              </w:rPr>
            </w:pPr>
            <w:r w:rsidRPr="00082B85">
              <w:rPr>
                <w:rFonts w:ascii="Calibri" w:eastAsia="Calibri" w:hAnsi="Calibri" w:cs="Calibri"/>
                <w:sz w:val="20"/>
                <w:szCs w:val="20"/>
                <w:lang w:val="sr-Latn-RS"/>
              </w:rPr>
              <w:t>visok</w:t>
            </w:r>
            <w:r w:rsidR="00727788" w:rsidRPr="00082B85">
              <w:rPr>
                <w:rFonts w:ascii="Calibri" w:eastAsia="Calibri" w:hAnsi="Calibri" w:cs="Calibri"/>
                <w:sz w:val="20"/>
                <w:szCs w:val="20"/>
                <w:lang w:val="sr-Latn-RS"/>
              </w:rPr>
              <w:t>a</w:t>
            </w:r>
          </w:p>
        </w:tc>
        <w:tc>
          <w:tcPr>
            <w:tcW w:w="3690" w:type="dxa"/>
          </w:tcPr>
          <w:p w14:paraId="75772E24" w14:textId="77777777" w:rsidR="00507207" w:rsidRPr="00082B85" w:rsidRDefault="00507207" w:rsidP="00411FFF">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sr-Latn-RS"/>
              </w:rPr>
            </w:pPr>
            <w:r w:rsidRPr="00082B85">
              <w:rPr>
                <w:rFonts w:ascii="Calibri" w:eastAsia="Calibri" w:hAnsi="Calibri" w:cs="Calibri"/>
                <w:sz w:val="20"/>
                <w:szCs w:val="20"/>
                <w:lang w:val="sr-Latn-RS"/>
              </w:rPr>
              <w:t>Podizanje nivoa svijesti o potrebi zajedničkog djelovanja, kao i pravovremeno preduzimanje aktivnosti na revidiranju akcionog plana</w:t>
            </w:r>
          </w:p>
        </w:tc>
      </w:tr>
      <w:tr w:rsidR="00507207" w:rsidRPr="00082B85" w14:paraId="2E03ED9D" w14:textId="77777777" w:rsidTr="004D422C">
        <w:tc>
          <w:tcPr>
            <w:cnfStyle w:val="001000000000" w:firstRow="0" w:lastRow="0" w:firstColumn="1" w:lastColumn="0" w:oddVBand="0" w:evenVBand="0" w:oddHBand="0" w:evenHBand="0" w:firstRowFirstColumn="0" w:firstRowLastColumn="0" w:lastRowFirstColumn="0" w:lastRowLastColumn="0"/>
            <w:tcW w:w="3865" w:type="dxa"/>
          </w:tcPr>
          <w:p w14:paraId="74A2785C" w14:textId="77777777" w:rsidR="00507207" w:rsidRPr="00082B85" w:rsidRDefault="00507207" w:rsidP="00411FFF">
            <w:pPr>
              <w:jc w:val="both"/>
              <w:rPr>
                <w:rFonts w:ascii="Calibri" w:eastAsia="Calibri" w:hAnsi="Calibri" w:cs="Calibri"/>
                <w:b w:val="0"/>
                <w:bCs w:val="0"/>
                <w:sz w:val="20"/>
                <w:szCs w:val="20"/>
                <w:lang w:val="sr-Latn-RS"/>
              </w:rPr>
            </w:pPr>
            <w:r w:rsidRPr="00082B85">
              <w:rPr>
                <w:rFonts w:ascii="Calibri" w:eastAsia="Calibri" w:hAnsi="Calibri" w:cs="Times New Roman"/>
                <w:b w:val="0"/>
                <w:bCs w:val="0"/>
                <w:sz w:val="20"/>
                <w:szCs w:val="20"/>
              </w:rPr>
              <w:t>Neblagovremene izmjene zakonske regulative</w:t>
            </w:r>
          </w:p>
        </w:tc>
        <w:tc>
          <w:tcPr>
            <w:tcW w:w="1980" w:type="dxa"/>
          </w:tcPr>
          <w:p w14:paraId="17F04FA5" w14:textId="77777777" w:rsidR="00507207" w:rsidRPr="00082B85" w:rsidRDefault="00507207" w:rsidP="0050720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sr-Latn-RS"/>
              </w:rPr>
            </w:pPr>
            <w:r w:rsidRPr="00082B85">
              <w:rPr>
                <w:rFonts w:ascii="Calibri" w:eastAsia="Calibri" w:hAnsi="Calibri" w:cs="Times New Roman"/>
                <w:sz w:val="20"/>
                <w:szCs w:val="20"/>
              </w:rPr>
              <w:t>niska</w:t>
            </w:r>
          </w:p>
        </w:tc>
        <w:tc>
          <w:tcPr>
            <w:tcW w:w="3690" w:type="dxa"/>
          </w:tcPr>
          <w:p w14:paraId="792C27E8" w14:textId="77777777" w:rsidR="00507207" w:rsidRPr="00082B85" w:rsidRDefault="00507207" w:rsidP="00411FFF">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sr-Latn-RS"/>
              </w:rPr>
            </w:pPr>
            <w:r w:rsidRPr="00082B85">
              <w:rPr>
                <w:rFonts w:ascii="Calibri" w:eastAsia="Calibri" w:hAnsi="Calibri" w:cs="Times New Roman"/>
                <w:sz w:val="20"/>
                <w:szCs w:val="20"/>
              </w:rPr>
              <w:t>Adekvatne i konkretne analize izmjene zakonske regulative doprinijeće skraćenju postupka donošenja zakonske regulative.</w:t>
            </w:r>
          </w:p>
        </w:tc>
      </w:tr>
      <w:tr w:rsidR="00507207" w:rsidRPr="00082B85" w14:paraId="75494F1C" w14:textId="77777777" w:rsidTr="004D422C">
        <w:tc>
          <w:tcPr>
            <w:cnfStyle w:val="001000000000" w:firstRow="0" w:lastRow="0" w:firstColumn="1" w:lastColumn="0" w:oddVBand="0" w:evenVBand="0" w:oddHBand="0" w:evenHBand="0" w:firstRowFirstColumn="0" w:firstRowLastColumn="0" w:lastRowFirstColumn="0" w:lastRowLastColumn="0"/>
            <w:tcW w:w="3865" w:type="dxa"/>
          </w:tcPr>
          <w:p w14:paraId="67BF5D1A" w14:textId="77777777" w:rsidR="00507207" w:rsidRPr="00082B85" w:rsidRDefault="00507207" w:rsidP="00411FFF">
            <w:pPr>
              <w:jc w:val="both"/>
              <w:rPr>
                <w:rFonts w:ascii="Calibri" w:eastAsia="Calibri" w:hAnsi="Calibri" w:cs="Calibri"/>
                <w:b w:val="0"/>
                <w:bCs w:val="0"/>
                <w:sz w:val="20"/>
                <w:szCs w:val="20"/>
                <w:lang w:val="sr-Latn-RS"/>
              </w:rPr>
            </w:pPr>
            <w:r w:rsidRPr="00082B85">
              <w:rPr>
                <w:rFonts w:ascii="Calibri" w:eastAsia="Calibri" w:hAnsi="Calibri" w:cs="Times New Roman"/>
                <w:b w:val="0"/>
                <w:bCs w:val="0"/>
                <w:sz w:val="20"/>
                <w:szCs w:val="20"/>
              </w:rPr>
              <w:t>Opasnost od sajber napada na informatičku strukturu, ugrožavanje zaštite podataka i sistema</w:t>
            </w:r>
          </w:p>
        </w:tc>
        <w:tc>
          <w:tcPr>
            <w:tcW w:w="1980" w:type="dxa"/>
          </w:tcPr>
          <w:p w14:paraId="336389B6" w14:textId="6B2B2857" w:rsidR="00507207" w:rsidRPr="00082B85" w:rsidRDefault="00CE58DE" w:rsidP="0050720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sr-Latn-RS"/>
              </w:rPr>
            </w:pPr>
            <w:r w:rsidRPr="00082B85">
              <w:rPr>
                <w:rFonts w:ascii="Calibri" w:eastAsia="Calibri" w:hAnsi="Calibri" w:cs="Times New Roman"/>
                <w:sz w:val="20"/>
                <w:szCs w:val="20"/>
              </w:rPr>
              <w:t>niska</w:t>
            </w:r>
          </w:p>
        </w:tc>
        <w:tc>
          <w:tcPr>
            <w:tcW w:w="3690" w:type="dxa"/>
          </w:tcPr>
          <w:p w14:paraId="0CA6C7BD" w14:textId="77777777" w:rsidR="00507207" w:rsidRPr="00082B85" w:rsidRDefault="00507207" w:rsidP="00411FFF">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sr-Latn-RS"/>
              </w:rPr>
            </w:pPr>
            <w:r w:rsidRPr="00082B85">
              <w:rPr>
                <w:rFonts w:ascii="Calibri" w:eastAsia="Calibri" w:hAnsi="Calibri" w:cs="Times New Roman"/>
                <w:sz w:val="20"/>
                <w:szCs w:val="20"/>
              </w:rPr>
              <w:t>Ulaganje u korporativnu bezbjednost i rano otkrivanje prijetnji, investicije u mjere sajber zaštite</w:t>
            </w:r>
          </w:p>
        </w:tc>
      </w:tr>
    </w:tbl>
    <w:p w14:paraId="0EAC20AC" w14:textId="77777777" w:rsidR="00411FFF" w:rsidRDefault="00411FFF" w:rsidP="009D0E01">
      <w:pPr>
        <w:pStyle w:val="Heading3"/>
        <w:rPr>
          <w:b/>
          <w:bCs/>
          <w:color w:val="002465"/>
          <w:lang w:val="sr-Latn-ME"/>
        </w:rPr>
      </w:pPr>
    </w:p>
    <w:p w14:paraId="365BB782" w14:textId="3032246C" w:rsidR="00040011" w:rsidRPr="0047692E" w:rsidRDefault="00040011" w:rsidP="0047692E">
      <w:pPr>
        <w:rPr>
          <w:color w:val="1F3864" w:themeColor="accent1" w:themeShade="80"/>
          <w:sz w:val="26"/>
          <w:szCs w:val="26"/>
          <w:lang w:val="sr-Latn-ME" w:bidi="sr-Cyrl-CS"/>
        </w:rPr>
      </w:pPr>
      <w:r w:rsidRPr="0047692E">
        <w:rPr>
          <w:color w:val="1F3864" w:themeColor="accent1" w:themeShade="80"/>
          <w:sz w:val="26"/>
          <w:szCs w:val="26"/>
          <w:lang w:val="sr-Latn-ME"/>
        </w:rPr>
        <w:t xml:space="preserve">Strukturna reforma 2: </w:t>
      </w:r>
      <w:bookmarkStart w:id="162" w:name="_Hlk152504204"/>
      <w:r w:rsidR="00EF4996" w:rsidRPr="0047692E">
        <w:rPr>
          <w:color w:val="1F3864" w:themeColor="accent1" w:themeShade="80"/>
          <w:sz w:val="26"/>
          <w:szCs w:val="26"/>
          <w:lang w:val="sr-Latn-RS" w:eastAsia="sr-Cyrl-CS" w:bidi="sr-Cyrl-CS"/>
        </w:rPr>
        <w:t>Reforma preduzeća u većinskom vlasništvu države</w:t>
      </w:r>
      <w:r w:rsidR="00EF4996" w:rsidRPr="0047692E">
        <w:rPr>
          <w:rFonts w:ascii="Cambria" w:hAnsi="Cambria" w:cs="Calibri"/>
          <w:color w:val="1F3864" w:themeColor="accent1" w:themeShade="80"/>
          <w:sz w:val="26"/>
          <w:szCs w:val="26"/>
          <w:lang w:val="sr-Latn-RS" w:eastAsia="sr-Cyrl-CS" w:bidi="sr-Cyrl-CS"/>
        </w:rPr>
        <w:t xml:space="preserve"> </w:t>
      </w:r>
      <w:bookmarkEnd w:id="162"/>
    </w:p>
    <w:p w14:paraId="542FBB1E" w14:textId="4627C772" w:rsidR="00EF4996" w:rsidRPr="00D67AF7" w:rsidRDefault="001556A8" w:rsidP="003A0585">
      <w:pPr>
        <w:jc w:val="both"/>
        <w:rPr>
          <w:rFonts w:cstheme="minorHAnsi"/>
          <w:sz w:val="24"/>
          <w:szCs w:val="24"/>
          <w:lang w:bidi="sr-Cyrl-CS"/>
        </w:rPr>
      </w:pPr>
      <w:r w:rsidRPr="001556A8">
        <w:rPr>
          <w:rFonts w:cstheme="minorHAnsi"/>
          <w:sz w:val="24"/>
          <w:szCs w:val="24"/>
          <w:lang w:val="sr-Latn-ME" w:bidi="sr-Cyrl-CS"/>
        </w:rPr>
        <w:t xml:space="preserve">Predložena strukturna reforma se </w:t>
      </w:r>
      <w:r>
        <w:rPr>
          <w:rFonts w:cstheme="minorHAnsi"/>
          <w:sz w:val="24"/>
          <w:szCs w:val="24"/>
          <w:lang w:val="sr-Latn-ME" w:bidi="sr-Cyrl-CS"/>
        </w:rPr>
        <w:t>odnosi na reformsku podoblast</w:t>
      </w:r>
      <w:r w:rsidRPr="001556A8">
        <w:rPr>
          <w:rFonts w:cstheme="minorHAnsi"/>
          <w:sz w:val="24"/>
          <w:szCs w:val="24"/>
          <w:lang w:val="sr-Latn-ME" w:bidi="sr-Cyrl-CS"/>
        </w:rPr>
        <w:t>: „</w:t>
      </w:r>
      <w:r w:rsidRPr="001556A8">
        <w:rPr>
          <w:rFonts w:cstheme="minorHAnsi"/>
          <w:sz w:val="24"/>
          <w:szCs w:val="24"/>
          <w:lang w:bidi="sr-Cyrl-CS"/>
        </w:rPr>
        <w:t>Državna preduzeća</w:t>
      </w:r>
      <w:r>
        <w:rPr>
          <w:rFonts w:cstheme="minorHAnsi"/>
          <w:sz w:val="24"/>
          <w:szCs w:val="24"/>
          <w:lang w:bidi="sr-Cyrl-CS"/>
        </w:rPr>
        <w:t>.</w:t>
      </w:r>
      <w:r w:rsidRPr="001556A8">
        <w:rPr>
          <w:rFonts w:cstheme="minorHAnsi"/>
          <w:sz w:val="24"/>
          <w:szCs w:val="24"/>
          <w:lang w:bidi="sr-Cyrl-CS"/>
        </w:rPr>
        <w:t>”</w:t>
      </w:r>
      <w:r w:rsidR="007C7F00">
        <w:rPr>
          <w:rFonts w:cstheme="minorHAnsi"/>
          <w:sz w:val="24"/>
          <w:szCs w:val="24"/>
          <w:lang w:bidi="sr-Cyrl-CS"/>
        </w:rPr>
        <w:t xml:space="preserve"> </w:t>
      </w:r>
      <w:r w:rsidR="005758C9">
        <w:rPr>
          <w:rFonts w:cstheme="minorHAnsi"/>
          <w:sz w:val="24"/>
          <w:szCs w:val="24"/>
          <w:lang w:bidi="sr-Cyrl-CS"/>
        </w:rPr>
        <w:t xml:space="preserve">Njen cilj </w:t>
      </w:r>
      <w:r w:rsidR="007C7F00">
        <w:rPr>
          <w:rFonts w:cstheme="minorHAnsi"/>
          <w:sz w:val="24"/>
          <w:szCs w:val="24"/>
          <w:lang w:bidi="sr-Cyrl-CS"/>
        </w:rPr>
        <w:t>je definisanje jasnog strateškog pristupa u nadzoru nad radom državnih preduzeća uz definisanje optimalnog modela i mehanizama nadzora</w:t>
      </w:r>
      <w:r w:rsidR="003E2F43">
        <w:rPr>
          <w:rFonts w:cstheme="minorHAnsi"/>
          <w:sz w:val="24"/>
          <w:szCs w:val="24"/>
          <w:lang w:bidi="sr-Cyrl-CS"/>
        </w:rPr>
        <w:t xml:space="preserve"> radi poboljšanja poslovnih performansi</w:t>
      </w:r>
      <w:r w:rsidR="00FC59F3">
        <w:rPr>
          <w:rFonts w:cstheme="minorHAnsi"/>
          <w:sz w:val="24"/>
          <w:szCs w:val="24"/>
          <w:lang w:bidi="sr-Cyrl-CS"/>
        </w:rPr>
        <w:t xml:space="preserve"> privrednih društava u većinskom vlasništvu države (u d</w:t>
      </w:r>
      <w:r w:rsidR="0011774A">
        <w:rPr>
          <w:rFonts w:cstheme="minorHAnsi"/>
          <w:sz w:val="24"/>
          <w:szCs w:val="24"/>
          <w:lang w:bidi="sr-Cyrl-CS"/>
        </w:rPr>
        <w:t>alj</w:t>
      </w:r>
      <w:r w:rsidR="00FC59F3">
        <w:rPr>
          <w:rFonts w:cstheme="minorHAnsi"/>
          <w:sz w:val="24"/>
          <w:szCs w:val="24"/>
          <w:lang w:bidi="sr-Cyrl-CS"/>
        </w:rPr>
        <w:t>em tekstu: državna preduzeća)</w:t>
      </w:r>
      <w:r w:rsidR="007C7F00">
        <w:rPr>
          <w:rFonts w:cstheme="minorHAnsi"/>
          <w:sz w:val="24"/>
          <w:szCs w:val="24"/>
          <w:lang w:bidi="sr-Cyrl-CS"/>
        </w:rPr>
        <w:t xml:space="preserve">. Strukturna reforma </w:t>
      </w:r>
      <w:r w:rsidR="003E2F43">
        <w:rPr>
          <w:rFonts w:cstheme="minorHAnsi"/>
          <w:sz w:val="24"/>
          <w:szCs w:val="24"/>
          <w:lang w:bidi="sr-Cyrl-CS"/>
        </w:rPr>
        <w:t xml:space="preserve">će obuhvatiti definisanje strateškog okvira i pravaca za nadzor nad radom nefinansijskih državnih preduzeća, kao i mehanizam transformacije Investiciono-razvojnog fonda Crne Gore, kao državnog preduzeća u finansijskom sektoru. </w:t>
      </w:r>
    </w:p>
    <w:p w14:paraId="45440CE2" w14:textId="462A45A4" w:rsidR="004E2900" w:rsidRPr="002D4036" w:rsidRDefault="004E2900" w:rsidP="003A0585">
      <w:pPr>
        <w:jc w:val="both"/>
        <w:rPr>
          <w:rFonts w:ascii="Calibri" w:eastAsia="Calibri" w:hAnsi="Calibri" w:cs="Calibri"/>
          <w:b/>
          <w:bCs/>
          <w:i/>
          <w:iCs/>
          <w:color w:val="002465"/>
          <w:kern w:val="0"/>
          <w:sz w:val="24"/>
          <w:szCs w:val="24"/>
          <w:lang w:val="sr-Latn-ME" w:eastAsia="sr-Cyrl-CS" w:bidi="sr-Cyrl-CS"/>
          <w14:ligatures w14:val="none"/>
        </w:rPr>
      </w:pPr>
      <w:r w:rsidRPr="002D4036">
        <w:rPr>
          <w:rFonts w:ascii="Calibri" w:hAnsi="Calibri" w:cs="Calibri"/>
          <w:i/>
          <w:iCs/>
          <w:color w:val="002465"/>
          <w:sz w:val="24"/>
          <w:szCs w:val="24"/>
          <w:lang w:val="sr-Latn-ME"/>
        </w:rPr>
        <w:t xml:space="preserve">Reformska mjera br. </w:t>
      </w:r>
      <w:r w:rsidR="00600332" w:rsidRPr="002D4036">
        <w:rPr>
          <w:rFonts w:ascii="Calibri" w:hAnsi="Calibri" w:cs="Calibri"/>
          <w:i/>
          <w:iCs/>
          <w:color w:val="002465"/>
          <w:sz w:val="24"/>
          <w:szCs w:val="24"/>
          <w:lang w:val="sr-Latn-ME"/>
        </w:rPr>
        <w:t>2</w:t>
      </w:r>
      <w:r w:rsidR="00EF4996" w:rsidRPr="002D4036">
        <w:rPr>
          <w:rFonts w:ascii="Calibri" w:hAnsi="Calibri" w:cs="Calibri"/>
          <w:i/>
          <w:iCs/>
          <w:color w:val="002465"/>
          <w:sz w:val="24"/>
          <w:szCs w:val="24"/>
          <w:lang w:val="sr-Latn-ME"/>
        </w:rPr>
        <w:t>.</w:t>
      </w:r>
      <w:r w:rsidR="00EF4996" w:rsidRPr="002D4036">
        <w:rPr>
          <w:rFonts w:ascii="Calibri" w:eastAsia="Calibri" w:hAnsi="Calibri" w:cs="Calibri"/>
          <w:b/>
          <w:i/>
          <w:iCs/>
          <w:smallCaps/>
          <w:color w:val="002465"/>
          <w:kern w:val="0"/>
          <w:sz w:val="24"/>
          <w:szCs w:val="24"/>
          <w:lang w:val="sr-Latn-RS"/>
          <w14:ligatures w14:val="none"/>
        </w:rPr>
        <w:t xml:space="preserve"> </w:t>
      </w:r>
      <w:r w:rsidR="00EF4996" w:rsidRPr="002D4036">
        <w:rPr>
          <w:rFonts w:ascii="Calibri" w:eastAsia="Calibri" w:hAnsi="Calibri" w:cs="Calibri"/>
          <w:i/>
          <w:iCs/>
          <w:color w:val="002465"/>
          <w:kern w:val="0"/>
          <w:sz w:val="24"/>
          <w:szCs w:val="24"/>
          <w:lang w:eastAsia="sr-Cyrl-CS" w:bidi="sr-Cyrl-CS"/>
          <w14:ligatures w14:val="none"/>
        </w:rPr>
        <w:t xml:space="preserve">Uspostavljanje </w:t>
      </w:r>
      <w:r w:rsidR="00EF4996" w:rsidRPr="002D4036">
        <w:rPr>
          <w:rFonts w:ascii="Calibri" w:eastAsia="Calibri" w:hAnsi="Calibri" w:cs="Calibri"/>
          <w:i/>
          <w:iCs/>
          <w:color w:val="002465"/>
          <w:kern w:val="0"/>
          <w:sz w:val="24"/>
          <w:szCs w:val="24"/>
          <w:lang w:val="sr-Latn-ME" w:eastAsia="sr-Cyrl-CS" w:bidi="sr-Cyrl-CS"/>
          <w14:ligatures w14:val="none"/>
        </w:rPr>
        <w:t>adekvatnog modela upravljanja i efikasnog sistema nadzora nad</w:t>
      </w:r>
      <w:r w:rsidR="00EF4996" w:rsidRPr="002D4036">
        <w:rPr>
          <w:rFonts w:ascii="Calibri" w:eastAsia="Calibri" w:hAnsi="Calibri" w:cs="Calibri"/>
          <w:i/>
          <w:iCs/>
          <w:color w:val="002465"/>
          <w:kern w:val="0"/>
          <w:sz w:val="24"/>
          <w:szCs w:val="24"/>
          <w:lang w:val="sr-Cyrl-CS" w:eastAsia="sr-Cyrl-CS" w:bidi="sr-Cyrl-CS"/>
          <w14:ligatures w14:val="none"/>
        </w:rPr>
        <w:t xml:space="preserve"> </w:t>
      </w:r>
      <w:r w:rsidR="00EF4996" w:rsidRPr="002D4036">
        <w:rPr>
          <w:rFonts w:ascii="Calibri" w:eastAsia="Calibri" w:hAnsi="Calibri" w:cs="Calibri"/>
          <w:i/>
          <w:iCs/>
          <w:color w:val="002465"/>
          <w:kern w:val="0"/>
          <w:sz w:val="24"/>
          <w:szCs w:val="24"/>
          <w:lang w:val="sr-Latn-ME" w:eastAsia="sr-Cyrl-CS" w:bidi="sr-Cyrl-CS"/>
          <w14:ligatures w14:val="none"/>
        </w:rPr>
        <w:t>državnim preduzećima</w:t>
      </w:r>
    </w:p>
    <w:p w14:paraId="2A8F25DA" w14:textId="7D8BE815" w:rsidR="00EF4996" w:rsidRPr="00EF4996" w:rsidRDefault="004E2900" w:rsidP="00EF4996">
      <w:pPr>
        <w:spacing w:after="120"/>
        <w:jc w:val="both"/>
        <w:rPr>
          <w:rFonts w:eastAsia="Calibri" w:cstheme="minorHAnsi"/>
          <w:bCs/>
          <w:kern w:val="0"/>
          <w:sz w:val="24"/>
          <w:szCs w:val="24"/>
          <w:shd w:val="clear" w:color="auto" w:fill="FFFFFF"/>
          <w:lang w:val="sr-Latn-RS" w:eastAsia="sr-Cyrl-CS" w:bidi="sr-Cyrl-CS"/>
          <w14:ligatures w14:val="none"/>
        </w:rPr>
      </w:pPr>
      <w:r w:rsidRPr="00EF4996">
        <w:rPr>
          <w:rFonts w:eastAsia="Calibri" w:cstheme="minorHAnsi"/>
          <w:b/>
          <w:bCs/>
          <w:kern w:val="0"/>
          <w:sz w:val="24"/>
          <w:szCs w:val="24"/>
          <w:lang w:val="sr-Latn-ME" w:eastAsia="sr-Cyrl-CS" w:bidi="sr-Cyrl-CS"/>
          <w14:ligatures w14:val="none"/>
        </w:rPr>
        <w:t xml:space="preserve">Opis reformske mjere. </w:t>
      </w:r>
      <w:r w:rsidR="00EF4996" w:rsidRPr="00EF4996">
        <w:rPr>
          <w:rFonts w:eastAsia="Calibri" w:cstheme="minorHAnsi"/>
          <w:kern w:val="0"/>
          <w:sz w:val="24"/>
          <w:szCs w:val="24"/>
          <w:shd w:val="clear" w:color="auto" w:fill="FFFFFF"/>
          <w:lang w:val="sr-Latn-RS" w:eastAsia="sr-Cyrl-CS" w:bidi="sr-Cyrl-CS"/>
          <w14:ligatures w14:val="none"/>
        </w:rPr>
        <w:t xml:space="preserve">Cilj </w:t>
      </w:r>
      <w:r w:rsidR="00EF4996">
        <w:rPr>
          <w:rFonts w:eastAsia="Calibri" w:cstheme="minorHAnsi"/>
          <w:kern w:val="0"/>
          <w:sz w:val="24"/>
          <w:szCs w:val="24"/>
          <w:shd w:val="clear" w:color="auto" w:fill="FFFFFF"/>
          <w:lang w:val="sr-Latn-RS" w:eastAsia="sr-Cyrl-CS" w:bidi="sr-Cyrl-CS"/>
          <w14:ligatures w14:val="none"/>
        </w:rPr>
        <w:t xml:space="preserve">reformske </w:t>
      </w:r>
      <w:r w:rsidR="00EF4996" w:rsidRPr="00EF4996">
        <w:rPr>
          <w:rFonts w:eastAsia="Calibri" w:cstheme="minorHAnsi"/>
          <w:kern w:val="0"/>
          <w:sz w:val="24"/>
          <w:szCs w:val="24"/>
          <w:shd w:val="clear" w:color="auto" w:fill="FFFFFF"/>
          <w:lang w:val="sr-Latn-RS" w:eastAsia="sr-Cyrl-CS" w:bidi="sr-Cyrl-CS"/>
          <w14:ligatures w14:val="none"/>
        </w:rPr>
        <w:t>mjere je doprinos uspostavljanju funkcionalnog sistema monitoringa i planiranja, izvještavanja i nadzora nad radom privrednih društava u većinskom vlasništvu države, u skladu sa najboljim praksama zemalja OECD-a. U užem smislu, cilj mjere je unapređenje korporativnog upravljanja u ovim privrednim društvima, te uspostavljanje funkcije procjene i monitoringa finansijskih i fiskalnih rizika njihovog poslovanja. Mjera daje odgovor na preporuku broj 4 Zajedničkih zaključaka Ekonomskog i finansijskog dijaloga između EU i zemalja Zapadnog Balkana i Turske.</w:t>
      </w:r>
      <w:r w:rsidR="00EF4996">
        <w:rPr>
          <w:rFonts w:eastAsia="Calibri" w:cstheme="minorHAnsi"/>
          <w:bCs/>
          <w:kern w:val="0"/>
          <w:sz w:val="24"/>
          <w:szCs w:val="24"/>
          <w:shd w:val="clear" w:color="auto" w:fill="FFFFFF"/>
          <w:lang w:val="sr-Latn-RS" w:eastAsia="sr-Cyrl-CS" w:bidi="sr-Cyrl-CS"/>
          <w14:ligatures w14:val="none"/>
        </w:rPr>
        <w:t xml:space="preserve"> </w:t>
      </w:r>
      <w:r w:rsidR="00EF4996" w:rsidRPr="00EF4996">
        <w:rPr>
          <w:rFonts w:eastAsia="Calibri" w:cstheme="minorHAnsi"/>
          <w:kern w:val="0"/>
          <w:sz w:val="24"/>
          <w:szCs w:val="24"/>
          <w:shd w:val="clear" w:color="auto" w:fill="FFFFFF"/>
          <w:lang w:val="sr-Latn-RS" w:eastAsia="sr-Cyrl-CS" w:bidi="sr-Cyrl-CS"/>
          <w14:ligatures w14:val="none"/>
        </w:rPr>
        <w:t xml:space="preserve">Mjera je nastavljena iz </w:t>
      </w:r>
      <w:r w:rsidR="005758C9">
        <w:rPr>
          <w:rFonts w:eastAsia="Calibri" w:cstheme="minorHAnsi"/>
          <w:kern w:val="0"/>
          <w:sz w:val="24"/>
          <w:szCs w:val="24"/>
          <w:shd w:val="clear" w:color="auto" w:fill="FFFFFF"/>
          <w:lang w:val="sr-Latn-RS" w:eastAsia="sr-Cyrl-CS" w:bidi="sr-Cyrl-CS"/>
          <w14:ligatures w14:val="none"/>
        </w:rPr>
        <w:t xml:space="preserve">PER-a </w:t>
      </w:r>
      <w:r w:rsidR="00EF4996" w:rsidRPr="00EF4996">
        <w:rPr>
          <w:rFonts w:eastAsia="Calibri" w:cstheme="minorHAnsi"/>
          <w:kern w:val="0"/>
          <w:sz w:val="24"/>
          <w:szCs w:val="24"/>
          <w:shd w:val="clear" w:color="auto" w:fill="FFFFFF"/>
          <w:lang w:val="sr-Latn-RS" w:eastAsia="sr-Cyrl-CS" w:bidi="sr-Cyrl-CS"/>
          <w14:ligatures w14:val="none"/>
        </w:rPr>
        <w:t>prethodne godine</w:t>
      </w:r>
      <w:r w:rsidR="005758C9">
        <w:rPr>
          <w:rFonts w:eastAsia="Calibri" w:cstheme="minorHAnsi"/>
          <w:kern w:val="0"/>
          <w:sz w:val="24"/>
          <w:szCs w:val="24"/>
          <w:shd w:val="clear" w:color="auto" w:fill="FFFFFF"/>
          <w:lang w:val="sr-Latn-RS" w:eastAsia="sr-Cyrl-CS" w:bidi="sr-Cyrl-CS"/>
          <w14:ligatures w14:val="none"/>
        </w:rPr>
        <w:t xml:space="preserve">. </w:t>
      </w:r>
      <w:r w:rsidR="00EF4996" w:rsidRPr="00EF4996">
        <w:rPr>
          <w:rFonts w:eastAsia="Calibri" w:cstheme="minorHAnsi"/>
          <w:kern w:val="0"/>
          <w:sz w:val="24"/>
          <w:szCs w:val="24"/>
          <w:shd w:val="clear" w:color="auto" w:fill="FFFFFF"/>
          <w:lang w:val="sr-Latn-RS" w:eastAsia="sr-Cyrl-CS" w:bidi="sr-Cyrl-CS"/>
          <w14:ligatures w14:val="none"/>
        </w:rPr>
        <w:t>U skladu sa planiranim aktivnostima, Ministarstvo finansija je u prvoj polovini 2023. godine formiralo Međuresornu radnu grupu sa zadatkom pripreme Analize regulatornog okvira za poslovanje privrednih društava u većinskom vlasništvu države. Pored ovog, zadaci radne grupe su i izrada uporedne analize regulatornog okvira za nadzor nad poslovanjem državnih preduzeća u  članicama Evropske unije, definisanje strateškog okvira za upravljanje državnim preduzećima u Crnoj Gori i priprema analize za određivanje kriterijuma za izbor članova organa upravljanja državnih preduzeća.</w:t>
      </w:r>
    </w:p>
    <w:p w14:paraId="3CB2DF6D" w14:textId="17AB5CF0" w:rsidR="004E2900" w:rsidRPr="005758C9" w:rsidRDefault="00EF4996" w:rsidP="005758C9">
      <w:pPr>
        <w:widowControl w:val="0"/>
        <w:spacing w:after="120" w:line="240" w:lineRule="auto"/>
        <w:jc w:val="both"/>
        <w:rPr>
          <w:rFonts w:eastAsia="Calibri" w:cstheme="minorHAnsi"/>
          <w:bCs/>
          <w:kern w:val="0"/>
          <w:sz w:val="24"/>
          <w:szCs w:val="24"/>
          <w:shd w:val="clear" w:color="auto" w:fill="FFFFFF"/>
          <w:lang w:val="sr-Latn-RS" w:eastAsia="sr-Cyrl-CS" w:bidi="sr-Cyrl-CS"/>
          <w14:ligatures w14:val="none"/>
        </w:rPr>
      </w:pPr>
      <w:r w:rsidRPr="00EF4996">
        <w:rPr>
          <w:rFonts w:eastAsia="Calibri" w:cstheme="minorHAnsi"/>
          <w:kern w:val="0"/>
          <w:sz w:val="24"/>
          <w:szCs w:val="24"/>
          <w:shd w:val="clear" w:color="auto" w:fill="FFFFFF"/>
          <w:lang w:val="sr-Latn-RS" w:eastAsia="sr-Cyrl-CS" w:bidi="sr-Cyrl-CS"/>
          <w14:ligatures w14:val="none"/>
        </w:rPr>
        <w:t xml:space="preserve">Međuresorna radna grupa je zvanično otpočela sa radom </w:t>
      </w:r>
      <w:r>
        <w:rPr>
          <w:rFonts w:eastAsia="Calibri" w:cstheme="minorHAnsi"/>
          <w:kern w:val="0"/>
          <w:sz w:val="24"/>
          <w:szCs w:val="24"/>
          <w:shd w:val="clear" w:color="auto" w:fill="FFFFFF"/>
          <w:lang w:val="sr-Latn-RS" w:eastAsia="sr-Cyrl-CS" w:bidi="sr-Cyrl-CS"/>
          <w14:ligatures w14:val="none"/>
        </w:rPr>
        <w:t xml:space="preserve">u maju </w:t>
      </w:r>
      <w:r w:rsidRPr="00EF4996">
        <w:rPr>
          <w:rFonts w:eastAsia="Calibri" w:cstheme="minorHAnsi"/>
          <w:kern w:val="0"/>
          <w:sz w:val="24"/>
          <w:szCs w:val="24"/>
          <w:shd w:val="clear" w:color="auto" w:fill="FFFFFF"/>
          <w:lang w:val="sr-Latn-RS" w:eastAsia="sr-Cyrl-CS" w:bidi="sr-Cyrl-CS"/>
          <w14:ligatures w14:val="none"/>
        </w:rPr>
        <w:t xml:space="preserve">2023. Detalji o aktivnostima </w:t>
      </w:r>
      <w:r w:rsidRPr="00EF4996">
        <w:rPr>
          <w:rFonts w:eastAsia="Calibri" w:cstheme="minorHAnsi"/>
          <w:kern w:val="0"/>
          <w:sz w:val="24"/>
          <w:szCs w:val="24"/>
          <w:shd w:val="clear" w:color="auto" w:fill="FFFFFF"/>
          <w:lang w:val="sr-Latn-RS" w:eastAsia="sr-Cyrl-CS" w:bidi="sr-Cyrl-CS"/>
          <w14:ligatures w14:val="none"/>
        </w:rPr>
        <w:lastRenderedPageBreak/>
        <w:t>radne grupe, jačanju administrativnih kapaciteta zaposlenih u ministarstvu su dati u tabeli 11 aneksa. Trenutno je u Direkciji za fiskalne rizike državnih kompanija zaposleno četiri službenika,</w:t>
      </w:r>
      <w:r>
        <w:rPr>
          <w:rFonts w:eastAsia="Calibri" w:cstheme="minorHAnsi"/>
          <w:kern w:val="0"/>
          <w:sz w:val="24"/>
          <w:szCs w:val="24"/>
          <w:shd w:val="clear" w:color="auto" w:fill="FFFFFF"/>
          <w:lang w:val="sr-Latn-RS" w:eastAsia="sr-Cyrl-CS" w:bidi="sr-Cyrl-CS"/>
          <w14:ligatures w14:val="none"/>
        </w:rPr>
        <w:t xml:space="preserve"> a planira se zapošljavanje još dva službenika. Organizovane</w:t>
      </w:r>
      <w:r w:rsidRPr="00EF4996">
        <w:rPr>
          <w:rFonts w:eastAsia="Calibri" w:cstheme="minorHAnsi"/>
          <w:kern w:val="0"/>
          <w:sz w:val="24"/>
          <w:szCs w:val="24"/>
          <w:shd w:val="clear" w:color="auto" w:fill="FFFFFF"/>
          <w:lang w:val="sr-Latn-RS" w:eastAsia="sr-Cyrl-CS" w:bidi="sr-Cyrl-CS"/>
          <w14:ligatures w14:val="none"/>
        </w:rPr>
        <w:t xml:space="preserve"> su obuke sa Međunarodnim monetarnim fondom (MMF-a), Ekonomskim fakultetom, Institutom sertifikovanih računovođa Crne Gore za dalje jačanje administrativnih kapaciteta.Takođe, u narednom periodu </w:t>
      </w:r>
      <w:r>
        <w:rPr>
          <w:rFonts w:eastAsia="Calibri" w:cstheme="minorHAnsi"/>
          <w:kern w:val="0"/>
          <w:sz w:val="24"/>
          <w:szCs w:val="24"/>
          <w:shd w:val="clear" w:color="auto" w:fill="FFFFFF"/>
          <w:lang w:val="sr-Latn-RS" w:eastAsia="sr-Cyrl-CS" w:bidi="sr-Cyrl-CS"/>
          <w14:ligatures w14:val="none"/>
        </w:rPr>
        <w:t>se očekuje</w:t>
      </w:r>
      <w:r w:rsidRPr="00EF4996">
        <w:rPr>
          <w:rFonts w:eastAsia="Calibri" w:cstheme="minorHAnsi"/>
          <w:kern w:val="0"/>
          <w:sz w:val="24"/>
          <w:szCs w:val="24"/>
          <w:shd w:val="clear" w:color="auto" w:fill="FFFFFF"/>
          <w:lang w:val="sr-Latn-RS" w:eastAsia="sr-Cyrl-CS" w:bidi="sr-Cyrl-CS"/>
          <w14:ligatures w14:val="none"/>
        </w:rPr>
        <w:t xml:space="preserve"> potpisivanje ugovora o uslugama u okviru EU Reform Facility, kao i dodatn</w:t>
      </w:r>
      <w:r w:rsidR="005758C9">
        <w:rPr>
          <w:rFonts w:eastAsia="Calibri" w:cstheme="minorHAnsi"/>
          <w:kern w:val="0"/>
          <w:sz w:val="24"/>
          <w:szCs w:val="24"/>
          <w:shd w:val="clear" w:color="auto" w:fill="FFFFFF"/>
          <w:lang w:val="sr-Latn-RS" w:eastAsia="sr-Cyrl-CS" w:bidi="sr-Cyrl-CS"/>
          <w14:ligatures w14:val="none"/>
        </w:rPr>
        <w:t>a</w:t>
      </w:r>
      <w:r w:rsidRPr="00EF4996">
        <w:rPr>
          <w:rFonts w:eastAsia="Calibri" w:cstheme="minorHAnsi"/>
          <w:kern w:val="0"/>
          <w:sz w:val="24"/>
          <w:szCs w:val="24"/>
          <w:shd w:val="clear" w:color="auto" w:fill="FFFFFF"/>
          <w:lang w:val="sr-Latn-RS" w:eastAsia="sr-Cyrl-CS" w:bidi="sr-Cyrl-CS"/>
          <w14:ligatures w14:val="none"/>
        </w:rPr>
        <w:t xml:space="preserve"> ekspertsk</w:t>
      </w:r>
      <w:r w:rsidR="005758C9">
        <w:rPr>
          <w:rFonts w:eastAsia="Calibri" w:cstheme="minorHAnsi"/>
          <w:kern w:val="0"/>
          <w:sz w:val="24"/>
          <w:szCs w:val="24"/>
          <w:shd w:val="clear" w:color="auto" w:fill="FFFFFF"/>
          <w:lang w:val="sr-Latn-RS" w:eastAsia="sr-Cyrl-CS" w:bidi="sr-Cyrl-CS"/>
          <w14:ligatures w14:val="none"/>
        </w:rPr>
        <w:t>a</w:t>
      </w:r>
      <w:r w:rsidRPr="00EF4996">
        <w:rPr>
          <w:rFonts w:eastAsia="Calibri" w:cstheme="minorHAnsi"/>
          <w:kern w:val="0"/>
          <w:sz w:val="24"/>
          <w:szCs w:val="24"/>
          <w:shd w:val="clear" w:color="auto" w:fill="FFFFFF"/>
          <w:lang w:val="sr-Latn-RS" w:eastAsia="sr-Cyrl-CS" w:bidi="sr-Cyrl-CS"/>
          <w14:ligatures w14:val="none"/>
        </w:rPr>
        <w:t xml:space="preserve"> podršk</w:t>
      </w:r>
      <w:r w:rsidR="005758C9">
        <w:rPr>
          <w:rFonts w:eastAsia="Calibri" w:cstheme="minorHAnsi"/>
          <w:kern w:val="0"/>
          <w:sz w:val="24"/>
          <w:szCs w:val="24"/>
          <w:shd w:val="clear" w:color="auto" w:fill="FFFFFF"/>
          <w:lang w:val="sr-Latn-RS" w:eastAsia="sr-Cyrl-CS" w:bidi="sr-Cyrl-CS"/>
          <w14:ligatures w14:val="none"/>
        </w:rPr>
        <w:t>a</w:t>
      </w:r>
      <w:r w:rsidRPr="00EF4996">
        <w:rPr>
          <w:rFonts w:eastAsia="Calibri" w:cstheme="minorHAnsi"/>
          <w:kern w:val="0"/>
          <w:sz w:val="24"/>
          <w:szCs w:val="24"/>
          <w:shd w:val="clear" w:color="auto" w:fill="FFFFFF"/>
          <w:lang w:val="sr-Latn-RS" w:eastAsia="sr-Cyrl-CS" w:bidi="sr-Cyrl-CS"/>
          <w14:ligatures w14:val="none"/>
        </w:rPr>
        <w:t xml:space="preserve"> u dijelu izrade Analize regulatornog okvira, te izrade komparativne analize najboljih praksi EU zemalja o pravnom okviru za nadzor nad poslovanjem državnih preduzeća. Nakon toga će se uraditi strateški okvir dalje reforme u ovoj oblasti, te postaviti kriterijumi</w:t>
      </w:r>
      <w:r>
        <w:rPr>
          <w:rFonts w:eastAsia="Calibri" w:cstheme="minorHAnsi"/>
          <w:kern w:val="0"/>
          <w:sz w:val="24"/>
          <w:szCs w:val="24"/>
          <w:shd w:val="clear" w:color="auto" w:fill="FFFFFF"/>
          <w:lang w:val="sr-Latn-RS" w:eastAsia="sr-Cyrl-CS" w:bidi="sr-Cyrl-CS"/>
          <w14:ligatures w14:val="none"/>
        </w:rPr>
        <w:t xml:space="preserve"> </w:t>
      </w:r>
      <w:r w:rsidRPr="00EF4996">
        <w:rPr>
          <w:rFonts w:eastAsia="Calibri" w:cstheme="minorHAnsi"/>
          <w:kern w:val="0"/>
          <w:sz w:val="24"/>
          <w:szCs w:val="24"/>
          <w:shd w:val="clear" w:color="auto" w:fill="FFFFFF"/>
          <w:lang w:val="sr-Latn-RS" w:eastAsia="sr-Cyrl-CS" w:bidi="sr-Cyrl-CS"/>
          <w14:ligatures w14:val="none"/>
        </w:rPr>
        <w:t xml:space="preserve">za izbor članova organa upravljanja </w:t>
      </w:r>
      <w:r>
        <w:rPr>
          <w:rFonts w:eastAsia="Calibri" w:cstheme="minorHAnsi"/>
          <w:kern w:val="0"/>
          <w:sz w:val="24"/>
          <w:szCs w:val="24"/>
          <w:shd w:val="clear" w:color="auto" w:fill="FFFFFF"/>
          <w:lang w:val="sr-Latn-RS" w:eastAsia="sr-Cyrl-CS" w:bidi="sr-Cyrl-CS"/>
          <w14:ligatures w14:val="none"/>
        </w:rPr>
        <w:t>državnih preduzeća</w:t>
      </w:r>
      <w:r w:rsidRPr="00EF4996">
        <w:rPr>
          <w:rFonts w:eastAsia="Calibri" w:cstheme="minorHAnsi"/>
          <w:kern w:val="0"/>
          <w:sz w:val="24"/>
          <w:szCs w:val="24"/>
          <w:shd w:val="clear" w:color="auto" w:fill="FFFFFF"/>
          <w:lang w:val="sr-Latn-RS" w:eastAsia="sr-Cyrl-CS" w:bidi="sr-Cyrl-CS"/>
          <w14:ligatures w14:val="none"/>
        </w:rPr>
        <w:t xml:space="preserve">. </w:t>
      </w:r>
    </w:p>
    <w:p w14:paraId="4361DA53" w14:textId="50B84311" w:rsidR="004E2900" w:rsidRPr="009C5D80" w:rsidRDefault="004E2900" w:rsidP="004E2900">
      <w:pPr>
        <w:widowControl w:val="0"/>
        <w:spacing w:after="0" w:line="240" w:lineRule="auto"/>
        <w:rPr>
          <w:rFonts w:eastAsia="Calibri" w:cstheme="minorHAnsi"/>
          <w:b/>
          <w:bCs/>
          <w:kern w:val="0"/>
          <w:sz w:val="24"/>
          <w:szCs w:val="24"/>
          <w:lang w:val="sr-Latn-RS" w:eastAsia="sr-Cyrl-CS" w:bidi="sr-Cyrl-CS"/>
          <w14:ligatures w14:val="none"/>
        </w:rPr>
      </w:pPr>
      <w:r w:rsidRPr="004E2900">
        <w:rPr>
          <w:rFonts w:eastAsia="Calibri" w:cstheme="minorHAnsi"/>
          <w:b/>
          <w:bCs/>
          <w:kern w:val="0"/>
          <w:sz w:val="24"/>
          <w:szCs w:val="24"/>
          <w:lang w:val="sr-Latn-RS" w:eastAsia="sr-Cyrl-CS" w:bidi="sr-Cyrl-CS"/>
          <w14:ligatures w14:val="none"/>
        </w:rPr>
        <w:t xml:space="preserve"> Aktivnosti </w:t>
      </w:r>
      <w:r w:rsidRPr="009C5D80">
        <w:rPr>
          <w:rFonts w:eastAsia="Calibri" w:cstheme="minorHAnsi"/>
          <w:b/>
          <w:bCs/>
          <w:kern w:val="0"/>
          <w:sz w:val="24"/>
          <w:szCs w:val="24"/>
          <w:lang w:val="sr-Latn-RS" w:eastAsia="sr-Cyrl-CS" w:bidi="sr-Cyrl-CS"/>
          <w14:ligatures w14:val="none"/>
        </w:rPr>
        <w:t>planirane za 2024</w:t>
      </w:r>
      <w:r w:rsidR="00FC59F3" w:rsidRPr="009C5D80">
        <w:rPr>
          <w:rFonts w:eastAsia="Calibri" w:cstheme="minorHAnsi"/>
          <w:b/>
          <w:bCs/>
          <w:kern w:val="0"/>
          <w:sz w:val="24"/>
          <w:szCs w:val="24"/>
          <w:lang w:val="sr-Latn-RS" w:eastAsia="sr-Cyrl-CS" w:bidi="sr-Cyrl-CS"/>
          <w14:ligatures w14:val="none"/>
        </w:rPr>
        <w:t>.</w:t>
      </w:r>
    </w:p>
    <w:p w14:paraId="19C49E32" w14:textId="2ACAC1D1" w:rsidR="009C5D80" w:rsidRPr="009C5D80" w:rsidRDefault="009C5D80" w:rsidP="00FD3827">
      <w:pPr>
        <w:pStyle w:val="ListParagraph"/>
        <w:widowControl w:val="0"/>
        <w:numPr>
          <w:ilvl w:val="0"/>
          <w:numId w:val="3"/>
        </w:numPr>
        <w:spacing w:after="0" w:line="240" w:lineRule="auto"/>
        <w:jc w:val="both"/>
        <w:rPr>
          <w:rFonts w:eastAsia="Calibri" w:cstheme="minorHAnsi"/>
          <w:b/>
          <w:kern w:val="0"/>
          <w:sz w:val="24"/>
          <w:szCs w:val="24"/>
          <w:lang w:val="sr-Latn-ME" w:eastAsia="sr-Cyrl-CS" w:bidi="sr-Cyrl-CS"/>
          <w14:ligatures w14:val="none"/>
        </w:rPr>
      </w:pPr>
      <w:r w:rsidRPr="009C5D80">
        <w:rPr>
          <w:rFonts w:eastAsia="Calibri" w:cstheme="minorHAnsi"/>
          <w:kern w:val="0"/>
          <w:sz w:val="24"/>
          <w:szCs w:val="24"/>
          <w:lang w:val="sr-Latn-ME" w:eastAsia="sr-Cyrl-CS" w:bidi="sr-Cyrl-CS"/>
          <w14:ligatures w14:val="none"/>
        </w:rPr>
        <w:t>Finalizovanje Analize regulatornog okvira za poslovanje privrednih društava u većinskom vlasništvu države;</w:t>
      </w:r>
      <w:r w:rsidR="0021498F" w:rsidRPr="00411FFF">
        <w:rPr>
          <w:rFonts w:eastAsia="Calibri" w:cstheme="minorHAnsi"/>
          <w:kern w:val="0"/>
          <w:sz w:val="24"/>
          <w:szCs w:val="24"/>
          <w:lang w:val="sr-Latn-ME" w:eastAsia="sr-Cyrl-CS" w:bidi="sr-Cyrl-CS"/>
          <w14:ligatures w14:val="none"/>
        </w:rPr>
        <w:t xml:space="preserve"> </w:t>
      </w:r>
      <w:r w:rsidR="008E01F0" w:rsidRPr="00411FFF">
        <w:rPr>
          <w:rFonts w:eastAsia="Calibri" w:cstheme="minorHAnsi"/>
          <w:iCs/>
          <w:kern w:val="0"/>
          <w:sz w:val="24"/>
          <w:szCs w:val="24"/>
          <w:lang w:val="sr-Latn-ME" w:eastAsia="sr-Cyrl-CS" w:bidi="sr-Cyrl-CS"/>
          <w14:ligatures w14:val="none"/>
        </w:rPr>
        <w:t>MF</w:t>
      </w:r>
    </w:p>
    <w:p w14:paraId="26F59638" w14:textId="2F17C10D" w:rsidR="009C5D80" w:rsidRPr="009C5D80" w:rsidRDefault="009C5D80" w:rsidP="00FD3827">
      <w:pPr>
        <w:pStyle w:val="ListParagraph"/>
        <w:widowControl w:val="0"/>
        <w:numPr>
          <w:ilvl w:val="0"/>
          <w:numId w:val="3"/>
        </w:numPr>
        <w:spacing w:after="0" w:line="240" w:lineRule="auto"/>
        <w:jc w:val="both"/>
        <w:rPr>
          <w:rFonts w:eastAsia="Calibri" w:cstheme="minorHAnsi"/>
          <w:b/>
          <w:kern w:val="0"/>
          <w:sz w:val="24"/>
          <w:szCs w:val="24"/>
          <w:lang w:val="sr-Latn-ME" w:eastAsia="sr-Cyrl-CS" w:bidi="sr-Cyrl-CS"/>
          <w14:ligatures w14:val="none"/>
        </w:rPr>
      </w:pPr>
      <w:r w:rsidRPr="009C5D80">
        <w:rPr>
          <w:rFonts w:eastAsia="Calibri" w:cstheme="minorHAnsi"/>
          <w:kern w:val="0"/>
          <w:sz w:val="24"/>
          <w:szCs w:val="24"/>
          <w:lang w:val="sr-Latn-ME" w:eastAsia="sr-Cyrl-CS" w:bidi="sr-Cyrl-CS"/>
          <w14:ligatures w14:val="none"/>
        </w:rPr>
        <w:t>Izrada uporedne analize regulatornog okvira za nadzor nad poslovanjem privrednih društava koja su u većinskom vlasništvu država članica Evropske unije;</w:t>
      </w:r>
      <w:r w:rsidR="0021498F">
        <w:rPr>
          <w:rFonts w:eastAsia="Calibri" w:cstheme="minorHAnsi"/>
          <w:kern w:val="0"/>
          <w:sz w:val="24"/>
          <w:szCs w:val="24"/>
          <w:lang w:val="sr-Latn-ME" w:eastAsia="sr-Cyrl-CS" w:bidi="sr-Cyrl-CS"/>
          <w14:ligatures w14:val="none"/>
        </w:rPr>
        <w:t xml:space="preserve"> </w:t>
      </w:r>
    </w:p>
    <w:p w14:paraId="3690A2B5" w14:textId="2E1340E7" w:rsidR="009C5D80" w:rsidRPr="009C5D80" w:rsidRDefault="009C5D80" w:rsidP="00FD3827">
      <w:pPr>
        <w:pStyle w:val="ListParagraph"/>
        <w:widowControl w:val="0"/>
        <w:numPr>
          <w:ilvl w:val="0"/>
          <w:numId w:val="3"/>
        </w:numPr>
        <w:spacing w:after="0" w:line="240" w:lineRule="auto"/>
        <w:jc w:val="both"/>
        <w:rPr>
          <w:rFonts w:eastAsia="Calibri" w:cstheme="minorHAnsi"/>
          <w:b/>
          <w:kern w:val="0"/>
          <w:sz w:val="24"/>
          <w:szCs w:val="24"/>
          <w:lang w:val="sr-Latn-ME" w:eastAsia="sr-Cyrl-CS" w:bidi="sr-Cyrl-CS"/>
          <w14:ligatures w14:val="none"/>
        </w:rPr>
      </w:pPr>
      <w:r w:rsidRPr="009C5D80">
        <w:rPr>
          <w:rFonts w:eastAsia="Calibri" w:cstheme="minorHAnsi"/>
          <w:kern w:val="0"/>
          <w:sz w:val="24"/>
          <w:szCs w:val="24"/>
          <w:lang w:val="sr-Latn-ME" w:eastAsia="sr-Cyrl-CS" w:bidi="sr-Cyrl-CS"/>
          <w14:ligatures w14:val="none"/>
        </w:rPr>
        <w:t xml:space="preserve">Finalizovanje analize za određivanje kriterijuma za izbor članova organa upravljanja </w:t>
      </w:r>
      <w:r w:rsidR="008E01F0">
        <w:rPr>
          <w:rFonts w:eastAsia="Calibri" w:cstheme="minorHAnsi"/>
          <w:kern w:val="0"/>
          <w:sz w:val="24"/>
          <w:szCs w:val="24"/>
          <w:lang w:val="sr-Latn-ME" w:eastAsia="sr-Cyrl-CS" w:bidi="sr-Cyrl-CS"/>
          <w14:ligatures w14:val="none"/>
        </w:rPr>
        <w:t>državnih preduzeća</w:t>
      </w:r>
      <w:r w:rsidRPr="009C5D80">
        <w:rPr>
          <w:rFonts w:eastAsia="Calibri" w:cstheme="minorHAnsi"/>
          <w:kern w:val="0"/>
          <w:sz w:val="24"/>
          <w:szCs w:val="24"/>
          <w:lang w:val="sr-Latn-ME" w:eastAsia="sr-Cyrl-CS" w:bidi="sr-Cyrl-CS"/>
          <w14:ligatures w14:val="none"/>
        </w:rPr>
        <w:t xml:space="preserve"> i priprema predloga podzakonskog akta;</w:t>
      </w:r>
      <w:r w:rsidR="0021498F" w:rsidRPr="0021498F">
        <w:rPr>
          <w:rFonts w:eastAsia="Calibri" w:cstheme="minorHAnsi"/>
          <w:i/>
          <w:iCs/>
          <w:kern w:val="0"/>
          <w:sz w:val="24"/>
          <w:szCs w:val="24"/>
          <w:lang w:val="sr-Latn-ME" w:eastAsia="sr-Cyrl-CS" w:bidi="sr-Cyrl-CS"/>
          <w14:ligatures w14:val="none"/>
        </w:rPr>
        <w:t xml:space="preserve"> </w:t>
      </w:r>
      <w:r w:rsidR="008E01F0" w:rsidRPr="00411FFF">
        <w:rPr>
          <w:rFonts w:eastAsia="Calibri" w:cstheme="minorHAnsi"/>
          <w:iCs/>
          <w:kern w:val="0"/>
          <w:sz w:val="24"/>
          <w:szCs w:val="24"/>
          <w:lang w:val="sr-Latn-ME" w:eastAsia="sr-Cyrl-CS" w:bidi="sr-Cyrl-CS"/>
          <w14:ligatures w14:val="none"/>
        </w:rPr>
        <w:t>MF</w:t>
      </w:r>
    </w:p>
    <w:p w14:paraId="65BED4B7" w14:textId="1C3629A8" w:rsidR="009C5D80" w:rsidRPr="009C5D80" w:rsidRDefault="009C5D80" w:rsidP="00FD3827">
      <w:pPr>
        <w:pStyle w:val="ListParagraph"/>
        <w:widowControl w:val="0"/>
        <w:numPr>
          <w:ilvl w:val="0"/>
          <w:numId w:val="3"/>
        </w:numPr>
        <w:spacing w:after="0" w:line="240" w:lineRule="auto"/>
        <w:jc w:val="both"/>
        <w:rPr>
          <w:rFonts w:eastAsia="Calibri" w:cstheme="minorHAnsi"/>
          <w:b/>
          <w:kern w:val="0"/>
          <w:sz w:val="24"/>
          <w:szCs w:val="24"/>
          <w:lang w:val="sr-Latn-ME" w:eastAsia="sr-Cyrl-CS" w:bidi="sr-Cyrl-CS"/>
          <w14:ligatures w14:val="none"/>
        </w:rPr>
      </w:pPr>
      <w:r w:rsidRPr="009C5D80">
        <w:rPr>
          <w:rFonts w:eastAsia="Calibri" w:cstheme="minorHAnsi"/>
          <w:kern w:val="0"/>
          <w:sz w:val="24"/>
          <w:szCs w:val="24"/>
          <w:lang w:val="sr-Latn-ME" w:eastAsia="sr-Cyrl-CS" w:bidi="sr-Cyrl-CS"/>
          <w14:ligatures w14:val="none"/>
        </w:rPr>
        <w:t xml:space="preserve">Uspostavljanje javnog registra </w:t>
      </w:r>
      <w:r w:rsidR="008E01F0">
        <w:rPr>
          <w:rFonts w:eastAsia="Calibri" w:cstheme="minorHAnsi"/>
          <w:kern w:val="0"/>
          <w:sz w:val="24"/>
          <w:szCs w:val="24"/>
          <w:lang w:val="sr-Latn-ME" w:eastAsia="sr-Cyrl-CS" w:bidi="sr-Cyrl-CS"/>
          <w14:ligatures w14:val="none"/>
        </w:rPr>
        <w:t>državnih preduzeća</w:t>
      </w:r>
      <w:r w:rsidRPr="009C5D80">
        <w:rPr>
          <w:rFonts w:eastAsia="Calibri" w:cstheme="minorHAnsi"/>
          <w:kern w:val="0"/>
          <w:sz w:val="24"/>
          <w:szCs w:val="24"/>
          <w:lang w:val="sr-Latn-ME" w:eastAsia="sr-Cyrl-CS" w:bidi="sr-Cyrl-CS"/>
          <w14:ligatures w14:val="none"/>
        </w:rPr>
        <w:t>;</w:t>
      </w:r>
      <w:r w:rsidR="0021498F" w:rsidRPr="00411FFF">
        <w:rPr>
          <w:rFonts w:eastAsia="Calibri" w:cstheme="minorHAnsi"/>
          <w:iCs/>
          <w:kern w:val="0"/>
          <w:sz w:val="24"/>
          <w:szCs w:val="24"/>
          <w:lang w:val="sr-Latn-ME" w:eastAsia="sr-Cyrl-CS" w:bidi="sr-Cyrl-CS"/>
          <w14:ligatures w14:val="none"/>
        </w:rPr>
        <w:t xml:space="preserve"> </w:t>
      </w:r>
      <w:r w:rsidR="008E01F0" w:rsidRPr="00411FFF">
        <w:rPr>
          <w:rFonts w:eastAsia="Calibri" w:cstheme="minorHAnsi"/>
          <w:iCs/>
          <w:kern w:val="0"/>
          <w:sz w:val="24"/>
          <w:szCs w:val="24"/>
          <w:lang w:val="sr-Latn-ME" w:eastAsia="sr-Cyrl-CS" w:bidi="sr-Cyrl-CS"/>
          <w14:ligatures w14:val="none"/>
        </w:rPr>
        <w:t>MF</w:t>
      </w:r>
    </w:p>
    <w:p w14:paraId="64F35DF3" w14:textId="331B3B96" w:rsidR="009C5D80" w:rsidRPr="009C5D80" w:rsidRDefault="009C5D80" w:rsidP="00FD3827">
      <w:pPr>
        <w:pStyle w:val="ListParagraph"/>
        <w:widowControl w:val="0"/>
        <w:numPr>
          <w:ilvl w:val="0"/>
          <w:numId w:val="3"/>
        </w:numPr>
        <w:spacing w:after="0" w:line="240" w:lineRule="auto"/>
        <w:jc w:val="both"/>
        <w:rPr>
          <w:rFonts w:eastAsia="Calibri" w:cstheme="minorHAnsi"/>
          <w:b/>
          <w:kern w:val="0"/>
          <w:sz w:val="24"/>
          <w:szCs w:val="24"/>
          <w:lang w:val="sr-Latn-ME" w:eastAsia="sr-Cyrl-CS" w:bidi="sr-Cyrl-CS"/>
          <w14:ligatures w14:val="none"/>
        </w:rPr>
      </w:pPr>
      <w:r w:rsidRPr="009C5D80">
        <w:rPr>
          <w:rFonts w:eastAsia="Calibri" w:cstheme="minorHAnsi"/>
          <w:kern w:val="0"/>
          <w:sz w:val="24"/>
          <w:szCs w:val="24"/>
          <w:lang w:val="sr-Latn-ME" w:eastAsia="sr-Cyrl-CS" w:bidi="sr-Cyrl-CS"/>
          <w14:ligatures w14:val="none"/>
        </w:rPr>
        <w:t>Finalizovanje predloga Izjave o fiskalnim rizicima državnih kompanija;</w:t>
      </w:r>
      <w:r w:rsidR="0021498F">
        <w:rPr>
          <w:rFonts w:eastAsia="Calibri" w:cstheme="minorHAnsi"/>
          <w:kern w:val="0"/>
          <w:sz w:val="24"/>
          <w:szCs w:val="24"/>
          <w:lang w:val="sr-Latn-ME" w:eastAsia="sr-Cyrl-CS" w:bidi="sr-Cyrl-CS"/>
          <w14:ligatures w14:val="none"/>
        </w:rPr>
        <w:t xml:space="preserve"> </w:t>
      </w:r>
      <w:r w:rsidR="008E01F0" w:rsidRPr="00411FFF">
        <w:rPr>
          <w:rFonts w:eastAsia="Calibri" w:cstheme="minorHAnsi"/>
          <w:iCs/>
          <w:kern w:val="0"/>
          <w:sz w:val="24"/>
          <w:szCs w:val="24"/>
          <w:lang w:val="sr-Latn-ME" w:eastAsia="sr-Cyrl-CS" w:bidi="sr-Cyrl-CS"/>
          <w14:ligatures w14:val="none"/>
        </w:rPr>
        <w:t>MF</w:t>
      </w:r>
    </w:p>
    <w:p w14:paraId="67681B93" w14:textId="6E7087CF" w:rsidR="009C5D80" w:rsidRPr="009C5D80" w:rsidRDefault="009C5D80" w:rsidP="00FD3827">
      <w:pPr>
        <w:pStyle w:val="ListParagraph"/>
        <w:widowControl w:val="0"/>
        <w:numPr>
          <w:ilvl w:val="0"/>
          <w:numId w:val="3"/>
        </w:numPr>
        <w:spacing w:after="0" w:line="240" w:lineRule="auto"/>
        <w:jc w:val="both"/>
        <w:rPr>
          <w:rFonts w:eastAsia="Calibri" w:cstheme="minorHAnsi"/>
          <w:b/>
          <w:kern w:val="0"/>
          <w:sz w:val="24"/>
          <w:szCs w:val="24"/>
          <w:lang w:val="sr-Latn-ME" w:eastAsia="sr-Cyrl-CS" w:bidi="sr-Cyrl-CS"/>
          <w14:ligatures w14:val="none"/>
        </w:rPr>
      </w:pPr>
      <w:r w:rsidRPr="009C5D80">
        <w:rPr>
          <w:rFonts w:eastAsia="Calibri" w:cstheme="minorHAnsi"/>
          <w:kern w:val="0"/>
          <w:sz w:val="24"/>
          <w:szCs w:val="24"/>
          <w:lang w:val="sr-Latn-ME" w:eastAsia="sr-Cyrl-CS" w:bidi="sr-Cyrl-CS"/>
          <w14:ligatures w14:val="none"/>
        </w:rPr>
        <w:t>Iniciranje aktivnosti na izradi Strategije državnog vlasništva i upravljanja privrednim subjektima koji su u većinskom vlasništvu Crne Gore sa Akcionim planom za sprovođenje iste za period 2025-2027;</w:t>
      </w:r>
      <w:r w:rsidR="0021498F" w:rsidRPr="0021498F">
        <w:rPr>
          <w:rFonts w:eastAsia="Calibri" w:cstheme="minorHAnsi"/>
          <w:i/>
          <w:iCs/>
          <w:kern w:val="0"/>
          <w:sz w:val="24"/>
          <w:szCs w:val="24"/>
          <w:lang w:val="sr-Latn-ME" w:eastAsia="sr-Cyrl-CS" w:bidi="sr-Cyrl-CS"/>
          <w14:ligatures w14:val="none"/>
        </w:rPr>
        <w:t xml:space="preserve"> </w:t>
      </w:r>
      <w:r w:rsidR="0021498F" w:rsidRPr="00411FFF">
        <w:rPr>
          <w:rFonts w:eastAsia="Calibri" w:cstheme="minorHAnsi"/>
          <w:iCs/>
          <w:kern w:val="0"/>
          <w:sz w:val="24"/>
          <w:szCs w:val="24"/>
          <w:lang w:val="sr-Latn-ME" w:eastAsia="sr-Cyrl-CS" w:bidi="sr-Cyrl-CS"/>
          <w14:ligatures w14:val="none"/>
        </w:rPr>
        <w:t>M</w:t>
      </w:r>
      <w:r w:rsidR="008E01F0" w:rsidRPr="00411FFF">
        <w:rPr>
          <w:rFonts w:eastAsia="Calibri" w:cstheme="minorHAnsi"/>
          <w:iCs/>
          <w:kern w:val="0"/>
          <w:sz w:val="24"/>
          <w:szCs w:val="24"/>
          <w:lang w:val="sr-Latn-ME" w:eastAsia="sr-Cyrl-CS" w:bidi="sr-Cyrl-CS"/>
          <w14:ligatures w14:val="none"/>
        </w:rPr>
        <w:t>F</w:t>
      </w:r>
    </w:p>
    <w:p w14:paraId="1FF6D09D" w14:textId="1741B8E4" w:rsidR="009C5D80" w:rsidRPr="009C5D80" w:rsidRDefault="009C5D80" w:rsidP="00FD3827">
      <w:pPr>
        <w:pStyle w:val="ListParagraph"/>
        <w:widowControl w:val="0"/>
        <w:numPr>
          <w:ilvl w:val="0"/>
          <w:numId w:val="3"/>
        </w:numPr>
        <w:spacing w:after="0" w:line="240" w:lineRule="auto"/>
        <w:jc w:val="both"/>
        <w:rPr>
          <w:rFonts w:eastAsia="Calibri" w:cstheme="minorHAnsi"/>
          <w:b/>
          <w:kern w:val="0"/>
          <w:sz w:val="24"/>
          <w:szCs w:val="24"/>
          <w:lang w:val="sr-Latn-ME" w:eastAsia="sr-Cyrl-CS" w:bidi="sr-Cyrl-CS"/>
          <w14:ligatures w14:val="none"/>
        </w:rPr>
      </w:pPr>
      <w:r w:rsidRPr="009C5D80">
        <w:rPr>
          <w:rFonts w:eastAsia="Calibri" w:cstheme="minorHAnsi"/>
          <w:kern w:val="0"/>
          <w:sz w:val="24"/>
          <w:szCs w:val="24"/>
          <w:lang w:val="sr-Latn-ME" w:eastAsia="sr-Cyrl-CS" w:bidi="sr-Cyrl-CS"/>
          <w14:ligatures w14:val="none"/>
        </w:rPr>
        <w:t>Priprema predloga Metodologije za procjenu i praćenje fiskalnih rizika državnih kompanija;</w:t>
      </w:r>
      <w:r w:rsidR="0021498F" w:rsidRPr="0021498F">
        <w:rPr>
          <w:rFonts w:eastAsia="Calibri" w:cstheme="minorHAnsi"/>
          <w:i/>
          <w:iCs/>
          <w:kern w:val="0"/>
          <w:sz w:val="24"/>
          <w:szCs w:val="24"/>
          <w:lang w:val="sr-Latn-ME" w:eastAsia="sr-Cyrl-CS" w:bidi="sr-Cyrl-CS"/>
          <w14:ligatures w14:val="none"/>
        </w:rPr>
        <w:t xml:space="preserve"> </w:t>
      </w:r>
      <w:r w:rsidR="008E01F0" w:rsidRPr="00411FFF">
        <w:rPr>
          <w:rFonts w:eastAsia="Calibri" w:cstheme="minorHAnsi"/>
          <w:iCs/>
          <w:kern w:val="0"/>
          <w:sz w:val="24"/>
          <w:szCs w:val="24"/>
          <w:lang w:val="sr-Latn-ME" w:eastAsia="sr-Cyrl-CS" w:bidi="sr-Cyrl-CS"/>
          <w14:ligatures w14:val="none"/>
        </w:rPr>
        <w:t>MF</w:t>
      </w:r>
    </w:p>
    <w:p w14:paraId="5AADD453" w14:textId="3F9A3469" w:rsidR="009C5D80" w:rsidRPr="009C5D80" w:rsidRDefault="009C5D80" w:rsidP="00FD3827">
      <w:pPr>
        <w:pStyle w:val="ListParagraph"/>
        <w:widowControl w:val="0"/>
        <w:numPr>
          <w:ilvl w:val="0"/>
          <w:numId w:val="3"/>
        </w:numPr>
        <w:spacing w:after="0" w:line="240" w:lineRule="auto"/>
        <w:jc w:val="both"/>
        <w:rPr>
          <w:rFonts w:eastAsia="Calibri" w:cstheme="minorHAnsi"/>
          <w:b/>
          <w:kern w:val="0"/>
          <w:sz w:val="24"/>
          <w:szCs w:val="24"/>
          <w:lang w:val="sr-Latn-ME" w:eastAsia="sr-Cyrl-CS" w:bidi="sr-Cyrl-CS"/>
          <w14:ligatures w14:val="none"/>
        </w:rPr>
      </w:pPr>
      <w:r w:rsidRPr="009C5D80">
        <w:rPr>
          <w:rFonts w:eastAsia="Calibri" w:cstheme="minorHAnsi"/>
          <w:kern w:val="0"/>
          <w:sz w:val="24"/>
          <w:szCs w:val="24"/>
          <w:lang w:val="sr-Latn-ME" w:eastAsia="sr-Cyrl-CS" w:bidi="sr-Cyrl-CS"/>
          <w14:ligatures w14:val="none"/>
        </w:rPr>
        <w:t xml:space="preserve">Jačanje administrativnih kapaciteta </w:t>
      </w:r>
      <w:r w:rsidR="008E01F0">
        <w:rPr>
          <w:rFonts w:eastAsia="Calibri" w:cstheme="minorHAnsi"/>
          <w:kern w:val="0"/>
          <w:sz w:val="24"/>
          <w:szCs w:val="24"/>
          <w:lang w:val="sr-Latn-ME" w:eastAsia="sr-Cyrl-CS" w:bidi="sr-Cyrl-CS"/>
          <w14:ligatures w14:val="none"/>
        </w:rPr>
        <w:t>nadležne direkcije u MF</w:t>
      </w:r>
      <w:r w:rsidRPr="009C5D80">
        <w:rPr>
          <w:rFonts w:eastAsia="Calibri" w:cstheme="minorHAnsi"/>
          <w:kern w:val="0"/>
          <w:sz w:val="24"/>
          <w:szCs w:val="24"/>
          <w:lang w:val="sr-Latn-ME" w:eastAsia="sr-Cyrl-CS" w:bidi="sr-Cyrl-CS"/>
          <w14:ligatures w14:val="none"/>
        </w:rPr>
        <w:t>.</w:t>
      </w:r>
      <w:r w:rsidR="0021498F" w:rsidRPr="0021498F">
        <w:rPr>
          <w:rFonts w:eastAsia="Calibri" w:cstheme="minorHAnsi"/>
          <w:i/>
          <w:iCs/>
          <w:kern w:val="0"/>
          <w:sz w:val="24"/>
          <w:szCs w:val="24"/>
          <w:lang w:val="sr-Latn-ME" w:eastAsia="sr-Cyrl-CS" w:bidi="sr-Cyrl-CS"/>
          <w14:ligatures w14:val="none"/>
        </w:rPr>
        <w:t xml:space="preserve"> </w:t>
      </w:r>
      <w:r w:rsidR="008E01F0" w:rsidRPr="00411FFF">
        <w:rPr>
          <w:rFonts w:eastAsia="Calibri" w:cstheme="minorHAnsi"/>
          <w:iCs/>
          <w:kern w:val="0"/>
          <w:sz w:val="24"/>
          <w:szCs w:val="24"/>
          <w:lang w:val="sr-Latn-ME" w:eastAsia="sr-Cyrl-CS" w:bidi="sr-Cyrl-CS"/>
          <w14:ligatures w14:val="none"/>
        </w:rPr>
        <w:t>MF</w:t>
      </w:r>
    </w:p>
    <w:p w14:paraId="72C7AF15" w14:textId="77777777" w:rsidR="002C099C" w:rsidRPr="0021498F" w:rsidRDefault="002C099C" w:rsidP="006A762A">
      <w:pPr>
        <w:pStyle w:val="ListParagraph"/>
        <w:widowControl w:val="0"/>
        <w:spacing w:after="0" w:line="240" w:lineRule="auto"/>
        <w:jc w:val="both"/>
        <w:rPr>
          <w:rFonts w:eastAsia="Calibri" w:cstheme="minorHAnsi"/>
          <w:b/>
          <w:kern w:val="0"/>
          <w:sz w:val="24"/>
          <w:szCs w:val="24"/>
          <w:lang w:val="sr-Latn-RS" w:eastAsia="sr-Cyrl-CS" w:bidi="sr-Cyrl-CS"/>
          <w14:ligatures w14:val="none"/>
        </w:rPr>
      </w:pPr>
    </w:p>
    <w:p w14:paraId="088B9283" w14:textId="76E5C338" w:rsidR="004E2900" w:rsidRPr="0021498F" w:rsidRDefault="004E2900" w:rsidP="004E2900">
      <w:pPr>
        <w:widowControl w:val="0"/>
        <w:spacing w:after="0" w:line="240" w:lineRule="auto"/>
        <w:rPr>
          <w:rFonts w:eastAsia="Calibri" w:cstheme="minorHAnsi"/>
          <w:b/>
          <w:bCs/>
          <w:kern w:val="0"/>
          <w:sz w:val="24"/>
          <w:szCs w:val="24"/>
          <w:lang w:val="sr-Latn-RS" w:eastAsia="sr-Cyrl-CS" w:bidi="sr-Cyrl-CS"/>
          <w14:ligatures w14:val="none"/>
        </w:rPr>
      </w:pPr>
      <w:r w:rsidRPr="0021498F">
        <w:rPr>
          <w:rFonts w:eastAsia="Calibri" w:cstheme="minorHAnsi"/>
          <w:b/>
          <w:bCs/>
          <w:kern w:val="0"/>
          <w:sz w:val="24"/>
          <w:szCs w:val="24"/>
          <w:lang w:val="sr-Latn-RS" w:eastAsia="sr-Cyrl-CS" w:bidi="sr-Cyrl-CS"/>
          <w14:ligatures w14:val="none"/>
        </w:rPr>
        <w:t>Aktivnosti planirane za 2025</w:t>
      </w:r>
      <w:r w:rsidR="00FA41DC" w:rsidRPr="0021498F">
        <w:rPr>
          <w:rFonts w:eastAsia="Calibri" w:cstheme="minorHAnsi"/>
          <w:b/>
          <w:bCs/>
          <w:kern w:val="0"/>
          <w:sz w:val="24"/>
          <w:szCs w:val="24"/>
          <w:lang w:val="sr-Latn-RS" w:eastAsia="sr-Cyrl-CS" w:bidi="sr-Cyrl-CS"/>
          <w14:ligatures w14:val="none"/>
        </w:rPr>
        <w:t>.</w:t>
      </w:r>
    </w:p>
    <w:p w14:paraId="47091548" w14:textId="42C02E30" w:rsidR="0021498F" w:rsidRPr="0021498F" w:rsidRDefault="0021498F" w:rsidP="00FD3827">
      <w:pPr>
        <w:pStyle w:val="ListParagraph"/>
        <w:widowControl w:val="0"/>
        <w:numPr>
          <w:ilvl w:val="0"/>
          <w:numId w:val="4"/>
        </w:numPr>
        <w:spacing w:after="0" w:line="240" w:lineRule="auto"/>
        <w:jc w:val="both"/>
        <w:rPr>
          <w:rFonts w:eastAsia="Calibri" w:cstheme="minorHAnsi"/>
          <w:b/>
          <w:kern w:val="0"/>
          <w:sz w:val="24"/>
          <w:szCs w:val="24"/>
          <w:lang w:val="sr-Latn-ME" w:eastAsia="sr-Cyrl-CS" w:bidi="sr-Cyrl-CS"/>
          <w14:ligatures w14:val="none"/>
        </w:rPr>
      </w:pPr>
      <w:r w:rsidRPr="0021498F">
        <w:rPr>
          <w:rFonts w:eastAsia="Calibri" w:cstheme="minorHAnsi"/>
          <w:kern w:val="0"/>
          <w:sz w:val="24"/>
          <w:szCs w:val="24"/>
          <w:lang w:val="sr-Latn-ME" w:eastAsia="sr-Cyrl-CS" w:bidi="sr-Cyrl-CS"/>
          <w14:ligatures w14:val="none"/>
        </w:rPr>
        <w:t xml:space="preserve">Donošenje Strategije državnog vlasništva i upravljanja privrednim subjektima </w:t>
      </w:r>
      <w:r w:rsidR="008E01F0">
        <w:rPr>
          <w:rFonts w:eastAsia="Calibri" w:cstheme="minorHAnsi"/>
          <w:kern w:val="0"/>
          <w:sz w:val="24"/>
          <w:szCs w:val="24"/>
          <w:lang w:val="sr-Latn-ME" w:eastAsia="sr-Cyrl-CS" w:bidi="sr-Cyrl-CS"/>
          <w14:ligatures w14:val="none"/>
        </w:rPr>
        <w:t xml:space="preserve">u </w:t>
      </w:r>
      <w:r w:rsidRPr="0021498F">
        <w:rPr>
          <w:rFonts w:eastAsia="Calibri" w:cstheme="minorHAnsi"/>
          <w:kern w:val="0"/>
          <w:sz w:val="24"/>
          <w:szCs w:val="24"/>
          <w:lang w:val="sr-Latn-ME" w:eastAsia="sr-Cyrl-CS" w:bidi="sr-Cyrl-CS"/>
          <w14:ligatures w14:val="none"/>
        </w:rPr>
        <w:t>većinskom vlasništvu Crne Gore sa Akcionim planom za period 2025-2027.</w:t>
      </w:r>
      <w:r w:rsidRPr="0021498F">
        <w:rPr>
          <w:rFonts w:eastAsia="Calibri" w:cstheme="minorHAnsi"/>
          <w:i/>
          <w:iCs/>
          <w:kern w:val="0"/>
          <w:sz w:val="24"/>
          <w:szCs w:val="24"/>
          <w:lang w:val="sr-Latn-ME" w:eastAsia="sr-Cyrl-CS" w:bidi="sr-Cyrl-CS"/>
          <w14:ligatures w14:val="none"/>
        </w:rPr>
        <w:t xml:space="preserve"> </w:t>
      </w:r>
      <w:r w:rsidR="008E01F0" w:rsidRPr="00411FFF">
        <w:rPr>
          <w:rFonts w:eastAsia="Calibri" w:cstheme="minorHAnsi"/>
          <w:iCs/>
          <w:kern w:val="0"/>
          <w:sz w:val="24"/>
          <w:szCs w:val="24"/>
          <w:lang w:val="sr-Latn-ME" w:eastAsia="sr-Cyrl-CS" w:bidi="sr-Cyrl-CS"/>
          <w14:ligatures w14:val="none"/>
        </w:rPr>
        <w:t>MF</w:t>
      </w:r>
    </w:p>
    <w:p w14:paraId="4282467E" w14:textId="07F2916F" w:rsidR="0021498F" w:rsidRPr="0021498F" w:rsidRDefault="0021498F" w:rsidP="00FD3827">
      <w:pPr>
        <w:pStyle w:val="ListParagraph"/>
        <w:widowControl w:val="0"/>
        <w:numPr>
          <w:ilvl w:val="0"/>
          <w:numId w:val="4"/>
        </w:numPr>
        <w:spacing w:after="0" w:line="240" w:lineRule="auto"/>
        <w:jc w:val="both"/>
        <w:rPr>
          <w:rFonts w:eastAsia="Calibri" w:cstheme="minorHAnsi"/>
          <w:b/>
          <w:kern w:val="0"/>
          <w:sz w:val="24"/>
          <w:szCs w:val="24"/>
          <w:lang w:val="sr-Latn-ME" w:eastAsia="sr-Cyrl-CS" w:bidi="sr-Cyrl-CS"/>
          <w14:ligatures w14:val="none"/>
        </w:rPr>
      </w:pPr>
      <w:r w:rsidRPr="0021498F">
        <w:rPr>
          <w:rFonts w:eastAsia="Calibri" w:cstheme="minorHAnsi"/>
          <w:kern w:val="0"/>
          <w:sz w:val="24"/>
          <w:szCs w:val="24"/>
          <w:lang w:val="sr-Latn-ME" w:eastAsia="sr-Cyrl-CS" w:bidi="sr-Cyrl-CS"/>
          <w14:ligatures w14:val="none"/>
        </w:rPr>
        <w:t xml:space="preserve">Davanje predloga za izmjenu/dopunu postojećih zakona </w:t>
      </w:r>
      <w:r w:rsidR="00E93DF1">
        <w:rPr>
          <w:rFonts w:eastAsia="Calibri" w:cstheme="minorHAnsi"/>
          <w:kern w:val="0"/>
          <w:sz w:val="24"/>
          <w:szCs w:val="24"/>
          <w:lang w:val="sr-Latn-ME" w:eastAsia="sr-Cyrl-CS" w:bidi="sr-Cyrl-CS"/>
          <w14:ligatures w14:val="none"/>
        </w:rPr>
        <w:t>/</w:t>
      </w:r>
      <w:r w:rsidRPr="0021498F">
        <w:rPr>
          <w:rFonts w:eastAsia="Calibri" w:cstheme="minorHAnsi"/>
          <w:kern w:val="0"/>
          <w:sz w:val="24"/>
          <w:szCs w:val="24"/>
          <w:lang w:val="sr-Latn-ME" w:eastAsia="sr-Cyrl-CS" w:bidi="sr-Cyrl-CS"/>
          <w14:ligatures w14:val="none"/>
        </w:rPr>
        <w:t>donošenje novog zakonskog rješenja koje bi uređivalo poslovanje državnih preduzeća;</w:t>
      </w:r>
      <w:r w:rsidRPr="0021498F">
        <w:rPr>
          <w:rFonts w:eastAsia="Calibri" w:cstheme="minorHAnsi"/>
          <w:i/>
          <w:iCs/>
          <w:kern w:val="0"/>
          <w:sz w:val="24"/>
          <w:szCs w:val="24"/>
          <w:lang w:val="sr-Latn-ME" w:eastAsia="sr-Cyrl-CS" w:bidi="sr-Cyrl-CS"/>
          <w14:ligatures w14:val="none"/>
        </w:rPr>
        <w:t xml:space="preserve"> </w:t>
      </w:r>
      <w:r w:rsidR="008E01F0" w:rsidRPr="00411FFF">
        <w:rPr>
          <w:rFonts w:eastAsia="Calibri" w:cstheme="minorHAnsi"/>
          <w:iCs/>
          <w:kern w:val="0"/>
          <w:sz w:val="24"/>
          <w:szCs w:val="24"/>
          <w:lang w:val="sr-Latn-ME" w:eastAsia="sr-Cyrl-CS" w:bidi="sr-Cyrl-CS"/>
          <w14:ligatures w14:val="none"/>
        </w:rPr>
        <w:t>MF</w:t>
      </w:r>
    </w:p>
    <w:p w14:paraId="1AD739BA" w14:textId="6754659D" w:rsidR="0021498F" w:rsidRPr="0021498F" w:rsidRDefault="0021498F" w:rsidP="00FD3827">
      <w:pPr>
        <w:pStyle w:val="ListParagraph"/>
        <w:widowControl w:val="0"/>
        <w:numPr>
          <w:ilvl w:val="0"/>
          <w:numId w:val="4"/>
        </w:numPr>
        <w:spacing w:after="0" w:line="240" w:lineRule="auto"/>
        <w:jc w:val="both"/>
        <w:rPr>
          <w:rFonts w:eastAsia="Calibri" w:cstheme="minorHAnsi"/>
          <w:b/>
          <w:kern w:val="0"/>
          <w:sz w:val="24"/>
          <w:szCs w:val="24"/>
          <w:lang w:val="sr-Latn-ME" w:eastAsia="sr-Cyrl-CS" w:bidi="sr-Cyrl-CS"/>
          <w14:ligatures w14:val="none"/>
        </w:rPr>
      </w:pPr>
      <w:r w:rsidRPr="0021498F">
        <w:rPr>
          <w:rFonts w:eastAsia="Calibri" w:cstheme="minorHAnsi"/>
          <w:kern w:val="0"/>
          <w:sz w:val="24"/>
          <w:szCs w:val="24"/>
          <w:lang w:val="sr-Latn-ME" w:eastAsia="sr-Cyrl-CS" w:bidi="sr-Cyrl-CS"/>
          <w14:ligatures w14:val="none"/>
        </w:rPr>
        <w:t>Redovno pripremanje Izjave o fiskalnim rizicima državnih kompanija;</w:t>
      </w:r>
      <w:r w:rsidRPr="0021498F">
        <w:rPr>
          <w:rFonts w:eastAsia="Calibri" w:cstheme="minorHAnsi"/>
          <w:i/>
          <w:iCs/>
          <w:kern w:val="0"/>
          <w:sz w:val="24"/>
          <w:szCs w:val="24"/>
          <w:lang w:val="sr-Latn-ME" w:eastAsia="sr-Cyrl-CS" w:bidi="sr-Cyrl-CS"/>
          <w14:ligatures w14:val="none"/>
        </w:rPr>
        <w:t xml:space="preserve"> </w:t>
      </w:r>
      <w:r w:rsidR="008E01F0" w:rsidRPr="00411FFF">
        <w:rPr>
          <w:rFonts w:eastAsia="Calibri" w:cstheme="minorHAnsi"/>
          <w:iCs/>
          <w:kern w:val="0"/>
          <w:sz w:val="24"/>
          <w:szCs w:val="24"/>
          <w:lang w:val="sr-Latn-ME" w:eastAsia="sr-Cyrl-CS" w:bidi="sr-Cyrl-CS"/>
          <w14:ligatures w14:val="none"/>
        </w:rPr>
        <w:t>MF</w:t>
      </w:r>
    </w:p>
    <w:p w14:paraId="4DCE41E7" w14:textId="6D962964" w:rsidR="0021498F" w:rsidRPr="0021498F" w:rsidRDefault="0021498F" w:rsidP="00FD3827">
      <w:pPr>
        <w:pStyle w:val="ListParagraph"/>
        <w:widowControl w:val="0"/>
        <w:numPr>
          <w:ilvl w:val="0"/>
          <w:numId w:val="4"/>
        </w:numPr>
        <w:spacing w:after="0" w:line="240" w:lineRule="auto"/>
        <w:jc w:val="both"/>
        <w:rPr>
          <w:rFonts w:eastAsia="Calibri" w:cstheme="minorHAnsi"/>
          <w:b/>
          <w:kern w:val="0"/>
          <w:sz w:val="24"/>
          <w:szCs w:val="24"/>
          <w:lang w:val="sr-Latn-ME" w:eastAsia="sr-Cyrl-CS" w:bidi="sr-Cyrl-CS"/>
          <w14:ligatures w14:val="none"/>
        </w:rPr>
      </w:pPr>
      <w:r w:rsidRPr="0021498F">
        <w:rPr>
          <w:rFonts w:eastAsia="Calibri" w:cstheme="minorHAnsi"/>
          <w:kern w:val="0"/>
          <w:sz w:val="24"/>
          <w:szCs w:val="24"/>
          <w:lang w:val="sr-Latn-ME" w:eastAsia="sr-Cyrl-CS" w:bidi="sr-Cyrl-CS"/>
          <w14:ligatures w14:val="none"/>
        </w:rPr>
        <w:t>Usvajanje Metodologije za procjenu fiskalnih rizika državnih kompanija</w:t>
      </w:r>
      <w:r w:rsidR="008E01F0">
        <w:rPr>
          <w:rFonts w:eastAsia="Calibri" w:cstheme="minorHAnsi"/>
          <w:kern w:val="0"/>
          <w:sz w:val="24"/>
          <w:szCs w:val="24"/>
          <w:lang w:val="sr-Latn-ME" w:eastAsia="sr-Cyrl-CS" w:bidi="sr-Cyrl-CS"/>
          <w14:ligatures w14:val="none"/>
        </w:rPr>
        <w:t>. MF</w:t>
      </w:r>
    </w:p>
    <w:p w14:paraId="7CC310A2" w14:textId="3669054A" w:rsidR="0021498F" w:rsidRPr="0021498F" w:rsidRDefault="0021498F" w:rsidP="00FD3827">
      <w:pPr>
        <w:pStyle w:val="ListParagraph"/>
        <w:widowControl w:val="0"/>
        <w:numPr>
          <w:ilvl w:val="0"/>
          <w:numId w:val="4"/>
        </w:numPr>
        <w:spacing w:after="0" w:line="240" w:lineRule="auto"/>
        <w:jc w:val="both"/>
        <w:rPr>
          <w:rFonts w:eastAsia="Calibri" w:cstheme="minorHAnsi"/>
          <w:b/>
          <w:kern w:val="0"/>
          <w:sz w:val="24"/>
          <w:szCs w:val="24"/>
          <w:lang w:val="sr-Latn-ME" w:eastAsia="sr-Cyrl-CS" w:bidi="sr-Cyrl-CS"/>
          <w14:ligatures w14:val="none"/>
        </w:rPr>
      </w:pPr>
      <w:r w:rsidRPr="0021498F">
        <w:rPr>
          <w:rFonts w:eastAsia="Calibri" w:cstheme="minorHAnsi"/>
          <w:kern w:val="0"/>
          <w:sz w:val="24"/>
          <w:szCs w:val="24"/>
          <w:lang w:val="sr-Latn-ME" w:eastAsia="sr-Cyrl-CS" w:bidi="sr-Cyrl-CS"/>
          <w14:ligatures w14:val="none"/>
        </w:rPr>
        <w:t xml:space="preserve">Uspostavljanje kompletne i ažurne baze podataka o finansijskom poslovanju državnih </w:t>
      </w:r>
      <w:r w:rsidR="002E6DC5">
        <w:rPr>
          <w:rFonts w:eastAsia="Calibri" w:cstheme="minorHAnsi"/>
          <w:kern w:val="0"/>
          <w:sz w:val="24"/>
          <w:szCs w:val="24"/>
          <w:lang w:val="sr-Latn-ME" w:eastAsia="sr-Cyrl-CS" w:bidi="sr-Cyrl-CS"/>
          <w14:ligatures w14:val="none"/>
        </w:rPr>
        <w:t>preduzeća</w:t>
      </w:r>
      <w:r w:rsidRPr="0021498F">
        <w:rPr>
          <w:rFonts w:eastAsia="Calibri" w:cstheme="minorHAnsi"/>
          <w:kern w:val="0"/>
          <w:sz w:val="24"/>
          <w:szCs w:val="24"/>
          <w:lang w:val="sr-Latn-ME" w:eastAsia="sr-Cyrl-CS" w:bidi="sr-Cyrl-CS"/>
          <w14:ligatures w14:val="none"/>
        </w:rPr>
        <w:t>;</w:t>
      </w:r>
      <w:r w:rsidRPr="0021498F">
        <w:rPr>
          <w:rFonts w:eastAsia="Calibri" w:cstheme="minorHAnsi"/>
          <w:i/>
          <w:iCs/>
          <w:kern w:val="0"/>
          <w:sz w:val="24"/>
          <w:szCs w:val="24"/>
          <w:lang w:val="sr-Latn-ME" w:eastAsia="sr-Cyrl-CS" w:bidi="sr-Cyrl-CS"/>
          <w14:ligatures w14:val="none"/>
        </w:rPr>
        <w:t xml:space="preserve"> </w:t>
      </w:r>
      <w:r w:rsidR="008E01F0" w:rsidRPr="00411FFF">
        <w:rPr>
          <w:rFonts w:eastAsia="Calibri" w:cstheme="minorHAnsi"/>
          <w:iCs/>
          <w:kern w:val="0"/>
          <w:sz w:val="24"/>
          <w:szCs w:val="24"/>
          <w:lang w:val="sr-Latn-ME" w:eastAsia="sr-Cyrl-CS" w:bidi="sr-Cyrl-CS"/>
          <w14:ligatures w14:val="none"/>
        </w:rPr>
        <w:t>MF</w:t>
      </w:r>
    </w:p>
    <w:p w14:paraId="62620F42" w14:textId="760FC51A" w:rsidR="0021498F" w:rsidRPr="0021498F" w:rsidRDefault="0021498F" w:rsidP="00FD3827">
      <w:pPr>
        <w:pStyle w:val="ListParagraph"/>
        <w:widowControl w:val="0"/>
        <w:numPr>
          <w:ilvl w:val="0"/>
          <w:numId w:val="4"/>
        </w:numPr>
        <w:spacing w:after="0" w:line="240" w:lineRule="auto"/>
        <w:jc w:val="both"/>
        <w:rPr>
          <w:rFonts w:eastAsia="Calibri" w:cstheme="minorHAnsi"/>
          <w:b/>
          <w:kern w:val="0"/>
          <w:sz w:val="24"/>
          <w:szCs w:val="24"/>
          <w:lang w:val="sr-Latn-RS" w:eastAsia="sr-Cyrl-CS" w:bidi="sr-Cyrl-CS"/>
          <w14:ligatures w14:val="none"/>
        </w:rPr>
      </w:pPr>
      <w:r w:rsidRPr="0021498F">
        <w:rPr>
          <w:rFonts w:eastAsia="Calibri" w:cstheme="minorHAnsi"/>
          <w:kern w:val="0"/>
          <w:sz w:val="24"/>
          <w:szCs w:val="24"/>
          <w:lang w:val="sr-Latn-ME" w:eastAsia="sr-Cyrl-CS" w:bidi="sr-Cyrl-CS"/>
          <w14:ligatures w14:val="none"/>
        </w:rPr>
        <w:t xml:space="preserve">Jačanje administrativnih kapaciteta </w:t>
      </w:r>
      <w:r w:rsidR="008E01F0">
        <w:rPr>
          <w:rFonts w:eastAsia="Calibri" w:cstheme="minorHAnsi"/>
          <w:kern w:val="0"/>
          <w:sz w:val="24"/>
          <w:szCs w:val="24"/>
          <w:lang w:val="sr-Latn-ME" w:eastAsia="sr-Cyrl-CS" w:bidi="sr-Cyrl-CS"/>
          <w14:ligatures w14:val="none"/>
        </w:rPr>
        <w:t>nadležne direkcije u Ministarstvu finansija. MF</w:t>
      </w:r>
    </w:p>
    <w:p w14:paraId="5FEB556B" w14:textId="77777777" w:rsidR="004E2900" w:rsidRPr="004E2900" w:rsidRDefault="004E2900" w:rsidP="004E2900">
      <w:pPr>
        <w:widowControl w:val="0"/>
        <w:spacing w:after="0" w:line="240" w:lineRule="auto"/>
        <w:rPr>
          <w:rFonts w:eastAsia="Calibri" w:cstheme="minorHAnsi"/>
          <w:b/>
          <w:bCs/>
          <w:kern w:val="0"/>
          <w:sz w:val="24"/>
          <w:szCs w:val="24"/>
          <w:lang w:val="sr-Latn-RS" w:eastAsia="sr-Cyrl-CS" w:bidi="sr-Cyrl-CS"/>
          <w14:ligatures w14:val="none"/>
        </w:rPr>
      </w:pPr>
    </w:p>
    <w:p w14:paraId="5E1CAA8E" w14:textId="77777777" w:rsidR="006A762A" w:rsidRDefault="004E2900" w:rsidP="006A762A">
      <w:pPr>
        <w:rPr>
          <w:rFonts w:eastAsia="Calibri" w:cstheme="minorHAnsi"/>
          <w:b/>
          <w:bCs/>
          <w:kern w:val="0"/>
          <w:sz w:val="24"/>
          <w:szCs w:val="24"/>
          <w:lang w:val="sr-Latn-RS" w:eastAsia="sr-Cyrl-CS" w:bidi="sr-Cyrl-CS"/>
          <w14:ligatures w14:val="none"/>
        </w:rPr>
      </w:pPr>
      <w:r w:rsidRPr="002800F8">
        <w:rPr>
          <w:rFonts w:eastAsia="Calibri" w:cstheme="minorHAnsi"/>
          <w:b/>
          <w:bCs/>
          <w:kern w:val="0"/>
          <w:sz w:val="24"/>
          <w:szCs w:val="24"/>
          <w:lang w:val="sr-Latn-RS" w:eastAsia="sr-Cyrl-CS" w:bidi="sr-Cyrl-CS"/>
          <w14:ligatures w14:val="none"/>
        </w:rPr>
        <w:t>Aktivnosti planirane za 2026</w:t>
      </w:r>
      <w:r w:rsidR="006A762A">
        <w:rPr>
          <w:rFonts w:eastAsia="Calibri" w:cstheme="minorHAnsi"/>
          <w:b/>
          <w:bCs/>
          <w:kern w:val="0"/>
          <w:sz w:val="24"/>
          <w:szCs w:val="24"/>
          <w:lang w:val="sr-Latn-RS" w:eastAsia="sr-Cyrl-CS" w:bidi="sr-Cyrl-CS"/>
          <w14:ligatures w14:val="none"/>
        </w:rPr>
        <w:t>.</w:t>
      </w:r>
    </w:p>
    <w:p w14:paraId="491E8E03" w14:textId="7CF3A329" w:rsidR="0021498F" w:rsidRPr="00DF7626" w:rsidRDefault="0021498F" w:rsidP="00FD3827">
      <w:pPr>
        <w:pStyle w:val="ListParagraph"/>
        <w:widowControl w:val="0"/>
        <w:numPr>
          <w:ilvl w:val="0"/>
          <w:numId w:val="5"/>
        </w:numPr>
        <w:spacing w:after="0" w:line="240" w:lineRule="auto"/>
        <w:jc w:val="both"/>
        <w:rPr>
          <w:rFonts w:ascii="Calibri" w:eastAsia="Calibri" w:hAnsi="Calibri" w:cs="Calibri"/>
          <w:b/>
          <w:kern w:val="0"/>
          <w:sz w:val="24"/>
          <w:szCs w:val="24"/>
          <w:lang w:val="sr-Latn-RS" w:eastAsia="sr-Cyrl-CS" w:bidi="sr-Cyrl-CS"/>
          <w14:ligatures w14:val="none"/>
        </w:rPr>
      </w:pPr>
      <w:r w:rsidRPr="00DF7626">
        <w:rPr>
          <w:rFonts w:ascii="Calibri" w:eastAsia="Calibri" w:hAnsi="Calibri" w:cs="Calibri"/>
          <w:kern w:val="0"/>
          <w:sz w:val="24"/>
          <w:szCs w:val="24"/>
          <w:lang w:val="sr-Latn-RS" w:eastAsia="sr-Cyrl-CS" w:bidi="sr-Cyrl-CS"/>
          <w14:ligatures w14:val="none"/>
        </w:rPr>
        <w:t>Na osnovu uspostavljenog okvira nadzora, obezbijediće se puna primjena kriterijuma za imenovanje članova upravnih odnosno odbora direktora duštava;</w:t>
      </w:r>
      <w:r w:rsidRPr="00DF7626">
        <w:rPr>
          <w:rFonts w:ascii="Calibri" w:eastAsia="Calibri" w:hAnsi="Calibri" w:cs="Calibri"/>
          <w:i/>
          <w:iCs/>
          <w:kern w:val="0"/>
          <w:sz w:val="24"/>
          <w:szCs w:val="24"/>
          <w:lang w:val="sr-Latn-ME" w:eastAsia="sr-Cyrl-CS" w:bidi="sr-Cyrl-CS"/>
          <w14:ligatures w14:val="none"/>
        </w:rPr>
        <w:t xml:space="preserve"> </w:t>
      </w:r>
      <w:r w:rsidR="008E01F0" w:rsidRPr="00BE0CE8">
        <w:rPr>
          <w:rFonts w:ascii="Calibri" w:eastAsia="Calibri" w:hAnsi="Calibri" w:cs="Calibri"/>
          <w:iCs/>
          <w:kern w:val="0"/>
          <w:sz w:val="24"/>
          <w:szCs w:val="24"/>
          <w:lang w:val="sr-Latn-ME" w:eastAsia="sr-Cyrl-CS" w:bidi="sr-Cyrl-CS"/>
          <w14:ligatures w14:val="none"/>
        </w:rPr>
        <w:t>MF</w:t>
      </w:r>
    </w:p>
    <w:p w14:paraId="343AE879" w14:textId="74E62CCC" w:rsidR="0021498F" w:rsidRPr="00DF7626" w:rsidRDefault="0021498F" w:rsidP="00FD3827">
      <w:pPr>
        <w:pStyle w:val="ListParagraph"/>
        <w:widowControl w:val="0"/>
        <w:numPr>
          <w:ilvl w:val="0"/>
          <w:numId w:val="5"/>
        </w:numPr>
        <w:spacing w:after="0" w:line="240" w:lineRule="auto"/>
        <w:jc w:val="both"/>
        <w:rPr>
          <w:rFonts w:ascii="Calibri" w:eastAsia="Calibri" w:hAnsi="Calibri" w:cs="Calibri"/>
          <w:b/>
          <w:kern w:val="0"/>
          <w:sz w:val="24"/>
          <w:szCs w:val="24"/>
          <w:lang w:val="sr-Latn-RS" w:eastAsia="sr-Cyrl-CS" w:bidi="sr-Cyrl-CS"/>
          <w14:ligatures w14:val="none"/>
        </w:rPr>
      </w:pPr>
      <w:r w:rsidRPr="00DF7626">
        <w:rPr>
          <w:rFonts w:ascii="Calibri" w:eastAsia="Calibri" w:hAnsi="Calibri" w:cs="Calibri"/>
          <w:kern w:val="0"/>
          <w:sz w:val="24"/>
          <w:szCs w:val="24"/>
          <w:lang w:val="sr-Latn-RS" w:eastAsia="sr-Cyrl-CS" w:bidi="sr-Cyrl-CS"/>
          <w14:ligatures w14:val="none"/>
        </w:rPr>
        <w:t>Uspostavlj</w:t>
      </w:r>
      <w:r w:rsidR="00E93DF1">
        <w:rPr>
          <w:rFonts w:ascii="Calibri" w:eastAsia="Calibri" w:hAnsi="Calibri" w:cs="Calibri"/>
          <w:kern w:val="0"/>
          <w:sz w:val="24"/>
          <w:szCs w:val="24"/>
          <w:lang w:val="sr-Latn-RS" w:eastAsia="sr-Cyrl-CS" w:bidi="sr-Cyrl-CS"/>
          <w14:ligatures w14:val="none"/>
        </w:rPr>
        <w:t>anje</w:t>
      </w:r>
      <w:r w:rsidRPr="00DF7626">
        <w:rPr>
          <w:rFonts w:ascii="Calibri" w:eastAsia="Calibri" w:hAnsi="Calibri" w:cs="Calibri"/>
          <w:kern w:val="0"/>
          <w:sz w:val="24"/>
          <w:szCs w:val="24"/>
          <w:lang w:val="sr-Latn-RS" w:eastAsia="sr-Cyrl-CS" w:bidi="sr-Cyrl-CS"/>
          <w14:ligatures w14:val="none"/>
        </w:rPr>
        <w:t xml:space="preserve"> adekvat</w:t>
      </w:r>
      <w:r w:rsidR="00E93DF1">
        <w:rPr>
          <w:rFonts w:ascii="Calibri" w:eastAsia="Calibri" w:hAnsi="Calibri" w:cs="Calibri"/>
          <w:kern w:val="0"/>
          <w:sz w:val="24"/>
          <w:szCs w:val="24"/>
          <w:lang w:val="sr-Latn-RS" w:eastAsia="sr-Cyrl-CS" w:bidi="sr-Cyrl-CS"/>
          <w14:ligatures w14:val="none"/>
        </w:rPr>
        <w:t>nog</w:t>
      </w:r>
      <w:r w:rsidRPr="00DF7626">
        <w:rPr>
          <w:rFonts w:ascii="Calibri" w:eastAsia="Calibri" w:hAnsi="Calibri" w:cs="Calibri"/>
          <w:kern w:val="0"/>
          <w:sz w:val="24"/>
          <w:szCs w:val="24"/>
          <w:lang w:val="sr-Latn-RS" w:eastAsia="sr-Cyrl-CS" w:bidi="sr-Cyrl-CS"/>
          <w14:ligatures w14:val="none"/>
        </w:rPr>
        <w:t xml:space="preserve"> model</w:t>
      </w:r>
      <w:r w:rsidR="00E93DF1">
        <w:rPr>
          <w:rFonts w:ascii="Calibri" w:eastAsia="Calibri" w:hAnsi="Calibri" w:cs="Calibri"/>
          <w:kern w:val="0"/>
          <w:sz w:val="24"/>
          <w:szCs w:val="24"/>
          <w:lang w:val="sr-Latn-RS" w:eastAsia="sr-Cyrl-CS" w:bidi="sr-Cyrl-CS"/>
          <w14:ligatures w14:val="none"/>
        </w:rPr>
        <w:t>a</w:t>
      </w:r>
      <w:r w:rsidRPr="00DF7626">
        <w:rPr>
          <w:rFonts w:ascii="Calibri" w:eastAsia="Calibri" w:hAnsi="Calibri" w:cs="Calibri"/>
          <w:kern w:val="0"/>
          <w:sz w:val="24"/>
          <w:szCs w:val="24"/>
          <w:lang w:val="sr-Latn-RS" w:eastAsia="sr-Cyrl-CS" w:bidi="sr-Cyrl-CS"/>
          <w14:ligatures w14:val="none"/>
        </w:rPr>
        <w:t xml:space="preserve"> upravljanja u državnim preduzećima i efikasan </w:t>
      </w:r>
      <w:r w:rsidRPr="00DF7626">
        <w:rPr>
          <w:rFonts w:ascii="Calibri" w:eastAsia="Calibri" w:hAnsi="Calibri" w:cs="Calibri"/>
          <w:kern w:val="0"/>
          <w:sz w:val="24"/>
          <w:szCs w:val="24"/>
          <w:lang w:val="sr-Latn-RS" w:eastAsia="sr-Cyrl-CS" w:bidi="sr-Cyrl-CS"/>
          <w14:ligatures w14:val="none"/>
        </w:rPr>
        <w:lastRenderedPageBreak/>
        <w:t>mehanizam nadzora sprovođenja nadzora nad poslovanjem ovih društava;</w:t>
      </w:r>
      <w:r w:rsidRPr="00DF7626">
        <w:rPr>
          <w:rFonts w:ascii="Calibri" w:eastAsia="Calibri" w:hAnsi="Calibri" w:cs="Calibri"/>
          <w:i/>
          <w:iCs/>
          <w:kern w:val="0"/>
          <w:sz w:val="24"/>
          <w:szCs w:val="24"/>
          <w:lang w:val="sr-Latn-ME" w:eastAsia="sr-Cyrl-CS" w:bidi="sr-Cyrl-CS"/>
          <w14:ligatures w14:val="none"/>
        </w:rPr>
        <w:t xml:space="preserve"> </w:t>
      </w:r>
      <w:r w:rsidR="008E01F0" w:rsidRPr="00BE0CE8">
        <w:rPr>
          <w:rFonts w:ascii="Calibri" w:eastAsia="Calibri" w:hAnsi="Calibri" w:cs="Calibri"/>
          <w:iCs/>
          <w:kern w:val="0"/>
          <w:sz w:val="24"/>
          <w:szCs w:val="24"/>
          <w:lang w:val="sr-Latn-ME" w:eastAsia="sr-Cyrl-CS" w:bidi="sr-Cyrl-CS"/>
          <w14:ligatures w14:val="none"/>
        </w:rPr>
        <w:t>MF</w:t>
      </w:r>
    </w:p>
    <w:p w14:paraId="52F54C90" w14:textId="28B8F9B1" w:rsidR="0021498F" w:rsidRPr="00DF7626" w:rsidRDefault="0021498F" w:rsidP="00FD3827">
      <w:pPr>
        <w:pStyle w:val="ListParagraph"/>
        <w:widowControl w:val="0"/>
        <w:numPr>
          <w:ilvl w:val="0"/>
          <w:numId w:val="5"/>
        </w:numPr>
        <w:spacing w:after="0" w:line="240" w:lineRule="auto"/>
        <w:jc w:val="both"/>
        <w:rPr>
          <w:rFonts w:ascii="Calibri" w:eastAsia="Calibri" w:hAnsi="Calibri" w:cs="Calibri"/>
          <w:b/>
          <w:bCs/>
          <w:kern w:val="0"/>
          <w:sz w:val="24"/>
          <w:szCs w:val="24"/>
          <w:lang w:val="sr-Latn-RS" w:eastAsia="sr-Cyrl-CS" w:bidi="sr-Cyrl-CS"/>
          <w14:ligatures w14:val="none"/>
        </w:rPr>
      </w:pPr>
      <w:r w:rsidRPr="00DF7626">
        <w:rPr>
          <w:rFonts w:ascii="Calibri" w:eastAsia="Calibri" w:hAnsi="Calibri" w:cs="Calibri"/>
          <w:kern w:val="0"/>
          <w:sz w:val="24"/>
          <w:szCs w:val="24"/>
          <w:lang w:val="sr-Latn-RS" w:eastAsia="sr-Cyrl-CS" w:bidi="sr-Cyrl-CS"/>
          <w14:ligatures w14:val="none"/>
        </w:rPr>
        <w:t>Sprovođenje redovnih godišnjih analiza finansijskog poslovanja i procjena fiskalnih rizika državnih preduzeća, i redovno izvještavanje Vlade o istim sa predlogom mjera za smanjenje identifikovanih rizika;</w:t>
      </w:r>
      <w:r w:rsidRPr="00DF7626">
        <w:rPr>
          <w:rFonts w:ascii="Calibri" w:eastAsia="Calibri" w:hAnsi="Calibri" w:cs="Calibri"/>
          <w:i/>
          <w:iCs/>
          <w:kern w:val="0"/>
          <w:sz w:val="24"/>
          <w:szCs w:val="24"/>
          <w:lang w:val="sr-Latn-ME" w:eastAsia="sr-Cyrl-CS" w:bidi="sr-Cyrl-CS"/>
          <w14:ligatures w14:val="none"/>
        </w:rPr>
        <w:t xml:space="preserve"> </w:t>
      </w:r>
      <w:r w:rsidR="008E01F0" w:rsidRPr="00BE0CE8">
        <w:rPr>
          <w:rFonts w:ascii="Calibri" w:eastAsia="Calibri" w:hAnsi="Calibri" w:cs="Calibri"/>
          <w:iCs/>
          <w:kern w:val="0"/>
          <w:sz w:val="24"/>
          <w:szCs w:val="24"/>
          <w:lang w:val="sr-Latn-ME" w:eastAsia="sr-Cyrl-CS" w:bidi="sr-Cyrl-CS"/>
          <w14:ligatures w14:val="none"/>
        </w:rPr>
        <w:t>MF</w:t>
      </w:r>
    </w:p>
    <w:p w14:paraId="74CDB977" w14:textId="77777777" w:rsidR="008E01F0" w:rsidRPr="008E01F0" w:rsidRDefault="0021498F" w:rsidP="00FD3827">
      <w:pPr>
        <w:pStyle w:val="ListParagraph"/>
        <w:widowControl w:val="0"/>
        <w:numPr>
          <w:ilvl w:val="0"/>
          <w:numId w:val="5"/>
        </w:numPr>
        <w:spacing w:after="0" w:line="240" w:lineRule="auto"/>
        <w:jc w:val="both"/>
        <w:rPr>
          <w:rFonts w:cstheme="minorHAnsi"/>
          <w:b/>
          <w:bCs/>
          <w:sz w:val="24"/>
          <w:szCs w:val="24"/>
          <w:lang w:val="sr-Latn-ME"/>
        </w:rPr>
      </w:pPr>
      <w:r w:rsidRPr="00DF7626">
        <w:rPr>
          <w:rFonts w:ascii="Calibri" w:eastAsia="Calibri" w:hAnsi="Calibri" w:cs="Calibri"/>
          <w:kern w:val="0"/>
          <w:sz w:val="24"/>
          <w:szCs w:val="24"/>
          <w:lang w:val="sr-Latn-RS" w:eastAsia="sr-Cyrl-CS" w:bidi="sr-Cyrl-CS"/>
          <w14:ligatures w14:val="none"/>
        </w:rPr>
        <w:t>Redovno pripremanje Izjave o fiskalnim rizicima državnih kompanija.</w:t>
      </w:r>
      <w:r w:rsidRPr="00DF7626">
        <w:rPr>
          <w:rFonts w:ascii="Calibri" w:eastAsia="Calibri" w:hAnsi="Calibri" w:cs="Calibri"/>
          <w:i/>
          <w:iCs/>
          <w:kern w:val="0"/>
          <w:sz w:val="24"/>
          <w:szCs w:val="24"/>
          <w:lang w:val="sr-Latn-ME" w:eastAsia="sr-Cyrl-CS" w:bidi="sr-Cyrl-CS"/>
          <w14:ligatures w14:val="none"/>
        </w:rPr>
        <w:t xml:space="preserve"> </w:t>
      </w:r>
      <w:r w:rsidR="008E01F0" w:rsidRPr="00BE0CE8">
        <w:rPr>
          <w:rFonts w:ascii="Calibri" w:eastAsia="Calibri" w:hAnsi="Calibri" w:cs="Calibri"/>
          <w:iCs/>
          <w:kern w:val="0"/>
          <w:sz w:val="24"/>
          <w:szCs w:val="24"/>
          <w:lang w:val="sr-Latn-ME" w:eastAsia="sr-Cyrl-CS" w:bidi="sr-Cyrl-CS"/>
          <w14:ligatures w14:val="none"/>
        </w:rPr>
        <w:t>MF</w:t>
      </w:r>
    </w:p>
    <w:p w14:paraId="05DCD6F0" w14:textId="77777777" w:rsidR="008E01F0" w:rsidRDefault="008E01F0" w:rsidP="008E01F0">
      <w:pPr>
        <w:widowControl w:val="0"/>
        <w:spacing w:after="0" w:line="240" w:lineRule="auto"/>
        <w:jc w:val="both"/>
        <w:rPr>
          <w:rFonts w:eastAsia="Calibri" w:cstheme="minorHAnsi"/>
          <w:b/>
          <w:bCs/>
          <w:kern w:val="0"/>
          <w:sz w:val="24"/>
          <w:szCs w:val="24"/>
          <w:lang w:val="sr-Latn-RS" w:eastAsia="sr-Cyrl-CS" w:bidi="sr-Cyrl-CS"/>
          <w14:ligatures w14:val="none"/>
        </w:rPr>
      </w:pPr>
    </w:p>
    <w:p w14:paraId="19676501" w14:textId="2ED393E0" w:rsidR="00A95A7C" w:rsidRPr="008E01F0" w:rsidRDefault="00DF7626" w:rsidP="008E01F0">
      <w:pPr>
        <w:widowControl w:val="0"/>
        <w:spacing w:after="0" w:line="240" w:lineRule="auto"/>
        <w:jc w:val="both"/>
        <w:rPr>
          <w:rFonts w:cstheme="minorHAnsi"/>
          <w:b/>
          <w:bCs/>
          <w:sz w:val="24"/>
          <w:szCs w:val="24"/>
          <w:lang w:val="sr-Latn-ME"/>
        </w:rPr>
      </w:pPr>
      <w:r w:rsidRPr="008E01F0">
        <w:rPr>
          <w:rFonts w:eastAsia="Calibri" w:cstheme="minorHAnsi"/>
          <w:b/>
          <w:bCs/>
          <w:kern w:val="0"/>
          <w:sz w:val="24"/>
          <w:szCs w:val="24"/>
          <w:lang w:val="sr-Latn-RS" w:eastAsia="sr-Cyrl-CS" w:bidi="sr-Cyrl-CS"/>
          <w14:ligatures w14:val="none"/>
        </w:rPr>
        <w:t>2.</w:t>
      </w:r>
      <w:r w:rsidR="00A95A7C" w:rsidRPr="008E01F0">
        <w:rPr>
          <w:rFonts w:eastAsia="Calibri" w:cstheme="minorHAnsi"/>
          <w:b/>
          <w:bCs/>
          <w:kern w:val="0"/>
          <w:sz w:val="24"/>
          <w:szCs w:val="24"/>
          <w:lang w:val="sr-Latn-RS" w:eastAsia="sr-Cyrl-CS" w:bidi="sr-Cyrl-CS"/>
          <w14:ligatures w14:val="none"/>
        </w:rPr>
        <w:t xml:space="preserve">Indikatori rezutata. </w:t>
      </w:r>
    </w:p>
    <w:tbl>
      <w:tblPr>
        <w:tblStyle w:val="GridTable6Colorful-Accent1"/>
        <w:tblW w:w="9535" w:type="dxa"/>
        <w:tblLayout w:type="fixed"/>
        <w:tblLook w:val="04A0" w:firstRow="1" w:lastRow="0" w:firstColumn="1" w:lastColumn="0" w:noHBand="0" w:noVBand="1"/>
      </w:tblPr>
      <w:tblGrid>
        <w:gridCol w:w="3775"/>
        <w:gridCol w:w="2070"/>
        <w:gridCol w:w="1890"/>
        <w:gridCol w:w="1800"/>
      </w:tblGrid>
      <w:tr w:rsidR="00A95A7C" w:rsidRPr="006A762A" w14:paraId="5E5D49B7" w14:textId="77777777" w:rsidTr="004D42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5" w:type="dxa"/>
          </w:tcPr>
          <w:p w14:paraId="2E9A9C60" w14:textId="77777777" w:rsidR="00A95A7C" w:rsidRPr="00082B85" w:rsidRDefault="00A95A7C" w:rsidP="00A95A7C">
            <w:pPr>
              <w:widowControl w:val="0"/>
              <w:jc w:val="center"/>
              <w:rPr>
                <w:rFonts w:eastAsia="Calibri" w:cstheme="minorHAnsi"/>
                <w:bCs w:val="0"/>
                <w:color w:val="auto"/>
                <w:sz w:val="20"/>
                <w:szCs w:val="20"/>
                <w:lang w:val="sr-Latn-RS" w:eastAsia="sr-Cyrl-CS" w:bidi="sr-Cyrl-CS"/>
              </w:rPr>
            </w:pPr>
            <w:r w:rsidRPr="00082B85">
              <w:rPr>
                <w:rFonts w:eastAsia="Calibri" w:cstheme="minorHAnsi"/>
                <w:bCs w:val="0"/>
                <w:color w:val="auto"/>
                <w:sz w:val="20"/>
                <w:szCs w:val="20"/>
                <w:lang w:val="sr-Latn-RS" w:eastAsia="sr-Cyrl-CS" w:bidi="sr-Cyrl-CS"/>
              </w:rPr>
              <w:t xml:space="preserve">Indikator </w:t>
            </w:r>
          </w:p>
        </w:tc>
        <w:tc>
          <w:tcPr>
            <w:tcW w:w="2070" w:type="dxa"/>
          </w:tcPr>
          <w:p w14:paraId="7C6DCD83" w14:textId="77777777" w:rsidR="00A95A7C" w:rsidRPr="00082B85" w:rsidRDefault="00A95A7C" w:rsidP="00A95A7C">
            <w:pPr>
              <w:widowControl w:val="0"/>
              <w:jc w:val="center"/>
              <w:cnfStyle w:val="100000000000" w:firstRow="1" w:lastRow="0" w:firstColumn="0" w:lastColumn="0" w:oddVBand="0" w:evenVBand="0" w:oddHBand="0" w:evenHBand="0" w:firstRowFirstColumn="0" w:firstRowLastColumn="0" w:lastRowFirstColumn="0" w:lastRowLastColumn="0"/>
              <w:rPr>
                <w:rFonts w:eastAsia="Calibri" w:cstheme="minorHAnsi"/>
                <w:bCs w:val="0"/>
                <w:color w:val="auto"/>
                <w:sz w:val="20"/>
                <w:szCs w:val="20"/>
                <w:lang w:val="sr-Latn-RS" w:eastAsia="sr-Cyrl-CS" w:bidi="sr-Cyrl-CS"/>
              </w:rPr>
            </w:pPr>
            <w:r w:rsidRPr="00082B85">
              <w:rPr>
                <w:rFonts w:eastAsia="Calibri" w:cstheme="minorHAnsi"/>
                <w:bCs w:val="0"/>
                <w:color w:val="auto"/>
                <w:sz w:val="20"/>
                <w:szCs w:val="20"/>
                <w:lang w:val="sr-Latn-RS" w:eastAsia="sr-Cyrl-CS" w:bidi="sr-Cyrl-CS"/>
              </w:rPr>
              <w:t xml:space="preserve">Početna vrijednost </w:t>
            </w:r>
          </w:p>
          <w:p w14:paraId="1B72151A" w14:textId="1E44F5E2" w:rsidR="00A95A7C" w:rsidRPr="00082B85" w:rsidRDefault="00A95A7C" w:rsidP="00A95A7C">
            <w:pPr>
              <w:widowControl w:val="0"/>
              <w:jc w:val="center"/>
              <w:cnfStyle w:val="100000000000" w:firstRow="1" w:lastRow="0" w:firstColumn="0" w:lastColumn="0" w:oddVBand="0" w:evenVBand="0" w:oddHBand="0" w:evenHBand="0" w:firstRowFirstColumn="0" w:firstRowLastColumn="0" w:lastRowFirstColumn="0" w:lastRowLastColumn="0"/>
              <w:rPr>
                <w:rFonts w:eastAsia="Calibri" w:cstheme="minorHAnsi"/>
                <w:bCs w:val="0"/>
                <w:color w:val="auto"/>
                <w:sz w:val="20"/>
                <w:szCs w:val="20"/>
                <w:lang w:val="sr-Latn-RS" w:eastAsia="sr-Cyrl-CS" w:bidi="sr-Cyrl-CS"/>
              </w:rPr>
            </w:pPr>
            <w:r w:rsidRPr="00082B85">
              <w:rPr>
                <w:rFonts w:eastAsia="Calibri" w:cstheme="minorHAnsi"/>
                <w:bCs w:val="0"/>
                <w:color w:val="auto"/>
                <w:sz w:val="20"/>
                <w:szCs w:val="20"/>
                <w:lang w:val="sr-Latn-RS" w:eastAsia="sr-Cyrl-CS" w:bidi="sr-Cyrl-CS"/>
              </w:rPr>
              <w:t>(202</w:t>
            </w:r>
            <w:r w:rsidR="00B30F57" w:rsidRPr="00082B85">
              <w:rPr>
                <w:rFonts w:eastAsia="Calibri" w:cstheme="minorHAnsi"/>
                <w:bCs w:val="0"/>
                <w:color w:val="auto"/>
                <w:sz w:val="20"/>
                <w:szCs w:val="20"/>
                <w:lang w:val="sr-Latn-RS" w:eastAsia="sr-Cyrl-CS" w:bidi="sr-Cyrl-CS"/>
              </w:rPr>
              <w:t>2</w:t>
            </w:r>
            <w:r w:rsidRPr="00082B85">
              <w:rPr>
                <w:rFonts w:eastAsia="Calibri" w:cstheme="minorHAnsi"/>
                <w:bCs w:val="0"/>
                <w:color w:val="auto"/>
                <w:sz w:val="20"/>
                <w:szCs w:val="20"/>
                <w:lang w:val="sr-Latn-RS" w:eastAsia="sr-Cyrl-CS" w:bidi="sr-Cyrl-CS"/>
              </w:rPr>
              <w:t>. godina)</w:t>
            </w:r>
          </w:p>
        </w:tc>
        <w:tc>
          <w:tcPr>
            <w:tcW w:w="1890" w:type="dxa"/>
          </w:tcPr>
          <w:p w14:paraId="02A03953" w14:textId="77777777" w:rsidR="00A95A7C" w:rsidRPr="00082B85" w:rsidRDefault="00A95A7C" w:rsidP="00A95A7C">
            <w:pPr>
              <w:widowControl w:val="0"/>
              <w:jc w:val="center"/>
              <w:cnfStyle w:val="100000000000" w:firstRow="1" w:lastRow="0" w:firstColumn="0" w:lastColumn="0" w:oddVBand="0" w:evenVBand="0" w:oddHBand="0" w:evenHBand="0" w:firstRowFirstColumn="0" w:firstRowLastColumn="0" w:lastRowFirstColumn="0" w:lastRowLastColumn="0"/>
              <w:rPr>
                <w:rFonts w:eastAsia="Calibri" w:cstheme="minorHAnsi"/>
                <w:bCs w:val="0"/>
                <w:color w:val="auto"/>
                <w:sz w:val="20"/>
                <w:szCs w:val="20"/>
                <w:lang w:val="sr-Latn-RS" w:eastAsia="sr-Cyrl-CS" w:bidi="sr-Cyrl-CS"/>
              </w:rPr>
            </w:pPr>
            <w:r w:rsidRPr="00082B85">
              <w:rPr>
                <w:rFonts w:eastAsia="Calibri" w:cstheme="minorHAnsi"/>
                <w:bCs w:val="0"/>
                <w:color w:val="auto"/>
                <w:sz w:val="20"/>
                <w:szCs w:val="20"/>
                <w:lang w:val="sr-Latn-RS" w:eastAsia="sr-Cyrl-CS" w:bidi="sr-Cyrl-CS"/>
              </w:rPr>
              <w:t>Medjurezultat</w:t>
            </w:r>
          </w:p>
          <w:p w14:paraId="57C3E571" w14:textId="5EB850FE" w:rsidR="00A95A7C" w:rsidRPr="00082B85" w:rsidRDefault="00A95A7C" w:rsidP="00A95A7C">
            <w:pPr>
              <w:widowControl w:val="0"/>
              <w:jc w:val="center"/>
              <w:cnfStyle w:val="100000000000" w:firstRow="1" w:lastRow="0" w:firstColumn="0" w:lastColumn="0" w:oddVBand="0" w:evenVBand="0" w:oddHBand="0" w:evenHBand="0" w:firstRowFirstColumn="0" w:firstRowLastColumn="0" w:lastRowFirstColumn="0" w:lastRowLastColumn="0"/>
              <w:rPr>
                <w:rFonts w:eastAsia="Calibri" w:cstheme="minorHAnsi"/>
                <w:bCs w:val="0"/>
                <w:color w:val="auto"/>
                <w:sz w:val="20"/>
                <w:szCs w:val="20"/>
                <w:lang w:val="sr-Latn-RS" w:eastAsia="sr-Cyrl-CS" w:bidi="sr-Cyrl-CS"/>
              </w:rPr>
            </w:pPr>
            <w:r w:rsidRPr="00082B85">
              <w:rPr>
                <w:rFonts w:eastAsia="Calibri" w:cstheme="minorHAnsi"/>
                <w:bCs w:val="0"/>
                <w:color w:val="auto"/>
                <w:sz w:val="20"/>
                <w:szCs w:val="20"/>
                <w:lang w:val="sr-Latn-RS" w:eastAsia="sr-Cyrl-CS" w:bidi="sr-Cyrl-CS"/>
              </w:rPr>
              <w:t>(202</w:t>
            </w:r>
            <w:r w:rsidR="00B30F57" w:rsidRPr="00082B85">
              <w:rPr>
                <w:rFonts w:eastAsia="Calibri" w:cstheme="minorHAnsi"/>
                <w:bCs w:val="0"/>
                <w:color w:val="auto"/>
                <w:sz w:val="20"/>
                <w:szCs w:val="20"/>
                <w:lang w:val="sr-Latn-RS" w:eastAsia="sr-Cyrl-CS" w:bidi="sr-Cyrl-CS"/>
              </w:rPr>
              <w:t>4</w:t>
            </w:r>
            <w:r w:rsidRPr="00082B85">
              <w:rPr>
                <w:rFonts w:eastAsia="Calibri" w:cstheme="minorHAnsi"/>
                <w:bCs w:val="0"/>
                <w:color w:val="auto"/>
                <w:sz w:val="20"/>
                <w:szCs w:val="20"/>
                <w:lang w:val="sr-Latn-RS" w:eastAsia="sr-Cyrl-CS" w:bidi="sr-Cyrl-CS"/>
              </w:rPr>
              <w:t>. godina)</w:t>
            </w:r>
          </w:p>
        </w:tc>
        <w:tc>
          <w:tcPr>
            <w:tcW w:w="1800" w:type="dxa"/>
          </w:tcPr>
          <w:p w14:paraId="1145F40D" w14:textId="77777777" w:rsidR="00A95A7C" w:rsidRPr="00082B85" w:rsidRDefault="00A95A7C" w:rsidP="00A95A7C">
            <w:pPr>
              <w:widowControl w:val="0"/>
              <w:jc w:val="center"/>
              <w:cnfStyle w:val="100000000000" w:firstRow="1" w:lastRow="0" w:firstColumn="0" w:lastColumn="0" w:oddVBand="0" w:evenVBand="0" w:oddHBand="0" w:evenHBand="0" w:firstRowFirstColumn="0" w:firstRowLastColumn="0" w:lastRowFirstColumn="0" w:lastRowLastColumn="0"/>
              <w:rPr>
                <w:rFonts w:eastAsia="Calibri" w:cstheme="minorHAnsi"/>
                <w:bCs w:val="0"/>
                <w:color w:val="auto"/>
                <w:sz w:val="20"/>
                <w:szCs w:val="20"/>
                <w:lang w:val="sr-Latn-RS" w:eastAsia="sr-Cyrl-CS" w:bidi="sr-Cyrl-CS"/>
              </w:rPr>
            </w:pPr>
            <w:r w:rsidRPr="00082B85">
              <w:rPr>
                <w:rFonts w:eastAsia="Calibri" w:cstheme="minorHAnsi"/>
                <w:bCs w:val="0"/>
                <w:color w:val="auto"/>
                <w:sz w:val="20"/>
                <w:szCs w:val="20"/>
                <w:lang w:val="sr-Latn-RS" w:eastAsia="sr-Cyrl-CS" w:bidi="sr-Cyrl-CS"/>
              </w:rPr>
              <w:t>Ciljna vrijednost</w:t>
            </w:r>
          </w:p>
          <w:p w14:paraId="43B05297" w14:textId="3103EED1" w:rsidR="00A95A7C" w:rsidRPr="00082B85" w:rsidRDefault="00A95A7C" w:rsidP="00A95A7C">
            <w:pPr>
              <w:widowControl w:val="0"/>
              <w:jc w:val="center"/>
              <w:cnfStyle w:val="100000000000" w:firstRow="1" w:lastRow="0" w:firstColumn="0" w:lastColumn="0" w:oddVBand="0" w:evenVBand="0" w:oddHBand="0" w:evenHBand="0" w:firstRowFirstColumn="0" w:firstRowLastColumn="0" w:lastRowFirstColumn="0" w:lastRowLastColumn="0"/>
              <w:rPr>
                <w:rFonts w:eastAsia="Calibri" w:cstheme="minorHAnsi"/>
                <w:bCs w:val="0"/>
                <w:color w:val="auto"/>
                <w:sz w:val="20"/>
                <w:szCs w:val="20"/>
                <w:lang w:val="sr-Latn-RS" w:eastAsia="sr-Cyrl-CS" w:bidi="sr-Cyrl-CS"/>
              </w:rPr>
            </w:pPr>
            <w:r w:rsidRPr="00082B85">
              <w:rPr>
                <w:rFonts w:eastAsia="Calibri" w:cstheme="minorHAnsi"/>
                <w:bCs w:val="0"/>
                <w:color w:val="auto"/>
                <w:sz w:val="20"/>
                <w:szCs w:val="20"/>
                <w:lang w:val="sr-Latn-RS" w:eastAsia="sr-Cyrl-CS" w:bidi="sr-Cyrl-CS"/>
              </w:rPr>
              <w:t>(202</w:t>
            </w:r>
            <w:r w:rsidR="00B30F57" w:rsidRPr="00082B85">
              <w:rPr>
                <w:rFonts w:eastAsia="Calibri" w:cstheme="minorHAnsi"/>
                <w:bCs w:val="0"/>
                <w:color w:val="auto"/>
                <w:sz w:val="20"/>
                <w:szCs w:val="20"/>
                <w:lang w:val="sr-Latn-RS" w:eastAsia="sr-Cyrl-CS" w:bidi="sr-Cyrl-CS"/>
              </w:rPr>
              <w:t>6</w:t>
            </w:r>
            <w:r w:rsidRPr="00082B85">
              <w:rPr>
                <w:rFonts w:eastAsia="Calibri" w:cstheme="minorHAnsi"/>
                <w:bCs w:val="0"/>
                <w:color w:val="auto"/>
                <w:sz w:val="20"/>
                <w:szCs w:val="20"/>
                <w:lang w:val="sr-Latn-RS" w:eastAsia="sr-Cyrl-CS" w:bidi="sr-Cyrl-CS"/>
              </w:rPr>
              <w:t>. godina)</w:t>
            </w:r>
          </w:p>
        </w:tc>
      </w:tr>
      <w:tr w:rsidR="00DF7626" w:rsidRPr="006A762A" w14:paraId="28ECA74E" w14:textId="77777777" w:rsidTr="004D42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5" w:type="dxa"/>
          </w:tcPr>
          <w:p w14:paraId="2397A10D" w14:textId="4FEC44AA" w:rsidR="00DF7626" w:rsidRPr="00950CE6" w:rsidRDefault="00B30F57" w:rsidP="00DF7626">
            <w:pPr>
              <w:widowControl w:val="0"/>
              <w:jc w:val="center"/>
              <w:rPr>
                <w:rFonts w:eastAsia="Calibri" w:cstheme="minorHAnsi"/>
                <w:b w:val="0"/>
                <w:bCs w:val="0"/>
                <w:color w:val="auto"/>
                <w:sz w:val="20"/>
                <w:szCs w:val="20"/>
                <w:lang w:val="sr-Latn-RS" w:eastAsia="sr-Cyrl-CS" w:bidi="sr-Cyrl-CS"/>
              </w:rPr>
            </w:pPr>
            <w:r w:rsidRPr="00950CE6">
              <w:rPr>
                <w:rFonts w:eastAsia="Calibri" w:cstheme="minorHAnsi"/>
                <w:b w:val="0"/>
                <w:bCs w:val="0"/>
                <w:color w:val="auto"/>
                <w:kern w:val="0"/>
                <w:sz w:val="20"/>
                <w:szCs w:val="20"/>
                <w:lang w:val="sr-Latn-RS" w:eastAsia="sr-Cyrl-CS" w:bidi="sr-Cyrl-CS"/>
                <w14:ligatures w14:val="none"/>
              </w:rPr>
              <w:t>Broj privrednih društava u većinskom vlasništvu države sa visokim fiskalnim rizikom</w:t>
            </w:r>
            <w:r w:rsidRPr="00950CE6">
              <w:rPr>
                <w:rFonts w:eastAsia="Calibri" w:cstheme="minorHAnsi"/>
                <w:b w:val="0"/>
                <w:bCs w:val="0"/>
                <w:color w:val="auto"/>
                <w:kern w:val="0"/>
                <w:sz w:val="20"/>
                <w:szCs w:val="20"/>
                <w:vertAlign w:val="superscript"/>
                <w:lang w:val="sr-Latn-RS" w:eastAsia="sr-Cyrl-CS" w:bidi="sr-Cyrl-CS"/>
                <w14:ligatures w14:val="none"/>
              </w:rPr>
              <w:footnoteReference w:id="23"/>
            </w:r>
          </w:p>
        </w:tc>
        <w:tc>
          <w:tcPr>
            <w:tcW w:w="2070" w:type="dxa"/>
          </w:tcPr>
          <w:p w14:paraId="0B0A364F" w14:textId="596C7ED3" w:rsidR="00DF7626" w:rsidRPr="004D422C" w:rsidRDefault="00DF7626" w:rsidP="00DF7626">
            <w:pPr>
              <w:widowControl w:val="0"/>
              <w:jc w:val="center"/>
              <w:cnfStyle w:val="000000100000" w:firstRow="0" w:lastRow="0" w:firstColumn="0" w:lastColumn="0" w:oddVBand="0" w:evenVBand="0" w:oddHBand="1" w:evenHBand="0" w:firstRowFirstColumn="0" w:firstRowLastColumn="0" w:lastRowFirstColumn="0" w:lastRowLastColumn="0"/>
              <w:rPr>
                <w:rFonts w:eastAsia="Calibri" w:cstheme="minorHAnsi"/>
                <w:color w:val="auto"/>
                <w:sz w:val="20"/>
                <w:szCs w:val="20"/>
                <w:lang w:val="sr-Latn-RS" w:eastAsia="sr-Cyrl-CS" w:bidi="sr-Cyrl-CS"/>
              </w:rPr>
            </w:pPr>
            <w:r w:rsidRPr="004D422C">
              <w:rPr>
                <w:rFonts w:asciiTheme="majorHAnsi" w:hAnsiTheme="majorHAnsi" w:cstheme="minorHAnsi"/>
                <w:color w:val="auto"/>
                <w:sz w:val="20"/>
                <w:szCs w:val="20"/>
                <w:lang w:val="sr-Latn-RS"/>
              </w:rPr>
              <w:t>18</w:t>
            </w:r>
          </w:p>
        </w:tc>
        <w:tc>
          <w:tcPr>
            <w:tcW w:w="1890" w:type="dxa"/>
          </w:tcPr>
          <w:p w14:paraId="21D22C39" w14:textId="324A4E61" w:rsidR="00DF7626" w:rsidRPr="004D422C" w:rsidRDefault="00DF7626" w:rsidP="00DF7626">
            <w:pPr>
              <w:widowControl w:val="0"/>
              <w:jc w:val="center"/>
              <w:cnfStyle w:val="000000100000" w:firstRow="0" w:lastRow="0" w:firstColumn="0" w:lastColumn="0" w:oddVBand="0" w:evenVBand="0" w:oddHBand="1" w:evenHBand="0" w:firstRowFirstColumn="0" w:firstRowLastColumn="0" w:lastRowFirstColumn="0" w:lastRowLastColumn="0"/>
              <w:rPr>
                <w:rFonts w:eastAsia="Calibri" w:cstheme="minorHAnsi"/>
                <w:color w:val="auto"/>
                <w:sz w:val="20"/>
                <w:szCs w:val="20"/>
                <w:lang w:val="sr-Latn-RS" w:eastAsia="sr-Cyrl-CS" w:bidi="sr-Cyrl-CS"/>
              </w:rPr>
            </w:pPr>
            <w:r w:rsidRPr="004D422C">
              <w:rPr>
                <w:rFonts w:asciiTheme="majorHAnsi" w:hAnsiTheme="majorHAnsi" w:cstheme="minorHAnsi"/>
                <w:color w:val="auto"/>
                <w:sz w:val="20"/>
                <w:szCs w:val="20"/>
                <w:lang w:val="sr-Latn-RS"/>
              </w:rPr>
              <w:t>15</w:t>
            </w:r>
          </w:p>
        </w:tc>
        <w:tc>
          <w:tcPr>
            <w:tcW w:w="1800" w:type="dxa"/>
          </w:tcPr>
          <w:p w14:paraId="16F7510A" w14:textId="67AD9E07" w:rsidR="00DF7626" w:rsidRPr="004D422C" w:rsidRDefault="00DF7626" w:rsidP="00DF7626">
            <w:pPr>
              <w:widowControl w:val="0"/>
              <w:jc w:val="center"/>
              <w:cnfStyle w:val="000000100000" w:firstRow="0" w:lastRow="0" w:firstColumn="0" w:lastColumn="0" w:oddVBand="0" w:evenVBand="0" w:oddHBand="1" w:evenHBand="0" w:firstRowFirstColumn="0" w:firstRowLastColumn="0" w:lastRowFirstColumn="0" w:lastRowLastColumn="0"/>
              <w:rPr>
                <w:rFonts w:eastAsia="Calibri" w:cstheme="minorHAnsi"/>
                <w:color w:val="auto"/>
                <w:sz w:val="20"/>
                <w:szCs w:val="20"/>
                <w:lang w:val="sr-Latn-RS" w:eastAsia="sr-Cyrl-CS" w:bidi="sr-Cyrl-CS"/>
              </w:rPr>
            </w:pPr>
            <w:r w:rsidRPr="004D422C">
              <w:rPr>
                <w:rFonts w:asciiTheme="majorHAnsi" w:hAnsiTheme="majorHAnsi" w:cstheme="minorHAnsi"/>
                <w:color w:val="auto"/>
                <w:sz w:val="20"/>
                <w:szCs w:val="20"/>
                <w:lang w:val="sr-Latn-RS"/>
              </w:rPr>
              <w:t>12</w:t>
            </w:r>
          </w:p>
        </w:tc>
      </w:tr>
      <w:tr w:rsidR="00DF7626" w:rsidRPr="006A762A" w14:paraId="0DE6C887" w14:textId="77777777" w:rsidTr="004D422C">
        <w:tc>
          <w:tcPr>
            <w:cnfStyle w:val="001000000000" w:firstRow="0" w:lastRow="0" w:firstColumn="1" w:lastColumn="0" w:oddVBand="0" w:evenVBand="0" w:oddHBand="0" w:evenHBand="0" w:firstRowFirstColumn="0" w:firstRowLastColumn="0" w:lastRowFirstColumn="0" w:lastRowLastColumn="0"/>
            <w:tcW w:w="3775" w:type="dxa"/>
          </w:tcPr>
          <w:p w14:paraId="3BE1C9AC" w14:textId="630FED86" w:rsidR="00DF7626" w:rsidRPr="00950CE6" w:rsidRDefault="00B30F57" w:rsidP="00DF7626">
            <w:pPr>
              <w:widowControl w:val="0"/>
              <w:jc w:val="center"/>
              <w:rPr>
                <w:rFonts w:eastAsia="Calibri" w:cstheme="minorHAnsi"/>
                <w:b w:val="0"/>
                <w:bCs w:val="0"/>
                <w:color w:val="auto"/>
                <w:sz w:val="20"/>
                <w:szCs w:val="20"/>
                <w:lang w:val="sr-Latn-RS" w:eastAsia="sr-Cyrl-CS" w:bidi="sr-Cyrl-CS"/>
              </w:rPr>
            </w:pPr>
            <w:r w:rsidRPr="00950CE6">
              <w:rPr>
                <w:rFonts w:eastAsia="Calibri" w:cstheme="minorHAnsi"/>
                <w:b w:val="0"/>
                <w:bCs w:val="0"/>
                <w:color w:val="auto"/>
                <w:sz w:val="20"/>
                <w:szCs w:val="20"/>
                <w:lang w:val="sr-Latn-RS" w:eastAsia="sr-Cyrl-CS" w:bidi="sr-Cyrl-CS"/>
              </w:rPr>
              <w:t>% udio neto rezultata privrednih društava u većinskom vlasništvu države u BDP</w:t>
            </w:r>
          </w:p>
        </w:tc>
        <w:tc>
          <w:tcPr>
            <w:tcW w:w="2070" w:type="dxa"/>
          </w:tcPr>
          <w:p w14:paraId="60029D4E" w14:textId="0A9454A1" w:rsidR="00DF7626" w:rsidRPr="004D422C" w:rsidRDefault="00DF7626" w:rsidP="00DF7626">
            <w:pPr>
              <w:widowControl w:val="0"/>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auto"/>
                <w:sz w:val="20"/>
                <w:szCs w:val="20"/>
                <w:lang w:val="sr-Latn-RS" w:eastAsia="sr-Cyrl-CS" w:bidi="sr-Cyrl-CS"/>
              </w:rPr>
            </w:pPr>
            <w:r w:rsidRPr="004D422C">
              <w:rPr>
                <w:rFonts w:asciiTheme="majorHAnsi" w:hAnsiTheme="majorHAnsi" w:cstheme="minorHAnsi"/>
                <w:color w:val="auto"/>
                <w:sz w:val="20"/>
                <w:szCs w:val="20"/>
                <w:lang w:val="sr-Latn-RS"/>
              </w:rPr>
              <w:t>0,3</w:t>
            </w:r>
          </w:p>
        </w:tc>
        <w:tc>
          <w:tcPr>
            <w:tcW w:w="1890" w:type="dxa"/>
          </w:tcPr>
          <w:p w14:paraId="5F59A0A9" w14:textId="777F4F0B" w:rsidR="00DF7626" w:rsidRPr="004D422C" w:rsidRDefault="00DF7626" w:rsidP="00DF7626">
            <w:pPr>
              <w:widowControl w:val="0"/>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auto"/>
                <w:sz w:val="20"/>
                <w:szCs w:val="20"/>
                <w:lang w:val="sr-Latn-RS" w:eastAsia="sr-Cyrl-CS" w:bidi="sr-Cyrl-CS"/>
              </w:rPr>
            </w:pPr>
            <w:r w:rsidRPr="004D422C">
              <w:rPr>
                <w:rFonts w:asciiTheme="majorHAnsi" w:hAnsiTheme="majorHAnsi" w:cstheme="minorHAnsi"/>
                <w:color w:val="auto"/>
                <w:sz w:val="20"/>
                <w:szCs w:val="20"/>
                <w:lang w:val="sr-Latn-RS"/>
              </w:rPr>
              <w:t>0,4</w:t>
            </w:r>
          </w:p>
        </w:tc>
        <w:tc>
          <w:tcPr>
            <w:tcW w:w="1800" w:type="dxa"/>
          </w:tcPr>
          <w:p w14:paraId="0C755FBF" w14:textId="6A085FCA" w:rsidR="00DF7626" w:rsidRPr="004D422C" w:rsidRDefault="00DF7626" w:rsidP="00DF7626">
            <w:pPr>
              <w:widowControl w:val="0"/>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auto"/>
                <w:sz w:val="20"/>
                <w:szCs w:val="20"/>
                <w:lang w:val="sr-Latn-RS" w:eastAsia="sr-Cyrl-CS" w:bidi="sr-Cyrl-CS"/>
              </w:rPr>
            </w:pPr>
            <w:r w:rsidRPr="004D422C">
              <w:rPr>
                <w:rFonts w:asciiTheme="majorHAnsi" w:hAnsiTheme="majorHAnsi" w:cstheme="minorHAnsi"/>
                <w:color w:val="auto"/>
                <w:sz w:val="20"/>
                <w:szCs w:val="20"/>
                <w:lang w:val="sr-Latn-RS"/>
              </w:rPr>
              <w:t>0,5</w:t>
            </w:r>
          </w:p>
        </w:tc>
      </w:tr>
      <w:tr w:rsidR="00DF7626" w:rsidRPr="006A762A" w14:paraId="6339B941" w14:textId="77777777" w:rsidTr="004D42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5" w:type="dxa"/>
          </w:tcPr>
          <w:p w14:paraId="69A7A7FA" w14:textId="73B9A005" w:rsidR="00DF7626" w:rsidRPr="00950CE6" w:rsidRDefault="00B30F57" w:rsidP="00C83383">
            <w:pPr>
              <w:widowControl w:val="0"/>
              <w:jc w:val="center"/>
              <w:rPr>
                <w:rFonts w:eastAsia="Calibri" w:cstheme="minorHAnsi"/>
                <w:b w:val="0"/>
                <w:bCs w:val="0"/>
                <w:color w:val="auto"/>
                <w:sz w:val="20"/>
                <w:szCs w:val="20"/>
                <w:lang w:val="sr-Latn-RS" w:eastAsia="sr-Cyrl-CS" w:bidi="sr-Cyrl-CS"/>
              </w:rPr>
            </w:pPr>
            <w:r w:rsidRPr="00950CE6">
              <w:rPr>
                <w:rFonts w:eastAsia="Calibri" w:cstheme="minorHAnsi"/>
                <w:b w:val="0"/>
                <w:bCs w:val="0"/>
                <w:color w:val="auto"/>
                <w:kern w:val="0"/>
                <w:sz w:val="20"/>
                <w:szCs w:val="20"/>
                <w:lang w:val="sr-Latn-RS" w:eastAsia="sr-Cyrl-CS" w:bidi="sr-Cyrl-CS"/>
                <w14:ligatures w14:val="none"/>
              </w:rPr>
              <w:t>Broj odbora direktora formiranih na osnovu novih kriterijuma selekcije</w:t>
            </w:r>
          </w:p>
        </w:tc>
        <w:tc>
          <w:tcPr>
            <w:tcW w:w="2070" w:type="dxa"/>
          </w:tcPr>
          <w:p w14:paraId="5FE3FFDB" w14:textId="5E4FBFE4" w:rsidR="00DF7626" w:rsidRPr="004D422C" w:rsidRDefault="00DF7626" w:rsidP="00C83383">
            <w:pPr>
              <w:widowControl w:val="0"/>
              <w:jc w:val="center"/>
              <w:cnfStyle w:val="000000100000" w:firstRow="0" w:lastRow="0" w:firstColumn="0" w:lastColumn="0" w:oddVBand="0" w:evenVBand="0" w:oddHBand="1" w:evenHBand="0" w:firstRowFirstColumn="0" w:firstRowLastColumn="0" w:lastRowFirstColumn="0" w:lastRowLastColumn="0"/>
              <w:rPr>
                <w:rFonts w:eastAsia="Calibri" w:cstheme="minorHAnsi"/>
                <w:color w:val="auto"/>
                <w:sz w:val="20"/>
                <w:szCs w:val="20"/>
                <w:lang w:val="sr-Latn-RS" w:eastAsia="sr-Cyrl-CS" w:bidi="sr-Cyrl-CS"/>
              </w:rPr>
            </w:pPr>
            <w:r w:rsidRPr="004D422C">
              <w:rPr>
                <w:rFonts w:asciiTheme="majorHAnsi" w:hAnsiTheme="majorHAnsi" w:cstheme="minorHAnsi"/>
                <w:color w:val="auto"/>
                <w:sz w:val="20"/>
                <w:szCs w:val="20"/>
                <w:lang w:val="sr-Latn-RS"/>
              </w:rPr>
              <w:t>0</w:t>
            </w:r>
          </w:p>
        </w:tc>
        <w:tc>
          <w:tcPr>
            <w:tcW w:w="1890" w:type="dxa"/>
          </w:tcPr>
          <w:p w14:paraId="48DB4CD3" w14:textId="3481832B" w:rsidR="00DF7626" w:rsidRPr="004D422C" w:rsidRDefault="00DF7626" w:rsidP="00C83383">
            <w:pPr>
              <w:widowControl w:val="0"/>
              <w:jc w:val="center"/>
              <w:cnfStyle w:val="000000100000" w:firstRow="0" w:lastRow="0" w:firstColumn="0" w:lastColumn="0" w:oddVBand="0" w:evenVBand="0" w:oddHBand="1" w:evenHBand="0" w:firstRowFirstColumn="0" w:firstRowLastColumn="0" w:lastRowFirstColumn="0" w:lastRowLastColumn="0"/>
              <w:rPr>
                <w:rFonts w:eastAsia="Calibri" w:cstheme="minorHAnsi"/>
                <w:color w:val="auto"/>
                <w:sz w:val="20"/>
                <w:szCs w:val="20"/>
                <w:lang w:val="sr-Latn-RS" w:eastAsia="sr-Cyrl-CS" w:bidi="sr-Cyrl-CS"/>
              </w:rPr>
            </w:pPr>
            <w:r w:rsidRPr="004D422C">
              <w:rPr>
                <w:rFonts w:asciiTheme="majorHAnsi" w:hAnsiTheme="majorHAnsi" w:cstheme="minorHAnsi"/>
                <w:color w:val="auto"/>
                <w:sz w:val="20"/>
                <w:szCs w:val="20"/>
                <w:lang w:val="sr-Latn-RS"/>
              </w:rPr>
              <w:t>10</w:t>
            </w:r>
          </w:p>
        </w:tc>
        <w:tc>
          <w:tcPr>
            <w:tcW w:w="1800" w:type="dxa"/>
          </w:tcPr>
          <w:p w14:paraId="201F1372" w14:textId="6791CD54" w:rsidR="00DF7626" w:rsidRPr="004D422C" w:rsidRDefault="00DF7626" w:rsidP="00C83383">
            <w:pPr>
              <w:widowControl w:val="0"/>
              <w:jc w:val="center"/>
              <w:cnfStyle w:val="000000100000" w:firstRow="0" w:lastRow="0" w:firstColumn="0" w:lastColumn="0" w:oddVBand="0" w:evenVBand="0" w:oddHBand="1" w:evenHBand="0" w:firstRowFirstColumn="0" w:firstRowLastColumn="0" w:lastRowFirstColumn="0" w:lastRowLastColumn="0"/>
              <w:rPr>
                <w:rFonts w:eastAsia="Calibri" w:cstheme="minorHAnsi"/>
                <w:color w:val="auto"/>
                <w:sz w:val="20"/>
                <w:szCs w:val="20"/>
                <w:lang w:val="sr-Latn-RS" w:eastAsia="sr-Cyrl-CS" w:bidi="sr-Cyrl-CS"/>
              </w:rPr>
            </w:pPr>
            <w:r w:rsidRPr="004D422C">
              <w:rPr>
                <w:rFonts w:asciiTheme="majorHAnsi" w:hAnsiTheme="majorHAnsi" w:cstheme="minorHAnsi"/>
                <w:color w:val="auto"/>
                <w:sz w:val="20"/>
                <w:szCs w:val="20"/>
                <w:lang w:val="sr-Latn-RS"/>
              </w:rPr>
              <w:t>20</w:t>
            </w:r>
          </w:p>
        </w:tc>
      </w:tr>
    </w:tbl>
    <w:p w14:paraId="5DA28D7F" w14:textId="77777777" w:rsidR="00A95A7C" w:rsidRPr="002800F8" w:rsidRDefault="00A95A7C" w:rsidP="00C83383">
      <w:pPr>
        <w:widowControl w:val="0"/>
        <w:spacing w:after="0" w:line="240" w:lineRule="auto"/>
        <w:contextualSpacing/>
        <w:jc w:val="both"/>
        <w:rPr>
          <w:rFonts w:cstheme="minorHAnsi"/>
          <w:b/>
          <w:bCs/>
          <w:sz w:val="24"/>
          <w:szCs w:val="24"/>
          <w:lang w:val="sr-Latn-ME"/>
        </w:rPr>
      </w:pPr>
    </w:p>
    <w:p w14:paraId="476A93B7" w14:textId="2E3944B7" w:rsidR="00A95A7C" w:rsidRDefault="00DF7626" w:rsidP="00C83383">
      <w:pPr>
        <w:widowControl w:val="0"/>
        <w:spacing w:after="0" w:line="240" w:lineRule="auto"/>
        <w:contextualSpacing/>
        <w:jc w:val="both"/>
        <w:rPr>
          <w:rFonts w:eastAsia="Calibri" w:cstheme="minorHAnsi"/>
          <w:kern w:val="0"/>
          <w:sz w:val="24"/>
          <w:szCs w:val="24"/>
          <w:lang w:val="sr-Latn-RS" w:eastAsia="sr-Cyrl-CS" w:bidi="sr-Cyrl-CS"/>
          <w14:ligatures w14:val="none"/>
        </w:rPr>
      </w:pPr>
      <w:r>
        <w:rPr>
          <w:rFonts w:eastAsia="Calibri" w:cstheme="minorHAnsi"/>
          <w:b/>
          <w:bCs/>
          <w:kern w:val="0"/>
          <w:sz w:val="24"/>
          <w:szCs w:val="24"/>
          <w:lang w:val="sr-Latn-RS" w:eastAsia="sr-Cyrl-CS" w:bidi="sr-Cyrl-CS"/>
          <w14:ligatures w14:val="none"/>
        </w:rPr>
        <w:t xml:space="preserve">3. </w:t>
      </w:r>
      <w:r w:rsidR="00A95A7C" w:rsidRPr="00A95A7C">
        <w:rPr>
          <w:rFonts w:eastAsia="Calibri" w:cstheme="minorHAnsi"/>
          <w:b/>
          <w:bCs/>
          <w:kern w:val="0"/>
          <w:sz w:val="24"/>
          <w:szCs w:val="24"/>
          <w:lang w:val="sr-Latn-RS" w:eastAsia="sr-Cyrl-CS" w:bidi="sr-Cyrl-CS"/>
          <w14:ligatures w14:val="none"/>
        </w:rPr>
        <w:t>Očekivani uticaj na konkurentnost</w:t>
      </w:r>
      <w:r w:rsidR="00A95A7C" w:rsidRPr="002800F8">
        <w:rPr>
          <w:rFonts w:eastAsia="Calibri" w:cstheme="minorHAnsi"/>
          <w:kern w:val="0"/>
          <w:sz w:val="24"/>
          <w:szCs w:val="24"/>
          <w:lang w:val="sr-Latn-RS" w:eastAsia="sr-Cyrl-CS" w:bidi="sr-Cyrl-CS"/>
          <w14:ligatures w14:val="none"/>
        </w:rPr>
        <w:t xml:space="preserve">. </w:t>
      </w:r>
      <w:r w:rsidRPr="00DF7626">
        <w:rPr>
          <w:rFonts w:ascii="Calibri" w:eastAsia="Calibri" w:hAnsi="Calibri" w:cs="Calibri"/>
          <w:kern w:val="0"/>
          <w:sz w:val="24"/>
          <w:szCs w:val="24"/>
          <w:lang w:val="sr-Latn-RS" w:eastAsia="sr-Cyrl-CS" w:bidi="sr-Cyrl-CS"/>
          <w14:ligatures w14:val="none"/>
        </w:rPr>
        <w:t>Jačanjem prakse dobrog korporativnog upravljanja, očekuje se povećanje konkurentnosti preduzeća u većinskom vlasništvu države i lojalnija konkurentska utakmica na tržištu, budući da su državna preduzeća u velikom broju slučajeva u povoljnijoj konkurentskoj poziciji od privatnih. Sprovođenje mjere, podstaći će članove organa upravljanja unutar državnih preduzeća da efikasnije upravljaju njima.</w:t>
      </w:r>
    </w:p>
    <w:p w14:paraId="185A1D04" w14:textId="793E2408" w:rsidR="00EC5B12" w:rsidRDefault="00DF7626" w:rsidP="00C83383">
      <w:pPr>
        <w:spacing w:after="0"/>
        <w:jc w:val="both"/>
        <w:rPr>
          <w:rFonts w:eastAsia="Calibri" w:cstheme="minorHAnsi"/>
          <w:kern w:val="0"/>
          <w:sz w:val="24"/>
          <w:szCs w:val="24"/>
          <w:lang w:val="sr-Latn-RS" w:eastAsia="sr-Cyrl-CS" w:bidi="sr-Cyrl-CS"/>
          <w14:ligatures w14:val="none"/>
        </w:rPr>
      </w:pPr>
      <w:r>
        <w:rPr>
          <w:rFonts w:eastAsia="Calibri" w:cstheme="minorHAnsi"/>
          <w:b/>
          <w:bCs/>
          <w:kern w:val="0"/>
          <w:sz w:val="24"/>
          <w:szCs w:val="24"/>
          <w:lang w:val="sr-Latn-RS" w:eastAsia="sr-Cyrl-CS" w:bidi="sr-Cyrl-CS"/>
          <w14:ligatures w14:val="none"/>
        </w:rPr>
        <w:t xml:space="preserve">4. </w:t>
      </w:r>
      <w:r w:rsidR="00A95A7C" w:rsidRPr="002800F8">
        <w:rPr>
          <w:rFonts w:eastAsia="Calibri" w:cstheme="minorHAnsi"/>
          <w:b/>
          <w:bCs/>
          <w:kern w:val="0"/>
          <w:sz w:val="24"/>
          <w:szCs w:val="24"/>
          <w:lang w:val="sr-Latn-RS" w:eastAsia="sr-Cyrl-CS" w:bidi="sr-Cyrl-CS"/>
          <w14:ligatures w14:val="none"/>
        </w:rPr>
        <w:t xml:space="preserve">Procijenjeni troškovi sprovođenja reformske mjere i izvori </w:t>
      </w:r>
      <w:r w:rsidR="00A95A7C" w:rsidRPr="00DF7626">
        <w:rPr>
          <w:rFonts w:eastAsia="Calibri" w:cstheme="minorHAnsi"/>
          <w:b/>
          <w:bCs/>
          <w:kern w:val="0"/>
          <w:sz w:val="24"/>
          <w:szCs w:val="24"/>
          <w:lang w:val="sr-Latn-RS" w:eastAsia="sr-Cyrl-CS" w:bidi="sr-Cyrl-CS"/>
          <w14:ligatures w14:val="none"/>
        </w:rPr>
        <w:t>finansiranja.</w:t>
      </w:r>
      <w:r w:rsidR="00DD1764" w:rsidRPr="00DF7626">
        <w:rPr>
          <w:rFonts w:eastAsia="Calibri" w:cstheme="minorHAnsi"/>
          <w:b/>
          <w:bCs/>
          <w:kern w:val="0"/>
          <w:sz w:val="24"/>
          <w:szCs w:val="24"/>
          <w:lang w:val="sr-Latn-RS" w:eastAsia="sr-Cyrl-CS" w:bidi="sr-Cyrl-CS"/>
          <w14:ligatures w14:val="none"/>
        </w:rPr>
        <w:t xml:space="preserve"> </w:t>
      </w:r>
      <w:r w:rsidR="00EC5B12" w:rsidRPr="00EC5B12">
        <w:rPr>
          <w:rFonts w:eastAsia="Calibri" w:cstheme="minorHAnsi"/>
          <w:kern w:val="0"/>
          <w:sz w:val="24"/>
          <w:szCs w:val="24"/>
          <w:lang w:val="sr-Latn-RS" w:eastAsia="sr-Cyrl-CS" w:bidi="sr-Cyrl-CS"/>
          <w14:ligatures w14:val="none"/>
        </w:rPr>
        <w:t xml:space="preserve">Procijenjena dodatna sredstva za implementaciju mjere okvirno iznose oko 1,5 </w:t>
      </w:r>
      <w:r w:rsidR="009C2B96">
        <w:rPr>
          <w:rFonts w:eastAsia="Calibri" w:cstheme="minorHAnsi"/>
          <w:kern w:val="0"/>
          <w:sz w:val="24"/>
          <w:szCs w:val="24"/>
          <w:lang w:val="sr-Latn-RS" w:eastAsia="sr-Cyrl-CS" w:bidi="sr-Cyrl-CS"/>
          <w14:ligatures w14:val="none"/>
        </w:rPr>
        <w:t xml:space="preserve">miliona </w:t>
      </w:r>
      <w:r w:rsidR="00EC5B12" w:rsidRPr="00EC5B12">
        <w:rPr>
          <w:rFonts w:eastAsia="Calibri" w:cstheme="minorHAnsi"/>
          <w:kern w:val="0"/>
          <w:sz w:val="24"/>
          <w:szCs w:val="24"/>
          <w:lang w:val="sr-Latn-RS" w:eastAsia="sr-Cyrl-CS" w:bidi="sr-Cyrl-CS"/>
          <w14:ligatures w14:val="none"/>
        </w:rPr>
        <w:t>eura za period 2024-2026.godina. Od toga će milion eura biti obezbijeđeno iz IPA fondova, a ostatak iz centralnog budžeta.</w:t>
      </w:r>
    </w:p>
    <w:p w14:paraId="20541600" w14:textId="73EAF8DD" w:rsidR="00DF7626" w:rsidRPr="00DF7626" w:rsidRDefault="00DF7626" w:rsidP="00C83383">
      <w:pPr>
        <w:spacing w:after="0"/>
        <w:jc w:val="both"/>
        <w:rPr>
          <w:rFonts w:ascii="Calibri" w:eastAsia="Calibri" w:hAnsi="Calibri" w:cs="Times New Roman"/>
          <w:sz w:val="24"/>
          <w:szCs w:val="24"/>
          <w:lang w:val="sr-Latn-RS" w:eastAsia="sr-Cyrl-CS" w:bidi="sr-Cyrl-CS"/>
        </w:rPr>
      </w:pPr>
      <w:r>
        <w:rPr>
          <w:rFonts w:eastAsia="Calibri" w:cstheme="minorHAnsi"/>
          <w:b/>
          <w:kern w:val="0"/>
          <w:sz w:val="24"/>
          <w:szCs w:val="24"/>
          <w:lang w:val="sr-Latn-RS" w:eastAsia="sr-Cyrl-CS" w:bidi="sr-Cyrl-CS"/>
          <w14:ligatures w14:val="none"/>
        </w:rPr>
        <w:t>5.</w:t>
      </w:r>
      <w:r w:rsidR="00BE0CE8">
        <w:rPr>
          <w:rFonts w:eastAsia="Calibri" w:cstheme="minorHAnsi"/>
          <w:b/>
          <w:kern w:val="0"/>
          <w:sz w:val="24"/>
          <w:szCs w:val="24"/>
          <w:lang w:val="sr-Latn-RS" w:eastAsia="sr-Cyrl-CS" w:bidi="sr-Cyrl-CS"/>
          <w14:ligatures w14:val="none"/>
        </w:rPr>
        <w:t xml:space="preserve"> </w:t>
      </w:r>
      <w:r w:rsidR="00A95A7C" w:rsidRPr="00DF7626">
        <w:rPr>
          <w:rFonts w:eastAsia="Calibri" w:cstheme="minorHAnsi"/>
          <w:b/>
          <w:kern w:val="0"/>
          <w:sz w:val="24"/>
          <w:szCs w:val="24"/>
          <w:lang w:val="sr-Latn-RS" w:eastAsia="sr-Cyrl-CS" w:bidi="sr-Cyrl-CS"/>
          <w14:ligatures w14:val="none"/>
        </w:rPr>
        <w:t xml:space="preserve">Očekivani uticaj reformske mjere na socijalne ciljeve, kao što su zaposlenost, smanjenje siromaštva, rodna ravnopravnost i pristup zdravstvenim uslugama. </w:t>
      </w:r>
      <w:r w:rsidRPr="00DF7626">
        <w:rPr>
          <w:rFonts w:ascii="Calibri" w:eastAsia="Calibri" w:hAnsi="Calibri" w:cs="Times New Roman"/>
          <w:sz w:val="24"/>
          <w:szCs w:val="24"/>
          <w:lang w:val="sr-Latn-RS" w:eastAsia="sr-Cyrl-CS" w:bidi="sr-Cyrl-CS"/>
        </w:rPr>
        <w:t>Poboljšanim nadzorom i poboljšanim korporativnim upravljanjem privrednim društvima u većinskom vlasništvu države, obezbijediće se profitabilnije poslovanje ovih privrednih društava, efikasnija upotreba i veća transparentost u politici zapošljavanja. Takođe, realizacija ove mjere će doprinijeti društveno odgovornijem poslovanju, ovih privrednih društava i njihovom efikasnijem servisiranju građana.</w:t>
      </w:r>
    </w:p>
    <w:p w14:paraId="76749617" w14:textId="1244F622" w:rsidR="00A95A7C" w:rsidRPr="00DF7626" w:rsidRDefault="00DF7626" w:rsidP="00C83383">
      <w:pPr>
        <w:spacing w:after="0"/>
        <w:jc w:val="both"/>
        <w:rPr>
          <w:rFonts w:eastAsia="Calibri" w:cstheme="minorHAnsi"/>
          <w:b/>
          <w:bCs/>
          <w:kern w:val="0"/>
          <w:sz w:val="24"/>
          <w:szCs w:val="24"/>
          <w:lang w:val="sr-Latn-RS" w:eastAsia="sr-Cyrl-CS" w:bidi="sr-Cyrl-CS"/>
          <w14:ligatures w14:val="none"/>
        </w:rPr>
      </w:pPr>
      <w:r>
        <w:rPr>
          <w:rFonts w:eastAsia="Calibri" w:cstheme="minorHAnsi"/>
          <w:b/>
          <w:bCs/>
          <w:kern w:val="0"/>
          <w:sz w:val="24"/>
          <w:szCs w:val="24"/>
          <w:lang w:val="sr-Latn-RS" w:eastAsia="sr-Cyrl-CS" w:bidi="sr-Cyrl-CS"/>
          <w14:ligatures w14:val="none"/>
        </w:rPr>
        <w:t xml:space="preserve">6. </w:t>
      </w:r>
      <w:r w:rsidR="00A95A7C" w:rsidRPr="002800F8">
        <w:rPr>
          <w:rFonts w:eastAsia="Calibri" w:cstheme="minorHAnsi"/>
          <w:b/>
          <w:bCs/>
          <w:kern w:val="0"/>
          <w:sz w:val="24"/>
          <w:szCs w:val="24"/>
          <w:lang w:val="sr-Latn-RS" w:eastAsia="sr-Cyrl-CS" w:bidi="sr-Cyrl-CS"/>
          <w14:ligatures w14:val="none"/>
        </w:rPr>
        <w:t xml:space="preserve">Očekivani uticaj na životnu sredinu i klimatske promjene. </w:t>
      </w:r>
      <w:r w:rsidR="00E93DF1">
        <w:rPr>
          <w:rFonts w:ascii="Calibri" w:eastAsia="Calibri" w:hAnsi="Calibri" w:cs="Times New Roman"/>
          <w:kern w:val="0"/>
          <w:sz w:val="24"/>
          <w:szCs w:val="24"/>
          <w:lang w:val="sr-Latn-RS" w:eastAsia="sr-Cyrl-CS" w:bidi="sr-Cyrl-CS"/>
          <w14:ligatures w14:val="none"/>
        </w:rPr>
        <w:t>E</w:t>
      </w:r>
      <w:r w:rsidRPr="00DF7626">
        <w:rPr>
          <w:rFonts w:ascii="Calibri" w:eastAsia="Calibri" w:hAnsi="Calibri" w:cs="Times New Roman"/>
          <w:kern w:val="0"/>
          <w:sz w:val="24"/>
          <w:szCs w:val="24"/>
          <w:lang w:val="sr-Latn-RS" w:eastAsia="sr-Cyrl-CS" w:bidi="sr-Cyrl-CS"/>
          <w14:ligatures w14:val="none"/>
        </w:rPr>
        <w:t>fikasnije  korporativno upravljanje u državnim preduzećima</w:t>
      </w:r>
      <w:r w:rsidR="00E93DF1">
        <w:rPr>
          <w:rFonts w:ascii="Calibri" w:eastAsia="Calibri" w:hAnsi="Calibri" w:cs="Times New Roman"/>
          <w:kern w:val="0"/>
          <w:sz w:val="24"/>
          <w:szCs w:val="24"/>
          <w:lang w:val="sr-Latn-RS" w:eastAsia="sr-Cyrl-CS" w:bidi="sr-Cyrl-CS"/>
          <w14:ligatures w14:val="none"/>
        </w:rPr>
        <w:t xml:space="preserve">, podrazumijevaće </w:t>
      </w:r>
      <w:r w:rsidRPr="00DF7626">
        <w:rPr>
          <w:rFonts w:ascii="Calibri" w:eastAsia="Calibri" w:hAnsi="Calibri" w:cs="Times New Roman"/>
          <w:kern w:val="0"/>
          <w:sz w:val="24"/>
          <w:szCs w:val="24"/>
          <w:lang w:val="sr-Latn-RS" w:eastAsia="sr-Cyrl-CS" w:bidi="sr-Cyrl-CS"/>
          <w14:ligatures w14:val="none"/>
        </w:rPr>
        <w:t>odgovornije upravljanje sredstvima</w:t>
      </w:r>
      <w:r w:rsidR="00E93DF1">
        <w:rPr>
          <w:rFonts w:ascii="Calibri" w:eastAsia="Calibri" w:hAnsi="Calibri" w:cs="Times New Roman"/>
          <w:kern w:val="0"/>
          <w:sz w:val="24"/>
          <w:szCs w:val="24"/>
          <w:lang w:val="sr-Latn-RS" w:eastAsia="sr-Cyrl-CS" w:bidi="sr-Cyrl-CS"/>
          <w14:ligatures w14:val="none"/>
        </w:rPr>
        <w:t>, kao i</w:t>
      </w:r>
      <w:r w:rsidRPr="00DF7626">
        <w:rPr>
          <w:rFonts w:ascii="Calibri" w:eastAsia="Calibri" w:hAnsi="Calibri" w:cs="Times New Roman"/>
          <w:kern w:val="0"/>
          <w:sz w:val="24"/>
          <w:szCs w:val="24"/>
          <w:lang w:val="sr-Latn-RS" w:eastAsia="sr-Cyrl-CS" w:bidi="sr-Cyrl-CS"/>
          <w14:ligatures w14:val="none"/>
        </w:rPr>
        <w:t xml:space="preserve"> ulaganje u mitigaciju i adaptaciju efakata klimatskih promjena i dekarbonizaciju što bi naročito trebalo da ima efekta kod preduzeća u sektoru energetike i saobraćaja. Npr. Reforma korportivnog upravljanja u EPCG će doprinijeti i bržoj dekarbonizaciji u Crnoj Gori kroz prelazak na upotrebu „čistih“ tehnologija u proizvodnji električne energije što će pozitivno uticati na životnu sredinu i klimatske promjene.</w:t>
      </w:r>
    </w:p>
    <w:p w14:paraId="359DD436" w14:textId="5EC6D883" w:rsidR="00E34921" w:rsidRDefault="00DF7626" w:rsidP="004E2900">
      <w:pPr>
        <w:jc w:val="both"/>
        <w:rPr>
          <w:rFonts w:eastAsia="Calibri" w:cstheme="minorHAnsi"/>
          <w:b/>
          <w:bCs/>
          <w:kern w:val="0"/>
          <w:sz w:val="24"/>
          <w:szCs w:val="24"/>
          <w:lang w:val="sr-Latn-RS" w:eastAsia="sr-Cyrl-CS" w:bidi="sr-Cyrl-CS"/>
          <w14:ligatures w14:val="none"/>
        </w:rPr>
      </w:pPr>
      <w:r>
        <w:rPr>
          <w:rFonts w:eastAsia="Calibri" w:cstheme="minorHAnsi"/>
          <w:b/>
          <w:bCs/>
          <w:kern w:val="0"/>
          <w:sz w:val="24"/>
          <w:szCs w:val="24"/>
          <w:lang w:val="sr-Latn-RS" w:eastAsia="sr-Cyrl-CS" w:bidi="sr-Cyrl-CS"/>
          <w14:ligatures w14:val="none"/>
        </w:rPr>
        <w:lastRenderedPageBreak/>
        <w:t>7. Potencijalni rizici</w:t>
      </w:r>
    </w:p>
    <w:tbl>
      <w:tblPr>
        <w:tblStyle w:val="GridTable1Light-Accent5"/>
        <w:tblW w:w="9468" w:type="dxa"/>
        <w:tblLayout w:type="fixed"/>
        <w:tblLook w:val="04A0" w:firstRow="1" w:lastRow="0" w:firstColumn="1" w:lastColumn="0" w:noHBand="0" w:noVBand="1"/>
      </w:tblPr>
      <w:tblGrid>
        <w:gridCol w:w="3258"/>
        <w:gridCol w:w="2700"/>
        <w:gridCol w:w="3510"/>
      </w:tblGrid>
      <w:tr w:rsidR="002800F8" w:rsidRPr="006A762A" w14:paraId="4BAEB3F4" w14:textId="77777777" w:rsidTr="004D42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8" w:type="dxa"/>
          </w:tcPr>
          <w:p w14:paraId="24E5C9EA" w14:textId="77777777" w:rsidR="002800F8" w:rsidRPr="006A762A" w:rsidRDefault="002800F8" w:rsidP="002F5656">
            <w:pPr>
              <w:jc w:val="center"/>
              <w:rPr>
                <w:rFonts w:eastAsia="Calibri" w:cstheme="minorHAnsi"/>
                <w:b w:val="0"/>
                <w:sz w:val="20"/>
                <w:szCs w:val="20"/>
                <w:lang w:val="sr-Latn-RS"/>
              </w:rPr>
            </w:pPr>
            <w:r w:rsidRPr="006A762A">
              <w:rPr>
                <w:rFonts w:eastAsia="Calibri" w:cstheme="minorHAnsi"/>
                <w:sz w:val="20"/>
                <w:szCs w:val="20"/>
                <w:lang w:val="sr-Latn-RS"/>
              </w:rPr>
              <w:t xml:space="preserve">Rizik </w:t>
            </w:r>
          </w:p>
        </w:tc>
        <w:tc>
          <w:tcPr>
            <w:tcW w:w="2700" w:type="dxa"/>
          </w:tcPr>
          <w:p w14:paraId="1E7FCBBC" w14:textId="77777777" w:rsidR="002800F8" w:rsidRPr="006A762A" w:rsidRDefault="002800F8" w:rsidP="002F5656">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sz w:val="20"/>
                <w:szCs w:val="20"/>
                <w:lang w:val="sr-Latn-RS"/>
              </w:rPr>
            </w:pPr>
            <w:r w:rsidRPr="006A762A">
              <w:rPr>
                <w:rFonts w:eastAsia="Calibri" w:cstheme="minorHAnsi"/>
                <w:sz w:val="20"/>
                <w:szCs w:val="20"/>
                <w:lang w:val="sr-Latn-RS"/>
              </w:rPr>
              <w:t>Vjerovatnoća za ostvarivanje rizika (niska ili visoka)</w:t>
            </w:r>
          </w:p>
        </w:tc>
        <w:tc>
          <w:tcPr>
            <w:tcW w:w="3510" w:type="dxa"/>
          </w:tcPr>
          <w:p w14:paraId="27B7A7D7" w14:textId="77777777" w:rsidR="002800F8" w:rsidRPr="006A762A" w:rsidRDefault="002800F8" w:rsidP="002F5656">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sz w:val="20"/>
                <w:szCs w:val="20"/>
                <w:lang w:val="sr-Latn-RS"/>
              </w:rPr>
            </w:pPr>
            <w:r w:rsidRPr="006A762A">
              <w:rPr>
                <w:rFonts w:eastAsia="Calibri" w:cstheme="minorHAnsi"/>
                <w:sz w:val="20"/>
                <w:szCs w:val="20"/>
                <w:lang w:val="sr-Latn-RS"/>
              </w:rPr>
              <w:t>Planirane aktivnosti ublažavanja negativnih efekata rizika</w:t>
            </w:r>
          </w:p>
        </w:tc>
      </w:tr>
      <w:tr w:rsidR="00D67AF7" w:rsidRPr="006A762A" w14:paraId="63DCF9FD" w14:textId="77777777" w:rsidTr="004D422C">
        <w:tc>
          <w:tcPr>
            <w:cnfStyle w:val="001000000000" w:firstRow="0" w:lastRow="0" w:firstColumn="1" w:lastColumn="0" w:oddVBand="0" w:evenVBand="0" w:oddHBand="0" w:evenHBand="0" w:firstRowFirstColumn="0" w:firstRowLastColumn="0" w:lastRowFirstColumn="0" w:lastRowLastColumn="0"/>
            <w:tcW w:w="3258" w:type="dxa"/>
          </w:tcPr>
          <w:p w14:paraId="083A711C" w14:textId="77777777" w:rsidR="00D67AF7" w:rsidRPr="00E31A6B" w:rsidRDefault="00D67AF7" w:rsidP="00D67AF7">
            <w:pPr>
              <w:jc w:val="center"/>
              <w:rPr>
                <w:rFonts w:eastAsia="Calibri" w:cstheme="minorHAnsi"/>
                <w:b w:val="0"/>
                <w:bCs w:val="0"/>
                <w:sz w:val="20"/>
                <w:szCs w:val="20"/>
                <w:lang w:val="sr-Latn-RS"/>
              </w:rPr>
            </w:pPr>
            <w:r w:rsidRPr="00E31A6B">
              <w:rPr>
                <w:rFonts w:eastAsia="Calibri" w:cstheme="minorHAnsi"/>
                <w:b w:val="0"/>
                <w:bCs w:val="0"/>
                <w:sz w:val="20"/>
                <w:szCs w:val="20"/>
                <w:lang w:val="sr-Latn-RS"/>
              </w:rPr>
              <w:t>Nedostatak parlamentarne podrške</w:t>
            </w:r>
          </w:p>
        </w:tc>
        <w:tc>
          <w:tcPr>
            <w:tcW w:w="2700" w:type="dxa"/>
          </w:tcPr>
          <w:p w14:paraId="4511EE01" w14:textId="5BEFB417" w:rsidR="00D67AF7" w:rsidRPr="006A762A" w:rsidRDefault="00D67AF7" w:rsidP="00D67AF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lang w:val="sr-Latn-RS"/>
              </w:rPr>
            </w:pPr>
            <w:r>
              <w:rPr>
                <w:rFonts w:eastAsia="Calibri" w:cstheme="minorHAnsi"/>
                <w:sz w:val="20"/>
                <w:szCs w:val="20"/>
                <w:lang w:val="sr-Latn-RS"/>
              </w:rPr>
              <w:t>Niska</w:t>
            </w:r>
          </w:p>
        </w:tc>
        <w:tc>
          <w:tcPr>
            <w:tcW w:w="3510" w:type="dxa"/>
          </w:tcPr>
          <w:p w14:paraId="5BE463FE" w14:textId="175ABD2F" w:rsidR="00D67AF7" w:rsidRPr="00BE0CE8" w:rsidRDefault="00D67AF7" w:rsidP="00D67AF7">
            <w:pPr>
              <w:jc w:val="both"/>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lang w:val="sr-Latn-RS"/>
              </w:rPr>
            </w:pPr>
            <w:r w:rsidRPr="00BE0CE8">
              <w:rPr>
                <w:rFonts w:cstheme="minorHAnsi"/>
                <w:sz w:val="20"/>
                <w:szCs w:val="20"/>
                <w:lang w:val="sr-Latn-RS"/>
              </w:rPr>
              <w:t>Povećanje svijesti o važnosti izmjena zakonskih propisa za poboljšanje nadzora nad radom privrednih društava u većinskom vlaništvu države, i punu primjenu objektivnih kriterijuma za izbor članova odbora direktora.</w:t>
            </w:r>
          </w:p>
        </w:tc>
      </w:tr>
      <w:tr w:rsidR="00D67AF7" w:rsidRPr="006A762A" w14:paraId="3A76FE5B" w14:textId="77777777" w:rsidTr="004D422C">
        <w:trPr>
          <w:trHeight w:val="3968"/>
        </w:trPr>
        <w:tc>
          <w:tcPr>
            <w:cnfStyle w:val="001000000000" w:firstRow="0" w:lastRow="0" w:firstColumn="1" w:lastColumn="0" w:oddVBand="0" w:evenVBand="0" w:oddHBand="0" w:evenHBand="0" w:firstRowFirstColumn="0" w:firstRowLastColumn="0" w:lastRowFirstColumn="0" w:lastRowLastColumn="0"/>
            <w:tcW w:w="3258" w:type="dxa"/>
          </w:tcPr>
          <w:p w14:paraId="2F6F3C46" w14:textId="77777777" w:rsidR="00D67AF7" w:rsidRPr="00E31A6B" w:rsidRDefault="00D67AF7" w:rsidP="00D67AF7">
            <w:pPr>
              <w:jc w:val="center"/>
              <w:rPr>
                <w:rFonts w:eastAsia="Calibri" w:cstheme="minorHAnsi"/>
                <w:b w:val="0"/>
                <w:bCs w:val="0"/>
                <w:sz w:val="20"/>
                <w:szCs w:val="20"/>
                <w:lang w:val="sr-Latn-RS"/>
              </w:rPr>
            </w:pPr>
            <w:r w:rsidRPr="00E31A6B">
              <w:rPr>
                <w:rFonts w:eastAsia="Calibri" w:cstheme="minorHAnsi"/>
                <w:b w:val="0"/>
                <w:bCs w:val="0"/>
                <w:sz w:val="20"/>
                <w:szCs w:val="20"/>
                <w:lang w:val="sr-Latn-RS"/>
              </w:rPr>
              <w:t>Nedostatak kadra</w:t>
            </w:r>
          </w:p>
        </w:tc>
        <w:tc>
          <w:tcPr>
            <w:tcW w:w="2700" w:type="dxa"/>
          </w:tcPr>
          <w:p w14:paraId="59680958" w14:textId="77777777" w:rsidR="00D67AF7" w:rsidRPr="006A762A" w:rsidRDefault="00D67AF7" w:rsidP="00D67AF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lang w:val="sr-Latn-RS"/>
              </w:rPr>
            </w:pPr>
            <w:r w:rsidRPr="006A762A">
              <w:rPr>
                <w:rFonts w:eastAsia="Calibri" w:cstheme="minorHAnsi"/>
                <w:sz w:val="20"/>
                <w:szCs w:val="20"/>
                <w:lang w:val="sr-Latn-RS"/>
              </w:rPr>
              <w:t>Visoka</w:t>
            </w:r>
          </w:p>
        </w:tc>
        <w:tc>
          <w:tcPr>
            <w:tcW w:w="3510" w:type="dxa"/>
          </w:tcPr>
          <w:p w14:paraId="2062A1CF" w14:textId="77777777" w:rsidR="00D67AF7" w:rsidRPr="00BE0CE8" w:rsidRDefault="00D67AF7" w:rsidP="00D67AF7">
            <w:pPr>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sz w:val="20"/>
                <w:szCs w:val="20"/>
                <w:lang w:val="sr-Latn-RS"/>
              </w:rPr>
            </w:pPr>
            <w:r w:rsidRPr="00BE0CE8">
              <w:rPr>
                <w:rFonts w:cstheme="minorHAnsi"/>
                <w:sz w:val="20"/>
                <w:szCs w:val="20"/>
                <w:lang w:val="sr-Latn-RS"/>
              </w:rPr>
              <w:t>U Direkciji za praćenje fiskalnih rizika privrednih društava u većinskom vlasništvu države trenutno rade 4 službenika.</w:t>
            </w:r>
          </w:p>
          <w:p w14:paraId="02E65167" w14:textId="77777777" w:rsidR="00D67AF7" w:rsidRPr="00BE0CE8" w:rsidRDefault="00D67AF7" w:rsidP="00D67AF7">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lang w:val="sr-Latn-RS"/>
              </w:rPr>
            </w:pPr>
            <w:r w:rsidRPr="00BE0CE8">
              <w:rPr>
                <w:rFonts w:cstheme="minorHAnsi"/>
                <w:sz w:val="20"/>
                <w:szCs w:val="20"/>
                <w:lang w:val="sr-Latn-RS"/>
              </w:rPr>
              <w:t>Dodatno zapošljavanje  kvalifikovanih službenika rezultiraće širenju tima koji će unaprijediti rad u oblasti poslovanja državnih preduzeća. Takođe, obezbjeđivanje kontinuiranih edukacija i obuka za sticanje specifičnih znanja i vještina će u značajnoj mjeri uticati na efikasnost rada direkcije.</w:t>
            </w:r>
          </w:p>
          <w:p w14:paraId="58CD8FAB" w14:textId="77777777" w:rsidR="00D67AF7" w:rsidRPr="00BE0CE8" w:rsidRDefault="00D67AF7" w:rsidP="00D67AF7">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lang w:val="sr-Latn-RS"/>
              </w:rPr>
            </w:pPr>
          </w:p>
          <w:p w14:paraId="5154BA2C" w14:textId="0B98F576" w:rsidR="00D67AF7" w:rsidRPr="00BE0CE8" w:rsidRDefault="00D67AF7" w:rsidP="005A7858">
            <w:pPr>
              <w:jc w:val="both"/>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lang w:val="sr-Latn-RS"/>
              </w:rPr>
            </w:pPr>
            <w:r w:rsidRPr="00BE0CE8">
              <w:rPr>
                <w:rFonts w:cstheme="minorHAnsi"/>
                <w:sz w:val="20"/>
                <w:szCs w:val="20"/>
                <w:lang w:val="sr-Latn-RS"/>
              </w:rPr>
              <w:t>Nagrađivanje i unaprjeđenje službenika za predan rad na veoma složenim radnim zadacima, kao motivacioni  element uspješnosti zaposlenih i unaprjeđenja poslovanja Direkcije.</w:t>
            </w:r>
          </w:p>
        </w:tc>
      </w:tr>
      <w:tr w:rsidR="00D67AF7" w:rsidRPr="00D67AF7" w14:paraId="6F0CD778" w14:textId="77777777" w:rsidTr="004D422C">
        <w:tc>
          <w:tcPr>
            <w:cnfStyle w:val="001000000000" w:firstRow="0" w:lastRow="0" w:firstColumn="1" w:lastColumn="0" w:oddVBand="0" w:evenVBand="0" w:oddHBand="0" w:evenHBand="0" w:firstRowFirstColumn="0" w:firstRowLastColumn="0" w:lastRowFirstColumn="0" w:lastRowLastColumn="0"/>
            <w:tcW w:w="3258" w:type="dxa"/>
          </w:tcPr>
          <w:p w14:paraId="0208B0C5" w14:textId="77777777" w:rsidR="00D67AF7" w:rsidRPr="00E31A6B" w:rsidRDefault="00D67AF7" w:rsidP="00D67AF7">
            <w:pPr>
              <w:jc w:val="center"/>
              <w:rPr>
                <w:rFonts w:eastAsia="Calibri" w:cstheme="minorHAnsi"/>
                <w:b w:val="0"/>
                <w:bCs w:val="0"/>
                <w:sz w:val="20"/>
                <w:szCs w:val="20"/>
                <w:lang w:val="sr-Latn-RS"/>
              </w:rPr>
            </w:pPr>
            <w:r w:rsidRPr="00E31A6B">
              <w:rPr>
                <w:rFonts w:eastAsia="Calibri" w:cstheme="minorHAnsi"/>
                <w:b w:val="0"/>
                <w:bCs w:val="0"/>
                <w:sz w:val="20"/>
                <w:szCs w:val="20"/>
                <w:lang w:val="sr-Latn-RS"/>
              </w:rPr>
              <w:t>Rezervisanost menadžmenta privrednih preduzeća u većinskom vlasništvu države u pružanju detaljnih informacija o poslovnim aktivnostima društva</w:t>
            </w:r>
          </w:p>
        </w:tc>
        <w:tc>
          <w:tcPr>
            <w:tcW w:w="2700" w:type="dxa"/>
          </w:tcPr>
          <w:p w14:paraId="22722287" w14:textId="1CEAD830" w:rsidR="00D67AF7" w:rsidRPr="00D67AF7" w:rsidRDefault="00D67AF7" w:rsidP="00D67AF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lang w:val="sr-Latn-RS"/>
              </w:rPr>
            </w:pPr>
            <w:r w:rsidRPr="00D67AF7">
              <w:rPr>
                <w:rFonts w:eastAsia="Calibri" w:cstheme="minorHAnsi"/>
                <w:sz w:val="20"/>
                <w:szCs w:val="20"/>
                <w:lang w:val="sr-Latn-RS"/>
              </w:rPr>
              <w:t>Visoka</w:t>
            </w:r>
          </w:p>
        </w:tc>
        <w:tc>
          <w:tcPr>
            <w:tcW w:w="3510" w:type="dxa"/>
          </w:tcPr>
          <w:p w14:paraId="061A3B17" w14:textId="77777777" w:rsidR="00D67AF7" w:rsidRPr="00BE0CE8" w:rsidRDefault="00D67AF7" w:rsidP="00D67AF7">
            <w:pPr>
              <w:spacing w:before="120"/>
              <w:jc w:val="both"/>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lang w:val="sr-Latn-RS"/>
              </w:rPr>
            </w:pPr>
            <w:r w:rsidRPr="00BE0CE8">
              <w:rPr>
                <w:rFonts w:eastAsia="Calibri" w:cstheme="minorHAnsi"/>
                <w:sz w:val="20"/>
                <w:szCs w:val="20"/>
                <w:lang w:val="sr-Latn-RS"/>
              </w:rPr>
              <w:t>Zbog nepreciznog regulatornog okvira u ovoj oblasti, postoji mogućnost neadekvatne/ nezadovoljavajuće saradnje Ministarstva finansija sa menadžmentom privrednih preduzeća u većinskom vlasništvu države, koji se ogleda u nedostatku transparentnosti društava i nepotpunom i neblagovremenom dostavljanju potrebnih informacija i podataka.</w:t>
            </w:r>
          </w:p>
          <w:p w14:paraId="060B0008" w14:textId="3759A3F8" w:rsidR="00D67AF7" w:rsidRPr="00BE0CE8" w:rsidRDefault="00D67AF7" w:rsidP="00BE0CE8">
            <w:pPr>
              <w:jc w:val="both"/>
              <w:cnfStyle w:val="000000000000" w:firstRow="0" w:lastRow="0" w:firstColumn="0" w:lastColumn="0" w:oddVBand="0" w:evenVBand="0" w:oddHBand="0" w:evenHBand="0" w:firstRowFirstColumn="0" w:firstRowLastColumn="0" w:lastRowFirstColumn="0" w:lastRowLastColumn="0"/>
              <w:rPr>
                <w:rFonts w:eastAsia="Calibri" w:cstheme="minorHAnsi"/>
                <w:b/>
                <w:sz w:val="20"/>
                <w:szCs w:val="20"/>
                <w:lang w:val="sr-Latn-RS"/>
              </w:rPr>
            </w:pPr>
            <w:r w:rsidRPr="00BE0CE8">
              <w:rPr>
                <w:rFonts w:eastAsia="Calibri" w:cstheme="minorHAnsi"/>
                <w:sz w:val="20"/>
                <w:szCs w:val="20"/>
                <w:lang w:val="sr-Latn-RS" w:eastAsia="sr-Cyrl-CS" w:bidi="sr-Cyrl-CS"/>
              </w:rPr>
              <w:t>Predloženi rizik će se umanjiti i u krajnjem eliminisati uspostavljanjem odgovarajućeg regulatornog okvira, kroz usvajanje predloženih izmjena i dopuna postojećih normi i/ili usvajanje novih zakonskih rješenja kao i definisanjem jasnog strateškog okvira korporativnog upravljanja i politike vlasništva Države u ovim društvima.</w:t>
            </w:r>
          </w:p>
        </w:tc>
      </w:tr>
    </w:tbl>
    <w:p w14:paraId="62EB1C40" w14:textId="56E61D18" w:rsidR="00B74923" w:rsidRPr="00B74923" w:rsidRDefault="00B74923" w:rsidP="004C0CB1">
      <w:pPr>
        <w:widowControl w:val="0"/>
        <w:spacing w:after="0" w:line="240" w:lineRule="auto"/>
        <w:contextualSpacing/>
        <w:rPr>
          <w:rFonts w:ascii="Calibri" w:eastAsia="Calibri" w:hAnsi="Calibri" w:cs="Calibri"/>
          <w:kern w:val="0"/>
          <w:lang w:val="sr-Latn-RS" w:eastAsia="sr-Cyrl-CS" w:bidi="sr-Cyrl-CS"/>
          <w14:ligatures w14:val="none"/>
        </w:rPr>
      </w:pPr>
    </w:p>
    <w:p w14:paraId="469CDC63" w14:textId="165691A9" w:rsidR="006F2FEC" w:rsidRPr="002D4036" w:rsidRDefault="002800F8" w:rsidP="0065415E">
      <w:pPr>
        <w:pStyle w:val="Heading1"/>
        <w:rPr>
          <w:b/>
          <w:bCs/>
          <w:color w:val="002465"/>
          <w:lang w:val="sr-Latn-ME"/>
        </w:rPr>
      </w:pPr>
      <w:bookmarkStart w:id="163" w:name="_Toc153305364"/>
      <w:r w:rsidRPr="002D4036">
        <w:rPr>
          <w:b/>
          <w:bCs/>
          <w:color w:val="002465"/>
          <w:lang w:val="sr-Latn-ME"/>
        </w:rPr>
        <w:lastRenderedPageBreak/>
        <w:t>5.2 Održivost i otpornost</w:t>
      </w:r>
      <w:bookmarkEnd w:id="163"/>
    </w:p>
    <w:p w14:paraId="49995DB5" w14:textId="4F195A74" w:rsidR="0047326F" w:rsidRPr="009D0E01" w:rsidRDefault="0047326F" w:rsidP="004E2900">
      <w:pPr>
        <w:jc w:val="both"/>
        <w:rPr>
          <w:rFonts w:cstheme="minorHAnsi"/>
          <w:b/>
          <w:bCs/>
          <w:color w:val="002465"/>
          <w:sz w:val="24"/>
          <w:szCs w:val="24"/>
          <w:lang w:val="sr-Latn-ME"/>
        </w:rPr>
      </w:pPr>
      <w:r w:rsidRPr="009D0E01">
        <w:rPr>
          <w:rFonts w:cstheme="minorHAnsi"/>
          <w:b/>
          <w:bCs/>
          <w:color w:val="002465"/>
          <w:sz w:val="24"/>
          <w:szCs w:val="24"/>
          <w:lang w:val="sr-Latn-ME"/>
        </w:rPr>
        <w:t>a. Analiza ključnih prepreka</w:t>
      </w:r>
    </w:p>
    <w:p w14:paraId="2C69EC95" w14:textId="4AFBD974" w:rsidR="00C12B7B" w:rsidRPr="009667FD" w:rsidRDefault="00D67B01" w:rsidP="00C12B7B">
      <w:pPr>
        <w:jc w:val="both"/>
        <w:rPr>
          <w:rFonts w:cstheme="minorHAnsi"/>
          <w:sz w:val="24"/>
          <w:szCs w:val="24"/>
        </w:rPr>
      </w:pPr>
      <w:r>
        <w:rPr>
          <w:rFonts w:cstheme="minorHAnsi"/>
          <w:sz w:val="24"/>
          <w:szCs w:val="24"/>
          <w:lang w:val="sr-Latn-CS"/>
        </w:rPr>
        <w:t>Amortizovanost postojeće</w:t>
      </w:r>
      <w:r w:rsidR="00C12B7B" w:rsidRPr="00C12B7B">
        <w:rPr>
          <w:rFonts w:cstheme="minorHAnsi"/>
          <w:sz w:val="24"/>
          <w:szCs w:val="24"/>
          <w:lang w:val="sr-Latn-CS"/>
        </w:rPr>
        <w:t xml:space="preserve"> energetske infrastrukture</w:t>
      </w:r>
      <w:r w:rsidR="00CB236F">
        <w:rPr>
          <w:rFonts w:cstheme="minorHAnsi"/>
          <w:sz w:val="24"/>
          <w:szCs w:val="24"/>
          <w:lang w:val="sr-Latn-CS"/>
        </w:rPr>
        <w:t xml:space="preserve"> </w:t>
      </w:r>
      <w:r>
        <w:rPr>
          <w:rFonts w:cstheme="minorHAnsi"/>
          <w:sz w:val="24"/>
          <w:szCs w:val="24"/>
          <w:lang w:val="sr-Latn-CS"/>
        </w:rPr>
        <w:t>u Crnoj Gori je visoka</w:t>
      </w:r>
      <w:r w:rsidR="00C12B7B" w:rsidRPr="00C12B7B">
        <w:rPr>
          <w:rFonts w:cstheme="minorHAnsi"/>
          <w:sz w:val="24"/>
          <w:szCs w:val="24"/>
          <w:lang w:val="sr-Latn-CS"/>
        </w:rPr>
        <w:t xml:space="preserve"> i potreb</w:t>
      </w:r>
      <w:r>
        <w:rPr>
          <w:rFonts w:cstheme="minorHAnsi"/>
          <w:sz w:val="24"/>
          <w:szCs w:val="24"/>
          <w:lang w:val="sr-Latn-CS"/>
        </w:rPr>
        <w:t xml:space="preserve">na je </w:t>
      </w:r>
      <w:r w:rsidR="00C12B7B" w:rsidRPr="00C12B7B">
        <w:rPr>
          <w:rFonts w:cstheme="minorHAnsi"/>
          <w:sz w:val="24"/>
          <w:szCs w:val="24"/>
          <w:lang w:val="sr-Latn-CS"/>
        </w:rPr>
        <w:t>njen</w:t>
      </w:r>
      <w:r>
        <w:rPr>
          <w:rFonts w:cstheme="minorHAnsi"/>
          <w:sz w:val="24"/>
          <w:szCs w:val="24"/>
          <w:lang w:val="sr-Latn-CS"/>
        </w:rPr>
        <w:t>a</w:t>
      </w:r>
      <w:r w:rsidR="00C12B7B" w:rsidRPr="00C12B7B">
        <w:rPr>
          <w:rFonts w:cstheme="minorHAnsi"/>
          <w:sz w:val="24"/>
          <w:szCs w:val="24"/>
          <w:lang w:val="sr-Latn-CS"/>
        </w:rPr>
        <w:t xml:space="preserve"> ubrzan</w:t>
      </w:r>
      <w:r>
        <w:rPr>
          <w:rFonts w:cstheme="minorHAnsi"/>
          <w:sz w:val="24"/>
          <w:szCs w:val="24"/>
          <w:lang w:val="sr-Latn-CS"/>
        </w:rPr>
        <w:t>a</w:t>
      </w:r>
      <w:r w:rsidR="00C12B7B" w:rsidRPr="00C12B7B">
        <w:rPr>
          <w:rFonts w:cstheme="minorHAnsi"/>
          <w:sz w:val="24"/>
          <w:szCs w:val="24"/>
          <w:lang w:val="sr-Latn-CS"/>
        </w:rPr>
        <w:t xml:space="preserve"> revitalizacij</w:t>
      </w:r>
      <w:r>
        <w:rPr>
          <w:rFonts w:cstheme="minorHAnsi"/>
          <w:sz w:val="24"/>
          <w:szCs w:val="24"/>
          <w:lang w:val="sr-Latn-CS"/>
        </w:rPr>
        <w:t>a</w:t>
      </w:r>
      <w:r w:rsidR="00C12B7B" w:rsidRPr="00C12B7B">
        <w:rPr>
          <w:rFonts w:cstheme="minorHAnsi"/>
          <w:sz w:val="24"/>
          <w:szCs w:val="24"/>
          <w:lang w:val="sr-Latn-CS"/>
        </w:rPr>
        <w:t xml:space="preserve"> i tehnološk</w:t>
      </w:r>
      <w:r>
        <w:rPr>
          <w:rFonts w:cstheme="minorHAnsi"/>
          <w:sz w:val="24"/>
          <w:szCs w:val="24"/>
          <w:lang w:val="sr-Latn-CS"/>
        </w:rPr>
        <w:t>a</w:t>
      </w:r>
      <w:r w:rsidR="00C12B7B" w:rsidRPr="00C12B7B">
        <w:rPr>
          <w:rFonts w:cstheme="minorHAnsi"/>
          <w:sz w:val="24"/>
          <w:szCs w:val="24"/>
          <w:lang w:val="sr-Latn-CS"/>
        </w:rPr>
        <w:t xml:space="preserve"> modernizacij</w:t>
      </w:r>
      <w:r w:rsidR="00B93811">
        <w:rPr>
          <w:rFonts w:cstheme="minorHAnsi"/>
          <w:sz w:val="24"/>
          <w:szCs w:val="24"/>
          <w:lang w:val="sr-Latn-CS"/>
        </w:rPr>
        <w:t>a</w:t>
      </w:r>
      <w:r w:rsidR="00C12B7B" w:rsidRPr="00C12B7B">
        <w:rPr>
          <w:rFonts w:cstheme="minorHAnsi"/>
          <w:sz w:val="24"/>
          <w:szCs w:val="24"/>
          <w:lang w:val="sr-Latn-CS"/>
        </w:rPr>
        <w:t xml:space="preserve"> uz poboljšanje efikasnosti i povećanje korišćenja obnovljivih izvora energije. Jedan od glavnih izazova na strani potrošnje </w:t>
      </w:r>
      <w:r w:rsidR="00C12B7B" w:rsidRPr="008460B1">
        <w:rPr>
          <w:rFonts w:cstheme="minorHAnsi"/>
          <w:sz w:val="24"/>
          <w:szCs w:val="24"/>
          <w:lang w:val="sr-Latn-CS"/>
        </w:rPr>
        <w:t>energije je nedovoljan nivo energetske efikasnosti i visok energetski intenzitet u industriji, a što je posljedica zastarjele tehnologije i opreme u proizvodnom procesu sa visokim nivoom emisije GHG gasova</w:t>
      </w:r>
      <w:r w:rsidR="00CD6CB9" w:rsidRPr="008460B1">
        <w:rPr>
          <w:rFonts w:cstheme="minorHAnsi"/>
          <w:sz w:val="24"/>
          <w:szCs w:val="24"/>
          <w:lang w:val="sr-Latn-CS"/>
        </w:rPr>
        <w:t>, naročito CO2</w:t>
      </w:r>
      <w:r w:rsidR="00C12B7B" w:rsidRPr="008460B1">
        <w:rPr>
          <w:rFonts w:cstheme="minorHAnsi"/>
          <w:sz w:val="24"/>
          <w:szCs w:val="24"/>
          <w:lang w:val="sr-Latn-CS"/>
        </w:rPr>
        <w:t xml:space="preserve"> i niskom stopom produktivnosti u industriji.</w:t>
      </w:r>
      <w:r w:rsidR="00CD6CB9" w:rsidRPr="008460B1">
        <w:rPr>
          <w:rFonts w:eastAsia="Times New Roman" w:cstheme="minorHAnsi"/>
          <w:kern w:val="0"/>
          <w:sz w:val="24"/>
          <w:szCs w:val="24"/>
          <w:lang w:val="bs"/>
          <w14:ligatures w14:val="none"/>
        </w:rPr>
        <w:t xml:space="preserve"> To uključuje </w:t>
      </w:r>
      <w:r w:rsidR="00CD6CB9" w:rsidRPr="008460B1">
        <w:rPr>
          <w:rFonts w:eastAsia="Times New Roman" w:cstheme="minorHAnsi"/>
          <w:spacing w:val="1"/>
          <w:kern w:val="0"/>
          <w:sz w:val="24"/>
          <w:szCs w:val="24"/>
          <w:lang w:val="bs"/>
          <w14:ligatures w14:val="none"/>
        </w:rPr>
        <w:t xml:space="preserve"> </w:t>
      </w:r>
      <w:r w:rsidR="00CD6CB9" w:rsidRPr="008460B1">
        <w:rPr>
          <w:rFonts w:eastAsia="Times New Roman" w:cstheme="minorHAnsi"/>
          <w:kern w:val="0"/>
          <w:sz w:val="24"/>
          <w:szCs w:val="24"/>
          <w:lang w:val="bs"/>
          <w14:ligatures w14:val="none"/>
        </w:rPr>
        <w:t>termo-elektranu</w:t>
      </w:r>
      <w:r w:rsidR="00CD6CB9" w:rsidRPr="008460B1">
        <w:rPr>
          <w:rFonts w:eastAsia="Times New Roman" w:cstheme="minorHAnsi"/>
          <w:spacing w:val="1"/>
          <w:kern w:val="0"/>
          <w:sz w:val="24"/>
          <w:szCs w:val="24"/>
          <w:lang w:val="bs"/>
          <w14:ligatures w14:val="none"/>
        </w:rPr>
        <w:t xml:space="preserve"> </w:t>
      </w:r>
      <w:r w:rsidR="00CD6CB9" w:rsidRPr="008460B1">
        <w:rPr>
          <w:rFonts w:eastAsia="Times New Roman" w:cstheme="minorHAnsi"/>
          <w:kern w:val="0"/>
          <w:sz w:val="24"/>
          <w:szCs w:val="24"/>
          <w:lang w:val="bs"/>
          <w14:ligatures w14:val="none"/>
        </w:rPr>
        <w:t>u</w:t>
      </w:r>
      <w:r w:rsidR="00CD6CB9" w:rsidRPr="008460B1">
        <w:rPr>
          <w:rFonts w:eastAsia="Times New Roman" w:cstheme="minorHAnsi"/>
          <w:spacing w:val="1"/>
          <w:kern w:val="0"/>
          <w:sz w:val="24"/>
          <w:szCs w:val="24"/>
          <w:lang w:val="bs"/>
          <w14:ligatures w14:val="none"/>
        </w:rPr>
        <w:t xml:space="preserve"> </w:t>
      </w:r>
      <w:r w:rsidR="00CD6CB9" w:rsidRPr="008460B1">
        <w:rPr>
          <w:rFonts w:eastAsia="Times New Roman" w:cstheme="minorHAnsi"/>
          <w:kern w:val="0"/>
          <w:sz w:val="24"/>
          <w:szCs w:val="24"/>
          <w:lang w:val="bs"/>
          <w14:ligatures w14:val="none"/>
        </w:rPr>
        <w:t>Pljevljima</w:t>
      </w:r>
      <w:r w:rsidR="00CD6CB9" w:rsidRPr="008460B1">
        <w:rPr>
          <w:rFonts w:eastAsia="Times New Roman" w:cstheme="minorHAnsi"/>
          <w:spacing w:val="41"/>
          <w:kern w:val="0"/>
          <w:sz w:val="24"/>
          <w:szCs w:val="24"/>
          <w:lang w:val="bs"/>
          <w14:ligatures w14:val="none"/>
        </w:rPr>
        <w:t xml:space="preserve"> </w:t>
      </w:r>
      <w:r w:rsidR="00CD6CB9" w:rsidRPr="008460B1">
        <w:rPr>
          <w:rFonts w:eastAsia="Times New Roman" w:cstheme="minorHAnsi"/>
          <w:kern w:val="0"/>
          <w:sz w:val="24"/>
          <w:szCs w:val="24"/>
          <w:lang w:val="bs"/>
          <w14:ligatures w14:val="none"/>
        </w:rPr>
        <w:t>koja</w:t>
      </w:r>
      <w:r w:rsidR="00CD6CB9" w:rsidRPr="008460B1">
        <w:rPr>
          <w:rFonts w:eastAsia="Times New Roman" w:cstheme="minorHAnsi"/>
          <w:spacing w:val="41"/>
          <w:kern w:val="0"/>
          <w:sz w:val="24"/>
          <w:szCs w:val="24"/>
          <w:lang w:val="bs"/>
          <w14:ligatures w14:val="none"/>
        </w:rPr>
        <w:t xml:space="preserve"> </w:t>
      </w:r>
      <w:r w:rsidR="00CD6CB9" w:rsidRPr="008460B1">
        <w:rPr>
          <w:rFonts w:eastAsia="Times New Roman" w:cstheme="minorHAnsi"/>
          <w:kern w:val="0"/>
          <w:sz w:val="24"/>
          <w:szCs w:val="24"/>
          <w:lang w:val="bs"/>
          <w14:ligatures w14:val="none"/>
        </w:rPr>
        <w:t>trenutno</w:t>
      </w:r>
      <w:r w:rsidR="00CD6CB9" w:rsidRPr="008460B1">
        <w:rPr>
          <w:rFonts w:eastAsia="Times New Roman" w:cstheme="minorHAnsi"/>
          <w:spacing w:val="42"/>
          <w:kern w:val="0"/>
          <w:sz w:val="24"/>
          <w:szCs w:val="24"/>
          <w:lang w:val="bs"/>
          <w14:ligatures w14:val="none"/>
        </w:rPr>
        <w:t xml:space="preserve"> </w:t>
      </w:r>
      <w:r w:rsidR="00CD6CB9" w:rsidRPr="008460B1">
        <w:rPr>
          <w:rFonts w:eastAsia="Times New Roman" w:cstheme="minorHAnsi"/>
          <w:kern w:val="0"/>
          <w:sz w:val="24"/>
          <w:szCs w:val="24"/>
          <w:lang w:val="bs"/>
          <w14:ligatures w14:val="none"/>
        </w:rPr>
        <w:t>proizvodi</w:t>
      </w:r>
      <w:r w:rsidR="00CD6CB9" w:rsidRPr="008460B1">
        <w:rPr>
          <w:rFonts w:eastAsia="Times New Roman" w:cstheme="minorHAnsi"/>
          <w:spacing w:val="42"/>
          <w:kern w:val="0"/>
          <w:sz w:val="24"/>
          <w:szCs w:val="24"/>
          <w:lang w:val="bs"/>
          <w14:ligatures w14:val="none"/>
        </w:rPr>
        <w:t xml:space="preserve"> </w:t>
      </w:r>
      <w:r w:rsidR="00CD6CB9" w:rsidRPr="008460B1">
        <w:rPr>
          <w:rFonts w:eastAsia="Times New Roman" w:cstheme="minorHAnsi"/>
          <w:kern w:val="0"/>
          <w:sz w:val="24"/>
          <w:szCs w:val="24"/>
          <w:lang w:val="bs"/>
          <w14:ligatures w14:val="none"/>
        </w:rPr>
        <w:t>oko polovinu</w:t>
      </w:r>
      <w:r w:rsidR="00CD6CB9" w:rsidRPr="008460B1">
        <w:rPr>
          <w:rFonts w:eastAsia="Times New Roman" w:cstheme="minorHAnsi"/>
          <w:spacing w:val="42"/>
          <w:kern w:val="0"/>
          <w:sz w:val="24"/>
          <w:szCs w:val="24"/>
          <w:lang w:val="bs"/>
          <w14:ligatures w14:val="none"/>
        </w:rPr>
        <w:t xml:space="preserve"> </w:t>
      </w:r>
      <w:r w:rsidR="00CD6CB9" w:rsidRPr="008460B1">
        <w:rPr>
          <w:rFonts w:eastAsia="Times New Roman" w:cstheme="minorHAnsi"/>
          <w:kern w:val="0"/>
          <w:sz w:val="24"/>
          <w:szCs w:val="24"/>
          <w:lang w:val="bs"/>
          <w14:ligatures w14:val="none"/>
        </w:rPr>
        <w:t>električne</w:t>
      </w:r>
      <w:r w:rsidR="00CD6CB9" w:rsidRPr="008460B1">
        <w:rPr>
          <w:rFonts w:eastAsia="Times New Roman" w:cstheme="minorHAnsi"/>
          <w:spacing w:val="42"/>
          <w:kern w:val="0"/>
          <w:sz w:val="24"/>
          <w:szCs w:val="24"/>
          <w:lang w:val="bs"/>
          <w14:ligatures w14:val="none"/>
        </w:rPr>
        <w:t xml:space="preserve"> </w:t>
      </w:r>
      <w:r w:rsidR="00CD6CB9" w:rsidRPr="008460B1">
        <w:rPr>
          <w:rFonts w:eastAsia="Times New Roman" w:cstheme="minorHAnsi"/>
          <w:kern w:val="0"/>
          <w:sz w:val="24"/>
          <w:szCs w:val="24"/>
          <w:lang w:val="bs"/>
          <w14:ligatures w14:val="none"/>
        </w:rPr>
        <w:t>energije</w:t>
      </w:r>
      <w:r w:rsidR="00CD6CB9" w:rsidRPr="008460B1">
        <w:rPr>
          <w:rFonts w:eastAsia="Times New Roman" w:cstheme="minorHAnsi"/>
          <w:spacing w:val="41"/>
          <w:kern w:val="0"/>
          <w:sz w:val="24"/>
          <w:szCs w:val="24"/>
          <w:lang w:val="bs"/>
          <w14:ligatures w14:val="none"/>
        </w:rPr>
        <w:t xml:space="preserve"> </w:t>
      </w:r>
      <w:r w:rsidR="00CD6CB9" w:rsidRPr="008460B1">
        <w:rPr>
          <w:rFonts w:eastAsia="Times New Roman" w:cstheme="minorHAnsi"/>
          <w:kern w:val="0"/>
          <w:sz w:val="24"/>
          <w:szCs w:val="24"/>
          <w:lang w:val="bs"/>
          <w14:ligatures w14:val="none"/>
        </w:rPr>
        <w:t>u</w:t>
      </w:r>
      <w:r w:rsidR="00CD6CB9" w:rsidRPr="008460B1">
        <w:rPr>
          <w:rFonts w:eastAsia="Times New Roman" w:cstheme="minorHAnsi"/>
          <w:spacing w:val="42"/>
          <w:kern w:val="0"/>
          <w:sz w:val="24"/>
          <w:szCs w:val="24"/>
          <w:lang w:val="bs"/>
          <w14:ligatures w14:val="none"/>
        </w:rPr>
        <w:t xml:space="preserve"> </w:t>
      </w:r>
      <w:r w:rsidR="00CD6CB9" w:rsidRPr="008460B1">
        <w:rPr>
          <w:rFonts w:eastAsia="Times New Roman" w:cstheme="minorHAnsi"/>
          <w:kern w:val="0"/>
          <w:sz w:val="24"/>
          <w:szCs w:val="24"/>
          <w:lang w:val="bs"/>
          <w14:ligatures w14:val="none"/>
        </w:rPr>
        <w:t>Crnoj</w:t>
      </w:r>
      <w:r w:rsidR="00CD6CB9" w:rsidRPr="008460B1">
        <w:rPr>
          <w:rFonts w:eastAsia="Times New Roman" w:cstheme="minorHAnsi"/>
          <w:spacing w:val="41"/>
          <w:kern w:val="0"/>
          <w:sz w:val="24"/>
          <w:szCs w:val="24"/>
          <w:lang w:val="bs"/>
          <w14:ligatures w14:val="none"/>
        </w:rPr>
        <w:t xml:space="preserve"> </w:t>
      </w:r>
      <w:r w:rsidR="00CD6CB9" w:rsidRPr="008460B1">
        <w:rPr>
          <w:rFonts w:eastAsia="Times New Roman" w:cstheme="minorHAnsi"/>
          <w:kern w:val="0"/>
          <w:sz w:val="24"/>
          <w:szCs w:val="24"/>
          <w:lang w:val="bs"/>
          <w14:ligatures w14:val="none"/>
        </w:rPr>
        <w:t xml:space="preserve">Gori. </w:t>
      </w:r>
      <w:r w:rsidRPr="008460B1">
        <w:rPr>
          <w:rFonts w:cstheme="minorHAnsi"/>
          <w:sz w:val="24"/>
          <w:szCs w:val="24"/>
        </w:rPr>
        <w:t xml:space="preserve">Crna Gora se suočava sa izazovom karbonske intenzivnosti i </w:t>
      </w:r>
      <w:r w:rsidR="00B93811">
        <w:rPr>
          <w:rFonts w:cstheme="minorHAnsi"/>
          <w:sz w:val="24"/>
          <w:szCs w:val="24"/>
          <w:lang w:val="sr-Latn-ME"/>
        </w:rPr>
        <w:t>ima ograničene</w:t>
      </w:r>
      <w:r w:rsidRPr="008460B1">
        <w:rPr>
          <w:rFonts w:cstheme="minorHAnsi"/>
          <w:sz w:val="24"/>
          <w:szCs w:val="24"/>
        </w:rPr>
        <w:t xml:space="preserve"> mehanizme podrške ka dekarboni</w:t>
      </w:r>
      <w:r w:rsidR="008460B1" w:rsidRPr="008460B1">
        <w:rPr>
          <w:rFonts w:cstheme="minorHAnsi"/>
          <w:sz w:val="24"/>
          <w:szCs w:val="24"/>
        </w:rPr>
        <w:t>za</w:t>
      </w:r>
      <w:r w:rsidRPr="008460B1">
        <w:rPr>
          <w:rFonts w:cstheme="minorHAnsi"/>
          <w:sz w:val="24"/>
          <w:szCs w:val="24"/>
        </w:rPr>
        <w:t>ciji ekonomije.</w:t>
      </w:r>
      <w:r w:rsidR="00A13F90" w:rsidRPr="00A13F90">
        <w:rPr>
          <w:rFonts w:cstheme="minorHAnsi"/>
          <w:sz w:val="24"/>
          <w:szCs w:val="24"/>
          <w:lang w:val="sr-Latn-ME"/>
        </w:rPr>
        <w:t xml:space="preserve"> </w:t>
      </w:r>
      <w:r w:rsidR="00AA4515">
        <w:rPr>
          <w:rFonts w:cstheme="minorHAnsi"/>
          <w:sz w:val="24"/>
          <w:szCs w:val="24"/>
          <w:lang w:val="sr-Latn-ME"/>
        </w:rPr>
        <w:t xml:space="preserve">Dodatni izazov </w:t>
      </w:r>
      <w:r w:rsidR="009667FD">
        <w:rPr>
          <w:rFonts w:cstheme="minorHAnsi"/>
          <w:sz w:val="24"/>
          <w:szCs w:val="24"/>
          <w:lang w:val="sr-Latn-ME"/>
        </w:rPr>
        <w:t xml:space="preserve">za Crnu Goru je nedovoljna otpronost na učestale vremenske nepogode i oscilacije u temperaturi koje mogu imati negativne konsekvence </w:t>
      </w:r>
      <w:r w:rsidR="001609EB">
        <w:rPr>
          <w:rFonts w:cstheme="minorHAnsi"/>
          <w:sz w:val="24"/>
          <w:szCs w:val="24"/>
          <w:lang w:val="sr-Latn-ME"/>
        </w:rPr>
        <w:t>na</w:t>
      </w:r>
      <w:r w:rsidR="009667FD">
        <w:rPr>
          <w:rFonts w:cstheme="minorHAnsi"/>
          <w:sz w:val="24"/>
          <w:szCs w:val="24"/>
          <w:lang w:val="sr-Latn-ME"/>
        </w:rPr>
        <w:t xml:space="preserve"> snadbijevanje energijom, </w:t>
      </w:r>
      <w:r w:rsidR="001609EB">
        <w:rPr>
          <w:rFonts w:cstheme="minorHAnsi"/>
          <w:sz w:val="24"/>
          <w:szCs w:val="24"/>
          <w:lang w:val="sr-Latn-ME"/>
        </w:rPr>
        <w:t xml:space="preserve">poljoprivredu, turizam </w:t>
      </w:r>
      <w:r w:rsidR="009667FD">
        <w:rPr>
          <w:rFonts w:cstheme="minorHAnsi"/>
          <w:sz w:val="24"/>
          <w:szCs w:val="24"/>
          <w:lang w:val="sr-Latn-ME"/>
        </w:rPr>
        <w:t xml:space="preserve">i povećavati pritiske na budžet. </w:t>
      </w:r>
      <w:r w:rsidR="00A13F90" w:rsidRPr="00A13F90">
        <w:rPr>
          <w:rFonts w:cstheme="minorHAnsi"/>
          <w:sz w:val="24"/>
          <w:szCs w:val="24"/>
          <w:lang w:val="sr-Latn-ME"/>
        </w:rPr>
        <w:t>Prilagođavanje novim izazovima i promjenjivim okolnostima, zaht</w:t>
      </w:r>
      <w:r w:rsidR="001609EB">
        <w:rPr>
          <w:rFonts w:cstheme="minorHAnsi"/>
          <w:sz w:val="24"/>
          <w:szCs w:val="24"/>
          <w:lang w:val="sr-Latn-ME"/>
        </w:rPr>
        <w:t>i</w:t>
      </w:r>
      <w:r w:rsidR="00A13F90" w:rsidRPr="00A13F90">
        <w:rPr>
          <w:rFonts w:cstheme="minorHAnsi"/>
          <w:sz w:val="24"/>
          <w:szCs w:val="24"/>
          <w:lang w:val="sr-Latn-ME"/>
        </w:rPr>
        <w:t xml:space="preserve">jeva sprovođenje </w:t>
      </w:r>
      <w:r w:rsidR="001609EB">
        <w:rPr>
          <w:rFonts w:cstheme="minorHAnsi"/>
          <w:sz w:val="24"/>
          <w:szCs w:val="24"/>
          <w:lang w:val="sr-Latn-ME"/>
        </w:rPr>
        <w:t>korjenitih</w:t>
      </w:r>
      <w:r w:rsidR="00A13F90" w:rsidRPr="00A13F90">
        <w:rPr>
          <w:rFonts w:cstheme="minorHAnsi"/>
          <w:sz w:val="24"/>
          <w:szCs w:val="24"/>
          <w:lang w:val="sr-Latn-ME"/>
        </w:rPr>
        <w:t xml:space="preserve"> sistemskih </w:t>
      </w:r>
      <w:r w:rsidR="00A13F90" w:rsidRPr="009667FD">
        <w:rPr>
          <w:rFonts w:cstheme="minorHAnsi"/>
          <w:sz w:val="24"/>
          <w:szCs w:val="24"/>
          <w:lang w:val="sr-Latn-ME"/>
        </w:rPr>
        <w:t xml:space="preserve">reformi, </w:t>
      </w:r>
      <w:r w:rsidR="00E93DF1">
        <w:rPr>
          <w:rFonts w:cstheme="minorHAnsi"/>
          <w:sz w:val="24"/>
          <w:szCs w:val="24"/>
          <w:lang w:val="sr-Latn-ME"/>
        </w:rPr>
        <w:t>sa</w:t>
      </w:r>
      <w:r w:rsidR="00A13F90" w:rsidRPr="009667FD">
        <w:rPr>
          <w:rFonts w:cstheme="minorHAnsi"/>
          <w:sz w:val="24"/>
          <w:szCs w:val="24"/>
          <w:lang w:val="sr-Latn-ME"/>
        </w:rPr>
        <w:t xml:space="preserve"> fokus</w:t>
      </w:r>
      <w:r w:rsidR="00E93DF1">
        <w:rPr>
          <w:rFonts w:cstheme="minorHAnsi"/>
          <w:sz w:val="24"/>
          <w:szCs w:val="24"/>
          <w:lang w:val="sr-Latn-ME"/>
        </w:rPr>
        <w:t>om</w:t>
      </w:r>
      <w:r w:rsidR="00A13F90" w:rsidRPr="009667FD">
        <w:rPr>
          <w:rFonts w:cstheme="minorHAnsi"/>
          <w:sz w:val="24"/>
          <w:szCs w:val="24"/>
          <w:lang w:val="sr-Latn-ME"/>
        </w:rPr>
        <w:t xml:space="preserve"> na dva ključna mehanizma za ubrzanje i to – zelena i cirkularna tranzicija</w:t>
      </w:r>
      <w:r w:rsidR="00E93DF1">
        <w:rPr>
          <w:rFonts w:cstheme="minorHAnsi"/>
          <w:sz w:val="24"/>
          <w:szCs w:val="24"/>
          <w:lang w:val="sr-Latn-ME"/>
        </w:rPr>
        <w:t>.</w:t>
      </w:r>
    </w:p>
    <w:p w14:paraId="5150871A" w14:textId="060D6B70" w:rsidR="006F2FEC" w:rsidRPr="00E41591" w:rsidRDefault="00FD7AD3" w:rsidP="006F2FEC">
      <w:pPr>
        <w:jc w:val="both"/>
        <w:rPr>
          <w:rFonts w:cstheme="minorHAnsi"/>
          <w:bCs/>
          <w:sz w:val="24"/>
          <w:szCs w:val="24"/>
          <w:lang w:val="sr-Latn-ME"/>
        </w:rPr>
      </w:pPr>
      <w:r w:rsidRPr="009667FD">
        <w:rPr>
          <w:rFonts w:cstheme="minorHAnsi"/>
          <w:sz w:val="24"/>
          <w:szCs w:val="24"/>
          <w:lang w:val="sr-Latn-ME"/>
        </w:rPr>
        <w:t xml:space="preserve">Proces digitalizacije je </w:t>
      </w:r>
      <w:r w:rsidR="009667FD" w:rsidRPr="009667FD">
        <w:rPr>
          <w:rFonts w:cstheme="minorHAnsi"/>
          <w:sz w:val="24"/>
          <w:szCs w:val="24"/>
          <w:lang w:val="sr-Latn-ME"/>
        </w:rPr>
        <w:t xml:space="preserve">takođe </w:t>
      </w:r>
      <w:r w:rsidRPr="009667FD">
        <w:rPr>
          <w:rFonts w:cstheme="minorHAnsi"/>
          <w:sz w:val="24"/>
          <w:szCs w:val="24"/>
          <w:lang w:val="sr-Latn-ME"/>
        </w:rPr>
        <w:t>važan u spovođenju zelene agende</w:t>
      </w:r>
      <w:r w:rsidR="00AA4515" w:rsidRPr="009667FD">
        <w:rPr>
          <w:rFonts w:cstheme="minorHAnsi"/>
          <w:sz w:val="24"/>
          <w:szCs w:val="24"/>
          <w:lang w:val="sr-Latn-ME"/>
        </w:rPr>
        <w:t>, kao</w:t>
      </w:r>
      <w:r w:rsidRPr="009667FD">
        <w:rPr>
          <w:rFonts w:eastAsia="Times New Roman" w:cstheme="minorHAnsi"/>
          <w:kern w:val="0"/>
          <w:sz w:val="24"/>
          <w:szCs w:val="24"/>
          <w:lang w:val="bs"/>
          <w14:ligatures w14:val="none"/>
        </w:rPr>
        <w:t xml:space="preserve"> i jačanje efika</w:t>
      </w:r>
      <w:r w:rsidR="00DC2D7D">
        <w:rPr>
          <w:rFonts w:eastAsia="Times New Roman" w:cstheme="minorHAnsi"/>
          <w:kern w:val="0"/>
          <w:sz w:val="24"/>
          <w:szCs w:val="24"/>
          <w:lang w:val="bs"/>
          <w14:ligatures w14:val="none"/>
        </w:rPr>
        <w:t>s</w:t>
      </w:r>
      <w:r w:rsidRPr="009667FD">
        <w:rPr>
          <w:rFonts w:eastAsia="Times New Roman" w:cstheme="minorHAnsi"/>
          <w:kern w:val="0"/>
          <w:sz w:val="24"/>
          <w:szCs w:val="24"/>
          <w:lang w:val="bs"/>
          <w14:ligatures w14:val="none"/>
        </w:rPr>
        <w:t>nosti i otpornosti državne uprave kroz digitalizaciju.</w:t>
      </w:r>
      <w:r w:rsidR="00AA4515" w:rsidRPr="009667FD">
        <w:rPr>
          <w:rFonts w:cstheme="minorHAnsi"/>
          <w:sz w:val="24"/>
          <w:szCs w:val="24"/>
          <w:lang w:val="sr-Latn-ME"/>
        </w:rPr>
        <w:t xml:space="preserve"> </w:t>
      </w:r>
      <w:r w:rsidR="00AA4515" w:rsidRPr="009667FD">
        <w:rPr>
          <w:rFonts w:eastAsia="Times New Roman" w:cstheme="minorHAnsi"/>
          <w:kern w:val="0"/>
          <w:sz w:val="24"/>
          <w:szCs w:val="24"/>
          <w:lang w:val="sr-Latn-ME"/>
          <w14:ligatures w14:val="none"/>
        </w:rPr>
        <w:t>Crna Gora se u prethodne tri godine suočila sa dvije ozbiljne krize, koje su jasno ukazale na probleme u sektoru i odredile buduće pravce djelovanja. Prva kriza izazvana je pandemijom COVID-19 virusom, a ukazala je na značaj digitalnih servisa za građane i privredu, kao i na potrebu ubrzane digitalne transformacije države. Druga se odnosila na sofisticirani sajber napad na Vladinu informatičku infrastrukturu i informaciono-komunikacionu mrežu</w:t>
      </w:r>
      <w:r w:rsidR="00AA4515" w:rsidRPr="009667FD" w:rsidDel="00553431">
        <w:rPr>
          <w:rFonts w:eastAsia="Times New Roman" w:cstheme="minorHAnsi"/>
          <w:kern w:val="0"/>
          <w:sz w:val="24"/>
          <w:szCs w:val="24"/>
          <w:lang w:val="sr-Latn-ME"/>
          <w14:ligatures w14:val="none"/>
        </w:rPr>
        <w:t xml:space="preserve"> </w:t>
      </w:r>
      <w:r w:rsidR="00AA4515" w:rsidRPr="009667FD">
        <w:rPr>
          <w:rFonts w:eastAsia="Times New Roman" w:cstheme="minorHAnsi"/>
          <w:kern w:val="0"/>
          <w:sz w:val="24"/>
          <w:szCs w:val="24"/>
          <w:lang w:val="sr-Latn-ME"/>
          <w14:ligatures w14:val="none"/>
        </w:rPr>
        <w:t>krajem avgusta 2022. godine, ukazujući na ranjivost države usljed neadekvatnih mehanizama za sajber zaštitu. Posljedica je bila onemogućen pristup ključnim informacionim sistemima u državi određeni vremenski period, te je narušeno nesmetano funkcionisanje državne uprave i servisa za građane i privredu.</w:t>
      </w:r>
      <w:r w:rsidR="001609EB">
        <w:rPr>
          <w:rFonts w:eastAsia="Times New Roman" w:cstheme="minorHAnsi"/>
          <w:kern w:val="0"/>
          <w:sz w:val="24"/>
          <w:szCs w:val="24"/>
          <w:lang w:val="sr-Latn-ME"/>
          <w14:ligatures w14:val="none"/>
        </w:rPr>
        <w:t xml:space="preserve"> </w:t>
      </w:r>
      <w:r w:rsidR="006F2FEC">
        <w:rPr>
          <w:rFonts w:cstheme="minorHAnsi"/>
          <w:sz w:val="24"/>
          <w:szCs w:val="24"/>
          <w:lang w:val="sr-Latn-ME"/>
        </w:rPr>
        <w:t>Takođe, v</w:t>
      </w:r>
      <w:r w:rsidR="006F2FEC" w:rsidRPr="006F2FEC">
        <w:rPr>
          <w:rFonts w:cstheme="minorHAnsi"/>
          <w:sz w:val="24"/>
          <w:szCs w:val="24"/>
          <w:lang w:val="sr-Latn-ME"/>
        </w:rPr>
        <w:t xml:space="preserve">eliki broj problema nastaje zbog nepotpune </w:t>
      </w:r>
      <w:r w:rsidR="006F2FEC" w:rsidRPr="00F53D00">
        <w:rPr>
          <w:rFonts w:cstheme="minorHAnsi"/>
          <w:sz w:val="24"/>
          <w:szCs w:val="24"/>
          <w:lang w:val="sr-Latn-ME"/>
        </w:rPr>
        <w:t xml:space="preserve">digitalizacije servisa za građane i privredu, što stvara ozbiljne poteškoće, uključujući nisku efikasnost i ograničenu dostupnost usluga, a dovodi do dugih čekanja i nezadovoljstva korisnika. Problemi su takođe prisutni i u institucionalnoj organizaciji </w:t>
      </w:r>
      <w:r w:rsidR="00E31A6B">
        <w:rPr>
          <w:rFonts w:cstheme="minorHAnsi"/>
          <w:sz w:val="24"/>
          <w:szCs w:val="24"/>
          <w:lang w:val="sr-Latn-ME"/>
        </w:rPr>
        <w:t>na nivou pojedinih sektora. U tom kontekstu, trenutni nivo znanja o važnosti sajber bezbjednosti i ukupne digitalizacije u sektoru obrazovanja je nizak.</w:t>
      </w:r>
      <w:r w:rsidR="00E31A6B" w:rsidRPr="00E31A6B">
        <w:rPr>
          <w:rFonts w:cstheme="minorHAnsi"/>
          <w:kern w:val="0"/>
          <w:sz w:val="24"/>
          <w:szCs w:val="24"/>
          <w:lang w:val="en-GB"/>
          <w14:ligatures w14:val="none"/>
        </w:rPr>
        <w:t xml:space="preserve"> </w:t>
      </w:r>
      <w:r w:rsidR="00E31A6B" w:rsidRPr="00E31A6B">
        <w:rPr>
          <w:rFonts w:cstheme="minorHAnsi"/>
          <w:sz w:val="24"/>
          <w:szCs w:val="24"/>
          <w:lang w:val="en-GB"/>
        </w:rPr>
        <w:t>O</w:t>
      </w:r>
      <w:r w:rsidR="00E31A6B" w:rsidRPr="00E31A6B">
        <w:rPr>
          <w:rFonts w:cstheme="minorHAnsi"/>
          <w:sz w:val="24"/>
          <w:szCs w:val="24"/>
        </w:rPr>
        <w:t>brazovni sistem u Crnoj Gori pokazuje značajne nedostatke u pogledu: nivoa digitalizacije redovnog nastavnog procesa i sadržaja, korišćenja IT opreme, razvoja ključne digitalne kompetencije kod učenika i nastavnog osoblja, korišćenja komunikacionih platformi i kreiranja i ažuriranja potrebnih baza podataka</w:t>
      </w:r>
      <w:r w:rsidR="00E31A6B">
        <w:rPr>
          <w:rFonts w:cstheme="minorHAnsi"/>
          <w:sz w:val="24"/>
          <w:szCs w:val="24"/>
        </w:rPr>
        <w:t>. Takođe</w:t>
      </w:r>
      <w:r w:rsidR="00E31A6B" w:rsidRPr="00E31A6B">
        <w:rPr>
          <w:rFonts w:cstheme="minorHAnsi"/>
          <w:sz w:val="24"/>
          <w:szCs w:val="24"/>
        </w:rPr>
        <w:t xml:space="preserve"> i u pogledu pokrivenosti svih škola brzom internet mrežom.</w:t>
      </w:r>
      <w:r w:rsidR="00E31A6B" w:rsidRPr="00E31A6B">
        <w:rPr>
          <w:rFonts w:cstheme="minorHAnsi"/>
          <w:sz w:val="24"/>
          <w:szCs w:val="24"/>
          <w:lang w:val="sr-Latn-ME"/>
        </w:rPr>
        <w:t xml:space="preserve"> </w:t>
      </w:r>
      <w:r w:rsidR="00E31A6B">
        <w:rPr>
          <w:rFonts w:cstheme="minorHAnsi"/>
          <w:sz w:val="24"/>
          <w:szCs w:val="24"/>
          <w:lang w:val="sr-Latn-ME"/>
        </w:rPr>
        <w:t xml:space="preserve"> </w:t>
      </w:r>
      <w:r w:rsidR="00E31A6B">
        <w:rPr>
          <w:rFonts w:cstheme="minorHAnsi"/>
          <w:bCs/>
          <w:sz w:val="24"/>
          <w:szCs w:val="24"/>
        </w:rPr>
        <w:t xml:space="preserve">Nepotpuna digitalizacija je izazov i u sektoru zdravstva. </w:t>
      </w:r>
      <w:r w:rsidR="00E31A6B" w:rsidRPr="00E31A6B">
        <w:rPr>
          <w:rFonts w:cstheme="minorHAnsi"/>
          <w:bCs/>
          <w:sz w:val="24"/>
          <w:szCs w:val="24"/>
        </w:rPr>
        <w:t xml:space="preserve"> </w:t>
      </w:r>
      <w:r w:rsidR="00E31A6B" w:rsidRPr="00E31A6B">
        <w:rPr>
          <w:rFonts w:cstheme="minorHAnsi"/>
          <w:bCs/>
          <w:sz w:val="24"/>
          <w:szCs w:val="24"/>
          <w:lang w:val="sr-Latn-ME"/>
        </w:rPr>
        <w:t>S</w:t>
      </w:r>
      <w:r w:rsidR="00E31A6B" w:rsidRPr="00E31A6B">
        <w:rPr>
          <w:rFonts w:cstheme="minorHAnsi"/>
          <w:bCs/>
          <w:sz w:val="24"/>
          <w:szCs w:val="24"/>
        </w:rPr>
        <w:t>istemi izvje</w:t>
      </w:r>
      <w:r w:rsidR="00E31A6B" w:rsidRPr="00E31A6B">
        <w:rPr>
          <w:rFonts w:cstheme="minorHAnsi"/>
          <w:bCs/>
          <w:sz w:val="24"/>
          <w:szCs w:val="24"/>
          <w:lang w:val="sr-Latn-ME"/>
        </w:rPr>
        <w:t>š</w:t>
      </w:r>
      <w:r w:rsidR="00E31A6B" w:rsidRPr="00E31A6B">
        <w:rPr>
          <w:rFonts w:cstheme="minorHAnsi"/>
          <w:bCs/>
          <w:sz w:val="24"/>
          <w:szCs w:val="24"/>
        </w:rPr>
        <w:t xml:space="preserve">tavanja, planiranja i praćenja parametara </w:t>
      </w:r>
      <w:r w:rsidR="00E31A6B" w:rsidRPr="00E31A6B">
        <w:rPr>
          <w:rFonts w:cstheme="minorHAnsi"/>
          <w:bCs/>
          <w:sz w:val="24"/>
          <w:szCs w:val="24"/>
          <w:lang w:val="sr-Latn-ME"/>
        </w:rPr>
        <w:t>u zdravstvu</w:t>
      </w:r>
      <w:r w:rsidR="00E31A6B" w:rsidRPr="00E31A6B">
        <w:rPr>
          <w:rFonts w:cstheme="minorHAnsi"/>
          <w:bCs/>
          <w:sz w:val="24"/>
          <w:szCs w:val="24"/>
        </w:rPr>
        <w:t xml:space="preserve"> su stati</w:t>
      </w:r>
      <w:r w:rsidR="00E31A6B" w:rsidRPr="00E31A6B">
        <w:rPr>
          <w:rFonts w:cstheme="minorHAnsi"/>
          <w:bCs/>
          <w:sz w:val="24"/>
          <w:szCs w:val="24"/>
          <w:lang w:val="sr-Latn-ME"/>
        </w:rPr>
        <w:t>č</w:t>
      </w:r>
      <w:r w:rsidR="00E31A6B" w:rsidRPr="00E31A6B">
        <w:rPr>
          <w:rFonts w:cstheme="minorHAnsi"/>
          <w:bCs/>
          <w:sz w:val="24"/>
          <w:szCs w:val="24"/>
        </w:rPr>
        <w:t>ki i uglavnom ručni</w:t>
      </w:r>
      <w:r w:rsidR="00E31A6B">
        <w:rPr>
          <w:rFonts w:cstheme="minorHAnsi"/>
          <w:bCs/>
          <w:sz w:val="24"/>
          <w:szCs w:val="24"/>
        </w:rPr>
        <w:t>. I</w:t>
      </w:r>
      <w:r w:rsidR="00E31A6B" w:rsidRPr="00E31A6B">
        <w:rPr>
          <w:rFonts w:cstheme="minorHAnsi"/>
          <w:bCs/>
          <w:sz w:val="24"/>
          <w:szCs w:val="24"/>
        </w:rPr>
        <w:t>nformacioni sistem je neprilagođen zdravstvenoj statistici, bez naprednih sistema izvje</w:t>
      </w:r>
      <w:r w:rsidR="00E31A6B" w:rsidRPr="00E31A6B">
        <w:rPr>
          <w:rFonts w:cstheme="minorHAnsi"/>
          <w:bCs/>
          <w:sz w:val="24"/>
          <w:szCs w:val="24"/>
          <w:lang w:val="sr-Latn-ME"/>
        </w:rPr>
        <w:t>š</w:t>
      </w:r>
      <w:r w:rsidR="00E31A6B" w:rsidRPr="00E31A6B">
        <w:rPr>
          <w:rFonts w:cstheme="minorHAnsi"/>
          <w:bCs/>
          <w:sz w:val="24"/>
          <w:szCs w:val="24"/>
        </w:rPr>
        <w:t>tavanja, bez BI, Datawarehouse</w:t>
      </w:r>
      <w:r w:rsidR="00E31A6B" w:rsidRPr="00E31A6B">
        <w:rPr>
          <w:rFonts w:cstheme="minorHAnsi"/>
          <w:bCs/>
          <w:sz w:val="24"/>
          <w:szCs w:val="24"/>
          <w:lang w:val="sr-Latn-ME"/>
        </w:rPr>
        <w:t xml:space="preserve">. Liste čekanja na kojima su pacijenti su veoma duge, </w:t>
      </w:r>
      <w:r w:rsidR="00E31A6B" w:rsidRPr="00E31A6B">
        <w:rPr>
          <w:rFonts w:cstheme="minorHAnsi"/>
          <w:bCs/>
          <w:sz w:val="24"/>
          <w:szCs w:val="24"/>
          <w:lang w:val="sr-Latn-ME"/>
        </w:rPr>
        <w:lastRenderedPageBreak/>
        <w:t xml:space="preserve">nezadovoljenih medicinskih potreba i dalje ima mnogo. </w:t>
      </w:r>
      <w:r w:rsidR="00E31A6B" w:rsidRPr="00E31A6B">
        <w:rPr>
          <w:rFonts w:cstheme="minorHAnsi"/>
          <w:bCs/>
          <w:sz w:val="24"/>
          <w:szCs w:val="24"/>
        </w:rPr>
        <w:t xml:space="preserve">Sve navedene manjkavosti su posebno došle do izražaja </w:t>
      </w:r>
      <w:r w:rsidR="00E31A6B">
        <w:rPr>
          <w:rFonts w:cstheme="minorHAnsi"/>
          <w:bCs/>
          <w:sz w:val="24"/>
          <w:szCs w:val="24"/>
          <w:lang w:val="sr-Latn-ME"/>
        </w:rPr>
        <w:t>u periodu</w:t>
      </w:r>
      <w:r w:rsidR="00E31A6B" w:rsidRPr="00E31A6B">
        <w:rPr>
          <w:rFonts w:cstheme="minorHAnsi"/>
          <w:bCs/>
          <w:sz w:val="24"/>
          <w:szCs w:val="24"/>
        </w:rPr>
        <w:t xml:space="preserve"> COVID-19 pandemije</w:t>
      </w:r>
      <w:r w:rsidR="00E31A6B" w:rsidRPr="00E31A6B">
        <w:rPr>
          <w:rFonts w:cstheme="minorHAnsi"/>
          <w:bCs/>
          <w:sz w:val="24"/>
          <w:szCs w:val="24"/>
          <w:lang w:val="sr-Latn-ME"/>
        </w:rPr>
        <w:t xml:space="preserve">. </w:t>
      </w:r>
    </w:p>
    <w:p w14:paraId="0082E55C" w14:textId="3F654B85" w:rsidR="0047326F" w:rsidRPr="0047692E" w:rsidRDefault="0047326F" w:rsidP="0047692E">
      <w:pPr>
        <w:rPr>
          <w:color w:val="1F3864" w:themeColor="accent1" w:themeShade="80"/>
          <w:sz w:val="26"/>
          <w:szCs w:val="26"/>
          <w:lang w:val="sr-Latn-ME"/>
        </w:rPr>
      </w:pPr>
      <w:bookmarkStart w:id="164" w:name="_Hlk150861683"/>
      <w:r w:rsidRPr="0047692E">
        <w:rPr>
          <w:color w:val="1F3864" w:themeColor="accent1" w:themeShade="80"/>
          <w:sz w:val="26"/>
          <w:szCs w:val="26"/>
          <w:lang w:val="sr-Latn-ME"/>
        </w:rPr>
        <w:t xml:space="preserve">b. </w:t>
      </w:r>
      <w:r w:rsidR="00672907" w:rsidRPr="0047692E">
        <w:rPr>
          <w:color w:val="1F3864" w:themeColor="accent1" w:themeShade="80"/>
          <w:sz w:val="26"/>
          <w:szCs w:val="26"/>
          <w:lang w:val="sr-Latn-ME"/>
        </w:rPr>
        <w:t>Strukturne r</w:t>
      </w:r>
      <w:r w:rsidRPr="0047692E">
        <w:rPr>
          <w:color w:val="1F3864" w:themeColor="accent1" w:themeShade="80"/>
          <w:sz w:val="26"/>
          <w:szCs w:val="26"/>
          <w:lang w:val="sr-Latn-ME"/>
        </w:rPr>
        <w:t>eform</w:t>
      </w:r>
      <w:r w:rsidR="00672907" w:rsidRPr="0047692E">
        <w:rPr>
          <w:color w:val="1F3864" w:themeColor="accent1" w:themeShade="80"/>
          <w:sz w:val="26"/>
          <w:szCs w:val="26"/>
          <w:lang w:val="sr-Latn-ME"/>
        </w:rPr>
        <w:t xml:space="preserve">e i reformske </w:t>
      </w:r>
      <w:r w:rsidRPr="0047692E">
        <w:rPr>
          <w:color w:val="1F3864" w:themeColor="accent1" w:themeShade="80"/>
          <w:sz w:val="26"/>
          <w:szCs w:val="26"/>
          <w:lang w:val="sr-Latn-ME"/>
        </w:rPr>
        <w:t>mjere</w:t>
      </w:r>
      <w:r w:rsidR="00672907" w:rsidRPr="0047692E">
        <w:rPr>
          <w:color w:val="1F3864" w:themeColor="accent1" w:themeShade="80"/>
          <w:sz w:val="26"/>
          <w:szCs w:val="26"/>
          <w:lang w:val="sr-Latn-ME"/>
        </w:rPr>
        <w:t xml:space="preserve"> u odgovoru na </w:t>
      </w:r>
      <w:r w:rsidR="009D0E01" w:rsidRPr="0047692E">
        <w:rPr>
          <w:color w:val="1F3864" w:themeColor="accent1" w:themeShade="80"/>
          <w:sz w:val="26"/>
          <w:szCs w:val="26"/>
          <w:lang w:val="sr-Latn-ME"/>
        </w:rPr>
        <w:t xml:space="preserve">identifikovane </w:t>
      </w:r>
      <w:r w:rsidR="00005AD1" w:rsidRPr="0047692E">
        <w:rPr>
          <w:color w:val="1F3864" w:themeColor="accent1" w:themeShade="80"/>
          <w:sz w:val="26"/>
          <w:szCs w:val="26"/>
          <w:lang w:val="sr-Latn-ME"/>
        </w:rPr>
        <w:t>pr</w:t>
      </w:r>
      <w:r w:rsidR="00672907" w:rsidRPr="0047692E">
        <w:rPr>
          <w:color w:val="1F3864" w:themeColor="accent1" w:themeShade="80"/>
          <w:sz w:val="26"/>
          <w:szCs w:val="26"/>
          <w:lang w:val="sr-Latn-ME"/>
        </w:rPr>
        <w:t>epreke</w:t>
      </w:r>
    </w:p>
    <w:p w14:paraId="4A84C15D" w14:textId="362B6314" w:rsidR="00E63C3B" w:rsidRPr="00CB236F" w:rsidRDefault="003C0C26" w:rsidP="004E2900">
      <w:pPr>
        <w:jc w:val="both"/>
        <w:rPr>
          <w:rFonts w:cstheme="minorHAnsi"/>
          <w:i/>
          <w:iCs/>
          <w:sz w:val="24"/>
          <w:szCs w:val="24"/>
        </w:rPr>
      </w:pPr>
      <w:r w:rsidRPr="003C0C26">
        <w:rPr>
          <w:rFonts w:cstheme="minorHAnsi"/>
          <w:sz w:val="24"/>
          <w:szCs w:val="24"/>
          <w:lang w:val="sr-Latn-ME"/>
        </w:rPr>
        <w:t xml:space="preserve">Polazeći od </w:t>
      </w:r>
      <w:r>
        <w:rPr>
          <w:rFonts w:cstheme="minorHAnsi"/>
          <w:sz w:val="24"/>
          <w:szCs w:val="24"/>
          <w:lang w:val="sr-Latn-ME"/>
        </w:rPr>
        <w:t>identifikovanih prepreka i izazova u odgov</w:t>
      </w:r>
      <w:r w:rsidR="005A7858">
        <w:rPr>
          <w:rFonts w:cstheme="minorHAnsi"/>
          <w:sz w:val="24"/>
          <w:szCs w:val="24"/>
          <w:lang w:val="sr-Latn-ME"/>
        </w:rPr>
        <w:t>o</w:t>
      </w:r>
      <w:r>
        <w:rPr>
          <w:rFonts w:cstheme="minorHAnsi"/>
          <w:sz w:val="24"/>
          <w:szCs w:val="24"/>
          <w:lang w:val="sr-Latn-ME"/>
        </w:rPr>
        <w:t>ru na prepreke za v</w:t>
      </w:r>
      <w:r w:rsidR="00E93DF1">
        <w:rPr>
          <w:rFonts w:cstheme="minorHAnsi"/>
          <w:sz w:val="24"/>
          <w:szCs w:val="24"/>
          <w:lang w:val="sr-Latn-ME"/>
        </w:rPr>
        <w:t>eć</w:t>
      </w:r>
      <w:r>
        <w:rPr>
          <w:rFonts w:cstheme="minorHAnsi"/>
          <w:sz w:val="24"/>
          <w:szCs w:val="24"/>
          <w:lang w:val="sr-Latn-ME"/>
        </w:rPr>
        <w:t xml:space="preserve">u otpornost ekonomije, kao i od </w:t>
      </w:r>
      <w:r w:rsidRPr="003C0C26">
        <w:rPr>
          <w:rFonts w:cstheme="minorHAnsi"/>
          <w:sz w:val="24"/>
          <w:szCs w:val="24"/>
          <w:lang w:val="sr-Latn-ME"/>
        </w:rPr>
        <w:t>preporuka sa ministarskog dijaloga iz maja 2023.</w:t>
      </w:r>
      <w:r w:rsidR="005A7858">
        <w:rPr>
          <w:rFonts w:cstheme="minorHAnsi"/>
          <w:sz w:val="24"/>
          <w:szCs w:val="24"/>
          <w:lang w:val="sr-Latn-ME"/>
        </w:rPr>
        <w:t xml:space="preserve"> </w:t>
      </w:r>
      <w:r w:rsidRPr="003C0C26">
        <w:rPr>
          <w:rFonts w:cstheme="minorHAnsi"/>
          <w:sz w:val="24"/>
          <w:szCs w:val="24"/>
          <w:lang w:val="sr-Latn-ME"/>
        </w:rPr>
        <w:t>godine i obaveza iz pregovračkih poglavlja u pregovorima za članstvo u EU, u odgovoru na</w:t>
      </w:r>
      <w:r>
        <w:rPr>
          <w:rFonts w:cstheme="minorHAnsi"/>
          <w:sz w:val="24"/>
          <w:szCs w:val="24"/>
          <w:lang w:val="sr-Latn-ME"/>
        </w:rPr>
        <w:t xml:space="preserve"> identifikovane</w:t>
      </w:r>
      <w:r w:rsidRPr="003C0C26">
        <w:rPr>
          <w:rFonts w:cstheme="minorHAnsi"/>
          <w:sz w:val="24"/>
          <w:szCs w:val="24"/>
          <w:lang w:val="sr-Latn-ME"/>
        </w:rPr>
        <w:t xml:space="preserve"> prepreke,  predložene su dvije strukturne reforme</w:t>
      </w:r>
      <w:r>
        <w:rPr>
          <w:rFonts w:cstheme="minorHAnsi"/>
          <w:sz w:val="24"/>
          <w:szCs w:val="24"/>
          <w:lang w:val="sr-Latn-ME"/>
        </w:rPr>
        <w:t xml:space="preserve">. To su </w:t>
      </w:r>
      <w:r w:rsidRPr="003C0C26">
        <w:rPr>
          <w:rFonts w:cstheme="minorHAnsi"/>
          <w:sz w:val="24"/>
          <w:szCs w:val="24"/>
          <w:lang w:val="sr-Latn-ME"/>
        </w:rPr>
        <w:t xml:space="preserve"> i to: „</w:t>
      </w:r>
      <w:r w:rsidRPr="00CB236F">
        <w:rPr>
          <w:rFonts w:cstheme="minorHAnsi"/>
          <w:i/>
          <w:iCs/>
          <w:sz w:val="24"/>
          <w:szCs w:val="24"/>
        </w:rPr>
        <w:t>Strukturna reforma 3: “</w:t>
      </w:r>
      <w:r w:rsidR="007F59F0" w:rsidRPr="007F59F0">
        <w:rPr>
          <w:rFonts w:cstheme="minorHAnsi"/>
          <w:i/>
          <w:iCs/>
          <w:sz w:val="24"/>
          <w:szCs w:val="24"/>
        </w:rPr>
        <w:t>Povećanje energetske otpornosti u primjeni Zelene agende</w:t>
      </w:r>
      <w:r w:rsidRPr="00CB236F">
        <w:rPr>
          <w:rFonts w:cstheme="minorHAnsi"/>
          <w:i/>
          <w:iCs/>
          <w:sz w:val="24"/>
          <w:szCs w:val="24"/>
        </w:rPr>
        <w:t xml:space="preserve">” i </w:t>
      </w:r>
      <w:r w:rsidR="007F59F0" w:rsidRPr="003C0C26">
        <w:rPr>
          <w:rFonts w:cstheme="minorHAnsi"/>
          <w:sz w:val="24"/>
          <w:szCs w:val="24"/>
          <w:lang w:val="sr-Latn-ME"/>
        </w:rPr>
        <w:t>„</w:t>
      </w:r>
      <w:r w:rsidR="007F59F0" w:rsidRPr="00CB236F">
        <w:rPr>
          <w:rFonts w:cstheme="minorHAnsi"/>
          <w:i/>
          <w:iCs/>
          <w:sz w:val="24"/>
          <w:szCs w:val="24"/>
        </w:rPr>
        <w:t xml:space="preserve">Strukturna reforma </w:t>
      </w:r>
      <w:r w:rsidR="007F59F0">
        <w:rPr>
          <w:rFonts w:cstheme="minorHAnsi"/>
          <w:i/>
          <w:iCs/>
          <w:sz w:val="24"/>
          <w:szCs w:val="24"/>
        </w:rPr>
        <w:t>4:</w:t>
      </w:r>
      <w:r w:rsidR="007F59F0" w:rsidRPr="00CB236F">
        <w:rPr>
          <w:rFonts w:cstheme="minorHAnsi"/>
          <w:i/>
          <w:iCs/>
          <w:sz w:val="24"/>
          <w:szCs w:val="24"/>
        </w:rPr>
        <w:t xml:space="preserve"> </w:t>
      </w:r>
      <w:r w:rsidRPr="00CB236F">
        <w:rPr>
          <w:rFonts w:cstheme="minorHAnsi"/>
          <w:i/>
          <w:iCs/>
          <w:sz w:val="24"/>
          <w:szCs w:val="24"/>
        </w:rPr>
        <w:t>“Digitalizacija u funkciji održivosti ekonomije</w:t>
      </w:r>
      <w:r w:rsidR="00CA42DE" w:rsidRPr="00CB236F">
        <w:rPr>
          <w:rFonts w:cstheme="minorHAnsi"/>
          <w:i/>
          <w:iCs/>
          <w:sz w:val="24"/>
          <w:szCs w:val="24"/>
        </w:rPr>
        <w:t>.</w:t>
      </w:r>
      <w:r w:rsidRPr="00CB236F">
        <w:rPr>
          <w:rFonts w:cstheme="minorHAnsi"/>
          <w:i/>
          <w:iCs/>
          <w:sz w:val="24"/>
          <w:szCs w:val="24"/>
        </w:rPr>
        <w:t>”</w:t>
      </w:r>
    </w:p>
    <w:bookmarkEnd w:id="164"/>
    <w:p w14:paraId="715FFA71" w14:textId="71928806" w:rsidR="00E63C3B" w:rsidRPr="0047692E" w:rsidRDefault="00E63C3B" w:rsidP="0047692E">
      <w:pPr>
        <w:rPr>
          <w:color w:val="1F3864" w:themeColor="accent1" w:themeShade="80"/>
          <w:sz w:val="24"/>
          <w:szCs w:val="24"/>
        </w:rPr>
      </w:pPr>
      <w:r w:rsidRPr="0047692E">
        <w:rPr>
          <w:color w:val="1F3864" w:themeColor="accent1" w:themeShade="80"/>
          <w:sz w:val="24"/>
          <w:szCs w:val="24"/>
        </w:rPr>
        <w:t xml:space="preserve">Strukturna reforma br. 3: </w:t>
      </w:r>
      <w:r w:rsidR="00534466" w:rsidRPr="0047692E">
        <w:rPr>
          <w:color w:val="1F3864" w:themeColor="accent1" w:themeShade="80"/>
          <w:sz w:val="24"/>
          <w:szCs w:val="24"/>
        </w:rPr>
        <w:t>Povećanje</w:t>
      </w:r>
      <w:r w:rsidRPr="0047692E">
        <w:rPr>
          <w:color w:val="1F3864" w:themeColor="accent1" w:themeShade="80"/>
          <w:sz w:val="24"/>
          <w:szCs w:val="24"/>
        </w:rPr>
        <w:t xml:space="preserve"> energetske otpornosti</w:t>
      </w:r>
      <w:r w:rsidR="00C376F4" w:rsidRPr="0047692E">
        <w:rPr>
          <w:color w:val="1F3864" w:themeColor="accent1" w:themeShade="80"/>
          <w:sz w:val="24"/>
          <w:szCs w:val="24"/>
        </w:rPr>
        <w:t xml:space="preserve"> </w:t>
      </w:r>
      <w:r w:rsidRPr="0047692E">
        <w:rPr>
          <w:color w:val="1F3864" w:themeColor="accent1" w:themeShade="80"/>
          <w:sz w:val="24"/>
          <w:szCs w:val="24"/>
        </w:rPr>
        <w:t>u primjeni Zelene agende</w:t>
      </w:r>
    </w:p>
    <w:p w14:paraId="1F1669D2" w14:textId="694E6F51" w:rsidR="00AB451D" w:rsidRPr="00381C0F" w:rsidRDefault="00E63C3B" w:rsidP="004E2900">
      <w:pPr>
        <w:jc w:val="both"/>
        <w:rPr>
          <w:rFonts w:cstheme="minorHAnsi"/>
          <w:sz w:val="24"/>
          <w:szCs w:val="24"/>
          <w:lang w:val="sr-Latn-ME"/>
        </w:rPr>
      </w:pPr>
      <w:r>
        <w:rPr>
          <w:rFonts w:cstheme="minorHAnsi"/>
          <w:sz w:val="24"/>
          <w:szCs w:val="24"/>
          <w:lang w:val="sr-Latn-ME"/>
        </w:rPr>
        <w:t>Strukturna reforma se odnosi na podoblasti</w:t>
      </w:r>
      <w:r w:rsidR="00AB451D" w:rsidRPr="00AB451D">
        <w:rPr>
          <w:rFonts w:cstheme="minorHAnsi"/>
          <w:sz w:val="24"/>
          <w:szCs w:val="24"/>
          <w:lang w:val="sr-Latn-ME"/>
        </w:rPr>
        <w:t xml:space="preserve"> „Zelena tranzicija“</w:t>
      </w:r>
      <w:r w:rsidR="00184966">
        <w:rPr>
          <w:rFonts w:cstheme="minorHAnsi"/>
          <w:sz w:val="24"/>
          <w:szCs w:val="24"/>
          <w:lang w:val="sr-Latn-ME"/>
        </w:rPr>
        <w:t xml:space="preserve">, </w:t>
      </w:r>
      <w:r w:rsidR="00184966" w:rsidRPr="00184966">
        <w:rPr>
          <w:rFonts w:cstheme="minorHAnsi"/>
          <w:sz w:val="24"/>
          <w:szCs w:val="24"/>
          <w:lang w:val="sr-Latn-ME"/>
        </w:rPr>
        <w:t>„Digitalna transformacija“</w:t>
      </w:r>
      <w:r w:rsidR="00AE0000">
        <w:rPr>
          <w:rFonts w:cstheme="minorHAnsi"/>
          <w:sz w:val="24"/>
          <w:szCs w:val="24"/>
          <w:lang w:val="sr-Latn-ME"/>
        </w:rPr>
        <w:t xml:space="preserve"> </w:t>
      </w:r>
      <w:r w:rsidR="00184966">
        <w:rPr>
          <w:rFonts w:cstheme="minorHAnsi"/>
          <w:sz w:val="24"/>
          <w:szCs w:val="24"/>
          <w:lang w:val="sr-Latn-ME"/>
        </w:rPr>
        <w:t xml:space="preserve">i </w:t>
      </w:r>
      <w:r w:rsidR="00862BA4">
        <w:rPr>
          <w:rFonts w:cstheme="minorHAnsi"/>
          <w:sz w:val="24"/>
          <w:szCs w:val="24"/>
          <w:lang w:val="sr-Latn-ME"/>
        </w:rPr>
        <w:t>“</w:t>
      </w:r>
      <w:r w:rsidR="00AB451D" w:rsidRPr="00AB451D">
        <w:rPr>
          <w:rFonts w:cstheme="minorHAnsi"/>
          <w:sz w:val="24"/>
          <w:szCs w:val="24"/>
          <w:lang w:val="sr-Latn-ME"/>
        </w:rPr>
        <w:t>Reforma e</w:t>
      </w:r>
      <w:r w:rsidR="00291E41">
        <w:rPr>
          <w:rFonts w:cstheme="minorHAnsi"/>
          <w:sz w:val="24"/>
          <w:szCs w:val="24"/>
          <w:lang w:val="sr-Latn-ME"/>
        </w:rPr>
        <w:t>ne</w:t>
      </w:r>
      <w:r w:rsidR="00AB451D" w:rsidRPr="00AB451D">
        <w:rPr>
          <w:rFonts w:cstheme="minorHAnsi"/>
          <w:sz w:val="24"/>
          <w:szCs w:val="24"/>
          <w:lang w:val="sr-Latn-ME"/>
        </w:rPr>
        <w:t>rgetskog trži</w:t>
      </w:r>
      <w:r w:rsidR="00AB451D">
        <w:rPr>
          <w:rFonts w:cstheme="minorHAnsi"/>
          <w:sz w:val="24"/>
          <w:szCs w:val="24"/>
          <w:lang w:val="sr-Latn-ME"/>
        </w:rPr>
        <w:t>š</w:t>
      </w:r>
      <w:r w:rsidR="00AB451D" w:rsidRPr="00AB451D">
        <w:rPr>
          <w:rFonts w:cstheme="minorHAnsi"/>
          <w:sz w:val="24"/>
          <w:szCs w:val="24"/>
          <w:lang w:val="sr-Latn-ME"/>
        </w:rPr>
        <w:t>ta</w:t>
      </w:r>
      <w:r w:rsidR="00862BA4">
        <w:rPr>
          <w:rFonts w:cstheme="minorHAnsi"/>
          <w:sz w:val="24"/>
          <w:szCs w:val="24"/>
          <w:lang w:val="sr-Latn-ME"/>
        </w:rPr>
        <w:t>“</w:t>
      </w:r>
      <w:r w:rsidR="00291E41">
        <w:rPr>
          <w:rFonts w:cstheme="minorHAnsi"/>
          <w:sz w:val="24"/>
          <w:szCs w:val="24"/>
          <w:lang w:val="sr-Latn-ME"/>
        </w:rPr>
        <w:t xml:space="preserve"> i u </w:t>
      </w:r>
      <w:r>
        <w:rPr>
          <w:rFonts w:cstheme="minorHAnsi"/>
          <w:sz w:val="24"/>
          <w:szCs w:val="24"/>
          <w:lang w:val="sr-Latn-ME"/>
        </w:rPr>
        <w:t>tijesnoj</w:t>
      </w:r>
      <w:r w:rsidR="00291E41">
        <w:rPr>
          <w:rFonts w:cstheme="minorHAnsi"/>
          <w:sz w:val="24"/>
          <w:szCs w:val="24"/>
          <w:lang w:val="sr-Latn-ME"/>
        </w:rPr>
        <w:t xml:space="preserve"> je</w:t>
      </w:r>
      <w:r w:rsidR="005A7858">
        <w:rPr>
          <w:rFonts w:cstheme="minorHAnsi"/>
          <w:sz w:val="24"/>
          <w:szCs w:val="24"/>
          <w:lang w:val="sr-Latn-ME"/>
        </w:rPr>
        <w:t xml:space="preserve"> </w:t>
      </w:r>
      <w:r>
        <w:rPr>
          <w:rFonts w:cstheme="minorHAnsi"/>
          <w:sz w:val="24"/>
          <w:szCs w:val="24"/>
          <w:lang w:val="sr-Latn-ME"/>
        </w:rPr>
        <w:t>korelaciji</w:t>
      </w:r>
      <w:r w:rsidR="00AB451D" w:rsidRPr="00AB451D">
        <w:rPr>
          <w:rFonts w:cstheme="minorHAnsi"/>
          <w:sz w:val="24"/>
          <w:szCs w:val="24"/>
          <w:lang w:val="sr-Latn-ME"/>
        </w:rPr>
        <w:t xml:space="preserve"> sa stru</w:t>
      </w:r>
      <w:r>
        <w:rPr>
          <w:rFonts w:cstheme="minorHAnsi"/>
          <w:sz w:val="24"/>
          <w:szCs w:val="24"/>
          <w:lang w:val="sr-Latn-ME"/>
        </w:rPr>
        <w:t>kt</w:t>
      </w:r>
      <w:r w:rsidR="00AB451D" w:rsidRPr="00AB451D">
        <w:rPr>
          <w:rFonts w:cstheme="minorHAnsi"/>
          <w:sz w:val="24"/>
          <w:szCs w:val="24"/>
          <w:lang w:val="sr-Latn-ME"/>
        </w:rPr>
        <w:t>urnim refo</w:t>
      </w:r>
      <w:r w:rsidR="00672907">
        <w:rPr>
          <w:rFonts w:cstheme="minorHAnsi"/>
          <w:sz w:val="24"/>
          <w:szCs w:val="24"/>
          <w:lang w:val="sr-Latn-ME"/>
        </w:rPr>
        <w:t>rm</w:t>
      </w:r>
      <w:r w:rsidR="00AB451D" w:rsidRPr="00AB451D">
        <w:rPr>
          <w:rFonts w:cstheme="minorHAnsi"/>
          <w:sz w:val="24"/>
          <w:szCs w:val="24"/>
          <w:lang w:val="sr-Latn-ME"/>
        </w:rPr>
        <w:t xml:space="preserve">ama </w:t>
      </w:r>
      <w:r w:rsidR="00AB451D" w:rsidRPr="00F53D00">
        <w:rPr>
          <w:rFonts w:cstheme="minorHAnsi"/>
          <w:sz w:val="24"/>
          <w:szCs w:val="24"/>
          <w:lang w:val="sr-Latn-ME"/>
        </w:rPr>
        <w:t>u ob</w:t>
      </w:r>
      <w:r w:rsidR="00672907" w:rsidRPr="00F53D00">
        <w:rPr>
          <w:rFonts w:cstheme="minorHAnsi"/>
          <w:sz w:val="24"/>
          <w:szCs w:val="24"/>
          <w:lang w:val="sr-Latn-ME"/>
        </w:rPr>
        <w:t>las</w:t>
      </w:r>
      <w:r w:rsidR="00AB451D" w:rsidRPr="00F53D00">
        <w:rPr>
          <w:rFonts w:cstheme="minorHAnsi"/>
          <w:sz w:val="24"/>
          <w:szCs w:val="24"/>
          <w:lang w:val="sr-Latn-ME"/>
        </w:rPr>
        <w:t>ti „Konk</w:t>
      </w:r>
      <w:r w:rsidR="003C0C26" w:rsidRPr="00F53D00">
        <w:rPr>
          <w:rFonts w:cstheme="minorHAnsi"/>
          <w:sz w:val="24"/>
          <w:szCs w:val="24"/>
          <w:lang w:val="sr-Latn-ME"/>
        </w:rPr>
        <w:t>uren</w:t>
      </w:r>
      <w:r w:rsidR="00AB451D" w:rsidRPr="00F53D00">
        <w:rPr>
          <w:rFonts w:cstheme="minorHAnsi"/>
          <w:sz w:val="24"/>
          <w:szCs w:val="24"/>
          <w:lang w:val="sr-Latn-ME"/>
        </w:rPr>
        <w:t>tnost“, naročito u dijelu inovacija, koje su često horizontalnog karaktera.</w:t>
      </w:r>
      <w:r w:rsidR="00DE499F" w:rsidRPr="00F53D00">
        <w:rPr>
          <w:rFonts w:eastAsia="Calibri" w:cstheme="minorHAnsi"/>
          <w:kern w:val="0"/>
          <w:sz w:val="24"/>
          <w:szCs w:val="24"/>
          <w:lang w:val="sr-Latn-ME" w:eastAsia="sr-Cyrl-CS" w:bidi="sr-Cyrl-CS"/>
          <w14:ligatures w14:val="none"/>
        </w:rPr>
        <w:t xml:space="preserve"> </w:t>
      </w:r>
      <w:r w:rsidR="00DE499F" w:rsidRPr="00F53D00">
        <w:rPr>
          <w:rFonts w:cstheme="minorHAnsi"/>
          <w:sz w:val="24"/>
          <w:szCs w:val="24"/>
          <w:lang w:val="sr-Latn-ME"/>
        </w:rPr>
        <w:t xml:space="preserve">Sprovođenje strukturne reforme ima za cilj </w:t>
      </w:r>
      <w:r w:rsidR="00F12D8A" w:rsidRPr="00F53D00">
        <w:rPr>
          <w:rFonts w:cstheme="minorHAnsi"/>
          <w:sz w:val="24"/>
          <w:szCs w:val="24"/>
          <w:lang w:val="sr-Latn-ME"/>
        </w:rPr>
        <w:t xml:space="preserve">jačanje energetske otpornosti kroz </w:t>
      </w:r>
      <w:r w:rsidR="003118C6" w:rsidRPr="00F53D00">
        <w:rPr>
          <w:rFonts w:eastAsia="Times New Roman" w:cstheme="minorHAnsi"/>
          <w:kern w:val="0"/>
          <w:sz w:val="24"/>
          <w:szCs w:val="24"/>
          <w:lang w:val="bs"/>
          <w14:ligatures w14:val="none"/>
        </w:rPr>
        <w:t>usklađivanje</w:t>
      </w:r>
      <w:r w:rsidR="003118C6" w:rsidRPr="00F53D00">
        <w:rPr>
          <w:rFonts w:eastAsia="Times New Roman" w:cstheme="minorHAnsi"/>
          <w:spacing w:val="1"/>
          <w:kern w:val="0"/>
          <w:sz w:val="24"/>
          <w:szCs w:val="24"/>
          <w:lang w:val="bs"/>
          <w14:ligatures w14:val="none"/>
        </w:rPr>
        <w:t xml:space="preserve"> </w:t>
      </w:r>
      <w:r w:rsidR="003118C6" w:rsidRPr="00F53D00">
        <w:rPr>
          <w:rFonts w:eastAsia="Times New Roman" w:cstheme="minorHAnsi"/>
          <w:kern w:val="0"/>
          <w:sz w:val="24"/>
          <w:szCs w:val="24"/>
          <w:lang w:val="bs"/>
          <w14:ligatures w14:val="none"/>
        </w:rPr>
        <w:t>sa</w:t>
      </w:r>
      <w:r w:rsidR="003118C6" w:rsidRPr="00F53D00">
        <w:rPr>
          <w:rFonts w:eastAsia="Times New Roman" w:cstheme="minorHAnsi"/>
          <w:spacing w:val="1"/>
          <w:kern w:val="0"/>
          <w:sz w:val="24"/>
          <w:szCs w:val="24"/>
          <w:lang w:val="bs"/>
          <w14:ligatures w14:val="none"/>
        </w:rPr>
        <w:t xml:space="preserve"> </w:t>
      </w:r>
      <w:r w:rsidR="003118C6" w:rsidRPr="00F53D00">
        <w:rPr>
          <w:rFonts w:eastAsia="Times New Roman" w:cstheme="minorHAnsi"/>
          <w:kern w:val="0"/>
          <w:sz w:val="24"/>
          <w:szCs w:val="24"/>
          <w:lang w:val="bs"/>
          <w14:ligatures w14:val="none"/>
        </w:rPr>
        <w:t>energetskim i klimatskim ciljevima do 2030. godine</w:t>
      </w:r>
      <w:r w:rsidR="00F12D8A" w:rsidRPr="00F53D00">
        <w:rPr>
          <w:rFonts w:eastAsia="Times New Roman" w:cstheme="minorHAnsi"/>
          <w:kern w:val="0"/>
          <w:sz w:val="24"/>
          <w:szCs w:val="24"/>
          <w:lang w:val="bs"/>
          <w14:ligatures w14:val="none"/>
        </w:rPr>
        <w:t xml:space="preserve">. </w:t>
      </w:r>
    </w:p>
    <w:p w14:paraId="62D3DBB8" w14:textId="13556C82" w:rsidR="00862BA4" w:rsidRPr="00BC53CE" w:rsidRDefault="00F12D8A" w:rsidP="00862BA4">
      <w:pPr>
        <w:jc w:val="both"/>
        <w:rPr>
          <w:rFonts w:cstheme="minorHAnsi"/>
          <w:b/>
          <w:bCs/>
          <w:sz w:val="24"/>
          <w:szCs w:val="24"/>
        </w:rPr>
      </w:pPr>
      <w:r>
        <w:rPr>
          <w:rFonts w:cstheme="minorHAnsi"/>
          <w:sz w:val="24"/>
          <w:szCs w:val="24"/>
          <w:lang w:val="sr-Latn-ME"/>
        </w:rPr>
        <w:t>Strukturna reforma će s</w:t>
      </w:r>
      <w:r w:rsidR="00BC53CE">
        <w:rPr>
          <w:rFonts w:cstheme="minorHAnsi"/>
          <w:sz w:val="24"/>
          <w:szCs w:val="24"/>
          <w:lang w:val="sr-Latn-ME"/>
        </w:rPr>
        <w:t xml:space="preserve">e </w:t>
      </w:r>
      <w:r>
        <w:rPr>
          <w:rFonts w:cstheme="minorHAnsi"/>
          <w:sz w:val="24"/>
          <w:szCs w:val="24"/>
          <w:lang w:val="sr-Latn-ME"/>
        </w:rPr>
        <w:t>implementirati kroz reformske mjere</w:t>
      </w:r>
      <w:r w:rsidR="001609EB">
        <w:rPr>
          <w:rFonts w:cstheme="minorHAnsi"/>
          <w:sz w:val="24"/>
          <w:szCs w:val="24"/>
          <w:lang w:val="sr-Latn-ME"/>
        </w:rPr>
        <w:t xml:space="preserve"> br. 3 i 4</w:t>
      </w:r>
      <w:r w:rsidR="00AB451D">
        <w:rPr>
          <w:rFonts w:cstheme="minorHAnsi"/>
          <w:sz w:val="24"/>
          <w:szCs w:val="24"/>
          <w:lang w:val="sr-Latn-ME"/>
        </w:rPr>
        <w:t>.</w:t>
      </w:r>
      <w:r w:rsidR="00CB236F">
        <w:rPr>
          <w:rFonts w:cstheme="minorHAnsi"/>
          <w:sz w:val="24"/>
          <w:szCs w:val="24"/>
          <w:lang w:val="sr-Latn-ME"/>
        </w:rPr>
        <w:t xml:space="preserve"> One se nadovezuju na reformske mjere</w:t>
      </w:r>
      <w:r w:rsidR="00BC53CE">
        <w:rPr>
          <w:rFonts w:cstheme="minorHAnsi"/>
          <w:sz w:val="24"/>
          <w:szCs w:val="24"/>
          <w:lang w:val="sr-Latn-ME"/>
        </w:rPr>
        <w:t xml:space="preserve">  iz PER-aa 2023.</w:t>
      </w:r>
      <w:r w:rsidR="00F53D00">
        <w:rPr>
          <w:rFonts w:cstheme="minorHAnsi"/>
          <w:sz w:val="24"/>
          <w:szCs w:val="24"/>
          <w:lang w:val="sr-Latn-ME"/>
        </w:rPr>
        <w:t xml:space="preserve"> </w:t>
      </w:r>
      <w:r w:rsidR="00CB236F">
        <w:rPr>
          <w:rFonts w:cstheme="minorHAnsi"/>
          <w:sz w:val="24"/>
          <w:szCs w:val="24"/>
          <w:lang w:val="sr-Latn-ME"/>
        </w:rPr>
        <w:t xml:space="preserve"> br. 15: „</w:t>
      </w:r>
      <w:r w:rsidR="00CB236F" w:rsidRPr="00CB236F">
        <w:rPr>
          <w:rFonts w:cstheme="minorHAnsi"/>
          <w:i/>
          <w:iCs/>
          <w:sz w:val="24"/>
          <w:szCs w:val="24"/>
          <w:lang w:val="sr-Latn-ME"/>
        </w:rPr>
        <w:t>Održivi zeleni turizam“,</w:t>
      </w:r>
      <w:r w:rsidR="00CB236F">
        <w:rPr>
          <w:rFonts w:cstheme="minorHAnsi"/>
          <w:sz w:val="24"/>
          <w:szCs w:val="24"/>
          <w:lang w:val="sr-Latn-ME"/>
        </w:rPr>
        <w:t xml:space="preserve"> br. 16 „</w:t>
      </w:r>
      <w:r w:rsidR="00CB236F" w:rsidRPr="00CB236F">
        <w:rPr>
          <w:rFonts w:cstheme="minorHAnsi"/>
          <w:bCs/>
          <w:i/>
          <w:iCs/>
          <w:sz w:val="24"/>
          <w:szCs w:val="24"/>
          <w:lang w:val="sl-SI"/>
        </w:rPr>
        <w:t>Investicije usmjerene ka razvoju poljoprivrede i ruralnih područja</w:t>
      </w:r>
      <w:bookmarkStart w:id="165" w:name="_Toc125545804"/>
      <w:r w:rsidR="00CB236F">
        <w:rPr>
          <w:rFonts w:cstheme="minorHAnsi"/>
          <w:bCs/>
          <w:i/>
          <w:iCs/>
          <w:sz w:val="24"/>
          <w:szCs w:val="24"/>
          <w:lang w:val="sl-SI"/>
        </w:rPr>
        <w:t>«, br</w:t>
      </w:r>
      <w:r w:rsidR="00CB236F" w:rsidRPr="00CB236F">
        <w:rPr>
          <w:rFonts w:cstheme="minorHAnsi"/>
          <w:bCs/>
          <w:i/>
          <w:iCs/>
          <w:sz w:val="24"/>
          <w:szCs w:val="24"/>
          <w:lang w:val="sl-SI"/>
        </w:rPr>
        <w:t xml:space="preserve">. </w:t>
      </w:r>
      <w:r w:rsidR="00CB236F" w:rsidRPr="00CB236F">
        <w:rPr>
          <w:rFonts w:cstheme="minorHAnsi"/>
          <w:bCs/>
          <w:i/>
          <w:iCs/>
          <w:sz w:val="24"/>
          <w:szCs w:val="24"/>
        </w:rPr>
        <w:t>17: “Finansijska podrška domaćinstvima u cilju primjene mjera energetske efikasnosti</w:t>
      </w:r>
      <w:bookmarkEnd w:id="165"/>
      <w:r w:rsidR="00CB236F" w:rsidRPr="00CB236F">
        <w:rPr>
          <w:rFonts w:cstheme="minorHAnsi"/>
          <w:bCs/>
          <w:i/>
          <w:iCs/>
          <w:sz w:val="24"/>
          <w:szCs w:val="24"/>
        </w:rPr>
        <w:t>”,</w:t>
      </w:r>
      <w:r w:rsidR="00BC53CE">
        <w:rPr>
          <w:rFonts w:cstheme="minorHAnsi"/>
          <w:bCs/>
          <w:i/>
          <w:iCs/>
          <w:sz w:val="24"/>
          <w:szCs w:val="24"/>
        </w:rPr>
        <w:t xml:space="preserve"> </w:t>
      </w:r>
      <w:r w:rsidR="00E93DF1">
        <w:rPr>
          <w:rFonts w:cstheme="minorHAnsi"/>
          <w:bCs/>
          <w:sz w:val="24"/>
          <w:szCs w:val="24"/>
        </w:rPr>
        <w:t xml:space="preserve">čije su aktivnosti postale kontinuitet, </w:t>
      </w:r>
      <w:r w:rsidR="00BC53CE" w:rsidRPr="00BC53CE">
        <w:rPr>
          <w:rFonts w:cstheme="minorHAnsi"/>
          <w:bCs/>
          <w:sz w:val="24"/>
          <w:szCs w:val="24"/>
        </w:rPr>
        <w:t xml:space="preserve">te </w:t>
      </w:r>
      <w:r w:rsidR="00F53D00">
        <w:rPr>
          <w:rFonts w:cstheme="minorHAnsi"/>
          <w:bCs/>
          <w:sz w:val="24"/>
          <w:szCs w:val="24"/>
        </w:rPr>
        <w:t xml:space="preserve">su </w:t>
      </w:r>
      <w:r w:rsidR="00BC53CE" w:rsidRPr="00BC53CE">
        <w:rPr>
          <w:rFonts w:cstheme="minorHAnsi"/>
          <w:bCs/>
          <w:sz w:val="24"/>
          <w:szCs w:val="24"/>
        </w:rPr>
        <w:t>mjere posta</w:t>
      </w:r>
      <w:r w:rsidR="00F53D00">
        <w:rPr>
          <w:rFonts w:cstheme="minorHAnsi"/>
          <w:bCs/>
          <w:sz w:val="24"/>
          <w:szCs w:val="24"/>
        </w:rPr>
        <w:t>le</w:t>
      </w:r>
      <w:r w:rsidR="00BC53CE" w:rsidRPr="00BC53CE">
        <w:rPr>
          <w:rFonts w:cstheme="minorHAnsi"/>
          <w:bCs/>
          <w:sz w:val="24"/>
          <w:szCs w:val="24"/>
        </w:rPr>
        <w:t xml:space="preserve"> sistemske.</w:t>
      </w:r>
      <w:r w:rsidR="00BC53CE">
        <w:rPr>
          <w:rFonts w:cstheme="minorHAnsi"/>
          <w:bCs/>
          <w:i/>
          <w:iCs/>
          <w:sz w:val="24"/>
          <w:szCs w:val="24"/>
        </w:rPr>
        <w:t xml:space="preserve"> </w:t>
      </w:r>
      <w:r w:rsidR="00BC53CE" w:rsidRPr="00BC53CE">
        <w:rPr>
          <w:rFonts w:cstheme="minorHAnsi"/>
          <w:bCs/>
          <w:sz w:val="24"/>
          <w:szCs w:val="24"/>
        </w:rPr>
        <w:t xml:space="preserve">Mjere u PER-u 2024. se takođe nadovezuju na mjeru </w:t>
      </w:r>
      <w:r w:rsidR="00CB236F" w:rsidRPr="00BC53CE">
        <w:rPr>
          <w:rFonts w:cstheme="minorHAnsi"/>
          <w:bCs/>
          <w:sz w:val="24"/>
          <w:szCs w:val="24"/>
        </w:rPr>
        <w:t>br.18</w:t>
      </w:r>
      <w:r w:rsidR="00CB236F" w:rsidRPr="00CB236F">
        <w:rPr>
          <w:rFonts w:cstheme="minorHAnsi"/>
          <w:bCs/>
          <w:i/>
          <w:iCs/>
          <w:sz w:val="24"/>
          <w:szCs w:val="24"/>
        </w:rPr>
        <w:t xml:space="preserve"> </w:t>
      </w:r>
      <w:r w:rsidR="00BC53CE">
        <w:rPr>
          <w:rFonts w:cstheme="minorHAnsi"/>
          <w:bCs/>
          <w:i/>
          <w:iCs/>
          <w:sz w:val="24"/>
          <w:szCs w:val="24"/>
        </w:rPr>
        <w:t xml:space="preserve">iz PER-a 2023. </w:t>
      </w:r>
      <w:r w:rsidR="00CB236F" w:rsidRPr="00CB236F">
        <w:rPr>
          <w:rFonts w:cstheme="minorHAnsi"/>
          <w:bCs/>
          <w:i/>
          <w:iCs/>
          <w:sz w:val="24"/>
          <w:szCs w:val="24"/>
        </w:rPr>
        <w:t>“</w:t>
      </w:r>
      <w:r w:rsidR="00CB236F" w:rsidRPr="00CB236F">
        <w:rPr>
          <w:rFonts w:cstheme="minorHAnsi"/>
          <w:i/>
          <w:iCs/>
          <w:sz w:val="24"/>
          <w:szCs w:val="24"/>
        </w:rPr>
        <w:t xml:space="preserve">Smanjenje stavljanja u promet i upotrebe laganih plastičnih kesa za nošenje i plastičnih proizvoda za </w:t>
      </w:r>
      <w:r w:rsidR="00CB236F" w:rsidRPr="00950CE6">
        <w:rPr>
          <w:rFonts w:cstheme="minorHAnsi"/>
          <w:i/>
          <w:iCs/>
          <w:sz w:val="24"/>
          <w:szCs w:val="24"/>
        </w:rPr>
        <w:t>jednokratnu upotrebu”</w:t>
      </w:r>
      <w:r w:rsidR="00FA75BE" w:rsidRPr="00950CE6">
        <w:rPr>
          <w:rFonts w:cstheme="minorHAnsi"/>
          <w:i/>
          <w:iCs/>
          <w:sz w:val="24"/>
          <w:szCs w:val="24"/>
        </w:rPr>
        <w:t>.</w:t>
      </w:r>
      <w:r w:rsidR="001609EB" w:rsidRPr="00950CE6">
        <w:rPr>
          <w:rFonts w:cstheme="minorHAnsi"/>
          <w:sz w:val="24"/>
          <w:szCs w:val="24"/>
        </w:rPr>
        <w:t xml:space="preserve"> Vi</w:t>
      </w:r>
      <w:r w:rsidR="00AE0000" w:rsidRPr="00950CE6">
        <w:rPr>
          <w:rFonts w:cstheme="minorHAnsi"/>
          <w:sz w:val="24"/>
          <w:szCs w:val="24"/>
        </w:rPr>
        <w:t>š</w:t>
      </w:r>
      <w:r w:rsidR="001609EB" w:rsidRPr="00950CE6">
        <w:rPr>
          <w:rFonts w:cstheme="minorHAnsi"/>
          <w:sz w:val="24"/>
          <w:szCs w:val="24"/>
        </w:rPr>
        <w:t>e detalja je dato</w:t>
      </w:r>
      <w:r w:rsidR="001609EB">
        <w:rPr>
          <w:rFonts w:cstheme="minorHAnsi"/>
          <w:sz w:val="24"/>
          <w:szCs w:val="24"/>
        </w:rPr>
        <w:t xml:space="preserve"> u izvještaju u aneksu.</w:t>
      </w:r>
    </w:p>
    <w:p w14:paraId="421B730B" w14:textId="0D705291" w:rsidR="00416A69" w:rsidRPr="00E41591" w:rsidRDefault="00E92164" w:rsidP="00416A69">
      <w:pPr>
        <w:jc w:val="both"/>
        <w:rPr>
          <w:rFonts w:cstheme="minorHAnsi"/>
          <w:i/>
          <w:iCs/>
          <w:color w:val="002465"/>
          <w:sz w:val="24"/>
          <w:szCs w:val="24"/>
        </w:rPr>
      </w:pPr>
      <w:r w:rsidRPr="00E41591">
        <w:rPr>
          <w:rFonts w:cstheme="minorHAnsi"/>
          <w:i/>
          <w:iCs/>
          <w:color w:val="002465"/>
          <w:sz w:val="24"/>
          <w:szCs w:val="24"/>
          <w:lang w:val="sr-Latn-ME"/>
        </w:rPr>
        <w:t xml:space="preserve">Reformska mjera br. </w:t>
      </w:r>
      <w:r w:rsidR="00416A69" w:rsidRPr="00E41591">
        <w:rPr>
          <w:rFonts w:cstheme="minorHAnsi"/>
          <w:i/>
          <w:iCs/>
          <w:color w:val="002465"/>
          <w:sz w:val="24"/>
          <w:szCs w:val="24"/>
          <w:lang w:val="sr-Latn-ME"/>
        </w:rPr>
        <w:t xml:space="preserve">3. </w:t>
      </w:r>
      <w:r w:rsidR="00416A69" w:rsidRPr="00E41591">
        <w:rPr>
          <w:rFonts w:cstheme="minorHAnsi"/>
          <w:i/>
          <w:iCs/>
          <w:color w:val="002465"/>
          <w:sz w:val="24"/>
          <w:szCs w:val="24"/>
        </w:rPr>
        <w:t>Podsticanje inovacija za Zelenu agendu i prelazak na cirkularnu ekonomiju</w:t>
      </w:r>
    </w:p>
    <w:p w14:paraId="0CFC05B9" w14:textId="02F23C01" w:rsidR="00416A69" w:rsidRPr="00DA310D" w:rsidRDefault="00416A69" w:rsidP="00AA136E">
      <w:pPr>
        <w:jc w:val="both"/>
        <w:rPr>
          <w:rFonts w:cstheme="minorHAnsi"/>
          <w:sz w:val="24"/>
          <w:szCs w:val="24"/>
          <w:lang w:val="sr-Latn-ME"/>
        </w:rPr>
      </w:pPr>
      <w:r w:rsidRPr="00416A69">
        <w:rPr>
          <w:rFonts w:cstheme="minorHAnsi"/>
          <w:b/>
          <w:bCs/>
          <w:sz w:val="24"/>
          <w:szCs w:val="24"/>
        </w:rPr>
        <w:t>1.Opis reformske mjere.</w:t>
      </w:r>
      <w:r w:rsidRPr="00416A69">
        <w:rPr>
          <w:rFonts w:cstheme="minorHAnsi"/>
          <w:sz w:val="24"/>
          <w:szCs w:val="24"/>
        </w:rPr>
        <w:t xml:space="preserve"> Cilj reformske mjere je doprinos jačanju energetske otpornosti, kroz pograme podrške inovacijama za zelenu agendu i prelazak na cirkularnu ekonomiju. Ona predstavlja nastavak reformskih mjera br. 15, 16, 17 i 18 iz PER-a 2023-2025. godina. Mjera je u fukciji ostvarenja ciljeva Strategije cirkularne tranzicije Crne Gore do 2030. godine, Energetske politike Crne Gore do 2030. godine, Strategije razvoja energetike Crne Gore do 2030. godine, Industrijske politike 2019-2023. i Strategije pametne specijalizacije Crne Gore (S3) 2019-2024 uz Operativni program za implementaciju S2 2021-2024. Takođe je u funkciji implementacije Mape puta za dekarbonizaciju Energetske zajednice, »Evropskog zelenog sporazuma«, postizanju ciljeva održivog razvoja Ujedinjenih nacija i Zelenoj agendi za Zapadni Balkan, jer ista povećava pristup modernoj tehnologiji, obezbjeđuje održivo i </w:t>
      </w:r>
      <w:bookmarkStart w:id="166" w:name="_Hlk150084533"/>
      <w:r w:rsidRPr="00416A69">
        <w:rPr>
          <w:rFonts w:cstheme="minorHAnsi"/>
          <w:sz w:val="24"/>
          <w:szCs w:val="24"/>
        </w:rPr>
        <w:t xml:space="preserve">efikasnije korišćenje energije i poboljšava energetsku otpornost. </w:t>
      </w:r>
      <w:bookmarkEnd w:id="166"/>
      <w:r w:rsidRPr="00416A69">
        <w:rPr>
          <w:rFonts w:cstheme="minorHAnsi"/>
          <w:sz w:val="24"/>
          <w:szCs w:val="24"/>
          <w:lang w:val="sr-Latn-ME"/>
        </w:rPr>
        <w:t xml:space="preserve">Navedenom mjerom se </w:t>
      </w:r>
      <w:r w:rsidR="002C5D8F">
        <w:rPr>
          <w:rFonts w:cstheme="minorHAnsi"/>
          <w:sz w:val="24"/>
          <w:szCs w:val="24"/>
          <w:lang w:val="sr-Latn-ME"/>
        </w:rPr>
        <w:t>do</w:t>
      </w:r>
      <w:r w:rsidRPr="00416A69">
        <w:rPr>
          <w:rFonts w:cstheme="minorHAnsi"/>
          <w:sz w:val="24"/>
          <w:szCs w:val="24"/>
          <w:lang w:val="sr-Latn-ME"/>
        </w:rPr>
        <w:t xml:space="preserve">prinosi  ostvarenju ciljeva održivog razvoja br. 7- </w:t>
      </w:r>
      <w:r w:rsidR="002C5D8F">
        <w:rPr>
          <w:rFonts w:cstheme="minorHAnsi"/>
          <w:sz w:val="24"/>
          <w:szCs w:val="24"/>
          <w:lang w:val="sr-Latn-ME"/>
        </w:rPr>
        <w:t>dostupna i obnovljiv</w:t>
      </w:r>
      <w:r w:rsidRPr="00416A69">
        <w:rPr>
          <w:rFonts w:cstheme="minorHAnsi"/>
          <w:sz w:val="24"/>
          <w:szCs w:val="24"/>
          <w:lang w:val="sr-Latn-ME"/>
        </w:rPr>
        <w:t>a energija, br. 9-industrija, inovacije i infrastruktura i 13 – klimatska akcija.</w:t>
      </w:r>
      <w:r w:rsidR="001E0B77">
        <w:rPr>
          <w:rFonts w:cstheme="minorHAnsi"/>
          <w:sz w:val="24"/>
          <w:szCs w:val="24"/>
          <w:lang w:val="sr-Latn-ME"/>
        </w:rPr>
        <w:t xml:space="preserve"> </w:t>
      </w:r>
      <w:r w:rsidR="001E0B77">
        <w:rPr>
          <w:rFonts w:cstheme="minorHAnsi"/>
          <w:sz w:val="24"/>
          <w:szCs w:val="24"/>
        </w:rPr>
        <w:t>Mjera</w:t>
      </w:r>
      <w:r w:rsidRPr="00416A69">
        <w:rPr>
          <w:rFonts w:cstheme="minorHAnsi"/>
          <w:sz w:val="24"/>
          <w:szCs w:val="24"/>
        </w:rPr>
        <w:t xml:space="preserve"> doprinosi otklanjanju prepreka rastu </w:t>
      </w:r>
      <w:r w:rsidR="001E0B77">
        <w:rPr>
          <w:rFonts w:cstheme="minorHAnsi"/>
          <w:sz w:val="24"/>
          <w:szCs w:val="24"/>
        </w:rPr>
        <w:t>vezanih za</w:t>
      </w:r>
      <w:r w:rsidRPr="00416A69">
        <w:rPr>
          <w:rFonts w:cstheme="minorHAnsi"/>
          <w:sz w:val="24"/>
          <w:szCs w:val="24"/>
        </w:rPr>
        <w:t xml:space="preserve"> neiscrpno i neefikasno korišćenje prirodnih </w:t>
      </w:r>
      <w:r w:rsidRPr="00416A69">
        <w:rPr>
          <w:rFonts w:cstheme="minorHAnsi"/>
          <w:sz w:val="24"/>
          <w:szCs w:val="24"/>
        </w:rPr>
        <w:lastRenderedPageBreak/>
        <w:t>resursa, zagađenje životne sredine i jednosmjerni linearni model po</w:t>
      </w:r>
      <w:r w:rsidRPr="00950CE6">
        <w:rPr>
          <w:rFonts w:cstheme="minorHAnsi"/>
          <w:sz w:val="24"/>
          <w:szCs w:val="24"/>
        </w:rPr>
        <w:t xml:space="preserve">slovanja. </w:t>
      </w:r>
      <w:r w:rsidR="00617934" w:rsidRPr="00950CE6">
        <w:rPr>
          <w:rFonts w:cstheme="minorHAnsi"/>
          <w:sz w:val="24"/>
          <w:szCs w:val="24"/>
        </w:rPr>
        <w:t>Upravljanje otpadom i reciklaža, kao ključni stubovi koncepta cirkularne ekonomije, i dalje dominiraju linearnim pristupom prikupljanja i odlaganja umjesto integrisanog održivog sistema upravljanja otpadom zasnovanog na cirkularnosti.</w:t>
      </w:r>
      <w:r w:rsidR="00617934" w:rsidRPr="00082B85">
        <w:rPr>
          <w:rFonts w:cstheme="minorHAnsi"/>
          <w:sz w:val="24"/>
          <w:szCs w:val="24"/>
        </w:rPr>
        <w:t xml:space="preserve">  </w:t>
      </w:r>
      <w:r w:rsidRPr="00082B85">
        <w:rPr>
          <w:rFonts w:cstheme="minorHAnsi"/>
          <w:sz w:val="24"/>
          <w:szCs w:val="24"/>
        </w:rPr>
        <w:t>Uspostavljanje cirkularnih modela u proces poslovanja</w:t>
      </w:r>
      <w:r w:rsidRPr="00416A69">
        <w:rPr>
          <w:rFonts w:cstheme="minorHAnsi"/>
          <w:sz w:val="24"/>
          <w:szCs w:val="24"/>
        </w:rPr>
        <w:t xml:space="preserve"> uslovljava smanjenu upotrebu prirodnih resursa i stvara uslove za efikasnu upotrebu resursa. Mjerom se daje odgovor na preporuku br. 4 sa ministarskog dijaloga iz maja 2023. godine</w:t>
      </w:r>
      <w:bookmarkStart w:id="167" w:name="_Hlk151187631"/>
      <w:r w:rsidR="00DA310D">
        <w:rPr>
          <w:rFonts w:cstheme="minorHAnsi"/>
          <w:sz w:val="24"/>
          <w:szCs w:val="24"/>
        </w:rPr>
        <w:t>.</w:t>
      </w:r>
    </w:p>
    <w:bookmarkEnd w:id="167"/>
    <w:p w14:paraId="3B743810" w14:textId="775AB2D0" w:rsidR="00416A69" w:rsidRDefault="00416A69" w:rsidP="00AA136E">
      <w:pPr>
        <w:spacing w:after="0" w:line="240" w:lineRule="auto"/>
        <w:jc w:val="both"/>
        <w:rPr>
          <w:rFonts w:cstheme="minorHAnsi"/>
          <w:sz w:val="24"/>
          <w:szCs w:val="24"/>
        </w:rPr>
      </w:pPr>
      <w:r w:rsidRPr="00416A69">
        <w:rPr>
          <w:rFonts w:cstheme="minorHAnsi"/>
          <w:sz w:val="24"/>
          <w:szCs w:val="24"/>
        </w:rPr>
        <w:t>Konkretno, mjera uključuje aktivnosti implementacije</w:t>
      </w:r>
      <w:r w:rsidRPr="00416A69">
        <w:rPr>
          <w:rFonts w:cstheme="minorHAnsi"/>
          <w:b/>
          <w:bCs/>
          <w:sz w:val="24"/>
          <w:szCs w:val="24"/>
        </w:rPr>
        <w:t xml:space="preserve"> </w:t>
      </w:r>
      <w:r w:rsidRPr="00416A69">
        <w:rPr>
          <w:rFonts w:cstheme="minorHAnsi"/>
          <w:sz w:val="24"/>
          <w:szCs w:val="24"/>
        </w:rPr>
        <w:t>Programa za podsticanje inovacija u funkciji energetske efikasnosti u industriji</w:t>
      </w:r>
      <w:r w:rsidR="00AA136E" w:rsidRPr="00AA136E">
        <w:rPr>
          <w:rFonts w:ascii="Calibri" w:eastAsia="Calibri" w:hAnsi="Calibri" w:cs="Calibri"/>
          <w:kern w:val="0"/>
          <w:sz w:val="24"/>
          <w:szCs w:val="24"/>
          <w:lang w:val="sr-Latn-ME"/>
          <w14:ligatures w14:val="none"/>
        </w:rPr>
        <w:t xml:space="preserve"> </w:t>
      </w:r>
      <w:r w:rsidR="00AA136E">
        <w:rPr>
          <w:rFonts w:ascii="Calibri" w:eastAsia="Calibri" w:hAnsi="Calibri" w:cs="Calibri"/>
          <w:kern w:val="0"/>
          <w:sz w:val="24"/>
          <w:szCs w:val="24"/>
          <w:lang w:val="sr-Latn-ME"/>
          <w14:ligatures w14:val="none"/>
        </w:rPr>
        <w:t>koji je nastao</w:t>
      </w:r>
      <w:r w:rsidR="00AA136E" w:rsidRPr="00AA136E">
        <w:rPr>
          <w:rFonts w:ascii="Calibri" w:eastAsia="Calibri" w:hAnsi="Calibri" w:cs="Calibri"/>
          <w:kern w:val="0"/>
          <w:sz w:val="24"/>
          <w:szCs w:val="24"/>
          <w:lang w:val="sr-Latn-ME"/>
          <w14:ligatures w14:val="none"/>
        </w:rPr>
        <w:t xml:space="preserve"> u okviru međuresorne saradnje i kao </w:t>
      </w:r>
      <w:r w:rsidR="00AA136E" w:rsidRPr="00AA136E">
        <w:rPr>
          <w:rFonts w:ascii="Calibri" w:eastAsia="Calibri" w:hAnsi="Calibri" w:cs="Calibri"/>
          <w:kern w:val="0"/>
          <w:sz w:val="24"/>
          <w:szCs w:val="24"/>
          <w14:ligatures w14:val="none"/>
        </w:rPr>
        <w:t>odgovor</w:t>
      </w:r>
      <w:r w:rsidR="00AA136E" w:rsidRPr="00AA136E">
        <w:rPr>
          <w:rFonts w:ascii="Calibri" w:eastAsia="Calibri" w:hAnsi="Calibri" w:cs="Calibri"/>
          <w:kern w:val="0"/>
          <w:sz w:val="24"/>
          <w:szCs w:val="24"/>
          <w:lang w:val="sr-Latn-ME"/>
          <w14:ligatures w14:val="none"/>
        </w:rPr>
        <w:t xml:space="preserve"> </w:t>
      </w:r>
      <w:r w:rsidR="00AA136E" w:rsidRPr="00AA136E">
        <w:rPr>
          <w:rFonts w:ascii="Calibri" w:eastAsia="Calibri" w:hAnsi="Calibri" w:cs="Calibri"/>
          <w:kern w:val="0"/>
          <w:sz w:val="24"/>
          <w:szCs w:val="24"/>
          <w14:ligatures w14:val="none"/>
        </w:rPr>
        <w:t>na</w:t>
      </w:r>
      <w:r w:rsidR="00AA136E" w:rsidRPr="00AA136E">
        <w:rPr>
          <w:rFonts w:ascii="Calibri" w:eastAsia="Calibri" w:hAnsi="Calibri" w:cs="Calibri"/>
          <w:kern w:val="0"/>
          <w:sz w:val="24"/>
          <w:szCs w:val="24"/>
          <w:lang w:val="sr-Latn-ME"/>
          <w14:ligatures w14:val="none"/>
        </w:rPr>
        <w:t xml:space="preserve"> </w:t>
      </w:r>
      <w:r w:rsidR="00AA136E" w:rsidRPr="00AA136E">
        <w:rPr>
          <w:rFonts w:ascii="Calibri" w:eastAsia="Calibri" w:hAnsi="Calibri" w:cs="Calibri"/>
          <w:kern w:val="0"/>
          <w:sz w:val="24"/>
          <w:szCs w:val="24"/>
          <w14:ligatures w14:val="none"/>
        </w:rPr>
        <w:t>zahtjeve</w:t>
      </w:r>
      <w:r w:rsidR="00AA136E" w:rsidRPr="00AA136E">
        <w:rPr>
          <w:rFonts w:ascii="Calibri" w:eastAsia="Calibri" w:hAnsi="Calibri" w:cs="Calibri"/>
          <w:kern w:val="0"/>
          <w:sz w:val="24"/>
          <w:szCs w:val="24"/>
          <w:lang w:val="sr-Latn-ME"/>
          <w14:ligatures w14:val="none"/>
        </w:rPr>
        <w:t xml:space="preserve">  </w:t>
      </w:r>
      <w:r w:rsidR="00AA136E" w:rsidRPr="00AA136E">
        <w:rPr>
          <w:rFonts w:ascii="Calibri" w:eastAsia="Calibri" w:hAnsi="Calibri" w:cs="Calibri"/>
          <w:kern w:val="0"/>
          <w:sz w:val="24"/>
          <w:szCs w:val="24"/>
          <w14:ligatures w14:val="none"/>
        </w:rPr>
        <w:t>prikupljene</w:t>
      </w:r>
      <w:r w:rsidR="00AA136E" w:rsidRPr="00AA136E">
        <w:rPr>
          <w:rFonts w:ascii="Calibri" w:eastAsia="Calibri" w:hAnsi="Calibri" w:cs="Calibri"/>
          <w:kern w:val="0"/>
          <w:sz w:val="24"/>
          <w:szCs w:val="24"/>
          <w:lang w:val="sr-Latn-ME"/>
          <w14:ligatures w14:val="none"/>
        </w:rPr>
        <w:t xml:space="preserve"> </w:t>
      </w:r>
      <w:r w:rsidR="00AA136E" w:rsidRPr="00AA136E">
        <w:rPr>
          <w:rFonts w:ascii="Calibri" w:eastAsia="Calibri" w:hAnsi="Calibri" w:cs="Calibri"/>
          <w:kern w:val="0"/>
          <w:sz w:val="24"/>
          <w:szCs w:val="24"/>
          <w14:ligatures w14:val="none"/>
        </w:rPr>
        <w:t>tokom</w:t>
      </w:r>
      <w:r w:rsidR="00AA136E" w:rsidRPr="00AA136E">
        <w:rPr>
          <w:rFonts w:ascii="Calibri" w:eastAsia="Calibri" w:hAnsi="Calibri" w:cs="Calibri"/>
          <w:kern w:val="0"/>
          <w:sz w:val="24"/>
          <w:szCs w:val="24"/>
          <w:lang w:val="sr-Latn-ME"/>
          <w14:ligatures w14:val="none"/>
        </w:rPr>
        <w:t xml:space="preserve"> </w:t>
      </w:r>
      <w:r w:rsidR="00AA136E" w:rsidRPr="00AA136E">
        <w:rPr>
          <w:rFonts w:ascii="Calibri" w:eastAsia="Calibri" w:hAnsi="Calibri" w:cs="Calibri"/>
          <w:kern w:val="0"/>
          <w:sz w:val="24"/>
          <w:szCs w:val="24"/>
          <w14:ligatures w14:val="none"/>
        </w:rPr>
        <w:t>procesa</w:t>
      </w:r>
      <w:r w:rsidR="00AA136E" w:rsidRPr="00AA136E">
        <w:rPr>
          <w:rFonts w:ascii="Calibri" w:eastAsia="Calibri" w:hAnsi="Calibri" w:cs="Calibri"/>
          <w:kern w:val="0"/>
          <w:sz w:val="24"/>
          <w:szCs w:val="24"/>
          <w:lang w:val="sr-Latn-ME"/>
          <w14:ligatures w14:val="none"/>
        </w:rPr>
        <w:t xml:space="preserve"> </w:t>
      </w:r>
      <w:r w:rsidR="00AA136E" w:rsidRPr="00AA136E">
        <w:rPr>
          <w:rFonts w:ascii="Calibri" w:eastAsia="Calibri" w:hAnsi="Calibri" w:cs="Calibri"/>
          <w:kern w:val="0"/>
          <w:sz w:val="24"/>
          <w:szCs w:val="24"/>
          <w14:ligatures w14:val="none"/>
        </w:rPr>
        <w:t>konsultacija</w:t>
      </w:r>
      <w:r w:rsidR="00AA136E" w:rsidRPr="00AA136E">
        <w:rPr>
          <w:rFonts w:ascii="Calibri" w:eastAsia="Calibri" w:hAnsi="Calibri" w:cs="Calibri"/>
          <w:kern w:val="0"/>
          <w:sz w:val="24"/>
          <w:szCs w:val="24"/>
          <w:lang w:val="sr-Latn-ME"/>
          <w14:ligatures w14:val="none"/>
        </w:rPr>
        <w:t xml:space="preserve"> </w:t>
      </w:r>
      <w:r w:rsidR="00AA136E" w:rsidRPr="00AA136E">
        <w:rPr>
          <w:rFonts w:ascii="Calibri" w:eastAsia="Calibri" w:hAnsi="Calibri" w:cs="Calibri"/>
          <w:kern w:val="0"/>
          <w:sz w:val="24"/>
          <w:szCs w:val="24"/>
          <w14:ligatures w14:val="none"/>
        </w:rPr>
        <w:t>sa</w:t>
      </w:r>
      <w:r w:rsidR="00AA136E" w:rsidRPr="00AA136E">
        <w:rPr>
          <w:rFonts w:ascii="Calibri" w:eastAsia="Calibri" w:hAnsi="Calibri" w:cs="Calibri"/>
          <w:kern w:val="0"/>
          <w:sz w:val="24"/>
          <w:szCs w:val="24"/>
          <w:lang w:val="sr-Latn-ME"/>
          <w14:ligatures w14:val="none"/>
        </w:rPr>
        <w:t xml:space="preserve"> </w:t>
      </w:r>
      <w:r w:rsidR="00AA136E" w:rsidRPr="00AA136E">
        <w:rPr>
          <w:rFonts w:ascii="Calibri" w:eastAsia="Calibri" w:hAnsi="Calibri" w:cs="Calibri"/>
          <w:kern w:val="0"/>
          <w:sz w:val="24"/>
          <w:szCs w:val="24"/>
          <w14:ligatures w14:val="none"/>
        </w:rPr>
        <w:t>privredom</w:t>
      </w:r>
      <w:r w:rsidR="00AA136E" w:rsidRPr="00AA136E">
        <w:rPr>
          <w:rFonts w:ascii="Calibri" w:eastAsia="Calibri" w:hAnsi="Calibri" w:cs="Calibri"/>
          <w:kern w:val="0"/>
          <w:sz w:val="24"/>
          <w:szCs w:val="24"/>
          <w:lang w:val="sr-Latn-ME"/>
          <w14:ligatures w14:val="none"/>
        </w:rPr>
        <w:t xml:space="preserve">, </w:t>
      </w:r>
      <w:r w:rsidR="00AA136E" w:rsidRPr="00AA136E">
        <w:rPr>
          <w:rFonts w:ascii="Calibri" w:eastAsia="Calibri" w:hAnsi="Calibri" w:cs="Calibri"/>
          <w:kern w:val="0"/>
          <w:sz w:val="24"/>
          <w:szCs w:val="24"/>
          <w14:ligatures w14:val="none"/>
        </w:rPr>
        <w:t>te</w:t>
      </w:r>
      <w:r w:rsidR="00AA136E" w:rsidRPr="00AA136E">
        <w:rPr>
          <w:rFonts w:ascii="Calibri" w:eastAsia="Calibri" w:hAnsi="Calibri" w:cs="Calibri"/>
          <w:kern w:val="0"/>
          <w:sz w:val="24"/>
          <w:szCs w:val="24"/>
          <w:lang w:val="sr-Latn-ME"/>
          <w14:ligatures w14:val="none"/>
        </w:rPr>
        <w:t xml:space="preserve"> </w:t>
      </w:r>
      <w:r w:rsidR="00AA136E" w:rsidRPr="00AA136E">
        <w:rPr>
          <w:rFonts w:ascii="Calibri" w:eastAsia="Calibri" w:hAnsi="Calibri" w:cs="Calibri"/>
          <w:kern w:val="0"/>
          <w:sz w:val="24"/>
          <w:szCs w:val="24"/>
          <w14:ligatures w14:val="none"/>
        </w:rPr>
        <w:t>preporuke</w:t>
      </w:r>
      <w:r w:rsidR="00AA136E" w:rsidRPr="00AA136E">
        <w:rPr>
          <w:rFonts w:ascii="Calibri" w:eastAsia="Calibri" w:hAnsi="Calibri" w:cs="Calibri"/>
          <w:kern w:val="0"/>
          <w:sz w:val="24"/>
          <w:szCs w:val="24"/>
          <w:lang w:val="sr-Latn-ME"/>
          <w14:ligatures w14:val="none"/>
        </w:rPr>
        <w:t xml:space="preserve"> </w:t>
      </w:r>
      <w:r w:rsidR="00AA136E" w:rsidRPr="00AA136E">
        <w:rPr>
          <w:rFonts w:ascii="Calibri" w:eastAsia="Calibri" w:hAnsi="Calibri" w:cs="Calibri"/>
          <w:kern w:val="0"/>
          <w:sz w:val="24"/>
          <w:szCs w:val="24"/>
          <w14:ligatures w14:val="none"/>
        </w:rPr>
        <w:t>Inovacione</w:t>
      </w:r>
      <w:r w:rsidR="00AA136E" w:rsidRPr="00AA136E">
        <w:rPr>
          <w:rFonts w:ascii="Calibri" w:eastAsia="Calibri" w:hAnsi="Calibri" w:cs="Calibri"/>
          <w:kern w:val="0"/>
          <w:sz w:val="24"/>
          <w:szCs w:val="24"/>
          <w:lang w:val="sr-Latn-ME"/>
          <w14:ligatures w14:val="none"/>
        </w:rPr>
        <w:t xml:space="preserve"> </w:t>
      </w:r>
      <w:r w:rsidR="00AA136E" w:rsidRPr="00AA136E">
        <w:rPr>
          <w:rFonts w:ascii="Calibri" w:eastAsia="Calibri" w:hAnsi="Calibri" w:cs="Calibri"/>
          <w:kern w:val="0"/>
          <w:sz w:val="24"/>
          <w:szCs w:val="24"/>
          <w14:ligatures w14:val="none"/>
        </w:rPr>
        <w:t>radne</w:t>
      </w:r>
      <w:r w:rsidR="00AA136E" w:rsidRPr="00AA136E">
        <w:rPr>
          <w:rFonts w:ascii="Calibri" w:eastAsia="Calibri" w:hAnsi="Calibri" w:cs="Calibri"/>
          <w:kern w:val="0"/>
          <w:sz w:val="24"/>
          <w:szCs w:val="24"/>
          <w:lang w:val="sr-Latn-ME"/>
          <w14:ligatures w14:val="none"/>
        </w:rPr>
        <w:t xml:space="preserve"> </w:t>
      </w:r>
      <w:r w:rsidR="00AA136E" w:rsidRPr="00AA136E">
        <w:rPr>
          <w:rFonts w:ascii="Calibri" w:eastAsia="Calibri" w:hAnsi="Calibri" w:cs="Calibri"/>
          <w:kern w:val="0"/>
          <w:sz w:val="24"/>
          <w:szCs w:val="24"/>
          <w14:ligatures w14:val="none"/>
        </w:rPr>
        <w:t>grupe</w:t>
      </w:r>
      <w:r w:rsidR="00AA136E" w:rsidRPr="00AA136E">
        <w:rPr>
          <w:rFonts w:ascii="Calibri" w:eastAsia="Calibri" w:hAnsi="Calibri" w:cs="Calibri"/>
          <w:kern w:val="0"/>
          <w:sz w:val="24"/>
          <w:szCs w:val="24"/>
          <w:lang w:val="sr-Latn-ME"/>
          <w14:ligatures w14:val="none"/>
        </w:rPr>
        <w:t xml:space="preserve"> za S3 prioritetnu oblast „Energija i održiva životna sredina</w:t>
      </w:r>
      <w:r w:rsidR="00AA136E">
        <w:rPr>
          <w:rFonts w:ascii="Calibri" w:eastAsia="Calibri" w:hAnsi="Calibri" w:cs="Calibri"/>
          <w:kern w:val="0"/>
          <w:sz w:val="24"/>
          <w:szCs w:val="24"/>
          <w:lang w:val="sr-Latn-ME"/>
          <w14:ligatures w14:val="none"/>
        </w:rPr>
        <w:t>.</w:t>
      </w:r>
      <w:r w:rsidR="00AA136E" w:rsidRPr="00AA136E">
        <w:rPr>
          <w:rFonts w:ascii="Calibri" w:eastAsia="Calibri" w:hAnsi="Calibri" w:cs="Calibri"/>
          <w:kern w:val="0"/>
          <w:sz w:val="24"/>
          <w:szCs w:val="24"/>
          <w:lang w:val="sr-Latn-ME"/>
          <w14:ligatures w14:val="none"/>
        </w:rPr>
        <w:t>“</w:t>
      </w:r>
      <w:r w:rsidR="00AA136E" w:rsidRPr="00AA136E">
        <w:rPr>
          <w:rFonts w:ascii="Times New Roman" w:eastAsia="Calibri" w:hAnsi="Times New Roman" w:cs="Times New Roman"/>
          <w:kern w:val="0"/>
          <w:sz w:val="24"/>
          <w:szCs w:val="24"/>
          <w14:ligatures w14:val="none"/>
        </w:rPr>
        <w:t xml:space="preserve"> </w:t>
      </w:r>
      <w:r w:rsidRPr="00416A69">
        <w:rPr>
          <w:rFonts w:cstheme="minorHAnsi"/>
          <w:sz w:val="24"/>
          <w:szCs w:val="24"/>
        </w:rPr>
        <w:t>Tehnološki razvoj i inovacije prepoznate su kao horizontalna oblast, odnosno kao jedan od značajnih preduslova za cirkularnu tranziciju crnogorske ekonomije. Prateći ciljeve Zelene Agende za EU i za Zapadni Balkan, započeto je planiranje reformskih aktivnosti koje se odnose na analizu mjera politike koje podstiču inovacije i pametnu specijalizaciju u Crnoj Gori, kao i definisanje novih ključnih inicijativa koje će dati usmjereniji odgovor na ciljeve utvrđene u ovim agendama, a u saradnji sa EU kroz mehanizam IPA III EU Reform Facility (EURIF). U međuvremenu, započete su konkretne aktivnosti</w:t>
      </w:r>
      <w:r w:rsidR="00082B85">
        <w:rPr>
          <w:rFonts w:cstheme="minorHAnsi"/>
          <w:sz w:val="24"/>
          <w:szCs w:val="24"/>
        </w:rPr>
        <w:t xml:space="preserve"> </w:t>
      </w:r>
      <w:r w:rsidRPr="00416A69">
        <w:rPr>
          <w:rFonts w:cstheme="minorHAnsi"/>
          <w:sz w:val="24"/>
          <w:szCs w:val="24"/>
        </w:rPr>
        <w:t xml:space="preserve">na  uspostavljanju i realizaciji pilot mehanizama finansijske podrške za uvođenje inovativnih rješenja i novih tehnologija, koje će dovesti do poboljšanja energetske efikasnosti i povećanja korišćenja obnovljivih izvora energije od strane preduzeća u sektoru prerađivačke industrije, a što će doprinijeti daljem razvoju zelene ekonomije, kroz sinergiju politike pametne specijalizacije sa </w:t>
      </w:r>
      <w:r w:rsidR="005A7858">
        <w:rPr>
          <w:rFonts w:cstheme="minorHAnsi"/>
          <w:sz w:val="24"/>
          <w:szCs w:val="24"/>
        </w:rPr>
        <w:t>i</w:t>
      </w:r>
      <w:r w:rsidRPr="00416A69">
        <w:rPr>
          <w:rFonts w:cstheme="minorHAnsi"/>
          <w:sz w:val="24"/>
          <w:szCs w:val="24"/>
        </w:rPr>
        <w:t xml:space="preserve">ndustrijskom i </w:t>
      </w:r>
      <w:r w:rsidR="005A7858">
        <w:rPr>
          <w:rFonts w:cstheme="minorHAnsi"/>
          <w:sz w:val="24"/>
          <w:szCs w:val="24"/>
        </w:rPr>
        <w:t>e</w:t>
      </w:r>
      <w:r w:rsidRPr="00416A69">
        <w:rPr>
          <w:rFonts w:cstheme="minorHAnsi"/>
          <w:sz w:val="24"/>
          <w:szCs w:val="24"/>
        </w:rPr>
        <w:t xml:space="preserve">nergetskom politikom. Ova vrsta podsticaja doprinosi rješavanju izazova i prioriteta u sektoru prerađivačke industrije, utičući na smanjenje potrošnje energije, energetskog intenziteta, emisiju ugljen-dioksida, troškove proizvodnje, kao i bolje korišćenje resursa. </w:t>
      </w:r>
      <w:r w:rsidRPr="00416A69">
        <w:rPr>
          <w:rFonts w:cstheme="minorHAnsi"/>
          <w:bCs/>
          <w:sz w:val="24"/>
          <w:szCs w:val="24"/>
        </w:rPr>
        <w:t xml:space="preserve">Nabavkom proizvodne opreme i uvođenjem digitalnih rješenja, privredni subjekti će biti u mogućnosti da unaprijede proizvodne procese, ostvare uštede u potrošnji energije i jačaju kapacitete stručnih lica za upravljanje energijom u preduzeću. </w:t>
      </w:r>
      <w:r w:rsidRPr="00416A69">
        <w:rPr>
          <w:rFonts w:cstheme="minorHAnsi"/>
          <w:sz w:val="24"/>
          <w:szCs w:val="24"/>
        </w:rPr>
        <w:t>Takođe, planirana je i šema intersektorske mobilnosti za mlade istraživače u kontekstu zelene ekonomije kroz podršku iz EU IPA III 2024, čime se želi utičati na jačanje vještina i transfer znanja kroz mehanizam mobilnosti između sektora nauke i privrede.</w:t>
      </w:r>
    </w:p>
    <w:p w14:paraId="318A9E9E" w14:textId="77777777" w:rsidR="00E41591" w:rsidRPr="00AA136E" w:rsidRDefault="00E41591" w:rsidP="00AA136E">
      <w:pPr>
        <w:spacing w:after="0" w:line="240" w:lineRule="auto"/>
        <w:jc w:val="both"/>
        <w:rPr>
          <w:rFonts w:ascii="Times New Roman" w:eastAsia="Calibri" w:hAnsi="Times New Roman" w:cs="Times New Roman"/>
          <w:kern w:val="0"/>
          <w:sz w:val="24"/>
          <w:szCs w:val="24"/>
          <w14:ligatures w14:val="none"/>
        </w:rPr>
      </w:pPr>
    </w:p>
    <w:p w14:paraId="74979DF1" w14:textId="77777777" w:rsidR="00416A69" w:rsidRPr="00416A69" w:rsidRDefault="00416A69" w:rsidP="00416A69">
      <w:pPr>
        <w:jc w:val="both"/>
        <w:rPr>
          <w:rFonts w:cstheme="minorHAnsi"/>
          <w:b/>
          <w:bCs/>
          <w:sz w:val="24"/>
          <w:szCs w:val="24"/>
        </w:rPr>
      </w:pPr>
      <w:r w:rsidRPr="00416A69">
        <w:rPr>
          <w:rFonts w:cstheme="minorHAnsi"/>
          <w:sz w:val="24"/>
          <w:szCs w:val="24"/>
        </w:rPr>
        <w:t xml:space="preserve"> </w:t>
      </w:r>
      <w:r w:rsidRPr="00416A69">
        <w:rPr>
          <w:rFonts w:cstheme="minorHAnsi"/>
          <w:b/>
          <w:bCs/>
          <w:sz w:val="24"/>
          <w:szCs w:val="24"/>
        </w:rPr>
        <w:t>Aktivnosti planirane za 2024:</w:t>
      </w:r>
      <w:r w:rsidRPr="00416A69">
        <w:rPr>
          <w:rFonts w:cstheme="minorHAnsi"/>
          <w:sz w:val="24"/>
          <w:szCs w:val="24"/>
        </w:rPr>
        <w:t xml:space="preserve"> </w:t>
      </w:r>
    </w:p>
    <w:p w14:paraId="26CF3C80" w14:textId="28199843" w:rsidR="00416A69" w:rsidRPr="00416A69" w:rsidRDefault="00416A69" w:rsidP="00FD3827">
      <w:pPr>
        <w:pStyle w:val="ListParagraph"/>
        <w:numPr>
          <w:ilvl w:val="0"/>
          <w:numId w:val="6"/>
        </w:numPr>
        <w:jc w:val="both"/>
        <w:rPr>
          <w:rFonts w:cstheme="minorHAnsi"/>
          <w:i/>
          <w:iCs/>
          <w:sz w:val="24"/>
          <w:szCs w:val="24"/>
        </w:rPr>
      </w:pPr>
      <w:r w:rsidRPr="00416A69">
        <w:rPr>
          <w:rFonts w:cstheme="minorHAnsi"/>
          <w:sz w:val="24"/>
          <w:szCs w:val="24"/>
        </w:rPr>
        <w:t xml:space="preserve">Realizacija Programa za podsticanje inovacija u funkciji energetske efikasnosti u industriji.  Nadležni resori: </w:t>
      </w:r>
      <w:r w:rsidR="008E01F0" w:rsidRPr="00082B85">
        <w:rPr>
          <w:rFonts w:cstheme="minorHAnsi"/>
          <w:iCs/>
          <w:sz w:val="24"/>
          <w:szCs w:val="24"/>
        </w:rPr>
        <w:t>MEIR, MER, MPNI</w:t>
      </w:r>
    </w:p>
    <w:p w14:paraId="6384A8F5" w14:textId="55715793" w:rsidR="00416A69" w:rsidRPr="00416A69" w:rsidRDefault="00416A69" w:rsidP="00FD3827">
      <w:pPr>
        <w:pStyle w:val="ListParagraph"/>
        <w:numPr>
          <w:ilvl w:val="0"/>
          <w:numId w:val="6"/>
        </w:numPr>
        <w:jc w:val="both"/>
        <w:rPr>
          <w:rFonts w:cstheme="minorHAnsi"/>
          <w:b/>
          <w:bCs/>
          <w:sz w:val="24"/>
          <w:szCs w:val="24"/>
        </w:rPr>
      </w:pPr>
      <w:r w:rsidRPr="00416A69">
        <w:rPr>
          <w:rFonts w:cstheme="minorHAnsi"/>
          <w:sz w:val="24"/>
          <w:szCs w:val="24"/>
        </w:rPr>
        <w:t xml:space="preserve">Analiza mjera politike koje podstiču nauku, inovacije i pametnu specijalizaciju u Crnoj Gori i pripremne aktivnosti na definisanju novih ključnih inicijativa u oblasti nauke i inovacija za Zelenu Agendu. </w:t>
      </w:r>
      <w:r w:rsidR="008E01F0" w:rsidRPr="00082B85">
        <w:rPr>
          <w:rFonts w:cstheme="minorHAnsi"/>
          <w:iCs/>
          <w:sz w:val="24"/>
          <w:szCs w:val="24"/>
        </w:rPr>
        <w:t>MPNI</w:t>
      </w:r>
    </w:p>
    <w:p w14:paraId="7ED03BA4" w14:textId="222B9143" w:rsidR="00FA75BE" w:rsidRPr="00FA75BE" w:rsidRDefault="00416A69" w:rsidP="00FD3827">
      <w:pPr>
        <w:pStyle w:val="ListParagraph"/>
        <w:numPr>
          <w:ilvl w:val="0"/>
          <w:numId w:val="6"/>
        </w:numPr>
        <w:jc w:val="both"/>
        <w:rPr>
          <w:rFonts w:cstheme="minorHAnsi"/>
          <w:b/>
          <w:bCs/>
          <w:i/>
          <w:iCs/>
          <w:sz w:val="24"/>
          <w:szCs w:val="24"/>
        </w:rPr>
      </w:pPr>
      <w:r w:rsidRPr="00416A69">
        <w:rPr>
          <w:rFonts w:cstheme="minorHAnsi"/>
          <w:sz w:val="24"/>
          <w:szCs w:val="24"/>
        </w:rPr>
        <w:t>Definisanje koncepta i „paketa“</w:t>
      </w:r>
      <w:r w:rsidR="00FA75BE">
        <w:rPr>
          <w:rFonts w:cstheme="minorHAnsi"/>
          <w:sz w:val="24"/>
          <w:szCs w:val="24"/>
        </w:rPr>
        <w:t xml:space="preserve"> </w:t>
      </w:r>
      <w:r w:rsidRPr="00416A69">
        <w:rPr>
          <w:rFonts w:cstheme="minorHAnsi"/>
          <w:sz w:val="24"/>
          <w:szCs w:val="24"/>
        </w:rPr>
        <w:t xml:space="preserve">podrške za podsticanje prelaska privrede na cirkularni </w:t>
      </w:r>
      <w:r w:rsidRPr="00FA75BE">
        <w:rPr>
          <w:rFonts w:cstheme="minorHAnsi"/>
          <w:sz w:val="24"/>
          <w:szCs w:val="24"/>
        </w:rPr>
        <w:t>model poslovanja kroz zelenu tranziciju (pripremne aktivnosti).</w:t>
      </w:r>
      <w:r w:rsidR="008422EC" w:rsidRPr="00FA75BE">
        <w:rPr>
          <w:rFonts w:cstheme="minorHAnsi"/>
          <w:sz w:val="24"/>
          <w:szCs w:val="24"/>
        </w:rPr>
        <w:t xml:space="preserve"> </w:t>
      </w:r>
      <w:r w:rsidR="008E01F0" w:rsidRPr="00082B85">
        <w:rPr>
          <w:rFonts w:cstheme="minorHAnsi"/>
          <w:iCs/>
          <w:sz w:val="24"/>
          <w:szCs w:val="24"/>
        </w:rPr>
        <w:t>MER, MEIR</w:t>
      </w:r>
    </w:p>
    <w:p w14:paraId="12FE7C4A" w14:textId="0C0DA3A9" w:rsidR="00FA75BE" w:rsidRPr="00950CE6" w:rsidRDefault="00FA75BE" w:rsidP="00FD3827">
      <w:pPr>
        <w:pStyle w:val="ListParagraph"/>
        <w:numPr>
          <w:ilvl w:val="0"/>
          <w:numId w:val="6"/>
        </w:numPr>
        <w:jc w:val="both"/>
        <w:rPr>
          <w:rFonts w:cstheme="minorHAnsi"/>
          <w:b/>
          <w:bCs/>
          <w:i/>
          <w:iCs/>
          <w:sz w:val="24"/>
          <w:szCs w:val="24"/>
        </w:rPr>
      </w:pPr>
      <w:r w:rsidRPr="00950CE6">
        <w:rPr>
          <w:rFonts w:ascii="Calibri" w:eastAsia="Calibri" w:hAnsi="Calibri" w:cs="Times New Roman"/>
          <w:sz w:val="24"/>
          <w:szCs w:val="24"/>
          <w14:ligatures w14:val="none"/>
        </w:rPr>
        <w:t xml:space="preserve">Donošenje Zakona o upravljanju otpadom koji će uključiti strožija pravila Razvoj i primjena strožih propisa o upravljanju plastikom. </w:t>
      </w:r>
      <w:r w:rsidRPr="00950CE6">
        <w:rPr>
          <w:rFonts w:ascii="Calibri" w:eastAsia="Calibri" w:hAnsi="Calibri" w:cs="Times New Roman"/>
          <w:iCs/>
          <w:sz w:val="24"/>
          <w:szCs w:val="24"/>
          <w14:ligatures w14:val="none"/>
        </w:rPr>
        <w:t xml:space="preserve">MTEORIS </w:t>
      </w:r>
    </w:p>
    <w:p w14:paraId="018EF725" w14:textId="6D8AD982" w:rsidR="00FA75BE" w:rsidRDefault="00FA75BE" w:rsidP="00FA75BE">
      <w:pPr>
        <w:ind w:left="360"/>
        <w:jc w:val="both"/>
        <w:rPr>
          <w:rFonts w:cstheme="minorHAnsi"/>
          <w:b/>
          <w:bCs/>
          <w:i/>
          <w:iCs/>
          <w:sz w:val="24"/>
          <w:szCs w:val="24"/>
        </w:rPr>
      </w:pPr>
    </w:p>
    <w:p w14:paraId="64A17C54" w14:textId="77777777" w:rsidR="00082B85" w:rsidRPr="00FA75BE" w:rsidRDefault="00082B85" w:rsidP="000968F6">
      <w:pPr>
        <w:jc w:val="both"/>
        <w:rPr>
          <w:rFonts w:cstheme="minorHAnsi"/>
          <w:b/>
          <w:bCs/>
          <w:i/>
          <w:iCs/>
          <w:sz w:val="24"/>
          <w:szCs w:val="24"/>
        </w:rPr>
      </w:pPr>
    </w:p>
    <w:p w14:paraId="5200FD32" w14:textId="46B2ED63" w:rsidR="00416A69" w:rsidRPr="00416A69" w:rsidRDefault="00416A69" w:rsidP="008422EC">
      <w:pPr>
        <w:jc w:val="both"/>
        <w:rPr>
          <w:rFonts w:cstheme="minorHAnsi"/>
          <w:b/>
          <w:bCs/>
          <w:sz w:val="24"/>
          <w:szCs w:val="24"/>
        </w:rPr>
      </w:pPr>
      <w:r w:rsidRPr="00416A69">
        <w:rPr>
          <w:rFonts w:cstheme="minorHAnsi"/>
          <w:b/>
          <w:bCs/>
          <w:sz w:val="24"/>
          <w:szCs w:val="24"/>
        </w:rPr>
        <w:t>Aktivnosti planirane za 2025</w:t>
      </w:r>
      <w:r w:rsidR="00FA75BE">
        <w:rPr>
          <w:rFonts w:cstheme="minorHAnsi"/>
          <w:b/>
          <w:bCs/>
          <w:sz w:val="24"/>
          <w:szCs w:val="24"/>
        </w:rPr>
        <w:t>.</w:t>
      </w:r>
    </w:p>
    <w:p w14:paraId="0AFE5337" w14:textId="09A49449" w:rsidR="00416A69" w:rsidRPr="008422EC" w:rsidRDefault="00416A69" w:rsidP="00FD3827">
      <w:pPr>
        <w:pStyle w:val="ListParagraph"/>
        <w:numPr>
          <w:ilvl w:val="0"/>
          <w:numId w:val="7"/>
        </w:numPr>
        <w:jc w:val="both"/>
        <w:rPr>
          <w:rFonts w:cstheme="minorHAnsi"/>
          <w:sz w:val="24"/>
          <w:szCs w:val="24"/>
        </w:rPr>
      </w:pPr>
      <w:r w:rsidRPr="008422EC">
        <w:rPr>
          <w:rFonts w:cstheme="minorHAnsi"/>
          <w:sz w:val="24"/>
          <w:szCs w:val="24"/>
        </w:rPr>
        <w:t xml:space="preserve">Nastavak implementacije aktivnosti kroz Program za podsticanje uvođenja inovativnih rješenja i novih tehnologija u cilju poboljšanja energetske efikasnosti u sektoru prerađivačke industrije; </w:t>
      </w:r>
      <w:r w:rsidR="008E01F0" w:rsidRPr="00082B85">
        <w:rPr>
          <w:rFonts w:cstheme="minorHAnsi"/>
          <w:iCs/>
          <w:sz w:val="24"/>
          <w:szCs w:val="24"/>
        </w:rPr>
        <w:t>MEIR, MER, MPNI</w:t>
      </w:r>
    </w:p>
    <w:p w14:paraId="38AB65B8" w14:textId="42915939" w:rsidR="008422EC" w:rsidRPr="008422EC" w:rsidRDefault="00416A69" w:rsidP="00FD3827">
      <w:pPr>
        <w:pStyle w:val="ListParagraph"/>
        <w:numPr>
          <w:ilvl w:val="0"/>
          <w:numId w:val="7"/>
        </w:numPr>
        <w:jc w:val="both"/>
        <w:rPr>
          <w:rFonts w:cstheme="minorHAnsi"/>
          <w:i/>
          <w:iCs/>
          <w:sz w:val="24"/>
          <w:szCs w:val="24"/>
        </w:rPr>
      </w:pPr>
      <w:r w:rsidRPr="008422EC">
        <w:rPr>
          <w:rFonts w:cstheme="minorHAnsi"/>
          <w:sz w:val="24"/>
          <w:szCs w:val="24"/>
        </w:rPr>
        <w:t>Priprema i usvajanje novih ključnih inicijativa u nauci i inovacijama za Zelenu Agendu</w:t>
      </w:r>
      <w:r w:rsidR="008422EC" w:rsidRPr="008422EC">
        <w:rPr>
          <w:rFonts w:cstheme="minorHAnsi"/>
          <w:sz w:val="24"/>
          <w:szCs w:val="24"/>
        </w:rPr>
        <w:t xml:space="preserve">. </w:t>
      </w:r>
      <w:r w:rsidR="008E01F0" w:rsidRPr="00082B85">
        <w:rPr>
          <w:rFonts w:cstheme="minorHAnsi"/>
          <w:iCs/>
          <w:sz w:val="24"/>
          <w:szCs w:val="24"/>
        </w:rPr>
        <w:t>MPNI</w:t>
      </w:r>
    </w:p>
    <w:p w14:paraId="57BFEA6E" w14:textId="77777777" w:rsidR="0044350E" w:rsidRDefault="00416A69" w:rsidP="00FD3827">
      <w:pPr>
        <w:pStyle w:val="ListParagraph"/>
        <w:numPr>
          <w:ilvl w:val="0"/>
          <w:numId w:val="7"/>
        </w:numPr>
        <w:jc w:val="both"/>
        <w:rPr>
          <w:rFonts w:cstheme="minorHAnsi"/>
          <w:i/>
          <w:iCs/>
          <w:sz w:val="24"/>
          <w:szCs w:val="24"/>
        </w:rPr>
      </w:pPr>
      <w:r w:rsidRPr="008422EC">
        <w:rPr>
          <w:rFonts w:cstheme="minorHAnsi"/>
          <w:sz w:val="24"/>
          <w:szCs w:val="24"/>
        </w:rPr>
        <w:t>Priprema i usvajanje ključnih programskih aktivnosti za dalje jačanje privrede i prilagođavanje na novi cirkularni model poslovanja</w:t>
      </w:r>
      <w:r w:rsidR="008422EC">
        <w:rPr>
          <w:rFonts w:cstheme="minorHAnsi"/>
          <w:sz w:val="24"/>
          <w:szCs w:val="24"/>
        </w:rPr>
        <w:t xml:space="preserve">. </w:t>
      </w:r>
      <w:r w:rsidR="00947F5A" w:rsidRPr="00082B85">
        <w:rPr>
          <w:rFonts w:cstheme="minorHAnsi"/>
          <w:iCs/>
          <w:sz w:val="24"/>
          <w:szCs w:val="24"/>
        </w:rPr>
        <w:t>MER</w:t>
      </w:r>
    </w:p>
    <w:p w14:paraId="7BA2BC7A" w14:textId="485B2657" w:rsidR="0044350E" w:rsidRPr="00950CE6" w:rsidRDefault="0044350E" w:rsidP="00FD3827">
      <w:pPr>
        <w:pStyle w:val="ListParagraph"/>
        <w:numPr>
          <w:ilvl w:val="0"/>
          <w:numId w:val="7"/>
        </w:numPr>
        <w:jc w:val="both"/>
        <w:rPr>
          <w:rFonts w:cstheme="minorHAnsi"/>
          <w:i/>
          <w:iCs/>
          <w:sz w:val="24"/>
          <w:szCs w:val="24"/>
        </w:rPr>
      </w:pPr>
      <w:r w:rsidRPr="00950CE6">
        <w:rPr>
          <w:rFonts w:ascii="Calibri" w:eastAsia="Calibri" w:hAnsi="Calibri" w:cs="Calibri"/>
          <w:sz w:val="24"/>
          <w:szCs w:val="24"/>
          <w14:ligatures w14:val="none"/>
        </w:rPr>
        <w:t xml:space="preserve">Realizacija kampanje podizanje svijesti svih aktera i edukativne obuke u vrijednosnom lancu </w:t>
      </w:r>
      <w:r w:rsidRPr="00950CE6">
        <w:rPr>
          <w:rFonts w:ascii="Calibri" w:eastAsia="Calibri" w:hAnsi="Calibri" w:cs="Calibri"/>
          <w:kern w:val="0"/>
          <w:sz w:val="24"/>
          <w:szCs w:val="24"/>
          <w14:ligatures w14:val="none"/>
        </w:rPr>
        <w:t xml:space="preserve">plastike za jednokratnu upotrebu i njenom štetnom negativnom uticaju na životnu sredinu. </w:t>
      </w:r>
      <w:r w:rsidRPr="00950CE6">
        <w:rPr>
          <w:rFonts w:ascii="Calibri" w:eastAsia="Calibri" w:hAnsi="Calibri" w:cs="Calibri"/>
          <w:iCs/>
          <w:kern w:val="0"/>
          <w:sz w:val="24"/>
          <w:szCs w:val="24"/>
          <w14:ligatures w14:val="none"/>
        </w:rPr>
        <w:t>GSV</w:t>
      </w:r>
    </w:p>
    <w:p w14:paraId="5711069D" w14:textId="77777777" w:rsidR="0044350E" w:rsidRPr="0044350E" w:rsidRDefault="00416A69" w:rsidP="00FD3827">
      <w:pPr>
        <w:pStyle w:val="ListParagraph"/>
        <w:numPr>
          <w:ilvl w:val="0"/>
          <w:numId w:val="7"/>
        </w:numPr>
        <w:jc w:val="both"/>
        <w:rPr>
          <w:rFonts w:cstheme="minorHAnsi"/>
          <w:i/>
          <w:iCs/>
          <w:sz w:val="24"/>
          <w:szCs w:val="24"/>
        </w:rPr>
      </w:pPr>
      <w:r w:rsidRPr="0044350E">
        <w:rPr>
          <w:rFonts w:cstheme="minorHAnsi"/>
          <w:b/>
          <w:bCs/>
          <w:sz w:val="24"/>
          <w:szCs w:val="24"/>
        </w:rPr>
        <w:t>Aktivnosti planirane za 2026</w:t>
      </w:r>
      <w:r w:rsidR="0044350E">
        <w:rPr>
          <w:rFonts w:cstheme="minorHAnsi"/>
          <w:b/>
          <w:bCs/>
          <w:sz w:val="24"/>
          <w:szCs w:val="24"/>
        </w:rPr>
        <w:t>.</w:t>
      </w:r>
    </w:p>
    <w:p w14:paraId="5F08D717" w14:textId="4BD21F8B" w:rsidR="00416A69" w:rsidRPr="00082B85" w:rsidRDefault="00416A69" w:rsidP="00FD3827">
      <w:pPr>
        <w:pStyle w:val="ListParagraph"/>
        <w:numPr>
          <w:ilvl w:val="0"/>
          <w:numId w:val="7"/>
        </w:numPr>
        <w:jc w:val="both"/>
        <w:rPr>
          <w:rFonts w:cstheme="minorHAnsi"/>
          <w:iCs/>
          <w:sz w:val="24"/>
          <w:szCs w:val="24"/>
        </w:rPr>
      </w:pPr>
      <w:r w:rsidRPr="0044350E">
        <w:rPr>
          <w:rFonts w:cstheme="minorHAnsi"/>
          <w:sz w:val="24"/>
          <w:szCs w:val="24"/>
        </w:rPr>
        <w:t xml:space="preserve"> Šema intersektorske mobilnosti za zelenu tranziciju</w:t>
      </w:r>
      <w:r w:rsidR="008422EC" w:rsidRPr="0044350E">
        <w:rPr>
          <w:rFonts w:cstheme="minorHAnsi"/>
          <w:sz w:val="24"/>
          <w:szCs w:val="24"/>
        </w:rPr>
        <w:t xml:space="preserve">. Nadležni: </w:t>
      </w:r>
      <w:r w:rsidRPr="0044350E">
        <w:rPr>
          <w:rFonts w:cstheme="minorHAnsi"/>
          <w:sz w:val="24"/>
          <w:szCs w:val="24"/>
        </w:rPr>
        <w:t xml:space="preserve"> </w:t>
      </w:r>
      <w:r w:rsidR="00947F5A" w:rsidRPr="00082B85">
        <w:rPr>
          <w:rFonts w:cstheme="minorHAnsi"/>
          <w:iCs/>
          <w:sz w:val="24"/>
          <w:szCs w:val="24"/>
        </w:rPr>
        <w:t>MER; MPNI</w:t>
      </w:r>
      <w:r w:rsidR="008422EC" w:rsidRPr="00082B85">
        <w:rPr>
          <w:rFonts w:cstheme="minorHAnsi"/>
          <w:iCs/>
          <w:sz w:val="24"/>
          <w:szCs w:val="24"/>
        </w:rPr>
        <w:t xml:space="preserve"> </w:t>
      </w:r>
      <w:r w:rsidR="00947F5A" w:rsidRPr="00082B85">
        <w:rPr>
          <w:rFonts w:cstheme="minorHAnsi"/>
          <w:iCs/>
          <w:sz w:val="24"/>
          <w:szCs w:val="24"/>
        </w:rPr>
        <w:t xml:space="preserve">, MF kroz </w:t>
      </w:r>
      <w:r w:rsidRPr="00082B85">
        <w:rPr>
          <w:rFonts w:cstheme="minorHAnsi"/>
          <w:iCs/>
          <w:sz w:val="24"/>
          <w:szCs w:val="24"/>
        </w:rPr>
        <w:t>IPA III AF 2024</w:t>
      </w:r>
      <w:r w:rsidR="008422EC" w:rsidRPr="00082B85">
        <w:rPr>
          <w:rFonts w:cstheme="minorHAnsi"/>
          <w:iCs/>
          <w:sz w:val="24"/>
          <w:szCs w:val="24"/>
        </w:rPr>
        <w:t>.</w:t>
      </w:r>
    </w:p>
    <w:p w14:paraId="695B362E" w14:textId="22C7D2C8" w:rsidR="00416A69" w:rsidRPr="008422EC" w:rsidRDefault="00416A69" w:rsidP="00FD3827">
      <w:pPr>
        <w:pStyle w:val="ListParagraph"/>
        <w:numPr>
          <w:ilvl w:val="0"/>
          <w:numId w:val="8"/>
        </w:numPr>
        <w:jc w:val="both"/>
        <w:rPr>
          <w:rFonts w:cstheme="minorHAnsi"/>
          <w:b/>
          <w:bCs/>
          <w:sz w:val="24"/>
          <w:szCs w:val="24"/>
        </w:rPr>
      </w:pPr>
      <w:r w:rsidRPr="008422EC">
        <w:rPr>
          <w:rFonts w:cstheme="minorHAnsi"/>
          <w:sz w:val="24"/>
          <w:szCs w:val="24"/>
        </w:rPr>
        <w:t>Sprovođenje ključnih inicijativa u nauci i inovacijama za Zelenu Agendu.</w:t>
      </w:r>
    </w:p>
    <w:p w14:paraId="6B3A6158" w14:textId="77777777" w:rsidR="00416A69" w:rsidRPr="00416A69" w:rsidRDefault="00416A69" w:rsidP="00416A69">
      <w:pPr>
        <w:jc w:val="both"/>
        <w:rPr>
          <w:rFonts w:cstheme="minorHAnsi"/>
          <w:b/>
          <w:bCs/>
          <w:sz w:val="24"/>
          <w:szCs w:val="24"/>
        </w:rPr>
      </w:pPr>
      <w:r w:rsidRPr="00416A69">
        <w:rPr>
          <w:rFonts w:cstheme="minorHAnsi"/>
          <w:b/>
          <w:bCs/>
          <w:sz w:val="24"/>
          <w:szCs w:val="24"/>
        </w:rPr>
        <w:t>2. Indikator rezultata.</w:t>
      </w:r>
    </w:p>
    <w:tbl>
      <w:tblPr>
        <w:tblStyle w:val="GridTable6Colorful-Accent5"/>
        <w:tblW w:w="9360" w:type="dxa"/>
        <w:tblLayout w:type="fixed"/>
        <w:tblLook w:val="04A0" w:firstRow="1" w:lastRow="0" w:firstColumn="1" w:lastColumn="0" w:noHBand="0" w:noVBand="1"/>
      </w:tblPr>
      <w:tblGrid>
        <w:gridCol w:w="4765"/>
        <w:gridCol w:w="1445"/>
        <w:gridCol w:w="1620"/>
        <w:gridCol w:w="1530"/>
      </w:tblGrid>
      <w:tr w:rsidR="002C5D8F" w:rsidRPr="00082B85" w14:paraId="767F9334" w14:textId="77777777" w:rsidTr="002C5D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5" w:type="dxa"/>
          </w:tcPr>
          <w:p w14:paraId="39B5569E" w14:textId="7C707CA5" w:rsidR="00416A69" w:rsidRPr="00082B85" w:rsidRDefault="00416A69" w:rsidP="00082B85">
            <w:pPr>
              <w:jc w:val="center"/>
              <w:rPr>
                <w:rFonts w:cstheme="minorHAnsi"/>
                <w:b w:val="0"/>
                <w:color w:val="auto"/>
                <w:sz w:val="20"/>
                <w:szCs w:val="20"/>
              </w:rPr>
            </w:pPr>
            <w:r w:rsidRPr="00082B85">
              <w:rPr>
                <w:rFonts w:cstheme="minorHAnsi"/>
                <w:color w:val="auto"/>
                <w:sz w:val="20"/>
                <w:szCs w:val="20"/>
              </w:rPr>
              <w:t>Indikator</w:t>
            </w:r>
          </w:p>
        </w:tc>
        <w:tc>
          <w:tcPr>
            <w:tcW w:w="1445" w:type="dxa"/>
          </w:tcPr>
          <w:p w14:paraId="7CC8C9BB" w14:textId="026AC6D2" w:rsidR="00416A69" w:rsidRPr="00082B85" w:rsidRDefault="00416A69" w:rsidP="00082B85">
            <w:pPr>
              <w:jc w:val="center"/>
              <w:cnfStyle w:val="100000000000" w:firstRow="1" w:lastRow="0" w:firstColumn="0" w:lastColumn="0" w:oddVBand="0" w:evenVBand="0" w:oddHBand="0" w:evenHBand="0" w:firstRowFirstColumn="0" w:firstRowLastColumn="0" w:lastRowFirstColumn="0" w:lastRowLastColumn="0"/>
              <w:rPr>
                <w:rFonts w:cstheme="minorHAnsi"/>
                <w:b w:val="0"/>
                <w:color w:val="auto"/>
                <w:sz w:val="20"/>
                <w:szCs w:val="20"/>
              </w:rPr>
            </w:pPr>
            <w:r w:rsidRPr="00082B85">
              <w:rPr>
                <w:rFonts w:cstheme="minorHAnsi"/>
                <w:color w:val="auto"/>
                <w:sz w:val="20"/>
                <w:szCs w:val="20"/>
              </w:rPr>
              <w:t>Početna vrijednost</w:t>
            </w:r>
          </w:p>
          <w:p w14:paraId="3DEFFF13" w14:textId="77777777" w:rsidR="00416A69" w:rsidRPr="00082B85" w:rsidRDefault="00416A69" w:rsidP="00082B85">
            <w:pPr>
              <w:jc w:val="center"/>
              <w:cnfStyle w:val="100000000000" w:firstRow="1" w:lastRow="0" w:firstColumn="0" w:lastColumn="0" w:oddVBand="0" w:evenVBand="0" w:oddHBand="0" w:evenHBand="0" w:firstRowFirstColumn="0" w:firstRowLastColumn="0" w:lastRowFirstColumn="0" w:lastRowLastColumn="0"/>
              <w:rPr>
                <w:rFonts w:cstheme="minorHAnsi"/>
                <w:b w:val="0"/>
                <w:color w:val="auto"/>
                <w:sz w:val="20"/>
                <w:szCs w:val="20"/>
              </w:rPr>
            </w:pPr>
            <w:r w:rsidRPr="00082B85">
              <w:rPr>
                <w:rFonts w:cstheme="minorHAnsi"/>
                <w:color w:val="auto"/>
                <w:sz w:val="20"/>
                <w:szCs w:val="20"/>
              </w:rPr>
              <w:t>(2023. godina)</w:t>
            </w:r>
          </w:p>
        </w:tc>
        <w:tc>
          <w:tcPr>
            <w:tcW w:w="1620" w:type="dxa"/>
          </w:tcPr>
          <w:p w14:paraId="3B19445C" w14:textId="77777777" w:rsidR="00416A69" w:rsidRPr="00082B85" w:rsidRDefault="00416A69" w:rsidP="00082B85">
            <w:pPr>
              <w:jc w:val="center"/>
              <w:cnfStyle w:val="100000000000" w:firstRow="1" w:lastRow="0" w:firstColumn="0" w:lastColumn="0" w:oddVBand="0" w:evenVBand="0" w:oddHBand="0" w:evenHBand="0" w:firstRowFirstColumn="0" w:firstRowLastColumn="0" w:lastRowFirstColumn="0" w:lastRowLastColumn="0"/>
              <w:rPr>
                <w:rFonts w:cstheme="minorHAnsi"/>
                <w:b w:val="0"/>
                <w:color w:val="auto"/>
                <w:sz w:val="20"/>
                <w:szCs w:val="20"/>
              </w:rPr>
            </w:pPr>
            <w:r w:rsidRPr="00082B85">
              <w:rPr>
                <w:rFonts w:cstheme="minorHAnsi"/>
                <w:color w:val="auto"/>
                <w:sz w:val="20"/>
                <w:szCs w:val="20"/>
              </w:rPr>
              <w:t>Međurezultat</w:t>
            </w:r>
          </w:p>
          <w:p w14:paraId="536049B3" w14:textId="77777777" w:rsidR="00416A69" w:rsidRPr="00082B85" w:rsidRDefault="00416A69" w:rsidP="00082B85">
            <w:pPr>
              <w:jc w:val="center"/>
              <w:cnfStyle w:val="100000000000" w:firstRow="1" w:lastRow="0" w:firstColumn="0" w:lastColumn="0" w:oddVBand="0" w:evenVBand="0" w:oddHBand="0" w:evenHBand="0" w:firstRowFirstColumn="0" w:firstRowLastColumn="0" w:lastRowFirstColumn="0" w:lastRowLastColumn="0"/>
              <w:rPr>
                <w:rFonts w:cstheme="minorHAnsi"/>
                <w:b w:val="0"/>
                <w:color w:val="auto"/>
                <w:sz w:val="20"/>
                <w:szCs w:val="20"/>
              </w:rPr>
            </w:pPr>
            <w:r w:rsidRPr="00082B85">
              <w:rPr>
                <w:rFonts w:cstheme="minorHAnsi"/>
                <w:color w:val="auto"/>
                <w:sz w:val="20"/>
                <w:szCs w:val="20"/>
              </w:rPr>
              <w:t>(2025. godina)</w:t>
            </w:r>
          </w:p>
        </w:tc>
        <w:tc>
          <w:tcPr>
            <w:tcW w:w="1530" w:type="dxa"/>
          </w:tcPr>
          <w:p w14:paraId="2FF82E6C" w14:textId="77777777" w:rsidR="00416A69" w:rsidRPr="00082B85" w:rsidRDefault="00416A69" w:rsidP="00082B85">
            <w:pPr>
              <w:jc w:val="center"/>
              <w:cnfStyle w:val="100000000000" w:firstRow="1" w:lastRow="0" w:firstColumn="0" w:lastColumn="0" w:oddVBand="0" w:evenVBand="0" w:oddHBand="0" w:evenHBand="0" w:firstRowFirstColumn="0" w:firstRowLastColumn="0" w:lastRowFirstColumn="0" w:lastRowLastColumn="0"/>
              <w:rPr>
                <w:rFonts w:cstheme="minorHAnsi"/>
                <w:b w:val="0"/>
                <w:color w:val="auto"/>
                <w:sz w:val="20"/>
                <w:szCs w:val="20"/>
              </w:rPr>
            </w:pPr>
            <w:r w:rsidRPr="00082B85">
              <w:rPr>
                <w:rFonts w:cstheme="minorHAnsi"/>
                <w:color w:val="auto"/>
                <w:sz w:val="20"/>
                <w:szCs w:val="20"/>
              </w:rPr>
              <w:t>Ciljna vrijednost</w:t>
            </w:r>
          </w:p>
          <w:p w14:paraId="5F19A945" w14:textId="77777777" w:rsidR="00416A69" w:rsidRPr="00082B85" w:rsidRDefault="00416A69" w:rsidP="00082B85">
            <w:pPr>
              <w:jc w:val="center"/>
              <w:cnfStyle w:val="100000000000" w:firstRow="1" w:lastRow="0" w:firstColumn="0" w:lastColumn="0" w:oddVBand="0" w:evenVBand="0" w:oddHBand="0" w:evenHBand="0" w:firstRowFirstColumn="0" w:firstRowLastColumn="0" w:lastRowFirstColumn="0" w:lastRowLastColumn="0"/>
              <w:rPr>
                <w:rFonts w:cstheme="minorHAnsi"/>
                <w:b w:val="0"/>
                <w:color w:val="auto"/>
                <w:sz w:val="20"/>
                <w:szCs w:val="20"/>
              </w:rPr>
            </w:pPr>
            <w:r w:rsidRPr="00082B85">
              <w:rPr>
                <w:rFonts w:cstheme="minorHAnsi"/>
                <w:color w:val="auto"/>
                <w:sz w:val="20"/>
                <w:szCs w:val="20"/>
              </w:rPr>
              <w:t>(2026. godina)</w:t>
            </w:r>
          </w:p>
        </w:tc>
      </w:tr>
      <w:tr w:rsidR="002C5D8F" w:rsidRPr="00082B85" w14:paraId="677D144C" w14:textId="77777777" w:rsidTr="002C5D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5" w:type="dxa"/>
          </w:tcPr>
          <w:p w14:paraId="173F3B9D" w14:textId="77777777" w:rsidR="00416A69" w:rsidRPr="00082B85" w:rsidRDefault="00416A69" w:rsidP="00416A69">
            <w:pPr>
              <w:jc w:val="both"/>
              <w:rPr>
                <w:rFonts w:cstheme="minorHAnsi"/>
                <w:b w:val="0"/>
                <w:bCs w:val="0"/>
                <w:color w:val="auto"/>
                <w:sz w:val="20"/>
                <w:szCs w:val="20"/>
              </w:rPr>
            </w:pPr>
            <w:r w:rsidRPr="00082B85">
              <w:rPr>
                <w:rFonts w:cstheme="minorHAnsi"/>
                <w:b w:val="0"/>
                <w:bCs w:val="0"/>
                <w:color w:val="auto"/>
                <w:sz w:val="20"/>
                <w:szCs w:val="20"/>
              </w:rPr>
              <w:t xml:space="preserve">Broj preduzeća u sektoru prerađivačke industrije sa uvedenim inovativnim rješenjem i novom tehnologijom u cilju poboljšanja energetske efikasnosti  </w:t>
            </w:r>
          </w:p>
        </w:tc>
        <w:tc>
          <w:tcPr>
            <w:tcW w:w="1445" w:type="dxa"/>
          </w:tcPr>
          <w:p w14:paraId="6FDEA41D" w14:textId="77777777" w:rsidR="00416A69" w:rsidRPr="00082B85" w:rsidRDefault="00416A69" w:rsidP="005A7858">
            <w:pPr>
              <w:jc w:val="center"/>
              <w:cnfStyle w:val="000000100000" w:firstRow="0" w:lastRow="0" w:firstColumn="0" w:lastColumn="0" w:oddVBand="0" w:evenVBand="0" w:oddHBand="1" w:evenHBand="0" w:firstRowFirstColumn="0" w:firstRowLastColumn="0" w:lastRowFirstColumn="0" w:lastRowLastColumn="0"/>
              <w:rPr>
                <w:rFonts w:cstheme="minorHAnsi"/>
                <w:color w:val="auto"/>
                <w:sz w:val="20"/>
                <w:szCs w:val="20"/>
              </w:rPr>
            </w:pPr>
            <w:r w:rsidRPr="00082B85">
              <w:rPr>
                <w:rFonts w:cstheme="minorHAnsi"/>
                <w:color w:val="auto"/>
                <w:sz w:val="20"/>
                <w:szCs w:val="20"/>
              </w:rPr>
              <w:t>0</w:t>
            </w:r>
          </w:p>
        </w:tc>
        <w:tc>
          <w:tcPr>
            <w:tcW w:w="1620" w:type="dxa"/>
          </w:tcPr>
          <w:p w14:paraId="4B4AE193" w14:textId="77777777" w:rsidR="00416A69" w:rsidRPr="00082B85" w:rsidRDefault="00416A69" w:rsidP="005A7858">
            <w:pPr>
              <w:jc w:val="center"/>
              <w:cnfStyle w:val="000000100000" w:firstRow="0" w:lastRow="0" w:firstColumn="0" w:lastColumn="0" w:oddVBand="0" w:evenVBand="0" w:oddHBand="1" w:evenHBand="0" w:firstRowFirstColumn="0" w:firstRowLastColumn="0" w:lastRowFirstColumn="0" w:lastRowLastColumn="0"/>
              <w:rPr>
                <w:rFonts w:cstheme="minorHAnsi"/>
                <w:color w:val="auto"/>
                <w:sz w:val="20"/>
                <w:szCs w:val="20"/>
              </w:rPr>
            </w:pPr>
            <w:r w:rsidRPr="00082B85">
              <w:rPr>
                <w:rFonts w:cstheme="minorHAnsi"/>
                <w:color w:val="auto"/>
                <w:sz w:val="20"/>
                <w:szCs w:val="20"/>
              </w:rPr>
              <w:t>10</w:t>
            </w:r>
          </w:p>
        </w:tc>
        <w:tc>
          <w:tcPr>
            <w:tcW w:w="1530" w:type="dxa"/>
          </w:tcPr>
          <w:p w14:paraId="12BC93C1" w14:textId="77777777" w:rsidR="00416A69" w:rsidRPr="00082B85" w:rsidRDefault="00416A69" w:rsidP="005A7858">
            <w:pPr>
              <w:jc w:val="center"/>
              <w:cnfStyle w:val="000000100000" w:firstRow="0" w:lastRow="0" w:firstColumn="0" w:lastColumn="0" w:oddVBand="0" w:evenVBand="0" w:oddHBand="1" w:evenHBand="0" w:firstRowFirstColumn="0" w:firstRowLastColumn="0" w:lastRowFirstColumn="0" w:lastRowLastColumn="0"/>
              <w:rPr>
                <w:rFonts w:cstheme="minorHAnsi"/>
                <w:color w:val="auto"/>
                <w:sz w:val="20"/>
                <w:szCs w:val="20"/>
              </w:rPr>
            </w:pPr>
            <w:r w:rsidRPr="00082B85">
              <w:rPr>
                <w:rFonts w:cstheme="minorHAnsi"/>
                <w:color w:val="auto"/>
                <w:sz w:val="20"/>
                <w:szCs w:val="20"/>
              </w:rPr>
              <w:t>13</w:t>
            </w:r>
          </w:p>
        </w:tc>
      </w:tr>
      <w:tr w:rsidR="002C5D8F" w:rsidRPr="00082B85" w14:paraId="0FADC6AE" w14:textId="77777777" w:rsidTr="002C5D8F">
        <w:tc>
          <w:tcPr>
            <w:cnfStyle w:val="001000000000" w:firstRow="0" w:lastRow="0" w:firstColumn="1" w:lastColumn="0" w:oddVBand="0" w:evenVBand="0" w:oddHBand="0" w:evenHBand="0" w:firstRowFirstColumn="0" w:firstRowLastColumn="0" w:lastRowFirstColumn="0" w:lastRowLastColumn="0"/>
            <w:tcW w:w="4765" w:type="dxa"/>
          </w:tcPr>
          <w:p w14:paraId="4480A8DC" w14:textId="77777777" w:rsidR="00416A69" w:rsidRPr="00082B85" w:rsidRDefault="00416A69" w:rsidP="00416A69">
            <w:pPr>
              <w:jc w:val="both"/>
              <w:rPr>
                <w:rFonts w:cstheme="minorHAnsi"/>
                <w:b w:val="0"/>
                <w:bCs w:val="0"/>
                <w:color w:val="auto"/>
                <w:sz w:val="20"/>
                <w:szCs w:val="20"/>
              </w:rPr>
            </w:pPr>
            <w:r w:rsidRPr="00082B85">
              <w:rPr>
                <w:rFonts w:cstheme="minorHAnsi"/>
                <w:b w:val="0"/>
                <w:bCs w:val="0"/>
                <w:color w:val="auto"/>
                <w:sz w:val="20"/>
                <w:szCs w:val="20"/>
              </w:rPr>
              <w:t>Broj ključnih inicijativa u oblasti nauke i inovacija koje odgovaraju na zahtjeve Zelene agende</w:t>
            </w:r>
          </w:p>
        </w:tc>
        <w:tc>
          <w:tcPr>
            <w:tcW w:w="1445" w:type="dxa"/>
          </w:tcPr>
          <w:p w14:paraId="16DAE66D" w14:textId="77777777" w:rsidR="00416A69" w:rsidRPr="00082B85" w:rsidRDefault="00416A69" w:rsidP="005A7858">
            <w:pPr>
              <w:jc w:val="center"/>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r w:rsidRPr="00082B85">
              <w:rPr>
                <w:rFonts w:cstheme="minorHAnsi"/>
                <w:color w:val="auto"/>
                <w:sz w:val="20"/>
                <w:szCs w:val="20"/>
              </w:rPr>
              <w:t>1</w:t>
            </w:r>
          </w:p>
        </w:tc>
        <w:tc>
          <w:tcPr>
            <w:tcW w:w="1620" w:type="dxa"/>
          </w:tcPr>
          <w:p w14:paraId="66C6A9A7" w14:textId="77777777" w:rsidR="00416A69" w:rsidRPr="00082B85" w:rsidRDefault="00416A69" w:rsidP="005A7858">
            <w:pPr>
              <w:jc w:val="center"/>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r w:rsidRPr="00082B85">
              <w:rPr>
                <w:rFonts w:cstheme="minorHAnsi"/>
                <w:color w:val="auto"/>
                <w:sz w:val="20"/>
                <w:szCs w:val="20"/>
              </w:rPr>
              <w:t>2</w:t>
            </w:r>
          </w:p>
        </w:tc>
        <w:tc>
          <w:tcPr>
            <w:tcW w:w="1530" w:type="dxa"/>
          </w:tcPr>
          <w:p w14:paraId="6E676580" w14:textId="77777777" w:rsidR="00416A69" w:rsidRPr="00082B85" w:rsidRDefault="00416A69" w:rsidP="005A7858">
            <w:pPr>
              <w:jc w:val="center"/>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r w:rsidRPr="00082B85">
              <w:rPr>
                <w:rFonts w:cstheme="minorHAnsi"/>
                <w:color w:val="auto"/>
                <w:sz w:val="20"/>
                <w:szCs w:val="20"/>
              </w:rPr>
              <w:t>3</w:t>
            </w:r>
          </w:p>
        </w:tc>
      </w:tr>
    </w:tbl>
    <w:p w14:paraId="0EF1CD98" w14:textId="77777777" w:rsidR="00416A69" w:rsidRPr="00416A69" w:rsidRDefault="00416A69" w:rsidP="00416A69">
      <w:pPr>
        <w:jc w:val="both"/>
        <w:rPr>
          <w:rFonts w:cstheme="minorHAnsi"/>
          <w:b/>
          <w:bCs/>
          <w:sz w:val="24"/>
          <w:szCs w:val="24"/>
        </w:rPr>
      </w:pPr>
      <w:r w:rsidRPr="00416A69">
        <w:rPr>
          <w:rFonts w:cstheme="minorHAnsi"/>
          <w:b/>
          <w:bCs/>
          <w:sz w:val="24"/>
          <w:szCs w:val="24"/>
        </w:rPr>
        <w:t>3.Očekivani uticaj na konkurentnost.</w:t>
      </w:r>
      <w:r w:rsidRPr="00416A69">
        <w:rPr>
          <w:rFonts w:cstheme="minorHAnsi"/>
          <w:b/>
          <w:bCs/>
          <w:i/>
          <w:iCs/>
          <w:sz w:val="24"/>
          <w:szCs w:val="24"/>
        </w:rPr>
        <w:t xml:space="preserve"> </w:t>
      </w:r>
      <w:r w:rsidRPr="00416A69">
        <w:rPr>
          <w:rFonts w:cstheme="minorHAnsi"/>
          <w:sz w:val="24"/>
          <w:szCs w:val="24"/>
        </w:rPr>
        <w:t xml:space="preserve">Implementacijom programa i nabavkom proizvodne opreme i uvođenjem digitalnih rješenja, </w:t>
      </w:r>
      <w:bookmarkStart w:id="168" w:name="_Hlk151041910"/>
      <w:r w:rsidRPr="00416A69">
        <w:rPr>
          <w:rFonts w:cstheme="minorHAnsi"/>
          <w:sz w:val="24"/>
          <w:szCs w:val="24"/>
        </w:rPr>
        <w:t xml:space="preserve">privrednim subjektima </w:t>
      </w:r>
      <w:bookmarkEnd w:id="168"/>
      <w:r w:rsidRPr="00416A69">
        <w:rPr>
          <w:rFonts w:cstheme="minorHAnsi"/>
          <w:sz w:val="24"/>
          <w:szCs w:val="24"/>
        </w:rPr>
        <w:t>u sektoru prerađivačke industrije se omogućava da unaprijede proizvodne procese, ostvare uštede u potrošnji energije i dodatno ojačaju kapacitete stručnih lica za upravljanje energijom u preduzeću. Takođe se očekuje razvoj tržišta materijala, tehnologija i proizvoda koji doprinose povećanju energetske efikasnosti i korišćenja obnovljivih izvora energije, što će uticati na smanjenje proizvodnih troškova preduzeća u sektoru prerađivačke industrije i povećanje njihove konkurentnosti.</w:t>
      </w:r>
    </w:p>
    <w:p w14:paraId="7AB81C65" w14:textId="009B887E" w:rsidR="00416A69" w:rsidRPr="00416A69" w:rsidRDefault="00416A69" w:rsidP="00416A69">
      <w:pPr>
        <w:jc w:val="both"/>
        <w:rPr>
          <w:rFonts w:cstheme="minorHAnsi"/>
          <w:sz w:val="24"/>
          <w:szCs w:val="24"/>
        </w:rPr>
      </w:pPr>
      <w:r w:rsidRPr="00416A69">
        <w:rPr>
          <w:rFonts w:cstheme="minorHAnsi"/>
          <w:b/>
          <w:bCs/>
          <w:sz w:val="24"/>
          <w:szCs w:val="24"/>
        </w:rPr>
        <w:t>4.Procijenjeni troškovi sprovođenja reformske mjere i izvori finansiranja.</w:t>
      </w:r>
      <w:r w:rsidR="008422EC" w:rsidRPr="008422EC">
        <w:rPr>
          <w:rFonts w:cstheme="minorHAnsi"/>
          <w:b/>
          <w:bCs/>
          <w:sz w:val="24"/>
          <w:szCs w:val="24"/>
        </w:rPr>
        <w:t xml:space="preserve"> </w:t>
      </w:r>
      <w:r w:rsidR="008422EC" w:rsidRPr="008422EC">
        <w:rPr>
          <w:rFonts w:cstheme="minorHAnsi"/>
          <w:sz w:val="24"/>
          <w:szCs w:val="24"/>
        </w:rPr>
        <w:t xml:space="preserve">Dodatna sredstva za implementaciju reformske mjere, iznosiće 3,5 miliona eura </w:t>
      </w:r>
      <w:r w:rsidR="008422EC">
        <w:rPr>
          <w:rFonts w:cstheme="minorHAnsi"/>
          <w:sz w:val="24"/>
          <w:szCs w:val="24"/>
        </w:rPr>
        <w:t>od čega 1,5 miliona eura iz IPA. Dodatna sredstva u 202</w:t>
      </w:r>
      <w:r w:rsidR="00A20039">
        <w:rPr>
          <w:rFonts w:cstheme="minorHAnsi"/>
          <w:sz w:val="24"/>
          <w:szCs w:val="24"/>
        </w:rPr>
        <w:t>4</w:t>
      </w:r>
      <w:r w:rsidR="008422EC">
        <w:rPr>
          <w:rFonts w:cstheme="minorHAnsi"/>
          <w:sz w:val="24"/>
          <w:szCs w:val="24"/>
        </w:rPr>
        <w:t>.</w:t>
      </w:r>
      <w:r w:rsidR="00A20039">
        <w:rPr>
          <w:rFonts w:cstheme="minorHAnsi"/>
          <w:sz w:val="24"/>
          <w:szCs w:val="24"/>
        </w:rPr>
        <w:t xml:space="preserve"> </w:t>
      </w:r>
      <w:r w:rsidR="008422EC">
        <w:rPr>
          <w:rFonts w:cstheme="minorHAnsi"/>
          <w:sz w:val="24"/>
          <w:szCs w:val="24"/>
        </w:rPr>
        <w:t xml:space="preserve">godini iznosiće </w:t>
      </w:r>
      <w:r w:rsidR="008422EC" w:rsidRPr="008422EC">
        <w:rPr>
          <w:rFonts w:cstheme="minorHAnsi"/>
          <w:sz w:val="24"/>
          <w:szCs w:val="24"/>
        </w:rPr>
        <w:t>2 miliona eura i 2 miliona eura u 202</w:t>
      </w:r>
      <w:r w:rsidR="00A20039">
        <w:rPr>
          <w:rFonts w:cstheme="minorHAnsi"/>
          <w:sz w:val="24"/>
          <w:szCs w:val="24"/>
        </w:rPr>
        <w:t>5</w:t>
      </w:r>
      <w:r w:rsidR="008422EC" w:rsidRPr="008422EC">
        <w:rPr>
          <w:rFonts w:cstheme="minorHAnsi"/>
          <w:sz w:val="24"/>
          <w:szCs w:val="24"/>
        </w:rPr>
        <w:t>.godini</w:t>
      </w:r>
      <w:r w:rsidR="008422EC">
        <w:rPr>
          <w:rFonts w:cstheme="minorHAnsi"/>
          <w:sz w:val="24"/>
          <w:szCs w:val="24"/>
        </w:rPr>
        <w:t xml:space="preserve">, </w:t>
      </w:r>
      <w:r w:rsidR="005A7858">
        <w:rPr>
          <w:rFonts w:cstheme="minorHAnsi"/>
          <w:sz w:val="24"/>
          <w:szCs w:val="24"/>
        </w:rPr>
        <w:t>i</w:t>
      </w:r>
      <w:r w:rsidR="008422EC">
        <w:rPr>
          <w:rFonts w:cstheme="minorHAnsi"/>
          <w:sz w:val="24"/>
          <w:szCs w:val="24"/>
        </w:rPr>
        <w:t xml:space="preserve"> biće obezbijeđena iz centralnog budžeta. Više detalja o tome je dato u tabelama 10a </w:t>
      </w:r>
      <w:r w:rsidR="005A7858">
        <w:rPr>
          <w:rFonts w:cstheme="minorHAnsi"/>
          <w:sz w:val="24"/>
          <w:szCs w:val="24"/>
        </w:rPr>
        <w:t>i</w:t>
      </w:r>
      <w:r w:rsidR="008422EC">
        <w:rPr>
          <w:rFonts w:cstheme="minorHAnsi"/>
          <w:sz w:val="24"/>
          <w:szCs w:val="24"/>
        </w:rPr>
        <w:t xml:space="preserve"> 10b aneksa.</w:t>
      </w:r>
    </w:p>
    <w:p w14:paraId="042650FF" w14:textId="77777777" w:rsidR="00416A69" w:rsidRPr="00416A69" w:rsidRDefault="00416A69" w:rsidP="00416A69">
      <w:pPr>
        <w:jc w:val="both"/>
        <w:rPr>
          <w:rFonts w:cstheme="minorHAnsi"/>
          <w:sz w:val="24"/>
          <w:szCs w:val="24"/>
        </w:rPr>
      </w:pPr>
      <w:r w:rsidRPr="00416A69">
        <w:rPr>
          <w:rFonts w:cstheme="minorHAnsi"/>
          <w:b/>
          <w:bCs/>
          <w:sz w:val="24"/>
          <w:szCs w:val="24"/>
        </w:rPr>
        <w:lastRenderedPageBreak/>
        <w:t>5.</w:t>
      </w:r>
      <w:r w:rsidRPr="00416A69">
        <w:rPr>
          <w:rFonts w:cstheme="minorHAnsi"/>
          <w:b/>
          <w:sz w:val="24"/>
          <w:szCs w:val="24"/>
        </w:rPr>
        <w:t xml:space="preserve"> Očekivani uticaj reformske mjere na socijalne ciljeve, kao što su zaposlenost, smanjenje siromaštva, rodna ravnopravnost i pristup zdravstvenim uslugama.</w:t>
      </w:r>
      <w:r w:rsidRPr="00416A69">
        <w:rPr>
          <w:rFonts w:cstheme="minorHAnsi"/>
          <w:sz w:val="24"/>
          <w:szCs w:val="24"/>
        </w:rPr>
        <w:t xml:space="preserve"> Očekuje se povećanje uključenosti osoblja MMSP u aktivnosti iz oblasti energetske efikasnosti i korišćenja obnovljivih/čistih izvora energije, kroz veći broj novozaposlenih kvalifikovanih osoba za upravljanje energijom i optimizaciju potrošnje energije kod korisnika odobrenih projekata. Takođe, zbog povećanja konkurentnosti preduzeća u sektoru prerađivačke industrije, mjera će pozitivno uticati na povećanje zaposlenosti kroz otvaranje zelenih radnih mjesta i smanjenje siromaštva. Zbog primjene novih i čistijih tehnologija, mjera će imati pozitivni uticaj u dugoročnom periodu na očuvanje zdravlja, kao i na mogućnost većeg zapošljavanja žena u sektoru prerađivačke industrije. </w:t>
      </w:r>
    </w:p>
    <w:p w14:paraId="4CFDF551" w14:textId="564E1C03" w:rsidR="00416A69" w:rsidRPr="00416A69" w:rsidRDefault="00416A69" w:rsidP="00416A69">
      <w:pPr>
        <w:jc w:val="both"/>
        <w:rPr>
          <w:rFonts w:cstheme="minorHAnsi"/>
          <w:sz w:val="24"/>
          <w:szCs w:val="24"/>
        </w:rPr>
      </w:pPr>
      <w:r w:rsidRPr="00416A69">
        <w:rPr>
          <w:rFonts w:cstheme="minorHAnsi"/>
          <w:b/>
          <w:bCs/>
          <w:sz w:val="24"/>
          <w:szCs w:val="24"/>
        </w:rPr>
        <w:t>6.</w:t>
      </w:r>
      <w:r w:rsidRPr="00416A69">
        <w:rPr>
          <w:rFonts w:cstheme="minorHAnsi"/>
          <w:sz w:val="24"/>
          <w:szCs w:val="24"/>
        </w:rPr>
        <w:t xml:space="preserve"> </w:t>
      </w:r>
      <w:r w:rsidRPr="00416A69">
        <w:rPr>
          <w:rFonts w:cstheme="minorHAnsi"/>
          <w:b/>
          <w:bCs/>
          <w:sz w:val="24"/>
          <w:szCs w:val="24"/>
        </w:rPr>
        <w:t>Očekivani uticaj na životnu sredinu i klimatske promjene.</w:t>
      </w:r>
      <w:r w:rsidRPr="00416A69">
        <w:rPr>
          <w:rFonts w:cstheme="minorHAnsi"/>
          <w:sz w:val="24"/>
          <w:szCs w:val="24"/>
        </w:rPr>
        <w:t xml:space="preserve"> Planirane aktivnosti će pozitivno uticati na povećanje energetske efikasnosti i korišćenja obnovljivih izvora energije, smanjenje emisija gasova sa efektom staklene bašte i negativnog uticaja na klimatske promjene i životnu sredinu. Mjera će doprinijeti efikasnijoj energetskoj tranziciji, ostvarivanju ciljeva postavljenih »Evropskim zelenim sporazumom« i Zelenom agendom za Zapadni Balkan, kao i ispunjavanju međunarodnih obaveza Crne Gore.</w:t>
      </w:r>
    </w:p>
    <w:p w14:paraId="45B9047C" w14:textId="77777777" w:rsidR="00416A69" w:rsidRPr="00416A69" w:rsidRDefault="00416A69" w:rsidP="00416A69">
      <w:pPr>
        <w:jc w:val="both"/>
        <w:rPr>
          <w:rFonts w:cstheme="minorHAnsi"/>
          <w:b/>
          <w:bCs/>
          <w:sz w:val="24"/>
          <w:szCs w:val="24"/>
        </w:rPr>
      </w:pPr>
      <w:r w:rsidRPr="00416A69">
        <w:rPr>
          <w:rFonts w:cstheme="minorHAnsi"/>
          <w:b/>
          <w:bCs/>
          <w:sz w:val="24"/>
          <w:szCs w:val="24"/>
        </w:rPr>
        <w:t>7. Potencijalni rizici.</w:t>
      </w:r>
    </w:p>
    <w:tbl>
      <w:tblPr>
        <w:tblStyle w:val="GridTable1Light-Accent15"/>
        <w:tblW w:w="9355" w:type="dxa"/>
        <w:tblLayout w:type="fixed"/>
        <w:tblLook w:val="04A0" w:firstRow="1" w:lastRow="0" w:firstColumn="1" w:lastColumn="0" w:noHBand="0" w:noVBand="1"/>
      </w:tblPr>
      <w:tblGrid>
        <w:gridCol w:w="3865"/>
        <w:gridCol w:w="2250"/>
        <w:gridCol w:w="3240"/>
      </w:tblGrid>
      <w:tr w:rsidR="008422EC" w:rsidRPr="008422EC" w14:paraId="6B4F13EA" w14:textId="77777777" w:rsidTr="004333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65" w:type="dxa"/>
          </w:tcPr>
          <w:p w14:paraId="65EDDDA4" w14:textId="77777777" w:rsidR="00416A69" w:rsidRPr="00416A69" w:rsidRDefault="00416A69" w:rsidP="00416A69">
            <w:pPr>
              <w:jc w:val="both"/>
              <w:rPr>
                <w:rFonts w:cstheme="minorHAnsi"/>
                <w:b w:val="0"/>
              </w:rPr>
            </w:pPr>
            <w:r w:rsidRPr="00416A69">
              <w:rPr>
                <w:rFonts w:cstheme="minorHAnsi"/>
              </w:rPr>
              <w:t xml:space="preserve">Rizik </w:t>
            </w:r>
          </w:p>
        </w:tc>
        <w:tc>
          <w:tcPr>
            <w:tcW w:w="2250" w:type="dxa"/>
          </w:tcPr>
          <w:p w14:paraId="715CB930" w14:textId="77777777" w:rsidR="00416A69" w:rsidRPr="00416A69" w:rsidRDefault="00416A69" w:rsidP="00416A69">
            <w:pPr>
              <w:jc w:val="both"/>
              <w:cnfStyle w:val="100000000000" w:firstRow="1" w:lastRow="0" w:firstColumn="0" w:lastColumn="0" w:oddVBand="0" w:evenVBand="0" w:oddHBand="0" w:evenHBand="0" w:firstRowFirstColumn="0" w:firstRowLastColumn="0" w:lastRowFirstColumn="0" w:lastRowLastColumn="0"/>
              <w:rPr>
                <w:rFonts w:cstheme="minorHAnsi"/>
                <w:b w:val="0"/>
              </w:rPr>
            </w:pPr>
            <w:r w:rsidRPr="00416A69">
              <w:rPr>
                <w:rFonts w:cstheme="minorHAnsi"/>
              </w:rPr>
              <w:t>Vjerovatnoća za ostvarivanje rizika (niska ili visoka)</w:t>
            </w:r>
          </w:p>
        </w:tc>
        <w:tc>
          <w:tcPr>
            <w:tcW w:w="3240" w:type="dxa"/>
          </w:tcPr>
          <w:p w14:paraId="0D3953C3" w14:textId="77777777" w:rsidR="00416A69" w:rsidRPr="00416A69" w:rsidRDefault="00416A69" w:rsidP="00416A69">
            <w:pPr>
              <w:jc w:val="both"/>
              <w:cnfStyle w:val="100000000000" w:firstRow="1" w:lastRow="0" w:firstColumn="0" w:lastColumn="0" w:oddVBand="0" w:evenVBand="0" w:oddHBand="0" w:evenHBand="0" w:firstRowFirstColumn="0" w:firstRowLastColumn="0" w:lastRowFirstColumn="0" w:lastRowLastColumn="0"/>
              <w:rPr>
                <w:rFonts w:cstheme="minorHAnsi"/>
                <w:b w:val="0"/>
              </w:rPr>
            </w:pPr>
            <w:r w:rsidRPr="00416A69">
              <w:rPr>
                <w:rFonts w:cstheme="minorHAnsi"/>
              </w:rPr>
              <w:t>Planirane aktivnosti ublažavanja negativnih efekata rizika</w:t>
            </w:r>
          </w:p>
        </w:tc>
      </w:tr>
      <w:tr w:rsidR="008422EC" w:rsidRPr="008422EC" w14:paraId="38D4ADB4" w14:textId="77777777" w:rsidTr="004333EF">
        <w:tc>
          <w:tcPr>
            <w:cnfStyle w:val="001000000000" w:firstRow="0" w:lastRow="0" w:firstColumn="1" w:lastColumn="0" w:oddVBand="0" w:evenVBand="0" w:oddHBand="0" w:evenHBand="0" w:firstRowFirstColumn="0" w:firstRowLastColumn="0" w:lastRowFirstColumn="0" w:lastRowLastColumn="0"/>
            <w:tcW w:w="3865" w:type="dxa"/>
          </w:tcPr>
          <w:p w14:paraId="53BBDB10" w14:textId="77777777" w:rsidR="00416A69" w:rsidRPr="004D422C" w:rsidRDefault="00416A69" w:rsidP="00416A69">
            <w:pPr>
              <w:jc w:val="both"/>
              <w:rPr>
                <w:rFonts w:cstheme="minorHAnsi"/>
                <w:b w:val="0"/>
                <w:bCs w:val="0"/>
              </w:rPr>
            </w:pPr>
          </w:p>
          <w:p w14:paraId="68CFD3BF" w14:textId="77777777" w:rsidR="00416A69" w:rsidRPr="004D422C" w:rsidRDefault="00416A69" w:rsidP="00416A69">
            <w:pPr>
              <w:jc w:val="both"/>
              <w:rPr>
                <w:rFonts w:cstheme="minorHAnsi"/>
                <w:b w:val="0"/>
                <w:bCs w:val="0"/>
                <w:lang w:val="en-US"/>
              </w:rPr>
            </w:pPr>
            <w:r w:rsidRPr="004D422C">
              <w:rPr>
                <w:rFonts w:cstheme="minorHAnsi"/>
                <w:b w:val="0"/>
                <w:bCs w:val="0"/>
              </w:rPr>
              <w:t xml:space="preserve">Smanjena zainteresovanost </w:t>
            </w:r>
            <w:r w:rsidRPr="004D422C">
              <w:rPr>
                <w:rFonts w:cstheme="minorHAnsi"/>
                <w:b w:val="0"/>
                <w:bCs w:val="0"/>
                <w:lang w:val="en-US"/>
              </w:rPr>
              <w:t>preduzeća</w:t>
            </w:r>
            <w:r w:rsidRPr="004D422C">
              <w:rPr>
                <w:rFonts w:cstheme="minorHAnsi"/>
                <w:b w:val="0"/>
                <w:bCs w:val="0"/>
              </w:rPr>
              <w:t xml:space="preserve"> </w:t>
            </w:r>
            <w:r w:rsidRPr="004D422C">
              <w:rPr>
                <w:rFonts w:cstheme="minorHAnsi"/>
                <w:b w:val="0"/>
                <w:bCs w:val="0"/>
                <w:lang w:val="en-US"/>
              </w:rPr>
              <w:t>iz</w:t>
            </w:r>
            <w:r w:rsidRPr="004D422C">
              <w:rPr>
                <w:rFonts w:cstheme="minorHAnsi"/>
                <w:b w:val="0"/>
                <w:bCs w:val="0"/>
              </w:rPr>
              <w:t xml:space="preserve"> sektor</w:t>
            </w:r>
            <w:r w:rsidRPr="004D422C">
              <w:rPr>
                <w:rFonts w:cstheme="minorHAnsi"/>
                <w:b w:val="0"/>
                <w:bCs w:val="0"/>
                <w:lang w:val="en-US"/>
              </w:rPr>
              <w:t>a</w:t>
            </w:r>
            <w:r w:rsidRPr="004D422C">
              <w:rPr>
                <w:rFonts w:cstheme="minorHAnsi"/>
                <w:b w:val="0"/>
                <w:bCs w:val="0"/>
              </w:rPr>
              <w:t xml:space="preserve"> prerađivačke industrije </w:t>
            </w:r>
            <w:r w:rsidRPr="004D422C">
              <w:rPr>
                <w:rFonts w:cstheme="minorHAnsi"/>
                <w:b w:val="0"/>
                <w:bCs w:val="0"/>
                <w:lang w:val="en-US"/>
              </w:rPr>
              <w:t>za primjenu finansijskog mehanizma za uvođenje inovativnih rješenja i novih tehnologija u cilju poboljšanja energetske efikasnosti i povećanja korišćenja obnovljivih izvora energije</w:t>
            </w:r>
          </w:p>
          <w:p w14:paraId="07FB258D" w14:textId="77777777" w:rsidR="00416A69" w:rsidRPr="004D422C" w:rsidRDefault="00416A69" w:rsidP="00416A69">
            <w:pPr>
              <w:jc w:val="both"/>
              <w:rPr>
                <w:rFonts w:cstheme="minorHAnsi"/>
                <w:b w:val="0"/>
                <w:bCs w:val="0"/>
              </w:rPr>
            </w:pPr>
          </w:p>
          <w:p w14:paraId="48DC398F" w14:textId="77777777" w:rsidR="00416A69" w:rsidRPr="004D422C" w:rsidRDefault="00416A69" w:rsidP="00416A69">
            <w:pPr>
              <w:jc w:val="both"/>
              <w:rPr>
                <w:rFonts w:cstheme="minorHAnsi"/>
                <w:b w:val="0"/>
                <w:bCs w:val="0"/>
              </w:rPr>
            </w:pPr>
          </w:p>
          <w:p w14:paraId="43990AA6" w14:textId="77777777" w:rsidR="00416A69" w:rsidRPr="004D422C" w:rsidRDefault="00416A69" w:rsidP="00416A69">
            <w:pPr>
              <w:jc w:val="both"/>
              <w:rPr>
                <w:rFonts w:cstheme="minorHAnsi"/>
                <w:b w:val="0"/>
                <w:bCs w:val="0"/>
              </w:rPr>
            </w:pPr>
          </w:p>
        </w:tc>
        <w:tc>
          <w:tcPr>
            <w:tcW w:w="2250" w:type="dxa"/>
          </w:tcPr>
          <w:p w14:paraId="613A6B21" w14:textId="77777777" w:rsidR="00416A69" w:rsidRPr="00416A69" w:rsidRDefault="00416A69" w:rsidP="00416A69">
            <w:pPr>
              <w:jc w:val="both"/>
              <w:cnfStyle w:val="000000000000" w:firstRow="0" w:lastRow="0" w:firstColumn="0" w:lastColumn="0" w:oddVBand="0" w:evenVBand="0" w:oddHBand="0" w:evenHBand="0" w:firstRowFirstColumn="0" w:firstRowLastColumn="0" w:lastRowFirstColumn="0" w:lastRowLastColumn="0"/>
              <w:rPr>
                <w:rFonts w:cstheme="minorHAnsi"/>
                <w:lang w:val="en-US"/>
              </w:rPr>
            </w:pPr>
          </w:p>
          <w:p w14:paraId="192CAF40" w14:textId="0E801480" w:rsidR="00416A69" w:rsidRPr="00416A69" w:rsidRDefault="002C5D8F" w:rsidP="00416A69">
            <w:pPr>
              <w:jc w:val="both"/>
              <w:cnfStyle w:val="000000000000" w:firstRow="0" w:lastRow="0" w:firstColumn="0" w:lastColumn="0" w:oddVBand="0" w:evenVBand="0" w:oddHBand="0" w:evenHBand="0" w:firstRowFirstColumn="0" w:firstRowLastColumn="0" w:lastRowFirstColumn="0" w:lastRowLastColumn="0"/>
              <w:rPr>
                <w:rFonts w:cstheme="minorHAnsi"/>
                <w:lang w:val="en-US"/>
              </w:rPr>
            </w:pPr>
            <w:r>
              <w:rPr>
                <w:rFonts w:cstheme="minorHAnsi"/>
                <w:lang w:val="en-US"/>
              </w:rPr>
              <w:t>Niska</w:t>
            </w:r>
          </w:p>
        </w:tc>
        <w:tc>
          <w:tcPr>
            <w:tcW w:w="3240" w:type="dxa"/>
          </w:tcPr>
          <w:p w14:paraId="624BF10E" w14:textId="77777777" w:rsidR="00416A69" w:rsidRPr="00416A69" w:rsidRDefault="00416A69" w:rsidP="00416A69">
            <w:pPr>
              <w:jc w:val="both"/>
              <w:cnfStyle w:val="000000000000" w:firstRow="0" w:lastRow="0" w:firstColumn="0" w:lastColumn="0" w:oddVBand="0" w:evenVBand="0" w:oddHBand="0" w:evenHBand="0" w:firstRowFirstColumn="0" w:firstRowLastColumn="0" w:lastRowFirstColumn="0" w:lastRowLastColumn="0"/>
              <w:rPr>
                <w:rFonts w:cstheme="minorHAnsi"/>
                <w:lang w:val="en-US"/>
              </w:rPr>
            </w:pPr>
          </w:p>
          <w:p w14:paraId="166B98E1" w14:textId="1C460F10" w:rsidR="00416A69" w:rsidRPr="00416A69" w:rsidRDefault="002C5D8F" w:rsidP="002C5D8F">
            <w:pPr>
              <w:jc w:val="both"/>
              <w:cnfStyle w:val="000000000000" w:firstRow="0" w:lastRow="0" w:firstColumn="0" w:lastColumn="0" w:oddVBand="0" w:evenVBand="0" w:oddHBand="0" w:evenHBand="0" w:firstRowFirstColumn="0" w:firstRowLastColumn="0" w:lastRowFirstColumn="0" w:lastRowLastColumn="0"/>
              <w:rPr>
                <w:rFonts w:cstheme="minorHAnsi"/>
                <w:lang w:val="en-US"/>
              </w:rPr>
            </w:pPr>
            <w:r w:rsidRPr="002C5D8F">
              <w:rPr>
                <w:rFonts w:cstheme="minorHAnsi"/>
              </w:rPr>
              <w:t>Kontinuirane aktivnosti informisanja preduzeća iz sektora prerađivačke industrije  o direktnim pozitivnim efektima  na njihovo poslovanje, uz  konsultacije prilikom pripremanja novih ciklusa podrške</w:t>
            </w:r>
          </w:p>
        </w:tc>
      </w:tr>
      <w:tr w:rsidR="008422EC" w:rsidRPr="008422EC" w14:paraId="6330CB0D" w14:textId="77777777" w:rsidTr="004333EF">
        <w:tc>
          <w:tcPr>
            <w:cnfStyle w:val="001000000000" w:firstRow="0" w:lastRow="0" w:firstColumn="1" w:lastColumn="0" w:oddVBand="0" w:evenVBand="0" w:oddHBand="0" w:evenHBand="0" w:firstRowFirstColumn="0" w:firstRowLastColumn="0" w:lastRowFirstColumn="0" w:lastRowLastColumn="0"/>
            <w:tcW w:w="3865" w:type="dxa"/>
          </w:tcPr>
          <w:p w14:paraId="5218B48C" w14:textId="77777777" w:rsidR="00416A69" w:rsidRPr="004D422C" w:rsidRDefault="00416A69" w:rsidP="00416A69">
            <w:pPr>
              <w:spacing w:after="160" w:line="259" w:lineRule="auto"/>
              <w:jc w:val="both"/>
              <w:rPr>
                <w:rFonts w:cstheme="minorHAnsi"/>
                <w:b w:val="0"/>
                <w:bCs w:val="0"/>
              </w:rPr>
            </w:pPr>
          </w:p>
          <w:p w14:paraId="18D336C1" w14:textId="77777777" w:rsidR="00416A69" w:rsidRPr="004D422C" w:rsidRDefault="00416A69" w:rsidP="00416A69">
            <w:pPr>
              <w:spacing w:after="160" w:line="259" w:lineRule="auto"/>
              <w:jc w:val="both"/>
              <w:rPr>
                <w:rFonts w:cstheme="minorHAnsi"/>
                <w:b w:val="0"/>
                <w:bCs w:val="0"/>
              </w:rPr>
            </w:pPr>
            <w:r w:rsidRPr="004D422C">
              <w:rPr>
                <w:rFonts w:cstheme="minorHAnsi"/>
                <w:b w:val="0"/>
                <w:bCs w:val="0"/>
              </w:rPr>
              <w:t>Nedovoljno uspostavljena međuinstitucionalna saradnja između aktera u okviru identifikovanih ključnih inicijativa za Zelenu Agendu</w:t>
            </w:r>
          </w:p>
          <w:p w14:paraId="79E8400F" w14:textId="77777777" w:rsidR="00416A69" w:rsidRPr="004D422C" w:rsidRDefault="00416A69" w:rsidP="00416A69">
            <w:pPr>
              <w:spacing w:after="160" w:line="259" w:lineRule="auto"/>
              <w:jc w:val="both"/>
              <w:rPr>
                <w:rFonts w:cstheme="minorHAnsi"/>
                <w:b w:val="0"/>
                <w:bCs w:val="0"/>
              </w:rPr>
            </w:pPr>
          </w:p>
          <w:p w14:paraId="5DEE7742" w14:textId="77777777" w:rsidR="00416A69" w:rsidRPr="004D422C" w:rsidRDefault="00416A69" w:rsidP="00416A69">
            <w:pPr>
              <w:spacing w:after="160" w:line="259" w:lineRule="auto"/>
              <w:jc w:val="both"/>
              <w:rPr>
                <w:rFonts w:cstheme="minorHAnsi"/>
                <w:b w:val="0"/>
                <w:bCs w:val="0"/>
              </w:rPr>
            </w:pPr>
          </w:p>
        </w:tc>
        <w:tc>
          <w:tcPr>
            <w:tcW w:w="2250" w:type="dxa"/>
          </w:tcPr>
          <w:p w14:paraId="206209E7" w14:textId="77777777" w:rsidR="00416A69" w:rsidRPr="00416A69" w:rsidRDefault="00416A69" w:rsidP="00416A69">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cstheme="minorHAnsi"/>
                <w:lang w:val="en-US"/>
              </w:rPr>
            </w:pPr>
          </w:p>
          <w:p w14:paraId="6C229E1C" w14:textId="77777777" w:rsidR="00416A69" w:rsidRPr="00416A69" w:rsidRDefault="00416A69" w:rsidP="00416A69">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cstheme="minorHAnsi"/>
                <w:lang w:val="en-US"/>
              </w:rPr>
            </w:pPr>
            <w:r w:rsidRPr="00416A69">
              <w:rPr>
                <w:rFonts w:cstheme="minorHAnsi"/>
                <w:lang w:val="en-US"/>
              </w:rPr>
              <w:t>Niska</w:t>
            </w:r>
          </w:p>
        </w:tc>
        <w:tc>
          <w:tcPr>
            <w:tcW w:w="3240" w:type="dxa"/>
          </w:tcPr>
          <w:p w14:paraId="0718850C" w14:textId="77777777" w:rsidR="00416A69" w:rsidRPr="00416A69" w:rsidRDefault="00416A69" w:rsidP="00416A69">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cstheme="minorHAnsi"/>
                <w:lang w:val="en-US"/>
              </w:rPr>
            </w:pPr>
          </w:p>
          <w:p w14:paraId="52B4CDFD" w14:textId="16FA783F" w:rsidR="00416A69" w:rsidRPr="00416A69" w:rsidRDefault="00416A69" w:rsidP="00416A69">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cstheme="minorHAnsi"/>
                <w:lang w:val="en-US"/>
              </w:rPr>
            </w:pPr>
            <w:r w:rsidRPr="00416A69">
              <w:rPr>
                <w:rFonts w:cstheme="minorHAnsi"/>
                <w:lang w:val="en-US"/>
              </w:rPr>
              <w:t>Uspostavljeno</w:t>
            </w:r>
            <w:r w:rsidR="005A7858">
              <w:rPr>
                <w:rFonts w:cstheme="minorHAnsi"/>
                <w:lang w:val="en-US"/>
              </w:rPr>
              <w:t xml:space="preserve"> </w:t>
            </w:r>
            <w:r w:rsidRPr="00416A69">
              <w:rPr>
                <w:rFonts w:cstheme="minorHAnsi"/>
                <w:lang w:val="en-US"/>
              </w:rPr>
              <w:t xml:space="preserve">efikasno upravljanje procesom kroz Savjet za inovacije i pametnu specijalizaciju, kao i kontinuitet saradnje kroz Međuinstitucionalnu S3 grupu i druga tijela, uključena od početka </w:t>
            </w:r>
            <w:r w:rsidRPr="00416A69">
              <w:rPr>
                <w:rFonts w:cstheme="minorHAnsi"/>
                <w:lang w:val="en-US"/>
              </w:rPr>
              <w:lastRenderedPageBreak/>
              <w:t xml:space="preserve">u analizu i identifikaciju ključnih inicijativa </w:t>
            </w:r>
          </w:p>
          <w:p w14:paraId="7D4F3853" w14:textId="77777777" w:rsidR="00416A69" w:rsidRPr="00416A69" w:rsidRDefault="00416A69" w:rsidP="00416A69">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cstheme="minorHAnsi"/>
                <w:lang w:val="en-US"/>
              </w:rPr>
            </w:pPr>
          </w:p>
        </w:tc>
      </w:tr>
    </w:tbl>
    <w:p w14:paraId="4010A990" w14:textId="29CFDE24" w:rsidR="00B56D87" w:rsidRDefault="00B56D87" w:rsidP="008D1FF7">
      <w:pPr>
        <w:jc w:val="both"/>
        <w:rPr>
          <w:rFonts w:ascii="Calibri" w:eastAsia="Calibri" w:hAnsi="Calibri" w:cs="Calibri"/>
          <w:kern w:val="0"/>
          <w:sz w:val="24"/>
          <w:szCs w:val="24"/>
          <w:lang w:val="sr-Latn-ME"/>
          <w14:ligatures w14:val="none"/>
        </w:rPr>
      </w:pPr>
    </w:p>
    <w:p w14:paraId="0F6485C4" w14:textId="5FCDF597" w:rsidR="00F7579C" w:rsidRPr="00F7579C" w:rsidRDefault="00F7579C" w:rsidP="00F7579C">
      <w:pPr>
        <w:spacing w:line="256" w:lineRule="auto"/>
        <w:jc w:val="both"/>
        <w:rPr>
          <w:rFonts w:ascii="Calibri" w:eastAsia="Calibri" w:hAnsi="Calibri" w:cs="Calibri"/>
          <w:i/>
          <w:iCs/>
          <w:color w:val="002465"/>
          <w:sz w:val="24"/>
          <w:szCs w:val="24"/>
          <w:lang w:val="sr-Latn-ME"/>
        </w:rPr>
      </w:pPr>
      <w:r w:rsidRPr="00F7579C">
        <w:rPr>
          <w:rFonts w:ascii="Calibri" w:eastAsia="Calibri" w:hAnsi="Calibri" w:cs="Calibri"/>
          <w:i/>
          <w:iCs/>
          <w:color w:val="002465"/>
          <w:sz w:val="24"/>
          <w:szCs w:val="24"/>
          <w:lang w:val="sr-Latn-ME"/>
        </w:rPr>
        <w:t>Reformska mjera br. 4: Jačanje mehanizama za dekarbonizaciju</w:t>
      </w:r>
    </w:p>
    <w:p w14:paraId="40BA0A8E" w14:textId="5DD585F6" w:rsidR="00F7579C" w:rsidRPr="00E93DF1" w:rsidRDefault="00F7579C" w:rsidP="00F7579C">
      <w:pPr>
        <w:spacing w:line="256" w:lineRule="auto"/>
        <w:jc w:val="both"/>
        <w:rPr>
          <w:rFonts w:ascii="Calibri" w:eastAsia="Calibri" w:hAnsi="Calibri" w:cs="Calibri"/>
          <w:sz w:val="24"/>
          <w:szCs w:val="24"/>
          <w14:ligatures w14:val="none"/>
        </w:rPr>
      </w:pPr>
      <w:r w:rsidRPr="00F7579C">
        <w:rPr>
          <w:rFonts w:ascii="Calibri" w:eastAsia="Calibri" w:hAnsi="Calibri" w:cs="Calibri"/>
          <w:b/>
          <w:bCs/>
          <w:kern w:val="0"/>
          <w:sz w:val="24"/>
          <w:szCs w:val="24"/>
          <w:lang w:val="sr-Latn-ME"/>
          <w14:ligatures w14:val="none"/>
        </w:rPr>
        <w:t xml:space="preserve">Opis reformske mjere. </w:t>
      </w:r>
      <w:r w:rsidRPr="00F7579C">
        <w:rPr>
          <w:rFonts w:ascii="Calibri" w:eastAsia="Calibri" w:hAnsi="Calibri" w:cs="Calibri"/>
          <w:kern w:val="0"/>
          <w:sz w:val="24"/>
          <w:szCs w:val="24"/>
          <w:lang w:val="sr-Latn-ME"/>
          <w14:ligatures w14:val="none"/>
        </w:rPr>
        <w:t>Cilj reformske mjere je razvoj strateškog i zakonodavnog okvira za implementaciju Evropskog zelenog dogovora u  skladu sa Mapom puta Energetske zajednice za dekarbonizaciju. Mjerom se odgovara na dio preporuke br. 4 sa ministarskog dijaloga iz maja 2023. godine</w:t>
      </w:r>
      <w:r w:rsidRPr="00F7579C">
        <w:rPr>
          <w:rFonts w:ascii="Calibri" w:eastAsia="Calibri" w:hAnsi="Calibri" w:cs="Calibri"/>
          <w:sz w:val="24"/>
          <w:szCs w:val="24"/>
          <w14:ligatures w14:val="none"/>
        </w:rPr>
        <w:t xml:space="preserve"> da Crna Gora treba „poboljšati energetsku otpornost i prelazak na sprovođenje zelene agende“. </w:t>
      </w:r>
      <w:bookmarkStart w:id="169" w:name="_Hlk151186439"/>
      <w:r w:rsidRPr="00F7579C">
        <w:rPr>
          <w:rFonts w:ascii="Calibri" w:eastAsia="Calibri" w:hAnsi="Calibri" w:cs="Calibri"/>
          <w:kern w:val="0"/>
          <w:sz w:val="24"/>
          <w:szCs w:val="24"/>
          <w:lang w:val="sr-Latn-ME"/>
          <w14:ligatures w14:val="none"/>
        </w:rPr>
        <w:t xml:space="preserve">U </w:t>
      </w:r>
      <w:bookmarkStart w:id="170" w:name="_Hlk151187478"/>
      <w:r w:rsidRPr="00F7579C">
        <w:rPr>
          <w:rFonts w:ascii="Calibri" w:eastAsia="Calibri" w:hAnsi="Calibri" w:cs="Calibri"/>
          <w:kern w:val="0"/>
          <w:sz w:val="24"/>
          <w:szCs w:val="24"/>
          <w:lang w:val="sr-Latn-ME"/>
          <w14:ligatures w14:val="none"/>
        </w:rPr>
        <w:t>pitanju je nova mjera koja je u funkciji ostvarenja ciljeva održivog razvoja br. 7- priuštiva i čista energija, br. 9-industrija, inovacije i infrastruktura i 13 – klimatska akcija.</w:t>
      </w:r>
    </w:p>
    <w:bookmarkEnd w:id="169"/>
    <w:bookmarkEnd w:id="170"/>
    <w:p w14:paraId="3C33B3D7" w14:textId="3FE2692A" w:rsidR="00F7579C" w:rsidRPr="00F7579C" w:rsidRDefault="00F7579C" w:rsidP="00F7579C">
      <w:pPr>
        <w:spacing w:line="256" w:lineRule="auto"/>
        <w:jc w:val="both"/>
        <w:rPr>
          <w:rFonts w:ascii="Calibri" w:eastAsia="Calibri" w:hAnsi="Calibri" w:cs="Calibri"/>
          <w:sz w:val="24"/>
          <w:szCs w:val="24"/>
          <w:lang w:val="sr-Latn-ME"/>
        </w:rPr>
      </w:pPr>
      <w:r w:rsidRPr="00F7579C">
        <w:rPr>
          <w:rFonts w:ascii="Calibri" w:eastAsia="Calibri" w:hAnsi="Calibri" w:cs="Calibri"/>
          <w:b/>
          <w:bCs/>
          <w:kern w:val="0"/>
          <w:sz w:val="24"/>
          <w:szCs w:val="24"/>
          <w:lang w:val="sr-Latn-ME"/>
          <w14:ligatures w14:val="none"/>
        </w:rPr>
        <w:t xml:space="preserve"> </w:t>
      </w:r>
      <w:r w:rsidRPr="00F7579C">
        <w:rPr>
          <w:rFonts w:ascii="Calibri" w:eastAsia="Calibri" w:hAnsi="Calibri" w:cs="Calibri"/>
          <w:sz w:val="24"/>
          <w:szCs w:val="24"/>
          <w:lang w:val="sr-Latn-ME"/>
        </w:rPr>
        <w:t xml:space="preserve">Realizacija preuzetih obaveza po osnovu Sporazuma o Energetskoj zajednici i ostvarivanje postavljenih ciljeva od ključnog su značaja za uspješno sprovođenje reformi u energetskom sektoru </w:t>
      </w:r>
      <w:r w:rsidR="00534466">
        <w:rPr>
          <w:rFonts w:ascii="Calibri" w:eastAsia="Calibri" w:hAnsi="Calibri" w:cs="Calibri"/>
          <w:sz w:val="24"/>
          <w:szCs w:val="24"/>
          <w:lang w:val="sr-Latn-ME"/>
        </w:rPr>
        <w:t>u</w:t>
      </w:r>
      <w:r w:rsidRPr="00F7579C">
        <w:rPr>
          <w:rFonts w:ascii="Calibri" w:eastAsia="Calibri" w:hAnsi="Calibri" w:cs="Calibri"/>
          <w:sz w:val="24"/>
          <w:szCs w:val="24"/>
          <w:lang w:val="sr-Latn-ME"/>
        </w:rPr>
        <w:t xml:space="preserve"> Crnoj Gori.</w:t>
      </w:r>
      <w:r w:rsidR="00534466">
        <w:rPr>
          <w:rFonts w:ascii="Calibri" w:eastAsia="Calibri" w:hAnsi="Calibri" w:cs="Calibri"/>
          <w:sz w:val="24"/>
          <w:szCs w:val="24"/>
          <w:lang w:val="sr-Latn-ME"/>
        </w:rPr>
        <w:t>Zemlje</w:t>
      </w:r>
      <w:r w:rsidRPr="00F7579C">
        <w:rPr>
          <w:rFonts w:ascii="Calibri" w:eastAsia="Calibri" w:hAnsi="Calibri" w:cs="Calibri"/>
          <w:sz w:val="24"/>
          <w:szCs w:val="24"/>
          <w:lang w:val="sr-Latn-ME"/>
        </w:rPr>
        <w:t xml:space="preserve"> Zapadnog Balkana, među kojima i Crna Gora moraju da nastave sa realizacijom preostalih obaveza iz Trećeg energetskog paketa i Paketa čiste energije u sektorima električne energije i gasa, i da kreiraju funkcionalna tržišta energijom spremna za integraciju u jedinstveno EU tržište. </w:t>
      </w:r>
    </w:p>
    <w:p w14:paraId="74B30A8D" w14:textId="0AAF61FB" w:rsidR="00F7579C" w:rsidRPr="00F7579C" w:rsidRDefault="00F7579C" w:rsidP="00F7579C">
      <w:pPr>
        <w:spacing w:line="256" w:lineRule="auto"/>
        <w:jc w:val="both"/>
        <w:rPr>
          <w:rFonts w:ascii="Calibri" w:eastAsia="Calibri" w:hAnsi="Calibri" w:cs="Calibri"/>
          <w:sz w:val="24"/>
          <w:szCs w:val="24"/>
          <w:lang w:val="sr-Latn-ME"/>
        </w:rPr>
      </w:pPr>
      <w:r w:rsidRPr="00F7579C">
        <w:rPr>
          <w:rFonts w:ascii="Calibri" w:eastAsia="Calibri" w:hAnsi="Calibri" w:cs="Calibri"/>
          <w:sz w:val="24"/>
          <w:szCs w:val="24"/>
          <w:lang w:val="sr-Latn-ME"/>
        </w:rPr>
        <w:t xml:space="preserve">Ključna aktivnost koja mora biti realizovana u narednom period je izrada integrisanog Nacionalnog energetskog </w:t>
      </w:r>
      <w:r w:rsidR="00400115">
        <w:rPr>
          <w:rFonts w:ascii="Calibri" w:eastAsia="Calibri" w:hAnsi="Calibri" w:cs="Calibri"/>
          <w:sz w:val="24"/>
          <w:szCs w:val="24"/>
          <w:lang w:val="sr-Latn-ME"/>
        </w:rPr>
        <w:t xml:space="preserve">i </w:t>
      </w:r>
      <w:r w:rsidRPr="00F7579C">
        <w:rPr>
          <w:rFonts w:ascii="Calibri" w:eastAsia="Calibri" w:hAnsi="Calibri" w:cs="Calibri"/>
          <w:sz w:val="24"/>
          <w:szCs w:val="24"/>
          <w:lang w:val="sr-Latn-ME"/>
        </w:rPr>
        <w:t>klimatskog plana (NECP), koji će definisati ključne politike i mjere za ostvarivanje novih ciljeva do 2030. godine. Širenje obuhvata Sporazuma o Energetskoj zajednici na pitanja u oblasti klime i životne sredine važan je korak ka tranziciji koja ima za cilj da zemlje članice smanje emisije gasova staklene bašte, postanu energetski efikasne i dominantno koriste obnovljive izvore energije.</w:t>
      </w:r>
      <w:r w:rsidR="00E93DF1">
        <w:rPr>
          <w:rFonts w:ascii="Calibri" w:eastAsia="Calibri" w:hAnsi="Calibri" w:cs="Calibri"/>
          <w:sz w:val="24"/>
          <w:szCs w:val="24"/>
          <w:lang w:val="sr-Latn-ME"/>
        </w:rPr>
        <w:t xml:space="preserve"> </w:t>
      </w:r>
      <w:r w:rsidRPr="00F7579C">
        <w:rPr>
          <w:rFonts w:ascii="Calibri" w:eastAsia="Calibri" w:hAnsi="Calibri" w:cs="Calibri"/>
          <w:sz w:val="24"/>
          <w:szCs w:val="24"/>
          <w:lang w:val="sr-Latn-ME"/>
        </w:rPr>
        <w:t xml:space="preserve">U tom smislu važno je nastaviti sa aktivnostima na povećanju i diversifikaciji udjela energije iz obnovljivih izvora u ukupnoj potrošnji energije, kao i sa kreiranjem i sprovođenjem ekonomski održivih programa podrške i podsticajima za sopstvenu potrošnju energije iz obnovljivih izvora. Sa druge strane, za </w:t>
      </w:r>
      <w:bookmarkStart w:id="171" w:name="_Hlk151183367"/>
      <w:r w:rsidRPr="00F7579C">
        <w:rPr>
          <w:rFonts w:ascii="Calibri" w:eastAsia="Calibri" w:hAnsi="Calibri" w:cs="Calibri"/>
          <w:sz w:val="24"/>
          <w:szCs w:val="24"/>
          <w:lang w:val="sr-Latn-ME"/>
        </w:rPr>
        <w:t>dekarbonizaciju energetskog sektora važan je i dalji razvoj sistema za naplatu emisionih kredita  u kratkom roku i odgovarajućeg sistema za trgovinu emisijama srednjoročno i dugoročno. Očekuje se da sistem za trgovinu emisijama utiče i na postepeno napuštanje proizvodnje energije iz uglja.</w:t>
      </w:r>
      <w:r w:rsidR="00400115">
        <w:rPr>
          <w:rFonts w:ascii="Calibri" w:eastAsia="Calibri" w:hAnsi="Calibri" w:cs="Calibri"/>
          <w:sz w:val="24"/>
          <w:szCs w:val="24"/>
          <w:lang w:val="sr-Latn-ME"/>
        </w:rPr>
        <w:t xml:space="preserve"> </w:t>
      </w:r>
      <w:r w:rsidRPr="00F7579C">
        <w:rPr>
          <w:rFonts w:ascii="Calibri" w:eastAsia="Calibri" w:hAnsi="Calibri" w:cs="Calibri"/>
          <w:sz w:val="24"/>
          <w:szCs w:val="24"/>
          <w:lang w:val="sr-Latn-ME"/>
        </w:rPr>
        <w:t>Pored toga, važno je ostvarivanje ciljeva energetske efikasnosti, među kojima se najvažniji odnosi na obnovu fonda postojećih zgrada, koje mora biti sprovedeno sistematično ali ubrzanim tempom</w:t>
      </w:r>
      <w:r w:rsidR="00400115">
        <w:rPr>
          <w:rFonts w:ascii="Calibri" w:eastAsia="Calibri" w:hAnsi="Calibri" w:cs="Calibri"/>
          <w:sz w:val="24"/>
          <w:szCs w:val="24"/>
          <w:lang w:val="sr-Latn-ME"/>
        </w:rPr>
        <w:t>.</w:t>
      </w:r>
    </w:p>
    <w:p w14:paraId="13A8B8F0" w14:textId="77777777" w:rsidR="00F7579C" w:rsidRPr="00F7579C" w:rsidRDefault="00F7579C" w:rsidP="00F7579C">
      <w:pPr>
        <w:spacing w:line="256" w:lineRule="auto"/>
        <w:jc w:val="both"/>
        <w:rPr>
          <w:rFonts w:ascii="Calibri" w:eastAsia="Calibri" w:hAnsi="Calibri" w:cs="Calibri"/>
          <w:sz w:val="24"/>
          <w:szCs w:val="24"/>
          <w:lang w:val="sr-Latn-ME"/>
        </w:rPr>
      </w:pPr>
      <w:r w:rsidRPr="00F7579C">
        <w:rPr>
          <w:rFonts w:ascii="Calibri" w:eastAsia="Calibri" w:hAnsi="Calibri" w:cs="Calibri"/>
          <w:sz w:val="24"/>
          <w:szCs w:val="24"/>
          <w:lang w:val="sr-Latn-ME"/>
        </w:rPr>
        <w:t>Za efikasnu zelenu i klimatsku tranziciju neophodno je i pravovremeno ažuriranje relevantnih zakonskih okvira transponovanjem novih odredbi koje proizilaze iz Evropskog zelenog dogovora i ostalih zakonskih i drugih akata, u skladu sa Mapom puta Energetske zajednice za dekarbonizaciju.</w:t>
      </w:r>
    </w:p>
    <w:bookmarkEnd w:id="171"/>
    <w:p w14:paraId="2EAA0881" w14:textId="77777777" w:rsidR="00C83383" w:rsidRDefault="00C83383" w:rsidP="00F7579C">
      <w:pPr>
        <w:spacing w:line="256" w:lineRule="auto"/>
        <w:jc w:val="both"/>
        <w:rPr>
          <w:rFonts w:ascii="Calibri" w:eastAsia="Calibri" w:hAnsi="Calibri" w:cs="Calibri"/>
          <w:b/>
          <w:bCs/>
          <w:sz w:val="24"/>
          <w:szCs w:val="24"/>
          <w:lang w:val="sr-Latn-ME"/>
        </w:rPr>
      </w:pPr>
    </w:p>
    <w:p w14:paraId="4ACB9073" w14:textId="03855F6A" w:rsidR="00F7579C" w:rsidRPr="00F7579C" w:rsidRDefault="00F7579C" w:rsidP="00F7579C">
      <w:pPr>
        <w:spacing w:line="256" w:lineRule="auto"/>
        <w:jc w:val="both"/>
        <w:rPr>
          <w:rFonts w:ascii="Calibri" w:eastAsia="Calibri" w:hAnsi="Calibri" w:cs="Calibri"/>
          <w:b/>
          <w:bCs/>
          <w:sz w:val="24"/>
          <w:szCs w:val="24"/>
          <w:lang w:val="sr-Latn-ME"/>
        </w:rPr>
      </w:pPr>
      <w:r w:rsidRPr="00F7579C">
        <w:rPr>
          <w:rFonts w:ascii="Calibri" w:eastAsia="Calibri" w:hAnsi="Calibri" w:cs="Calibri"/>
          <w:b/>
          <w:bCs/>
          <w:sz w:val="24"/>
          <w:szCs w:val="24"/>
          <w:lang w:val="sr-Latn-ME"/>
        </w:rPr>
        <w:lastRenderedPageBreak/>
        <w:t>Aktivnosti planirane za 2024.</w:t>
      </w:r>
    </w:p>
    <w:p w14:paraId="7E716DA1" w14:textId="2DA007CF" w:rsidR="00F7579C" w:rsidRPr="00F7579C" w:rsidRDefault="00F7579C" w:rsidP="00C83383">
      <w:pPr>
        <w:numPr>
          <w:ilvl w:val="0"/>
          <w:numId w:val="2"/>
        </w:numPr>
        <w:spacing w:after="0" w:line="256" w:lineRule="auto"/>
        <w:jc w:val="both"/>
        <w:rPr>
          <w:rFonts w:ascii="Calibri" w:eastAsia="Calibri" w:hAnsi="Calibri" w:cs="Calibri"/>
          <w:b/>
          <w:sz w:val="24"/>
          <w:szCs w:val="24"/>
          <w:lang w:val="sr-Latn-ME"/>
        </w:rPr>
      </w:pPr>
      <w:r w:rsidRPr="00F7579C">
        <w:rPr>
          <w:rFonts w:ascii="Calibri" w:eastAsia="Calibri" w:hAnsi="Calibri" w:cs="Calibri"/>
          <w:sz w:val="24"/>
          <w:szCs w:val="24"/>
          <w:lang w:val="sr-Latn-ME"/>
        </w:rPr>
        <w:t>Izrada Nacionalnog</w:t>
      </w:r>
      <w:r w:rsidR="00DD1C08">
        <w:rPr>
          <w:rFonts w:ascii="Calibri" w:eastAsia="Calibri" w:hAnsi="Calibri" w:cs="Calibri"/>
          <w:sz w:val="24"/>
          <w:szCs w:val="24"/>
          <w:lang w:val="sr-Latn-ME"/>
        </w:rPr>
        <w:t xml:space="preserve"> energetskog </w:t>
      </w:r>
      <w:r w:rsidRPr="00F7579C">
        <w:rPr>
          <w:rFonts w:ascii="Calibri" w:eastAsia="Calibri" w:hAnsi="Calibri" w:cs="Calibri"/>
          <w:sz w:val="24"/>
          <w:szCs w:val="24"/>
          <w:lang w:val="sr-Latn-ME"/>
        </w:rPr>
        <w:t>i klimatskog plana i definisanje politika i mjera za ostvarivanje ciljeva u  oblasti dekarbonizacije, energetske efikasnosti i obnovljivih izvora energije do 2030. godine</w:t>
      </w:r>
      <w:r w:rsidR="0062681F">
        <w:rPr>
          <w:rFonts w:ascii="Calibri" w:eastAsia="Calibri" w:hAnsi="Calibri" w:cs="Calibri"/>
          <w:sz w:val="24"/>
          <w:szCs w:val="24"/>
          <w:lang w:val="sr-Latn-ME"/>
        </w:rPr>
        <w:t>. ME</w:t>
      </w:r>
      <w:r w:rsidR="00DD1C08">
        <w:rPr>
          <w:rFonts w:ascii="Calibri" w:eastAsia="Calibri" w:hAnsi="Calibri" w:cs="Calibri"/>
          <w:sz w:val="24"/>
          <w:szCs w:val="24"/>
          <w:lang w:val="sr-Latn-ME"/>
        </w:rPr>
        <w:t>I</w:t>
      </w:r>
      <w:r w:rsidR="0062681F">
        <w:rPr>
          <w:rFonts w:ascii="Calibri" w:eastAsia="Calibri" w:hAnsi="Calibri" w:cs="Calibri"/>
          <w:sz w:val="24"/>
          <w:szCs w:val="24"/>
          <w:lang w:val="sr-Latn-ME"/>
        </w:rPr>
        <w:t>R</w:t>
      </w:r>
      <w:r w:rsidRPr="00F7579C">
        <w:rPr>
          <w:rFonts w:ascii="Calibri" w:eastAsia="Calibri" w:hAnsi="Calibri" w:cs="Calibri"/>
          <w:sz w:val="24"/>
          <w:szCs w:val="24"/>
          <w:lang w:val="sr-Latn-ME"/>
        </w:rPr>
        <w:t xml:space="preserve"> </w:t>
      </w:r>
    </w:p>
    <w:p w14:paraId="6087C23B" w14:textId="2E67A36A" w:rsidR="00F7579C" w:rsidRPr="00184966" w:rsidRDefault="00F7579C" w:rsidP="00C83383">
      <w:pPr>
        <w:pStyle w:val="ListParagraph"/>
        <w:numPr>
          <w:ilvl w:val="0"/>
          <w:numId w:val="2"/>
        </w:numPr>
        <w:spacing w:after="0" w:line="256" w:lineRule="auto"/>
        <w:jc w:val="both"/>
        <w:rPr>
          <w:rFonts w:ascii="Calibri" w:eastAsia="Calibri" w:hAnsi="Calibri" w:cs="Calibri"/>
          <w:sz w:val="24"/>
          <w:szCs w:val="24"/>
          <w:lang w:val="sr-Latn-ME"/>
        </w:rPr>
      </w:pPr>
      <w:r w:rsidRPr="00184966">
        <w:rPr>
          <w:rFonts w:ascii="Calibri" w:eastAsia="Calibri" w:hAnsi="Calibri" w:cs="Calibri"/>
          <w:bCs/>
          <w:sz w:val="24"/>
          <w:szCs w:val="24"/>
          <w:lang w:val="sr-Latn-ME"/>
        </w:rPr>
        <w:t xml:space="preserve">Unapređenje zakonodavnog okvira u oblasti energetike u skladu sa </w:t>
      </w:r>
      <w:r w:rsidRPr="00184966">
        <w:rPr>
          <w:rFonts w:ascii="Calibri" w:eastAsia="Calibri" w:hAnsi="Calibri" w:cs="Calibri"/>
          <w:sz w:val="24"/>
          <w:szCs w:val="24"/>
          <w:lang w:val="sr-Latn-ME"/>
        </w:rPr>
        <w:t xml:space="preserve">Mapom puta Energetske zajednice za dekarbonizaciju, sa posebnim akcentom </w:t>
      </w:r>
      <w:r w:rsidR="00184966" w:rsidRPr="00184966">
        <w:rPr>
          <w:rFonts w:ascii="Calibri" w:eastAsia="Calibri" w:hAnsi="Calibri" w:cs="Calibri"/>
          <w:sz w:val="24"/>
          <w:szCs w:val="24"/>
          <w:lang w:val="sr-Latn-ME"/>
        </w:rPr>
        <w:t>na donošenje novih zakonskih rješenja u oblasti energetike i obnovljivih izvora energije.</w:t>
      </w:r>
    </w:p>
    <w:p w14:paraId="53333E4E" w14:textId="77777777" w:rsidR="00F7579C" w:rsidRPr="00F7579C" w:rsidRDefault="00F7579C" w:rsidP="00C83383">
      <w:pPr>
        <w:numPr>
          <w:ilvl w:val="0"/>
          <w:numId w:val="2"/>
        </w:numPr>
        <w:spacing w:after="0" w:line="256" w:lineRule="auto"/>
        <w:jc w:val="both"/>
        <w:rPr>
          <w:rFonts w:ascii="Calibri" w:eastAsia="Calibri" w:hAnsi="Calibri" w:cs="Calibri"/>
          <w:bCs/>
          <w:i/>
          <w:iCs/>
          <w:sz w:val="24"/>
          <w:szCs w:val="24"/>
          <w:lang w:val="sr-Latn-ME"/>
        </w:rPr>
      </w:pPr>
      <w:r w:rsidRPr="00F7579C">
        <w:rPr>
          <w:rFonts w:ascii="Calibri" w:eastAsia="Calibri" w:hAnsi="Calibri" w:cs="Calibri"/>
          <w:sz w:val="24"/>
          <w:szCs w:val="24"/>
          <w:lang w:val="sr-Latn-ME"/>
        </w:rPr>
        <w:t xml:space="preserve">Izrada Studije unapređenja energetske efikasnosti zgrada u Crnoj Gori u cilju sagledavanja mogućnosti za unapređenje investicionog ambijenta po pitanju poboljšanja energetskih karakteristika ukupnog fonda zgrada u Crnoj Gori.  </w:t>
      </w:r>
    </w:p>
    <w:p w14:paraId="6FEA0D40" w14:textId="77777777" w:rsidR="00F7579C" w:rsidRPr="00F7579C" w:rsidRDefault="00F7579C" w:rsidP="00C83383">
      <w:pPr>
        <w:spacing w:after="0" w:line="256" w:lineRule="auto"/>
        <w:jc w:val="both"/>
        <w:rPr>
          <w:rFonts w:ascii="Calibri" w:eastAsia="Calibri" w:hAnsi="Calibri" w:cs="Calibri"/>
          <w:b/>
          <w:bCs/>
          <w:sz w:val="24"/>
          <w:szCs w:val="24"/>
          <w:lang w:val="sr-Latn-ME"/>
        </w:rPr>
      </w:pPr>
      <w:r w:rsidRPr="00F7579C">
        <w:rPr>
          <w:rFonts w:ascii="Calibri" w:eastAsia="Calibri" w:hAnsi="Calibri" w:cs="Calibri"/>
          <w:b/>
          <w:bCs/>
          <w:sz w:val="24"/>
          <w:szCs w:val="24"/>
          <w:lang w:val="sr-Latn-ME"/>
        </w:rPr>
        <w:t>Aktivnosti planirane za 2025.</w:t>
      </w:r>
    </w:p>
    <w:p w14:paraId="010B4511" w14:textId="77777777" w:rsidR="00F7579C" w:rsidRPr="00F7579C" w:rsidRDefault="00F7579C" w:rsidP="00C83383">
      <w:pPr>
        <w:numPr>
          <w:ilvl w:val="0"/>
          <w:numId w:val="2"/>
        </w:numPr>
        <w:spacing w:after="0" w:line="256" w:lineRule="auto"/>
        <w:jc w:val="both"/>
        <w:rPr>
          <w:rFonts w:ascii="Calibri" w:eastAsia="Calibri" w:hAnsi="Calibri" w:cs="Calibri"/>
          <w:bCs/>
          <w:i/>
          <w:iCs/>
          <w:sz w:val="24"/>
          <w:szCs w:val="24"/>
          <w:lang w:val="sr-Latn-ME"/>
        </w:rPr>
      </w:pPr>
      <w:r w:rsidRPr="00F7579C">
        <w:rPr>
          <w:rFonts w:ascii="Calibri" w:eastAsia="Calibri" w:hAnsi="Calibri" w:cs="Calibri"/>
          <w:bCs/>
          <w:sz w:val="24"/>
          <w:szCs w:val="24"/>
          <w:lang w:val="sr-Latn-ME"/>
        </w:rPr>
        <w:t>Analiza potencijala za izgradnju novih obnovljivih izvora energije (solar, vjetar) posebno uvažavajući uticaj na biodiverzitet i životnu sredinu, korišćenje zemljišta (poljoprivredno, šumsko) i potrebe za razvojem kapaciteta prenosne i distributivne mreže;</w:t>
      </w:r>
    </w:p>
    <w:p w14:paraId="2865578C" w14:textId="77777777" w:rsidR="00F7579C" w:rsidRPr="00F7579C" w:rsidRDefault="00F7579C" w:rsidP="00C83383">
      <w:pPr>
        <w:numPr>
          <w:ilvl w:val="0"/>
          <w:numId w:val="2"/>
        </w:numPr>
        <w:spacing w:after="0" w:line="256" w:lineRule="auto"/>
        <w:jc w:val="both"/>
        <w:rPr>
          <w:rFonts w:ascii="Calibri" w:eastAsia="Calibri" w:hAnsi="Calibri" w:cs="Calibri"/>
          <w:b/>
          <w:i/>
          <w:iCs/>
          <w:sz w:val="24"/>
          <w:szCs w:val="24"/>
          <w:lang w:val="sr-Latn-ME"/>
        </w:rPr>
      </w:pPr>
      <w:r w:rsidRPr="00F7579C">
        <w:rPr>
          <w:rFonts w:ascii="Calibri" w:eastAsia="Calibri" w:hAnsi="Calibri" w:cs="Calibri"/>
          <w:sz w:val="24"/>
          <w:szCs w:val="24"/>
          <w:lang w:val="sr-Latn-ME"/>
        </w:rPr>
        <w:t xml:space="preserve">Tehnička pomoć akterima u energetskom sektoru u cilju jačanja njihovih kapaciteta da kreiraju i implementiraju politike i programe čiste energije; </w:t>
      </w:r>
    </w:p>
    <w:p w14:paraId="52DC5C71" w14:textId="054E98AD" w:rsidR="00F7579C" w:rsidRPr="00F7579C" w:rsidRDefault="00F7579C" w:rsidP="00C83383">
      <w:pPr>
        <w:numPr>
          <w:ilvl w:val="0"/>
          <w:numId w:val="2"/>
        </w:numPr>
        <w:spacing w:after="0" w:line="256" w:lineRule="auto"/>
        <w:jc w:val="both"/>
        <w:rPr>
          <w:rFonts w:ascii="Calibri" w:eastAsia="Calibri" w:hAnsi="Calibri" w:cs="Calibri"/>
          <w:bCs/>
          <w:i/>
          <w:iCs/>
          <w:sz w:val="24"/>
          <w:szCs w:val="24"/>
          <w:lang w:val="sr-Latn-ME"/>
        </w:rPr>
      </w:pPr>
      <w:r w:rsidRPr="00F7579C">
        <w:rPr>
          <w:rFonts w:ascii="Calibri" w:eastAsia="Calibri" w:hAnsi="Calibri" w:cs="Calibri"/>
          <w:sz w:val="24"/>
          <w:szCs w:val="24"/>
          <w:lang w:val="sr-Latn-ME"/>
        </w:rPr>
        <w:t xml:space="preserve">Uspostavljanje finansijskih mehanizama za podršku unapređenju energetske efikasnosti zgrada u Crnoj Gori u saradnji sa Eko fondom.  </w:t>
      </w:r>
    </w:p>
    <w:p w14:paraId="6AD3446F" w14:textId="77777777" w:rsidR="00F7579C" w:rsidRPr="00F7579C" w:rsidRDefault="00F7579C" w:rsidP="00C83383">
      <w:pPr>
        <w:spacing w:after="0" w:line="256" w:lineRule="auto"/>
        <w:jc w:val="both"/>
        <w:rPr>
          <w:rFonts w:ascii="Calibri" w:eastAsia="Calibri" w:hAnsi="Calibri" w:cs="Calibri"/>
          <w:b/>
          <w:bCs/>
          <w:sz w:val="24"/>
          <w:szCs w:val="24"/>
          <w:lang w:val="sr-Latn-ME"/>
        </w:rPr>
      </w:pPr>
      <w:r w:rsidRPr="00F7579C">
        <w:rPr>
          <w:rFonts w:ascii="Calibri" w:eastAsia="Calibri" w:hAnsi="Calibri" w:cs="Calibri"/>
          <w:b/>
          <w:bCs/>
          <w:sz w:val="24"/>
          <w:szCs w:val="24"/>
          <w:lang w:val="sr-Latn-ME"/>
        </w:rPr>
        <w:t>Aktivnosti planirane za 2026.</w:t>
      </w:r>
    </w:p>
    <w:p w14:paraId="45F555B4" w14:textId="6CEF3CDD" w:rsidR="00F7579C" w:rsidRPr="00F7579C" w:rsidRDefault="00F7579C" w:rsidP="00C83383">
      <w:pPr>
        <w:numPr>
          <w:ilvl w:val="0"/>
          <w:numId w:val="2"/>
        </w:numPr>
        <w:spacing w:after="0" w:line="256" w:lineRule="auto"/>
        <w:contextualSpacing/>
        <w:jc w:val="both"/>
        <w:rPr>
          <w:rFonts w:ascii="Calibri" w:eastAsia="Calibri" w:hAnsi="Calibri" w:cs="Calibri"/>
          <w:bCs/>
          <w:i/>
          <w:iCs/>
          <w:sz w:val="24"/>
          <w:szCs w:val="24"/>
          <w:lang w:val="sr-Latn-ME"/>
        </w:rPr>
      </w:pPr>
      <w:r w:rsidRPr="00F7579C">
        <w:rPr>
          <w:rFonts w:ascii="Calibri" w:eastAsia="Calibri" w:hAnsi="Calibri" w:cs="Calibri"/>
          <w:sz w:val="24"/>
          <w:szCs w:val="24"/>
          <w:lang w:val="sr-Latn-ME"/>
        </w:rPr>
        <w:t>Izrada Studije razvoja distributivnog sistema Crne Gore uvažavajući aspekte integracije obnovljivih izvora energije i e-mobilnosti</w:t>
      </w:r>
      <w:r w:rsidR="0062681F">
        <w:rPr>
          <w:rFonts w:ascii="Calibri" w:eastAsia="Calibri" w:hAnsi="Calibri" w:cs="Calibri"/>
          <w:sz w:val="24"/>
          <w:szCs w:val="24"/>
          <w:lang w:val="sr-Latn-ME"/>
        </w:rPr>
        <w:t>.</w:t>
      </w:r>
    </w:p>
    <w:p w14:paraId="6FE5AC23" w14:textId="51DD9854" w:rsidR="00F7579C" w:rsidRPr="00F346A9" w:rsidRDefault="00F7579C" w:rsidP="00C83383">
      <w:pPr>
        <w:numPr>
          <w:ilvl w:val="0"/>
          <w:numId w:val="2"/>
        </w:numPr>
        <w:spacing w:after="0" w:line="256" w:lineRule="auto"/>
        <w:jc w:val="both"/>
        <w:rPr>
          <w:rFonts w:ascii="Calibri" w:eastAsia="Calibri" w:hAnsi="Calibri" w:cs="Calibri"/>
          <w:bCs/>
          <w:i/>
          <w:iCs/>
          <w:sz w:val="24"/>
          <w:szCs w:val="24"/>
          <w:lang w:val="sr-Latn-ME"/>
        </w:rPr>
      </w:pPr>
      <w:r w:rsidRPr="00F7579C">
        <w:rPr>
          <w:rFonts w:ascii="Calibri" w:eastAsia="Calibri" w:hAnsi="Calibri" w:cs="Calibri"/>
          <w:sz w:val="24"/>
          <w:szCs w:val="24"/>
          <w:lang w:val="sr-Latn-ME"/>
        </w:rPr>
        <w:t xml:space="preserve">Nastavaka realizacije  podrške za  unapređenje energetske efikasnosti zgrada u Crnoj Gori u saradnji sa Eko fondom.  </w:t>
      </w:r>
    </w:p>
    <w:p w14:paraId="415D9D56" w14:textId="0DFCDE93" w:rsidR="00F346A9" w:rsidRPr="00F346A9" w:rsidRDefault="00F346A9" w:rsidP="00C83383">
      <w:pPr>
        <w:numPr>
          <w:ilvl w:val="0"/>
          <w:numId w:val="2"/>
        </w:numPr>
        <w:spacing w:after="0" w:line="256" w:lineRule="auto"/>
        <w:jc w:val="both"/>
        <w:rPr>
          <w:rFonts w:ascii="Calibri" w:eastAsia="Calibri" w:hAnsi="Calibri" w:cs="Calibri"/>
          <w:bCs/>
          <w:iCs/>
          <w:sz w:val="24"/>
          <w:szCs w:val="24"/>
          <w:lang w:val="sr-Latn-ME"/>
        </w:rPr>
      </w:pPr>
      <w:r w:rsidRPr="00F346A9">
        <w:rPr>
          <w:rFonts w:ascii="Calibri" w:eastAsia="Calibri" w:hAnsi="Calibri" w:cs="Calibri"/>
          <w:bCs/>
          <w:iCs/>
          <w:sz w:val="24"/>
          <w:szCs w:val="24"/>
          <w:lang w:val="sr-Latn-ME"/>
        </w:rPr>
        <w:t>Finalizacija Strategije niskokarbonskog razvoja do 2050. godine</w:t>
      </w:r>
      <w:r>
        <w:rPr>
          <w:rFonts w:ascii="Calibri" w:eastAsia="Calibri" w:hAnsi="Calibri" w:cs="Calibri"/>
          <w:bCs/>
          <w:iCs/>
          <w:sz w:val="24"/>
          <w:szCs w:val="24"/>
          <w:lang w:val="sr-Latn-ME"/>
        </w:rPr>
        <w:t>.</w:t>
      </w:r>
      <w:r w:rsidR="0062681F">
        <w:rPr>
          <w:rFonts w:ascii="Calibri" w:eastAsia="Calibri" w:hAnsi="Calibri" w:cs="Calibri"/>
          <w:bCs/>
          <w:iCs/>
          <w:sz w:val="24"/>
          <w:szCs w:val="24"/>
          <w:lang w:val="sr-Latn-ME"/>
        </w:rPr>
        <w:t xml:space="preserve"> </w:t>
      </w:r>
      <w:r w:rsidR="0062681F" w:rsidRPr="0062681F">
        <w:rPr>
          <w:rFonts w:ascii="Calibri" w:eastAsia="Calibri" w:hAnsi="Calibri" w:cs="Calibri"/>
          <w:bCs/>
          <w:iCs/>
          <w:sz w:val="24"/>
          <w:szCs w:val="24"/>
          <w:lang w:val="sr-Latn-ME"/>
        </w:rPr>
        <w:t>MTEORRS</w:t>
      </w:r>
    </w:p>
    <w:p w14:paraId="3F69D165" w14:textId="0F643A98" w:rsidR="00F346A9" w:rsidRPr="00F346A9" w:rsidRDefault="00F346A9" w:rsidP="00C83383">
      <w:pPr>
        <w:numPr>
          <w:ilvl w:val="0"/>
          <w:numId w:val="2"/>
        </w:numPr>
        <w:spacing w:after="0" w:line="256" w:lineRule="auto"/>
        <w:jc w:val="both"/>
        <w:rPr>
          <w:rFonts w:ascii="Calibri" w:eastAsia="Calibri" w:hAnsi="Calibri" w:cs="Calibri"/>
          <w:bCs/>
          <w:iCs/>
          <w:sz w:val="24"/>
          <w:szCs w:val="24"/>
          <w:lang w:val="sr-Latn-ME"/>
        </w:rPr>
      </w:pPr>
      <w:r w:rsidRPr="00F346A9">
        <w:rPr>
          <w:rFonts w:ascii="Calibri" w:eastAsia="Calibri" w:hAnsi="Calibri" w:cs="Calibri"/>
          <w:bCs/>
          <w:iCs/>
          <w:sz w:val="24"/>
          <w:szCs w:val="24"/>
          <w:lang w:val="sr-Latn-ME"/>
        </w:rPr>
        <w:t>Uspostavljanje sistema karbon taksi u Crnoj Gori.</w:t>
      </w:r>
      <w:r w:rsidR="0062681F">
        <w:rPr>
          <w:rFonts w:ascii="Calibri" w:eastAsia="Calibri" w:hAnsi="Calibri" w:cs="Calibri"/>
          <w:bCs/>
          <w:iCs/>
          <w:sz w:val="24"/>
          <w:szCs w:val="24"/>
          <w:lang w:val="sr-Latn-ME"/>
        </w:rPr>
        <w:t xml:space="preserve"> MTEORRS</w:t>
      </w:r>
    </w:p>
    <w:p w14:paraId="59099B12" w14:textId="77777777" w:rsidR="00F7579C" w:rsidRPr="00F7579C" w:rsidRDefault="00F7579C" w:rsidP="00F7579C">
      <w:pPr>
        <w:spacing w:line="256" w:lineRule="auto"/>
        <w:jc w:val="both"/>
        <w:rPr>
          <w:rFonts w:ascii="Calibri" w:eastAsia="Calibri" w:hAnsi="Calibri" w:cs="Calibri"/>
          <w:b/>
          <w:sz w:val="24"/>
          <w:szCs w:val="24"/>
          <w:lang w:val="sr-Latn-RS"/>
        </w:rPr>
      </w:pPr>
      <w:r w:rsidRPr="00F7579C">
        <w:rPr>
          <w:rFonts w:ascii="Calibri" w:eastAsia="Calibri" w:hAnsi="Calibri" w:cs="Calibri"/>
          <w:b/>
          <w:sz w:val="24"/>
          <w:szCs w:val="24"/>
          <w:lang w:val="sr-Latn-RS"/>
        </w:rPr>
        <w:t>2. Indikatori rezultata</w:t>
      </w:r>
    </w:p>
    <w:tbl>
      <w:tblPr>
        <w:tblStyle w:val="GridTable6Colorful-Accent5"/>
        <w:tblW w:w="9355" w:type="dxa"/>
        <w:tblLayout w:type="fixed"/>
        <w:tblLook w:val="04A0" w:firstRow="1" w:lastRow="0" w:firstColumn="1" w:lastColumn="0" w:noHBand="0" w:noVBand="1"/>
      </w:tblPr>
      <w:tblGrid>
        <w:gridCol w:w="5035"/>
        <w:gridCol w:w="1350"/>
        <w:gridCol w:w="1440"/>
        <w:gridCol w:w="1530"/>
      </w:tblGrid>
      <w:tr w:rsidR="00F7579C" w:rsidRPr="00F7579C" w14:paraId="37788AFD" w14:textId="77777777" w:rsidTr="004333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tcPr>
          <w:p w14:paraId="608EF228" w14:textId="77777777" w:rsidR="00F7579C" w:rsidRPr="00321672" w:rsidRDefault="00F7579C" w:rsidP="00F7579C">
            <w:pPr>
              <w:spacing w:line="256" w:lineRule="auto"/>
              <w:rPr>
                <w:rFonts w:ascii="Calibri" w:eastAsia="Calibri" w:hAnsi="Calibri" w:cs="Calibri"/>
                <w:b w:val="0"/>
                <w:bCs w:val="0"/>
                <w:color w:val="auto"/>
                <w:sz w:val="20"/>
                <w:szCs w:val="20"/>
                <w:lang w:val="sr-Latn-RS"/>
              </w:rPr>
            </w:pPr>
            <w:r w:rsidRPr="00321672">
              <w:rPr>
                <w:rFonts w:ascii="Calibri" w:eastAsia="Calibri" w:hAnsi="Calibri" w:cs="Calibri"/>
                <w:b w:val="0"/>
                <w:bCs w:val="0"/>
                <w:color w:val="auto"/>
                <w:sz w:val="20"/>
                <w:szCs w:val="20"/>
                <w:lang w:val="sr-Latn-RS"/>
              </w:rPr>
              <w:t xml:space="preserve">Indikator </w:t>
            </w:r>
          </w:p>
        </w:tc>
        <w:tc>
          <w:tcPr>
            <w:tcW w:w="1350" w:type="dxa"/>
          </w:tcPr>
          <w:p w14:paraId="66ECC298" w14:textId="77777777" w:rsidR="00F7579C" w:rsidRPr="004D422C" w:rsidRDefault="00F7579C" w:rsidP="00F7579C">
            <w:pPr>
              <w:spacing w:line="256" w:lineRule="auto"/>
              <w:cnfStyle w:val="100000000000" w:firstRow="1" w:lastRow="0" w:firstColumn="0" w:lastColumn="0" w:oddVBand="0" w:evenVBand="0" w:oddHBand="0" w:evenHBand="0" w:firstRowFirstColumn="0" w:firstRowLastColumn="0" w:lastRowFirstColumn="0" w:lastRowLastColumn="0"/>
              <w:rPr>
                <w:rFonts w:ascii="Calibri" w:eastAsia="Calibri" w:hAnsi="Calibri" w:cs="Calibri"/>
                <w:bCs w:val="0"/>
                <w:color w:val="auto"/>
                <w:sz w:val="20"/>
                <w:szCs w:val="20"/>
                <w:lang w:val="sr-Latn-RS"/>
              </w:rPr>
            </w:pPr>
            <w:r w:rsidRPr="004D422C">
              <w:rPr>
                <w:rFonts w:ascii="Calibri" w:eastAsia="Calibri" w:hAnsi="Calibri" w:cs="Calibri"/>
                <w:color w:val="auto"/>
                <w:sz w:val="20"/>
                <w:szCs w:val="20"/>
                <w:lang w:val="sr-Latn-RS"/>
              </w:rPr>
              <w:t xml:space="preserve">Početna vrijednost </w:t>
            </w:r>
          </w:p>
          <w:p w14:paraId="23F227CC" w14:textId="77777777" w:rsidR="00F7579C" w:rsidRPr="004D422C" w:rsidRDefault="00F7579C" w:rsidP="00F7579C">
            <w:pPr>
              <w:spacing w:line="256" w:lineRule="auto"/>
              <w:cnfStyle w:val="100000000000" w:firstRow="1" w:lastRow="0" w:firstColumn="0" w:lastColumn="0" w:oddVBand="0" w:evenVBand="0" w:oddHBand="0" w:evenHBand="0" w:firstRowFirstColumn="0" w:firstRowLastColumn="0" w:lastRowFirstColumn="0" w:lastRowLastColumn="0"/>
              <w:rPr>
                <w:rFonts w:ascii="Calibri" w:eastAsia="Calibri" w:hAnsi="Calibri" w:cs="Calibri"/>
                <w:bCs w:val="0"/>
                <w:color w:val="auto"/>
                <w:sz w:val="20"/>
                <w:szCs w:val="20"/>
                <w:lang w:val="sr-Latn-RS"/>
              </w:rPr>
            </w:pPr>
            <w:r w:rsidRPr="004D422C">
              <w:rPr>
                <w:rFonts w:ascii="Calibri" w:eastAsia="Calibri" w:hAnsi="Calibri" w:cs="Calibri"/>
                <w:color w:val="auto"/>
                <w:sz w:val="20"/>
                <w:szCs w:val="20"/>
                <w:lang w:val="sr-Latn-RS"/>
              </w:rPr>
              <w:t>(2023)</w:t>
            </w:r>
          </w:p>
        </w:tc>
        <w:tc>
          <w:tcPr>
            <w:tcW w:w="1440" w:type="dxa"/>
          </w:tcPr>
          <w:p w14:paraId="1BED8A23" w14:textId="2E31CCB7" w:rsidR="00F7579C" w:rsidRPr="004D422C" w:rsidRDefault="00F7579C" w:rsidP="00F7579C">
            <w:pPr>
              <w:spacing w:line="256" w:lineRule="auto"/>
              <w:cnfStyle w:val="100000000000" w:firstRow="1" w:lastRow="0" w:firstColumn="0" w:lastColumn="0" w:oddVBand="0" w:evenVBand="0" w:oddHBand="0" w:evenHBand="0" w:firstRowFirstColumn="0" w:firstRowLastColumn="0" w:lastRowFirstColumn="0" w:lastRowLastColumn="0"/>
              <w:rPr>
                <w:rFonts w:ascii="Calibri" w:eastAsia="Calibri" w:hAnsi="Calibri" w:cs="Calibri"/>
                <w:bCs w:val="0"/>
                <w:color w:val="auto"/>
                <w:sz w:val="20"/>
                <w:szCs w:val="20"/>
                <w:lang w:val="sr-Latn-RS"/>
              </w:rPr>
            </w:pPr>
            <w:r w:rsidRPr="004D422C">
              <w:rPr>
                <w:rFonts w:ascii="Calibri" w:eastAsia="Calibri" w:hAnsi="Calibri" w:cs="Calibri"/>
                <w:color w:val="auto"/>
                <w:sz w:val="20"/>
                <w:szCs w:val="20"/>
                <w:lang w:val="sr-Latn-RS"/>
              </w:rPr>
              <w:t>Me</w:t>
            </w:r>
            <w:r w:rsidR="004333EF">
              <w:rPr>
                <w:rFonts w:ascii="Calibri" w:eastAsia="Calibri" w:hAnsi="Calibri" w:cs="Calibri"/>
                <w:color w:val="auto"/>
                <w:sz w:val="20"/>
                <w:szCs w:val="20"/>
                <w:lang w:val="sr-Latn-RS"/>
              </w:rPr>
              <w:t>đ</w:t>
            </w:r>
            <w:r w:rsidRPr="004D422C">
              <w:rPr>
                <w:rFonts w:ascii="Calibri" w:eastAsia="Calibri" w:hAnsi="Calibri" w:cs="Calibri"/>
                <w:color w:val="auto"/>
                <w:sz w:val="20"/>
                <w:szCs w:val="20"/>
                <w:lang w:val="sr-Latn-RS"/>
              </w:rPr>
              <w:t>urezultat</w:t>
            </w:r>
          </w:p>
          <w:p w14:paraId="02D93011" w14:textId="77777777" w:rsidR="00F7579C" w:rsidRPr="004D422C" w:rsidRDefault="00F7579C" w:rsidP="00F7579C">
            <w:pPr>
              <w:spacing w:line="256" w:lineRule="auto"/>
              <w:cnfStyle w:val="100000000000" w:firstRow="1" w:lastRow="0" w:firstColumn="0" w:lastColumn="0" w:oddVBand="0" w:evenVBand="0" w:oddHBand="0" w:evenHBand="0" w:firstRowFirstColumn="0" w:firstRowLastColumn="0" w:lastRowFirstColumn="0" w:lastRowLastColumn="0"/>
              <w:rPr>
                <w:rFonts w:ascii="Calibri" w:eastAsia="Calibri" w:hAnsi="Calibri" w:cs="Calibri"/>
                <w:bCs w:val="0"/>
                <w:color w:val="auto"/>
                <w:sz w:val="20"/>
                <w:szCs w:val="20"/>
                <w:lang w:val="sr-Latn-RS"/>
              </w:rPr>
            </w:pPr>
            <w:r w:rsidRPr="004D422C">
              <w:rPr>
                <w:rFonts w:ascii="Calibri" w:eastAsia="Calibri" w:hAnsi="Calibri" w:cs="Calibri"/>
                <w:color w:val="auto"/>
                <w:sz w:val="20"/>
                <w:szCs w:val="20"/>
                <w:lang w:val="sr-Latn-RS"/>
              </w:rPr>
              <w:t>(2025)</w:t>
            </w:r>
          </w:p>
        </w:tc>
        <w:tc>
          <w:tcPr>
            <w:tcW w:w="1530" w:type="dxa"/>
          </w:tcPr>
          <w:p w14:paraId="6115BD5D" w14:textId="77777777" w:rsidR="00F7579C" w:rsidRPr="004D422C" w:rsidRDefault="00F7579C" w:rsidP="00F7579C">
            <w:pPr>
              <w:spacing w:line="256" w:lineRule="auto"/>
              <w:cnfStyle w:val="100000000000" w:firstRow="1" w:lastRow="0" w:firstColumn="0" w:lastColumn="0" w:oddVBand="0" w:evenVBand="0" w:oddHBand="0" w:evenHBand="0" w:firstRowFirstColumn="0" w:firstRowLastColumn="0" w:lastRowFirstColumn="0" w:lastRowLastColumn="0"/>
              <w:rPr>
                <w:rFonts w:ascii="Calibri" w:eastAsia="Calibri" w:hAnsi="Calibri" w:cs="Calibri"/>
                <w:bCs w:val="0"/>
                <w:color w:val="auto"/>
                <w:sz w:val="20"/>
                <w:szCs w:val="20"/>
                <w:lang w:val="sr-Latn-RS"/>
              </w:rPr>
            </w:pPr>
            <w:r w:rsidRPr="004D422C">
              <w:rPr>
                <w:rFonts w:ascii="Calibri" w:eastAsia="Calibri" w:hAnsi="Calibri" w:cs="Calibri"/>
                <w:color w:val="auto"/>
                <w:sz w:val="20"/>
                <w:szCs w:val="20"/>
                <w:lang w:val="sr-Latn-RS"/>
              </w:rPr>
              <w:t>Ciljna vrijednost</w:t>
            </w:r>
          </w:p>
          <w:p w14:paraId="1A0E73AE" w14:textId="77777777" w:rsidR="00F7579C" w:rsidRPr="004D422C" w:rsidRDefault="00F7579C" w:rsidP="00F7579C">
            <w:pPr>
              <w:spacing w:line="256" w:lineRule="auto"/>
              <w:cnfStyle w:val="100000000000" w:firstRow="1" w:lastRow="0" w:firstColumn="0" w:lastColumn="0" w:oddVBand="0" w:evenVBand="0" w:oddHBand="0" w:evenHBand="0" w:firstRowFirstColumn="0" w:firstRowLastColumn="0" w:lastRowFirstColumn="0" w:lastRowLastColumn="0"/>
              <w:rPr>
                <w:rFonts w:ascii="Calibri" w:eastAsia="Calibri" w:hAnsi="Calibri" w:cs="Calibri"/>
                <w:bCs w:val="0"/>
                <w:color w:val="auto"/>
                <w:sz w:val="20"/>
                <w:szCs w:val="20"/>
                <w:lang w:val="sr-Latn-RS"/>
              </w:rPr>
            </w:pPr>
            <w:r w:rsidRPr="004D422C">
              <w:rPr>
                <w:rFonts w:ascii="Calibri" w:eastAsia="Calibri" w:hAnsi="Calibri" w:cs="Calibri"/>
                <w:color w:val="auto"/>
                <w:sz w:val="20"/>
                <w:szCs w:val="20"/>
                <w:lang w:val="sr-Latn-RS"/>
              </w:rPr>
              <w:t>(2026)</w:t>
            </w:r>
          </w:p>
        </w:tc>
      </w:tr>
      <w:tr w:rsidR="008F177D" w:rsidRPr="00F7579C" w14:paraId="0F42F850" w14:textId="77777777" w:rsidTr="004333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tcPr>
          <w:p w14:paraId="2678EF44" w14:textId="77777777" w:rsidR="00F7579C" w:rsidRPr="00321672" w:rsidRDefault="00F7579C" w:rsidP="00F7579C">
            <w:pPr>
              <w:spacing w:line="256" w:lineRule="auto"/>
              <w:rPr>
                <w:rFonts w:ascii="Calibri" w:eastAsia="Calibri" w:hAnsi="Calibri" w:cs="Calibri"/>
                <w:b w:val="0"/>
                <w:bCs w:val="0"/>
                <w:color w:val="auto"/>
                <w:sz w:val="20"/>
                <w:szCs w:val="20"/>
                <w:lang w:val="sr-Latn-RS"/>
              </w:rPr>
            </w:pPr>
            <w:r w:rsidRPr="009A2673">
              <w:rPr>
                <w:rFonts w:ascii="Calibri" w:eastAsia="Calibri" w:hAnsi="Calibri" w:cs="Calibri"/>
                <w:b w:val="0"/>
                <w:bCs w:val="0"/>
                <w:color w:val="auto"/>
                <w:sz w:val="20"/>
                <w:szCs w:val="20"/>
                <w:lang w:val="sr-Latn-RS"/>
              </w:rPr>
              <w:t>%</w:t>
            </w:r>
            <w:r w:rsidRPr="00321672">
              <w:rPr>
                <w:rFonts w:ascii="Calibri" w:eastAsia="Calibri" w:hAnsi="Calibri" w:cs="Calibri"/>
                <w:b w:val="0"/>
                <w:bCs w:val="0"/>
                <w:color w:val="auto"/>
                <w:sz w:val="20"/>
                <w:szCs w:val="20"/>
                <w:lang w:val="sr-Latn-RS"/>
              </w:rPr>
              <w:t xml:space="preserve"> realizovanih aktivnosti </w:t>
            </w:r>
          </w:p>
        </w:tc>
        <w:tc>
          <w:tcPr>
            <w:tcW w:w="1350" w:type="dxa"/>
          </w:tcPr>
          <w:p w14:paraId="087FD800" w14:textId="77777777" w:rsidR="00F7579C" w:rsidRPr="004D422C" w:rsidRDefault="00F7579C" w:rsidP="00400115">
            <w:pPr>
              <w:spacing w:line="25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color w:val="auto"/>
                <w:sz w:val="20"/>
                <w:szCs w:val="20"/>
                <w:lang w:val="sr-Latn-RS"/>
              </w:rPr>
            </w:pPr>
            <w:r w:rsidRPr="004D422C">
              <w:rPr>
                <w:rFonts w:ascii="Calibri" w:eastAsia="Calibri" w:hAnsi="Calibri" w:cs="Calibri"/>
                <w:bCs/>
                <w:color w:val="auto"/>
                <w:sz w:val="20"/>
                <w:szCs w:val="20"/>
                <w:lang w:val="sr-Latn-RS"/>
              </w:rPr>
              <w:t>-</w:t>
            </w:r>
          </w:p>
        </w:tc>
        <w:tc>
          <w:tcPr>
            <w:tcW w:w="1440" w:type="dxa"/>
          </w:tcPr>
          <w:p w14:paraId="2B8E38BD" w14:textId="77777777" w:rsidR="00F7579C" w:rsidRPr="004D422C" w:rsidRDefault="00F7579C" w:rsidP="00400115">
            <w:pPr>
              <w:spacing w:line="25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color w:val="auto"/>
                <w:sz w:val="20"/>
                <w:szCs w:val="20"/>
                <w:lang w:val="sr-Latn-RS"/>
              </w:rPr>
            </w:pPr>
            <w:r w:rsidRPr="004D422C">
              <w:rPr>
                <w:rFonts w:ascii="Calibri" w:eastAsia="Calibri" w:hAnsi="Calibri" w:cs="Calibri"/>
                <w:bCs/>
                <w:color w:val="auto"/>
                <w:sz w:val="20"/>
                <w:szCs w:val="20"/>
                <w:lang w:val="sr-Latn-RS"/>
              </w:rPr>
              <w:t>70</w:t>
            </w:r>
          </w:p>
        </w:tc>
        <w:tc>
          <w:tcPr>
            <w:tcW w:w="1530" w:type="dxa"/>
          </w:tcPr>
          <w:p w14:paraId="0A23821B" w14:textId="77777777" w:rsidR="00F7579C" w:rsidRPr="004D422C" w:rsidRDefault="00F7579C" w:rsidP="00400115">
            <w:pPr>
              <w:spacing w:line="25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color w:val="auto"/>
                <w:sz w:val="20"/>
                <w:szCs w:val="20"/>
                <w:lang w:val="sr-Latn-RS"/>
              </w:rPr>
            </w:pPr>
            <w:r w:rsidRPr="004D422C">
              <w:rPr>
                <w:rFonts w:ascii="Calibri" w:eastAsia="Calibri" w:hAnsi="Calibri" w:cs="Calibri"/>
                <w:bCs/>
                <w:color w:val="auto"/>
                <w:sz w:val="20"/>
                <w:szCs w:val="20"/>
                <w:lang w:val="sr-Latn-RS"/>
              </w:rPr>
              <w:t>100</w:t>
            </w:r>
          </w:p>
        </w:tc>
      </w:tr>
      <w:tr w:rsidR="00F7579C" w:rsidRPr="00F7579C" w14:paraId="78DAF3CD" w14:textId="77777777" w:rsidTr="004333EF">
        <w:tc>
          <w:tcPr>
            <w:cnfStyle w:val="001000000000" w:firstRow="0" w:lastRow="0" w:firstColumn="1" w:lastColumn="0" w:oddVBand="0" w:evenVBand="0" w:oddHBand="0" w:evenHBand="0" w:firstRowFirstColumn="0" w:firstRowLastColumn="0" w:lastRowFirstColumn="0" w:lastRowLastColumn="0"/>
            <w:tcW w:w="5035" w:type="dxa"/>
          </w:tcPr>
          <w:p w14:paraId="173CD8E0" w14:textId="04C945B2" w:rsidR="00F7579C" w:rsidRPr="00321672" w:rsidRDefault="00FD0F47" w:rsidP="00F7579C">
            <w:pPr>
              <w:spacing w:line="256" w:lineRule="auto"/>
              <w:rPr>
                <w:rFonts w:ascii="Calibri" w:eastAsia="Calibri" w:hAnsi="Calibri" w:cs="Calibri"/>
                <w:b w:val="0"/>
                <w:bCs w:val="0"/>
                <w:color w:val="auto"/>
                <w:sz w:val="20"/>
                <w:szCs w:val="20"/>
                <w:lang w:val="sr-Latn-ME"/>
              </w:rPr>
            </w:pPr>
            <w:r w:rsidRPr="0057418E">
              <w:rPr>
                <w:rFonts w:ascii="Calibri" w:eastAsia="Calibri" w:hAnsi="Calibri" w:cs="Calibri"/>
                <w:b w:val="0"/>
                <w:bCs w:val="0"/>
                <w:color w:val="auto"/>
                <w:sz w:val="20"/>
                <w:szCs w:val="20"/>
                <w:lang w:val="sr-Latn-RS"/>
              </w:rPr>
              <w:t>%</w:t>
            </w:r>
            <w:r w:rsidR="00FA694A" w:rsidRPr="00FD0F47">
              <w:rPr>
                <w:rFonts w:ascii="Calibri" w:eastAsia="Calibri" w:hAnsi="Calibri" w:cs="Calibri"/>
                <w:b w:val="0"/>
                <w:bCs w:val="0"/>
                <w:color w:val="auto"/>
                <w:sz w:val="20"/>
                <w:szCs w:val="20"/>
                <w:lang w:val="sr-Latn-RS"/>
              </w:rPr>
              <w:t xml:space="preserve"> </w:t>
            </w:r>
            <w:r w:rsidR="00F7579C" w:rsidRPr="00FD0F47">
              <w:rPr>
                <w:rFonts w:ascii="Calibri" w:eastAsia="Calibri" w:hAnsi="Calibri" w:cs="Calibri"/>
                <w:b w:val="0"/>
                <w:bCs w:val="0"/>
                <w:color w:val="auto"/>
                <w:sz w:val="20"/>
                <w:szCs w:val="20"/>
                <w:lang w:val="sr-Latn-RS"/>
              </w:rPr>
              <w:t>uskla</w:t>
            </w:r>
            <w:r w:rsidR="00F7579C" w:rsidRPr="00FD0F47">
              <w:rPr>
                <w:rFonts w:ascii="Calibri" w:eastAsia="Calibri" w:hAnsi="Calibri" w:cs="Calibri"/>
                <w:b w:val="0"/>
                <w:bCs w:val="0"/>
                <w:color w:val="auto"/>
                <w:sz w:val="20"/>
                <w:szCs w:val="20"/>
                <w:lang w:val="sr-Latn-ME"/>
              </w:rPr>
              <w:t>đenosti</w:t>
            </w:r>
            <w:r w:rsidR="00F7579C" w:rsidRPr="00321672">
              <w:rPr>
                <w:rFonts w:ascii="Calibri" w:eastAsia="Calibri" w:hAnsi="Calibri" w:cs="Calibri"/>
                <w:b w:val="0"/>
                <w:bCs w:val="0"/>
                <w:color w:val="auto"/>
                <w:sz w:val="20"/>
                <w:szCs w:val="20"/>
                <w:lang w:val="sr-Latn-ME"/>
              </w:rPr>
              <w:t xml:space="preserve"> zakonodavnog okvira u oblasti energetike sa pravnim okvirom Evropske unije</w:t>
            </w:r>
          </w:p>
        </w:tc>
        <w:tc>
          <w:tcPr>
            <w:tcW w:w="1350" w:type="dxa"/>
          </w:tcPr>
          <w:p w14:paraId="1458CB9D" w14:textId="2C6DA1D4" w:rsidR="00F7579C" w:rsidRPr="004D422C" w:rsidRDefault="00727788" w:rsidP="00400115">
            <w:pPr>
              <w:spacing w:line="25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color w:val="auto"/>
                <w:sz w:val="20"/>
                <w:szCs w:val="20"/>
                <w:lang w:val="sr-Latn-RS"/>
              </w:rPr>
            </w:pPr>
            <w:r>
              <w:rPr>
                <w:rFonts w:ascii="Calibri" w:eastAsia="Calibri" w:hAnsi="Calibri" w:cs="Calibri"/>
                <w:bCs/>
                <w:color w:val="auto"/>
                <w:sz w:val="20"/>
                <w:szCs w:val="20"/>
                <w:lang w:val="sr-Latn-ME"/>
              </w:rPr>
              <w:t>50</w:t>
            </w:r>
          </w:p>
        </w:tc>
        <w:tc>
          <w:tcPr>
            <w:tcW w:w="1440" w:type="dxa"/>
          </w:tcPr>
          <w:p w14:paraId="2D880F64" w14:textId="7BD6B92E" w:rsidR="00F7579C" w:rsidRPr="004D422C" w:rsidRDefault="00727788" w:rsidP="00400115">
            <w:pPr>
              <w:spacing w:line="25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color w:val="auto"/>
                <w:sz w:val="20"/>
                <w:szCs w:val="20"/>
                <w:lang w:val="sr-Latn-RS"/>
              </w:rPr>
            </w:pPr>
            <w:r>
              <w:rPr>
                <w:rFonts w:ascii="Calibri" w:eastAsia="Calibri" w:hAnsi="Calibri" w:cs="Calibri"/>
                <w:bCs/>
                <w:color w:val="auto"/>
                <w:sz w:val="20"/>
                <w:szCs w:val="20"/>
                <w:lang w:val="sr-Latn-RS"/>
              </w:rPr>
              <w:t>80</w:t>
            </w:r>
          </w:p>
        </w:tc>
        <w:tc>
          <w:tcPr>
            <w:tcW w:w="1530" w:type="dxa"/>
          </w:tcPr>
          <w:p w14:paraId="57C3427F" w14:textId="77777777" w:rsidR="00F7579C" w:rsidRPr="004D422C" w:rsidRDefault="00F7579C" w:rsidP="00400115">
            <w:pPr>
              <w:spacing w:line="25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color w:val="auto"/>
                <w:sz w:val="20"/>
                <w:szCs w:val="20"/>
                <w:lang w:val="sr-Latn-RS"/>
              </w:rPr>
            </w:pPr>
            <w:r w:rsidRPr="004D422C">
              <w:rPr>
                <w:rFonts w:ascii="Calibri" w:eastAsia="Calibri" w:hAnsi="Calibri" w:cs="Calibri"/>
                <w:bCs/>
                <w:color w:val="auto"/>
                <w:sz w:val="20"/>
                <w:szCs w:val="20"/>
                <w:lang w:val="sr-Latn-ME"/>
              </w:rPr>
              <w:t>90</w:t>
            </w:r>
          </w:p>
        </w:tc>
      </w:tr>
    </w:tbl>
    <w:p w14:paraId="4B105F65" w14:textId="545F36D3" w:rsidR="00F7579C" w:rsidRPr="00F7579C" w:rsidRDefault="00F7579C" w:rsidP="00F7579C">
      <w:pPr>
        <w:spacing w:line="256" w:lineRule="auto"/>
        <w:jc w:val="both"/>
        <w:rPr>
          <w:rFonts w:ascii="Calibri" w:eastAsia="Calibri" w:hAnsi="Calibri" w:cs="Calibri"/>
          <w:sz w:val="24"/>
          <w:szCs w:val="24"/>
          <w:lang w:val="sr-Latn-ME"/>
        </w:rPr>
      </w:pPr>
      <w:r w:rsidRPr="00F7579C">
        <w:rPr>
          <w:rFonts w:ascii="Calibri" w:eastAsia="Calibri" w:hAnsi="Calibri" w:cs="Calibri"/>
          <w:b/>
          <w:sz w:val="24"/>
          <w:szCs w:val="24"/>
          <w:lang w:val="sr-Latn-ME"/>
        </w:rPr>
        <w:t xml:space="preserve">3. Očekivani uticaj na konkurentnost. </w:t>
      </w:r>
      <w:r w:rsidRPr="00F7579C">
        <w:rPr>
          <w:rFonts w:ascii="Calibri" w:eastAsia="Calibri" w:hAnsi="Calibri" w:cs="Calibri"/>
          <w:sz w:val="24"/>
          <w:szCs w:val="24"/>
          <w:lang w:val="sr-Latn-ME"/>
        </w:rPr>
        <w:t>Implementacijom planiranih aktivnosti doprinijeće se razvoju energetskog tržišta u Crnoj Gori. Takođe se očekuje razvoj tržišta materijala, tehnologija i proizvoda koji doprinose povećanju energetske efikasnosti i korišćenja obnovljivih izvora energije. Sprovođenje planiranih aktivnosti doprinijeće unapređenju investicionog ambijenta u oblasti obnovljivih izvora energije i energetske efikasnosti u Crnoj Gori.</w:t>
      </w:r>
    </w:p>
    <w:p w14:paraId="38E857C3" w14:textId="77777777" w:rsidR="00184966" w:rsidRDefault="00F7579C" w:rsidP="00F7579C">
      <w:pPr>
        <w:spacing w:line="256" w:lineRule="auto"/>
        <w:jc w:val="both"/>
        <w:rPr>
          <w:rFonts w:ascii="Calibri" w:eastAsia="Calibri" w:hAnsi="Calibri" w:cs="Calibri"/>
          <w:sz w:val="24"/>
          <w:szCs w:val="24"/>
          <w:lang w:val="sr-Latn-ME"/>
        </w:rPr>
      </w:pPr>
      <w:r w:rsidRPr="00F7579C">
        <w:rPr>
          <w:rFonts w:ascii="Calibri" w:eastAsia="Calibri" w:hAnsi="Calibri" w:cs="Calibri"/>
          <w:b/>
          <w:sz w:val="24"/>
          <w:szCs w:val="24"/>
          <w:lang w:val="sr-Latn-ME"/>
        </w:rPr>
        <w:t>4.</w:t>
      </w:r>
      <w:r w:rsidRPr="00F7579C">
        <w:rPr>
          <w:rFonts w:ascii="Calibri" w:eastAsia="Calibri" w:hAnsi="Calibri" w:cs="Calibri"/>
          <w:sz w:val="24"/>
          <w:szCs w:val="24"/>
          <w:lang w:val="sr-Latn-ME"/>
        </w:rPr>
        <w:t xml:space="preserve"> </w:t>
      </w:r>
      <w:r w:rsidRPr="00F7579C">
        <w:rPr>
          <w:rFonts w:ascii="Calibri" w:eastAsia="Calibri" w:hAnsi="Calibri" w:cs="Calibri"/>
          <w:b/>
          <w:bCs/>
          <w:sz w:val="24"/>
          <w:szCs w:val="24"/>
          <w:lang w:val="sr-Latn-ME"/>
        </w:rPr>
        <w:t>Procijenjeni troškovi sprovođenja reformske mjere i izvori finansiranja.</w:t>
      </w:r>
      <w:r w:rsidRPr="00F7579C">
        <w:rPr>
          <w:rFonts w:ascii="Calibri" w:eastAsia="Calibri" w:hAnsi="Calibri" w:cs="Calibri"/>
          <w:sz w:val="24"/>
          <w:szCs w:val="24"/>
          <w:lang w:val="sr-Latn-ME"/>
        </w:rPr>
        <w:t xml:space="preserve"> </w:t>
      </w:r>
      <w:r w:rsidR="00184966" w:rsidRPr="00184966">
        <w:rPr>
          <w:rFonts w:ascii="Calibri" w:eastAsia="Calibri" w:hAnsi="Calibri" w:cs="Calibri"/>
          <w:sz w:val="24"/>
          <w:szCs w:val="24"/>
          <w:lang w:val="sr-Latn-ME"/>
        </w:rPr>
        <w:t xml:space="preserve">Sredstva za implementaciju mjere za period 2024-2026. iznosiće 11,7 miliona eura. Od toga 6,7 miliona eura </w:t>
      </w:r>
      <w:r w:rsidR="00184966" w:rsidRPr="00184966">
        <w:rPr>
          <w:rFonts w:ascii="Calibri" w:eastAsia="Calibri" w:hAnsi="Calibri" w:cs="Calibri"/>
          <w:sz w:val="24"/>
          <w:szCs w:val="24"/>
          <w:lang w:val="sr-Latn-ME"/>
        </w:rPr>
        <w:lastRenderedPageBreak/>
        <w:t xml:space="preserve">u 2024.godini, 3,5 miliona eura u 2025. i 2,5 miliona eura u 2026. godini. Od toga će 8 miliona eura za period 2024-2026. biti iz IPA. Detaljniji opis finansiranja je dat u tabelama u aneksu.  </w:t>
      </w:r>
    </w:p>
    <w:p w14:paraId="018F1A26" w14:textId="2CBF107D" w:rsidR="00F7579C" w:rsidRPr="00F7579C" w:rsidRDefault="00F7579C" w:rsidP="00F7579C">
      <w:pPr>
        <w:spacing w:line="256" w:lineRule="auto"/>
        <w:jc w:val="both"/>
        <w:rPr>
          <w:rFonts w:ascii="Calibri" w:eastAsia="Calibri" w:hAnsi="Calibri" w:cs="Calibri"/>
          <w:sz w:val="24"/>
          <w:szCs w:val="24"/>
          <w:lang w:val="sr-Latn-ME"/>
        </w:rPr>
      </w:pPr>
      <w:r w:rsidRPr="00F7579C">
        <w:rPr>
          <w:rFonts w:ascii="Calibri" w:eastAsia="Calibri" w:hAnsi="Calibri" w:cs="Calibri"/>
          <w:b/>
          <w:sz w:val="24"/>
          <w:szCs w:val="24"/>
          <w:lang w:val="sr-Latn-ME"/>
        </w:rPr>
        <w:t>5. Očekivani uticaj reformske mjere na socijalne ciljeve, kao što su zaposlenost, smanjenje siromaštva, rodna ravnopravnost i pristup zdravstvenim uslugama.</w:t>
      </w:r>
      <w:r w:rsidRPr="00F7579C">
        <w:rPr>
          <w:rFonts w:ascii="Calibri" w:eastAsia="Calibri" w:hAnsi="Calibri" w:cs="Calibri"/>
          <w:sz w:val="24"/>
          <w:szCs w:val="24"/>
          <w:lang w:val="sr-Latn-ME"/>
        </w:rPr>
        <w:t xml:space="preserve"> Mjera utiče na razvoja tržišta novih i čistijih tehnologija, pa će imati pozitivni uticaj na otvaranje novih radnih mjesta, kao i u dugoročnom periodu na očuvanje zdravlja. </w:t>
      </w:r>
    </w:p>
    <w:p w14:paraId="69EAC7FE" w14:textId="77777777" w:rsidR="00F7579C" w:rsidRPr="00F7579C" w:rsidRDefault="00F7579C" w:rsidP="00F7579C">
      <w:pPr>
        <w:spacing w:line="256" w:lineRule="auto"/>
        <w:jc w:val="both"/>
        <w:rPr>
          <w:rFonts w:ascii="Calibri" w:eastAsia="Calibri" w:hAnsi="Calibri" w:cs="Calibri"/>
          <w:sz w:val="24"/>
          <w:szCs w:val="24"/>
          <w:lang w:val="sr-Latn-ME" w:bidi="sr-Cyrl-CS"/>
        </w:rPr>
      </w:pPr>
      <w:r w:rsidRPr="00F7579C">
        <w:rPr>
          <w:rFonts w:ascii="Calibri" w:eastAsia="Calibri" w:hAnsi="Calibri" w:cs="Calibri"/>
          <w:b/>
          <w:sz w:val="24"/>
          <w:szCs w:val="24"/>
          <w:lang w:val="sr-Latn-ME"/>
        </w:rPr>
        <w:t>6.</w:t>
      </w:r>
      <w:r w:rsidRPr="00F7579C">
        <w:rPr>
          <w:rFonts w:ascii="Calibri" w:eastAsia="Calibri" w:hAnsi="Calibri" w:cs="Calibri"/>
          <w:sz w:val="24"/>
          <w:szCs w:val="24"/>
          <w:lang w:val="sr-Latn-ME"/>
        </w:rPr>
        <w:t xml:space="preserve"> </w:t>
      </w:r>
      <w:r w:rsidRPr="00F7579C">
        <w:rPr>
          <w:rFonts w:ascii="Calibri" w:eastAsia="Calibri" w:hAnsi="Calibri" w:cs="Calibri"/>
          <w:b/>
          <w:bCs/>
          <w:sz w:val="24"/>
          <w:szCs w:val="24"/>
          <w:lang w:val="sr-Latn-ME"/>
        </w:rPr>
        <w:t xml:space="preserve">Očekivani uticaj na životnu sredinu i klimatske promjene. </w:t>
      </w:r>
      <w:r w:rsidRPr="00F7579C">
        <w:rPr>
          <w:rFonts w:ascii="Calibri" w:eastAsia="Calibri" w:hAnsi="Calibri" w:cs="Calibri"/>
          <w:sz w:val="24"/>
          <w:szCs w:val="24"/>
          <w:lang w:val="sr-Latn-ME"/>
        </w:rPr>
        <w:t>Planirane aktivnosti će u srednjem roku pozitivno uticati na povećanje energetske efikasnosti i korišćenja obnovljivih izvora energije, smanjenje emisija gasova sa efektom staklene bašte i negativnog uticaja na životnu sredinu. Mjera će doprinijeti efikasnijoj energetskoj tranziciji, ostvarivanju ciljeva postavljenih Evropskim zelenim sporazumom i Zelenom agendom za Zapadni Balkan, kao i ispunjavanju preuzetih međunarodnih obaveza.</w:t>
      </w:r>
    </w:p>
    <w:p w14:paraId="6F075136" w14:textId="77777777" w:rsidR="00F7579C" w:rsidRPr="00F7579C" w:rsidRDefault="00F7579C" w:rsidP="00F7579C">
      <w:pPr>
        <w:spacing w:line="256" w:lineRule="auto"/>
        <w:jc w:val="both"/>
        <w:rPr>
          <w:rFonts w:ascii="Calibri" w:eastAsia="Calibri" w:hAnsi="Calibri" w:cs="Calibri"/>
          <w:b/>
          <w:sz w:val="24"/>
          <w:szCs w:val="24"/>
          <w:lang w:val="sr-Latn-ME"/>
        </w:rPr>
      </w:pPr>
      <w:r w:rsidRPr="00F7579C">
        <w:rPr>
          <w:rFonts w:ascii="Calibri" w:eastAsia="Calibri" w:hAnsi="Calibri" w:cs="Calibri"/>
          <w:b/>
          <w:sz w:val="24"/>
          <w:szCs w:val="24"/>
          <w:lang w:val="sr-Latn-ME"/>
        </w:rPr>
        <w:t xml:space="preserve">7. Potencijalni rizici. </w:t>
      </w:r>
    </w:p>
    <w:tbl>
      <w:tblPr>
        <w:tblStyle w:val="GridTable1Light-Accent15"/>
        <w:tblW w:w="9445" w:type="dxa"/>
        <w:tblLayout w:type="fixed"/>
        <w:tblLook w:val="04A0" w:firstRow="1" w:lastRow="0" w:firstColumn="1" w:lastColumn="0" w:noHBand="0" w:noVBand="1"/>
      </w:tblPr>
      <w:tblGrid>
        <w:gridCol w:w="2785"/>
        <w:gridCol w:w="2430"/>
        <w:gridCol w:w="4230"/>
      </w:tblGrid>
      <w:tr w:rsidR="00F7579C" w:rsidRPr="00082B85" w14:paraId="2079948E" w14:textId="77777777" w:rsidTr="00A15E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hideMark/>
          </w:tcPr>
          <w:p w14:paraId="06C3662D" w14:textId="773DEB26" w:rsidR="00F7579C" w:rsidRPr="00082B85" w:rsidRDefault="00F7579C" w:rsidP="00082B85">
            <w:pPr>
              <w:spacing w:line="256" w:lineRule="auto"/>
              <w:jc w:val="center"/>
              <w:rPr>
                <w:rFonts w:ascii="Calibri" w:eastAsia="Calibri" w:hAnsi="Calibri" w:cs="Calibri"/>
                <w:b w:val="0"/>
                <w:sz w:val="20"/>
                <w:szCs w:val="20"/>
                <w:lang w:val="sr-Latn-ME"/>
              </w:rPr>
            </w:pPr>
            <w:r w:rsidRPr="00082B85">
              <w:rPr>
                <w:rFonts w:ascii="Calibri" w:eastAsia="Calibri" w:hAnsi="Calibri" w:cs="Calibri"/>
                <w:sz w:val="20"/>
                <w:szCs w:val="20"/>
                <w:lang w:val="sr-Latn-ME"/>
              </w:rPr>
              <w:t>Rizik</w:t>
            </w:r>
          </w:p>
        </w:tc>
        <w:tc>
          <w:tcPr>
            <w:tcW w:w="2430" w:type="dxa"/>
            <w:hideMark/>
          </w:tcPr>
          <w:p w14:paraId="11339302" w14:textId="77777777" w:rsidR="00F7579C" w:rsidRPr="00082B85" w:rsidRDefault="00F7579C" w:rsidP="00082B85">
            <w:pPr>
              <w:spacing w:line="256"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sz w:val="20"/>
                <w:szCs w:val="20"/>
                <w:lang w:val="sr-Latn-ME"/>
              </w:rPr>
            </w:pPr>
            <w:r w:rsidRPr="00082B85">
              <w:rPr>
                <w:rFonts w:ascii="Calibri" w:eastAsia="Calibri" w:hAnsi="Calibri" w:cs="Calibri"/>
                <w:sz w:val="20"/>
                <w:szCs w:val="20"/>
                <w:lang w:val="sr-Latn-ME"/>
              </w:rPr>
              <w:t>Vjerovatnoća za ostvarivanje rizika (niska ili visoka)</w:t>
            </w:r>
          </w:p>
        </w:tc>
        <w:tc>
          <w:tcPr>
            <w:tcW w:w="4230" w:type="dxa"/>
            <w:hideMark/>
          </w:tcPr>
          <w:p w14:paraId="029B7239" w14:textId="77777777" w:rsidR="00F7579C" w:rsidRPr="00082B85" w:rsidRDefault="00F7579C" w:rsidP="00082B85">
            <w:pPr>
              <w:spacing w:line="256"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sz w:val="20"/>
                <w:szCs w:val="20"/>
                <w:lang w:val="sr-Latn-ME"/>
              </w:rPr>
            </w:pPr>
            <w:r w:rsidRPr="00082B85">
              <w:rPr>
                <w:rFonts w:ascii="Calibri" w:eastAsia="Calibri" w:hAnsi="Calibri" w:cs="Calibri"/>
                <w:sz w:val="20"/>
                <w:szCs w:val="20"/>
                <w:lang w:val="sr-Latn-ME"/>
              </w:rPr>
              <w:t>Planirane aktivnosti ublažavanja negativnih efekata rizika</w:t>
            </w:r>
          </w:p>
        </w:tc>
      </w:tr>
      <w:tr w:rsidR="00F7579C" w:rsidRPr="00082B85" w14:paraId="118BD792" w14:textId="77777777" w:rsidTr="00A15E00">
        <w:tc>
          <w:tcPr>
            <w:cnfStyle w:val="001000000000" w:firstRow="0" w:lastRow="0" w:firstColumn="1" w:lastColumn="0" w:oddVBand="0" w:evenVBand="0" w:oddHBand="0" w:evenHBand="0" w:firstRowFirstColumn="0" w:firstRowLastColumn="0" w:lastRowFirstColumn="0" w:lastRowLastColumn="0"/>
            <w:tcW w:w="2785" w:type="dxa"/>
          </w:tcPr>
          <w:p w14:paraId="7344C6A1" w14:textId="77777777" w:rsidR="00F7579C" w:rsidRPr="00082B85" w:rsidRDefault="00F7579C" w:rsidP="00F7579C">
            <w:pPr>
              <w:spacing w:line="256" w:lineRule="auto"/>
              <w:jc w:val="both"/>
              <w:rPr>
                <w:rFonts w:ascii="Calibri" w:eastAsia="Calibri" w:hAnsi="Calibri" w:cs="Calibri"/>
                <w:b w:val="0"/>
                <w:bCs w:val="0"/>
                <w:sz w:val="20"/>
                <w:szCs w:val="20"/>
                <w:lang w:val="sr-Latn-ME"/>
              </w:rPr>
            </w:pPr>
            <w:r w:rsidRPr="00082B85">
              <w:rPr>
                <w:rFonts w:ascii="Calibri" w:eastAsia="Calibri" w:hAnsi="Calibri" w:cs="Calibri"/>
                <w:b w:val="0"/>
                <w:bCs w:val="0"/>
                <w:sz w:val="20"/>
                <w:szCs w:val="20"/>
                <w:lang w:val="sr-Latn-ME"/>
              </w:rPr>
              <w:t>Neblagovremene izmjene zakonske regulative</w:t>
            </w:r>
          </w:p>
        </w:tc>
        <w:tc>
          <w:tcPr>
            <w:tcW w:w="2430" w:type="dxa"/>
          </w:tcPr>
          <w:p w14:paraId="3085046D" w14:textId="77777777" w:rsidR="00F7579C" w:rsidRPr="00082B85" w:rsidRDefault="00F7579C" w:rsidP="00082B85">
            <w:pPr>
              <w:spacing w:line="25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20"/>
                <w:szCs w:val="20"/>
                <w:lang w:val="sr-Latn-ME"/>
              </w:rPr>
            </w:pPr>
            <w:r w:rsidRPr="00082B85">
              <w:rPr>
                <w:rFonts w:ascii="Calibri" w:eastAsia="Calibri" w:hAnsi="Calibri" w:cs="Calibri"/>
                <w:sz w:val="20"/>
                <w:szCs w:val="20"/>
                <w:lang w:val="sr-Latn-ME"/>
              </w:rPr>
              <w:t>niska</w:t>
            </w:r>
          </w:p>
        </w:tc>
        <w:tc>
          <w:tcPr>
            <w:tcW w:w="4230" w:type="dxa"/>
          </w:tcPr>
          <w:p w14:paraId="7A079FD6" w14:textId="77777777" w:rsidR="00F7579C" w:rsidRPr="00082B85" w:rsidRDefault="00F7579C" w:rsidP="00F7579C">
            <w:pPr>
              <w:spacing w:line="256"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20"/>
                <w:szCs w:val="20"/>
                <w:lang w:val="sr-Latn-ME"/>
              </w:rPr>
            </w:pPr>
            <w:r w:rsidRPr="00082B85">
              <w:rPr>
                <w:rFonts w:ascii="Calibri" w:eastAsia="Calibri" w:hAnsi="Calibri" w:cs="Calibri"/>
                <w:sz w:val="20"/>
                <w:szCs w:val="20"/>
                <w:lang w:val="sr-Latn-ME"/>
              </w:rPr>
              <w:t>Adekvatne i konkretne analize izmjene zakonske regulative doprinijeće skraćenju postupka donošenja zakonske regulative.</w:t>
            </w:r>
          </w:p>
        </w:tc>
      </w:tr>
      <w:tr w:rsidR="00F7579C" w:rsidRPr="00082B85" w14:paraId="6C009896" w14:textId="77777777" w:rsidTr="00A15E00">
        <w:tc>
          <w:tcPr>
            <w:cnfStyle w:val="001000000000" w:firstRow="0" w:lastRow="0" w:firstColumn="1" w:lastColumn="0" w:oddVBand="0" w:evenVBand="0" w:oddHBand="0" w:evenHBand="0" w:firstRowFirstColumn="0" w:firstRowLastColumn="0" w:lastRowFirstColumn="0" w:lastRowLastColumn="0"/>
            <w:tcW w:w="2785" w:type="dxa"/>
            <w:hideMark/>
          </w:tcPr>
          <w:p w14:paraId="3CD9B536" w14:textId="77777777" w:rsidR="00F7579C" w:rsidRPr="00082B85" w:rsidRDefault="00F7579C" w:rsidP="00F7579C">
            <w:pPr>
              <w:spacing w:line="256" w:lineRule="auto"/>
              <w:jc w:val="both"/>
              <w:rPr>
                <w:rFonts w:ascii="Calibri" w:eastAsia="Calibri" w:hAnsi="Calibri" w:cs="Calibri"/>
                <w:b w:val="0"/>
                <w:bCs w:val="0"/>
                <w:sz w:val="20"/>
                <w:szCs w:val="20"/>
                <w:lang w:val="sr-Latn-ME"/>
              </w:rPr>
            </w:pPr>
            <w:r w:rsidRPr="00082B85">
              <w:rPr>
                <w:rFonts w:ascii="Calibri" w:eastAsia="Calibri" w:hAnsi="Calibri" w:cs="Calibri"/>
                <w:b w:val="0"/>
                <w:bCs w:val="0"/>
                <w:sz w:val="20"/>
                <w:szCs w:val="20"/>
                <w:lang w:val="sr-Latn-ME"/>
              </w:rPr>
              <w:t xml:space="preserve">Nedovoljna koordinacija na  implementaciji planiranih aktivnosti što može dovesti do odlaganja rokova za implementaciju </w:t>
            </w:r>
          </w:p>
        </w:tc>
        <w:tc>
          <w:tcPr>
            <w:tcW w:w="2430" w:type="dxa"/>
            <w:hideMark/>
          </w:tcPr>
          <w:p w14:paraId="0709A2CD" w14:textId="778B08E7" w:rsidR="00F7579C" w:rsidRPr="00082B85" w:rsidRDefault="00F7579C" w:rsidP="00082B85">
            <w:pPr>
              <w:spacing w:line="25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sr-Latn-ME"/>
              </w:rPr>
            </w:pPr>
            <w:r w:rsidRPr="00082B85">
              <w:rPr>
                <w:rFonts w:ascii="Calibri" w:eastAsia="Calibri" w:hAnsi="Calibri" w:cs="Calibri"/>
                <w:sz w:val="20"/>
                <w:szCs w:val="20"/>
                <w:lang w:val="sr-Latn-ME"/>
              </w:rPr>
              <w:t>visok</w:t>
            </w:r>
            <w:r w:rsidR="00727788" w:rsidRPr="00082B85">
              <w:rPr>
                <w:rFonts w:ascii="Calibri" w:eastAsia="Calibri" w:hAnsi="Calibri" w:cs="Calibri"/>
                <w:sz w:val="20"/>
                <w:szCs w:val="20"/>
                <w:lang w:val="sr-Latn-ME"/>
              </w:rPr>
              <w:t>a</w:t>
            </w:r>
          </w:p>
        </w:tc>
        <w:tc>
          <w:tcPr>
            <w:tcW w:w="4230" w:type="dxa"/>
            <w:hideMark/>
          </w:tcPr>
          <w:p w14:paraId="17B73F35" w14:textId="77777777" w:rsidR="00F7579C" w:rsidRPr="00082B85" w:rsidRDefault="00F7579C" w:rsidP="00F7579C">
            <w:pPr>
              <w:spacing w:line="256"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sr-Latn-ME"/>
              </w:rPr>
            </w:pPr>
            <w:r w:rsidRPr="00082B85">
              <w:rPr>
                <w:rFonts w:ascii="Calibri" w:eastAsia="Calibri" w:hAnsi="Calibri" w:cs="Calibri"/>
                <w:sz w:val="20"/>
                <w:szCs w:val="20"/>
                <w:lang w:val="sr-Latn-ME"/>
              </w:rPr>
              <w:t>Obezbjeđenje neophodnih preduslova za realizaciju aktivnosti i pravovremeno uključenje relevantnih aktera</w:t>
            </w:r>
          </w:p>
        </w:tc>
      </w:tr>
    </w:tbl>
    <w:p w14:paraId="54D805F2" w14:textId="77777777" w:rsidR="009960D3" w:rsidRPr="009960D3" w:rsidRDefault="009960D3" w:rsidP="009960D3">
      <w:pPr>
        <w:jc w:val="both"/>
        <w:rPr>
          <w:rFonts w:ascii="Calibri" w:eastAsia="Calibri" w:hAnsi="Calibri" w:cs="Calibri"/>
          <w:b/>
          <w:bCs/>
          <w:i/>
          <w:iCs/>
          <w:kern w:val="0"/>
          <w:sz w:val="24"/>
          <w:szCs w:val="24"/>
          <w14:ligatures w14:val="none"/>
        </w:rPr>
      </w:pPr>
    </w:p>
    <w:p w14:paraId="7E68EB01" w14:textId="0486F5E9" w:rsidR="009960D3" w:rsidRPr="0047692E" w:rsidRDefault="009960D3" w:rsidP="0047692E">
      <w:pPr>
        <w:rPr>
          <w:color w:val="1F3864" w:themeColor="accent1" w:themeShade="80"/>
          <w:sz w:val="26"/>
          <w:szCs w:val="26"/>
        </w:rPr>
      </w:pPr>
      <w:r w:rsidRPr="0047692E">
        <w:rPr>
          <w:color w:val="1F3864" w:themeColor="accent1" w:themeShade="80"/>
          <w:sz w:val="26"/>
          <w:szCs w:val="26"/>
          <w:lang w:val="sr-Latn-RS"/>
        </w:rPr>
        <w:t xml:space="preserve">Strukturna reforma br. </w:t>
      </w:r>
      <w:r w:rsidR="009D0E01" w:rsidRPr="0047692E">
        <w:rPr>
          <w:color w:val="1F3864" w:themeColor="accent1" w:themeShade="80"/>
          <w:sz w:val="26"/>
          <w:szCs w:val="26"/>
          <w:lang w:val="sr-Latn-RS"/>
        </w:rPr>
        <w:t>4</w:t>
      </w:r>
      <w:r w:rsidRPr="0047692E">
        <w:rPr>
          <w:color w:val="1F3864" w:themeColor="accent1" w:themeShade="80"/>
          <w:sz w:val="26"/>
          <w:szCs w:val="26"/>
          <w:lang w:val="sr-Latn-RS"/>
        </w:rPr>
        <w:t xml:space="preserve">. </w:t>
      </w:r>
      <w:bookmarkStart w:id="172" w:name="_Hlk150690018"/>
      <w:r w:rsidRPr="0047692E">
        <w:rPr>
          <w:color w:val="1F3864" w:themeColor="accent1" w:themeShade="80"/>
          <w:sz w:val="26"/>
          <w:szCs w:val="26"/>
        </w:rPr>
        <w:t>Digitalizacija u funkciji održivosti ekonomije</w:t>
      </w:r>
      <w:bookmarkEnd w:id="172"/>
    </w:p>
    <w:p w14:paraId="771021E7" w14:textId="0D945242" w:rsidR="008422EC" w:rsidRPr="009960D3" w:rsidRDefault="009960D3" w:rsidP="008D1FF7">
      <w:pPr>
        <w:jc w:val="both"/>
        <w:rPr>
          <w:rFonts w:ascii="Calibri" w:eastAsia="Calibri" w:hAnsi="Calibri" w:cs="Calibri"/>
          <w:kern w:val="0"/>
          <w:sz w:val="24"/>
          <w:szCs w:val="24"/>
          <w:lang w:val="sr-Latn-ME"/>
          <w14:ligatures w14:val="none"/>
        </w:rPr>
      </w:pPr>
      <w:r w:rsidRPr="009960D3">
        <w:rPr>
          <w:rFonts w:ascii="Calibri" w:eastAsia="Calibri" w:hAnsi="Calibri" w:cs="Calibri"/>
          <w:kern w:val="0"/>
          <w:sz w:val="24"/>
          <w:szCs w:val="24"/>
          <w:lang w:val="sr-Latn-ME"/>
          <w14:ligatures w14:val="none"/>
        </w:rPr>
        <w:t xml:space="preserve">Cilj strukturne reforme je snaženje uloge upravljanja procesom digitalizacije, dalji razvoj digitalnih usluga, jačanje sajber otpornosti, kao i unapređenje infrastrukturne podrške za </w:t>
      </w:r>
      <w:r>
        <w:rPr>
          <w:rFonts w:ascii="Calibri" w:eastAsia="Calibri" w:hAnsi="Calibri" w:cs="Calibri"/>
          <w:kern w:val="0"/>
          <w:sz w:val="24"/>
          <w:szCs w:val="24"/>
          <w:lang w:val="sr-Latn-ME"/>
          <w14:ligatures w14:val="none"/>
        </w:rPr>
        <w:t xml:space="preserve">razvoj ove oblasti. </w:t>
      </w:r>
      <w:r w:rsidRPr="009960D3">
        <w:rPr>
          <w:rFonts w:ascii="Calibri" w:eastAsia="Calibri" w:hAnsi="Calibri" w:cs="Calibri"/>
          <w:kern w:val="0"/>
          <w:sz w:val="24"/>
          <w:szCs w:val="24"/>
          <w:lang w:val="sr-Latn-ME"/>
          <w14:ligatures w14:val="none"/>
        </w:rPr>
        <w:t xml:space="preserve"> Kao takva</w:t>
      </w:r>
      <w:r>
        <w:rPr>
          <w:rFonts w:ascii="Calibri" w:eastAsia="Calibri" w:hAnsi="Calibri" w:cs="Calibri"/>
          <w:kern w:val="0"/>
          <w:sz w:val="24"/>
          <w:szCs w:val="24"/>
          <w:lang w:val="sr-Latn-ME"/>
          <w14:ligatures w14:val="none"/>
        </w:rPr>
        <w:t>,</w:t>
      </w:r>
      <w:r w:rsidR="00211DAD">
        <w:rPr>
          <w:rFonts w:ascii="Calibri" w:eastAsia="Calibri" w:hAnsi="Calibri" w:cs="Calibri"/>
          <w:kern w:val="0"/>
          <w:sz w:val="24"/>
          <w:szCs w:val="24"/>
          <w:lang w:val="sr-Latn-ME"/>
          <w14:ligatures w14:val="none"/>
        </w:rPr>
        <w:t xml:space="preserve"> re</w:t>
      </w:r>
      <w:r>
        <w:rPr>
          <w:rFonts w:ascii="Calibri" w:eastAsia="Calibri" w:hAnsi="Calibri" w:cs="Calibri"/>
          <w:kern w:val="0"/>
          <w:sz w:val="24"/>
          <w:szCs w:val="24"/>
          <w:lang w:val="sr-Latn-ME"/>
          <w14:ligatures w14:val="none"/>
        </w:rPr>
        <w:t>forma</w:t>
      </w:r>
      <w:r w:rsidRPr="009960D3">
        <w:rPr>
          <w:rFonts w:ascii="Calibri" w:eastAsia="Calibri" w:hAnsi="Calibri" w:cs="Calibri"/>
          <w:kern w:val="0"/>
          <w:sz w:val="24"/>
          <w:szCs w:val="24"/>
          <w:lang w:val="sr-Latn-ME"/>
          <w14:ligatures w14:val="none"/>
        </w:rPr>
        <w:t xml:space="preserve"> će doprinijeti unapređenju </w:t>
      </w:r>
      <w:r>
        <w:rPr>
          <w:rFonts w:ascii="Calibri" w:eastAsia="Calibri" w:hAnsi="Calibri" w:cs="Calibri"/>
          <w:kern w:val="0"/>
          <w:sz w:val="24"/>
          <w:szCs w:val="24"/>
          <w:lang w:val="sr-Latn-ME"/>
          <w14:ligatures w14:val="none"/>
        </w:rPr>
        <w:t xml:space="preserve">većoj otpornosti i održivosti ekonomije i </w:t>
      </w:r>
      <w:r w:rsidRPr="009960D3">
        <w:rPr>
          <w:rFonts w:ascii="Calibri" w:eastAsia="Calibri" w:hAnsi="Calibri" w:cs="Calibri"/>
          <w:kern w:val="0"/>
          <w:sz w:val="24"/>
          <w:szCs w:val="24"/>
          <w:lang w:val="sr-Latn-ME"/>
          <w14:ligatures w14:val="none"/>
        </w:rPr>
        <w:t>većoj konkurentnosti. Reforma predstavlja objedinjeni i koor</w:t>
      </w:r>
      <w:r>
        <w:rPr>
          <w:rFonts w:ascii="Calibri" w:eastAsia="Calibri" w:hAnsi="Calibri" w:cs="Calibri"/>
          <w:kern w:val="0"/>
          <w:sz w:val="24"/>
          <w:szCs w:val="24"/>
          <w:lang w:val="sr-Latn-ME"/>
          <w14:ligatures w14:val="none"/>
        </w:rPr>
        <w:t>di</w:t>
      </w:r>
      <w:r w:rsidRPr="009960D3">
        <w:rPr>
          <w:rFonts w:ascii="Calibri" w:eastAsia="Calibri" w:hAnsi="Calibri" w:cs="Calibri"/>
          <w:kern w:val="0"/>
          <w:sz w:val="24"/>
          <w:szCs w:val="24"/>
          <w:lang w:val="sr-Latn-ME"/>
          <w14:ligatures w14:val="none"/>
        </w:rPr>
        <w:t xml:space="preserve">nirani pristup u ukupnoj politici digitalizacije nakon sajber-napada na državnu infrastrukturu 2022. godine. </w:t>
      </w:r>
      <w:r w:rsidR="00442351">
        <w:rPr>
          <w:rFonts w:ascii="Calibri" w:eastAsia="Calibri" w:hAnsi="Calibri" w:cs="Calibri"/>
          <w:kern w:val="0"/>
          <w:sz w:val="24"/>
          <w:szCs w:val="24"/>
          <w:lang w:val="sr-Latn-ME"/>
          <w14:ligatures w14:val="none"/>
        </w:rPr>
        <w:t xml:space="preserve"> Strukturna reforma se vezuje za podoblast „Digitalna transformacija“, a povezana je i sa podoblastima „Istraži</w:t>
      </w:r>
      <w:r w:rsidR="00F674E3">
        <w:rPr>
          <w:rFonts w:ascii="Calibri" w:eastAsia="Calibri" w:hAnsi="Calibri" w:cs="Calibri"/>
          <w:kern w:val="0"/>
          <w:sz w:val="24"/>
          <w:szCs w:val="24"/>
          <w:lang w:val="sr-Latn-ME"/>
          <w14:ligatures w14:val="none"/>
        </w:rPr>
        <w:t>v</w:t>
      </w:r>
      <w:r w:rsidR="00442351">
        <w:rPr>
          <w:rFonts w:ascii="Calibri" w:eastAsia="Calibri" w:hAnsi="Calibri" w:cs="Calibri"/>
          <w:kern w:val="0"/>
          <w:sz w:val="24"/>
          <w:szCs w:val="24"/>
          <w:lang w:val="sr-Latn-ME"/>
          <w14:ligatures w14:val="none"/>
        </w:rPr>
        <w:t>anje, razvoj i inovacije“, „Obrazovanje i vje</w:t>
      </w:r>
      <w:r w:rsidR="00F674E3">
        <w:rPr>
          <w:rFonts w:ascii="Calibri" w:eastAsia="Calibri" w:hAnsi="Calibri" w:cs="Calibri"/>
          <w:kern w:val="0"/>
          <w:sz w:val="24"/>
          <w:szCs w:val="24"/>
          <w:lang w:val="sr-Latn-ME"/>
          <w14:ligatures w14:val="none"/>
        </w:rPr>
        <w:t>š</w:t>
      </w:r>
      <w:r w:rsidR="00442351">
        <w:rPr>
          <w:rFonts w:ascii="Calibri" w:eastAsia="Calibri" w:hAnsi="Calibri" w:cs="Calibri"/>
          <w:kern w:val="0"/>
          <w:sz w:val="24"/>
          <w:szCs w:val="24"/>
          <w:lang w:val="sr-Latn-ME"/>
          <w14:ligatures w14:val="none"/>
        </w:rPr>
        <w:t xml:space="preserve">tine“ i „Zdravstvo“. </w:t>
      </w:r>
    </w:p>
    <w:p w14:paraId="6876AD1C" w14:textId="3B6A9FFB" w:rsidR="008D1FF7" w:rsidRPr="009F4149" w:rsidRDefault="00F12D8A" w:rsidP="008D1FF7">
      <w:pPr>
        <w:jc w:val="both"/>
        <w:rPr>
          <w:rFonts w:ascii="Calibri" w:eastAsia="Calibri" w:hAnsi="Calibri" w:cs="Calibri"/>
          <w:i/>
          <w:iCs/>
          <w:color w:val="002060"/>
          <w:kern w:val="0"/>
          <w:sz w:val="24"/>
          <w:szCs w:val="24"/>
          <w:lang w:val="sr-Latn-RS"/>
          <w14:ligatures w14:val="none"/>
        </w:rPr>
      </w:pPr>
      <w:r w:rsidRPr="009F4149">
        <w:rPr>
          <w:rFonts w:ascii="Calibri" w:eastAsia="Calibri" w:hAnsi="Calibri" w:cs="Calibri"/>
          <w:i/>
          <w:iCs/>
          <w:color w:val="002060"/>
          <w:kern w:val="0"/>
          <w:sz w:val="24"/>
          <w:szCs w:val="24"/>
          <w:lang w:val="sr-Latn-RS"/>
          <w14:ligatures w14:val="none"/>
        </w:rPr>
        <w:t xml:space="preserve">Reformska mjera </w:t>
      </w:r>
      <w:r w:rsidR="008422EC">
        <w:rPr>
          <w:rFonts w:ascii="Calibri" w:eastAsia="Calibri" w:hAnsi="Calibri" w:cs="Calibri"/>
          <w:i/>
          <w:iCs/>
          <w:color w:val="002060"/>
          <w:kern w:val="0"/>
          <w:sz w:val="24"/>
          <w:szCs w:val="24"/>
          <w:lang w:val="sr-Latn-RS"/>
          <w14:ligatures w14:val="none"/>
        </w:rPr>
        <w:t>5</w:t>
      </w:r>
      <w:r w:rsidRPr="009F4149">
        <w:rPr>
          <w:rFonts w:ascii="Calibri" w:eastAsia="Calibri" w:hAnsi="Calibri" w:cs="Calibri"/>
          <w:i/>
          <w:iCs/>
          <w:color w:val="002060"/>
          <w:kern w:val="0"/>
          <w:sz w:val="24"/>
          <w:szCs w:val="24"/>
          <w:lang w:val="sr-Latn-RS"/>
          <w14:ligatures w14:val="none"/>
        </w:rPr>
        <w:t xml:space="preserve">. </w:t>
      </w:r>
      <w:r w:rsidR="008D1FF7" w:rsidRPr="009F4149">
        <w:rPr>
          <w:rFonts w:ascii="Calibri" w:eastAsia="Calibri" w:hAnsi="Calibri" w:cs="Calibri"/>
          <w:i/>
          <w:iCs/>
          <w:color w:val="002060"/>
          <w:kern w:val="0"/>
          <w:sz w:val="24"/>
          <w:szCs w:val="24"/>
          <w:lang w:val="sr-Latn-RS"/>
          <w14:ligatures w14:val="none"/>
        </w:rPr>
        <w:t>Unapređenje digitalizacije i sajber bezbjednosti uz jačanje infrastrukture za širokopojasni pristup</w:t>
      </w:r>
      <w:r w:rsidR="002B5D2B" w:rsidRPr="009F4149">
        <w:rPr>
          <w:rFonts w:ascii="Calibri" w:eastAsia="Calibri" w:hAnsi="Calibri" w:cs="Calibri"/>
          <w:i/>
          <w:iCs/>
          <w:color w:val="002060"/>
          <w:kern w:val="0"/>
          <w:sz w:val="24"/>
          <w:szCs w:val="24"/>
          <w:lang w:val="sr-Latn-RS"/>
          <w14:ligatures w14:val="none"/>
        </w:rPr>
        <w:t xml:space="preserve"> internetu</w:t>
      </w:r>
    </w:p>
    <w:p w14:paraId="4BCD118F" w14:textId="3578D202" w:rsidR="009960D3" w:rsidRPr="009960D3" w:rsidRDefault="009960D3" w:rsidP="009960D3">
      <w:pPr>
        <w:spacing w:line="256" w:lineRule="auto"/>
        <w:jc w:val="both"/>
        <w:rPr>
          <w:rFonts w:ascii="Calibri" w:eastAsia="Calibri" w:hAnsi="Calibri" w:cs="Calibri"/>
          <w:sz w:val="24"/>
          <w:szCs w:val="24"/>
          <w:lang w:val="sr-Latn-RS"/>
        </w:rPr>
      </w:pPr>
      <w:r w:rsidRPr="009960D3">
        <w:rPr>
          <w:rFonts w:ascii="Calibri" w:eastAsia="Calibri" w:hAnsi="Calibri" w:cs="Calibri"/>
          <w:sz w:val="24"/>
          <w:szCs w:val="24"/>
          <w:lang w:val="sr-Latn-RS"/>
        </w:rPr>
        <w:t>1.</w:t>
      </w:r>
      <w:r w:rsidRPr="009960D3">
        <w:rPr>
          <w:rFonts w:ascii="Calibri" w:eastAsia="Calibri" w:hAnsi="Calibri" w:cs="Calibri"/>
          <w:b/>
          <w:bCs/>
          <w:sz w:val="24"/>
          <w:szCs w:val="24"/>
          <w:lang w:val="sr-Latn-RS"/>
        </w:rPr>
        <w:t>Opis reformske mjere.</w:t>
      </w:r>
      <w:r w:rsidRPr="009960D3">
        <w:rPr>
          <w:rFonts w:ascii="Calibri" w:eastAsia="Calibri" w:hAnsi="Calibri" w:cs="Calibri"/>
          <w:bCs/>
          <w:sz w:val="24"/>
          <w:szCs w:val="24"/>
          <w:lang w:val="sr-Latn-RS"/>
        </w:rPr>
        <w:t xml:space="preserve"> </w:t>
      </w:r>
      <w:r w:rsidRPr="009960D3">
        <w:rPr>
          <w:rFonts w:ascii="Calibri" w:eastAsia="Calibri" w:hAnsi="Calibri" w:cs="Calibri"/>
          <w:bCs/>
          <w:sz w:val="24"/>
          <w:szCs w:val="24"/>
          <w:lang w:val="sr-Latn-ME"/>
        </w:rPr>
        <w:t>Cilj reformske mjere je digitalizacija usluga javne uprave</w:t>
      </w:r>
      <w:r w:rsidR="00BB6E57">
        <w:rPr>
          <w:rFonts w:ascii="Calibri" w:eastAsia="Calibri" w:hAnsi="Calibri" w:cs="Calibri"/>
          <w:bCs/>
          <w:sz w:val="24"/>
          <w:szCs w:val="24"/>
          <w:lang w:val="sr-Latn-ME"/>
        </w:rPr>
        <w:t xml:space="preserve">, </w:t>
      </w:r>
      <w:r w:rsidRPr="009960D3">
        <w:rPr>
          <w:rFonts w:ascii="Calibri" w:eastAsia="Calibri" w:hAnsi="Calibri" w:cs="Calibri"/>
          <w:bCs/>
          <w:sz w:val="24"/>
          <w:szCs w:val="24"/>
          <w:lang w:val="sr-Latn-ME"/>
        </w:rPr>
        <w:t>jačanje sajber bezbjednosti i infrastrukture za širokopojasni pistup internetu kroz multidisciplinarni pristup.</w:t>
      </w:r>
    </w:p>
    <w:p w14:paraId="15278AD2" w14:textId="4F9D597E" w:rsidR="009960D3" w:rsidRPr="00BB6E57" w:rsidRDefault="009960D3" w:rsidP="00BB6E57">
      <w:pPr>
        <w:jc w:val="both"/>
        <w:rPr>
          <w:rFonts w:ascii="Calibri" w:eastAsia="+mn-ea" w:hAnsi="Calibri" w:cs="+mn-cs"/>
          <w:spacing w:val="8"/>
          <w:sz w:val="24"/>
          <w:szCs w:val="24"/>
          <w:lang w:val="sr-Latn-RS"/>
        </w:rPr>
      </w:pPr>
      <w:r w:rsidRPr="009960D3">
        <w:rPr>
          <w:rFonts w:ascii="Calibri" w:eastAsia="Calibri" w:hAnsi="Calibri" w:cs="Calibri"/>
          <w:sz w:val="24"/>
          <w:szCs w:val="24"/>
          <w:lang w:val="sr-Latn-ME"/>
        </w:rPr>
        <w:lastRenderedPageBreak/>
        <w:t xml:space="preserve">Odgovarajući na brojne izazove, kao i usaglašavajući strateški pristup države sa Digitalnom Agendom za Evropu i Digitalnom Agendom za Zapadni Balkan, Crna Gora je: usvojila Strategiju digitalne transformacije 2022-2026, Strategiju sajber bezbjednosti Crne Gore 2022-2026, Strategiju za digitalizaciju obrazovnog sistema 2022-2027 i Strategiju za razvoj 5G mobilnih komunikacionih mreža u Crnoj Gori 2023-2027, te pristupila EU Programu „Digitalna Evropa“ krajem juna 2023. godine i zaključila Sporazum o osnivanju Regionalnog centra za sajber-kapacitete Zapadnog Balkana (WB3C) sa  Francuskom i Slovenijom 16. oktobra 2023. godine, čije sjedište će biti u Crnoj Gori, u okviru Naučno-tehnološkog parka Crne Gore. </w:t>
      </w:r>
      <w:r w:rsidR="00BB6E57" w:rsidRPr="00BB6E57">
        <w:rPr>
          <w:rFonts w:ascii="Calibri" w:eastAsia="Calibri" w:hAnsi="Calibri" w:cs="Calibri"/>
          <w:sz w:val="24"/>
          <w:szCs w:val="24"/>
          <w:lang w:val="sr-Latn-ME"/>
        </w:rPr>
        <w:t xml:space="preserve">U cilju kontinuiranog proširivanja ključnih inicijativa kroz proces implementacije Strategije pametne specijalizacije u Crnoj Gori, te imajući u vidu značaj digitalizacije kao horizontalnog prioriteta koji prožima sve ostale sektore, Vlada Crne Gore je, na sjednici od 16. novembra 2023. godine, potvrdila namjeru države da administrativno i finansijski podrži učešće crnogorskih institucija na strateškom pozivu u okviru programa „Digitalna Evropa“, koji se odnosi na Evropske habove za digitalne inovacije. Ukoliko crnogorski podnosilac prijava uspije da ostvari sredstva od dva miliona eura kroz ovaj EU poziv, ali i nacionalnu transparenstnu proceduru izbora, Crna </w:t>
      </w:r>
      <w:r w:rsidR="00BB6E57">
        <w:rPr>
          <w:rFonts w:ascii="Calibri" w:eastAsia="Calibri" w:hAnsi="Calibri" w:cs="Calibri"/>
          <w:sz w:val="24"/>
          <w:szCs w:val="24"/>
          <w:lang w:val="sr-Latn-ME"/>
        </w:rPr>
        <w:t>G</w:t>
      </w:r>
      <w:r w:rsidR="00BB6E57" w:rsidRPr="00BB6E57">
        <w:rPr>
          <w:rFonts w:ascii="Calibri" w:eastAsia="Calibri" w:hAnsi="Calibri" w:cs="Calibri"/>
          <w:sz w:val="24"/>
          <w:szCs w:val="24"/>
          <w:lang w:val="sr-Latn-ME"/>
        </w:rPr>
        <w:t>ora će dobiti hab koji će podržati digitalnu transformaciju velikih razmjera</w:t>
      </w:r>
      <w:r w:rsidR="00BB6E57">
        <w:rPr>
          <w:rFonts w:ascii="Calibri" w:eastAsia="Calibri" w:hAnsi="Calibri" w:cs="Calibri"/>
          <w:sz w:val="24"/>
          <w:szCs w:val="24"/>
          <w:lang w:val="sr-Latn-ME"/>
        </w:rPr>
        <w:t>, kako</w:t>
      </w:r>
      <w:r w:rsidR="00BB6E57" w:rsidRPr="00BB6E57">
        <w:rPr>
          <w:rFonts w:ascii="Calibri" w:eastAsia="Calibri" w:hAnsi="Calibri" w:cs="Calibri"/>
          <w:sz w:val="24"/>
          <w:szCs w:val="24"/>
          <w:lang w:val="sr-Latn-ME"/>
        </w:rPr>
        <w:t xml:space="preserve"> privrede, sa posebnim fokusom na </w:t>
      </w:r>
      <w:r w:rsidR="00BB6E57">
        <w:rPr>
          <w:rFonts w:ascii="Calibri" w:eastAsia="Calibri" w:hAnsi="Calibri" w:cs="Calibri"/>
          <w:kern w:val="0"/>
          <w:sz w:val="24"/>
          <w:szCs w:val="24"/>
          <w:lang w:val="sr-Latn-ME"/>
          <w14:ligatures w14:val="none"/>
        </w:rPr>
        <w:t>sektor MSP</w:t>
      </w:r>
      <w:r w:rsidR="00BB6E57" w:rsidRPr="00BB6E57">
        <w:rPr>
          <w:rFonts w:ascii="Calibri" w:eastAsia="Calibri" w:hAnsi="Calibri" w:cs="Calibri"/>
          <w:kern w:val="0"/>
          <w:sz w:val="24"/>
          <w:szCs w:val="24"/>
          <w:lang w:val="sr-Latn-ME"/>
          <w14:ligatures w14:val="none"/>
        </w:rPr>
        <w:t>,</w:t>
      </w:r>
      <w:r w:rsidR="00BB6E57">
        <w:rPr>
          <w:rFonts w:ascii="Calibri" w:eastAsia="Calibri" w:hAnsi="Calibri" w:cs="Calibri"/>
          <w:kern w:val="0"/>
          <w:sz w:val="24"/>
          <w:szCs w:val="24"/>
          <w:lang w:val="sr-Latn-ME"/>
          <w14:ligatures w14:val="none"/>
        </w:rPr>
        <w:t xml:space="preserve"> tako</w:t>
      </w:r>
      <w:r w:rsidR="00BB6E57" w:rsidRPr="00BB6E57">
        <w:rPr>
          <w:rFonts w:ascii="Calibri" w:eastAsia="Calibri" w:hAnsi="Calibri" w:cs="Calibri"/>
          <w:kern w:val="0"/>
          <w:sz w:val="24"/>
          <w:szCs w:val="24"/>
          <w:lang w:val="sr-Latn-ME"/>
          <w14:ligatures w14:val="none"/>
        </w:rPr>
        <w:t xml:space="preserve"> </w:t>
      </w:r>
      <w:r w:rsidR="00BB6E57">
        <w:rPr>
          <w:rFonts w:ascii="Calibri" w:eastAsia="Calibri" w:hAnsi="Calibri" w:cs="Calibri"/>
          <w:kern w:val="0"/>
          <w:sz w:val="24"/>
          <w:szCs w:val="24"/>
          <w:lang w:val="sr-Latn-ME"/>
          <w14:ligatures w14:val="none"/>
        </w:rPr>
        <w:t>i državnog sektora</w:t>
      </w:r>
      <w:r w:rsidR="00BB6E57" w:rsidRPr="00BB6E57">
        <w:rPr>
          <w:rFonts w:ascii="Calibri" w:eastAsia="Calibri" w:hAnsi="Calibri" w:cs="Calibri"/>
          <w:kern w:val="0"/>
          <w:sz w:val="24"/>
          <w:szCs w:val="24"/>
          <w:lang w:val="sr-Latn-ME"/>
          <w14:ligatures w14:val="none"/>
        </w:rPr>
        <w:t xml:space="preserve">. </w:t>
      </w:r>
      <w:r w:rsidRPr="009960D3">
        <w:rPr>
          <w:rFonts w:ascii="Calibri" w:eastAsia="Calibri" w:hAnsi="Calibri" w:cs="Calibri"/>
          <w:sz w:val="24"/>
          <w:szCs w:val="24"/>
          <w:lang w:val="sr-Latn-ME"/>
        </w:rPr>
        <w:t>Mjera pruža odgovor na prep</w:t>
      </w:r>
      <w:r w:rsidR="00BB6E57">
        <w:rPr>
          <w:rFonts w:ascii="Calibri" w:eastAsia="Calibri" w:hAnsi="Calibri" w:cs="Calibri"/>
          <w:sz w:val="24"/>
          <w:szCs w:val="24"/>
          <w:lang w:val="sr-Latn-ME"/>
        </w:rPr>
        <w:t>o</w:t>
      </w:r>
      <w:r w:rsidRPr="009960D3">
        <w:rPr>
          <w:rFonts w:ascii="Calibri" w:eastAsia="Calibri" w:hAnsi="Calibri" w:cs="Calibri"/>
          <w:sz w:val="24"/>
          <w:szCs w:val="24"/>
          <w:lang w:val="sr-Latn-ME"/>
        </w:rPr>
        <w:t>ruku br. 4 sa minista</w:t>
      </w:r>
      <w:r w:rsidR="00BB6E57">
        <w:rPr>
          <w:rFonts w:ascii="Calibri" w:eastAsia="Calibri" w:hAnsi="Calibri" w:cs="Calibri"/>
          <w:sz w:val="24"/>
          <w:szCs w:val="24"/>
          <w:lang w:val="sr-Latn-ME"/>
        </w:rPr>
        <w:t>rs</w:t>
      </w:r>
      <w:r w:rsidRPr="009960D3">
        <w:rPr>
          <w:rFonts w:ascii="Calibri" w:eastAsia="Calibri" w:hAnsi="Calibri" w:cs="Calibri"/>
          <w:sz w:val="24"/>
          <w:szCs w:val="24"/>
          <w:lang w:val="sr-Latn-ME"/>
        </w:rPr>
        <w:t>kog dijaloga iz maja 2023.godine.</w:t>
      </w:r>
      <w:r w:rsidRPr="009960D3">
        <w:rPr>
          <w:rFonts w:ascii="Calibri" w:eastAsia="+mn-ea" w:hAnsi="Calibri" w:cs="+mn-cs"/>
          <w:spacing w:val="8"/>
          <w:sz w:val="24"/>
          <w:szCs w:val="24"/>
        </w:rPr>
        <w:t xml:space="preserve"> Budući da predstavlja sublimaciju više mjera iz PER-a 2023.</w:t>
      </w:r>
      <w:r w:rsidR="00BB6E57">
        <w:rPr>
          <w:rFonts w:ascii="Calibri" w:eastAsia="+mn-ea" w:hAnsi="Calibri" w:cs="+mn-cs"/>
          <w:spacing w:val="8"/>
          <w:sz w:val="24"/>
          <w:szCs w:val="24"/>
        </w:rPr>
        <w:t xml:space="preserve"> (</w:t>
      </w:r>
      <w:r w:rsidR="00BB6E57" w:rsidRPr="00BB6E57">
        <w:rPr>
          <w:rFonts w:ascii="Calibri" w:eastAsia="+mn-ea" w:hAnsi="Calibri" w:cs="+mn-cs"/>
          <w:bCs/>
          <w:spacing w:val="8"/>
          <w:sz w:val="24"/>
          <w:szCs w:val="24"/>
          <w:lang w:val="sr-Latn-RS"/>
        </w:rPr>
        <w:t>9, 10 i 11, a dijelom se odnosi i na reformske mjere</w:t>
      </w:r>
      <w:r w:rsidR="00BB6E57">
        <w:rPr>
          <w:rFonts w:ascii="Calibri" w:eastAsia="+mn-ea" w:hAnsi="Calibri" w:cs="+mn-cs"/>
          <w:bCs/>
          <w:spacing w:val="8"/>
          <w:sz w:val="24"/>
          <w:szCs w:val="24"/>
          <w:lang w:val="sr-Latn-RS"/>
        </w:rPr>
        <w:t xml:space="preserve"> </w:t>
      </w:r>
      <w:r w:rsidR="00936869">
        <w:rPr>
          <w:rFonts w:ascii="Calibri" w:eastAsia="+mn-ea" w:hAnsi="Calibri" w:cs="+mn-cs"/>
          <w:bCs/>
          <w:spacing w:val="8"/>
          <w:sz w:val="24"/>
          <w:szCs w:val="24"/>
          <w:lang w:val="sr-Latn-RS"/>
        </w:rPr>
        <w:t>4,</w:t>
      </w:r>
      <w:r w:rsidR="00BB6E57" w:rsidRPr="00BB6E57">
        <w:rPr>
          <w:rFonts w:ascii="Calibri" w:eastAsia="+mn-ea" w:hAnsi="Calibri" w:cs="+mn-cs"/>
          <w:bCs/>
          <w:spacing w:val="8"/>
          <w:sz w:val="24"/>
          <w:szCs w:val="24"/>
          <w:lang w:val="sr-Latn-RS"/>
        </w:rPr>
        <w:t xml:space="preserve"> 7 i 8</w:t>
      </w:r>
      <w:r w:rsidR="00BB6E57">
        <w:rPr>
          <w:rFonts w:ascii="Calibri" w:eastAsia="+mn-ea" w:hAnsi="Calibri" w:cs="+mn-cs"/>
          <w:bCs/>
          <w:spacing w:val="8"/>
          <w:sz w:val="24"/>
          <w:szCs w:val="24"/>
          <w:lang w:val="sr-Latn-RS"/>
        </w:rPr>
        <w:t>)</w:t>
      </w:r>
      <w:r w:rsidR="00BB6E57" w:rsidRPr="00BB6E57">
        <w:rPr>
          <w:rFonts w:ascii="Calibri" w:eastAsia="+mn-ea" w:hAnsi="Calibri" w:cs="+mn-cs"/>
          <w:bCs/>
          <w:spacing w:val="8"/>
          <w:sz w:val="24"/>
          <w:szCs w:val="24"/>
          <w:lang w:val="sr-Latn-RS"/>
        </w:rPr>
        <w:t xml:space="preserve"> </w:t>
      </w:r>
      <w:r w:rsidR="00B24094">
        <w:rPr>
          <w:rFonts w:ascii="Calibri" w:eastAsia="+mn-ea" w:hAnsi="Calibri" w:cs="+mn-cs"/>
          <w:bCs/>
          <w:spacing w:val="8"/>
          <w:sz w:val="24"/>
          <w:szCs w:val="24"/>
          <w:lang w:val="sr-Latn-RS"/>
        </w:rPr>
        <w:t>i</w:t>
      </w:r>
      <w:r w:rsidR="00BB6E57">
        <w:rPr>
          <w:rFonts w:ascii="Calibri" w:eastAsia="+mn-ea" w:hAnsi="Calibri" w:cs="+mn-cs"/>
          <w:bCs/>
          <w:spacing w:val="8"/>
          <w:sz w:val="24"/>
          <w:szCs w:val="24"/>
          <w:lang w:val="sr-Latn-RS"/>
        </w:rPr>
        <w:t xml:space="preserve"> njihov</w:t>
      </w:r>
      <w:r w:rsidR="00BB6E57" w:rsidRPr="00BB6E57">
        <w:rPr>
          <w:rFonts w:ascii="Calibri" w:eastAsia="+mn-ea" w:hAnsi="Calibri" w:cs="+mn-cs"/>
          <w:bCs/>
          <w:spacing w:val="8"/>
          <w:sz w:val="24"/>
          <w:szCs w:val="24"/>
          <w:lang w:val="sr-Latn-RS"/>
        </w:rPr>
        <w:t xml:space="preserve"> kontinuitet</w:t>
      </w:r>
      <w:r w:rsidR="00BB6E57">
        <w:rPr>
          <w:rFonts w:ascii="Calibri" w:eastAsia="+mn-ea" w:hAnsi="Calibri" w:cs="+mn-cs"/>
          <w:bCs/>
          <w:spacing w:val="8"/>
          <w:sz w:val="24"/>
          <w:szCs w:val="24"/>
          <w:lang w:val="sr-Latn-RS"/>
        </w:rPr>
        <w:t xml:space="preserve">, više detalja o njihovoj realizaciji </w:t>
      </w:r>
      <w:r w:rsidRPr="009960D3">
        <w:rPr>
          <w:rFonts w:ascii="Calibri" w:eastAsia="+mn-ea" w:hAnsi="Calibri" w:cs="+mn-cs"/>
          <w:spacing w:val="8"/>
          <w:sz w:val="24"/>
          <w:szCs w:val="24"/>
        </w:rPr>
        <w:t>u 2023.godini je prikazan</w:t>
      </w:r>
      <w:r w:rsidR="00BB6E57">
        <w:rPr>
          <w:rFonts w:ascii="Calibri" w:eastAsia="+mn-ea" w:hAnsi="Calibri" w:cs="+mn-cs"/>
          <w:spacing w:val="8"/>
          <w:sz w:val="24"/>
          <w:szCs w:val="24"/>
        </w:rPr>
        <w:t>o</w:t>
      </w:r>
      <w:r w:rsidRPr="009960D3">
        <w:rPr>
          <w:rFonts w:ascii="Calibri" w:eastAsia="+mn-ea" w:hAnsi="Calibri" w:cs="+mn-cs"/>
          <w:spacing w:val="8"/>
          <w:sz w:val="24"/>
          <w:szCs w:val="24"/>
        </w:rPr>
        <w:t xml:space="preserve"> u tabeli 11 aneksa</w:t>
      </w:r>
      <w:r w:rsidR="0092437B" w:rsidRPr="0092437B">
        <w:rPr>
          <w:rFonts w:ascii="Calibri" w:eastAsia="+mn-ea" w:hAnsi="Calibri" w:cs="+mn-cs"/>
          <w:spacing w:val="8"/>
          <w:sz w:val="24"/>
          <w:szCs w:val="24"/>
        </w:rPr>
        <w:t>.</w:t>
      </w:r>
    </w:p>
    <w:p w14:paraId="558A083D" w14:textId="627F15B5" w:rsidR="00AF7500" w:rsidRDefault="00BB6E57" w:rsidP="009960D3">
      <w:pPr>
        <w:spacing w:line="256" w:lineRule="auto"/>
        <w:jc w:val="both"/>
        <w:rPr>
          <w:rFonts w:ascii="Calibri" w:eastAsia="Calibri" w:hAnsi="Calibri" w:cs="Calibri"/>
          <w:sz w:val="24"/>
          <w:szCs w:val="24"/>
        </w:rPr>
      </w:pPr>
      <w:r>
        <w:rPr>
          <w:rFonts w:ascii="Calibri" w:eastAsia="Calibri" w:hAnsi="Calibri" w:cs="Calibri"/>
          <w:sz w:val="24"/>
          <w:szCs w:val="24"/>
          <w:lang w:val="sr-Latn-ME"/>
        </w:rPr>
        <w:t>K</w:t>
      </w:r>
      <w:r w:rsidR="009960D3" w:rsidRPr="009960D3">
        <w:rPr>
          <w:rFonts w:ascii="Calibri" w:eastAsia="Calibri" w:hAnsi="Calibri" w:cs="Calibri"/>
          <w:sz w:val="24"/>
          <w:szCs w:val="24"/>
          <w:lang w:val="sr-Latn-ME"/>
        </w:rPr>
        <w:t>ljučni pravci djelovanja u o</w:t>
      </w:r>
      <w:r w:rsidR="0092437B">
        <w:rPr>
          <w:rFonts w:ascii="Calibri" w:eastAsia="Calibri" w:hAnsi="Calibri" w:cs="Calibri"/>
          <w:sz w:val="24"/>
          <w:szCs w:val="24"/>
          <w:lang w:val="sr-Latn-ME"/>
        </w:rPr>
        <w:t>k</w:t>
      </w:r>
      <w:r w:rsidR="009960D3" w:rsidRPr="009960D3">
        <w:rPr>
          <w:rFonts w:ascii="Calibri" w:eastAsia="Calibri" w:hAnsi="Calibri" w:cs="Calibri"/>
          <w:sz w:val="24"/>
          <w:szCs w:val="24"/>
          <w:lang w:val="sr-Latn-ME"/>
        </w:rPr>
        <w:t>viru mjere uključuju: Jačanje uloge i kapaciteta Koordinacionog tijela za upravljanje procesom digitalne transformacije; razvoj i implementaciju novog portala elektronske uprave uz integraciju sa drugim sistemima elektronske uprave kao što su sistem za elektronsku identifikaciju, sistem za elektronsko plaćanje i sistem za elektronsku razmjenu podataka između organa državne uprave; razvoj savremene digitalne platforme koja će obuhvatati edukativne sadržaje Digitalne akademije, prilagođene različitim ciljnim grupama i kategorijama stanovništva;</w:t>
      </w:r>
      <w:r w:rsidR="009960D3" w:rsidRPr="009960D3">
        <w:rPr>
          <w:rFonts w:ascii="Calibri" w:eastAsia="Calibri" w:hAnsi="Calibri" w:cs="Calibri"/>
          <w:b/>
          <w:bCs/>
          <w:sz w:val="24"/>
          <w:szCs w:val="24"/>
          <w:lang w:val="sr-Latn-ME"/>
        </w:rPr>
        <w:t xml:space="preserve"> </w:t>
      </w:r>
      <w:r w:rsidR="009960D3" w:rsidRPr="009960D3">
        <w:rPr>
          <w:rFonts w:ascii="Calibri" w:eastAsia="Calibri" w:hAnsi="Calibri" w:cs="Calibri"/>
          <w:sz w:val="24"/>
          <w:szCs w:val="24"/>
          <w:lang w:val="sr-Latn-ME"/>
        </w:rPr>
        <w:t>realizacija aktivnosti na pripremi izgradnje i uspostavljanja Državnog Data centra i Disaster Recovery centra, kao preduslovu za kvalitetan nastavak razvoja digitalnog društva u cjelini. Takođe če uključiti jačanje sajber otpornosti, koje podrazumijeva obezbjeđivanje smještajnih kapaciteta, opreme i bezbjednosnih alata</w:t>
      </w:r>
      <w:r w:rsidR="00B24094">
        <w:rPr>
          <w:rFonts w:ascii="Calibri" w:eastAsia="Calibri" w:hAnsi="Calibri" w:cs="Calibri"/>
          <w:sz w:val="24"/>
          <w:szCs w:val="24"/>
          <w:lang w:val="sr-Latn-ME"/>
        </w:rPr>
        <w:t xml:space="preserve"> </w:t>
      </w:r>
      <w:r w:rsidR="00DF65A8">
        <w:rPr>
          <w:rFonts w:cs="Calibri"/>
          <w:kern w:val="0"/>
          <w:sz w:val="24"/>
          <w:szCs w:val="24"/>
          <w:lang w:val="sr-Latn-ME"/>
          <w14:ligatures w14:val="none"/>
        </w:rPr>
        <w:t>za primarnu i redudantnu lokaciju</w:t>
      </w:r>
      <w:r w:rsidR="009960D3" w:rsidRPr="009960D3">
        <w:rPr>
          <w:rFonts w:ascii="Calibri" w:eastAsia="Calibri" w:hAnsi="Calibri" w:cs="Calibri"/>
          <w:sz w:val="24"/>
          <w:szCs w:val="24"/>
          <w:lang w:val="sr-Latn-ME"/>
        </w:rPr>
        <w:t xml:space="preserve"> </w:t>
      </w:r>
      <w:r w:rsidR="00B24094">
        <w:rPr>
          <w:rFonts w:ascii="Calibri" w:eastAsia="Calibri" w:hAnsi="Calibri" w:cs="Calibri"/>
          <w:sz w:val="24"/>
          <w:szCs w:val="24"/>
          <w:lang w:val="sr-Latn-ME"/>
        </w:rPr>
        <w:t>za nesmetano</w:t>
      </w:r>
      <w:r w:rsidR="009960D3" w:rsidRPr="009960D3">
        <w:rPr>
          <w:rFonts w:ascii="Calibri" w:eastAsia="Calibri" w:hAnsi="Calibri" w:cs="Calibri"/>
          <w:sz w:val="24"/>
          <w:szCs w:val="24"/>
          <w:lang w:val="sr-Latn-ME"/>
        </w:rPr>
        <w:t xml:space="preserve"> funkcionisanj</w:t>
      </w:r>
      <w:r w:rsidR="00B24094">
        <w:rPr>
          <w:rFonts w:ascii="Calibri" w:eastAsia="Calibri" w:hAnsi="Calibri" w:cs="Calibri"/>
          <w:sz w:val="24"/>
          <w:szCs w:val="24"/>
          <w:lang w:val="sr-Latn-ME"/>
        </w:rPr>
        <w:t>e</w:t>
      </w:r>
      <w:r w:rsidR="009960D3" w:rsidRPr="009960D3">
        <w:rPr>
          <w:rFonts w:ascii="Calibri" w:eastAsia="Calibri" w:hAnsi="Calibri" w:cs="Calibri"/>
          <w:sz w:val="24"/>
          <w:szCs w:val="24"/>
          <w:lang w:val="sr-Latn-ME"/>
        </w:rPr>
        <w:t xml:space="preserve"> Vladinog CIRT-a, kao i na posebne kadrovske, organizacione, tehničke i druge uslove. </w:t>
      </w:r>
      <w:r w:rsidR="00B24094">
        <w:rPr>
          <w:rFonts w:ascii="Calibri" w:eastAsia="Calibri" w:hAnsi="Calibri" w:cs="Calibri"/>
          <w:sz w:val="24"/>
          <w:szCs w:val="24"/>
        </w:rPr>
        <w:t>Za</w:t>
      </w:r>
      <w:r w:rsidR="009960D3" w:rsidRPr="009960D3">
        <w:rPr>
          <w:rFonts w:ascii="Calibri" w:eastAsia="Calibri" w:hAnsi="Calibri" w:cs="Calibri"/>
          <w:sz w:val="24"/>
          <w:szCs w:val="24"/>
        </w:rPr>
        <w:t xml:space="preserve"> jačanj</w:t>
      </w:r>
      <w:r w:rsidR="00B24094">
        <w:rPr>
          <w:rFonts w:ascii="Calibri" w:eastAsia="Calibri" w:hAnsi="Calibri" w:cs="Calibri"/>
          <w:sz w:val="24"/>
          <w:szCs w:val="24"/>
        </w:rPr>
        <w:t>e</w:t>
      </w:r>
      <w:r w:rsidR="009960D3" w:rsidRPr="009960D3">
        <w:rPr>
          <w:rFonts w:ascii="Calibri" w:eastAsia="Calibri" w:hAnsi="Calibri" w:cs="Calibri"/>
          <w:sz w:val="24"/>
          <w:szCs w:val="24"/>
        </w:rPr>
        <w:t xml:space="preserve"> sajber otpornosti, neophodno je </w:t>
      </w:r>
      <w:r w:rsidR="00B24094">
        <w:rPr>
          <w:rFonts w:ascii="Calibri" w:eastAsia="Calibri" w:hAnsi="Calibri" w:cs="Calibri"/>
          <w:sz w:val="24"/>
          <w:szCs w:val="24"/>
        </w:rPr>
        <w:t>ispuniti</w:t>
      </w:r>
      <w:r w:rsidR="009960D3" w:rsidRPr="009960D3">
        <w:rPr>
          <w:rFonts w:ascii="Calibri" w:eastAsia="Calibri" w:hAnsi="Calibri" w:cs="Calibri"/>
          <w:sz w:val="24"/>
          <w:szCs w:val="24"/>
        </w:rPr>
        <w:t xml:space="preserve"> sve navedene uslove za obezbjeđivanje primarnih i redudantnih smještajnih kapaciteta, opreme i bezbjednosnih alata i jačati kapacitete za uspostavljanje Vladinog bezbjednosno-operativnog centra (G-SOC).</w:t>
      </w:r>
      <w:r w:rsidR="009960D3" w:rsidRPr="009960D3">
        <w:rPr>
          <w:rFonts w:ascii="Calibri" w:eastAsia="Calibri" w:hAnsi="Calibri" w:cs="Times New Roman"/>
        </w:rPr>
        <w:t xml:space="preserve"> </w:t>
      </w:r>
      <w:r w:rsidR="00B24094">
        <w:rPr>
          <w:rFonts w:ascii="Calibri" w:eastAsia="Calibri" w:hAnsi="Calibri" w:cs="Calibri"/>
          <w:sz w:val="24"/>
          <w:szCs w:val="24"/>
        </w:rPr>
        <w:t>Prema novom</w:t>
      </w:r>
      <w:r w:rsidR="009960D3" w:rsidRPr="009960D3">
        <w:rPr>
          <w:rFonts w:ascii="Calibri" w:eastAsia="Calibri" w:hAnsi="Calibri" w:cs="Calibri"/>
          <w:sz w:val="24"/>
          <w:szCs w:val="24"/>
        </w:rPr>
        <w:t xml:space="preserve"> Zakon</w:t>
      </w:r>
      <w:r w:rsidR="00B24094">
        <w:rPr>
          <w:rFonts w:ascii="Calibri" w:eastAsia="Calibri" w:hAnsi="Calibri" w:cs="Calibri"/>
          <w:sz w:val="24"/>
          <w:szCs w:val="24"/>
        </w:rPr>
        <w:t>u</w:t>
      </w:r>
      <w:r w:rsidR="009960D3" w:rsidRPr="009960D3">
        <w:rPr>
          <w:rFonts w:ascii="Calibri" w:eastAsia="Calibri" w:hAnsi="Calibri" w:cs="Calibri"/>
          <w:sz w:val="24"/>
          <w:szCs w:val="24"/>
        </w:rPr>
        <w:t xml:space="preserve"> o informacionoj bezbjednosti, neophodno je izvršiti pripremne aktivnosti na uspostavljanju Agencije za sajber bezbjednost</w:t>
      </w:r>
      <w:r w:rsidR="00B24094">
        <w:rPr>
          <w:rFonts w:ascii="Calibri" w:eastAsia="Calibri" w:hAnsi="Calibri" w:cs="Calibri"/>
          <w:sz w:val="24"/>
          <w:szCs w:val="24"/>
        </w:rPr>
        <w:t>.</w:t>
      </w:r>
      <w:r w:rsidR="00C04B09">
        <w:rPr>
          <w:rFonts w:ascii="Calibri" w:eastAsia="Calibri" w:hAnsi="Calibri" w:cs="Calibri"/>
          <w:sz w:val="24"/>
          <w:szCs w:val="24"/>
        </w:rPr>
        <w:t xml:space="preserve"> </w:t>
      </w:r>
      <w:r w:rsidR="00B24094">
        <w:rPr>
          <w:rFonts w:ascii="Calibri" w:eastAsia="Calibri" w:hAnsi="Calibri" w:cs="Calibri"/>
          <w:sz w:val="24"/>
          <w:szCs w:val="24"/>
          <w:lang w:val="sr-Latn-ME"/>
        </w:rPr>
        <w:t>Takođe,</w:t>
      </w:r>
      <w:r w:rsidR="009960D3" w:rsidRPr="009960D3">
        <w:rPr>
          <w:rFonts w:ascii="Calibri" w:eastAsia="Calibri" w:hAnsi="Calibri" w:cs="Calibri"/>
          <w:sz w:val="24"/>
          <w:szCs w:val="24"/>
          <w:lang w:val="sr-Latn-ME"/>
        </w:rPr>
        <w:t xml:space="preserve"> uvođenjem mreža nove generacije kroz širokopojasni pristup internetu ubrzava se digitalizacija privrede i javne uprave, otvaraju mogućnosti za implementaciju novih digitalnih usluga i digitalizaciju proizvodnje, podjednako u cijeloj teritoriji Crne Gore. Mjera će obuhvatiti i uspostavljanje efikasnog i održivog integrisanog </w:t>
      </w:r>
      <w:r w:rsidR="009960D3" w:rsidRPr="009960D3">
        <w:rPr>
          <w:rFonts w:ascii="Calibri" w:eastAsia="Calibri" w:hAnsi="Calibri" w:cs="Calibri"/>
          <w:sz w:val="24"/>
          <w:szCs w:val="24"/>
          <w:lang w:val="sr-Latn-ME"/>
        </w:rPr>
        <w:lastRenderedPageBreak/>
        <w:t>sistema pojednostavljenih elektronskih procedura za građane i privredu</w:t>
      </w:r>
      <w:r w:rsidR="00B24094">
        <w:rPr>
          <w:rFonts w:ascii="Calibri" w:eastAsia="Calibri" w:hAnsi="Calibri" w:cs="Calibri"/>
          <w:sz w:val="24"/>
          <w:szCs w:val="24"/>
          <w:lang w:val="sr-Latn-ME"/>
        </w:rPr>
        <w:t xml:space="preserve"> i </w:t>
      </w:r>
      <w:r w:rsidR="00B24094" w:rsidRPr="00B24094">
        <w:rPr>
          <w:rFonts w:ascii="Calibri" w:eastAsia="Calibri" w:hAnsi="Calibri" w:cs="Calibri"/>
          <w:sz w:val="24"/>
          <w:szCs w:val="24"/>
          <w:lang w:val="sr-Latn-ME"/>
        </w:rPr>
        <w:t>uvođenje potpune elektronske registracije preduzeća</w:t>
      </w:r>
      <w:r w:rsidR="00B24094">
        <w:rPr>
          <w:rFonts w:ascii="Calibri" w:eastAsia="Calibri" w:hAnsi="Calibri" w:cs="Calibri"/>
          <w:sz w:val="24"/>
          <w:szCs w:val="24"/>
          <w:lang w:val="sr-Latn-ME"/>
        </w:rPr>
        <w:t>.</w:t>
      </w:r>
      <w:r w:rsidR="00400115">
        <w:rPr>
          <w:rFonts w:ascii="Calibri" w:eastAsia="Calibri" w:hAnsi="Calibri" w:cs="Calibri"/>
          <w:sz w:val="24"/>
          <w:szCs w:val="24"/>
          <w:lang w:val="sr-Latn-ME"/>
        </w:rPr>
        <w:t xml:space="preserve"> </w:t>
      </w:r>
      <w:r w:rsidR="00B24094">
        <w:rPr>
          <w:rFonts w:ascii="Calibri" w:eastAsia="Calibri" w:hAnsi="Calibri" w:cs="Calibri"/>
          <w:sz w:val="24"/>
          <w:szCs w:val="24"/>
          <w:lang w:val="sr-Latn-ME"/>
        </w:rPr>
        <w:t xml:space="preserve">Takođe i </w:t>
      </w:r>
      <w:r w:rsidR="009960D3" w:rsidRPr="009960D3">
        <w:rPr>
          <w:rFonts w:ascii="Calibri" w:eastAsia="Calibri" w:hAnsi="Calibri" w:cs="Calibri"/>
          <w:sz w:val="24"/>
          <w:szCs w:val="24"/>
          <w:lang w:val="sr-Latn-ME"/>
        </w:rPr>
        <w:t>digitalizaciju u zdravstvu i obrazovanju</w:t>
      </w:r>
      <w:r w:rsidR="00B24094">
        <w:rPr>
          <w:rFonts w:ascii="Calibri" w:eastAsia="Calibri" w:hAnsi="Calibri" w:cs="Calibri"/>
          <w:sz w:val="24"/>
          <w:szCs w:val="24"/>
          <w:lang w:val="sr-Latn-ME"/>
        </w:rPr>
        <w:t>.</w:t>
      </w:r>
      <w:r w:rsidR="00C04B09" w:rsidRPr="00C04B09">
        <w:rPr>
          <w:rFonts w:ascii="Calibri" w:eastAsia="Calibri" w:hAnsi="Calibri" w:cs="Calibri"/>
          <w:sz w:val="24"/>
          <w:szCs w:val="24"/>
        </w:rPr>
        <w:t xml:space="preserve"> </w:t>
      </w:r>
    </w:p>
    <w:p w14:paraId="3D644282" w14:textId="46E9FF5A" w:rsidR="009960D3" w:rsidRDefault="00C04B09" w:rsidP="009960D3">
      <w:pPr>
        <w:spacing w:line="256" w:lineRule="auto"/>
        <w:jc w:val="both"/>
        <w:rPr>
          <w:rFonts w:ascii="Calibri" w:eastAsia="Calibri" w:hAnsi="Calibri" w:cs="Calibri"/>
          <w:sz w:val="24"/>
          <w:szCs w:val="24"/>
          <w:lang w:val="sr-Latn-ME"/>
        </w:rPr>
      </w:pPr>
      <w:r w:rsidRPr="00C04B09">
        <w:rPr>
          <w:rFonts w:ascii="Calibri" w:eastAsia="Calibri" w:hAnsi="Calibri" w:cs="Calibri"/>
          <w:sz w:val="24"/>
          <w:szCs w:val="24"/>
        </w:rPr>
        <w:t>Radi podizanja svijesti o sajber</w:t>
      </w:r>
      <w:r w:rsidR="00E41591">
        <w:rPr>
          <w:rFonts w:ascii="Calibri" w:eastAsia="Calibri" w:hAnsi="Calibri" w:cs="Calibri"/>
          <w:sz w:val="24"/>
          <w:szCs w:val="24"/>
        </w:rPr>
        <w:t xml:space="preserve"> bezbjednosti</w:t>
      </w:r>
      <w:r w:rsidRPr="00C04B09">
        <w:rPr>
          <w:rFonts w:ascii="Calibri" w:eastAsia="Calibri" w:hAnsi="Calibri" w:cs="Calibri"/>
          <w:sz w:val="24"/>
          <w:szCs w:val="24"/>
        </w:rPr>
        <w:t xml:space="preserve">, </w:t>
      </w:r>
      <w:r w:rsidR="00184966">
        <w:rPr>
          <w:rFonts w:ascii="Calibri" w:eastAsia="Calibri" w:hAnsi="Calibri" w:cs="Calibri"/>
          <w:sz w:val="24"/>
          <w:szCs w:val="24"/>
        </w:rPr>
        <w:t>važne su</w:t>
      </w:r>
      <w:r w:rsidRPr="00C04B09">
        <w:rPr>
          <w:rFonts w:ascii="Calibri" w:eastAsia="Calibri" w:hAnsi="Calibri" w:cs="Calibri"/>
          <w:sz w:val="24"/>
          <w:szCs w:val="24"/>
        </w:rPr>
        <w:t xml:space="preserve"> edukacije službenika i rukovodno-ekspertskog kadra u državnoj upravi</w:t>
      </w:r>
      <w:r w:rsidR="00660440">
        <w:rPr>
          <w:rFonts w:ascii="Calibri" w:eastAsia="Calibri" w:hAnsi="Calibri" w:cs="Calibri"/>
          <w:sz w:val="24"/>
          <w:szCs w:val="24"/>
          <w:lang w:val="sr-Latn-ME"/>
        </w:rPr>
        <w:t xml:space="preserve">, kao i edukacije djece, </w:t>
      </w:r>
      <w:r w:rsidRPr="00C04B09">
        <w:rPr>
          <w:rFonts w:ascii="Calibri" w:eastAsia="Calibri" w:hAnsi="Calibri" w:cs="Calibri"/>
          <w:sz w:val="24"/>
          <w:szCs w:val="24"/>
        </w:rPr>
        <w:t>zaposlenih</w:t>
      </w:r>
      <w:r w:rsidRPr="00C04B09">
        <w:rPr>
          <w:rFonts w:ascii="Calibri" w:eastAsia="Calibri" w:hAnsi="Calibri" w:cs="Calibri"/>
          <w:sz w:val="24"/>
          <w:szCs w:val="24"/>
          <w:lang w:val="sr-Latn-ME"/>
        </w:rPr>
        <w:t xml:space="preserve"> </w:t>
      </w:r>
      <w:r w:rsidRPr="00C04B09">
        <w:rPr>
          <w:rFonts w:ascii="Calibri" w:eastAsia="Calibri" w:hAnsi="Calibri" w:cs="Calibri"/>
          <w:sz w:val="24"/>
          <w:szCs w:val="24"/>
        </w:rPr>
        <w:t>i</w:t>
      </w:r>
      <w:r w:rsidRPr="00C04B09">
        <w:rPr>
          <w:rFonts w:ascii="Calibri" w:eastAsia="Calibri" w:hAnsi="Calibri" w:cs="Calibri"/>
          <w:sz w:val="24"/>
          <w:szCs w:val="24"/>
          <w:lang w:val="sr-Latn-ME"/>
        </w:rPr>
        <w:t xml:space="preserve"> </w:t>
      </w:r>
      <w:r w:rsidRPr="00C04B09">
        <w:rPr>
          <w:rFonts w:ascii="Calibri" w:eastAsia="Calibri" w:hAnsi="Calibri" w:cs="Calibri"/>
          <w:sz w:val="24"/>
          <w:szCs w:val="24"/>
        </w:rPr>
        <w:t>roditelja</w:t>
      </w:r>
      <w:r w:rsidR="00660440">
        <w:rPr>
          <w:rFonts w:ascii="Calibri" w:eastAsia="Calibri" w:hAnsi="Calibri" w:cs="Calibri"/>
          <w:sz w:val="24"/>
          <w:szCs w:val="24"/>
          <w:lang w:val="sr-Latn-ME"/>
        </w:rPr>
        <w:t xml:space="preserve"> u okviru obrazovnog sistema.</w:t>
      </w:r>
      <w:r w:rsidRPr="00C04B09">
        <w:rPr>
          <w:rFonts w:ascii="Calibri" w:eastAsia="Calibri" w:hAnsi="Calibri" w:cs="Calibri"/>
          <w:sz w:val="24"/>
          <w:szCs w:val="24"/>
          <w:lang w:val="sr-Latn-ME"/>
        </w:rPr>
        <w:t xml:space="preserve"> </w:t>
      </w:r>
      <w:r w:rsidRPr="00C04B09">
        <w:rPr>
          <w:rFonts w:ascii="Calibri" w:eastAsia="Calibri" w:hAnsi="Calibri" w:cs="Calibri"/>
          <w:sz w:val="24"/>
          <w:szCs w:val="24"/>
        </w:rPr>
        <w:t>Kako</w:t>
      </w:r>
      <w:r w:rsidRPr="00C04B09">
        <w:rPr>
          <w:rFonts w:ascii="Calibri" w:eastAsia="Calibri" w:hAnsi="Calibri" w:cs="Calibri"/>
          <w:sz w:val="24"/>
          <w:szCs w:val="24"/>
          <w:lang w:val="sr-Latn-ME"/>
        </w:rPr>
        <w:t xml:space="preserve"> </w:t>
      </w:r>
      <w:r w:rsidRPr="00C04B09">
        <w:rPr>
          <w:rFonts w:ascii="Calibri" w:eastAsia="Calibri" w:hAnsi="Calibri" w:cs="Calibri"/>
          <w:sz w:val="24"/>
          <w:szCs w:val="24"/>
        </w:rPr>
        <w:t>bi</w:t>
      </w:r>
      <w:r w:rsidRPr="00C04B09">
        <w:rPr>
          <w:rFonts w:ascii="Calibri" w:eastAsia="Calibri" w:hAnsi="Calibri" w:cs="Calibri"/>
          <w:sz w:val="24"/>
          <w:szCs w:val="24"/>
          <w:lang w:val="sr-Latn-ME"/>
        </w:rPr>
        <w:t xml:space="preserve"> </w:t>
      </w:r>
      <w:r w:rsidRPr="00C04B09">
        <w:rPr>
          <w:rFonts w:ascii="Calibri" w:eastAsia="Calibri" w:hAnsi="Calibri" w:cs="Calibri"/>
          <w:sz w:val="24"/>
          <w:szCs w:val="24"/>
        </w:rPr>
        <w:t>se</w:t>
      </w:r>
      <w:r w:rsidRPr="00C04B09">
        <w:rPr>
          <w:rFonts w:ascii="Calibri" w:eastAsia="Calibri" w:hAnsi="Calibri" w:cs="Calibri"/>
          <w:sz w:val="24"/>
          <w:szCs w:val="24"/>
          <w:lang w:val="sr-Latn-ME"/>
        </w:rPr>
        <w:t xml:space="preserve"> </w:t>
      </w:r>
      <w:r w:rsidRPr="00C04B09">
        <w:rPr>
          <w:rFonts w:ascii="Calibri" w:eastAsia="Calibri" w:hAnsi="Calibri" w:cs="Calibri"/>
          <w:sz w:val="24"/>
          <w:szCs w:val="24"/>
        </w:rPr>
        <w:t>uticalo</w:t>
      </w:r>
      <w:r w:rsidRPr="00C04B09">
        <w:rPr>
          <w:rFonts w:ascii="Calibri" w:eastAsia="Calibri" w:hAnsi="Calibri" w:cs="Calibri"/>
          <w:sz w:val="24"/>
          <w:szCs w:val="24"/>
          <w:lang w:val="sr-Latn-ME"/>
        </w:rPr>
        <w:t xml:space="preserve"> </w:t>
      </w:r>
      <w:r w:rsidRPr="00C04B09">
        <w:rPr>
          <w:rFonts w:ascii="Calibri" w:eastAsia="Calibri" w:hAnsi="Calibri" w:cs="Calibri"/>
          <w:sz w:val="24"/>
          <w:szCs w:val="24"/>
        </w:rPr>
        <w:t>na</w:t>
      </w:r>
      <w:r w:rsidRPr="00C04B09">
        <w:rPr>
          <w:rFonts w:ascii="Calibri" w:eastAsia="Calibri" w:hAnsi="Calibri" w:cs="Calibri"/>
          <w:sz w:val="24"/>
          <w:szCs w:val="24"/>
          <w:lang w:val="sr-Latn-ME"/>
        </w:rPr>
        <w:t xml:space="preserve"> </w:t>
      </w:r>
      <w:r w:rsidRPr="00C04B09">
        <w:rPr>
          <w:rFonts w:ascii="Calibri" w:eastAsia="Calibri" w:hAnsi="Calibri" w:cs="Calibri"/>
          <w:sz w:val="24"/>
          <w:szCs w:val="24"/>
        </w:rPr>
        <w:t>pove</w:t>
      </w:r>
      <w:r w:rsidRPr="00C04B09">
        <w:rPr>
          <w:rFonts w:ascii="Calibri" w:eastAsia="Calibri" w:hAnsi="Calibri" w:cs="Calibri"/>
          <w:sz w:val="24"/>
          <w:szCs w:val="24"/>
          <w:lang w:val="sr-Latn-ME"/>
        </w:rPr>
        <w:t>ć</w:t>
      </w:r>
      <w:r w:rsidRPr="00C04B09">
        <w:rPr>
          <w:rFonts w:ascii="Calibri" w:eastAsia="Calibri" w:hAnsi="Calibri" w:cs="Calibri"/>
          <w:sz w:val="24"/>
          <w:szCs w:val="24"/>
        </w:rPr>
        <w:t>anje</w:t>
      </w:r>
      <w:r w:rsidRPr="00C04B09">
        <w:rPr>
          <w:rFonts w:ascii="Calibri" w:eastAsia="Calibri" w:hAnsi="Calibri" w:cs="Calibri"/>
          <w:sz w:val="24"/>
          <w:szCs w:val="24"/>
          <w:lang w:val="sr-Latn-ME"/>
        </w:rPr>
        <w:t xml:space="preserve"> </w:t>
      </w:r>
      <w:r w:rsidRPr="00C04B09">
        <w:rPr>
          <w:rFonts w:ascii="Calibri" w:eastAsia="Calibri" w:hAnsi="Calibri" w:cs="Calibri"/>
          <w:sz w:val="24"/>
          <w:szCs w:val="24"/>
        </w:rPr>
        <w:t>kvaliteta</w:t>
      </w:r>
      <w:r w:rsidRPr="00C04B09">
        <w:rPr>
          <w:rFonts w:ascii="Calibri" w:eastAsia="Calibri" w:hAnsi="Calibri" w:cs="Calibri"/>
          <w:sz w:val="24"/>
          <w:szCs w:val="24"/>
          <w:lang w:val="sr-Latn-ME"/>
        </w:rPr>
        <w:t xml:space="preserve"> </w:t>
      </w:r>
      <w:r w:rsidRPr="00C04B09">
        <w:rPr>
          <w:rFonts w:ascii="Calibri" w:eastAsia="Calibri" w:hAnsi="Calibri" w:cs="Calibri"/>
          <w:sz w:val="24"/>
          <w:szCs w:val="24"/>
        </w:rPr>
        <w:t>obrazovanja</w:t>
      </w:r>
      <w:r w:rsidRPr="00C04B09">
        <w:rPr>
          <w:rFonts w:ascii="Calibri" w:eastAsia="Calibri" w:hAnsi="Calibri" w:cs="Calibri"/>
          <w:sz w:val="24"/>
          <w:szCs w:val="24"/>
          <w:lang w:val="sr-Latn-ME"/>
        </w:rPr>
        <w:t xml:space="preserve">, </w:t>
      </w:r>
      <w:r w:rsidRPr="00C04B09">
        <w:rPr>
          <w:rFonts w:ascii="Calibri" w:eastAsia="Calibri" w:hAnsi="Calibri" w:cs="Calibri"/>
          <w:sz w:val="24"/>
          <w:szCs w:val="24"/>
        </w:rPr>
        <w:t>a</w:t>
      </w:r>
      <w:r w:rsidRPr="00C04B09">
        <w:rPr>
          <w:rFonts w:ascii="Calibri" w:eastAsia="Calibri" w:hAnsi="Calibri" w:cs="Calibri"/>
          <w:sz w:val="24"/>
          <w:szCs w:val="24"/>
          <w:lang w:val="sr-Latn-ME"/>
        </w:rPr>
        <w:t xml:space="preserve"> </w:t>
      </w:r>
      <w:r w:rsidRPr="00C04B09">
        <w:rPr>
          <w:rFonts w:ascii="Calibri" w:eastAsia="Calibri" w:hAnsi="Calibri" w:cs="Calibri"/>
          <w:sz w:val="24"/>
          <w:szCs w:val="24"/>
        </w:rPr>
        <w:t>posebno</w:t>
      </w:r>
      <w:r w:rsidRPr="00C04B09">
        <w:rPr>
          <w:rFonts w:ascii="Calibri" w:eastAsia="Calibri" w:hAnsi="Calibri" w:cs="Calibri"/>
          <w:sz w:val="24"/>
          <w:szCs w:val="24"/>
          <w:lang w:val="sr-Latn-ME"/>
        </w:rPr>
        <w:t xml:space="preserve"> </w:t>
      </w:r>
      <w:r w:rsidRPr="00C04B09">
        <w:rPr>
          <w:rFonts w:ascii="Calibri" w:eastAsia="Calibri" w:hAnsi="Calibri" w:cs="Calibri"/>
          <w:sz w:val="24"/>
          <w:szCs w:val="24"/>
        </w:rPr>
        <w:t>u</w:t>
      </w:r>
      <w:r w:rsidRPr="00C04B09">
        <w:rPr>
          <w:rFonts w:ascii="Calibri" w:eastAsia="Calibri" w:hAnsi="Calibri" w:cs="Calibri"/>
          <w:sz w:val="24"/>
          <w:szCs w:val="24"/>
          <w:lang w:val="sr-Latn-ME"/>
        </w:rPr>
        <w:t xml:space="preserve"> </w:t>
      </w:r>
      <w:r w:rsidRPr="00C04B09">
        <w:rPr>
          <w:rFonts w:ascii="Calibri" w:eastAsia="Calibri" w:hAnsi="Calibri" w:cs="Calibri"/>
          <w:sz w:val="24"/>
          <w:szCs w:val="24"/>
        </w:rPr>
        <w:t>dijelu</w:t>
      </w:r>
      <w:r w:rsidRPr="00C04B09">
        <w:rPr>
          <w:rFonts w:ascii="Calibri" w:eastAsia="Calibri" w:hAnsi="Calibri" w:cs="Calibri"/>
          <w:sz w:val="24"/>
          <w:szCs w:val="24"/>
          <w:lang w:val="sr-Latn-ME"/>
        </w:rPr>
        <w:t xml:space="preserve"> </w:t>
      </w:r>
      <w:r w:rsidRPr="00C04B09">
        <w:rPr>
          <w:rFonts w:ascii="Calibri" w:eastAsia="Calibri" w:hAnsi="Calibri" w:cs="Calibri"/>
          <w:sz w:val="24"/>
          <w:szCs w:val="24"/>
        </w:rPr>
        <w:t>STEM</w:t>
      </w:r>
      <w:r w:rsidRPr="00C04B09">
        <w:rPr>
          <w:rFonts w:ascii="Calibri" w:eastAsia="Calibri" w:hAnsi="Calibri" w:cs="Calibri"/>
          <w:sz w:val="24"/>
          <w:szCs w:val="24"/>
          <w:lang w:val="sr-Latn-ME"/>
        </w:rPr>
        <w:t xml:space="preserve"> </w:t>
      </w:r>
      <w:r w:rsidRPr="00C04B09">
        <w:rPr>
          <w:rFonts w:ascii="Calibri" w:eastAsia="Calibri" w:hAnsi="Calibri" w:cs="Calibri"/>
          <w:sz w:val="24"/>
          <w:szCs w:val="24"/>
        </w:rPr>
        <w:t>vje</w:t>
      </w:r>
      <w:r w:rsidRPr="00C04B09">
        <w:rPr>
          <w:rFonts w:ascii="Calibri" w:eastAsia="Calibri" w:hAnsi="Calibri" w:cs="Calibri"/>
          <w:sz w:val="24"/>
          <w:szCs w:val="24"/>
          <w:lang w:val="sr-Latn-ME"/>
        </w:rPr>
        <w:t>š</w:t>
      </w:r>
      <w:r w:rsidRPr="00C04B09">
        <w:rPr>
          <w:rFonts w:ascii="Calibri" w:eastAsia="Calibri" w:hAnsi="Calibri" w:cs="Calibri"/>
          <w:sz w:val="24"/>
          <w:szCs w:val="24"/>
        </w:rPr>
        <w:t>tina</w:t>
      </w:r>
      <w:r w:rsidRPr="00C04B09">
        <w:rPr>
          <w:rFonts w:ascii="Calibri" w:eastAsia="Calibri" w:hAnsi="Calibri" w:cs="Calibri"/>
          <w:sz w:val="24"/>
          <w:szCs w:val="24"/>
          <w:lang w:val="sr-Latn-ME"/>
        </w:rPr>
        <w:t xml:space="preserve">, </w:t>
      </w:r>
      <w:r w:rsidRPr="00C04B09">
        <w:rPr>
          <w:rFonts w:ascii="Calibri" w:eastAsia="Calibri" w:hAnsi="Calibri" w:cs="Calibri"/>
          <w:sz w:val="24"/>
          <w:szCs w:val="24"/>
        </w:rPr>
        <w:t>treba</w:t>
      </w:r>
      <w:r w:rsidRPr="00C04B09">
        <w:rPr>
          <w:rFonts w:ascii="Calibri" w:eastAsia="Calibri" w:hAnsi="Calibri" w:cs="Calibri"/>
          <w:sz w:val="24"/>
          <w:szCs w:val="24"/>
          <w:lang w:val="sr-Latn-ME"/>
        </w:rPr>
        <w:t xml:space="preserve"> </w:t>
      </w:r>
      <w:r w:rsidRPr="00C04B09">
        <w:rPr>
          <w:rFonts w:ascii="Calibri" w:eastAsia="Calibri" w:hAnsi="Calibri" w:cs="Calibri"/>
          <w:sz w:val="24"/>
          <w:szCs w:val="24"/>
        </w:rPr>
        <w:t>izraditi</w:t>
      </w:r>
      <w:r w:rsidRPr="00C04B09">
        <w:rPr>
          <w:rFonts w:ascii="Calibri" w:eastAsia="Calibri" w:hAnsi="Calibri" w:cs="Calibri"/>
          <w:sz w:val="24"/>
          <w:szCs w:val="24"/>
          <w:lang w:val="sr-Latn-ME"/>
        </w:rPr>
        <w:t xml:space="preserve"> </w:t>
      </w:r>
      <w:r w:rsidRPr="00C04B09">
        <w:rPr>
          <w:rFonts w:ascii="Calibri" w:eastAsia="Calibri" w:hAnsi="Calibri" w:cs="Calibri"/>
          <w:sz w:val="24"/>
          <w:szCs w:val="24"/>
        </w:rPr>
        <w:t>digitalne</w:t>
      </w:r>
      <w:r w:rsidRPr="00C04B09">
        <w:rPr>
          <w:rFonts w:ascii="Calibri" w:eastAsia="Calibri" w:hAnsi="Calibri" w:cs="Calibri"/>
          <w:sz w:val="24"/>
          <w:szCs w:val="24"/>
          <w:lang w:val="sr-Latn-ME"/>
        </w:rPr>
        <w:t xml:space="preserve"> </w:t>
      </w:r>
      <w:r w:rsidRPr="00C04B09">
        <w:rPr>
          <w:rFonts w:ascii="Calibri" w:eastAsia="Calibri" w:hAnsi="Calibri" w:cs="Calibri"/>
          <w:sz w:val="24"/>
          <w:szCs w:val="24"/>
        </w:rPr>
        <w:t>sadr</w:t>
      </w:r>
      <w:r w:rsidRPr="00C04B09">
        <w:rPr>
          <w:rFonts w:ascii="Calibri" w:eastAsia="Calibri" w:hAnsi="Calibri" w:cs="Calibri"/>
          <w:sz w:val="24"/>
          <w:szCs w:val="24"/>
          <w:lang w:val="sr-Latn-ME"/>
        </w:rPr>
        <w:t>ž</w:t>
      </w:r>
      <w:r w:rsidRPr="00C04B09">
        <w:rPr>
          <w:rFonts w:ascii="Calibri" w:eastAsia="Calibri" w:hAnsi="Calibri" w:cs="Calibri"/>
          <w:sz w:val="24"/>
          <w:szCs w:val="24"/>
        </w:rPr>
        <w:t>aja</w:t>
      </w:r>
      <w:r w:rsidRPr="00C04B09">
        <w:rPr>
          <w:rFonts w:ascii="Calibri" w:eastAsia="Calibri" w:hAnsi="Calibri" w:cs="Calibri"/>
          <w:sz w:val="24"/>
          <w:szCs w:val="24"/>
          <w:lang w:val="sr-Latn-ME"/>
        </w:rPr>
        <w:t xml:space="preserve"> </w:t>
      </w:r>
      <w:r w:rsidRPr="00C04B09">
        <w:rPr>
          <w:rFonts w:ascii="Calibri" w:eastAsia="Calibri" w:hAnsi="Calibri" w:cs="Calibri"/>
          <w:sz w:val="24"/>
          <w:szCs w:val="24"/>
        </w:rPr>
        <w:t>za</w:t>
      </w:r>
      <w:r w:rsidRPr="00C04B09">
        <w:rPr>
          <w:rFonts w:ascii="Calibri" w:eastAsia="Calibri" w:hAnsi="Calibri" w:cs="Calibri"/>
          <w:sz w:val="24"/>
          <w:szCs w:val="24"/>
          <w:lang w:val="sr-Latn-ME"/>
        </w:rPr>
        <w:t xml:space="preserve"> </w:t>
      </w:r>
      <w:r w:rsidRPr="00C04B09">
        <w:rPr>
          <w:rFonts w:ascii="Calibri" w:eastAsia="Calibri" w:hAnsi="Calibri" w:cs="Calibri"/>
          <w:sz w:val="24"/>
          <w:szCs w:val="24"/>
        </w:rPr>
        <w:t>djecu</w:t>
      </w:r>
      <w:r w:rsidRPr="00C04B09">
        <w:rPr>
          <w:rFonts w:ascii="Calibri" w:eastAsia="Calibri" w:hAnsi="Calibri" w:cs="Calibri"/>
          <w:sz w:val="24"/>
          <w:szCs w:val="24"/>
          <w:lang w:val="sr-Latn-ME"/>
        </w:rPr>
        <w:t xml:space="preserve">, </w:t>
      </w:r>
      <w:r w:rsidRPr="00C04B09">
        <w:rPr>
          <w:rFonts w:ascii="Calibri" w:eastAsia="Calibri" w:hAnsi="Calibri" w:cs="Calibri"/>
          <w:sz w:val="24"/>
          <w:szCs w:val="24"/>
        </w:rPr>
        <w:t>nastavnike</w:t>
      </w:r>
      <w:r w:rsidRPr="00C04B09">
        <w:rPr>
          <w:rFonts w:ascii="Calibri" w:eastAsia="Calibri" w:hAnsi="Calibri" w:cs="Calibri"/>
          <w:sz w:val="24"/>
          <w:szCs w:val="24"/>
          <w:lang w:val="sr-Latn-ME"/>
        </w:rPr>
        <w:t xml:space="preserve"> </w:t>
      </w:r>
      <w:r w:rsidRPr="00C04B09">
        <w:rPr>
          <w:rFonts w:ascii="Calibri" w:eastAsia="Calibri" w:hAnsi="Calibri" w:cs="Calibri"/>
          <w:sz w:val="24"/>
          <w:szCs w:val="24"/>
        </w:rPr>
        <w:t>i</w:t>
      </w:r>
      <w:r w:rsidRPr="00C04B09">
        <w:rPr>
          <w:rFonts w:ascii="Calibri" w:eastAsia="Calibri" w:hAnsi="Calibri" w:cs="Calibri"/>
          <w:sz w:val="24"/>
          <w:szCs w:val="24"/>
          <w:lang w:val="sr-Latn-ME"/>
        </w:rPr>
        <w:t xml:space="preserve"> </w:t>
      </w:r>
      <w:r w:rsidRPr="00C04B09">
        <w:rPr>
          <w:rFonts w:ascii="Calibri" w:eastAsia="Calibri" w:hAnsi="Calibri" w:cs="Calibri"/>
          <w:sz w:val="24"/>
          <w:szCs w:val="24"/>
        </w:rPr>
        <w:t>roditelje</w:t>
      </w:r>
      <w:r w:rsidRPr="00C04B09">
        <w:rPr>
          <w:rFonts w:ascii="Calibri" w:eastAsia="Calibri" w:hAnsi="Calibri" w:cs="Calibri"/>
          <w:sz w:val="24"/>
          <w:szCs w:val="24"/>
          <w:lang w:val="sr-Latn-ME"/>
        </w:rPr>
        <w:t xml:space="preserve">, </w:t>
      </w:r>
      <w:r w:rsidRPr="00C04B09">
        <w:rPr>
          <w:rFonts w:ascii="Calibri" w:eastAsia="Calibri" w:hAnsi="Calibri" w:cs="Calibri"/>
          <w:sz w:val="24"/>
          <w:szCs w:val="24"/>
        </w:rPr>
        <w:t>kao</w:t>
      </w:r>
      <w:r w:rsidRPr="00C04B09">
        <w:rPr>
          <w:rFonts w:ascii="Calibri" w:eastAsia="Calibri" w:hAnsi="Calibri" w:cs="Calibri"/>
          <w:sz w:val="24"/>
          <w:szCs w:val="24"/>
          <w:lang w:val="sr-Latn-ME"/>
        </w:rPr>
        <w:t xml:space="preserve"> </w:t>
      </w:r>
      <w:r w:rsidRPr="00C04B09">
        <w:rPr>
          <w:rFonts w:ascii="Calibri" w:eastAsia="Calibri" w:hAnsi="Calibri" w:cs="Calibri"/>
          <w:sz w:val="24"/>
          <w:szCs w:val="24"/>
        </w:rPr>
        <w:t>i</w:t>
      </w:r>
      <w:r w:rsidRPr="00C04B09">
        <w:rPr>
          <w:rFonts w:ascii="Calibri" w:eastAsia="Calibri" w:hAnsi="Calibri" w:cs="Calibri"/>
          <w:sz w:val="24"/>
          <w:szCs w:val="24"/>
          <w:lang w:val="sr-Latn-ME"/>
        </w:rPr>
        <w:t xml:space="preserve"> </w:t>
      </w:r>
      <w:r w:rsidRPr="00C04B09">
        <w:rPr>
          <w:rFonts w:ascii="Calibri" w:eastAsia="Calibri" w:hAnsi="Calibri" w:cs="Calibri"/>
          <w:sz w:val="24"/>
          <w:szCs w:val="24"/>
        </w:rPr>
        <w:t>izraditi</w:t>
      </w:r>
      <w:r w:rsidRPr="00C04B09">
        <w:rPr>
          <w:rFonts w:ascii="Calibri" w:eastAsia="Calibri" w:hAnsi="Calibri" w:cs="Calibri"/>
          <w:sz w:val="24"/>
          <w:szCs w:val="24"/>
          <w:lang w:val="sr-Latn-ME"/>
        </w:rPr>
        <w:t xml:space="preserve"> </w:t>
      </w:r>
      <w:r w:rsidRPr="00C04B09">
        <w:rPr>
          <w:rFonts w:ascii="Calibri" w:eastAsia="Calibri" w:hAnsi="Calibri" w:cs="Calibri"/>
          <w:sz w:val="24"/>
          <w:szCs w:val="24"/>
        </w:rPr>
        <w:t>digitalne</w:t>
      </w:r>
      <w:r w:rsidRPr="00C04B09">
        <w:rPr>
          <w:rFonts w:ascii="Calibri" w:eastAsia="Calibri" w:hAnsi="Calibri" w:cs="Calibri"/>
          <w:sz w:val="24"/>
          <w:szCs w:val="24"/>
          <w:lang w:val="sr-Latn-ME"/>
        </w:rPr>
        <w:t xml:space="preserve"> </w:t>
      </w:r>
      <w:r w:rsidRPr="00C04B09">
        <w:rPr>
          <w:rFonts w:ascii="Calibri" w:eastAsia="Calibri" w:hAnsi="Calibri" w:cs="Calibri"/>
          <w:sz w:val="24"/>
          <w:szCs w:val="24"/>
        </w:rPr>
        <w:t>ud</w:t>
      </w:r>
      <w:r w:rsidRPr="00C04B09">
        <w:rPr>
          <w:rFonts w:ascii="Calibri" w:eastAsia="Calibri" w:hAnsi="Calibri" w:cs="Calibri"/>
          <w:sz w:val="24"/>
          <w:szCs w:val="24"/>
          <w:lang w:val="sr-Latn-ME"/>
        </w:rPr>
        <w:t>ž</w:t>
      </w:r>
      <w:r w:rsidRPr="00C04B09">
        <w:rPr>
          <w:rFonts w:ascii="Calibri" w:eastAsia="Calibri" w:hAnsi="Calibri" w:cs="Calibri"/>
          <w:sz w:val="24"/>
          <w:szCs w:val="24"/>
        </w:rPr>
        <w:t>benike</w:t>
      </w:r>
      <w:r w:rsidRPr="00C04B09">
        <w:rPr>
          <w:rFonts w:ascii="Calibri" w:eastAsia="Calibri" w:hAnsi="Calibri" w:cs="Calibri"/>
          <w:sz w:val="24"/>
          <w:szCs w:val="24"/>
          <w:lang w:val="sr-Latn-ME"/>
        </w:rPr>
        <w:t>.</w:t>
      </w:r>
    </w:p>
    <w:p w14:paraId="4A583D62" w14:textId="351CF81F" w:rsidR="009960D3" w:rsidRPr="009960D3" w:rsidRDefault="009960D3" w:rsidP="009960D3">
      <w:pPr>
        <w:spacing w:line="256" w:lineRule="auto"/>
        <w:jc w:val="both"/>
        <w:rPr>
          <w:rFonts w:ascii="Calibri" w:eastAsia="Calibri" w:hAnsi="Calibri" w:cs="Calibri"/>
          <w:b/>
          <w:bCs/>
          <w:sz w:val="24"/>
          <w:szCs w:val="24"/>
          <w:lang w:val="sr-Latn-ME"/>
        </w:rPr>
      </w:pPr>
      <w:r w:rsidRPr="009960D3">
        <w:rPr>
          <w:rFonts w:ascii="Calibri" w:eastAsia="Calibri" w:hAnsi="Calibri" w:cs="Calibri"/>
          <w:b/>
          <w:bCs/>
          <w:sz w:val="24"/>
          <w:szCs w:val="24"/>
          <w:lang w:val="sr-Latn-ME"/>
        </w:rPr>
        <w:t>Aktivnosti planirane za 2024:</w:t>
      </w:r>
    </w:p>
    <w:p w14:paraId="3637AF5F" w14:textId="18AA12BD" w:rsidR="009960D3" w:rsidRDefault="009960D3" w:rsidP="00FD3827">
      <w:pPr>
        <w:pStyle w:val="ListParagraph"/>
        <w:numPr>
          <w:ilvl w:val="0"/>
          <w:numId w:val="11"/>
        </w:numPr>
        <w:spacing w:line="256" w:lineRule="auto"/>
        <w:jc w:val="both"/>
        <w:rPr>
          <w:rFonts w:ascii="Calibri" w:eastAsia="Calibri" w:hAnsi="Calibri" w:cs="Calibri"/>
          <w:sz w:val="24"/>
          <w:szCs w:val="24"/>
          <w:lang w:val="sr-Latn-ME"/>
        </w:rPr>
      </w:pPr>
      <w:r w:rsidRPr="0092437B">
        <w:rPr>
          <w:rFonts w:ascii="Calibri" w:eastAsia="Calibri" w:hAnsi="Calibri" w:cs="Calibri"/>
          <w:sz w:val="24"/>
          <w:szCs w:val="24"/>
          <w:lang w:val="sr-Latn-ME"/>
        </w:rPr>
        <w:t>Jačanje uloge i kapaciteta Koordinacionog tijela za upravljanje procesom digitalne transformacije</w:t>
      </w:r>
      <w:r w:rsidR="001667AA">
        <w:rPr>
          <w:rFonts w:ascii="Calibri" w:eastAsia="Calibri" w:hAnsi="Calibri" w:cs="Calibri"/>
          <w:sz w:val="24"/>
          <w:szCs w:val="24"/>
          <w:lang w:val="sr-Latn-ME"/>
        </w:rPr>
        <w:t>. MJU</w:t>
      </w:r>
    </w:p>
    <w:p w14:paraId="114F9007" w14:textId="409E38AC" w:rsidR="009960D3" w:rsidRDefault="009960D3" w:rsidP="00FD3827">
      <w:pPr>
        <w:pStyle w:val="ListParagraph"/>
        <w:numPr>
          <w:ilvl w:val="0"/>
          <w:numId w:val="11"/>
        </w:numPr>
        <w:spacing w:line="256" w:lineRule="auto"/>
        <w:jc w:val="both"/>
        <w:rPr>
          <w:rFonts w:ascii="Calibri" w:eastAsia="Calibri" w:hAnsi="Calibri" w:cs="Calibri"/>
          <w:sz w:val="24"/>
          <w:szCs w:val="24"/>
          <w:lang w:val="sr-Latn-ME"/>
        </w:rPr>
      </w:pPr>
      <w:r w:rsidRPr="0092437B">
        <w:rPr>
          <w:rFonts w:ascii="Calibri" w:eastAsia="Calibri" w:hAnsi="Calibri" w:cs="Calibri"/>
          <w:sz w:val="24"/>
          <w:szCs w:val="24"/>
          <w:lang w:val="sr-Latn-ME"/>
        </w:rPr>
        <w:t>Uspostavljanje online platforme Digitalne akademije</w:t>
      </w:r>
      <w:r w:rsidR="0092437B">
        <w:rPr>
          <w:rFonts w:ascii="Calibri" w:eastAsia="Calibri" w:hAnsi="Calibri" w:cs="Calibri"/>
          <w:sz w:val="24"/>
          <w:szCs w:val="24"/>
          <w:lang w:val="sr-Latn-ME"/>
        </w:rPr>
        <w:t>.</w:t>
      </w:r>
      <w:r w:rsidR="001667AA">
        <w:rPr>
          <w:rFonts w:ascii="Calibri" w:eastAsia="Calibri" w:hAnsi="Calibri" w:cs="Calibri"/>
          <w:sz w:val="24"/>
          <w:szCs w:val="24"/>
          <w:lang w:val="sr-Latn-ME"/>
        </w:rPr>
        <w:t>MJU</w:t>
      </w:r>
    </w:p>
    <w:p w14:paraId="34551F15" w14:textId="106D4F1A" w:rsidR="009960D3" w:rsidRDefault="001667AA" w:rsidP="00FD3827">
      <w:pPr>
        <w:pStyle w:val="ListParagraph"/>
        <w:numPr>
          <w:ilvl w:val="0"/>
          <w:numId w:val="11"/>
        </w:numPr>
        <w:spacing w:line="256" w:lineRule="auto"/>
        <w:jc w:val="both"/>
        <w:rPr>
          <w:rFonts w:ascii="Calibri" w:eastAsia="Calibri" w:hAnsi="Calibri" w:cs="Calibri"/>
          <w:sz w:val="24"/>
          <w:szCs w:val="24"/>
          <w:lang w:val="sr-Latn-ME"/>
        </w:rPr>
      </w:pPr>
      <w:r>
        <w:rPr>
          <w:rFonts w:ascii="Calibri" w:eastAsia="Calibri" w:hAnsi="Calibri" w:cs="Calibri"/>
          <w:sz w:val="24"/>
          <w:szCs w:val="24"/>
          <w:lang w:val="sr-Latn-ME"/>
        </w:rPr>
        <w:t xml:space="preserve">Priprema </w:t>
      </w:r>
      <w:r w:rsidR="009960D3" w:rsidRPr="0092437B">
        <w:rPr>
          <w:rFonts w:ascii="Calibri" w:eastAsia="Calibri" w:hAnsi="Calibri" w:cs="Calibri"/>
          <w:sz w:val="24"/>
          <w:szCs w:val="24"/>
          <w:lang w:val="sr-Latn-ME"/>
        </w:rPr>
        <w:t>izgradnje i uspostavljanja Državnog Data centra i Disaster Recovery centra</w:t>
      </w:r>
      <w:r>
        <w:rPr>
          <w:rFonts w:ascii="Calibri" w:eastAsia="Calibri" w:hAnsi="Calibri" w:cs="Calibri"/>
          <w:sz w:val="24"/>
          <w:szCs w:val="24"/>
          <w:lang w:val="sr-Latn-ME"/>
        </w:rPr>
        <w:t>.MJU</w:t>
      </w:r>
      <w:r w:rsidR="009960D3" w:rsidRPr="0092437B">
        <w:rPr>
          <w:rFonts w:ascii="Calibri" w:eastAsia="Calibri" w:hAnsi="Calibri" w:cs="Calibri"/>
          <w:sz w:val="24"/>
          <w:szCs w:val="24"/>
          <w:lang w:val="sr-Latn-ME"/>
        </w:rPr>
        <w:t xml:space="preserve">  </w:t>
      </w:r>
    </w:p>
    <w:p w14:paraId="73C64133" w14:textId="1B84B75C" w:rsidR="0092437B" w:rsidRDefault="009960D3" w:rsidP="00FD3827">
      <w:pPr>
        <w:pStyle w:val="ListParagraph"/>
        <w:numPr>
          <w:ilvl w:val="0"/>
          <w:numId w:val="11"/>
        </w:numPr>
        <w:spacing w:line="256" w:lineRule="auto"/>
        <w:jc w:val="both"/>
        <w:rPr>
          <w:rFonts w:ascii="Calibri" w:eastAsia="Calibri" w:hAnsi="Calibri" w:cs="Calibri"/>
          <w:sz w:val="24"/>
          <w:szCs w:val="24"/>
          <w:lang w:val="sr-Latn-ME"/>
        </w:rPr>
      </w:pPr>
      <w:r w:rsidRPr="0092437B">
        <w:rPr>
          <w:rFonts w:ascii="Calibri" w:eastAsia="Calibri" w:hAnsi="Calibri" w:cs="Calibri"/>
          <w:sz w:val="24"/>
          <w:szCs w:val="24"/>
          <w:lang w:val="sr-Latn-ME"/>
        </w:rPr>
        <w:t>Jačanje sajber otpornosti</w:t>
      </w:r>
      <w:r w:rsidR="001667AA">
        <w:rPr>
          <w:rFonts w:ascii="Calibri" w:eastAsia="Calibri" w:hAnsi="Calibri" w:cs="Calibri"/>
          <w:sz w:val="24"/>
          <w:szCs w:val="24"/>
          <w:lang w:val="sr-Latn-ME"/>
        </w:rPr>
        <w:t>-</w:t>
      </w:r>
      <w:r w:rsidRPr="0092437B">
        <w:rPr>
          <w:rFonts w:ascii="Calibri" w:eastAsia="Calibri" w:hAnsi="Calibri" w:cs="Calibri"/>
          <w:sz w:val="24"/>
          <w:szCs w:val="24"/>
          <w:lang w:val="sr-Latn-ME"/>
        </w:rPr>
        <w:t>implementacija novog Zakona o informacionoj bezbjednosti</w:t>
      </w:r>
      <w:r w:rsidR="001667AA">
        <w:rPr>
          <w:rFonts w:ascii="Calibri" w:eastAsia="Calibri" w:hAnsi="Calibri" w:cs="Calibri"/>
          <w:sz w:val="24"/>
          <w:szCs w:val="24"/>
          <w:lang w:val="sr-Latn-ME"/>
        </w:rPr>
        <w:t>,MJU</w:t>
      </w:r>
      <w:r w:rsidRPr="0092437B">
        <w:rPr>
          <w:rFonts w:ascii="Calibri" w:eastAsia="Calibri" w:hAnsi="Calibri" w:cs="Calibri"/>
          <w:sz w:val="24"/>
          <w:szCs w:val="24"/>
          <w:lang w:val="sr-Latn-ME"/>
        </w:rPr>
        <w:t xml:space="preserve"> </w:t>
      </w:r>
    </w:p>
    <w:p w14:paraId="5B75F5D2" w14:textId="4C8064A6" w:rsidR="009960D3" w:rsidRDefault="009960D3" w:rsidP="00FD3827">
      <w:pPr>
        <w:pStyle w:val="ListParagraph"/>
        <w:numPr>
          <w:ilvl w:val="0"/>
          <w:numId w:val="11"/>
        </w:numPr>
        <w:spacing w:line="256" w:lineRule="auto"/>
        <w:jc w:val="both"/>
        <w:rPr>
          <w:rFonts w:ascii="Calibri" w:eastAsia="Calibri" w:hAnsi="Calibri" w:cs="Calibri"/>
          <w:sz w:val="24"/>
          <w:szCs w:val="24"/>
          <w:lang w:val="sr-Latn-ME"/>
        </w:rPr>
      </w:pPr>
      <w:r w:rsidRPr="0092437B">
        <w:rPr>
          <w:rFonts w:ascii="Calibri" w:eastAsia="Calibri" w:hAnsi="Calibri" w:cs="Calibri"/>
          <w:sz w:val="24"/>
          <w:szCs w:val="24"/>
          <w:lang w:val="sr-Latn-ME"/>
        </w:rPr>
        <w:t>Unapređenje digitalnih servisa za građane i privredu</w:t>
      </w:r>
      <w:r w:rsidR="001667AA">
        <w:rPr>
          <w:rFonts w:ascii="Calibri" w:eastAsia="Calibri" w:hAnsi="Calibri" w:cs="Calibri"/>
          <w:sz w:val="24"/>
          <w:szCs w:val="24"/>
          <w:lang w:val="sr-Latn-ME"/>
        </w:rPr>
        <w:t xml:space="preserve"> </w:t>
      </w:r>
      <w:r w:rsidRPr="0092437B">
        <w:rPr>
          <w:rFonts w:ascii="Calibri" w:eastAsia="Calibri" w:hAnsi="Calibri" w:cs="Calibri"/>
          <w:sz w:val="24"/>
          <w:szCs w:val="24"/>
          <w:lang w:val="sr-Latn-ME"/>
        </w:rPr>
        <w:t>MJU, MPNI</w:t>
      </w:r>
    </w:p>
    <w:p w14:paraId="57646C74" w14:textId="5C785BF9" w:rsidR="009960D3" w:rsidRPr="0092437B" w:rsidRDefault="009960D3" w:rsidP="00FD3827">
      <w:pPr>
        <w:pStyle w:val="ListParagraph"/>
        <w:numPr>
          <w:ilvl w:val="0"/>
          <w:numId w:val="11"/>
        </w:numPr>
        <w:spacing w:line="256" w:lineRule="auto"/>
        <w:jc w:val="both"/>
        <w:rPr>
          <w:rFonts w:ascii="Calibri" w:eastAsia="Calibri" w:hAnsi="Calibri" w:cs="Calibri"/>
          <w:sz w:val="24"/>
          <w:szCs w:val="24"/>
          <w:lang w:val="sr-Latn-ME"/>
        </w:rPr>
      </w:pPr>
      <w:r w:rsidRPr="0092437B">
        <w:rPr>
          <w:rFonts w:ascii="Calibri" w:eastAsia="Calibri" w:hAnsi="Calibri" w:cs="Calibri"/>
          <w:sz w:val="24"/>
          <w:szCs w:val="24"/>
          <w:lang w:val="sr-Latn-ME"/>
        </w:rPr>
        <w:t xml:space="preserve">Izrada dokumenta </w:t>
      </w:r>
      <w:r w:rsidRPr="0092437B">
        <w:rPr>
          <w:rFonts w:ascii="Calibri" w:eastAsia="Calibri" w:hAnsi="Calibri" w:cs="Calibri"/>
          <w:sz w:val="24"/>
          <w:szCs w:val="24"/>
          <w:lang w:val="bs-Latn-BA"/>
        </w:rPr>
        <w:t>„Nacionalni plan razvoja širokopoj</w:t>
      </w:r>
      <w:r w:rsidR="00A01B52">
        <w:rPr>
          <w:rFonts w:ascii="Calibri" w:eastAsia="Calibri" w:hAnsi="Calibri" w:cs="Calibri"/>
          <w:sz w:val="24"/>
          <w:szCs w:val="24"/>
          <w:lang w:val="bs-Latn-BA"/>
        </w:rPr>
        <w:t>a</w:t>
      </w:r>
      <w:r w:rsidRPr="0092437B">
        <w:rPr>
          <w:rFonts w:ascii="Calibri" w:eastAsia="Calibri" w:hAnsi="Calibri" w:cs="Calibri"/>
          <w:sz w:val="24"/>
          <w:szCs w:val="24"/>
          <w:lang w:val="bs-Latn-BA"/>
        </w:rPr>
        <w:t>snog pristupa internetu“</w:t>
      </w:r>
    </w:p>
    <w:p w14:paraId="63D2E17F" w14:textId="631329AF" w:rsidR="001667AA" w:rsidRPr="001667AA" w:rsidRDefault="009960D3" w:rsidP="00FD3827">
      <w:pPr>
        <w:pStyle w:val="ListParagraph"/>
        <w:numPr>
          <w:ilvl w:val="0"/>
          <w:numId w:val="11"/>
        </w:numPr>
        <w:spacing w:line="256" w:lineRule="auto"/>
        <w:jc w:val="both"/>
        <w:rPr>
          <w:rFonts w:ascii="Calibri" w:eastAsia="Calibri" w:hAnsi="Calibri" w:cs="Calibri"/>
          <w:sz w:val="24"/>
          <w:szCs w:val="24"/>
          <w:lang w:val="sr-Latn-ME"/>
        </w:rPr>
      </w:pPr>
      <w:r w:rsidRPr="0092437B">
        <w:rPr>
          <w:rFonts w:ascii="Calibri" w:eastAsia="Calibri" w:hAnsi="Calibri" w:cs="Calibri"/>
          <w:sz w:val="24"/>
          <w:szCs w:val="24"/>
          <w:lang w:val="sr-Latn-RS"/>
        </w:rPr>
        <w:t>Usvajanje novog Zakona o registraciji privrednih i drugih subjekata i izmjene i dopune Zakona o privrednim društvima</w:t>
      </w:r>
      <w:r w:rsidR="001667AA">
        <w:rPr>
          <w:rFonts w:ascii="Calibri" w:eastAsia="Calibri" w:hAnsi="Calibri" w:cs="Calibri"/>
          <w:sz w:val="24"/>
          <w:szCs w:val="24"/>
          <w:lang w:val="sr-Latn-RS"/>
        </w:rPr>
        <w:t>.MER</w:t>
      </w:r>
    </w:p>
    <w:p w14:paraId="37C3CE71" w14:textId="1564E1E0" w:rsidR="0092437B" w:rsidRPr="001667AA" w:rsidRDefault="009960D3" w:rsidP="00FD3827">
      <w:pPr>
        <w:pStyle w:val="ListParagraph"/>
        <w:numPr>
          <w:ilvl w:val="0"/>
          <w:numId w:val="11"/>
        </w:numPr>
        <w:spacing w:line="256" w:lineRule="auto"/>
        <w:jc w:val="both"/>
        <w:rPr>
          <w:rFonts w:ascii="Calibri" w:eastAsia="Calibri" w:hAnsi="Calibri" w:cs="Calibri"/>
          <w:sz w:val="24"/>
          <w:szCs w:val="24"/>
          <w:lang w:val="sr-Latn-ME"/>
        </w:rPr>
      </w:pPr>
      <w:r w:rsidRPr="0092437B">
        <w:rPr>
          <w:rFonts w:ascii="Calibri" w:eastAsia="Calibri" w:hAnsi="Calibri" w:cs="Calibri"/>
          <w:sz w:val="24"/>
          <w:szCs w:val="24"/>
          <w:lang w:val="sr-Latn-RS"/>
        </w:rPr>
        <w:t xml:space="preserve">Izrada uputstava za registraciju </w:t>
      </w:r>
      <w:r w:rsidRPr="001667AA">
        <w:rPr>
          <w:rFonts w:ascii="Calibri" w:eastAsia="Calibri" w:hAnsi="Calibri" w:cs="Calibri"/>
          <w:sz w:val="24"/>
          <w:szCs w:val="24"/>
          <w:lang w:val="sr-Latn-RS"/>
        </w:rPr>
        <w:t>preduzeća za službenike CRPS-a i za korisnike i uspostavljanje registracije za ostale oblike privrednih društava</w:t>
      </w:r>
      <w:r w:rsidR="0092437B" w:rsidRPr="001667AA">
        <w:rPr>
          <w:rFonts w:ascii="Calibri" w:eastAsia="Calibri" w:hAnsi="Calibri" w:cs="Calibri"/>
          <w:sz w:val="24"/>
          <w:szCs w:val="24"/>
          <w:lang w:val="sr-Latn-RS"/>
        </w:rPr>
        <w:t>.</w:t>
      </w:r>
      <w:r w:rsidR="001667AA">
        <w:rPr>
          <w:rFonts w:ascii="Calibri" w:eastAsia="Calibri" w:hAnsi="Calibri" w:cs="Calibri"/>
          <w:sz w:val="24"/>
          <w:szCs w:val="24"/>
          <w:lang w:val="sr-Latn-RS"/>
        </w:rPr>
        <w:t>MER, MJU</w:t>
      </w:r>
    </w:p>
    <w:p w14:paraId="38E76410" w14:textId="46DA256B" w:rsidR="001667AA" w:rsidRPr="001667AA" w:rsidRDefault="001667AA" w:rsidP="00FD3827">
      <w:pPr>
        <w:pStyle w:val="ListParagraph"/>
        <w:numPr>
          <w:ilvl w:val="0"/>
          <w:numId w:val="11"/>
        </w:numPr>
        <w:spacing w:line="256" w:lineRule="auto"/>
        <w:jc w:val="both"/>
        <w:rPr>
          <w:rFonts w:ascii="Calibri" w:eastAsia="Calibri" w:hAnsi="Calibri" w:cs="Calibri"/>
          <w:sz w:val="24"/>
          <w:szCs w:val="24"/>
          <w:lang w:val="sr-Latn-ME"/>
        </w:rPr>
      </w:pPr>
      <w:r w:rsidRPr="001667AA">
        <w:rPr>
          <w:rFonts w:cstheme="minorHAnsi"/>
          <w:sz w:val="24"/>
          <w:szCs w:val="24"/>
          <w:lang w:val="sr-Latn-RS"/>
        </w:rPr>
        <w:t>Izrada digitalnih udžbenika za prvi ciklus osnovne škole</w:t>
      </w:r>
      <w:r>
        <w:rPr>
          <w:rFonts w:cstheme="minorHAnsi"/>
          <w:sz w:val="24"/>
          <w:szCs w:val="24"/>
          <w:lang w:val="sr-Latn-RS"/>
        </w:rPr>
        <w:t>.MPNI, MJU</w:t>
      </w:r>
    </w:p>
    <w:p w14:paraId="1FF699B9" w14:textId="5F609A13" w:rsidR="001667AA" w:rsidRPr="001667AA" w:rsidRDefault="001667AA" w:rsidP="00FD3827">
      <w:pPr>
        <w:pStyle w:val="ListParagraph"/>
        <w:numPr>
          <w:ilvl w:val="0"/>
          <w:numId w:val="11"/>
        </w:numPr>
        <w:spacing w:line="256" w:lineRule="auto"/>
        <w:jc w:val="both"/>
        <w:rPr>
          <w:rFonts w:ascii="Calibri" w:eastAsia="Calibri" w:hAnsi="Calibri" w:cs="Calibri"/>
          <w:sz w:val="24"/>
          <w:szCs w:val="24"/>
          <w:lang w:val="sr-Latn-ME"/>
        </w:rPr>
      </w:pPr>
      <w:r w:rsidRPr="001667AA">
        <w:rPr>
          <w:rFonts w:cstheme="minorHAnsi"/>
          <w:sz w:val="24"/>
          <w:szCs w:val="24"/>
          <w:lang w:val="sr-Latn-RS"/>
        </w:rPr>
        <w:t xml:space="preserve"> Izrada i akreditacija opšteg programa obuke za zaposlene u obrazovnom sistemu o sajber bezbjednosti</w:t>
      </w:r>
      <w:r>
        <w:rPr>
          <w:rFonts w:cstheme="minorHAnsi"/>
          <w:sz w:val="24"/>
          <w:szCs w:val="24"/>
          <w:lang w:val="sr-Latn-RS"/>
        </w:rPr>
        <w:t>.MPNI, MJU</w:t>
      </w:r>
    </w:p>
    <w:p w14:paraId="527414DD" w14:textId="74A203BA" w:rsidR="001667AA" w:rsidRPr="001667AA" w:rsidRDefault="001667AA" w:rsidP="00FD3827">
      <w:pPr>
        <w:pStyle w:val="ListParagraph"/>
        <w:numPr>
          <w:ilvl w:val="0"/>
          <w:numId w:val="11"/>
        </w:numPr>
        <w:spacing w:line="256" w:lineRule="auto"/>
        <w:jc w:val="both"/>
        <w:rPr>
          <w:rFonts w:ascii="Calibri" w:eastAsia="Calibri" w:hAnsi="Calibri" w:cs="Calibri"/>
          <w:sz w:val="24"/>
          <w:szCs w:val="24"/>
          <w:lang w:val="sr-Latn-ME"/>
        </w:rPr>
      </w:pPr>
      <w:r w:rsidRPr="001667AA">
        <w:rPr>
          <w:rFonts w:cstheme="minorHAnsi"/>
          <w:sz w:val="24"/>
          <w:szCs w:val="24"/>
          <w:lang w:val="sr-Latn-RS"/>
        </w:rPr>
        <w:t>Izrada i akreditacija specijalizovanih programa obuke o sajber bezbjednosti za razne ciljne grupe (ICT koordinatore, pedagoško-psihološke službe itd)</w:t>
      </w:r>
      <w:r>
        <w:rPr>
          <w:rFonts w:cstheme="minorHAnsi"/>
          <w:sz w:val="24"/>
          <w:szCs w:val="24"/>
          <w:lang w:val="sr-Latn-RS"/>
        </w:rPr>
        <w:t>.MPNI, MJU</w:t>
      </w:r>
    </w:p>
    <w:p w14:paraId="3DBA0609" w14:textId="1C826466" w:rsidR="001667AA" w:rsidRPr="00210862" w:rsidRDefault="001667AA" w:rsidP="00FD3827">
      <w:pPr>
        <w:pStyle w:val="ListParagraph"/>
        <w:numPr>
          <w:ilvl w:val="0"/>
          <w:numId w:val="11"/>
        </w:numPr>
        <w:spacing w:line="256" w:lineRule="auto"/>
        <w:jc w:val="both"/>
        <w:rPr>
          <w:rFonts w:ascii="Calibri" w:eastAsia="Calibri" w:hAnsi="Calibri" w:cs="Calibri"/>
          <w:sz w:val="24"/>
          <w:szCs w:val="24"/>
          <w:lang w:val="sr-Latn-ME"/>
        </w:rPr>
      </w:pPr>
      <w:r w:rsidRPr="001667AA">
        <w:rPr>
          <w:rFonts w:cstheme="minorHAnsi"/>
          <w:sz w:val="24"/>
          <w:szCs w:val="24"/>
          <w:lang w:val="sr-Latn-RS"/>
        </w:rPr>
        <w:t>Izrada digitalnih sadržaja na temu sajber bezbjednosti za djecu, kao i sadržaja za djecu sa posebnim obrazovnim potrebama</w:t>
      </w:r>
      <w:r>
        <w:rPr>
          <w:rFonts w:cstheme="minorHAnsi"/>
          <w:sz w:val="24"/>
          <w:szCs w:val="24"/>
          <w:lang w:val="sr-Latn-RS"/>
        </w:rPr>
        <w:t>. MPNI, MJU</w:t>
      </w:r>
    </w:p>
    <w:p w14:paraId="3C092DB8" w14:textId="77777777" w:rsidR="00210862" w:rsidRPr="001667AA" w:rsidRDefault="00210862" w:rsidP="00210862">
      <w:pPr>
        <w:pStyle w:val="ListParagraph"/>
        <w:spacing w:line="256" w:lineRule="auto"/>
        <w:jc w:val="both"/>
        <w:rPr>
          <w:rFonts w:ascii="Calibri" w:eastAsia="Calibri" w:hAnsi="Calibri" w:cs="Calibri"/>
          <w:sz w:val="24"/>
          <w:szCs w:val="24"/>
          <w:lang w:val="sr-Latn-ME"/>
        </w:rPr>
      </w:pPr>
    </w:p>
    <w:p w14:paraId="6ABB7CEE" w14:textId="046C5778" w:rsidR="009960D3" w:rsidRPr="009960D3" w:rsidRDefault="009960D3" w:rsidP="009960D3">
      <w:pPr>
        <w:spacing w:line="256" w:lineRule="auto"/>
        <w:jc w:val="both"/>
        <w:rPr>
          <w:rFonts w:ascii="Calibri" w:eastAsia="Calibri" w:hAnsi="Calibri" w:cs="Calibri"/>
          <w:b/>
          <w:bCs/>
          <w:sz w:val="24"/>
          <w:szCs w:val="24"/>
          <w:lang w:val="sr-Latn-ME"/>
        </w:rPr>
      </w:pPr>
      <w:r w:rsidRPr="009960D3">
        <w:rPr>
          <w:rFonts w:ascii="Calibri" w:eastAsia="Calibri" w:hAnsi="Calibri" w:cs="Calibri"/>
          <w:b/>
          <w:bCs/>
          <w:sz w:val="24"/>
          <w:szCs w:val="24"/>
          <w:lang w:val="sr-Latn-ME"/>
        </w:rPr>
        <w:t>Aktivnosti planirane za 2025.</w:t>
      </w:r>
    </w:p>
    <w:p w14:paraId="35B4AAAD" w14:textId="5D57509C" w:rsidR="009960D3" w:rsidRPr="0092437B" w:rsidRDefault="009960D3" w:rsidP="00FD3827">
      <w:pPr>
        <w:pStyle w:val="ListParagraph"/>
        <w:numPr>
          <w:ilvl w:val="0"/>
          <w:numId w:val="12"/>
        </w:numPr>
        <w:spacing w:line="256" w:lineRule="auto"/>
        <w:jc w:val="both"/>
        <w:rPr>
          <w:rFonts w:ascii="Calibri" w:eastAsia="Calibri" w:hAnsi="Calibri" w:cs="Calibri"/>
          <w:b/>
          <w:bCs/>
          <w:sz w:val="24"/>
          <w:szCs w:val="24"/>
          <w:lang w:val="sr-Latn-RS"/>
        </w:rPr>
      </w:pPr>
      <w:r w:rsidRPr="0092437B">
        <w:rPr>
          <w:rFonts w:ascii="Calibri" w:eastAsia="Calibri" w:hAnsi="Calibri" w:cs="Calibri"/>
          <w:sz w:val="24"/>
          <w:szCs w:val="24"/>
          <w:lang w:val="sr-Latn-RS"/>
        </w:rPr>
        <w:t>Jačanje uloge i kapaciteta Koordinacionog tijela za upravljanje procesom digitalne transformacije</w:t>
      </w:r>
      <w:r w:rsidR="001667AA">
        <w:rPr>
          <w:rFonts w:ascii="Calibri" w:eastAsia="Calibri" w:hAnsi="Calibri" w:cs="Calibri"/>
          <w:sz w:val="24"/>
          <w:szCs w:val="24"/>
          <w:lang w:val="sr-Latn-RS"/>
        </w:rPr>
        <w:t>.MJU</w:t>
      </w:r>
    </w:p>
    <w:p w14:paraId="6F047E1F" w14:textId="0EBF1A7E" w:rsidR="009960D3" w:rsidRPr="0092437B" w:rsidRDefault="009960D3" w:rsidP="00FD3827">
      <w:pPr>
        <w:pStyle w:val="ListParagraph"/>
        <w:numPr>
          <w:ilvl w:val="0"/>
          <w:numId w:val="12"/>
        </w:numPr>
        <w:spacing w:line="256" w:lineRule="auto"/>
        <w:jc w:val="both"/>
        <w:rPr>
          <w:rFonts w:ascii="Calibri" w:eastAsia="Calibri" w:hAnsi="Calibri" w:cs="Calibri"/>
          <w:b/>
          <w:bCs/>
          <w:sz w:val="24"/>
          <w:szCs w:val="24"/>
          <w:lang w:val="sr-Latn-RS"/>
        </w:rPr>
      </w:pPr>
      <w:r w:rsidRPr="0092437B">
        <w:rPr>
          <w:rFonts w:ascii="Calibri" w:eastAsia="Calibri" w:hAnsi="Calibri" w:cs="Calibri"/>
          <w:sz w:val="24"/>
          <w:szCs w:val="24"/>
          <w:lang w:val="sr-Latn-RS"/>
        </w:rPr>
        <w:t>Unapređenje uspostavljene online platforme za Digitalnu akademiju</w:t>
      </w:r>
      <w:r w:rsidR="001667AA">
        <w:rPr>
          <w:rFonts w:ascii="Calibri" w:eastAsia="Calibri" w:hAnsi="Calibri" w:cs="Calibri"/>
          <w:sz w:val="24"/>
          <w:szCs w:val="24"/>
          <w:lang w:val="sr-Latn-RS"/>
        </w:rPr>
        <w:t>.MJU</w:t>
      </w:r>
    </w:p>
    <w:p w14:paraId="43C9FB8D" w14:textId="0675E518" w:rsidR="0092437B" w:rsidRPr="0092437B" w:rsidRDefault="009960D3" w:rsidP="00FD3827">
      <w:pPr>
        <w:pStyle w:val="ListParagraph"/>
        <w:numPr>
          <w:ilvl w:val="0"/>
          <w:numId w:val="12"/>
        </w:numPr>
        <w:spacing w:line="256" w:lineRule="auto"/>
        <w:jc w:val="both"/>
        <w:rPr>
          <w:rFonts w:ascii="Calibri" w:eastAsia="Calibri" w:hAnsi="Calibri" w:cs="Calibri"/>
          <w:b/>
          <w:bCs/>
          <w:sz w:val="24"/>
          <w:szCs w:val="24"/>
          <w:lang w:val="sr-Latn-RS"/>
        </w:rPr>
      </w:pPr>
      <w:r w:rsidRPr="0092437B">
        <w:rPr>
          <w:rFonts w:ascii="Calibri" w:eastAsia="Calibri" w:hAnsi="Calibri" w:cs="Calibri"/>
          <w:sz w:val="24"/>
          <w:szCs w:val="24"/>
          <w:lang w:val="sr-Latn-RS"/>
        </w:rPr>
        <w:t>Izgradnja i uspostavljanje Državnog Data centra i Disaster Recovery centra</w:t>
      </w:r>
      <w:r w:rsidR="001667AA">
        <w:rPr>
          <w:rFonts w:ascii="Calibri" w:eastAsia="Calibri" w:hAnsi="Calibri" w:cs="Calibri"/>
          <w:sz w:val="24"/>
          <w:szCs w:val="24"/>
          <w:lang w:val="sr-Latn-RS"/>
        </w:rPr>
        <w:t>.MJU</w:t>
      </w:r>
    </w:p>
    <w:p w14:paraId="07D57C8E" w14:textId="5276BE02" w:rsidR="009960D3" w:rsidRPr="0092437B" w:rsidRDefault="001667AA" w:rsidP="00FD3827">
      <w:pPr>
        <w:pStyle w:val="ListParagraph"/>
        <w:numPr>
          <w:ilvl w:val="0"/>
          <w:numId w:val="12"/>
        </w:numPr>
        <w:spacing w:line="256" w:lineRule="auto"/>
        <w:jc w:val="both"/>
        <w:rPr>
          <w:rFonts w:ascii="Calibri" w:eastAsia="Calibri" w:hAnsi="Calibri" w:cs="Calibri"/>
          <w:b/>
          <w:bCs/>
          <w:sz w:val="24"/>
          <w:szCs w:val="24"/>
          <w:lang w:val="sr-Latn-RS"/>
        </w:rPr>
      </w:pPr>
      <w:r>
        <w:rPr>
          <w:rFonts w:ascii="Calibri" w:eastAsia="Calibri" w:hAnsi="Calibri" w:cs="Calibri"/>
          <w:sz w:val="24"/>
          <w:szCs w:val="24"/>
          <w:lang w:val="sr-Latn-RS"/>
        </w:rPr>
        <w:t>Nastavak</w:t>
      </w:r>
      <w:r w:rsidR="009960D3" w:rsidRPr="0092437B">
        <w:rPr>
          <w:rFonts w:ascii="Calibri" w:eastAsia="Calibri" w:hAnsi="Calibri" w:cs="Calibri"/>
          <w:sz w:val="24"/>
          <w:szCs w:val="24"/>
          <w:lang w:val="sr-Latn-RS"/>
        </w:rPr>
        <w:t xml:space="preserve"> implementacij</w:t>
      </w:r>
      <w:r>
        <w:rPr>
          <w:rFonts w:ascii="Calibri" w:eastAsia="Calibri" w:hAnsi="Calibri" w:cs="Calibri"/>
          <w:sz w:val="24"/>
          <w:szCs w:val="24"/>
          <w:lang w:val="sr-Latn-RS"/>
        </w:rPr>
        <w:t>e</w:t>
      </w:r>
      <w:r w:rsidR="009960D3" w:rsidRPr="0092437B">
        <w:rPr>
          <w:rFonts w:ascii="Calibri" w:eastAsia="Calibri" w:hAnsi="Calibri" w:cs="Calibri"/>
          <w:sz w:val="24"/>
          <w:szCs w:val="24"/>
          <w:lang w:val="sr-Latn-RS"/>
        </w:rPr>
        <w:t xml:space="preserve"> novog Zakona o informacionoj bezbjednosti</w:t>
      </w:r>
      <w:r>
        <w:rPr>
          <w:rFonts w:ascii="Calibri" w:eastAsia="Calibri" w:hAnsi="Calibri" w:cs="Calibri"/>
          <w:sz w:val="24"/>
          <w:szCs w:val="24"/>
          <w:lang w:val="sr-Latn-RS"/>
        </w:rPr>
        <w:t>.MJU</w:t>
      </w:r>
    </w:p>
    <w:p w14:paraId="0F334CFB" w14:textId="306437A8" w:rsidR="0092437B" w:rsidRPr="0092437B" w:rsidRDefault="009960D3" w:rsidP="00FD3827">
      <w:pPr>
        <w:pStyle w:val="ListParagraph"/>
        <w:numPr>
          <w:ilvl w:val="0"/>
          <w:numId w:val="12"/>
        </w:numPr>
        <w:spacing w:line="256" w:lineRule="auto"/>
        <w:jc w:val="both"/>
        <w:rPr>
          <w:rFonts w:ascii="Calibri" w:eastAsia="Calibri" w:hAnsi="Calibri" w:cs="Calibri"/>
          <w:b/>
          <w:bCs/>
          <w:sz w:val="24"/>
          <w:szCs w:val="24"/>
          <w:lang w:val="sr-Latn-RS"/>
        </w:rPr>
      </w:pPr>
      <w:r w:rsidRPr="0092437B">
        <w:rPr>
          <w:rFonts w:ascii="Calibri" w:eastAsia="Calibri" w:hAnsi="Calibri" w:cs="Calibri"/>
          <w:sz w:val="24"/>
          <w:szCs w:val="24"/>
          <w:lang w:val="sr-Latn-RS"/>
        </w:rPr>
        <w:t>Uvezivanje sa sistemima banaka u cilju omogućavanja otvaranja tekućeg računa bez podnošenja papirne dokumentacije</w:t>
      </w:r>
      <w:r w:rsidR="001667AA">
        <w:rPr>
          <w:rFonts w:ascii="Calibri" w:eastAsia="Calibri" w:hAnsi="Calibri" w:cs="Calibri"/>
          <w:sz w:val="24"/>
          <w:szCs w:val="24"/>
          <w:lang w:val="sr-Latn-RS"/>
        </w:rPr>
        <w:t xml:space="preserve">.MER, </w:t>
      </w:r>
      <w:r w:rsidR="00820247">
        <w:rPr>
          <w:rFonts w:ascii="Calibri" w:eastAsia="Calibri" w:hAnsi="Calibri" w:cs="Calibri"/>
          <w:sz w:val="24"/>
          <w:szCs w:val="24"/>
          <w:lang w:val="sr-Latn-RS"/>
        </w:rPr>
        <w:t>CBCG</w:t>
      </w:r>
    </w:p>
    <w:p w14:paraId="31F66306" w14:textId="29047374" w:rsidR="009960D3" w:rsidRPr="001667AA" w:rsidRDefault="009960D3" w:rsidP="00FD3827">
      <w:pPr>
        <w:pStyle w:val="ListParagraph"/>
        <w:numPr>
          <w:ilvl w:val="0"/>
          <w:numId w:val="12"/>
        </w:numPr>
        <w:spacing w:line="256" w:lineRule="auto"/>
        <w:jc w:val="both"/>
        <w:rPr>
          <w:rFonts w:ascii="Calibri" w:eastAsia="Calibri" w:hAnsi="Calibri" w:cs="Calibri"/>
          <w:b/>
          <w:bCs/>
          <w:sz w:val="24"/>
          <w:szCs w:val="24"/>
          <w:lang w:val="sr-Latn-RS"/>
        </w:rPr>
      </w:pPr>
      <w:r w:rsidRPr="0092437B">
        <w:rPr>
          <w:rFonts w:ascii="Calibri" w:eastAsia="Calibri" w:hAnsi="Calibri" w:cs="Calibri"/>
          <w:sz w:val="24"/>
          <w:szCs w:val="24"/>
          <w:lang w:val="sr-Latn-RS"/>
        </w:rPr>
        <w:lastRenderedPageBreak/>
        <w:t xml:space="preserve">Pojednostavljenje procesa </w:t>
      </w:r>
      <w:r w:rsidRPr="001667AA">
        <w:rPr>
          <w:rFonts w:ascii="Calibri" w:eastAsia="Calibri" w:hAnsi="Calibri" w:cs="Calibri"/>
          <w:sz w:val="24"/>
          <w:szCs w:val="24"/>
          <w:lang w:val="sr-Latn-RS"/>
        </w:rPr>
        <w:t>elektronske razmjene podataka među institucijama</w:t>
      </w:r>
      <w:r w:rsidR="00820247">
        <w:rPr>
          <w:rFonts w:ascii="Calibri" w:eastAsia="Calibri" w:hAnsi="Calibri" w:cs="Calibri"/>
          <w:sz w:val="24"/>
          <w:szCs w:val="24"/>
          <w:lang w:val="sr-Latn-RS"/>
        </w:rPr>
        <w:t xml:space="preserve">, uz operativne </w:t>
      </w:r>
      <w:r w:rsidRPr="001667AA">
        <w:rPr>
          <w:rFonts w:ascii="Calibri" w:eastAsia="Calibri" w:hAnsi="Calibri" w:cs="Calibri"/>
          <w:sz w:val="24"/>
          <w:szCs w:val="24"/>
          <w:lang w:val="sr-Latn-RS"/>
        </w:rPr>
        <w:t>POS terminale u CRPS</w:t>
      </w:r>
      <w:r w:rsidR="00820247">
        <w:rPr>
          <w:rFonts w:ascii="Calibri" w:eastAsia="Calibri" w:hAnsi="Calibri" w:cs="Calibri"/>
          <w:sz w:val="24"/>
          <w:szCs w:val="24"/>
          <w:lang w:val="sr-Latn-RS"/>
        </w:rPr>
        <w:t xml:space="preserve"> i</w:t>
      </w:r>
      <w:r w:rsidRPr="001667AA">
        <w:rPr>
          <w:rFonts w:ascii="Calibri" w:eastAsia="Calibri" w:hAnsi="Calibri" w:cs="Calibri"/>
          <w:sz w:val="24"/>
          <w:szCs w:val="24"/>
          <w:lang w:val="sr-Latn-RS"/>
        </w:rPr>
        <w:t xml:space="preserve"> plaćanj</w:t>
      </w:r>
      <w:r w:rsidR="00820247">
        <w:rPr>
          <w:rFonts w:ascii="Calibri" w:eastAsia="Calibri" w:hAnsi="Calibri" w:cs="Calibri"/>
          <w:sz w:val="24"/>
          <w:szCs w:val="24"/>
          <w:lang w:val="sr-Latn-RS"/>
        </w:rPr>
        <w:t>e</w:t>
      </w:r>
      <w:r w:rsidRPr="001667AA">
        <w:rPr>
          <w:rFonts w:ascii="Calibri" w:eastAsia="Calibri" w:hAnsi="Calibri" w:cs="Calibri"/>
          <w:sz w:val="24"/>
          <w:szCs w:val="24"/>
          <w:lang w:val="sr-Latn-RS"/>
        </w:rPr>
        <w:t xml:space="preserve"> svih taksi na jednom mjestu</w:t>
      </w:r>
      <w:r w:rsidR="0092437B" w:rsidRPr="001667AA">
        <w:rPr>
          <w:rFonts w:ascii="Calibri" w:eastAsia="Calibri" w:hAnsi="Calibri" w:cs="Calibri"/>
          <w:sz w:val="24"/>
          <w:szCs w:val="24"/>
          <w:lang w:val="sr-Latn-RS"/>
        </w:rPr>
        <w:t>.</w:t>
      </w:r>
      <w:r w:rsidR="00820247">
        <w:rPr>
          <w:rFonts w:ascii="Calibri" w:eastAsia="Calibri" w:hAnsi="Calibri" w:cs="Calibri"/>
          <w:sz w:val="24"/>
          <w:szCs w:val="24"/>
          <w:lang w:val="sr-Latn-RS"/>
        </w:rPr>
        <w:t>MER</w:t>
      </w:r>
    </w:p>
    <w:p w14:paraId="4C35FF4B" w14:textId="05666C13" w:rsidR="004309CE" w:rsidRPr="001667AA" w:rsidRDefault="004309CE" w:rsidP="00FD3827">
      <w:pPr>
        <w:pStyle w:val="ListParagraph"/>
        <w:numPr>
          <w:ilvl w:val="0"/>
          <w:numId w:val="12"/>
        </w:numPr>
        <w:jc w:val="both"/>
        <w:rPr>
          <w:rFonts w:cstheme="minorHAnsi"/>
          <w:sz w:val="24"/>
          <w:szCs w:val="24"/>
          <w:lang w:val="sr-Latn-RS"/>
        </w:rPr>
      </w:pPr>
      <w:r w:rsidRPr="001667AA">
        <w:rPr>
          <w:rFonts w:cstheme="minorHAnsi"/>
          <w:sz w:val="24"/>
          <w:szCs w:val="24"/>
          <w:lang w:val="sr-Latn-RS"/>
        </w:rPr>
        <w:t>Izrada digitalnih udžbenika za drugi ciklus osnovne škole</w:t>
      </w:r>
      <w:r w:rsidR="00820247">
        <w:rPr>
          <w:rFonts w:cstheme="minorHAnsi"/>
          <w:sz w:val="24"/>
          <w:szCs w:val="24"/>
          <w:lang w:val="sr-Latn-RS"/>
        </w:rPr>
        <w:t>.MPNI</w:t>
      </w:r>
    </w:p>
    <w:p w14:paraId="7A2E1545" w14:textId="66553F23" w:rsidR="001667AA" w:rsidRPr="001667AA" w:rsidRDefault="004309CE" w:rsidP="00FD3827">
      <w:pPr>
        <w:pStyle w:val="ListParagraph"/>
        <w:numPr>
          <w:ilvl w:val="0"/>
          <w:numId w:val="12"/>
        </w:numPr>
        <w:jc w:val="both"/>
        <w:rPr>
          <w:rFonts w:cstheme="minorHAnsi"/>
          <w:sz w:val="24"/>
          <w:szCs w:val="24"/>
          <w:lang w:val="sr-Latn-RS"/>
        </w:rPr>
      </w:pPr>
      <w:r w:rsidRPr="001667AA">
        <w:rPr>
          <w:rFonts w:cstheme="minorHAnsi"/>
          <w:sz w:val="24"/>
          <w:szCs w:val="24"/>
          <w:lang w:val="sr-Latn-RS"/>
        </w:rPr>
        <w:t>Izrada digitalnih sadržaja na temu informacijska i medijska pismenost za djecu, kao i sadržaja za talentovane učenike</w:t>
      </w:r>
      <w:r w:rsidR="00820247">
        <w:rPr>
          <w:rFonts w:cstheme="minorHAnsi"/>
          <w:sz w:val="24"/>
          <w:szCs w:val="24"/>
          <w:lang w:val="sr-Latn-RS"/>
        </w:rPr>
        <w:t>.MPNI</w:t>
      </w:r>
    </w:p>
    <w:p w14:paraId="0DAD595C" w14:textId="77777777" w:rsidR="00210862" w:rsidRDefault="00820247" w:rsidP="00FD3827">
      <w:pPr>
        <w:pStyle w:val="ListParagraph"/>
        <w:numPr>
          <w:ilvl w:val="0"/>
          <w:numId w:val="12"/>
        </w:numPr>
        <w:jc w:val="both"/>
        <w:rPr>
          <w:rFonts w:cstheme="minorHAnsi"/>
          <w:sz w:val="24"/>
          <w:szCs w:val="24"/>
          <w:lang w:val="sr-Latn-RS"/>
        </w:rPr>
      </w:pPr>
      <w:r>
        <w:rPr>
          <w:rFonts w:cstheme="minorHAnsi"/>
          <w:sz w:val="24"/>
          <w:szCs w:val="24"/>
          <w:lang w:val="sr-Latn-RS"/>
        </w:rPr>
        <w:t xml:space="preserve">Edukacije </w:t>
      </w:r>
      <w:r w:rsidR="004309CE" w:rsidRPr="001667AA">
        <w:rPr>
          <w:rFonts w:cstheme="minorHAnsi"/>
          <w:sz w:val="24"/>
          <w:szCs w:val="24"/>
          <w:lang w:val="sr-Latn-RS"/>
        </w:rPr>
        <w:t>o sajber bezbjednosti za djecu, nastavnike i roditelje</w:t>
      </w:r>
      <w:r>
        <w:rPr>
          <w:rFonts w:cstheme="minorHAnsi"/>
          <w:sz w:val="24"/>
          <w:szCs w:val="24"/>
          <w:lang w:val="sr-Latn-RS"/>
        </w:rPr>
        <w:t>.MPNI</w:t>
      </w:r>
    </w:p>
    <w:p w14:paraId="650ABD3F" w14:textId="77777777" w:rsidR="0092437B" w:rsidRDefault="009960D3" w:rsidP="0092437B">
      <w:pPr>
        <w:spacing w:line="256" w:lineRule="auto"/>
        <w:jc w:val="both"/>
        <w:rPr>
          <w:rFonts w:ascii="Calibri" w:eastAsia="Calibri" w:hAnsi="Calibri" w:cs="Calibri"/>
          <w:b/>
          <w:bCs/>
          <w:sz w:val="24"/>
          <w:szCs w:val="24"/>
          <w:lang w:val="sr-Latn-RS"/>
        </w:rPr>
      </w:pPr>
      <w:r w:rsidRPr="009960D3">
        <w:rPr>
          <w:rFonts w:ascii="Calibri" w:eastAsia="Calibri" w:hAnsi="Calibri" w:cs="Calibri"/>
          <w:b/>
          <w:bCs/>
          <w:sz w:val="24"/>
          <w:szCs w:val="24"/>
          <w:lang w:val="sr-Latn-RS"/>
        </w:rPr>
        <w:t>Aktivnosti planirane za 2026:</w:t>
      </w:r>
    </w:p>
    <w:p w14:paraId="330DA081" w14:textId="69B32755" w:rsidR="009960D3" w:rsidRPr="0092437B" w:rsidRDefault="009960D3" w:rsidP="00FD3827">
      <w:pPr>
        <w:pStyle w:val="ListParagraph"/>
        <w:numPr>
          <w:ilvl w:val="0"/>
          <w:numId w:val="13"/>
        </w:numPr>
        <w:spacing w:line="256" w:lineRule="auto"/>
        <w:jc w:val="both"/>
        <w:rPr>
          <w:rFonts w:ascii="Calibri" w:eastAsia="Calibri" w:hAnsi="Calibri" w:cs="Calibri"/>
          <w:b/>
          <w:bCs/>
          <w:sz w:val="24"/>
          <w:szCs w:val="24"/>
          <w:lang w:val="sr-Latn-RS"/>
        </w:rPr>
      </w:pPr>
      <w:r w:rsidRPr="0092437B">
        <w:rPr>
          <w:rFonts w:ascii="Calibri" w:eastAsia="Calibri" w:hAnsi="Calibri" w:cs="Calibri"/>
          <w:sz w:val="24"/>
          <w:szCs w:val="24"/>
          <w:lang w:val="sr-Latn-RS"/>
        </w:rPr>
        <w:t>Jačanje uloge i kapaciteta Koordinacionog tijela za upravljanje procesom digitalne transformacije</w:t>
      </w:r>
      <w:r w:rsidR="00820247">
        <w:rPr>
          <w:rFonts w:ascii="Calibri" w:eastAsia="Calibri" w:hAnsi="Calibri" w:cs="Calibri"/>
          <w:sz w:val="24"/>
          <w:szCs w:val="24"/>
          <w:lang w:val="sr-Latn-RS"/>
        </w:rPr>
        <w:t>.MJU</w:t>
      </w:r>
    </w:p>
    <w:p w14:paraId="2CD34B1B" w14:textId="0FB7F536" w:rsidR="009960D3" w:rsidRPr="0092437B" w:rsidRDefault="009960D3" w:rsidP="00FD3827">
      <w:pPr>
        <w:pStyle w:val="ListParagraph"/>
        <w:numPr>
          <w:ilvl w:val="0"/>
          <w:numId w:val="13"/>
        </w:numPr>
        <w:spacing w:line="256" w:lineRule="auto"/>
        <w:jc w:val="both"/>
        <w:rPr>
          <w:rFonts w:ascii="Calibri" w:eastAsia="Calibri" w:hAnsi="Calibri" w:cs="Calibri"/>
          <w:b/>
          <w:bCs/>
          <w:sz w:val="24"/>
          <w:szCs w:val="24"/>
          <w:lang w:val="sr-Latn-RS"/>
        </w:rPr>
      </w:pPr>
      <w:r w:rsidRPr="0092437B">
        <w:rPr>
          <w:rFonts w:ascii="Calibri" w:eastAsia="Calibri" w:hAnsi="Calibri" w:cs="Calibri"/>
          <w:sz w:val="24"/>
          <w:szCs w:val="24"/>
          <w:lang w:val="sr-Latn-RS"/>
        </w:rPr>
        <w:t>Unapređenje online platforme za Digitalnu akademiju</w:t>
      </w:r>
      <w:r w:rsidR="00820247">
        <w:rPr>
          <w:rFonts w:ascii="Calibri" w:eastAsia="Calibri" w:hAnsi="Calibri" w:cs="Calibri"/>
          <w:sz w:val="24"/>
          <w:szCs w:val="24"/>
          <w:lang w:val="sr-Latn-RS"/>
        </w:rPr>
        <w:t>.MJU</w:t>
      </w:r>
    </w:p>
    <w:p w14:paraId="4A99608F" w14:textId="446120CB" w:rsidR="0092437B" w:rsidRPr="0092437B" w:rsidRDefault="009960D3" w:rsidP="00FD3827">
      <w:pPr>
        <w:pStyle w:val="ListParagraph"/>
        <w:numPr>
          <w:ilvl w:val="0"/>
          <w:numId w:val="13"/>
        </w:numPr>
        <w:spacing w:line="256" w:lineRule="auto"/>
        <w:jc w:val="both"/>
        <w:rPr>
          <w:rFonts w:ascii="Calibri" w:eastAsia="Calibri" w:hAnsi="Calibri" w:cs="Calibri"/>
          <w:b/>
          <w:bCs/>
          <w:sz w:val="24"/>
          <w:szCs w:val="24"/>
          <w:lang w:val="sr-Latn-RS"/>
        </w:rPr>
      </w:pPr>
      <w:r w:rsidRPr="0092437B">
        <w:rPr>
          <w:rFonts w:ascii="Calibri" w:eastAsia="Calibri" w:hAnsi="Calibri" w:cs="Calibri"/>
          <w:sz w:val="24"/>
          <w:szCs w:val="24"/>
          <w:lang w:val="sr-Latn-RS"/>
        </w:rPr>
        <w:t>Uspostavljanje Državnog Data centra i Disaster Recovery centra</w:t>
      </w:r>
      <w:r w:rsidR="00820247">
        <w:rPr>
          <w:rFonts w:ascii="Calibri" w:eastAsia="Calibri" w:hAnsi="Calibri" w:cs="Calibri"/>
          <w:sz w:val="24"/>
          <w:szCs w:val="24"/>
          <w:lang w:val="sr-Latn-RS"/>
        </w:rPr>
        <w:t>.MJU</w:t>
      </w:r>
    </w:p>
    <w:p w14:paraId="754CB2E3" w14:textId="502E2BB9" w:rsidR="0092437B" w:rsidRPr="0092437B" w:rsidRDefault="00820247" w:rsidP="00FD3827">
      <w:pPr>
        <w:pStyle w:val="ListParagraph"/>
        <w:numPr>
          <w:ilvl w:val="0"/>
          <w:numId w:val="13"/>
        </w:numPr>
        <w:spacing w:line="256" w:lineRule="auto"/>
        <w:jc w:val="both"/>
        <w:rPr>
          <w:rFonts w:ascii="Calibri" w:eastAsia="Calibri" w:hAnsi="Calibri" w:cs="Calibri"/>
          <w:b/>
          <w:bCs/>
          <w:sz w:val="24"/>
          <w:szCs w:val="24"/>
          <w:lang w:val="sr-Latn-RS"/>
        </w:rPr>
      </w:pPr>
      <w:r>
        <w:rPr>
          <w:rFonts w:ascii="Calibri" w:eastAsia="Calibri" w:hAnsi="Calibri" w:cs="Calibri"/>
          <w:sz w:val="24"/>
          <w:szCs w:val="24"/>
          <w:lang w:val="sr-Latn-RS"/>
        </w:rPr>
        <w:t>Nastavak implementacije</w:t>
      </w:r>
      <w:r w:rsidR="009960D3" w:rsidRPr="0092437B">
        <w:rPr>
          <w:rFonts w:ascii="Calibri" w:eastAsia="Calibri" w:hAnsi="Calibri" w:cs="Calibri"/>
          <w:sz w:val="24"/>
          <w:szCs w:val="24"/>
          <w:lang w:val="sr-Latn-RS"/>
        </w:rPr>
        <w:t xml:space="preserve"> Zakona o informacionoj bezbjednosti</w:t>
      </w:r>
      <w:r>
        <w:rPr>
          <w:rFonts w:ascii="Calibri" w:eastAsia="Calibri" w:hAnsi="Calibri" w:cs="Calibri"/>
          <w:sz w:val="24"/>
          <w:szCs w:val="24"/>
          <w:lang w:val="sr-Latn-RS"/>
        </w:rPr>
        <w:t>.MJU</w:t>
      </w:r>
    </w:p>
    <w:p w14:paraId="0FD999F1" w14:textId="38AEE4EE" w:rsidR="009960D3" w:rsidRDefault="009960D3" w:rsidP="00FD3827">
      <w:pPr>
        <w:pStyle w:val="ListParagraph"/>
        <w:numPr>
          <w:ilvl w:val="0"/>
          <w:numId w:val="13"/>
        </w:numPr>
        <w:spacing w:line="256" w:lineRule="auto"/>
        <w:jc w:val="both"/>
        <w:rPr>
          <w:rFonts w:ascii="Calibri" w:eastAsia="Calibri" w:hAnsi="Calibri" w:cs="Calibri"/>
          <w:sz w:val="24"/>
          <w:szCs w:val="24"/>
          <w:lang w:val="sr-Latn-RS"/>
        </w:rPr>
      </w:pPr>
      <w:r w:rsidRPr="0092437B">
        <w:rPr>
          <w:rFonts w:ascii="Calibri" w:eastAsia="Calibri" w:hAnsi="Calibri" w:cs="Calibri"/>
          <w:sz w:val="24"/>
          <w:szCs w:val="24"/>
          <w:lang w:val="sr-Latn-RS"/>
        </w:rPr>
        <w:t xml:space="preserve">Povećanje broja obučenih službenika zaposlenih u </w:t>
      </w:r>
      <w:r w:rsidR="00820247">
        <w:rPr>
          <w:rFonts w:ascii="Calibri" w:eastAsia="Calibri" w:hAnsi="Calibri" w:cs="Calibri"/>
          <w:sz w:val="24"/>
          <w:szCs w:val="24"/>
          <w:lang w:val="sr-Latn-RS"/>
        </w:rPr>
        <w:t xml:space="preserve">CRPS za podršku elektronskoj registraciji preduzeća. MER </w:t>
      </w:r>
    </w:p>
    <w:p w14:paraId="7924EC91" w14:textId="1F46CF8B" w:rsidR="001667AA" w:rsidRDefault="001667AA" w:rsidP="00FD3827">
      <w:pPr>
        <w:pStyle w:val="ListParagraph"/>
        <w:numPr>
          <w:ilvl w:val="0"/>
          <w:numId w:val="13"/>
        </w:numPr>
        <w:spacing w:line="256" w:lineRule="auto"/>
        <w:jc w:val="both"/>
        <w:rPr>
          <w:rFonts w:ascii="Calibri" w:eastAsia="Calibri" w:hAnsi="Calibri" w:cs="Calibri"/>
          <w:sz w:val="24"/>
          <w:szCs w:val="24"/>
          <w:lang w:val="sr-Latn-RS"/>
        </w:rPr>
      </w:pPr>
      <w:r w:rsidRPr="001667AA">
        <w:rPr>
          <w:rFonts w:ascii="Calibri" w:eastAsia="Calibri" w:hAnsi="Calibri" w:cs="Calibri"/>
          <w:sz w:val="24"/>
          <w:szCs w:val="24"/>
          <w:lang w:val="sr-Latn-RS"/>
        </w:rPr>
        <w:t>Izrada digitalnih udžbenika za treći cuklus osnovne škole</w:t>
      </w:r>
      <w:r w:rsidR="00820247">
        <w:rPr>
          <w:rFonts w:ascii="Calibri" w:eastAsia="Calibri" w:hAnsi="Calibri" w:cs="Calibri"/>
          <w:sz w:val="24"/>
          <w:szCs w:val="24"/>
          <w:lang w:val="sr-Latn-RS"/>
        </w:rPr>
        <w:t>.MJU</w:t>
      </w:r>
    </w:p>
    <w:p w14:paraId="60EB6C14" w14:textId="560D9A99" w:rsidR="00820247" w:rsidRDefault="00820247" w:rsidP="00FD3827">
      <w:pPr>
        <w:pStyle w:val="ListParagraph"/>
        <w:numPr>
          <w:ilvl w:val="0"/>
          <w:numId w:val="13"/>
        </w:numPr>
        <w:rPr>
          <w:rFonts w:ascii="Calibri" w:eastAsia="Calibri" w:hAnsi="Calibri" w:cs="Calibri"/>
          <w:sz w:val="24"/>
          <w:szCs w:val="24"/>
          <w:lang w:val="sr-Latn-RS"/>
        </w:rPr>
      </w:pPr>
      <w:r>
        <w:rPr>
          <w:rFonts w:ascii="Calibri" w:eastAsia="Calibri" w:hAnsi="Calibri" w:cs="Calibri"/>
          <w:sz w:val="24"/>
          <w:szCs w:val="24"/>
          <w:lang w:val="sr-Latn-RS"/>
        </w:rPr>
        <w:t xml:space="preserve">Nastavak edukacija </w:t>
      </w:r>
      <w:r w:rsidRPr="00820247">
        <w:rPr>
          <w:rFonts w:ascii="Calibri" w:eastAsia="Calibri" w:hAnsi="Calibri" w:cs="Calibri"/>
          <w:sz w:val="24"/>
          <w:szCs w:val="24"/>
          <w:lang w:val="sr-Latn-RS"/>
        </w:rPr>
        <w:t>o sajber bezbjednosti za djecu, nastavnike i roditelje.</w:t>
      </w:r>
      <w:r>
        <w:rPr>
          <w:rFonts w:ascii="Calibri" w:eastAsia="Calibri" w:hAnsi="Calibri" w:cs="Calibri"/>
          <w:sz w:val="24"/>
          <w:szCs w:val="24"/>
          <w:lang w:val="sr-Latn-RS"/>
        </w:rPr>
        <w:t>MPNI</w:t>
      </w:r>
    </w:p>
    <w:p w14:paraId="29F37636" w14:textId="77777777" w:rsidR="009960D3" w:rsidRPr="009960D3" w:rsidRDefault="009960D3" w:rsidP="009960D3">
      <w:pPr>
        <w:spacing w:line="256" w:lineRule="auto"/>
        <w:jc w:val="both"/>
        <w:rPr>
          <w:rFonts w:ascii="Calibri" w:eastAsia="Calibri" w:hAnsi="Calibri" w:cs="Calibri"/>
          <w:b/>
          <w:bCs/>
          <w:sz w:val="24"/>
          <w:szCs w:val="24"/>
          <w:lang w:val="sr-Latn-RS"/>
        </w:rPr>
      </w:pPr>
      <w:r w:rsidRPr="009960D3">
        <w:rPr>
          <w:rFonts w:ascii="Calibri" w:eastAsia="Calibri" w:hAnsi="Calibri" w:cs="Calibri"/>
          <w:b/>
          <w:bCs/>
          <w:sz w:val="24"/>
          <w:szCs w:val="24"/>
          <w:lang w:val="sr-Latn-RS"/>
        </w:rPr>
        <w:t>2.Indikatori rezultata</w:t>
      </w:r>
    </w:p>
    <w:tbl>
      <w:tblPr>
        <w:tblStyle w:val="GridTable6Colorful-Accent5"/>
        <w:tblW w:w="9445" w:type="dxa"/>
        <w:tblLayout w:type="fixed"/>
        <w:tblLook w:val="04A0" w:firstRow="1" w:lastRow="0" w:firstColumn="1" w:lastColumn="0" w:noHBand="0" w:noVBand="1"/>
      </w:tblPr>
      <w:tblGrid>
        <w:gridCol w:w="3505"/>
        <w:gridCol w:w="2070"/>
        <w:gridCol w:w="2250"/>
        <w:gridCol w:w="1620"/>
      </w:tblGrid>
      <w:tr w:rsidR="009960D3" w:rsidRPr="00082B85" w14:paraId="566AFE23" w14:textId="77777777" w:rsidTr="008202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5" w:type="dxa"/>
            <w:hideMark/>
          </w:tcPr>
          <w:p w14:paraId="7C0AD047" w14:textId="77777777" w:rsidR="009960D3" w:rsidRPr="00082B85" w:rsidRDefault="009960D3" w:rsidP="00082B85">
            <w:pPr>
              <w:spacing w:line="256" w:lineRule="auto"/>
              <w:jc w:val="center"/>
              <w:rPr>
                <w:rFonts w:cs="Calibri"/>
                <w:b w:val="0"/>
                <w:color w:val="auto"/>
                <w:sz w:val="20"/>
                <w:szCs w:val="20"/>
                <w:lang w:val="sr-Latn-RS"/>
              </w:rPr>
            </w:pPr>
            <w:r w:rsidRPr="00082B85">
              <w:rPr>
                <w:rFonts w:cs="Calibri"/>
                <w:color w:val="auto"/>
                <w:sz w:val="20"/>
                <w:szCs w:val="20"/>
                <w:lang w:val="sr-Latn-RS"/>
              </w:rPr>
              <w:t>Indikator</w:t>
            </w:r>
          </w:p>
        </w:tc>
        <w:tc>
          <w:tcPr>
            <w:tcW w:w="2070" w:type="dxa"/>
            <w:hideMark/>
          </w:tcPr>
          <w:p w14:paraId="45E52BC1" w14:textId="77777777" w:rsidR="009960D3" w:rsidRPr="00082B85" w:rsidRDefault="009960D3" w:rsidP="00082B85">
            <w:pPr>
              <w:spacing w:line="256" w:lineRule="auto"/>
              <w:jc w:val="center"/>
              <w:cnfStyle w:val="100000000000" w:firstRow="1" w:lastRow="0" w:firstColumn="0" w:lastColumn="0" w:oddVBand="0" w:evenVBand="0" w:oddHBand="0" w:evenHBand="0" w:firstRowFirstColumn="0" w:firstRowLastColumn="0" w:lastRowFirstColumn="0" w:lastRowLastColumn="0"/>
              <w:rPr>
                <w:rFonts w:cs="Calibri"/>
                <w:b w:val="0"/>
                <w:color w:val="auto"/>
                <w:sz w:val="20"/>
                <w:szCs w:val="20"/>
                <w:lang w:val="sr-Latn-RS"/>
              </w:rPr>
            </w:pPr>
            <w:r w:rsidRPr="00082B85">
              <w:rPr>
                <w:rFonts w:cs="Calibri"/>
                <w:color w:val="auto"/>
                <w:sz w:val="20"/>
                <w:szCs w:val="20"/>
                <w:lang w:val="sr-Latn-RS"/>
              </w:rPr>
              <w:t>Početna vrijednost</w:t>
            </w:r>
          </w:p>
          <w:p w14:paraId="03CC5D9D" w14:textId="77777777" w:rsidR="009960D3" w:rsidRPr="00082B85" w:rsidRDefault="009960D3" w:rsidP="00082B85">
            <w:pPr>
              <w:spacing w:line="256" w:lineRule="auto"/>
              <w:jc w:val="center"/>
              <w:cnfStyle w:val="100000000000" w:firstRow="1" w:lastRow="0" w:firstColumn="0" w:lastColumn="0" w:oddVBand="0" w:evenVBand="0" w:oddHBand="0" w:evenHBand="0" w:firstRowFirstColumn="0" w:firstRowLastColumn="0" w:lastRowFirstColumn="0" w:lastRowLastColumn="0"/>
              <w:rPr>
                <w:rFonts w:cs="Calibri"/>
                <w:b w:val="0"/>
                <w:color w:val="auto"/>
                <w:sz w:val="20"/>
                <w:szCs w:val="20"/>
                <w:lang w:val="sr-Latn-RS"/>
              </w:rPr>
            </w:pPr>
            <w:r w:rsidRPr="00082B85">
              <w:rPr>
                <w:rFonts w:cs="Calibri"/>
                <w:color w:val="auto"/>
                <w:sz w:val="20"/>
                <w:szCs w:val="20"/>
                <w:lang w:val="sr-Latn-RS"/>
              </w:rPr>
              <w:t>(2023)</w:t>
            </w:r>
          </w:p>
        </w:tc>
        <w:tc>
          <w:tcPr>
            <w:tcW w:w="2250" w:type="dxa"/>
            <w:hideMark/>
          </w:tcPr>
          <w:p w14:paraId="523002FC" w14:textId="3F594F03" w:rsidR="009960D3" w:rsidRPr="00082B85" w:rsidRDefault="009960D3" w:rsidP="00082B85">
            <w:pPr>
              <w:spacing w:line="256" w:lineRule="auto"/>
              <w:jc w:val="center"/>
              <w:cnfStyle w:val="100000000000" w:firstRow="1" w:lastRow="0" w:firstColumn="0" w:lastColumn="0" w:oddVBand="0" w:evenVBand="0" w:oddHBand="0" w:evenHBand="0" w:firstRowFirstColumn="0" w:firstRowLastColumn="0" w:lastRowFirstColumn="0" w:lastRowLastColumn="0"/>
              <w:rPr>
                <w:rFonts w:cs="Calibri"/>
                <w:b w:val="0"/>
                <w:color w:val="auto"/>
                <w:sz w:val="20"/>
                <w:szCs w:val="20"/>
                <w:lang w:val="sr-Latn-RS"/>
              </w:rPr>
            </w:pPr>
            <w:r w:rsidRPr="00082B85">
              <w:rPr>
                <w:rFonts w:cs="Calibri"/>
                <w:color w:val="auto"/>
                <w:sz w:val="20"/>
                <w:szCs w:val="20"/>
                <w:lang w:val="sr-Latn-RS"/>
              </w:rPr>
              <w:t>Me</w:t>
            </w:r>
            <w:r w:rsidR="00727788" w:rsidRPr="00082B85">
              <w:rPr>
                <w:rFonts w:cs="Calibri"/>
                <w:color w:val="auto"/>
                <w:sz w:val="20"/>
                <w:szCs w:val="20"/>
                <w:lang w:val="sr-Latn-RS"/>
              </w:rPr>
              <w:t>đ</w:t>
            </w:r>
            <w:r w:rsidRPr="00082B85">
              <w:rPr>
                <w:rFonts w:cs="Calibri"/>
                <w:color w:val="auto"/>
                <w:sz w:val="20"/>
                <w:szCs w:val="20"/>
                <w:lang w:val="sr-Latn-RS"/>
              </w:rPr>
              <w:t>urezultat</w:t>
            </w:r>
          </w:p>
          <w:p w14:paraId="16EF6B2B" w14:textId="77777777" w:rsidR="009960D3" w:rsidRPr="00082B85" w:rsidRDefault="009960D3" w:rsidP="00082B85">
            <w:pPr>
              <w:spacing w:line="256" w:lineRule="auto"/>
              <w:jc w:val="center"/>
              <w:cnfStyle w:val="100000000000" w:firstRow="1" w:lastRow="0" w:firstColumn="0" w:lastColumn="0" w:oddVBand="0" w:evenVBand="0" w:oddHBand="0" w:evenHBand="0" w:firstRowFirstColumn="0" w:firstRowLastColumn="0" w:lastRowFirstColumn="0" w:lastRowLastColumn="0"/>
              <w:rPr>
                <w:rFonts w:cs="Calibri"/>
                <w:b w:val="0"/>
                <w:color w:val="auto"/>
                <w:sz w:val="20"/>
                <w:szCs w:val="20"/>
                <w:lang w:val="sr-Latn-RS"/>
              </w:rPr>
            </w:pPr>
            <w:r w:rsidRPr="00082B85">
              <w:rPr>
                <w:rFonts w:cs="Calibri"/>
                <w:color w:val="auto"/>
                <w:sz w:val="20"/>
                <w:szCs w:val="20"/>
                <w:lang w:val="sr-Latn-RS"/>
              </w:rPr>
              <w:t>(2024-2025)</w:t>
            </w:r>
          </w:p>
        </w:tc>
        <w:tc>
          <w:tcPr>
            <w:tcW w:w="1620" w:type="dxa"/>
            <w:hideMark/>
          </w:tcPr>
          <w:p w14:paraId="79EF207E" w14:textId="77777777" w:rsidR="009960D3" w:rsidRPr="00082B85" w:rsidRDefault="009960D3" w:rsidP="00082B85">
            <w:pPr>
              <w:spacing w:line="256" w:lineRule="auto"/>
              <w:jc w:val="center"/>
              <w:cnfStyle w:val="100000000000" w:firstRow="1" w:lastRow="0" w:firstColumn="0" w:lastColumn="0" w:oddVBand="0" w:evenVBand="0" w:oddHBand="0" w:evenHBand="0" w:firstRowFirstColumn="0" w:firstRowLastColumn="0" w:lastRowFirstColumn="0" w:lastRowLastColumn="0"/>
              <w:rPr>
                <w:rFonts w:cs="Calibri"/>
                <w:b w:val="0"/>
                <w:color w:val="auto"/>
                <w:sz w:val="20"/>
                <w:szCs w:val="20"/>
                <w:lang w:val="sr-Latn-RS"/>
              </w:rPr>
            </w:pPr>
            <w:r w:rsidRPr="00082B85">
              <w:rPr>
                <w:rFonts w:cs="Calibri"/>
                <w:color w:val="auto"/>
                <w:sz w:val="20"/>
                <w:szCs w:val="20"/>
                <w:lang w:val="sr-Latn-RS"/>
              </w:rPr>
              <w:t>Ciljna vrijednost</w:t>
            </w:r>
          </w:p>
          <w:p w14:paraId="65BE73BD" w14:textId="77777777" w:rsidR="009960D3" w:rsidRPr="00082B85" w:rsidRDefault="009960D3" w:rsidP="00082B85">
            <w:pPr>
              <w:spacing w:line="256" w:lineRule="auto"/>
              <w:jc w:val="center"/>
              <w:cnfStyle w:val="100000000000" w:firstRow="1" w:lastRow="0" w:firstColumn="0" w:lastColumn="0" w:oddVBand="0" w:evenVBand="0" w:oddHBand="0" w:evenHBand="0" w:firstRowFirstColumn="0" w:firstRowLastColumn="0" w:lastRowFirstColumn="0" w:lastRowLastColumn="0"/>
              <w:rPr>
                <w:rFonts w:cs="Calibri"/>
                <w:b w:val="0"/>
                <w:color w:val="auto"/>
                <w:sz w:val="20"/>
                <w:szCs w:val="20"/>
                <w:lang w:val="sr-Latn-RS"/>
              </w:rPr>
            </w:pPr>
            <w:r w:rsidRPr="00082B85">
              <w:rPr>
                <w:rFonts w:cs="Calibri"/>
                <w:color w:val="auto"/>
                <w:sz w:val="20"/>
                <w:szCs w:val="20"/>
                <w:lang w:val="sr-Latn-RS"/>
              </w:rPr>
              <w:t>(2026)</w:t>
            </w:r>
          </w:p>
        </w:tc>
      </w:tr>
      <w:tr w:rsidR="009960D3" w:rsidRPr="00082B85" w14:paraId="12F03EF7" w14:textId="77777777" w:rsidTr="008202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5" w:type="dxa"/>
            <w:hideMark/>
          </w:tcPr>
          <w:p w14:paraId="61A474CE" w14:textId="77777777" w:rsidR="009960D3" w:rsidRPr="00082B85" w:rsidRDefault="009960D3" w:rsidP="009960D3">
            <w:pPr>
              <w:spacing w:line="256" w:lineRule="auto"/>
              <w:jc w:val="both"/>
              <w:rPr>
                <w:rFonts w:cs="Calibri"/>
                <w:b w:val="0"/>
                <w:bCs w:val="0"/>
                <w:color w:val="auto"/>
                <w:sz w:val="20"/>
                <w:szCs w:val="20"/>
                <w:lang w:val="sr-Latn-RS"/>
              </w:rPr>
            </w:pPr>
            <w:r w:rsidRPr="00082B85">
              <w:rPr>
                <w:rFonts w:cs="Calibri"/>
                <w:b w:val="0"/>
                <w:bCs w:val="0"/>
                <w:color w:val="auto"/>
                <w:sz w:val="20"/>
                <w:szCs w:val="20"/>
                <w:lang w:val="sr-Latn-RS"/>
              </w:rPr>
              <w:t>Izgradnja i uspostavljanje Državnog Data centra i Disaster Recovery centra</w:t>
            </w:r>
          </w:p>
        </w:tc>
        <w:tc>
          <w:tcPr>
            <w:tcW w:w="2070" w:type="dxa"/>
            <w:hideMark/>
          </w:tcPr>
          <w:p w14:paraId="7D21F8D8" w14:textId="77777777" w:rsidR="009960D3" w:rsidRPr="00082B85" w:rsidRDefault="009960D3" w:rsidP="009960D3">
            <w:pPr>
              <w:spacing w:line="256" w:lineRule="auto"/>
              <w:jc w:val="both"/>
              <w:cnfStyle w:val="000000100000" w:firstRow="0" w:lastRow="0" w:firstColumn="0" w:lastColumn="0" w:oddVBand="0" w:evenVBand="0" w:oddHBand="1" w:evenHBand="0" w:firstRowFirstColumn="0" w:firstRowLastColumn="0" w:lastRowFirstColumn="0" w:lastRowLastColumn="0"/>
              <w:rPr>
                <w:rFonts w:cs="Calibri"/>
                <w:color w:val="auto"/>
                <w:sz w:val="20"/>
                <w:szCs w:val="20"/>
                <w:lang w:val="sr-Latn-RS"/>
              </w:rPr>
            </w:pPr>
            <w:r w:rsidRPr="00082B85">
              <w:rPr>
                <w:rFonts w:cs="Calibri"/>
                <w:color w:val="auto"/>
                <w:sz w:val="20"/>
                <w:szCs w:val="20"/>
                <w:lang w:val="sr-Latn-RS"/>
              </w:rPr>
              <w:t>Izrađena Studija izvodljivosti, izvršen odabir lokacije za izgradnju</w:t>
            </w:r>
          </w:p>
        </w:tc>
        <w:tc>
          <w:tcPr>
            <w:tcW w:w="2250" w:type="dxa"/>
            <w:hideMark/>
          </w:tcPr>
          <w:p w14:paraId="1B5479E5" w14:textId="77777777" w:rsidR="009960D3" w:rsidRPr="00082B85" w:rsidRDefault="009960D3" w:rsidP="009960D3">
            <w:pPr>
              <w:spacing w:line="256" w:lineRule="auto"/>
              <w:jc w:val="both"/>
              <w:cnfStyle w:val="000000100000" w:firstRow="0" w:lastRow="0" w:firstColumn="0" w:lastColumn="0" w:oddVBand="0" w:evenVBand="0" w:oddHBand="1" w:evenHBand="0" w:firstRowFirstColumn="0" w:firstRowLastColumn="0" w:lastRowFirstColumn="0" w:lastRowLastColumn="0"/>
              <w:rPr>
                <w:rFonts w:cs="Calibri"/>
                <w:color w:val="auto"/>
                <w:sz w:val="20"/>
                <w:szCs w:val="20"/>
                <w:lang w:val="sr-Latn-RS"/>
              </w:rPr>
            </w:pPr>
            <w:r w:rsidRPr="00082B85">
              <w:rPr>
                <w:rFonts w:cs="Calibri"/>
                <w:color w:val="auto"/>
                <w:sz w:val="20"/>
                <w:szCs w:val="20"/>
                <w:lang w:val="sr-Latn-RS"/>
              </w:rPr>
              <w:t>Definisani idejni i glavni projekat, obezbijeđen kredit, započeti</w:t>
            </w:r>
            <w:r w:rsidRPr="00082B85">
              <w:rPr>
                <w:rFonts w:cs="Calibri"/>
                <w:color w:val="auto"/>
                <w:sz w:val="20"/>
                <w:szCs w:val="20"/>
                <w:lang w:val="sr-Latn-ME"/>
              </w:rPr>
              <w:t xml:space="preserve"> građevinski radovi, definisan plan sinhr. postojećeg DC i Državnog DC i DR-a</w:t>
            </w:r>
          </w:p>
        </w:tc>
        <w:tc>
          <w:tcPr>
            <w:tcW w:w="1620" w:type="dxa"/>
          </w:tcPr>
          <w:p w14:paraId="12D510C0" w14:textId="77777777" w:rsidR="009960D3" w:rsidRPr="00082B85" w:rsidRDefault="009960D3" w:rsidP="009960D3">
            <w:pPr>
              <w:spacing w:line="256" w:lineRule="auto"/>
              <w:jc w:val="both"/>
              <w:cnfStyle w:val="000000100000" w:firstRow="0" w:lastRow="0" w:firstColumn="0" w:lastColumn="0" w:oddVBand="0" w:evenVBand="0" w:oddHBand="1" w:evenHBand="0" w:firstRowFirstColumn="0" w:firstRowLastColumn="0" w:lastRowFirstColumn="0" w:lastRowLastColumn="0"/>
              <w:rPr>
                <w:rFonts w:cs="Calibri"/>
                <w:color w:val="auto"/>
                <w:sz w:val="20"/>
                <w:szCs w:val="20"/>
                <w:lang w:val="sr-Latn-RS"/>
              </w:rPr>
            </w:pPr>
          </w:p>
        </w:tc>
      </w:tr>
      <w:tr w:rsidR="009960D3" w:rsidRPr="00082B85" w14:paraId="25D079D3" w14:textId="77777777" w:rsidTr="00820247">
        <w:tc>
          <w:tcPr>
            <w:cnfStyle w:val="001000000000" w:firstRow="0" w:lastRow="0" w:firstColumn="1" w:lastColumn="0" w:oddVBand="0" w:evenVBand="0" w:oddHBand="0" w:evenHBand="0" w:firstRowFirstColumn="0" w:firstRowLastColumn="0" w:lastRowFirstColumn="0" w:lastRowLastColumn="0"/>
            <w:tcW w:w="3505" w:type="dxa"/>
            <w:hideMark/>
          </w:tcPr>
          <w:p w14:paraId="25AC3976" w14:textId="77777777" w:rsidR="009960D3" w:rsidRPr="00082B85" w:rsidRDefault="009960D3" w:rsidP="009960D3">
            <w:pPr>
              <w:spacing w:line="256" w:lineRule="auto"/>
              <w:jc w:val="both"/>
              <w:rPr>
                <w:rFonts w:cs="Calibri"/>
                <w:b w:val="0"/>
                <w:bCs w:val="0"/>
                <w:color w:val="auto"/>
                <w:sz w:val="20"/>
                <w:szCs w:val="20"/>
                <w:lang w:val="sr-Latn-RS"/>
              </w:rPr>
            </w:pPr>
            <w:r w:rsidRPr="00082B85">
              <w:rPr>
                <w:rFonts w:cs="Calibri"/>
                <w:b w:val="0"/>
                <w:bCs w:val="0"/>
                <w:color w:val="auto"/>
                <w:sz w:val="20"/>
                <w:szCs w:val="20"/>
                <w:lang w:val="sr-Latn-RS"/>
              </w:rPr>
              <w:t>Uspostavljen jedinstveni portal eUprave</w:t>
            </w:r>
          </w:p>
        </w:tc>
        <w:tc>
          <w:tcPr>
            <w:tcW w:w="2070" w:type="dxa"/>
          </w:tcPr>
          <w:p w14:paraId="5B253264" w14:textId="77777777" w:rsidR="009960D3" w:rsidRPr="00082B85" w:rsidRDefault="009960D3" w:rsidP="009960D3">
            <w:pPr>
              <w:spacing w:line="256" w:lineRule="auto"/>
              <w:jc w:val="both"/>
              <w:cnfStyle w:val="000000000000" w:firstRow="0" w:lastRow="0" w:firstColumn="0" w:lastColumn="0" w:oddVBand="0" w:evenVBand="0" w:oddHBand="0" w:evenHBand="0" w:firstRowFirstColumn="0" w:firstRowLastColumn="0" w:lastRowFirstColumn="0" w:lastRowLastColumn="0"/>
              <w:rPr>
                <w:rFonts w:cs="Calibri"/>
                <w:color w:val="auto"/>
                <w:sz w:val="20"/>
                <w:szCs w:val="20"/>
                <w:lang w:val="sr-Latn-RS"/>
              </w:rPr>
            </w:pPr>
          </w:p>
        </w:tc>
        <w:tc>
          <w:tcPr>
            <w:tcW w:w="2250" w:type="dxa"/>
            <w:hideMark/>
          </w:tcPr>
          <w:p w14:paraId="3D0B0DF4" w14:textId="77777777" w:rsidR="009960D3" w:rsidRPr="00082B85" w:rsidRDefault="009960D3" w:rsidP="009960D3">
            <w:pPr>
              <w:spacing w:line="256" w:lineRule="auto"/>
              <w:jc w:val="both"/>
              <w:cnfStyle w:val="000000000000" w:firstRow="0" w:lastRow="0" w:firstColumn="0" w:lastColumn="0" w:oddVBand="0" w:evenVBand="0" w:oddHBand="0" w:evenHBand="0" w:firstRowFirstColumn="0" w:firstRowLastColumn="0" w:lastRowFirstColumn="0" w:lastRowLastColumn="0"/>
              <w:rPr>
                <w:rFonts w:cs="Calibri"/>
                <w:color w:val="auto"/>
                <w:sz w:val="20"/>
                <w:szCs w:val="20"/>
                <w:lang w:val="sr-Latn-RS"/>
              </w:rPr>
            </w:pPr>
            <w:r w:rsidRPr="00082B85">
              <w:rPr>
                <w:rFonts w:cs="Calibri"/>
                <w:color w:val="auto"/>
                <w:sz w:val="20"/>
                <w:szCs w:val="20"/>
                <w:lang w:val="sr-Latn-RS"/>
              </w:rPr>
              <w:t xml:space="preserve">Uspostavljen </w:t>
            </w:r>
          </w:p>
          <w:p w14:paraId="6C232B7F" w14:textId="77777777" w:rsidR="009960D3" w:rsidRPr="00082B85" w:rsidRDefault="009960D3" w:rsidP="009960D3">
            <w:pPr>
              <w:spacing w:line="256" w:lineRule="auto"/>
              <w:jc w:val="both"/>
              <w:cnfStyle w:val="000000000000" w:firstRow="0" w:lastRow="0" w:firstColumn="0" w:lastColumn="0" w:oddVBand="0" w:evenVBand="0" w:oddHBand="0" w:evenHBand="0" w:firstRowFirstColumn="0" w:firstRowLastColumn="0" w:lastRowFirstColumn="0" w:lastRowLastColumn="0"/>
              <w:rPr>
                <w:rFonts w:cs="Calibri"/>
                <w:color w:val="auto"/>
                <w:sz w:val="20"/>
                <w:szCs w:val="20"/>
                <w:lang w:val="sr-Latn-RS"/>
              </w:rPr>
            </w:pPr>
            <w:r w:rsidRPr="00082B85">
              <w:rPr>
                <w:rFonts w:cs="Calibri"/>
                <w:color w:val="auto"/>
                <w:sz w:val="20"/>
                <w:szCs w:val="20"/>
                <w:lang w:val="sr-Latn-RS"/>
              </w:rPr>
              <w:t>portal</w:t>
            </w:r>
          </w:p>
        </w:tc>
        <w:tc>
          <w:tcPr>
            <w:tcW w:w="1620" w:type="dxa"/>
          </w:tcPr>
          <w:p w14:paraId="1C488985" w14:textId="77777777" w:rsidR="009960D3" w:rsidRPr="00082B85" w:rsidRDefault="009960D3" w:rsidP="009960D3">
            <w:pPr>
              <w:spacing w:line="256" w:lineRule="auto"/>
              <w:jc w:val="both"/>
              <w:cnfStyle w:val="000000000000" w:firstRow="0" w:lastRow="0" w:firstColumn="0" w:lastColumn="0" w:oddVBand="0" w:evenVBand="0" w:oddHBand="0" w:evenHBand="0" w:firstRowFirstColumn="0" w:firstRowLastColumn="0" w:lastRowFirstColumn="0" w:lastRowLastColumn="0"/>
              <w:rPr>
                <w:rFonts w:cs="Calibri"/>
                <w:color w:val="auto"/>
                <w:sz w:val="20"/>
                <w:szCs w:val="20"/>
                <w:lang w:val="sr-Latn-RS"/>
              </w:rPr>
            </w:pPr>
          </w:p>
        </w:tc>
      </w:tr>
      <w:tr w:rsidR="00BB6E57" w:rsidRPr="00082B85" w14:paraId="574C7D15" w14:textId="77777777" w:rsidTr="008202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5" w:type="dxa"/>
          </w:tcPr>
          <w:p w14:paraId="0001AF2B" w14:textId="77777777" w:rsidR="00DF65A8" w:rsidRPr="00082B85" w:rsidRDefault="00DF65A8" w:rsidP="00DF65A8">
            <w:pPr>
              <w:rPr>
                <w:rFonts w:ascii="Times New Roman" w:eastAsia="Calibri" w:hAnsi="Times New Roman" w:cs="Times New Roman"/>
                <w:b w:val="0"/>
                <w:bCs w:val="0"/>
                <w:color w:val="auto"/>
                <w:kern w:val="0"/>
                <w:sz w:val="20"/>
                <w:szCs w:val="20"/>
                <w14:ligatures w14:val="none"/>
              </w:rPr>
            </w:pPr>
            <w:r w:rsidRPr="00082B85">
              <w:rPr>
                <w:rFonts w:ascii="Calibri" w:eastAsia="Calibri" w:hAnsi="Calibri" w:cs="Calibri"/>
                <w:b w:val="0"/>
                <w:bCs w:val="0"/>
                <w:color w:val="auto"/>
                <w:kern w:val="0"/>
                <w:sz w:val="20"/>
                <w:szCs w:val="20"/>
                <w:lang w:val="sr-Latn-RS"/>
                <w14:ligatures w14:val="none"/>
              </w:rPr>
              <w:t>Broj sprovedenih programa na Digitalnoj akademiji</w:t>
            </w:r>
            <w:r w:rsidRPr="00082B85">
              <w:rPr>
                <w:rFonts w:ascii="Times New Roman" w:eastAsia="Calibri" w:hAnsi="Times New Roman" w:cs="Times New Roman"/>
                <w:b w:val="0"/>
                <w:bCs w:val="0"/>
                <w:color w:val="auto"/>
                <w:kern w:val="0"/>
                <w:sz w:val="20"/>
                <w:szCs w:val="20"/>
                <w14:ligatures w14:val="none"/>
              </w:rPr>
              <w:t xml:space="preserve"> </w:t>
            </w:r>
          </w:p>
          <w:p w14:paraId="49DE6A92" w14:textId="185C3810" w:rsidR="009960D3" w:rsidRPr="00082B85" w:rsidRDefault="009960D3" w:rsidP="009960D3">
            <w:pPr>
              <w:spacing w:line="256" w:lineRule="auto"/>
              <w:jc w:val="both"/>
              <w:rPr>
                <w:rFonts w:cs="Calibri"/>
                <w:b w:val="0"/>
                <w:bCs w:val="0"/>
                <w:color w:val="auto"/>
                <w:sz w:val="20"/>
                <w:szCs w:val="20"/>
                <w:lang w:val="sr-Latn-RS"/>
              </w:rPr>
            </w:pPr>
          </w:p>
        </w:tc>
        <w:tc>
          <w:tcPr>
            <w:tcW w:w="2070" w:type="dxa"/>
          </w:tcPr>
          <w:p w14:paraId="70F0CD9D" w14:textId="77777777" w:rsidR="00DF65A8" w:rsidRPr="00082B85" w:rsidRDefault="00DF65A8" w:rsidP="00DF65A8">
            <w:pPr>
              <w:spacing w:line="256" w:lineRule="auto"/>
              <w:jc w:val="center"/>
              <w:cnfStyle w:val="000000100000" w:firstRow="0" w:lastRow="0" w:firstColumn="0" w:lastColumn="0" w:oddVBand="0" w:evenVBand="0" w:oddHBand="1" w:evenHBand="0" w:firstRowFirstColumn="0" w:firstRowLastColumn="0" w:lastRowFirstColumn="0" w:lastRowLastColumn="0"/>
              <w:rPr>
                <w:rFonts w:cs="Calibri"/>
                <w:color w:val="auto"/>
                <w:sz w:val="20"/>
                <w:szCs w:val="20"/>
                <w:lang w:val="sr-Latn-RS"/>
              </w:rPr>
            </w:pPr>
          </w:p>
          <w:p w14:paraId="74AB317C" w14:textId="4EE637A0" w:rsidR="009960D3" w:rsidRPr="00082B85" w:rsidRDefault="00DF65A8" w:rsidP="00DF65A8">
            <w:pPr>
              <w:spacing w:line="256" w:lineRule="auto"/>
              <w:jc w:val="center"/>
              <w:cnfStyle w:val="000000100000" w:firstRow="0" w:lastRow="0" w:firstColumn="0" w:lastColumn="0" w:oddVBand="0" w:evenVBand="0" w:oddHBand="1" w:evenHBand="0" w:firstRowFirstColumn="0" w:firstRowLastColumn="0" w:lastRowFirstColumn="0" w:lastRowLastColumn="0"/>
              <w:rPr>
                <w:rFonts w:cs="Calibri"/>
                <w:color w:val="auto"/>
                <w:sz w:val="20"/>
                <w:szCs w:val="20"/>
                <w:lang w:val="sr-Latn-RS"/>
              </w:rPr>
            </w:pPr>
            <w:r w:rsidRPr="00082B85">
              <w:rPr>
                <w:rFonts w:cs="Calibri"/>
                <w:color w:val="auto"/>
                <w:sz w:val="20"/>
                <w:szCs w:val="20"/>
                <w:lang w:val="sr-Latn-RS"/>
              </w:rPr>
              <w:t>6</w:t>
            </w:r>
          </w:p>
        </w:tc>
        <w:tc>
          <w:tcPr>
            <w:tcW w:w="2250" w:type="dxa"/>
          </w:tcPr>
          <w:p w14:paraId="2C06DDCF" w14:textId="77777777" w:rsidR="00820247" w:rsidRPr="00082B85" w:rsidRDefault="00820247" w:rsidP="00DF65A8">
            <w:pPr>
              <w:spacing w:line="256" w:lineRule="auto"/>
              <w:jc w:val="center"/>
              <w:cnfStyle w:val="000000100000" w:firstRow="0" w:lastRow="0" w:firstColumn="0" w:lastColumn="0" w:oddVBand="0" w:evenVBand="0" w:oddHBand="1" w:evenHBand="0" w:firstRowFirstColumn="0" w:firstRowLastColumn="0" w:lastRowFirstColumn="0" w:lastRowLastColumn="0"/>
              <w:rPr>
                <w:rFonts w:cs="Calibri"/>
                <w:color w:val="auto"/>
                <w:sz w:val="20"/>
                <w:szCs w:val="20"/>
                <w:lang w:val="sr-Latn-RS"/>
              </w:rPr>
            </w:pPr>
          </w:p>
          <w:p w14:paraId="3349974E" w14:textId="57F34E12" w:rsidR="009960D3" w:rsidRPr="00082B85" w:rsidRDefault="00DF65A8" w:rsidP="00DF65A8">
            <w:pPr>
              <w:spacing w:line="256" w:lineRule="auto"/>
              <w:jc w:val="center"/>
              <w:cnfStyle w:val="000000100000" w:firstRow="0" w:lastRow="0" w:firstColumn="0" w:lastColumn="0" w:oddVBand="0" w:evenVBand="0" w:oddHBand="1" w:evenHBand="0" w:firstRowFirstColumn="0" w:firstRowLastColumn="0" w:lastRowFirstColumn="0" w:lastRowLastColumn="0"/>
              <w:rPr>
                <w:rFonts w:cs="Calibri"/>
                <w:color w:val="auto"/>
                <w:sz w:val="20"/>
                <w:szCs w:val="20"/>
                <w:lang w:val="sr-Latn-RS"/>
              </w:rPr>
            </w:pPr>
            <w:r w:rsidRPr="00082B85">
              <w:rPr>
                <w:rFonts w:cs="Calibri"/>
                <w:color w:val="auto"/>
                <w:sz w:val="20"/>
                <w:szCs w:val="20"/>
                <w:lang w:val="sr-Latn-RS"/>
              </w:rPr>
              <w:t>11</w:t>
            </w:r>
          </w:p>
        </w:tc>
        <w:tc>
          <w:tcPr>
            <w:tcW w:w="1620" w:type="dxa"/>
          </w:tcPr>
          <w:p w14:paraId="5D8EEB50" w14:textId="77777777" w:rsidR="00DF65A8" w:rsidRPr="00082B85" w:rsidRDefault="00DF65A8" w:rsidP="00DF65A8">
            <w:pPr>
              <w:spacing w:line="256" w:lineRule="auto"/>
              <w:jc w:val="center"/>
              <w:cnfStyle w:val="000000100000" w:firstRow="0" w:lastRow="0" w:firstColumn="0" w:lastColumn="0" w:oddVBand="0" w:evenVBand="0" w:oddHBand="1" w:evenHBand="0" w:firstRowFirstColumn="0" w:firstRowLastColumn="0" w:lastRowFirstColumn="0" w:lastRowLastColumn="0"/>
              <w:rPr>
                <w:rFonts w:cs="Calibri"/>
                <w:color w:val="auto"/>
                <w:sz w:val="20"/>
                <w:szCs w:val="20"/>
                <w:lang w:val="sr-Latn-RS"/>
              </w:rPr>
            </w:pPr>
          </w:p>
          <w:p w14:paraId="293E54EB" w14:textId="27896907" w:rsidR="009960D3" w:rsidRPr="00082B85" w:rsidRDefault="00DF65A8" w:rsidP="00DF65A8">
            <w:pPr>
              <w:spacing w:line="256" w:lineRule="auto"/>
              <w:jc w:val="center"/>
              <w:cnfStyle w:val="000000100000" w:firstRow="0" w:lastRow="0" w:firstColumn="0" w:lastColumn="0" w:oddVBand="0" w:evenVBand="0" w:oddHBand="1" w:evenHBand="0" w:firstRowFirstColumn="0" w:firstRowLastColumn="0" w:lastRowFirstColumn="0" w:lastRowLastColumn="0"/>
              <w:rPr>
                <w:rFonts w:cs="Calibri"/>
                <w:color w:val="auto"/>
                <w:sz w:val="20"/>
                <w:szCs w:val="20"/>
                <w:lang w:val="sr-Latn-RS"/>
              </w:rPr>
            </w:pPr>
            <w:r w:rsidRPr="00082B85">
              <w:rPr>
                <w:rFonts w:cs="Calibri"/>
                <w:color w:val="auto"/>
                <w:sz w:val="20"/>
                <w:szCs w:val="20"/>
                <w:lang w:val="sr-Latn-RS"/>
              </w:rPr>
              <w:t>15</w:t>
            </w:r>
          </w:p>
        </w:tc>
      </w:tr>
      <w:tr w:rsidR="00820247" w:rsidRPr="00082B85" w14:paraId="5BD9721E" w14:textId="77777777" w:rsidTr="00820247">
        <w:tc>
          <w:tcPr>
            <w:cnfStyle w:val="001000000000" w:firstRow="0" w:lastRow="0" w:firstColumn="1" w:lastColumn="0" w:oddVBand="0" w:evenVBand="0" w:oddHBand="0" w:evenHBand="0" w:firstRowFirstColumn="0" w:firstRowLastColumn="0" w:lastRowFirstColumn="0" w:lastRowLastColumn="0"/>
            <w:tcW w:w="3505" w:type="dxa"/>
            <w:hideMark/>
          </w:tcPr>
          <w:p w14:paraId="6D6F1F01" w14:textId="77777777" w:rsidR="00820247" w:rsidRPr="00082B85" w:rsidRDefault="00820247">
            <w:pPr>
              <w:jc w:val="both"/>
              <w:rPr>
                <w:rFonts w:cstheme="minorHAnsi"/>
                <w:b w:val="0"/>
                <w:bCs w:val="0"/>
                <w:color w:val="auto"/>
                <w:sz w:val="20"/>
                <w:szCs w:val="20"/>
                <w:lang w:val="sl-SI"/>
              </w:rPr>
            </w:pPr>
            <w:r w:rsidRPr="00082B85">
              <w:rPr>
                <w:rFonts w:cstheme="minorHAnsi"/>
                <w:b w:val="0"/>
                <w:bCs w:val="0"/>
                <w:color w:val="auto"/>
                <w:sz w:val="20"/>
                <w:szCs w:val="20"/>
                <w:lang w:val="sl-SI"/>
              </w:rPr>
              <w:t>Broj digitalnih udžbenika</w:t>
            </w:r>
          </w:p>
        </w:tc>
        <w:tc>
          <w:tcPr>
            <w:tcW w:w="2070" w:type="dxa"/>
            <w:hideMark/>
          </w:tcPr>
          <w:p w14:paraId="5B05655E" w14:textId="77777777" w:rsidR="00820247" w:rsidRPr="00082B85" w:rsidRDefault="00820247" w:rsidP="00820247">
            <w:pPr>
              <w:jc w:val="center"/>
              <w:cnfStyle w:val="000000000000" w:firstRow="0" w:lastRow="0" w:firstColumn="0" w:lastColumn="0" w:oddVBand="0" w:evenVBand="0" w:oddHBand="0" w:evenHBand="0" w:firstRowFirstColumn="0" w:firstRowLastColumn="0" w:lastRowFirstColumn="0" w:lastRowLastColumn="0"/>
              <w:rPr>
                <w:rFonts w:cstheme="minorHAnsi"/>
                <w:color w:val="auto"/>
                <w:sz w:val="20"/>
                <w:szCs w:val="20"/>
                <w:lang w:val="sl-SI"/>
              </w:rPr>
            </w:pPr>
            <w:r w:rsidRPr="00082B85">
              <w:rPr>
                <w:rFonts w:cstheme="minorHAnsi"/>
                <w:color w:val="auto"/>
                <w:sz w:val="20"/>
                <w:szCs w:val="20"/>
                <w:lang w:val="sl-SI"/>
              </w:rPr>
              <w:t>0</w:t>
            </w:r>
          </w:p>
        </w:tc>
        <w:tc>
          <w:tcPr>
            <w:tcW w:w="2250" w:type="dxa"/>
            <w:hideMark/>
          </w:tcPr>
          <w:p w14:paraId="790EB8A9" w14:textId="77777777" w:rsidR="00820247" w:rsidRPr="00082B85" w:rsidRDefault="00820247" w:rsidP="00820247">
            <w:pPr>
              <w:jc w:val="center"/>
              <w:cnfStyle w:val="000000000000" w:firstRow="0" w:lastRow="0" w:firstColumn="0" w:lastColumn="0" w:oddVBand="0" w:evenVBand="0" w:oddHBand="0" w:evenHBand="0" w:firstRowFirstColumn="0" w:firstRowLastColumn="0" w:lastRowFirstColumn="0" w:lastRowLastColumn="0"/>
              <w:rPr>
                <w:rFonts w:cstheme="minorHAnsi"/>
                <w:color w:val="auto"/>
                <w:sz w:val="20"/>
                <w:szCs w:val="20"/>
                <w:lang w:val="sl-SI"/>
              </w:rPr>
            </w:pPr>
            <w:r w:rsidRPr="00082B85">
              <w:rPr>
                <w:rFonts w:cstheme="minorHAnsi"/>
                <w:color w:val="auto"/>
                <w:sz w:val="20"/>
                <w:szCs w:val="20"/>
                <w:lang w:val="sl-SI"/>
              </w:rPr>
              <w:t>18</w:t>
            </w:r>
          </w:p>
        </w:tc>
        <w:tc>
          <w:tcPr>
            <w:tcW w:w="1620" w:type="dxa"/>
            <w:hideMark/>
          </w:tcPr>
          <w:p w14:paraId="44CF32B7" w14:textId="77777777" w:rsidR="00820247" w:rsidRPr="00082B85" w:rsidRDefault="00820247" w:rsidP="00820247">
            <w:pPr>
              <w:jc w:val="center"/>
              <w:cnfStyle w:val="000000000000" w:firstRow="0" w:lastRow="0" w:firstColumn="0" w:lastColumn="0" w:oddVBand="0" w:evenVBand="0" w:oddHBand="0" w:evenHBand="0" w:firstRowFirstColumn="0" w:firstRowLastColumn="0" w:lastRowFirstColumn="0" w:lastRowLastColumn="0"/>
              <w:rPr>
                <w:rFonts w:cstheme="minorHAnsi"/>
                <w:color w:val="auto"/>
                <w:sz w:val="20"/>
                <w:szCs w:val="20"/>
                <w:lang w:val="sl-SI"/>
              </w:rPr>
            </w:pPr>
            <w:r w:rsidRPr="00082B85">
              <w:rPr>
                <w:rFonts w:cstheme="minorHAnsi"/>
                <w:color w:val="auto"/>
                <w:sz w:val="20"/>
                <w:szCs w:val="20"/>
                <w:lang w:val="sl-SI"/>
              </w:rPr>
              <w:t>50</w:t>
            </w:r>
          </w:p>
        </w:tc>
      </w:tr>
      <w:tr w:rsidR="009960D3" w:rsidRPr="00082B85" w14:paraId="437ADBF4" w14:textId="77777777" w:rsidTr="008202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5" w:type="dxa"/>
            <w:hideMark/>
          </w:tcPr>
          <w:p w14:paraId="287DC8C9" w14:textId="66A5B4A2" w:rsidR="009960D3" w:rsidRPr="00082B85" w:rsidRDefault="00DF65A8" w:rsidP="009960D3">
            <w:pPr>
              <w:spacing w:line="256" w:lineRule="auto"/>
              <w:jc w:val="both"/>
              <w:rPr>
                <w:rFonts w:cs="Calibri"/>
                <w:b w:val="0"/>
                <w:bCs w:val="0"/>
                <w:color w:val="auto"/>
                <w:sz w:val="20"/>
                <w:szCs w:val="20"/>
                <w:lang w:val="sr-Latn-RS"/>
              </w:rPr>
            </w:pPr>
            <w:r w:rsidRPr="00082B85">
              <w:rPr>
                <w:rFonts w:cs="Calibri"/>
                <w:b w:val="0"/>
                <w:bCs w:val="0"/>
                <w:color w:val="auto"/>
                <w:sz w:val="20"/>
                <w:szCs w:val="20"/>
              </w:rPr>
              <w:t>% povećanja broja</w:t>
            </w:r>
            <w:r w:rsidR="009960D3" w:rsidRPr="00082B85">
              <w:rPr>
                <w:rFonts w:cs="Calibri"/>
                <w:b w:val="0"/>
                <w:bCs w:val="0"/>
                <w:color w:val="auto"/>
                <w:sz w:val="20"/>
                <w:szCs w:val="20"/>
              </w:rPr>
              <w:t xml:space="preserve"> elektronskih registracija u godini</w:t>
            </w:r>
          </w:p>
        </w:tc>
        <w:tc>
          <w:tcPr>
            <w:tcW w:w="2070" w:type="dxa"/>
            <w:hideMark/>
          </w:tcPr>
          <w:p w14:paraId="7C8C93AB" w14:textId="77777777" w:rsidR="009960D3" w:rsidRPr="00082B85" w:rsidRDefault="009960D3" w:rsidP="009960D3">
            <w:pPr>
              <w:spacing w:line="256" w:lineRule="auto"/>
              <w:jc w:val="both"/>
              <w:cnfStyle w:val="000000100000" w:firstRow="0" w:lastRow="0" w:firstColumn="0" w:lastColumn="0" w:oddVBand="0" w:evenVBand="0" w:oddHBand="1" w:evenHBand="0" w:firstRowFirstColumn="0" w:firstRowLastColumn="0" w:lastRowFirstColumn="0" w:lastRowLastColumn="0"/>
              <w:rPr>
                <w:rFonts w:cs="Calibri"/>
                <w:color w:val="auto"/>
                <w:sz w:val="20"/>
                <w:szCs w:val="20"/>
                <w:lang w:val="sr-Latn-RS"/>
              </w:rPr>
            </w:pPr>
            <w:r w:rsidRPr="00082B85">
              <w:rPr>
                <w:rFonts w:cs="Calibri"/>
                <w:color w:val="auto"/>
                <w:sz w:val="20"/>
                <w:szCs w:val="20"/>
              </w:rPr>
              <w:t>10% kod registracije jednočlanih DOO</w:t>
            </w:r>
          </w:p>
        </w:tc>
        <w:tc>
          <w:tcPr>
            <w:tcW w:w="2250" w:type="dxa"/>
            <w:hideMark/>
          </w:tcPr>
          <w:p w14:paraId="380A005B" w14:textId="77777777" w:rsidR="009960D3" w:rsidRPr="00082B85" w:rsidRDefault="009960D3" w:rsidP="009960D3">
            <w:pPr>
              <w:spacing w:line="256" w:lineRule="auto"/>
              <w:jc w:val="both"/>
              <w:cnfStyle w:val="000000100000" w:firstRow="0" w:lastRow="0" w:firstColumn="0" w:lastColumn="0" w:oddVBand="0" w:evenVBand="0" w:oddHBand="1" w:evenHBand="0" w:firstRowFirstColumn="0" w:firstRowLastColumn="0" w:lastRowFirstColumn="0" w:lastRowLastColumn="0"/>
              <w:rPr>
                <w:rFonts w:cs="Calibri"/>
                <w:color w:val="auto"/>
                <w:sz w:val="20"/>
                <w:szCs w:val="20"/>
                <w:lang w:val="sr-Latn-RS"/>
              </w:rPr>
            </w:pPr>
            <w:r w:rsidRPr="00082B85">
              <w:rPr>
                <w:rFonts w:cs="Calibri"/>
                <w:color w:val="auto"/>
                <w:sz w:val="20"/>
                <w:szCs w:val="20"/>
              </w:rPr>
              <w:t>20% kod registracije svih oblika privrednih društava</w:t>
            </w:r>
          </w:p>
        </w:tc>
        <w:tc>
          <w:tcPr>
            <w:tcW w:w="1620" w:type="dxa"/>
            <w:hideMark/>
          </w:tcPr>
          <w:p w14:paraId="72BC7900" w14:textId="7A94C070" w:rsidR="009960D3" w:rsidRPr="00082B85" w:rsidRDefault="009960D3" w:rsidP="009960D3">
            <w:pPr>
              <w:spacing w:line="256" w:lineRule="auto"/>
              <w:jc w:val="both"/>
              <w:cnfStyle w:val="000000100000" w:firstRow="0" w:lastRow="0" w:firstColumn="0" w:lastColumn="0" w:oddVBand="0" w:evenVBand="0" w:oddHBand="1" w:evenHBand="0" w:firstRowFirstColumn="0" w:firstRowLastColumn="0" w:lastRowFirstColumn="0" w:lastRowLastColumn="0"/>
              <w:rPr>
                <w:rFonts w:cs="Calibri"/>
                <w:color w:val="auto"/>
                <w:sz w:val="20"/>
                <w:szCs w:val="20"/>
                <w:lang w:val="sr-Latn-RS"/>
              </w:rPr>
            </w:pPr>
            <w:r w:rsidRPr="00082B85">
              <w:rPr>
                <w:rFonts w:cs="Calibri"/>
                <w:color w:val="auto"/>
                <w:sz w:val="20"/>
                <w:szCs w:val="20"/>
              </w:rPr>
              <w:t>20%</w:t>
            </w:r>
            <w:r w:rsidR="00A01B52" w:rsidRPr="00082B85">
              <w:rPr>
                <w:rFonts w:cs="Calibri"/>
                <w:color w:val="auto"/>
                <w:sz w:val="20"/>
                <w:szCs w:val="20"/>
              </w:rPr>
              <w:t xml:space="preserve"> </w:t>
            </w:r>
            <w:r w:rsidRPr="00082B85">
              <w:rPr>
                <w:rFonts w:cs="Calibri"/>
                <w:color w:val="auto"/>
                <w:sz w:val="20"/>
                <w:szCs w:val="20"/>
              </w:rPr>
              <w:t>kod registracije svih oblika privrednih društava</w:t>
            </w:r>
          </w:p>
        </w:tc>
      </w:tr>
    </w:tbl>
    <w:p w14:paraId="6386D14A" w14:textId="5BE741C7" w:rsidR="009960D3" w:rsidRPr="00533532" w:rsidRDefault="009960D3" w:rsidP="009960D3">
      <w:pPr>
        <w:spacing w:line="256" w:lineRule="auto"/>
        <w:jc w:val="both"/>
        <w:rPr>
          <w:rFonts w:cs="Calibri"/>
          <w:kern w:val="0"/>
          <w:sz w:val="24"/>
          <w:szCs w:val="24"/>
          <w14:ligatures w14:val="none"/>
        </w:rPr>
      </w:pPr>
      <w:r w:rsidRPr="009960D3">
        <w:rPr>
          <w:rFonts w:ascii="Calibri" w:eastAsia="Calibri" w:hAnsi="Calibri" w:cs="Calibri"/>
          <w:b/>
          <w:bCs/>
          <w:sz w:val="24"/>
          <w:szCs w:val="24"/>
          <w:lang w:val="sr-Latn-ME"/>
        </w:rPr>
        <w:t xml:space="preserve">3.Očekivani uticaj na konkurentnost. </w:t>
      </w:r>
      <w:r w:rsidRPr="009960D3">
        <w:rPr>
          <w:rFonts w:ascii="Calibri" w:eastAsia="Calibri" w:hAnsi="Calibri" w:cs="Calibri"/>
          <w:iCs/>
          <w:sz w:val="24"/>
          <w:szCs w:val="24"/>
          <w:lang w:val="sr-Latn-RS"/>
        </w:rPr>
        <w:t xml:space="preserve">Sprovođenjem ove reformske mjere podstiče se rast produktivnosti i poboljšava efikasnost javnog sektora u pružanju usluga privredi i građanima. Ujedno, uvođenjem mreža nove generacije smanjuje se prepreka konkurentnosti, ubrzava digitalizacija privrede i javne uprave, otvaraju mogućnosti za implementaciju novih digitalnih </w:t>
      </w:r>
      <w:r w:rsidRPr="009960D3">
        <w:rPr>
          <w:rFonts w:ascii="Calibri" w:eastAsia="Calibri" w:hAnsi="Calibri" w:cs="Calibri"/>
          <w:iCs/>
          <w:sz w:val="24"/>
          <w:szCs w:val="24"/>
          <w:lang w:val="sr-Latn-RS"/>
        </w:rPr>
        <w:lastRenderedPageBreak/>
        <w:t xml:space="preserve">usluga i digitalizaciju proizvodnje. Na taj način kompanije postaju produktivnije i profitabilnije, podstičući naročito njihovu konkurentnost na teritoriji cijele Crne Gore. </w:t>
      </w:r>
      <w:r w:rsidR="00820247" w:rsidRPr="00820247">
        <w:rPr>
          <w:rFonts w:cs="Calibri"/>
          <w:kern w:val="0"/>
          <w:sz w:val="24"/>
          <w:szCs w:val="24"/>
          <w:lang w:val="sr-Latn-RS"/>
          <w14:ligatures w14:val="none"/>
        </w:rPr>
        <w:t>Izradom digitalnih udžbenika i većom primjenom tehnologije u nastavne procese utiče se na unapređenje digitalnih vještina učenika i nastavnika, što ima uticaj na sve djelove razvoja društva.</w:t>
      </w:r>
      <w:r w:rsidR="00533532" w:rsidRPr="00533532">
        <w:rPr>
          <w:rFonts w:ascii="Calibri" w:hAnsi="Calibri" w:cs="Calibri"/>
          <w:sz w:val="23"/>
          <w:szCs w:val="23"/>
        </w:rPr>
        <w:t xml:space="preserve"> </w:t>
      </w:r>
    </w:p>
    <w:p w14:paraId="489AFDB8" w14:textId="4938820F" w:rsidR="00820247" w:rsidRPr="00655BB5" w:rsidRDefault="009960D3" w:rsidP="00820247">
      <w:pPr>
        <w:jc w:val="both"/>
        <w:rPr>
          <w:rFonts w:ascii="Calibri" w:eastAsia="Calibri" w:hAnsi="Calibri" w:cs="Calibri"/>
          <w:sz w:val="24"/>
          <w:szCs w:val="24"/>
          <w:lang w:val="sr-Latn-RS"/>
        </w:rPr>
      </w:pPr>
      <w:r w:rsidRPr="009960D3">
        <w:rPr>
          <w:rFonts w:ascii="Calibri" w:eastAsia="Calibri" w:hAnsi="Calibri" w:cs="Calibri"/>
          <w:sz w:val="24"/>
          <w:szCs w:val="24"/>
          <w:lang w:val="sr-Latn-RS"/>
        </w:rPr>
        <w:t>4.</w:t>
      </w:r>
      <w:r w:rsidRPr="009960D3">
        <w:rPr>
          <w:rFonts w:ascii="Calibri" w:eastAsia="Calibri" w:hAnsi="Calibri" w:cs="Calibri"/>
          <w:b/>
          <w:bCs/>
          <w:sz w:val="24"/>
          <w:szCs w:val="24"/>
          <w:lang w:val="sr-Latn-RS"/>
        </w:rPr>
        <w:t>Procijenjeni troškovi sprovođenja reformske mjere i izvori finansiranja.</w:t>
      </w:r>
      <w:r w:rsidR="00184966" w:rsidRPr="00184966">
        <w:t xml:space="preserve"> </w:t>
      </w:r>
      <w:r w:rsidR="00184966" w:rsidRPr="00184966">
        <w:rPr>
          <w:rFonts w:ascii="Calibri" w:eastAsia="Calibri" w:hAnsi="Calibri" w:cs="Calibri"/>
          <w:sz w:val="24"/>
          <w:szCs w:val="24"/>
          <w:lang w:val="sr-Latn-RS"/>
        </w:rPr>
        <w:t>Dodatni troškovi za implementaciju mjere za period 2024-2026. iznosiće 16.650.000€ i dominantno će se finansirati iz centralnog budeta. Troškovi za aktivnosti u oblasti sajber bezbjednosti i digitalne akademije, u 2024.godini iznosiće 4.430.000 ,od čega će 4.180.000€ biti iz centralnog budžeta. Izdaci za ove aktivnosti  za 2025. i 2026.godinu  iznosi</w:t>
      </w:r>
      <w:r w:rsidR="00A01B52">
        <w:rPr>
          <w:rFonts w:ascii="Calibri" w:eastAsia="Calibri" w:hAnsi="Calibri" w:cs="Calibri"/>
          <w:sz w:val="24"/>
          <w:szCs w:val="24"/>
          <w:lang w:val="sr-Latn-RS"/>
        </w:rPr>
        <w:t>ć</w:t>
      </w:r>
      <w:r w:rsidR="00184966" w:rsidRPr="00184966">
        <w:rPr>
          <w:rFonts w:ascii="Calibri" w:eastAsia="Calibri" w:hAnsi="Calibri" w:cs="Calibri"/>
          <w:sz w:val="24"/>
          <w:szCs w:val="24"/>
          <w:lang w:val="sr-Latn-RS"/>
        </w:rPr>
        <w:t xml:space="preserve">e po 5.350.000 eura.  Iz ukupno navedenih troškova za period 2024-2026, će se finansirati: </w:t>
      </w:r>
      <w:r w:rsidRPr="009960D3">
        <w:rPr>
          <w:rFonts w:ascii="Calibri" w:eastAsia="Calibri" w:hAnsi="Calibri" w:cs="Calibri"/>
          <w:sz w:val="24"/>
          <w:szCs w:val="24"/>
          <w:lang w:val="sr-Latn-RS"/>
        </w:rPr>
        <w:t>uspostavljanje platforme za Digitalnu akademiju i izdatke za nabavku opreme, angažovanje predavača, konsultanske usluge i dr. 350.000,00€; za potrebe izrade Studije izvodljivosti za izgradnju Državnog Data centra i Disaster Recovery</w:t>
      </w:r>
      <w:r w:rsidR="00C325CF">
        <w:rPr>
          <w:rFonts w:ascii="Calibri" w:eastAsia="Calibri" w:hAnsi="Calibri" w:cs="Calibri"/>
          <w:sz w:val="24"/>
          <w:szCs w:val="24"/>
          <w:lang w:val="sr-Latn-RS"/>
        </w:rPr>
        <w:t>,</w:t>
      </w:r>
      <w:r w:rsidRPr="009960D3">
        <w:rPr>
          <w:rFonts w:ascii="Calibri" w:eastAsia="Calibri" w:hAnsi="Calibri" w:cs="Calibri"/>
          <w:sz w:val="24"/>
          <w:szCs w:val="24"/>
          <w:lang w:val="sr-Latn-RS"/>
        </w:rPr>
        <w:t xml:space="preserve"> 150.000,00€; za jačanje kapaciteta Vladinog CIRT-a i uspostavljanje Vladinog operativno-bezbjednosnog centra (G-SOC) planirano je 1.400.000,00€, a ova vrijednost se odnosi na opremanje primarnih i redudatnih prostorija za rad, nabavku primarnih i redudatnih softverskih alata za upravljanje incidentima, forenziku i analitiku; podrška inovativnim kompanijama iz oblasti sajber bezbjednosti u iznosu od 100.000,00€. Za potrebe uspostavljanja Agencije za sajber bezbjednost, planirano je izdvajanje ukupno 2.080.000,00€ iz državnog budžeta. Za aktivnosti na jačanju uloge i kapaciteta Koordinacionog tijela biće opredijeljeno 100.000,00€ godišnje. Ostale aktivnosti koje su predviđene reformskom mjerom finansiraće se iz donacija i/ili </w:t>
      </w:r>
      <w:r w:rsidR="00C325CF">
        <w:rPr>
          <w:rFonts w:ascii="Calibri" w:eastAsia="Calibri" w:hAnsi="Calibri" w:cs="Calibri"/>
          <w:sz w:val="24"/>
          <w:szCs w:val="24"/>
          <w:lang w:val="sr-Latn-RS"/>
        </w:rPr>
        <w:t>kredita</w:t>
      </w:r>
      <w:r w:rsidRPr="009960D3">
        <w:rPr>
          <w:rFonts w:ascii="Calibri" w:eastAsia="Calibri" w:hAnsi="Calibri" w:cs="Calibri"/>
          <w:sz w:val="24"/>
          <w:szCs w:val="24"/>
          <w:lang w:val="sr-Latn-RS"/>
        </w:rPr>
        <w:t xml:space="preserve">. Ovo se naročito odnosi na aktivnosti koje se tiču razvoja i implementacije novog portala eUprave </w:t>
      </w:r>
      <w:r w:rsidR="00C325CF">
        <w:rPr>
          <w:rFonts w:ascii="Calibri" w:eastAsia="Calibri" w:hAnsi="Calibri" w:cs="Calibri"/>
          <w:sz w:val="24"/>
          <w:szCs w:val="24"/>
          <w:lang w:val="sr-Latn-RS"/>
        </w:rPr>
        <w:t xml:space="preserve">od </w:t>
      </w:r>
      <w:r w:rsidRPr="009960D3">
        <w:rPr>
          <w:rFonts w:ascii="Calibri" w:eastAsia="Calibri" w:hAnsi="Calibri" w:cs="Calibri"/>
          <w:sz w:val="24"/>
          <w:szCs w:val="24"/>
          <w:lang w:val="sr-Latn-RS"/>
        </w:rPr>
        <w:t xml:space="preserve">300.000,00€; izgradnje i uspostavljanja Državnog Data centra i Disaster Recovery centra </w:t>
      </w:r>
      <w:r w:rsidR="00C325CF">
        <w:rPr>
          <w:rFonts w:ascii="Calibri" w:eastAsia="Calibri" w:hAnsi="Calibri" w:cs="Calibri"/>
          <w:sz w:val="24"/>
          <w:szCs w:val="24"/>
          <w:lang w:val="sr-Latn-RS"/>
        </w:rPr>
        <w:t>čija je</w:t>
      </w:r>
      <w:r w:rsidRPr="009960D3">
        <w:rPr>
          <w:rFonts w:ascii="Calibri" w:eastAsia="Calibri" w:hAnsi="Calibri" w:cs="Calibri"/>
          <w:sz w:val="24"/>
          <w:szCs w:val="24"/>
          <w:lang w:val="sr-Latn-RS"/>
        </w:rPr>
        <w:t xml:space="preserve"> procijenjena vrijednost 10.000.000,00 €; održivog programa obuka za sajber eksperte i program obuka za ne IT (security awareness) eksperte sa uključenim promotivnim aktivnostima </w:t>
      </w:r>
      <w:r w:rsidR="00C325CF">
        <w:rPr>
          <w:rFonts w:ascii="Calibri" w:eastAsia="Calibri" w:hAnsi="Calibri" w:cs="Calibri"/>
          <w:sz w:val="24"/>
          <w:szCs w:val="24"/>
          <w:lang w:val="sr-Latn-RS"/>
        </w:rPr>
        <w:t xml:space="preserve"> od </w:t>
      </w:r>
      <w:r w:rsidRPr="009960D3">
        <w:rPr>
          <w:rFonts w:ascii="Calibri" w:eastAsia="Calibri" w:hAnsi="Calibri" w:cs="Calibri"/>
          <w:sz w:val="24"/>
          <w:szCs w:val="24"/>
          <w:lang w:val="sr-Latn-RS"/>
        </w:rPr>
        <w:t xml:space="preserve">250.000,00€ godišnje. Za izradu dokumenta „Nacionalni plan razvoja širokopojasnog pristupa internetu“ potrebno je izdvojiti 30.000 € za angažovanje konsultanta/eksperta. </w:t>
      </w:r>
      <w:r w:rsidR="00184966" w:rsidRPr="00184966">
        <w:rPr>
          <w:rFonts w:ascii="Calibri" w:eastAsia="Calibri" w:hAnsi="Calibri" w:cs="Calibri"/>
          <w:sz w:val="24"/>
          <w:szCs w:val="24"/>
          <w:lang w:val="sr-Latn-RS"/>
        </w:rPr>
        <w:t>Za izradu digitalnih sadržaja i digitalnih udžbenika za osnovnu školu neophodno je 1.250.000,00€, dok je za edukaciju djece, nastavnika i roditelja planirano 240.000,00€ za period 2024-2026.</w:t>
      </w:r>
    </w:p>
    <w:p w14:paraId="088ECC17" w14:textId="77777777" w:rsidR="009960D3" w:rsidRPr="009960D3" w:rsidRDefault="009960D3" w:rsidP="009960D3">
      <w:pPr>
        <w:spacing w:line="256" w:lineRule="auto"/>
        <w:jc w:val="both"/>
        <w:rPr>
          <w:rFonts w:ascii="Calibri" w:eastAsia="Calibri" w:hAnsi="Calibri" w:cs="Calibri"/>
          <w:sz w:val="24"/>
          <w:szCs w:val="24"/>
          <w:lang w:val="sr-Latn-ME"/>
        </w:rPr>
      </w:pPr>
      <w:r w:rsidRPr="009960D3">
        <w:rPr>
          <w:rFonts w:ascii="Calibri" w:eastAsia="Calibri" w:hAnsi="Calibri" w:cs="Calibri"/>
          <w:b/>
          <w:bCs/>
          <w:sz w:val="24"/>
          <w:szCs w:val="24"/>
          <w:lang w:val="sr-Latn-ME"/>
        </w:rPr>
        <w:t>5.</w:t>
      </w:r>
      <w:r w:rsidRPr="009960D3">
        <w:rPr>
          <w:rFonts w:ascii="Calibri" w:eastAsia="Calibri" w:hAnsi="Calibri" w:cs="Calibri"/>
          <w:b/>
          <w:sz w:val="24"/>
          <w:szCs w:val="24"/>
          <w:lang w:val="sr-Latn-RS"/>
        </w:rPr>
        <w:t xml:space="preserve"> Očekivani uticaj reformske mjere na socijalne ciljeve, kao što su zaposlenost, smanjenje siromaštva, rodna ravnopravnost i pristup zdravstvenim uslugama.</w:t>
      </w:r>
      <w:r w:rsidRPr="009960D3">
        <w:rPr>
          <w:rFonts w:ascii="Calibri" w:eastAsia="Calibri" w:hAnsi="Calibri" w:cs="Calibri"/>
          <w:sz w:val="24"/>
          <w:szCs w:val="24"/>
          <w:lang w:val="sr-Latn-ME"/>
        </w:rPr>
        <w:t xml:space="preserve"> Razvoj digitalizacije i jačanje sajber otpornosti doprinosi razvoju, boljem sistemu pružanja usluga socijalne i zdravstvene zaštite. Kod elektronske registracije preduzeća, r</w:t>
      </w:r>
      <w:r w:rsidRPr="009960D3">
        <w:rPr>
          <w:rFonts w:ascii="Calibri" w:eastAsia="Calibri" w:hAnsi="Calibri" w:cs="Calibri"/>
          <w:sz w:val="24"/>
          <w:szCs w:val="24"/>
          <w:lang w:bidi="sr-Cyrl-CS"/>
        </w:rPr>
        <w:t>egistraciona prijava prvi put sadrži polje za pol, što je značajan iskorak u odnosu na ranije po pitanju statistike i statističkih podataka koji se dostavljaju u uputnicima za konkretne međunarodne izvještaje</w:t>
      </w:r>
      <w:r w:rsidRPr="009960D3">
        <w:rPr>
          <w:rFonts w:ascii="Calibri" w:eastAsia="Calibri" w:hAnsi="Calibri" w:cs="Calibri"/>
          <w:sz w:val="24"/>
          <w:szCs w:val="24"/>
          <w:lang w:val="sr-Latn-ME"/>
        </w:rPr>
        <w:t>.</w:t>
      </w:r>
    </w:p>
    <w:p w14:paraId="693833E4" w14:textId="044A5E73" w:rsidR="009960D3" w:rsidRDefault="009960D3" w:rsidP="009960D3">
      <w:pPr>
        <w:spacing w:line="256" w:lineRule="auto"/>
        <w:jc w:val="both"/>
        <w:rPr>
          <w:rFonts w:ascii="Calibri" w:eastAsia="Calibri" w:hAnsi="Calibri" w:cs="Calibri"/>
          <w:sz w:val="24"/>
          <w:szCs w:val="24"/>
          <w:lang w:val="sr-Latn-RS"/>
        </w:rPr>
      </w:pPr>
      <w:r w:rsidRPr="009960D3">
        <w:rPr>
          <w:rFonts w:ascii="Calibri" w:eastAsia="Calibri" w:hAnsi="Calibri" w:cs="Calibri"/>
          <w:b/>
          <w:bCs/>
          <w:sz w:val="24"/>
          <w:szCs w:val="24"/>
          <w:lang w:val="sr-Latn-RS"/>
        </w:rPr>
        <w:t>Očekivani uticaj na životnu sredinu i klimatske promjene.</w:t>
      </w:r>
      <w:r w:rsidRPr="009960D3">
        <w:rPr>
          <w:rFonts w:ascii="Calibri" w:eastAsia="Calibri" w:hAnsi="Calibri" w:cs="Calibri"/>
          <w:sz w:val="24"/>
          <w:szCs w:val="24"/>
          <w:lang w:val="sr-Latn-RS"/>
        </w:rPr>
        <w:t xml:space="preserve"> Reformska mjera neće imati direktan uticaj na životnu sredinu, ali će njen ukupni uticaj biti pozitivan. Međutim, stvaraju se uslovi za digitalizaciju i optimizaciju procesa, koji doprinose uštedi u papiru.</w:t>
      </w:r>
    </w:p>
    <w:p w14:paraId="2C2BB21B" w14:textId="77777777" w:rsidR="009960D3" w:rsidRPr="009960D3" w:rsidRDefault="009960D3" w:rsidP="009960D3">
      <w:pPr>
        <w:spacing w:line="256" w:lineRule="auto"/>
        <w:jc w:val="both"/>
        <w:rPr>
          <w:rFonts w:ascii="Calibri" w:eastAsia="Calibri" w:hAnsi="Calibri" w:cs="Calibri"/>
          <w:b/>
          <w:bCs/>
          <w:sz w:val="24"/>
          <w:szCs w:val="24"/>
          <w:lang w:val="sr-Latn-ME"/>
        </w:rPr>
      </w:pPr>
      <w:r w:rsidRPr="009960D3">
        <w:rPr>
          <w:rFonts w:ascii="Calibri" w:eastAsia="Calibri" w:hAnsi="Calibri" w:cs="Calibri"/>
          <w:b/>
          <w:bCs/>
          <w:sz w:val="24"/>
          <w:szCs w:val="24"/>
          <w:lang w:val="sr-Latn-ME"/>
        </w:rPr>
        <w:t>7.</w:t>
      </w:r>
      <w:r w:rsidRPr="009960D3">
        <w:rPr>
          <w:rFonts w:ascii="Calibri" w:eastAsia="Calibri" w:hAnsi="Calibri" w:cs="Calibri"/>
          <w:sz w:val="24"/>
          <w:szCs w:val="24"/>
          <w:lang w:val="sr-Latn-RS"/>
        </w:rPr>
        <w:t xml:space="preserve"> </w:t>
      </w:r>
      <w:r w:rsidRPr="009960D3">
        <w:rPr>
          <w:rFonts w:ascii="Calibri" w:eastAsia="Calibri" w:hAnsi="Calibri" w:cs="Calibri"/>
          <w:b/>
          <w:bCs/>
          <w:sz w:val="24"/>
          <w:szCs w:val="24"/>
          <w:lang w:val="sr-Latn-RS"/>
        </w:rPr>
        <w:t>Potencijalni rizici</w:t>
      </w:r>
    </w:p>
    <w:tbl>
      <w:tblPr>
        <w:tblStyle w:val="GridTable1Light-Accent15"/>
        <w:tblW w:w="9355" w:type="dxa"/>
        <w:tblLayout w:type="fixed"/>
        <w:tblLook w:val="04A0" w:firstRow="1" w:lastRow="0" w:firstColumn="1" w:lastColumn="0" w:noHBand="0" w:noVBand="1"/>
      </w:tblPr>
      <w:tblGrid>
        <w:gridCol w:w="4594"/>
        <w:gridCol w:w="2241"/>
        <w:gridCol w:w="2520"/>
      </w:tblGrid>
      <w:tr w:rsidR="009960D3" w:rsidRPr="00082B85" w14:paraId="5042B699" w14:textId="77777777" w:rsidTr="004333EF">
        <w:trPr>
          <w:cnfStyle w:val="100000000000" w:firstRow="1" w:lastRow="0" w:firstColumn="0" w:lastColumn="0" w:oddVBand="0" w:evenVBand="0" w:oddHBand="0"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4594" w:type="dxa"/>
            <w:hideMark/>
          </w:tcPr>
          <w:p w14:paraId="235C8E73" w14:textId="7AEC5936" w:rsidR="009960D3" w:rsidRPr="00082B85" w:rsidRDefault="009960D3" w:rsidP="00082B85">
            <w:pPr>
              <w:spacing w:line="256" w:lineRule="auto"/>
              <w:jc w:val="center"/>
              <w:rPr>
                <w:rFonts w:cs="Calibri"/>
                <w:b w:val="0"/>
                <w:sz w:val="20"/>
                <w:szCs w:val="20"/>
                <w:lang w:val="sr-Latn-RS"/>
              </w:rPr>
            </w:pPr>
            <w:r w:rsidRPr="00082B85">
              <w:rPr>
                <w:rFonts w:cs="Calibri"/>
                <w:sz w:val="20"/>
                <w:szCs w:val="20"/>
                <w:lang w:val="sr-Latn-RS"/>
              </w:rPr>
              <w:lastRenderedPageBreak/>
              <w:t>Rizik</w:t>
            </w:r>
          </w:p>
        </w:tc>
        <w:tc>
          <w:tcPr>
            <w:tcW w:w="2241" w:type="dxa"/>
            <w:hideMark/>
          </w:tcPr>
          <w:p w14:paraId="30D1A70C" w14:textId="77777777" w:rsidR="009960D3" w:rsidRPr="00082B85" w:rsidRDefault="009960D3" w:rsidP="00082B85">
            <w:pPr>
              <w:spacing w:line="256" w:lineRule="auto"/>
              <w:jc w:val="center"/>
              <w:cnfStyle w:val="100000000000" w:firstRow="1" w:lastRow="0" w:firstColumn="0" w:lastColumn="0" w:oddVBand="0" w:evenVBand="0" w:oddHBand="0" w:evenHBand="0" w:firstRowFirstColumn="0" w:firstRowLastColumn="0" w:lastRowFirstColumn="0" w:lastRowLastColumn="0"/>
              <w:rPr>
                <w:rFonts w:cs="Calibri"/>
                <w:b w:val="0"/>
                <w:sz w:val="20"/>
                <w:szCs w:val="20"/>
                <w:lang w:val="sr-Latn-RS"/>
              </w:rPr>
            </w:pPr>
            <w:r w:rsidRPr="00082B85">
              <w:rPr>
                <w:rFonts w:cs="Calibri"/>
                <w:sz w:val="20"/>
                <w:szCs w:val="20"/>
                <w:lang w:val="sr-Latn-RS"/>
              </w:rPr>
              <w:t>Vjerovatnoća za ostvarivanje rizika (niska ili visoka)</w:t>
            </w:r>
          </w:p>
        </w:tc>
        <w:tc>
          <w:tcPr>
            <w:tcW w:w="2520" w:type="dxa"/>
            <w:hideMark/>
          </w:tcPr>
          <w:p w14:paraId="760245F5" w14:textId="77777777" w:rsidR="009960D3" w:rsidRPr="00082B85" w:rsidRDefault="009960D3" w:rsidP="00082B85">
            <w:pPr>
              <w:spacing w:line="256" w:lineRule="auto"/>
              <w:jc w:val="center"/>
              <w:cnfStyle w:val="100000000000" w:firstRow="1" w:lastRow="0" w:firstColumn="0" w:lastColumn="0" w:oddVBand="0" w:evenVBand="0" w:oddHBand="0" w:evenHBand="0" w:firstRowFirstColumn="0" w:firstRowLastColumn="0" w:lastRowFirstColumn="0" w:lastRowLastColumn="0"/>
              <w:rPr>
                <w:rFonts w:cs="Calibri"/>
                <w:b w:val="0"/>
                <w:sz w:val="20"/>
                <w:szCs w:val="20"/>
                <w:lang w:val="sr-Latn-RS"/>
              </w:rPr>
            </w:pPr>
            <w:r w:rsidRPr="00082B85">
              <w:rPr>
                <w:rFonts w:cs="Calibri"/>
                <w:sz w:val="20"/>
                <w:szCs w:val="20"/>
                <w:lang w:val="sr-Latn-RS"/>
              </w:rPr>
              <w:t>Planirane aktivnosti ublažavanja negativnih efekata rizika</w:t>
            </w:r>
          </w:p>
        </w:tc>
      </w:tr>
      <w:tr w:rsidR="009960D3" w:rsidRPr="00082B85" w14:paraId="08E16142" w14:textId="77777777" w:rsidTr="004333EF">
        <w:trPr>
          <w:trHeight w:val="813"/>
        </w:trPr>
        <w:tc>
          <w:tcPr>
            <w:cnfStyle w:val="001000000000" w:firstRow="0" w:lastRow="0" w:firstColumn="1" w:lastColumn="0" w:oddVBand="0" w:evenVBand="0" w:oddHBand="0" w:evenHBand="0" w:firstRowFirstColumn="0" w:firstRowLastColumn="0" w:lastRowFirstColumn="0" w:lastRowLastColumn="0"/>
            <w:tcW w:w="4594" w:type="dxa"/>
            <w:hideMark/>
          </w:tcPr>
          <w:p w14:paraId="2A63E952" w14:textId="77777777" w:rsidR="009960D3" w:rsidRPr="00082B85" w:rsidRDefault="009960D3" w:rsidP="009960D3">
            <w:pPr>
              <w:spacing w:line="256" w:lineRule="auto"/>
              <w:jc w:val="both"/>
              <w:rPr>
                <w:rFonts w:cs="Calibri"/>
                <w:b w:val="0"/>
                <w:bCs w:val="0"/>
                <w:sz w:val="20"/>
                <w:szCs w:val="20"/>
                <w:lang w:val="sr-Latn-ME"/>
              </w:rPr>
            </w:pPr>
            <w:r w:rsidRPr="00082B85">
              <w:rPr>
                <w:rFonts w:cs="Calibri"/>
                <w:b w:val="0"/>
                <w:bCs w:val="0"/>
                <w:sz w:val="20"/>
                <w:szCs w:val="20"/>
                <w:lang w:val="sr-Latn-ME"/>
              </w:rPr>
              <w:t xml:space="preserve">Usporeni administrativni procesi u cilju usvajanja novih normativnih propisa iz ove oblasti </w:t>
            </w:r>
          </w:p>
        </w:tc>
        <w:tc>
          <w:tcPr>
            <w:tcW w:w="2241" w:type="dxa"/>
            <w:hideMark/>
          </w:tcPr>
          <w:p w14:paraId="55FAAB2E" w14:textId="3FB13F7F" w:rsidR="009960D3" w:rsidRPr="00082B85" w:rsidRDefault="009960D3" w:rsidP="00082B85">
            <w:pPr>
              <w:spacing w:line="25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sr-Latn-ME"/>
              </w:rPr>
            </w:pPr>
            <w:r w:rsidRPr="00082B85">
              <w:rPr>
                <w:rFonts w:cs="Calibri"/>
                <w:sz w:val="20"/>
                <w:szCs w:val="20"/>
                <w:lang w:val="sr-Latn-ME"/>
              </w:rPr>
              <w:t>Ni</w:t>
            </w:r>
            <w:r w:rsidR="00727788" w:rsidRPr="00082B85">
              <w:rPr>
                <w:rFonts w:cs="Calibri"/>
                <w:sz w:val="20"/>
                <w:szCs w:val="20"/>
                <w:lang w:val="sr-Latn-ME"/>
              </w:rPr>
              <w:t>ska</w:t>
            </w:r>
          </w:p>
        </w:tc>
        <w:tc>
          <w:tcPr>
            <w:tcW w:w="2520" w:type="dxa"/>
            <w:hideMark/>
          </w:tcPr>
          <w:p w14:paraId="0C85ECFD" w14:textId="77777777" w:rsidR="009960D3" w:rsidRPr="00082B85" w:rsidRDefault="009960D3" w:rsidP="009960D3">
            <w:pPr>
              <w:spacing w:line="256" w:lineRule="auto"/>
              <w:jc w:val="both"/>
              <w:cnfStyle w:val="000000000000" w:firstRow="0" w:lastRow="0" w:firstColumn="0" w:lastColumn="0" w:oddVBand="0" w:evenVBand="0" w:oddHBand="0" w:evenHBand="0" w:firstRowFirstColumn="0" w:firstRowLastColumn="0" w:lastRowFirstColumn="0" w:lastRowLastColumn="0"/>
              <w:rPr>
                <w:rFonts w:cs="Calibri"/>
                <w:sz w:val="20"/>
                <w:szCs w:val="20"/>
                <w:lang w:val="sr-Latn-ME"/>
              </w:rPr>
            </w:pPr>
            <w:r w:rsidRPr="00082B85">
              <w:rPr>
                <w:rFonts w:cs="Calibri"/>
                <w:sz w:val="20"/>
                <w:szCs w:val="20"/>
                <w:lang w:val="sr-Latn-ME"/>
              </w:rPr>
              <w:t>Istaknuti važnost sajber bezbjednosti na najvećem upravljačkom nivou</w:t>
            </w:r>
          </w:p>
        </w:tc>
      </w:tr>
      <w:tr w:rsidR="009960D3" w:rsidRPr="00082B85" w14:paraId="691D7344" w14:textId="77777777" w:rsidTr="004333EF">
        <w:trPr>
          <w:trHeight w:val="2415"/>
        </w:trPr>
        <w:tc>
          <w:tcPr>
            <w:cnfStyle w:val="001000000000" w:firstRow="0" w:lastRow="0" w:firstColumn="1" w:lastColumn="0" w:oddVBand="0" w:evenVBand="0" w:oddHBand="0" w:evenHBand="0" w:firstRowFirstColumn="0" w:firstRowLastColumn="0" w:lastRowFirstColumn="0" w:lastRowLastColumn="0"/>
            <w:tcW w:w="4594" w:type="dxa"/>
            <w:hideMark/>
          </w:tcPr>
          <w:p w14:paraId="495CCF0F" w14:textId="77777777" w:rsidR="009960D3" w:rsidRPr="00082B85" w:rsidRDefault="009960D3" w:rsidP="009960D3">
            <w:pPr>
              <w:spacing w:line="256" w:lineRule="auto"/>
              <w:jc w:val="both"/>
              <w:rPr>
                <w:rFonts w:cs="Calibri"/>
                <w:b w:val="0"/>
                <w:bCs w:val="0"/>
                <w:sz w:val="20"/>
                <w:szCs w:val="20"/>
                <w:lang w:val="sr-Latn-ME"/>
              </w:rPr>
            </w:pPr>
            <w:r w:rsidRPr="00082B85">
              <w:rPr>
                <w:rFonts w:cs="Calibri"/>
                <w:b w:val="0"/>
                <w:bCs w:val="0"/>
                <w:sz w:val="20"/>
                <w:szCs w:val="20"/>
                <w:lang w:val="sr-Latn-ME"/>
              </w:rPr>
              <w:t>Nedovoljan broj edukacija/treninga iz oblasti sajber bezbjednosti</w:t>
            </w:r>
          </w:p>
        </w:tc>
        <w:tc>
          <w:tcPr>
            <w:tcW w:w="2241" w:type="dxa"/>
            <w:hideMark/>
          </w:tcPr>
          <w:p w14:paraId="08804121" w14:textId="60D8D293" w:rsidR="009960D3" w:rsidRPr="00082B85" w:rsidRDefault="009960D3" w:rsidP="00082B85">
            <w:pPr>
              <w:spacing w:line="25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sr-Latn-ME"/>
              </w:rPr>
            </w:pPr>
            <w:r w:rsidRPr="00082B85">
              <w:rPr>
                <w:rFonts w:cs="Calibri"/>
                <w:sz w:val="20"/>
                <w:szCs w:val="20"/>
                <w:lang w:val="sr-Latn-ME"/>
              </w:rPr>
              <w:t>Ni</w:t>
            </w:r>
            <w:r w:rsidR="00727788" w:rsidRPr="00082B85">
              <w:rPr>
                <w:rFonts w:cs="Calibri"/>
                <w:sz w:val="20"/>
                <w:szCs w:val="20"/>
                <w:lang w:val="sr-Latn-ME"/>
              </w:rPr>
              <w:t>ska</w:t>
            </w:r>
          </w:p>
        </w:tc>
        <w:tc>
          <w:tcPr>
            <w:tcW w:w="2520" w:type="dxa"/>
            <w:hideMark/>
          </w:tcPr>
          <w:p w14:paraId="3B4F37D3" w14:textId="77777777" w:rsidR="009960D3" w:rsidRPr="00082B85" w:rsidRDefault="009960D3" w:rsidP="009960D3">
            <w:pPr>
              <w:spacing w:line="256" w:lineRule="auto"/>
              <w:jc w:val="both"/>
              <w:cnfStyle w:val="000000000000" w:firstRow="0" w:lastRow="0" w:firstColumn="0" w:lastColumn="0" w:oddVBand="0" w:evenVBand="0" w:oddHBand="0" w:evenHBand="0" w:firstRowFirstColumn="0" w:firstRowLastColumn="0" w:lastRowFirstColumn="0" w:lastRowLastColumn="0"/>
              <w:rPr>
                <w:rFonts w:cs="Calibri"/>
                <w:sz w:val="20"/>
                <w:szCs w:val="20"/>
                <w:lang w:val="sr-Latn-ME"/>
              </w:rPr>
            </w:pPr>
            <w:r w:rsidRPr="00082B85">
              <w:rPr>
                <w:rFonts w:cs="Calibri"/>
                <w:sz w:val="20"/>
                <w:szCs w:val="20"/>
                <w:lang w:val="sr-Latn-ME"/>
              </w:rPr>
              <w:t>Implementacija ove aktivnosti zavisi od raspoloživih sredstava koja je neophodno obezbjediti kroz donacije, jer se renomirani predavači/mentori iz ove oblasti visoko kotiraju i iziskuju značajna sredstva po pojedinačnoj edukaciji.</w:t>
            </w:r>
          </w:p>
        </w:tc>
      </w:tr>
      <w:tr w:rsidR="009960D3" w:rsidRPr="00082B85" w14:paraId="35B4C489" w14:textId="77777777" w:rsidTr="004333EF">
        <w:trPr>
          <w:trHeight w:val="1718"/>
        </w:trPr>
        <w:tc>
          <w:tcPr>
            <w:cnfStyle w:val="001000000000" w:firstRow="0" w:lastRow="0" w:firstColumn="1" w:lastColumn="0" w:oddVBand="0" w:evenVBand="0" w:oddHBand="0" w:evenHBand="0" w:firstRowFirstColumn="0" w:firstRowLastColumn="0" w:lastRowFirstColumn="0" w:lastRowLastColumn="0"/>
            <w:tcW w:w="4594" w:type="dxa"/>
            <w:hideMark/>
          </w:tcPr>
          <w:p w14:paraId="29DBDAD6" w14:textId="77777777" w:rsidR="009960D3" w:rsidRPr="00082B85" w:rsidRDefault="009960D3" w:rsidP="009960D3">
            <w:pPr>
              <w:spacing w:line="256" w:lineRule="auto"/>
              <w:jc w:val="both"/>
              <w:rPr>
                <w:rFonts w:cs="Calibri"/>
                <w:b w:val="0"/>
                <w:bCs w:val="0"/>
                <w:sz w:val="20"/>
                <w:szCs w:val="20"/>
                <w:lang w:val="sr-Latn-ME"/>
              </w:rPr>
            </w:pPr>
            <w:r w:rsidRPr="00082B85">
              <w:rPr>
                <w:rFonts w:cs="Calibri"/>
                <w:b w:val="0"/>
                <w:bCs w:val="0"/>
                <w:sz w:val="20"/>
                <w:szCs w:val="20"/>
              </w:rPr>
              <w:t>Otpor privrednika da elektronski registruju preduzeće</w:t>
            </w:r>
          </w:p>
        </w:tc>
        <w:tc>
          <w:tcPr>
            <w:tcW w:w="2241" w:type="dxa"/>
            <w:hideMark/>
          </w:tcPr>
          <w:p w14:paraId="72670321" w14:textId="1A7A9734" w:rsidR="009960D3" w:rsidRPr="00082B85" w:rsidRDefault="004333EF" w:rsidP="00082B85">
            <w:pPr>
              <w:spacing w:line="25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sr-Latn-ME"/>
              </w:rPr>
            </w:pPr>
            <w:r w:rsidRPr="00082B85">
              <w:rPr>
                <w:rFonts w:cs="Calibri"/>
                <w:sz w:val="20"/>
                <w:szCs w:val="20"/>
              </w:rPr>
              <w:t>N</w:t>
            </w:r>
            <w:r w:rsidR="009960D3" w:rsidRPr="00082B85">
              <w:rPr>
                <w:rFonts w:cs="Calibri"/>
                <w:sz w:val="20"/>
                <w:szCs w:val="20"/>
              </w:rPr>
              <w:t>i</w:t>
            </w:r>
            <w:r w:rsidR="00727788" w:rsidRPr="00082B85">
              <w:rPr>
                <w:rFonts w:cs="Calibri"/>
                <w:sz w:val="20"/>
                <w:szCs w:val="20"/>
              </w:rPr>
              <w:t>ska</w:t>
            </w:r>
          </w:p>
        </w:tc>
        <w:tc>
          <w:tcPr>
            <w:tcW w:w="2520" w:type="dxa"/>
            <w:hideMark/>
          </w:tcPr>
          <w:p w14:paraId="74EFFC73" w14:textId="77777777" w:rsidR="009960D3" w:rsidRPr="00082B85" w:rsidRDefault="009960D3" w:rsidP="009960D3">
            <w:pPr>
              <w:spacing w:line="256" w:lineRule="auto"/>
              <w:jc w:val="both"/>
              <w:cnfStyle w:val="000000000000" w:firstRow="0" w:lastRow="0" w:firstColumn="0" w:lastColumn="0" w:oddVBand="0" w:evenVBand="0" w:oddHBand="0" w:evenHBand="0" w:firstRowFirstColumn="0" w:firstRowLastColumn="0" w:lastRowFirstColumn="0" w:lastRowLastColumn="0"/>
              <w:rPr>
                <w:rFonts w:cs="Calibri"/>
                <w:sz w:val="20"/>
                <w:szCs w:val="20"/>
                <w:lang w:val="sr-Latn-ME"/>
              </w:rPr>
            </w:pPr>
            <w:r w:rsidRPr="00082B85">
              <w:rPr>
                <w:rFonts w:cs="Calibri"/>
                <w:sz w:val="20"/>
                <w:szCs w:val="20"/>
              </w:rPr>
              <w:t>Snažnija promocija benefita koje pruža elektronska registracija preduzeća, uz odgovarajuću edukaciju korisnika.</w:t>
            </w:r>
          </w:p>
        </w:tc>
      </w:tr>
    </w:tbl>
    <w:p w14:paraId="41A5F5BC" w14:textId="77777777" w:rsidR="00D330C3" w:rsidRDefault="00D330C3" w:rsidP="00D330C3">
      <w:pPr>
        <w:jc w:val="both"/>
        <w:rPr>
          <w:rFonts w:cstheme="minorHAnsi"/>
          <w:b/>
          <w:bCs/>
          <w:i/>
          <w:iCs/>
          <w:color w:val="002465"/>
          <w:sz w:val="24"/>
          <w:szCs w:val="24"/>
        </w:rPr>
      </w:pPr>
      <w:bookmarkStart w:id="173" w:name="_Toc118750305"/>
      <w:bookmarkStart w:id="174" w:name="_Toc125545792"/>
      <w:bookmarkStart w:id="175" w:name="_Hlk123065168"/>
    </w:p>
    <w:p w14:paraId="3DCD71A8" w14:textId="60D0B16D" w:rsidR="00D330C3" w:rsidRPr="00114632" w:rsidRDefault="00D330C3" w:rsidP="00D330C3">
      <w:pPr>
        <w:jc w:val="both"/>
        <w:rPr>
          <w:rFonts w:cstheme="minorHAnsi"/>
          <w:i/>
          <w:iCs/>
          <w:color w:val="002465"/>
          <w:sz w:val="24"/>
          <w:szCs w:val="24"/>
        </w:rPr>
      </w:pPr>
      <w:bookmarkStart w:id="176" w:name="_Hlk151357666"/>
      <w:r w:rsidRPr="00114632">
        <w:rPr>
          <w:rFonts w:cstheme="minorHAnsi"/>
          <w:i/>
          <w:iCs/>
          <w:color w:val="002465"/>
          <w:sz w:val="24"/>
          <w:szCs w:val="24"/>
        </w:rPr>
        <w:t xml:space="preserve">Reformska mjera 6: </w:t>
      </w:r>
      <w:bookmarkEnd w:id="173"/>
      <w:bookmarkEnd w:id="174"/>
      <w:r w:rsidR="001979A6">
        <w:rPr>
          <w:rFonts w:cstheme="minorHAnsi"/>
          <w:i/>
          <w:iCs/>
          <w:color w:val="002465"/>
          <w:sz w:val="24"/>
          <w:szCs w:val="24"/>
        </w:rPr>
        <w:t>Digitalizacija zdravstvenog sistema u Crnoj Gori</w:t>
      </w:r>
    </w:p>
    <w:p w14:paraId="0D8E1EE3" w14:textId="42FA9507" w:rsidR="00D330C3" w:rsidRPr="00D330C3" w:rsidRDefault="00D330C3" w:rsidP="00D330C3">
      <w:pPr>
        <w:jc w:val="both"/>
        <w:rPr>
          <w:rFonts w:cstheme="minorHAnsi"/>
          <w:sz w:val="24"/>
          <w:szCs w:val="24"/>
          <w:lang w:val="sr-Latn-ME"/>
        </w:rPr>
      </w:pPr>
      <w:r w:rsidRPr="00D330C3">
        <w:rPr>
          <w:rFonts w:cstheme="minorHAnsi"/>
          <w:b/>
          <w:bCs/>
          <w:sz w:val="24"/>
          <w:szCs w:val="24"/>
        </w:rPr>
        <w:t xml:space="preserve">1.Opis mjere. </w:t>
      </w:r>
      <w:r w:rsidRPr="00D330C3">
        <w:rPr>
          <w:rFonts w:cstheme="minorHAnsi"/>
          <w:sz w:val="24"/>
          <w:szCs w:val="24"/>
        </w:rPr>
        <w:t xml:space="preserve">Cilj reformske mjere je unaprijeđenje i nadogradnja postojećih i uvođenje novih zdravstvenih servisa koji se mogu ostvariti korisćenjem informaciono komunkacionih tehnologija. Mjera se nastavlja iz PER-a 2023 i dijelom daje odgovor na preporuku br. 4 sa ministarskog dijaloga u maja 2023. </w:t>
      </w:r>
      <w:r w:rsidRPr="00D330C3">
        <w:rPr>
          <w:rFonts w:cstheme="minorHAnsi"/>
          <w:sz w:val="24"/>
          <w:szCs w:val="24"/>
          <w:lang w:val="sr-Latn-ME"/>
        </w:rPr>
        <w:t xml:space="preserve">Digitalizacija zdravstvenog sistema kroz jačanje digitalnog zdravlja podrazumijeva nastavak aktivnosti na unapređenju i nadogradnji postojećih i uvođenje novih zdravstvenih servisa upotrebom IKT. To su prije ostalog uvođenje centralizovanog sistema Elektronskog zdravstvenog kartona, nacionalne platforme za telemedicinu i mZdravlje, sistema naprednog izvjestavanja korišćenjem DW i BI te unapređenjem postojećih i uvođenje novih IS u okviru Integralnog zdravstvenog informacionog sistema. Kroz Prijedlog Zakona o zdravstvenoj zaštiti koji je upućen u Skupstinsku proceduru 20.10.2023. godine uvedeno je digitalno zdravstvo. Kroz Prijedlog Zakona digitalizacijom zdravstvenog sistema omogućiće se upotreba mobilnih uređaja (mobilni telefoni, odnosno aplikacije, senzori, uređaji za praćenje pacijenata i drugi mobilni bežični uređaji) za prikupljanje opštih i kliničkih podataka o pacijentu, prenos tih podataka zdravstvenim radnicima i pacijentima, praćenje medicinskih parametara pacijenta na daljinu. Takođe i pružanje zdravstvenih usluga na daljinu u slučajevima kad se zdravstveni radnik i pacijent ili dva zdravstvena radnika ne nalaze na istoj lokaciji. Takođe, novina je pružanje zdravstvenih usluga putem telemedicine, i uspostavljanje komunikacione infrastrukture za bezbjednu razmjenu </w:t>
      </w:r>
      <w:r w:rsidRPr="00D330C3">
        <w:rPr>
          <w:rFonts w:cstheme="minorHAnsi"/>
          <w:sz w:val="24"/>
          <w:szCs w:val="24"/>
          <w:lang w:val="sr-Latn-ME"/>
        </w:rPr>
        <w:lastRenderedPageBreak/>
        <w:t>zdravtsvenih informacija. Mjera je usklađena sa aktuelno Strategijom razvoja integralnog zdravstvenog informacionog sistema i eZdravlja 2018-2023</w:t>
      </w:r>
      <w:r w:rsidR="003D546D">
        <w:rPr>
          <w:rFonts w:cstheme="minorHAnsi"/>
          <w:sz w:val="24"/>
          <w:szCs w:val="24"/>
          <w:lang w:val="sr-Latn-ME"/>
        </w:rPr>
        <w:t>,</w:t>
      </w:r>
      <w:r w:rsidRPr="00D330C3">
        <w:rPr>
          <w:rFonts w:cstheme="minorHAnsi"/>
          <w:sz w:val="24"/>
          <w:szCs w:val="24"/>
          <w:lang w:val="sr-Latn-ME"/>
        </w:rPr>
        <w:t xml:space="preserve"> a programom rada Vlade za 2024. godinu je planirana izrada nove Nacionalne strategije digitalnog zdravlja 2024-2029 godine koja ce naslijediti aktuelnu. EU regulative koje pokrivaju ovu oblast su eHealth Akcioni plan 2012-2020 – inovativna zdravstvena zaštita za 21 vijek, EU zdravstvene politike, EU javno zdravlje – eHealth: digitalno zdravlje i njega, Evropska digitalna dekada, Zdravlje u EU24, Zeleni papir za mobilno zdravlje (mHealth).U dijelu SDG-a ostvariće se održivost tako što će se obezbijediti bolje zdravlje i blagostanje svih građana u Crnoj Gori.</w:t>
      </w:r>
    </w:p>
    <w:p w14:paraId="2043B0AD" w14:textId="77777777" w:rsidR="00D330C3" w:rsidRPr="00D330C3" w:rsidRDefault="00D330C3" w:rsidP="00D330C3">
      <w:pPr>
        <w:jc w:val="both"/>
        <w:rPr>
          <w:rFonts w:cstheme="minorHAnsi"/>
          <w:b/>
          <w:bCs/>
          <w:sz w:val="24"/>
          <w:szCs w:val="24"/>
        </w:rPr>
      </w:pPr>
      <w:r w:rsidRPr="00D330C3">
        <w:rPr>
          <w:rFonts w:cstheme="minorHAnsi"/>
          <w:b/>
          <w:bCs/>
          <w:sz w:val="24"/>
          <w:szCs w:val="24"/>
        </w:rPr>
        <w:t>Aktivnosti planirane za 2024:</w:t>
      </w:r>
    </w:p>
    <w:p w14:paraId="5FDD97E4" w14:textId="77777777" w:rsidR="00D330C3" w:rsidRPr="00D330C3" w:rsidRDefault="00D330C3" w:rsidP="00FD3827">
      <w:pPr>
        <w:numPr>
          <w:ilvl w:val="0"/>
          <w:numId w:val="23"/>
        </w:numPr>
        <w:spacing w:after="0"/>
        <w:jc w:val="both"/>
        <w:rPr>
          <w:rFonts w:cstheme="minorHAnsi"/>
          <w:sz w:val="24"/>
          <w:szCs w:val="24"/>
          <w:lang w:val="sr-Latn-RS"/>
        </w:rPr>
      </w:pPr>
      <w:r w:rsidRPr="00D330C3">
        <w:rPr>
          <w:rFonts w:cstheme="minorHAnsi"/>
          <w:sz w:val="24"/>
          <w:szCs w:val="24"/>
          <w:lang w:val="sr-Latn-RS"/>
        </w:rPr>
        <w:t>Donošenje Nacionalne strategije digitalnog zdravlja 2024-2029. MZ</w:t>
      </w:r>
    </w:p>
    <w:p w14:paraId="5318E4C3" w14:textId="77777777" w:rsidR="00D330C3" w:rsidRPr="00D330C3" w:rsidRDefault="00D330C3" w:rsidP="00FD3827">
      <w:pPr>
        <w:numPr>
          <w:ilvl w:val="0"/>
          <w:numId w:val="23"/>
        </w:numPr>
        <w:spacing w:after="0"/>
        <w:jc w:val="both"/>
        <w:rPr>
          <w:rFonts w:cstheme="minorHAnsi"/>
          <w:sz w:val="24"/>
          <w:szCs w:val="24"/>
          <w:lang w:val="sr-Latn-RS"/>
        </w:rPr>
      </w:pPr>
      <w:r w:rsidRPr="00D330C3">
        <w:rPr>
          <w:rFonts w:cstheme="minorHAnsi"/>
          <w:sz w:val="24"/>
          <w:szCs w:val="24"/>
          <w:lang w:val="sr-Latn-RS"/>
        </w:rPr>
        <w:t>Usvajanje novog Zakona o zdravstvenoj zastiti, MZ</w:t>
      </w:r>
    </w:p>
    <w:p w14:paraId="7D0CEBFF" w14:textId="77777777" w:rsidR="00D330C3" w:rsidRPr="00D330C3" w:rsidRDefault="00D330C3" w:rsidP="00FD3827">
      <w:pPr>
        <w:numPr>
          <w:ilvl w:val="0"/>
          <w:numId w:val="23"/>
        </w:numPr>
        <w:spacing w:after="0"/>
        <w:jc w:val="both"/>
        <w:rPr>
          <w:rFonts w:cstheme="minorHAnsi"/>
          <w:sz w:val="24"/>
          <w:szCs w:val="24"/>
          <w:lang w:val="sr-Latn-RS"/>
        </w:rPr>
      </w:pPr>
      <w:r w:rsidRPr="00D330C3">
        <w:rPr>
          <w:rFonts w:cstheme="minorHAnsi"/>
          <w:sz w:val="24"/>
          <w:szCs w:val="24"/>
          <w:lang w:val="sr-Latn-RS"/>
        </w:rPr>
        <w:t>Uspostavljanje informacionog sistema za praćenje ljekova i medicinskih sredstava u Crnoj Gori, MZ</w:t>
      </w:r>
    </w:p>
    <w:p w14:paraId="73C689B3" w14:textId="77777777" w:rsidR="00D330C3" w:rsidRPr="00D330C3" w:rsidRDefault="00D330C3" w:rsidP="00FD3827">
      <w:pPr>
        <w:numPr>
          <w:ilvl w:val="0"/>
          <w:numId w:val="23"/>
        </w:numPr>
        <w:spacing w:after="0"/>
        <w:jc w:val="both"/>
        <w:rPr>
          <w:rFonts w:cstheme="minorHAnsi"/>
          <w:sz w:val="24"/>
          <w:szCs w:val="24"/>
          <w:lang w:val="sr-Latn-RS"/>
        </w:rPr>
      </w:pPr>
      <w:r w:rsidRPr="00D330C3">
        <w:rPr>
          <w:rFonts w:cstheme="minorHAnsi"/>
          <w:sz w:val="24"/>
          <w:szCs w:val="24"/>
          <w:lang w:val="sr-Latn-RS"/>
        </w:rPr>
        <w:t>Aktivnosti na pripremi centralnog sistema Elektronskog zdravstvenog kartona, MZ</w:t>
      </w:r>
    </w:p>
    <w:p w14:paraId="229D7FCE" w14:textId="77777777" w:rsidR="00D330C3" w:rsidRPr="00D330C3" w:rsidRDefault="00D330C3" w:rsidP="00FD3827">
      <w:pPr>
        <w:numPr>
          <w:ilvl w:val="0"/>
          <w:numId w:val="23"/>
        </w:numPr>
        <w:spacing w:after="0"/>
        <w:jc w:val="both"/>
        <w:rPr>
          <w:rFonts w:cstheme="minorHAnsi"/>
          <w:sz w:val="24"/>
          <w:szCs w:val="24"/>
          <w:lang w:val="sr-Latn-RS"/>
        </w:rPr>
      </w:pPr>
      <w:r w:rsidRPr="00D330C3">
        <w:rPr>
          <w:rFonts w:cstheme="minorHAnsi"/>
          <w:sz w:val="24"/>
          <w:szCs w:val="24"/>
          <w:lang w:val="sr-Latn-RS"/>
        </w:rPr>
        <w:t>Aktivnosti na pripremi centralne platforme za Telemedicinu i mZdravlje, MZ</w:t>
      </w:r>
    </w:p>
    <w:p w14:paraId="0F3CCB58" w14:textId="1E4BEA39" w:rsidR="00D330C3" w:rsidRPr="00D330C3" w:rsidRDefault="00D330C3" w:rsidP="00FD3827">
      <w:pPr>
        <w:numPr>
          <w:ilvl w:val="0"/>
          <w:numId w:val="23"/>
        </w:numPr>
        <w:spacing w:after="0"/>
        <w:jc w:val="both"/>
        <w:rPr>
          <w:rFonts w:cstheme="minorHAnsi"/>
          <w:sz w:val="24"/>
          <w:szCs w:val="24"/>
          <w:lang w:val="sr-Latn-RS"/>
        </w:rPr>
      </w:pPr>
      <w:r w:rsidRPr="00D330C3">
        <w:rPr>
          <w:rFonts w:cstheme="minorHAnsi"/>
          <w:sz w:val="24"/>
          <w:szCs w:val="24"/>
          <w:lang w:val="sr-Latn-RS"/>
        </w:rPr>
        <w:t>Aktivnosti na pripremi sistema naprednog izvje</w:t>
      </w:r>
      <w:r w:rsidR="003D546D">
        <w:rPr>
          <w:rFonts w:cstheme="minorHAnsi"/>
          <w:sz w:val="24"/>
          <w:szCs w:val="24"/>
          <w:lang w:val="sr-Latn-RS"/>
        </w:rPr>
        <w:t>š</w:t>
      </w:r>
      <w:r w:rsidRPr="00D330C3">
        <w:rPr>
          <w:rFonts w:cstheme="minorHAnsi"/>
          <w:sz w:val="24"/>
          <w:szCs w:val="24"/>
          <w:lang w:val="sr-Latn-RS"/>
        </w:rPr>
        <w:t xml:space="preserve">tavanja, korišćenjem </w:t>
      </w:r>
      <w:r w:rsidRPr="00D330C3">
        <w:rPr>
          <w:rFonts w:cstheme="minorHAnsi"/>
          <w:sz w:val="24"/>
          <w:szCs w:val="24"/>
          <w:lang w:val="sr-Latn-ME"/>
        </w:rPr>
        <w:t>DW i BI te unapređenjem postojećih i uvođenje novih IS u okviru Integralnog zdravstvenog informacionog sistema, MZ, MJU</w:t>
      </w:r>
    </w:p>
    <w:p w14:paraId="2A51A9B7" w14:textId="77777777" w:rsidR="00D330C3" w:rsidRPr="00D330C3" w:rsidRDefault="00D330C3" w:rsidP="00D330C3">
      <w:pPr>
        <w:jc w:val="both"/>
        <w:rPr>
          <w:rFonts w:cstheme="minorHAnsi"/>
          <w:b/>
          <w:bCs/>
          <w:sz w:val="24"/>
          <w:szCs w:val="24"/>
        </w:rPr>
      </w:pPr>
      <w:r w:rsidRPr="00D330C3">
        <w:rPr>
          <w:rFonts w:cstheme="minorHAnsi"/>
          <w:b/>
          <w:bCs/>
          <w:sz w:val="24"/>
          <w:szCs w:val="24"/>
        </w:rPr>
        <w:t xml:space="preserve">Aktivnosti planirane za 2025: </w:t>
      </w:r>
    </w:p>
    <w:p w14:paraId="19E8948B" w14:textId="77777777" w:rsidR="00D330C3" w:rsidRPr="00D330C3" w:rsidRDefault="00D330C3" w:rsidP="00FD3827">
      <w:pPr>
        <w:numPr>
          <w:ilvl w:val="0"/>
          <w:numId w:val="24"/>
        </w:numPr>
        <w:spacing w:after="0"/>
        <w:jc w:val="both"/>
        <w:rPr>
          <w:rFonts w:cstheme="minorHAnsi"/>
          <w:sz w:val="24"/>
          <w:szCs w:val="24"/>
          <w:lang w:val="sr-Latn-RS"/>
        </w:rPr>
      </w:pPr>
      <w:r w:rsidRPr="00D330C3">
        <w:rPr>
          <w:rFonts w:cstheme="minorHAnsi"/>
          <w:sz w:val="24"/>
          <w:szCs w:val="24"/>
          <w:lang w:val="sr-Latn-RS"/>
        </w:rPr>
        <w:t>Uspostavljanje centralnog sistema Elektronskog zdravstvenog kartona. MZ</w:t>
      </w:r>
    </w:p>
    <w:p w14:paraId="0A9761C8" w14:textId="77777777" w:rsidR="00D330C3" w:rsidRPr="00D330C3" w:rsidRDefault="00D330C3" w:rsidP="00FD3827">
      <w:pPr>
        <w:numPr>
          <w:ilvl w:val="0"/>
          <w:numId w:val="24"/>
        </w:numPr>
        <w:spacing w:after="0"/>
        <w:jc w:val="both"/>
        <w:rPr>
          <w:rFonts w:cstheme="minorHAnsi"/>
          <w:sz w:val="24"/>
          <w:szCs w:val="24"/>
          <w:lang w:val="sr-Latn-RS"/>
        </w:rPr>
      </w:pPr>
      <w:r w:rsidRPr="00D330C3">
        <w:rPr>
          <w:rFonts w:cstheme="minorHAnsi"/>
          <w:sz w:val="24"/>
          <w:szCs w:val="24"/>
          <w:lang w:val="sr-Latn-RS"/>
        </w:rPr>
        <w:t>Uspostavljanje centralne platforme za Telemedicinu i mZdravlje. MZ</w:t>
      </w:r>
    </w:p>
    <w:p w14:paraId="6C8EDB7E" w14:textId="77777777" w:rsidR="00D330C3" w:rsidRPr="00D330C3" w:rsidRDefault="00D330C3" w:rsidP="00FD3827">
      <w:pPr>
        <w:numPr>
          <w:ilvl w:val="0"/>
          <w:numId w:val="24"/>
        </w:numPr>
        <w:spacing w:after="0"/>
        <w:jc w:val="both"/>
        <w:rPr>
          <w:rFonts w:cstheme="minorHAnsi"/>
          <w:sz w:val="24"/>
          <w:szCs w:val="24"/>
          <w:lang w:val="sr-Latn-RS"/>
        </w:rPr>
      </w:pPr>
      <w:r w:rsidRPr="00D330C3">
        <w:rPr>
          <w:rFonts w:cstheme="minorHAnsi"/>
          <w:sz w:val="24"/>
          <w:szCs w:val="24"/>
          <w:lang w:val="sr-Latn-RS"/>
        </w:rPr>
        <w:t xml:space="preserve">Uspostavljanje sistema naprednog izvjestavanja, korišćenjem </w:t>
      </w:r>
      <w:r w:rsidRPr="00D330C3">
        <w:rPr>
          <w:rFonts w:cstheme="minorHAnsi"/>
          <w:sz w:val="24"/>
          <w:szCs w:val="24"/>
          <w:lang w:val="sr-Latn-ME"/>
        </w:rPr>
        <w:t>DW i BI te unapređenje postojećih i uvođenje novih IS u okviru Integralnog zdravstvenog informacionog sistema. MZ</w:t>
      </w:r>
    </w:p>
    <w:p w14:paraId="3F876690" w14:textId="77777777" w:rsidR="00D330C3" w:rsidRPr="00D330C3" w:rsidRDefault="00D330C3" w:rsidP="00D330C3">
      <w:pPr>
        <w:jc w:val="both"/>
        <w:rPr>
          <w:rFonts w:cstheme="minorHAnsi"/>
          <w:b/>
          <w:bCs/>
          <w:sz w:val="24"/>
          <w:szCs w:val="24"/>
        </w:rPr>
      </w:pPr>
      <w:r w:rsidRPr="00D330C3">
        <w:rPr>
          <w:rFonts w:cstheme="minorHAnsi"/>
          <w:b/>
          <w:bCs/>
          <w:sz w:val="24"/>
          <w:szCs w:val="24"/>
        </w:rPr>
        <w:t>Aktivnosti planirane za 2026.</w:t>
      </w:r>
    </w:p>
    <w:p w14:paraId="48766A78" w14:textId="77777777" w:rsidR="00D330C3" w:rsidRPr="00D330C3" w:rsidRDefault="00D330C3" w:rsidP="00FD3827">
      <w:pPr>
        <w:numPr>
          <w:ilvl w:val="0"/>
          <w:numId w:val="25"/>
        </w:numPr>
        <w:spacing w:after="0"/>
        <w:jc w:val="both"/>
        <w:rPr>
          <w:rFonts w:cstheme="minorHAnsi"/>
          <w:sz w:val="24"/>
          <w:szCs w:val="24"/>
          <w:lang w:val="sr-Latn-RS"/>
        </w:rPr>
      </w:pPr>
      <w:r w:rsidRPr="00D330C3">
        <w:rPr>
          <w:rFonts w:cstheme="minorHAnsi"/>
          <w:sz w:val="24"/>
          <w:szCs w:val="24"/>
          <w:lang w:val="sr-Latn-RS"/>
        </w:rPr>
        <w:t>Uspostavljen centralni sistem Elektronskog zdravstvenog kartona</w:t>
      </w:r>
    </w:p>
    <w:p w14:paraId="01DF545D" w14:textId="77777777" w:rsidR="00D330C3" w:rsidRPr="00D330C3" w:rsidRDefault="00D330C3" w:rsidP="00FD3827">
      <w:pPr>
        <w:numPr>
          <w:ilvl w:val="0"/>
          <w:numId w:val="25"/>
        </w:numPr>
        <w:spacing w:after="0"/>
        <w:jc w:val="both"/>
        <w:rPr>
          <w:rFonts w:cstheme="minorHAnsi"/>
          <w:sz w:val="24"/>
          <w:szCs w:val="24"/>
          <w:lang w:val="sr-Latn-RS"/>
        </w:rPr>
      </w:pPr>
      <w:r w:rsidRPr="00D330C3">
        <w:rPr>
          <w:rFonts w:cstheme="minorHAnsi"/>
          <w:sz w:val="24"/>
          <w:szCs w:val="24"/>
          <w:lang w:val="sr-Latn-RS"/>
        </w:rPr>
        <w:t>Uspostavljena centralna platforma za Telemedicinu i mZdravlje</w:t>
      </w:r>
    </w:p>
    <w:p w14:paraId="6FB4344C" w14:textId="77777777" w:rsidR="00D330C3" w:rsidRPr="00D330C3" w:rsidRDefault="00D330C3" w:rsidP="00FD3827">
      <w:pPr>
        <w:numPr>
          <w:ilvl w:val="0"/>
          <w:numId w:val="25"/>
        </w:numPr>
        <w:spacing w:after="0"/>
        <w:jc w:val="both"/>
        <w:rPr>
          <w:rFonts w:cstheme="minorHAnsi"/>
          <w:sz w:val="24"/>
          <w:szCs w:val="24"/>
          <w:lang w:val="sr-Latn-RS"/>
        </w:rPr>
      </w:pPr>
      <w:r w:rsidRPr="00D330C3">
        <w:rPr>
          <w:rFonts w:cstheme="minorHAnsi"/>
          <w:sz w:val="24"/>
          <w:szCs w:val="24"/>
          <w:lang w:val="sr-Latn-RS"/>
        </w:rPr>
        <w:t xml:space="preserve">Uspostavljen sistem naprednog izvjestavanja, korišćenjem </w:t>
      </w:r>
      <w:r w:rsidRPr="00D330C3">
        <w:rPr>
          <w:rFonts w:cstheme="minorHAnsi"/>
          <w:sz w:val="24"/>
          <w:szCs w:val="24"/>
          <w:lang w:val="sr-Latn-ME"/>
        </w:rPr>
        <w:t>DW i BI te unapređenje postojećih i uvođenje novih IS u okviru Integralnog zdravstvenog informacionog sistema</w:t>
      </w:r>
    </w:p>
    <w:p w14:paraId="6F473082" w14:textId="77777777" w:rsidR="00D330C3" w:rsidRPr="00D330C3" w:rsidRDefault="00D330C3" w:rsidP="00D330C3">
      <w:pPr>
        <w:jc w:val="both"/>
        <w:rPr>
          <w:rFonts w:cstheme="minorHAnsi"/>
          <w:b/>
          <w:bCs/>
          <w:iCs/>
          <w:sz w:val="24"/>
          <w:szCs w:val="24"/>
        </w:rPr>
      </w:pPr>
      <w:r w:rsidRPr="00D330C3">
        <w:rPr>
          <w:rFonts w:cstheme="minorHAnsi"/>
          <w:b/>
          <w:bCs/>
          <w:iCs/>
          <w:sz w:val="24"/>
          <w:szCs w:val="24"/>
        </w:rPr>
        <w:t xml:space="preserve">2. Indikatori rezultata </w:t>
      </w:r>
    </w:p>
    <w:tbl>
      <w:tblPr>
        <w:tblStyle w:val="GridTable6Colorful-Accent5"/>
        <w:tblW w:w="9265" w:type="dxa"/>
        <w:tblLayout w:type="fixed"/>
        <w:tblLook w:val="04A0" w:firstRow="1" w:lastRow="0" w:firstColumn="1" w:lastColumn="0" w:noHBand="0" w:noVBand="1"/>
      </w:tblPr>
      <w:tblGrid>
        <w:gridCol w:w="3325"/>
        <w:gridCol w:w="2070"/>
        <w:gridCol w:w="1620"/>
        <w:gridCol w:w="2250"/>
      </w:tblGrid>
      <w:tr w:rsidR="00D330C3" w:rsidRPr="00082B85" w14:paraId="66DC0F95" w14:textId="77777777" w:rsidTr="007860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5" w:type="dxa"/>
          </w:tcPr>
          <w:p w14:paraId="191CE789" w14:textId="77777777" w:rsidR="00D330C3" w:rsidRPr="0078602A" w:rsidRDefault="00D330C3" w:rsidP="00082B85">
            <w:pPr>
              <w:jc w:val="center"/>
              <w:rPr>
                <w:rFonts w:cstheme="minorHAnsi"/>
                <w:bCs w:val="0"/>
                <w:color w:val="auto"/>
                <w:sz w:val="20"/>
                <w:szCs w:val="20"/>
              </w:rPr>
            </w:pPr>
            <w:r w:rsidRPr="0078602A">
              <w:rPr>
                <w:rFonts w:cstheme="minorHAnsi"/>
                <w:bCs w:val="0"/>
                <w:color w:val="auto"/>
                <w:sz w:val="20"/>
                <w:szCs w:val="20"/>
              </w:rPr>
              <w:t>Indikator</w:t>
            </w:r>
          </w:p>
        </w:tc>
        <w:tc>
          <w:tcPr>
            <w:tcW w:w="2070" w:type="dxa"/>
          </w:tcPr>
          <w:p w14:paraId="04EB3370" w14:textId="77777777" w:rsidR="00D330C3" w:rsidRPr="0078602A" w:rsidRDefault="00D330C3" w:rsidP="00082B85">
            <w:pPr>
              <w:jc w:val="center"/>
              <w:cnfStyle w:val="100000000000" w:firstRow="1" w:lastRow="0" w:firstColumn="0" w:lastColumn="0" w:oddVBand="0" w:evenVBand="0" w:oddHBand="0" w:evenHBand="0" w:firstRowFirstColumn="0" w:firstRowLastColumn="0" w:lastRowFirstColumn="0" w:lastRowLastColumn="0"/>
              <w:rPr>
                <w:rFonts w:cstheme="minorHAnsi"/>
                <w:bCs w:val="0"/>
                <w:color w:val="auto"/>
                <w:sz w:val="20"/>
                <w:szCs w:val="20"/>
              </w:rPr>
            </w:pPr>
            <w:r w:rsidRPr="0078602A">
              <w:rPr>
                <w:rFonts w:cstheme="minorHAnsi"/>
                <w:bCs w:val="0"/>
                <w:color w:val="auto"/>
                <w:sz w:val="20"/>
                <w:szCs w:val="20"/>
              </w:rPr>
              <w:t>Početna vrijednost</w:t>
            </w:r>
          </w:p>
          <w:p w14:paraId="4E20F9CC" w14:textId="598A647C" w:rsidR="00D330C3" w:rsidRPr="0078602A" w:rsidRDefault="00D330C3" w:rsidP="00082B85">
            <w:pPr>
              <w:jc w:val="center"/>
              <w:cnfStyle w:val="100000000000" w:firstRow="1" w:lastRow="0" w:firstColumn="0" w:lastColumn="0" w:oddVBand="0" w:evenVBand="0" w:oddHBand="0" w:evenHBand="0" w:firstRowFirstColumn="0" w:firstRowLastColumn="0" w:lastRowFirstColumn="0" w:lastRowLastColumn="0"/>
              <w:rPr>
                <w:rFonts w:cstheme="minorHAnsi"/>
                <w:bCs w:val="0"/>
                <w:color w:val="auto"/>
                <w:sz w:val="20"/>
                <w:szCs w:val="20"/>
              </w:rPr>
            </w:pPr>
            <w:r w:rsidRPr="0078602A">
              <w:rPr>
                <w:rFonts w:cstheme="minorHAnsi"/>
                <w:bCs w:val="0"/>
                <w:color w:val="auto"/>
                <w:sz w:val="20"/>
                <w:szCs w:val="20"/>
              </w:rPr>
              <w:t>(2023)</w:t>
            </w:r>
          </w:p>
        </w:tc>
        <w:tc>
          <w:tcPr>
            <w:tcW w:w="1620" w:type="dxa"/>
          </w:tcPr>
          <w:p w14:paraId="621BE418" w14:textId="77777777" w:rsidR="00D330C3" w:rsidRPr="0078602A" w:rsidRDefault="00D330C3" w:rsidP="00082B85">
            <w:pPr>
              <w:jc w:val="center"/>
              <w:cnfStyle w:val="100000000000" w:firstRow="1" w:lastRow="0" w:firstColumn="0" w:lastColumn="0" w:oddVBand="0" w:evenVBand="0" w:oddHBand="0" w:evenHBand="0" w:firstRowFirstColumn="0" w:firstRowLastColumn="0" w:lastRowFirstColumn="0" w:lastRowLastColumn="0"/>
              <w:rPr>
                <w:rFonts w:cstheme="minorHAnsi"/>
                <w:bCs w:val="0"/>
                <w:color w:val="auto"/>
                <w:sz w:val="20"/>
                <w:szCs w:val="20"/>
              </w:rPr>
            </w:pPr>
            <w:r w:rsidRPr="0078602A">
              <w:rPr>
                <w:rFonts w:cstheme="minorHAnsi"/>
                <w:bCs w:val="0"/>
                <w:color w:val="auto"/>
                <w:sz w:val="20"/>
                <w:szCs w:val="20"/>
              </w:rPr>
              <w:t>Medjurezultat</w:t>
            </w:r>
          </w:p>
          <w:p w14:paraId="630A5684" w14:textId="5D70E5CB" w:rsidR="00D330C3" w:rsidRPr="0078602A" w:rsidRDefault="00D330C3" w:rsidP="00082B85">
            <w:pPr>
              <w:jc w:val="center"/>
              <w:cnfStyle w:val="100000000000" w:firstRow="1" w:lastRow="0" w:firstColumn="0" w:lastColumn="0" w:oddVBand="0" w:evenVBand="0" w:oddHBand="0" w:evenHBand="0" w:firstRowFirstColumn="0" w:firstRowLastColumn="0" w:lastRowFirstColumn="0" w:lastRowLastColumn="0"/>
              <w:rPr>
                <w:rFonts w:cstheme="minorHAnsi"/>
                <w:bCs w:val="0"/>
                <w:color w:val="auto"/>
                <w:sz w:val="20"/>
                <w:szCs w:val="20"/>
              </w:rPr>
            </w:pPr>
            <w:r w:rsidRPr="0078602A">
              <w:rPr>
                <w:rFonts w:cstheme="minorHAnsi"/>
                <w:bCs w:val="0"/>
                <w:color w:val="auto"/>
                <w:sz w:val="20"/>
                <w:szCs w:val="20"/>
              </w:rPr>
              <w:t>(2025)</w:t>
            </w:r>
          </w:p>
        </w:tc>
        <w:tc>
          <w:tcPr>
            <w:tcW w:w="2250" w:type="dxa"/>
          </w:tcPr>
          <w:p w14:paraId="1EA5F214" w14:textId="77777777" w:rsidR="00D330C3" w:rsidRPr="0078602A" w:rsidRDefault="00D330C3" w:rsidP="00082B85">
            <w:pPr>
              <w:jc w:val="center"/>
              <w:cnfStyle w:val="100000000000" w:firstRow="1" w:lastRow="0" w:firstColumn="0" w:lastColumn="0" w:oddVBand="0" w:evenVBand="0" w:oddHBand="0" w:evenHBand="0" w:firstRowFirstColumn="0" w:firstRowLastColumn="0" w:lastRowFirstColumn="0" w:lastRowLastColumn="0"/>
              <w:rPr>
                <w:rFonts w:cstheme="minorHAnsi"/>
                <w:bCs w:val="0"/>
                <w:color w:val="auto"/>
                <w:sz w:val="20"/>
                <w:szCs w:val="20"/>
              </w:rPr>
            </w:pPr>
            <w:r w:rsidRPr="0078602A">
              <w:rPr>
                <w:rFonts w:cstheme="minorHAnsi"/>
                <w:bCs w:val="0"/>
                <w:color w:val="auto"/>
                <w:sz w:val="20"/>
                <w:szCs w:val="20"/>
              </w:rPr>
              <w:t>Ciljna vrijednost</w:t>
            </w:r>
          </w:p>
          <w:p w14:paraId="5F44A0DC" w14:textId="06B046A1" w:rsidR="00D330C3" w:rsidRPr="0078602A" w:rsidRDefault="00D330C3" w:rsidP="00082B85">
            <w:pPr>
              <w:jc w:val="center"/>
              <w:cnfStyle w:val="100000000000" w:firstRow="1" w:lastRow="0" w:firstColumn="0" w:lastColumn="0" w:oddVBand="0" w:evenVBand="0" w:oddHBand="0" w:evenHBand="0" w:firstRowFirstColumn="0" w:firstRowLastColumn="0" w:lastRowFirstColumn="0" w:lastRowLastColumn="0"/>
              <w:rPr>
                <w:rFonts w:cstheme="minorHAnsi"/>
                <w:bCs w:val="0"/>
                <w:color w:val="auto"/>
                <w:sz w:val="20"/>
                <w:szCs w:val="20"/>
              </w:rPr>
            </w:pPr>
            <w:r w:rsidRPr="0078602A">
              <w:rPr>
                <w:rFonts w:cstheme="minorHAnsi"/>
                <w:bCs w:val="0"/>
                <w:color w:val="auto"/>
                <w:sz w:val="20"/>
                <w:szCs w:val="20"/>
              </w:rPr>
              <w:t>(2026)</w:t>
            </w:r>
          </w:p>
        </w:tc>
      </w:tr>
      <w:tr w:rsidR="00D330C3" w:rsidRPr="00082B85" w14:paraId="1E609D11" w14:textId="77777777" w:rsidTr="0078602A">
        <w:trPr>
          <w:cnfStyle w:val="000000100000" w:firstRow="0" w:lastRow="0" w:firstColumn="0" w:lastColumn="0" w:oddVBand="0" w:evenVBand="0" w:oddHBand="1" w:evenHBand="0" w:firstRowFirstColumn="0" w:firstRowLastColumn="0" w:lastRowFirstColumn="0" w:lastRowLastColumn="0"/>
          <w:trHeight w:val="1055"/>
        </w:trPr>
        <w:tc>
          <w:tcPr>
            <w:cnfStyle w:val="001000000000" w:firstRow="0" w:lastRow="0" w:firstColumn="1" w:lastColumn="0" w:oddVBand="0" w:evenVBand="0" w:oddHBand="0" w:evenHBand="0" w:firstRowFirstColumn="0" w:firstRowLastColumn="0" w:lastRowFirstColumn="0" w:lastRowLastColumn="0"/>
            <w:tcW w:w="3325" w:type="dxa"/>
          </w:tcPr>
          <w:p w14:paraId="234EA40B" w14:textId="77777777" w:rsidR="00D330C3" w:rsidRPr="0078602A" w:rsidRDefault="00D330C3" w:rsidP="00D330C3">
            <w:pPr>
              <w:spacing w:after="160" w:line="259" w:lineRule="auto"/>
              <w:jc w:val="both"/>
              <w:rPr>
                <w:rFonts w:cstheme="minorHAnsi"/>
                <w:b w:val="0"/>
                <w:color w:val="auto"/>
                <w:sz w:val="20"/>
                <w:szCs w:val="20"/>
                <w:lang w:val="sr-Latn-RS"/>
              </w:rPr>
            </w:pPr>
            <w:r w:rsidRPr="0078602A">
              <w:rPr>
                <w:rFonts w:cstheme="minorHAnsi"/>
                <w:b w:val="0"/>
                <w:color w:val="auto"/>
                <w:sz w:val="20"/>
                <w:szCs w:val="20"/>
                <w:lang w:val="sr-Latn-RS"/>
              </w:rPr>
              <w:t>Broj uspostavljenih centralnih sistema Elektronskog zdravstvenog kartona</w:t>
            </w:r>
          </w:p>
          <w:p w14:paraId="1AF7F677" w14:textId="77777777" w:rsidR="00D330C3" w:rsidRPr="0078602A" w:rsidRDefault="00D330C3" w:rsidP="00D330C3">
            <w:pPr>
              <w:spacing w:after="160" w:line="259" w:lineRule="auto"/>
              <w:jc w:val="both"/>
              <w:rPr>
                <w:rFonts w:cstheme="minorHAnsi"/>
                <w:b w:val="0"/>
                <w:color w:val="auto"/>
                <w:sz w:val="20"/>
                <w:szCs w:val="20"/>
              </w:rPr>
            </w:pPr>
          </w:p>
        </w:tc>
        <w:tc>
          <w:tcPr>
            <w:tcW w:w="2070" w:type="dxa"/>
          </w:tcPr>
          <w:p w14:paraId="35B6FD1C" w14:textId="77777777" w:rsidR="00D330C3" w:rsidRPr="0078602A" w:rsidRDefault="00D330C3" w:rsidP="00D330C3">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heme="minorHAnsi"/>
                <w:color w:val="auto"/>
                <w:sz w:val="20"/>
                <w:szCs w:val="20"/>
              </w:rPr>
            </w:pPr>
            <w:r w:rsidRPr="0078602A">
              <w:rPr>
                <w:rFonts w:cstheme="minorHAnsi"/>
                <w:color w:val="auto"/>
                <w:sz w:val="20"/>
                <w:szCs w:val="20"/>
              </w:rPr>
              <w:t>0</w:t>
            </w:r>
          </w:p>
          <w:p w14:paraId="4818F8C2" w14:textId="77777777" w:rsidR="00D330C3" w:rsidRPr="0078602A" w:rsidRDefault="00D330C3" w:rsidP="00D330C3">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heme="minorHAnsi"/>
                <w:color w:val="auto"/>
                <w:sz w:val="20"/>
                <w:szCs w:val="20"/>
              </w:rPr>
            </w:pPr>
          </w:p>
          <w:p w14:paraId="010BFF4D" w14:textId="77777777" w:rsidR="00D330C3" w:rsidRPr="0078602A" w:rsidRDefault="00D330C3" w:rsidP="00D330C3">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heme="minorHAnsi"/>
                <w:color w:val="auto"/>
                <w:sz w:val="20"/>
                <w:szCs w:val="20"/>
              </w:rPr>
            </w:pPr>
            <w:r w:rsidRPr="0078602A">
              <w:rPr>
                <w:rFonts w:cstheme="minorHAnsi"/>
                <w:color w:val="auto"/>
                <w:sz w:val="20"/>
                <w:szCs w:val="20"/>
              </w:rPr>
              <w:lastRenderedPageBreak/>
              <w:t xml:space="preserve">Definisan sadržaj Elektronskog zdravstvenog kartona </w:t>
            </w:r>
          </w:p>
        </w:tc>
        <w:tc>
          <w:tcPr>
            <w:tcW w:w="1620" w:type="dxa"/>
          </w:tcPr>
          <w:p w14:paraId="444DD1C3" w14:textId="77777777" w:rsidR="00D330C3" w:rsidRPr="0078602A" w:rsidRDefault="00D330C3" w:rsidP="00D330C3">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heme="minorHAnsi"/>
                <w:color w:val="auto"/>
                <w:sz w:val="20"/>
                <w:szCs w:val="20"/>
              </w:rPr>
            </w:pPr>
            <w:r w:rsidRPr="0078602A">
              <w:rPr>
                <w:rFonts w:cstheme="minorHAnsi"/>
                <w:color w:val="auto"/>
                <w:sz w:val="20"/>
                <w:szCs w:val="20"/>
              </w:rPr>
              <w:lastRenderedPageBreak/>
              <w:t>0</w:t>
            </w:r>
          </w:p>
          <w:p w14:paraId="787506CC" w14:textId="77777777" w:rsidR="00D330C3" w:rsidRPr="0078602A" w:rsidRDefault="00D330C3" w:rsidP="00D330C3">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heme="minorHAnsi"/>
                <w:color w:val="auto"/>
                <w:sz w:val="20"/>
                <w:szCs w:val="20"/>
              </w:rPr>
            </w:pPr>
          </w:p>
          <w:p w14:paraId="3C92A710" w14:textId="77777777" w:rsidR="00D330C3" w:rsidRPr="0078602A" w:rsidRDefault="00D330C3" w:rsidP="00D330C3">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heme="minorHAnsi"/>
                <w:color w:val="auto"/>
                <w:sz w:val="20"/>
                <w:szCs w:val="20"/>
              </w:rPr>
            </w:pPr>
            <w:r w:rsidRPr="0078602A">
              <w:rPr>
                <w:rFonts w:cstheme="minorHAnsi"/>
                <w:color w:val="auto"/>
                <w:sz w:val="20"/>
                <w:szCs w:val="20"/>
              </w:rPr>
              <w:t xml:space="preserve">Raspisan tender, odabran izvođač i </w:t>
            </w:r>
            <w:r w:rsidRPr="0078602A">
              <w:rPr>
                <w:rFonts w:cstheme="minorHAnsi"/>
                <w:color w:val="auto"/>
                <w:sz w:val="20"/>
                <w:szCs w:val="20"/>
              </w:rPr>
              <w:lastRenderedPageBreak/>
              <w:t>implementirano rješenje</w:t>
            </w:r>
          </w:p>
        </w:tc>
        <w:tc>
          <w:tcPr>
            <w:tcW w:w="2250" w:type="dxa"/>
          </w:tcPr>
          <w:p w14:paraId="611FDA77" w14:textId="77777777" w:rsidR="00D330C3" w:rsidRPr="0078602A" w:rsidRDefault="00D330C3" w:rsidP="00D330C3">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heme="minorHAnsi"/>
                <w:color w:val="auto"/>
                <w:sz w:val="20"/>
                <w:szCs w:val="20"/>
              </w:rPr>
            </w:pPr>
            <w:r w:rsidRPr="0078602A">
              <w:rPr>
                <w:rFonts w:cstheme="minorHAnsi"/>
                <w:color w:val="auto"/>
                <w:sz w:val="20"/>
                <w:szCs w:val="20"/>
              </w:rPr>
              <w:lastRenderedPageBreak/>
              <w:t>1</w:t>
            </w:r>
          </w:p>
          <w:p w14:paraId="1E0CF647" w14:textId="77777777" w:rsidR="00D330C3" w:rsidRPr="0078602A" w:rsidRDefault="00D330C3" w:rsidP="00D330C3">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heme="minorHAnsi"/>
                <w:color w:val="auto"/>
                <w:sz w:val="20"/>
                <w:szCs w:val="20"/>
              </w:rPr>
            </w:pPr>
          </w:p>
          <w:p w14:paraId="7250BC9C" w14:textId="77777777" w:rsidR="00D330C3" w:rsidRPr="0078602A" w:rsidRDefault="00D330C3" w:rsidP="00D330C3">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heme="minorHAnsi"/>
                <w:color w:val="auto"/>
                <w:sz w:val="20"/>
                <w:szCs w:val="20"/>
              </w:rPr>
            </w:pPr>
            <w:r w:rsidRPr="0078602A">
              <w:rPr>
                <w:rFonts w:cstheme="minorHAnsi"/>
                <w:color w:val="auto"/>
                <w:sz w:val="20"/>
                <w:szCs w:val="20"/>
              </w:rPr>
              <w:lastRenderedPageBreak/>
              <w:t>Uspostavljen sistem Elektronskog zdravstvenog kartona</w:t>
            </w:r>
          </w:p>
        </w:tc>
      </w:tr>
      <w:tr w:rsidR="00D330C3" w:rsidRPr="00082B85" w14:paraId="50CF9BC5" w14:textId="77777777" w:rsidTr="0078602A">
        <w:trPr>
          <w:trHeight w:val="1055"/>
        </w:trPr>
        <w:tc>
          <w:tcPr>
            <w:cnfStyle w:val="001000000000" w:firstRow="0" w:lastRow="0" w:firstColumn="1" w:lastColumn="0" w:oddVBand="0" w:evenVBand="0" w:oddHBand="0" w:evenHBand="0" w:firstRowFirstColumn="0" w:firstRowLastColumn="0" w:lastRowFirstColumn="0" w:lastRowLastColumn="0"/>
            <w:tcW w:w="3325" w:type="dxa"/>
          </w:tcPr>
          <w:p w14:paraId="7B765A55" w14:textId="77777777" w:rsidR="00D330C3" w:rsidRPr="0078602A" w:rsidRDefault="00D330C3" w:rsidP="00D330C3">
            <w:pPr>
              <w:spacing w:after="160" w:line="259" w:lineRule="auto"/>
              <w:jc w:val="both"/>
              <w:rPr>
                <w:rFonts w:cstheme="minorHAnsi"/>
                <w:b w:val="0"/>
                <w:color w:val="auto"/>
                <w:sz w:val="20"/>
                <w:szCs w:val="20"/>
              </w:rPr>
            </w:pPr>
            <w:r w:rsidRPr="0078602A">
              <w:rPr>
                <w:rFonts w:cstheme="minorHAnsi"/>
                <w:b w:val="0"/>
                <w:color w:val="auto"/>
                <w:sz w:val="20"/>
                <w:szCs w:val="20"/>
                <w:lang w:val="sr-Latn-RS"/>
              </w:rPr>
              <w:lastRenderedPageBreak/>
              <w:t>Broj uspostavljenih centralnih platformi za Telemedicinu i mZdravlje</w:t>
            </w:r>
          </w:p>
        </w:tc>
        <w:tc>
          <w:tcPr>
            <w:tcW w:w="2070" w:type="dxa"/>
          </w:tcPr>
          <w:p w14:paraId="067461D3" w14:textId="77777777" w:rsidR="00D330C3" w:rsidRPr="0078602A" w:rsidRDefault="00D330C3" w:rsidP="00D330C3">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r w:rsidRPr="0078602A">
              <w:rPr>
                <w:rFonts w:cstheme="minorHAnsi"/>
                <w:color w:val="auto"/>
                <w:sz w:val="20"/>
                <w:szCs w:val="20"/>
              </w:rPr>
              <w:t>0</w:t>
            </w:r>
          </w:p>
          <w:p w14:paraId="39D98158" w14:textId="77777777" w:rsidR="00D330C3" w:rsidRPr="0078602A" w:rsidRDefault="00D330C3" w:rsidP="00D330C3">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r w:rsidRPr="0078602A">
              <w:rPr>
                <w:rFonts w:cstheme="minorHAnsi"/>
                <w:color w:val="auto"/>
                <w:sz w:val="20"/>
                <w:szCs w:val="20"/>
              </w:rPr>
              <w:t xml:space="preserve">Pripremljen projektni zadatak za specificiranje platforme </w:t>
            </w:r>
          </w:p>
        </w:tc>
        <w:tc>
          <w:tcPr>
            <w:tcW w:w="1620" w:type="dxa"/>
          </w:tcPr>
          <w:p w14:paraId="6843CE74" w14:textId="77777777" w:rsidR="00D330C3" w:rsidRPr="0078602A" w:rsidRDefault="00D330C3" w:rsidP="00D330C3">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r w:rsidRPr="0078602A">
              <w:rPr>
                <w:rFonts w:cstheme="minorHAnsi"/>
                <w:color w:val="auto"/>
                <w:sz w:val="20"/>
                <w:szCs w:val="20"/>
              </w:rPr>
              <w:t>0</w:t>
            </w:r>
          </w:p>
          <w:p w14:paraId="0C542EE8" w14:textId="77777777" w:rsidR="00D330C3" w:rsidRPr="0078602A" w:rsidRDefault="00D330C3" w:rsidP="00D330C3">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r w:rsidRPr="0078602A">
              <w:rPr>
                <w:rFonts w:cstheme="minorHAnsi"/>
                <w:color w:val="auto"/>
                <w:sz w:val="20"/>
                <w:szCs w:val="20"/>
              </w:rPr>
              <w:t>Pripremljena specifikacija nabavke, Raspisan tender, odabran izvođač i implementirano rješenje</w:t>
            </w:r>
          </w:p>
        </w:tc>
        <w:tc>
          <w:tcPr>
            <w:tcW w:w="2250" w:type="dxa"/>
          </w:tcPr>
          <w:p w14:paraId="149829F0" w14:textId="77777777" w:rsidR="00D330C3" w:rsidRPr="0078602A" w:rsidRDefault="00D330C3" w:rsidP="00D330C3">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r w:rsidRPr="0078602A">
              <w:rPr>
                <w:rFonts w:cstheme="minorHAnsi"/>
                <w:color w:val="auto"/>
                <w:sz w:val="20"/>
                <w:szCs w:val="20"/>
              </w:rPr>
              <w:t>1</w:t>
            </w:r>
          </w:p>
          <w:p w14:paraId="2C8DA3BF" w14:textId="77777777" w:rsidR="00D330C3" w:rsidRPr="0078602A" w:rsidRDefault="00D330C3" w:rsidP="00D330C3">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r w:rsidRPr="0078602A">
              <w:rPr>
                <w:rFonts w:cstheme="minorHAnsi"/>
                <w:color w:val="auto"/>
                <w:sz w:val="20"/>
                <w:szCs w:val="20"/>
              </w:rPr>
              <w:t>Uspostavljena platforma Telemedicine i mZdravlja</w:t>
            </w:r>
          </w:p>
        </w:tc>
      </w:tr>
      <w:tr w:rsidR="00D330C3" w:rsidRPr="00082B85" w14:paraId="4C727A18" w14:textId="77777777" w:rsidTr="0078602A">
        <w:trPr>
          <w:cnfStyle w:val="000000100000" w:firstRow="0" w:lastRow="0" w:firstColumn="0" w:lastColumn="0" w:oddVBand="0" w:evenVBand="0" w:oddHBand="1" w:evenHBand="0" w:firstRowFirstColumn="0" w:firstRowLastColumn="0" w:lastRowFirstColumn="0" w:lastRowLastColumn="0"/>
          <w:trHeight w:val="1055"/>
        </w:trPr>
        <w:tc>
          <w:tcPr>
            <w:cnfStyle w:val="001000000000" w:firstRow="0" w:lastRow="0" w:firstColumn="1" w:lastColumn="0" w:oddVBand="0" w:evenVBand="0" w:oddHBand="0" w:evenHBand="0" w:firstRowFirstColumn="0" w:firstRowLastColumn="0" w:lastRowFirstColumn="0" w:lastRowLastColumn="0"/>
            <w:tcW w:w="3325" w:type="dxa"/>
          </w:tcPr>
          <w:p w14:paraId="4797B60C" w14:textId="0475FB96" w:rsidR="00D330C3" w:rsidRPr="0078602A" w:rsidRDefault="00D330C3" w:rsidP="00D330C3">
            <w:pPr>
              <w:spacing w:after="160" w:line="259" w:lineRule="auto"/>
              <w:jc w:val="both"/>
              <w:rPr>
                <w:rFonts w:cstheme="minorHAnsi"/>
                <w:b w:val="0"/>
                <w:color w:val="auto"/>
                <w:sz w:val="20"/>
                <w:szCs w:val="20"/>
              </w:rPr>
            </w:pPr>
            <w:r w:rsidRPr="0078602A">
              <w:rPr>
                <w:rFonts w:cstheme="minorHAnsi"/>
                <w:b w:val="0"/>
                <w:color w:val="auto"/>
                <w:sz w:val="20"/>
                <w:szCs w:val="20"/>
                <w:lang w:val="sr-Latn-RS"/>
              </w:rPr>
              <w:t>Broj uspostavljenih sistema naprednog izvje</w:t>
            </w:r>
            <w:r w:rsidR="003D546D" w:rsidRPr="0078602A">
              <w:rPr>
                <w:rFonts w:cstheme="minorHAnsi"/>
                <w:b w:val="0"/>
                <w:color w:val="auto"/>
                <w:sz w:val="20"/>
                <w:szCs w:val="20"/>
                <w:lang w:val="sr-Latn-RS"/>
              </w:rPr>
              <w:t>š</w:t>
            </w:r>
            <w:r w:rsidRPr="0078602A">
              <w:rPr>
                <w:rFonts w:cstheme="minorHAnsi"/>
                <w:b w:val="0"/>
                <w:color w:val="auto"/>
                <w:sz w:val="20"/>
                <w:szCs w:val="20"/>
                <w:lang w:val="sr-Latn-RS"/>
              </w:rPr>
              <w:t xml:space="preserve">tavanja, korišćenjem </w:t>
            </w:r>
            <w:r w:rsidRPr="0078602A">
              <w:rPr>
                <w:rFonts w:cstheme="minorHAnsi"/>
                <w:b w:val="0"/>
                <w:color w:val="auto"/>
                <w:sz w:val="20"/>
                <w:szCs w:val="20"/>
                <w:lang w:val="sr-Latn-ME"/>
              </w:rPr>
              <w:t xml:space="preserve">DW i BI </w:t>
            </w:r>
          </w:p>
        </w:tc>
        <w:tc>
          <w:tcPr>
            <w:tcW w:w="2070" w:type="dxa"/>
          </w:tcPr>
          <w:p w14:paraId="222FD044" w14:textId="77777777" w:rsidR="00D330C3" w:rsidRPr="0078602A" w:rsidRDefault="00D330C3" w:rsidP="00D330C3">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heme="minorHAnsi"/>
                <w:color w:val="auto"/>
                <w:sz w:val="20"/>
                <w:szCs w:val="20"/>
              </w:rPr>
            </w:pPr>
            <w:r w:rsidRPr="0078602A">
              <w:rPr>
                <w:rFonts w:cstheme="minorHAnsi"/>
                <w:color w:val="auto"/>
                <w:sz w:val="20"/>
                <w:szCs w:val="20"/>
              </w:rPr>
              <w:t>0</w:t>
            </w:r>
          </w:p>
          <w:p w14:paraId="1F557561" w14:textId="0FB80659" w:rsidR="00D330C3" w:rsidRPr="0078602A" w:rsidRDefault="00D330C3" w:rsidP="00D330C3">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heme="minorHAnsi"/>
                <w:color w:val="auto"/>
                <w:sz w:val="20"/>
                <w:szCs w:val="20"/>
              </w:rPr>
            </w:pPr>
            <w:r w:rsidRPr="0078602A">
              <w:rPr>
                <w:rFonts w:cstheme="minorHAnsi"/>
                <w:color w:val="auto"/>
                <w:sz w:val="20"/>
                <w:szCs w:val="20"/>
              </w:rPr>
              <w:t>Pripremljen projektni zadatak za specificiranje sistema naprednog izvje</w:t>
            </w:r>
            <w:r w:rsidR="003D546D" w:rsidRPr="0078602A">
              <w:rPr>
                <w:rFonts w:cstheme="minorHAnsi"/>
                <w:color w:val="auto"/>
                <w:sz w:val="20"/>
                <w:szCs w:val="20"/>
              </w:rPr>
              <w:t>š</w:t>
            </w:r>
            <w:r w:rsidRPr="0078602A">
              <w:rPr>
                <w:rFonts w:cstheme="minorHAnsi"/>
                <w:color w:val="auto"/>
                <w:sz w:val="20"/>
                <w:szCs w:val="20"/>
              </w:rPr>
              <w:t>tavanja</w:t>
            </w:r>
          </w:p>
        </w:tc>
        <w:tc>
          <w:tcPr>
            <w:tcW w:w="1620" w:type="dxa"/>
          </w:tcPr>
          <w:p w14:paraId="2C84D851" w14:textId="77777777" w:rsidR="00D330C3" w:rsidRPr="0078602A" w:rsidRDefault="00D330C3" w:rsidP="00D330C3">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heme="minorHAnsi"/>
                <w:color w:val="auto"/>
                <w:sz w:val="20"/>
                <w:szCs w:val="20"/>
              </w:rPr>
            </w:pPr>
            <w:r w:rsidRPr="0078602A">
              <w:rPr>
                <w:rFonts w:cstheme="minorHAnsi"/>
                <w:color w:val="auto"/>
                <w:sz w:val="20"/>
                <w:szCs w:val="20"/>
              </w:rPr>
              <w:t>0</w:t>
            </w:r>
          </w:p>
          <w:p w14:paraId="7F6B593D" w14:textId="77777777" w:rsidR="00D330C3" w:rsidRPr="0078602A" w:rsidRDefault="00D330C3" w:rsidP="00D330C3">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heme="minorHAnsi"/>
                <w:color w:val="auto"/>
                <w:sz w:val="20"/>
                <w:szCs w:val="20"/>
              </w:rPr>
            </w:pPr>
            <w:r w:rsidRPr="0078602A">
              <w:rPr>
                <w:rFonts w:cstheme="minorHAnsi"/>
                <w:color w:val="auto"/>
                <w:sz w:val="20"/>
                <w:szCs w:val="20"/>
              </w:rPr>
              <w:t>Pripremljena specifikacija nabavke, Raspisan tender, odabran izvođač i implementirano rješenje</w:t>
            </w:r>
          </w:p>
        </w:tc>
        <w:tc>
          <w:tcPr>
            <w:tcW w:w="2250" w:type="dxa"/>
          </w:tcPr>
          <w:p w14:paraId="544B73BE" w14:textId="77777777" w:rsidR="00D330C3" w:rsidRPr="0078602A" w:rsidRDefault="00D330C3" w:rsidP="00D330C3">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heme="minorHAnsi"/>
                <w:color w:val="auto"/>
                <w:sz w:val="20"/>
                <w:szCs w:val="20"/>
              </w:rPr>
            </w:pPr>
            <w:r w:rsidRPr="0078602A">
              <w:rPr>
                <w:rFonts w:cstheme="minorHAnsi"/>
                <w:color w:val="auto"/>
                <w:sz w:val="20"/>
                <w:szCs w:val="20"/>
              </w:rPr>
              <w:t>1</w:t>
            </w:r>
          </w:p>
          <w:p w14:paraId="6DA42027" w14:textId="77777777" w:rsidR="00D330C3" w:rsidRPr="0078602A" w:rsidRDefault="00D330C3" w:rsidP="00D330C3">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heme="minorHAnsi"/>
                <w:color w:val="auto"/>
                <w:sz w:val="20"/>
                <w:szCs w:val="20"/>
              </w:rPr>
            </w:pPr>
            <w:r w:rsidRPr="0078602A">
              <w:rPr>
                <w:rFonts w:cstheme="minorHAnsi"/>
                <w:color w:val="auto"/>
                <w:sz w:val="20"/>
                <w:szCs w:val="20"/>
              </w:rPr>
              <w:t>Uspostavljena sistem naprednog izvjestavanja</w:t>
            </w:r>
          </w:p>
        </w:tc>
      </w:tr>
    </w:tbl>
    <w:p w14:paraId="5EC2C35B" w14:textId="7DC53EAC" w:rsidR="00D330C3" w:rsidRPr="00D330C3" w:rsidRDefault="00D330C3" w:rsidP="00D330C3">
      <w:pPr>
        <w:jc w:val="both"/>
        <w:rPr>
          <w:rFonts w:cstheme="minorHAnsi"/>
          <w:sz w:val="24"/>
          <w:szCs w:val="24"/>
        </w:rPr>
      </w:pPr>
      <w:bookmarkStart w:id="177" w:name="_Hlk83658609"/>
      <w:r w:rsidRPr="00D330C3">
        <w:rPr>
          <w:rFonts w:cstheme="minorHAnsi"/>
          <w:b/>
          <w:bCs/>
          <w:sz w:val="24"/>
          <w:szCs w:val="24"/>
        </w:rPr>
        <w:t>3. Očekivani uticaj na konkurentnost</w:t>
      </w:r>
      <w:bookmarkEnd w:id="177"/>
      <w:r w:rsidRPr="00D330C3">
        <w:rPr>
          <w:rFonts w:cstheme="minorHAnsi"/>
          <w:b/>
          <w:bCs/>
          <w:sz w:val="24"/>
          <w:szCs w:val="24"/>
        </w:rPr>
        <w:t>.</w:t>
      </w:r>
      <w:bookmarkStart w:id="178" w:name="_Hlk83658683"/>
      <w:r w:rsidRPr="00D330C3">
        <w:rPr>
          <w:rFonts w:cstheme="minorHAnsi"/>
          <w:b/>
          <w:bCs/>
          <w:sz w:val="24"/>
          <w:szCs w:val="24"/>
        </w:rPr>
        <w:t xml:space="preserve"> </w:t>
      </w:r>
      <w:r w:rsidRPr="00D330C3">
        <w:rPr>
          <w:rFonts w:cstheme="minorHAnsi"/>
          <w:sz w:val="24"/>
          <w:szCs w:val="24"/>
        </w:rPr>
        <w:t>Uvođenjem novih i nadogradnjom postojećih servisa u oblasti digitalnog zdravlja, obezbijediće se veća konkurentnost i tranzicija ka zelenoj ekonomiji, a efikasnijim upravljanjem i racionalnijim korišćenjem raspoloživih resursa postići će se manja potrošnja i veća iskorišćenost dostupnih resursa. Postojećim informacionim sistemima pokriveni su poslovni procesi na svim nivoima zdrastvene zaštite, ali ti sistemi se moraju optimizovati i unaprijediti tako da prate moderne trendove digitalnog zdravlja i budu orjentisani više na krajnjeg korisnika - pacijenta. Prevencija je u sistemu zdravstva veoma bitna, a moderne tehnologije, aplikacije i servisi mogu podstaći pacijente da vode aktivniji i zdraviji zivot ali i prate svoje trendove i navike i koriguju ih. Iz ugla privrede, obezbijediće se da se na tržištu jave specijalizovane firme, ustanove koje će da pružaju usluge i servise iz oblasti digitalnog zdravlja.</w:t>
      </w:r>
    </w:p>
    <w:p w14:paraId="70CD75B0" w14:textId="45DF5DAB" w:rsidR="00D330C3" w:rsidRPr="00D330C3" w:rsidRDefault="00D330C3" w:rsidP="00D330C3">
      <w:pPr>
        <w:jc w:val="both"/>
        <w:rPr>
          <w:rFonts w:cstheme="minorHAnsi"/>
          <w:sz w:val="24"/>
          <w:szCs w:val="24"/>
          <w:lang w:val="sr-Latn-ME"/>
        </w:rPr>
      </w:pPr>
      <w:r w:rsidRPr="00D330C3">
        <w:rPr>
          <w:rFonts w:cstheme="minorHAnsi"/>
          <w:b/>
          <w:bCs/>
          <w:sz w:val="24"/>
          <w:szCs w:val="24"/>
        </w:rPr>
        <w:t xml:space="preserve">4. Procijenjeni troškovi aktivnosti i predviđeni izvori njihovog finansiranja. </w:t>
      </w:r>
      <w:r w:rsidRPr="00D330C3">
        <w:rPr>
          <w:rFonts w:cstheme="minorHAnsi"/>
          <w:sz w:val="24"/>
          <w:szCs w:val="24"/>
        </w:rPr>
        <w:t>Predviđena dodatna sredstva iz budžeta za finansiranje mjere iznose 1</w:t>
      </w:r>
      <w:r w:rsidR="000968F6">
        <w:rPr>
          <w:rFonts w:cstheme="minorHAnsi"/>
          <w:sz w:val="24"/>
          <w:szCs w:val="24"/>
        </w:rPr>
        <w:t>,</w:t>
      </w:r>
      <w:r w:rsidRPr="00D330C3">
        <w:rPr>
          <w:rFonts w:cstheme="minorHAnsi"/>
          <w:sz w:val="24"/>
          <w:szCs w:val="24"/>
        </w:rPr>
        <w:t>1 milion</w:t>
      </w:r>
      <w:r w:rsidR="000968F6">
        <w:rPr>
          <w:rFonts w:cstheme="minorHAnsi"/>
          <w:sz w:val="24"/>
          <w:szCs w:val="24"/>
        </w:rPr>
        <w:t xml:space="preserve"> eura</w:t>
      </w:r>
      <w:r w:rsidRPr="00D330C3">
        <w:rPr>
          <w:rFonts w:cstheme="minorHAnsi"/>
          <w:sz w:val="24"/>
          <w:szCs w:val="24"/>
        </w:rPr>
        <w:t>, a kroz kapitalni budžet 1</w:t>
      </w:r>
      <w:r w:rsidR="000968F6">
        <w:rPr>
          <w:rFonts w:cstheme="minorHAnsi"/>
          <w:sz w:val="24"/>
          <w:szCs w:val="24"/>
        </w:rPr>
        <w:t>,</w:t>
      </w:r>
      <w:r w:rsidRPr="00D330C3">
        <w:rPr>
          <w:rFonts w:cstheme="minorHAnsi"/>
          <w:sz w:val="24"/>
          <w:szCs w:val="24"/>
        </w:rPr>
        <w:t>15 miliona eura za projekat teleradiologije</w:t>
      </w:r>
    </w:p>
    <w:p w14:paraId="1528D5E7" w14:textId="5BE0F3E9" w:rsidR="00D330C3" w:rsidRPr="00D330C3" w:rsidRDefault="00D330C3" w:rsidP="00D330C3">
      <w:pPr>
        <w:jc w:val="both"/>
        <w:rPr>
          <w:rFonts w:cstheme="minorHAnsi"/>
          <w:sz w:val="24"/>
          <w:szCs w:val="24"/>
        </w:rPr>
      </w:pPr>
      <w:r w:rsidRPr="00D330C3">
        <w:rPr>
          <w:rFonts w:cstheme="minorHAnsi"/>
          <w:b/>
          <w:bCs/>
          <w:sz w:val="24"/>
          <w:szCs w:val="24"/>
        </w:rPr>
        <w:t xml:space="preserve">5. Očekivani uticaj na socijalne ciljeve, kao što su zaposlenost, smanjenje siromaštva, jednakost, rodnu ravnopravnost i pristup zdravstvenoj zaštiti. </w:t>
      </w:r>
      <w:r w:rsidRPr="00D330C3">
        <w:rPr>
          <w:rFonts w:cstheme="minorHAnsi"/>
          <w:sz w:val="24"/>
          <w:szCs w:val="24"/>
        </w:rPr>
        <w:t xml:space="preserve">Reformska mjera će omogućiti </w:t>
      </w:r>
      <w:r w:rsidRPr="00D330C3">
        <w:rPr>
          <w:rFonts w:cstheme="minorHAnsi"/>
          <w:sz w:val="24"/>
          <w:szCs w:val="24"/>
          <w:lang w:val="sr-Latn-ME"/>
        </w:rPr>
        <w:t xml:space="preserve">bolje zdravlje i blagostanje svih građana Crne Gore, a u skladu sa SDG3. Omogućiće </w:t>
      </w:r>
      <w:r w:rsidRPr="00D330C3">
        <w:rPr>
          <w:rFonts w:cstheme="minorHAnsi"/>
          <w:sz w:val="24"/>
          <w:szCs w:val="24"/>
        </w:rPr>
        <w:t>bolji pristup zdravstvenim uslugama, skraćenju liste čekanja, povećanju zadovoljstva pacijenata.</w:t>
      </w:r>
      <w:r w:rsidRPr="00D330C3">
        <w:rPr>
          <w:rFonts w:cstheme="minorHAnsi"/>
          <w:sz w:val="24"/>
          <w:szCs w:val="24"/>
          <w:lang w:val="sr-Latn-ME"/>
        </w:rPr>
        <w:t xml:space="preserve"> </w:t>
      </w:r>
      <w:r w:rsidRPr="00D330C3">
        <w:rPr>
          <w:rFonts w:cstheme="minorHAnsi"/>
          <w:sz w:val="24"/>
          <w:szCs w:val="24"/>
        </w:rPr>
        <w:t>Korišćenjem servisa Telemedicine, pristup uslugama će biti lakše ostvarljiv, servisima mZdravlja i ezdravlja zdravstveni podaci dostupniji, pregledniji, a elektronski zdravstveni karton orjentisan na pacijenta.</w:t>
      </w:r>
    </w:p>
    <w:p w14:paraId="5AA2C739" w14:textId="13023E3B" w:rsidR="00D330C3" w:rsidRPr="00D330C3" w:rsidRDefault="00D330C3" w:rsidP="00D330C3">
      <w:pPr>
        <w:jc w:val="both"/>
        <w:rPr>
          <w:rFonts w:cstheme="minorHAnsi"/>
          <w:sz w:val="24"/>
          <w:szCs w:val="24"/>
        </w:rPr>
      </w:pPr>
      <w:r w:rsidRPr="00D330C3">
        <w:rPr>
          <w:rFonts w:cstheme="minorHAnsi"/>
          <w:b/>
          <w:bCs/>
          <w:sz w:val="24"/>
          <w:szCs w:val="24"/>
        </w:rPr>
        <w:lastRenderedPageBreak/>
        <w:t>6. Očekivani uticaj reformske mjere na životnu sredinu i klimatske promjene.</w:t>
      </w:r>
      <w:bookmarkStart w:id="179" w:name="_Hlk83656789"/>
      <w:bookmarkEnd w:id="178"/>
      <w:r w:rsidRPr="00D330C3">
        <w:rPr>
          <w:rFonts w:cstheme="minorHAnsi"/>
          <w:b/>
          <w:bCs/>
          <w:sz w:val="24"/>
          <w:szCs w:val="24"/>
        </w:rPr>
        <w:t xml:space="preserve"> </w:t>
      </w:r>
      <w:bookmarkEnd w:id="179"/>
      <w:r w:rsidRPr="00D330C3">
        <w:rPr>
          <w:rFonts w:cstheme="minorHAnsi"/>
          <w:sz w:val="24"/>
          <w:szCs w:val="24"/>
        </w:rPr>
        <w:t xml:space="preserve">Mjera može imati uticaja na životnu sredinu i klimatske promjene, jer će dovesti do smanjenja mobilnosti pacijenata za ostvarenje prava na zdravstvenu zaštitu. Mjerom će se doprinijeti smanjenju broja putovanja, GHG emisije krišćenjem vozila, a država bi obezbijedila potrebnu radiološku opremu u svim opštim bolnicama. </w:t>
      </w:r>
    </w:p>
    <w:p w14:paraId="31C1BA69" w14:textId="77777777" w:rsidR="00D330C3" w:rsidRPr="00D330C3" w:rsidRDefault="00D330C3" w:rsidP="00D330C3">
      <w:pPr>
        <w:jc w:val="both"/>
        <w:rPr>
          <w:rFonts w:cstheme="minorHAnsi"/>
          <w:b/>
          <w:bCs/>
          <w:sz w:val="24"/>
          <w:szCs w:val="24"/>
        </w:rPr>
      </w:pPr>
      <w:r w:rsidRPr="00D330C3">
        <w:rPr>
          <w:rFonts w:cstheme="minorHAnsi"/>
          <w:b/>
          <w:bCs/>
          <w:sz w:val="24"/>
          <w:szCs w:val="24"/>
        </w:rPr>
        <w:t>7. Potencijalni rizici povezani sa sprovođenjem reformske mjere.</w:t>
      </w:r>
    </w:p>
    <w:tbl>
      <w:tblPr>
        <w:tblStyle w:val="GridTable1Light-Accent15"/>
        <w:tblW w:w="9445" w:type="dxa"/>
        <w:tblLayout w:type="fixed"/>
        <w:tblLook w:val="04A0" w:firstRow="1" w:lastRow="0" w:firstColumn="1" w:lastColumn="0" w:noHBand="0" w:noVBand="1"/>
      </w:tblPr>
      <w:tblGrid>
        <w:gridCol w:w="5215"/>
        <w:gridCol w:w="1584"/>
        <w:gridCol w:w="2646"/>
      </w:tblGrid>
      <w:tr w:rsidR="00D330C3" w:rsidRPr="00082B85" w14:paraId="45B5B03E" w14:textId="77777777" w:rsidTr="0078602A">
        <w:trPr>
          <w:cnfStyle w:val="100000000000" w:firstRow="1" w:lastRow="0" w:firstColumn="0" w:lastColumn="0" w:oddVBand="0" w:evenVBand="0" w:oddHBand="0" w:evenHBand="0" w:firstRowFirstColumn="0" w:firstRowLastColumn="0" w:lastRowFirstColumn="0" w:lastRowLastColumn="0"/>
          <w:trHeight w:val="896"/>
        </w:trPr>
        <w:tc>
          <w:tcPr>
            <w:cnfStyle w:val="001000000000" w:firstRow="0" w:lastRow="0" w:firstColumn="1" w:lastColumn="0" w:oddVBand="0" w:evenVBand="0" w:oddHBand="0" w:evenHBand="0" w:firstRowFirstColumn="0" w:firstRowLastColumn="0" w:lastRowFirstColumn="0" w:lastRowLastColumn="0"/>
            <w:tcW w:w="5215" w:type="dxa"/>
          </w:tcPr>
          <w:p w14:paraId="70192CC7" w14:textId="77777777" w:rsidR="00D330C3" w:rsidRPr="00082B85" w:rsidRDefault="00D330C3" w:rsidP="00D330C3">
            <w:pPr>
              <w:jc w:val="both"/>
              <w:rPr>
                <w:rFonts w:cstheme="minorHAnsi"/>
                <w:sz w:val="20"/>
                <w:szCs w:val="20"/>
                <w:lang w:val="en-US"/>
              </w:rPr>
            </w:pPr>
            <w:r w:rsidRPr="00082B85">
              <w:rPr>
                <w:rFonts w:cstheme="minorHAnsi"/>
                <w:sz w:val="20"/>
                <w:szCs w:val="20"/>
                <w:lang w:val="en-US"/>
              </w:rPr>
              <w:t>Rizik</w:t>
            </w:r>
          </w:p>
        </w:tc>
        <w:tc>
          <w:tcPr>
            <w:tcW w:w="1584" w:type="dxa"/>
          </w:tcPr>
          <w:p w14:paraId="10D7B7F2" w14:textId="77777777" w:rsidR="00D330C3" w:rsidRPr="00082B85" w:rsidRDefault="00D330C3" w:rsidP="00D330C3">
            <w:pPr>
              <w:jc w:val="both"/>
              <w:cnfStyle w:val="100000000000" w:firstRow="1" w:lastRow="0" w:firstColumn="0" w:lastColumn="0" w:oddVBand="0" w:evenVBand="0" w:oddHBand="0" w:evenHBand="0" w:firstRowFirstColumn="0" w:firstRowLastColumn="0" w:lastRowFirstColumn="0" w:lastRowLastColumn="0"/>
              <w:rPr>
                <w:rFonts w:cstheme="minorHAnsi"/>
                <w:sz w:val="20"/>
                <w:szCs w:val="20"/>
                <w:lang w:val="en-US"/>
              </w:rPr>
            </w:pPr>
            <w:r w:rsidRPr="00082B85">
              <w:rPr>
                <w:rFonts w:cstheme="minorHAnsi"/>
                <w:sz w:val="20"/>
                <w:szCs w:val="20"/>
                <w:lang w:val="en-US"/>
              </w:rPr>
              <w:t>Vjerovatnoća za ostvarivanje rizika (niska ili visoka)</w:t>
            </w:r>
          </w:p>
        </w:tc>
        <w:tc>
          <w:tcPr>
            <w:tcW w:w="2646" w:type="dxa"/>
          </w:tcPr>
          <w:p w14:paraId="3EB876E3" w14:textId="77777777" w:rsidR="00D330C3" w:rsidRPr="00082B85" w:rsidRDefault="00D330C3" w:rsidP="00D330C3">
            <w:pPr>
              <w:jc w:val="both"/>
              <w:cnfStyle w:val="100000000000" w:firstRow="1" w:lastRow="0" w:firstColumn="0" w:lastColumn="0" w:oddVBand="0" w:evenVBand="0" w:oddHBand="0" w:evenHBand="0" w:firstRowFirstColumn="0" w:firstRowLastColumn="0" w:lastRowFirstColumn="0" w:lastRowLastColumn="0"/>
              <w:rPr>
                <w:rFonts w:cstheme="minorHAnsi"/>
                <w:sz w:val="20"/>
                <w:szCs w:val="20"/>
                <w:lang w:val="en-US"/>
              </w:rPr>
            </w:pPr>
            <w:r w:rsidRPr="00082B85">
              <w:rPr>
                <w:rFonts w:cstheme="minorHAnsi"/>
                <w:sz w:val="20"/>
                <w:szCs w:val="20"/>
                <w:lang w:val="en-US"/>
              </w:rPr>
              <w:t>Planirane aktivnosti ublažavanja negativnih efekata rizika</w:t>
            </w:r>
          </w:p>
        </w:tc>
      </w:tr>
      <w:tr w:rsidR="00D330C3" w:rsidRPr="00082B85" w14:paraId="746BE51A" w14:textId="77777777" w:rsidTr="0078602A">
        <w:tc>
          <w:tcPr>
            <w:cnfStyle w:val="001000000000" w:firstRow="0" w:lastRow="0" w:firstColumn="1" w:lastColumn="0" w:oddVBand="0" w:evenVBand="0" w:oddHBand="0" w:evenHBand="0" w:firstRowFirstColumn="0" w:firstRowLastColumn="0" w:lastRowFirstColumn="0" w:lastRowLastColumn="0"/>
            <w:tcW w:w="5215" w:type="dxa"/>
          </w:tcPr>
          <w:p w14:paraId="663702D4" w14:textId="77777777" w:rsidR="00D330C3" w:rsidRPr="0078602A" w:rsidRDefault="00D330C3" w:rsidP="00FD3827">
            <w:pPr>
              <w:numPr>
                <w:ilvl w:val="0"/>
                <w:numId w:val="22"/>
              </w:numPr>
              <w:jc w:val="both"/>
              <w:rPr>
                <w:rFonts w:cstheme="minorHAnsi"/>
                <w:b w:val="0"/>
                <w:sz w:val="20"/>
                <w:szCs w:val="20"/>
              </w:rPr>
            </w:pPr>
            <w:r w:rsidRPr="0078602A">
              <w:rPr>
                <w:rFonts w:cstheme="minorHAnsi"/>
                <w:b w:val="0"/>
                <w:sz w:val="20"/>
                <w:szCs w:val="20"/>
              </w:rPr>
              <w:t>Neriješena sistemska pitanja:</w:t>
            </w:r>
          </w:p>
          <w:p w14:paraId="677463B8" w14:textId="79809DE7" w:rsidR="00D330C3" w:rsidRPr="0078602A" w:rsidRDefault="00D330C3" w:rsidP="00FD3827">
            <w:pPr>
              <w:numPr>
                <w:ilvl w:val="0"/>
                <w:numId w:val="22"/>
              </w:numPr>
              <w:jc w:val="both"/>
              <w:rPr>
                <w:rFonts w:cstheme="minorHAnsi"/>
                <w:b w:val="0"/>
                <w:sz w:val="20"/>
                <w:szCs w:val="20"/>
              </w:rPr>
            </w:pPr>
            <w:r w:rsidRPr="0078602A">
              <w:rPr>
                <w:rFonts w:cstheme="minorHAnsi"/>
                <w:b w:val="0"/>
                <w:sz w:val="20"/>
                <w:szCs w:val="20"/>
              </w:rPr>
              <w:t>Upravljanje zdravstvenim informacionim sistemom</w:t>
            </w:r>
          </w:p>
          <w:p w14:paraId="7722687A" w14:textId="0765FCA7" w:rsidR="00D330C3" w:rsidRPr="0078602A" w:rsidRDefault="00D330C3" w:rsidP="00FD3827">
            <w:pPr>
              <w:numPr>
                <w:ilvl w:val="0"/>
                <w:numId w:val="22"/>
              </w:numPr>
              <w:jc w:val="both"/>
              <w:rPr>
                <w:rFonts w:cstheme="minorHAnsi"/>
                <w:b w:val="0"/>
                <w:sz w:val="20"/>
                <w:szCs w:val="20"/>
              </w:rPr>
            </w:pPr>
            <w:r w:rsidRPr="0078602A">
              <w:rPr>
                <w:rFonts w:cstheme="minorHAnsi"/>
                <w:b w:val="0"/>
                <w:sz w:val="20"/>
                <w:szCs w:val="20"/>
              </w:rPr>
              <w:t>Održavanje i planiranje razvoja i proširenja postojećih i uvođenje novih rješenja</w:t>
            </w:r>
          </w:p>
          <w:p w14:paraId="7E0EF9F7" w14:textId="31399754" w:rsidR="00D330C3" w:rsidRPr="0078602A" w:rsidRDefault="00D330C3" w:rsidP="00FD3827">
            <w:pPr>
              <w:numPr>
                <w:ilvl w:val="0"/>
                <w:numId w:val="22"/>
              </w:numPr>
              <w:jc w:val="both"/>
              <w:rPr>
                <w:rFonts w:cstheme="minorHAnsi"/>
                <w:b w:val="0"/>
                <w:sz w:val="20"/>
                <w:szCs w:val="20"/>
              </w:rPr>
            </w:pPr>
            <w:r w:rsidRPr="0078602A">
              <w:rPr>
                <w:rFonts w:cstheme="minorHAnsi"/>
                <w:b w:val="0"/>
                <w:sz w:val="20"/>
                <w:szCs w:val="20"/>
              </w:rPr>
              <w:t>Postizanje većeg nivoa integralnosti i interoperabilnosti</w:t>
            </w:r>
          </w:p>
          <w:p w14:paraId="1F987D6E" w14:textId="0B1B5138" w:rsidR="00D330C3" w:rsidRPr="0078602A" w:rsidRDefault="00D330C3" w:rsidP="00FD3827">
            <w:pPr>
              <w:numPr>
                <w:ilvl w:val="0"/>
                <w:numId w:val="22"/>
              </w:numPr>
              <w:jc w:val="both"/>
              <w:rPr>
                <w:rFonts w:cstheme="minorHAnsi"/>
                <w:b w:val="0"/>
                <w:sz w:val="20"/>
                <w:szCs w:val="20"/>
              </w:rPr>
            </w:pPr>
            <w:r w:rsidRPr="0078602A">
              <w:rPr>
                <w:rFonts w:cstheme="minorHAnsi"/>
                <w:b w:val="0"/>
                <w:sz w:val="20"/>
                <w:szCs w:val="20"/>
              </w:rPr>
              <w:t>Statistika i napredna izvještavanja,</w:t>
            </w:r>
          </w:p>
          <w:p w14:paraId="3810B2D0" w14:textId="68425E25" w:rsidR="00D330C3" w:rsidRPr="0078602A" w:rsidRDefault="00D330C3" w:rsidP="00FD3827">
            <w:pPr>
              <w:numPr>
                <w:ilvl w:val="0"/>
                <w:numId w:val="22"/>
              </w:numPr>
              <w:jc w:val="both"/>
              <w:rPr>
                <w:rFonts w:cstheme="minorHAnsi"/>
                <w:b w:val="0"/>
                <w:sz w:val="20"/>
                <w:szCs w:val="20"/>
              </w:rPr>
            </w:pPr>
            <w:r w:rsidRPr="0078602A">
              <w:rPr>
                <w:rFonts w:cstheme="minorHAnsi"/>
                <w:b w:val="0"/>
                <w:sz w:val="20"/>
                <w:szCs w:val="20"/>
              </w:rPr>
              <w:t>Definisanje standarda i prava pristupa, razmjene podataka između sistema i aplikacija</w:t>
            </w:r>
          </w:p>
          <w:p w14:paraId="73A8A4D5" w14:textId="2C81F595" w:rsidR="00D330C3" w:rsidRPr="0078602A" w:rsidRDefault="00D330C3" w:rsidP="00FD3827">
            <w:pPr>
              <w:numPr>
                <w:ilvl w:val="0"/>
                <w:numId w:val="22"/>
              </w:numPr>
              <w:jc w:val="both"/>
              <w:rPr>
                <w:rFonts w:cstheme="minorHAnsi"/>
                <w:b w:val="0"/>
                <w:sz w:val="20"/>
                <w:szCs w:val="20"/>
              </w:rPr>
            </w:pPr>
            <w:r w:rsidRPr="0078602A">
              <w:rPr>
                <w:rFonts w:cstheme="minorHAnsi"/>
                <w:b w:val="0"/>
                <w:sz w:val="20"/>
                <w:szCs w:val="20"/>
              </w:rPr>
              <w:t>Definisanje standarda i prava pristupa, razmjena podataka između ljekara i građana</w:t>
            </w:r>
          </w:p>
          <w:p w14:paraId="5565D878" w14:textId="735BD64A" w:rsidR="007F59F0" w:rsidRPr="0078602A" w:rsidRDefault="00D330C3" w:rsidP="00FD3827">
            <w:pPr>
              <w:numPr>
                <w:ilvl w:val="0"/>
                <w:numId w:val="22"/>
              </w:numPr>
              <w:jc w:val="both"/>
              <w:rPr>
                <w:rFonts w:cstheme="minorHAnsi"/>
                <w:b w:val="0"/>
                <w:sz w:val="20"/>
                <w:szCs w:val="20"/>
              </w:rPr>
            </w:pPr>
            <w:r w:rsidRPr="0078602A">
              <w:rPr>
                <w:rFonts w:cstheme="minorHAnsi"/>
                <w:b w:val="0"/>
                <w:sz w:val="20"/>
                <w:szCs w:val="20"/>
              </w:rPr>
              <w:t>Politika razvoja, unaprijeđenja i korišćenje novih tehnologija</w:t>
            </w:r>
            <w:r w:rsidRPr="0078602A">
              <w:rPr>
                <w:rFonts w:cstheme="minorHAnsi"/>
                <w:b w:val="0"/>
                <w:sz w:val="20"/>
                <w:szCs w:val="20"/>
              </w:rPr>
              <w:tab/>
            </w:r>
          </w:p>
          <w:p w14:paraId="6205D2DD" w14:textId="77777777" w:rsidR="007F59F0" w:rsidRPr="0078602A" w:rsidRDefault="007F59F0" w:rsidP="007F59F0">
            <w:pPr>
              <w:ind w:left="1065"/>
              <w:jc w:val="both"/>
              <w:rPr>
                <w:rFonts w:cstheme="minorHAnsi"/>
                <w:b w:val="0"/>
                <w:sz w:val="20"/>
                <w:szCs w:val="20"/>
              </w:rPr>
            </w:pPr>
          </w:p>
          <w:p w14:paraId="411D4EC3" w14:textId="1CBE8E4D" w:rsidR="003D546D" w:rsidRPr="0078602A" w:rsidRDefault="00D330C3" w:rsidP="00FD3827">
            <w:pPr>
              <w:numPr>
                <w:ilvl w:val="0"/>
                <w:numId w:val="22"/>
              </w:numPr>
              <w:jc w:val="both"/>
              <w:rPr>
                <w:rFonts w:cstheme="minorHAnsi"/>
                <w:b w:val="0"/>
                <w:sz w:val="20"/>
                <w:szCs w:val="20"/>
              </w:rPr>
            </w:pPr>
            <w:r w:rsidRPr="0078602A">
              <w:rPr>
                <w:rFonts w:cstheme="minorHAnsi"/>
                <w:b w:val="0"/>
                <w:sz w:val="20"/>
                <w:szCs w:val="20"/>
              </w:rPr>
              <w:t>Neusvojena normativa u skladu sa rješenjima sistemskih pitanja</w:t>
            </w:r>
            <w:r w:rsidRPr="0078602A">
              <w:rPr>
                <w:rFonts w:cstheme="minorHAnsi"/>
                <w:b w:val="0"/>
                <w:sz w:val="20"/>
                <w:szCs w:val="20"/>
              </w:rPr>
              <w:tab/>
            </w:r>
          </w:p>
          <w:p w14:paraId="06A2E750" w14:textId="77777777" w:rsidR="003D546D" w:rsidRPr="0078602A" w:rsidRDefault="00D330C3" w:rsidP="00FD3827">
            <w:pPr>
              <w:numPr>
                <w:ilvl w:val="0"/>
                <w:numId w:val="22"/>
              </w:numPr>
              <w:jc w:val="both"/>
              <w:rPr>
                <w:rFonts w:cstheme="minorHAnsi"/>
                <w:b w:val="0"/>
                <w:sz w:val="20"/>
                <w:szCs w:val="20"/>
              </w:rPr>
            </w:pPr>
            <w:r w:rsidRPr="0078602A">
              <w:rPr>
                <w:rFonts w:cstheme="minorHAnsi"/>
                <w:b w:val="0"/>
                <w:sz w:val="20"/>
                <w:szCs w:val="20"/>
              </w:rPr>
              <w:t>Otpor zaposlenih da prihvate nove tehnologije i nova znanja</w:t>
            </w:r>
            <w:r w:rsidRPr="0078602A">
              <w:rPr>
                <w:rFonts w:cstheme="minorHAnsi"/>
                <w:b w:val="0"/>
                <w:sz w:val="20"/>
                <w:szCs w:val="20"/>
              </w:rPr>
              <w:tab/>
            </w:r>
          </w:p>
          <w:p w14:paraId="6C3F6095" w14:textId="0FBE0578" w:rsidR="003D546D" w:rsidRPr="0078602A" w:rsidRDefault="00D330C3" w:rsidP="00FD3827">
            <w:pPr>
              <w:numPr>
                <w:ilvl w:val="0"/>
                <w:numId w:val="22"/>
              </w:numPr>
              <w:jc w:val="both"/>
              <w:rPr>
                <w:rFonts w:cstheme="minorHAnsi"/>
                <w:b w:val="0"/>
                <w:sz w:val="20"/>
                <w:szCs w:val="20"/>
              </w:rPr>
            </w:pPr>
            <w:r w:rsidRPr="0078602A">
              <w:rPr>
                <w:rFonts w:cstheme="minorHAnsi"/>
                <w:b w:val="0"/>
                <w:sz w:val="20"/>
                <w:szCs w:val="20"/>
              </w:rPr>
              <w:t>Politička nestabilnost za implementaciju dugogodišnjeg projekta</w:t>
            </w:r>
          </w:p>
          <w:p w14:paraId="535171D4" w14:textId="2538D131" w:rsidR="00D330C3" w:rsidRPr="0078602A" w:rsidRDefault="00D330C3" w:rsidP="007F59F0">
            <w:pPr>
              <w:ind w:left="360"/>
              <w:jc w:val="both"/>
              <w:rPr>
                <w:rFonts w:cstheme="minorHAnsi"/>
                <w:b w:val="0"/>
                <w:sz w:val="20"/>
                <w:szCs w:val="20"/>
                <w:lang w:val="en-US"/>
              </w:rPr>
            </w:pPr>
          </w:p>
        </w:tc>
        <w:tc>
          <w:tcPr>
            <w:tcW w:w="1584" w:type="dxa"/>
          </w:tcPr>
          <w:p w14:paraId="3CB3535A" w14:textId="5EAC1077" w:rsidR="00D330C3" w:rsidRPr="00082B85" w:rsidRDefault="00D330C3" w:rsidP="00E929B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82B85">
              <w:rPr>
                <w:rFonts w:cstheme="minorHAnsi"/>
                <w:sz w:val="20"/>
                <w:szCs w:val="20"/>
                <w:lang w:val="en-US"/>
              </w:rPr>
              <w:t>V</w:t>
            </w:r>
            <w:r w:rsidR="0021288D" w:rsidRPr="00082B85">
              <w:rPr>
                <w:rFonts w:cstheme="minorHAnsi"/>
                <w:sz w:val="20"/>
                <w:szCs w:val="20"/>
                <w:lang w:val="en-US"/>
              </w:rPr>
              <w:t>i</w:t>
            </w:r>
            <w:r w:rsidRPr="00082B85">
              <w:rPr>
                <w:rFonts w:cstheme="minorHAnsi"/>
                <w:sz w:val="20"/>
                <w:szCs w:val="20"/>
                <w:lang w:val="en-US"/>
              </w:rPr>
              <w:t>soka</w:t>
            </w:r>
          </w:p>
          <w:p w14:paraId="576CEF3A" w14:textId="77777777" w:rsidR="003D546D" w:rsidRPr="00082B85" w:rsidRDefault="003D546D" w:rsidP="00E929B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p>
          <w:p w14:paraId="080073BB" w14:textId="77777777" w:rsidR="003D546D" w:rsidRPr="00082B85" w:rsidRDefault="003D546D" w:rsidP="00E929B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p>
          <w:p w14:paraId="70CCB4B9" w14:textId="77777777" w:rsidR="003D546D" w:rsidRPr="00082B85" w:rsidRDefault="003D546D" w:rsidP="00E929B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p>
          <w:p w14:paraId="02D58D11" w14:textId="77777777" w:rsidR="003D546D" w:rsidRPr="00082B85" w:rsidRDefault="003D546D" w:rsidP="00E929B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p>
          <w:p w14:paraId="48D9EFD3" w14:textId="77777777" w:rsidR="003D546D" w:rsidRPr="00082B85" w:rsidRDefault="003D546D" w:rsidP="00E929B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p>
          <w:p w14:paraId="7E8FC7F7" w14:textId="77777777" w:rsidR="003D546D" w:rsidRPr="00082B85" w:rsidRDefault="003D546D" w:rsidP="00E929B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p>
          <w:p w14:paraId="6845656E" w14:textId="77777777" w:rsidR="003D546D" w:rsidRPr="00082B85" w:rsidRDefault="003D546D" w:rsidP="00E929B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p>
          <w:p w14:paraId="4611260A" w14:textId="77777777" w:rsidR="003D546D" w:rsidRPr="00082B85" w:rsidRDefault="003D546D" w:rsidP="00E929B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p>
          <w:p w14:paraId="16C561FF" w14:textId="77777777" w:rsidR="003D546D" w:rsidRPr="00082B85" w:rsidRDefault="003D546D" w:rsidP="00E929B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p>
          <w:p w14:paraId="02A063B2" w14:textId="77777777" w:rsidR="003D546D" w:rsidRPr="00082B85" w:rsidRDefault="003D546D" w:rsidP="00E929B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p>
          <w:p w14:paraId="26C19076" w14:textId="77777777" w:rsidR="003D546D" w:rsidRPr="00082B85" w:rsidRDefault="003D546D" w:rsidP="00E929B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p>
          <w:p w14:paraId="3FEDA9A1" w14:textId="77777777" w:rsidR="003D546D" w:rsidRPr="00082B85" w:rsidRDefault="003D546D" w:rsidP="00E929B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p>
          <w:p w14:paraId="3181BC85" w14:textId="77777777" w:rsidR="003D546D" w:rsidRPr="00082B85" w:rsidRDefault="003D546D" w:rsidP="00E929B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p>
          <w:p w14:paraId="3AC7BD12" w14:textId="77777777" w:rsidR="003D546D" w:rsidRPr="00082B85" w:rsidRDefault="003D546D" w:rsidP="00E929B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p>
          <w:p w14:paraId="776BC09D" w14:textId="17DF0305" w:rsidR="003D546D" w:rsidRPr="00082B85" w:rsidRDefault="003D546D" w:rsidP="00E929B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82B85">
              <w:rPr>
                <w:rFonts w:cstheme="minorHAnsi"/>
                <w:sz w:val="20"/>
                <w:szCs w:val="20"/>
              </w:rPr>
              <w:t>Niska</w:t>
            </w:r>
          </w:p>
          <w:p w14:paraId="6183A843" w14:textId="12DAFD31" w:rsidR="003D546D" w:rsidRPr="00082B85" w:rsidRDefault="003D546D" w:rsidP="00E929B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762FF506" w14:textId="0A7BF6F8" w:rsidR="003D546D" w:rsidRPr="00082B85" w:rsidRDefault="007F59F0" w:rsidP="00E929B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Niska</w:t>
            </w:r>
          </w:p>
          <w:p w14:paraId="7B8CE686" w14:textId="67749B03" w:rsidR="003D546D" w:rsidRPr="00082B85" w:rsidRDefault="003D546D" w:rsidP="00E929B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31C28A11" w14:textId="25F97E58" w:rsidR="003D546D" w:rsidRPr="00082B85" w:rsidRDefault="00B21D39" w:rsidP="00E929B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82B85">
              <w:rPr>
                <w:rFonts w:cstheme="minorHAnsi"/>
                <w:sz w:val="20"/>
                <w:szCs w:val="20"/>
              </w:rPr>
              <w:t>Niska</w:t>
            </w:r>
          </w:p>
          <w:p w14:paraId="7688BAD6" w14:textId="0C68892D" w:rsidR="003D546D" w:rsidRPr="00082B85" w:rsidRDefault="003D546D" w:rsidP="00E929B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p>
        </w:tc>
        <w:tc>
          <w:tcPr>
            <w:tcW w:w="2646" w:type="dxa"/>
          </w:tcPr>
          <w:p w14:paraId="478CDBE1" w14:textId="77777777" w:rsidR="00D330C3" w:rsidRDefault="00D330C3" w:rsidP="00D330C3">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82B85">
              <w:rPr>
                <w:rFonts w:cstheme="minorHAnsi"/>
                <w:sz w:val="20"/>
                <w:szCs w:val="20"/>
              </w:rPr>
              <w:t>Dijalog i dogovor svih aktera zdravstvenog ssitema da se nadje najadekvatnije rjesenje za sva pitanja i vizija i podrška Ministarstva zdravlja rješavanju pitanja</w:t>
            </w:r>
          </w:p>
          <w:p w14:paraId="777E210B" w14:textId="77777777" w:rsidR="00D64C44" w:rsidRDefault="00D64C44" w:rsidP="00D330C3">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p>
          <w:p w14:paraId="29F73538" w14:textId="77777777" w:rsidR="00D64C44" w:rsidRDefault="00D64C44" w:rsidP="00D330C3">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p>
          <w:p w14:paraId="19419F5C" w14:textId="77777777" w:rsidR="00D64C44" w:rsidRDefault="00D64C44" w:rsidP="00D330C3">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p>
          <w:p w14:paraId="4DF36020" w14:textId="77777777" w:rsidR="00D64C44" w:rsidRDefault="00D64C44" w:rsidP="00D330C3">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p>
          <w:p w14:paraId="130A003D" w14:textId="77777777" w:rsidR="00D64C44" w:rsidRDefault="00D64C44" w:rsidP="00D330C3">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p>
          <w:p w14:paraId="06BE2409" w14:textId="77777777" w:rsidR="00D64C44" w:rsidRDefault="00D64C44" w:rsidP="00D330C3">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p>
          <w:p w14:paraId="0BF5D30C" w14:textId="77777777" w:rsidR="00D64C44" w:rsidRDefault="00D64C44" w:rsidP="00D330C3">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p>
          <w:p w14:paraId="66DD9157" w14:textId="77777777" w:rsidR="00D64C44" w:rsidRDefault="00D64C44" w:rsidP="00D330C3">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p>
          <w:p w14:paraId="54409FCE" w14:textId="77777777" w:rsidR="00D64C44" w:rsidRDefault="00D64C44" w:rsidP="00D330C3">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p>
          <w:p w14:paraId="2AEC8830" w14:textId="77777777" w:rsidR="00D64C44" w:rsidRDefault="00D64C44" w:rsidP="00D330C3">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82B85">
              <w:rPr>
                <w:rFonts w:cstheme="minorHAnsi"/>
                <w:sz w:val="20"/>
                <w:szCs w:val="20"/>
              </w:rPr>
              <w:t>Podrška Ministarstva zdravlja implementaciji</w:t>
            </w:r>
          </w:p>
          <w:p w14:paraId="4D3C34CE" w14:textId="77777777" w:rsidR="00D64C44" w:rsidRDefault="00D64C44" w:rsidP="00D330C3">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82B85">
              <w:rPr>
                <w:rFonts w:cstheme="minorHAnsi"/>
                <w:sz w:val="20"/>
                <w:szCs w:val="20"/>
              </w:rPr>
              <w:t>Podrška Ministarstva zdravlja implementaciji</w:t>
            </w:r>
          </w:p>
          <w:p w14:paraId="7674A85D" w14:textId="19C2AFEF" w:rsidR="00D64C44" w:rsidRPr="00082B85" w:rsidRDefault="00D64C44" w:rsidP="00D330C3">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82B85">
              <w:rPr>
                <w:rFonts w:cstheme="minorHAnsi"/>
                <w:sz w:val="20"/>
                <w:szCs w:val="20"/>
              </w:rPr>
              <w:t>Podrška Ministarstva zdravlja implementaciji</w:t>
            </w:r>
          </w:p>
        </w:tc>
      </w:tr>
      <w:bookmarkEnd w:id="175"/>
      <w:bookmarkEnd w:id="176"/>
    </w:tbl>
    <w:p w14:paraId="487C3EC3" w14:textId="0C0A577A" w:rsidR="00EE7741" w:rsidRPr="007E35B0" w:rsidRDefault="00EE7741" w:rsidP="008D1FF7">
      <w:pPr>
        <w:jc w:val="both"/>
        <w:rPr>
          <w:rFonts w:cstheme="minorHAnsi"/>
          <w:b/>
          <w:bCs/>
          <w:sz w:val="24"/>
          <w:szCs w:val="24"/>
          <w:lang w:val="sr-Latn-ME"/>
        </w:rPr>
      </w:pPr>
    </w:p>
    <w:p w14:paraId="1A61250F" w14:textId="61F5B75B" w:rsidR="004A602B" w:rsidRPr="009D0E01" w:rsidRDefault="004A602B" w:rsidP="0065415E">
      <w:pPr>
        <w:pStyle w:val="Heading1"/>
        <w:rPr>
          <w:b/>
          <w:bCs/>
          <w:lang w:val="sr-Latn-ME"/>
        </w:rPr>
      </w:pPr>
      <w:bookmarkStart w:id="180" w:name="_Toc153305365"/>
      <w:r w:rsidRPr="009D0E01">
        <w:rPr>
          <w:b/>
          <w:bCs/>
          <w:lang w:val="sr-Latn-ME"/>
        </w:rPr>
        <w:t>5.3 Ljudski kapital i socijalne politike</w:t>
      </w:r>
      <w:bookmarkEnd w:id="180"/>
    </w:p>
    <w:p w14:paraId="087DA871" w14:textId="10DCA2F2" w:rsidR="008C364B" w:rsidRPr="0047692E" w:rsidRDefault="008C364B" w:rsidP="0047692E">
      <w:pPr>
        <w:rPr>
          <w:color w:val="1F3864" w:themeColor="accent1" w:themeShade="80"/>
          <w:sz w:val="26"/>
          <w:szCs w:val="26"/>
          <w:lang w:val="sr-Latn-ME"/>
        </w:rPr>
      </w:pPr>
      <w:r w:rsidRPr="0047692E">
        <w:rPr>
          <w:color w:val="1F3864" w:themeColor="accent1" w:themeShade="80"/>
          <w:sz w:val="26"/>
          <w:szCs w:val="26"/>
          <w:lang w:val="sr-Latn-ME"/>
        </w:rPr>
        <w:t>a. Analiza ključnih prepreka</w:t>
      </w:r>
    </w:p>
    <w:p w14:paraId="746CC9E6" w14:textId="3A29B641" w:rsidR="008C364B" w:rsidRDefault="008C364B" w:rsidP="008C364B">
      <w:pPr>
        <w:jc w:val="both"/>
        <w:rPr>
          <w:rFonts w:cstheme="minorHAnsi"/>
          <w:sz w:val="24"/>
          <w:szCs w:val="24"/>
          <w:lang w:val="bs"/>
        </w:rPr>
      </w:pPr>
      <w:r w:rsidRPr="00EC29F9">
        <w:rPr>
          <w:rFonts w:cstheme="minorHAnsi"/>
          <w:sz w:val="24"/>
          <w:szCs w:val="24"/>
          <w:lang w:val="sr-Latn-RS"/>
        </w:rPr>
        <w:t>Iako je došlo do oporavka pokazatelja tržišta rada, ipak oni i dalje ukazuju na još uvijek nedovoljno rješavanje strukturnih izazova, posebno kada je u pitanju aktivnost i zaposlenost pojedinih ciljnih grupa, kao što su mladi i žene. Takođe, izazov dugoroče</w:t>
      </w:r>
      <w:r w:rsidR="00885009">
        <w:rPr>
          <w:rFonts w:cstheme="minorHAnsi"/>
          <w:sz w:val="24"/>
          <w:szCs w:val="24"/>
          <w:lang w:val="sr-Latn-RS"/>
        </w:rPr>
        <w:t xml:space="preserve">ne </w:t>
      </w:r>
      <w:r w:rsidRPr="00EC29F9">
        <w:rPr>
          <w:rFonts w:cstheme="minorHAnsi"/>
          <w:sz w:val="24"/>
          <w:szCs w:val="24"/>
          <w:lang w:val="sr-Latn-RS"/>
        </w:rPr>
        <w:t xml:space="preserve">nezaposlenosti </w:t>
      </w:r>
      <w:r w:rsidR="00534466">
        <w:rPr>
          <w:rFonts w:cstheme="minorHAnsi"/>
          <w:sz w:val="24"/>
          <w:szCs w:val="24"/>
          <w:lang w:val="sr-Latn-RS"/>
        </w:rPr>
        <w:t xml:space="preserve">, kao i </w:t>
      </w:r>
      <w:r w:rsidR="00534466" w:rsidRPr="00534466">
        <w:rPr>
          <w:rFonts w:cstheme="minorHAnsi"/>
          <w:sz w:val="24"/>
          <w:szCs w:val="24"/>
          <w:lang w:val="sr-Latn-RS"/>
        </w:rPr>
        <w:t xml:space="preserve">regionalne razlike u zaposlenosti i nezaposlenosti </w:t>
      </w:r>
      <w:r w:rsidR="00534466">
        <w:rPr>
          <w:rFonts w:cstheme="minorHAnsi"/>
          <w:sz w:val="24"/>
          <w:szCs w:val="24"/>
          <w:lang w:val="sr-Latn-RS"/>
        </w:rPr>
        <w:t>su</w:t>
      </w:r>
      <w:r w:rsidRPr="00EC29F9">
        <w:rPr>
          <w:rFonts w:cstheme="minorHAnsi"/>
          <w:sz w:val="24"/>
          <w:szCs w:val="24"/>
          <w:lang w:val="sr-Latn-RS"/>
        </w:rPr>
        <w:t xml:space="preserve"> i dalje </w:t>
      </w:r>
      <w:r w:rsidR="00534466">
        <w:rPr>
          <w:rFonts w:cstheme="minorHAnsi"/>
          <w:sz w:val="24"/>
          <w:szCs w:val="24"/>
          <w:lang w:val="sr-Latn-RS"/>
        </w:rPr>
        <w:t>izražene</w:t>
      </w:r>
      <w:r w:rsidRPr="00EC29F9">
        <w:rPr>
          <w:rFonts w:cstheme="minorHAnsi"/>
          <w:sz w:val="24"/>
          <w:szCs w:val="24"/>
          <w:lang w:val="sr-Latn-RS"/>
        </w:rPr>
        <w:t>. Pozitivni pomaci na tržištu rada započeli su uslijed ekonomskog oporavka od krize izazvane kovidom-19, tokom 2022 nastavili su se i u 2023. g</w:t>
      </w:r>
      <w:r w:rsidR="009F40CD">
        <w:rPr>
          <w:rFonts w:cstheme="minorHAnsi"/>
          <w:sz w:val="24"/>
          <w:szCs w:val="24"/>
          <w:lang w:val="sr-Latn-RS"/>
        </w:rPr>
        <w:t>odin</w:t>
      </w:r>
      <w:r w:rsidR="00E00AB8">
        <w:rPr>
          <w:rFonts w:cstheme="minorHAnsi"/>
          <w:sz w:val="24"/>
          <w:szCs w:val="24"/>
          <w:lang w:val="sr-Latn-RS"/>
        </w:rPr>
        <w:t>i</w:t>
      </w:r>
      <w:r w:rsidRPr="00EC29F9">
        <w:rPr>
          <w:rFonts w:cstheme="minorHAnsi"/>
          <w:sz w:val="24"/>
          <w:szCs w:val="24"/>
          <w:lang w:val="sr-Latn-RS"/>
        </w:rPr>
        <w:t>. Tako je u drugom kvartalu 2023. godine</w:t>
      </w:r>
      <w:r w:rsidRPr="00EC29F9">
        <w:rPr>
          <w:rFonts w:cstheme="minorHAnsi"/>
          <w:sz w:val="24"/>
          <w:szCs w:val="24"/>
          <w:vertAlign w:val="superscript"/>
          <w:lang w:val="sr-Latn-RS"/>
        </w:rPr>
        <w:footnoteReference w:id="24"/>
      </w:r>
      <w:r w:rsidRPr="00EC29F9">
        <w:rPr>
          <w:rFonts w:cstheme="minorHAnsi"/>
          <w:sz w:val="24"/>
          <w:szCs w:val="24"/>
          <w:lang w:val="sr-Latn-RS"/>
        </w:rPr>
        <w:t xml:space="preserve"> stopa aktivnosti (20-64) bila na nivou od 76,2%, </w:t>
      </w:r>
      <w:r w:rsidRPr="00EC29F9">
        <w:rPr>
          <w:rFonts w:cstheme="minorHAnsi"/>
          <w:sz w:val="24"/>
          <w:szCs w:val="24"/>
          <w:lang w:val="sr-Latn-RS"/>
        </w:rPr>
        <w:lastRenderedPageBreak/>
        <w:t xml:space="preserve">stopa zaposlenosti 66,1%, dok je stopa nezaposlenosti smanjena na 13,2%. I pored toga, rodni jaz u zaposlenosti je i dalje izražen i iznosi 9,0 p.p. (70,6%:61,6%), dok je stopa nezaposlenosti na približno istom nivou za muškarce i za žene (13,%:13,2%), što može biti uticaj niže aktivnosti radne snage žena (81,4%:71,0%). Učešće dugoročno nezaposlenih lica u ukupnoj nezaposlenosti je i dalje na visokom nivou i u drugom kvartalu 2023. iznosila je 74,3%. Kada su u pitanju mladi 15-24 takođe su vidljivi pozitivni pomaci pa je stopa zaposlenosti na nivou od 41,8%, dok je nezaposlenost smanjena na 17,0% u posmatranom periodu. I kod mladih 15-29 vidljivi </w:t>
      </w:r>
      <w:r w:rsidR="00E00AB8">
        <w:rPr>
          <w:rFonts w:cstheme="minorHAnsi"/>
          <w:sz w:val="24"/>
          <w:szCs w:val="24"/>
          <w:lang w:val="sr-Latn-RS"/>
        </w:rPr>
        <w:t>s</w:t>
      </w:r>
      <w:r w:rsidRPr="00EC29F9">
        <w:rPr>
          <w:rFonts w:cstheme="minorHAnsi"/>
          <w:sz w:val="24"/>
          <w:szCs w:val="24"/>
          <w:lang w:val="sr-Latn-RS"/>
        </w:rPr>
        <w:t xml:space="preserve">u pozitivni pomaci, ali je stopa mladih koji nijesu zaposleni i nijesu u obrazovanju ili obuci (NEET) na visokom nivou od 23,2%. </w:t>
      </w:r>
      <w:r w:rsidR="00534466">
        <w:rPr>
          <w:rFonts w:cstheme="minorHAnsi"/>
          <w:sz w:val="24"/>
          <w:szCs w:val="24"/>
          <w:lang w:val="sr-Latn-RS"/>
        </w:rPr>
        <w:t>J</w:t>
      </w:r>
      <w:r w:rsidR="00D3192B">
        <w:rPr>
          <w:rFonts w:cstheme="minorHAnsi"/>
          <w:sz w:val="24"/>
          <w:szCs w:val="24"/>
          <w:lang w:val="sr-Latn-RS"/>
        </w:rPr>
        <w:t>edna od klju</w:t>
      </w:r>
      <w:r w:rsidR="009F40CD">
        <w:rPr>
          <w:rFonts w:cstheme="minorHAnsi"/>
          <w:sz w:val="24"/>
          <w:szCs w:val="24"/>
          <w:lang w:val="sr-Latn-RS"/>
        </w:rPr>
        <w:t>č</w:t>
      </w:r>
      <w:r w:rsidR="00D3192B">
        <w:rPr>
          <w:rFonts w:cstheme="minorHAnsi"/>
          <w:sz w:val="24"/>
          <w:szCs w:val="24"/>
          <w:lang w:val="sr-Latn-RS"/>
        </w:rPr>
        <w:t xml:space="preserve">nih </w:t>
      </w:r>
      <w:r w:rsidR="009F40CD">
        <w:rPr>
          <w:rFonts w:cstheme="minorHAnsi"/>
          <w:sz w:val="24"/>
          <w:szCs w:val="24"/>
          <w:lang w:val="sr-Latn-RS"/>
        </w:rPr>
        <w:t>pr</w:t>
      </w:r>
      <w:r w:rsidR="00D3192B">
        <w:rPr>
          <w:rFonts w:cstheme="minorHAnsi"/>
          <w:sz w:val="24"/>
          <w:szCs w:val="24"/>
          <w:lang w:val="sr-Latn-RS"/>
        </w:rPr>
        <w:t xml:space="preserve">epreka povećanju zaposlenosti je i </w:t>
      </w:r>
      <w:r w:rsidR="009F40CD">
        <w:rPr>
          <w:rFonts w:cstheme="minorHAnsi"/>
          <w:sz w:val="24"/>
          <w:szCs w:val="24"/>
          <w:lang w:val="sr-Latn-RS"/>
        </w:rPr>
        <w:t xml:space="preserve">dalje je </w:t>
      </w:r>
      <w:r w:rsidR="00D3192B">
        <w:rPr>
          <w:rFonts w:cstheme="minorHAnsi"/>
          <w:sz w:val="24"/>
          <w:szCs w:val="24"/>
          <w:lang w:val="sr-Latn-RS"/>
        </w:rPr>
        <w:t>neusklađenost znanja i vještina sa potrebama tržišta rada. Kvalitet visokog obrazovanja nije pob</w:t>
      </w:r>
      <w:r w:rsidR="00534466">
        <w:rPr>
          <w:rFonts w:cstheme="minorHAnsi"/>
          <w:sz w:val="24"/>
          <w:szCs w:val="24"/>
          <w:lang w:val="sr-Latn-RS"/>
        </w:rPr>
        <w:t>o</w:t>
      </w:r>
      <w:r w:rsidR="00D3192B">
        <w:rPr>
          <w:rFonts w:cstheme="minorHAnsi"/>
          <w:sz w:val="24"/>
          <w:szCs w:val="24"/>
          <w:lang w:val="sr-Latn-RS"/>
        </w:rPr>
        <w:t xml:space="preserve">ljšan u </w:t>
      </w:r>
      <w:r w:rsidR="00067750">
        <w:rPr>
          <w:rFonts w:cstheme="minorHAnsi"/>
          <w:sz w:val="24"/>
          <w:szCs w:val="24"/>
          <w:lang w:val="sr-Latn-RS"/>
        </w:rPr>
        <w:t>pe</w:t>
      </w:r>
      <w:r w:rsidR="00D3192B">
        <w:rPr>
          <w:rFonts w:cstheme="minorHAnsi"/>
          <w:sz w:val="24"/>
          <w:szCs w:val="24"/>
          <w:lang w:val="sr-Latn-RS"/>
        </w:rPr>
        <w:t>rodu nakon pand</w:t>
      </w:r>
      <w:r w:rsidR="009F40CD">
        <w:rPr>
          <w:rFonts w:cstheme="minorHAnsi"/>
          <w:sz w:val="24"/>
          <w:szCs w:val="24"/>
          <w:lang w:val="sr-Latn-RS"/>
        </w:rPr>
        <w:t>emi</w:t>
      </w:r>
      <w:r w:rsidR="00D3192B">
        <w:rPr>
          <w:rFonts w:cstheme="minorHAnsi"/>
          <w:sz w:val="24"/>
          <w:szCs w:val="24"/>
          <w:lang w:val="sr-Latn-RS"/>
        </w:rPr>
        <w:t xml:space="preserve">je, </w:t>
      </w:r>
      <w:r w:rsidR="00D3192B">
        <w:rPr>
          <w:rFonts w:cstheme="minorHAnsi"/>
          <w:sz w:val="24"/>
          <w:szCs w:val="24"/>
          <w:lang w:val="bs"/>
        </w:rPr>
        <w:t xml:space="preserve">a izražen je ograničen nivo stručnih </w:t>
      </w:r>
      <w:r w:rsidR="00D3192B" w:rsidRPr="00A4453F">
        <w:rPr>
          <w:rFonts w:cstheme="minorHAnsi"/>
          <w:sz w:val="24"/>
          <w:szCs w:val="24"/>
          <w:lang w:val="bs"/>
        </w:rPr>
        <w:t xml:space="preserve"> vještina </w:t>
      </w:r>
      <w:r w:rsidR="00D3192B">
        <w:rPr>
          <w:rFonts w:cstheme="minorHAnsi"/>
          <w:sz w:val="24"/>
          <w:szCs w:val="24"/>
          <w:lang w:val="bs"/>
        </w:rPr>
        <w:t>učenika po završetku stručne srednje škole.</w:t>
      </w:r>
      <w:r w:rsidR="00067750" w:rsidRPr="00067750">
        <w:rPr>
          <w:rFonts w:ascii="Georgia" w:hAnsi="Georgia"/>
          <w:color w:val="1F2124"/>
          <w:sz w:val="27"/>
          <w:szCs w:val="27"/>
          <w:shd w:val="clear" w:color="auto" w:fill="FFFFFF"/>
        </w:rPr>
        <w:t xml:space="preserve"> </w:t>
      </w:r>
      <w:r w:rsidR="00067750" w:rsidRPr="00067750">
        <w:rPr>
          <w:rFonts w:cstheme="minorHAnsi"/>
          <w:sz w:val="24"/>
          <w:szCs w:val="24"/>
        </w:rPr>
        <w:t xml:space="preserve">Crna Gora je na poslednjem PISA testiranju </w:t>
      </w:r>
      <w:r w:rsidR="007F4999">
        <w:rPr>
          <w:rFonts w:cstheme="minorHAnsi"/>
          <w:sz w:val="24"/>
          <w:szCs w:val="24"/>
        </w:rPr>
        <w:t xml:space="preserve">iz 2022. godine </w:t>
      </w:r>
      <w:r w:rsidR="00067750" w:rsidRPr="00067750">
        <w:rPr>
          <w:rFonts w:cstheme="minorHAnsi"/>
          <w:sz w:val="24"/>
          <w:szCs w:val="24"/>
        </w:rPr>
        <w:t>zauzela 5</w:t>
      </w:r>
      <w:r w:rsidR="007F4999">
        <w:rPr>
          <w:rFonts w:cstheme="minorHAnsi"/>
          <w:sz w:val="24"/>
          <w:szCs w:val="24"/>
        </w:rPr>
        <w:t>4</w:t>
      </w:r>
      <w:r w:rsidR="0018660D">
        <w:rPr>
          <w:rFonts w:cstheme="minorHAnsi"/>
          <w:sz w:val="24"/>
          <w:szCs w:val="24"/>
        </w:rPr>
        <w:t>.</w:t>
      </w:r>
      <w:r w:rsidR="00067750" w:rsidRPr="00067750">
        <w:rPr>
          <w:rFonts w:cstheme="minorHAnsi"/>
          <w:sz w:val="24"/>
          <w:szCs w:val="24"/>
        </w:rPr>
        <w:t xml:space="preserve"> </w:t>
      </w:r>
      <w:r w:rsidR="007F4999">
        <w:rPr>
          <w:rFonts w:cstheme="minorHAnsi"/>
          <w:sz w:val="24"/>
          <w:szCs w:val="24"/>
        </w:rPr>
        <w:t xml:space="preserve">mjesto na  iz matematike, 56.mjesto iz čitanja i 62.mjesto iz nauke, </w:t>
      </w:r>
      <w:r w:rsidR="00067750" w:rsidRPr="00067750">
        <w:rPr>
          <w:rFonts w:cstheme="minorHAnsi"/>
          <w:sz w:val="24"/>
          <w:szCs w:val="24"/>
        </w:rPr>
        <w:t xml:space="preserve"> od ukupno </w:t>
      </w:r>
      <w:r w:rsidR="007F4999">
        <w:rPr>
          <w:rFonts w:cstheme="minorHAnsi"/>
          <w:sz w:val="24"/>
          <w:szCs w:val="24"/>
        </w:rPr>
        <w:t>80</w:t>
      </w:r>
      <w:r w:rsidR="00067750" w:rsidRPr="00067750">
        <w:rPr>
          <w:rFonts w:cstheme="minorHAnsi"/>
          <w:sz w:val="24"/>
          <w:szCs w:val="24"/>
        </w:rPr>
        <w:t xml:space="preserve"> zemalja</w:t>
      </w:r>
      <w:r w:rsidR="007F4999">
        <w:rPr>
          <w:rFonts w:cstheme="minorHAnsi"/>
          <w:sz w:val="24"/>
          <w:szCs w:val="24"/>
        </w:rPr>
        <w:t>. To prestavlja najlošiji rezultat u periodu od 2012.godine</w:t>
      </w:r>
      <w:r w:rsidR="00067750" w:rsidRPr="00067750">
        <w:rPr>
          <w:rFonts w:cstheme="minorHAnsi"/>
          <w:sz w:val="24"/>
          <w:szCs w:val="24"/>
        </w:rPr>
        <w:t xml:space="preserve">. </w:t>
      </w:r>
      <w:r w:rsidR="00067750" w:rsidRPr="00067750">
        <w:rPr>
          <w:rFonts w:cstheme="minorHAnsi"/>
          <w:bCs/>
          <w:sz w:val="24"/>
          <w:szCs w:val="24"/>
        </w:rPr>
        <w:t xml:space="preserve">Rezultati </w:t>
      </w:r>
      <w:r w:rsidR="00067750">
        <w:rPr>
          <w:rFonts w:cstheme="minorHAnsi"/>
          <w:bCs/>
          <w:sz w:val="24"/>
          <w:szCs w:val="24"/>
        </w:rPr>
        <w:t>PISA</w:t>
      </w:r>
      <w:r w:rsidR="00067750" w:rsidRPr="00067750">
        <w:rPr>
          <w:rFonts w:cstheme="minorHAnsi"/>
          <w:bCs/>
          <w:sz w:val="24"/>
          <w:szCs w:val="24"/>
        </w:rPr>
        <w:t xml:space="preserve"> pokazuju da crnogorski 15-godišnjaci </w:t>
      </w:r>
      <w:r w:rsidR="00067750">
        <w:rPr>
          <w:rFonts w:cstheme="minorHAnsi"/>
          <w:bCs/>
          <w:sz w:val="24"/>
          <w:szCs w:val="24"/>
        </w:rPr>
        <w:t xml:space="preserve">sa svojim obrazovanjem </w:t>
      </w:r>
      <w:r w:rsidR="00067750" w:rsidRPr="00067750">
        <w:rPr>
          <w:rFonts w:cstheme="minorHAnsi"/>
          <w:bCs/>
          <w:sz w:val="24"/>
          <w:szCs w:val="24"/>
        </w:rPr>
        <w:t>z</w:t>
      </w:r>
      <w:r w:rsidR="00CC6F22">
        <w:rPr>
          <w:rFonts w:cstheme="minorHAnsi"/>
          <w:bCs/>
          <w:sz w:val="24"/>
          <w:szCs w:val="24"/>
        </w:rPr>
        <w:t>načajno z</w:t>
      </w:r>
      <w:r w:rsidR="00067750" w:rsidRPr="00067750">
        <w:rPr>
          <w:rFonts w:cstheme="minorHAnsi"/>
          <w:bCs/>
          <w:sz w:val="24"/>
          <w:szCs w:val="24"/>
        </w:rPr>
        <w:t>aostaju za svojim vršnjacima iz OECD</w:t>
      </w:r>
      <w:r w:rsidR="0018660D">
        <w:rPr>
          <w:rFonts w:cstheme="minorHAnsi"/>
          <w:bCs/>
          <w:sz w:val="24"/>
          <w:szCs w:val="24"/>
        </w:rPr>
        <w:t xml:space="preserve"> zemalja</w:t>
      </w:r>
      <w:r w:rsidR="00067750">
        <w:rPr>
          <w:rFonts w:cstheme="minorHAnsi"/>
          <w:bCs/>
          <w:sz w:val="24"/>
          <w:szCs w:val="24"/>
        </w:rPr>
        <w:t>.</w:t>
      </w:r>
      <w:r w:rsidR="00792C35">
        <w:rPr>
          <w:rFonts w:cstheme="minorHAnsi"/>
          <w:bCs/>
          <w:sz w:val="24"/>
          <w:szCs w:val="24"/>
        </w:rPr>
        <w:t xml:space="preserve"> </w:t>
      </w:r>
      <w:r w:rsidR="009F40CD">
        <w:rPr>
          <w:rFonts w:cstheme="minorHAnsi"/>
          <w:bCs/>
          <w:sz w:val="24"/>
          <w:szCs w:val="24"/>
        </w:rPr>
        <w:t>M</w:t>
      </w:r>
      <w:r w:rsidR="00792C35">
        <w:rPr>
          <w:rFonts w:cstheme="minorHAnsi"/>
          <w:bCs/>
          <w:sz w:val="24"/>
          <w:szCs w:val="24"/>
        </w:rPr>
        <w:t>jereno i</w:t>
      </w:r>
      <w:r w:rsidR="00792C35" w:rsidRPr="00792C35">
        <w:rPr>
          <w:rFonts w:cstheme="minorHAnsi"/>
          <w:bCs/>
          <w:sz w:val="24"/>
          <w:szCs w:val="24"/>
          <w:lang w:val="sr-Latn-ME"/>
        </w:rPr>
        <w:t>ndeksom ljudskog kapitala</w:t>
      </w:r>
      <w:r w:rsidR="009F40CD">
        <w:rPr>
          <w:rFonts w:cstheme="minorHAnsi"/>
          <w:bCs/>
          <w:sz w:val="24"/>
          <w:szCs w:val="24"/>
          <w:lang w:val="sr-Latn-ME"/>
        </w:rPr>
        <w:t xml:space="preserve"> </w:t>
      </w:r>
      <w:r w:rsidR="007F4999">
        <w:rPr>
          <w:rFonts w:cstheme="minorHAnsi"/>
          <w:bCs/>
          <w:sz w:val="24"/>
          <w:szCs w:val="24"/>
          <w:lang w:val="sr-Latn-ME"/>
        </w:rPr>
        <w:t xml:space="preserve">iz 2020.  </w:t>
      </w:r>
      <w:r w:rsidR="009F40CD">
        <w:rPr>
          <w:rFonts w:cstheme="minorHAnsi"/>
          <w:bCs/>
          <w:sz w:val="24"/>
          <w:szCs w:val="24"/>
          <w:lang w:val="sr-Latn-ME"/>
        </w:rPr>
        <w:t>koji objavljuje Svjetska banka</w:t>
      </w:r>
      <w:r w:rsidR="00792C35" w:rsidRPr="00792C35">
        <w:rPr>
          <w:rFonts w:cstheme="minorHAnsi"/>
          <w:bCs/>
          <w:sz w:val="24"/>
          <w:szCs w:val="24"/>
          <w:lang w:val="sr-Latn-ME"/>
        </w:rPr>
        <w:t xml:space="preserve">, dijete rođeno u Crnoj Gori danas, će biti na nivou od 63 odsto svoje produktivnosti kada odraste u odnosu na produktivnost koju bi kao odrasla osoba moglo dostići, kada bi tokom odrastanja uživalo kompletno obrazovanje i punu zdravstvenu zaštitu. </w:t>
      </w:r>
    </w:p>
    <w:p w14:paraId="427DE702" w14:textId="60291A89" w:rsidR="00B8791A" w:rsidRPr="00892683" w:rsidRDefault="00CC6F22" w:rsidP="008C364B">
      <w:pPr>
        <w:jc w:val="both"/>
        <w:rPr>
          <w:rFonts w:cstheme="minorHAnsi"/>
          <w:bCs/>
          <w:sz w:val="24"/>
          <w:szCs w:val="24"/>
          <w:lang w:val="sr-Latn-RS"/>
        </w:rPr>
      </w:pPr>
      <w:r>
        <w:rPr>
          <w:rFonts w:cstheme="minorHAnsi"/>
          <w:sz w:val="24"/>
          <w:szCs w:val="24"/>
          <w:lang w:val="bs"/>
        </w:rPr>
        <w:t>Pretohodno naveden</w:t>
      </w:r>
      <w:r w:rsidR="009F40CD">
        <w:rPr>
          <w:rFonts w:cstheme="minorHAnsi"/>
          <w:sz w:val="24"/>
          <w:szCs w:val="24"/>
          <w:lang w:val="bs"/>
        </w:rPr>
        <w:t xml:space="preserve">o predstavlja neke </w:t>
      </w:r>
      <w:r>
        <w:rPr>
          <w:rFonts w:cstheme="minorHAnsi"/>
          <w:sz w:val="24"/>
          <w:szCs w:val="24"/>
          <w:lang w:val="bs"/>
        </w:rPr>
        <w:t>od uzroka visokog rizika od siromaštva, naročito mladih</w:t>
      </w:r>
      <w:r w:rsidR="009F40CD">
        <w:rPr>
          <w:rFonts w:cstheme="minorHAnsi"/>
          <w:sz w:val="24"/>
          <w:szCs w:val="24"/>
          <w:lang w:val="bs"/>
        </w:rPr>
        <w:t>.</w:t>
      </w:r>
      <w:r>
        <w:rPr>
          <w:rFonts w:cstheme="minorHAnsi"/>
          <w:sz w:val="24"/>
          <w:szCs w:val="24"/>
          <w:lang w:val="bs"/>
        </w:rPr>
        <w:t xml:space="preserve"> S</w:t>
      </w:r>
      <w:r w:rsidR="00B72D3A" w:rsidRPr="00B72D3A">
        <w:rPr>
          <w:rFonts w:cstheme="minorHAnsi"/>
          <w:sz w:val="24"/>
          <w:szCs w:val="24"/>
          <w:lang w:val="en-GB"/>
        </w:rPr>
        <w:t xml:space="preserve">topa rizika od siromaštva </w:t>
      </w:r>
      <w:r w:rsidR="00B72D3A">
        <w:rPr>
          <w:rFonts w:cstheme="minorHAnsi"/>
          <w:sz w:val="24"/>
          <w:szCs w:val="24"/>
          <w:lang w:val="en-GB"/>
        </w:rPr>
        <w:t xml:space="preserve">u 2021. </w:t>
      </w:r>
      <w:r w:rsidR="00B72D3A" w:rsidRPr="00B72D3A">
        <w:rPr>
          <w:rFonts w:cstheme="minorHAnsi"/>
          <w:sz w:val="24"/>
          <w:szCs w:val="24"/>
          <w:lang w:val="en-GB"/>
        </w:rPr>
        <w:t xml:space="preserve">je </w:t>
      </w:r>
      <w:r w:rsidR="00B72D3A">
        <w:rPr>
          <w:rFonts w:cstheme="minorHAnsi"/>
          <w:sz w:val="24"/>
          <w:szCs w:val="24"/>
          <w:lang w:val="en-GB"/>
        </w:rPr>
        <w:t xml:space="preserve">bila </w:t>
      </w:r>
      <w:r w:rsidR="00B72D3A" w:rsidRPr="00B72D3A">
        <w:rPr>
          <w:rFonts w:cstheme="minorHAnsi"/>
          <w:sz w:val="24"/>
          <w:szCs w:val="24"/>
          <w:lang w:val="en-GB"/>
        </w:rPr>
        <w:t>najveća kod lica starosti do 18 godina (30,5%</w:t>
      </w:r>
      <w:r w:rsidR="00B72D3A">
        <w:rPr>
          <w:rFonts w:cstheme="minorHAnsi"/>
          <w:sz w:val="24"/>
          <w:szCs w:val="24"/>
          <w:lang w:val="en-GB"/>
        </w:rPr>
        <w:t xml:space="preserve"> u 2021</w:t>
      </w:r>
      <w:r w:rsidR="00B72D3A" w:rsidRPr="00B72D3A">
        <w:rPr>
          <w:rFonts w:cstheme="minorHAnsi"/>
          <w:sz w:val="24"/>
          <w:szCs w:val="24"/>
          <w:lang w:val="en-GB"/>
        </w:rPr>
        <w:t xml:space="preserve">) i mladih od 18 do 24 godine (24,7%), kao i kod nezaposlenih lica </w:t>
      </w:r>
      <w:r w:rsidR="00B72D3A" w:rsidRPr="00AC16DE">
        <w:rPr>
          <w:rFonts w:cstheme="minorHAnsi"/>
          <w:sz w:val="24"/>
          <w:szCs w:val="24"/>
          <w:lang w:val="en-GB"/>
        </w:rPr>
        <w:t>(čak 40,2%</w:t>
      </w:r>
      <w:r w:rsidR="00AC16DE" w:rsidRPr="00AC16DE">
        <w:rPr>
          <w:rFonts w:cstheme="minorHAnsi"/>
          <w:sz w:val="24"/>
          <w:szCs w:val="24"/>
          <w:lang w:val="en-GB"/>
        </w:rPr>
        <w:t>).</w:t>
      </w:r>
      <w:r w:rsidR="00AC16DE">
        <w:rPr>
          <w:rFonts w:cstheme="minorHAnsi"/>
          <w:sz w:val="24"/>
          <w:szCs w:val="24"/>
          <w:lang w:val="en-GB"/>
        </w:rPr>
        <w:t xml:space="preserve"> </w:t>
      </w:r>
      <w:r w:rsidR="00B72D3A" w:rsidRPr="00067750">
        <w:rPr>
          <w:rFonts w:cstheme="minorHAnsi"/>
          <w:sz w:val="24"/>
          <w:szCs w:val="24"/>
          <w:lang w:val="en-GB"/>
        </w:rPr>
        <w:t>Mjere socijalne politike za smanjenje siromaštva nisu dobro targetirane, i nemaju jasnu regionalnu dimenziju</w:t>
      </w:r>
      <w:r w:rsidR="00534466">
        <w:rPr>
          <w:rFonts w:cstheme="minorHAnsi"/>
          <w:sz w:val="24"/>
          <w:szCs w:val="24"/>
          <w:lang w:val="en-GB"/>
        </w:rPr>
        <w:t xml:space="preserve"> i</w:t>
      </w:r>
      <w:r w:rsidR="00534466" w:rsidRPr="00534466">
        <w:rPr>
          <w:rFonts w:cstheme="minorHAnsi"/>
          <w:bCs/>
          <w:sz w:val="24"/>
          <w:szCs w:val="24"/>
          <w:lang w:val="sr-Latn-RS"/>
        </w:rPr>
        <w:t xml:space="preserve"> nedovoljno</w:t>
      </w:r>
      <w:r w:rsidR="00534466">
        <w:rPr>
          <w:rFonts w:cstheme="minorHAnsi"/>
          <w:bCs/>
          <w:sz w:val="24"/>
          <w:szCs w:val="24"/>
          <w:lang w:val="sr-Latn-RS"/>
        </w:rPr>
        <w:t xml:space="preserve"> su</w:t>
      </w:r>
      <w:r w:rsidR="00534466" w:rsidRPr="00534466">
        <w:rPr>
          <w:rFonts w:cstheme="minorHAnsi"/>
          <w:bCs/>
          <w:sz w:val="24"/>
          <w:szCs w:val="24"/>
          <w:lang w:val="sr-Latn-RS"/>
        </w:rPr>
        <w:t xml:space="preserve"> povezan</w:t>
      </w:r>
      <w:r w:rsidR="00534466">
        <w:rPr>
          <w:rFonts w:cstheme="minorHAnsi"/>
          <w:bCs/>
          <w:sz w:val="24"/>
          <w:szCs w:val="24"/>
          <w:lang w:val="sr-Latn-RS"/>
        </w:rPr>
        <w:t>e</w:t>
      </w:r>
      <w:r w:rsidR="00534466" w:rsidRPr="00534466">
        <w:rPr>
          <w:rFonts w:cstheme="minorHAnsi"/>
          <w:bCs/>
          <w:sz w:val="24"/>
          <w:szCs w:val="24"/>
          <w:lang w:val="sr-Latn-RS"/>
        </w:rPr>
        <w:t xml:space="preserve"> sa aktivnim politikama na tržištu rada.</w:t>
      </w:r>
      <w:r w:rsidR="00B72D3A" w:rsidRPr="00067750">
        <w:rPr>
          <w:rFonts w:cstheme="minorHAnsi"/>
          <w:sz w:val="24"/>
          <w:szCs w:val="24"/>
          <w:lang w:val="en-GB"/>
        </w:rPr>
        <w:t xml:space="preserve"> Socijalnu pomoć </w:t>
      </w:r>
      <w:r>
        <w:rPr>
          <w:rFonts w:cstheme="minorHAnsi"/>
          <w:sz w:val="24"/>
          <w:szCs w:val="24"/>
          <w:lang w:val="en-GB"/>
        </w:rPr>
        <w:t>i</w:t>
      </w:r>
      <w:r w:rsidR="00B72D3A" w:rsidRPr="00067750">
        <w:rPr>
          <w:rFonts w:cstheme="minorHAnsi"/>
          <w:sz w:val="24"/>
          <w:szCs w:val="24"/>
          <w:lang w:val="en-GB"/>
        </w:rPr>
        <w:t xml:space="preserve"> dječje dodatke primaju s</w:t>
      </w:r>
      <w:r w:rsidR="00B72D3A" w:rsidRPr="00067750">
        <w:rPr>
          <w:rFonts w:cstheme="minorHAnsi"/>
          <w:sz w:val="24"/>
          <w:szCs w:val="24"/>
          <w:lang w:val="sr-Latn-RS"/>
        </w:rPr>
        <w:t>iromašni, ali i oni koji nisu siromašni</w:t>
      </w:r>
      <w:r w:rsidR="00B72D3A" w:rsidRPr="00B72D3A">
        <w:rPr>
          <w:rFonts w:cstheme="minorHAnsi"/>
          <w:bCs/>
          <w:sz w:val="24"/>
          <w:szCs w:val="24"/>
          <w:lang w:val="en-GB"/>
        </w:rPr>
        <w:t>.</w:t>
      </w:r>
      <w:r w:rsidR="00713CBC">
        <w:rPr>
          <w:rFonts w:cstheme="minorHAnsi"/>
          <w:bCs/>
          <w:sz w:val="24"/>
          <w:szCs w:val="24"/>
          <w:lang w:val="en-GB"/>
        </w:rPr>
        <w:t xml:space="preserve"> </w:t>
      </w:r>
      <w:r w:rsidR="00713CBC" w:rsidRPr="00713CBC">
        <w:rPr>
          <w:rFonts w:cstheme="minorHAnsi"/>
          <w:bCs/>
          <w:sz w:val="24"/>
          <w:szCs w:val="24"/>
          <w:lang w:val="sr-Latn-ME"/>
        </w:rPr>
        <w:t>Ovo naročito dolazi do izražaja sa činjenicom da s</w:t>
      </w:r>
      <w:r w:rsidR="0018660D">
        <w:rPr>
          <w:rFonts w:cstheme="minorHAnsi"/>
          <w:bCs/>
          <w:sz w:val="24"/>
          <w:szCs w:val="24"/>
          <w:lang w:val="sr-Latn-ME"/>
        </w:rPr>
        <w:t>e</w:t>
      </w:r>
      <w:r w:rsidR="00713CBC" w:rsidRPr="00713CBC">
        <w:rPr>
          <w:rFonts w:cstheme="minorHAnsi"/>
          <w:bCs/>
          <w:sz w:val="24"/>
          <w:szCs w:val="24"/>
          <w:lang w:val="sr-Latn-ME"/>
        </w:rPr>
        <w:t xml:space="preserve"> budžetska sredstva za socijalnu i dječju zaštitu </w:t>
      </w:r>
      <w:r w:rsidR="00713CBC">
        <w:rPr>
          <w:rFonts w:cstheme="minorHAnsi"/>
          <w:bCs/>
          <w:sz w:val="24"/>
          <w:szCs w:val="24"/>
          <w:lang w:val="sr-Latn-ME"/>
        </w:rPr>
        <w:t>povećavaju iz godine u godinu</w:t>
      </w:r>
      <w:r w:rsidR="00713CBC" w:rsidRPr="00713CBC">
        <w:rPr>
          <w:rFonts w:cstheme="minorHAnsi"/>
          <w:bCs/>
          <w:sz w:val="24"/>
          <w:szCs w:val="24"/>
          <w:lang w:val="sr-Latn-ME"/>
        </w:rPr>
        <w:t xml:space="preserve">, a da  njihova raspodjela nije bolje targetirana prema najsiromašnijim grupama stanovnika, budući da su sve društvene grupe korisnici sredstava socijalne i dječje zaštite. </w:t>
      </w:r>
      <w:r w:rsidR="00713CBC" w:rsidRPr="00713CBC">
        <w:rPr>
          <w:rFonts w:cstheme="minorHAnsi"/>
          <w:bCs/>
          <w:sz w:val="24"/>
          <w:szCs w:val="24"/>
          <w:lang w:val="en-GB"/>
        </w:rPr>
        <w:t>Zato trenutno, sistem samo djelimično doprinosi smanjenju rizika od siromaštva</w:t>
      </w:r>
      <w:r w:rsidR="00713CBC">
        <w:rPr>
          <w:rFonts w:cstheme="minorHAnsi"/>
          <w:bCs/>
          <w:sz w:val="24"/>
          <w:szCs w:val="24"/>
          <w:lang w:val="sr-Latn-ME"/>
        </w:rPr>
        <w:t xml:space="preserve">. </w:t>
      </w:r>
    </w:p>
    <w:p w14:paraId="3EB842C3" w14:textId="6DAF6785" w:rsidR="008C364B" w:rsidRPr="0047692E" w:rsidRDefault="008C364B" w:rsidP="0047692E">
      <w:pPr>
        <w:rPr>
          <w:color w:val="1F3864" w:themeColor="accent1" w:themeShade="80"/>
          <w:sz w:val="26"/>
          <w:szCs w:val="26"/>
        </w:rPr>
      </w:pPr>
      <w:r w:rsidRPr="0047692E">
        <w:rPr>
          <w:color w:val="1F3864" w:themeColor="accent1" w:themeShade="80"/>
          <w:sz w:val="26"/>
          <w:szCs w:val="26"/>
        </w:rPr>
        <w:t>b.</w:t>
      </w:r>
      <w:r w:rsidR="00EC29F9" w:rsidRPr="0047692E">
        <w:rPr>
          <w:color w:val="1F3864" w:themeColor="accent1" w:themeShade="80"/>
          <w:sz w:val="26"/>
          <w:szCs w:val="26"/>
        </w:rPr>
        <w:t xml:space="preserve"> Strukturne reforme i r</w:t>
      </w:r>
      <w:r w:rsidRPr="0047692E">
        <w:rPr>
          <w:color w:val="1F3864" w:themeColor="accent1" w:themeShade="80"/>
          <w:sz w:val="26"/>
          <w:szCs w:val="26"/>
        </w:rPr>
        <w:t>eformske mjere</w:t>
      </w:r>
      <w:r w:rsidR="00EC29F9" w:rsidRPr="0047692E">
        <w:rPr>
          <w:color w:val="1F3864" w:themeColor="accent1" w:themeShade="80"/>
          <w:sz w:val="26"/>
          <w:szCs w:val="26"/>
        </w:rPr>
        <w:t xml:space="preserve"> u odgovoru na </w:t>
      </w:r>
      <w:r w:rsidR="009D0E01" w:rsidRPr="0047692E">
        <w:rPr>
          <w:color w:val="1F3864" w:themeColor="accent1" w:themeShade="80"/>
          <w:sz w:val="26"/>
          <w:szCs w:val="26"/>
        </w:rPr>
        <w:t>identifikovane prepreke</w:t>
      </w:r>
    </w:p>
    <w:p w14:paraId="2DDF03FA" w14:textId="6E8E71DC" w:rsidR="000D27CE" w:rsidRDefault="0071463E" w:rsidP="008D1FF7">
      <w:pPr>
        <w:jc w:val="both"/>
        <w:rPr>
          <w:rFonts w:cstheme="minorHAnsi"/>
          <w:sz w:val="24"/>
          <w:szCs w:val="24"/>
          <w:lang w:val="sr-Latn-ME"/>
        </w:rPr>
      </w:pPr>
      <w:r w:rsidRPr="0071463E">
        <w:rPr>
          <w:rFonts w:cstheme="minorHAnsi"/>
          <w:sz w:val="24"/>
          <w:szCs w:val="24"/>
          <w:lang w:val="sr-Latn-ME"/>
        </w:rPr>
        <w:t>Polazeći od identifikovanih prepreka i izazova u od</w:t>
      </w:r>
      <w:r w:rsidR="001139FE">
        <w:rPr>
          <w:rFonts w:cstheme="minorHAnsi"/>
          <w:sz w:val="24"/>
          <w:szCs w:val="24"/>
          <w:lang w:val="sr-Latn-ME"/>
        </w:rPr>
        <w:t>go</w:t>
      </w:r>
      <w:r w:rsidR="00713CBC">
        <w:rPr>
          <w:rFonts w:cstheme="minorHAnsi"/>
          <w:sz w:val="24"/>
          <w:szCs w:val="24"/>
          <w:lang w:val="sr-Latn-ME"/>
        </w:rPr>
        <w:t>vo</w:t>
      </w:r>
      <w:r w:rsidRPr="0071463E">
        <w:rPr>
          <w:rFonts w:cstheme="minorHAnsi"/>
          <w:sz w:val="24"/>
          <w:szCs w:val="24"/>
          <w:lang w:val="sr-Latn-ME"/>
        </w:rPr>
        <w:t xml:space="preserve">ru na prepreke za </w:t>
      </w:r>
      <w:r w:rsidR="001139FE">
        <w:rPr>
          <w:rFonts w:cstheme="minorHAnsi"/>
          <w:sz w:val="24"/>
          <w:szCs w:val="24"/>
          <w:lang w:val="sr-Latn-ME"/>
        </w:rPr>
        <w:t>povećanje ljudskog kapitala i u</w:t>
      </w:r>
      <w:r w:rsidR="00AC16DE">
        <w:rPr>
          <w:rFonts w:cstheme="minorHAnsi"/>
          <w:sz w:val="24"/>
          <w:szCs w:val="24"/>
          <w:lang w:val="sr-Latn-ME"/>
        </w:rPr>
        <w:t>na</w:t>
      </w:r>
      <w:r w:rsidR="001139FE">
        <w:rPr>
          <w:rFonts w:cstheme="minorHAnsi"/>
          <w:sz w:val="24"/>
          <w:szCs w:val="24"/>
          <w:lang w:val="sr-Latn-ME"/>
        </w:rPr>
        <w:t xml:space="preserve">pređenje socijalnih politika, </w:t>
      </w:r>
      <w:r w:rsidRPr="0071463E">
        <w:rPr>
          <w:rFonts w:cstheme="minorHAnsi"/>
          <w:sz w:val="24"/>
          <w:szCs w:val="24"/>
          <w:lang w:val="sr-Latn-ME"/>
        </w:rPr>
        <w:t>kao i od preporuka sa ministarskog dijaloga iz maja 2023.</w:t>
      </w:r>
      <w:r w:rsidR="00713CBC">
        <w:rPr>
          <w:rFonts w:cstheme="minorHAnsi"/>
          <w:sz w:val="24"/>
          <w:szCs w:val="24"/>
          <w:lang w:val="sr-Latn-ME"/>
        </w:rPr>
        <w:t xml:space="preserve"> </w:t>
      </w:r>
      <w:r w:rsidRPr="0071463E">
        <w:rPr>
          <w:rFonts w:cstheme="minorHAnsi"/>
          <w:sz w:val="24"/>
          <w:szCs w:val="24"/>
          <w:lang w:val="sr-Latn-ME"/>
        </w:rPr>
        <w:t>godine i obaveza iz pregovračkih poglavlja u pregovorima za članstvo u EU,</w:t>
      </w:r>
      <w:r w:rsidR="000D27CE">
        <w:rPr>
          <w:rFonts w:cstheme="minorHAnsi"/>
          <w:sz w:val="24"/>
          <w:szCs w:val="24"/>
          <w:lang w:val="sr-Latn-ME"/>
        </w:rPr>
        <w:t xml:space="preserve"> </w:t>
      </w:r>
      <w:r w:rsidRPr="0071463E">
        <w:rPr>
          <w:rFonts w:cstheme="minorHAnsi"/>
          <w:sz w:val="24"/>
          <w:szCs w:val="24"/>
          <w:lang w:val="sr-Latn-ME"/>
        </w:rPr>
        <w:t xml:space="preserve">predložene su dvije strukturne reforme. To su: </w:t>
      </w:r>
    </w:p>
    <w:p w14:paraId="15B45AE6" w14:textId="6B5FDAA2" w:rsidR="000D27CE" w:rsidRPr="00AC16DE" w:rsidRDefault="000D27CE" w:rsidP="008D1FF7">
      <w:pPr>
        <w:jc w:val="both"/>
        <w:rPr>
          <w:rFonts w:cstheme="minorHAnsi"/>
          <w:i/>
          <w:iCs/>
          <w:sz w:val="24"/>
          <w:szCs w:val="24"/>
          <w:lang w:val="sr-Latn-ME"/>
        </w:rPr>
      </w:pPr>
      <w:r w:rsidRPr="00AC16DE">
        <w:rPr>
          <w:rFonts w:cstheme="minorHAnsi"/>
          <w:sz w:val="24"/>
          <w:szCs w:val="24"/>
          <w:lang w:val="sr-Latn-ME"/>
        </w:rPr>
        <w:t>-</w:t>
      </w:r>
      <w:r w:rsidR="0071463E" w:rsidRPr="00AC16DE">
        <w:rPr>
          <w:rFonts w:cstheme="minorHAnsi"/>
          <w:sz w:val="24"/>
          <w:szCs w:val="24"/>
          <w:lang w:val="sr-Latn-ME"/>
        </w:rPr>
        <w:t>„</w:t>
      </w:r>
      <w:r w:rsidR="0071463E" w:rsidRPr="00AC16DE">
        <w:rPr>
          <w:rFonts w:cstheme="minorHAnsi"/>
          <w:sz w:val="24"/>
          <w:szCs w:val="24"/>
        </w:rPr>
        <w:t xml:space="preserve">Strukturna reforma </w:t>
      </w:r>
      <w:r w:rsidR="00792C35" w:rsidRPr="00AC16DE">
        <w:rPr>
          <w:rFonts w:cstheme="minorHAnsi"/>
          <w:sz w:val="24"/>
          <w:szCs w:val="24"/>
        </w:rPr>
        <w:t>5</w:t>
      </w:r>
      <w:r w:rsidR="0071463E" w:rsidRPr="00AC16DE">
        <w:rPr>
          <w:rFonts w:cstheme="minorHAnsi"/>
          <w:sz w:val="24"/>
          <w:szCs w:val="24"/>
        </w:rPr>
        <w:t>: “</w:t>
      </w:r>
      <w:r w:rsidR="00AC16DE" w:rsidRPr="00AC16DE">
        <w:rPr>
          <w:rFonts w:cstheme="minorHAnsi"/>
          <w:i/>
          <w:sz w:val="24"/>
          <w:szCs w:val="24"/>
          <w:lang w:val="bs-Latn-BA"/>
        </w:rPr>
        <w:t>Unapređenje okvira za bolju zapošljivost mladih i veći kvalitet obrazovanja</w:t>
      </w:r>
      <w:r w:rsidR="0071463E" w:rsidRPr="0071463E">
        <w:rPr>
          <w:rFonts w:cstheme="minorHAnsi"/>
          <w:sz w:val="24"/>
          <w:szCs w:val="24"/>
        </w:rPr>
        <w:t xml:space="preserve">” </w:t>
      </w:r>
      <w:r>
        <w:rPr>
          <w:rFonts w:cstheme="minorHAnsi"/>
          <w:sz w:val="24"/>
          <w:szCs w:val="24"/>
        </w:rPr>
        <w:t xml:space="preserve">koja se odnosi na podoblasti “Obrazovanje i vještine” i “Zapošljavanje i tržište rada”. </w:t>
      </w:r>
      <w:r w:rsidR="0071463E" w:rsidRPr="0071463E">
        <w:rPr>
          <w:rFonts w:cstheme="minorHAnsi"/>
          <w:sz w:val="24"/>
          <w:szCs w:val="24"/>
        </w:rPr>
        <w:t xml:space="preserve"> </w:t>
      </w:r>
    </w:p>
    <w:p w14:paraId="2ED7A04C" w14:textId="3AA6CF8A" w:rsidR="000D27CE" w:rsidRPr="000D27CE" w:rsidRDefault="00AC16DE" w:rsidP="008D1FF7">
      <w:pPr>
        <w:jc w:val="both"/>
        <w:rPr>
          <w:rFonts w:cstheme="minorHAnsi"/>
          <w:sz w:val="24"/>
          <w:szCs w:val="24"/>
        </w:rPr>
      </w:pPr>
      <w:r>
        <w:rPr>
          <w:rFonts w:cstheme="minorHAnsi"/>
          <w:sz w:val="24"/>
          <w:szCs w:val="24"/>
        </w:rPr>
        <w:lastRenderedPageBreak/>
        <w:t>-</w:t>
      </w:r>
      <w:r w:rsidR="00792C35">
        <w:rPr>
          <w:rFonts w:cstheme="minorHAnsi"/>
          <w:sz w:val="24"/>
          <w:szCs w:val="24"/>
        </w:rPr>
        <w:t xml:space="preserve"> Strukturna reforma 6: </w:t>
      </w:r>
      <w:r w:rsidR="0071463E" w:rsidRPr="0071463E">
        <w:rPr>
          <w:rFonts w:cstheme="minorHAnsi"/>
          <w:sz w:val="24"/>
          <w:szCs w:val="24"/>
        </w:rPr>
        <w:t>“</w:t>
      </w:r>
      <w:r w:rsidR="00792C35" w:rsidRPr="00792C35">
        <w:rPr>
          <w:rFonts w:cstheme="minorHAnsi"/>
          <w:i/>
          <w:iCs/>
          <w:sz w:val="24"/>
          <w:szCs w:val="24"/>
        </w:rPr>
        <w:t xml:space="preserve">Povećanje </w:t>
      </w:r>
      <w:r>
        <w:rPr>
          <w:rFonts w:cstheme="minorHAnsi"/>
          <w:i/>
          <w:iCs/>
          <w:sz w:val="24"/>
          <w:szCs w:val="24"/>
        </w:rPr>
        <w:t>djelotvornosti</w:t>
      </w:r>
      <w:r w:rsidR="00792C35" w:rsidRPr="00792C35">
        <w:rPr>
          <w:rFonts w:cstheme="minorHAnsi"/>
          <w:i/>
          <w:iCs/>
          <w:sz w:val="24"/>
          <w:szCs w:val="24"/>
        </w:rPr>
        <w:t xml:space="preserve"> sistema socijalne i dječje zaštite</w:t>
      </w:r>
      <w:r w:rsidR="0071463E" w:rsidRPr="0071463E">
        <w:rPr>
          <w:rFonts w:cstheme="minorHAnsi"/>
          <w:i/>
          <w:iCs/>
          <w:sz w:val="24"/>
          <w:szCs w:val="24"/>
        </w:rPr>
        <w:t>”</w:t>
      </w:r>
      <w:r w:rsidR="000D27CE">
        <w:rPr>
          <w:rFonts w:cstheme="minorHAnsi"/>
          <w:i/>
          <w:iCs/>
          <w:sz w:val="24"/>
          <w:szCs w:val="24"/>
        </w:rPr>
        <w:t xml:space="preserve">, </w:t>
      </w:r>
      <w:r w:rsidR="000D27CE" w:rsidRPr="000D27CE">
        <w:rPr>
          <w:rFonts w:cstheme="minorHAnsi"/>
          <w:sz w:val="24"/>
          <w:szCs w:val="24"/>
        </w:rPr>
        <w:t>koja se odnosi na podoblast</w:t>
      </w:r>
      <w:r w:rsidR="000D27CE">
        <w:rPr>
          <w:rFonts w:cstheme="minorHAnsi"/>
          <w:sz w:val="24"/>
          <w:szCs w:val="24"/>
        </w:rPr>
        <w:t xml:space="preserve"> “Socijalna zaštita i inkluzija”.</w:t>
      </w:r>
    </w:p>
    <w:p w14:paraId="41EEDA62" w14:textId="685D1ED7" w:rsidR="00885009" w:rsidRPr="0047692E" w:rsidRDefault="00885009" w:rsidP="0047692E">
      <w:pPr>
        <w:jc w:val="both"/>
        <w:rPr>
          <w:rFonts w:cstheme="minorHAnsi"/>
          <w:iCs/>
          <w:sz w:val="24"/>
          <w:szCs w:val="24"/>
          <w:lang w:val="sr-Latn-ME"/>
        </w:rPr>
      </w:pPr>
      <w:r w:rsidRPr="0047692E">
        <w:rPr>
          <w:rFonts w:cstheme="minorHAnsi"/>
          <w:iCs/>
          <w:color w:val="1F3864" w:themeColor="accent1" w:themeShade="80"/>
          <w:sz w:val="24"/>
          <w:szCs w:val="24"/>
          <w:lang w:val="sr-Latn-ME"/>
        </w:rPr>
        <w:t xml:space="preserve">Strukturna reforma br. 5: </w:t>
      </w:r>
      <w:r w:rsidR="00A8637D" w:rsidRPr="0047692E">
        <w:rPr>
          <w:color w:val="1F3864" w:themeColor="accent1" w:themeShade="80"/>
          <w:sz w:val="24"/>
          <w:szCs w:val="24"/>
          <w:lang w:val="bs-Latn-BA" w:eastAsia="sr-Cyrl-CS" w:bidi="sr-Cyrl-CS"/>
        </w:rPr>
        <w:t>U</w:t>
      </w:r>
      <w:r w:rsidR="003A4436" w:rsidRPr="0047692E">
        <w:rPr>
          <w:color w:val="1F3864" w:themeColor="accent1" w:themeShade="80"/>
          <w:sz w:val="24"/>
          <w:szCs w:val="24"/>
          <w:lang w:val="bs-Latn-BA" w:eastAsia="sr-Cyrl-CS" w:bidi="sr-Cyrl-CS"/>
        </w:rPr>
        <w:t xml:space="preserve">napređenje okvira za </w:t>
      </w:r>
      <w:r w:rsidR="00AC16DE" w:rsidRPr="0047692E">
        <w:rPr>
          <w:color w:val="1F3864" w:themeColor="accent1" w:themeShade="80"/>
          <w:sz w:val="24"/>
          <w:szCs w:val="24"/>
          <w:lang w:val="bs-Latn-BA" w:eastAsia="sr-Cyrl-CS" w:bidi="sr-Cyrl-CS"/>
        </w:rPr>
        <w:t>bolju</w:t>
      </w:r>
      <w:r w:rsidR="00A8637D" w:rsidRPr="0047692E">
        <w:rPr>
          <w:color w:val="1F3864" w:themeColor="accent1" w:themeShade="80"/>
          <w:sz w:val="24"/>
          <w:szCs w:val="24"/>
          <w:lang w:val="bs-Latn-BA" w:eastAsia="sr-Cyrl-CS" w:bidi="sr-Cyrl-CS"/>
        </w:rPr>
        <w:t xml:space="preserve"> zapošljivost mladih i </w:t>
      </w:r>
      <w:r w:rsidR="00AC16DE" w:rsidRPr="0047692E">
        <w:rPr>
          <w:color w:val="1F3864" w:themeColor="accent1" w:themeShade="80"/>
          <w:sz w:val="24"/>
          <w:szCs w:val="24"/>
          <w:lang w:val="bs-Latn-BA" w:eastAsia="sr-Cyrl-CS" w:bidi="sr-Cyrl-CS"/>
        </w:rPr>
        <w:t xml:space="preserve">veći </w:t>
      </w:r>
      <w:r w:rsidR="00A8637D" w:rsidRPr="0047692E">
        <w:rPr>
          <w:color w:val="1F3864" w:themeColor="accent1" w:themeShade="80"/>
          <w:sz w:val="24"/>
          <w:szCs w:val="24"/>
          <w:lang w:val="bs-Latn-BA" w:eastAsia="sr-Cyrl-CS" w:bidi="sr-Cyrl-CS"/>
        </w:rPr>
        <w:t>kvalitet obrazovanja</w:t>
      </w:r>
    </w:p>
    <w:p w14:paraId="1A0E2E4B" w14:textId="279CA344" w:rsidR="00D03A01" w:rsidRDefault="00D03A01" w:rsidP="00885009">
      <w:pPr>
        <w:jc w:val="both"/>
        <w:rPr>
          <w:rFonts w:cstheme="minorHAnsi"/>
          <w:sz w:val="24"/>
          <w:szCs w:val="24"/>
          <w:lang w:val="sr-Latn-ME"/>
        </w:rPr>
      </w:pPr>
      <w:r w:rsidRPr="00AC16DE">
        <w:rPr>
          <w:rFonts w:cstheme="minorHAnsi"/>
          <w:sz w:val="24"/>
          <w:szCs w:val="24"/>
          <w:lang w:val="sr-Latn-RS"/>
        </w:rPr>
        <w:t>Cilj strukturne reforme je</w:t>
      </w:r>
      <w:r w:rsidR="00BB6F90">
        <w:rPr>
          <w:rFonts w:cstheme="minorHAnsi"/>
          <w:sz w:val="24"/>
          <w:szCs w:val="24"/>
          <w:lang w:val="sr-Latn-RS"/>
        </w:rPr>
        <w:t xml:space="preserve"> </w:t>
      </w:r>
      <w:r w:rsidRPr="00AC16DE">
        <w:rPr>
          <w:rFonts w:cstheme="minorHAnsi"/>
          <w:sz w:val="24"/>
          <w:szCs w:val="24"/>
          <w:lang w:val="sr-Latn-RS"/>
        </w:rPr>
        <w:t xml:space="preserve"> </w:t>
      </w:r>
      <w:r w:rsidR="00BB6F90">
        <w:rPr>
          <w:rFonts w:cstheme="minorHAnsi"/>
          <w:sz w:val="24"/>
          <w:szCs w:val="24"/>
          <w:lang w:val="sr-Latn-RS"/>
        </w:rPr>
        <w:t>povećanje zaposlenosti kroz</w:t>
      </w:r>
      <w:r w:rsidR="00A8637D" w:rsidRPr="00AC16DE">
        <w:rPr>
          <w:rFonts w:cstheme="minorHAnsi"/>
          <w:sz w:val="24"/>
          <w:szCs w:val="24"/>
          <w:lang w:val="sr-Latn-RS"/>
        </w:rPr>
        <w:t xml:space="preserve"> poboljšanje </w:t>
      </w:r>
      <w:r w:rsidRPr="00AC16DE">
        <w:rPr>
          <w:rFonts w:cstheme="minorHAnsi"/>
          <w:sz w:val="24"/>
          <w:szCs w:val="24"/>
          <w:lang w:val="sr-Latn-RS"/>
        </w:rPr>
        <w:t xml:space="preserve">položaja mladih </w:t>
      </w:r>
      <w:r w:rsidR="00A8637D" w:rsidRPr="00AC16DE">
        <w:rPr>
          <w:rFonts w:cstheme="minorHAnsi"/>
          <w:sz w:val="24"/>
          <w:szCs w:val="24"/>
          <w:lang w:val="sr-Latn-RS"/>
        </w:rPr>
        <w:t>za</w:t>
      </w:r>
      <w:r w:rsidRPr="00AC16DE">
        <w:rPr>
          <w:rFonts w:cstheme="minorHAnsi"/>
          <w:sz w:val="24"/>
          <w:szCs w:val="24"/>
          <w:lang w:val="sr-Latn-RS"/>
        </w:rPr>
        <w:t xml:space="preserve"> olakšan</w:t>
      </w:r>
      <w:r w:rsidR="00A8637D" w:rsidRPr="00AC16DE">
        <w:rPr>
          <w:rFonts w:cstheme="minorHAnsi"/>
          <w:sz w:val="24"/>
          <w:szCs w:val="24"/>
          <w:lang w:val="sr-Latn-RS"/>
        </w:rPr>
        <w:t>o uključivanje</w:t>
      </w:r>
      <w:r w:rsidRPr="00AC16DE">
        <w:rPr>
          <w:rFonts w:cstheme="minorHAnsi"/>
          <w:sz w:val="24"/>
          <w:szCs w:val="24"/>
          <w:lang w:val="sr-Latn-RS"/>
        </w:rPr>
        <w:t xml:space="preserve"> na tržište </w:t>
      </w:r>
      <w:r w:rsidR="00BB6F90">
        <w:rPr>
          <w:rFonts w:cstheme="minorHAnsi"/>
          <w:sz w:val="24"/>
          <w:szCs w:val="24"/>
          <w:lang w:val="sr-Latn-RS"/>
        </w:rPr>
        <w:t>rada uz istovremeno povećanje kvaliteta obrazovanja</w:t>
      </w:r>
      <w:r w:rsidR="00AC16DE" w:rsidRPr="00AC16DE">
        <w:rPr>
          <w:rFonts w:cstheme="minorHAnsi"/>
          <w:sz w:val="24"/>
          <w:szCs w:val="24"/>
          <w:lang w:val="sr-Latn-RS"/>
        </w:rPr>
        <w:t>.</w:t>
      </w:r>
      <w:r w:rsidR="00BB6F90">
        <w:rPr>
          <w:rFonts w:cstheme="minorHAnsi"/>
          <w:sz w:val="24"/>
          <w:szCs w:val="24"/>
          <w:lang w:val="sr-Latn-RS"/>
        </w:rPr>
        <w:t xml:space="preserve"> R</w:t>
      </w:r>
      <w:r w:rsidRPr="00AC16DE">
        <w:rPr>
          <w:rFonts w:cstheme="minorHAnsi"/>
          <w:sz w:val="24"/>
          <w:szCs w:val="24"/>
          <w:lang w:val="sr-Latn-RS"/>
        </w:rPr>
        <w:t xml:space="preserve">eforma daje odgovor </w:t>
      </w:r>
      <w:r w:rsidR="00BB6F90">
        <w:rPr>
          <w:rFonts w:cstheme="minorHAnsi"/>
          <w:sz w:val="24"/>
          <w:szCs w:val="24"/>
          <w:lang w:val="sr-Latn-RS"/>
        </w:rPr>
        <w:t xml:space="preserve">i </w:t>
      </w:r>
      <w:r w:rsidRPr="00AC16DE">
        <w:rPr>
          <w:rFonts w:cstheme="minorHAnsi"/>
          <w:sz w:val="24"/>
          <w:szCs w:val="24"/>
          <w:lang w:val="sr-Latn-RS"/>
        </w:rPr>
        <w:t>na izazove u stručnom obrazovanju koji se odnose na usaglašavanje</w:t>
      </w:r>
      <w:r w:rsidRPr="00D03A01">
        <w:rPr>
          <w:rFonts w:cstheme="minorHAnsi"/>
          <w:sz w:val="24"/>
          <w:szCs w:val="24"/>
          <w:lang w:val="sr-Latn-RS"/>
        </w:rPr>
        <w:t xml:space="preserve"> obrazovne ponude sa potrebama tržišta rada prije svega imajući u vidu digitalnu transformaciju i zelenu tranziciju. O</w:t>
      </w:r>
      <w:r w:rsidR="0018660D">
        <w:rPr>
          <w:rFonts w:cstheme="minorHAnsi"/>
          <w:sz w:val="24"/>
          <w:szCs w:val="24"/>
          <w:lang w:val="sr-Latn-RS"/>
        </w:rPr>
        <w:t>vo</w:t>
      </w:r>
      <w:r w:rsidRPr="00D03A01">
        <w:rPr>
          <w:rFonts w:cstheme="minorHAnsi"/>
          <w:sz w:val="24"/>
          <w:szCs w:val="24"/>
          <w:lang w:val="sr-Latn-RS"/>
        </w:rPr>
        <w:t xml:space="preserve"> će se realizovati na način što će se obezbijediti kvalitet praktičnog obrazovanja kako bi se svršeni srednjoškolci lakše i brže uključili na tržište rada, promovisa</w:t>
      </w:r>
      <w:r w:rsidR="0018660D">
        <w:rPr>
          <w:rFonts w:cstheme="minorHAnsi"/>
          <w:sz w:val="24"/>
          <w:szCs w:val="24"/>
          <w:lang w:val="sr-Latn-RS"/>
        </w:rPr>
        <w:t>o</w:t>
      </w:r>
      <w:r w:rsidRPr="00D03A01">
        <w:rPr>
          <w:rFonts w:cstheme="minorHAnsi"/>
          <w:sz w:val="24"/>
          <w:szCs w:val="24"/>
          <w:lang w:val="sr-Latn-RS"/>
        </w:rPr>
        <w:t xml:space="preserve"> upis u programe za sticanje kvalifikacija koje nedostaju tržištu rada i unaprijedi</w:t>
      </w:r>
      <w:r w:rsidR="0018660D">
        <w:rPr>
          <w:rFonts w:cstheme="minorHAnsi"/>
          <w:sz w:val="24"/>
          <w:szCs w:val="24"/>
          <w:lang w:val="sr-Latn-RS"/>
        </w:rPr>
        <w:t>le</w:t>
      </w:r>
      <w:r w:rsidRPr="00D03A01">
        <w:rPr>
          <w:rFonts w:cstheme="minorHAnsi"/>
          <w:sz w:val="24"/>
          <w:szCs w:val="24"/>
          <w:lang w:val="sr-Latn-RS"/>
        </w:rPr>
        <w:t xml:space="preserve"> kompetencije kadra koji organizuje i realizuje nastavu u stručnim školama, uključujući i učenje kroz rad. Istovremeno podržava se dalje </w:t>
      </w:r>
      <w:r w:rsidRPr="00D03A01">
        <w:rPr>
          <w:rFonts w:cstheme="minorHAnsi"/>
          <w:sz w:val="24"/>
          <w:szCs w:val="24"/>
          <w:lang w:val="sr-Latn-ME"/>
        </w:rPr>
        <w:t>unapređenje informacionog sistema obrazovanja, razvoj kvalifikacija koje nedostaju tržištu rada</w:t>
      </w:r>
      <w:r w:rsidR="00A95AE0">
        <w:rPr>
          <w:rFonts w:cstheme="minorHAnsi"/>
          <w:sz w:val="24"/>
          <w:szCs w:val="24"/>
          <w:lang w:val="sr-Latn-ME"/>
        </w:rPr>
        <w:t>,</w:t>
      </w:r>
      <w:r w:rsidRPr="00D03A01">
        <w:rPr>
          <w:rFonts w:cstheme="minorHAnsi"/>
          <w:sz w:val="24"/>
          <w:szCs w:val="24"/>
          <w:lang w:val="sr-Latn-ME"/>
        </w:rPr>
        <w:t xml:space="preserve"> a koje uključuju digitalne tehnologije i „zelene“ kvalifikacije za zelene poslove, jačanje kompetencija nastavnika teorijske i praktične nastave kako bi mogli odgovoriti na zahtjeve savremene nastave, organizatora i instruktora praktičnog obrazovanja, jačanje usluga karijernog vođenja i savjetovanja  prije svega u osnovnim školama.</w:t>
      </w:r>
    </w:p>
    <w:p w14:paraId="35464426" w14:textId="77777777" w:rsidR="008301C5" w:rsidRDefault="000D27CE" w:rsidP="00885009">
      <w:pPr>
        <w:jc w:val="both"/>
        <w:rPr>
          <w:rFonts w:cstheme="minorHAnsi"/>
          <w:sz w:val="24"/>
          <w:szCs w:val="24"/>
          <w:lang w:val="sr-Latn-ME"/>
        </w:rPr>
      </w:pPr>
      <w:r>
        <w:rPr>
          <w:rFonts w:cstheme="minorHAnsi"/>
          <w:sz w:val="24"/>
          <w:szCs w:val="24"/>
          <w:lang w:val="sr-Latn-ME"/>
        </w:rPr>
        <w:t>Nav</w:t>
      </w:r>
      <w:r w:rsidR="00B43640">
        <w:rPr>
          <w:rFonts w:cstheme="minorHAnsi"/>
          <w:sz w:val="24"/>
          <w:szCs w:val="24"/>
          <w:lang w:val="sr-Latn-ME"/>
        </w:rPr>
        <w:t>ede</w:t>
      </w:r>
      <w:r>
        <w:rPr>
          <w:rFonts w:cstheme="minorHAnsi"/>
          <w:sz w:val="24"/>
          <w:szCs w:val="24"/>
          <w:lang w:val="sr-Latn-ME"/>
        </w:rPr>
        <w:t>na strukturna reforma se dalje razra</w:t>
      </w:r>
      <w:r w:rsidR="00CC55F6">
        <w:rPr>
          <w:rFonts w:cstheme="minorHAnsi"/>
          <w:sz w:val="24"/>
          <w:szCs w:val="24"/>
          <w:lang w:val="sr-Latn-ME"/>
        </w:rPr>
        <w:t>đ</w:t>
      </w:r>
      <w:r>
        <w:rPr>
          <w:rFonts w:cstheme="minorHAnsi"/>
          <w:sz w:val="24"/>
          <w:szCs w:val="24"/>
          <w:lang w:val="sr-Latn-ME"/>
        </w:rPr>
        <w:t xml:space="preserve">uje kroz </w:t>
      </w:r>
      <w:r w:rsidR="008301C5">
        <w:rPr>
          <w:rFonts w:cstheme="minorHAnsi"/>
          <w:sz w:val="24"/>
          <w:szCs w:val="24"/>
          <w:lang w:val="sr-Latn-ME"/>
        </w:rPr>
        <w:t>dvije reformske mjere i to</w:t>
      </w:r>
      <w:r>
        <w:rPr>
          <w:rFonts w:cstheme="minorHAnsi"/>
          <w:sz w:val="24"/>
          <w:szCs w:val="24"/>
          <w:lang w:val="sr-Latn-ME"/>
        </w:rPr>
        <w:t xml:space="preserve">: </w:t>
      </w:r>
    </w:p>
    <w:p w14:paraId="6AB217EA" w14:textId="5C143DB7" w:rsidR="000D27CE" w:rsidRDefault="008301C5" w:rsidP="00885009">
      <w:pPr>
        <w:jc w:val="both"/>
        <w:rPr>
          <w:rFonts w:cstheme="minorHAnsi"/>
          <w:sz w:val="24"/>
          <w:szCs w:val="24"/>
        </w:rPr>
      </w:pPr>
      <w:r>
        <w:rPr>
          <w:rFonts w:cstheme="minorHAnsi"/>
          <w:sz w:val="24"/>
          <w:szCs w:val="24"/>
          <w:lang w:val="sr-Latn-ME"/>
        </w:rPr>
        <w:t xml:space="preserve">-Reformsku mjeru: </w:t>
      </w:r>
      <w:r w:rsidR="000D27CE">
        <w:rPr>
          <w:rFonts w:cstheme="minorHAnsi"/>
          <w:sz w:val="24"/>
          <w:szCs w:val="24"/>
          <w:lang w:val="sr-Latn-ME"/>
        </w:rPr>
        <w:t>„</w:t>
      </w:r>
      <w:r w:rsidR="000D27CE" w:rsidRPr="000D27CE">
        <w:rPr>
          <w:rFonts w:cstheme="minorHAnsi"/>
          <w:i/>
          <w:iCs/>
          <w:sz w:val="24"/>
          <w:szCs w:val="24"/>
        </w:rPr>
        <w:t>Uvođenje programa Ga</w:t>
      </w:r>
      <w:r w:rsidR="00BB6F90">
        <w:rPr>
          <w:rFonts w:cstheme="minorHAnsi"/>
          <w:i/>
          <w:iCs/>
          <w:sz w:val="24"/>
          <w:szCs w:val="24"/>
        </w:rPr>
        <w:t>ran</w:t>
      </w:r>
      <w:r w:rsidR="000D27CE" w:rsidRPr="000D27CE">
        <w:rPr>
          <w:rFonts w:cstheme="minorHAnsi"/>
          <w:i/>
          <w:iCs/>
          <w:sz w:val="24"/>
          <w:szCs w:val="24"/>
        </w:rPr>
        <w:t>cija za mlade u Crnoj Gori</w:t>
      </w:r>
      <w:r w:rsidR="000D27CE">
        <w:rPr>
          <w:rFonts w:cstheme="minorHAnsi"/>
          <w:i/>
          <w:iCs/>
          <w:sz w:val="24"/>
          <w:szCs w:val="24"/>
        </w:rPr>
        <w:t>”</w:t>
      </w:r>
      <w:r w:rsidR="00CC55F6">
        <w:rPr>
          <w:rFonts w:cstheme="minorHAnsi"/>
          <w:i/>
          <w:iCs/>
          <w:sz w:val="24"/>
          <w:szCs w:val="24"/>
        </w:rPr>
        <w:t xml:space="preserve">, </w:t>
      </w:r>
      <w:r w:rsidR="00CC55F6" w:rsidRPr="00CC55F6">
        <w:rPr>
          <w:rFonts w:cstheme="minorHAnsi"/>
          <w:sz w:val="24"/>
          <w:szCs w:val="24"/>
        </w:rPr>
        <w:t xml:space="preserve">koja se nastavlja iz </w:t>
      </w:r>
      <w:r w:rsidR="00CC55F6">
        <w:rPr>
          <w:rFonts w:cstheme="minorHAnsi"/>
          <w:sz w:val="24"/>
          <w:szCs w:val="24"/>
        </w:rPr>
        <w:t>pr</w:t>
      </w:r>
      <w:r w:rsidR="00CC55F6" w:rsidRPr="00CC55F6">
        <w:rPr>
          <w:rFonts w:cstheme="minorHAnsi"/>
          <w:sz w:val="24"/>
          <w:szCs w:val="24"/>
        </w:rPr>
        <w:t xml:space="preserve">ethodne godine, pri </w:t>
      </w:r>
      <w:r w:rsidR="00CC55F6">
        <w:rPr>
          <w:rFonts w:cstheme="minorHAnsi"/>
          <w:sz w:val="24"/>
          <w:szCs w:val="24"/>
        </w:rPr>
        <w:t>čemu je objedinjena sa mjerom br. 1</w:t>
      </w:r>
      <w:r w:rsidR="00CC55F6" w:rsidRPr="00CC55F6">
        <w:rPr>
          <w:rFonts w:cstheme="minorHAnsi"/>
          <w:sz w:val="24"/>
          <w:szCs w:val="24"/>
        </w:rPr>
        <w:t>: “</w:t>
      </w:r>
      <w:r w:rsidR="00CC55F6" w:rsidRPr="00CC55F6">
        <w:rPr>
          <w:rFonts w:cstheme="minorHAnsi"/>
          <w:bCs/>
          <w:i/>
          <w:iCs/>
          <w:sz w:val="24"/>
          <w:szCs w:val="24"/>
        </w:rPr>
        <w:t>Jačanje operativnih kapaciteta Zavoda za zapošljavanje za sprovođenje usluga i mjera putem digitalizacije”</w:t>
      </w:r>
      <w:r w:rsidR="00CC55F6">
        <w:rPr>
          <w:rFonts w:cstheme="minorHAnsi"/>
          <w:bCs/>
          <w:i/>
          <w:iCs/>
          <w:sz w:val="24"/>
          <w:szCs w:val="24"/>
        </w:rPr>
        <w:t xml:space="preserve"> </w:t>
      </w:r>
      <w:r w:rsidR="00CC55F6" w:rsidRPr="00CC55F6">
        <w:rPr>
          <w:rFonts w:cstheme="minorHAnsi"/>
          <w:bCs/>
          <w:sz w:val="24"/>
          <w:szCs w:val="24"/>
        </w:rPr>
        <w:t xml:space="preserve">i </w:t>
      </w:r>
      <w:r w:rsidR="00BB6F90">
        <w:rPr>
          <w:rFonts w:cstheme="minorHAnsi"/>
          <w:bCs/>
          <w:sz w:val="24"/>
          <w:szCs w:val="24"/>
        </w:rPr>
        <w:t xml:space="preserve">djelimično sa </w:t>
      </w:r>
      <w:r w:rsidR="00CC55F6" w:rsidRPr="00CC55F6">
        <w:rPr>
          <w:rFonts w:cstheme="minorHAnsi"/>
          <w:bCs/>
          <w:sz w:val="24"/>
          <w:szCs w:val="24"/>
        </w:rPr>
        <w:t>mjerom br. 4 “</w:t>
      </w:r>
      <w:r w:rsidR="00CC55F6" w:rsidRPr="00CC55F6">
        <w:rPr>
          <w:rFonts w:cstheme="minorHAnsi"/>
          <w:i/>
          <w:iCs/>
          <w:sz w:val="24"/>
          <w:szCs w:val="24"/>
        </w:rPr>
        <w:t xml:space="preserve">Digitalizacija obrazovanja i razvoj digitalnih vještina” </w:t>
      </w:r>
      <w:r w:rsidR="00CC55F6" w:rsidRPr="00CC55F6">
        <w:rPr>
          <w:rFonts w:cstheme="minorHAnsi"/>
          <w:sz w:val="24"/>
          <w:szCs w:val="24"/>
        </w:rPr>
        <w:t>iz PER-a 2023-2025.</w:t>
      </w:r>
    </w:p>
    <w:p w14:paraId="7E69982A" w14:textId="40FAC914" w:rsidR="00BB6F90" w:rsidRPr="00670EA2" w:rsidRDefault="008301C5" w:rsidP="008D1FF7">
      <w:pPr>
        <w:jc w:val="both"/>
        <w:rPr>
          <w:rFonts w:cstheme="minorHAnsi"/>
          <w:bCs/>
          <w:sz w:val="24"/>
          <w:szCs w:val="24"/>
        </w:rPr>
      </w:pPr>
      <w:r>
        <w:rPr>
          <w:rFonts w:cstheme="minorHAnsi"/>
          <w:sz w:val="24"/>
          <w:szCs w:val="24"/>
        </w:rPr>
        <w:t>-Reformsku mjeru: “</w:t>
      </w:r>
      <w:r w:rsidRPr="008301C5">
        <w:rPr>
          <w:rFonts w:cstheme="minorHAnsi"/>
          <w:bCs/>
          <w:i/>
          <w:iCs/>
          <w:sz w:val="24"/>
          <w:szCs w:val="24"/>
        </w:rPr>
        <w:t>Razvoj integrisanog pristupa povećanju kvaliteta i inkluzivnosti obrazovanja</w:t>
      </w:r>
      <w:r>
        <w:rPr>
          <w:rFonts w:cstheme="minorHAnsi"/>
          <w:bCs/>
          <w:i/>
          <w:iCs/>
          <w:sz w:val="24"/>
          <w:szCs w:val="24"/>
        </w:rPr>
        <w:t xml:space="preserve">”, </w:t>
      </w:r>
      <w:r w:rsidRPr="008301C5">
        <w:rPr>
          <w:rFonts w:cstheme="minorHAnsi"/>
          <w:bCs/>
          <w:sz w:val="24"/>
          <w:szCs w:val="24"/>
        </w:rPr>
        <w:t xml:space="preserve">koja </w:t>
      </w:r>
      <w:r>
        <w:rPr>
          <w:rFonts w:cstheme="minorHAnsi"/>
          <w:bCs/>
          <w:sz w:val="24"/>
          <w:szCs w:val="24"/>
        </w:rPr>
        <w:t>se nastavlja iz PER-2023</w:t>
      </w:r>
      <w:r w:rsidR="00EB041D">
        <w:rPr>
          <w:rFonts w:cstheme="minorHAnsi"/>
          <w:bCs/>
          <w:sz w:val="24"/>
          <w:szCs w:val="24"/>
        </w:rPr>
        <w:t>.</w:t>
      </w:r>
    </w:p>
    <w:p w14:paraId="1086935A" w14:textId="332DC0A7" w:rsidR="002C2D6D" w:rsidRPr="009D0E01" w:rsidRDefault="002C2D6D" w:rsidP="008D1FF7">
      <w:pPr>
        <w:jc w:val="both"/>
        <w:rPr>
          <w:rFonts w:cstheme="minorHAnsi"/>
          <w:i/>
          <w:iCs/>
          <w:color w:val="002465"/>
          <w:sz w:val="24"/>
          <w:szCs w:val="24"/>
        </w:rPr>
      </w:pPr>
      <w:r w:rsidRPr="009D0E01">
        <w:rPr>
          <w:rFonts w:cstheme="minorHAnsi"/>
          <w:i/>
          <w:iCs/>
          <w:color w:val="002465"/>
          <w:sz w:val="24"/>
          <w:szCs w:val="24"/>
        </w:rPr>
        <w:t>Reformska mjera br.</w:t>
      </w:r>
      <w:r w:rsidR="00114632">
        <w:rPr>
          <w:rFonts w:cstheme="minorHAnsi"/>
          <w:i/>
          <w:iCs/>
          <w:color w:val="002465"/>
          <w:sz w:val="24"/>
          <w:szCs w:val="24"/>
        </w:rPr>
        <w:t>7</w:t>
      </w:r>
      <w:r w:rsidRPr="009D0E01">
        <w:rPr>
          <w:rFonts w:cstheme="minorHAnsi"/>
          <w:i/>
          <w:iCs/>
          <w:color w:val="002465"/>
          <w:sz w:val="24"/>
          <w:szCs w:val="24"/>
        </w:rPr>
        <w:t xml:space="preserve">: </w:t>
      </w:r>
      <w:bookmarkStart w:id="181" w:name="_Hlk150865341"/>
      <w:r w:rsidRPr="009D0E01">
        <w:rPr>
          <w:rFonts w:cstheme="minorHAnsi"/>
          <w:i/>
          <w:iCs/>
          <w:color w:val="002465"/>
          <w:sz w:val="24"/>
          <w:szCs w:val="24"/>
        </w:rPr>
        <w:t>Uvođenje programa Ga</w:t>
      </w:r>
      <w:r w:rsidR="00BB6F90" w:rsidRPr="009D0E01">
        <w:rPr>
          <w:rFonts w:cstheme="minorHAnsi"/>
          <w:i/>
          <w:iCs/>
          <w:color w:val="002465"/>
          <w:sz w:val="24"/>
          <w:szCs w:val="24"/>
        </w:rPr>
        <w:t>ran</w:t>
      </w:r>
      <w:r w:rsidRPr="009D0E01">
        <w:rPr>
          <w:rFonts w:cstheme="minorHAnsi"/>
          <w:i/>
          <w:iCs/>
          <w:color w:val="002465"/>
          <w:sz w:val="24"/>
          <w:szCs w:val="24"/>
        </w:rPr>
        <w:t>cija za mlade u Crnoj Gori</w:t>
      </w:r>
      <w:bookmarkEnd w:id="181"/>
    </w:p>
    <w:p w14:paraId="3FD187F4" w14:textId="5AF0C9DA" w:rsidR="00BB6F90" w:rsidRPr="0032480C" w:rsidRDefault="0032480C" w:rsidP="0032480C">
      <w:pPr>
        <w:jc w:val="both"/>
        <w:rPr>
          <w:rFonts w:ascii="Calibri" w:eastAsia="Calibri" w:hAnsi="Calibri" w:cs="Calibri"/>
          <w:b/>
          <w:smallCaps/>
          <w:kern w:val="0"/>
          <w:sz w:val="24"/>
          <w:szCs w:val="24"/>
          <w:lang w:val="sr-Latn-RS"/>
          <w14:ligatures w14:val="none"/>
        </w:rPr>
      </w:pPr>
      <w:r>
        <w:rPr>
          <w:rFonts w:eastAsia="Calibri" w:cstheme="minorHAnsi"/>
          <w:b/>
          <w:bCs/>
          <w:kern w:val="0"/>
          <w:sz w:val="24"/>
          <w:szCs w:val="24"/>
          <w:lang w:val="sr-Latn-RS" w:eastAsia="sr-Cyrl-CS" w:bidi="sr-Cyrl-CS"/>
          <w14:ligatures w14:val="none"/>
        </w:rPr>
        <w:t>1.</w:t>
      </w:r>
      <w:r w:rsidR="00691817" w:rsidRPr="0032480C">
        <w:rPr>
          <w:rFonts w:eastAsia="Calibri" w:cstheme="minorHAnsi"/>
          <w:b/>
          <w:bCs/>
          <w:kern w:val="0"/>
          <w:sz w:val="24"/>
          <w:szCs w:val="24"/>
          <w:lang w:val="sr-Latn-RS" w:eastAsia="sr-Cyrl-CS" w:bidi="sr-Cyrl-CS"/>
          <w14:ligatures w14:val="none"/>
        </w:rPr>
        <w:t xml:space="preserve">Opis reformske mjere. </w:t>
      </w:r>
      <w:r w:rsidR="00BB6F90" w:rsidRPr="0032480C">
        <w:rPr>
          <w:rFonts w:ascii="Calibri" w:eastAsia="Calibri" w:hAnsi="Calibri" w:cs="Calibri"/>
          <w:kern w:val="0"/>
          <w:sz w:val="24"/>
          <w:szCs w:val="24"/>
          <w:shd w:val="clear" w:color="auto" w:fill="FFFFFF"/>
          <w:lang w:val="sr-Latn-RS" w:eastAsia="sr-Cyrl-CS" w:bidi="sr-Cyrl-CS"/>
          <w14:ligatures w14:val="none"/>
        </w:rPr>
        <w:t>Cilj reformske mjere je stvaranje uslova za unapređenje položaja mladih na tržištu tada, kroz olakšani prelazak  iz obrazovanja na tržište rada, dalji razvoj obrazovanja i usavršavanja, uz sprečavanja ulaska u NEET kategoriju</w:t>
      </w:r>
      <w:r w:rsidR="00BB6F90" w:rsidRPr="0032480C">
        <w:rPr>
          <w:rFonts w:ascii="Calibri" w:eastAsia="Calibri" w:hAnsi="Calibri" w:cs="Calibri"/>
          <w:b/>
          <w:kern w:val="0"/>
          <w:sz w:val="24"/>
          <w:szCs w:val="24"/>
          <w:shd w:val="clear" w:color="auto" w:fill="FFFFFF"/>
          <w:lang w:val="sr-Latn-RS" w:eastAsia="sr-Cyrl-CS" w:bidi="sr-Cyrl-CS"/>
          <w14:ligatures w14:val="none"/>
        </w:rPr>
        <w:t xml:space="preserve">. </w:t>
      </w:r>
      <w:r w:rsidR="00A95AE0">
        <w:rPr>
          <w:rFonts w:ascii="Calibri" w:eastAsia="Calibri" w:hAnsi="Calibri" w:cs="Calibri"/>
          <w:kern w:val="0"/>
          <w:sz w:val="24"/>
          <w:szCs w:val="24"/>
          <w:shd w:val="clear" w:color="auto" w:fill="FFFFFF"/>
          <w:lang w:val="sr-Latn-RS" w:eastAsia="sr-Cyrl-CS" w:bidi="sr-Cyrl-CS"/>
          <w14:ligatures w14:val="none"/>
        </w:rPr>
        <w:t xml:space="preserve">Mjera podrazumijeva </w:t>
      </w:r>
      <w:r w:rsidR="00BB6F90" w:rsidRPr="0032480C">
        <w:rPr>
          <w:rFonts w:ascii="Calibri" w:eastAsia="Calibri" w:hAnsi="Calibri" w:cs="Calibri"/>
          <w:kern w:val="0"/>
          <w:sz w:val="24"/>
          <w:szCs w:val="24"/>
          <w:shd w:val="clear" w:color="auto" w:fill="FFFFFF"/>
          <w:lang w:val="sr-Latn-RS" w:eastAsia="sr-Cyrl-CS" w:bidi="sr-Cyrl-CS"/>
          <w14:ligatures w14:val="none"/>
        </w:rPr>
        <w:t xml:space="preserve">izmjenu zakonodavnog okvira </w:t>
      </w:r>
      <w:r w:rsidR="00A15E00">
        <w:rPr>
          <w:rFonts w:ascii="Calibri" w:eastAsia="Calibri" w:hAnsi="Calibri" w:cs="Calibri"/>
          <w:kern w:val="0"/>
          <w:sz w:val="24"/>
          <w:szCs w:val="24"/>
          <w:shd w:val="clear" w:color="auto" w:fill="FFFFFF"/>
          <w:lang w:val="sr-Latn-RS" w:eastAsia="sr-Cyrl-CS" w:bidi="sr-Cyrl-CS"/>
          <w14:ligatures w14:val="none"/>
        </w:rPr>
        <w:t>radi</w:t>
      </w:r>
      <w:r w:rsidR="00BB6F90" w:rsidRPr="0032480C">
        <w:rPr>
          <w:rFonts w:ascii="Calibri" w:eastAsia="Calibri" w:hAnsi="Calibri" w:cs="Calibri"/>
          <w:kern w:val="0"/>
          <w:sz w:val="24"/>
          <w:szCs w:val="24"/>
          <w:shd w:val="clear" w:color="auto" w:fill="FFFFFF"/>
          <w:lang w:val="sr-Latn-RS" w:eastAsia="sr-Cyrl-CS" w:bidi="sr-Cyrl-CS"/>
          <w14:ligatures w14:val="none"/>
        </w:rPr>
        <w:t xml:space="preserve">  implementacij</w:t>
      </w:r>
      <w:r w:rsidR="00A15E00">
        <w:rPr>
          <w:rFonts w:ascii="Calibri" w:eastAsia="Calibri" w:hAnsi="Calibri" w:cs="Calibri"/>
          <w:kern w:val="0"/>
          <w:sz w:val="24"/>
          <w:szCs w:val="24"/>
          <w:shd w:val="clear" w:color="auto" w:fill="FFFFFF"/>
          <w:lang w:val="sr-Latn-RS" w:eastAsia="sr-Cyrl-CS" w:bidi="sr-Cyrl-CS"/>
          <w14:ligatures w14:val="none"/>
        </w:rPr>
        <w:t>e</w:t>
      </w:r>
      <w:r w:rsidR="00BB6F90" w:rsidRPr="0032480C">
        <w:rPr>
          <w:rFonts w:ascii="Calibri" w:eastAsia="Calibri" w:hAnsi="Calibri" w:cs="Calibri"/>
          <w:kern w:val="0"/>
          <w:sz w:val="24"/>
          <w:szCs w:val="24"/>
          <w:shd w:val="clear" w:color="auto" w:fill="FFFFFF"/>
          <w:lang w:val="sr-Latn-RS" w:eastAsia="sr-Cyrl-CS" w:bidi="sr-Cyrl-CS"/>
          <w14:ligatures w14:val="none"/>
        </w:rPr>
        <w:t xml:space="preserve"> programa „Garancije za mlade“. Istovremeno mjera podržava nastavak aktivnosti na unapređenju administrativnih, operativnih i organizacionih kapaciteta Zavoda za zapošljavanje, kako bi se unaprijedilo pružanje usluga i mjera korisnicima, sa posebnim fokusom na aktivnosti koje treba preduzeti za sprovođenje pilot faze pro</w:t>
      </w:r>
      <w:r w:rsidR="00A15E00">
        <w:rPr>
          <w:rFonts w:ascii="Calibri" w:eastAsia="Calibri" w:hAnsi="Calibri" w:cs="Calibri"/>
          <w:kern w:val="0"/>
          <w:sz w:val="24"/>
          <w:szCs w:val="24"/>
          <w:shd w:val="clear" w:color="auto" w:fill="FFFFFF"/>
          <w:lang w:val="sr-Latn-RS" w:eastAsia="sr-Cyrl-CS" w:bidi="sr-Cyrl-CS"/>
          <w14:ligatures w14:val="none"/>
        </w:rPr>
        <w:t>gr</w:t>
      </w:r>
      <w:r w:rsidR="00BB6F90" w:rsidRPr="0032480C">
        <w:rPr>
          <w:rFonts w:ascii="Calibri" w:eastAsia="Calibri" w:hAnsi="Calibri" w:cs="Calibri"/>
          <w:kern w:val="0"/>
          <w:sz w:val="24"/>
          <w:szCs w:val="24"/>
          <w:shd w:val="clear" w:color="auto" w:fill="FFFFFF"/>
          <w:lang w:val="sr-Latn-RS" w:eastAsia="sr-Cyrl-CS" w:bidi="sr-Cyrl-CS"/>
          <w14:ligatures w14:val="none"/>
        </w:rPr>
        <w:t>ama „Garancije za mlade.“ Dodatno mjera je odgovor na izazove u stručnom obrazovanju koji se odnose na usaglašavanje obrazovne ponude sa potrebama tržišta rada</w:t>
      </w:r>
      <w:r w:rsidR="00BB6F90" w:rsidRPr="0032480C">
        <w:rPr>
          <w:rFonts w:ascii="Calibri" w:eastAsia="Calibri" w:hAnsi="Calibri" w:cs="Times New Roman"/>
          <w:kern w:val="0"/>
          <w:sz w:val="24"/>
          <w:szCs w:val="24"/>
          <w:lang w:val="sr-Latn-ME" w:eastAsia="sr-Cyrl-CS" w:bidi="sr-Cyrl-CS"/>
          <w14:ligatures w14:val="none"/>
        </w:rPr>
        <w:t xml:space="preserve">. Ovo </w:t>
      </w:r>
      <w:r w:rsidR="00BB6F90" w:rsidRPr="0032480C">
        <w:rPr>
          <w:rFonts w:ascii="Calibri" w:eastAsia="Calibri" w:hAnsi="Calibri" w:cs="Calibri"/>
          <w:kern w:val="0"/>
          <w:sz w:val="24"/>
          <w:szCs w:val="24"/>
          <w:shd w:val="clear" w:color="auto" w:fill="FFFFFF"/>
          <w:lang w:val="sr-Latn-RS" w:eastAsia="sr-Cyrl-CS" w:bidi="sr-Cyrl-CS"/>
          <w14:ligatures w14:val="none"/>
        </w:rPr>
        <w:t>prije jer je u eri  digitalne transformacije i zelen</w:t>
      </w:r>
      <w:r w:rsidR="00E9370A">
        <w:rPr>
          <w:rFonts w:ascii="Calibri" w:eastAsia="Calibri" w:hAnsi="Calibri" w:cs="Calibri"/>
          <w:kern w:val="0"/>
          <w:sz w:val="24"/>
          <w:szCs w:val="24"/>
          <w:shd w:val="clear" w:color="auto" w:fill="FFFFFF"/>
          <w:lang w:val="sr-Latn-RS" w:eastAsia="sr-Cyrl-CS" w:bidi="sr-Cyrl-CS"/>
          <w14:ligatures w14:val="none"/>
        </w:rPr>
        <w:t>e</w:t>
      </w:r>
      <w:r w:rsidR="00BB6F90" w:rsidRPr="0032480C">
        <w:rPr>
          <w:rFonts w:ascii="Calibri" w:eastAsia="Calibri" w:hAnsi="Calibri" w:cs="Calibri"/>
          <w:kern w:val="0"/>
          <w:sz w:val="24"/>
          <w:szCs w:val="24"/>
          <w:shd w:val="clear" w:color="auto" w:fill="FFFFFF"/>
          <w:lang w:val="sr-Latn-RS" w:eastAsia="sr-Cyrl-CS" w:bidi="sr-Cyrl-CS"/>
          <w14:ligatures w14:val="none"/>
        </w:rPr>
        <w:t xml:space="preserve"> tranzicij</w:t>
      </w:r>
      <w:r w:rsidR="00E9370A">
        <w:rPr>
          <w:rFonts w:ascii="Calibri" w:eastAsia="Calibri" w:hAnsi="Calibri" w:cs="Calibri"/>
          <w:kern w:val="0"/>
          <w:sz w:val="24"/>
          <w:szCs w:val="24"/>
          <w:shd w:val="clear" w:color="auto" w:fill="FFFFFF"/>
          <w:lang w:val="sr-Latn-RS" w:eastAsia="sr-Cyrl-CS" w:bidi="sr-Cyrl-CS"/>
          <w14:ligatures w14:val="none"/>
        </w:rPr>
        <w:t>e</w:t>
      </w:r>
      <w:r w:rsidR="00BB6F90" w:rsidRPr="0032480C">
        <w:rPr>
          <w:rFonts w:ascii="Calibri" w:eastAsia="Calibri" w:hAnsi="Calibri" w:cs="Calibri"/>
          <w:kern w:val="0"/>
          <w:sz w:val="24"/>
          <w:szCs w:val="24"/>
          <w:shd w:val="clear" w:color="auto" w:fill="FFFFFF"/>
          <w:lang w:val="sr-Latn-RS" w:eastAsia="sr-Cyrl-CS" w:bidi="sr-Cyrl-CS"/>
          <w14:ligatures w14:val="none"/>
        </w:rPr>
        <w:t>, obezbijediti kvalitet praktičnog obrazovanja kako bi se svršeni srednjoškolci lakše i brže uključili na tržište rada</w:t>
      </w:r>
      <w:r w:rsidR="00E9370A">
        <w:rPr>
          <w:rFonts w:ascii="Calibri" w:eastAsia="Calibri" w:hAnsi="Calibri" w:cs="Calibri"/>
          <w:kern w:val="0"/>
          <w:sz w:val="24"/>
          <w:szCs w:val="24"/>
          <w:shd w:val="clear" w:color="auto" w:fill="FFFFFF"/>
          <w:lang w:val="sr-Latn-RS" w:eastAsia="sr-Cyrl-CS" w:bidi="sr-Cyrl-CS"/>
          <w14:ligatures w14:val="none"/>
        </w:rPr>
        <w:t>.</w:t>
      </w:r>
      <w:r w:rsidR="00A95AE0">
        <w:rPr>
          <w:rFonts w:ascii="Calibri" w:eastAsia="Calibri" w:hAnsi="Calibri" w:cs="Calibri"/>
          <w:kern w:val="0"/>
          <w:sz w:val="24"/>
          <w:szCs w:val="24"/>
          <w:shd w:val="clear" w:color="auto" w:fill="FFFFFF"/>
          <w:lang w:val="sr-Latn-RS" w:eastAsia="sr-Cyrl-CS" w:bidi="sr-Cyrl-CS"/>
          <w14:ligatures w14:val="none"/>
        </w:rPr>
        <w:t xml:space="preserve"> Takođ</w:t>
      </w:r>
      <w:r w:rsidR="00E9370A">
        <w:rPr>
          <w:rFonts w:ascii="Calibri" w:eastAsia="Calibri" w:hAnsi="Calibri" w:cs="Calibri"/>
          <w:kern w:val="0"/>
          <w:sz w:val="24"/>
          <w:szCs w:val="24"/>
          <w:shd w:val="clear" w:color="auto" w:fill="FFFFFF"/>
          <w:lang w:val="sr-Latn-RS" w:eastAsia="sr-Cyrl-CS" w:bidi="sr-Cyrl-CS"/>
          <w14:ligatures w14:val="none"/>
        </w:rPr>
        <w:t xml:space="preserve">e i </w:t>
      </w:r>
      <w:r w:rsidR="00BB6F90" w:rsidRPr="0032480C">
        <w:rPr>
          <w:rFonts w:ascii="Calibri" w:eastAsia="Calibri" w:hAnsi="Calibri" w:cs="Calibri"/>
          <w:kern w:val="0"/>
          <w:sz w:val="24"/>
          <w:szCs w:val="24"/>
          <w:shd w:val="clear" w:color="auto" w:fill="FFFFFF"/>
          <w:lang w:val="sr-Latn-RS" w:eastAsia="sr-Cyrl-CS" w:bidi="sr-Cyrl-CS"/>
          <w14:ligatures w14:val="none"/>
        </w:rPr>
        <w:t xml:space="preserve">promovisati upis u programe </w:t>
      </w:r>
      <w:r w:rsidR="00BB6F90" w:rsidRPr="0032480C">
        <w:rPr>
          <w:rFonts w:ascii="Calibri" w:eastAsia="Calibri" w:hAnsi="Calibri" w:cs="Calibri"/>
          <w:kern w:val="0"/>
          <w:sz w:val="24"/>
          <w:szCs w:val="24"/>
          <w:shd w:val="clear" w:color="auto" w:fill="FFFFFF"/>
          <w:lang w:val="sr-Latn-RS" w:eastAsia="sr-Cyrl-CS" w:bidi="sr-Cyrl-CS"/>
          <w14:ligatures w14:val="none"/>
        </w:rPr>
        <w:lastRenderedPageBreak/>
        <w:t>za sticanje kvalifikacija koje nedostaju tržištu rada i unaprijediti kompetencije kadra koji organizuje i realizuje nastavu u stručnim školama, uključujući i učenje kroz rad. Istovr</w:t>
      </w:r>
      <w:r w:rsidR="00622171">
        <w:rPr>
          <w:rFonts w:ascii="Calibri" w:eastAsia="Calibri" w:hAnsi="Calibri" w:cs="Calibri"/>
          <w:kern w:val="0"/>
          <w:sz w:val="24"/>
          <w:szCs w:val="24"/>
          <w:shd w:val="clear" w:color="auto" w:fill="FFFFFF"/>
          <w:lang w:val="sr-Latn-RS" w:eastAsia="sr-Cyrl-CS" w:bidi="sr-Cyrl-CS"/>
          <w14:ligatures w14:val="none"/>
        </w:rPr>
        <w:t>e</w:t>
      </w:r>
      <w:r w:rsidR="00BB6F90" w:rsidRPr="0032480C">
        <w:rPr>
          <w:rFonts w:ascii="Calibri" w:eastAsia="Calibri" w:hAnsi="Calibri" w:cs="Calibri"/>
          <w:kern w:val="0"/>
          <w:sz w:val="24"/>
          <w:szCs w:val="24"/>
          <w:shd w:val="clear" w:color="auto" w:fill="FFFFFF"/>
          <w:lang w:val="sr-Latn-RS" w:eastAsia="sr-Cyrl-CS" w:bidi="sr-Cyrl-CS"/>
          <w14:ligatures w14:val="none"/>
        </w:rPr>
        <w:t xml:space="preserve">meno podržava se dalje </w:t>
      </w:r>
      <w:r w:rsidR="00BB6F90" w:rsidRPr="0032480C">
        <w:rPr>
          <w:rFonts w:ascii="Calibri" w:eastAsia="Calibri" w:hAnsi="Calibri" w:cs="Times New Roman"/>
          <w:kern w:val="0"/>
          <w:sz w:val="24"/>
          <w:szCs w:val="24"/>
          <w:lang w:val="sr-Latn-ME" w:eastAsia="sr-Cyrl-CS" w:bidi="sr-Cyrl-CS"/>
          <w14:ligatures w14:val="none"/>
        </w:rPr>
        <w:t>unapređenje informacionog sistema obrazovanja, razvoj kvalifikacija koje nedostaju tržištu rada</w:t>
      </w:r>
      <w:r w:rsidR="00A95AE0">
        <w:rPr>
          <w:rFonts w:ascii="Calibri" w:eastAsia="Calibri" w:hAnsi="Calibri" w:cs="Times New Roman"/>
          <w:kern w:val="0"/>
          <w:sz w:val="24"/>
          <w:szCs w:val="24"/>
          <w:lang w:val="sr-Latn-ME" w:eastAsia="sr-Cyrl-CS" w:bidi="sr-Cyrl-CS"/>
          <w14:ligatures w14:val="none"/>
        </w:rPr>
        <w:t>,</w:t>
      </w:r>
      <w:r w:rsidR="00BB6F90" w:rsidRPr="0032480C">
        <w:rPr>
          <w:rFonts w:ascii="Calibri" w:eastAsia="Calibri" w:hAnsi="Calibri" w:cs="Times New Roman"/>
          <w:kern w:val="0"/>
          <w:sz w:val="24"/>
          <w:szCs w:val="24"/>
          <w:lang w:val="sr-Latn-ME" w:eastAsia="sr-Cyrl-CS" w:bidi="sr-Cyrl-CS"/>
          <w14:ligatures w14:val="none"/>
        </w:rPr>
        <w:t xml:space="preserve"> a koje uključuju digitalne tehnologije i „zelene“ kvalifikacije za zelene poslove, jačanje kompetencija nastavnika teorijske i praktične nastave kako bi mogli odgovoriti na zahtjeve savremene nastave, organizatora i instruktora praktičnog obrazovanja, jačanje usluga karijernog vođenja i savjetovanja  prije svega u osnovnim školama.</w:t>
      </w:r>
    </w:p>
    <w:p w14:paraId="645982AA" w14:textId="77C50C84" w:rsidR="00BB6F90" w:rsidRPr="00BB6F90" w:rsidRDefault="00BB6F90" w:rsidP="00BB6F90">
      <w:pPr>
        <w:widowControl w:val="0"/>
        <w:spacing w:after="0" w:line="240" w:lineRule="auto"/>
        <w:jc w:val="both"/>
        <w:rPr>
          <w:rFonts w:ascii="Calibri" w:eastAsia="Calibri" w:hAnsi="Calibri" w:cs="Calibri"/>
          <w:kern w:val="0"/>
          <w:sz w:val="24"/>
          <w:szCs w:val="24"/>
          <w:lang w:val="sr-Latn-ME" w:eastAsia="sr-Cyrl-CS" w:bidi="sr-Cyrl-CS"/>
          <w14:ligatures w14:val="none"/>
        </w:rPr>
      </w:pPr>
      <w:bookmarkStart w:id="182" w:name="_Hlk151189360"/>
      <w:r w:rsidRPr="00BB6F90">
        <w:rPr>
          <w:rFonts w:ascii="Calibri" w:eastAsia="Calibri" w:hAnsi="Calibri" w:cs="Calibri"/>
          <w:kern w:val="0"/>
          <w:sz w:val="24"/>
          <w:szCs w:val="24"/>
          <w:shd w:val="clear" w:color="auto" w:fill="FFFFFF"/>
          <w:lang w:val="sr-Latn-RS" w:eastAsia="sr-Cyrl-CS" w:bidi="sr-Cyrl-CS"/>
          <w14:ligatures w14:val="none"/>
        </w:rPr>
        <w:t xml:space="preserve">Mjera je u skladu sa preporukom </w:t>
      </w:r>
      <w:r w:rsidR="00E9370A">
        <w:rPr>
          <w:rFonts w:ascii="Calibri" w:eastAsia="Calibri" w:hAnsi="Calibri" w:cs="Calibri"/>
          <w:kern w:val="0"/>
          <w:sz w:val="24"/>
          <w:szCs w:val="24"/>
          <w:shd w:val="clear" w:color="auto" w:fill="FFFFFF"/>
          <w:lang w:val="sr-Latn-RS" w:eastAsia="sr-Cyrl-CS" w:bidi="sr-Cyrl-CS"/>
          <w14:ligatures w14:val="none"/>
        </w:rPr>
        <w:t>br. 6</w:t>
      </w:r>
      <w:r w:rsidRPr="00BB6F90">
        <w:rPr>
          <w:rFonts w:ascii="Calibri" w:eastAsia="Calibri" w:hAnsi="Calibri" w:cs="Calibri"/>
          <w:kern w:val="0"/>
          <w:sz w:val="24"/>
          <w:szCs w:val="24"/>
          <w:shd w:val="clear" w:color="auto" w:fill="FFFFFF"/>
          <w:lang w:val="sr-Latn-RS" w:eastAsia="sr-Cyrl-CS" w:bidi="sr-Cyrl-CS"/>
          <w14:ligatures w14:val="none"/>
        </w:rPr>
        <w:t xml:space="preserve"> zajedničkog sastanka ministarskog dijaloga, održanog  u maju 2023. godine</w:t>
      </w:r>
      <w:bookmarkEnd w:id="182"/>
      <w:r w:rsidR="00E9370A">
        <w:rPr>
          <w:rFonts w:ascii="Calibri" w:eastAsia="Calibri" w:hAnsi="Calibri" w:cs="Calibri"/>
          <w:kern w:val="0"/>
          <w:sz w:val="24"/>
          <w:szCs w:val="24"/>
          <w:shd w:val="clear" w:color="auto" w:fill="FFFFFF"/>
          <w:lang w:val="sr-Latn-RS" w:eastAsia="sr-Cyrl-CS" w:bidi="sr-Cyrl-CS"/>
          <w14:ligatures w14:val="none"/>
        </w:rPr>
        <w:t>.</w:t>
      </w:r>
      <w:r w:rsidR="00A95AE0">
        <w:rPr>
          <w:rFonts w:ascii="Calibri" w:eastAsia="Calibri" w:hAnsi="Calibri" w:cs="Calibri"/>
          <w:kern w:val="0"/>
          <w:sz w:val="24"/>
          <w:szCs w:val="24"/>
          <w:shd w:val="clear" w:color="auto" w:fill="FFFFFF"/>
          <w:lang w:val="sr-Latn-RS" w:eastAsia="sr-Cyrl-CS" w:bidi="sr-Cyrl-CS"/>
          <w14:ligatures w14:val="none"/>
        </w:rPr>
        <w:t xml:space="preserve"> </w:t>
      </w:r>
      <w:r w:rsidRPr="00BB6F90">
        <w:rPr>
          <w:rFonts w:ascii="Calibri" w:eastAsia="Calibri" w:hAnsi="Calibri" w:cs="Calibri"/>
          <w:kern w:val="0"/>
          <w:sz w:val="24"/>
          <w:szCs w:val="24"/>
          <w:shd w:val="clear" w:color="auto" w:fill="FFFFFF"/>
          <w:lang w:val="sr-Latn-ME" w:eastAsia="sr-Cyrl-CS" w:bidi="sr-Cyrl-CS"/>
          <w14:ligatures w14:val="none"/>
        </w:rPr>
        <w:t>Direktno treba da doprinese o</w:t>
      </w:r>
      <w:r w:rsidR="00A95AE0">
        <w:rPr>
          <w:rFonts w:ascii="Calibri" w:eastAsia="Calibri" w:hAnsi="Calibri" w:cs="Calibri"/>
          <w:kern w:val="0"/>
          <w:sz w:val="24"/>
          <w:szCs w:val="24"/>
          <w:shd w:val="clear" w:color="auto" w:fill="FFFFFF"/>
          <w:lang w:val="sr-Latn-ME" w:eastAsia="sr-Cyrl-CS" w:bidi="sr-Cyrl-CS"/>
          <w14:ligatures w14:val="none"/>
        </w:rPr>
        <w:t>stvarivanju SDG ciljeva1, 4 i 8</w:t>
      </w:r>
      <w:r w:rsidRPr="00BB6F90">
        <w:rPr>
          <w:rFonts w:ascii="Calibri" w:eastAsia="Calibri" w:hAnsi="Calibri" w:cs="Calibri"/>
          <w:kern w:val="0"/>
          <w:sz w:val="24"/>
          <w:szCs w:val="24"/>
          <w:shd w:val="clear" w:color="auto" w:fill="FFFFFF"/>
          <w:lang w:val="sr-Latn-ME" w:eastAsia="sr-Cyrl-CS" w:bidi="sr-Cyrl-CS"/>
          <w14:ligatures w14:val="none"/>
        </w:rPr>
        <w:t>, a kroz implementaciju i približavanju ciljevima D</w:t>
      </w:r>
      <w:r w:rsidR="00E9370A">
        <w:rPr>
          <w:rFonts w:ascii="Calibri" w:eastAsia="Calibri" w:hAnsi="Calibri" w:cs="Calibri"/>
          <w:kern w:val="0"/>
          <w:sz w:val="24"/>
          <w:szCs w:val="24"/>
          <w:shd w:val="clear" w:color="auto" w:fill="FFFFFF"/>
          <w:lang w:val="sr-Latn-ME" w:eastAsia="sr-Cyrl-CS" w:bidi="sr-Cyrl-CS"/>
          <w14:ligatures w14:val="none"/>
        </w:rPr>
        <w:t>i</w:t>
      </w:r>
      <w:r w:rsidRPr="00BB6F90">
        <w:rPr>
          <w:rFonts w:ascii="Calibri" w:eastAsia="Calibri" w:hAnsi="Calibri" w:cs="Calibri"/>
          <w:kern w:val="0"/>
          <w:sz w:val="24"/>
          <w:szCs w:val="24"/>
          <w:shd w:val="clear" w:color="auto" w:fill="FFFFFF"/>
          <w:lang w:val="sr-Latn-ME" w:eastAsia="sr-Cyrl-CS" w:bidi="sr-Cyrl-CS"/>
          <w14:ligatures w14:val="none"/>
        </w:rPr>
        <w:t>gitane i Zelene agende. Uvođenje programa Garancije za mlade je identifikovano i Nacionalnom strategijom zapošljavanja 2021-2025, kao jednim od instrumenata za smanjenje visoke nezaposlenosti mladih.</w:t>
      </w:r>
      <w:r w:rsidRPr="00BB6F90">
        <w:rPr>
          <w:rFonts w:ascii="Calibri" w:eastAsia="Calibri" w:hAnsi="Calibri" w:cs="Calibri"/>
          <w:kern w:val="0"/>
          <w:sz w:val="24"/>
          <w:szCs w:val="24"/>
          <w:shd w:val="clear" w:color="auto" w:fill="FFFFFF"/>
          <w:lang w:val="sr-Latn-RS" w:eastAsia="sr-Cyrl-CS" w:bidi="sr-Cyrl-CS"/>
          <w14:ligatures w14:val="none"/>
        </w:rPr>
        <w:t xml:space="preserve"> </w:t>
      </w:r>
      <w:r w:rsidRPr="00BB6F90">
        <w:rPr>
          <w:rFonts w:ascii="Calibri" w:eastAsia="Calibri" w:hAnsi="Calibri" w:cs="Calibri"/>
          <w:kern w:val="0"/>
          <w:sz w:val="24"/>
          <w:szCs w:val="24"/>
          <w:shd w:val="clear" w:color="auto" w:fill="FFFFFF"/>
          <w:lang w:val="sr-Latn-ME" w:eastAsia="sr-Cyrl-CS" w:bidi="sr-Cyrl-CS"/>
          <w14:ligatures w14:val="none"/>
        </w:rPr>
        <w:t xml:space="preserve">Predložena mjera predstavlja sublimaciju mjera 1,2 i 4 iz PER-a </w:t>
      </w:r>
      <w:r w:rsidR="00E9370A">
        <w:rPr>
          <w:rFonts w:ascii="Calibri" w:eastAsia="Calibri" w:hAnsi="Calibri" w:cs="Calibri"/>
          <w:kern w:val="0"/>
          <w:sz w:val="24"/>
          <w:szCs w:val="24"/>
          <w:shd w:val="clear" w:color="auto" w:fill="FFFFFF"/>
          <w:lang w:val="sr-Latn-ME" w:eastAsia="sr-Cyrl-CS" w:bidi="sr-Cyrl-CS"/>
          <w14:ligatures w14:val="none"/>
        </w:rPr>
        <w:t>2023</w:t>
      </w:r>
      <w:r w:rsidRPr="00BB6F90">
        <w:rPr>
          <w:rFonts w:ascii="Calibri" w:eastAsia="Calibri" w:hAnsi="Calibri" w:cs="Calibri"/>
          <w:kern w:val="0"/>
          <w:sz w:val="24"/>
          <w:szCs w:val="24"/>
          <w:shd w:val="clear" w:color="auto" w:fill="FFFFFF"/>
          <w:lang w:val="sr-Latn-ME" w:eastAsia="sr-Cyrl-CS" w:bidi="sr-Cyrl-CS"/>
          <w14:ligatures w14:val="none"/>
        </w:rPr>
        <w:t>, kako bi se dodatno ojačale aktivnosti ka rješavanju izazova na tržištu rada, sa posebnim akcentom na mlade i NEET kategoriju kroz uvođenje Programa „Garancije za mlade“. Naveden</w:t>
      </w:r>
      <w:r w:rsidR="00F21455">
        <w:rPr>
          <w:rFonts w:ascii="Calibri" w:eastAsia="Calibri" w:hAnsi="Calibri" w:cs="Calibri"/>
          <w:kern w:val="0"/>
          <w:sz w:val="24"/>
          <w:szCs w:val="24"/>
          <w:shd w:val="clear" w:color="auto" w:fill="FFFFFF"/>
          <w:lang w:val="sr-Latn-ME" w:eastAsia="sr-Cyrl-CS" w:bidi="sr-Cyrl-CS"/>
          <w14:ligatures w14:val="none"/>
        </w:rPr>
        <w:t>e</w:t>
      </w:r>
      <w:r w:rsidRPr="00BB6F90">
        <w:rPr>
          <w:rFonts w:ascii="Calibri" w:eastAsia="Calibri" w:hAnsi="Calibri" w:cs="Calibri"/>
          <w:kern w:val="0"/>
          <w:sz w:val="24"/>
          <w:szCs w:val="24"/>
          <w:shd w:val="clear" w:color="auto" w:fill="FFFFFF"/>
          <w:lang w:val="sr-Latn-ME" w:eastAsia="sr-Cyrl-CS" w:bidi="sr-Cyrl-CS"/>
          <w14:ligatures w14:val="none"/>
        </w:rPr>
        <w:t xml:space="preserve"> mjere br. 1 i 2 iz PER-a 2023</w:t>
      </w:r>
      <w:r w:rsidR="00E9370A">
        <w:rPr>
          <w:rFonts w:ascii="Calibri" w:eastAsia="Calibri" w:hAnsi="Calibri" w:cs="Calibri"/>
          <w:kern w:val="0"/>
          <w:sz w:val="24"/>
          <w:szCs w:val="24"/>
          <w:shd w:val="clear" w:color="auto" w:fill="FFFFFF"/>
          <w:lang w:val="sr-Latn-ME" w:eastAsia="sr-Cyrl-CS" w:bidi="sr-Cyrl-CS"/>
          <w14:ligatures w14:val="none"/>
        </w:rPr>
        <w:t>.</w:t>
      </w:r>
      <w:r w:rsidRPr="00BB6F90">
        <w:rPr>
          <w:rFonts w:ascii="Calibri" w:eastAsia="Calibri" w:hAnsi="Calibri" w:cs="Calibri"/>
          <w:kern w:val="0"/>
          <w:sz w:val="24"/>
          <w:szCs w:val="24"/>
          <w:shd w:val="clear" w:color="auto" w:fill="FFFFFF"/>
          <w:lang w:val="sr-Latn-ME" w:eastAsia="sr-Cyrl-CS" w:bidi="sr-Cyrl-CS"/>
          <w14:ligatures w14:val="none"/>
        </w:rPr>
        <w:t xml:space="preserve"> </w:t>
      </w:r>
      <w:r w:rsidRPr="00BB6F90">
        <w:rPr>
          <w:rFonts w:ascii="Calibri" w:eastAsia="Calibri" w:hAnsi="Calibri" w:cs="Calibri"/>
          <w:kern w:val="0"/>
          <w:sz w:val="24"/>
          <w:szCs w:val="24"/>
          <w:shd w:val="clear" w:color="auto" w:fill="FFFFFF"/>
          <w:lang w:val="sr-Latn-RS" w:eastAsia="sr-Cyrl-CS" w:bidi="sr-Cyrl-CS"/>
          <w14:ligatures w14:val="none"/>
        </w:rPr>
        <w:t>se odnose na pripremu Zavoda za zapošljavanje za implementaciju aktivnosti predviđene u okviru Programa „Garancija za mlade“, i njihova trenutna realizacija uključuje obezbjeđenje nove IT opreme i njeno stavljanje u funkciju.</w:t>
      </w:r>
      <w:r w:rsidR="00A95AE0">
        <w:rPr>
          <w:rFonts w:ascii="Calibri" w:eastAsia="Calibri" w:hAnsi="Calibri" w:cs="Calibri"/>
          <w:kern w:val="0"/>
          <w:sz w:val="24"/>
          <w:szCs w:val="24"/>
          <w:shd w:val="clear" w:color="auto" w:fill="FFFFFF"/>
          <w:lang w:val="sr-Latn-RS" w:eastAsia="sr-Cyrl-CS" w:bidi="sr-Cyrl-CS"/>
          <w14:ligatures w14:val="none"/>
        </w:rPr>
        <w:t xml:space="preserve"> </w:t>
      </w:r>
      <w:r w:rsidRPr="00BB6F90">
        <w:rPr>
          <w:rFonts w:ascii="Calibri" w:eastAsia="Calibri" w:hAnsi="Calibri" w:cs="Calibri"/>
          <w:kern w:val="0"/>
          <w:sz w:val="24"/>
          <w:szCs w:val="24"/>
          <w:shd w:val="clear" w:color="auto" w:fill="FFFFFF"/>
          <w:lang w:val="sr-Latn-RS" w:eastAsia="sr-Cyrl-CS" w:bidi="sr-Cyrl-CS"/>
          <w14:ligatures w14:val="none"/>
        </w:rPr>
        <w:t xml:space="preserve">Takođe i </w:t>
      </w:r>
      <w:r w:rsidRPr="00BB6F90">
        <w:rPr>
          <w:rFonts w:ascii="Calibri" w:eastAsia="Calibri" w:hAnsi="Calibri" w:cs="Calibri"/>
          <w:kern w:val="0"/>
          <w:sz w:val="24"/>
          <w:szCs w:val="24"/>
          <w:lang w:val="sr-Latn-RS" w:eastAsia="sr-Cyrl-CS" w:bidi="sr-Cyrl-CS"/>
          <w14:ligatures w14:val="none"/>
        </w:rPr>
        <w:t>pripremne aktivnosti za stvaranje uslova za implementaciju novih aktivnih mjera za zapošljavanje, koje će ujedno podržati i implementaciju aktivnosti iz „Garancije za mlade“. U t</w:t>
      </w:r>
      <w:r w:rsidR="00A95AE0">
        <w:rPr>
          <w:rFonts w:ascii="Calibri" w:eastAsia="Calibri" w:hAnsi="Calibri" w:cs="Calibri"/>
          <w:kern w:val="0"/>
          <w:sz w:val="24"/>
          <w:szCs w:val="24"/>
          <w:lang w:val="sr-Latn-RS" w:eastAsia="sr-Cyrl-CS" w:bidi="sr-Cyrl-CS"/>
          <w14:ligatures w14:val="none"/>
        </w:rPr>
        <w:t xml:space="preserve">om kontekstu Radna grupa je uz </w:t>
      </w:r>
      <w:r w:rsidRPr="00BB6F90">
        <w:rPr>
          <w:rFonts w:ascii="Calibri" w:eastAsia="Calibri" w:hAnsi="Calibri" w:cs="Calibri"/>
          <w:kern w:val="0"/>
          <w:sz w:val="24"/>
          <w:szCs w:val="24"/>
          <w:lang w:val="sr-Latn-RS" w:eastAsia="sr-Cyrl-CS" w:bidi="sr-Cyrl-CS"/>
          <w14:ligatures w14:val="none"/>
        </w:rPr>
        <w:t xml:space="preserve">podršku EK i MOR-a pripremila Nacrt Plana implementacije </w:t>
      </w:r>
      <w:r w:rsidR="00A95AE0">
        <w:rPr>
          <w:rFonts w:ascii="Calibri" w:eastAsia="Calibri" w:hAnsi="Calibri" w:cs="Calibri"/>
          <w:kern w:val="0"/>
          <w:sz w:val="24"/>
          <w:szCs w:val="24"/>
          <w:lang w:val="sr-Latn-RS" w:eastAsia="sr-Cyrl-CS" w:bidi="sr-Cyrl-CS"/>
          <w14:ligatures w14:val="none"/>
        </w:rPr>
        <w:t xml:space="preserve">„Garancije za mlade“ (2023-2026) i </w:t>
      </w:r>
      <w:r w:rsidRPr="00BB6F90">
        <w:rPr>
          <w:rFonts w:ascii="Calibri" w:eastAsia="Calibri" w:hAnsi="Calibri" w:cs="Calibri"/>
          <w:kern w:val="0"/>
          <w:sz w:val="24"/>
          <w:szCs w:val="24"/>
          <w:lang w:val="sr-Latn-RS" w:eastAsia="sr-Cyrl-CS" w:bidi="sr-Cyrl-CS"/>
          <w14:ligatures w14:val="none"/>
        </w:rPr>
        <w:t>uputila ga EK na mišljenje. Mjera doprinosi ispunjenju preporuka iz Poglavlja 2 i 19.</w:t>
      </w:r>
    </w:p>
    <w:p w14:paraId="59459CA8" w14:textId="77777777" w:rsidR="00E9370A" w:rsidRDefault="00E9370A" w:rsidP="00B56D87">
      <w:pPr>
        <w:jc w:val="both"/>
        <w:rPr>
          <w:rFonts w:ascii="Calibri" w:eastAsia="Calibri" w:hAnsi="Calibri" w:cs="Calibri"/>
          <w:kern w:val="0"/>
          <w:sz w:val="24"/>
          <w:szCs w:val="24"/>
          <w:lang w:val="sr-Latn-ME" w:eastAsia="sr-Cyrl-CS" w:bidi="sr-Cyrl-CS"/>
          <w14:ligatures w14:val="none"/>
        </w:rPr>
      </w:pPr>
    </w:p>
    <w:p w14:paraId="6BF5C239" w14:textId="333A290D" w:rsidR="00691817" w:rsidRDefault="00691817" w:rsidP="00B56D87">
      <w:pPr>
        <w:jc w:val="both"/>
        <w:rPr>
          <w:rFonts w:eastAsia="Calibri" w:cstheme="minorHAnsi"/>
          <w:b/>
          <w:bCs/>
          <w:kern w:val="0"/>
          <w:sz w:val="24"/>
          <w:szCs w:val="24"/>
          <w:lang w:val="sr-Latn-RS" w:eastAsia="sr-Cyrl-CS" w:bidi="sr-Cyrl-CS"/>
          <w14:ligatures w14:val="none"/>
        </w:rPr>
      </w:pPr>
      <w:r w:rsidRPr="008D0B88">
        <w:rPr>
          <w:rFonts w:eastAsia="Calibri" w:cstheme="minorHAnsi"/>
          <w:b/>
          <w:bCs/>
          <w:kern w:val="0"/>
          <w:sz w:val="24"/>
          <w:szCs w:val="24"/>
          <w:lang w:val="sr-Latn-RS" w:eastAsia="sr-Cyrl-CS" w:bidi="sr-Cyrl-CS"/>
          <w14:ligatures w14:val="none"/>
        </w:rPr>
        <w:t>Aktivnosti planirane za 2024</w:t>
      </w:r>
      <w:r w:rsidR="0032480C">
        <w:rPr>
          <w:rFonts w:eastAsia="Calibri" w:cstheme="minorHAnsi"/>
          <w:b/>
          <w:bCs/>
          <w:kern w:val="0"/>
          <w:sz w:val="24"/>
          <w:szCs w:val="24"/>
          <w:lang w:val="sr-Latn-RS" w:eastAsia="sr-Cyrl-CS" w:bidi="sr-Cyrl-CS"/>
          <w14:ligatures w14:val="none"/>
        </w:rPr>
        <w:t>.</w:t>
      </w:r>
    </w:p>
    <w:p w14:paraId="47EB6C69" w14:textId="185B4E9B" w:rsidR="00432A04" w:rsidRPr="00432A04" w:rsidRDefault="0032480C" w:rsidP="00FD3827">
      <w:pPr>
        <w:pStyle w:val="ListParagraph"/>
        <w:widowControl w:val="0"/>
        <w:numPr>
          <w:ilvl w:val="0"/>
          <w:numId w:val="21"/>
        </w:numPr>
        <w:spacing w:after="0" w:line="240" w:lineRule="auto"/>
        <w:jc w:val="both"/>
        <w:rPr>
          <w:rFonts w:ascii="Calibri" w:eastAsia="Calibri" w:hAnsi="Calibri" w:cs="Calibri"/>
          <w:i/>
          <w:iCs/>
          <w:kern w:val="0"/>
          <w:sz w:val="24"/>
          <w:szCs w:val="24"/>
          <w:lang w:val="sr-Latn-RS" w:eastAsia="sr-Cyrl-CS" w:bidi="sr-Cyrl-CS"/>
          <w14:ligatures w14:val="none"/>
        </w:rPr>
      </w:pPr>
      <w:r w:rsidRPr="00432A04">
        <w:rPr>
          <w:rFonts w:ascii="Calibri" w:eastAsia="Calibri" w:hAnsi="Calibri" w:cs="Calibri"/>
          <w:kern w:val="0"/>
          <w:sz w:val="24"/>
          <w:szCs w:val="24"/>
          <w:lang w:val="sr-Latn-RS" w:eastAsia="sr-Cyrl-CS" w:bidi="sr-Cyrl-CS"/>
          <w14:ligatures w14:val="none"/>
        </w:rPr>
        <w:t xml:space="preserve">Paket izmjena zakonodavnog okvira </w:t>
      </w:r>
      <w:r w:rsidR="002818AF">
        <w:rPr>
          <w:rFonts w:ascii="Calibri" w:eastAsia="Calibri" w:hAnsi="Calibri" w:cs="Calibri"/>
          <w:kern w:val="0"/>
          <w:sz w:val="24"/>
          <w:szCs w:val="24"/>
          <w:lang w:val="sr-Latn-RS" w:eastAsia="sr-Cyrl-CS" w:bidi="sr-Cyrl-CS"/>
          <w14:ligatures w14:val="none"/>
        </w:rPr>
        <w:t>radi</w:t>
      </w:r>
      <w:r w:rsidRPr="00432A04">
        <w:rPr>
          <w:rFonts w:ascii="Calibri" w:eastAsia="Calibri" w:hAnsi="Calibri" w:cs="Calibri"/>
          <w:kern w:val="0"/>
          <w:sz w:val="24"/>
          <w:szCs w:val="24"/>
          <w:lang w:val="sr-Latn-RS" w:eastAsia="sr-Cyrl-CS" w:bidi="sr-Cyrl-CS"/>
          <w14:ligatures w14:val="none"/>
        </w:rPr>
        <w:t xml:space="preserve"> implemetacij</w:t>
      </w:r>
      <w:r w:rsidR="002818AF">
        <w:rPr>
          <w:rFonts w:ascii="Calibri" w:eastAsia="Calibri" w:hAnsi="Calibri" w:cs="Calibri"/>
          <w:kern w:val="0"/>
          <w:sz w:val="24"/>
          <w:szCs w:val="24"/>
          <w:lang w:val="sr-Latn-RS" w:eastAsia="sr-Cyrl-CS" w:bidi="sr-Cyrl-CS"/>
          <w14:ligatures w14:val="none"/>
        </w:rPr>
        <w:t>e</w:t>
      </w:r>
      <w:r w:rsidRPr="00432A04">
        <w:rPr>
          <w:rFonts w:ascii="Calibri" w:eastAsia="Calibri" w:hAnsi="Calibri" w:cs="Calibri"/>
          <w:kern w:val="0"/>
          <w:sz w:val="24"/>
          <w:szCs w:val="24"/>
          <w:lang w:val="sr-Latn-RS" w:eastAsia="sr-Cyrl-CS" w:bidi="sr-Cyrl-CS"/>
          <w14:ligatures w14:val="none"/>
        </w:rPr>
        <w:t xml:space="preserve"> programa</w:t>
      </w:r>
      <w:r w:rsidRPr="00432A04">
        <w:rPr>
          <w:rFonts w:ascii="Calibri" w:eastAsia="Calibri" w:hAnsi="Calibri" w:cs="Calibri"/>
          <w:kern w:val="0"/>
          <w:lang w:val="sr-Latn-RS" w:eastAsia="sr-Cyrl-CS" w:bidi="sr-Cyrl-CS"/>
          <w14:ligatures w14:val="none"/>
        </w:rPr>
        <w:t xml:space="preserve"> </w:t>
      </w:r>
      <w:r w:rsidRPr="00432A04">
        <w:rPr>
          <w:rFonts w:ascii="Calibri" w:eastAsia="Calibri" w:hAnsi="Calibri" w:cs="Calibri"/>
          <w:kern w:val="0"/>
          <w:sz w:val="24"/>
          <w:szCs w:val="24"/>
          <w:lang w:val="sr-Latn-RS" w:eastAsia="sr-Cyrl-CS" w:bidi="sr-Cyrl-CS"/>
          <w14:ligatures w14:val="none"/>
        </w:rPr>
        <w:t xml:space="preserve">„Garancije za mlade“; </w:t>
      </w:r>
      <w:r w:rsidR="00432A04" w:rsidRPr="00A95AE0">
        <w:rPr>
          <w:rFonts w:ascii="Calibri" w:eastAsia="Calibri" w:hAnsi="Calibri" w:cs="Calibri"/>
          <w:iCs/>
          <w:kern w:val="0"/>
          <w:sz w:val="24"/>
          <w:szCs w:val="24"/>
          <w:lang w:val="sr-Latn-RS" w:eastAsia="sr-Cyrl-CS" w:bidi="sr-Cyrl-CS"/>
          <w14:ligatures w14:val="none"/>
        </w:rPr>
        <w:t>MRSS, MPNI</w:t>
      </w:r>
    </w:p>
    <w:p w14:paraId="63E3F4BE" w14:textId="6E6890D0" w:rsidR="0032480C" w:rsidRPr="00755C08" w:rsidRDefault="0032480C" w:rsidP="00FD3827">
      <w:pPr>
        <w:pStyle w:val="ListParagraph"/>
        <w:widowControl w:val="0"/>
        <w:numPr>
          <w:ilvl w:val="0"/>
          <w:numId w:val="27"/>
        </w:numPr>
        <w:spacing w:after="0" w:line="240" w:lineRule="auto"/>
        <w:jc w:val="both"/>
        <w:rPr>
          <w:rFonts w:ascii="Calibri" w:eastAsia="Calibri" w:hAnsi="Calibri" w:cs="Calibri"/>
          <w:bCs/>
          <w:kern w:val="0"/>
          <w:sz w:val="24"/>
          <w:szCs w:val="24"/>
          <w:lang w:val="sr-Latn-RS" w:eastAsia="sr-Cyrl-CS" w:bidi="sr-Cyrl-CS"/>
          <w14:ligatures w14:val="none"/>
        </w:rPr>
      </w:pPr>
      <w:r w:rsidRPr="00755C08">
        <w:rPr>
          <w:rFonts w:ascii="Calibri" w:eastAsia="Calibri" w:hAnsi="Calibri" w:cs="Calibri"/>
          <w:kern w:val="0"/>
          <w:sz w:val="24"/>
          <w:szCs w:val="24"/>
          <w:lang w:val="sr-Latn-RS" w:eastAsia="sr-Cyrl-CS" w:bidi="sr-Cyrl-CS"/>
          <w14:ligatures w14:val="none"/>
        </w:rPr>
        <w:t>Nastavak unapređenja administrativnih, operativnih i organizacionih kapaciteta Zavod</w:t>
      </w:r>
      <w:r w:rsidR="00A95AE0">
        <w:rPr>
          <w:rFonts w:ascii="Calibri" w:eastAsia="Calibri" w:hAnsi="Calibri" w:cs="Calibri"/>
          <w:kern w:val="0"/>
          <w:sz w:val="24"/>
          <w:szCs w:val="24"/>
          <w:lang w:val="sr-Latn-RS" w:eastAsia="sr-Cyrl-CS" w:bidi="sr-Cyrl-CS"/>
          <w14:ligatures w14:val="none"/>
        </w:rPr>
        <w:t>a</w:t>
      </w:r>
      <w:r w:rsidRPr="00755C08">
        <w:rPr>
          <w:rFonts w:ascii="Calibri" w:eastAsia="Calibri" w:hAnsi="Calibri" w:cs="Calibri"/>
          <w:kern w:val="0"/>
          <w:sz w:val="24"/>
          <w:szCs w:val="24"/>
          <w:lang w:val="sr-Latn-RS" w:eastAsia="sr-Cyrl-CS" w:bidi="sr-Cyrl-CS"/>
          <w14:ligatures w14:val="none"/>
        </w:rPr>
        <w:t xml:space="preserve"> za zapošljavanje i sa posebniim fokusom na odabrane opštine u kojima će se realizovati pilot faza „Garancije za mlade“ i razvoj </w:t>
      </w:r>
      <w:r w:rsidRPr="00755C08">
        <w:rPr>
          <w:rFonts w:ascii="Calibri" w:eastAsia="Times New Roman" w:hAnsi="Calibri" w:cs="Arial"/>
          <w:color w:val="000000"/>
          <w:kern w:val="0"/>
          <w:sz w:val="24"/>
          <w:szCs w:val="24"/>
          <w:lang w:val="sr-Cyrl-CS" w:eastAsia="sr-Latn-RS" w:bidi="sr-Cyrl-CS"/>
          <w14:ligatures w14:val="none"/>
        </w:rPr>
        <w:t xml:space="preserve">institucionalnih i ljudskih </w:t>
      </w:r>
      <w:r w:rsidRPr="00755C08">
        <w:rPr>
          <w:rFonts w:ascii="Calibri" w:eastAsia="Calibri" w:hAnsi="Calibri" w:cs="Calibri"/>
          <w:kern w:val="0"/>
          <w:sz w:val="24"/>
          <w:szCs w:val="24"/>
          <w:lang w:val="sr-Latn-RS" w:eastAsia="sr-Cyrl-CS" w:bidi="sr-Cyrl-CS"/>
          <w14:ligatures w14:val="none"/>
        </w:rPr>
        <w:t xml:space="preserve">kapaciteta i unapređenje digitalne infrastrukture sistema  obrazovanja; </w:t>
      </w:r>
      <w:r w:rsidR="00432A04" w:rsidRPr="00A95AE0">
        <w:rPr>
          <w:rFonts w:ascii="Calibri" w:eastAsia="Calibri" w:hAnsi="Calibri" w:cs="Calibri"/>
          <w:kern w:val="0"/>
          <w:sz w:val="24"/>
          <w:szCs w:val="24"/>
          <w:lang w:val="sr-Latn-RS" w:eastAsia="sr-Cyrl-CS" w:bidi="sr-Cyrl-CS"/>
          <w14:ligatures w14:val="none"/>
        </w:rPr>
        <w:t>MRSS</w:t>
      </w:r>
      <w:r w:rsidRPr="00A95AE0">
        <w:rPr>
          <w:rFonts w:ascii="Calibri" w:eastAsia="Calibri" w:hAnsi="Calibri" w:cs="Calibri"/>
          <w:iCs/>
          <w:kern w:val="0"/>
          <w:sz w:val="24"/>
          <w:szCs w:val="24"/>
          <w:lang w:val="sr-Latn-RS" w:eastAsia="sr-Cyrl-CS" w:bidi="sr-Cyrl-CS"/>
          <w14:ligatures w14:val="none"/>
        </w:rPr>
        <w:t>, MPNI</w:t>
      </w:r>
    </w:p>
    <w:p w14:paraId="3B31004E" w14:textId="7000E78B" w:rsidR="0032480C" w:rsidRPr="00082B85" w:rsidRDefault="0032480C" w:rsidP="00FD3827">
      <w:pPr>
        <w:pStyle w:val="ListParagraph"/>
        <w:widowControl w:val="0"/>
        <w:numPr>
          <w:ilvl w:val="0"/>
          <w:numId w:val="27"/>
        </w:numPr>
        <w:spacing w:after="0" w:line="240" w:lineRule="auto"/>
        <w:jc w:val="both"/>
        <w:rPr>
          <w:rFonts w:ascii="Calibri" w:eastAsia="Calibri" w:hAnsi="Calibri" w:cs="Calibri"/>
          <w:kern w:val="0"/>
          <w:sz w:val="24"/>
          <w:szCs w:val="24"/>
          <w:lang w:val="sr-Latn-RS" w:eastAsia="sr-Cyrl-CS" w:bidi="sr-Cyrl-CS"/>
          <w14:ligatures w14:val="none"/>
        </w:rPr>
      </w:pPr>
      <w:r w:rsidRPr="00755C08">
        <w:rPr>
          <w:rFonts w:ascii="Calibri" w:eastAsia="Calibri" w:hAnsi="Calibri" w:cs="Calibri"/>
          <w:kern w:val="0"/>
          <w:sz w:val="24"/>
          <w:szCs w:val="24"/>
          <w:lang w:val="sr-Latn-RS" w:eastAsia="sr-Cyrl-CS" w:bidi="sr-Cyrl-CS"/>
          <w14:ligatures w14:val="none"/>
        </w:rPr>
        <w:t xml:space="preserve">U skladu sa Planom za implementaciju programa, sprovođenje faze  informisanja </w:t>
      </w:r>
      <w:r w:rsidR="00755C08" w:rsidRPr="00755C08">
        <w:rPr>
          <w:rFonts w:ascii="Calibri" w:eastAsia="Calibri" w:hAnsi="Calibri" w:cs="Calibri"/>
          <w:kern w:val="0"/>
          <w:sz w:val="24"/>
          <w:szCs w:val="24"/>
          <w:lang w:val="sr-Latn-RS" w:eastAsia="sr-Cyrl-CS" w:bidi="sr-Cyrl-CS"/>
          <w14:ligatures w14:val="none"/>
        </w:rPr>
        <w:t xml:space="preserve"> </w:t>
      </w:r>
      <w:r w:rsidRPr="00755C08">
        <w:rPr>
          <w:rFonts w:ascii="Calibri" w:eastAsia="Calibri" w:hAnsi="Calibri" w:cs="Calibri"/>
          <w:kern w:val="0"/>
          <w:sz w:val="24"/>
          <w:szCs w:val="24"/>
          <w:lang w:val="sr-Latn-RS" w:eastAsia="sr-Cyrl-CS" w:bidi="sr-Cyrl-CS"/>
          <w14:ligatures w14:val="none"/>
        </w:rPr>
        <w:t xml:space="preserve">mladih kroz medijsku i terensku kampanju. </w:t>
      </w:r>
      <w:r w:rsidR="00432A04" w:rsidRPr="00A95AE0">
        <w:rPr>
          <w:rFonts w:ascii="Calibri" w:eastAsia="Calibri" w:hAnsi="Calibri" w:cs="Calibri"/>
          <w:iCs/>
          <w:kern w:val="0"/>
          <w:sz w:val="24"/>
          <w:szCs w:val="24"/>
          <w:lang w:val="sr-Latn-RS" w:eastAsia="sr-Cyrl-CS" w:bidi="sr-Cyrl-CS"/>
          <w14:ligatures w14:val="none"/>
        </w:rPr>
        <w:t>MRSS</w:t>
      </w:r>
    </w:p>
    <w:p w14:paraId="6DBFB32F" w14:textId="77777777" w:rsidR="00082B85" w:rsidRPr="00082B85" w:rsidRDefault="00082B85" w:rsidP="00082B85">
      <w:pPr>
        <w:widowControl w:val="0"/>
        <w:spacing w:after="0" w:line="240" w:lineRule="auto"/>
        <w:jc w:val="both"/>
        <w:rPr>
          <w:rFonts w:ascii="Calibri" w:eastAsia="Calibri" w:hAnsi="Calibri" w:cs="Calibri"/>
          <w:kern w:val="0"/>
          <w:sz w:val="24"/>
          <w:szCs w:val="24"/>
          <w:lang w:val="sr-Latn-RS" w:eastAsia="sr-Cyrl-CS" w:bidi="sr-Cyrl-CS"/>
          <w14:ligatures w14:val="none"/>
        </w:rPr>
      </w:pPr>
    </w:p>
    <w:p w14:paraId="61E57DA9" w14:textId="77777777" w:rsidR="0032480C" w:rsidRPr="0032480C" w:rsidRDefault="0032480C" w:rsidP="0032480C">
      <w:pPr>
        <w:widowControl w:val="0"/>
        <w:spacing w:after="0" w:line="240" w:lineRule="auto"/>
        <w:ind w:left="1776"/>
        <w:contextualSpacing/>
        <w:jc w:val="both"/>
        <w:rPr>
          <w:rFonts w:ascii="Calibri" w:eastAsia="Calibri" w:hAnsi="Calibri" w:cs="Calibri"/>
          <w:bCs/>
          <w:kern w:val="0"/>
          <w:sz w:val="24"/>
          <w:szCs w:val="24"/>
          <w:lang w:val="sr-Latn-RS" w:eastAsia="sr-Cyrl-CS" w:bidi="sr-Cyrl-CS"/>
          <w14:ligatures w14:val="none"/>
        </w:rPr>
      </w:pPr>
      <w:bookmarkStart w:id="183" w:name="_Hlk151189964"/>
    </w:p>
    <w:p w14:paraId="3C12A79E" w14:textId="77777777" w:rsidR="0032480C" w:rsidRPr="0032480C" w:rsidRDefault="0032480C" w:rsidP="0032480C">
      <w:pPr>
        <w:widowControl w:val="0"/>
        <w:spacing w:after="0" w:line="240" w:lineRule="auto"/>
        <w:ind w:left="1776" w:hanging="903"/>
        <w:contextualSpacing/>
        <w:jc w:val="both"/>
        <w:rPr>
          <w:rFonts w:ascii="Calibri" w:eastAsia="Calibri" w:hAnsi="Calibri" w:cs="Calibri"/>
          <w:b/>
          <w:bCs/>
          <w:kern w:val="0"/>
          <w:sz w:val="24"/>
          <w:szCs w:val="24"/>
          <w:lang w:val="sr-Latn-RS" w:eastAsia="sr-Cyrl-CS" w:bidi="sr-Cyrl-CS"/>
          <w14:ligatures w14:val="none"/>
        </w:rPr>
      </w:pPr>
      <w:r w:rsidRPr="0032480C">
        <w:rPr>
          <w:rFonts w:ascii="Calibri" w:eastAsia="Calibri" w:hAnsi="Calibri" w:cs="Calibri"/>
          <w:kern w:val="0"/>
          <w:sz w:val="24"/>
          <w:szCs w:val="24"/>
          <w:lang w:val="sr-Latn-RS" w:eastAsia="sr-Cyrl-CS" w:bidi="sr-Cyrl-CS"/>
          <w14:ligatures w14:val="none"/>
        </w:rPr>
        <w:t>b) Unapređenje kvaliteta stručnog obrazovanja kroz:</w:t>
      </w:r>
    </w:p>
    <w:p w14:paraId="32B52F77" w14:textId="43DD208B" w:rsidR="0032480C" w:rsidRPr="00082B85" w:rsidRDefault="00A95AE0" w:rsidP="00FD3827">
      <w:pPr>
        <w:pStyle w:val="ListParagraph"/>
        <w:widowControl w:val="0"/>
        <w:numPr>
          <w:ilvl w:val="0"/>
          <w:numId w:val="28"/>
        </w:numPr>
        <w:spacing w:after="0" w:line="240" w:lineRule="auto"/>
        <w:jc w:val="both"/>
        <w:rPr>
          <w:rFonts w:ascii="Calibri" w:eastAsia="Calibri" w:hAnsi="Calibri" w:cs="Calibri"/>
          <w:kern w:val="0"/>
          <w:sz w:val="24"/>
          <w:szCs w:val="24"/>
          <w:lang w:val="sr-Latn-RS" w:eastAsia="sr-Cyrl-CS" w:bidi="sr-Cyrl-CS"/>
          <w14:ligatures w14:val="none"/>
        </w:rPr>
      </w:pPr>
      <w:r w:rsidRPr="00082B85">
        <w:rPr>
          <w:rFonts w:ascii="Calibri" w:eastAsia="Calibri" w:hAnsi="Calibri" w:cs="Calibri"/>
          <w:kern w:val="0"/>
          <w:sz w:val="24"/>
          <w:szCs w:val="24"/>
          <w:lang w:val="sr-Latn-RS" w:eastAsia="sr-Cyrl-CS" w:bidi="sr-Cyrl-CS"/>
          <w14:ligatures w14:val="none"/>
        </w:rPr>
        <w:t>sprovođenje istraživanja</w:t>
      </w:r>
      <w:r w:rsidR="0032480C" w:rsidRPr="00082B85">
        <w:rPr>
          <w:rFonts w:ascii="Calibri" w:eastAsia="Calibri" w:hAnsi="Calibri" w:cs="Calibri"/>
          <w:kern w:val="0"/>
          <w:sz w:val="24"/>
          <w:szCs w:val="24"/>
          <w:lang w:val="sr-Latn-RS" w:eastAsia="sr-Cyrl-CS" w:bidi="sr-Cyrl-CS"/>
          <w14:ligatures w14:val="none"/>
        </w:rPr>
        <w:t xml:space="preserve"> o potrebama za vještinama i kvalifikacijama, potrebnim tržištu rada iz oblasti digitalnih tehnologija i zelenih poslova (sektori inženjerstvo, poljoprivreda, hemijske tehnologije i grafičarstvo i dr); </w:t>
      </w:r>
      <w:r w:rsidR="00432A04" w:rsidRPr="00082B85">
        <w:rPr>
          <w:rFonts w:ascii="Calibri" w:eastAsia="Calibri" w:hAnsi="Calibri" w:cs="Calibri"/>
          <w:kern w:val="0"/>
          <w:sz w:val="24"/>
          <w:szCs w:val="24"/>
          <w:lang w:val="sr-Latn-RS" w:eastAsia="sr-Cyrl-CS" w:bidi="sr-Cyrl-CS"/>
          <w14:ligatures w14:val="none"/>
        </w:rPr>
        <w:t>MPNI</w:t>
      </w:r>
    </w:p>
    <w:p w14:paraId="6BEAC49D" w14:textId="18208DB1" w:rsidR="0032480C" w:rsidRPr="00082B85" w:rsidRDefault="0032480C" w:rsidP="00FD3827">
      <w:pPr>
        <w:pStyle w:val="ListParagraph"/>
        <w:widowControl w:val="0"/>
        <w:numPr>
          <w:ilvl w:val="0"/>
          <w:numId w:val="28"/>
        </w:numPr>
        <w:spacing w:after="0" w:line="240" w:lineRule="auto"/>
        <w:jc w:val="both"/>
        <w:rPr>
          <w:rFonts w:ascii="Calibri" w:eastAsia="Calibri" w:hAnsi="Calibri" w:cs="Calibri"/>
          <w:kern w:val="0"/>
          <w:sz w:val="24"/>
          <w:szCs w:val="24"/>
          <w:lang w:val="sr-Latn-RS" w:eastAsia="sr-Cyrl-CS" w:bidi="sr-Cyrl-CS"/>
          <w14:ligatures w14:val="none"/>
        </w:rPr>
      </w:pPr>
      <w:r w:rsidRPr="00082B85">
        <w:rPr>
          <w:rFonts w:ascii="Calibri" w:eastAsia="Calibri" w:hAnsi="Calibri" w:cs="Calibri"/>
          <w:kern w:val="0"/>
          <w:sz w:val="24"/>
          <w:szCs w:val="24"/>
          <w:lang w:val="sr-Latn-RS" w:eastAsia="sr-Cyrl-CS" w:bidi="sr-Cyrl-CS"/>
          <w14:ligatures w14:val="none"/>
        </w:rPr>
        <w:t xml:space="preserve">U skladu sa utvrđenom metodologijom, sprovođenje eksterne evaluacije praktičnog obrazovanja  i organizovanje obuka za nastavnike praktične i instruktore praktičnog </w:t>
      </w:r>
      <w:r w:rsidRPr="00082B85">
        <w:rPr>
          <w:rFonts w:ascii="Calibri" w:eastAsia="Calibri" w:hAnsi="Calibri" w:cs="Calibri"/>
          <w:kern w:val="0"/>
          <w:sz w:val="24"/>
          <w:szCs w:val="24"/>
          <w:lang w:val="sr-Latn-RS" w:eastAsia="sr-Cyrl-CS" w:bidi="sr-Cyrl-CS"/>
          <w14:ligatures w14:val="none"/>
        </w:rPr>
        <w:lastRenderedPageBreak/>
        <w:t>obrazovanja u najmanje pet škola;</w:t>
      </w:r>
      <w:r w:rsidR="00A95AE0" w:rsidRPr="00082B85">
        <w:rPr>
          <w:rFonts w:ascii="Calibri" w:eastAsia="Calibri" w:hAnsi="Calibri" w:cs="Calibri"/>
          <w:kern w:val="0"/>
          <w:sz w:val="24"/>
          <w:szCs w:val="24"/>
          <w:lang w:val="sr-Latn-RS" w:eastAsia="sr-Cyrl-CS" w:bidi="sr-Cyrl-CS"/>
          <w14:ligatures w14:val="none"/>
        </w:rPr>
        <w:t xml:space="preserve"> </w:t>
      </w:r>
      <w:r w:rsidR="00432A04" w:rsidRPr="00082B85">
        <w:rPr>
          <w:rFonts w:ascii="Calibri" w:eastAsia="Calibri" w:hAnsi="Calibri" w:cs="Calibri"/>
          <w:kern w:val="0"/>
          <w:sz w:val="24"/>
          <w:szCs w:val="24"/>
          <w:lang w:val="sr-Latn-RS" w:eastAsia="sr-Cyrl-CS" w:bidi="sr-Cyrl-CS"/>
          <w14:ligatures w14:val="none"/>
        </w:rPr>
        <w:t>MNPI</w:t>
      </w:r>
    </w:p>
    <w:p w14:paraId="2CD6BB3F" w14:textId="29730459" w:rsidR="0032480C" w:rsidRPr="00082B85" w:rsidRDefault="0032480C" w:rsidP="00FD3827">
      <w:pPr>
        <w:pStyle w:val="ListParagraph"/>
        <w:widowControl w:val="0"/>
        <w:numPr>
          <w:ilvl w:val="0"/>
          <w:numId w:val="28"/>
        </w:numPr>
        <w:jc w:val="both"/>
        <w:rPr>
          <w:rFonts w:ascii="Calibri" w:eastAsia="Calibri" w:hAnsi="Calibri" w:cs="Calibri"/>
          <w:b/>
          <w:kern w:val="0"/>
          <w:sz w:val="24"/>
          <w:szCs w:val="24"/>
          <w:lang w:val="sr-Latn-RS" w:eastAsia="sr-Cyrl-CS" w:bidi="sr-Cyrl-CS"/>
          <w14:ligatures w14:val="none"/>
        </w:rPr>
      </w:pPr>
      <w:r w:rsidRPr="00082B85">
        <w:rPr>
          <w:rFonts w:ascii="Calibri" w:eastAsia="Calibri" w:hAnsi="Calibri" w:cs="Calibri"/>
          <w:kern w:val="0"/>
          <w:sz w:val="24"/>
          <w:szCs w:val="24"/>
          <w:lang w:val="sr-Latn-RS" w:eastAsia="sr-Cyrl-CS" w:bidi="sr-Cyrl-CS"/>
          <w14:ligatures w14:val="none"/>
        </w:rPr>
        <w:t>Uspostavljanje timova za karijerno vođenje i savjetovanje u osnovnim i srednjim školama u najmanje pet opština u Crnoj Gori  i obezbjeđivanje obuke za karijerne timove</w:t>
      </w:r>
      <w:bookmarkEnd w:id="183"/>
      <w:r w:rsidRPr="00082B85">
        <w:rPr>
          <w:rFonts w:ascii="Calibri" w:eastAsia="Calibri" w:hAnsi="Calibri" w:cs="Calibri"/>
          <w:b/>
          <w:kern w:val="0"/>
          <w:sz w:val="24"/>
          <w:szCs w:val="24"/>
          <w:lang w:val="sr-Latn-RS" w:eastAsia="sr-Cyrl-CS" w:bidi="sr-Cyrl-CS"/>
          <w14:ligatures w14:val="none"/>
        </w:rPr>
        <w:t>.</w:t>
      </w:r>
      <w:r w:rsidR="00A95AE0" w:rsidRPr="00082B85">
        <w:rPr>
          <w:rFonts w:ascii="Calibri" w:eastAsia="Calibri" w:hAnsi="Calibri" w:cs="Calibri"/>
          <w:b/>
          <w:kern w:val="0"/>
          <w:sz w:val="24"/>
          <w:szCs w:val="24"/>
          <w:lang w:val="sr-Latn-RS" w:eastAsia="sr-Cyrl-CS" w:bidi="sr-Cyrl-CS"/>
          <w14:ligatures w14:val="none"/>
        </w:rPr>
        <w:t xml:space="preserve"> </w:t>
      </w:r>
      <w:r w:rsidR="00432A04" w:rsidRPr="00082B85">
        <w:rPr>
          <w:rFonts w:ascii="Calibri" w:eastAsia="Calibri" w:hAnsi="Calibri" w:cs="Calibri"/>
          <w:bCs/>
          <w:kern w:val="0"/>
          <w:sz w:val="24"/>
          <w:szCs w:val="24"/>
          <w:lang w:val="sr-Latn-RS" w:eastAsia="sr-Cyrl-CS" w:bidi="sr-Cyrl-CS"/>
          <w14:ligatures w14:val="none"/>
        </w:rPr>
        <w:t>MPNI</w:t>
      </w:r>
    </w:p>
    <w:p w14:paraId="66599979" w14:textId="542DB9C8" w:rsidR="00922341" w:rsidRDefault="00691817" w:rsidP="001B6681">
      <w:pPr>
        <w:jc w:val="both"/>
        <w:rPr>
          <w:rFonts w:eastAsia="Calibri" w:cstheme="minorHAnsi"/>
          <w:b/>
          <w:bCs/>
          <w:kern w:val="0"/>
          <w:sz w:val="24"/>
          <w:szCs w:val="24"/>
          <w:lang w:val="sr-Latn-ME" w:eastAsia="sr-Cyrl-CS" w:bidi="sr-Cyrl-CS"/>
          <w14:ligatures w14:val="none"/>
        </w:rPr>
      </w:pPr>
      <w:r w:rsidRPr="008D0B88">
        <w:rPr>
          <w:rFonts w:eastAsia="Calibri" w:cstheme="minorHAnsi"/>
          <w:b/>
          <w:bCs/>
          <w:kern w:val="0"/>
          <w:sz w:val="24"/>
          <w:szCs w:val="24"/>
          <w:lang w:val="sr-Latn-ME" w:eastAsia="sr-Cyrl-CS" w:bidi="sr-Cyrl-CS"/>
          <w14:ligatures w14:val="none"/>
        </w:rPr>
        <w:t>Aktivnosti planirane za 2025</w:t>
      </w:r>
      <w:r w:rsidR="00922341">
        <w:rPr>
          <w:rFonts w:eastAsia="Calibri" w:cstheme="minorHAnsi"/>
          <w:b/>
          <w:bCs/>
          <w:kern w:val="0"/>
          <w:sz w:val="24"/>
          <w:szCs w:val="24"/>
          <w:lang w:val="sr-Latn-ME" w:eastAsia="sr-Cyrl-CS" w:bidi="sr-Cyrl-CS"/>
          <w14:ligatures w14:val="none"/>
        </w:rPr>
        <w:t>.</w:t>
      </w:r>
    </w:p>
    <w:p w14:paraId="5493C418" w14:textId="5EDEC913" w:rsidR="0032480C" w:rsidRPr="0032480C" w:rsidRDefault="00436100" w:rsidP="00FD3827">
      <w:pPr>
        <w:widowControl w:val="0"/>
        <w:numPr>
          <w:ilvl w:val="0"/>
          <w:numId w:val="9"/>
        </w:numPr>
        <w:spacing w:after="0" w:line="240" w:lineRule="auto"/>
        <w:contextualSpacing/>
        <w:jc w:val="both"/>
        <w:rPr>
          <w:rFonts w:ascii="Calibri" w:eastAsia="Calibri" w:hAnsi="Calibri" w:cs="Calibri"/>
          <w:kern w:val="0"/>
          <w:sz w:val="24"/>
          <w:szCs w:val="24"/>
          <w:lang w:val="sr-Latn-RS" w:eastAsia="sr-Cyrl-CS" w:bidi="sr-Cyrl-CS"/>
          <w14:ligatures w14:val="none"/>
        </w:rPr>
      </w:pPr>
      <w:r>
        <w:rPr>
          <w:rFonts w:ascii="Calibri" w:eastAsia="Calibri" w:hAnsi="Calibri" w:cs="Calibri"/>
          <w:kern w:val="0"/>
          <w:sz w:val="24"/>
          <w:szCs w:val="24"/>
          <w:lang w:val="sr-Latn-RS" w:eastAsia="sr-Cyrl-CS" w:bidi="sr-Cyrl-CS"/>
          <w14:ligatures w14:val="none"/>
        </w:rPr>
        <w:t>S</w:t>
      </w:r>
      <w:r w:rsidR="0032480C" w:rsidRPr="0032480C">
        <w:rPr>
          <w:rFonts w:ascii="Calibri" w:eastAsia="Calibri" w:hAnsi="Calibri" w:cs="Calibri"/>
          <w:kern w:val="0"/>
          <w:sz w:val="24"/>
          <w:szCs w:val="24"/>
          <w:lang w:val="sr-Latn-RS" w:eastAsia="sr-Cyrl-CS" w:bidi="sr-Cyrl-CS"/>
          <w14:ligatures w14:val="none"/>
        </w:rPr>
        <w:t>provođenje usluga i mjera i sisitema praćenja i evaluacij</w:t>
      </w:r>
      <w:r>
        <w:rPr>
          <w:rFonts w:ascii="Calibri" w:eastAsia="Calibri" w:hAnsi="Calibri" w:cs="Calibri"/>
          <w:kern w:val="0"/>
          <w:sz w:val="24"/>
          <w:szCs w:val="24"/>
          <w:lang w:val="sr-Latn-RS" w:eastAsia="sr-Cyrl-CS" w:bidi="sr-Cyrl-CS"/>
          <w14:ligatures w14:val="none"/>
        </w:rPr>
        <w:t>e</w:t>
      </w:r>
      <w:r w:rsidR="0032480C" w:rsidRPr="0032480C">
        <w:rPr>
          <w:rFonts w:ascii="Calibri" w:eastAsia="Calibri" w:hAnsi="Calibri" w:cs="Calibri"/>
          <w:kern w:val="0"/>
          <w:sz w:val="24"/>
          <w:szCs w:val="24"/>
          <w:lang w:val="sr-Latn-RS" w:eastAsia="sr-Cyrl-CS" w:bidi="sr-Cyrl-CS"/>
          <w14:ligatures w14:val="none"/>
        </w:rPr>
        <w:t xml:space="preserve"> kroz uspostavljenu  operativnu IT strukturu Zavoda za zapošljavanje, sa posebnim fokusom na tri odabrane opštine u kojima će se sprovoditi pilot faza „Garancije za mlade“ </w:t>
      </w:r>
      <w:r w:rsidR="00432A04">
        <w:rPr>
          <w:rFonts w:ascii="Calibri" w:eastAsia="Calibri" w:hAnsi="Calibri" w:cs="Calibri"/>
          <w:kern w:val="0"/>
          <w:sz w:val="24"/>
          <w:szCs w:val="24"/>
          <w:lang w:val="sr-Latn-RS" w:eastAsia="sr-Cyrl-CS" w:bidi="sr-Cyrl-CS"/>
          <w14:ligatures w14:val="none"/>
        </w:rPr>
        <w:t>. MRSS</w:t>
      </w:r>
    </w:p>
    <w:p w14:paraId="43D6AF8D" w14:textId="1BBB5AEF" w:rsidR="0032480C" w:rsidRPr="0032480C" w:rsidRDefault="0032480C" w:rsidP="00FD3827">
      <w:pPr>
        <w:widowControl w:val="0"/>
        <w:numPr>
          <w:ilvl w:val="0"/>
          <w:numId w:val="9"/>
        </w:numPr>
        <w:spacing w:after="0" w:line="240" w:lineRule="auto"/>
        <w:contextualSpacing/>
        <w:jc w:val="both"/>
        <w:rPr>
          <w:rFonts w:ascii="Calibri" w:eastAsia="Calibri" w:hAnsi="Calibri" w:cs="Calibri"/>
          <w:kern w:val="0"/>
          <w:sz w:val="24"/>
          <w:szCs w:val="24"/>
          <w:lang w:val="sr-Latn-RS" w:eastAsia="sr-Cyrl-CS" w:bidi="sr-Cyrl-CS"/>
          <w14:ligatures w14:val="none"/>
        </w:rPr>
      </w:pPr>
      <w:r w:rsidRPr="0032480C">
        <w:rPr>
          <w:rFonts w:ascii="Calibri" w:eastAsia="Calibri" w:hAnsi="Calibri" w:cs="Calibri"/>
          <w:kern w:val="0"/>
          <w:sz w:val="24"/>
          <w:szCs w:val="24"/>
          <w:lang w:val="sr-Latn-RS" w:eastAsia="sr-Cyrl-CS" w:bidi="sr-Cyrl-CS"/>
          <w14:ligatures w14:val="none"/>
        </w:rPr>
        <w:t xml:space="preserve">Nastavak unapređenja administrativnih, operativnih i organizacionih kapaciteta Zavoda za zapošljavanje i sa posebniim fokusom na odabrane opštine u kojima će se realizovati pilot faza „Garancije za mlade“ i razvoj </w:t>
      </w:r>
      <w:r w:rsidRPr="0032480C">
        <w:rPr>
          <w:rFonts w:ascii="Calibri" w:eastAsia="Times New Roman" w:hAnsi="Calibri" w:cs="Arial"/>
          <w:color w:val="000000"/>
          <w:kern w:val="0"/>
          <w:sz w:val="24"/>
          <w:szCs w:val="24"/>
          <w:lang w:val="sr-Cyrl-CS" w:eastAsia="sr-Latn-RS" w:bidi="sr-Cyrl-CS"/>
          <w14:ligatures w14:val="none"/>
        </w:rPr>
        <w:t xml:space="preserve">institucionalnih i ljudskih </w:t>
      </w:r>
      <w:r w:rsidRPr="0032480C">
        <w:rPr>
          <w:rFonts w:ascii="Calibri" w:eastAsia="Calibri" w:hAnsi="Calibri" w:cs="Calibri"/>
          <w:kern w:val="0"/>
          <w:sz w:val="24"/>
          <w:szCs w:val="24"/>
          <w:lang w:val="sr-Latn-RS" w:eastAsia="sr-Cyrl-CS" w:bidi="sr-Cyrl-CS"/>
          <w14:ligatures w14:val="none"/>
        </w:rPr>
        <w:t xml:space="preserve">kapaciteta i unapređenje i digitalne infrastrukture sistema  obrazovanja; </w:t>
      </w:r>
      <w:r w:rsidR="00436100">
        <w:rPr>
          <w:rFonts w:ascii="Calibri" w:eastAsia="Calibri" w:hAnsi="Calibri" w:cs="Calibri"/>
          <w:kern w:val="0"/>
          <w:sz w:val="24"/>
          <w:szCs w:val="24"/>
          <w:lang w:val="sr-Latn-RS" w:eastAsia="sr-Cyrl-CS" w:bidi="sr-Cyrl-CS"/>
          <w14:ligatures w14:val="none"/>
        </w:rPr>
        <w:t>MRSS</w:t>
      </w:r>
      <w:r w:rsidRPr="0032480C">
        <w:rPr>
          <w:rFonts w:ascii="Calibri" w:eastAsia="Calibri" w:hAnsi="Calibri" w:cs="Calibri"/>
          <w:kern w:val="0"/>
          <w:sz w:val="24"/>
          <w:szCs w:val="24"/>
          <w:lang w:val="sr-Latn-RS" w:eastAsia="sr-Cyrl-CS" w:bidi="sr-Cyrl-CS"/>
          <w14:ligatures w14:val="none"/>
        </w:rPr>
        <w:t>, MPNI</w:t>
      </w:r>
    </w:p>
    <w:p w14:paraId="1E197E1B" w14:textId="42CED44F" w:rsidR="0032480C" w:rsidRPr="0032480C" w:rsidRDefault="0032480C" w:rsidP="00FD3827">
      <w:pPr>
        <w:widowControl w:val="0"/>
        <w:numPr>
          <w:ilvl w:val="0"/>
          <w:numId w:val="9"/>
        </w:numPr>
        <w:spacing w:after="0" w:line="240" w:lineRule="auto"/>
        <w:contextualSpacing/>
        <w:jc w:val="both"/>
        <w:rPr>
          <w:rFonts w:ascii="Calibri" w:eastAsia="Calibri" w:hAnsi="Calibri" w:cs="Calibri"/>
          <w:kern w:val="0"/>
          <w:sz w:val="24"/>
          <w:szCs w:val="24"/>
          <w:lang w:val="sr-Latn-RS" w:eastAsia="sr-Cyrl-CS" w:bidi="sr-Cyrl-CS"/>
          <w14:ligatures w14:val="none"/>
        </w:rPr>
      </w:pPr>
      <w:r w:rsidRPr="0032480C">
        <w:rPr>
          <w:rFonts w:ascii="Calibri" w:eastAsia="Calibri" w:hAnsi="Calibri" w:cs="Calibri"/>
          <w:kern w:val="0"/>
          <w:sz w:val="24"/>
          <w:szCs w:val="24"/>
          <w:lang w:val="sr-Latn-RS" w:eastAsia="sr-Cyrl-CS" w:bidi="sr-Cyrl-CS"/>
          <w14:ligatures w14:val="none"/>
        </w:rPr>
        <w:t>Nastavak, u skladu sa Planom za implementaciju programa „Garancije za mlade“, medijsku i terensku kampanju</w:t>
      </w:r>
      <w:r w:rsidR="00432A04">
        <w:rPr>
          <w:rFonts w:ascii="Calibri" w:eastAsia="Calibri" w:hAnsi="Calibri" w:cs="Calibri"/>
          <w:kern w:val="0"/>
          <w:sz w:val="24"/>
          <w:szCs w:val="24"/>
          <w:lang w:val="sr-Latn-RS" w:eastAsia="sr-Cyrl-CS" w:bidi="sr-Cyrl-CS"/>
          <w14:ligatures w14:val="none"/>
        </w:rPr>
        <w:t>. MRSS</w:t>
      </w:r>
    </w:p>
    <w:p w14:paraId="53078908" w14:textId="77777777" w:rsidR="0032480C" w:rsidRPr="0032480C" w:rsidRDefault="0032480C" w:rsidP="00FD3827">
      <w:pPr>
        <w:widowControl w:val="0"/>
        <w:numPr>
          <w:ilvl w:val="0"/>
          <w:numId w:val="9"/>
        </w:numPr>
        <w:spacing w:after="0" w:line="240" w:lineRule="auto"/>
        <w:contextualSpacing/>
        <w:jc w:val="both"/>
        <w:rPr>
          <w:rFonts w:ascii="Calibri" w:eastAsia="Calibri" w:hAnsi="Calibri" w:cs="Calibri"/>
          <w:b/>
          <w:bCs/>
          <w:kern w:val="0"/>
          <w:sz w:val="24"/>
          <w:szCs w:val="24"/>
          <w:lang w:val="sr-Latn-RS" w:eastAsia="sr-Cyrl-CS" w:bidi="sr-Cyrl-CS"/>
          <w14:ligatures w14:val="none"/>
        </w:rPr>
      </w:pPr>
      <w:r w:rsidRPr="0032480C">
        <w:rPr>
          <w:rFonts w:ascii="Calibri" w:eastAsia="Calibri" w:hAnsi="Calibri" w:cs="Calibri"/>
          <w:kern w:val="0"/>
          <w:sz w:val="24"/>
          <w:szCs w:val="24"/>
          <w:lang w:val="sr-Latn-RS" w:eastAsia="sr-Cyrl-CS" w:bidi="sr-Cyrl-CS"/>
          <w14:ligatures w14:val="none"/>
        </w:rPr>
        <w:t>Unapređenje kvaliteta stručnog obrazovanja kroz:</w:t>
      </w:r>
    </w:p>
    <w:p w14:paraId="6320CCB9" w14:textId="77777777" w:rsidR="0032480C" w:rsidRPr="0032480C" w:rsidRDefault="0032480C" w:rsidP="00FD3827">
      <w:pPr>
        <w:widowControl w:val="0"/>
        <w:numPr>
          <w:ilvl w:val="0"/>
          <w:numId w:val="29"/>
        </w:numPr>
        <w:spacing w:after="0" w:line="240" w:lineRule="auto"/>
        <w:contextualSpacing/>
        <w:jc w:val="both"/>
        <w:rPr>
          <w:rFonts w:ascii="Calibri" w:eastAsia="Calibri" w:hAnsi="Calibri" w:cs="Calibri"/>
          <w:kern w:val="0"/>
          <w:sz w:val="24"/>
          <w:szCs w:val="24"/>
          <w:lang w:val="sr-Latn-RS" w:eastAsia="sr-Cyrl-CS" w:bidi="sr-Cyrl-CS"/>
          <w14:ligatures w14:val="none"/>
        </w:rPr>
      </w:pPr>
      <w:r w:rsidRPr="0032480C">
        <w:rPr>
          <w:rFonts w:ascii="Calibri" w:eastAsia="Calibri" w:hAnsi="Calibri" w:cs="Calibri"/>
          <w:kern w:val="0"/>
          <w:sz w:val="24"/>
          <w:szCs w:val="24"/>
          <w:lang w:val="sr-Latn-RS" w:eastAsia="sr-Cyrl-CS" w:bidi="sr-Cyrl-CS"/>
          <w14:ligatures w14:val="none"/>
        </w:rPr>
        <w:t xml:space="preserve">sprovođenje istraživanje o potrebama za vještinama i kvalifikacijama, potrebnim tržištu rada iz oblasti digitalnih tehnologija i zelenih poslova (sektori mašinstvo, zdravstvo, građevina i dr); </w:t>
      </w:r>
    </w:p>
    <w:p w14:paraId="7C5AC6B8" w14:textId="77777777" w:rsidR="0032480C" w:rsidRPr="0032480C" w:rsidRDefault="0032480C" w:rsidP="00FD3827">
      <w:pPr>
        <w:widowControl w:val="0"/>
        <w:numPr>
          <w:ilvl w:val="0"/>
          <w:numId w:val="29"/>
        </w:numPr>
        <w:spacing w:after="0" w:line="240" w:lineRule="auto"/>
        <w:contextualSpacing/>
        <w:jc w:val="both"/>
        <w:rPr>
          <w:rFonts w:ascii="Calibri" w:eastAsia="Calibri" w:hAnsi="Calibri" w:cs="Calibri"/>
          <w:b/>
          <w:kern w:val="0"/>
          <w:sz w:val="24"/>
          <w:szCs w:val="24"/>
          <w:lang w:val="sr-Latn-RS" w:eastAsia="sr-Cyrl-CS" w:bidi="sr-Cyrl-CS"/>
          <w14:ligatures w14:val="none"/>
        </w:rPr>
      </w:pPr>
      <w:r w:rsidRPr="0032480C">
        <w:rPr>
          <w:rFonts w:ascii="Calibri" w:eastAsia="Calibri" w:hAnsi="Calibri" w:cs="Calibri"/>
          <w:kern w:val="0"/>
          <w:sz w:val="24"/>
          <w:szCs w:val="24"/>
          <w:lang w:val="sr-Latn-RS" w:eastAsia="sr-Cyrl-CS" w:bidi="sr-Cyrl-CS"/>
          <w14:ligatures w14:val="none"/>
        </w:rPr>
        <w:t xml:space="preserve">priprema novih i/ili ažuriranje postojećih programa za mlade i odrasle kako bi se adekvatno odgovorilo potrebama tržišta rada iz oblasti digitalnih tehnologija i zelenih poslova (sektori inženjerstvo, poljoprivreda, hemijske tehnologije i grafičarstvo i dr); </w:t>
      </w:r>
    </w:p>
    <w:p w14:paraId="4186882A" w14:textId="77777777" w:rsidR="0032480C" w:rsidRPr="0032480C" w:rsidRDefault="0032480C" w:rsidP="00FD3827">
      <w:pPr>
        <w:widowControl w:val="0"/>
        <w:numPr>
          <w:ilvl w:val="0"/>
          <w:numId w:val="29"/>
        </w:numPr>
        <w:spacing w:after="0" w:line="240" w:lineRule="auto"/>
        <w:contextualSpacing/>
        <w:jc w:val="both"/>
        <w:rPr>
          <w:rFonts w:ascii="Calibri" w:eastAsia="Calibri" w:hAnsi="Calibri" w:cs="Calibri"/>
          <w:kern w:val="0"/>
          <w:sz w:val="24"/>
          <w:szCs w:val="24"/>
          <w:lang w:val="sr-Latn-RS" w:eastAsia="sr-Cyrl-CS" w:bidi="sr-Cyrl-CS"/>
          <w14:ligatures w14:val="none"/>
        </w:rPr>
      </w:pPr>
      <w:r w:rsidRPr="0032480C">
        <w:rPr>
          <w:rFonts w:ascii="Calibri" w:eastAsia="Calibri" w:hAnsi="Calibri" w:cs="Calibri"/>
          <w:kern w:val="0"/>
          <w:sz w:val="24"/>
          <w:szCs w:val="24"/>
          <w:lang w:val="sr-Latn-RS" w:eastAsia="sr-Cyrl-CS" w:bidi="sr-Cyrl-CS"/>
          <w14:ligatures w14:val="none"/>
        </w:rPr>
        <w:t>organizovanje obuka za nastavnike praktične nastave, organizatore i instruktore praktičnog obrazovanja;</w:t>
      </w:r>
    </w:p>
    <w:p w14:paraId="61228EE5" w14:textId="452F81D3" w:rsidR="0032480C" w:rsidRPr="0032480C" w:rsidRDefault="0032480C" w:rsidP="00FD3827">
      <w:pPr>
        <w:widowControl w:val="0"/>
        <w:numPr>
          <w:ilvl w:val="0"/>
          <w:numId w:val="29"/>
        </w:numPr>
        <w:spacing w:after="0" w:line="240" w:lineRule="auto"/>
        <w:contextualSpacing/>
        <w:rPr>
          <w:rFonts w:ascii="Calibri" w:eastAsia="Calibri" w:hAnsi="Calibri" w:cs="Calibri"/>
          <w:kern w:val="0"/>
          <w:sz w:val="24"/>
          <w:szCs w:val="24"/>
          <w:lang w:val="sr-Latn-RS" w:eastAsia="sr-Cyrl-CS" w:bidi="sr-Cyrl-CS"/>
          <w14:ligatures w14:val="none"/>
        </w:rPr>
      </w:pPr>
      <w:r w:rsidRPr="0032480C">
        <w:rPr>
          <w:rFonts w:ascii="Calibri" w:eastAsia="Calibri" w:hAnsi="Calibri" w:cs="Calibri"/>
          <w:kern w:val="0"/>
          <w:sz w:val="24"/>
          <w:szCs w:val="24"/>
          <w:lang w:val="sr-Latn-RS" w:eastAsia="sr-Cyrl-CS" w:bidi="sr-Cyrl-CS"/>
          <w14:ligatures w14:val="none"/>
        </w:rPr>
        <w:t xml:space="preserve">uspostavljanje timova za karijerno vođenje i savjetovanje u osnovnim i srednjim </w:t>
      </w:r>
      <w:r w:rsidR="00436100">
        <w:rPr>
          <w:rFonts w:ascii="Calibri" w:eastAsia="Calibri" w:hAnsi="Calibri" w:cs="Calibri"/>
          <w:kern w:val="0"/>
          <w:sz w:val="24"/>
          <w:szCs w:val="24"/>
          <w:lang w:val="sr-Latn-RS" w:eastAsia="sr-Cyrl-CS" w:bidi="sr-Cyrl-CS"/>
          <w14:ligatures w14:val="none"/>
        </w:rPr>
        <w:t xml:space="preserve">školama u deset </w:t>
      </w:r>
      <w:r w:rsidRPr="0032480C">
        <w:rPr>
          <w:rFonts w:ascii="Calibri" w:eastAsia="Calibri" w:hAnsi="Calibri" w:cs="Calibri"/>
          <w:kern w:val="0"/>
          <w:sz w:val="24"/>
          <w:szCs w:val="24"/>
          <w:lang w:val="sr-Latn-RS" w:eastAsia="sr-Cyrl-CS" w:bidi="sr-Cyrl-CS"/>
          <w14:ligatures w14:val="none"/>
        </w:rPr>
        <w:t>opština u Crnoj Gori</w:t>
      </w:r>
      <w:r>
        <w:rPr>
          <w:rFonts w:ascii="Calibri" w:eastAsia="Calibri" w:hAnsi="Calibri" w:cs="Calibri"/>
          <w:kern w:val="0"/>
          <w:sz w:val="24"/>
          <w:szCs w:val="24"/>
          <w:lang w:val="sr-Latn-RS" w:eastAsia="sr-Cyrl-CS" w:bidi="sr-Cyrl-CS"/>
          <w14:ligatures w14:val="none"/>
        </w:rPr>
        <w:t>.</w:t>
      </w:r>
      <w:r w:rsidR="00432A04">
        <w:rPr>
          <w:rFonts w:ascii="Calibri" w:eastAsia="Calibri" w:hAnsi="Calibri" w:cs="Calibri"/>
          <w:kern w:val="0"/>
          <w:sz w:val="24"/>
          <w:szCs w:val="24"/>
          <w:lang w:val="sr-Latn-RS" w:eastAsia="sr-Cyrl-CS" w:bidi="sr-Cyrl-CS"/>
          <w14:ligatures w14:val="none"/>
        </w:rPr>
        <w:t xml:space="preserve"> MPNI</w:t>
      </w:r>
    </w:p>
    <w:p w14:paraId="783E7FD2" w14:textId="28345B59" w:rsidR="00691817" w:rsidRPr="008D0B88" w:rsidRDefault="00691817" w:rsidP="00155792">
      <w:pPr>
        <w:jc w:val="both"/>
        <w:rPr>
          <w:rFonts w:eastAsia="Calibri" w:cstheme="minorHAnsi"/>
          <w:kern w:val="0"/>
          <w:sz w:val="24"/>
          <w:szCs w:val="24"/>
          <w:lang w:val="sr-Latn-ME" w:eastAsia="sr-Cyrl-CS" w:bidi="sr-Cyrl-CS"/>
          <w14:ligatures w14:val="none"/>
        </w:rPr>
      </w:pPr>
      <w:r w:rsidRPr="008D0B88">
        <w:rPr>
          <w:rFonts w:eastAsia="Calibri" w:cstheme="minorHAnsi"/>
          <w:b/>
          <w:bCs/>
          <w:kern w:val="0"/>
          <w:sz w:val="24"/>
          <w:szCs w:val="24"/>
          <w:lang w:val="sr-Latn-RS" w:eastAsia="sr-Cyrl-CS" w:bidi="sr-Cyrl-CS"/>
          <w14:ligatures w14:val="none"/>
        </w:rPr>
        <w:t>Aktivnosti planirane za 2026</w:t>
      </w:r>
      <w:r w:rsidR="00922341">
        <w:rPr>
          <w:rFonts w:eastAsia="Calibri" w:cstheme="minorHAnsi"/>
          <w:b/>
          <w:bCs/>
          <w:kern w:val="0"/>
          <w:sz w:val="24"/>
          <w:szCs w:val="24"/>
          <w:lang w:val="sr-Latn-RS" w:eastAsia="sr-Cyrl-CS" w:bidi="sr-Cyrl-CS"/>
          <w14:ligatures w14:val="none"/>
        </w:rPr>
        <w:t>.</w:t>
      </w:r>
    </w:p>
    <w:p w14:paraId="10EDDBC8" w14:textId="75476976" w:rsidR="0032480C" w:rsidRPr="0032480C" w:rsidRDefault="0032480C" w:rsidP="0032480C">
      <w:pPr>
        <w:widowControl w:val="0"/>
        <w:tabs>
          <w:tab w:val="left" w:pos="306"/>
        </w:tabs>
        <w:spacing w:after="0" w:line="240" w:lineRule="auto"/>
        <w:ind w:left="306"/>
        <w:jc w:val="both"/>
        <w:rPr>
          <w:rFonts w:ascii="Calibri" w:eastAsia="Calibri" w:hAnsi="Calibri" w:cs="Calibri"/>
          <w:b/>
          <w:bCs/>
          <w:kern w:val="0"/>
          <w:sz w:val="24"/>
          <w:szCs w:val="24"/>
          <w:lang w:val="sr-Latn-RS" w:eastAsia="sr-Cyrl-CS" w:bidi="sr-Cyrl-CS"/>
          <w14:ligatures w14:val="none"/>
        </w:rPr>
      </w:pPr>
      <w:r w:rsidRPr="0032480C">
        <w:rPr>
          <w:rFonts w:ascii="Calibri" w:eastAsia="Calibri" w:hAnsi="Calibri" w:cs="Calibri"/>
          <w:color w:val="000000"/>
          <w:kern w:val="0"/>
          <w:sz w:val="24"/>
          <w:szCs w:val="24"/>
          <w:lang w:val="sr-Latn-RS" w:eastAsia="sr-Cyrl-CS" w:bidi="sr-Cyrl-CS"/>
          <w14:ligatures w14:val="none"/>
        </w:rPr>
        <w:t xml:space="preserve">a) </w:t>
      </w:r>
      <w:r w:rsidRPr="0032480C">
        <w:rPr>
          <w:rFonts w:ascii="Calibri" w:eastAsia="Calibri" w:hAnsi="Calibri" w:cs="Calibri"/>
          <w:kern w:val="0"/>
          <w:sz w:val="24"/>
          <w:szCs w:val="24"/>
          <w:lang w:val="sr-Latn-RS" w:eastAsia="sr-Cyrl-CS" w:bidi="sr-Cyrl-CS"/>
          <w14:ligatures w14:val="none"/>
        </w:rPr>
        <w:t>Priprema izvještaja o relalizacji Plana implementacije „Garancije za mlade“ i priprema Novog Plana</w:t>
      </w:r>
      <w:r w:rsidR="002818AF">
        <w:rPr>
          <w:rFonts w:ascii="Calibri" w:eastAsia="Calibri" w:hAnsi="Calibri" w:cs="Calibri"/>
          <w:kern w:val="0"/>
          <w:sz w:val="24"/>
          <w:szCs w:val="24"/>
          <w:lang w:val="sr-Latn-RS" w:eastAsia="sr-Cyrl-CS" w:bidi="sr-Cyrl-CS"/>
          <w14:ligatures w14:val="none"/>
        </w:rPr>
        <w:t>.</w:t>
      </w:r>
      <w:r w:rsidR="00432A04">
        <w:rPr>
          <w:rFonts w:ascii="Calibri" w:eastAsia="Calibri" w:hAnsi="Calibri" w:cs="Calibri"/>
          <w:kern w:val="0"/>
          <w:sz w:val="24"/>
          <w:szCs w:val="24"/>
          <w:lang w:val="sr-Latn-RS" w:eastAsia="sr-Cyrl-CS" w:bidi="sr-Cyrl-CS"/>
          <w14:ligatures w14:val="none"/>
        </w:rPr>
        <w:t xml:space="preserve"> MRSS</w:t>
      </w:r>
    </w:p>
    <w:p w14:paraId="10154553" w14:textId="77777777" w:rsidR="0032480C" w:rsidRPr="0032480C" w:rsidRDefault="0032480C" w:rsidP="0032480C">
      <w:pPr>
        <w:widowControl w:val="0"/>
        <w:tabs>
          <w:tab w:val="left" w:pos="306"/>
        </w:tabs>
        <w:spacing w:after="0" w:line="240" w:lineRule="auto"/>
        <w:ind w:firstLine="306"/>
        <w:contextualSpacing/>
        <w:jc w:val="both"/>
        <w:rPr>
          <w:rFonts w:ascii="Calibri" w:eastAsia="Calibri" w:hAnsi="Calibri" w:cs="Calibri"/>
          <w:b/>
          <w:bCs/>
          <w:i/>
          <w:iCs/>
          <w:kern w:val="0"/>
          <w:sz w:val="24"/>
          <w:szCs w:val="24"/>
          <w:lang w:val="sr-Latn-RS" w:eastAsia="sr-Cyrl-CS" w:bidi="sr-Cyrl-CS"/>
          <w14:ligatures w14:val="none"/>
        </w:rPr>
      </w:pPr>
      <w:r w:rsidRPr="00436100">
        <w:rPr>
          <w:rFonts w:ascii="Calibri" w:eastAsia="Calibri" w:hAnsi="Calibri" w:cs="Calibri"/>
          <w:iCs/>
          <w:kern w:val="0"/>
          <w:sz w:val="24"/>
          <w:szCs w:val="24"/>
          <w:lang w:val="sr-Latn-RS" w:eastAsia="sr-Cyrl-CS" w:bidi="sr-Cyrl-CS"/>
          <w14:ligatures w14:val="none"/>
        </w:rPr>
        <w:t>b)</w:t>
      </w:r>
      <w:r w:rsidRPr="0032480C">
        <w:rPr>
          <w:rFonts w:ascii="Calibri" w:eastAsia="Calibri" w:hAnsi="Calibri" w:cs="Calibri"/>
          <w:i/>
          <w:iCs/>
          <w:kern w:val="0"/>
          <w:sz w:val="24"/>
          <w:szCs w:val="24"/>
          <w:lang w:val="sr-Latn-RS" w:eastAsia="sr-Cyrl-CS" w:bidi="sr-Cyrl-CS"/>
          <w14:ligatures w14:val="none"/>
        </w:rPr>
        <w:t xml:space="preserve"> </w:t>
      </w:r>
      <w:r w:rsidRPr="0032480C">
        <w:rPr>
          <w:rFonts w:ascii="Calibri" w:eastAsia="Calibri" w:hAnsi="Calibri" w:cs="Calibri"/>
          <w:kern w:val="0"/>
          <w:sz w:val="24"/>
          <w:szCs w:val="24"/>
          <w:lang w:val="sr-Latn-RS" w:eastAsia="sr-Cyrl-CS" w:bidi="sr-Cyrl-CS"/>
          <w14:ligatures w14:val="none"/>
        </w:rPr>
        <w:t>Unapređenje kvaliteta stručnog obrazovanja kroz:</w:t>
      </w:r>
    </w:p>
    <w:p w14:paraId="1B114770" w14:textId="0A188B2E" w:rsidR="0032480C" w:rsidRPr="00082B85" w:rsidRDefault="0032480C" w:rsidP="00FD3827">
      <w:pPr>
        <w:pStyle w:val="ListParagraph"/>
        <w:widowControl w:val="0"/>
        <w:numPr>
          <w:ilvl w:val="0"/>
          <w:numId w:val="30"/>
        </w:numPr>
        <w:spacing w:after="0" w:line="240" w:lineRule="auto"/>
        <w:jc w:val="both"/>
        <w:rPr>
          <w:rFonts w:ascii="Calibri" w:eastAsia="Calibri" w:hAnsi="Calibri" w:cs="Calibri"/>
          <w:kern w:val="0"/>
          <w:sz w:val="24"/>
          <w:szCs w:val="24"/>
          <w:lang w:val="sr-Latn-RS" w:eastAsia="sr-Cyrl-CS" w:bidi="sr-Cyrl-CS"/>
          <w14:ligatures w14:val="none"/>
        </w:rPr>
      </w:pPr>
      <w:r w:rsidRPr="00082B85">
        <w:rPr>
          <w:rFonts w:ascii="Calibri" w:eastAsia="Calibri" w:hAnsi="Calibri" w:cs="Calibri"/>
          <w:kern w:val="0"/>
          <w:sz w:val="24"/>
          <w:szCs w:val="24"/>
          <w:lang w:val="sr-Latn-RS" w:eastAsia="sr-Cyrl-CS" w:bidi="sr-Cyrl-CS"/>
          <w14:ligatures w14:val="none"/>
        </w:rPr>
        <w:t>uspostavljanje timova za karijerno vođenje i savjetovanje u osnovnim i srednjim školama u svim opštinama u Crnoj Gori</w:t>
      </w:r>
      <w:r w:rsidR="00436100" w:rsidRPr="00082B85">
        <w:rPr>
          <w:rFonts w:ascii="Calibri" w:eastAsia="Calibri" w:hAnsi="Calibri" w:cs="Calibri"/>
          <w:kern w:val="0"/>
          <w:sz w:val="24"/>
          <w:szCs w:val="24"/>
          <w:lang w:val="sr-Latn-RS" w:eastAsia="sr-Cyrl-CS" w:bidi="sr-Cyrl-CS"/>
          <w14:ligatures w14:val="none"/>
        </w:rPr>
        <w:t>;</w:t>
      </w:r>
    </w:p>
    <w:p w14:paraId="33FF5F2A" w14:textId="1357D7FC" w:rsidR="00EC6101" w:rsidRPr="00C83383" w:rsidRDefault="0032480C" w:rsidP="00FD3827">
      <w:pPr>
        <w:pStyle w:val="ListParagraph"/>
        <w:widowControl w:val="0"/>
        <w:numPr>
          <w:ilvl w:val="0"/>
          <w:numId w:val="30"/>
        </w:numPr>
        <w:spacing w:after="0" w:line="240" w:lineRule="auto"/>
        <w:jc w:val="both"/>
        <w:rPr>
          <w:rFonts w:ascii="Calibri" w:eastAsia="Calibri" w:hAnsi="Calibri" w:cs="Calibri"/>
          <w:b/>
          <w:bCs/>
          <w:kern w:val="0"/>
          <w:sz w:val="24"/>
          <w:szCs w:val="24"/>
          <w:lang w:val="sr-Latn-RS" w:eastAsia="sr-Cyrl-CS" w:bidi="sr-Cyrl-CS"/>
          <w14:ligatures w14:val="none"/>
        </w:rPr>
      </w:pPr>
      <w:r w:rsidRPr="00082B85">
        <w:rPr>
          <w:rFonts w:ascii="Calibri" w:eastAsia="Calibri" w:hAnsi="Calibri" w:cs="Calibri"/>
          <w:kern w:val="0"/>
          <w:sz w:val="24"/>
          <w:szCs w:val="24"/>
          <w:lang w:val="sr-Latn-RS" w:eastAsia="sr-Cyrl-CS" w:bidi="sr-Cyrl-CS"/>
          <w14:ligatures w14:val="none"/>
        </w:rPr>
        <w:t xml:space="preserve">Praćenje karijere </w:t>
      </w:r>
      <w:r w:rsidR="00436100" w:rsidRPr="00082B85">
        <w:rPr>
          <w:rFonts w:ascii="Calibri" w:eastAsia="Calibri" w:hAnsi="Calibri" w:cs="Calibri"/>
          <w:kern w:val="0"/>
          <w:sz w:val="24"/>
          <w:szCs w:val="24"/>
          <w:lang w:val="sr-Latn-RS" w:eastAsia="sr-Cyrl-CS" w:bidi="sr-Cyrl-CS"/>
          <w14:ligatures w14:val="none"/>
        </w:rPr>
        <w:t>svršenih srednjoškolaca, unap</w:t>
      </w:r>
      <w:r w:rsidRPr="00082B85">
        <w:rPr>
          <w:rFonts w:ascii="Calibri" w:eastAsia="Calibri" w:hAnsi="Calibri" w:cs="Calibri"/>
          <w:kern w:val="0"/>
          <w:sz w:val="24"/>
          <w:szCs w:val="24"/>
          <w:lang w:val="sr-Latn-RS" w:eastAsia="sr-Cyrl-CS" w:bidi="sr-Cyrl-CS"/>
          <w14:ligatures w14:val="none"/>
        </w:rPr>
        <w:t>ređenje kompetencija nastavnika i dalji razvoj sistema osiguranja kvaliteta za IVET i za CVET na osnovu EQAVET okvira sa fokusom na eksternu evaluaciju pružalaca stručnog obrazovanja i obuke; Priprema za priznavanje prethodnog učenja (RPL).</w:t>
      </w:r>
      <w:r w:rsidR="00432A04" w:rsidRPr="00082B85">
        <w:rPr>
          <w:rFonts w:ascii="Calibri" w:eastAsia="Calibri" w:hAnsi="Calibri" w:cs="Calibri"/>
          <w:kern w:val="0"/>
          <w:sz w:val="24"/>
          <w:szCs w:val="24"/>
          <w:lang w:val="sr-Latn-RS" w:eastAsia="sr-Cyrl-CS" w:bidi="sr-Cyrl-CS"/>
          <w14:ligatures w14:val="none"/>
        </w:rPr>
        <w:t xml:space="preserve"> MPNI</w:t>
      </w:r>
    </w:p>
    <w:p w14:paraId="2C058849" w14:textId="1CF8CB07" w:rsidR="00C83383" w:rsidRDefault="00C83383" w:rsidP="00C83383">
      <w:pPr>
        <w:widowControl w:val="0"/>
        <w:spacing w:after="0" w:line="240" w:lineRule="auto"/>
        <w:jc w:val="both"/>
        <w:rPr>
          <w:rFonts w:ascii="Calibri" w:eastAsia="Calibri" w:hAnsi="Calibri" w:cs="Calibri"/>
          <w:b/>
          <w:bCs/>
          <w:kern w:val="0"/>
          <w:sz w:val="24"/>
          <w:szCs w:val="24"/>
          <w:lang w:val="sr-Latn-RS" w:eastAsia="sr-Cyrl-CS" w:bidi="sr-Cyrl-CS"/>
          <w14:ligatures w14:val="none"/>
        </w:rPr>
      </w:pPr>
    </w:p>
    <w:p w14:paraId="0F919F04" w14:textId="0C91C9AD" w:rsidR="00C83383" w:rsidRDefault="00C83383" w:rsidP="00C83383">
      <w:pPr>
        <w:widowControl w:val="0"/>
        <w:spacing w:after="0" w:line="240" w:lineRule="auto"/>
        <w:jc w:val="both"/>
        <w:rPr>
          <w:rFonts w:ascii="Calibri" w:eastAsia="Calibri" w:hAnsi="Calibri" w:cs="Calibri"/>
          <w:b/>
          <w:bCs/>
          <w:kern w:val="0"/>
          <w:sz w:val="24"/>
          <w:szCs w:val="24"/>
          <w:lang w:val="sr-Latn-RS" w:eastAsia="sr-Cyrl-CS" w:bidi="sr-Cyrl-CS"/>
          <w14:ligatures w14:val="none"/>
        </w:rPr>
      </w:pPr>
    </w:p>
    <w:p w14:paraId="4FF29E34" w14:textId="77777777" w:rsidR="00C83383" w:rsidRPr="00C83383" w:rsidRDefault="00C83383" w:rsidP="00C83383">
      <w:pPr>
        <w:widowControl w:val="0"/>
        <w:spacing w:after="0" w:line="240" w:lineRule="auto"/>
        <w:jc w:val="both"/>
        <w:rPr>
          <w:rFonts w:ascii="Calibri" w:eastAsia="Calibri" w:hAnsi="Calibri" w:cs="Calibri"/>
          <w:b/>
          <w:bCs/>
          <w:kern w:val="0"/>
          <w:sz w:val="24"/>
          <w:szCs w:val="24"/>
          <w:lang w:val="sr-Latn-RS" w:eastAsia="sr-Cyrl-CS" w:bidi="sr-Cyrl-CS"/>
          <w14:ligatures w14:val="none"/>
        </w:rPr>
      </w:pPr>
    </w:p>
    <w:p w14:paraId="5C03A4FE" w14:textId="77777777" w:rsidR="00670EA2" w:rsidRPr="00670EA2" w:rsidRDefault="00670EA2" w:rsidP="00B735F3">
      <w:pPr>
        <w:widowControl w:val="0"/>
        <w:spacing w:after="0" w:line="240" w:lineRule="auto"/>
        <w:ind w:left="666"/>
        <w:contextualSpacing/>
        <w:jc w:val="both"/>
        <w:rPr>
          <w:rFonts w:ascii="Calibri" w:eastAsia="Calibri" w:hAnsi="Calibri" w:cs="Calibri"/>
          <w:b/>
          <w:bCs/>
          <w:kern w:val="0"/>
          <w:sz w:val="24"/>
          <w:szCs w:val="24"/>
          <w:lang w:val="sr-Latn-RS" w:eastAsia="sr-Cyrl-CS" w:bidi="sr-Cyrl-CS"/>
          <w14:ligatures w14:val="none"/>
        </w:rPr>
      </w:pPr>
    </w:p>
    <w:p w14:paraId="3BA640CA" w14:textId="554CA2F6" w:rsidR="00691817" w:rsidRPr="0032480C" w:rsidRDefault="00155792" w:rsidP="00FD3827">
      <w:pPr>
        <w:pStyle w:val="ListParagraph"/>
        <w:numPr>
          <w:ilvl w:val="0"/>
          <w:numId w:val="10"/>
        </w:numPr>
        <w:jc w:val="both"/>
        <w:rPr>
          <w:rFonts w:eastAsia="Calibri" w:cstheme="minorHAnsi"/>
          <w:b/>
          <w:bCs/>
          <w:kern w:val="0"/>
          <w:sz w:val="24"/>
          <w:szCs w:val="24"/>
          <w:lang w:val="sr-Latn-RS" w:eastAsia="sr-Cyrl-CS" w:bidi="sr-Cyrl-CS"/>
          <w14:ligatures w14:val="none"/>
        </w:rPr>
      </w:pPr>
      <w:r w:rsidRPr="0032480C">
        <w:rPr>
          <w:rFonts w:eastAsia="Calibri" w:cstheme="minorHAnsi"/>
          <w:b/>
          <w:bCs/>
          <w:kern w:val="0"/>
          <w:sz w:val="24"/>
          <w:szCs w:val="24"/>
          <w:lang w:val="sr-Latn-RS" w:eastAsia="sr-Cyrl-CS" w:bidi="sr-Cyrl-CS"/>
          <w14:ligatures w14:val="none"/>
        </w:rPr>
        <w:lastRenderedPageBreak/>
        <w:t>Indikatori rezultata.</w:t>
      </w:r>
    </w:p>
    <w:tbl>
      <w:tblPr>
        <w:tblStyle w:val="GridTable6Colorful-Accent5"/>
        <w:tblW w:w="9985" w:type="dxa"/>
        <w:tblLayout w:type="fixed"/>
        <w:tblLook w:val="04A0" w:firstRow="1" w:lastRow="0" w:firstColumn="1" w:lastColumn="0" w:noHBand="0" w:noVBand="1"/>
      </w:tblPr>
      <w:tblGrid>
        <w:gridCol w:w="5098"/>
        <w:gridCol w:w="1647"/>
        <w:gridCol w:w="1710"/>
        <w:gridCol w:w="1530"/>
      </w:tblGrid>
      <w:tr w:rsidR="00155792" w:rsidRPr="00922341" w14:paraId="7BDA0D9D" w14:textId="77777777" w:rsidTr="002712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Pr>
          <w:p w14:paraId="07DF5B7D" w14:textId="77777777" w:rsidR="00155792" w:rsidRPr="00082B85" w:rsidRDefault="00155792" w:rsidP="00155792">
            <w:pPr>
              <w:jc w:val="center"/>
              <w:rPr>
                <w:rFonts w:eastAsia="Calibri" w:cstheme="minorHAnsi"/>
                <w:b w:val="0"/>
                <w:color w:val="auto"/>
                <w:sz w:val="20"/>
                <w:szCs w:val="20"/>
                <w:lang w:val="sr-Latn-RS"/>
              </w:rPr>
            </w:pPr>
            <w:r w:rsidRPr="00082B85">
              <w:rPr>
                <w:rFonts w:eastAsia="Calibri" w:cstheme="minorHAnsi"/>
                <w:color w:val="auto"/>
                <w:sz w:val="20"/>
                <w:szCs w:val="20"/>
                <w:lang w:val="sr-Latn-RS"/>
              </w:rPr>
              <w:t xml:space="preserve">Indikator </w:t>
            </w:r>
          </w:p>
        </w:tc>
        <w:tc>
          <w:tcPr>
            <w:tcW w:w="1647" w:type="dxa"/>
          </w:tcPr>
          <w:p w14:paraId="1EC5793E" w14:textId="77777777" w:rsidR="00155792" w:rsidRPr="00082B85" w:rsidRDefault="00155792" w:rsidP="00155792">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color w:val="auto"/>
                <w:sz w:val="20"/>
                <w:szCs w:val="20"/>
                <w:lang w:val="sr-Latn-RS"/>
              </w:rPr>
            </w:pPr>
            <w:r w:rsidRPr="00082B85">
              <w:rPr>
                <w:rFonts w:eastAsia="Calibri" w:cstheme="minorHAnsi"/>
                <w:color w:val="auto"/>
                <w:sz w:val="20"/>
                <w:szCs w:val="20"/>
                <w:lang w:val="sr-Latn-RS"/>
              </w:rPr>
              <w:t xml:space="preserve">Početna vrijednost </w:t>
            </w:r>
          </w:p>
          <w:p w14:paraId="18C90728" w14:textId="5A3DEDD3" w:rsidR="00155792" w:rsidRPr="00082B85" w:rsidRDefault="00082B85" w:rsidP="00155792">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color w:val="auto"/>
                <w:sz w:val="20"/>
                <w:szCs w:val="20"/>
                <w:lang w:val="sr-Latn-RS"/>
              </w:rPr>
            </w:pPr>
            <w:r>
              <w:rPr>
                <w:rFonts w:eastAsia="Calibri" w:cstheme="minorHAnsi"/>
                <w:color w:val="auto"/>
                <w:sz w:val="20"/>
                <w:szCs w:val="20"/>
                <w:lang w:val="sr-Latn-RS"/>
              </w:rPr>
              <w:t>(</w:t>
            </w:r>
            <w:r w:rsidR="00155792" w:rsidRPr="00082B85">
              <w:rPr>
                <w:rFonts w:eastAsia="Calibri" w:cstheme="minorHAnsi"/>
                <w:color w:val="auto"/>
                <w:sz w:val="20"/>
                <w:szCs w:val="20"/>
                <w:lang w:val="sr-Latn-RS"/>
              </w:rPr>
              <w:t>202</w:t>
            </w:r>
            <w:r w:rsidR="0021288D" w:rsidRPr="00082B85">
              <w:rPr>
                <w:rFonts w:eastAsia="Calibri" w:cstheme="minorHAnsi"/>
                <w:color w:val="auto"/>
                <w:sz w:val="20"/>
                <w:szCs w:val="20"/>
                <w:lang w:val="sr-Latn-RS"/>
              </w:rPr>
              <w:t>2</w:t>
            </w:r>
            <w:r>
              <w:rPr>
                <w:rFonts w:eastAsia="Calibri" w:cstheme="minorHAnsi"/>
                <w:color w:val="auto"/>
                <w:sz w:val="20"/>
                <w:szCs w:val="20"/>
                <w:lang w:val="sr-Latn-RS"/>
              </w:rPr>
              <w:t>)</w:t>
            </w:r>
          </w:p>
        </w:tc>
        <w:tc>
          <w:tcPr>
            <w:tcW w:w="1710" w:type="dxa"/>
          </w:tcPr>
          <w:p w14:paraId="732455E1" w14:textId="7DED79BC" w:rsidR="00155792" w:rsidRPr="00082B85" w:rsidRDefault="00795FF0" w:rsidP="00155792">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color w:val="auto"/>
                <w:sz w:val="20"/>
                <w:szCs w:val="20"/>
                <w:lang w:val="sr-Latn-RS"/>
              </w:rPr>
            </w:pPr>
            <w:r w:rsidRPr="00082B85">
              <w:rPr>
                <w:rFonts w:eastAsia="Calibri" w:cstheme="minorHAnsi"/>
                <w:color w:val="auto"/>
                <w:sz w:val="20"/>
                <w:szCs w:val="20"/>
                <w:lang w:val="sr-Latn-RS"/>
              </w:rPr>
              <w:t>Međ</w:t>
            </w:r>
            <w:r w:rsidR="00155792" w:rsidRPr="00082B85">
              <w:rPr>
                <w:rFonts w:eastAsia="Calibri" w:cstheme="minorHAnsi"/>
                <w:color w:val="auto"/>
                <w:sz w:val="20"/>
                <w:szCs w:val="20"/>
                <w:lang w:val="sr-Latn-RS"/>
              </w:rPr>
              <w:t>urezultat</w:t>
            </w:r>
          </w:p>
          <w:p w14:paraId="53FF9C76" w14:textId="406E1498" w:rsidR="00155792" w:rsidRPr="00082B85" w:rsidRDefault="00082B85" w:rsidP="00155792">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color w:val="auto"/>
                <w:sz w:val="20"/>
                <w:szCs w:val="20"/>
                <w:lang w:val="sr-Latn-RS"/>
              </w:rPr>
            </w:pPr>
            <w:r>
              <w:rPr>
                <w:rFonts w:eastAsia="Calibri" w:cstheme="minorHAnsi"/>
                <w:color w:val="auto"/>
                <w:sz w:val="20"/>
                <w:szCs w:val="20"/>
                <w:lang w:val="sr-Latn-RS"/>
              </w:rPr>
              <w:t>(</w:t>
            </w:r>
            <w:r w:rsidR="00155792" w:rsidRPr="00082B85">
              <w:rPr>
                <w:rFonts w:eastAsia="Calibri" w:cstheme="minorHAnsi"/>
                <w:color w:val="auto"/>
                <w:sz w:val="20"/>
                <w:szCs w:val="20"/>
                <w:lang w:val="sr-Latn-RS"/>
              </w:rPr>
              <w:t>2024</w:t>
            </w:r>
            <w:r>
              <w:rPr>
                <w:rFonts w:eastAsia="Calibri" w:cstheme="minorHAnsi"/>
                <w:color w:val="auto"/>
                <w:sz w:val="20"/>
                <w:szCs w:val="20"/>
                <w:lang w:val="sr-Latn-RS"/>
              </w:rPr>
              <w:t>)</w:t>
            </w:r>
          </w:p>
        </w:tc>
        <w:tc>
          <w:tcPr>
            <w:tcW w:w="1530" w:type="dxa"/>
          </w:tcPr>
          <w:p w14:paraId="1022414C" w14:textId="77777777" w:rsidR="00155792" w:rsidRPr="00082B85" w:rsidRDefault="00155792" w:rsidP="00795FF0">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color w:val="auto"/>
                <w:sz w:val="20"/>
                <w:szCs w:val="20"/>
                <w:lang w:val="sr-Latn-RS"/>
              </w:rPr>
            </w:pPr>
            <w:r w:rsidRPr="00082B85">
              <w:rPr>
                <w:rFonts w:eastAsia="Calibri" w:cstheme="minorHAnsi"/>
                <w:color w:val="auto"/>
                <w:sz w:val="20"/>
                <w:szCs w:val="20"/>
                <w:lang w:val="sr-Latn-RS"/>
              </w:rPr>
              <w:t>Ciljna vrijednost</w:t>
            </w:r>
          </w:p>
          <w:p w14:paraId="0D2FBFB4" w14:textId="2BA05F0F" w:rsidR="00155792" w:rsidRPr="00082B85" w:rsidRDefault="00082B85" w:rsidP="00795FF0">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color w:val="auto"/>
                <w:sz w:val="20"/>
                <w:szCs w:val="20"/>
                <w:lang w:val="sr-Latn-RS"/>
              </w:rPr>
            </w:pPr>
            <w:r>
              <w:rPr>
                <w:rFonts w:eastAsia="Calibri" w:cstheme="minorHAnsi"/>
                <w:color w:val="auto"/>
                <w:sz w:val="20"/>
                <w:szCs w:val="20"/>
                <w:lang w:val="sr-Latn-RS"/>
              </w:rPr>
              <w:t>(</w:t>
            </w:r>
            <w:r w:rsidR="00155792" w:rsidRPr="00082B85">
              <w:rPr>
                <w:rFonts w:eastAsia="Calibri" w:cstheme="minorHAnsi"/>
                <w:color w:val="auto"/>
                <w:sz w:val="20"/>
                <w:szCs w:val="20"/>
                <w:lang w:val="sr-Latn-RS"/>
              </w:rPr>
              <w:t>202</w:t>
            </w:r>
            <w:r w:rsidR="00713157" w:rsidRPr="00082B85">
              <w:rPr>
                <w:rFonts w:eastAsia="Calibri" w:cstheme="minorHAnsi"/>
                <w:color w:val="auto"/>
                <w:sz w:val="20"/>
                <w:szCs w:val="20"/>
                <w:lang w:val="sr-Latn-RS"/>
              </w:rPr>
              <w:t>6</w:t>
            </w:r>
            <w:r>
              <w:rPr>
                <w:rFonts w:eastAsia="Calibri" w:cstheme="minorHAnsi"/>
                <w:color w:val="auto"/>
                <w:sz w:val="20"/>
                <w:szCs w:val="20"/>
                <w:lang w:val="sr-Latn-RS"/>
              </w:rPr>
              <w:t>)</w:t>
            </w:r>
          </w:p>
        </w:tc>
      </w:tr>
      <w:tr w:rsidR="0032480C" w:rsidRPr="00922341" w14:paraId="2EDBB904" w14:textId="77777777" w:rsidTr="002712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Pr>
          <w:p w14:paraId="1DEB2FDF" w14:textId="02965334" w:rsidR="0032480C" w:rsidRPr="002712E9" w:rsidRDefault="007338DF" w:rsidP="00795FF0">
            <w:pPr>
              <w:jc w:val="both"/>
              <w:rPr>
                <w:rFonts w:eastAsia="Calibri" w:cstheme="minorHAnsi"/>
                <w:b w:val="0"/>
                <w:bCs w:val="0"/>
                <w:color w:val="auto"/>
                <w:lang w:val="sr-Latn-RS"/>
              </w:rPr>
            </w:pPr>
            <w:r w:rsidRPr="00950CE6">
              <w:rPr>
                <w:rFonts w:cstheme="minorHAnsi"/>
                <w:b w:val="0"/>
                <w:bCs w:val="0"/>
                <w:color w:val="auto"/>
                <w:sz w:val="20"/>
                <w:szCs w:val="20"/>
                <w:lang w:val="sr-Latn-RS"/>
              </w:rPr>
              <w:t>Broj nezaposlenih mladih lica</w:t>
            </w:r>
            <w:r w:rsidRPr="002712E9">
              <w:rPr>
                <w:rFonts w:cstheme="minorHAnsi"/>
                <w:b w:val="0"/>
                <w:bCs w:val="0"/>
                <w:color w:val="auto"/>
                <w:sz w:val="20"/>
                <w:szCs w:val="20"/>
                <w:lang w:val="sr-Latn-RS"/>
              </w:rPr>
              <w:t xml:space="preserve"> koji su pristupili pilot fazi „Garancije za mlade“</w:t>
            </w:r>
          </w:p>
        </w:tc>
        <w:tc>
          <w:tcPr>
            <w:tcW w:w="1647" w:type="dxa"/>
          </w:tcPr>
          <w:p w14:paraId="629830BD" w14:textId="36DC4393" w:rsidR="0032480C" w:rsidRPr="002712E9" w:rsidRDefault="0032480C" w:rsidP="0032480C">
            <w:pPr>
              <w:jc w:val="center"/>
              <w:cnfStyle w:val="000000100000" w:firstRow="0" w:lastRow="0" w:firstColumn="0" w:lastColumn="0" w:oddVBand="0" w:evenVBand="0" w:oddHBand="1" w:evenHBand="0" w:firstRowFirstColumn="0" w:firstRowLastColumn="0" w:lastRowFirstColumn="0" w:lastRowLastColumn="0"/>
              <w:rPr>
                <w:rFonts w:eastAsia="Calibri" w:cstheme="minorHAnsi"/>
                <w:bCs/>
                <w:color w:val="auto"/>
                <w:lang w:val="sr-Latn-RS"/>
              </w:rPr>
            </w:pPr>
            <w:r w:rsidRPr="002712E9">
              <w:rPr>
                <w:rFonts w:cstheme="minorHAnsi"/>
                <w:bCs/>
                <w:color w:val="auto"/>
                <w:sz w:val="20"/>
                <w:szCs w:val="20"/>
                <w:lang w:val="sr-Latn-RS"/>
              </w:rPr>
              <w:t>0</w:t>
            </w:r>
          </w:p>
        </w:tc>
        <w:tc>
          <w:tcPr>
            <w:tcW w:w="1710" w:type="dxa"/>
          </w:tcPr>
          <w:p w14:paraId="03929B61" w14:textId="3B191F71" w:rsidR="0032480C" w:rsidRPr="002712E9" w:rsidRDefault="0032480C" w:rsidP="0032480C">
            <w:pPr>
              <w:jc w:val="center"/>
              <w:cnfStyle w:val="000000100000" w:firstRow="0" w:lastRow="0" w:firstColumn="0" w:lastColumn="0" w:oddVBand="0" w:evenVBand="0" w:oddHBand="1" w:evenHBand="0" w:firstRowFirstColumn="0" w:firstRowLastColumn="0" w:lastRowFirstColumn="0" w:lastRowLastColumn="0"/>
              <w:rPr>
                <w:rFonts w:eastAsia="Calibri" w:cstheme="minorHAnsi"/>
                <w:bCs/>
                <w:color w:val="auto"/>
                <w:lang w:val="sr-Latn-RS"/>
              </w:rPr>
            </w:pPr>
            <w:r w:rsidRPr="002712E9">
              <w:rPr>
                <w:rFonts w:cstheme="minorHAnsi"/>
                <w:bCs/>
                <w:color w:val="auto"/>
                <w:sz w:val="20"/>
                <w:szCs w:val="20"/>
                <w:lang w:val="sr-Latn-RS"/>
              </w:rPr>
              <w:t>0</w:t>
            </w:r>
          </w:p>
        </w:tc>
        <w:tc>
          <w:tcPr>
            <w:tcW w:w="1530" w:type="dxa"/>
          </w:tcPr>
          <w:p w14:paraId="2A5F8E1D" w14:textId="4DD7FF00" w:rsidR="0032480C" w:rsidRPr="002712E9" w:rsidRDefault="0032480C" w:rsidP="0032480C">
            <w:pPr>
              <w:jc w:val="center"/>
              <w:cnfStyle w:val="000000100000" w:firstRow="0" w:lastRow="0" w:firstColumn="0" w:lastColumn="0" w:oddVBand="0" w:evenVBand="0" w:oddHBand="1" w:evenHBand="0" w:firstRowFirstColumn="0" w:firstRowLastColumn="0" w:lastRowFirstColumn="0" w:lastRowLastColumn="0"/>
              <w:rPr>
                <w:rFonts w:eastAsia="Calibri" w:cstheme="minorHAnsi"/>
                <w:bCs/>
                <w:color w:val="auto"/>
                <w:lang w:val="sr-Latn-RS"/>
              </w:rPr>
            </w:pPr>
            <w:r w:rsidRPr="002712E9">
              <w:rPr>
                <w:rFonts w:cstheme="minorHAnsi"/>
                <w:bCs/>
                <w:color w:val="auto"/>
                <w:sz w:val="20"/>
                <w:szCs w:val="20"/>
                <w:lang w:val="sr-Latn-RS"/>
              </w:rPr>
              <w:t>150</w:t>
            </w:r>
          </w:p>
        </w:tc>
      </w:tr>
      <w:tr w:rsidR="0032480C" w:rsidRPr="00922341" w14:paraId="6F56D9B2" w14:textId="77777777" w:rsidTr="002712E9">
        <w:tc>
          <w:tcPr>
            <w:cnfStyle w:val="001000000000" w:firstRow="0" w:lastRow="0" w:firstColumn="1" w:lastColumn="0" w:oddVBand="0" w:evenVBand="0" w:oddHBand="0" w:evenHBand="0" w:firstRowFirstColumn="0" w:firstRowLastColumn="0" w:lastRowFirstColumn="0" w:lastRowLastColumn="0"/>
            <w:tcW w:w="5098" w:type="dxa"/>
          </w:tcPr>
          <w:p w14:paraId="725E91BE" w14:textId="77777777" w:rsidR="0032480C" w:rsidRPr="002712E9" w:rsidRDefault="0032480C" w:rsidP="00795FF0">
            <w:pPr>
              <w:spacing w:before="40" w:after="40"/>
              <w:jc w:val="both"/>
              <w:rPr>
                <w:b w:val="0"/>
                <w:bCs w:val="0"/>
                <w:color w:val="auto"/>
                <w:sz w:val="20"/>
                <w:szCs w:val="20"/>
                <w:lang w:val="sr-Latn-ME"/>
              </w:rPr>
            </w:pPr>
            <w:r w:rsidRPr="002712E9">
              <w:rPr>
                <w:b w:val="0"/>
                <w:bCs w:val="0"/>
                <w:color w:val="auto"/>
                <w:sz w:val="20"/>
                <w:szCs w:val="20"/>
                <w:lang w:val="sr-Latn-ME"/>
              </w:rPr>
              <w:t>% učenika koji su se obrazovali u dualnom obliku obrazovanje zaposlilo se u periodu od šest mjeseci nakon završetka obrazovanja</w:t>
            </w:r>
          </w:p>
          <w:p w14:paraId="0586702B" w14:textId="501A3237" w:rsidR="0032480C" w:rsidRPr="002712E9" w:rsidRDefault="0032480C" w:rsidP="00795FF0">
            <w:pPr>
              <w:jc w:val="both"/>
              <w:rPr>
                <w:rFonts w:eastAsia="Calibri" w:cstheme="minorHAnsi"/>
                <w:b w:val="0"/>
                <w:bCs w:val="0"/>
                <w:color w:val="auto"/>
                <w:lang w:val="sr-Latn-RS"/>
              </w:rPr>
            </w:pPr>
          </w:p>
        </w:tc>
        <w:tc>
          <w:tcPr>
            <w:tcW w:w="1647" w:type="dxa"/>
          </w:tcPr>
          <w:p w14:paraId="1189CDE8" w14:textId="64345DED" w:rsidR="0032480C" w:rsidRPr="00BA5CCE" w:rsidRDefault="0032480C" w:rsidP="0032480C">
            <w:pPr>
              <w:jc w:val="center"/>
              <w:cnfStyle w:val="000000000000" w:firstRow="0" w:lastRow="0" w:firstColumn="0" w:lastColumn="0" w:oddVBand="0" w:evenVBand="0" w:oddHBand="0" w:evenHBand="0" w:firstRowFirstColumn="0" w:firstRowLastColumn="0" w:lastRowFirstColumn="0" w:lastRowLastColumn="0"/>
              <w:rPr>
                <w:rFonts w:eastAsia="Calibri" w:cstheme="minorHAnsi"/>
                <w:bCs/>
                <w:color w:val="auto"/>
                <w:lang w:val="sr-Latn-RS"/>
              </w:rPr>
            </w:pPr>
            <w:r w:rsidRPr="00BA5CCE">
              <w:rPr>
                <w:rFonts w:cstheme="minorHAnsi"/>
                <w:bCs/>
                <w:color w:val="auto"/>
                <w:sz w:val="20"/>
                <w:szCs w:val="20"/>
                <w:lang w:val="sr-Latn-RS"/>
              </w:rPr>
              <w:t>30</w:t>
            </w:r>
          </w:p>
        </w:tc>
        <w:tc>
          <w:tcPr>
            <w:tcW w:w="1710" w:type="dxa"/>
          </w:tcPr>
          <w:p w14:paraId="6A55B440" w14:textId="75EF5A89" w:rsidR="0032480C" w:rsidRPr="00BA5CCE" w:rsidRDefault="0032480C" w:rsidP="0032480C">
            <w:pPr>
              <w:jc w:val="center"/>
              <w:cnfStyle w:val="000000000000" w:firstRow="0" w:lastRow="0" w:firstColumn="0" w:lastColumn="0" w:oddVBand="0" w:evenVBand="0" w:oddHBand="0" w:evenHBand="0" w:firstRowFirstColumn="0" w:firstRowLastColumn="0" w:lastRowFirstColumn="0" w:lastRowLastColumn="0"/>
              <w:rPr>
                <w:rFonts w:cstheme="minorHAnsi"/>
                <w:bCs/>
                <w:color w:val="auto"/>
                <w:sz w:val="20"/>
                <w:szCs w:val="20"/>
                <w:lang w:val="sr-Latn-RS"/>
              </w:rPr>
            </w:pPr>
            <w:r w:rsidRPr="00BA5CCE">
              <w:rPr>
                <w:rFonts w:cstheme="minorHAnsi"/>
                <w:bCs/>
                <w:color w:val="auto"/>
                <w:sz w:val="20"/>
                <w:szCs w:val="20"/>
                <w:lang w:val="sr-Latn-RS"/>
              </w:rPr>
              <w:t>40</w:t>
            </w:r>
          </w:p>
          <w:p w14:paraId="6EACFE2B" w14:textId="02BBE217" w:rsidR="0032480C" w:rsidRPr="00BA5CCE" w:rsidRDefault="0032480C" w:rsidP="0032480C">
            <w:pPr>
              <w:jc w:val="center"/>
              <w:cnfStyle w:val="000000000000" w:firstRow="0" w:lastRow="0" w:firstColumn="0" w:lastColumn="0" w:oddVBand="0" w:evenVBand="0" w:oddHBand="0" w:evenHBand="0" w:firstRowFirstColumn="0" w:firstRowLastColumn="0" w:lastRowFirstColumn="0" w:lastRowLastColumn="0"/>
              <w:rPr>
                <w:rFonts w:eastAsia="Calibri" w:cstheme="minorHAnsi"/>
                <w:bCs/>
                <w:color w:val="auto"/>
                <w:lang w:val="sr-Latn-RS"/>
              </w:rPr>
            </w:pPr>
          </w:p>
        </w:tc>
        <w:tc>
          <w:tcPr>
            <w:tcW w:w="1530" w:type="dxa"/>
          </w:tcPr>
          <w:p w14:paraId="74F0EC3D" w14:textId="7A713613" w:rsidR="0032480C" w:rsidRPr="00BA5CCE" w:rsidRDefault="0032480C" w:rsidP="0032480C">
            <w:pPr>
              <w:jc w:val="center"/>
              <w:cnfStyle w:val="000000000000" w:firstRow="0" w:lastRow="0" w:firstColumn="0" w:lastColumn="0" w:oddVBand="0" w:evenVBand="0" w:oddHBand="0" w:evenHBand="0" w:firstRowFirstColumn="0" w:firstRowLastColumn="0" w:lastRowFirstColumn="0" w:lastRowLastColumn="0"/>
              <w:rPr>
                <w:rFonts w:cstheme="minorHAnsi"/>
                <w:bCs/>
                <w:color w:val="auto"/>
                <w:sz w:val="20"/>
                <w:szCs w:val="20"/>
                <w:lang w:val="sr-Latn-RS"/>
              </w:rPr>
            </w:pPr>
            <w:r w:rsidRPr="00BA5CCE">
              <w:rPr>
                <w:rFonts w:cstheme="minorHAnsi"/>
                <w:bCs/>
                <w:color w:val="auto"/>
                <w:sz w:val="20"/>
                <w:szCs w:val="20"/>
                <w:lang w:val="sr-Latn-RS"/>
              </w:rPr>
              <w:t>50</w:t>
            </w:r>
          </w:p>
          <w:p w14:paraId="7D9F9CFF" w14:textId="2C6390EF" w:rsidR="0032480C" w:rsidRPr="00BA5CCE" w:rsidRDefault="0032480C" w:rsidP="0032480C">
            <w:pPr>
              <w:jc w:val="center"/>
              <w:cnfStyle w:val="000000000000" w:firstRow="0" w:lastRow="0" w:firstColumn="0" w:lastColumn="0" w:oddVBand="0" w:evenVBand="0" w:oddHBand="0" w:evenHBand="0" w:firstRowFirstColumn="0" w:firstRowLastColumn="0" w:lastRowFirstColumn="0" w:lastRowLastColumn="0"/>
              <w:rPr>
                <w:rFonts w:eastAsia="Calibri" w:cstheme="minorHAnsi"/>
                <w:bCs/>
                <w:color w:val="auto"/>
                <w:lang w:val="sr-Latn-RS"/>
              </w:rPr>
            </w:pPr>
          </w:p>
        </w:tc>
      </w:tr>
      <w:tr w:rsidR="0032480C" w:rsidRPr="00922341" w14:paraId="11FBC013" w14:textId="77777777" w:rsidTr="002712E9">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5098" w:type="dxa"/>
          </w:tcPr>
          <w:p w14:paraId="2E89FEC7" w14:textId="412C2368" w:rsidR="0032480C" w:rsidRPr="00BD46B4" w:rsidRDefault="0032480C" w:rsidP="00795FF0">
            <w:pPr>
              <w:spacing w:before="40" w:after="40"/>
              <w:rPr>
                <w:b w:val="0"/>
                <w:bCs w:val="0"/>
                <w:color w:val="auto"/>
                <w:sz w:val="20"/>
                <w:szCs w:val="20"/>
                <w:lang w:val="sr-Latn-ME"/>
              </w:rPr>
            </w:pPr>
            <w:r w:rsidRPr="00BD46B4">
              <w:rPr>
                <w:rFonts w:ascii="Calibri" w:eastAsia="Calibri" w:hAnsi="Calibri" w:cs="Calibri"/>
                <w:b w:val="0"/>
                <w:bCs w:val="0"/>
                <w:color w:val="auto"/>
                <w:sz w:val="20"/>
                <w:szCs w:val="20"/>
                <w:lang w:val="sr-Latn-RS" w:eastAsia="sr-Cyrl-CS" w:bidi="sr-Cyrl-CS"/>
              </w:rPr>
              <w:t>Stopa  zaposlenosti mladih (%)</w:t>
            </w:r>
          </w:p>
        </w:tc>
        <w:tc>
          <w:tcPr>
            <w:tcW w:w="1647" w:type="dxa"/>
          </w:tcPr>
          <w:p w14:paraId="7EFFF5CD" w14:textId="059C5DA8" w:rsidR="0032480C" w:rsidRPr="00BA5CCE" w:rsidRDefault="00BA5CCE" w:rsidP="0032480C">
            <w:pPr>
              <w:jc w:val="center"/>
              <w:cnfStyle w:val="000000100000" w:firstRow="0" w:lastRow="0" w:firstColumn="0" w:lastColumn="0" w:oddVBand="0" w:evenVBand="0" w:oddHBand="1" w:evenHBand="0" w:firstRowFirstColumn="0" w:firstRowLastColumn="0" w:lastRowFirstColumn="0" w:lastRowLastColumn="0"/>
              <w:rPr>
                <w:rFonts w:cstheme="minorHAnsi"/>
                <w:bCs/>
                <w:color w:val="auto"/>
                <w:sz w:val="20"/>
                <w:szCs w:val="20"/>
                <w:lang w:val="sr-Latn-RS"/>
              </w:rPr>
            </w:pPr>
            <w:r w:rsidRPr="00BA5CCE">
              <w:rPr>
                <w:rFonts w:cstheme="minorHAnsi"/>
                <w:bCs/>
                <w:color w:val="auto"/>
                <w:sz w:val="20"/>
                <w:szCs w:val="20"/>
                <w:lang w:val="sr-Latn-RS"/>
              </w:rPr>
              <w:t>27,4</w:t>
            </w:r>
          </w:p>
        </w:tc>
        <w:tc>
          <w:tcPr>
            <w:tcW w:w="1710" w:type="dxa"/>
          </w:tcPr>
          <w:p w14:paraId="3C85ADB0" w14:textId="6ED60B9F" w:rsidR="0032480C" w:rsidRPr="00BA5CCE" w:rsidRDefault="00BA5CCE" w:rsidP="0032480C">
            <w:pPr>
              <w:cnfStyle w:val="000000100000" w:firstRow="0" w:lastRow="0" w:firstColumn="0" w:lastColumn="0" w:oddVBand="0" w:evenVBand="0" w:oddHBand="1" w:evenHBand="0" w:firstRowFirstColumn="0" w:firstRowLastColumn="0" w:lastRowFirstColumn="0" w:lastRowLastColumn="0"/>
              <w:rPr>
                <w:rFonts w:cstheme="minorHAnsi"/>
                <w:bCs/>
                <w:color w:val="auto"/>
                <w:sz w:val="20"/>
                <w:szCs w:val="20"/>
                <w:lang w:val="sr-Latn-RS"/>
              </w:rPr>
            </w:pPr>
            <w:r w:rsidRPr="00BA5CCE">
              <w:rPr>
                <w:rFonts w:cstheme="minorHAnsi"/>
                <w:bCs/>
                <w:color w:val="auto"/>
                <w:sz w:val="20"/>
                <w:szCs w:val="20"/>
                <w:lang w:val="sr-Latn-RS"/>
              </w:rPr>
              <w:t xml:space="preserve">                29,6</w:t>
            </w:r>
          </w:p>
        </w:tc>
        <w:tc>
          <w:tcPr>
            <w:tcW w:w="1530" w:type="dxa"/>
          </w:tcPr>
          <w:p w14:paraId="6F650849" w14:textId="0AEC17E9" w:rsidR="0032480C" w:rsidRPr="00BA5CCE" w:rsidRDefault="00BA5CCE" w:rsidP="0032480C">
            <w:pPr>
              <w:cnfStyle w:val="000000100000" w:firstRow="0" w:lastRow="0" w:firstColumn="0" w:lastColumn="0" w:oddVBand="0" w:evenVBand="0" w:oddHBand="1" w:evenHBand="0" w:firstRowFirstColumn="0" w:firstRowLastColumn="0" w:lastRowFirstColumn="0" w:lastRowLastColumn="0"/>
              <w:rPr>
                <w:rFonts w:cstheme="minorHAnsi"/>
                <w:bCs/>
                <w:color w:val="auto"/>
                <w:sz w:val="20"/>
                <w:szCs w:val="20"/>
                <w:lang w:val="sr-Latn-RS"/>
              </w:rPr>
            </w:pPr>
            <w:r w:rsidRPr="00BA5CCE">
              <w:rPr>
                <w:rFonts w:cstheme="minorHAnsi"/>
                <w:bCs/>
                <w:color w:val="auto"/>
                <w:sz w:val="20"/>
                <w:szCs w:val="20"/>
                <w:lang w:val="sr-Latn-RS"/>
              </w:rPr>
              <w:t xml:space="preserve">         31</w:t>
            </w:r>
          </w:p>
        </w:tc>
      </w:tr>
    </w:tbl>
    <w:p w14:paraId="7F9C9C73" w14:textId="77777777" w:rsidR="00155792" w:rsidRPr="008D0B88" w:rsidRDefault="00155792" w:rsidP="00155792">
      <w:pPr>
        <w:jc w:val="both"/>
        <w:rPr>
          <w:rFonts w:eastAsia="Calibri" w:cstheme="minorHAnsi"/>
          <w:kern w:val="0"/>
          <w:sz w:val="24"/>
          <w:szCs w:val="24"/>
          <w:lang w:val="sr-Latn-RS" w:eastAsia="sr-Cyrl-CS" w:bidi="sr-Cyrl-CS"/>
          <w14:ligatures w14:val="none"/>
        </w:rPr>
      </w:pPr>
    </w:p>
    <w:p w14:paraId="0A3B7156" w14:textId="40F120E0" w:rsidR="00155792" w:rsidRPr="0032480C" w:rsidRDefault="00155792" w:rsidP="00FD3827">
      <w:pPr>
        <w:pStyle w:val="ListParagraph"/>
        <w:widowControl w:val="0"/>
        <w:numPr>
          <w:ilvl w:val="0"/>
          <w:numId w:val="10"/>
        </w:numPr>
        <w:spacing w:after="0" w:line="240" w:lineRule="auto"/>
        <w:jc w:val="both"/>
        <w:rPr>
          <w:rFonts w:eastAsia="Calibri" w:cstheme="minorHAnsi"/>
          <w:b/>
          <w:bCs/>
          <w:i/>
          <w:color w:val="808080"/>
          <w:sz w:val="24"/>
          <w:szCs w:val="24"/>
          <w:lang w:val="sr-Latn-RS" w:eastAsia="sr-Cyrl-CS" w:bidi="sr-Cyrl-CS"/>
        </w:rPr>
      </w:pPr>
      <w:r w:rsidRPr="00795FF0">
        <w:rPr>
          <w:rFonts w:eastAsia="Calibri" w:cstheme="minorHAnsi"/>
          <w:b/>
          <w:bCs/>
          <w:sz w:val="24"/>
          <w:szCs w:val="24"/>
          <w:lang w:val="sr-Latn-RS" w:eastAsia="sr-Cyrl-CS" w:bidi="sr-Cyrl-CS"/>
        </w:rPr>
        <w:t>Oč</w:t>
      </w:r>
      <w:r w:rsidRPr="0032480C">
        <w:rPr>
          <w:rFonts w:eastAsia="Calibri" w:cstheme="minorHAnsi"/>
          <w:b/>
          <w:bCs/>
          <w:sz w:val="24"/>
          <w:szCs w:val="24"/>
          <w:lang w:val="sr-Latn-RS" w:eastAsia="sr-Cyrl-CS" w:bidi="sr-Cyrl-CS"/>
        </w:rPr>
        <w:t xml:space="preserve">ekivani uticaj na konkurentnost. </w:t>
      </w:r>
      <w:r w:rsidRPr="0032480C">
        <w:rPr>
          <w:rFonts w:eastAsia="Calibri" w:cstheme="minorHAnsi"/>
          <w:kern w:val="0"/>
          <w:sz w:val="24"/>
          <w:szCs w:val="24"/>
          <w:lang w:val="sr-Latn-RS" w:eastAsia="sr-Cyrl-CS" w:bidi="sr-Cyrl-CS"/>
          <w14:ligatures w14:val="none"/>
        </w:rPr>
        <w:t>Uklanjanje sistemskih prepreka za bolje perfomanse mladih na tržištu rada i kontinuiranom realizacijom aktivnosti kojima se uapređuju njihova znanaj i vještine, omogućiće se i veća uključenost na tržištu rada, sticanje radnog iskustva, razvijanje preduzetničkog duha, što može biti prevencija sve većih migracionih tokovim mladih, što dovodi do veće iskorišćenosti ljudakog kapitala.</w:t>
      </w:r>
    </w:p>
    <w:p w14:paraId="4F60191A" w14:textId="15B0B5CD" w:rsidR="00155792" w:rsidRDefault="00155792" w:rsidP="00FD3827">
      <w:pPr>
        <w:pStyle w:val="ListParagraph"/>
        <w:numPr>
          <w:ilvl w:val="0"/>
          <w:numId w:val="10"/>
        </w:numPr>
        <w:jc w:val="both"/>
        <w:rPr>
          <w:rFonts w:eastAsia="Calibri" w:cstheme="minorHAnsi"/>
          <w:kern w:val="0"/>
          <w:sz w:val="24"/>
          <w:szCs w:val="24"/>
          <w:lang w:val="sr-Latn-RS" w:eastAsia="sr-Cyrl-CS" w:bidi="sr-Cyrl-CS"/>
          <w14:ligatures w14:val="none"/>
        </w:rPr>
      </w:pPr>
      <w:r w:rsidRPr="008D0B88">
        <w:rPr>
          <w:rFonts w:eastAsia="Calibri" w:cstheme="minorHAnsi"/>
          <w:b/>
          <w:bCs/>
          <w:kern w:val="0"/>
          <w:sz w:val="24"/>
          <w:szCs w:val="24"/>
          <w:lang w:val="sr-Latn-RS" w:eastAsia="sr-Cyrl-CS" w:bidi="sr-Cyrl-CS"/>
          <w14:ligatures w14:val="none"/>
        </w:rPr>
        <w:t>Procijenjeni troškovi sprovođenja reformske mjere i izvori finansiranja</w:t>
      </w:r>
      <w:r w:rsidR="00922341">
        <w:rPr>
          <w:rFonts w:eastAsia="Calibri" w:cstheme="minorHAnsi"/>
          <w:b/>
          <w:bCs/>
          <w:kern w:val="0"/>
          <w:sz w:val="24"/>
          <w:szCs w:val="24"/>
          <w:lang w:val="sr-Latn-RS" w:eastAsia="sr-Cyrl-CS" w:bidi="sr-Cyrl-CS"/>
          <w14:ligatures w14:val="none"/>
        </w:rPr>
        <w:t xml:space="preserve">. </w:t>
      </w:r>
      <w:r w:rsidR="00922341" w:rsidRPr="000D27CE">
        <w:rPr>
          <w:rFonts w:eastAsia="Calibri" w:cstheme="minorHAnsi"/>
          <w:kern w:val="0"/>
          <w:sz w:val="24"/>
          <w:szCs w:val="24"/>
          <w:lang w:val="sr-Latn-RS" w:eastAsia="sr-Cyrl-CS" w:bidi="sr-Cyrl-CS"/>
          <w14:ligatures w14:val="none"/>
        </w:rPr>
        <w:t>Planirana dodatna sredstva za i</w:t>
      </w:r>
      <w:r w:rsidR="000D27CE" w:rsidRPr="000D27CE">
        <w:rPr>
          <w:rFonts w:eastAsia="Calibri" w:cstheme="minorHAnsi"/>
          <w:kern w:val="0"/>
          <w:sz w:val="24"/>
          <w:szCs w:val="24"/>
          <w:lang w:val="sr-Latn-RS" w:eastAsia="sr-Cyrl-CS" w:bidi="sr-Cyrl-CS"/>
          <w14:ligatures w14:val="none"/>
        </w:rPr>
        <w:t>mplementaciju reformske mejre u 2024.godini iznosiće 1.524.176 eura, od čega se 1.295.550 eura odnosi na IPA fondove, a 228.626 eura će biti finansirano iz centralnog budžeta. Dodatna sredstva za 2025. i 2026. godinu će biti preciznije određena u tim fisk</w:t>
      </w:r>
      <w:r w:rsidR="000D27CE">
        <w:rPr>
          <w:rFonts w:eastAsia="Calibri" w:cstheme="minorHAnsi"/>
          <w:kern w:val="0"/>
          <w:sz w:val="24"/>
          <w:szCs w:val="24"/>
          <w:lang w:val="sr-Latn-RS" w:eastAsia="sr-Cyrl-CS" w:bidi="sr-Cyrl-CS"/>
          <w14:ligatures w14:val="none"/>
        </w:rPr>
        <w:t>al</w:t>
      </w:r>
      <w:r w:rsidR="000D27CE" w:rsidRPr="000D27CE">
        <w:rPr>
          <w:rFonts w:eastAsia="Calibri" w:cstheme="minorHAnsi"/>
          <w:kern w:val="0"/>
          <w:sz w:val="24"/>
          <w:szCs w:val="24"/>
          <w:lang w:val="sr-Latn-RS" w:eastAsia="sr-Cyrl-CS" w:bidi="sr-Cyrl-CS"/>
          <w14:ligatures w14:val="none"/>
        </w:rPr>
        <w:t>nim godinama.</w:t>
      </w:r>
    </w:p>
    <w:p w14:paraId="53C04CCC" w14:textId="24B94822" w:rsidR="00155792" w:rsidRPr="0032480C" w:rsidRDefault="00155792" w:rsidP="00FD3827">
      <w:pPr>
        <w:pStyle w:val="ListParagraph"/>
        <w:numPr>
          <w:ilvl w:val="0"/>
          <w:numId w:val="10"/>
        </w:numPr>
        <w:jc w:val="both"/>
        <w:rPr>
          <w:rFonts w:eastAsia="Calibri" w:cstheme="minorHAnsi"/>
          <w:kern w:val="0"/>
          <w:sz w:val="24"/>
          <w:szCs w:val="24"/>
          <w:lang w:val="sr-Latn-RS" w:eastAsia="sr-Cyrl-CS" w:bidi="sr-Cyrl-CS"/>
          <w14:ligatures w14:val="none"/>
        </w:rPr>
      </w:pPr>
      <w:r w:rsidRPr="0032480C">
        <w:rPr>
          <w:rFonts w:cstheme="minorHAnsi"/>
          <w:b/>
          <w:sz w:val="24"/>
          <w:szCs w:val="24"/>
          <w:lang w:val="sr-Latn-RS"/>
        </w:rPr>
        <w:t xml:space="preserve">Očekivani uticaj reformske mjere na socijalne ciljeve, kao što su zaposlenost, smanjenje siromaštva, rodna ravnopravnost i pristup zdravstvenim uslugama. </w:t>
      </w:r>
      <w:r w:rsidRPr="0032480C">
        <w:rPr>
          <w:rFonts w:cstheme="minorHAnsi"/>
          <w:sz w:val="24"/>
          <w:szCs w:val="24"/>
          <w:lang w:val="sr-Latn-RS"/>
        </w:rPr>
        <w:t>Mjera će imati direktan uticaj na povećanje zaposlenosti kroz zapošljavanje mladih na otvorenom tržištu rada, kao i zapošljavanje uz podršku. Ujedno zapošljavanjem se direktno utiče i na socijalnu uključenost i smanjenje siromaštva</w:t>
      </w:r>
      <w:r w:rsidR="00922341" w:rsidRPr="0032480C">
        <w:rPr>
          <w:rFonts w:cstheme="minorHAnsi"/>
          <w:sz w:val="24"/>
          <w:szCs w:val="24"/>
          <w:lang w:val="sr-Latn-RS"/>
        </w:rPr>
        <w:t xml:space="preserve">. </w:t>
      </w:r>
      <w:r w:rsidRPr="0032480C">
        <w:rPr>
          <w:rFonts w:cstheme="minorHAnsi"/>
          <w:sz w:val="24"/>
          <w:szCs w:val="24"/>
          <w:lang w:val="sr-Latn-RS"/>
        </w:rPr>
        <w:t>Sve aktivnosti podržavaju rodnu dimenziju</w:t>
      </w:r>
      <w:r w:rsidR="00922341" w:rsidRPr="0032480C">
        <w:rPr>
          <w:rFonts w:cstheme="minorHAnsi"/>
          <w:sz w:val="24"/>
          <w:szCs w:val="24"/>
          <w:lang w:val="sr-Latn-RS"/>
        </w:rPr>
        <w:t xml:space="preserve"> i ciljeve održivog razvoja</w:t>
      </w:r>
      <w:r w:rsidRPr="0032480C">
        <w:rPr>
          <w:rFonts w:cstheme="minorHAnsi"/>
          <w:sz w:val="24"/>
          <w:szCs w:val="24"/>
          <w:lang w:val="sr-Latn-RS"/>
        </w:rPr>
        <w:t>.</w:t>
      </w:r>
    </w:p>
    <w:p w14:paraId="1AE8DB2B" w14:textId="426B886F" w:rsidR="00155792" w:rsidRPr="00082B85" w:rsidRDefault="00155792" w:rsidP="00FD3827">
      <w:pPr>
        <w:widowControl w:val="0"/>
        <w:numPr>
          <w:ilvl w:val="0"/>
          <w:numId w:val="10"/>
        </w:numPr>
        <w:spacing w:after="0" w:line="240" w:lineRule="auto"/>
        <w:contextualSpacing/>
        <w:jc w:val="both"/>
        <w:rPr>
          <w:rFonts w:eastAsia="Calibri" w:cstheme="minorHAnsi"/>
          <w:b/>
          <w:bCs/>
          <w:kern w:val="0"/>
          <w:sz w:val="24"/>
          <w:szCs w:val="24"/>
          <w:lang w:val="sr-Latn-RS" w:eastAsia="sr-Cyrl-CS" w:bidi="sr-Cyrl-CS"/>
          <w14:ligatures w14:val="none"/>
        </w:rPr>
      </w:pPr>
      <w:r w:rsidRPr="008D0B88">
        <w:rPr>
          <w:rFonts w:eastAsia="Calibri" w:cstheme="minorHAnsi"/>
          <w:b/>
          <w:bCs/>
          <w:kern w:val="0"/>
          <w:sz w:val="24"/>
          <w:szCs w:val="24"/>
          <w:lang w:val="sr-Latn-RS" w:eastAsia="sr-Cyrl-CS" w:bidi="sr-Cyrl-CS"/>
          <w14:ligatures w14:val="none"/>
        </w:rPr>
        <w:t xml:space="preserve">Očekivani uticaj na životnu sredinu i klimatske promjene. </w:t>
      </w:r>
      <w:r w:rsidRPr="008D0B88">
        <w:rPr>
          <w:rFonts w:eastAsia="Calibri" w:cstheme="minorHAnsi"/>
          <w:kern w:val="0"/>
          <w:sz w:val="24"/>
          <w:szCs w:val="24"/>
          <w:lang w:val="sr-Latn-RS" w:eastAsia="sr-Cyrl-CS" w:bidi="sr-Cyrl-CS"/>
          <w14:ligatures w14:val="none"/>
        </w:rPr>
        <w:t>Mjera ima uticaja na zaštitu životne sredine u smislu uspostavljanja digitalizacije procesa, koji msmanjuju troškove prirodnih resursa i njihovu efkasniju upotrebu. Ovo su ujedno i stubovi na kojima se zasniva Zelena agenda za Zapadni Balkan</w:t>
      </w:r>
      <w:r w:rsidRPr="008D0B88">
        <w:rPr>
          <w:rFonts w:eastAsia="Calibri" w:cstheme="minorHAnsi"/>
          <w:i/>
          <w:kern w:val="0"/>
          <w:sz w:val="24"/>
          <w:szCs w:val="24"/>
          <w:lang w:val="sr-Latn-RS" w:eastAsia="sr-Cyrl-CS" w:bidi="sr-Cyrl-CS"/>
          <w14:ligatures w14:val="none"/>
        </w:rPr>
        <w:t>.</w:t>
      </w:r>
    </w:p>
    <w:p w14:paraId="325DD6D4" w14:textId="66F2AA31" w:rsidR="00082B85" w:rsidRDefault="00082B85" w:rsidP="00082B85">
      <w:pPr>
        <w:widowControl w:val="0"/>
        <w:spacing w:after="0" w:line="240" w:lineRule="auto"/>
        <w:contextualSpacing/>
        <w:jc w:val="both"/>
        <w:rPr>
          <w:rFonts w:eastAsia="Calibri" w:cstheme="minorHAnsi"/>
          <w:b/>
          <w:bCs/>
          <w:kern w:val="0"/>
          <w:sz w:val="24"/>
          <w:szCs w:val="24"/>
          <w:lang w:val="sr-Latn-RS" w:eastAsia="sr-Cyrl-CS" w:bidi="sr-Cyrl-CS"/>
          <w14:ligatures w14:val="none"/>
        </w:rPr>
      </w:pPr>
    </w:p>
    <w:p w14:paraId="6F255F75" w14:textId="6FF625C1" w:rsidR="00EC6101" w:rsidRDefault="00EC6101" w:rsidP="00082B85">
      <w:pPr>
        <w:widowControl w:val="0"/>
        <w:spacing w:after="0" w:line="240" w:lineRule="auto"/>
        <w:contextualSpacing/>
        <w:jc w:val="both"/>
        <w:rPr>
          <w:rFonts w:eastAsia="Calibri" w:cstheme="minorHAnsi"/>
          <w:b/>
          <w:bCs/>
          <w:kern w:val="0"/>
          <w:sz w:val="24"/>
          <w:szCs w:val="24"/>
          <w:lang w:val="sr-Latn-RS" w:eastAsia="sr-Cyrl-CS" w:bidi="sr-Cyrl-CS"/>
          <w14:ligatures w14:val="none"/>
        </w:rPr>
      </w:pPr>
    </w:p>
    <w:p w14:paraId="511345F0" w14:textId="4D8853F2" w:rsidR="00C83383" w:rsidRDefault="00C83383" w:rsidP="00082B85">
      <w:pPr>
        <w:widowControl w:val="0"/>
        <w:spacing w:after="0" w:line="240" w:lineRule="auto"/>
        <w:contextualSpacing/>
        <w:jc w:val="both"/>
        <w:rPr>
          <w:rFonts w:eastAsia="Calibri" w:cstheme="minorHAnsi"/>
          <w:b/>
          <w:bCs/>
          <w:kern w:val="0"/>
          <w:sz w:val="24"/>
          <w:szCs w:val="24"/>
          <w:lang w:val="sr-Latn-RS" w:eastAsia="sr-Cyrl-CS" w:bidi="sr-Cyrl-CS"/>
          <w14:ligatures w14:val="none"/>
        </w:rPr>
      </w:pPr>
    </w:p>
    <w:p w14:paraId="02095B89" w14:textId="2CEB614E" w:rsidR="00C83383" w:rsidRDefault="00C83383" w:rsidP="00082B85">
      <w:pPr>
        <w:widowControl w:val="0"/>
        <w:spacing w:after="0" w:line="240" w:lineRule="auto"/>
        <w:contextualSpacing/>
        <w:jc w:val="both"/>
        <w:rPr>
          <w:rFonts w:eastAsia="Calibri" w:cstheme="minorHAnsi"/>
          <w:b/>
          <w:bCs/>
          <w:kern w:val="0"/>
          <w:sz w:val="24"/>
          <w:szCs w:val="24"/>
          <w:lang w:val="sr-Latn-RS" w:eastAsia="sr-Cyrl-CS" w:bidi="sr-Cyrl-CS"/>
          <w14:ligatures w14:val="none"/>
        </w:rPr>
      </w:pPr>
    </w:p>
    <w:p w14:paraId="5D00A8E7" w14:textId="3CBB9874" w:rsidR="00C83383" w:rsidRDefault="00C83383" w:rsidP="00082B85">
      <w:pPr>
        <w:widowControl w:val="0"/>
        <w:spacing w:after="0" w:line="240" w:lineRule="auto"/>
        <w:contextualSpacing/>
        <w:jc w:val="both"/>
        <w:rPr>
          <w:rFonts w:eastAsia="Calibri" w:cstheme="minorHAnsi"/>
          <w:b/>
          <w:bCs/>
          <w:kern w:val="0"/>
          <w:sz w:val="24"/>
          <w:szCs w:val="24"/>
          <w:lang w:val="sr-Latn-RS" w:eastAsia="sr-Cyrl-CS" w:bidi="sr-Cyrl-CS"/>
          <w14:ligatures w14:val="none"/>
        </w:rPr>
      </w:pPr>
    </w:p>
    <w:p w14:paraId="03D45E68" w14:textId="69B8FFC5" w:rsidR="00C83383" w:rsidRDefault="00C83383" w:rsidP="00082B85">
      <w:pPr>
        <w:widowControl w:val="0"/>
        <w:spacing w:after="0" w:line="240" w:lineRule="auto"/>
        <w:contextualSpacing/>
        <w:jc w:val="both"/>
        <w:rPr>
          <w:rFonts w:eastAsia="Calibri" w:cstheme="minorHAnsi"/>
          <w:b/>
          <w:bCs/>
          <w:kern w:val="0"/>
          <w:sz w:val="24"/>
          <w:szCs w:val="24"/>
          <w:lang w:val="sr-Latn-RS" w:eastAsia="sr-Cyrl-CS" w:bidi="sr-Cyrl-CS"/>
          <w14:ligatures w14:val="none"/>
        </w:rPr>
      </w:pPr>
    </w:p>
    <w:p w14:paraId="79390D1E" w14:textId="28578A40" w:rsidR="00C83383" w:rsidRDefault="00C83383" w:rsidP="00082B85">
      <w:pPr>
        <w:widowControl w:val="0"/>
        <w:spacing w:after="0" w:line="240" w:lineRule="auto"/>
        <w:contextualSpacing/>
        <w:jc w:val="both"/>
        <w:rPr>
          <w:rFonts w:eastAsia="Calibri" w:cstheme="minorHAnsi"/>
          <w:b/>
          <w:bCs/>
          <w:kern w:val="0"/>
          <w:sz w:val="24"/>
          <w:szCs w:val="24"/>
          <w:lang w:val="sr-Latn-RS" w:eastAsia="sr-Cyrl-CS" w:bidi="sr-Cyrl-CS"/>
          <w14:ligatures w14:val="none"/>
        </w:rPr>
      </w:pPr>
    </w:p>
    <w:p w14:paraId="415F733F" w14:textId="77777777" w:rsidR="00C83383" w:rsidRDefault="00C83383" w:rsidP="00082B85">
      <w:pPr>
        <w:widowControl w:val="0"/>
        <w:spacing w:after="0" w:line="240" w:lineRule="auto"/>
        <w:contextualSpacing/>
        <w:jc w:val="both"/>
        <w:rPr>
          <w:rFonts w:eastAsia="Calibri" w:cstheme="minorHAnsi"/>
          <w:b/>
          <w:bCs/>
          <w:kern w:val="0"/>
          <w:sz w:val="24"/>
          <w:szCs w:val="24"/>
          <w:lang w:val="sr-Latn-RS" w:eastAsia="sr-Cyrl-CS" w:bidi="sr-Cyrl-CS"/>
          <w14:ligatures w14:val="none"/>
        </w:rPr>
      </w:pPr>
    </w:p>
    <w:p w14:paraId="2590E052" w14:textId="1DAF6E92" w:rsidR="00155792" w:rsidRPr="008D0B88" w:rsidRDefault="00155792" w:rsidP="00FD3827">
      <w:pPr>
        <w:widowControl w:val="0"/>
        <w:numPr>
          <w:ilvl w:val="0"/>
          <w:numId w:val="10"/>
        </w:numPr>
        <w:spacing w:after="0" w:line="240" w:lineRule="auto"/>
        <w:contextualSpacing/>
        <w:jc w:val="both"/>
        <w:rPr>
          <w:rFonts w:eastAsia="Calibri" w:cstheme="minorHAnsi"/>
          <w:b/>
          <w:bCs/>
          <w:kern w:val="0"/>
          <w:sz w:val="24"/>
          <w:szCs w:val="24"/>
          <w:lang w:val="sr-Latn-RS" w:eastAsia="sr-Cyrl-CS" w:bidi="sr-Cyrl-CS"/>
          <w14:ligatures w14:val="none"/>
        </w:rPr>
      </w:pPr>
      <w:r w:rsidRPr="008D0B88">
        <w:rPr>
          <w:rFonts w:eastAsia="Calibri" w:cstheme="minorHAnsi"/>
          <w:b/>
          <w:bCs/>
          <w:kern w:val="0"/>
          <w:sz w:val="24"/>
          <w:szCs w:val="24"/>
          <w:lang w:val="sr-Latn-RS" w:eastAsia="sr-Cyrl-CS" w:bidi="sr-Cyrl-CS"/>
          <w14:ligatures w14:val="none"/>
        </w:rPr>
        <w:lastRenderedPageBreak/>
        <w:t>Potencijalni rizici.</w:t>
      </w:r>
    </w:p>
    <w:p w14:paraId="549A9554" w14:textId="77777777" w:rsidR="00155792" w:rsidRPr="008D0B88" w:rsidRDefault="00155792" w:rsidP="00155792">
      <w:pPr>
        <w:widowControl w:val="0"/>
        <w:spacing w:after="0" w:line="240" w:lineRule="auto"/>
        <w:contextualSpacing/>
        <w:jc w:val="both"/>
        <w:rPr>
          <w:rFonts w:eastAsia="Calibri" w:cstheme="minorHAnsi"/>
          <w:b/>
          <w:bCs/>
          <w:kern w:val="0"/>
          <w:sz w:val="24"/>
          <w:szCs w:val="24"/>
          <w:lang w:val="sr-Latn-RS" w:eastAsia="sr-Cyrl-CS" w:bidi="sr-Cyrl-CS"/>
          <w14:ligatures w14:val="none"/>
        </w:rPr>
      </w:pPr>
    </w:p>
    <w:tbl>
      <w:tblPr>
        <w:tblStyle w:val="GridTable1Light-Accent5"/>
        <w:tblW w:w="9828" w:type="dxa"/>
        <w:tblLayout w:type="fixed"/>
        <w:tblLook w:val="04A0" w:firstRow="1" w:lastRow="0" w:firstColumn="1" w:lastColumn="0" w:noHBand="0" w:noVBand="1"/>
      </w:tblPr>
      <w:tblGrid>
        <w:gridCol w:w="4758"/>
        <w:gridCol w:w="1632"/>
        <w:gridCol w:w="3438"/>
      </w:tblGrid>
      <w:tr w:rsidR="00155792" w:rsidRPr="00A46DC7" w14:paraId="754D6443" w14:textId="77777777" w:rsidTr="00EC6101">
        <w:trPr>
          <w:cnfStyle w:val="100000000000" w:firstRow="1" w:lastRow="0" w:firstColumn="0" w:lastColumn="0" w:oddVBand="0" w:evenVBand="0" w:oddHBand="0" w:evenHBand="0" w:firstRowFirstColumn="0" w:firstRowLastColumn="0" w:lastRowFirstColumn="0" w:lastRowLastColumn="0"/>
          <w:trHeight w:val="644"/>
        </w:trPr>
        <w:tc>
          <w:tcPr>
            <w:cnfStyle w:val="001000000000" w:firstRow="0" w:lastRow="0" w:firstColumn="1" w:lastColumn="0" w:oddVBand="0" w:evenVBand="0" w:oddHBand="0" w:evenHBand="0" w:firstRowFirstColumn="0" w:firstRowLastColumn="0" w:lastRowFirstColumn="0" w:lastRowLastColumn="0"/>
            <w:tcW w:w="4758" w:type="dxa"/>
          </w:tcPr>
          <w:p w14:paraId="60F03432" w14:textId="77777777" w:rsidR="00155792" w:rsidRPr="00A46DC7" w:rsidRDefault="00155792" w:rsidP="002F5656">
            <w:pPr>
              <w:jc w:val="center"/>
              <w:rPr>
                <w:rFonts w:cstheme="minorHAnsi"/>
                <w:b w:val="0"/>
                <w:sz w:val="20"/>
                <w:szCs w:val="20"/>
                <w:lang w:val="sr-Latn-RS"/>
              </w:rPr>
            </w:pPr>
            <w:r w:rsidRPr="00A46DC7">
              <w:rPr>
                <w:rFonts w:cstheme="minorHAnsi"/>
                <w:sz w:val="20"/>
                <w:szCs w:val="20"/>
                <w:lang w:val="sr-Latn-RS"/>
              </w:rPr>
              <w:t xml:space="preserve">Rizik </w:t>
            </w:r>
          </w:p>
        </w:tc>
        <w:tc>
          <w:tcPr>
            <w:tcW w:w="1632" w:type="dxa"/>
          </w:tcPr>
          <w:p w14:paraId="7A0F50D4" w14:textId="77777777" w:rsidR="00155792" w:rsidRPr="00A46DC7" w:rsidRDefault="00155792" w:rsidP="002F5656">
            <w:pPr>
              <w:jc w:val="center"/>
              <w:cnfStyle w:val="100000000000" w:firstRow="1" w:lastRow="0" w:firstColumn="0" w:lastColumn="0" w:oddVBand="0" w:evenVBand="0" w:oddHBand="0" w:evenHBand="0" w:firstRowFirstColumn="0" w:firstRowLastColumn="0" w:lastRowFirstColumn="0" w:lastRowLastColumn="0"/>
              <w:rPr>
                <w:rFonts w:cstheme="minorHAnsi"/>
                <w:b w:val="0"/>
                <w:sz w:val="20"/>
                <w:szCs w:val="20"/>
                <w:lang w:val="sr-Latn-RS"/>
              </w:rPr>
            </w:pPr>
            <w:r w:rsidRPr="00A46DC7">
              <w:rPr>
                <w:rFonts w:cstheme="minorHAnsi"/>
                <w:sz w:val="20"/>
                <w:szCs w:val="20"/>
                <w:lang w:val="sr-Latn-RS"/>
              </w:rPr>
              <w:t>Vjerovatnoća za ostvarivanje rizika (niska ili visoka)</w:t>
            </w:r>
          </w:p>
        </w:tc>
        <w:tc>
          <w:tcPr>
            <w:tcW w:w="3438" w:type="dxa"/>
          </w:tcPr>
          <w:p w14:paraId="389CE015" w14:textId="77777777" w:rsidR="00155792" w:rsidRPr="00A46DC7" w:rsidRDefault="00155792" w:rsidP="002F5656">
            <w:pPr>
              <w:jc w:val="center"/>
              <w:cnfStyle w:val="100000000000" w:firstRow="1" w:lastRow="0" w:firstColumn="0" w:lastColumn="0" w:oddVBand="0" w:evenVBand="0" w:oddHBand="0" w:evenHBand="0" w:firstRowFirstColumn="0" w:firstRowLastColumn="0" w:lastRowFirstColumn="0" w:lastRowLastColumn="0"/>
              <w:rPr>
                <w:rFonts w:cstheme="minorHAnsi"/>
                <w:b w:val="0"/>
                <w:sz w:val="20"/>
                <w:szCs w:val="20"/>
                <w:lang w:val="sr-Latn-RS"/>
              </w:rPr>
            </w:pPr>
            <w:r w:rsidRPr="00A46DC7">
              <w:rPr>
                <w:rFonts w:cstheme="minorHAnsi"/>
                <w:sz w:val="20"/>
                <w:szCs w:val="20"/>
                <w:lang w:val="sr-Latn-RS"/>
              </w:rPr>
              <w:t>Planirane aktivnosti ublažavanja negativnih efekata rizika</w:t>
            </w:r>
          </w:p>
        </w:tc>
      </w:tr>
      <w:tr w:rsidR="00F21455" w:rsidRPr="00A46DC7" w14:paraId="354611E8" w14:textId="77777777" w:rsidTr="00EC6101">
        <w:trPr>
          <w:trHeight w:val="1943"/>
        </w:trPr>
        <w:tc>
          <w:tcPr>
            <w:cnfStyle w:val="001000000000" w:firstRow="0" w:lastRow="0" w:firstColumn="1" w:lastColumn="0" w:oddVBand="0" w:evenVBand="0" w:oddHBand="0" w:evenHBand="0" w:firstRowFirstColumn="0" w:firstRowLastColumn="0" w:lastRowFirstColumn="0" w:lastRowLastColumn="0"/>
            <w:tcW w:w="4758" w:type="dxa"/>
            <w:tcBorders>
              <w:top w:val="single" w:sz="12" w:space="0" w:color="9CC2E5" w:themeColor="accent5" w:themeTint="99"/>
              <w:bottom w:val="single" w:sz="12" w:space="0" w:color="9CC2E5" w:themeColor="accent5" w:themeTint="99"/>
            </w:tcBorders>
          </w:tcPr>
          <w:p w14:paraId="4BCAE471" w14:textId="49B002F7" w:rsidR="00F21455" w:rsidRPr="008F177D" w:rsidRDefault="00F21455" w:rsidP="00F21455">
            <w:pPr>
              <w:rPr>
                <w:rFonts w:cstheme="minorHAnsi"/>
                <w:b w:val="0"/>
                <w:bCs w:val="0"/>
                <w:sz w:val="20"/>
                <w:szCs w:val="20"/>
                <w:lang w:val="sr-Latn-RS"/>
              </w:rPr>
            </w:pPr>
            <w:r w:rsidRPr="008F177D">
              <w:rPr>
                <w:rFonts w:cstheme="minorHAnsi"/>
                <w:b w:val="0"/>
                <w:bCs w:val="0"/>
                <w:sz w:val="20"/>
                <w:szCs w:val="20"/>
                <w:lang w:val="sr-Latn-RS"/>
              </w:rPr>
              <w:t xml:space="preserve">Realizacija mjere se ne odvija u skladu sa planom, uslijed kadrovskih promjena u institucijama, koje su od značaja za pripremu i usvajanje paketa zakonskih rješenja, koji podržavaju </w:t>
            </w:r>
          </w:p>
          <w:p w14:paraId="69625DDA" w14:textId="77777777" w:rsidR="00625E11" w:rsidRDefault="00625E11" w:rsidP="00F21455">
            <w:pPr>
              <w:rPr>
                <w:rFonts w:cstheme="minorHAnsi"/>
                <w:b w:val="0"/>
                <w:bCs w:val="0"/>
                <w:sz w:val="20"/>
                <w:szCs w:val="20"/>
                <w:lang w:val="sr-Latn-RS"/>
              </w:rPr>
            </w:pPr>
          </w:p>
          <w:p w14:paraId="41AAB10C" w14:textId="0390E9B4" w:rsidR="00F21455" w:rsidRPr="008F177D" w:rsidRDefault="00F21455" w:rsidP="00F21455">
            <w:pPr>
              <w:rPr>
                <w:rFonts w:cstheme="minorHAnsi"/>
                <w:b w:val="0"/>
                <w:bCs w:val="0"/>
                <w:sz w:val="20"/>
                <w:szCs w:val="20"/>
                <w:lang w:val="sr-Latn-RS"/>
              </w:rPr>
            </w:pPr>
            <w:r w:rsidRPr="008F177D">
              <w:rPr>
                <w:rFonts w:cstheme="minorHAnsi"/>
                <w:b w:val="0"/>
                <w:bCs w:val="0"/>
                <w:sz w:val="20"/>
                <w:szCs w:val="20"/>
                <w:lang w:val="sr-Latn-RS"/>
              </w:rPr>
              <w:t>Povezivanje baza podataka ZZZ sa drugim bazama podataka otežano, uslijed informatičke nekompatibilnosti sistema</w:t>
            </w:r>
          </w:p>
          <w:p w14:paraId="4C56E5B6" w14:textId="77777777" w:rsidR="00F21455" w:rsidRPr="008F177D" w:rsidRDefault="00F21455" w:rsidP="00F21455">
            <w:pPr>
              <w:rPr>
                <w:rFonts w:cstheme="minorHAnsi"/>
                <w:b w:val="0"/>
                <w:bCs w:val="0"/>
                <w:sz w:val="20"/>
                <w:szCs w:val="20"/>
                <w:lang w:val="sr-Latn-RS"/>
              </w:rPr>
            </w:pPr>
          </w:p>
          <w:p w14:paraId="3CB7547A" w14:textId="77777777" w:rsidR="00F21455" w:rsidRPr="008F177D" w:rsidRDefault="00F21455" w:rsidP="00F21455">
            <w:pPr>
              <w:rPr>
                <w:rFonts w:cstheme="minorHAnsi"/>
                <w:b w:val="0"/>
                <w:bCs w:val="0"/>
                <w:sz w:val="20"/>
                <w:szCs w:val="20"/>
                <w:lang w:val="sr-Latn-RS"/>
              </w:rPr>
            </w:pPr>
            <w:r w:rsidRPr="008F177D">
              <w:rPr>
                <w:rFonts w:cstheme="minorHAnsi"/>
                <w:b w:val="0"/>
                <w:bCs w:val="0"/>
                <w:sz w:val="20"/>
                <w:szCs w:val="20"/>
                <w:lang w:val="sr-Latn-RS"/>
              </w:rPr>
              <w:t>Nedovoljno interesovanje učenika osnovnih škola za upis na programe za kvalifikacije koje su potrebne tržištu rada</w:t>
            </w:r>
          </w:p>
          <w:p w14:paraId="6030B299" w14:textId="77777777" w:rsidR="00F21455" w:rsidRPr="008F177D" w:rsidRDefault="00F21455" w:rsidP="00F21455">
            <w:pPr>
              <w:rPr>
                <w:rFonts w:cstheme="minorHAnsi"/>
                <w:b w:val="0"/>
                <w:bCs w:val="0"/>
                <w:sz w:val="20"/>
                <w:szCs w:val="20"/>
                <w:lang w:val="sr-Latn-RS"/>
              </w:rPr>
            </w:pPr>
          </w:p>
          <w:p w14:paraId="47406F19" w14:textId="77777777" w:rsidR="00F21455" w:rsidRPr="008F177D" w:rsidRDefault="00F21455" w:rsidP="00F21455">
            <w:pPr>
              <w:rPr>
                <w:rFonts w:cstheme="minorHAnsi"/>
                <w:b w:val="0"/>
                <w:bCs w:val="0"/>
                <w:sz w:val="20"/>
                <w:szCs w:val="20"/>
                <w:lang w:val="sr-Latn-RS"/>
              </w:rPr>
            </w:pPr>
          </w:p>
          <w:p w14:paraId="0DF2F1EB" w14:textId="77777777" w:rsidR="00F21455" w:rsidRPr="008F177D" w:rsidRDefault="00F21455" w:rsidP="00F21455">
            <w:pPr>
              <w:rPr>
                <w:rFonts w:cstheme="minorHAnsi"/>
                <w:b w:val="0"/>
                <w:bCs w:val="0"/>
                <w:sz w:val="20"/>
                <w:szCs w:val="20"/>
                <w:lang w:val="sr-Latn-RS"/>
              </w:rPr>
            </w:pPr>
          </w:p>
          <w:p w14:paraId="3C378410" w14:textId="77777777" w:rsidR="00F21455" w:rsidRPr="008F177D" w:rsidRDefault="00F21455" w:rsidP="00F21455">
            <w:pPr>
              <w:rPr>
                <w:rFonts w:cstheme="minorHAnsi"/>
                <w:b w:val="0"/>
                <w:bCs w:val="0"/>
                <w:sz w:val="20"/>
                <w:szCs w:val="20"/>
                <w:lang w:val="sr-Latn-RS"/>
              </w:rPr>
            </w:pPr>
            <w:r w:rsidRPr="008F177D">
              <w:rPr>
                <w:rFonts w:cstheme="minorHAnsi"/>
                <w:b w:val="0"/>
                <w:bCs w:val="0"/>
                <w:sz w:val="20"/>
                <w:szCs w:val="20"/>
                <w:lang w:val="sr-Latn-RS"/>
              </w:rPr>
              <w:t>Nedovoljno interesovanje poslodavaca za učešće u dualnom obliku obrazovanja</w:t>
            </w:r>
          </w:p>
          <w:p w14:paraId="38D21C6D" w14:textId="77777777" w:rsidR="00F21455" w:rsidRPr="008F177D" w:rsidRDefault="00F21455" w:rsidP="00F21455">
            <w:pPr>
              <w:rPr>
                <w:rFonts w:cstheme="minorHAnsi"/>
                <w:b w:val="0"/>
                <w:bCs w:val="0"/>
                <w:sz w:val="20"/>
                <w:szCs w:val="20"/>
                <w:lang w:val="sr-Latn-RS"/>
              </w:rPr>
            </w:pPr>
          </w:p>
          <w:p w14:paraId="6F99476E" w14:textId="77777777" w:rsidR="00F21455" w:rsidRPr="008F177D" w:rsidRDefault="00F21455" w:rsidP="00F21455">
            <w:pPr>
              <w:rPr>
                <w:rFonts w:cstheme="minorHAnsi"/>
                <w:b w:val="0"/>
                <w:bCs w:val="0"/>
                <w:sz w:val="20"/>
                <w:szCs w:val="20"/>
                <w:lang w:val="sr-Latn-RS"/>
              </w:rPr>
            </w:pPr>
          </w:p>
          <w:p w14:paraId="66562BE3" w14:textId="77777777" w:rsidR="00F21455" w:rsidRPr="007D7452" w:rsidRDefault="00F21455" w:rsidP="00F21455">
            <w:pPr>
              <w:rPr>
                <w:rFonts w:cstheme="minorHAnsi"/>
                <w:bCs w:val="0"/>
                <w:sz w:val="20"/>
                <w:szCs w:val="20"/>
                <w:lang w:val="sr-Latn-RS"/>
              </w:rPr>
            </w:pPr>
          </w:p>
          <w:p w14:paraId="425C0243" w14:textId="77777777" w:rsidR="00F21455" w:rsidRPr="00A46DC7" w:rsidRDefault="00F21455" w:rsidP="00F21455">
            <w:pPr>
              <w:rPr>
                <w:rFonts w:cstheme="minorHAnsi"/>
                <w:bCs w:val="0"/>
                <w:sz w:val="20"/>
                <w:szCs w:val="20"/>
                <w:lang w:val="sr-Latn-RS"/>
              </w:rPr>
            </w:pPr>
          </w:p>
        </w:tc>
        <w:tc>
          <w:tcPr>
            <w:tcW w:w="1632" w:type="dxa"/>
            <w:tcBorders>
              <w:top w:val="single" w:sz="12" w:space="0" w:color="9CC2E5" w:themeColor="accent5" w:themeTint="99"/>
              <w:bottom w:val="single" w:sz="12" w:space="0" w:color="9CC2E5" w:themeColor="accent5" w:themeTint="99"/>
            </w:tcBorders>
          </w:tcPr>
          <w:p w14:paraId="12DE9715" w14:textId="77777777" w:rsidR="00F21455" w:rsidRPr="007D7452" w:rsidRDefault="00F21455" w:rsidP="00625E11">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lang w:val="sr-Latn-RS"/>
              </w:rPr>
            </w:pPr>
            <w:r w:rsidRPr="007D7452">
              <w:rPr>
                <w:rFonts w:cstheme="minorHAnsi"/>
                <w:bCs/>
                <w:sz w:val="20"/>
                <w:szCs w:val="20"/>
                <w:lang w:val="sr-Latn-RS"/>
              </w:rPr>
              <w:t>Visoka</w:t>
            </w:r>
          </w:p>
          <w:p w14:paraId="0056BE86" w14:textId="77777777" w:rsidR="00F21455" w:rsidRPr="007D7452" w:rsidRDefault="00F21455" w:rsidP="00625E11">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lang w:val="sr-Latn-RS"/>
              </w:rPr>
            </w:pPr>
          </w:p>
          <w:p w14:paraId="1AD7CF82" w14:textId="77777777" w:rsidR="00F21455" w:rsidRPr="007D7452" w:rsidRDefault="00F21455" w:rsidP="00625E11">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lang w:val="sr-Latn-RS"/>
              </w:rPr>
            </w:pPr>
          </w:p>
          <w:p w14:paraId="644063E0" w14:textId="77777777" w:rsidR="00F21455" w:rsidRPr="007D7452" w:rsidRDefault="00F21455" w:rsidP="00625E11">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lang w:val="sr-Latn-RS"/>
              </w:rPr>
            </w:pPr>
          </w:p>
          <w:p w14:paraId="154472B4" w14:textId="77777777" w:rsidR="00F21455" w:rsidRPr="007D7452" w:rsidRDefault="00F21455" w:rsidP="00625E11">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lang w:val="sr-Latn-RS"/>
              </w:rPr>
            </w:pPr>
          </w:p>
          <w:p w14:paraId="7DF10D32" w14:textId="77777777" w:rsidR="00F21455" w:rsidRPr="007D7452" w:rsidRDefault="00F21455" w:rsidP="00625E11">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lang w:val="sr-Latn-RS"/>
              </w:rPr>
            </w:pPr>
          </w:p>
          <w:p w14:paraId="23944501" w14:textId="77777777" w:rsidR="00F21455" w:rsidRDefault="00F21455" w:rsidP="00625E11">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lang w:val="sr-Latn-RS"/>
              </w:rPr>
            </w:pPr>
            <w:r w:rsidRPr="007D7452">
              <w:rPr>
                <w:rFonts w:cstheme="minorHAnsi"/>
                <w:bCs/>
                <w:sz w:val="20"/>
                <w:szCs w:val="20"/>
                <w:lang w:val="sr-Latn-RS"/>
              </w:rPr>
              <w:t>Visoka</w:t>
            </w:r>
          </w:p>
          <w:p w14:paraId="0A280B5D" w14:textId="77777777" w:rsidR="00F21455" w:rsidRDefault="00F21455" w:rsidP="00625E11">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lang w:val="sr-Latn-RS"/>
              </w:rPr>
            </w:pPr>
          </w:p>
          <w:p w14:paraId="3D4893A6" w14:textId="77777777" w:rsidR="00F21455" w:rsidRDefault="00F21455" w:rsidP="00625E11">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lang w:val="sr-Latn-RS"/>
              </w:rPr>
            </w:pPr>
          </w:p>
          <w:p w14:paraId="24552F3B" w14:textId="77777777" w:rsidR="00F21455" w:rsidRDefault="00F21455" w:rsidP="00625E11">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lang w:val="sr-Latn-RS"/>
              </w:rPr>
            </w:pPr>
          </w:p>
          <w:p w14:paraId="7301C1CC" w14:textId="77777777" w:rsidR="00F21455" w:rsidRDefault="00F21455" w:rsidP="00625E11">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lang w:val="sr-Latn-RS"/>
              </w:rPr>
            </w:pPr>
            <w:r w:rsidRPr="007D7452">
              <w:rPr>
                <w:rFonts w:cstheme="minorHAnsi"/>
                <w:bCs/>
                <w:sz w:val="20"/>
                <w:szCs w:val="20"/>
                <w:lang w:val="sr-Latn-RS"/>
              </w:rPr>
              <w:t>Visoka</w:t>
            </w:r>
          </w:p>
          <w:p w14:paraId="2574A75F" w14:textId="77777777" w:rsidR="00F21455" w:rsidRDefault="00F21455" w:rsidP="00625E11">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lang w:val="sr-Latn-RS"/>
              </w:rPr>
            </w:pPr>
          </w:p>
          <w:p w14:paraId="0745AF86" w14:textId="77777777" w:rsidR="00F21455" w:rsidRDefault="00F21455" w:rsidP="00625E11">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lang w:val="sr-Latn-RS"/>
              </w:rPr>
            </w:pPr>
          </w:p>
          <w:p w14:paraId="176B4A26" w14:textId="77777777" w:rsidR="00F21455" w:rsidRDefault="00F21455" w:rsidP="00625E11">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lang w:val="sr-Latn-RS"/>
              </w:rPr>
            </w:pPr>
          </w:p>
          <w:p w14:paraId="0A085C90" w14:textId="77777777" w:rsidR="00F21455" w:rsidRDefault="00F21455" w:rsidP="00625E11">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lang w:val="sr-Latn-RS"/>
              </w:rPr>
            </w:pPr>
          </w:p>
          <w:p w14:paraId="02E3C424" w14:textId="4D18F020" w:rsidR="00F21455" w:rsidRPr="00A46DC7" w:rsidRDefault="00625E11" w:rsidP="00625E11">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lang w:val="sr-Latn-RS"/>
              </w:rPr>
            </w:pPr>
            <w:r>
              <w:rPr>
                <w:rFonts w:cstheme="minorHAnsi"/>
                <w:bCs/>
                <w:sz w:val="20"/>
                <w:szCs w:val="20"/>
                <w:lang w:val="sr-Latn-RS"/>
              </w:rPr>
              <w:t>V</w:t>
            </w:r>
            <w:r w:rsidR="00F21455" w:rsidRPr="007D7452">
              <w:rPr>
                <w:rFonts w:cstheme="minorHAnsi"/>
                <w:bCs/>
                <w:sz w:val="20"/>
                <w:szCs w:val="20"/>
                <w:lang w:val="sr-Latn-RS"/>
              </w:rPr>
              <w:t>isoka</w:t>
            </w:r>
          </w:p>
        </w:tc>
        <w:tc>
          <w:tcPr>
            <w:tcW w:w="3438" w:type="dxa"/>
            <w:tcBorders>
              <w:top w:val="single" w:sz="12" w:space="0" w:color="9CC2E5" w:themeColor="accent5" w:themeTint="99"/>
              <w:bottom w:val="single" w:sz="12" w:space="0" w:color="9CC2E5" w:themeColor="accent5" w:themeTint="99"/>
            </w:tcBorders>
          </w:tcPr>
          <w:p w14:paraId="3FCA255B" w14:textId="77777777" w:rsidR="00F21455" w:rsidRPr="007D7452" w:rsidRDefault="00F21455" w:rsidP="002205E1">
            <w:pPr>
              <w:jc w:val="both"/>
              <w:cnfStyle w:val="000000000000" w:firstRow="0" w:lastRow="0" w:firstColumn="0" w:lastColumn="0" w:oddVBand="0" w:evenVBand="0" w:oddHBand="0" w:evenHBand="0" w:firstRowFirstColumn="0" w:firstRowLastColumn="0" w:lastRowFirstColumn="0" w:lastRowLastColumn="0"/>
              <w:rPr>
                <w:rFonts w:cstheme="minorHAnsi"/>
                <w:bCs/>
                <w:sz w:val="20"/>
                <w:szCs w:val="20"/>
                <w:lang w:val="sr-Latn-RS"/>
              </w:rPr>
            </w:pPr>
            <w:r w:rsidRPr="007D7452">
              <w:rPr>
                <w:rFonts w:cstheme="minorHAnsi"/>
                <w:bCs/>
                <w:sz w:val="20"/>
                <w:szCs w:val="20"/>
                <w:lang w:val="sr-Latn-RS"/>
              </w:rPr>
              <w:t>Prolongiranje roka za sprovođenje mjere</w:t>
            </w:r>
          </w:p>
          <w:p w14:paraId="4907D9AB" w14:textId="77777777" w:rsidR="00F21455" w:rsidRPr="007D7452" w:rsidRDefault="00F21455" w:rsidP="002205E1">
            <w:pPr>
              <w:jc w:val="both"/>
              <w:cnfStyle w:val="000000000000" w:firstRow="0" w:lastRow="0" w:firstColumn="0" w:lastColumn="0" w:oddVBand="0" w:evenVBand="0" w:oddHBand="0" w:evenHBand="0" w:firstRowFirstColumn="0" w:firstRowLastColumn="0" w:lastRowFirstColumn="0" w:lastRowLastColumn="0"/>
              <w:rPr>
                <w:rFonts w:cstheme="minorHAnsi"/>
                <w:bCs/>
                <w:sz w:val="20"/>
                <w:szCs w:val="20"/>
                <w:lang w:val="sr-Latn-RS"/>
              </w:rPr>
            </w:pPr>
          </w:p>
          <w:p w14:paraId="4D364525" w14:textId="77777777" w:rsidR="00F21455" w:rsidRPr="007D7452" w:rsidRDefault="00F21455" w:rsidP="002205E1">
            <w:pPr>
              <w:jc w:val="both"/>
              <w:cnfStyle w:val="000000000000" w:firstRow="0" w:lastRow="0" w:firstColumn="0" w:lastColumn="0" w:oddVBand="0" w:evenVBand="0" w:oddHBand="0" w:evenHBand="0" w:firstRowFirstColumn="0" w:firstRowLastColumn="0" w:lastRowFirstColumn="0" w:lastRowLastColumn="0"/>
              <w:rPr>
                <w:rFonts w:cstheme="minorHAnsi"/>
                <w:bCs/>
                <w:sz w:val="20"/>
                <w:szCs w:val="20"/>
                <w:lang w:val="sr-Latn-RS"/>
              </w:rPr>
            </w:pPr>
          </w:p>
          <w:p w14:paraId="71CF23C9" w14:textId="77777777" w:rsidR="00625E11" w:rsidRDefault="00625E11" w:rsidP="002205E1">
            <w:pPr>
              <w:jc w:val="both"/>
              <w:cnfStyle w:val="000000000000" w:firstRow="0" w:lastRow="0" w:firstColumn="0" w:lastColumn="0" w:oddVBand="0" w:evenVBand="0" w:oddHBand="0" w:evenHBand="0" w:firstRowFirstColumn="0" w:firstRowLastColumn="0" w:lastRowFirstColumn="0" w:lastRowLastColumn="0"/>
              <w:rPr>
                <w:rFonts w:cstheme="minorHAnsi"/>
                <w:bCs/>
                <w:sz w:val="20"/>
                <w:szCs w:val="20"/>
                <w:lang w:val="sr-Latn-RS"/>
              </w:rPr>
            </w:pPr>
          </w:p>
          <w:p w14:paraId="360775FB" w14:textId="79B6B874" w:rsidR="00F21455" w:rsidRDefault="00F21455" w:rsidP="002205E1">
            <w:pPr>
              <w:jc w:val="both"/>
              <w:cnfStyle w:val="000000000000" w:firstRow="0" w:lastRow="0" w:firstColumn="0" w:lastColumn="0" w:oddVBand="0" w:evenVBand="0" w:oddHBand="0" w:evenHBand="0" w:firstRowFirstColumn="0" w:firstRowLastColumn="0" w:lastRowFirstColumn="0" w:lastRowLastColumn="0"/>
              <w:rPr>
                <w:rFonts w:cstheme="minorHAnsi"/>
                <w:bCs/>
                <w:sz w:val="20"/>
                <w:szCs w:val="20"/>
                <w:lang w:val="sr-Latn-RS"/>
              </w:rPr>
            </w:pPr>
            <w:r w:rsidRPr="007D7452">
              <w:rPr>
                <w:rFonts w:cstheme="minorHAnsi"/>
                <w:bCs/>
                <w:sz w:val="20"/>
                <w:szCs w:val="20"/>
                <w:lang w:val="sr-Latn-RS"/>
              </w:rPr>
              <w:t>Puna implementacija Akionog plana za interoperabilnost baza podataka</w:t>
            </w:r>
          </w:p>
          <w:p w14:paraId="5745FA58" w14:textId="77777777" w:rsidR="00F21455" w:rsidRDefault="00F21455" w:rsidP="002205E1">
            <w:pPr>
              <w:jc w:val="both"/>
              <w:cnfStyle w:val="000000000000" w:firstRow="0" w:lastRow="0" w:firstColumn="0" w:lastColumn="0" w:oddVBand="0" w:evenVBand="0" w:oddHBand="0" w:evenHBand="0" w:firstRowFirstColumn="0" w:firstRowLastColumn="0" w:lastRowFirstColumn="0" w:lastRowLastColumn="0"/>
              <w:rPr>
                <w:rFonts w:cstheme="minorHAnsi"/>
                <w:bCs/>
                <w:sz w:val="20"/>
                <w:szCs w:val="20"/>
                <w:lang w:val="sr-Latn-RS"/>
              </w:rPr>
            </w:pPr>
          </w:p>
          <w:p w14:paraId="6269CFA6" w14:textId="77777777" w:rsidR="00625E11" w:rsidRDefault="00625E11" w:rsidP="002205E1">
            <w:pPr>
              <w:jc w:val="both"/>
              <w:cnfStyle w:val="000000000000" w:firstRow="0" w:lastRow="0" w:firstColumn="0" w:lastColumn="0" w:oddVBand="0" w:evenVBand="0" w:oddHBand="0" w:evenHBand="0" w:firstRowFirstColumn="0" w:firstRowLastColumn="0" w:lastRowFirstColumn="0" w:lastRowLastColumn="0"/>
              <w:rPr>
                <w:rFonts w:cstheme="minorHAnsi"/>
                <w:bCs/>
                <w:sz w:val="20"/>
                <w:szCs w:val="20"/>
                <w:lang w:val="sr-Latn-RS"/>
              </w:rPr>
            </w:pPr>
          </w:p>
          <w:p w14:paraId="37573806" w14:textId="77777777" w:rsidR="00625E11" w:rsidRDefault="00625E11" w:rsidP="002205E1">
            <w:pPr>
              <w:jc w:val="both"/>
              <w:cnfStyle w:val="000000000000" w:firstRow="0" w:lastRow="0" w:firstColumn="0" w:lastColumn="0" w:oddVBand="0" w:evenVBand="0" w:oddHBand="0" w:evenHBand="0" w:firstRowFirstColumn="0" w:firstRowLastColumn="0" w:lastRowFirstColumn="0" w:lastRowLastColumn="0"/>
              <w:rPr>
                <w:rFonts w:cstheme="minorHAnsi"/>
                <w:bCs/>
                <w:sz w:val="20"/>
                <w:szCs w:val="20"/>
                <w:lang w:val="sr-Latn-RS"/>
              </w:rPr>
            </w:pPr>
          </w:p>
          <w:p w14:paraId="32A1EBD8" w14:textId="1249E15C" w:rsidR="00F21455" w:rsidRDefault="00F21455" w:rsidP="002205E1">
            <w:pPr>
              <w:jc w:val="both"/>
              <w:cnfStyle w:val="000000000000" w:firstRow="0" w:lastRow="0" w:firstColumn="0" w:lastColumn="0" w:oddVBand="0" w:evenVBand="0" w:oddHBand="0" w:evenHBand="0" w:firstRowFirstColumn="0" w:firstRowLastColumn="0" w:lastRowFirstColumn="0" w:lastRowLastColumn="0"/>
              <w:rPr>
                <w:rFonts w:cstheme="minorHAnsi"/>
                <w:bCs/>
                <w:sz w:val="20"/>
                <w:szCs w:val="20"/>
                <w:lang w:val="sr-Latn-RS"/>
              </w:rPr>
            </w:pPr>
            <w:r>
              <w:rPr>
                <w:rFonts w:cstheme="minorHAnsi"/>
                <w:bCs/>
                <w:sz w:val="20"/>
                <w:szCs w:val="20"/>
                <w:lang w:val="sr-Latn-RS"/>
              </w:rPr>
              <w:t>Sprovođenje aktivnosti karijernog vođenja i savjetovanja u osnovnim školama i promocija stručnog obrazovanja</w:t>
            </w:r>
          </w:p>
          <w:p w14:paraId="08E18A33" w14:textId="77777777" w:rsidR="00F21455" w:rsidRDefault="00F21455" w:rsidP="002205E1">
            <w:pPr>
              <w:jc w:val="both"/>
              <w:cnfStyle w:val="000000000000" w:firstRow="0" w:lastRow="0" w:firstColumn="0" w:lastColumn="0" w:oddVBand="0" w:evenVBand="0" w:oddHBand="0" w:evenHBand="0" w:firstRowFirstColumn="0" w:firstRowLastColumn="0" w:lastRowFirstColumn="0" w:lastRowLastColumn="0"/>
              <w:rPr>
                <w:rFonts w:cstheme="minorHAnsi"/>
                <w:bCs/>
                <w:sz w:val="20"/>
                <w:szCs w:val="20"/>
                <w:lang w:val="sr-Latn-RS"/>
              </w:rPr>
            </w:pPr>
          </w:p>
          <w:p w14:paraId="68784A08" w14:textId="77777777" w:rsidR="00F21455" w:rsidRDefault="00F21455" w:rsidP="002205E1">
            <w:pPr>
              <w:jc w:val="both"/>
              <w:cnfStyle w:val="000000000000" w:firstRow="0" w:lastRow="0" w:firstColumn="0" w:lastColumn="0" w:oddVBand="0" w:evenVBand="0" w:oddHBand="0" w:evenHBand="0" w:firstRowFirstColumn="0" w:firstRowLastColumn="0" w:lastRowFirstColumn="0" w:lastRowLastColumn="0"/>
              <w:rPr>
                <w:rFonts w:cstheme="minorHAnsi"/>
                <w:bCs/>
                <w:sz w:val="20"/>
                <w:szCs w:val="20"/>
                <w:lang w:val="sr-Latn-RS"/>
              </w:rPr>
            </w:pPr>
            <w:r>
              <w:rPr>
                <w:rFonts w:cstheme="minorHAnsi"/>
                <w:bCs/>
                <w:sz w:val="20"/>
                <w:szCs w:val="20"/>
                <w:lang w:val="sr-Latn-RS"/>
              </w:rPr>
              <w:t>Obezbjeđivanje podsticaja za poslodavce kroz fond za dualno obrazovanje ili na drugi način</w:t>
            </w:r>
          </w:p>
          <w:p w14:paraId="0367842B" w14:textId="3DFD9069" w:rsidR="00F21455" w:rsidRPr="00A46DC7" w:rsidRDefault="00F21455" w:rsidP="002205E1">
            <w:pPr>
              <w:jc w:val="both"/>
              <w:cnfStyle w:val="000000000000" w:firstRow="0" w:lastRow="0" w:firstColumn="0" w:lastColumn="0" w:oddVBand="0" w:evenVBand="0" w:oddHBand="0" w:evenHBand="0" w:firstRowFirstColumn="0" w:firstRowLastColumn="0" w:lastRowFirstColumn="0" w:lastRowLastColumn="0"/>
              <w:rPr>
                <w:rFonts w:cstheme="minorHAnsi"/>
                <w:bCs/>
                <w:sz w:val="20"/>
                <w:szCs w:val="20"/>
                <w:lang w:val="sr-Latn-RS"/>
              </w:rPr>
            </w:pPr>
          </w:p>
        </w:tc>
      </w:tr>
    </w:tbl>
    <w:p w14:paraId="4433E15B" w14:textId="77777777" w:rsidR="001B6681" w:rsidRDefault="001B6681" w:rsidP="001B6681">
      <w:pPr>
        <w:spacing w:after="0" w:line="276" w:lineRule="auto"/>
        <w:jc w:val="both"/>
        <w:rPr>
          <w:rFonts w:ascii="Calibri" w:eastAsia="Calibri" w:hAnsi="Calibri" w:cs="Times New Roman"/>
          <w:b/>
          <w:kern w:val="0"/>
          <w:sz w:val="24"/>
          <w:szCs w:val="24"/>
          <w14:ligatures w14:val="none"/>
        </w:rPr>
      </w:pPr>
      <w:bookmarkStart w:id="184" w:name="_Toc118750304"/>
      <w:bookmarkStart w:id="185" w:name="_Toc125545791"/>
      <w:bookmarkStart w:id="186" w:name="_Hlk123059843"/>
    </w:p>
    <w:p w14:paraId="58015D3B" w14:textId="7521785A" w:rsidR="001B6681" w:rsidRPr="00A15E00" w:rsidRDefault="001B6681" w:rsidP="001B6681">
      <w:pPr>
        <w:spacing w:after="0" w:line="276" w:lineRule="auto"/>
        <w:jc w:val="both"/>
        <w:rPr>
          <w:rFonts w:ascii="Calibri" w:eastAsia="Calibri" w:hAnsi="Calibri" w:cs="Times New Roman"/>
          <w:bCs/>
          <w:i/>
          <w:iCs/>
          <w:color w:val="002465"/>
          <w:kern w:val="0"/>
          <w:sz w:val="24"/>
          <w:szCs w:val="24"/>
          <w14:ligatures w14:val="none"/>
        </w:rPr>
      </w:pPr>
      <w:r w:rsidRPr="00A15E00">
        <w:rPr>
          <w:rFonts w:ascii="Calibri" w:eastAsia="Calibri" w:hAnsi="Calibri" w:cs="Times New Roman"/>
          <w:bCs/>
          <w:i/>
          <w:iCs/>
          <w:color w:val="002465"/>
          <w:kern w:val="0"/>
          <w:sz w:val="24"/>
          <w:szCs w:val="24"/>
          <w14:ligatures w14:val="none"/>
        </w:rPr>
        <w:t xml:space="preserve">Reformska mjera </w:t>
      </w:r>
      <w:r w:rsidR="00B85232">
        <w:rPr>
          <w:rFonts w:ascii="Calibri" w:eastAsia="Calibri" w:hAnsi="Calibri" w:cs="Times New Roman"/>
          <w:bCs/>
          <w:i/>
          <w:iCs/>
          <w:color w:val="002465"/>
          <w:kern w:val="0"/>
          <w:sz w:val="24"/>
          <w:szCs w:val="24"/>
          <w14:ligatures w14:val="none"/>
        </w:rPr>
        <w:t>8</w:t>
      </w:r>
      <w:r w:rsidRPr="00A15E00">
        <w:rPr>
          <w:rFonts w:ascii="Calibri" w:eastAsia="Calibri" w:hAnsi="Calibri" w:cs="Times New Roman"/>
          <w:bCs/>
          <w:i/>
          <w:iCs/>
          <w:color w:val="002465"/>
          <w:kern w:val="0"/>
          <w:sz w:val="24"/>
          <w:szCs w:val="24"/>
          <w14:ligatures w14:val="none"/>
        </w:rPr>
        <w:t>: Razvoj integrisanog pristupa povećanju kvaliteta i inkluzivnosti obrazovanja</w:t>
      </w:r>
    </w:p>
    <w:p w14:paraId="3089AC51" w14:textId="77777777" w:rsidR="001B6681" w:rsidRPr="001B6681" w:rsidRDefault="001B6681" w:rsidP="001B6681">
      <w:pPr>
        <w:spacing w:after="0" w:line="276" w:lineRule="auto"/>
        <w:jc w:val="both"/>
        <w:rPr>
          <w:rFonts w:ascii="Calibri" w:eastAsia="Calibri" w:hAnsi="Calibri" w:cs="Times New Roman"/>
          <w:bCs/>
          <w:i/>
          <w:iCs/>
          <w:color w:val="002465"/>
          <w:kern w:val="0"/>
          <w:sz w:val="24"/>
          <w:szCs w:val="24"/>
          <w14:ligatures w14:val="none"/>
        </w:rPr>
      </w:pPr>
    </w:p>
    <w:p w14:paraId="476276FA" w14:textId="0DEA72FC" w:rsidR="001B6681" w:rsidRPr="001B6681" w:rsidRDefault="001B6681" w:rsidP="001B6681">
      <w:pPr>
        <w:spacing w:after="0" w:line="240" w:lineRule="auto"/>
        <w:jc w:val="both"/>
        <w:rPr>
          <w:rFonts w:ascii="Calibri" w:eastAsia="Calibri" w:hAnsi="Calibri" w:cs="Times New Roman"/>
          <w:kern w:val="0"/>
          <w:sz w:val="24"/>
          <w:szCs w:val="24"/>
          <w14:ligatures w14:val="none"/>
        </w:rPr>
      </w:pPr>
      <w:r w:rsidRPr="001B6681">
        <w:rPr>
          <w:rFonts w:ascii="Calibri" w:eastAsia="Calibri" w:hAnsi="Calibri" w:cs="Times New Roman"/>
          <w:b/>
          <w:kern w:val="0"/>
          <w:sz w:val="24"/>
          <w:szCs w:val="24"/>
          <w14:ligatures w14:val="none"/>
        </w:rPr>
        <w:t>1.Opis mjere:</w:t>
      </w:r>
      <w:r w:rsidRPr="001B6681">
        <w:rPr>
          <w:rFonts w:ascii="Calibri" w:eastAsia="Calibri" w:hAnsi="Calibri" w:cs="Times New Roman"/>
          <w:kern w:val="0"/>
          <w:sz w:val="24"/>
          <w:szCs w:val="24"/>
          <w14:ligatures w14:val="none"/>
        </w:rPr>
        <w:t xml:space="preserve"> </w:t>
      </w:r>
      <w:r w:rsidR="00A15E00">
        <w:rPr>
          <w:rFonts w:ascii="Calibri" w:eastAsia="Calibri" w:hAnsi="Calibri" w:cs="Times New Roman"/>
          <w:kern w:val="0"/>
          <w:sz w:val="24"/>
          <w:szCs w:val="24"/>
          <w14:ligatures w14:val="none"/>
        </w:rPr>
        <w:t>M</w:t>
      </w:r>
      <w:r w:rsidRPr="001B6681">
        <w:rPr>
          <w:rFonts w:ascii="Calibri" w:eastAsia="Calibri" w:hAnsi="Calibri" w:cs="Times New Roman"/>
          <w:kern w:val="0"/>
          <w:sz w:val="24"/>
          <w:szCs w:val="24"/>
          <w14:ligatures w14:val="none"/>
        </w:rPr>
        <w:t xml:space="preserve">jera ima za cilj razvoj strateškog okvira za integrisani pristup povećanju kvaliteta i inkluzivnosti obrazovanja radi poboljšanja ishoda učenja </w:t>
      </w:r>
      <w:r w:rsidRPr="001B6681">
        <w:rPr>
          <w:rFonts w:ascii="Calibri" w:eastAsia="Calibri" w:hAnsi="Calibri" w:cs="Times New Roman"/>
          <w:color w:val="000000"/>
          <w:kern w:val="0"/>
          <w:sz w:val="24"/>
          <w:szCs w:val="24"/>
          <w14:ligatures w14:val="none"/>
        </w:rPr>
        <w:t xml:space="preserve">i </w:t>
      </w:r>
      <w:r w:rsidRPr="001B6681">
        <w:rPr>
          <w:rFonts w:ascii="Calibri" w:eastAsia="Calibri" w:hAnsi="Calibri" w:cs="Times New Roman"/>
          <w:kern w:val="0"/>
          <w:sz w:val="24"/>
          <w:szCs w:val="24"/>
          <w14:ligatures w14:val="none"/>
        </w:rPr>
        <w:t>sticanj</w:t>
      </w:r>
      <w:r w:rsidR="00A15E00">
        <w:rPr>
          <w:rFonts w:ascii="Calibri" w:eastAsia="Calibri" w:hAnsi="Calibri" w:cs="Times New Roman"/>
          <w:kern w:val="0"/>
          <w:sz w:val="24"/>
          <w:szCs w:val="24"/>
          <w14:ligatures w14:val="none"/>
        </w:rPr>
        <w:t>a</w:t>
      </w:r>
      <w:r w:rsidRPr="001B6681">
        <w:rPr>
          <w:rFonts w:ascii="Calibri" w:eastAsia="Calibri" w:hAnsi="Calibri" w:cs="Times New Roman"/>
          <w:kern w:val="0"/>
          <w:sz w:val="24"/>
          <w:szCs w:val="24"/>
          <w14:ligatures w14:val="none"/>
        </w:rPr>
        <w:t xml:space="preserve"> trajnih i primjenjivih znanja. Mjera treba dati doprinos u pružanju odgovora na izazov dugoročne nezaposlenosti, naročito mladih, usljed neusklađenosti znanja i vještina sa potrebama tržišta rada, pored ostalog, kroz povećanje kvaliteta obrazovanja i brži odgovor sektora obrazovanja na zahtjeve tržišta rada.  Mjera je u skladu sa preporukom </w:t>
      </w:r>
      <w:r w:rsidR="0020090C">
        <w:rPr>
          <w:rFonts w:ascii="Calibri" w:eastAsia="Calibri" w:hAnsi="Calibri" w:cs="Times New Roman"/>
          <w:kern w:val="0"/>
          <w:sz w:val="24"/>
          <w:szCs w:val="24"/>
          <w14:ligatures w14:val="none"/>
        </w:rPr>
        <w:t xml:space="preserve">br. 6 </w:t>
      </w:r>
      <w:r w:rsidRPr="001B6681">
        <w:rPr>
          <w:rFonts w:ascii="Calibri" w:eastAsia="Calibri" w:hAnsi="Calibri" w:cs="Times New Roman"/>
          <w:kern w:val="0"/>
          <w:sz w:val="24"/>
          <w:szCs w:val="24"/>
          <w14:ligatures w14:val="none"/>
        </w:rPr>
        <w:t>Evropske komisije sa zajedničkog sastanka ministarskog dijaloga</w:t>
      </w:r>
      <w:r w:rsidR="0020090C">
        <w:rPr>
          <w:rFonts w:ascii="Calibri" w:eastAsia="Calibri" w:hAnsi="Calibri" w:cs="Times New Roman"/>
          <w:kern w:val="0"/>
          <w:sz w:val="24"/>
          <w:szCs w:val="24"/>
          <w14:ligatures w14:val="none"/>
        </w:rPr>
        <w:t xml:space="preserve">. </w:t>
      </w:r>
      <w:r w:rsidRPr="001B6681">
        <w:rPr>
          <w:rFonts w:ascii="Calibri" w:eastAsia="Calibri" w:hAnsi="Calibri" w:cs="Times New Roman"/>
          <w:kern w:val="0"/>
          <w:sz w:val="24"/>
          <w:szCs w:val="24"/>
          <w14:ligatures w14:val="none"/>
        </w:rPr>
        <w:t>U tom smislu, razvoj sveobuhvatne i na dokazima zasnovane srednjoročne Strategije sektora obrazovanja (2025-2030) sa mapom puta za integrisani pristup povećanju kvaliteta i inkluzivnosti obrazovanja treba da donese poboljšanje ishoda učenja reflektovane u boljim rezultatima PISA testiranja i povećanom indeksu ljudskog kapitala.</w:t>
      </w:r>
    </w:p>
    <w:p w14:paraId="277B26CB" w14:textId="77777777" w:rsidR="001B6681" w:rsidRPr="001B6681" w:rsidRDefault="001B6681" w:rsidP="001B6681">
      <w:pPr>
        <w:spacing w:after="0" w:line="240" w:lineRule="auto"/>
        <w:jc w:val="both"/>
        <w:rPr>
          <w:rFonts w:ascii="Calibri" w:eastAsia="Calibri" w:hAnsi="Calibri" w:cs="Times New Roman"/>
          <w:kern w:val="0"/>
          <w:sz w:val="24"/>
          <w:szCs w:val="24"/>
          <w14:ligatures w14:val="none"/>
        </w:rPr>
      </w:pPr>
    </w:p>
    <w:p w14:paraId="3A8C08A5" w14:textId="1F396ABB" w:rsidR="001B6681" w:rsidRPr="001B6681" w:rsidRDefault="001B6681" w:rsidP="001B6681">
      <w:pPr>
        <w:spacing w:after="0" w:line="240" w:lineRule="auto"/>
        <w:jc w:val="both"/>
        <w:rPr>
          <w:rFonts w:ascii="Calibri" w:eastAsia="Calibri" w:hAnsi="Calibri" w:cs="Times New Roman"/>
          <w:kern w:val="0"/>
          <w:sz w:val="24"/>
          <w:szCs w:val="24"/>
          <w14:ligatures w14:val="none"/>
        </w:rPr>
      </w:pPr>
      <w:r w:rsidRPr="001B6681">
        <w:rPr>
          <w:rFonts w:ascii="Calibri" w:eastAsia="Calibri" w:hAnsi="Calibri" w:cs="Times New Roman"/>
          <w:kern w:val="0"/>
          <w:sz w:val="24"/>
          <w:szCs w:val="24"/>
          <w14:ligatures w14:val="none"/>
        </w:rPr>
        <w:t>Mjera će takođe podržati Crnu Goru u implementaciji kriterijuma za pristupanje EU sadržanih u tri pregovaračka poglavlja sa EU: Poglavlje 19 – Socijalna politika i zapošljavanje, Poglavlje 23 – Pravosuđe i osnovna prava i Poglavlje 26 – Obrazovanje i kultura. Konkretno, mjera će doprinijeti svim ključnim pitanjima iz Izvještaja o napretku Crne Gore za 2023. u segmentu koji se odnosi na Poglavlje 26</w:t>
      </w:r>
      <w:r w:rsidR="0020090C">
        <w:rPr>
          <w:rFonts w:ascii="Calibri" w:eastAsia="Calibri" w:hAnsi="Calibri" w:cs="Times New Roman"/>
          <w:kern w:val="0"/>
          <w:sz w:val="24"/>
          <w:szCs w:val="24"/>
          <w14:ligatures w14:val="none"/>
        </w:rPr>
        <w:t>.</w:t>
      </w:r>
    </w:p>
    <w:p w14:paraId="5F07479C" w14:textId="0FE240FB" w:rsidR="001B6681" w:rsidRPr="001B6681" w:rsidRDefault="001B6681" w:rsidP="001B6681">
      <w:pPr>
        <w:spacing w:after="0" w:line="240" w:lineRule="auto"/>
        <w:jc w:val="both"/>
        <w:rPr>
          <w:rFonts w:ascii="Calibri" w:eastAsia="Calibri" w:hAnsi="Calibri" w:cs="Times New Roman"/>
          <w:kern w:val="0"/>
          <w:sz w:val="24"/>
          <w:szCs w:val="24"/>
          <w14:ligatures w14:val="none"/>
        </w:rPr>
      </w:pPr>
      <w:r w:rsidRPr="001B6681">
        <w:rPr>
          <w:rFonts w:ascii="Calibri" w:eastAsia="Calibri" w:hAnsi="Calibri" w:cs="Times New Roman"/>
          <w:kern w:val="0"/>
          <w:sz w:val="24"/>
          <w:szCs w:val="24"/>
          <w14:ligatures w14:val="none"/>
        </w:rPr>
        <w:lastRenderedPageBreak/>
        <w:t>Mjera je povezana sa procesom implementacije strateških dokumenata: Nacionalna strategija održivog razvoja Crne Gore do 2030. godine, Strategija ranog i predškolskog vaspitanja i obrazovanja (2021-2026), Strategija inkluzivnog obrazovanja (2019-2025), Strategija za socijalno uključivanje Roma i Egipćana u Crnoj Gori (2021-2025), Strategija ranog i predškolskog vaspitanja i obrazovanja (2021 - 2025), Strategija digitalizacije obrazovanja (2022 – 2027), Akcioni plan EU za digitalno obrazovanje (2021 – 2027). Takođe i sa Programskim okvirom IPA III, koji naglašava jačanje pristupa i kvaliteta obrazova</w:t>
      </w:r>
      <w:r w:rsidR="00162290">
        <w:rPr>
          <w:rFonts w:ascii="Calibri" w:eastAsia="Calibri" w:hAnsi="Calibri" w:cs="Times New Roman"/>
          <w:kern w:val="0"/>
          <w:sz w:val="24"/>
          <w:szCs w:val="24"/>
          <w14:ligatures w14:val="none"/>
        </w:rPr>
        <w:t xml:space="preserve">nja, uključujući sisteme obuke, </w:t>
      </w:r>
      <w:r w:rsidRPr="001B6681">
        <w:rPr>
          <w:rFonts w:ascii="Calibri" w:eastAsia="Calibri" w:hAnsi="Calibri" w:cs="Times New Roman"/>
          <w:kern w:val="0"/>
          <w:sz w:val="24"/>
          <w:szCs w:val="24"/>
          <w14:ligatures w14:val="none"/>
        </w:rPr>
        <w:t>posebno nastavnika i rukovodilaca škola, upravljanje i strateško kreiranje politike, kao i sa Ekonomskim i investicionim planom EU za Zapadni Balkan (2020) koji apostrofira digitalnu transformaciju.</w:t>
      </w:r>
    </w:p>
    <w:p w14:paraId="35530FED" w14:textId="77777777" w:rsidR="001B6681" w:rsidRPr="001B6681" w:rsidRDefault="001B6681" w:rsidP="001B6681">
      <w:pPr>
        <w:spacing w:after="0" w:line="240" w:lineRule="auto"/>
        <w:jc w:val="both"/>
        <w:rPr>
          <w:rFonts w:ascii="Calibri" w:eastAsia="Calibri" w:hAnsi="Calibri" w:cs="Times New Roman"/>
          <w:kern w:val="0"/>
          <w:sz w:val="24"/>
          <w:szCs w:val="24"/>
          <w14:ligatures w14:val="none"/>
        </w:rPr>
      </w:pPr>
    </w:p>
    <w:p w14:paraId="78540D5B" w14:textId="77777777" w:rsidR="0020090C" w:rsidRDefault="001B6681" w:rsidP="0020090C">
      <w:pPr>
        <w:spacing w:after="0" w:line="276" w:lineRule="auto"/>
        <w:jc w:val="both"/>
        <w:rPr>
          <w:rFonts w:ascii="Calibri" w:eastAsia="Calibri" w:hAnsi="Calibri" w:cs="Times New Roman"/>
          <w:b/>
          <w:kern w:val="0"/>
          <w:sz w:val="24"/>
          <w:szCs w:val="24"/>
          <w14:ligatures w14:val="none"/>
        </w:rPr>
      </w:pPr>
      <w:r w:rsidRPr="001B6681">
        <w:rPr>
          <w:rFonts w:ascii="Calibri" w:eastAsia="Calibri" w:hAnsi="Calibri" w:cs="Times New Roman"/>
          <w:b/>
          <w:kern w:val="0"/>
          <w:sz w:val="24"/>
          <w:szCs w:val="24"/>
          <w14:ligatures w14:val="none"/>
        </w:rPr>
        <w:t xml:space="preserve">Aktivnosti planirane za 2024. </w:t>
      </w:r>
      <w:r>
        <w:rPr>
          <w:rFonts w:ascii="Calibri" w:eastAsia="Calibri" w:hAnsi="Calibri" w:cs="Times New Roman"/>
          <w:b/>
          <w:kern w:val="0"/>
          <w:sz w:val="24"/>
          <w:szCs w:val="24"/>
          <w14:ligatures w14:val="none"/>
        </w:rPr>
        <w:t>g</w:t>
      </w:r>
      <w:r w:rsidRPr="001B6681">
        <w:rPr>
          <w:rFonts w:ascii="Calibri" w:eastAsia="Calibri" w:hAnsi="Calibri" w:cs="Times New Roman"/>
          <w:b/>
          <w:kern w:val="0"/>
          <w:sz w:val="24"/>
          <w:szCs w:val="24"/>
          <w14:ligatures w14:val="none"/>
        </w:rPr>
        <w:t>odinu</w:t>
      </w:r>
      <w:r>
        <w:rPr>
          <w:rFonts w:ascii="Calibri" w:eastAsia="Calibri" w:hAnsi="Calibri" w:cs="Times New Roman"/>
          <w:b/>
          <w:kern w:val="0"/>
          <w:sz w:val="24"/>
          <w:szCs w:val="24"/>
          <w14:ligatures w14:val="none"/>
        </w:rPr>
        <w:t>.</w:t>
      </w:r>
    </w:p>
    <w:p w14:paraId="0B0E1689" w14:textId="647C6181" w:rsidR="001B6681" w:rsidRPr="0020090C" w:rsidRDefault="00162290" w:rsidP="00FD3827">
      <w:pPr>
        <w:pStyle w:val="ListParagraph"/>
        <w:numPr>
          <w:ilvl w:val="0"/>
          <w:numId w:val="15"/>
        </w:numPr>
        <w:spacing w:after="0" w:line="276" w:lineRule="auto"/>
        <w:jc w:val="both"/>
        <w:rPr>
          <w:rFonts w:ascii="Calibri" w:eastAsia="Calibri" w:hAnsi="Calibri" w:cs="Times New Roman"/>
          <w:b/>
          <w:kern w:val="0"/>
          <w:sz w:val="24"/>
          <w:szCs w:val="24"/>
          <w14:ligatures w14:val="none"/>
        </w:rPr>
      </w:pPr>
      <w:r>
        <w:rPr>
          <w:rFonts w:ascii="Calibri" w:eastAsia="Calibri" w:hAnsi="Calibri" w:cs="Times New Roman"/>
          <w:kern w:val="0"/>
          <w:sz w:val="24"/>
          <w:szCs w:val="24"/>
          <w14:ligatures w14:val="none"/>
        </w:rPr>
        <w:t>Unapr</w:t>
      </w:r>
      <w:r w:rsidR="001B6681" w:rsidRPr="0020090C">
        <w:rPr>
          <w:rFonts w:ascii="Calibri" w:eastAsia="Calibri" w:hAnsi="Calibri" w:cs="Times New Roman"/>
          <w:kern w:val="0"/>
          <w:sz w:val="24"/>
          <w:szCs w:val="24"/>
          <w14:ligatures w14:val="none"/>
        </w:rPr>
        <w:t xml:space="preserve">eđenje kapaciteta za predstavnike </w:t>
      </w:r>
      <w:r w:rsidR="00E92524">
        <w:rPr>
          <w:rFonts w:ascii="Calibri" w:eastAsia="Calibri" w:hAnsi="Calibri" w:cs="Times New Roman"/>
          <w:kern w:val="0"/>
          <w:sz w:val="24"/>
          <w:szCs w:val="24"/>
          <w14:ligatures w14:val="none"/>
        </w:rPr>
        <w:t>MPNI</w:t>
      </w:r>
      <w:r w:rsidR="001B6681" w:rsidRPr="0020090C">
        <w:rPr>
          <w:rFonts w:ascii="Calibri" w:eastAsia="Calibri" w:hAnsi="Calibri" w:cs="Times New Roman"/>
          <w:kern w:val="0"/>
          <w:sz w:val="24"/>
          <w:szCs w:val="24"/>
          <w14:ligatures w14:val="none"/>
        </w:rPr>
        <w:t xml:space="preserve"> i drugih relevantnih institucija za planiranje zasnovano na dokazima, budžetiranje, praćenje i evaluaciju planova sektora obrazovanja;</w:t>
      </w:r>
      <w:r w:rsidR="00E92524">
        <w:rPr>
          <w:rFonts w:ascii="Calibri" w:eastAsia="Calibri" w:hAnsi="Calibri" w:cs="Times New Roman"/>
          <w:kern w:val="0"/>
          <w:sz w:val="24"/>
          <w:szCs w:val="24"/>
          <w14:ligatures w14:val="none"/>
        </w:rPr>
        <w:t xml:space="preserve"> MPNI</w:t>
      </w:r>
    </w:p>
    <w:p w14:paraId="36833B58" w14:textId="77777777" w:rsidR="001B6681" w:rsidRPr="0020090C" w:rsidRDefault="001B6681" w:rsidP="00FD3827">
      <w:pPr>
        <w:pStyle w:val="ListParagraph"/>
        <w:numPr>
          <w:ilvl w:val="0"/>
          <w:numId w:val="15"/>
        </w:numPr>
        <w:spacing w:after="0" w:line="276" w:lineRule="auto"/>
        <w:jc w:val="both"/>
        <w:rPr>
          <w:rFonts w:ascii="Calibri" w:eastAsia="Calibri" w:hAnsi="Calibri" w:cs="Times New Roman"/>
          <w:b/>
          <w:kern w:val="0"/>
          <w:sz w:val="24"/>
          <w:szCs w:val="24"/>
          <w14:ligatures w14:val="none"/>
        </w:rPr>
      </w:pPr>
      <w:r w:rsidRPr="0020090C">
        <w:rPr>
          <w:rFonts w:ascii="Calibri" w:eastAsia="Calibri" w:hAnsi="Calibri" w:cs="Calibri"/>
          <w:kern w:val="0"/>
          <w:sz w:val="24"/>
          <w:szCs w:val="24"/>
          <w:lang w:val="sr-Latn-RS"/>
          <w14:ligatures w14:val="none"/>
        </w:rPr>
        <w:t>Izrada Strategije sektora obrazovanja (2025-203</w:t>
      </w:r>
      <w:r w:rsidRPr="0020090C">
        <w:rPr>
          <w:rFonts w:ascii="Calibri" w:eastAsia="Calibri" w:hAnsi="Calibri" w:cs="Calibri"/>
          <w:color w:val="000000"/>
          <w:kern w:val="0"/>
          <w:sz w:val="24"/>
          <w:szCs w:val="24"/>
          <w:lang w:val="sr-Latn-RS"/>
          <w14:ligatures w14:val="none"/>
        </w:rPr>
        <w:t>0</w:t>
      </w:r>
      <w:r w:rsidRPr="0020090C">
        <w:rPr>
          <w:rFonts w:ascii="Calibri" w:eastAsia="Calibri" w:hAnsi="Calibri" w:cs="Calibri"/>
          <w:kern w:val="0"/>
          <w:sz w:val="24"/>
          <w:szCs w:val="24"/>
          <w:lang w:val="sr-Latn-RS"/>
          <w14:ligatures w14:val="none"/>
        </w:rPr>
        <w:t xml:space="preserve">) i akcionog plana za njeno sprovođenje; </w:t>
      </w:r>
    </w:p>
    <w:p w14:paraId="0AD294AA" w14:textId="35AA1B41" w:rsidR="004D422C" w:rsidRDefault="001B6681" w:rsidP="00FD3827">
      <w:pPr>
        <w:pStyle w:val="ListParagraph"/>
        <w:widowControl w:val="0"/>
        <w:numPr>
          <w:ilvl w:val="0"/>
          <w:numId w:val="15"/>
        </w:numPr>
        <w:spacing w:after="0" w:line="240" w:lineRule="auto"/>
        <w:jc w:val="both"/>
        <w:rPr>
          <w:rFonts w:ascii="Calibri" w:eastAsia="Calibri" w:hAnsi="Calibri" w:cs="Calibri"/>
          <w:b/>
          <w:kern w:val="0"/>
          <w:sz w:val="24"/>
          <w:szCs w:val="24"/>
          <w:lang w:val="sr-Latn-RS"/>
          <w14:ligatures w14:val="none"/>
        </w:rPr>
      </w:pPr>
      <w:r w:rsidRPr="004D422C">
        <w:rPr>
          <w:rFonts w:ascii="Calibri" w:eastAsia="Calibri" w:hAnsi="Calibri" w:cs="Calibri"/>
          <w:bCs/>
          <w:kern w:val="0"/>
          <w:sz w:val="24"/>
          <w:szCs w:val="24"/>
          <w:lang w:val="sr-Latn-RS"/>
          <w14:ligatures w14:val="none"/>
        </w:rPr>
        <w:t>Sprovođenje kampanje za jačanje pozitivnih stavova kod građana i promjene ponašanja u cilju postizanja kvalitetnog i inkluzivnog obrazovanja za svu djecu</w:t>
      </w:r>
      <w:r w:rsidRPr="004D422C">
        <w:rPr>
          <w:rFonts w:ascii="Calibri" w:eastAsia="Calibri" w:hAnsi="Calibri" w:cs="Calibri"/>
          <w:b/>
          <w:kern w:val="0"/>
          <w:sz w:val="24"/>
          <w:szCs w:val="24"/>
          <w:lang w:val="sr-Latn-RS"/>
          <w14:ligatures w14:val="none"/>
        </w:rPr>
        <w:t>;</w:t>
      </w:r>
      <w:r w:rsidR="00162290">
        <w:rPr>
          <w:rFonts w:ascii="Calibri" w:eastAsia="Calibri" w:hAnsi="Calibri" w:cs="Calibri"/>
          <w:b/>
          <w:kern w:val="0"/>
          <w:sz w:val="24"/>
          <w:szCs w:val="24"/>
          <w:lang w:val="sr-Latn-RS"/>
          <w14:ligatures w14:val="none"/>
        </w:rPr>
        <w:t xml:space="preserve"> </w:t>
      </w:r>
      <w:r w:rsidR="00E92524" w:rsidRPr="00E92524">
        <w:rPr>
          <w:rFonts w:ascii="Calibri" w:eastAsia="Calibri" w:hAnsi="Calibri" w:cs="Calibri"/>
          <w:bCs/>
          <w:kern w:val="0"/>
          <w:sz w:val="24"/>
          <w:szCs w:val="24"/>
          <w:lang w:val="sr-Latn-RS"/>
          <w14:ligatures w14:val="none"/>
        </w:rPr>
        <w:t>M</w:t>
      </w:r>
      <w:r w:rsidR="00E92524">
        <w:rPr>
          <w:rFonts w:ascii="Calibri" w:eastAsia="Calibri" w:hAnsi="Calibri" w:cs="Calibri"/>
          <w:bCs/>
          <w:kern w:val="0"/>
          <w:sz w:val="24"/>
          <w:szCs w:val="24"/>
          <w:lang w:val="sr-Latn-RS"/>
          <w14:ligatures w14:val="none"/>
        </w:rPr>
        <w:t>PNI</w:t>
      </w:r>
    </w:p>
    <w:p w14:paraId="6FA55AEE" w14:textId="7C097DA6" w:rsidR="004D422C" w:rsidRPr="004D422C" w:rsidRDefault="001B6681" w:rsidP="00FD3827">
      <w:pPr>
        <w:pStyle w:val="ListParagraph"/>
        <w:widowControl w:val="0"/>
        <w:numPr>
          <w:ilvl w:val="0"/>
          <w:numId w:val="15"/>
        </w:numPr>
        <w:spacing w:after="0" w:line="240" w:lineRule="auto"/>
        <w:jc w:val="both"/>
        <w:rPr>
          <w:rFonts w:ascii="Calibri" w:eastAsia="Calibri" w:hAnsi="Calibri" w:cs="Calibri"/>
          <w:b/>
          <w:kern w:val="0"/>
          <w:sz w:val="24"/>
          <w:szCs w:val="24"/>
          <w:lang w:val="sr-Latn-RS"/>
          <w14:ligatures w14:val="none"/>
        </w:rPr>
      </w:pPr>
      <w:r w:rsidRPr="004D422C">
        <w:rPr>
          <w:rFonts w:ascii="Calibri" w:eastAsia="Calibri" w:hAnsi="Calibri" w:cs="Calibri"/>
          <w:kern w:val="0"/>
          <w:sz w:val="24"/>
          <w:szCs w:val="24"/>
          <w:lang w:val="sr-Latn-RS"/>
          <w14:ligatures w14:val="none"/>
        </w:rPr>
        <w:t>Unapređenje kvaliteta i inkluzivnosti nastavnog procesa, podrške i dostupnih usluga za djecu sa smetnjama u razvoju u predškolskom vaspitanju i obrazovanju i u osnovnoj školi sa posebnim osvrtom na prvi ciklus osnovne škole (I-IV razred);</w:t>
      </w:r>
      <w:r w:rsidR="00162290">
        <w:rPr>
          <w:rFonts w:ascii="Calibri" w:eastAsia="Calibri" w:hAnsi="Calibri" w:cs="Calibri"/>
          <w:kern w:val="0"/>
          <w:sz w:val="24"/>
          <w:szCs w:val="24"/>
          <w:lang w:val="sr-Latn-RS"/>
          <w14:ligatures w14:val="none"/>
        </w:rPr>
        <w:t xml:space="preserve"> </w:t>
      </w:r>
      <w:r w:rsidR="00E92524">
        <w:rPr>
          <w:rFonts w:ascii="Calibri" w:eastAsia="Calibri" w:hAnsi="Calibri" w:cs="Calibri"/>
          <w:kern w:val="0"/>
          <w:sz w:val="24"/>
          <w:szCs w:val="24"/>
          <w:lang w:val="sr-Latn-RS"/>
          <w14:ligatures w14:val="none"/>
        </w:rPr>
        <w:t>MPNI</w:t>
      </w:r>
    </w:p>
    <w:p w14:paraId="6569A35D" w14:textId="2E6D2540" w:rsidR="004D422C" w:rsidRPr="004D422C" w:rsidRDefault="001B6681" w:rsidP="00FD3827">
      <w:pPr>
        <w:pStyle w:val="ListParagraph"/>
        <w:widowControl w:val="0"/>
        <w:numPr>
          <w:ilvl w:val="0"/>
          <w:numId w:val="15"/>
        </w:numPr>
        <w:spacing w:after="0" w:line="240" w:lineRule="auto"/>
        <w:jc w:val="both"/>
        <w:rPr>
          <w:rFonts w:ascii="Calibri" w:eastAsia="Calibri" w:hAnsi="Calibri" w:cs="Calibri"/>
          <w:b/>
          <w:kern w:val="0"/>
          <w:sz w:val="24"/>
          <w:szCs w:val="24"/>
          <w:lang w:val="sr-Latn-RS"/>
          <w14:ligatures w14:val="none"/>
        </w:rPr>
      </w:pPr>
      <w:r w:rsidRPr="004D422C">
        <w:rPr>
          <w:rFonts w:ascii="Calibri" w:eastAsia="Calibri" w:hAnsi="Calibri" w:cs="Calibri"/>
          <w:kern w:val="0"/>
          <w:sz w:val="24"/>
          <w:szCs w:val="24"/>
          <w:lang w:val="sr-Latn-RS"/>
          <w14:ligatures w14:val="none"/>
        </w:rPr>
        <w:t>Unapređenje kvaliteta ranog obrazovanja romske djece i kvalitet obrazovne podrške u osnovnom obrazovanju, sa posebnim osvrtom na prvi ciklus osnovnog obrazovanja (I-IV razred)</w:t>
      </w:r>
      <w:r w:rsidR="004D422C">
        <w:rPr>
          <w:rFonts w:ascii="Calibri" w:eastAsia="Calibri" w:hAnsi="Calibri" w:cs="Calibri"/>
          <w:kern w:val="0"/>
          <w:sz w:val="24"/>
          <w:szCs w:val="24"/>
          <w:lang w:val="sr-Latn-RS"/>
          <w14:ligatures w14:val="none"/>
        </w:rPr>
        <w:t>.</w:t>
      </w:r>
      <w:r w:rsidR="00E92524">
        <w:rPr>
          <w:rFonts w:ascii="Calibri" w:eastAsia="Calibri" w:hAnsi="Calibri" w:cs="Calibri"/>
          <w:kern w:val="0"/>
          <w:sz w:val="24"/>
          <w:szCs w:val="24"/>
          <w:lang w:val="sr-Latn-RS"/>
          <w14:ligatures w14:val="none"/>
        </w:rPr>
        <w:t xml:space="preserve"> MPNI</w:t>
      </w:r>
    </w:p>
    <w:p w14:paraId="5675F276" w14:textId="10757ED6" w:rsidR="001B6681" w:rsidRPr="004D422C" w:rsidRDefault="001B6681" w:rsidP="00FD3827">
      <w:pPr>
        <w:pStyle w:val="ListParagraph"/>
        <w:widowControl w:val="0"/>
        <w:numPr>
          <w:ilvl w:val="0"/>
          <w:numId w:val="15"/>
        </w:numPr>
        <w:spacing w:after="0" w:line="240" w:lineRule="auto"/>
        <w:jc w:val="both"/>
        <w:rPr>
          <w:rFonts w:ascii="Calibri" w:eastAsia="Calibri" w:hAnsi="Calibri" w:cs="Calibri"/>
          <w:b/>
          <w:kern w:val="0"/>
          <w:sz w:val="24"/>
          <w:szCs w:val="24"/>
          <w:lang w:val="sr-Latn-RS"/>
          <w14:ligatures w14:val="none"/>
        </w:rPr>
      </w:pPr>
      <w:r w:rsidRPr="004D422C">
        <w:rPr>
          <w:rFonts w:ascii="Calibri" w:eastAsia="Calibri" w:hAnsi="Calibri" w:cs="Times New Roman"/>
          <w:kern w:val="0"/>
          <w:sz w:val="24"/>
          <w:szCs w:val="24"/>
          <w14:ligatures w14:val="none"/>
        </w:rPr>
        <w:t>Stvaranje uslova za sveobuhvatnu analizu/procjenu sistema stručnog usavršavanja nastavnika, razvoj sveobuhvatne baze podataka ljudskim resursima (vaspitača, učitelja, nastavnika, stručnih saradnika)</w:t>
      </w:r>
      <w:r w:rsidR="00162290">
        <w:rPr>
          <w:rFonts w:ascii="Calibri" w:eastAsia="Calibri" w:hAnsi="Calibri" w:cs="Times New Roman"/>
          <w:kern w:val="0"/>
          <w:sz w:val="24"/>
          <w:szCs w:val="24"/>
          <w14:ligatures w14:val="none"/>
        </w:rPr>
        <w:t xml:space="preserve"> i</w:t>
      </w:r>
      <w:r w:rsidRPr="004D422C">
        <w:rPr>
          <w:rFonts w:ascii="Calibri" w:eastAsia="Calibri" w:hAnsi="Calibri" w:cs="Times New Roman"/>
          <w:kern w:val="0"/>
          <w:sz w:val="24"/>
          <w:szCs w:val="24"/>
          <w14:ligatures w14:val="none"/>
        </w:rPr>
        <w:t xml:space="preserve"> priprema nacrta analize. </w:t>
      </w:r>
      <w:r w:rsidR="00E92524">
        <w:rPr>
          <w:rFonts w:ascii="Calibri" w:eastAsia="Calibri" w:hAnsi="Calibri" w:cs="Times New Roman"/>
          <w:kern w:val="0"/>
          <w:sz w:val="24"/>
          <w:szCs w:val="24"/>
          <w14:ligatures w14:val="none"/>
        </w:rPr>
        <w:t>MPNI</w:t>
      </w:r>
    </w:p>
    <w:p w14:paraId="05E389B7" w14:textId="77777777" w:rsidR="001B6681" w:rsidRPr="001B6681" w:rsidRDefault="001B6681" w:rsidP="001B6681">
      <w:pPr>
        <w:spacing w:after="0" w:line="276" w:lineRule="auto"/>
        <w:ind w:left="720"/>
        <w:contextualSpacing/>
        <w:jc w:val="both"/>
        <w:rPr>
          <w:rFonts w:ascii="Calibri" w:eastAsia="Calibri" w:hAnsi="Calibri" w:cs="Times New Roman"/>
          <w:kern w:val="0"/>
          <w:sz w:val="24"/>
          <w:szCs w:val="24"/>
          <w14:ligatures w14:val="none"/>
        </w:rPr>
      </w:pPr>
    </w:p>
    <w:p w14:paraId="5C97D154" w14:textId="77777777" w:rsidR="004D422C" w:rsidRDefault="001B6681" w:rsidP="004D422C">
      <w:pPr>
        <w:spacing w:after="0" w:line="276" w:lineRule="auto"/>
        <w:jc w:val="both"/>
        <w:rPr>
          <w:rFonts w:ascii="Calibri" w:eastAsia="Calibri" w:hAnsi="Calibri" w:cs="Times New Roman"/>
          <w:b/>
          <w:kern w:val="0"/>
          <w:sz w:val="24"/>
          <w:szCs w:val="24"/>
          <w14:ligatures w14:val="none"/>
        </w:rPr>
      </w:pPr>
      <w:r w:rsidRPr="001B6681">
        <w:rPr>
          <w:rFonts w:ascii="Calibri" w:eastAsia="Calibri" w:hAnsi="Calibri" w:cs="Times New Roman"/>
          <w:b/>
          <w:kern w:val="0"/>
          <w:sz w:val="24"/>
          <w:szCs w:val="24"/>
          <w14:ligatures w14:val="none"/>
        </w:rPr>
        <w:t xml:space="preserve"> Aktivnosti planirane za 2025. godinu.</w:t>
      </w:r>
    </w:p>
    <w:p w14:paraId="263F3EEF" w14:textId="301535FE" w:rsidR="004D422C" w:rsidRPr="004D422C" w:rsidRDefault="001B6681" w:rsidP="00FD3827">
      <w:pPr>
        <w:pStyle w:val="ListParagraph"/>
        <w:numPr>
          <w:ilvl w:val="0"/>
          <w:numId w:val="16"/>
        </w:numPr>
        <w:spacing w:after="0" w:line="276" w:lineRule="auto"/>
        <w:jc w:val="both"/>
        <w:rPr>
          <w:rFonts w:ascii="Calibri" w:eastAsia="Calibri" w:hAnsi="Calibri" w:cs="Times New Roman"/>
          <w:b/>
          <w:kern w:val="0"/>
          <w:sz w:val="24"/>
          <w:szCs w:val="24"/>
          <w14:ligatures w14:val="none"/>
        </w:rPr>
      </w:pPr>
      <w:r w:rsidRPr="004D422C">
        <w:rPr>
          <w:rFonts w:ascii="Calibri" w:eastAsia="Calibri" w:hAnsi="Calibri" w:cs="Calibri"/>
          <w:kern w:val="0"/>
          <w:sz w:val="24"/>
          <w:szCs w:val="24"/>
          <w:lang w:val="sr-Latn-RS"/>
          <w14:ligatures w14:val="none"/>
        </w:rPr>
        <w:t>Dalji rad na u</w:t>
      </w:r>
      <w:r w:rsidR="00C82B3B">
        <w:rPr>
          <w:rFonts w:ascii="Calibri" w:eastAsia="Calibri" w:hAnsi="Calibri" w:cs="Times New Roman"/>
          <w:kern w:val="0"/>
          <w:sz w:val="24"/>
          <w:szCs w:val="24"/>
          <w14:ligatures w14:val="none"/>
        </w:rPr>
        <w:t>napr</w:t>
      </w:r>
      <w:r w:rsidRPr="004D422C">
        <w:rPr>
          <w:rFonts w:ascii="Calibri" w:eastAsia="Calibri" w:hAnsi="Calibri" w:cs="Times New Roman"/>
          <w:kern w:val="0"/>
          <w:sz w:val="24"/>
          <w:szCs w:val="24"/>
          <w14:ligatures w14:val="none"/>
        </w:rPr>
        <w:t xml:space="preserve">eđenju kapaciteta za predstavnike </w:t>
      </w:r>
      <w:r w:rsidR="00E92524">
        <w:rPr>
          <w:rFonts w:ascii="Calibri" w:eastAsia="Calibri" w:hAnsi="Calibri" w:cs="Times New Roman"/>
          <w:kern w:val="0"/>
          <w:sz w:val="24"/>
          <w:szCs w:val="24"/>
          <w14:ligatures w14:val="none"/>
        </w:rPr>
        <w:t>MPNI</w:t>
      </w:r>
      <w:r w:rsidRPr="004D422C">
        <w:rPr>
          <w:rFonts w:ascii="Calibri" w:eastAsia="Calibri" w:hAnsi="Calibri" w:cs="Times New Roman"/>
          <w:kern w:val="0"/>
          <w:sz w:val="24"/>
          <w:szCs w:val="24"/>
          <w14:ligatures w14:val="none"/>
        </w:rPr>
        <w:t xml:space="preserve"> i drugih relevantnih institucija za planiranje zasnovano na dokazima, budžetiranje, praćenje i evaluaciju planova sektora obrazovanja;</w:t>
      </w:r>
    </w:p>
    <w:p w14:paraId="07E6294C" w14:textId="0438C9AB" w:rsidR="004D422C" w:rsidRPr="004D422C" w:rsidRDefault="001B6681" w:rsidP="00FD3827">
      <w:pPr>
        <w:pStyle w:val="ListParagraph"/>
        <w:numPr>
          <w:ilvl w:val="0"/>
          <w:numId w:val="16"/>
        </w:numPr>
        <w:spacing w:after="0" w:line="276" w:lineRule="auto"/>
        <w:jc w:val="both"/>
        <w:rPr>
          <w:rFonts w:ascii="Calibri" w:eastAsia="Calibri" w:hAnsi="Calibri" w:cs="Times New Roman"/>
          <w:b/>
          <w:kern w:val="0"/>
          <w:sz w:val="24"/>
          <w:szCs w:val="24"/>
          <w14:ligatures w14:val="none"/>
        </w:rPr>
      </w:pPr>
      <w:r w:rsidRPr="004D422C">
        <w:rPr>
          <w:rFonts w:ascii="Calibri" w:eastAsia="Calibri" w:hAnsi="Calibri" w:cs="Calibri"/>
          <w:kern w:val="0"/>
          <w:sz w:val="24"/>
          <w:szCs w:val="24"/>
          <w:lang w:val="sr-Latn-RS"/>
          <w14:ligatures w14:val="none"/>
        </w:rPr>
        <w:t>Početak implementacije Strategije sektora obrazovanja  sa akcentom na podršku aktivnostima: a) unapređenje kvaliteta i inkluzivnosti nastavnog procesa, podrške i dostupnih usluga za djecu sa smetnjama u razvoju u predškolskom vaspitanju i obrazovanjuu i u osnovnoj školi sa posebnim osvrtom na prvi ciklus osnovne škole (I-IV razred) i b) unapređenje kvaliteta ranog obrazovanja romske djece i kvalitet obrazovne podrške u osnovnom obrazovanju, sa posebnim osvrtom na prvi ciklus osnovnog obrazovanja (I-IV razred).</w:t>
      </w:r>
      <w:r w:rsidR="00E92524">
        <w:rPr>
          <w:rFonts w:ascii="Calibri" w:eastAsia="Calibri" w:hAnsi="Calibri" w:cs="Calibri"/>
          <w:kern w:val="0"/>
          <w:sz w:val="24"/>
          <w:szCs w:val="24"/>
          <w:lang w:val="sr-Latn-RS"/>
          <w14:ligatures w14:val="none"/>
        </w:rPr>
        <w:t xml:space="preserve"> MPNI </w:t>
      </w:r>
    </w:p>
    <w:p w14:paraId="0E2E0DC1" w14:textId="42A2C719" w:rsidR="001B6681" w:rsidRPr="004D422C" w:rsidRDefault="001B6681" w:rsidP="00FD3827">
      <w:pPr>
        <w:pStyle w:val="ListParagraph"/>
        <w:numPr>
          <w:ilvl w:val="0"/>
          <w:numId w:val="16"/>
        </w:numPr>
        <w:spacing w:after="0" w:line="276" w:lineRule="auto"/>
        <w:jc w:val="both"/>
        <w:rPr>
          <w:rFonts w:ascii="Calibri" w:eastAsia="Calibri" w:hAnsi="Calibri" w:cs="Times New Roman"/>
          <w:b/>
          <w:kern w:val="0"/>
          <w:sz w:val="24"/>
          <w:szCs w:val="24"/>
          <w14:ligatures w14:val="none"/>
        </w:rPr>
      </w:pPr>
      <w:r w:rsidRPr="004D422C">
        <w:rPr>
          <w:rFonts w:ascii="Calibri" w:eastAsia="Calibri" w:hAnsi="Calibri" w:cs="Times New Roman"/>
          <w:kern w:val="0"/>
          <w:sz w:val="24"/>
          <w:szCs w:val="24"/>
          <w14:ligatures w14:val="none"/>
        </w:rPr>
        <w:lastRenderedPageBreak/>
        <w:t>Finalizacija analize sa preporukama za unapređenje sistema stručnog usavršavanja nastavnika.</w:t>
      </w:r>
      <w:r w:rsidR="00C82B3B">
        <w:rPr>
          <w:rFonts w:ascii="Calibri" w:eastAsia="Calibri" w:hAnsi="Calibri" w:cs="Times New Roman"/>
          <w:kern w:val="0"/>
          <w:sz w:val="24"/>
          <w:szCs w:val="24"/>
          <w14:ligatures w14:val="none"/>
        </w:rPr>
        <w:t xml:space="preserve"> </w:t>
      </w:r>
      <w:r w:rsidR="00E92524">
        <w:rPr>
          <w:rFonts w:ascii="Calibri" w:eastAsia="Calibri" w:hAnsi="Calibri" w:cs="Times New Roman"/>
          <w:kern w:val="0"/>
          <w:sz w:val="24"/>
          <w:szCs w:val="24"/>
          <w14:ligatures w14:val="none"/>
        </w:rPr>
        <w:t>MPNI</w:t>
      </w:r>
    </w:p>
    <w:p w14:paraId="17D24EDA" w14:textId="77777777" w:rsidR="001B6681" w:rsidRPr="001B6681" w:rsidRDefault="001B6681" w:rsidP="001B6681">
      <w:pPr>
        <w:spacing w:after="0" w:line="276" w:lineRule="auto"/>
        <w:ind w:left="360"/>
        <w:contextualSpacing/>
        <w:jc w:val="both"/>
        <w:rPr>
          <w:rFonts w:ascii="Calibri" w:eastAsia="Calibri" w:hAnsi="Calibri" w:cs="Times New Roman"/>
          <w:kern w:val="0"/>
          <w14:ligatures w14:val="none"/>
        </w:rPr>
      </w:pPr>
    </w:p>
    <w:p w14:paraId="7A27BB56" w14:textId="6C1A728A" w:rsidR="001B6681" w:rsidRPr="001B6681" w:rsidRDefault="001B6681" w:rsidP="001B6681">
      <w:pPr>
        <w:spacing w:after="0" w:line="276" w:lineRule="auto"/>
        <w:jc w:val="both"/>
        <w:rPr>
          <w:rFonts w:ascii="Calibri" w:eastAsia="Calibri" w:hAnsi="Calibri" w:cs="Times New Roman"/>
          <w:b/>
          <w:kern w:val="0"/>
          <w:sz w:val="24"/>
          <w:szCs w:val="24"/>
          <w14:ligatures w14:val="none"/>
        </w:rPr>
      </w:pPr>
      <w:r w:rsidRPr="001B6681">
        <w:rPr>
          <w:rFonts w:ascii="Calibri" w:eastAsia="Calibri" w:hAnsi="Calibri" w:cs="Times New Roman"/>
          <w:b/>
          <w:kern w:val="0"/>
          <w:sz w:val="24"/>
          <w:szCs w:val="24"/>
          <w14:ligatures w14:val="none"/>
        </w:rPr>
        <w:t xml:space="preserve">Aktivnosti planirane za 2026. </w:t>
      </w:r>
      <w:r>
        <w:rPr>
          <w:rFonts w:ascii="Calibri" w:eastAsia="Calibri" w:hAnsi="Calibri" w:cs="Times New Roman"/>
          <w:b/>
          <w:kern w:val="0"/>
          <w:sz w:val="24"/>
          <w:szCs w:val="24"/>
          <w14:ligatures w14:val="none"/>
        </w:rPr>
        <w:t>g</w:t>
      </w:r>
      <w:r w:rsidRPr="001B6681">
        <w:rPr>
          <w:rFonts w:ascii="Calibri" w:eastAsia="Calibri" w:hAnsi="Calibri" w:cs="Times New Roman"/>
          <w:b/>
          <w:kern w:val="0"/>
          <w:sz w:val="24"/>
          <w:szCs w:val="24"/>
          <w14:ligatures w14:val="none"/>
        </w:rPr>
        <w:t>odinu</w:t>
      </w:r>
      <w:r>
        <w:rPr>
          <w:rFonts w:ascii="Calibri" w:eastAsia="Calibri" w:hAnsi="Calibri" w:cs="Times New Roman"/>
          <w:b/>
          <w:kern w:val="0"/>
          <w:sz w:val="24"/>
          <w:szCs w:val="24"/>
          <w14:ligatures w14:val="none"/>
        </w:rPr>
        <w:t>.</w:t>
      </w:r>
    </w:p>
    <w:p w14:paraId="614AD0A5" w14:textId="046D469F" w:rsidR="001B6681" w:rsidRPr="004D422C" w:rsidRDefault="001B6681" w:rsidP="00FD3827">
      <w:pPr>
        <w:pStyle w:val="ListParagraph"/>
        <w:widowControl w:val="0"/>
        <w:numPr>
          <w:ilvl w:val="0"/>
          <w:numId w:val="17"/>
        </w:numPr>
        <w:spacing w:after="0" w:line="240" w:lineRule="auto"/>
        <w:jc w:val="both"/>
        <w:rPr>
          <w:rFonts w:ascii="Calibri" w:eastAsia="Calibri" w:hAnsi="Calibri" w:cs="Calibri"/>
          <w:b/>
          <w:kern w:val="0"/>
          <w:sz w:val="24"/>
          <w:szCs w:val="24"/>
          <w:lang w:val="sr-Latn-RS"/>
          <w14:ligatures w14:val="none"/>
        </w:rPr>
      </w:pPr>
      <w:r w:rsidRPr="004D422C">
        <w:rPr>
          <w:rFonts w:ascii="Calibri" w:eastAsia="Calibri" w:hAnsi="Calibri" w:cs="Calibri"/>
          <w:kern w:val="0"/>
          <w:sz w:val="24"/>
          <w:szCs w:val="24"/>
          <w:lang w:val="sr-Latn-RS"/>
          <w14:ligatures w14:val="none"/>
        </w:rPr>
        <w:t xml:space="preserve">Dalja implementacija </w:t>
      </w:r>
      <w:r w:rsidR="00C82B3B">
        <w:rPr>
          <w:rFonts w:ascii="Calibri" w:eastAsia="Calibri" w:hAnsi="Calibri" w:cs="Calibri"/>
          <w:kern w:val="0"/>
          <w:sz w:val="24"/>
          <w:szCs w:val="24"/>
          <w:lang w:val="sr-Latn-RS"/>
          <w14:ligatures w14:val="none"/>
        </w:rPr>
        <w:t xml:space="preserve">Strategije sektora obrazovanja </w:t>
      </w:r>
      <w:r w:rsidRPr="004D422C">
        <w:rPr>
          <w:rFonts w:ascii="Calibri" w:eastAsia="Calibri" w:hAnsi="Calibri" w:cs="Calibri"/>
          <w:kern w:val="0"/>
          <w:sz w:val="24"/>
          <w:szCs w:val="24"/>
          <w:lang w:val="sr-Latn-RS"/>
          <w14:ligatures w14:val="none"/>
        </w:rPr>
        <w:t>sa akcentom na podršku aktivnostima: a) unapređenje kvaliteta i inkluzivnosti nastavnog procesa, podrške i dostupnih usluga za djecu sa smetnjama u razvoju u predškolskom vaspitanju i obrazovanjuu i u osnovnoj školi sa posebnim osvrtom na prvi ciklus osnovne škole (I-IV razred) i b) unapređenje kvaliteta ranog obrazovanja romske djece i kvalitet obrazovne podrške u osnovnom obrazovanju, sa posebnim osvrtom na prvi ciklus osnovnog obrazovanja (I-IV razred).</w:t>
      </w:r>
      <w:r w:rsidR="00E92524">
        <w:rPr>
          <w:rFonts w:ascii="Calibri" w:eastAsia="Calibri" w:hAnsi="Calibri" w:cs="Calibri"/>
          <w:kern w:val="0"/>
          <w:sz w:val="24"/>
          <w:szCs w:val="24"/>
          <w:lang w:val="sr-Latn-RS"/>
          <w14:ligatures w14:val="none"/>
        </w:rPr>
        <w:t xml:space="preserve"> MPNI</w:t>
      </w:r>
    </w:p>
    <w:p w14:paraId="0E333445" w14:textId="77777777" w:rsidR="001B6681" w:rsidRPr="001B6681" w:rsidRDefault="001B6681" w:rsidP="001B6681">
      <w:pPr>
        <w:spacing w:after="0"/>
        <w:ind w:left="360"/>
        <w:contextualSpacing/>
        <w:jc w:val="both"/>
        <w:rPr>
          <w:rFonts w:ascii="Calibri" w:eastAsia="Calibri" w:hAnsi="Calibri" w:cs="Calibri"/>
          <w:kern w:val="0"/>
          <w:sz w:val="24"/>
          <w:szCs w:val="24"/>
          <w:lang w:val="sr-Latn-RS"/>
          <w14:ligatures w14:val="none"/>
        </w:rPr>
      </w:pPr>
    </w:p>
    <w:p w14:paraId="5D68E4E0" w14:textId="4135A620" w:rsidR="001B6681" w:rsidRPr="001B6681" w:rsidRDefault="001B6681" w:rsidP="001B6681">
      <w:pPr>
        <w:spacing w:after="0" w:line="276" w:lineRule="auto"/>
        <w:contextualSpacing/>
        <w:jc w:val="both"/>
        <w:rPr>
          <w:rFonts w:ascii="Calibri" w:eastAsia="Calibri" w:hAnsi="Calibri" w:cs="Times New Roman"/>
          <w:b/>
          <w:bCs/>
          <w:kern w:val="0"/>
          <w:sz w:val="24"/>
          <w:szCs w:val="24"/>
          <w14:ligatures w14:val="none"/>
        </w:rPr>
      </w:pPr>
      <w:r>
        <w:rPr>
          <w:rFonts w:ascii="Calibri" w:eastAsia="Calibri" w:hAnsi="Calibri" w:cs="Times New Roman"/>
          <w:b/>
          <w:bCs/>
          <w:kern w:val="0"/>
          <w:sz w:val="24"/>
          <w:szCs w:val="24"/>
          <w14:ligatures w14:val="none"/>
        </w:rPr>
        <w:t xml:space="preserve">     </w:t>
      </w:r>
      <w:r w:rsidRPr="001B6681">
        <w:rPr>
          <w:rFonts w:ascii="Calibri" w:eastAsia="Calibri" w:hAnsi="Calibri" w:cs="Times New Roman"/>
          <w:b/>
          <w:bCs/>
          <w:kern w:val="0"/>
          <w:sz w:val="24"/>
          <w:szCs w:val="24"/>
          <w14:ligatures w14:val="none"/>
        </w:rPr>
        <w:t>2.Indikatori rezultata</w:t>
      </w:r>
    </w:p>
    <w:tbl>
      <w:tblPr>
        <w:tblStyle w:val="GridTable6Colorful-Accent5"/>
        <w:tblW w:w="0" w:type="auto"/>
        <w:tblLayout w:type="fixed"/>
        <w:tblLook w:val="04A0" w:firstRow="1" w:lastRow="0" w:firstColumn="1" w:lastColumn="0" w:noHBand="0" w:noVBand="1"/>
      </w:tblPr>
      <w:tblGrid>
        <w:gridCol w:w="2816"/>
        <w:gridCol w:w="2219"/>
        <w:gridCol w:w="2190"/>
        <w:gridCol w:w="2125"/>
      </w:tblGrid>
      <w:tr w:rsidR="008F177D" w:rsidRPr="00082B85" w14:paraId="39A56FE5" w14:textId="77777777" w:rsidTr="00082B85">
        <w:trPr>
          <w:cnfStyle w:val="100000000000" w:firstRow="1" w:lastRow="0" w:firstColumn="0" w:lastColumn="0" w:oddVBand="0" w:evenVBand="0" w:oddHBand="0"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2816" w:type="dxa"/>
          </w:tcPr>
          <w:p w14:paraId="1C214CDA" w14:textId="77777777" w:rsidR="001B6681" w:rsidRPr="00082B85" w:rsidRDefault="001B6681" w:rsidP="00082B85">
            <w:pPr>
              <w:spacing w:line="276" w:lineRule="auto"/>
              <w:contextualSpacing/>
              <w:jc w:val="center"/>
              <w:rPr>
                <w:rFonts w:ascii="Calibri" w:eastAsia="Calibri" w:hAnsi="Calibri" w:cs="Times New Roman"/>
                <w:b w:val="0"/>
                <w:bCs w:val="0"/>
                <w:color w:val="auto"/>
                <w:sz w:val="20"/>
                <w:szCs w:val="20"/>
              </w:rPr>
            </w:pPr>
            <w:r w:rsidRPr="00082B85">
              <w:rPr>
                <w:rFonts w:ascii="Calibri" w:eastAsia="Calibri" w:hAnsi="Calibri" w:cs="Times New Roman"/>
                <w:color w:val="auto"/>
                <w:sz w:val="20"/>
                <w:szCs w:val="20"/>
              </w:rPr>
              <w:t>Indikator</w:t>
            </w:r>
          </w:p>
        </w:tc>
        <w:tc>
          <w:tcPr>
            <w:tcW w:w="2219" w:type="dxa"/>
          </w:tcPr>
          <w:p w14:paraId="448E1B1D" w14:textId="722BDE34" w:rsidR="001B6681" w:rsidRPr="00082B85" w:rsidRDefault="00C82B3B" w:rsidP="00082B85">
            <w:pPr>
              <w:spacing w:line="276" w:lineRule="auto"/>
              <w:contextualSpacing/>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b w:val="0"/>
                <w:bCs w:val="0"/>
                <w:color w:val="auto"/>
                <w:sz w:val="20"/>
                <w:szCs w:val="20"/>
              </w:rPr>
            </w:pPr>
            <w:r w:rsidRPr="00082B85">
              <w:rPr>
                <w:rFonts w:ascii="Calibri" w:eastAsia="Calibri" w:hAnsi="Calibri" w:cs="Times New Roman"/>
                <w:color w:val="auto"/>
                <w:sz w:val="20"/>
                <w:szCs w:val="20"/>
              </w:rPr>
              <w:t>Početna vrijednost (2022</w:t>
            </w:r>
            <w:r w:rsidR="001B6681" w:rsidRPr="00082B85">
              <w:rPr>
                <w:rFonts w:ascii="Calibri" w:eastAsia="Calibri" w:hAnsi="Calibri" w:cs="Times New Roman"/>
                <w:color w:val="auto"/>
                <w:sz w:val="20"/>
                <w:szCs w:val="20"/>
              </w:rPr>
              <w:t>)</w:t>
            </w:r>
          </w:p>
        </w:tc>
        <w:tc>
          <w:tcPr>
            <w:tcW w:w="2190" w:type="dxa"/>
          </w:tcPr>
          <w:p w14:paraId="1AB31229" w14:textId="4A61B157" w:rsidR="001B6681" w:rsidRPr="00082B85" w:rsidRDefault="00C82B3B" w:rsidP="00C82B3B">
            <w:pPr>
              <w:tabs>
                <w:tab w:val="left" w:pos="381"/>
              </w:tabs>
              <w:spacing w:line="276" w:lineRule="auto"/>
              <w:ind w:left="381"/>
              <w:contextualSpacing/>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b w:val="0"/>
                <w:bCs w:val="0"/>
                <w:color w:val="auto"/>
                <w:sz w:val="20"/>
                <w:szCs w:val="20"/>
              </w:rPr>
            </w:pPr>
            <w:r w:rsidRPr="00082B85">
              <w:rPr>
                <w:rFonts w:ascii="Calibri" w:eastAsia="Calibri" w:hAnsi="Calibri" w:cs="Times New Roman"/>
                <w:color w:val="auto"/>
                <w:sz w:val="20"/>
                <w:szCs w:val="20"/>
              </w:rPr>
              <w:t>Međ</w:t>
            </w:r>
            <w:r w:rsidR="001B6681" w:rsidRPr="00082B85">
              <w:rPr>
                <w:rFonts w:ascii="Calibri" w:eastAsia="Calibri" w:hAnsi="Calibri" w:cs="Times New Roman"/>
                <w:color w:val="auto"/>
                <w:sz w:val="20"/>
                <w:szCs w:val="20"/>
              </w:rPr>
              <w:t xml:space="preserve">urezultat </w:t>
            </w:r>
            <w:r w:rsidRPr="00082B85">
              <w:rPr>
                <w:rFonts w:ascii="Calibri" w:eastAsia="Calibri" w:hAnsi="Calibri" w:cs="Times New Roman"/>
                <w:color w:val="auto"/>
                <w:sz w:val="20"/>
                <w:szCs w:val="20"/>
              </w:rPr>
              <w:t>(2024</w:t>
            </w:r>
            <w:r w:rsidR="001B6681" w:rsidRPr="00082B85">
              <w:rPr>
                <w:rFonts w:ascii="Calibri" w:eastAsia="Calibri" w:hAnsi="Calibri" w:cs="Times New Roman"/>
                <w:color w:val="auto"/>
                <w:sz w:val="20"/>
                <w:szCs w:val="20"/>
              </w:rPr>
              <w:t>)</w:t>
            </w:r>
          </w:p>
          <w:p w14:paraId="62CC7493" w14:textId="77777777" w:rsidR="001B6681" w:rsidRPr="00082B85" w:rsidRDefault="001B6681" w:rsidP="00C82B3B">
            <w:pPr>
              <w:spacing w:line="276" w:lineRule="auto"/>
              <w:contextualSpacing/>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b w:val="0"/>
                <w:bCs w:val="0"/>
                <w:color w:val="auto"/>
                <w:sz w:val="20"/>
                <w:szCs w:val="20"/>
              </w:rPr>
            </w:pPr>
          </w:p>
        </w:tc>
        <w:tc>
          <w:tcPr>
            <w:tcW w:w="2125" w:type="dxa"/>
          </w:tcPr>
          <w:p w14:paraId="58A128C2" w14:textId="70D91B34" w:rsidR="001B6681" w:rsidRPr="00082B85" w:rsidRDefault="00C82B3B" w:rsidP="00082B85">
            <w:pPr>
              <w:spacing w:line="276" w:lineRule="auto"/>
              <w:contextualSpacing/>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b w:val="0"/>
                <w:bCs w:val="0"/>
                <w:color w:val="auto"/>
                <w:sz w:val="20"/>
                <w:szCs w:val="20"/>
              </w:rPr>
            </w:pPr>
            <w:r w:rsidRPr="00082B85">
              <w:rPr>
                <w:rFonts w:ascii="Calibri" w:eastAsia="Calibri" w:hAnsi="Calibri" w:cs="Times New Roman"/>
                <w:color w:val="auto"/>
                <w:sz w:val="20"/>
                <w:szCs w:val="20"/>
              </w:rPr>
              <w:t>Ciljna vrijednost (202</w:t>
            </w:r>
            <w:r w:rsidR="00B21D39" w:rsidRPr="00082B85">
              <w:rPr>
                <w:rFonts w:ascii="Calibri" w:eastAsia="Calibri" w:hAnsi="Calibri" w:cs="Times New Roman"/>
                <w:color w:val="auto"/>
                <w:sz w:val="20"/>
                <w:szCs w:val="20"/>
              </w:rPr>
              <w:t>6</w:t>
            </w:r>
            <w:r w:rsidR="001B6681" w:rsidRPr="00082B85">
              <w:rPr>
                <w:rFonts w:ascii="Calibri" w:eastAsia="Calibri" w:hAnsi="Calibri" w:cs="Times New Roman"/>
                <w:color w:val="auto"/>
                <w:sz w:val="20"/>
                <w:szCs w:val="20"/>
              </w:rPr>
              <w:t>)</w:t>
            </w:r>
          </w:p>
        </w:tc>
      </w:tr>
      <w:tr w:rsidR="008F177D" w:rsidRPr="00082B85" w14:paraId="57C9EB0B" w14:textId="77777777" w:rsidTr="00C82B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16" w:type="dxa"/>
          </w:tcPr>
          <w:p w14:paraId="1AC280BB" w14:textId="77777777" w:rsidR="001B6681" w:rsidRPr="00082B85" w:rsidRDefault="001B6681" w:rsidP="001B6681">
            <w:pPr>
              <w:spacing w:line="276" w:lineRule="auto"/>
              <w:contextualSpacing/>
              <w:rPr>
                <w:rFonts w:ascii="Calibri" w:eastAsia="Calibri" w:hAnsi="Calibri" w:cs="Times New Roman"/>
                <w:b w:val="0"/>
                <w:bCs w:val="0"/>
                <w:color w:val="auto"/>
                <w:sz w:val="20"/>
                <w:szCs w:val="20"/>
              </w:rPr>
            </w:pPr>
            <w:r w:rsidRPr="00082B85">
              <w:rPr>
                <w:rFonts w:ascii="Calibri" w:eastAsia="Calibri" w:hAnsi="Calibri" w:cs="Times New Roman"/>
                <w:b w:val="0"/>
                <w:bCs w:val="0"/>
                <w:color w:val="auto"/>
                <w:sz w:val="20"/>
                <w:szCs w:val="20"/>
              </w:rPr>
              <w:t>Stopa upisa u predškolsko obrazovanje i vaspitanje (ukupno za uzrast 3 – 6 godina)</w:t>
            </w:r>
          </w:p>
        </w:tc>
        <w:tc>
          <w:tcPr>
            <w:tcW w:w="2219" w:type="dxa"/>
          </w:tcPr>
          <w:p w14:paraId="32D145EC" w14:textId="1AD73BF7" w:rsidR="001B6681" w:rsidRPr="00082B85" w:rsidRDefault="001B6681" w:rsidP="00C82B3B">
            <w:pPr>
              <w:tabs>
                <w:tab w:val="left" w:pos="747"/>
              </w:tabs>
              <w:spacing w:line="276" w:lineRule="auto"/>
              <w:ind w:left="720"/>
              <w:contextualSpacing/>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color w:val="auto"/>
                <w:sz w:val="20"/>
                <w:szCs w:val="20"/>
              </w:rPr>
            </w:pPr>
            <w:r w:rsidRPr="00082B85">
              <w:rPr>
                <w:rFonts w:ascii="Calibri" w:eastAsia="Calibri" w:hAnsi="Calibri" w:cs="Times New Roman"/>
                <w:color w:val="auto"/>
                <w:sz w:val="20"/>
                <w:szCs w:val="20"/>
              </w:rPr>
              <w:t>75</w:t>
            </w:r>
            <w:r w:rsidR="0021288D" w:rsidRPr="00082B85">
              <w:rPr>
                <w:rFonts w:ascii="Calibri" w:eastAsia="Calibri" w:hAnsi="Calibri" w:cs="Times New Roman"/>
                <w:color w:val="auto"/>
                <w:sz w:val="20"/>
                <w:szCs w:val="20"/>
              </w:rPr>
              <w:t>,</w:t>
            </w:r>
            <w:r w:rsidRPr="00082B85">
              <w:rPr>
                <w:rFonts w:ascii="Calibri" w:eastAsia="Calibri" w:hAnsi="Calibri" w:cs="Times New Roman"/>
                <w:color w:val="auto"/>
                <w:sz w:val="20"/>
                <w:szCs w:val="20"/>
              </w:rPr>
              <w:t>99%</w:t>
            </w:r>
          </w:p>
          <w:p w14:paraId="21744D39" w14:textId="77777777" w:rsidR="001B6681" w:rsidRPr="00082B85" w:rsidRDefault="001B6681" w:rsidP="00C82B3B">
            <w:pPr>
              <w:tabs>
                <w:tab w:val="left" w:pos="747"/>
              </w:tabs>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color w:val="auto"/>
                <w:sz w:val="20"/>
                <w:szCs w:val="20"/>
              </w:rPr>
            </w:pPr>
          </w:p>
        </w:tc>
        <w:tc>
          <w:tcPr>
            <w:tcW w:w="2190" w:type="dxa"/>
          </w:tcPr>
          <w:p w14:paraId="05C3390F" w14:textId="77777777" w:rsidR="001B6681" w:rsidRPr="00082B85" w:rsidRDefault="001B6681" w:rsidP="00C82B3B">
            <w:pPr>
              <w:tabs>
                <w:tab w:val="left" w:pos="747"/>
              </w:tabs>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color w:val="auto"/>
                <w:sz w:val="20"/>
                <w:szCs w:val="20"/>
              </w:rPr>
            </w:pPr>
            <w:r w:rsidRPr="00082B85">
              <w:rPr>
                <w:rFonts w:ascii="Calibri" w:eastAsia="Calibri" w:hAnsi="Calibri" w:cs="Times New Roman"/>
                <w:color w:val="auto"/>
                <w:sz w:val="20"/>
                <w:szCs w:val="20"/>
              </w:rPr>
              <w:t>78%</w:t>
            </w:r>
          </w:p>
        </w:tc>
        <w:tc>
          <w:tcPr>
            <w:tcW w:w="2125" w:type="dxa"/>
          </w:tcPr>
          <w:p w14:paraId="2D70B484" w14:textId="77777777" w:rsidR="001B6681" w:rsidRPr="00082B85" w:rsidRDefault="001B6681" w:rsidP="00C82B3B">
            <w:pPr>
              <w:tabs>
                <w:tab w:val="left" w:pos="747"/>
              </w:tabs>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color w:val="auto"/>
                <w:sz w:val="20"/>
                <w:szCs w:val="20"/>
              </w:rPr>
            </w:pPr>
            <w:r w:rsidRPr="00082B85">
              <w:rPr>
                <w:rFonts w:ascii="Calibri" w:eastAsia="Calibri" w:hAnsi="Calibri" w:cs="Times New Roman"/>
                <w:color w:val="auto"/>
                <w:sz w:val="20"/>
                <w:szCs w:val="20"/>
              </w:rPr>
              <w:t>80%</w:t>
            </w:r>
          </w:p>
        </w:tc>
      </w:tr>
      <w:tr w:rsidR="008F177D" w:rsidRPr="00082B85" w14:paraId="24423675" w14:textId="77777777" w:rsidTr="00C82B3B">
        <w:tc>
          <w:tcPr>
            <w:cnfStyle w:val="001000000000" w:firstRow="0" w:lastRow="0" w:firstColumn="1" w:lastColumn="0" w:oddVBand="0" w:evenVBand="0" w:oddHBand="0" w:evenHBand="0" w:firstRowFirstColumn="0" w:firstRowLastColumn="0" w:lastRowFirstColumn="0" w:lastRowLastColumn="0"/>
            <w:tcW w:w="2816" w:type="dxa"/>
          </w:tcPr>
          <w:p w14:paraId="23A30F84" w14:textId="77777777" w:rsidR="00B21D39" w:rsidRPr="00082B85" w:rsidRDefault="001B6681" w:rsidP="001B6681">
            <w:pPr>
              <w:spacing w:line="276" w:lineRule="auto"/>
              <w:contextualSpacing/>
              <w:rPr>
                <w:rFonts w:ascii="Calibri" w:eastAsia="Calibri" w:hAnsi="Calibri" w:cs="Times New Roman"/>
                <w:color w:val="auto"/>
                <w:sz w:val="20"/>
                <w:szCs w:val="20"/>
              </w:rPr>
            </w:pPr>
            <w:r w:rsidRPr="00082B85">
              <w:rPr>
                <w:rFonts w:ascii="Calibri" w:eastAsia="Calibri" w:hAnsi="Calibri" w:cs="Times New Roman"/>
                <w:b w:val="0"/>
                <w:bCs w:val="0"/>
                <w:color w:val="auto"/>
                <w:sz w:val="20"/>
                <w:szCs w:val="20"/>
              </w:rPr>
              <w:t xml:space="preserve">Dosegnuto prosječno postignuće na PISA testiranju (čitanje, </w:t>
            </w:r>
          </w:p>
          <w:p w14:paraId="0E434C2B" w14:textId="0093BC14" w:rsidR="00B21D39" w:rsidRPr="00082B85" w:rsidRDefault="0021288D" w:rsidP="001B6681">
            <w:pPr>
              <w:spacing w:line="276" w:lineRule="auto"/>
              <w:contextualSpacing/>
              <w:rPr>
                <w:rFonts w:ascii="Calibri" w:eastAsia="Calibri" w:hAnsi="Calibri" w:cs="Times New Roman"/>
                <w:color w:val="auto"/>
                <w:sz w:val="20"/>
                <w:szCs w:val="20"/>
              </w:rPr>
            </w:pPr>
            <w:r w:rsidRPr="00082B85">
              <w:rPr>
                <w:rFonts w:ascii="Calibri" w:eastAsia="Calibri" w:hAnsi="Calibri" w:cs="Times New Roman"/>
                <w:b w:val="0"/>
                <w:bCs w:val="0"/>
                <w:color w:val="auto"/>
                <w:sz w:val="20"/>
                <w:szCs w:val="20"/>
              </w:rPr>
              <w:t>m</w:t>
            </w:r>
            <w:r w:rsidR="001B6681" w:rsidRPr="00082B85">
              <w:rPr>
                <w:rFonts w:ascii="Calibri" w:eastAsia="Calibri" w:hAnsi="Calibri" w:cs="Times New Roman"/>
                <w:b w:val="0"/>
                <w:bCs w:val="0"/>
                <w:color w:val="auto"/>
                <w:sz w:val="20"/>
                <w:szCs w:val="20"/>
              </w:rPr>
              <w:t>atematika</w:t>
            </w:r>
            <w:r w:rsidRPr="00082B85">
              <w:rPr>
                <w:rFonts w:ascii="Calibri" w:eastAsia="Calibri" w:hAnsi="Calibri" w:cs="Times New Roman"/>
                <w:b w:val="0"/>
                <w:bCs w:val="0"/>
                <w:color w:val="auto"/>
                <w:sz w:val="20"/>
                <w:szCs w:val="20"/>
              </w:rPr>
              <w:t>,</w:t>
            </w:r>
          </w:p>
          <w:p w14:paraId="784ADC96" w14:textId="573458E6" w:rsidR="001B6681" w:rsidRPr="00082B85" w:rsidRDefault="001B6681" w:rsidP="001B6681">
            <w:pPr>
              <w:spacing w:line="276" w:lineRule="auto"/>
              <w:contextualSpacing/>
              <w:rPr>
                <w:rFonts w:ascii="Calibri" w:eastAsia="Calibri" w:hAnsi="Calibri" w:cs="Times New Roman"/>
                <w:b w:val="0"/>
                <w:bCs w:val="0"/>
                <w:color w:val="auto"/>
                <w:sz w:val="20"/>
                <w:szCs w:val="20"/>
              </w:rPr>
            </w:pPr>
            <w:r w:rsidRPr="00082B85">
              <w:rPr>
                <w:rFonts w:ascii="Calibri" w:eastAsia="Calibri" w:hAnsi="Calibri" w:cs="Times New Roman"/>
                <w:b w:val="0"/>
                <w:bCs w:val="0"/>
                <w:color w:val="auto"/>
                <w:sz w:val="20"/>
                <w:szCs w:val="20"/>
              </w:rPr>
              <w:t xml:space="preserve"> prirodne nauke) </w:t>
            </w:r>
          </w:p>
          <w:p w14:paraId="6AFD4D4B" w14:textId="77777777" w:rsidR="001B6681" w:rsidRPr="00082B85" w:rsidRDefault="001B6681" w:rsidP="001B6681">
            <w:pPr>
              <w:spacing w:line="276" w:lineRule="auto"/>
              <w:contextualSpacing/>
              <w:jc w:val="both"/>
              <w:rPr>
                <w:rFonts w:ascii="Calibri" w:eastAsia="Calibri" w:hAnsi="Calibri" w:cs="Times New Roman"/>
                <w:b w:val="0"/>
                <w:bCs w:val="0"/>
                <w:color w:val="auto"/>
                <w:sz w:val="20"/>
                <w:szCs w:val="20"/>
              </w:rPr>
            </w:pPr>
          </w:p>
        </w:tc>
        <w:tc>
          <w:tcPr>
            <w:tcW w:w="2219" w:type="dxa"/>
          </w:tcPr>
          <w:p w14:paraId="6BA7939D" w14:textId="77777777" w:rsidR="00B21D39" w:rsidRPr="00082B85" w:rsidRDefault="00B21D39" w:rsidP="00C82B3B">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color w:val="auto"/>
                <w:sz w:val="20"/>
                <w:szCs w:val="20"/>
              </w:rPr>
            </w:pPr>
          </w:p>
          <w:p w14:paraId="4D2586F7" w14:textId="77777777" w:rsidR="00B21D39" w:rsidRPr="00082B85" w:rsidRDefault="00B21D39" w:rsidP="00C82B3B">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color w:val="auto"/>
                <w:sz w:val="20"/>
                <w:szCs w:val="20"/>
              </w:rPr>
            </w:pPr>
          </w:p>
          <w:p w14:paraId="63036A48" w14:textId="16D6E540" w:rsidR="00B21D39" w:rsidRPr="00082B85" w:rsidRDefault="001B6681" w:rsidP="00C82B3B">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color w:val="auto"/>
                <w:sz w:val="20"/>
                <w:szCs w:val="20"/>
              </w:rPr>
            </w:pPr>
            <w:r w:rsidRPr="00082B85">
              <w:rPr>
                <w:rFonts w:ascii="Calibri" w:eastAsia="Calibri" w:hAnsi="Calibri" w:cs="Times New Roman"/>
                <w:color w:val="auto"/>
                <w:sz w:val="20"/>
                <w:szCs w:val="20"/>
              </w:rPr>
              <w:t>55,6</w:t>
            </w:r>
            <w:r w:rsidR="00B21D39" w:rsidRPr="00082B85">
              <w:rPr>
                <w:rFonts w:ascii="Calibri" w:eastAsia="Calibri" w:hAnsi="Calibri" w:cs="Times New Roman"/>
                <w:color w:val="auto"/>
                <w:sz w:val="20"/>
                <w:szCs w:val="20"/>
              </w:rPr>
              <w:t>%</w:t>
            </w:r>
          </w:p>
          <w:p w14:paraId="6B95CB82" w14:textId="11DDAEF9" w:rsidR="00B21D39" w:rsidRPr="00082B85" w:rsidRDefault="00B21D39" w:rsidP="00C82B3B">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color w:val="auto"/>
                <w:sz w:val="20"/>
                <w:szCs w:val="20"/>
              </w:rPr>
            </w:pPr>
            <w:r w:rsidRPr="00082B85">
              <w:rPr>
                <w:rFonts w:ascii="Calibri" w:eastAsia="Calibri" w:hAnsi="Calibri" w:cs="Times New Roman"/>
                <w:color w:val="auto"/>
                <w:sz w:val="20"/>
                <w:szCs w:val="20"/>
              </w:rPr>
              <w:t xml:space="preserve">  </w:t>
            </w:r>
            <w:r w:rsidR="001B6681" w:rsidRPr="00082B85">
              <w:rPr>
                <w:rFonts w:ascii="Calibri" w:eastAsia="Calibri" w:hAnsi="Calibri" w:cs="Times New Roman"/>
                <w:color w:val="auto"/>
                <w:sz w:val="20"/>
                <w:szCs w:val="20"/>
              </w:rPr>
              <w:t>53,8</w:t>
            </w:r>
            <w:r w:rsidRPr="00082B85">
              <w:rPr>
                <w:rFonts w:ascii="Calibri" w:eastAsia="Calibri" w:hAnsi="Calibri" w:cs="Times New Roman"/>
                <w:color w:val="auto"/>
                <w:sz w:val="20"/>
                <w:szCs w:val="20"/>
              </w:rPr>
              <w:t>%</w:t>
            </w:r>
          </w:p>
          <w:p w14:paraId="128B182E" w14:textId="485A712A" w:rsidR="001B6681" w:rsidRPr="00082B85" w:rsidRDefault="00B21D39" w:rsidP="00C82B3B">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color w:val="auto"/>
                <w:sz w:val="20"/>
                <w:szCs w:val="20"/>
              </w:rPr>
            </w:pPr>
            <w:r w:rsidRPr="00082B85">
              <w:rPr>
                <w:rFonts w:ascii="Calibri" w:eastAsia="Calibri" w:hAnsi="Calibri" w:cs="Times New Roman"/>
                <w:color w:val="auto"/>
                <w:sz w:val="20"/>
                <w:szCs w:val="20"/>
              </w:rPr>
              <w:t xml:space="preserve">  </w:t>
            </w:r>
            <w:r w:rsidR="001B6681" w:rsidRPr="00671BCF">
              <w:rPr>
                <w:rFonts w:ascii="Calibri" w:eastAsia="Calibri" w:hAnsi="Calibri" w:cs="Times New Roman"/>
                <w:color w:val="auto"/>
                <w:sz w:val="20"/>
                <w:szCs w:val="20"/>
              </w:rPr>
              <w:t>51,8%</w:t>
            </w:r>
          </w:p>
        </w:tc>
        <w:tc>
          <w:tcPr>
            <w:tcW w:w="2190" w:type="dxa"/>
          </w:tcPr>
          <w:p w14:paraId="7D2B5FC5" w14:textId="77777777" w:rsidR="001B6681" w:rsidRPr="00082B85" w:rsidRDefault="001B6681" w:rsidP="00C82B3B">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color w:val="auto"/>
                <w:sz w:val="20"/>
                <w:szCs w:val="20"/>
              </w:rPr>
            </w:pPr>
            <w:r w:rsidRPr="00082B85">
              <w:rPr>
                <w:rFonts w:ascii="Calibri" w:eastAsia="Calibri" w:hAnsi="Calibri" w:cs="Times New Roman"/>
                <w:color w:val="auto"/>
                <w:sz w:val="20"/>
                <w:szCs w:val="20"/>
              </w:rPr>
              <w:t>-</w:t>
            </w:r>
          </w:p>
        </w:tc>
        <w:tc>
          <w:tcPr>
            <w:tcW w:w="2125" w:type="dxa"/>
          </w:tcPr>
          <w:p w14:paraId="2429FDCF" w14:textId="77777777" w:rsidR="00B21D39" w:rsidRPr="00082B85" w:rsidRDefault="00B21D39" w:rsidP="00C82B3B">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color w:val="auto"/>
                <w:sz w:val="20"/>
                <w:szCs w:val="20"/>
              </w:rPr>
            </w:pPr>
          </w:p>
          <w:p w14:paraId="238008D3" w14:textId="77777777" w:rsidR="00B21D39" w:rsidRPr="00082B85" w:rsidRDefault="00B21D39" w:rsidP="00C82B3B">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color w:val="auto"/>
                <w:sz w:val="20"/>
                <w:szCs w:val="20"/>
              </w:rPr>
            </w:pPr>
          </w:p>
          <w:p w14:paraId="0405F837" w14:textId="79FABF0B" w:rsidR="001B6681" w:rsidRPr="00082B85" w:rsidRDefault="001B6681" w:rsidP="00C82B3B">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color w:val="auto"/>
                <w:sz w:val="20"/>
                <w:szCs w:val="20"/>
              </w:rPr>
            </w:pPr>
            <w:r w:rsidRPr="00082B85">
              <w:rPr>
                <w:rFonts w:ascii="Calibri" w:eastAsia="Calibri" w:hAnsi="Calibri" w:cs="Times New Roman"/>
                <w:color w:val="auto"/>
                <w:sz w:val="20"/>
                <w:szCs w:val="20"/>
              </w:rPr>
              <w:t>Rezultati će biti dostupni tek 2026. godine</w:t>
            </w:r>
          </w:p>
          <w:p w14:paraId="740FFBF7" w14:textId="77777777" w:rsidR="001B6681" w:rsidRPr="00082B85" w:rsidRDefault="001B6681" w:rsidP="00C82B3B">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color w:val="auto"/>
                <w:sz w:val="20"/>
                <w:szCs w:val="20"/>
              </w:rPr>
            </w:pPr>
          </w:p>
        </w:tc>
      </w:tr>
      <w:tr w:rsidR="008F177D" w:rsidRPr="00082B85" w14:paraId="3186979C" w14:textId="77777777" w:rsidTr="00C82B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16" w:type="dxa"/>
          </w:tcPr>
          <w:p w14:paraId="1B2FE692" w14:textId="53BECA5F" w:rsidR="001B6681" w:rsidRPr="00082B85" w:rsidRDefault="001B6681" w:rsidP="001B6681">
            <w:pPr>
              <w:spacing w:line="276" w:lineRule="auto"/>
              <w:contextualSpacing/>
              <w:jc w:val="both"/>
              <w:rPr>
                <w:rFonts w:ascii="Calibri" w:eastAsia="Calibri" w:hAnsi="Calibri" w:cs="Times New Roman"/>
                <w:b w:val="0"/>
                <w:bCs w:val="0"/>
                <w:color w:val="auto"/>
                <w:sz w:val="20"/>
                <w:szCs w:val="20"/>
              </w:rPr>
            </w:pPr>
            <w:r w:rsidRPr="00082B85">
              <w:rPr>
                <w:rFonts w:ascii="Calibri" w:eastAsia="Calibri" w:hAnsi="Calibri" w:cs="Times New Roman"/>
                <w:b w:val="0"/>
                <w:bCs w:val="0"/>
                <w:color w:val="auto"/>
                <w:sz w:val="20"/>
                <w:szCs w:val="20"/>
              </w:rPr>
              <w:t>Procentualni rashodi za obrazovanje</w:t>
            </w:r>
            <w:r w:rsidR="008F177D" w:rsidRPr="00082B85">
              <w:rPr>
                <w:rFonts w:ascii="Calibri" w:eastAsia="Calibri" w:hAnsi="Calibri" w:cs="Times New Roman"/>
                <w:b w:val="0"/>
                <w:bCs w:val="0"/>
                <w:color w:val="auto"/>
                <w:sz w:val="20"/>
                <w:szCs w:val="20"/>
              </w:rPr>
              <w:t xml:space="preserve"> (% BDP)</w:t>
            </w:r>
          </w:p>
        </w:tc>
        <w:tc>
          <w:tcPr>
            <w:tcW w:w="2219" w:type="dxa"/>
          </w:tcPr>
          <w:p w14:paraId="17AD2E22" w14:textId="77777777" w:rsidR="001B6681" w:rsidRPr="00082B85" w:rsidRDefault="001B6681" w:rsidP="00C82B3B">
            <w:pPr>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color w:val="auto"/>
                <w:sz w:val="20"/>
                <w:szCs w:val="20"/>
              </w:rPr>
            </w:pPr>
            <w:r w:rsidRPr="00082B85">
              <w:rPr>
                <w:rFonts w:ascii="Calibri" w:eastAsia="Calibri" w:hAnsi="Calibri" w:cs="Times New Roman"/>
                <w:color w:val="auto"/>
                <w:sz w:val="20"/>
                <w:szCs w:val="20"/>
              </w:rPr>
              <w:t>3,9 %</w:t>
            </w:r>
          </w:p>
        </w:tc>
        <w:tc>
          <w:tcPr>
            <w:tcW w:w="2190" w:type="dxa"/>
          </w:tcPr>
          <w:p w14:paraId="69CF7F94" w14:textId="77777777" w:rsidR="001B6681" w:rsidRPr="00082B85" w:rsidRDefault="001B6681" w:rsidP="00C82B3B">
            <w:pPr>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color w:val="auto"/>
                <w:sz w:val="20"/>
                <w:szCs w:val="20"/>
              </w:rPr>
            </w:pPr>
            <w:r w:rsidRPr="00082B85">
              <w:rPr>
                <w:rFonts w:ascii="Calibri" w:eastAsia="Calibri" w:hAnsi="Calibri" w:cs="Times New Roman"/>
                <w:color w:val="auto"/>
                <w:sz w:val="20"/>
                <w:szCs w:val="20"/>
              </w:rPr>
              <w:t>4,5%</w:t>
            </w:r>
          </w:p>
        </w:tc>
        <w:tc>
          <w:tcPr>
            <w:tcW w:w="2125" w:type="dxa"/>
          </w:tcPr>
          <w:p w14:paraId="585E3791" w14:textId="77777777" w:rsidR="001B6681" w:rsidRPr="00082B85" w:rsidRDefault="001B6681" w:rsidP="00C82B3B">
            <w:pPr>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color w:val="auto"/>
                <w:sz w:val="20"/>
                <w:szCs w:val="20"/>
              </w:rPr>
            </w:pPr>
            <w:r w:rsidRPr="00082B85">
              <w:rPr>
                <w:rFonts w:ascii="Calibri" w:eastAsia="Calibri" w:hAnsi="Calibri" w:cs="Times New Roman"/>
                <w:color w:val="auto"/>
                <w:sz w:val="20"/>
                <w:szCs w:val="20"/>
              </w:rPr>
              <w:t>5%</w:t>
            </w:r>
          </w:p>
        </w:tc>
      </w:tr>
    </w:tbl>
    <w:p w14:paraId="3DA05BB5" w14:textId="77777777" w:rsidR="001B6681" w:rsidRPr="001B6681" w:rsidRDefault="001B6681" w:rsidP="001B6681">
      <w:pPr>
        <w:spacing w:after="0" w:line="276" w:lineRule="auto"/>
        <w:contextualSpacing/>
        <w:jc w:val="both"/>
        <w:rPr>
          <w:rFonts w:ascii="Calibri" w:eastAsia="Calibri" w:hAnsi="Calibri" w:cs="Times New Roman"/>
          <w:kern w:val="0"/>
          <w:sz w:val="24"/>
          <w:szCs w:val="24"/>
          <w14:ligatures w14:val="none"/>
        </w:rPr>
      </w:pPr>
    </w:p>
    <w:p w14:paraId="232FFC1B" w14:textId="479DF8D9" w:rsidR="001B6681" w:rsidRPr="001B6681" w:rsidRDefault="001B6681" w:rsidP="001B6681">
      <w:pPr>
        <w:spacing w:after="0" w:line="276" w:lineRule="auto"/>
        <w:contextualSpacing/>
        <w:jc w:val="both"/>
        <w:rPr>
          <w:rFonts w:ascii="Calibri" w:eastAsia="Calibri" w:hAnsi="Calibri" w:cs="Times New Roman"/>
          <w:kern w:val="0"/>
          <w:sz w:val="24"/>
          <w:szCs w:val="24"/>
          <w14:ligatures w14:val="none"/>
        </w:rPr>
      </w:pPr>
      <w:r w:rsidRPr="001B6681">
        <w:rPr>
          <w:rFonts w:ascii="Calibri" w:eastAsia="Calibri" w:hAnsi="Calibri" w:cs="Times New Roman"/>
          <w:b/>
          <w:bCs/>
          <w:kern w:val="0"/>
          <w:sz w:val="24"/>
          <w:szCs w:val="24"/>
          <w14:ligatures w14:val="none"/>
        </w:rPr>
        <w:t>3</w:t>
      </w:r>
      <w:r w:rsidRPr="001B6681">
        <w:rPr>
          <w:rFonts w:ascii="Calibri" w:eastAsia="Calibri" w:hAnsi="Calibri" w:cs="Times New Roman"/>
          <w:b/>
          <w:kern w:val="0"/>
          <w:sz w:val="24"/>
          <w:szCs w:val="24"/>
          <w14:ligatures w14:val="none"/>
        </w:rPr>
        <w:t>. Očekivani uticaj na konkurentnost.</w:t>
      </w:r>
      <w:r w:rsidRPr="001B6681">
        <w:rPr>
          <w:rFonts w:ascii="Calibri" w:eastAsia="Calibri" w:hAnsi="Calibri" w:cs="Times New Roman"/>
          <w:kern w:val="0"/>
          <w:sz w:val="24"/>
          <w:szCs w:val="24"/>
          <w14:ligatures w14:val="none"/>
        </w:rPr>
        <w:t xml:space="preserve"> Sprovođenje reformi obrazovnog sistema na nivou od predškolskog do visokog obrazovanja doprinijeće unaprijeđenju vještina i kompetencija za 21.</w:t>
      </w:r>
      <w:r w:rsidR="00C82B3B">
        <w:rPr>
          <w:rFonts w:ascii="Calibri" w:eastAsia="Calibri" w:hAnsi="Calibri" w:cs="Times New Roman"/>
          <w:kern w:val="0"/>
          <w:sz w:val="24"/>
          <w:szCs w:val="24"/>
          <w14:ligatures w14:val="none"/>
        </w:rPr>
        <w:t xml:space="preserve"> </w:t>
      </w:r>
      <w:r w:rsidRPr="001B6681">
        <w:rPr>
          <w:rFonts w:ascii="Calibri" w:eastAsia="Calibri" w:hAnsi="Calibri" w:cs="Times New Roman"/>
          <w:kern w:val="0"/>
          <w:sz w:val="24"/>
          <w:szCs w:val="24"/>
          <w14:ligatures w14:val="none"/>
        </w:rPr>
        <w:t xml:space="preserve">vijek svih učesnika u procesu. To će obezbijediti lakšu i bržu integraciju učenika i nastavnog osoblja na tržište rada, kvalitetniju ponudu i fluktuaciju radne snage, kao i unaprijeđenje konkurentnosti preduzeća koja posluju u Crnoj Gori. </w:t>
      </w:r>
    </w:p>
    <w:p w14:paraId="44D7589C" w14:textId="1EF3ED6F" w:rsidR="001B6681" w:rsidRPr="001B6681" w:rsidRDefault="001B6681" w:rsidP="001B6681">
      <w:pPr>
        <w:spacing w:after="0" w:line="276" w:lineRule="auto"/>
        <w:contextualSpacing/>
        <w:jc w:val="both"/>
        <w:rPr>
          <w:rFonts w:ascii="Calibri" w:eastAsia="Calibri" w:hAnsi="Calibri" w:cs="Times New Roman"/>
          <w:kern w:val="0"/>
          <w:sz w:val="24"/>
          <w:szCs w:val="24"/>
          <w14:ligatures w14:val="none"/>
        </w:rPr>
      </w:pPr>
      <w:r w:rsidRPr="001B6681">
        <w:rPr>
          <w:rFonts w:ascii="Calibri" w:eastAsia="Calibri" w:hAnsi="Calibri" w:cs="Times New Roman"/>
          <w:b/>
          <w:kern w:val="0"/>
          <w:sz w:val="24"/>
          <w:szCs w:val="24"/>
          <w14:ligatures w14:val="none"/>
        </w:rPr>
        <w:t>4. Procijenjeni trošak aktivnosti i izvor finansiranja</w:t>
      </w:r>
      <w:r w:rsidRPr="001B6681">
        <w:rPr>
          <w:rFonts w:ascii="Calibri" w:eastAsia="Calibri" w:hAnsi="Calibri" w:cs="Times New Roman"/>
          <w:kern w:val="0"/>
          <w:sz w:val="24"/>
          <w:szCs w:val="24"/>
          <w14:ligatures w14:val="none"/>
        </w:rPr>
        <w:t xml:space="preserve">. Implementacija reformske mjere će se finansirati iz IPA fondova, u iznosu od 1 milion eura uz kofinasniranje od 200.000 eura iz budžeta Crne Gore. Doprinos finansiranju će dati i UNICEF. </w:t>
      </w:r>
    </w:p>
    <w:p w14:paraId="00B1AB53" w14:textId="0EE88DD3" w:rsidR="001B6681" w:rsidRPr="001B6681" w:rsidRDefault="001B6681" w:rsidP="001B6681">
      <w:pPr>
        <w:spacing w:after="0" w:line="276" w:lineRule="auto"/>
        <w:contextualSpacing/>
        <w:jc w:val="both"/>
        <w:rPr>
          <w:rFonts w:ascii="Calibri" w:eastAsia="Calibri" w:hAnsi="Calibri" w:cs="Times New Roman"/>
          <w:kern w:val="0"/>
          <w:sz w:val="24"/>
          <w:szCs w:val="24"/>
          <w14:ligatures w14:val="none"/>
        </w:rPr>
      </w:pPr>
      <w:r w:rsidRPr="001B6681">
        <w:rPr>
          <w:rFonts w:ascii="Calibri" w:eastAsia="Calibri" w:hAnsi="Calibri" w:cs="Times New Roman"/>
          <w:b/>
          <w:bCs/>
          <w:kern w:val="0"/>
          <w:sz w:val="24"/>
          <w:szCs w:val="24"/>
          <w14:ligatures w14:val="none"/>
        </w:rPr>
        <w:t>5. Očekivani uticaj na socijalne ciljeve, kao što su zaposlenost, smanjenje siromaštva, jednakost, rodnu ravnopravnost i pristup zdravstvenoj zaštiti</w:t>
      </w:r>
      <w:r w:rsidRPr="001B6681">
        <w:rPr>
          <w:rFonts w:ascii="Calibri" w:eastAsia="Calibri" w:hAnsi="Calibri" w:cs="Times New Roman"/>
          <w:kern w:val="0"/>
          <w:sz w:val="24"/>
          <w:szCs w:val="24"/>
          <w14:ligatures w14:val="none"/>
        </w:rPr>
        <w:t xml:space="preserve">. Sticanje savremenih znanja na kvalitetan i inkluzivan način koji će podići nivo razumjevanja stečenih rezultata učenja, </w:t>
      </w:r>
      <w:r w:rsidRPr="001B6681">
        <w:rPr>
          <w:rFonts w:ascii="Calibri" w:eastAsia="Calibri" w:hAnsi="Calibri" w:cs="Times New Roman"/>
          <w:kern w:val="0"/>
          <w:sz w:val="24"/>
          <w:szCs w:val="24"/>
          <w14:ligatures w14:val="none"/>
        </w:rPr>
        <w:lastRenderedPageBreak/>
        <w:t>ovladavanje neophodnim IKT znanjima i vještinama, učiniće da se studenti bolje pripreme za tržište rada, brže pronađu put do zaposlenja i bolje plaćene poslove.</w:t>
      </w:r>
    </w:p>
    <w:p w14:paraId="280EC5C0" w14:textId="3E540BAB" w:rsidR="001B6681" w:rsidRPr="001B6681" w:rsidRDefault="001B6681" w:rsidP="001B6681">
      <w:pPr>
        <w:spacing w:after="0" w:line="276" w:lineRule="auto"/>
        <w:contextualSpacing/>
        <w:jc w:val="both"/>
        <w:rPr>
          <w:rFonts w:ascii="Calibri" w:eastAsia="Calibri" w:hAnsi="Calibri" w:cs="Times New Roman"/>
          <w:kern w:val="0"/>
          <w:sz w:val="24"/>
          <w:szCs w:val="24"/>
          <w14:ligatures w14:val="none"/>
        </w:rPr>
      </w:pPr>
      <w:r w:rsidRPr="001B6681">
        <w:rPr>
          <w:rFonts w:ascii="Calibri" w:eastAsia="Calibri" w:hAnsi="Calibri" w:cs="Times New Roman"/>
          <w:kern w:val="0"/>
          <w:sz w:val="24"/>
          <w:szCs w:val="24"/>
          <w14:ligatures w14:val="none"/>
        </w:rPr>
        <w:t xml:space="preserve"> </w:t>
      </w:r>
      <w:r w:rsidRPr="001B6681">
        <w:rPr>
          <w:rFonts w:ascii="Calibri" w:eastAsia="Calibri" w:hAnsi="Calibri" w:cs="Times New Roman"/>
          <w:b/>
          <w:kern w:val="0"/>
          <w:sz w:val="24"/>
          <w:szCs w:val="24"/>
          <w14:ligatures w14:val="none"/>
        </w:rPr>
        <w:t>6. Očekivani uticaj na životnu sredinu i klimatske promjene</w:t>
      </w:r>
      <w:r w:rsidR="000F6288">
        <w:rPr>
          <w:rFonts w:ascii="Calibri" w:eastAsia="Calibri" w:hAnsi="Calibri" w:cs="Times New Roman"/>
          <w:kern w:val="0"/>
          <w:sz w:val="24"/>
          <w:szCs w:val="24"/>
          <w14:ligatures w14:val="none"/>
        </w:rPr>
        <w:t>.</w:t>
      </w:r>
      <w:r w:rsidR="00BD46B4">
        <w:rPr>
          <w:rFonts w:ascii="Calibri" w:eastAsia="Calibri" w:hAnsi="Calibri" w:cs="Times New Roman"/>
          <w:kern w:val="0"/>
          <w:sz w:val="24"/>
          <w:szCs w:val="24"/>
          <w14:ligatures w14:val="none"/>
        </w:rPr>
        <w:t xml:space="preserve"> </w:t>
      </w:r>
      <w:r w:rsidRPr="001B6681">
        <w:rPr>
          <w:rFonts w:ascii="Calibri" w:eastAsia="Calibri" w:hAnsi="Calibri" w:cs="Times New Roman"/>
          <w:kern w:val="0"/>
          <w:sz w:val="24"/>
          <w:szCs w:val="24"/>
          <w14:ligatures w14:val="none"/>
        </w:rPr>
        <w:t xml:space="preserve">Razvoj digitalnih vještina </w:t>
      </w:r>
      <w:r w:rsidR="00622171">
        <w:rPr>
          <w:rFonts w:ascii="Calibri" w:eastAsia="Calibri" w:hAnsi="Calibri" w:cs="Times New Roman"/>
          <w:kern w:val="0"/>
          <w:sz w:val="24"/>
          <w:szCs w:val="24"/>
          <w14:ligatures w14:val="none"/>
        </w:rPr>
        <w:t>u obrazovanju</w:t>
      </w:r>
      <w:r w:rsidRPr="001B6681">
        <w:rPr>
          <w:rFonts w:ascii="Calibri" w:eastAsia="Calibri" w:hAnsi="Calibri" w:cs="Times New Roman"/>
          <w:kern w:val="0"/>
          <w:sz w:val="24"/>
          <w:szCs w:val="24"/>
          <w14:ligatures w14:val="none"/>
        </w:rPr>
        <w:t>, direktno doprinosi implementaciji Zelene agende za Zapadni Balkan koja se oslanja na vještine potrebne za praćenje implementacije održivih politika razvoja, kao i Evropskog zelenog plana. Pored toga, postizanje kvalitetnog i inkluzivnog obrazovanja doprinosi stvaranju percepcije i prihvatanju značaja zelenih politika i do promjena u ponašanju u odnosu na životnu sredinu</w:t>
      </w:r>
      <w:r w:rsidR="004D422C">
        <w:rPr>
          <w:rFonts w:ascii="Calibri" w:eastAsia="Calibri" w:hAnsi="Calibri" w:cs="Times New Roman"/>
          <w:kern w:val="0"/>
          <w:sz w:val="24"/>
          <w:szCs w:val="24"/>
          <w14:ligatures w14:val="none"/>
        </w:rPr>
        <w:t>.</w:t>
      </w:r>
    </w:p>
    <w:p w14:paraId="79FA8426" w14:textId="39507597" w:rsidR="001B6681" w:rsidRPr="001B6681" w:rsidRDefault="001B6681" w:rsidP="00391874">
      <w:pPr>
        <w:spacing w:after="0" w:line="276" w:lineRule="auto"/>
        <w:contextualSpacing/>
        <w:jc w:val="both"/>
        <w:rPr>
          <w:rFonts w:ascii="Calibri" w:eastAsia="Calibri" w:hAnsi="Calibri" w:cs="Times New Roman"/>
          <w:kern w:val="0"/>
          <w14:ligatures w14:val="none"/>
        </w:rPr>
      </w:pPr>
      <w:r w:rsidRPr="001B6681">
        <w:rPr>
          <w:rFonts w:ascii="Calibri" w:eastAsia="Calibri" w:hAnsi="Calibri" w:cs="Times New Roman"/>
          <w:kern w:val="0"/>
          <w14:ligatures w14:val="none"/>
        </w:rPr>
        <w:t xml:space="preserve">7. </w:t>
      </w:r>
      <w:r w:rsidRPr="001B6681">
        <w:rPr>
          <w:rFonts w:ascii="Calibri" w:eastAsia="Calibri" w:hAnsi="Calibri" w:cs="Times New Roman"/>
          <w:b/>
          <w:kern w:val="0"/>
          <w14:ligatures w14:val="none"/>
        </w:rPr>
        <w:t>Potencijalni rizici</w:t>
      </w:r>
      <w:r w:rsidR="00391874">
        <w:rPr>
          <w:rFonts w:ascii="Calibri" w:eastAsia="Calibri" w:hAnsi="Calibri" w:cs="Times New Roman"/>
          <w:b/>
          <w:kern w:val="0"/>
          <w14:ligatures w14:val="none"/>
        </w:rPr>
        <w:t>.</w:t>
      </w:r>
    </w:p>
    <w:tbl>
      <w:tblPr>
        <w:tblStyle w:val="GridTable1Light-Accent5"/>
        <w:tblW w:w="0" w:type="auto"/>
        <w:tblLook w:val="04A0" w:firstRow="1" w:lastRow="0" w:firstColumn="1" w:lastColumn="0" w:noHBand="0" w:noVBand="1"/>
      </w:tblPr>
      <w:tblGrid>
        <w:gridCol w:w="3459"/>
        <w:gridCol w:w="1576"/>
        <w:gridCol w:w="4178"/>
      </w:tblGrid>
      <w:tr w:rsidR="001B6681" w:rsidRPr="00082B85" w14:paraId="0CA54B04" w14:textId="77777777" w:rsidTr="003918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9" w:type="dxa"/>
          </w:tcPr>
          <w:p w14:paraId="1AACA2DD" w14:textId="77777777" w:rsidR="001B6681" w:rsidRPr="00082B85" w:rsidRDefault="001B6681" w:rsidP="00082B85">
            <w:pPr>
              <w:spacing w:line="276" w:lineRule="auto"/>
              <w:contextualSpacing/>
              <w:jc w:val="center"/>
              <w:rPr>
                <w:rFonts w:ascii="Calibri" w:eastAsia="Calibri" w:hAnsi="Calibri" w:cs="Times New Roman"/>
                <w:sz w:val="20"/>
                <w:szCs w:val="20"/>
              </w:rPr>
            </w:pPr>
            <w:r w:rsidRPr="00082B85">
              <w:rPr>
                <w:rFonts w:ascii="Calibri" w:eastAsia="Calibri" w:hAnsi="Calibri" w:cs="Times New Roman"/>
                <w:sz w:val="20"/>
                <w:szCs w:val="20"/>
              </w:rPr>
              <w:t>Rizik</w:t>
            </w:r>
          </w:p>
        </w:tc>
        <w:tc>
          <w:tcPr>
            <w:tcW w:w="1576" w:type="dxa"/>
          </w:tcPr>
          <w:p w14:paraId="6BF0B1E7" w14:textId="77777777" w:rsidR="001B6681" w:rsidRPr="00082B85" w:rsidRDefault="001B6681" w:rsidP="00082B85">
            <w:pPr>
              <w:spacing w:line="276" w:lineRule="auto"/>
              <w:contextualSpacing/>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sz w:val="20"/>
                <w:szCs w:val="20"/>
              </w:rPr>
            </w:pPr>
            <w:r w:rsidRPr="00082B85">
              <w:rPr>
                <w:rFonts w:ascii="Calibri" w:eastAsia="Calibri" w:hAnsi="Calibri" w:cs="Times New Roman"/>
                <w:sz w:val="20"/>
                <w:szCs w:val="20"/>
              </w:rPr>
              <w:t>Vjerovatnoća za ostvarivanje rizika</w:t>
            </w:r>
          </w:p>
        </w:tc>
        <w:tc>
          <w:tcPr>
            <w:tcW w:w="4178" w:type="dxa"/>
          </w:tcPr>
          <w:p w14:paraId="0BE5DEE9" w14:textId="77777777" w:rsidR="001B6681" w:rsidRPr="00082B85" w:rsidRDefault="001B6681" w:rsidP="00082B85">
            <w:pPr>
              <w:spacing w:line="276" w:lineRule="auto"/>
              <w:contextualSpacing/>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sz w:val="20"/>
                <w:szCs w:val="20"/>
              </w:rPr>
            </w:pPr>
            <w:r w:rsidRPr="00082B85">
              <w:rPr>
                <w:rFonts w:ascii="Calibri" w:eastAsia="Calibri" w:hAnsi="Calibri" w:cs="Times New Roman"/>
                <w:sz w:val="20"/>
                <w:szCs w:val="20"/>
              </w:rPr>
              <w:t>Planirane aktivnosti ublažavanja negativnih efekata rizika</w:t>
            </w:r>
          </w:p>
        </w:tc>
      </w:tr>
      <w:tr w:rsidR="001B6681" w:rsidRPr="00082B85" w14:paraId="4ED6CAF4" w14:textId="77777777" w:rsidTr="00391874">
        <w:tc>
          <w:tcPr>
            <w:cnfStyle w:val="001000000000" w:firstRow="0" w:lastRow="0" w:firstColumn="1" w:lastColumn="0" w:oddVBand="0" w:evenVBand="0" w:oddHBand="0" w:evenHBand="0" w:firstRowFirstColumn="0" w:firstRowLastColumn="0" w:lastRowFirstColumn="0" w:lastRowLastColumn="0"/>
            <w:tcW w:w="3459" w:type="dxa"/>
          </w:tcPr>
          <w:p w14:paraId="3C3B9F09" w14:textId="77777777" w:rsidR="001B6681" w:rsidRPr="00082B85" w:rsidRDefault="001B6681" w:rsidP="001B6681">
            <w:pPr>
              <w:spacing w:line="276" w:lineRule="auto"/>
              <w:contextualSpacing/>
              <w:rPr>
                <w:rFonts w:ascii="Calibri" w:eastAsia="Calibri" w:hAnsi="Calibri" w:cs="Times New Roman"/>
                <w:b w:val="0"/>
                <w:bCs w:val="0"/>
                <w:sz w:val="20"/>
                <w:szCs w:val="20"/>
              </w:rPr>
            </w:pPr>
            <w:r w:rsidRPr="00082B85">
              <w:rPr>
                <w:rFonts w:ascii="Calibri" w:eastAsia="Calibri" w:hAnsi="Calibri" w:cs="Times New Roman"/>
                <w:b w:val="0"/>
                <w:bCs w:val="0"/>
                <w:sz w:val="20"/>
                <w:szCs w:val="20"/>
              </w:rPr>
              <w:t>Nejasno definisane uloge i odgovornosti učesnika uključenih u sprovođenje procesa.</w:t>
            </w:r>
          </w:p>
        </w:tc>
        <w:tc>
          <w:tcPr>
            <w:tcW w:w="1576" w:type="dxa"/>
          </w:tcPr>
          <w:p w14:paraId="5650FA27" w14:textId="43B58691" w:rsidR="001B6681" w:rsidRPr="00082B85" w:rsidRDefault="001B6681" w:rsidP="001B6681">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rPr>
            </w:pPr>
            <w:r w:rsidRPr="00082B85">
              <w:rPr>
                <w:rFonts w:ascii="Calibri" w:eastAsia="Calibri" w:hAnsi="Calibri" w:cs="Times New Roman"/>
                <w:sz w:val="20"/>
                <w:szCs w:val="20"/>
              </w:rPr>
              <w:t>Niska</w:t>
            </w:r>
          </w:p>
        </w:tc>
        <w:tc>
          <w:tcPr>
            <w:tcW w:w="4178" w:type="dxa"/>
          </w:tcPr>
          <w:p w14:paraId="7B999ADB" w14:textId="77777777" w:rsidR="001B6681" w:rsidRPr="00082B85" w:rsidRDefault="001B6681" w:rsidP="00622171">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rPr>
            </w:pPr>
            <w:r w:rsidRPr="00082B85">
              <w:rPr>
                <w:rFonts w:ascii="Calibri" w:eastAsia="Calibri" w:hAnsi="Calibri" w:cs="Times New Roman"/>
                <w:sz w:val="20"/>
                <w:szCs w:val="20"/>
              </w:rPr>
              <w:t>Puna uključenost svih učesnika u proces, uz jasno definisanje i konsenzualno prihvatanje uloga u procesu svih aktera, definisana i praćena interkomunikacija u procesu, stalni pregledi rizika, eskalacije.</w:t>
            </w:r>
          </w:p>
        </w:tc>
      </w:tr>
      <w:tr w:rsidR="001B6681" w:rsidRPr="00082B85" w14:paraId="507669EC" w14:textId="77777777" w:rsidTr="00391874">
        <w:trPr>
          <w:trHeight w:val="3941"/>
        </w:trPr>
        <w:tc>
          <w:tcPr>
            <w:cnfStyle w:val="001000000000" w:firstRow="0" w:lastRow="0" w:firstColumn="1" w:lastColumn="0" w:oddVBand="0" w:evenVBand="0" w:oddHBand="0" w:evenHBand="0" w:firstRowFirstColumn="0" w:firstRowLastColumn="0" w:lastRowFirstColumn="0" w:lastRowLastColumn="0"/>
            <w:tcW w:w="3459" w:type="dxa"/>
          </w:tcPr>
          <w:p w14:paraId="2134D52C" w14:textId="77777777" w:rsidR="001B6681" w:rsidRPr="00082B85" w:rsidRDefault="001B6681" w:rsidP="001B6681">
            <w:pPr>
              <w:spacing w:line="276" w:lineRule="auto"/>
              <w:contextualSpacing/>
              <w:rPr>
                <w:rFonts w:ascii="Calibri" w:eastAsia="Calibri" w:hAnsi="Calibri" w:cs="Times New Roman"/>
                <w:b w:val="0"/>
                <w:bCs w:val="0"/>
                <w:sz w:val="20"/>
                <w:szCs w:val="20"/>
              </w:rPr>
            </w:pPr>
            <w:r w:rsidRPr="00082B85">
              <w:rPr>
                <w:rFonts w:ascii="Calibri" w:eastAsia="Calibri" w:hAnsi="Calibri" w:cs="Times New Roman"/>
                <w:b w:val="0"/>
                <w:bCs w:val="0"/>
                <w:sz w:val="20"/>
                <w:szCs w:val="20"/>
              </w:rPr>
              <w:t>Nedostatak adekvatne posvećenosti i odlučnosti partnera za ostvarivanje ciljeva</w:t>
            </w:r>
          </w:p>
        </w:tc>
        <w:tc>
          <w:tcPr>
            <w:tcW w:w="1576" w:type="dxa"/>
          </w:tcPr>
          <w:p w14:paraId="02E2CD5C" w14:textId="13D3D72F" w:rsidR="001B6681" w:rsidRPr="00082B85" w:rsidRDefault="001B6681" w:rsidP="001B6681">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rPr>
            </w:pPr>
            <w:r w:rsidRPr="00082B85">
              <w:rPr>
                <w:rFonts w:ascii="Calibri" w:eastAsia="Calibri" w:hAnsi="Calibri" w:cs="Times New Roman"/>
                <w:sz w:val="20"/>
                <w:szCs w:val="20"/>
              </w:rPr>
              <w:t>Niska</w:t>
            </w:r>
          </w:p>
        </w:tc>
        <w:tc>
          <w:tcPr>
            <w:tcW w:w="4178" w:type="dxa"/>
          </w:tcPr>
          <w:p w14:paraId="51ECE3C4" w14:textId="77777777" w:rsidR="001B6681" w:rsidRPr="00082B85" w:rsidRDefault="001B6681" w:rsidP="001B6681">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rPr>
            </w:pPr>
            <w:r w:rsidRPr="00082B85">
              <w:rPr>
                <w:rFonts w:ascii="Calibri" w:eastAsia="Calibri" w:hAnsi="Calibri" w:cs="Times New Roman"/>
                <w:sz w:val="20"/>
                <w:szCs w:val="20"/>
              </w:rPr>
              <w:t>Relevantni državni akteri su posvećeni izgradnji strateškog pristupa kroz usvajanje i implementaciju planova i modela. Da bi se održala posvećenost i odlučnost, uspostaviće se bliski mehanizmi koordinacije i komunikacije za nesmetanu i redovnu interakciju, a svi strateški dokumenti Akcije će biti dizajnirani zajedno sa relevantnim vladinim akterima</w:t>
            </w:r>
          </w:p>
          <w:p w14:paraId="07EAA988" w14:textId="77777777" w:rsidR="001B6681" w:rsidRPr="00082B85" w:rsidRDefault="001B6681" w:rsidP="001B6681">
            <w:p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rPr>
            </w:pPr>
          </w:p>
        </w:tc>
      </w:tr>
    </w:tbl>
    <w:p w14:paraId="3955C705" w14:textId="77777777" w:rsidR="00C82B3B" w:rsidRDefault="00C82B3B" w:rsidP="009D0E01">
      <w:pPr>
        <w:pStyle w:val="Heading3"/>
        <w:rPr>
          <w:rFonts w:eastAsia="Times New Roman"/>
          <w:b/>
          <w:bCs/>
        </w:rPr>
      </w:pPr>
    </w:p>
    <w:p w14:paraId="75EA8EEB" w14:textId="36D8E1A8" w:rsidR="00DC4757" w:rsidRPr="0047692E" w:rsidRDefault="00DC4757" w:rsidP="0047692E">
      <w:pPr>
        <w:rPr>
          <w:color w:val="1F3864" w:themeColor="accent1" w:themeShade="80"/>
          <w:sz w:val="24"/>
          <w:szCs w:val="24"/>
        </w:rPr>
      </w:pPr>
      <w:r w:rsidRPr="0047692E">
        <w:rPr>
          <w:color w:val="1F3864" w:themeColor="accent1" w:themeShade="80"/>
          <w:sz w:val="24"/>
          <w:szCs w:val="24"/>
        </w:rPr>
        <w:t xml:space="preserve">Strukturna reforma </w:t>
      </w:r>
      <w:r w:rsidR="009D0E01" w:rsidRPr="0047692E">
        <w:rPr>
          <w:color w:val="1F3864" w:themeColor="accent1" w:themeShade="80"/>
          <w:sz w:val="24"/>
          <w:szCs w:val="24"/>
        </w:rPr>
        <w:t xml:space="preserve">br. </w:t>
      </w:r>
      <w:r w:rsidRPr="0047692E">
        <w:rPr>
          <w:color w:val="1F3864" w:themeColor="accent1" w:themeShade="80"/>
          <w:sz w:val="24"/>
          <w:szCs w:val="24"/>
        </w:rPr>
        <w:t>6: Povećanje</w:t>
      </w:r>
      <w:r w:rsidR="00892683" w:rsidRPr="0047692E">
        <w:rPr>
          <w:color w:val="1F3864" w:themeColor="accent1" w:themeShade="80"/>
          <w:sz w:val="24"/>
          <w:szCs w:val="24"/>
        </w:rPr>
        <w:t xml:space="preserve"> djelotvornosti </w:t>
      </w:r>
      <w:r w:rsidRPr="0047692E">
        <w:rPr>
          <w:color w:val="1F3864" w:themeColor="accent1" w:themeShade="80"/>
          <w:sz w:val="24"/>
          <w:szCs w:val="24"/>
        </w:rPr>
        <w:t>sistema socijalne i dječje zaštite</w:t>
      </w:r>
    </w:p>
    <w:p w14:paraId="0399464F" w14:textId="555F73AA" w:rsidR="00B8791A" w:rsidRDefault="00B8791A" w:rsidP="00A46DC7">
      <w:pPr>
        <w:spacing w:before="120" w:after="60"/>
        <w:jc w:val="both"/>
        <w:rPr>
          <w:rFonts w:eastAsia="Times New Roman" w:cstheme="minorHAnsi"/>
          <w:kern w:val="0"/>
          <w:sz w:val="24"/>
          <w:szCs w:val="24"/>
          <w:lang w:val="bs"/>
          <w14:ligatures w14:val="none"/>
        </w:rPr>
      </w:pPr>
      <w:r w:rsidRPr="00A46DC7">
        <w:rPr>
          <w:rFonts w:eastAsia="Times New Roman" w:cstheme="minorHAnsi"/>
          <w:bCs/>
          <w:sz w:val="24"/>
          <w:szCs w:val="24"/>
          <w:lang w:val="sr-Latn-ME"/>
        </w:rPr>
        <w:t>Cilj strukturne reforme je razvoj društveno i fiskalno održivih usluga socijalne zaštite</w:t>
      </w:r>
      <w:r w:rsidR="006C74D6">
        <w:rPr>
          <w:rFonts w:eastAsia="Times New Roman" w:cstheme="minorHAnsi"/>
          <w:bCs/>
          <w:sz w:val="24"/>
          <w:szCs w:val="24"/>
          <w:lang w:val="sr-Latn-ME"/>
        </w:rPr>
        <w:t xml:space="preserve"> i</w:t>
      </w:r>
      <w:r w:rsidR="00C5728F" w:rsidRPr="00A46DC7">
        <w:rPr>
          <w:rFonts w:eastAsia="Times New Roman" w:cstheme="minorHAnsi"/>
          <w:kern w:val="0"/>
          <w:sz w:val="24"/>
          <w:szCs w:val="24"/>
          <w:lang w:val="bs"/>
          <w14:ligatures w14:val="none"/>
        </w:rPr>
        <w:t xml:space="preserve"> uspostav</w:t>
      </w:r>
      <w:r w:rsidR="006C74D6">
        <w:rPr>
          <w:rFonts w:eastAsia="Times New Roman" w:cstheme="minorHAnsi"/>
          <w:kern w:val="0"/>
          <w:sz w:val="24"/>
          <w:szCs w:val="24"/>
          <w:lang w:val="bs"/>
          <w14:ligatures w14:val="none"/>
        </w:rPr>
        <w:t>ljanje</w:t>
      </w:r>
      <w:r w:rsidR="00C5728F" w:rsidRPr="00A46DC7">
        <w:rPr>
          <w:rFonts w:eastAsia="Times New Roman" w:cstheme="minorHAnsi"/>
          <w:kern w:val="0"/>
          <w:sz w:val="24"/>
          <w:szCs w:val="24"/>
          <w:lang w:val="bs"/>
          <w14:ligatures w14:val="none"/>
        </w:rPr>
        <w:t xml:space="preserve"> dobro-koordinirani</w:t>
      </w:r>
      <w:r w:rsidR="006C74D6">
        <w:rPr>
          <w:rFonts w:eastAsia="Times New Roman" w:cstheme="minorHAnsi"/>
          <w:kern w:val="0"/>
          <w:sz w:val="24"/>
          <w:szCs w:val="24"/>
          <w:lang w:val="bs"/>
          <w14:ligatures w14:val="none"/>
        </w:rPr>
        <w:t>h</w:t>
      </w:r>
      <w:r w:rsidR="00C5728F" w:rsidRPr="00A46DC7">
        <w:rPr>
          <w:rFonts w:eastAsia="Times New Roman" w:cstheme="minorHAnsi"/>
          <w:kern w:val="0"/>
          <w:sz w:val="24"/>
          <w:szCs w:val="24"/>
          <w:lang w:val="bs"/>
          <w14:ligatures w14:val="none"/>
        </w:rPr>
        <w:t xml:space="preserve"> i bolje targetirani</w:t>
      </w:r>
      <w:r w:rsidR="006C74D6">
        <w:rPr>
          <w:rFonts w:eastAsia="Times New Roman" w:cstheme="minorHAnsi"/>
          <w:kern w:val="0"/>
          <w:sz w:val="24"/>
          <w:szCs w:val="24"/>
          <w:lang w:val="bs"/>
          <w14:ligatures w14:val="none"/>
        </w:rPr>
        <w:t>h</w:t>
      </w:r>
      <w:r w:rsidR="00C5728F" w:rsidRPr="00A46DC7">
        <w:rPr>
          <w:rFonts w:eastAsia="Times New Roman" w:cstheme="minorHAnsi"/>
          <w:kern w:val="0"/>
          <w:sz w:val="24"/>
          <w:szCs w:val="24"/>
          <w:lang w:val="bs"/>
          <w14:ligatures w14:val="none"/>
        </w:rPr>
        <w:t xml:space="preserve"> sistem socijalne</w:t>
      </w:r>
      <w:r w:rsidR="00C5728F" w:rsidRPr="00A46DC7">
        <w:rPr>
          <w:rFonts w:eastAsia="Times New Roman" w:cstheme="minorHAnsi"/>
          <w:spacing w:val="1"/>
          <w:kern w:val="0"/>
          <w:sz w:val="24"/>
          <w:szCs w:val="24"/>
          <w:lang w:val="bs"/>
          <w14:ligatures w14:val="none"/>
        </w:rPr>
        <w:t xml:space="preserve"> </w:t>
      </w:r>
      <w:r w:rsidR="00C5728F" w:rsidRPr="00A46DC7">
        <w:rPr>
          <w:rFonts w:eastAsia="Times New Roman" w:cstheme="minorHAnsi"/>
          <w:kern w:val="0"/>
          <w:sz w:val="24"/>
          <w:szCs w:val="24"/>
          <w:lang w:val="bs"/>
          <w14:ligatures w14:val="none"/>
        </w:rPr>
        <w:t>zaštite koji obezbjeđuje adekvatnu podršku naj</w:t>
      </w:r>
      <w:r w:rsidR="006C74D6">
        <w:rPr>
          <w:rFonts w:eastAsia="Times New Roman" w:cstheme="minorHAnsi"/>
          <w:kern w:val="0"/>
          <w:sz w:val="24"/>
          <w:szCs w:val="24"/>
          <w:lang w:val="bs"/>
          <w14:ligatures w14:val="none"/>
        </w:rPr>
        <w:t>osjetljivijim kategorijama stanovništva</w:t>
      </w:r>
      <w:r w:rsidR="00C5728F" w:rsidRPr="00A46DC7">
        <w:rPr>
          <w:rFonts w:eastAsia="Times New Roman" w:cstheme="minorHAnsi"/>
          <w:kern w:val="0"/>
          <w:sz w:val="24"/>
          <w:szCs w:val="24"/>
          <w:lang w:val="bs"/>
          <w14:ligatures w14:val="none"/>
        </w:rPr>
        <w:t>, dok takođe podržava</w:t>
      </w:r>
      <w:r w:rsidR="00C5728F" w:rsidRPr="00A46DC7">
        <w:rPr>
          <w:rFonts w:eastAsia="Times New Roman" w:cstheme="minorHAnsi"/>
          <w:spacing w:val="1"/>
          <w:kern w:val="0"/>
          <w:sz w:val="24"/>
          <w:szCs w:val="24"/>
          <w:lang w:val="bs"/>
          <w14:ligatures w14:val="none"/>
        </w:rPr>
        <w:t xml:space="preserve"> </w:t>
      </w:r>
      <w:r w:rsidR="00C5728F" w:rsidRPr="00A46DC7">
        <w:rPr>
          <w:rFonts w:eastAsia="Times New Roman" w:cstheme="minorHAnsi"/>
          <w:kern w:val="0"/>
          <w:sz w:val="24"/>
          <w:szCs w:val="24"/>
          <w:lang w:val="bs"/>
          <w14:ligatures w14:val="none"/>
        </w:rPr>
        <w:t xml:space="preserve">politike tržišta rada. </w:t>
      </w:r>
      <w:r w:rsidR="006C74D6">
        <w:rPr>
          <w:rFonts w:eastAsia="Times New Roman" w:cstheme="minorHAnsi"/>
          <w:kern w:val="0"/>
          <w:sz w:val="24"/>
          <w:szCs w:val="24"/>
          <w:lang w:val="bs"/>
          <w14:ligatures w14:val="none"/>
        </w:rPr>
        <w:t>U toku je priprema Strategije</w:t>
      </w:r>
      <w:r w:rsidR="00C5728F" w:rsidRPr="00A46DC7">
        <w:rPr>
          <w:rFonts w:eastAsia="Times New Roman" w:cstheme="minorHAnsi"/>
          <w:kern w:val="0"/>
          <w:sz w:val="24"/>
          <w:szCs w:val="24"/>
          <w:lang w:val="bs"/>
          <w14:ligatures w14:val="none"/>
        </w:rPr>
        <w:t xml:space="preserve"> socijalne i dječje zaštite koja bi integrisala sve postojeće strategije</w:t>
      </w:r>
      <w:r w:rsidR="00C5728F" w:rsidRPr="00A46DC7">
        <w:rPr>
          <w:rFonts w:eastAsia="Times New Roman" w:cstheme="minorHAnsi"/>
          <w:spacing w:val="1"/>
          <w:kern w:val="0"/>
          <w:sz w:val="24"/>
          <w:szCs w:val="24"/>
          <w:lang w:val="bs"/>
          <w14:ligatures w14:val="none"/>
        </w:rPr>
        <w:t xml:space="preserve"> </w:t>
      </w:r>
      <w:r w:rsidR="00C5728F" w:rsidRPr="00A46DC7">
        <w:rPr>
          <w:rFonts w:eastAsia="Times New Roman" w:cstheme="minorHAnsi"/>
          <w:kern w:val="0"/>
          <w:sz w:val="24"/>
          <w:szCs w:val="24"/>
          <w:lang w:val="bs"/>
          <w14:ligatures w14:val="none"/>
        </w:rPr>
        <w:t>socijalne zaštite, prioritizovala reforme i budžetirala ih</w:t>
      </w:r>
      <w:r w:rsidR="006C74D6">
        <w:rPr>
          <w:rFonts w:eastAsia="Times New Roman" w:cstheme="minorHAnsi"/>
          <w:kern w:val="0"/>
          <w:sz w:val="24"/>
          <w:szCs w:val="24"/>
          <w:lang w:val="bs"/>
          <w14:ligatures w14:val="none"/>
        </w:rPr>
        <w:t>. O</w:t>
      </w:r>
      <w:r w:rsidR="00C5728F" w:rsidRPr="00A46DC7">
        <w:rPr>
          <w:rFonts w:eastAsia="Times New Roman" w:cstheme="minorHAnsi"/>
          <w:kern w:val="0"/>
          <w:sz w:val="24"/>
          <w:szCs w:val="24"/>
          <w:lang w:val="bs"/>
          <w14:ligatures w14:val="none"/>
        </w:rPr>
        <w:t>čekuje se da to dovede do</w:t>
      </w:r>
      <w:r w:rsidR="00C5728F" w:rsidRPr="00A46DC7">
        <w:rPr>
          <w:rFonts w:eastAsia="Times New Roman" w:cstheme="minorHAnsi"/>
          <w:spacing w:val="1"/>
          <w:kern w:val="0"/>
          <w:sz w:val="24"/>
          <w:szCs w:val="24"/>
          <w:lang w:val="bs"/>
          <w14:ligatures w14:val="none"/>
        </w:rPr>
        <w:t xml:space="preserve"> </w:t>
      </w:r>
      <w:r w:rsidR="00C5728F" w:rsidRPr="00A46DC7">
        <w:rPr>
          <w:rFonts w:eastAsia="Times New Roman" w:cstheme="minorHAnsi"/>
          <w:kern w:val="0"/>
          <w:sz w:val="24"/>
          <w:szCs w:val="24"/>
          <w:lang w:val="bs"/>
          <w14:ligatures w14:val="none"/>
        </w:rPr>
        <w:t>ukupno</w:t>
      </w:r>
      <w:r w:rsidR="00C5728F" w:rsidRPr="00A46DC7">
        <w:rPr>
          <w:rFonts w:eastAsia="Times New Roman" w:cstheme="minorHAnsi"/>
          <w:spacing w:val="-1"/>
          <w:kern w:val="0"/>
          <w:sz w:val="24"/>
          <w:szCs w:val="24"/>
          <w:lang w:val="bs"/>
          <w14:ligatures w14:val="none"/>
        </w:rPr>
        <w:t xml:space="preserve"> </w:t>
      </w:r>
      <w:r w:rsidR="00C5728F" w:rsidRPr="00A46DC7">
        <w:rPr>
          <w:rFonts w:eastAsia="Times New Roman" w:cstheme="minorHAnsi"/>
          <w:kern w:val="0"/>
          <w:sz w:val="24"/>
          <w:szCs w:val="24"/>
          <w:lang w:val="bs"/>
          <w14:ligatures w14:val="none"/>
        </w:rPr>
        <w:t>bolje</w:t>
      </w:r>
      <w:r w:rsidR="00C5728F" w:rsidRPr="00A46DC7">
        <w:rPr>
          <w:rFonts w:eastAsia="Times New Roman" w:cstheme="minorHAnsi"/>
          <w:spacing w:val="-2"/>
          <w:kern w:val="0"/>
          <w:sz w:val="24"/>
          <w:szCs w:val="24"/>
          <w:lang w:val="bs"/>
          <w14:ligatures w14:val="none"/>
        </w:rPr>
        <w:t xml:space="preserve"> </w:t>
      </w:r>
      <w:r w:rsidR="00C5728F" w:rsidRPr="00A46DC7">
        <w:rPr>
          <w:rFonts w:eastAsia="Times New Roman" w:cstheme="minorHAnsi"/>
          <w:kern w:val="0"/>
          <w:sz w:val="24"/>
          <w:szCs w:val="24"/>
          <w:lang w:val="bs"/>
          <w14:ligatures w14:val="none"/>
        </w:rPr>
        <w:t>koordinirane</w:t>
      </w:r>
      <w:r w:rsidR="00C5728F" w:rsidRPr="00A46DC7">
        <w:rPr>
          <w:rFonts w:eastAsia="Times New Roman" w:cstheme="minorHAnsi"/>
          <w:spacing w:val="-2"/>
          <w:kern w:val="0"/>
          <w:sz w:val="24"/>
          <w:szCs w:val="24"/>
          <w:lang w:val="bs"/>
          <w14:ligatures w14:val="none"/>
        </w:rPr>
        <w:t xml:space="preserve"> </w:t>
      </w:r>
      <w:r w:rsidR="00C5728F" w:rsidRPr="00A46DC7">
        <w:rPr>
          <w:rFonts w:eastAsia="Times New Roman" w:cstheme="minorHAnsi"/>
          <w:kern w:val="0"/>
          <w:sz w:val="24"/>
          <w:szCs w:val="24"/>
          <w:lang w:val="bs"/>
          <w14:ligatures w14:val="none"/>
        </w:rPr>
        <w:t>reforme</w:t>
      </w:r>
      <w:r w:rsidR="00C5728F" w:rsidRPr="00A46DC7">
        <w:rPr>
          <w:rFonts w:eastAsia="Times New Roman" w:cstheme="minorHAnsi"/>
          <w:spacing w:val="-2"/>
          <w:kern w:val="0"/>
          <w:sz w:val="24"/>
          <w:szCs w:val="24"/>
          <w:lang w:val="bs"/>
          <w14:ligatures w14:val="none"/>
        </w:rPr>
        <w:t xml:space="preserve"> </w:t>
      </w:r>
      <w:r w:rsidR="00C5728F" w:rsidRPr="00A46DC7">
        <w:rPr>
          <w:rFonts w:eastAsia="Times New Roman" w:cstheme="minorHAnsi"/>
          <w:kern w:val="0"/>
          <w:sz w:val="24"/>
          <w:szCs w:val="24"/>
          <w:lang w:val="bs"/>
          <w14:ligatures w14:val="none"/>
        </w:rPr>
        <w:t>sistema</w:t>
      </w:r>
      <w:r w:rsidR="00C5728F" w:rsidRPr="00A46DC7">
        <w:rPr>
          <w:rFonts w:eastAsia="Times New Roman" w:cstheme="minorHAnsi"/>
          <w:spacing w:val="-3"/>
          <w:kern w:val="0"/>
          <w:sz w:val="24"/>
          <w:szCs w:val="24"/>
          <w:lang w:val="bs"/>
          <w14:ligatures w14:val="none"/>
        </w:rPr>
        <w:t xml:space="preserve"> </w:t>
      </w:r>
      <w:r w:rsidR="00C5728F" w:rsidRPr="00A46DC7">
        <w:rPr>
          <w:rFonts w:eastAsia="Times New Roman" w:cstheme="minorHAnsi"/>
          <w:kern w:val="0"/>
          <w:sz w:val="24"/>
          <w:szCs w:val="24"/>
          <w:lang w:val="bs"/>
          <w14:ligatures w14:val="none"/>
        </w:rPr>
        <w:t>socijalne</w:t>
      </w:r>
      <w:r w:rsidR="00C5728F" w:rsidRPr="00A46DC7">
        <w:rPr>
          <w:rFonts w:eastAsia="Times New Roman" w:cstheme="minorHAnsi"/>
          <w:spacing w:val="3"/>
          <w:kern w:val="0"/>
          <w:sz w:val="24"/>
          <w:szCs w:val="24"/>
          <w:lang w:val="bs"/>
          <w14:ligatures w14:val="none"/>
        </w:rPr>
        <w:t xml:space="preserve"> </w:t>
      </w:r>
      <w:r w:rsidR="00C5728F" w:rsidRPr="00A46DC7">
        <w:rPr>
          <w:rFonts w:eastAsia="Times New Roman" w:cstheme="minorHAnsi"/>
          <w:kern w:val="0"/>
          <w:sz w:val="24"/>
          <w:szCs w:val="24"/>
          <w:lang w:val="bs"/>
          <w14:ligatures w14:val="none"/>
        </w:rPr>
        <w:t>zaštite.</w:t>
      </w:r>
    </w:p>
    <w:p w14:paraId="6B8C1C06" w14:textId="3649AF1E" w:rsidR="00670EA2" w:rsidRPr="00391874" w:rsidRDefault="00497AEA" w:rsidP="00391874">
      <w:pPr>
        <w:spacing w:before="120" w:after="60"/>
        <w:jc w:val="both"/>
        <w:rPr>
          <w:rFonts w:eastAsia="Times New Roman" w:cstheme="minorHAnsi"/>
          <w:kern w:val="0"/>
          <w:sz w:val="24"/>
          <w:szCs w:val="24"/>
          <w14:ligatures w14:val="none"/>
        </w:rPr>
      </w:pPr>
      <w:r w:rsidRPr="00497AEA">
        <w:rPr>
          <w:rFonts w:eastAsia="Times New Roman" w:cstheme="minorHAnsi"/>
          <w:kern w:val="0"/>
          <w:sz w:val="24"/>
          <w:szCs w:val="24"/>
          <w:lang w:val="sr-Latn-ME"/>
          <w14:ligatures w14:val="none"/>
        </w:rPr>
        <w:t>Navedena strukturna reforma se dalje razrađuje kroz reformsku mjeru:</w:t>
      </w:r>
      <w:r w:rsidR="00007B58">
        <w:rPr>
          <w:rFonts w:eastAsia="Times New Roman" w:cstheme="minorHAnsi"/>
          <w:kern w:val="0"/>
          <w:sz w:val="24"/>
          <w:szCs w:val="24"/>
          <w:lang w:val="sr-Latn-ME"/>
          <w14:ligatures w14:val="none"/>
        </w:rPr>
        <w:t xml:space="preserve"> </w:t>
      </w:r>
      <w:r w:rsidRPr="00497AEA">
        <w:rPr>
          <w:rFonts w:eastAsia="Times New Roman" w:cstheme="minorHAnsi"/>
          <w:i/>
          <w:iCs/>
          <w:kern w:val="0"/>
          <w:sz w:val="24"/>
          <w:szCs w:val="24"/>
          <w:lang w:val="sr-Latn-ME"/>
          <w14:ligatures w14:val="none"/>
        </w:rPr>
        <w:t>„</w:t>
      </w:r>
      <w:r w:rsidRPr="00497AEA">
        <w:rPr>
          <w:rFonts w:eastAsia="Times New Roman" w:cstheme="minorHAnsi"/>
          <w:bCs/>
          <w:i/>
          <w:iCs/>
          <w:kern w:val="0"/>
          <w:sz w:val="24"/>
          <w:szCs w:val="24"/>
          <w14:ligatures w14:val="none"/>
        </w:rPr>
        <w:t>Reforma sistema socijalne i dječije zaštite na osnovu mape puta</w:t>
      </w:r>
      <w:r>
        <w:rPr>
          <w:rFonts w:eastAsia="Times New Roman" w:cstheme="minorHAnsi"/>
          <w:bCs/>
          <w:i/>
          <w:iCs/>
          <w:kern w:val="0"/>
          <w:sz w:val="24"/>
          <w:szCs w:val="24"/>
          <w14:ligatures w14:val="none"/>
        </w:rPr>
        <w:t xml:space="preserve">” </w:t>
      </w:r>
      <w:r w:rsidRPr="00497AEA">
        <w:rPr>
          <w:rFonts w:eastAsia="Times New Roman" w:cstheme="minorHAnsi"/>
          <w:bCs/>
          <w:kern w:val="0"/>
          <w:sz w:val="24"/>
          <w:szCs w:val="24"/>
          <w14:ligatures w14:val="none"/>
        </w:rPr>
        <w:t xml:space="preserve">koja se nastavlja </w:t>
      </w:r>
      <w:r w:rsidRPr="00497AEA">
        <w:rPr>
          <w:rFonts w:eastAsia="Times New Roman" w:cstheme="minorHAnsi"/>
          <w:kern w:val="0"/>
          <w:sz w:val="24"/>
          <w:szCs w:val="24"/>
          <w14:ligatures w14:val="none"/>
        </w:rPr>
        <w:t>iz PER-a 2023-2025.</w:t>
      </w:r>
    </w:p>
    <w:p w14:paraId="6DAF6ADA" w14:textId="0E2E2269" w:rsidR="0047326F" w:rsidRPr="00DC4757" w:rsidRDefault="0047326F" w:rsidP="0047326F">
      <w:pPr>
        <w:spacing w:before="120" w:after="60"/>
        <w:rPr>
          <w:rFonts w:eastAsia="Times New Roman" w:cstheme="minorHAnsi"/>
          <w:bCs/>
          <w:i/>
          <w:iCs/>
          <w:color w:val="002465"/>
          <w:sz w:val="24"/>
          <w:szCs w:val="24"/>
        </w:rPr>
      </w:pPr>
      <w:r w:rsidRPr="00DC4757">
        <w:rPr>
          <w:rFonts w:eastAsia="Times New Roman" w:cstheme="minorHAnsi"/>
          <w:bCs/>
          <w:i/>
          <w:iCs/>
          <w:color w:val="002465"/>
          <w:sz w:val="24"/>
          <w:szCs w:val="24"/>
        </w:rPr>
        <w:lastRenderedPageBreak/>
        <w:t xml:space="preserve">Reformska mjera </w:t>
      </w:r>
      <w:r w:rsidR="00A9672F">
        <w:rPr>
          <w:rFonts w:eastAsia="Times New Roman" w:cstheme="minorHAnsi"/>
          <w:bCs/>
          <w:i/>
          <w:iCs/>
          <w:color w:val="002465"/>
          <w:sz w:val="24"/>
          <w:szCs w:val="24"/>
        </w:rPr>
        <w:t xml:space="preserve">br. </w:t>
      </w:r>
      <w:r w:rsidR="00B85232">
        <w:rPr>
          <w:rFonts w:eastAsia="Times New Roman" w:cstheme="minorHAnsi"/>
          <w:bCs/>
          <w:i/>
          <w:iCs/>
          <w:color w:val="002465"/>
          <w:sz w:val="24"/>
          <w:szCs w:val="24"/>
        </w:rPr>
        <w:t>9</w:t>
      </w:r>
      <w:r w:rsidRPr="00DC4757">
        <w:rPr>
          <w:rFonts w:eastAsia="Times New Roman" w:cstheme="minorHAnsi"/>
          <w:bCs/>
          <w:i/>
          <w:iCs/>
          <w:color w:val="002465"/>
          <w:sz w:val="24"/>
          <w:szCs w:val="24"/>
        </w:rPr>
        <w:t xml:space="preserve">: Reforma sistema socijalne i dječje zaštite na osnovu </w:t>
      </w:r>
      <w:r w:rsidR="00497AEA">
        <w:rPr>
          <w:rFonts w:eastAsia="Times New Roman" w:cstheme="minorHAnsi"/>
          <w:bCs/>
          <w:i/>
          <w:iCs/>
          <w:color w:val="002465"/>
          <w:sz w:val="24"/>
          <w:szCs w:val="24"/>
        </w:rPr>
        <w:t>m</w:t>
      </w:r>
      <w:r w:rsidRPr="00DC4757">
        <w:rPr>
          <w:rFonts w:eastAsia="Times New Roman" w:cstheme="minorHAnsi"/>
          <w:bCs/>
          <w:i/>
          <w:iCs/>
          <w:color w:val="002465"/>
          <w:sz w:val="24"/>
          <w:szCs w:val="24"/>
        </w:rPr>
        <w:t>ape puta</w:t>
      </w:r>
      <w:bookmarkEnd w:id="184"/>
      <w:bookmarkEnd w:id="185"/>
      <w:r w:rsidRPr="00DC4757">
        <w:rPr>
          <w:rFonts w:eastAsia="Times New Roman" w:cstheme="minorHAnsi"/>
          <w:bCs/>
          <w:i/>
          <w:iCs/>
          <w:color w:val="002465"/>
          <w:sz w:val="24"/>
          <w:szCs w:val="24"/>
        </w:rPr>
        <w:t xml:space="preserve"> </w:t>
      </w:r>
    </w:p>
    <w:p w14:paraId="177E2ADF" w14:textId="5EBBECDB" w:rsidR="00670EA2" w:rsidRDefault="0047326F" w:rsidP="00C83383">
      <w:pPr>
        <w:shd w:val="clear" w:color="auto" w:fill="FFFFFF"/>
        <w:spacing w:after="0"/>
        <w:jc w:val="both"/>
        <w:rPr>
          <w:rFonts w:ascii="Calibri" w:eastAsia="Times New Roman" w:hAnsi="Calibri" w:cs="Calibri"/>
          <w:kern w:val="0"/>
          <w:sz w:val="24"/>
          <w:szCs w:val="24"/>
          <w:lang w:val="sr-Latn-ME" w:eastAsia="sr-Cyrl-CS" w:bidi="sr-Cyrl-CS"/>
          <w14:ligatures w14:val="none"/>
        </w:rPr>
      </w:pPr>
      <w:bookmarkStart w:id="187" w:name="_Hlk123061609"/>
      <w:r w:rsidRPr="00670EA2">
        <w:rPr>
          <w:rFonts w:eastAsia="Times New Roman" w:cstheme="minorHAnsi"/>
          <w:b/>
          <w:iCs/>
          <w:sz w:val="24"/>
          <w:szCs w:val="24"/>
        </w:rPr>
        <w:t>1.</w:t>
      </w:r>
      <w:r w:rsidRPr="00670EA2">
        <w:rPr>
          <w:rFonts w:eastAsia="Times New Roman" w:cstheme="minorHAnsi"/>
          <w:b/>
          <w:sz w:val="24"/>
          <w:szCs w:val="24"/>
        </w:rPr>
        <w:t xml:space="preserve">Opis mjere. </w:t>
      </w:r>
      <w:r w:rsidR="00670EA2" w:rsidRPr="00670EA2">
        <w:rPr>
          <w:rFonts w:ascii="Calibri" w:eastAsia="Calibri" w:hAnsi="Calibri" w:cs="Calibri"/>
          <w:kern w:val="0"/>
          <w:sz w:val="24"/>
          <w:szCs w:val="24"/>
          <w:lang w:val="sr-Cyrl-CS" w:eastAsia="sr-Cyrl-CS" w:bidi="sr-Cyrl-CS"/>
          <w14:ligatures w14:val="none"/>
        </w:rPr>
        <w:t xml:space="preserve">Osnovni cilj </w:t>
      </w:r>
      <w:r w:rsidR="00670EA2" w:rsidRPr="00670EA2">
        <w:rPr>
          <w:rFonts w:ascii="Calibri" w:eastAsia="Calibri" w:hAnsi="Calibri" w:cs="Calibri"/>
          <w:kern w:val="0"/>
          <w:sz w:val="24"/>
          <w:szCs w:val="24"/>
          <w:lang w:val="sr-Latn-ME" w:eastAsia="sr-Cyrl-CS" w:bidi="sr-Cyrl-CS"/>
          <w14:ligatures w14:val="none"/>
        </w:rPr>
        <w:t xml:space="preserve">mjere </w:t>
      </w:r>
      <w:r w:rsidR="00670EA2" w:rsidRPr="00670EA2">
        <w:rPr>
          <w:rFonts w:ascii="Calibri" w:eastAsia="Calibri" w:hAnsi="Calibri" w:cs="Calibri"/>
          <w:kern w:val="0"/>
          <w:sz w:val="24"/>
          <w:szCs w:val="24"/>
          <w:lang w:val="sr-Cyrl-CS" w:eastAsia="sr-Cyrl-CS" w:bidi="sr-Cyrl-CS"/>
          <w14:ligatures w14:val="none"/>
        </w:rPr>
        <w:t>je smanjenje siromaštva i pružanje podrške u zadovoljavanju osnovnih životnih potreba svima kojima je neophodno</w:t>
      </w:r>
      <w:r w:rsidR="00670EA2" w:rsidRPr="00670EA2">
        <w:rPr>
          <w:rFonts w:ascii="Calibri" w:eastAsia="Calibri" w:hAnsi="Calibri" w:cs="Calibri"/>
          <w:kern w:val="0"/>
          <w:sz w:val="24"/>
          <w:szCs w:val="24"/>
          <w:lang w:val="sr-Latn-ME" w:eastAsia="sr-Cyrl-CS" w:bidi="sr-Cyrl-CS"/>
          <w14:ligatures w14:val="none"/>
        </w:rPr>
        <w:t xml:space="preserve">. Mjera je ponovljena iz prethodne godine, uslijed strateške važnosti za proces reformi sistema socijalne i dječije zaštite, ali je užeg karaktera u odnosu na PER 2023-2025. Doprinosi ispunjavanju preporuka proisteklih iz pregovaračkog poglavlja 19 </w:t>
      </w:r>
      <w:r w:rsidR="00670EA2" w:rsidRPr="00670EA2">
        <w:rPr>
          <w:rFonts w:ascii="Calibri" w:eastAsia="Calibri" w:hAnsi="Calibri" w:cs="Calibri"/>
          <w:i/>
          <w:iCs/>
          <w:kern w:val="0"/>
          <w:sz w:val="24"/>
          <w:szCs w:val="24"/>
          <w:lang w:val="sr-Latn-ME" w:eastAsia="sr-Cyrl-CS" w:bidi="sr-Cyrl-CS"/>
          <w14:ligatures w14:val="none"/>
        </w:rPr>
        <w:t>Socijalna politika i zapošljavanje</w:t>
      </w:r>
      <w:r w:rsidR="00670EA2" w:rsidRPr="00670EA2">
        <w:rPr>
          <w:rFonts w:ascii="Calibri" w:eastAsia="Calibri" w:hAnsi="Calibri" w:cs="Calibri"/>
          <w:kern w:val="0"/>
          <w:sz w:val="24"/>
          <w:szCs w:val="24"/>
          <w:lang w:val="sr-Latn-ME" w:eastAsia="sr-Cyrl-CS" w:bidi="sr-Cyrl-CS"/>
          <w14:ligatures w14:val="none"/>
        </w:rPr>
        <w:t>.</w:t>
      </w:r>
      <w:r w:rsidR="00670EA2">
        <w:rPr>
          <w:rFonts w:ascii="Calibri" w:eastAsia="Times New Roman" w:hAnsi="Calibri" w:cs="Calibri"/>
          <w:kern w:val="0"/>
          <w:sz w:val="24"/>
          <w:szCs w:val="24"/>
          <w:lang w:val="sr-Latn-ME" w:eastAsia="sr-Cyrl-CS" w:bidi="sr-Cyrl-CS"/>
          <w14:ligatures w14:val="none"/>
        </w:rPr>
        <w:t xml:space="preserve"> </w:t>
      </w:r>
      <w:r w:rsidR="00670EA2" w:rsidRPr="00670EA2">
        <w:rPr>
          <w:rFonts w:ascii="Calibri" w:eastAsia="Times New Roman" w:hAnsi="Calibri" w:cs="Calibri"/>
          <w:kern w:val="0"/>
          <w:sz w:val="24"/>
          <w:szCs w:val="24"/>
          <w:lang w:val="sr-Latn-ME" w:eastAsia="sr-Cyrl-CS" w:bidi="sr-Cyrl-CS"/>
          <w14:ligatures w14:val="none"/>
        </w:rPr>
        <w:t xml:space="preserve">Takođe daje odgovor na preporuku br. 6 sa ministarstkog dijaloga. Progres prema planu implementacije mjere je napravljen u dijelu jačanja kapaciteta centara za socijalni rad kroz zapošljavanje voditelja slučaja. </w:t>
      </w:r>
      <w:r w:rsidR="00670EA2">
        <w:rPr>
          <w:rFonts w:ascii="Calibri" w:eastAsia="Calibri" w:hAnsi="Calibri" w:cs="Calibri"/>
          <w:kern w:val="0"/>
          <w:sz w:val="24"/>
          <w:szCs w:val="24"/>
          <w:lang w:eastAsia="sr-Cyrl-CS" w:bidi="sr-Cyrl-CS"/>
          <w14:ligatures w14:val="none"/>
        </w:rPr>
        <w:t>Suština</w:t>
      </w:r>
      <w:r w:rsidR="00670EA2" w:rsidRPr="00670EA2">
        <w:rPr>
          <w:rFonts w:ascii="Calibri" w:eastAsia="Calibri" w:hAnsi="Calibri" w:cs="Calibri"/>
          <w:kern w:val="0"/>
          <w:sz w:val="24"/>
          <w:szCs w:val="24"/>
          <w:lang w:eastAsia="sr-Cyrl-CS" w:bidi="sr-Cyrl-CS"/>
          <w14:ligatures w14:val="none"/>
        </w:rPr>
        <w:t xml:space="preserve"> ove reformske mjere </w:t>
      </w:r>
      <w:r w:rsidR="00670EA2">
        <w:rPr>
          <w:rFonts w:ascii="Calibri" w:eastAsia="Calibri" w:hAnsi="Calibri" w:cs="Calibri"/>
          <w:kern w:val="0"/>
          <w:sz w:val="24"/>
          <w:szCs w:val="24"/>
          <w:lang w:eastAsia="sr-Cyrl-CS" w:bidi="sr-Cyrl-CS"/>
          <w14:ligatures w14:val="none"/>
        </w:rPr>
        <w:t>je analiza</w:t>
      </w:r>
      <w:r w:rsidR="00670EA2" w:rsidRPr="00670EA2">
        <w:rPr>
          <w:rFonts w:ascii="Calibri" w:eastAsia="Calibri" w:hAnsi="Calibri" w:cs="Calibri"/>
          <w:kern w:val="0"/>
          <w:sz w:val="24"/>
          <w:szCs w:val="24"/>
          <w:lang w:eastAsia="sr-Cyrl-CS" w:bidi="sr-Cyrl-CS"/>
          <w14:ligatures w14:val="none"/>
        </w:rPr>
        <w:t xml:space="preserve"> troškova, finansijske održivosti i izradu finansijskog plana reforme sistema socijalne i dječje zaštite, koji će dati smjernice za održivo dugoročno budžetsko planiranje i integraciju reformskih mjera kroz programski budžet države. U praksi, analiza će se bazirati na procjeni troškova svih raspoloživih servisa i materijalnih davanja iz domena socijalne i dječije zaštite, što će omogućiti operacionalizaciju nove Strategije za socijalnu i dječiju zaštitu čije se usvajanje planira za kraj 2024. godine.</w:t>
      </w:r>
      <w:r w:rsidR="00C82B3B">
        <w:rPr>
          <w:rFonts w:ascii="Calibri" w:eastAsia="Calibri" w:hAnsi="Calibri" w:cs="Calibri"/>
          <w:kern w:val="0"/>
          <w:sz w:val="24"/>
          <w:szCs w:val="24"/>
          <w:lang w:eastAsia="sr-Cyrl-CS" w:bidi="sr-Cyrl-CS"/>
          <w14:ligatures w14:val="none"/>
        </w:rPr>
        <w:t xml:space="preserve"> </w:t>
      </w:r>
      <w:r w:rsidR="00670EA2" w:rsidRPr="00670EA2">
        <w:rPr>
          <w:rFonts w:ascii="Calibri" w:eastAsia="Calibri" w:hAnsi="Calibri" w:cs="Calibri"/>
          <w:kern w:val="0"/>
          <w:sz w:val="24"/>
          <w:szCs w:val="24"/>
          <w:lang w:val="sr-Latn-ME" w:eastAsia="sr-Cyrl-CS" w:bidi="sr-Cyrl-CS"/>
          <w14:ligatures w14:val="none"/>
        </w:rPr>
        <w:t xml:space="preserve">Uzimajući u obzir kompleksnost i važnost mjere i pratećih analiza podrška partnera kao što su EU i ostali međunarodni parnteri je od izuzetne važnosti. Jedan od modela podrške je i ekspertski instrument Evropske unije za zapošljavanje, rad i socijalnu zaštitu (SOCIEUX+). </w:t>
      </w:r>
      <w:r w:rsidR="00670EA2" w:rsidRPr="00670EA2">
        <w:rPr>
          <w:rFonts w:ascii="Calibri" w:eastAsia="Calibri" w:hAnsi="Calibri" w:cs="Calibri"/>
          <w:kern w:val="0"/>
          <w:sz w:val="24"/>
          <w:szCs w:val="24"/>
          <w:lang w:eastAsia="sr-Cyrl-CS" w:bidi="sr-Cyrl-CS"/>
          <w14:ligatures w14:val="none"/>
        </w:rPr>
        <w:t>Jedna ekspertska misija je završena a u novembru i decembru će se realizovati i druge dvije misije.</w:t>
      </w:r>
      <w:r w:rsidR="00BD46B4">
        <w:rPr>
          <w:rFonts w:ascii="Calibri" w:eastAsia="Calibri" w:hAnsi="Calibri" w:cs="Calibri"/>
          <w:kern w:val="0"/>
          <w:sz w:val="24"/>
          <w:szCs w:val="24"/>
          <w:lang w:eastAsia="sr-Cyrl-CS" w:bidi="sr-Cyrl-CS"/>
          <w14:ligatures w14:val="none"/>
        </w:rPr>
        <w:t xml:space="preserve"> </w:t>
      </w:r>
      <w:r w:rsidR="00670EA2" w:rsidRPr="00670EA2">
        <w:rPr>
          <w:rFonts w:ascii="Calibri" w:eastAsia="Calibri" w:hAnsi="Calibri" w:cs="Calibri"/>
          <w:kern w:val="0"/>
          <w:sz w:val="24"/>
          <w:szCs w:val="24"/>
          <w:lang w:eastAsia="sr-Cyrl-CS" w:bidi="sr-Cyrl-CS"/>
          <w14:ligatures w14:val="none"/>
        </w:rPr>
        <w:t xml:space="preserve">Reforme socijalne zaštite prepoznate su i u </w:t>
      </w:r>
      <w:hyperlink r:id="rId27" w:history="1">
        <w:r w:rsidR="00670EA2" w:rsidRPr="00670EA2">
          <w:rPr>
            <w:rFonts w:ascii="Calibri" w:eastAsia="Calibri" w:hAnsi="Calibri" w:cs="Calibri"/>
            <w:kern w:val="0"/>
            <w:sz w:val="24"/>
            <w:szCs w:val="24"/>
            <w:lang w:eastAsia="sr-Cyrl-CS" w:bidi="sr-Cyrl-CS"/>
            <w14:ligatures w14:val="none"/>
          </w:rPr>
          <w:t>Ekonomskom i investicionom planu za Zapadni Balkan</w:t>
        </w:r>
      </w:hyperlink>
      <w:r w:rsidR="00670EA2" w:rsidRPr="00670EA2">
        <w:rPr>
          <w:rFonts w:ascii="Calibri" w:eastAsia="Calibri" w:hAnsi="Calibri" w:cs="Calibri"/>
          <w:kern w:val="0"/>
          <w:sz w:val="24"/>
          <w:szCs w:val="24"/>
          <w:lang w:eastAsia="sr-Cyrl-CS" w:bidi="sr-Cyrl-CS"/>
          <w14:ligatures w14:val="none"/>
        </w:rPr>
        <w:t xml:space="preserve"> kao i u okviru </w:t>
      </w:r>
      <w:hyperlink r:id="rId28" w:history="1">
        <w:r w:rsidR="00670EA2" w:rsidRPr="00670EA2">
          <w:rPr>
            <w:rFonts w:ascii="Calibri" w:eastAsia="Calibri" w:hAnsi="Calibri" w:cs="Calibri"/>
            <w:kern w:val="0"/>
            <w:sz w:val="24"/>
            <w:szCs w:val="24"/>
            <w:lang w:eastAsia="sr-Cyrl-CS" w:bidi="sr-Cyrl-CS"/>
            <w14:ligatures w14:val="none"/>
          </w:rPr>
          <w:t>Evropskog stuba socijalnih prava</w:t>
        </w:r>
      </w:hyperlink>
      <w:r w:rsidR="00670EA2" w:rsidRPr="00670EA2">
        <w:rPr>
          <w:rFonts w:ascii="Calibri" w:eastAsia="Calibri" w:hAnsi="Calibri" w:cs="Calibri"/>
          <w:kern w:val="0"/>
          <w:sz w:val="24"/>
          <w:szCs w:val="24"/>
          <w:lang w:eastAsia="sr-Cyrl-CS" w:bidi="sr-Cyrl-CS"/>
          <w14:ligatures w14:val="none"/>
        </w:rPr>
        <w:t>.</w:t>
      </w:r>
      <w:r w:rsidR="00670EA2" w:rsidRPr="00670EA2">
        <w:rPr>
          <w:rFonts w:ascii="Calibri" w:eastAsia="Calibri" w:hAnsi="Calibri" w:cs="Calibri"/>
          <w:kern w:val="0"/>
          <w:sz w:val="24"/>
          <w:szCs w:val="24"/>
          <w:lang w:val="sr-Latn-ME" w:eastAsia="sr-Cyrl-CS" w:bidi="sr-Cyrl-CS"/>
          <w14:ligatures w14:val="none"/>
        </w:rPr>
        <w:t xml:space="preserve"> Implementacijom ove mjere će se dodatno doprinijeti ostvarivanju cilja održivog razvoja CO1 –svijet bez siromaštva i CO10 -smanjenje nejednakosti.Mjera je povezana i sa IPA III, i prioritetnim aktivnostima datim u IPA III Strateškom odgovoru kao što su uvođenje Garancije za djecu, Implementacija Garancije za mlade i Podrška procesu deinstitucionalizacije koje predstavljaju odgovor na ključne preporuke iz izvještaja EU(de</w:t>
      </w:r>
      <w:r w:rsidR="00C82B3B">
        <w:rPr>
          <w:rFonts w:ascii="Calibri" w:eastAsia="Calibri" w:hAnsi="Calibri" w:cs="Calibri"/>
          <w:kern w:val="0"/>
          <w:sz w:val="24"/>
          <w:szCs w:val="24"/>
          <w:lang w:val="sr-Latn-ME" w:eastAsia="sr-Cyrl-CS" w:bidi="sr-Cyrl-CS"/>
          <w14:ligatures w14:val="none"/>
        </w:rPr>
        <w:t xml:space="preserve">taljno objašnjeno u aneksu II). </w:t>
      </w:r>
      <w:r w:rsidR="00670EA2" w:rsidRPr="00670EA2">
        <w:rPr>
          <w:rFonts w:ascii="Calibri" w:eastAsia="Calibri" w:hAnsi="Calibri" w:cs="Calibri"/>
          <w:kern w:val="0"/>
          <w:sz w:val="24"/>
          <w:szCs w:val="24"/>
          <w:lang w:val="sr-Latn-ME" w:eastAsia="sr-Cyrl-CS" w:bidi="sr-Cyrl-CS"/>
          <w14:ligatures w14:val="none"/>
        </w:rPr>
        <w:t xml:space="preserve">Međutim, uslijed </w:t>
      </w:r>
      <w:r w:rsidR="00670EA2" w:rsidRPr="00670EA2">
        <w:rPr>
          <w:rFonts w:ascii="Calibri" w:eastAsia="Calibri" w:hAnsi="Calibri" w:cs="Calibri"/>
          <w:kern w:val="0"/>
          <w:sz w:val="24"/>
          <w:szCs w:val="24"/>
          <w:lang w:eastAsia="sr-Cyrl-CS" w:bidi="sr-Cyrl-CS"/>
          <w14:ligatures w14:val="none"/>
        </w:rPr>
        <w:t>zbog političkog zastoja u procesima donošenja odluka o reformskim procesima</w:t>
      </w:r>
      <w:r w:rsidR="00670EA2" w:rsidRPr="00670EA2">
        <w:rPr>
          <w:rFonts w:ascii="Calibri" w:eastAsia="Calibri" w:hAnsi="Calibri" w:cs="Calibri"/>
          <w:kern w:val="0"/>
          <w:sz w:val="24"/>
          <w:szCs w:val="24"/>
          <w:lang w:val="sr-Latn-ME" w:eastAsia="sr-Cyrl-CS" w:bidi="sr-Cyrl-CS"/>
          <w14:ligatures w14:val="none"/>
        </w:rPr>
        <w:t xml:space="preserve"> i čestih promjena u menadžment strukturi Ministarstva rada i socijalnog staranja i Vlade u cijelini, implementacija mjere nije tekla planiranom dinamikom budući da je reformski i međuresorni karakter mjere iziskivao blagovremeno strateško odlučivanje od strane donosioca odluka.</w:t>
      </w:r>
    </w:p>
    <w:p w14:paraId="2BDB5A84" w14:textId="77777777" w:rsidR="007E1D6F" w:rsidRPr="007E1D6F" w:rsidRDefault="0047326F" w:rsidP="00C83383">
      <w:pPr>
        <w:shd w:val="clear" w:color="auto" w:fill="FFFFFF"/>
        <w:spacing w:after="0"/>
        <w:jc w:val="both"/>
        <w:rPr>
          <w:rFonts w:eastAsia="Times New Roman" w:cstheme="minorHAnsi"/>
          <w:b/>
          <w:sz w:val="24"/>
          <w:szCs w:val="24"/>
        </w:rPr>
      </w:pPr>
      <w:r w:rsidRPr="007E1D6F">
        <w:rPr>
          <w:rFonts w:eastAsia="Times New Roman" w:cstheme="minorHAnsi"/>
          <w:b/>
          <w:sz w:val="24"/>
          <w:szCs w:val="24"/>
        </w:rPr>
        <w:t>Aktivnosti planirane za 202</w:t>
      </w:r>
      <w:r w:rsidR="00B40837" w:rsidRPr="007E1D6F">
        <w:rPr>
          <w:rFonts w:eastAsia="Times New Roman" w:cstheme="minorHAnsi"/>
          <w:b/>
          <w:sz w:val="24"/>
          <w:szCs w:val="24"/>
        </w:rPr>
        <w:t>4.</w:t>
      </w:r>
      <w:r w:rsidRPr="007E1D6F">
        <w:rPr>
          <w:rFonts w:eastAsia="Times New Roman" w:cstheme="minorHAnsi"/>
          <w:b/>
          <w:sz w:val="24"/>
          <w:szCs w:val="24"/>
        </w:rPr>
        <w:t xml:space="preserve"> </w:t>
      </w:r>
    </w:p>
    <w:p w14:paraId="002B8C7A" w14:textId="77777777" w:rsidR="007E1D6F" w:rsidRPr="007E1D6F" w:rsidRDefault="007E1D6F" w:rsidP="00FD3827">
      <w:pPr>
        <w:pStyle w:val="ListParagraph"/>
        <w:numPr>
          <w:ilvl w:val="0"/>
          <w:numId w:val="14"/>
        </w:numPr>
        <w:shd w:val="clear" w:color="auto" w:fill="FFFFFF"/>
        <w:spacing w:after="120"/>
        <w:jc w:val="both"/>
        <w:rPr>
          <w:rFonts w:eastAsia="Times New Roman" w:cstheme="minorHAnsi"/>
          <w:b/>
          <w:sz w:val="24"/>
          <w:szCs w:val="24"/>
        </w:rPr>
      </w:pPr>
      <w:r w:rsidRPr="007E1D6F">
        <w:rPr>
          <w:rFonts w:ascii="Calibri" w:eastAsia="Calibri" w:hAnsi="Calibri" w:cs="Calibri"/>
          <w:kern w:val="0"/>
          <w:sz w:val="24"/>
          <w:szCs w:val="24"/>
          <w:lang w:val="sr-Latn-RS" w:eastAsia="sr-Cyrl-CS" w:bidi="sr-Cyrl-CS"/>
          <w14:ligatures w14:val="none"/>
        </w:rPr>
        <w:t>Izrada Metodologije za izračunavanje cijene usluga podrške za život u zajednici, MRSS</w:t>
      </w:r>
    </w:p>
    <w:p w14:paraId="4B9DB474" w14:textId="77777777" w:rsidR="007E1D6F" w:rsidRPr="007E1D6F" w:rsidRDefault="007E1D6F" w:rsidP="00FD3827">
      <w:pPr>
        <w:pStyle w:val="ListParagraph"/>
        <w:numPr>
          <w:ilvl w:val="0"/>
          <w:numId w:val="14"/>
        </w:numPr>
        <w:shd w:val="clear" w:color="auto" w:fill="FFFFFF"/>
        <w:spacing w:after="120"/>
        <w:jc w:val="both"/>
        <w:rPr>
          <w:rFonts w:eastAsia="Times New Roman" w:cstheme="minorHAnsi"/>
          <w:b/>
          <w:sz w:val="24"/>
          <w:szCs w:val="24"/>
        </w:rPr>
      </w:pPr>
      <w:r w:rsidRPr="007E1D6F">
        <w:rPr>
          <w:rFonts w:ascii="Calibri" w:eastAsia="Calibri" w:hAnsi="Calibri" w:cs="Calibri"/>
          <w:kern w:val="0"/>
          <w:sz w:val="24"/>
          <w:szCs w:val="24"/>
          <w:lang w:val="sr-Latn-RS" w:eastAsia="sr-Cyrl-CS" w:bidi="sr-Cyrl-CS"/>
          <w14:ligatures w14:val="none"/>
        </w:rPr>
        <w:t xml:space="preserve"> Izrada i usvajanje Strategije razvoja sistema socijalne i dječije zaštite i Strategije deinstitucionalizacije.</w:t>
      </w:r>
    </w:p>
    <w:p w14:paraId="7E61F3E0" w14:textId="77B551AF" w:rsidR="007E1D6F" w:rsidRPr="007E1D6F" w:rsidRDefault="007E1D6F" w:rsidP="00FD3827">
      <w:pPr>
        <w:pStyle w:val="ListParagraph"/>
        <w:numPr>
          <w:ilvl w:val="0"/>
          <w:numId w:val="14"/>
        </w:numPr>
        <w:shd w:val="clear" w:color="auto" w:fill="FFFFFF"/>
        <w:spacing w:after="120"/>
        <w:jc w:val="both"/>
        <w:rPr>
          <w:rFonts w:eastAsia="Times New Roman" w:cstheme="minorHAnsi"/>
          <w:b/>
          <w:sz w:val="24"/>
          <w:szCs w:val="24"/>
        </w:rPr>
      </w:pPr>
      <w:r w:rsidRPr="007E1D6F">
        <w:rPr>
          <w:rFonts w:ascii="Calibri" w:eastAsia="Calibri" w:hAnsi="Calibri" w:cs="Calibri"/>
          <w:kern w:val="0"/>
          <w:sz w:val="24"/>
          <w:szCs w:val="24"/>
          <w:lang w:val="sr-Latn-RS" w:eastAsia="sr-Cyrl-CS" w:bidi="sr-Cyrl-CS"/>
          <w14:ligatures w14:val="none"/>
        </w:rPr>
        <w:t>Nastav</w:t>
      </w:r>
      <w:r w:rsidR="00030390">
        <w:rPr>
          <w:rFonts w:ascii="Calibri" w:eastAsia="Calibri" w:hAnsi="Calibri" w:cs="Calibri"/>
          <w:kern w:val="0"/>
          <w:sz w:val="24"/>
          <w:szCs w:val="24"/>
          <w:lang w:val="sr-Latn-RS" w:eastAsia="sr-Cyrl-CS" w:bidi="sr-Cyrl-CS"/>
          <w14:ligatures w14:val="none"/>
        </w:rPr>
        <w:t>ak</w:t>
      </w:r>
      <w:r w:rsidRPr="007E1D6F">
        <w:rPr>
          <w:rFonts w:ascii="Calibri" w:eastAsia="Calibri" w:hAnsi="Calibri" w:cs="Calibri"/>
          <w:kern w:val="0"/>
          <w:sz w:val="24"/>
          <w:szCs w:val="24"/>
          <w:lang w:val="sr-Latn-RS" w:eastAsia="sr-Cyrl-CS" w:bidi="sr-Cyrl-CS"/>
          <w14:ligatures w14:val="none"/>
        </w:rPr>
        <w:t xml:space="preserve"> unaprijeđiv</w:t>
      </w:r>
      <w:r w:rsidR="00030390">
        <w:rPr>
          <w:rFonts w:ascii="Calibri" w:eastAsia="Calibri" w:hAnsi="Calibri" w:cs="Calibri"/>
          <w:kern w:val="0"/>
          <w:sz w:val="24"/>
          <w:szCs w:val="24"/>
          <w:lang w:val="sr-Latn-RS" w:eastAsia="sr-Cyrl-CS" w:bidi="sr-Cyrl-CS"/>
          <w14:ligatures w14:val="none"/>
        </w:rPr>
        <w:t>anja</w:t>
      </w:r>
      <w:r w:rsidRPr="007E1D6F">
        <w:rPr>
          <w:rFonts w:ascii="Calibri" w:eastAsia="Calibri" w:hAnsi="Calibri" w:cs="Calibri"/>
          <w:kern w:val="0"/>
          <w:sz w:val="24"/>
          <w:szCs w:val="24"/>
          <w:lang w:val="sr-Latn-RS" w:eastAsia="sr-Cyrl-CS" w:bidi="sr-Cyrl-CS"/>
          <w14:ligatures w14:val="none"/>
        </w:rPr>
        <w:t xml:space="preserve"> koordinacij</w:t>
      </w:r>
      <w:r w:rsidR="00030390">
        <w:rPr>
          <w:rFonts w:ascii="Calibri" w:eastAsia="Calibri" w:hAnsi="Calibri" w:cs="Calibri"/>
          <w:kern w:val="0"/>
          <w:sz w:val="24"/>
          <w:szCs w:val="24"/>
          <w:lang w:val="sr-Latn-RS" w:eastAsia="sr-Cyrl-CS" w:bidi="sr-Cyrl-CS"/>
          <w14:ligatures w14:val="none"/>
        </w:rPr>
        <w:t>e</w:t>
      </w:r>
      <w:r w:rsidRPr="007E1D6F">
        <w:rPr>
          <w:rFonts w:ascii="Calibri" w:eastAsia="Calibri" w:hAnsi="Calibri" w:cs="Calibri"/>
          <w:kern w:val="0"/>
          <w:sz w:val="24"/>
          <w:szCs w:val="24"/>
          <w:lang w:val="sr-Latn-RS" w:eastAsia="sr-Cyrl-CS" w:bidi="sr-Cyrl-CS"/>
          <w14:ligatures w14:val="none"/>
        </w:rPr>
        <w:t xml:space="preserve"> i saradnj</w:t>
      </w:r>
      <w:r w:rsidR="00030390">
        <w:rPr>
          <w:rFonts w:ascii="Calibri" w:eastAsia="Calibri" w:hAnsi="Calibri" w:cs="Calibri"/>
          <w:kern w:val="0"/>
          <w:sz w:val="24"/>
          <w:szCs w:val="24"/>
          <w:lang w:val="sr-Latn-RS" w:eastAsia="sr-Cyrl-CS" w:bidi="sr-Cyrl-CS"/>
          <w14:ligatures w14:val="none"/>
        </w:rPr>
        <w:t>e</w:t>
      </w:r>
      <w:r w:rsidRPr="007E1D6F">
        <w:rPr>
          <w:rFonts w:ascii="Calibri" w:eastAsia="Calibri" w:hAnsi="Calibri" w:cs="Calibri"/>
          <w:kern w:val="0"/>
          <w:sz w:val="24"/>
          <w:szCs w:val="24"/>
          <w:lang w:val="sr-Latn-RS" w:eastAsia="sr-Cyrl-CS" w:bidi="sr-Cyrl-CS"/>
          <w14:ligatures w14:val="none"/>
        </w:rPr>
        <w:t xml:space="preserve"> MRSS, Centara za socijalni rad i pružaoca usluga i dalje unaprijeđenje kapaciteta za vođenje slučaja i upućivanja korisnika, MRSS</w:t>
      </w:r>
      <w:r>
        <w:rPr>
          <w:rFonts w:ascii="Calibri" w:eastAsia="Calibri" w:hAnsi="Calibri" w:cs="Calibri"/>
          <w:kern w:val="0"/>
          <w:sz w:val="24"/>
          <w:szCs w:val="24"/>
          <w:lang w:val="sr-Latn-RS" w:eastAsia="sr-Cyrl-CS" w:bidi="sr-Cyrl-CS"/>
          <w14:ligatures w14:val="none"/>
        </w:rPr>
        <w:t>.</w:t>
      </w:r>
    </w:p>
    <w:p w14:paraId="18458650" w14:textId="77777777" w:rsidR="00030390" w:rsidRDefault="0047326F" w:rsidP="00C83383">
      <w:pPr>
        <w:shd w:val="clear" w:color="auto" w:fill="FFFFFF"/>
        <w:spacing w:after="0"/>
        <w:ind w:left="408"/>
        <w:jc w:val="both"/>
        <w:rPr>
          <w:rFonts w:eastAsia="Times New Roman" w:cstheme="minorHAnsi"/>
          <w:b/>
          <w:sz w:val="24"/>
          <w:szCs w:val="24"/>
        </w:rPr>
      </w:pPr>
      <w:r w:rsidRPr="007E1D6F">
        <w:rPr>
          <w:rFonts w:eastAsia="Times New Roman" w:cstheme="minorHAnsi"/>
          <w:b/>
          <w:sz w:val="24"/>
          <w:szCs w:val="24"/>
        </w:rPr>
        <w:t>Aktivnosti planirane za 202</w:t>
      </w:r>
      <w:r w:rsidR="009F6F5F" w:rsidRPr="007E1D6F">
        <w:rPr>
          <w:rFonts w:eastAsia="Times New Roman" w:cstheme="minorHAnsi"/>
          <w:b/>
          <w:sz w:val="24"/>
          <w:szCs w:val="24"/>
        </w:rPr>
        <w:t>5</w:t>
      </w:r>
      <w:r w:rsidR="00A549FA" w:rsidRPr="007E1D6F">
        <w:rPr>
          <w:rFonts w:eastAsia="Times New Roman" w:cstheme="minorHAnsi"/>
          <w:b/>
          <w:sz w:val="24"/>
          <w:szCs w:val="24"/>
        </w:rPr>
        <w:t>.</w:t>
      </w:r>
    </w:p>
    <w:p w14:paraId="5F07867A" w14:textId="77777777" w:rsidR="00C83383" w:rsidRPr="00C83383" w:rsidRDefault="007E1D6F" w:rsidP="00C83383">
      <w:pPr>
        <w:pStyle w:val="ListParagraph"/>
        <w:numPr>
          <w:ilvl w:val="0"/>
          <w:numId w:val="20"/>
        </w:numPr>
        <w:shd w:val="clear" w:color="auto" w:fill="FFFFFF"/>
        <w:spacing w:after="0"/>
        <w:jc w:val="both"/>
        <w:rPr>
          <w:rFonts w:eastAsia="Times New Roman" w:cstheme="minorHAnsi"/>
          <w:b/>
          <w:sz w:val="24"/>
          <w:szCs w:val="24"/>
        </w:rPr>
      </w:pPr>
      <w:r w:rsidRPr="00030390">
        <w:rPr>
          <w:rFonts w:ascii="Calibri" w:eastAsia="Calibri" w:hAnsi="Calibri" w:cs="Calibri"/>
          <w:kern w:val="0"/>
          <w:sz w:val="24"/>
          <w:szCs w:val="24"/>
          <w:lang w:eastAsia="sr-Cyrl-CS" w:bidi="sr-Cyrl-CS"/>
          <w14:ligatures w14:val="none"/>
        </w:rPr>
        <w:t>Utvrđivanje minim</w:t>
      </w:r>
    </w:p>
    <w:p w14:paraId="683AA5B2" w14:textId="3B484839" w:rsidR="00030390" w:rsidRPr="00030390" w:rsidRDefault="007E1D6F" w:rsidP="00C83383">
      <w:pPr>
        <w:pStyle w:val="ListParagraph"/>
        <w:numPr>
          <w:ilvl w:val="0"/>
          <w:numId w:val="20"/>
        </w:numPr>
        <w:shd w:val="clear" w:color="auto" w:fill="FFFFFF"/>
        <w:spacing w:after="0"/>
        <w:jc w:val="both"/>
        <w:rPr>
          <w:rFonts w:eastAsia="Times New Roman" w:cstheme="minorHAnsi"/>
          <w:b/>
          <w:sz w:val="24"/>
          <w:szCs w:val="24"/>
        </w:rPr>
      </w:pPr>
      <w:r w:rsidRPr="00030390">
        <w:rPr>
          <w:rFonts w:ascii="Calibri" w:eastAsia="Calibri" w:hAnsi="Calibri" w:cs="Calibri"/>
          <w:kern w:val="0"/>
          <w:sz w:val="24"/>
          <w:szCs w:val="24"/>
          <w:lang w:eastAsia="sr-Cyrl-CS" w:bidi="sr-Cyrl-CS"/>
          <w14:ligatures w14:val="none"/>
        </w:rPr>
        <w:t>alnog paketa usluga socijalne i dječije zaštite, MRSS</w:t>
      </w:r>
    </w:p>
    <w:p w14:paraId="73208432" w14:textId="2D0CAFDB" w:rsidR="007E1D6F" w:rsidRPr="00030390" w:rsidRDefault="00C82B3B" w:rsidP="00FD3827">
      <w:pPr>
        <w:pStyle w:val="ListParagraph"/>
        <w:numPr>
          <w:ilvl w:val="0"/>
          <w:numId w:val="20"/>
        </w:numPr>
        <w:shd w:val="clear" w:color="auto" w:fill="FFFFFF"/>
        <w:spacing w:after="120"/>
        <w:jc w:val="both"/>
        <w:rPr>
          <w:rFonts w:eastAsia="Times New Roman" w:cstheme="minorHAnsi"/>
          <w:b/>
          <w:sz w:val="24"/>
          <w:szCs w:val="24"/>
        </w:rPr>
      </w:pPr>
      <w:r>
        <w:rPr>
          <w:rFonts w:ascii="Calibri" w:eastAsia="Calibri" w:hAnsi="Calibri" w:cs="Calibri"/>
          <w:kern w:val="0"/>
          <w:sz w:val="24"/>
          <w:szCs w:val="24"/>
          <w:lang w:eastAsia="sr-Cyrl-CS" w:bidi="sr-Cyrl-CS"/>
          <w14:ligatures w14:val="none"/>
        </w:rPr>
        <w:lastRenderedPageBreak/>
        <w:t xml:space="preserve">Kreirati paket </w:t>
      </w:r>
      <w:r w:rsidR="007E1D6F" w:rsidRPr="00030390">
        <w:rPr>
          <w:rFonts w:ascii="Calibri" w:eastAsia="Calibri" w:hAnsi="Calibri" w:cs="Calibri"/>
          <w:kern w:val="0"/>
          <w:sz w:val="24"/>
          <w:szCs w:val="24"/>
          <w:lang w:eastAsia="sr-Cyrl-CS" w:bidi="sr-Cyrl-CS"/>
          <w14:ligatures w14:val="none"/>
        </w:rPr>
        <w:t>usluga iz socijalne i dječje zaštite (npr. minimalni paket usluga za osobe s invaliditetom ili za starije osobe ili mlađu djecu) kako bi se obezbijedili lako upućivanje i pristup svim ključnim uslugama i na najbolji način odgovorilo potrebama korisnika.</w:t>
      </w:r>
      <w:r>
        <w:rPr>
          <w:rFonts w:ascii="Calibri" w:eastAsia="Calibri" w:hAnsi="Calibri" w:cs="Calibri"/>
          <w:kern w:val="0"/>
          <w:sz w:val="24"/>
          <w:szCs w:val="24"/>
          <w:lang w:eastAsia="sr-Cyrl-CS" w:bidi="sr-Cyrl-CS"/>
          <w14:ligatures w14:val="none"/>
        </w:rPr>
        <w:t xml:space="preserve"> </w:t>
      </w:r>
      <w:r w:rsidR="007E1D6F" w:rsidRPr="00030390">
        <w:rPr>
          <w:rFonts w:ascii="Calibri" w:eastAsia="Calibri" w:hAnsi="Calibri" w:cs="Calibri"/>
          <w:kern w:val="0"/>
          <w:sz w:val="24"/>
          <w:szCs w:val="24"/>
          <w:lang w:eastAsia="sr-Cyrl-CS" w:bidi="sr-Cyrl-CS"/>
          <w14:ligatures w14:val="none"/>
        </w:rPr>
        <w:t>MRSS</w:t>
      </w:r>
    </w:p>
    <w:p w14:paraId="24ED9E16" w14:textId="6186DC98" w:rsidR="0047326F" w:rsidRPr="00A549FA" w:rsidRDefault="0047326F" w:rsidP="0047326F">
      <w:pPr>
        <w:spacing w:before="120" w:after="60"/>
        <w:rPr>
          <w:rFonts w:eastAsia="Times New Roman" w:cstheme="minorHAnsi"/>
          <w:b/>
          <w:sz w:val="24"/>
          <w:szCs w:val="24"/>
        </w:rPr>
      </w:pPr>
      <w:r w:rsidRPr="00A549FA">
        <w:rPr>
          <w:rFonts w:eastAsia="Times New Roman" w:cstheme="minorHAnsi"/>
          <w:b/>
          <w:sz w:val="24"/>
          <w:szCs w:val="24"/>
        </w:rPr>
        <w:t>Aktivnosti planirane za 202</w:t>
      </w:r>
      <w:r w:rsidR="009F6F5F" w:rsidRPr="00A549FA">
        <w:rPr>
          <w:rFonts w:eastAsia="Times New Roman" w:cstheme="minorHAnsi"/>
          <w:b/>
          <w:sz w:val="24"/>
          <w:szCs w:val="24"/>
        </w:rPr>
        <w:t>6</w:t>
      </w:r>
      <w:r w:rsidR="00A549FA" w:rsidRPr="00A549FA">
        <w:rPr>
          <w:rFonts w:eastAsia="Times New Roman" w:cstheme="minorHAnsi"/>
          <w:b/>
          <w:sz w:val="24"/>
          <w:szCs w:val="24"/>
        </w:rPr>
        <w:t>.</w:t>
      </w:r>
    </w:p>
    <w:p w14:paraId="2E19A917" w14:textId="130372C0" w:rsidR="009F6F5F" w:rsidRPr="007E1D6F" w:rsidRDefault="009F6F5F" w:rsidP="00FD3827">
      <w:pPr>
        <w:pStyle w:val="ListParagraph"/>
        <w:widowControl w:val="0"/>
        <w:numPr>
          <w:ilvl w:val="0"/>
          <w:numId w:val="1"/>
        </w:numPr>
        <w:spacing w:after="0" w:line="240" w:lineRule="auto"/>
        <w:rPr>
          <w:rFonts w:ascii="Calibri" w:eastAsia="Calibri" w:hAnsi="Calibri" w:cs="Calibri"/>
          <w:kern w:val="0"/>
          <w:sz w:val="24"/>
          <w:szCs w:val="24"/>
          <w:lang w:eastAsia="sr-Cyrl-CS" w:bidi="sr-Cyrl-CS"/>
          <w14:ligatures w14:val="none"/>
        </w:rPr>
      </w:pPr>
      <w:r w:rsidRPr="00A549FA">
        <w:rPr>
          <w:rFonts w:ascii="Calibri" w:eastAsia="Calibri" w:hAnsi="Calibri" w:cs="Calibri"/>
          <w:kern w:val="0"/>
          <w:sz w:val="24"/>
          <w:szCs w:val="24"/>
          <w:lang w:eastAsia="sr-Cyrl-CS" w:bidi="sr-Cyrl-CS"/>
          <w14:ligatures w14:val="none"/>
        </w:rPr>
        <w:t>Uspostavljanje novih specijalizovanih usluga za žrtve rodno zasnovanog nasilja u skladu sa Istanbulskom konvencijom.</w:t>
      </w:r>
      <w:r w:rsidRPr="007E1D6F">
        <w:rPr>
          <w:rFonts w:ascii="Calibri" w:eastAsia="Calibri" w:hAnsi="Calibri" w:cs="Calibri"/>
          <w:kern w:val="0"/>
          <w:sz w:val="24"/>
          <w:szCs w:val="24"/>
          <w:lang w:eastAsia="sr-Cyrl-CS" w:bidi="sr-Cyrl-CS"/>
          <w14:ligatures w14:val="none"/>
        </w:rPr>
        <w:t xml:space="preserve"> </w:t>
      </w:r>
      <w:r w:rsidR="007E1D6F">
        <w:rPr>
          <w:rFonts w:ascii="Calibri" w:eastAsia="Calibri" w:hAnsi="Calibri" w:cs="Calibri"/>
          <w:kern w:val="0"/>
          <w:sz w:val="24"/>
          <w:szCs w:val="24"/>
          <w:lang w:eastAsia="sr-Cyrl-CS" w:bidi="sr-Cyrl-CS"/>
          <w14:ligatures w14:val="none"/>
        </w:rPr>
        <w:t>MRSS</w:t>
      </w:r>
    </w:p>
    <w:p w14:paraId="2978A5BB" w14:textId="77777777" w:rsidR="009F6F5F" w:rsidRPr="009F6F5F" w:rsidRDefault="009F6F5F" w:rsidP="009F6F5F">
      <w:pPr>
        <w:widowControl w:val="0"/>
        <w:spacing w:after="0" w:line="240" w:lineRule="auto"/>
        <w:rPr>
          <w:rFonts w:ascii="Calibri" w:eastAsia="Calibri" w:hAnsi="Calibri" w:cs="Calibri"/>
          <w:b/>
          <w:bCs/>
          <w:kern w:val="0"/>
          <w:lang w:val="sr-Latn-RS" w:eastAsia="sr-Cyrl-CS" w:bidi="sr-Cyrl-CS"/>
          <w14:ligatures w14:val="none"/>
        </w:rPr>
      </w:pPr>
    </w:p>
    <w:p w14:paraId="701C12DD" w14:textId="77777777" w:rsidR="00B254B5" w:rsidRPr="00B254B5" w:rsidRDefault="0047326F" w:rsidP="00B254B5">
      <w:pPr>
        <w:spacing w:before="120" w:after="60"/>
        <w:rPr>
          <w:rFonts w:eastAsia="Times New Roman" w:cstheme="minorHAnsi"/>
          <w:b/>
          <w:sz w:val="24"/>
          <w:szCs w:val="24"/>
        </w:rPr>
      </w:pPr>
      <w:r w:rsidRPr="00B254B5">
        <w:rPr>
          <w:rFonts w:eastAsia="Times New Roman" w:cstheme="minorHAnsi"/>
          <w:b/>
          <w:bCs/>
          <w:sz w:val="24"/>
          <w:szCs w:val="24"/>
        </w:rPr>
        <w:t xml:space="preserve">2. Indikatori rezultata. </w:t>
      </w:r>
    </w:p>
    <w:tbl>
      <w:tblPr>
        <w:tblStyle w:val="GridTable6Colorful-Accent5"/>
        <w:tblW w:w="9355" w:type="dxa"/>
        <w:tblLayout w:type="fixed"/>
        <w:tblLook w:val="04A0" w:firstRow="1" w:lastRow="0" w:firstColumn="1" w:lastColumn="0" w:noHBand="0" w:noVBand="1"/>
      </w:tblPr>
      <w:tblGrid>
        <w:gridCol w:w="2245"/>
        <w:gridCol w:w="2430"/>
        <w:gridCol w:w="2520"/>
        <w:gridCol w:w="2160"/>
      </w:tblGrid>
      <w:tr w:rsidR="008F177D" w:rsidRPr="008F177D" w14:paraId="2746E12A" w14:textId="77777777" w:rsidTr="00B21D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5" w:type="dxa"/>
          </w:tcPr>
          <w:p w14:paraId="000C929D" w14:textId="77777777" w:rsidR="00B254B5" w:rsidRPr="00082B85" w:rsidRDefault="00B254B5" w:rsidP="002F5656">
            <w:pPr>
              <w:jc w:val="center"/>
              <w:rPr>
                <w:rFonts w:ascii="Calibri" w:eastAsia="Calibri" w:hAnsi="Calibri" w:cs="Calibri"/>
                <w:b w:val="0"/>
                <w:color w:val="auto"/>
                <w:sz w:val="20"/>
                <w:szCs w:val="20"/>
                <w:lang w:val="sr-Latn-RS"/>
              </w:rPr>
            </w:pPr>
            <w:r w:rsidRPr="00082B85">
              <w:rPr>
                <w:rFonts w:ascii="Calibri" w:eastAsia="Calibri" w:hAnsi="Calibri" w:cs="Calibri"/>
                <w:color w:val="auto"/>
                <w:sz w:val="20"/>
                <w:szCs w:val="20"/>
                <w:lang w:val="sr-Latn-RS"/>
              </w:rPr>
              <w:t xml:space="preserve">Indikator </w:t>
            </w:r>
          </w:p>
        </w:tc>
        <w:tc>
          <w:tcPr>
            <w:tcW w:w="2430" w:type="dxa"/>
          </w:tcPr>
          <w:p w14:paraId="7D613AEB" w14:textId="77777777" w:rsidR="00B254B5" w:rsidRPr="00082B85" w:rsidRDefault="00B254B5" w:rsidP="002F5656">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lang w:val="sr-Latn-RS"/>
              </w:rPr>
            </w:pPr>
            <w:r w:rsidRPr="00082B85">
              <w:rPr>
                <w:rFonts w:ascii="Calibri" w:eastAsia="Calibri" w:hAnsi="Calibri" w:cs="Calibri"/>
                <w:color w:val="auto"/>
                <w:sz w:val="20"/>
                <w:szCs w:val="20"/>
                <w:lang w:val="sr-Latn-RS"/>
              </w:rPr>
              <w:t xml:space="preserve">Početna vrijednost </w:t>
            </w:r>
          </w:p>
          <w:p w14:paraId="161E37D2" w14:textId="57ECDF5A" w:rsidR="00B254B5" w:rsidRPr="00082B85" w:rsidRDefault="00B254B5" w:rsidP="002F5656">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lang w:val="sr-Latn-RS"/>
              </w:rPr>
            </w:pPr>
            <w:r w:rsidRPr="00082B85">
              <w:rPr>
                <w:rFonts w:ascii="Calibri" w:eastAsia="Calibri" w:hAnsi="Calibri" w:cs="Calibri"/>
                <w:color w:val="auto"/>
                <w:sz w:val="20"/>
                <w:szCs w:val="20"/>
                <w:lang w:val="sr-Latn-RS"/>
              </w:rPr>
              <w:t>202</w:t>
            </w:r>
            <w:r w:rsidR="008F177D" w:rsidRPr="00082B85">
              <w:rPr>
                <w:rFonts w:ascii="Calibri" w:eastAsia="Calibri" w:hAnsi="Calibri" w:cs="Calibri"/>
                <w:color w:val="auto"/>
                <w:sz w:val="20"/>
                <w:szCs w:val="20"/>
                <w:lang w:val="sr-Latn-RS"/>
              </w:rPr>
              <w:t>2</w:t>
            </w:r>
            <w:r w:rsidRPr="00082B85">
              <w:rPr>
                <w:rFonts w:ascii="Calibri" w:eastAsia="Calibri" w:hAnsi="Calibri" w:cs="Calibri"/>
                <w:color w:val="auto"/>
                <w:sz w:val="20"/>
                <w:szCs w:val="20"/>
                <w:lang w:val="sr-Latn-RS"/>
              </w:rPr>
              <w:t>. godina</w:t>
            </w:r>
          </w:p>
        </w:tc>
        <w:tc>
          <w:tcPr>
            <w:tcW w:w="2520" w:type="dxa"/>
          </w:tcPr>
          <w:p w14:paraId="20502A83" w14:textId="564A134E" w:rsidR="00B254B5" w:rsidRPr="00082B85" w:rsidRDefault="00B254B5" w:rsidP="002F5656">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lang w:val="sr-Latn-RS"/>
              </w:rPr>
            </w:pPr>
            <w:r w:rsidRPr="00082B85">
              <w:rPr>
                <w:rFonts w:ascii="Calibri" w:eastAsia="Calibri" w:hAnsi="Calibri" w:cs="Calibri"/>
                <w:color w:val="auto"/>
                <w:sz w:val="20"/>
                <w:szCs w:val="20"/>
                <w:lang w:val="sr-Latn-RS"/>
              </w:rPr>
              <w:t>Me</w:t>
            </w:r>
            <w:r w:rsidR="006143E7" w:rsidRPr="00082B85">
              <w:rPr>
                <w:rFonts w:ascii="Calibri" w:eastAsia="Calibri" w:hAnsi="Calibri" w:cs="Calibri"/>
                <w:color w:val="auto"/>
                <w:sz w:val="20"/>
                <w:szCs w:val="20"/>
                <w:lang w:val="sr-Latn-RS"/>
              </w:rPr>
              <w:t>đ</w:t>
            </w:r>
            <w:r w:rsidRPr="00082B85">
              <w:rPr>
                <w:rFonts w:ascii="Calibri" w:eastAsia="Calibri" w:hAnsi="Calibri" w:cs="Calibri"/>
                <w:color w:val="auto"/>
                <w:sz w:val="20"/>
                <w:szCs w:val="20"/>
                <w:lang w:val="sr-Latn-RS"/>
              </w:rPr>
              <w:t>urezultat</w:t>
            </w:r>
          </w:p>
          <w:p w14:paraId="3E7BB869" w14:textId="77777777" w:rsidR="00B254B5" w:rsidRPr="00082B85" w:rsidRDefault="00B254B5" w:rsidP="002F5656">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lang w:val="sr-Latn-RS"/>
              </w:rPr>
            </w:pPr>
            <w:r w:rsidRPr="00082B85">
              <w:rPr>
                <w:rFonts w:ascii="Calibri" w:eastAsia="Calibri" w:hAnsi="Calibri" w:cs="Calibri"/>
                <w:color w:val="auto"/>
                <w:sz w:val="20"/>
                <w:szCs w:val="20"/>
                <w:lang w:val="sr-Latn-RS"/>
              </w:rPr>
              <w:t>2025. godina</w:t>
            </w:r>
          </w:p>
        </w:tc>
        <w:tc>
          <w:tcPr>
            <w:tcW w:w="2160" w:type="dxa"/>
          </w:tcPr>
          <w:p w14:paraId="2B5E5F4D" w14:textId="77777777" w:rsidR="00B254B5" w:rsidRPr="00082B85" w:rsidRDefault="00B254B5" w:rsidP="002F5656">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lang w:val="sr-Latn-RS"/>
              </w:rPr>
            </w:pPr>
            <w:r w:rsidRPr="00082B85">
              <w:rPr>
                <w:rFonts w:ascii="Calibri" w:eastAsia="Calibri" w:hAnsi="Calibri" w:cs="Calibri"/>
                <w:color w:val="auto"/>
                <w:sz w:val="20"/>
                <w:szCs w:val="20"/>
                <w:lang w:val="sr-Latn-RS"/>
              </w:rPr>
              <w:t>Ciljna vrijednost</w:t>
            </w:r>
          </w:p>
          <w:p w14:paraId="5E7AC791" w14:textId="77777777" w:rsidR="00B254B5" w:rsidRPr="00082B85" w:rsidRDefault="00B254B5" w:rsidP="002F5656">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lang w:val="sr-Latn-RS"/>
              </w:rPr>
            </w:pPr>
            <w:r w:rsidRPr="00082B85">
              <w:rPr>
                <w:rFonts w:ascii="Calibri" w:eastAsia="Calibri" w:hAnsi="Calibri" w:cs="Calibri"/>
                <w:color w:val="auto"/>
                <w:sz w:val="20"/>
                <w:szCs w:val="20"/>
                <w:lang w:val="sr-Latn-RS"/>
              </w:rPr>
              <w:t>2026. godina</w:t>
            </w:r>
          </w:p>
        </w:tc>
      </w:tr>
      <w:tr w:rsidR="00BA6C33" w:rsidRPr="00BA6C33" w14:paraId="279A38C0" w14:textId="77777777" w:rsidTr="00B21D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5" w:type="dxa"/>
            <w:hideMark/>
          </w:tcPr>
          <w:p w14:paraId="7FB03C6A" w14:textId="77777777" w:rsidR="00BA6C33" w:rsidRPr="00321672" w:rsidRDefault="00BA6C33">
            <w:pPr>
              <w:rPr>
                <w:rFonts w:cstheme="minorHAnsi"/>
                <w:b w:val="0"/>
                <w:bCs w:val="0"/>
                <w:sz w:val="20"/>
                <w:szCs w:val="20"/>
                <w:lang w:val="sr-Latn-RS"/>
              </w:rPr>
            </w:pPr>
            <w:r w:rsidRPr="00321672">
              <w:rPr>
                <w:rFonts w:cstheme="minorHAnsi"/>
                <w:b w:val="0"/>
                <w:bCs w:val="0"/>
                <w:color w:val="auto"/>
                <w:sz w:val="20"/>
                <w:szCs w:val="20"/>
                <w:lang w:val="sr-Latn-RS"/>
              </w:rPr>
              <w:t>Broj razvijenih usluga i licenciranih pru</w:t>
            </w:r>
            <w:r w:rsidRPr="00321672">
              <w:rPr>
                <w:rFonts w:cstheme="minorHAnsi"/>
                <w:b w:val="0"/>
                <w:bCs w:val="0"/>
                <w:color w:val="auto"/>
                <w:sz w:val="20"/>
                <w:szCs w:val="20"/>
                <w:lang w:val="sr-Latn-ME"/>
              </w:rPr>
              <w:t xml:space="preserve">žaoca </w:t>
            </w:r>
            <w:r w:rsidRPr="00321672">
              <w:rPr>
                <w:rFonts w:cstheme="minorHAnsi"/>
                <w:b w:val="0"/>
                <w:bCs w:val="0"/>
                <w:color w:val="auto"/>
                <w:sz w:val="20"/>
                <w:szCs w:val="20"/>
                <w:lang w:val="sr-Latn-RS"/>
              </w:rPr>
              <w:t>socijalne i dječije zaštite</w:t>
            </w:r>
          </w:p>
        </w:tc>
        <w:tc>
          <w:tcPr>
            <w:tcW w:w="2430" w:type="dxa"/>
            <w:hideMark/>
          </w:tcPr>
          <w:p w14:paraId="270A9E4D" w14:textId="77777777" w:rsidR="00BA6C33" w:rsidRPr="00BA6C33" w:rsidRDefault="00BA6C33">
            <w:pPr>
              <w:cnfStyle w:val="000000100000" w:firstRow="0" w:lastRow="0" w:firstColumn="0" w:lastColumn="0" w:oddVBand="0" w:evenVBand="0" w:oddHBand="1" w:evenHBand="0" w:firstRowFirstColumn="0" w:firstRowLastColumn="0" w:lastRowFirstColumn="0" w:lastRowLastColumn="0"/>
              <w:rPr>
                <w:rFonts w:cstheme="minorHAnsi"/>
                <w:bCs/>
                <w:color w:val="auto"/>
                <w:sz w:val="20"/>
                <w:szCs w:val="20"/>
                <w:lang w:val="sr-Latn-RS"/>
              </w:rPr>
            </w:pPr>
            <w:r w:rsidRPr="00BA6C33">
              <w:rPr>
                <w:rFonts w:cstheme="minorHAnsi"/>
                <w:bCs/>
                <w:color w:val="auto"/>
                <w:sz w:val="20"/>
                <w:szCs w:val="20"/>
                <w:lang w:val="sr-Latn-RS"/>
              </w:rPr>
              <w:t>Trenutni broj pružaoca i usluga 116</w:t>
            </w:r>
          </w:p>
        </w:tc>
        <w:tc>
          <w:tcPr>
            <w:tcW w:w="2520" w:type="dxa"/>
            <w:hideMark/>
          </w:tcPr>
          <w:p w14:paraId="5D67CA1C" w14:textId="77777777" w:rsidR="00BA6C33" w:rsidRPr="00BA6C33" w:rsidRDefault="00BA6C33">
            <w:pPr>
              <w:cnfStyle w:val="000000100000" w:firstRow="0" w:lastRow="0" w:firstColumn="0" w:lastColumn="0" w:oddVBand="0" w:evenVBand="0" w:oddHBand="1" w:evenHBand="0" w:firstRowFirstColumn="0" w:firstRowLastColumn="0" w:lastRowFirstColumn="0" w:lastRowLastColumn="0"/>
              <w:rPr>
                <w:rFonts w:cstheme="minorHAnsi"/>
                <w:bCs/>
                <w:color w:val="auto"/>
                <w:sz w:val="20"/>
                <w:szCs w:val="20"/>
                <w:lang w:val="sr-Latn-RS"/>
              </w:rPr>
            </w:pPr>
            <w:r w:rsidRPr="00BA6C33">
              <w:rPr>
                <w:rFonts w:cstheme="minorHAnsi"/>
                <w:bCs/>
                <w:color w:val="auto"/>
                <w:sz w:val="20"/>
                <w:szCs w:val="20"/>
                <w:lang w:val="sr-Latn-RS"/>
              </w:rPr>
              <w:t>Uvedeno novih usluga 3</w:t>
            </w:r>
          </w:p>
        </w:tc>
        <w:tc>
          <w:tcPr>
            <w:tcW w:w="2160" w:type="dxa"/>
            <w:hideMark/>
          </w:tcPr>
          <w:p w14:paraId="71C181B7" w14:textId="77777777" w:rsidR="00BA6C33" w:rsidRPr="00BA6C33" w:rsidRDefault="00BA6C33">
            <w:pPr>
              <w:cnfStyle w:val="000000100000" w:firstRow="0" w:lastRow="0" w:firstColumn="0" w:lastColumn="0" w:oddVBand="0" w:evenVBand="0" w:oddHBand="1" w:evenHBand="0" w:firstRowFirstColumn="0" w:firstRowLastColumn="0" w:lastRowFirstColumn="0" w:lastRowLastColumn="0"/>
              <w:rPr>
                <w:rFonts w:cstheme="minorHAnsi"/>
                <w:bCs/>
                <w:color w:val="auto"/>
                <w:sz w:val="20"/>
                <w:szCs w:val="20"/>
                <w:lang w:val="sr-Latn-RS"/>
              </w:rPr>
            </w:pPr>
            <w:r w:rsidRPr="00BA6C33">
              <w:rPr>
                <w:rFonts w:cstheme="minorHAnsi"/>
                <w:bCs/>
                <w:color w:val="auto"/>
                <w:sz w:val="20"/>
                <w:szCs w:val="20"/>
                <w:lang w:val="sr-Latn-RS"/>
              </w:rPr>
              <w:t>Uvedeno novih usluga 5</w:t>
            </w:r>
          </w:p>
        </w:tc>
      </w:tr>
      <w:tr w:rsidR="008F177D" w:rsidRPr="008F177D" w14:paraId="6D1CDF60" w14:textId="77777777" w:rsidTr="00B21D39">
        <w:tc>
          <w:tcPr>
            <w:cnfStyle w:val="001000000000" w:firstRow="0" w:lastRow="0" w:firstColumn="1" w:lastColumn="0" w:oddVBand="0" w:evenVBand="0" w:oddHBand="0" w:evenHBand="0" w:firstRowFirstColumn="0" w:firstRowLastColumn="0" w:lastRowFirstColumn="0" w:lastRowLastColumn="0"/>
            <w:tcW w:w="2245" w:type="dxa"/>
          </w:tcPr>
          <w:p w14:paraId="56A21E67" w14:textId="74373DDB" w:rsidR="007E1D6F" w:rsidRPr="008F177D" w:rsidRDefault="007E1D6F" w:rsidP="007E1D6F">
            <w:pPr>
              <w:tabs>
                <w:tab w:val="left" w:pos="3285"/>
              </w:tabs>
              <w:rPr>
                <w:rFonts w:cstheme="minorHAnsi"/>
                <w:b w:val="0"/>
                <w:bCs w:val="0"/>
                <w:color w:val="auto"/>
                <w:sz w:val="20"/>
                <w:szCs w:val="20"/>
                <w:lang w:val="sr-Latn-RS"/>
              </w:rPr>
            </w:pPr>
          </w:p>
          <w:p w14:paraId="44B8274B" w14:textId="24753BB2" w:rsidR="007E1D6F" w:rsidRPr="008F177D" w:rsidRDefault="007E1D6F" w:rsidP="007E1D6F">
            <w:pPr>
              <w:tabs>
                <w:tab w:val="left" w:pos="3285"/>
              </w:tabs>
              <w:rPr>
                <w:rFonts w:ascii="Calibri" w:eastAsia="Calibri" w:hAnsi="Calibri" w:cs="Calibri"/>
                <w:b w:val="0"/>
                <w:bCs w:val="0"/>
                <w:color w:val="auto"/>
                <w:lang w:val="sr-Latn-RS"/>
              </w:rPr>
            </w:pPr>
            <w:r w:rsidRPr="008F177D">
              <w:rPr>
                <w:rFonts w:cs="Calibri"/>
                <w:b w:val="0"/>
                <w:bCs w:val="0"/>
                <w:color w:val="auto"/>
                <w:sz w:val="20"/>
                <w:szCs w:val="20"/>
                <w:lang w:val="sr-Latn-RS"/>
              </w:rPr>
              <w:t>Broj  stručnih radnika u centrima za socijalni rad</w:t>
            </w:r>
          </w:p>
        </w:tc>
        <w:tc>
          <w:tcPr>
            <w:tcW w:w="2430" w:type="dxa"/>
          </w:tcPr>
          <w:p w14:paraId="07A10B8C" w14:textId="77777777" w:rsidR="007E1D6F" w:rsidRPr="008F177D" w:rsidRDefault="007E1D6F" w:rsidP="007E1D6F">
            <w:pPr>
              <w:cnfStyle w:val="000000000000" w:firstRow="0" w:lastRow="0" w:firstColumn="0" w:lastColumn="0" w:oddVBand="0" w:evenVBand="0" w:oddHBand="0" w:evenHBand="0" w:firstRowFirstColumn="0" w:firstRowLastColumn="0" w:lastRowFirstColumn="0" w:lastRowLastColumn="0"/>
              <w:rPr>
                <w:rFonts w:cstheme="minorHAnsi"/>
                <w:bCs/>
                <w:color w:val="auto"/>
                <w:sz w:val="20"/>
                <w:szCs w:val="20"/>
                <w:lang w:val="sr-Latn-RS"/>
              </w:rPr>
            </w:pPr>
          </w:p>
          <w:p w14:paraId="67C84B73" w14:textId="65DC0DA9" w:rsidR="007E1D6F" w:rsidRPr="008F177D" w:rsidRDefault="00BA6C33" w:rsidP="007E1D6F">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color w:val="auto"/>
                <w:lang w:val="sr-Latn-RS"/>
              </w:rPr>
            </w:pPr>
            <w:r>
              <w:rPr>
                <w:rFonts w:ascii="Calibri" w:eastAsia="Calibri" w:hAnsi="Calibri" w:cs="Calibri"/>
                <w:bCs/>
                <w:color w:val="auto"/>
                <w:lang w:val="sr-Latn-RS"/>
              </w:rPr>
              <w:t>203</w:t>
            </w:r>
          </w:p>
        </w:tc>
        <w:tc>
          <w:tcPr>
            <w:tcW w:w="2520" w:type="dxa"/>
          </w:tcPr>
          <w:p w14:paraId="0A163009" w14:textId="77777777" w:rsidR="00BA6C33" w:rsidRDefault="00BA6C33" w:rsidP="007E1D6F">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color w:val="auto"/>
                <w:lang w:val="sr-Latn-RS"/>
              </w:rPr>
            </w:pPr>
          </w:p>
          <w:p w14:paraId="0A036780" w14:textId="18DA4F05" w:rsidR="007E1D6F" w:rsidRPr="008F177D" w:rsidRDefault="00BA6C33" w:rsidP="007E1D6F">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color w:val="auto"/>
                <w:lang w:val="sr-Latn-RS"/>
              </w:rPr>
            </w:pPr>
            <w:r>
              <w:rPr>
                <w:rFonts w:ascii="Calibri" w:eastAsia="Calibri" w:hAnsi="Calibri" w:cs="Calibri"/>
                <w:bCs/>
                <w:color w:val="auto"/>
                <w:lang w:val="sr-Latn-RS"/>
              </w:rPr>
              <w:t>223</w:t>
            </w:r>
          </w:p>
        </w:tc>
        <w:tc>
          <w:tcPr>
            <w:tcW w:w="2160" w:type="dxa"/>
          </w:tcPr>
          <w:p w14:paraId="2434C28C" w14:textId="77777777" w:rsidR="00BA6C33" w:rsidRDefault="00BA6C33" w:rsidP="007E1D6F">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color w:val="auto"/>
                <w:lang w:val="sr-Latn-RS"/>
              </w:rPr>
            </w:pPr>
          </w:p>
          <w:p w14:paraId="3FA6627B" w14:textId="103D8C1C" w:rsidR="007E1D6F" w:rsidRPr="008F177D" w:rsidRDefault="00BA6C33" w:rsidP="007E1D6F">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color w:val="auto"/>
                <w:lang w:val="sr-Latn-RS"/>
              </w:rPr>
            </w:pPr>
            <w:r>
              <w:rPr>
                <w:rFonts w:ascii="Calibri" w:eastAsia="Calibri" w:hAnsi="Calibri" w:cs="Calibri"/>
                <w:bCs/>
                <w:color w:val="auto"/>
                <w:lang w:val="sr-Latn-RS"/>
              </w:rPr>
              <w:t>243</w:t>
            </w:r>
          </w:p>
        </w:tc>
      </w:tr>
      <w:tr w:rsidR="008F177D" w:rsidRPr="008F177D" w14:paraId="5CCF73F7" w14:textId="77777777" w:rsidTr="00B21D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5" w:type="dxa"/>
          </w:tcPr>
          <w:p w14:paraId="429B4079" w14:textId="698898B5" w:rsidR="007E1D6F" w:rsidRPr="008F177D" w:rsidRDefault="007E1D6F" w:rsidP="007E1D6F">
            <w:pPr>
              <w:tabs>
                <w:tab w:val="left" w:pos="3285"/>
              </w:tabs>
              <w:rPr>
                <w:rFonts w:ascii="Calibri" w:eastAsia="Calibri" w:hAnsi="Calibri" w:cs="Calibri"/>
                <w:b w:val="0"/>
                <w:bCs w:val="0"/>
                <w:color w:val="auto"/>
                <w:lang w:val="sr-Latn-RS"/>
              </w:rPr>
            </w:pPr>
            <w:r w:rsidRPr="008F177D">
              <w:rPr>
                <w:rFonts w:cstheme="minorHAnsi"/>
                <w:b w:val="0"/>
                <w:bCs w:val="0"/>
                <w:color w:val="auto"/>
                <w:sz w:val="20"/>
                <w:szCs w:val="20"/>
                <w:lang w:val="sr-Latn-RS"/>
              </w:rPr>
              <w:t>Stopa rizika od siromaštva (%)</w:t>
            </w:r>
          </w:p>
        </w:tc>
        <w:tc>
          <w:tcPr>
            <w:tcW w:w="2430" w:type="dxa"/>
          </w:tcPr>
          <w:p w14:paraId="590540BD" w14:textId="610F6F04" w:rsidR="007E1D6F" w:rsidRPr="008F177D" w:rsidRDefault="008F177D" w:rsidP="007E1D6F">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color w:val="auto"/>
                <w:lang w:val="sr-Latn-RS"/>
              </w:rPr>
            </w:pPr>
            <w:r>
              <w:rPr>
                <w:rFonts w:ascii="Calibri" w:eastAsia="Calibri" w:hAnsi="Calibri" w:cs="Calibri"/>
                <w:bCs/>
                <w:color w:val="auto"/>
                <w:lang w:val="sr-Latn-RS"/>
              </w:rPr>
              <w:t>20,3</w:t>
            </w:r>
          </w:p>
        </w:tc>
        <w:tc>
          <w:tcPr>
            <w:tcW w:w="2520" w:type="dxa"/>
          </w:tcPr>
          <w:p w14:paraId="39918A3F" w14:textId="70249D42" w:rsidR="007E1D6F" w:rsidRPr="008F177D" w:rsidRDefault="008F177D" w:rsidP="007E1D6F">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color w:val="auto"/>
                <w:lang w:val="sr-Latn-RS"/>
              </w:rPr>
            </w:pPr>
            <w:r>
              <w:rPr>
                <w:rFonts w:ascii="Calibri" w:eastAsia="Calibri" w:hAnsi="Calibri" w:cs="Calibri"/>
                <w:bCs/>
                <w:color w:val="auto"/>
                <w:lang w:val="sr-Latn-RS"/>
              </w:rPr>
              <w:t>19,2</w:t>
            </w:r>
          </w:p>
        </w:tc>
        <w:tc>
          <w:tcPr>
            <w:tcW w:w="2160" w:type="dxa"/>
          </w:tcPr>
          <w:p w14:paraId="1F7168D5" w14:textId="0B9B4746" w:rsidR="007E1D6F" w:rsidRPr="008F177D" w:rsidRDefault="008F177D" w:rsidP="007E1D6F">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color w:val="auto"/>
                <w:lang w:val="sr-Latn-RS"/>
              </w:rPr>
            </w:pPr>
            <w:r>
              <w:rPr>
                <w:rFonts w:ascii="Calibri" w:eastAsia="Calibri" w:hAnsi="Calibri" w:cs="Calibri"/>
                <w:bCs/>
                <w:color w:val="auto"/>
                <w:lang w:val="sr-Latn-RS"/>
              </w:rPr>
              <w:t>18,6</w:t>
            </w:r>
          </w:p>
        </w:tc>
      </w:tr>
    </w:tbl>
    <w:p w14:paraId="7EC85889" w14:textId="77777777" w:rsidR="0047326F" w:rsidRPr="00701428" w:rsidRDefault="0047326F" w:rsidP="00701428">
      <w:pPr>
        <w:spacing w:before="120" w:after="60"/>
        <w:jc w:val="both"/>
        <w:rPr>
          <w:rFonts w:eastAsia="Times New Roman" w:cstheme="minorHAnsi"/>
          <w:bCs/>
          <w:sz w:val="24"/>
          <w:szCs w:val="24"/>
        </w:rPr>
      </w:pPr>
      <w:r w:rsidRPr="00701428">
        <w:rPr>
          <w:rFonts w:eastAsia="Times New Roman" w:cstheme="minorHAnsi"/>
          <w:b/>
          <w:bCs/>
          <w:sz w:val="24"/>
          <w:szCs w:val="24"/>
        </w:rPr>
        <w:t>3. Očekivani uticaj na konkurentnost.</w:t>
      </w:r>
      <w:r w:rsidRPr="00701428">
        <w:rPr>
          <w:rFonts w:eastAsia="Times New Roman" w:cstheme="minorHAnsi"/>
          <w:b/>
          <w:sz w:val="24"/>
          <w:szCs w:val="24"/>
        </w:rPr>
        <w:t xml:space="preserve"> </w:t>
      </w:r>
      <w:r w:rsidRPr="00701428">
        <w:rPr>
          <w:rFonts w:eastAsia="Times New Roman" w:cstheme="minorHAnsi"/>
          <w:bCs/>
          <w:sz w:val="24"/>
          <w:szCs w:val="24"/>
        </w:rPr>
        <w:t>Boljim ciljanjem i obuhvatom materijalnih davanja i socijalnih usluga smanjuje siromaštvo (ne samo dohodovno nego i višestruko) i nejednakost, što ujedno predstavlja dugoročno ulaganje u ljudski kapital i produktivnost stanovništva. Konkurentnost se dodatno postiže i kroz podršku porodicama u pristupu socijalnim uslugama koje im omogućavaju veći stepen izlaznosti na tržište rada i doprinosu ekonomiji.</w:t>
      </w:r>
    </w:p>
    <w:p w14:paraId="66F98BE3" w14:textId="1017EA2B" w:rsidR="0047326F" w:rsidRPr="00701428" w:rsidRDefault="0047326F" w:rsidP="00701428">
      <w:pPr>
        <w:spacing w:before="120" w:after="60"/>
        <w:jc w:val="both"/>
        <w:rPr>
          <w:rFonts w:eastAsia="Times New Roman" w:cstheme="minorHAnsi"/>
          <w:bCs/>
          <w:sz w:val="24"/>
          <w:szCs w:val="24"/>
        </w:rPr>
      </w:pPr>
      <w:r w:rsidRPr="00701428">
        <w:rPr>
          <w:rFonts w:eastAsia="Times New Roman" w:cstheme="minorHAnsi"/>
          <w:b/>
          <w:sz w:val="24"/>
          <w:szCs w:val="24"/>
        </w:rPr>
        <w:t>4.</w:t>
      </w:r>
      <w:r w:rsidRPr="00701428">
        <w:rPr>
          <w:rFonts w:eastAsia="Times New Roman" w:cstheme="minorHAnsi"/>
          <w:b/>
          <w:bCs/>
          <w:sz w:val="24"/>
          <w:szCs w:val="24"/>
        </w:rPr>
        <w:t xml:space="preserve"> Procijenjeni troškovi sprovođenja reformske mjere i predviđeni izvori njihovog finansiranja.</w:t>
      </w:r>
      <w:r w:rsidRPr="00701428">
        <w:rPr>
          <w:rFonts w:eastAsia="Times New Roman" w:cstheme="minorHAnsi"/>
          <w:b/>
          <w:sz w:val="24"/>
          <w:szCs w:val="24"/>
          <w:lang w:val="sr-Latn-RS"/>
        </w:rPr>
        <w:t xml:space="preserve"> </w:t>
      </w:r>
      <w:r w:rsidRPr="00701428">
        <w:rPr>
          <w:rFonts w:eastAsia="Times New Roman" w:cstheme="minorHAnsi"/>
          <w:bCs/>
          <w:sz w:val="24"/>
          <w:szCs w:val="24"/>
          <w:lang w:val="sr-Latn-RS"/>
        </w:rPr>
        <w:t xml:space="preserve">Procijenjeni </w:t>
      </w:r>
      <w:r w:rsidR="00701428" w:rsidRPr="00701428">
        <w:rPr>
          <w:rFonts w:eastAsia="Times New Roman" w:cstheme="minorHAnsi"/>
          <w:bCs/>
          <w:sz w:val="24"/>
          <w:szCs w:val="24"/>
          <w:lang w:val="sr-Latn-RS"/>
        </w:rPr>
        <w:t xml:space="preserve">dodatni  za implementaciju mjere </w:t>
      </w:r>
      <w:r w:rsidRPr="00701428">
        <w:rPr>
          <w:rFonts w:eastAsia="Times New Roman" w:cstheme="minorHAnsi"/>
          <w:bCs/>
          <w:sz w:val="24"/>
          <w:szCs w:val="24"/>
          <w:lang w:val="sr-Latn-RS"/>
        </w:rPr>
        <w:t>prikazani</w:t>
      </w:r>
      <w:r w:rsidR="00701428" w:rsidRPr="00701428">
        <w:rPr>
          <w:rFonts w:eastAsia="Times New Roman" w:cstheme="minorHAnsi"/>
          <w:bCs/>
          <w:sz w:val="24"/>
          <w:szCs w:val="24"/>
          <w:lang w:val="sr-Latn-RS"/>
        </w:rPr>
        <w:t xml:space="preserve"> su</w:t>
      </w:r>
      <w:r w:rsidRPr="00701428">
        <w:rPr>
          <w:rFonts w:eastAsia="Times New Roman" w:cstheme="minorHAnsi"/>
          <w:bCs/>
          <w:sz w:val="24"/>
          <w:szCs w:val="24"/>
          <w:lang w:val="sr-Latn-RS"/>
        </w:rPr>
        <w:t xml:space="preserve"> u tabel</w:t>
      </w:r>
      <w:r w:rsidR="00701428" w:rsidRPr="00701428">
        <w:rPr>
          <w:rFonts w:eastAsia="Times New Roman" w:cstheme="minorHAnsi"/>
          <w:bCs/>
          <w:sz w:val="24"/>
          <w:szCs w:val="24"/>
          <w:lang w:val="sr-Latn-RS"/>
        </w:rPr>
        <w:t>ama</w:t>
      </w:r>
      <w:r w:rsidRPr="00701428">
        <w:rPr>
          <w:rFonts w:eastAsia="Times New Roman" w:cstheme="minorHAnsi"/>
          <w:bCs/>
          <w:sz w:val="24"/>
          <w:szCs w:val="24"/>
          <w:lang w:val="sr-Latn-RS"/>
        </w:rPr>
        <w:t xml:space="preserve"> 10a</w:t>
      </w:r>
      <w:r w:rsidR="00701428" w:rsidRPr="00701428">
        <w:rPr>
          <w:rFonts w:eastAsia="Times New Roman" w:cstheme="minorHAnsi"/>
          <w:bCs/>
          <w:sz w:val="24"/>
          <w:szCs w:val="24"/>
          <w:lang w:val="sr-Latn-RS"/>
        </w:rPr>
        <w:t xml:space="preserve"> i 10b. Iznosiće 150.000 eura u 2024.godini i finansiraće se iz budžeta države. U 2025</w:t>
      </w:r>
      <w:r w:rsidR="00E03F64">
        <w:rPr>
          <w:rFonts w:eastAsia="Times New Roman" w:cstheme="minorHAnsi"/>
          <w:bCs/>
          <w:sz w:val="24"/>
          <w:szCs w:val="24"/>
          <w:lang w:val="sr-Latn-RS"/>
        </w:rPr>
        <w:t>. i 2026</w:t>
      </w:r>
      <w:r w:rsidR="00701428" w:rsidRPr="00701428">
        <w:rPr>
          <w:rFonts w:eastAsia="Times New Roman" w:cstheme="minorHAnsi"/>
          <w:bCs/>
          <w:sz w:val="24"/>
          <w:szCs w:val="24"/>
          <w:lang w:val="sr-Latn-RS"/>
        </w:rPr>
        <w:t>.</w:t>
      </w:r>
      <w:r w:rsidR="00732B08">
        <w:rPr>
          <w:rFonts w:eastAsia="Times New Roman" w:cstheme="minorHAnsi"/>
          <w:bCs/>
          <w:sz w:val="24"/>
          <w:szCs w:val="24"/>
          <w:lang w:val="sr-Latn-RS"/>
        </w:rPr>
        <w:t xml:space="preserve"> </w:t>
      </w:r>
      <w:r w:rsidR="00701428" w:rsidRPr="00701428">
        <w:rPr>
          <w:rFonts w:eastAsia="Times New Roman" w:cstheme="minorHAnsi"/>
          <w:bCs/>
          <w:sz w:val="24"/>
          <w:szCs w:val="24"/>
          <w:lang w:val="sr-Latn-RS"/>
        </w:rPr>
        <w:t xml:space="preserve">godini će iznositi </w:t>
      </w:r>
      <w:r w:rsidR="00E03F64">
        <w:rPr>
          <w:rFonts w:eastAsia="Times New Roman" w:cstheme="minorHAnsi"/>
          <w:bCs/>
          <w:sz w:val="24"/>
          <w:szCs w:val="24"/>
          <w:lang w:val="sr-Latn-RS"/>
        </w:rPr>
        <w:t>po</w:t>
      </w:r>
      <w:r w:rsidR="00701428" w:rsidRPr="00701428">
        <w:rPr>
          <w:rFonts w:eastAsia="Times New Roman" w:cstheme="minorHAnsi"/>
          <w:bCs/>
          <w:sz w:val="24"/>
          <w:szCs w:val="24"/>
          <w:lang w:val="sr-Latn-RS"/>
        </w:rPr>
        <w:t xml:space="preserve"> 151.200 biti finansirana iz budžeta države, a ostatak iz IPA fondova. Dodatni trošak finansiranja implementacije mjere u 2025. će iznositi 151.200 eura i biće pokriven iz budžeta.</w:t>
      </w:r>
    </w:p>
    <w:p w14:paraId="0E7867A6" w14:textId="717FB3C4" w:rsidR="0047326F" w:rsidRPr="00AC4F59" w:rsidRDefault="0047326F" w:rsidP="00AC4F59">
      <w:pPr>
        <w:jc w:val="both"/>
        <w:rPr>
          <w:rFonts w:ascii="Calibri" w:eastAsia="Calibri" w:hAnsi="Calibri" w:cs="Calibri"/>
          <w:kern w:val="0"/>
          <w:sz w:val="24"/>
          <w:szCs w:val="24"/>
          <w:lang w:val="sr-Latn-RS" w:eastAsia="sr-Cyrl-CS" w:bidi="sr-Cyrl-CS"/>
          <w14:ligatures w14:val="none"/>
        </w:rPr>
      </w:pPr>
      <w:r w:rsidRPr="00701428">
        <w:rPr>
          <w:rFonts w:eastAsia="Times New Roman" w:cstheme="minorHAnsi"/>
          <w:b/>
          <w:bCs/>
          <w:sz w:val="24"/>
          <w:szCs w:val="24"/>
        </w:rPr>
        <w:t xml:space="preserve">5. Očekivani uticaj na socijalne ciljeve, kao što su zaposlenost, smanjenje siromaštva, jednakost, rodnu ravnopravnost i pristup zdravstvenoj zaštiti. </w:t>
      </w:r>
      <w:r w:rsidR="00701428" w:rsidRPr="00701428">
        <w:rPr>
          <w:rFonts w:ascii="Calibri" w:eastAsia="Calibri" w:hAnsi="Calibri" w:cs="Calibri"/>
          <w:kern w:val="0"/>
          <w:sz w:val="24"/>
          <w:szCs w:val="24"/>
          <w:lang w:val="sr-Latn-RS" w:eastAsia="sr-Cyrl-CS" w:bidi="sr-Cyrl-CS"/>
          <w14:ligatures w14:val="none"/>
        </w:rPr>
        <w:t>Predložen</w:t>
      </w:r>
      <w:r w:rsidR="00AC4F59">
        <w:rPr>
          <w:rFonts w:ascii="Calibri" w:eastAsia="Calibri" w:hAnsi="Calibri" w:cs="Calibri"/>
          <w:kern w:val="0"/>
          <w:sz w:val="24"/>
          <w:szCs w:val="24"/>
          <w:lang w:val="sr-Latn-RS" w:eastAsia="sr-Cyrl-CS" w:bidi="sr-Cyrl-CS"/>
          <w14:ligatures w14:val="none"/>
        </w:rPr>
        <w:t>a mjera</w:t>
      </w:r>
      <w:r w:rsidR="00701428" w:rsidRPr="00701428">
        <w:rPr>
          <w:rFonts w:ascii="Calibri" w:eastAsia="Calibri" w:hAnsi="Calibri" w:cs="Calibri"/>
          <w:kern w:val="0"/>
          <w:sz w:val="24"/>
          <w:szCs w:val="24"/>
          <w:lang w:val="sr-Latn-RS" w:eastAsia="sr-Cyrl-CS" w:bidi="sr-Cyrl-CS"/>
          <w14:ligatures w14:val="none"/>
        </w:rPr>
        <w:t xml:space="preserve"> </w:t>
      </w:r>
      <w:r w:rsidR="00AC4F59">
        <w:rPr>
          <w:rFonts w:ascii="Calibri" w:eastAsia="Calibri" w:hAnsi="Calibri" w:cs="Calibri"/>
          <w:kern w:val="0"/>
          <w:sz w:val="24"/>
          <w:szCs w:val="24"/>
          <w:lang w:val="sr-Latn-RS" w:eastAsia="sr-Cyrl-CS" w:bidi="sr-Cyrl-CS"/>
          <w14:ligatures w14:val="none"/>
        </w:rPr>
        <w:t>treba da</w:t>
      </w:r>
      <w:r w:rsidR="00701428" w:rsidRPr="00701428">
        <w:rPr>
          <w:rFonts w:ascii="Calibri" w:eastAsia="Calibri" w:hAnsi="Calibri" w:cs="Calibri"/>
          <w:kern w:val="0"/>
          <w:sz w:val="24"/>
          <w:szCs w:val="24"/>
          <w:lang w:val="sr-Latn-RS" w:eastAsia="sr-Cyrl-CS" w:bidi="sr-Cyrl-CS"/>
          <w14:ligatures w14:val="none"/>
        </w:rPr>
        <w:t xml:space="preserve"> osnaž</w:t>
      </w:r>
      <w:r w:rsidR="00AC4F59">
        <w:rPr>
          <w:rFonts w:ascii="Calibri" w:eastAsia="Calibri" w:hAnsi="Calibri" w:cs="Calibri"/>
          <w:kern w:val="0"/>
          <w:sz w:val="24"/>
          <w:szCs w:val="24"/>
          <w:lang w:val="sr-Latn-RS" w:eastAsia="sr-Cyrl-CS" w:bidi="sr-Cyrl-CS"/>
          <w14:ligatures w14:val="none"/>
        </w:rPr>
        <w:t>i</w:t>
      </w:r>
      <w:r w:rsidR="00701428" w:rsidRPr="00701428">
        <w:rPr>
          <w:rFonts w:ascii="Calibri" w:eastAsia="Calibri" w:hAnsi="Calibri" w:cs="Calibri"/>
          <w:kern w:val="0"/>
          <w:sz w:val="24"/>
          <w:szCs w:val="24"/>
          <w:lang w:val="sr-Latn-RS" w:eastAsia="sr-Cyrl-CS" w:bidi="sr-Cyrl-CS"/>
          <w14:ligatures w14:val="none"/>
        </w:rPr>
        <w:t xml:space="preserve"> saradnju učesnika u sistemu socijalne i dječje zaštite i time učine sistem efikasnijim i efektivnijim.</w:t>
      </w:r>
      <w:r w:rsidR="00AC4F59">
        <w:rPr>
          <w:rFonts w:ascii="Calibri" w:eastAsia="Calibri" w:hAnsi="Calibri" w:cs="Calibri"/>
          <w:kern w:val="0"/>
          <w:sz w:val="24"/>
          <w:szCs w:val="24"/>
          <w:lang w:val="sr-Latn-RS" w:eastAsia="sr-Cyrl-CS" w:bidi="sr-Cyrl-CS"/>
          <w14:ligatures w14:val="none"/>
        </w:rPr>
        <w:t>Mjera</w:t>
      </w:r>
      <w:r w:rsidR="00701428" w:rsidRPr="00701428">
        <w:rPr>
          <w:rFonts w:ascii="Calibri" w:eastAsia="Calibri" w:hAnsi="Calibri" w:cs="Calibri"/>
          <w:kern w:val="0"/>
          <w:sz w:val="24"/>
          <w:szCs w:val="24"/>
          <w:lang w:val="sr-Latn-RS" w:eastAsia="sr-Cyrl-CS" w:bidi="sr-Cyrl-CS"/>
          <w14:ligatures w14:val="none"/>
        </w:rPr>
        <w:t xml:space="preserve"> takođe ima za cilj da ojača funkciju upravljanja slučajem i upućivanje na usluge, kao i unaprijed</w:t>
      </w:r>
      <w:r w:rsidR="00AC4F59">
        <w:rPr>
          <w:rFonts w:ascii="Calibri" w:eastAsia="Calibri" w:hAnsi="Calibri" w:cs="Calibri"/>
          <w:kern w:val="0"/>
          <w:sz w:val="24"/>
          <w:szCs w:val="24"/>
          <w:lang w:val="sr-Latn-RS" w:eastAsia="sr-Cyrl-CS" w:bidi="sr-Cyrl-CS"/>
          <w14:ligatures w14:val="none"/>
        </w:rPr>
        <w:t>i</w:t>
      </w:r>
      <w:r w:rsidR="00701428" w:rsidRPr="00701428">
        <w:rPr>
          <w:rFonts w:ascii="Calibri" w:eastAsia="Calibri" w:hAnsi="Calibri" w:cs="Calibri"/>
          <w:kern w:val="0"/>
          <w:sz w:val="24"/>
          <w:szCs w:val="24"/>
          <w:lang w:val="sr-Latn-RS" w:eastAsia="sr-Cyrl-CS" w:bidi="sr-Cyrl-CS"/>
          <w14:ligatures w14:val="none"/>
        </w:rPr>
        <w:t xml:space="preserve"> kvalitet usluga kroz nadzor, monitoring i evaluaciju. U krajnjem, jačanje ovog elementa sistema će u srednjem do dugom roku doprinijeti održivom i kontinuiranom smanjenju siromaštva i ranjivosti populacije</w:t>
      </w:r>
      <w:r w:rsidR="00AC4F59">
        <w:rPr>
          <w:rFonts w:ascii="Calibri" w:eastAsia="Calibri" w:hAnsi="Calibri" w:cs="Calibri"/>
          <w:kern w:val="0"/>
          <w:sz w:val="24"/>
          <w:szCs w:val="24"/>
          <w:lang w:val="sr-Latn-RS" w:eastAsia="sr-Cyrl-CS" w:bidi="sr-Cyrl-CS"/>
          <w14:ligatures w14:val="none"/>
        </w:rPr>
        <w:t>.</w:t>
      </w:r>
      <w:r w:rsidR="00701428" w:rsidRPr="00701428">
        <w:rPr>
          <w:rFonts w:ascii="Calibri" w:eastAsia="Calibri" w:hAnsi="Calibri" w:cs="Calibri"/>
          <w:bCs/>
          <w:kern w:val="0"/>
          <w:sz w:val="24"/>
          <w:szCs w:val="24"/>
          <w:lang w:val="sr-Latn-ME" w:eastAsia="sr-Cyrl-CS" w:bidi="sr-Cyrl-CS"/>
          <w14:ligatures w14:val="none"/>
        </w:rPr>
        <w:t>Mjera nema uticaj na rod.</w:t>
      </w:r>
    </w:p>
    <w:p w14:paraId="1A322B4C" w14:textId="68C484A5" w:rsidR="00C83A32" w:rsidRPr="00701428" w:rsidRDefault="0047326F" w:rsidP="00701428">
      <w:pPr>
        <w:spacing w:before="120" w:after="60"/>
        <w:jc w:val="both"/>
        <w:rPr>
          <w:rFonts w:eastAsia="Times New Roman" w:cstheme="minorHAnsi"/>
          <w:sz w:val="24"/>
          <w:szCs w:val="24"/>
        </w:rPr>
      </w:pPr>
      <w:r w:rsidRPr="00701428">
        <w:rPr>
          <w:rFonts w:eastAsia="Times New Roman" w:cstheme="minorHAnsi"/>
          <w:b/>
          <w:sz w:val="24"/>
          <w:szCs w:val="24"/>
        </w:rPr>
        <w:t xml:space="preserve">6.Očekivani uticaj na životnu sredinu i klimatske promjene. </w:t>
      </w:r>
      <w:r w:rsidRPr="00701428">
        <w:rPr>
          <w:rFonts w:eastAsia="Times New Roman" w:cstheme="minorHAnsi"/>
          <w:sz w:val="24"/>
          <w:szCs w:val="24"/>
        </w:rPr>
        <w:t>Ova mjera neće imati uticaja na životnu sredinu.</w:t>
      </w:r>
    </w:p>
    <w:p w14:paraId="6D491B93" w14:textId="77777777" w:rsidR="00C83383" w:rsidRDefault="00C83383" w:rsidP="00701428">
      <w:pPr>
        <w:spacing w:before="120" w:after="60"/>
        <w:jc w:val="both"/>
        <w:rPr>
          <w:rFonts w:eastAsia="Times New Roman" w:cstheme="minorHAnsi"/>
          <w:b/>
          <w:sz w:val="24"/>
          <w:szCs w:val="24"/>
        </w:rPr>
      </w:pPr>
    </w:p>
    <w:p w14:paraId="245F7A08" w14:textId="199B1389" w:rsidR="0047326F" w:rsidRPr="00701428" w:rsidRDefault="0047326F" w:rsidP="00701428">
      <w:pPr>
        <w:spacing w:before="120" w:after="60"/>
        <w:jc w:val="both"/>
        <w:rPr>
          <w:rFonts w:eastAsia="Times New Roman" w:cstheme="minorHAnsi"/>
          <w:b/>
          <w:bCs/>
          <w:sz w:val="24"/>
          <w:szCs w:val="24"/>
        </w:rPr>
      </w:pPr>
      <w:r w:rsidRPr="00701428">
        <w:rPr>
          <w:rFonts w:eastAsia="Times New Roman" w:cstheme="minorHAnsi"/>
          <w:b/>
          <w:sz w:val="24"/>
          <w:szCs w:val="24"/>
        </w:rPr>
        <w:lastRenderedPageBreak/>
        <w:t xml:space="preserve">7.Potencijalni rizici </w:t>
      </w:r>
      <w:bookmarkEnd w:id="186"/>
      <w:r w:rsidR="00DA310D">
        <w:rPr>
          <w:rFonts w:eastAsia="Times New Roman" w:cstheme="minorHAnsi"/>
          <w:b/>
          <w:bCs/>
          <w:sz w:val="24"/>
          <w:szCs w:val="24"/>
        </w:rPr>
        <w:t>.</w:t>
      </w:r>
    </w:p>
    <w:tbl>
      <w:tblPr>
        <w:tblStyle w:val="GridTable1Light-Accent5"/>
        <w:tblW w:w="9625" w:type="dxa"/>
        <w:tblLook w:val="04A0" w:firstRow="1" w:lastRow="0" w:firstColumn="1" w:lastColumn="0" w:noHBand="0" w:noVBand="1"/>
      </w:tblPr>
      <w:tblGrid>
        <w:gridCol w:w="3865"/>
        <w:gridCol w:w="1890"/>
        <w:gridCol w:w="3870"/>
      </w:tblGrid>
      <w:tr w:rsidR="00701428" w:rsidRPr="00082B85" w14:paraId="3571390E" w14:textId="77777777" w:rsidTr="00391874">
        <w:trPr>
          <w:cnfStyle w:val="100000000000" w:firstRow="1" w:lastRow="0" w:firstColumn="0" w:lastColumn="0" w:oddVBand="0" w:evenVBand="0" w:oddHBand="0" w:evenHBand="0" w:firstRowFirstColumn="0" w:firstRowLastColumn="0" w:lastRowFirstColumn="0" w:lastRowLastColumn="0"/>
          <w:trHeight w:val="543"/>
        </w:trPr>
        <w:tc>
          <w:tcPr>
            <w:cnfStyle w:val="001000000000" w:firstRow="0" w:lastRow="0" w:firstColumn="1" w:lastColumn="0" w:oddVBand="0" w:evenVBand="0" w:oddHBand="0" w:evenHBand="0" w:firstRowFirstColumn="0" w:firstRowLastColumn="0" w:lastRowFirstColumn="0" w:lastRowLastColumn="0"/>
            <w:tcW w:w="3865" w:type="dxa"/>
          </w:tcPr>
          <w:p w14:paraId="0D6A1352" w14:textId="77777777" w:rsidR="00701428" w:rsidRPr="00082B85" w:rsidRDefault="00701428" w:rsidP="00701428">
            <w:pPr>
              <w:spacing w:before="120" w:after="60"/>
              <w:jc w:val="both"/>
              <w:rPr>
                <w:rFonts w:eastAsia="Times New Roman" w:cstheme="minorHAnsi"/>
                <w:bCs w:val="0"/>
                <w:sz w:val="20"/>
                <w:szCs w:val="20"/>
                <w:lang w:val="sr-Latn-RS"/>
              </w:rPr>
            </w:pPr>
            <w:r w:rsidRPr="00082B85">
              <w:rPr>
                <w:rFonts w:eastAsia="Times New Roman" w:cstheme="minorHAnsi"/>
                <w:sz w:val="20"/>
                <w:szCs w:val="20"/>
                <w:lang w:val="sr-Latn-RS"/>
              </w:rPr>
              <w:t xml:space="preserve">Rizik </w:t>
            </w:r>
          </w:p>
        </w:tc>
        <w:tc>
          <w:tcPr>
            <w:tcW w:w="1890" w:type="dxa"/>
          </w:tcPr>
          <w:p w14:paraId="3973F2CD" w14:textId="77777777" w:rsidR="00701428" w:rsidRPr="00082B85" w:rsidRDefault="00701428" w:rsidP="00701428">
            <w:pPr>
              <w:spacing w:before="120" w:after="60"/>
              <w:jc w:val="both"/>
              <w:cnfStyle w:val="100000000000" w:firstRow="1" w:lastRow="0" w:firstColumn="0" w:lastColumn="0" w:oddVBand="0" w:evenVBand="0" w:oddHBand="0" w:evenHBand="0" w:firstRowFirstColumn="0" w:firstRowLastColumn="0" w:lastRowFirstColumn="0" w:lastRowLastColumn="0"/>
              <w:rPr>
                <w:rFonts w:eastAsia="Times New Roman" w:cstheme="minorHAnsi"/>
                <w:bCs w:val="0"/>
                <w:sz w:val="20"/>
                <w:szCs w:val="20"/>
                <w:lang w:val="sr-Latn-RS"/>
              </w:rPr>
            </w:pPr>
            <w:r w:rsidRPr="00082B85">
              <w:rPr>
                <w:rFonts w:eastAsia="Times New Roman" w:cstheme="minorHAnsi"/>
                <w:sz w:val="20"/>
                <w:szCs w:val="20"/>
                <w:lang w:val="sr-Latn-RS"/>
              </w:rPr>
              <w:t>Vjerovatnoća za ostvarivanje rizika (niska ili visoka)</w:t>
            </w:r>
          </w:p>
        </w:tc>
        <w:tc>
          <w:tcPr>
            <w:tcW w:w="3870" w:type="dxa"/>
          </w:tcPr>
          <w:p w14:paraId="30367D49" w14:textId="77777777" w:rsidR="00701428" w:rsidRPr="00082B85" w:rsidRDefault="00701428" w:rsidP="00701428">
            <w:pPr>
              <w:spacing w:before="120" w:after="60"/>
              <w:jc w:val="both"/>
              <w:cnfStyle w:val="100000000000" w:firstRow="1" w:lastRow="0" w:firstColumn="0" w:lastColumn="0" w:oddVBand="0" w:evenVBand="0" w:oddHBand="0" w:evenHBand="0" w:firstRowFirstColumn="0" w:firstRowLastColumn="0" w:lastRowFirstColumn="0" w:lastRowLastColumn="0"/>
              <w:rPr>
                <w:rFonts w:eastAsia="Times New Roman" w:cstheme="minorHAnsi"/>
                <w:bCs w:val="0"/>
                <w:sz w:val="20"/>
                <w:szCs w:val="20"/>
                <w:lang w:val="sr-Latn-RS"/>
              </w:rPr>
            </w:pPr>
            <w:r w:rsidRPr="00082B85">
              <w:rPr>
                <w:rFonts w:eastAsia="Times New Roman" w:cstheme="minorHAnsi"/>
                <w:sz w:val="20"/>
                <w:szCs w:val="20"/>
                <w:lang w:val="sr-Latn-RS"/>
              </w:rPr>
              <w:t>Planirane aktivnosti ublažavanja negativnih efekata rizika</w:t>
            </w:r>
          </w:p>
        </w:tc>
      </w:tr>
      <w:tr w:rsidR="00701428" w:rsidRPr="00082B85" w14:paraId="7EA930D9" w14:textId="77777777" w:rsidTr="00391874">
        <w:trPr>
          <w:trHeight w:val="543"/>
        </w:trPr>
        <w:tc>
          <w:tcPr>
            <w:cnfStyle w:val="001000000000" w:firstRow="0" w:lastRow="0" w:firstColumn="1" w:lastColumn="0" w:oddVBand="0" w:evenVBand="0" w:oddHBand="0" w:evenHBand="0" w:firstRowFirstColumn="0" w:firstRowLastColumn="0" w:lastRowFirstColumn="0" w:lastRowLastColumn="0"/>
            <w:tcW w:w="3865" w:type="dxa"/>
          </w:tcPr>
          <w:p w14:paraId="53A69844" w14:textId="77777777" w:rsidR="00701428" w:rsidRPr="00082B85" w:rsidRDefault="00701428" w:rsidP="00701428">
            <w:pPr>
              <w:spacing w:before="120" w:after="60"/>
              <w:jc w:val="both"/>
              <w:rPr>
                <w:rFonts w:eastAsia="Times New Roman" w:cstheme="minorHAnsi"/>
                <w:b w:val="0"/>
                <w:bCs w:val="0"/>
                <w:sz w:val="20"/>
                <w:szCs w:val="20"/>
                <w:lang w:val="sr-Latn-RS"/>
              </w:rPr>
            </w:pPr>
            <w:r w:rsidRPr="00082B85">
              <w:rPr>
                <w:rFonts w:eastAsia="Times New Roman" w:cstheme="minorHAnsi"/>
                <w:b w:val="0"/>
                <w:bCs w:val="0"/>
                <w:sz w:val="20"/>
                <w:szCs w:val="20"/>
                <w:lang w:val="sr-Latn-RS"/>
              </w:rPr>
              <w:t>Nedostatak finansijskih sredstava za implementaciju reforme</w:t>
            </w:r>
          </w:p>
        </w:tc>
        <w:tc>
          <w:tcPr>
            <w:tcW w:w="1890" w:type="dxa"/>
          </w:tcPr>
          <w:p w14:paraId="392C3BCD" w14:textId="09CF298A" w:rsidR="00701428" w:rsidRPr="00082B85" w:rsidRDefault="007E1D6F" w:rsidP="00701428">
            <w:pPr>
              <w:spacing w:before="120" w:after="60"/>
              <w:jc w:val="both"/>
              <w:cnfStyle w:val="000000000000" w:firstRow="0" w:lastRow="0" w:firstColumn="0" w:lastColumn="0" w:oddVBand="0" w:evenVBand="0" w:oddHBand="0" w:evenHBand="0" w:firstRowFirstColumn="0" w:firstRowLastColumn="0" w:lastRowFirstColumn="0" w:lastRowLastColumn="0"/>
              <w:rPr>
                <w:rFonts w:eastAsia="Times New Roman" w:cstheme="minorHAnsi"/>
                <w:bCs/>
                <w:sz w:val="20"/>
                <w:szCs w:val="20"/>
                <w:lang w:val="sr-Latn-RS"/>
              </w:rPr>
            </w:pPr>
            <w:r w:rsidRPr="00082B85">
              <w:rPr>
                <w:rFonts w:eastAsia="Times New Roman" w:cstheme="minorHAnsi"/>
                <w:bCs/>
                <w:sz w:val="20"/>
                <w:szCs w:val="20"/>
                <w:lang w:val="sr-Latn-RS"/>
              </w:rPr>
              <w:t>Ni</w:t>
            </w:r>
            <w:r w:rsidR="00B21D39" w:rsidRPr="00082B85">
              <w:rPr>
                <w:rFonts w:eastAsia="Times New Roman" w:cstheme="minorHAnsi"/>
                <w:bCs/>
                <w:sz w:val="20"/>
                <w:szCs w:val="20"/>
                <w:lang w:val="sr-Latn-RS"/>
              </w:rPr>
              <w:t>ska</w:t>
            </w:r>
          </w:p>
        </w:tc>
        <w:tc>
          <w:tcPr>
            <w:tcW w:w="3870" w:type="dxa"/>
          </w:tcPr>
          <w:p w14:paraId="70FEEBCE" w14:textId="77777777" w:rsidR="00701428" w:rsidRPr="00082B85" w:rsidRDefault="00701428" w:rsidP="00701428">
            <w:pPr>
              <w:spacing w:before="120" w:after="60"/>
              <w:jc w:val="both"/>
              <w:cnfStyle w:val="000000000000" w:firstRow="0" w:lastRow="0" w:firstColumn="0" w:lastColumn="0" w:oddVBand="0" w:evenVBand="0" w:oddHBand="0" w:evenHBand="0" w:firstRowFirstColumn="0" w:firstRowLastColumn="0" w:lastRowFirstColumn="0" w:lastRowLastColumn="0"/>
              <w:rPr>
                <w:rFonts w:eastAsia="Times New Roman" w:cstheme="minorHAnsi"/>
                <w:bCs/>
                <w:sz w:val="20"/>
                <w:szCs w:val="20"/>
                <w:lang w:val="sr-Latn-RS"/>
              </w:rPr>
            </w:pPr>
            <w:r w:rsidRPr="00082B85">
              <w:rPr>
                <w:rFonts w:eastAsia="Times New Roman" w:cstheme="minorHAnsi"/>
                <w:bCs/>
                <w:sz w:val="20"/>
                <w:szCs w:val="20"/>
                <w:lang w:val="sr-Latn-RS"/>
              </w:rPr>
              <w:t>Efikasnije korišćenje domaćeg i međunarodnog finansiranja kroz poboljšanu koordinaciju donaora.</w:t>
            </w:r>
          </w:p>
        </w:tc>
      </w:tr>
      <w:tr w:rsidR="007E1D6F" w:rsidRPr="00082B85" w14:paraId="7BB0BD79" w14:textId="77777777" w:rsidTr="00391874">
        <w:trPr>
          <w:trHeight w:val="543"/>
        </w:trPr>
        <w:tc>
          <w:tcPr>
            <w:cnfStyle w:val="001000000000" w:firstRow="0" w:lastRow="0" w:firstColumn="1" w:lastColumn="0" w:oddVBand="0" w:evenVBand="0" w:oddHBand="0" w:evenHBand="0" w:firstRowFirstColumn="0" w:firstRowLastColumn="0" w:lastRowFirstColumn="0" w:lastRowLastColumn="0"/>
            <w:tcW w:w="3865" w:type="dxa"/>
          </w:tcPr>
          <w:p w14:paraId="1B1C1428" w14:textId="329540D0" w:rsidR="007E1D6F" w:rsidRPr="00082B85" w:rsidRDefault="00AC4F59" w:rsidP="00AC4F59">
            <w:pPr>
              <w:spacing w:before="120" w:after="60"/>
              <w:jc w:val="both"/>
              <w:rPr>
                <w:rFonts w:eastAsia="Times New Roman" w:cstheme="minorHAnsi"/>
                <w:b w:val="0"/>
                <w:bCs w:val="0"/>
                <w:sz w:val="20"/>
                <w:szCs w:val="20"/>
                <w:lang w:val="sr-Latn-RS"/>
              </w:rPr>
            </w:pPr>
            <w:r w:rsidRPr="00082B85">
              <w:rPr>
                <w:rFonts w:eastAsia="Times New Roman" w:cstheme="minorHAnsi"/>
                <w:b w:val="0"/>
                <w:bCs w:val="0"/>
                <w:sz w:val="20"/>
                <w:szCs w:val="20"/>
                <w:lang w:val="sr-Latn-RS"/>
              </w:rPr>
              <w:t xml:space="preserve">Kašnjenje sa usvajanjem strategija zbog promjena    u upravljačkim strukturama                                          </w:t>
            </w:r>
          </w:p>
        </w:tc>
        <w:tc>
          <w:tcPr>
            <w:tcW w:w="1890" w:type="dxa"/>
          </w:tcPr>
          <w:p w14:paraId="1F3E1375" w14:textId="429CA955" w:rsidR="007E1D6F" w:rsidRPr="00082B85" w:rsidRDefault="00AC4F59" w:rsidP="00701428">
            <w:pPr>
              <w:spacing w:before="120" w:after="60"/>
              <w:jc w:val="both"/>
              <w:cnfStyle w:val="000000000000" w:firstRow="0" w:lastRow="0" w:firstColumn="0" w:lastColumn="0" w:oddVBand="0" w:evenVBand="0" w:oddHBand="0" w:evenHBand="0" w:firstRowFirstColumn="0" w:firstRowLastColumn="0" w:lastRowFirstColumn="0" w:lastRowLastColumn="0"/>
              <w:rPr>
                <w:rFonts w:eastAsia="Times New Roman" w:cstheme="minorHAnsi"/>
                <w:bCs/>
                <w:sz w:val="20"/>
                <w:szCs w:val="20"/>
                <w:lang w:val="sr-Latn-RS"/>
              </w:rPr>
            </w:pPr>
            <w:r w:rsidRPr="00082B85">
              <w:rPr>
                <w:rFonts w:eastAsia="Times New Roman" w:cstheme="minorHAnsi"/>
                <w:bCs/>
                <w:sz w:val="20"/>
                <w:szCs w:val="20"/>
                <w:lang w:val="sr-Latn-RS"/>
              </w:rPr>
              <w:t>Ni</w:t>
            </w:r>
            <w:r w:rsidR="00B21D39" w:rsidRPr="00082B85">
              <w:rPr>
                <w:rFonts w:eastAsia="Times New Roman" w:cstheme="minorHAnsi"/>
                <w:bCs/>
                <w:sz w:val="20"/>
                <w:szCs w:val="20"/>
                <w:lang w:val="sr-Latn-RS"/>
              </w:rPr>
              <w:t>ska</w:t>
            </w:r>
          </w:p>
        </w:tc>
        <w:tc>
          <w:tcPr>
            <w:tcW w:w="3870" w:type="dxa"/>
          </w:tcPr>
          <w:p w14:paraId="2B7D2993" w14:textId="1CD6E7CE" w:rsidR="007E1D6F" w:rsidRPr="00082B85" w:rsidRDefault="00AC4F59" w:rsidP="00701428">
            <w:pPr>
              <w:spacing w:before="120" w:after="60"/>
              <w:jc w:val="both"/>
              <w:cnfStyle w:val="000000000000" w:firstRow="0" w:lastRow="0" w:firstColumn="0" w:lastColumn="0" w:oddVBand="0" w:evenVBand="0" w:oddHBand="0" w:evenHBand="0" w:firstRowFirstColumn="0" w:firstRowLastColumn="0" w:lastRowFirstColumn="0" w:lastRowLastColumn="0"/>
              <w:rPr>
                <w:rFonts w:eastAsia="Times New Roman" w:cstheme="minorHAnsi"/>
                <w:bCs/>
                <w:sz w:val="20"/>
                <w:szCs w:val="20"/>
                <w:lang w:val="sr-Latn-RS"/>
              </w:rPr>
            </w:pPr>
            <w:r w:rsidRPr="00082B85">
              <w:rPr>
                <w:rFonts w:eastAsia="Times New Roman" w:cstheme="minorHAnsi"/>
                <w:bCs/>
                <w:sz w:val="20"/>
                <w:szCs w:val="20"/>
                <w:lang w:val="sr-Latn-RS"/>
              </w:rPr>
              <w:t>Podizanje svijesti i jačanje kapaciteta o važnosti procesa</w:t>
            </w:r>
          </w:p>
        </w:tc>
      </w:tr>
    </w:tbl>
    <w:tbl>
      <w:tblPr>
        <w:tblStyle w:val="GridTable2-Accent5"/>
        <w:tblW w:w="9630" w:type="dxa"/>
        <w:tblLook w:val="04A0" w:firstRow="1" w:lastRow="0" w:firstColumn="1" w:lastColumn="0" w:noHBand="0" w:noVBand="1"/>
      </w:tblPr>
      <w:tblGrid>
        <w:gridCol w:w="4217"/>
        <w:gridCol w:w="1628"/>
        <w:gridCol w:w="3785"/>
      </w:tblGrid>
      <w:tr w:rsidR="008F177D" w:rsidRPr="0065415E" w14:paraId="6B819968" w14:textId="77777777" w:rsidTr="00391874">
        <w:trPr>
          <w:cnfStyle w:val="100000000000" w:firstRow="1" w:lastRow="0" w:firstColumn="0" w:lastColumn="0" w:oddVBand="0" w:evenVBand="0" w:oddHBand="0"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4217" w:type="dxa"/>
          </w:tcPr>
          <w:p w14:paraId="7B8EAA9E" w14:textId="77777777" w:rsidR="004D422C" w:rsidRPr="0065415E" w:rsidRDefault="004D422C" w:rsidP="00CD04DF">
            <w:pPr>
              <w:pStyle w:val="Heading1"/>
              <w:outlineLvl w:val="0"/>
              <w:rPr>
                <w:rFonts w:eastAsia="Calibri"/>
                <w:lang w:val="sr-Latn-RS" w:eastAsia="sr-Cyrl-CS" w:bidi="sr-Cyrl-CS"/>
              </w:rPr>
            </w:pPr>
            <w:bookmarkStart w:id="188" w:name="_Toc153305366"/>
            <w:bookmarkEnd w:id="187"/>
            <w:r w:rsidRPr="0065415E">
              <w:rPr>
                <w:rFonts w:eastAsia="Calibri"/>
                <w:lang w:val="sr-Latn-RS" w:eastAsia="sr-Cyrl-CS" w:bidi="sr-Cyrl-CS"/>
              </w:rPr>
              <w:t>5.4  Sažetak reformskih mjera</w:t>
            </w:r>
            <w:bookmarkEnd w:id="188"/>
          </w:p>
        </w:tc>
        <w:tc>
          <w:tcPr>
            <w:tcW w:w="1628" w:type="dxa"/>
          </w:tcPr>
          <w:p w14:paraId="2B347333" w14:textId="77777777" w:rsidR="004D422C" w:rsidRPr="0065415E" w:rsidRDefault="004D422C" w:rsidP="00CD04DF">
            <w:pPr>
              <w:pStyle w:val="Heading1"/>
              <w:outlineLvl w:val="0"/>
              <w:cnfStyle w:val="100000000000" w:firstRow="1" w:lastRow="0" w:firstColumn="0" w:lastColumn="0" w:oddVBand="0" w:evenVBand="0" w:oddHBand="0" w:evenHBand="0" w:firstRowFirstColumn="0" w:firstRowLastColumn="0" w:lastRowFirstColumn="0" w:lastRowLastColumn="0"/>
              <w:rPr>
                <w:rFonts w:eastAsia="Calibri"/>
                <w:lang w:val="sr-Latn-RS" w:eastAsia="sr-Cyrl-CS" w:bidi="sr-Cyrl-CS"/>
              </w:rPr>
            </w:pPr>
          </w:p>
        </w:tc>
        <w:tc>
          <w:tcPr>
            <w:tcW w:w="3785" w:type="dxa"/>
          </w:tcPr>
          <w:p w14:paraId="1634327D" w14:textId="77777777" w:rsidR="004D422C" w:rsidRPr="0065415E" w:rsidRDefault="004D422C" w:rsidP="00CD04DF">
            <w:pPr>
              <w:pStyle w:val="Heading1"/>
              <w:outlineLvl w:val="0"/>
              <w:cnfStyle w:val="100000000000" w:firstRow="1" w:lastRow="0" w:firstColumn="0" w:lastColumn="0" w:oddVBand="0" w:evenVBand="0" w:oddHBand="0" w:evenHBand="0" w:firstRowFirstColumn="0" w:firstRowLastColumn="0" w:lastRowFirstColumn="0" w:lastRowLastColumn="0"/>
              <w:rPr>
                <w:rFonts w:eastAsia="Calibri"/>
                <w:lang w:val="sr-Latn-RS" w:eastAsia="sr-Cyrl-CS" w:bidi="sr-Cyrl-CS"/>
              </w:rPr>
            </w:pPr>
          </w:p>
        </w:tc>
      </w:tr>
      <w:tr w:rsidR="004D422C" w:rsidRPr="004D422C" w14:paraId="265746EA" w14:textId="77777777" w:rsidTr="00391874">
        <w:trPr>
          <w:cnfStyle w:val="000000100000" w:firstRow="0" w:lastRow="0" w:firstColumn="0" w:lastColumn="0" w:oddVBand="0" w:evenVBand="0" w:oddHBand="1" w:evenHBand="0" w:firstRowFirstColumn="0" w:firstRowLastColumn="0" w:lastRowFirstColumn="0" w:lastRowLastColumn="0"/>
          <w:trHeight w:val="543"/>
        </w:trPr>
        <w:tc>
          <w:tcPr>
            <w:cnfStyle w:val="001000000000" w:firstRow="0" w:lastRow="0" w:firstColumn="1" w:lastColumn="0" w:oddVBand="0" w:evenVBand="0" w:oddHBand="0" w:evenHBand="0" w:firstRowFirstColumn="0" w:firstRowLastColumn="0" w:lastRowFirstColumn="0" w:lastRowLastColumn="0"/>
            <w:tcW w:w="9630" w:type="dxa"/>
            <w:gridSpan w:val="3"/>
          </w:tcPr>
          <w:p w14:paraId="65E72D3B" w14:textId="3F8EE311" w:rsidR="004D422C" w:rsidRDefault="004D422C" w:rsidP="004D422C">
            <w:pPr>
              <w:widowControl w:val="0"/>
              <w:contextualSpacing/>
              <w:jc w:val="both"/>
              <w:rPr>
                <w:rFonts w:ascii="Calibri" w:eastAsia="Calibri" w:hAnsi="Calibri" w:cs="Calibri"/>
                <w:b w:val="0"/>
                <w:kern w:val="0"/>
                <w:lang w:val="en-GB"/>
                <w14:ligatures w14:val="none"/>
              </w:rPr>
            </w:pPr>
            <w:r w:rsidRPr="004D422C">
              <w:rPr>
                <w:rFonts w:ascii="Calibri" w:eastAsia="Calibri" w:hAnsi="Calibri" w:cs="Calibri"/>
                <w:kern w:val="0"/>
                <w:lang w:val="sr-Latn-RS" w:eastAsia="sr-Cyrl-CS" w:bidi="sr-Cyrl-CS"/>
                <w14:ligatures w14:val="none"/>
              </w:rPr>
              <w:t>Strukturna reforma</w:t>
            </w:r>
            <w:r w:rsidR="00321672">
              <w:rPr>
                <w:rFonts w:ascii="Calibri" w:eastAsia="Calibri" w:hAnsi="Calibri" w:cs="Calibri"/>
                <w:kern w:val="0"/>
                <w:lang w:val="sr-Latn-RS" w:eastAsia="sr-Cyrl-CS" w:bidi="sr-Cyrl-CS"/>
                <w14:ligatures w14:val="none"/>
              </w:rPr>
              <w:t xml:space="preserve"> br.</w:t>
            </w:r>
            <w:r w:rsidRPr="004D422C">
              <w:rPr>
                <w:rFonts w:ascii="Calibri" w:eastAsia="Calibri" w:hAnsi="Calibri" w:cs="Calibri"/>
                <w:kern w:val="0"/>
                <w:lang w:val="sr-Latn-RS" w:eastAsia="sr-Cyrl-CS" w:bidi="sr-Cyrl-CS"/>
                <w14:ligatures w14:val="none"/>
              </w:rPr>
              <w:t xml:space="preserve"> 1:</w:t>
            </w:r>
            <w:r w:rsidR="00EB041D" w:rsidRPr="00EB041D">
              <w:rPr>
                <w:rFonts w:ascii="Calibri" w:eastAsia="Calibri" w:hAnsi="Calibri" w:cs="Calibri"/>
                <w:bCs w:val="0"/>
                <w:kern w:val="0"/>
                <w:lang w:val="en-GB"/>
                <w14:ligatures w14:val="none"/>
              </w:rPr>
              <w:t xml:space="preserve"> Unapređenje poslovnog okruženja i formalizacija ekonomije</w:t>
            </w:r>
          </w:p>
          <w:p w14:paraId="4DB0D8CF" w14:textId="147A510C" w:rsidR="00EB041D" w:rsidRPr="00EB041D" w:rsidRDefault="00EB041D" w:rsidP="004D422C">
            <w:pPr>
              <w:widowControl w:val="0"/>
              <w:contextualSpacing/>
              <w:jc w:val="both"/>
              <w:rPr>
                <w:rFonts w:ascii="Calibri" w:eastAsia="Calibri" w:hAnsi="Calibri" w:cs="Calibri"/>
                <w:iCs/>
                <w:kern w:val="0"/>
                <w:lang w:val="sr-Latn-RS" w:eastAsia="sr-Cyrl-CS" w:bidi="sr-Cyrl-CS"/>
                <w14:ligatures w14:val="none"/>
              </w:rPr>
            </w:pPr>
            <w:r w:rsidRPr="00EB041D">
              <w:rPr>
                <w:rFonts w:ascii="Calibri" w:eastAsia="Calibri" w:hAnsi="Calibri" w:cs="Calibri"/>
                <w:b w:val="0"/>
                <w:bCs w:val="0"/>
                <w:iCs/>
                <w:kern w:val="0"/>
                <w:lang w:val="en-GB"/>
                <w14:ligatures w14:val="none"/>
              </w:rPr>
              <w:t>Cilj strukturne reforme je</w:t>
            </w:r>
            <w:r w:rsidRPr="00EB041D">
              <w:rPr>
                <w:rFonts w:ascii="Calibri" w:eastAsia="Calibri" w:hAnsi="Calibri" w:cs="Calibri"/>
                <w:iCs/>
                <w:kern w:val="0"/>
                <w:lang w:val="en-GB"/>
                <w14:ligatures w14:val="none"/>
              </w:rPr>
              <w:t xml:space="preserve"> </w:t>
            </w:r>
            <w:r w:rsidRPr="00EB041D">
              <w:rPr>
                <w:rFonts w:ascii="Calibri" w:eastAsia="Calibri" w:hAnsi="Calibri" w:cs="Calibri"/>
                <w:b w:val="0"/>
                <w:iCs/>
                <w:kern w:val="0"/>
                <w:lang w:val="en-GB"/>
                <w14:ligatures w14:val="none"/>
              </w:rPr>
              <w:t>doprinos boljem poslovnom okruženju, povećanju broja preduzeća, formalne zaposlenosti i prihoda države.</w:t>
            </w:r>
          </w:p>
          <w:p w14:paraId="70BF1369" w14:textId="15604136" w:rsidR="004D422C" w:rsidRPr="004D422C" w:rsidRDefault="004D422C" w:rsidP="004D422C">
            <w:pPr>
              <w:widowControl w:val="0"/>
              <w:contextualSpacing/>
              <w:jc w:val="both"/>
              <w:rPr>
                <w:rFonts w:ascii="Calibri" w:eastAsia="Calibri" w:hAnsi="Calibri" w:cs="Calibri"/>
                <w:i/>
                <w:iCs/>
                <w:kern w:val="0"/>
                <w:lang w:val="sr-Latn-RS" w:eastAsia="sr-Cyrl-CS" w:bidi="sr-Cyrl-CS"/>
                <w14:ligatures w14:val="none"/>
              </w:rPr>
            </w:pPr>
            <w:r w:rsidRPr="00391874">
              <w:rPr>
                <w:rFonts w:ascii="Calibri" w:eastAsia="Calibri" w:hAnsi="Calibri" w:cs="Calibri"/>
                <w:b w:val="0"/>
                <w:bCs w:val="0"/>
                <w:i/>
                <w:iCs/>
                <w:kern w:val="0"/>
                <w:lang w:val="sr-Latn-RS" w:eastAsia="sr-Cyrl-CS" w:bidi="sr-Cyrl-CS"/>
                <w14:ligatures w14:val="none"/>
              </w:rPr>
              <w:t>Reformska mjera 1:</w:t>
            </w:r>
            <w:r w:rsidR="00EB041D" w:rsidRPr="00EB041D">
              <w:rPr>
                <w:rFonts w:ascii="Calibri" w:eastAsia="Calibri" w:hAnsi="Calibri" w:cs="Calibri"/>
                <w:b w:val="0"/>
                <w:i/>
                <w:kern w:val="0"/>
                <w:lang w:val="en-GB"/>
                <w14:ligatures w14:val="none"/>
              </w:rPr>
              <w:t xml:space="preserve"> Jačanje mehanizama za formalizaciju ekonomije kroz donošenje Programa  za suzbijanje neformalne ekonomije</w:t>
            </w:r>
          </w:p>
          <w:p w14:paraId="6D58A152" w14:textId="5621A347" w:rsidR="004D422C" w:rsidRDefault="004D422C" w:rsidP="004D422C">
            <w:pPr>
              <w:widowControl w:val="0"/>
              <w:contextualSpacing/>
              <w:jc w:val="both"/>
              <w:rPr>
                <w:rFonts w:ascii="Calibri" w:eastAsia="Calibri" w:hAnsi="Calibri" w:cs="Calibri"/>
                <w:b w:val="0"/>
                <w:iCs/>
                <w:kern w:val="0"/>
                <w:lang w:val="en-GB"/>
                <w14:ligatures w14:val="none"/>
              </w:rPr>
            </w:pPr>
            <w:r w:rsidRPr="004D422C">
              <w:rPr>
                <w:rFonts w:ascii="Calibri" w:eastAsia="Calibri" w:hAnsi="Calibri" w:cs="Calibri"/>
                <w:kern w:val="0"/>
                <w:lang w:val="sr-Latn-RS" w:eastAsia="sr-Cyrl-CS" w:bidi="sr-Cyrl-CS"/>
                <w14:ligatures w14:val="none"/>
              </w:rPr>
              <w:t xml:space="preserve">Strukturna reforma </w:t>
            </w:r>
            <w:r w:rsidR="00321672">
              <w:rPr>
                <w:rFonts w:ascii="Calibri" w:eastAsia="Calibri" w:hAnsi="Calibri" w:cs="Calibri"/>
                <w:kern w:val="0"/>
                <w:lang w:val="sr-Latn-RS" w:eastAsia="sr-Cyrl-CS" w:bidi="sr-Cyrl-CS"/>
                <w14:ligatures w14:val="none"/>
              </w:rPr>
              <w:t xml:space="preserve">br. </w:t>
            </w:r>
            <w:r w:rsidRPr="004D422C">
              <w:rPr>
                <w:rFonts w:ascii="Calibri" w:eastAsia="Calibri" w:hAnsi="Calibri" w:cs="Calibri"/>
                <w:kern w:val="0"/>
                <w:lang w:val="sr-Latn-RS" w:eastAsia="sr-Cyrl-CS" w:bidi="sr-Cyrl-CS"/>
                <w14:ligatures w14:val="none"/>
              </w:rPr>
              <w:t>2:</w:t>
            </w:r>
            <w:r w:rsidR="001A2776" w:rsidRPr="001A2776">
              <w:rPr>
                <w:rFonts w:ascii="Calibri" w:eastAsia="Calibri" w:hAnsi="Calibri" w:cs="Calibri"/>
                <w:b w:val="0"/>
                <w:i/>
                <w:kern w:val="0"/>
                <w:lang w:val="en-GB"/>
                <w14:ligatures w14:val="none"/>
              </w:rPr>
              <w:t xml:space="preserve"> </w:t>
            </w:r>
            <w:r w:rsidR="000968F6">
              <w:rPr>
                <w:rFonts w:ascii="Calibri" w:eastAsia="Calibri" w:hAnsi="Calibri" w:cs="Calibri"/>
                <w:bCs w:val="0"/>
                <w:iCs/>
                <w:kern w:val="0"/>
                <w:lang w:val="en-GB"/>
                <w14:ligatures w14:val="none"/>
              </w:rPr>
              <w:t>Reforma preduzeća u većinskom vlasništvu države</w:t>
            </w:r>
          </w:p>
          <w:p w14:paraId="60CA8B4D" w14:textId="554F0581" w:rsidR="001A2776" w:rsidRPr="001A2776" w:rsidRDefault="001A2776" w:rsidP="004D422C">
            <w:pPr>
              <w:widowControl w:val="0"/>
              <w:contextualSpacing/>
              <w:jc w:val="both"/>
              <w:rPr>
                <w:rFonts w:ascii="Calibri" w:eastAsia="Calibri" w:hAnsi="Calibri" w:cs="Calibri"/>
                <w:b w:val="0"/>
                <w:iCs/>
                <w:kern w:val="0"/>
                <w:lang w:val="sr-Latn-RS" w:eastAsia="sr-Cyrl-CS" w:bidi="sr-Cyrl-CS"/>
                <w14:ligatures w14:val="none"/>
              </w:rPr>
            </w:pPr>
            <w:r w:rsidRPr="001A2776">
              <w:rPr>
                <w:rFonts w:ascii="Calibri" w:eastAsia="Calibri" w:hAnsi="Calibri" w:cs="Calibri"/>
                <w:b w:val="0"/>
                <w:iCs/>
                <w:kern w:val="0"/>
                <w:lang w:val="en-GB" w:bidi="sr-Cyrl-CS"/>
                <w14:ligatures w14:val="none"/>
              </w:rPr>
              <w:t>Cilj strukturne reforme je definisanje jasnog strateškog pristupa u nadzoru nad radom državnih preduzeća</w:t>
            </w:r>
          </w:p>
          <w:p w14:paraId="7C31C27E" w14:textId="475D4504" w:rsidR="004D422C" w:rsidRPr="000C3D9B" w:rsidRDefault="004D422C" w:rsidP="004D422C">
            <w:pPr>
              <w:widowControl w:val="0"/>
              <w:contextualSpacing/>
              <w:jc w:val="both"/>
              <w:rPr>
                <w:rFonts w:ascii="Calibri" w:eastAsia="Calibri" w:hAnsi="Calibri" w:cs="Calibri"/>
                <w:b w:val="0"/>
                <w:bCs w:val="0"/>
                <w:i/>
                <w:iCs/>
                <w:kern w:val="0"/>
                <w:lang w:val="sr-Latn-RS" w:eastAsia="sr-Cyrl-CS" w:bidi="sr-Cyrl-CS"/>
                <w14:ligatures w14:val="none"/>
              </w:rPr>
            </w:pPr>
            <w:r w:rsidRPr="00391874">
              <w:rPr>
                <w:rFonts w:ascii="Calibri" w:eastAsia="Calibri" w:hAnsi="Calibri" w:cs="Calibri"/>
                <w:b w:val="0"/>
                <w:bCs w:val="0"/>
                <w:i/>
                <w:iCs/>
                <w:kern w:val="0"/>
                <w:lang w:val="sr-Latn-RS" w:eastAsia="sr-Cyrl-CS" w:bidi="sr-Cyrl-CS"/>
                <w14:ligatures w14:val="none"/>
              </w:rPr>
              <w:t>Reformska mjera 2:</w:t>
            </w:r>
            <w:r w:rsidR="001A2776" w:rsidRPr="001A2776">
              <w:rPr>
                <w:rFonts w:ascii="Calibri" w:eastAsia="Calibri" w:hAnsi="Calibri" w:cs="Calibri"/>
                <w:b w:val="0"/>
                <w:iCs/>
                <w:kern w:val="0"/>
                <w:lang w:val="en-GB"/>
                <w14:ligatures w14:val="none"/>
              </w:rPr>
              <w:t xml:space="preserve"> </w:t>
            </w:r>
            <w:r w:rsidR="001A2776" w:rsidRPr="001A2776">
              <w:rPr>
                <w:rFonts w:ascii="Calibri" w:eastAsia="Calibri" w:hAnsi="Calibri" w:cs="Calibri"/>
                <w:b w:val="0"/>
                <w:bCs w:val="0"/>
                <w:i/>
                <w:iCs/>
                <w:kern w:val="0"/>
                <w:lang w:val="en-GB" w:eastAsia="sr-Cyrl-CS" w:bidi="sr-Cyrl-CS"/>
                <w14:ligatures w14:val="none"/>
              </w:rPr>
              <w:t>Uspostavljanje adekvatnog modela upravljanja i efikasnog sistema nadzora nad državnim preduzećima</w:t>
            </w:r>
          </w:p>
          <w:p w14:paraId="1BFF57C8" w14:textId="750E3EC5" w:rsidR="004D422C" w:rsidRDefault="004D422C" w:rsidP="004D422C">
            <w:pPr>
              <w:widowControl w:val="0"/>
              <w:contextualSpacing/>
              <w:jc w:val="both"/>
              <w:rPr>
                <w:rFonts w:ascii="Calibri" w:eastAsia="Calibri" w:hAnsi="Calibri" w:cs="Calibri"/>
                <w:b w:val="0"/>
                <w:iCs/>
                <w:kern w:val="0"/>
                <w:lang w:val="en-GB"/>
                <w14:ligatures w14:val="none"/>
              </w:rPr>
            </w:pPr>
            <w:r w:rsidRPr="004D422C">
              <w:rPr>
                <w:rFonts w:ascii="Calibri" w:eastAsia="Calibri" w:hAnsi="Calibri" w:cs="Calibri"/>
                <w:kern w:val="0"/>
                <w:lang w:val="sr-Latn-RS" w:eastAsia="sr-Cyrl-CS" w:bidi="sr-Cyrl-CS"/>
                <w14:ligatures w14:val="none"/>
              </w:rPr>
              <w:t xml:space="preserve">Strukturna reforma </w:t>
            </w:r>
            <w:r w:rsidR="00321672">
              <w:rPr>
                <w:rFonts w:ascii="Calibri" w:eastAsia="Calibri" w:hAnsi="Calibri" w:cs="Calibri"/>
                <w:kern w:val="0"/>
                <w:lang w:val="sr-Latn-RS" w:eastAsia="sr-Cyrl-CS" w:bidi="sr-Cyrl-CS"/>
                <w14:ligatures w14:val="none"/>
              </w:rPr>
              <w:t xml:space="preserve">br. </w:t>
            </w:r>
            <w:r w:rsidRPr="004D422C">
              <w:rPr>
                <w:rFonts w:ascii="Calibri" w:eastAsia="Calibri" w:hAnsi="Calibri" w:cs="Calibri"/>
                <w:kern w:val="0"/>
                <w:lang w:val="sr-Latn-RS" w:eastAsia="sr-Cyrl-CS" w:bidi="sr-Cyrl-CS"/>
                <w14:ligatures w14:val="none"/>
              </w:rPr>
              <w:t>3:</w:t>
            </w:r>
            <w:r w:rsidR="000C3D9B" w:rsidRPr="000C3D9B">
              <w:rPr>
                <w:rFonts w:ascii="Calibri" w:eastAsia="Calibri" w:hAnsi="Calibri" w:cs="Calibri"/>
                <w:bCs w:val="0"/>
                <w:iCs/>
                <w:kern w:val="0"/>
                <w:lang w:val="en-GB"/>
                <w14:ligatures w14:val="none"/>
              </w:rPr>
              <w:t xml:space="preserve"> Povećanje energetske otpornosti u primjeni Zelene agende</w:t>
            </w:r>
          </w:p>
          <w:p w14:paraId="7A099939" w14:textId="07814E1B" w:rsidR="00391874" w:rsidRPr="00391874" w:rsidRDefault="00391874" w:rsidP="004D422C">
            <w:pPr>
              <w:widowControl w:val="0"/>
              <w:contextualSpacing/>
              <w:jc w:val="both"/>
              <w:rPr>
                <w:rFonts w:ascii="Calibri" w:eastAsia="Calibri" w:hAnsi="Calibri" w:cs="Calibri"/>
                <w:b w:val="0"/>
                <w:iCs/>
                <w:kern w:val="0"/>
                <w:lang w:val="sr-Latn-RS" w:eastAsia="sr-Cyrl-CS" w:bidi="sr-Cyrl-CS"/>
                <w14:ligatures w14:val="none"/>
              </w:rPr>
            </w:pPr>
            <w:r w:rsidRPr="00391874">
              <w:rPr>
                <w:rFonts w:ascii="Calibri" w:eastAsia="Calibri" w:hAnsi="Calibri" w:cs="Calibri"/>
                <w:b w:val="0"/>
                <w:iCs/>
                <w:kern w:val="0"/>
                <w:lang w:val="sr-Latn-ME"/>
                <w14:ligatures w14:val="none"/>
              </w:rPr>
              <w:t xml:space="preserve">Cilj strukturne reforme je jačanje energetske otpornosti kroz </w:t>
            </w:r>
            <w:r w:rsidRPr="00391874">
              <w:rPr>
                <w:rFonts w:ascii="Calibri" w:eastAsia="Times New Roman" w:hAnsi="Calibri" w:cs="Calibri"/>
                <w:b w:val="0"/>
                <w:iCs/>
                <w:kern w:val="0"/>
                <w:lang w:val="bs"/>
                <w14:ligatures w14:val="none"/>
              </w:rPr>
              <w:t>usklađivanje</w:t>
            </w:r>
            <w:r w:rsidRPr="00391874">
              <w:rPr>
                <w:rFonts w:ascii="Calibri" w:eastAsia="Times New Roman" w:hAnsi="Calibri" w:cs="Calibri"/>
                <w:b w:val="0"/>
                <w:iCs/>
                <w:spacing w:val="1"/>
                <w:kern w:val="0"/>
                <w:lang w:val="bs"/>
                <w14:ligatures w14:val="none"/>
              </w:rPr>
              <w:t xml:space="preserve"> </w:t>
            </w:r>
            <w:r w:rsidRPr="00391874">
              <w:rPr>
                <w:rFonts w:ascii="Calibri" w:eastAsia="Times New Roman" w:hAnsi="Calibri" w:cs="Calibri"/>
                <w:b w:val="0"/>
                <w:iCs/>
                <w:kern w:val="0"/>
                <w:lang w:val="bs"/>
                <w14:ligatures w14:val="none"/>
              </w:rPr>
              <w:t>sa</w:t>
            </w:r>
            <w:r w:rsidRPr="00391874">
              <w:rPr>
                <w:rFonts w:ascii="Calibri" w:eastAsia="Times New Roman" w:hAnsi="Calibri" w:cs="Calibri"/>
                <w:b w:val="0"/>
                <w:iCs/>
                <w:spacing w:val="1"/>
                <w:kern w:val="0"/>
                <w:lang w:val="bs"/>
                <w14:ligatures w14:val="none"/>
              </w:rPr>
              <w:t xml:space="preserve"> </w:t>
            </w:r>
            <w:r w:rsidRPr="00391874">
              <w:rPr>
                <w:rFonts w:ascii="Calibri" w:eastAsia="Times New Roman" w:hAnsi="Calibri" w:cs="Calibri"/>
                <w:b w:val="0"/>
                <w:iCs/>
                <w:kern w:val="0"/>
                <w:lang w:val="bs"/>
                <w14:ligatures w14:val="none"/>
              </w:rPr>
              <w:t>energetskim i klimatskim ciljevima do 2030.</w:t>
            </w:r>
          </w:p>
          <w:p w14:paraId="2DD75ED0" w14:textId="7926CB90" w:rsidR="004D422C" w:rsidRPr="00391874" w:rsidRDefault="004D422C" w:rsidP="004D422C">
            <w:pPr>
              <w:widowControl w:val="0"/>
              <w:contextualSpacing/>
              <w:jc w:val="both"/>
              <w:rPr>
                <w:rFonts w:ascii="Calibri" w:eastAsia="Calibri" w:hAnsi="Calibri" w:cs="Calibri"/>
                <w:b w:val="0"/>
                <w:bCs w:val="0"/>
                <w:i/>
                <w:iCs/>
                <w:kern w:val="0"/>
                <w:lang w:val="sr-Latn-RS" w:eastAsia="sr-Cyrl-CS" w:bidi="sr-Cyrl-CS"/>
                <w14:ligatures w14:val="none"/>
              </w:rPr>
            </w:pPr>
            <w:r w:rsidRPr="00391874">
              <w:rPr>
                <w:rFonts w:ascii="Calibri" w:eastAsia="Calibri" w:hAnsi="Calibri" w:cs="Calibri"/>
                <w:b w:val="0"/>
                <w:bCs w:val="0"/>
                <w:i/>
                <w:iCs/>
                <w:kern w:val="0"/>
                <w:lang w:val="sr-Latn-RS" w:eastAsia="sr-Cyrl-CS" w:bidi="sr-Cyrl-CS"/>
                <w14:ligatures w14:val="none"/>
              </w:rPr>
              <w:t>Reformska mjera 3:</w:t>
            </w:r>
            <w:r w:rsidR="000C3D9B" w:rsidRPr="00391874">
              <w:rPr>
                <w:rFonts w:ascii="Calibri" w:eastAsia="Calibri" w:hAnsi="Calibri" w:cs="Calibri"/>
                <w:b w:val="0"/>
                <w:bCs w:val="0"/>
                <w:i/>
                <w:iCs/>
                <w:lang w:val="en-GB"/>
              </w:rPr>
              <w:t xml:space="preserve"> Podsticanje inovacija za Zelenu agendu i prelazak na cirkularnu ekonomiju</w:t>
            </w:r>
          </w:p>
          <w:p w14:paraId="3A5D0C28" w14:textId="7FFAB4CB" w:rsidR="004D422C" w:rsidRDefault="004D422C" w:rsidP="004D422C">
            <w:pPr>
              <w:widowControl w:val="0"/>
              <w:contextualSpacing/>
              <w:jc w:val="both"/>
              <w:rPr>
                <w:rFonts w:ascii="Calibri" w:eastAsia="Calibri" w:hAnsi="Calibri" w:cs="Calibri"/>
                <w:bCs w:val="0"/>
                <w:i/>
                <w:kern w:val="0"/>
                <w:lang w:val="en-GB"/>
                <w14:ligatures w14:val="none"/>
              </w:rPr>
            </w:pPr>
            <w:r w:rsidRPr="00391874">
              <w:rPr>
                <w:rFonts w:ascii="Calibri" w:eastAsia="Calibri" w:hAnsi="Calibri" w:cs="Calibri"/>
                <w:b w:val="0"/>
                <w:bCs w:val="0"/>
                <w:i/>
                <w:iCs/>
                <w:kern w:val="0"/>
                <w:lang w:val="sr-Latn-RS" w:eastAsia="sr-Cyrl-CS" w:bidi="sr-Cyrl-CS"/>
                <w14:ligatures w14:val="none"/>
              </w:rPr>
              <w:t>Reformska mjera 4:</w:t>
            </w:r>
            <w:r w:rsidR="000C3D9B" w:rsidRPr="000C3D9B">
              <w:rPr>
                <w:rFonts w:ascii="Calibri" w:eastAsia="Calibri" w:hAnsi="Calibri" w:cs="Calibri"/>
                <w:b w:val="0"/>
                <w:i/>
                <w:kern w:val="0"/>
                <w:lang w:val="en-GB"/>
                <w14:ligatures w14:val="none"/>
              </w:rPr>
              <w:t xml:space="preserve"> Jačanje mehanizama za dekarbonizaciju</w:t>
            </w:r>
          </w:p>
          <w:p w14:paraId="3E821BE3" w14:textId="0097EAF1" w:rsidR="000C3D9B" w:rsidRPr="000C3D9B" w:rsidRDefault="000C3D9B" w:rsidP="000C3D9B">
            <w:pPr>
              <w:jc w:val="both"/>
              <w:rPr>
                <w:rFonts w:ascii="Calibri" w:eastAsia="Calibri" w:hAnsi="Calibri" w:cs="Calibri"/>
                <w:kern w:val="0"/>
                <w:lang w:val="en-GB"/>
                <w14:ligatures w14:val="none"/>
              </w:rPr>
            </w:pPr>
            <w:r w:rsidRPr="000C3D9B">
              <w:rPr>
                <w:rFonts w:ascii="Calibri" w:eastAsia="Calibri" w:hAnsi="Calibri" w:cs="Calibri"/>
                <w:kern w:val="0"/>
                <w:lang w:val="en-GB"/>
                <w14:ligatures w14:val="none"/>
              </w:rPr>
              <w:t>Strukturna reforma br. 4. Digitalizacija u funkciji održivosti ekonomije</w:t>
            </w:r>
          </w:p>
          <w:p w14:paraId="098374BE" w14:textId="6CAA305C" w:rsidR="000C3D9B" w:rsidRDefault="000C3D9B" w:rsidP="004D422C">
            <w:pPr>
              <w:widowControl w:val="0"/>
              <w:contextualSpacing/>
              <w:jc w:val="both"/>
              <w:rPr>
                <w:rFonts w:ascii="Calibri" w:eastAsia="Calibri" w:hAnsi="Calibri" w:cs="Calibri"/>
                <w:bCs w:val="0"/>
                <w:i/>
                <w:kern w:val="0"/>
                <w:lang w:val="en-GB"/>
                <w14:ligatures w14:val="none"/>
              </w:rPr>
            </w:pPr>
            <w:r w:rsidRPr="000C3D9B">
              <w:rPr>
                <w:rFonts w:ascii="Calibri" w:eastAsia="Calibri" w:hAnsi="Calibri" w:cs="Calibri"/>
                <w:b w:val="0"/>
                <w:bCs w:val="0"/>
                <w:i/>
                <w:iCs/>
                <w:kern w:val="0"/>
                <w:lang w:val="sr-Latn-RS"/>
                <w14:ligatures w14:val="none"/>
              </w:rPr>
              <w:t>Reformska mjera 5.</w:t>
            </w:r>
            <w:r w:rsidRPr="000C3D9B">
              <w:rPr>
                <w:rFonts w:ascii="Calibri" w:eastAsia="Calibri" w:hAnsi="Calibri" w:cs="Calibri"/>
                <w:b w:val="0"/>
                <w:i/>
                <w:kern w:val="0"/>
                <w:lang w:val="en-GB"/>
                <w14:ligatures w14:val="none"/>
              </w:rPr>
              <w:t xml:space="preserve"> Unapređenje digitalizacije i sajber bezbjednosti uz jačanje infrastrukture za širokopojasni pristup internetu</w:t>
            </w:r>
          </w:p>
          <w:p w14:paraId="7FD34B35" w14:textId="25658BF8" w:rsidR="00D330C3" w:rsidRPr="00D330C3" w:rsidRDefault="00D330C3" w:rsidP="00D330C3">
            <w:pPr>
              <w:widowControl w:val="0"/>
              <w:contextualSpacing/>
              <w:jc w:val="both"/>
              <w:rPr>
                <w:rFonts w:ascii="Calibri" w:eastAsia="Calibri" w:hAnsi="Calibri" w:cs="Calibri"/>
                <w:b w:val="0"/>
                <w:bCs w:val="0"/>
                <w:i/>
                <w:iCs/>
                <w:kern w:val="0"/>
                <w14:ligatures w14:val="none"/>
              </w:rPr>
            </w:pPr>
            <w:r w:rsidRPr="00D330C3">
              <w:rPr>
                <w:rFonts w:ascii="Calibri" w:eastAsia="Calibri" w:hAnsi="Calibri" w:cs="Calibri"/>
                <w:b w:val="0"/>
                <w:bCs w:val="0"/>
                <w:i/>
                <w:iCs/>
                <w:kern w:val="0"/>
                <w14:ligatures w14:val="none"/>
              </w:rPr>
              <w:t xml:space="preserve">Reformska mjera br. 6: </w:t>
            </w:r>
            <w:r w:rsidR="0043016C">
              <w:rPr>
                <w:rFonts w:ascii="Calibri" w:eastAsia="Calibri" w:hAnsi="Calibri" w:cs="Calibri"/>
                <w:b w:val="0"/>
                <w:bCs w:val="0"/>
                <w:i/>
                <w:iCs/>
                <w:kern w:val="0"/>
                <w14:ligatures w14:val="none"/>
              </w:rPr>
              <w:t>Digital</w:t>
            </w:r>
            <w:r w:rsidR="004C59AA">
              <w:rPr>
                <w:rFonts w:ascii="Calibri" w:eastAsia="Calibri" w:hAnsi="Calibri" w:cs="Calibri"/>
                <w:b w:val="0"/>
                <w:bCs w:val="0"/>
                <w:i/>
                <w:iCs/>
                <w:kern w:val="0"/>
                <w14:ligatures w14:val="none"/>
              </w:rPr>
              <w:t>i</w:t>
            </w:r>
            <w:r w:rsidR="0043016C">
              <w:rPr>
                <w:rFonts w:ascii="Calibri" w:eastAsia="Calibri" w:hAnsi="Calibri" w:cs="Calibri"/>
                <w:b w:val="0"/>
                <w:bCs w:val="0"/>
                <w:i/>
                <w:iCs/>
                <w:kern w:val="0"/>
                <w14:ligatures w14:val="none"/>
              </w:rPr>
              <w:t>zacija zdravstvenog sistema u Crnoj Gori</w:t>
            </w:r>
          </w:p>
          <w:p w14:paraId="1EA83605" w14:textId="04152F98" w:rsidR="004D422C" w:rsidRDefault="004D422C" w:rsidP="004D422C">
            <w:pPr>
              <w:widowControl w:val="0"/>
              <w:contextualSpacing/>
              <w:jc w:val="both"/>
              <w:rPr>
                <w:rFonts w:ascii="Calibri" w:eastAsia="Calibri" w:hAnsi="Calibri" w:cs="Calibri"/>
                <w:b w:val="0"/>
                <w:bCs w:val="0"/>
                <w:kern w:val="0"/>
                <w:lang w:val="en-GB"/>
                <w14:ligatures w14:val="none"/>
              </w:rPr>
            </w:pPr>
            <w:r w:rsidRPr="004D422C">
              <w:rPr>
                <w:rFonts w:ascii="Calibri" w:eastAsia="Calibri" w:hAnsi="Calibri" w:cs="Calibri"/>
                <w:kern w:val="0"/>
                <w:lang w:val="sr-Latn-RS" w:eastAsia="sr-Cyrl-CS" w:bidi="sr-Cyrl-CS"/>
                <w14:ligatures w14:val="none"/>
              </w:rPr>
              <w:t xml:space="preserve">Strukturna reforma </w:t>
            </w:r>
            <w:r w:rsidR="00321672">
              <w:rPr>
                <w:rFonts w:ascii="Calibri" w:eastAsia="Calibri" w:hAnsi="Calibri" w:cs="Calibri"/>
                <w:kern w:val="0"/>
                <w:lang w:val="sr-Latn-RS" w:eastAsia="sr-Cyrl-CS" w:bidi="sr-Cyrl-CS"/>
                <w14:ligatures w14:val="none"/>
              </w:rPr>
              <w:t xml:space="preserve">br. </w:t>
            </w:r>
            <w:r w:rsidR="000C3D9B">
              <w:rPr>
                <w:rFonts w:ascii="Calibri" w:eastAsia="Calibri" w:hAnsi="Calibri" w:cs="Calibri"/>
                <w:kern w:val="0"/>
                <w:lang w:val="sr-Latn-RS" w:eastAsia="sr-Cyrl-CS" w:bidi="sr-Cyrl-CS"/>
                <w14:ligatures w14:val="none"/>
              </w:rPr>
              <w:t>5</w:t>
            </w:r>
            <w:r w:rsidRPr="004D422C">
              <w:rPr>
                <w:rFonts w:ascii="Calibri" w:eastAsia="Calibri" w:hAnsi="Calibri" w:cs="Calibri"/>
                <w:kern w:val="0"/>
                <w:lang w:val="sr-Latn-RS" w:eastAsia="sr-Cyrl-CS" w:bidi="sr-Cyrl-CS"/>
                <w14:ligatures w14:val="none"/>
              </w:rPr>
              <w:t>:</w:t>
            </w:r>
            <w:r w:rsidR="000C3D9B" w:rsidRPr="000C3D9B">
              <w:rPr>
                <w:rFonts w:ascii="Calibri" w:eastAsia="Calibri" w:hAnsi="Calibri" w:cs="Calibri"/>
                <w:kern w:val="0"/>
                <w:lang w:val="en-GB"/>
                <w14:ligatures w14:val="none"/>
              </w:rPr>
              <w:t xml:space="preserve"> Unapređenje okvira za </w:t>
            </w:r>
            <w:r w:rsidR="000C3D9B">
              <w:rPr>
                <w:rFonts w:ascii="Calibri" w:eastAsia="Calibri" w:hAnsi="Calibri" w:cs="Calibri"/>
                <w:kern w:val="0"/>
                <w:lang w:val="en-GB"/>
                <w14:ligatures w14:val="none"/>
              </w:rPr>
              <w:t>bolju</w:t>
            </w:r>
            <w:r w:rsidR="000C3D9B" w:rsidRPr="000C3D9B">
              <w:rPr>
                <w:rFonts w:ascii="Calibri" w:eastAsia="Calibri" w:hAnsi="Calibri" w:cs="Calibri"/>
                <w:kern w:val="0"/>
                <w:lang w:val="en-GB"/>
                <w14:ligatures w14:val="none"/>
              </w:rPr>
              <w:t xml:space="preserve"> zapošljivost mladih i </w:t>
            </w:r>
            <w:r w:rsidR="000C3D9B">
              <w:rPr>
                <w:rFonts w:ascii="Calibri" w:eastAsia="Calibri" w:hAnsi="Calibri" w:cs="Calibri"/>
                <w:kern w:val="0"/>
                <w:lang w:val="en-GB"/>
                <w14:ligatures w14:val="none"/>
              </w:rPr>
              <w:t xml:space="preserve">veći </w:t>
            </w:r>
            <w:r w:rsidR="000C3D9B" w:rsidRPr="000C3D9B">
              <w:rPr>
                <w:rFonts w:ascii="Calibri" w:eastAsia="Calibri" w:hAnsi="Calibri" w:cs="Calibri"/>
                <w:kern w:val="0"/>
                <w:lang w:val="en-GB"/>
                <w14:ligatures w14:val="none"/>
              </w:rPr>
              <w:t>kvalitet obrazovanja</w:t>
            </w:r>
          </w:p>
          <w:p w14:paraId="24709FC6" w14:textId="5DB294D6" w:rsidR="000C3D9B" w:rsidRPr="00391874" w:rsidRDefault="000C3D9B" w:rsidP="004D422C">
            <w:pPr>
              <w:widowControl w:val="0"/>
              <w:contextualSpacing/>
              <w:jc w:val="both"/>
              <w:rPr>
                <w:rFonts w:ascii="Calibri" w:eastAsia="Calibri" w:hAnsi="Calibri" w:cs="Calibri"/>
                <w:iCs/>
                <w:kern w:val="0"/>
                <w:lang w:val="sr-Latn-RS" w:eastAsia="sr-Cyrl-CS" w:bidi="sr-Cyrl-CS"/>
                <w14:ligatures w14:val="none"/>
              </w:rPr>
            </w:pPr>
            <w:r w:rsidRPr="00391874">
              <w:rPr>
                <w:rFonts w:ascii="Calibri" w:eastAsia="Calibri" w:hAnsi="Calibri" w:cs="Calibri"/>
                <w:b w:val="0"/>
                <w:iCs/>
                <w:kern w:val="0"/>
                <w:lang w:val="sr-Latn-RS"/>
                <w14:ligatures w14:val="none"/>
              </w:rPr>
              <w:t>Cilj strukturne reforme je</w:t>
            </w:r>
            <w:r w:rsidRPr="00391874">
              <w:rPr>
                <w:rFonts w:ascii="Calibri" w:eastAsia="Calibri" w:hAnsi="Calibri" w:cs="Calibri"/>
                <w:b w:val="0"/>
                <w:bCs w:val="0"/>
                <w:iCs/>
                <w:kern w:val="0"/>
                <w:lang w:val="sr-Latn-RS"/>
                <w14:ligatures w14:val="none"/>
              </w:rPr>
              <w:t xml:space="preserve"> poboljšanje položaja mladih za olakšano uključivanje na tržište rada uz unapređenje  obrazovanja i </w:t>
            </w:r>
            <w:r w:rsidR="00D64C44">
              <w:rPr>
                <w:rFonts w:ascii="Calibri" w:eastAsia="Calibri" w:hAnsi="Calibri" w:cs="Calibri"/>
                <w:b w:val="0"/>
                <w:bCs w:val="0"/>
                <w:iCs/>
                <w:kern w:val="0"/>
                <w:lang w:val="sr-Latn-RS"/>
                <w14:ligatures w14:val="none"/>
              </w:rPr>
              <w:t xml:space="preserve">profesionalog </w:t>
            </w:r>
            <w:r w:rsidRPr="00391874">
              <w:rPr>
                <w:rFonts w:ascii="Calibri" w:eastAsia="Calibri" w:hAnsi="Calibri" w:cs="Calibri"/>
                <w:b w:val="0"/>
                <w:bCs w:val="0"/>
                <w:iCs/>
                <w:kern w:val="0"/>
                <w:lang w:val="sr-Latn-RS"/>
                <w14:ligatures w14:val="none"/>
              </w:rPr>
              <w:t>usavršavanja.</w:t>
            </w:r>
          </w:p>
          <w:p w14:paraId="3F3C5DEB" w14:textId="43F300B1" w:rsidR="004D422C" w:rsidRPr="00391874" w:rsidRDefault="004D422C" w:rsidP="004D422C">
            <w:pPr>
              <w:widowControl w:val="0"/>
              <w:contextualSpacing/>
              <w:jc w:val="both"/>
              <w:rPr>
                <w:rFonts w:ascii="Calibri" w:eastAsia="Calibri" w:hAnsi="Calibri" w:cs="Calibri"/>
                <w:b w:val="0"/>
                <w:bCs w:val="0"/>
                <w:i/>
                <w:iCs/>
                <w:kern w:val="0"/>
                <w:lang w:val="sr-Latn-RS" w:eastAsia="sr-Cyrl-CS" w:bidi="sr-Cyrl-CS"/>
                <w14:ligatures w14:val="none"/>
              </w:rPr>
            </w:pPr>
            <w:r w:rsidRPr="00391874">
              <w:rPr>
                <w:rFonts w:ascii="Calibri" w:eastAsia="Calibri" w:hAnsi="Calibri" w:cs="Calibri"/>
                <w:b w:val="0"/>
                <w:bCs w:val="0"/>
                <w:i/>
                <w:iCs/>
                <w:kern w:val="0"/>
                <w:lang w:val="sr-Latn-RS" w:eastAsia="sr-Cyrl-CS" w:bidi="sr-Cyrl-CS"/>
                <w14:ligatures w14:val="none"/>
              </w:rPr>
              <w:t xml:space="preserve">Reformska mjera </w:t>
            </w:r>
            <w:r w:rsidR="00B85232">
              <w:rPr>
                <w:rFonts w:ascii="Calibri" w:eastAsia="Calibri" w:hAnsi="Calibri" w:cs="Calibri"/>
                <w:b w:val="0"/>
                <w:bCs w:val="0"/>
                <w:i/>
                <w:iCs/>
                <w:kern w:val="0"/>
                <w:lang w:val="sr-Latn-RS" w:eastAsia="sr-Cyrl-CS" w:bidi="sr-Cyrl-CS"/>
                <w14:ligatures w14:val="none"/>
              </w:rPr>
              <w:t>7</w:t>
            </w:r>
            <w:r w:rsidRPr="00391874">
              <w:rPr>
                <w:rFonts w:ascii="Calibri" w:eastAsia="Calibri" w:hAnsi="Calibri" w:cs="Calibri"/>
                <w:b w:val="0"/>
                <w:bCs w:val="0"/>
                <w:i/>
                <w:iCs/>
                <w:kern w:val="0"/>
                <w:lang w:val="sr-Latn-RS" w:eastAsia="sr-Cyrl-CS" w:bidi="sr-Cyrl-CS"/>
                <w14:ligatures w14:val="none"/>
              </w:rPr>
              <w:t>.</w:t>
            </w:r>
            <w:r w:rsidR="00391874" w:rsidRPr="00391874">
              <w:rPr>
                <w:rFonts w:ascii="Calibri" w:eastAsia="Calibri" w:hAnsi="Calibri" w:cs="Calibri"/>
                <w:b w:val="0"/>
                <w:bCs w:val="0"/>
                <w:i/>
                <w:kern w:val="0"/>
                <w:lang w:val="en-GB"/>
                <w14:ligatures w14:val="none"/>
              </w:rPr>
              <w:t xml:space="preserve"> Uvođenje programa Ganracija za mlade u Crnoj Gori</w:t>
            </w:r>
          </w:p>
          <w:p w14:paraId="09EBCB87" w14:textId="1F6A66AD" w:rsidR="004D422C" w:rsidRPr="004D422C" w:rsidRDefault="004D422C" w:rsidP="004D422C">
            <w:pPr>
              <w:widowControl w:val="0"/>
              <w:contextualSpacing/>
              <w:jc w:val="both"/>
              <w:rPr>
                <w:rFonts w:ascii="Calibri" w:eastAsia="Calibri" w:hAnsi="Calibri" w:cs="Calibri"/>
                <w:i/>
                <w:iCs/>
                <w:kern w:val="0"/>
                <w:lang w:val="sr-Latn-RS" w:eastAsia="sr-Cyrl-CS" w:bidi="sr-Cyrl-CS"/>
                <w14:ligatures w14:val="none"/>
              </w:rPr>
            </w:pPr>
            <w:r w:rsidRPr="00391874">
              <w:rPr>
                <w:rFonts w:ascii="Calibri" w:eastAsia="Calibri" w:hAnsi="Calibri" w:cs="Calibri"/>
                <w:b w:val="0"/>
                <w:bCs w:val="0"/>
                <w:i/>
                <w:iCs/>
                <w:kern w:val="0"/>
                <w:lang w:val="sr-Latn-RS" w:eastAsia="sr-Cyrl-CS" w:bidi="sr-Cyrl-CS"/>
                <w14:ligatures w14:val="none"/>
              </w:rPr>
              <w:t xml:space="preserve">Reformska mjera </w:t>
            </w:r>
            <w:r w:rsidR="00B85232">
              <w:rPr>
                <w:rFonts w:ascii="Calibri" w:eastAsia="Calibri" w:hAnsi="Calibri" w:cs="Calibri"/>
                <w:b w:val="0"/>
                <w:bCs w:val="0"/>
                <w:i/>
                <w:iCs/>
                <w:kern w:val="0"/>
                <w:lang w:val="sr-Latn-RS" w:eastAsia="sr-Cyrl-CS" w:bidi="sr-Cyrl-CS"/>
                <w14:ligatures w14:val="none"/>
              </w:rPr>
              <w:t>8</w:t>
            </w:r>
            <w:r w:rsidRPr="00391874">
              <w:rPr>
                <w:rFonts w:ascii="Calibri" w:eastAsia="Calibri" w:hAnsi="Calibri" w:cs="Calibri"/>
                <w:b w:val="0"/>
                <w:bCs w:val="0"/>
                <w:i/>
                <w:iCs/>
                <w:kern w:val="0"/>
                <w:lang w:val="sr-Latn-RS" w:eastAsia="sr-Cyrl-CS" w:bidi="sr-Cyrl-CS"/>
                <w14:ligatures w14:val="none"/>
              </w:rPr>
              <w:t>.</w:t>
            </w:r>
            <w:r w:rsidR="00391874" w:rsidRPr="00391874">
              <w:rPr>
                <w:rFonts w:ascii="Calibri" w:eastAsia="Calibri" w:hAnsi="Calibri" w:cs="Calibri"/>
                <w:b w:val="0"/>
                <w:i/>
                <w:kern w:val="0"/>
                <w:lang w:val="en-GB"/>
                <w14:ligatures w14:val="none"/>
              </w:rPr>
              <w:t xml:space="preserve"> Razvoj integrisanog pristupa povećanju kvaliteta i inkluzivnosti obrazovanja</w:t>
            </w:r>
          </w:p>
          <w:p w14:paraId="32C236AE" w14:textId="7D1BD765" w:rsidR="000C3D9B" w:rsidRPr="000C3D9B" w:rsidRDefault="004D422C" w:rsidP="000C3D9B">
            <w:pPr>
              <w:jc w:val="both"/>
              <w:rPr>
                <w:rFonts w:ascii="Calibri" w:eastAsia="Calibri" w:hAnsi="Calibri" w:cs="Calibri"/>
                <w:kern w:val="0"/>
                <w:lang w:val="en-GB"/>
                <w14:ligatures w14:val="none"/>
              </w:rPr>
            </w:pPr>
            <w:r w:rsidRPr="004D422C">
              <w:rPr>
                <w:rFonts w:ascii="Calibri" w:eastAsia="Calibri" w:hAnsi="Calibri" w:cs="Calibri"/>
                <w:kern w:val="0"/>
                <w:lang w:val="sr-Latn-RS" w:eastAsia="sr-Cyrl-CS" w:bidi="sr-Cyrl-CS"/>
                <w14:ligatures w14:val="none"/>
              </w:rPr>
              <w:t xml:space="preserve">Strukturna reforma </w:t>
            </w:r>
            <w:r w:rsidR="00321672">
              <w:rPr>
                <w:rFonts w:ascii="Calibri" w:eastAsia="Calibri" w:hAnsi="Calibri" w:cs="Calibri"/>
                <w:kern w:val="0"/>
                <w:lang w:val="sr-Latn-RS" w:eastAsia="sr-Cyrl-CS" w:bidi="sr-Cyrl-CS"/>
                <w14:ligatures w14:val="none"/>
              </w:rPr>
              <w:t xml:space="preserve">br. </w:t>
            </w:r>
            <w:r w:rsidRPr="004D422C">
              <w:rPr>
                <w:rFonts w:ascii="Calibri" w:eastAsia="Calibri" w:hAnsi="Calibri" w:cs="Calibri"/>
                <w:kern w:val="0"/>
                <w:lang w:val="sr-Latn-RS" w:eastAsia="sr-Cyrl-CS" w:bidi="sr-Cyrl-CS"/>
                <w14:ligatures w14:val="none"/>
              </w:rPr>
              <w:t>6:</w:t>
            </w:r>
            <w:r w:rsidR="000C3D9B" w:rsidRPr="000C3D9B">
              <w:rPr>
                <w:rFonts w:ascii="Calibri" w:eastAsia="Calibri" w:hAnsi="Calibri" w:cs="Calibri"/>
                <w:b w:val="0"/>
                <w:bCs w:val="0"/>
                <w:kern w:val="0"/>
                <w:lang w:val="en-GB"/>
                <w14:ligatures w14:val="none"/>
              </w:rPr>
              <w:t xml:space="preserve"> </w:t>
            </w:r>
            <w:r w:rsidR="000C3D9B" w:rsidRPr="000C3D9B">
              <w:rPr>
                <w:rFonts w:ascii="Calibri" w:eastAsia="Calibri" w:hAnsi="Calibri" w:cs="Calibri"/>
                <w:kern w:val="0"/>
                <w:lang w:val="en-GB"/>
                <w14:ligatures w14:val="none"/>
              </w:rPr>
              <w:t>Povećanje djelotvornosti sistema socijalne i dječje zaštite</w:t>
            </w:r>
          </w:p>
          <w:p w14:paraId="35EBB4A3" w14:textId="05EEB1D2" w:rsidR="004D422C" w:rsidRPr="00391874" w:rsidRDefault="00391874" w:rsidP="004D422C">
            <w:pPr>
              <w:widowControl w:val="0"/>
              <w:contextualSpacing/>
              <w:jc w:val="both"/>
              <w:rPr>
                <w:rFonts w:ascii="Calibri" w:eastAsia="Calibri" w:hAnsi="Calibri" w:cs="Calibri"/>
                <w:b w:val="0"/>
                <w:bCs w:val="0"/>
                <w:iCs/>
                <w:kern w:val="0"/>
                <w:lang w:val="sr-Latn-RS" w:eastAsia="sr-Cyrl-CS" w:bidi="sr-Cyrl-CS"/>
                <w14:ligatures w14:val="none"/>
              </w:rPr>
            </w:pPr>
            <w:r w:rsidRPr="00391874">
              <w:rPr>
                <w:rFonts w:ascii="Calibri" w:eastAsia="Times New Roman" w:hAnsi="Calibri" w:cs="Calibri"/>
                <w:b w:val="0"/>
                <w:bCs w:val="0"/>
                <w:iCs/>
                <w:kern w:val="0"/>
                <w:lang w:val="sr-Latn-ME"/>
                <w14:ligatures w14:val="none"/>
              </w:rPr>
              <w:t>Cilj strukturne reforme je razvoj društveno i fiskalno održivih usluga socijalne zaštite.</w:t>
            </w:r>
          </w:p>
          <w:p w14:paraId="2E7DACB4" w14:textId="0B5230EA" w:rsidR="004D422C" w:rsidRPr="004D422C" w:rsidRDefault="004D422C" w:rsidP="004D422C">
            <w:pPr>
              <w:widowControl w:val="0"/>
              <w:contextualSpacing/>
              <w:jc w:val="both"/>
              <w:rPr>
                <w:rFonts w:ascii="Calibri" w:eastAsia="Calibri" w:hAnsi="Calibri" w:cs="Calibri"/>
                <w:i/>
                <w:iCs/>
                <w:kern w:val="0"/>
                <w:lang w:val="sr-Latn-RS" w:eastAsia="sr-Cyrl-CS" w:bidi="sr-Cyrl-CS"/>
                <w14:ligatures w14:val="none"/>
              </w:rPr>
            </w:pPr>
            <w:r w:rsidRPr="00391874">
              <w:rPr>
                <w:rFonts w:ascii="Calibri" w:eastAsia="Calibri" w:hAnsi="Calibri" w:cs="Calibri"/>
                <w:b w:val="0"/>
                <w:bCs w:val="0"/>
                <w:i/>
                <w:iCs/>
                <w:kern w:val="0"/>
                <w:lang w:val="sr-Latn-RS" w:eastAsia="sr-Cyrl-CS" w:bidi="sr-Cyrl-CS"/>
                <w14:ligatures w14:val="none"/>
              </w:rPr>
              <w:t xml:space="preserve">Reformska mjera </w:t>
            </w:r>
            <w:r w:rsidR="00B85232">
              <w:rPr>
                <w:rFonts w:ascii="Calibri" w:eastAsia="Calibri" w:hAnsi="Calibri" w:cs="Calibri"/>
                <w:b w:val="0"/>
                <w:bCs w:val="0"/>
                <w:i/>
                <w:iCs/>
                <w:kern w:val="0"/>
                <w:lang w:val="sr-Latn-RS" w:eastAsia="sr-Cyrl-CS" w:bidi="sr-Cyrl-CS"/>
                <w14:ligatures w14:val="none"/>
              </w:rPr>
              <w:t>9</w:t>
            </w:r>
            <w:r w:rsidRPr="00391874">
              <w:rPr>
                <w:rFonts w:ascii="Calibri" w:eastAsia="Calibri" w:hAnsi="Calibri" w:cs="Calibri"/>
                <w:b w:val="0"/>
                <w:bCs w:val="0"/>
                <w:i/>
                <w:iCs/>
                <w:kern w:val="0"/>
                <w:lang w:val="sr-Latn-RS" w:eastAsia="sr-Cyrl-CS" w:bidi="sr-Cyrl-CS"/>
                <w14:ligatures w14:val="none"/>
              </w:rPr>
              <w:t>.</w:t>
            </w:r>
            <w:r w:rsidR="000C3D9B" w:rsidRPr="000C3D9B">
              <w:rPr>
                <w:rFonts w:ascii="Calibri" w:eastAsia="Calibri" w:hAnsi="Calibri" w:cs="Calibri"/>
                <w:b w:val="0"/>
                <w:bCs w:val="0"/>
                <w:i/>
                <w:iCs/>
                <w:kern w:val="0"/>
                <w:lang w:val="en-GB"/>
                <w14:ligatures w14:val="none"/>
              </w:rPr>
              <w:t xml:space="preserve"> Reforma sistema socijalne i dječije zaštite na osnovu mape puta</w:t>
            </w:r>
          </w:p>
        </w:tc>
      </w:tr>
    </w:tbl>
    <w:p w14:paraId="6A4BCA91" w14:textId="13174C98" w:rsidR="004D422C" w:rsidRDefault="004D422C" w:rsidP="00C82B3B">
      <w:pPr>
        <w:jc w:val="both"/>
        <w:rPr>
          <w:rFonts w:ascii="Calibri" w:eastAsia="Calibri" w:hAnsi="Calibri" w:cs="Calibri"/>
          <w:b/>
          <w:bCs/>
          <w:kern w:val="0"/>
          <w:lang w:val="sr-Latn-RS" w:eastAsia="sr-Cyrl-CS" w:bidi="sr-Cyrl-CS"/>
          <w14:ligatures w14:val="none"/>
        </w:rPr>
      </w:pPr>
    </w:p>
    <w:p w14:paraId="7FE21C89" w14:textId="0CA4845A" w:rsidR="00C83383" w:rsidRDefault="00C83383" w:rsidP="00C82B3B">
      <w:pPr>
        <w:jc w:val="both"/>
        <w:rPr>
          <w:rFonts w:ascii="Calibri" w:eastAsia="Calibri" w:hAnsi="Calibri" w:cs="Calibri"/>
          <w:b/>
          <w:bCs/>
          <w:kern w:val="0"/>
          <w:lang w:val="sr-Latn-RS" w:eastAsia="sr-Cyrl-CS" w:bidi="sr-Cyrl-CS"/>
          <w14:ligatures w14:val="none"/>
        </w:rPr>
      </w:pPr>
    </w:p>
    <w:p w14:paraId="1E762BD1" w14:textId="6CC27E01" w:rsidR="00C83383" w:rsidRDefault="00C83383" w:rsidP="00C82B3B">
      <w:pPr>
        <w:jc w:val="both"/>
        <w:rPr>
          <w:rFonts w:ascii="Calibri" w:eastAsia="Calibri" w:hAnsi="Calibri" w:cs="Calibri"/>
          <w:b/>
          <w:bCs/>
          <w:kern w:val="0"/>
          <w:lang w:val="sr-Latn-RS" w:eastAsia="sr-Cyrl-CS" w:bidi="sr-Cyrl-CS"/>
          <w14:ligatures w14:val="none"/>
        </w:rPr>
      </w:pPr>
    </w:p>
    <w:p w14:paraId="7C68E60B" w14:textId="77777777" w:rsidR="00C83383" w:rsidRDefault="00C83383" w:rsidP="00C82B3B">
      <w:pPr>
        <w:jc w:val="both"/>
        <w:rPr>
          <w:rFonts w:ascii="Calibri" w:eastAsia="Calibri" w:hAnsi="Calibri" w:cs="Calibri"/>
          <w:b/>
          <w:bCs/>
          <w:kern w:val="0"/>
          <w:lang w:val="sr-Latn-RS" w:eastAsia="sr-Cyrl-CS" w:bidi="sr-Cyrl-CS"/>
          <w14:ligatures w14:val="none"/>
        </w:rPr>
      </w:pPr>
    </w:p>
    <w:p w14:paraId="57F72EA3" w14:textId="0DD3E4C9" w:rsidR="00CA7341" w:rsidRPr="0078602A" w:rsidRDefault="00E448C6" w:rsidP="00CB2E14">
      <w:pPr>
        <w:pStyle w:val="Heading1"/>
        <w:shd w:val="clear" w:color="auto" w:fill="B4C6E7" w:themeFill="accent1" w:themeFillTint="66"/>
        <w:rPr>
          <w:b/>
        </w:rPr>
      </w:pPr>
      <w:bookmarkStart w:id="189" w:name="_Toc153305367"/>
      <w:r w:rsidRPr="0078602A">
        <w:rPr>
          <w:b/>
        </w:rPr>
        <w:lastRenderedPageBreak/>
        <w:t>6</w:t>
      </w:r>
      <w:r w:rsidR="00CA7341" w:rsidRPr="0078602A">
        <w:rPr>
          <w:b/>
        </w:rPr>
        <w:t>. TROŠKOVI I FINANSIRANJE STRUKTURNIH REFORMI</w:t>
      </w:r>
      <w:bookmarkEnd w:id="189"/>
    </w:p>
    <w:p w14:paraId="40C50479" w14:textId="28F5C7B3" w:rsidR="00CA7341" w:rsidRPr="00A2653F" w:rsidRDefault="00CA7341" w:rsidP="00CA7341">
      <w:pPr>
        <w:jc w:val="both"/>
        <w:rPr>
          <w:sz w:val="24"/>
          <w:szCs w:val="24"/>
          <w:lang w:val="sr-Latn-ME"/>
        </w:rPr>
      </w:pPr>
      <w:r w:rsidRPr="00A2653F">
        <w:rPr>
          <w:sz w:val="24"/>
          <w:szCs w:val="24"/>
          <w:lang w:val="sr-Latn-ME"/>
        </w:rPr>
        <w:t xml:space="preserve">U </w:t>
      </w:r>
      <w:r>
        <w:rPr>
          <w:sz w:val="24"/>
          <w:szCs w:val="24"/>
          <w:lang w:val="sr-Latn-ME"/>
        </w:rPr>
        <w:t xml:space="preserve">ovom </w:t>
      </w:r>
      <w:r w:rsidRPr="00A2653F">
        <w:rPr>
          <w:sz w:val="24"/>
          <w:szCs w:val="24"/>
          <w:lang w:val="sr-Latn-ME"/>
        </w:rPr>
        <w:t>poglavlju PER-a za period 202</w:t>
      </w:r>
      <w:r w:rsidRPr="007D135F">
        <w:rPr>
          <w:sz w:val="24"/>
          <w:szCs w:val="24"/>
          <w:lang w:val="sr-Latn-ME"/>
        </w:rPr>
        <w:t>4</w:t>
      </w:r>
      <w:r w:rsidRPr="00A2653F">
        <w:rPr>
          <w:sz w:val="24"/>
          <w:szCs w:val="24"/>
          <w:lang w:val="sr-Latn-ME"/>
        </w:rPr>
        <w:t>-202</w:t>
      </w:r>
      <w:r w:rsidRPr="007D135F">
        <w:rPr>
          <w:sz w:val="24"/>
          <w:szCs w:val="24"/>
          <w:lang w:val="sr-Latn-ME"/>
        </w:rPr>
        <w:t>6</w:t>
      </w:r>
      <w:r w:rsidRPr="00A2653F">
        <w:rPr>
          <w:sz w:val="24"/>
          <w:szCs w:val="24"/>
          <w:lang w:val="sr-Latn-ME"/>
        </w:rPr>
        <w:t xml:space="preserve">. prikazan je ukupan iznos dodatnih troškova i finansiranje </w:t>
      </w:r>
      <w:r w:rsidRPr="007D135F">
        <w:rPr>
          <w:sz w:val="24"/>
          <w:szCs w:val="24"/>
          <w:lang w:val="sr-Latn-ME"/>
        </w:rPr>
        <w:t>6 strukturnih reformi i 9 reformskih mjera u ok</w:t>
      </w:r>
      <w:r>
        <w:rPr>
          <w:sz w:val="24"/>
          <w:szCs w:val="24"/>
          <w:lang w:val="sr-Latn-ME"/>
        </w:rPr>
        <w:t>vi</w:t>
      </w:r>
      <w:r w:rsidRPr="007D135F">
        <w:rPr>
          <w:sz w:val="24"/>
          <w:szCs w:val="24"/>
          <w:lang w:val="sr-Latn-ME"/>
        </w:rPr>
        <w:t>ru navedenih reformi</w:t>
      </w:r>
      <w:r w:rsidRPr="00A2653F">
        <w:rPr>
          <w:sz w:val="24"/>
          <w:szCs w:val="24"/>
          <w:lang w:val="sr-Latn-ME"/>
        </w:rPr>
        <w:t xml:space="preserve"> obuhvaćenih poglavljem 5 dokumenta. Imajući u vidu da prioritetne reformske mjere</w:t>
      </w:r>
      <w:r>
        <w:rPr>
          <w:sz w:val="24"/>
          <w:szCs w:val="24"/>
          <w:lang w:val="sr-Latn-ME"/>
        </w:rPr>
        <w:t>, shodno Smjernicama EK za izradu PER-a</w:t>
      </w:r>
      <w:r w:rsidRPr="00A2653F">
        <w:rPr>
          <w:sz w:val="24"/>
          <w:szCs w:val="24"/>
          <w:lang w:val="sr-Latn-ME"/>
        </w:rPr>
        <w:t xml:space="preserve"> u PER-u nijesu infrastrukturne, već </w:t>
      </w:r>
      <w:r w:rsidRPr="007D135F">
        <w:rPr>
          <w:sz w:val="24"/>
          <w:szCs w:val="24"/>
          <w:lang w:val="sr-Latn-ME"/>
        </w:rPr>
        <w:t xml:space="preserve">uglavnom </w:t>
      </w:r>
      <w:r w:rsidRPr="00A2653F">
        <w:rPr>
          <w:sz w:val="24"/>
          <w:szCs w:val="24"/>
          <w:lang w:val="sr-Latn-ME"/>
        </w:rPr>
        <w:t xml:space="preserve">administrativno-zakonodavne i mjere koje se realizuju primjenom finansijskih instrumenata, onda su i dodatna sredstva za njihovu implementaciju manja, nego kod mjera u oblasti unapređenja infrastrukture. U tom kontekstu, dodatna sredstva za finansiranje </w:t>
      </w:r>
      <w:r w:rsidRPr="007D135F">
        <w:rPr>
          <w:sz w:val="24"/>
          <w:szCs w:val="24"/>
          <w:lang w:val="sr-Latn-ME"/>
        </w:rPr>
        <w:t xml:space="preserve">reformskih mjera </w:t>
      </w:r>
      <w:r w:rsidRPr="00A2653F">
        <w:rPr>
          <w:sz w:val="24"/>
          <w:szCs w:val="24"/>
          <w:lang w:val="sr-Latn-ME"/>
        </w:rPr>
        <w:t xml:space="preserve"> sadržanih u PER-u u periodu 202</w:t>
      </w:r>
      <w:r w:rsidRPr="007D135F">
        <w:rPr>
          <w:sz w:val="24"/>
          <w:szCs w:val="24"/>
          <w:lang w:val="sr-Latn-ME"/>
        </w:rPr>
        <w:t>4</w:t>
      </w:r>
      <w:r w:rsidRPr="00A2653F">
        <w:rPr>
          <w:sz w:val="24"/>
          <w:szCs w:val="24"/>
          <w:lang w:val="sr-Latn-ME"/>
        </w:rPr>
        <w:t>-202</w:t>
      </w:r>
      <w:r w:rsidRPr="007D135F">
        <w:rPr>
          <w:sz w:val="24"/>
          <w:szCs w:val="24"/>
          <w:lang w:val="sr-Latn-ME"/>
        </w:rPr>
        <w:t>6</w:t>
      </w:r>
      <w:r w:rsidRPr="00A2653F">
        <w:rPr>
          <w:sz w:val="24"/>
          <w:szCs w:val="24"/>
          <w:lang w:val="sr-Latn-ME"/>
        </w:rPr>
        <w:t xml:space="preserve">. iznosiće oko </w:t>
      </w:r>
      <w:r w:rsidRPr="007D135F">
        <w:rPr>
          <w:sz w:val="24"/>
          <w:szCs w:val="24"/>
          <w:lang w:val="sr-Latn-ME"/>
        </w:rPr>
        <w:t>62,3</w:t>
      </w:r>
      <w:r w:rsidRPr="00A2653F">
        <w:rPr>
          <w:sz w:val="24"/>
          <w:szCs w:val="24"/>
          <w:lang w:val="sr-Latn-ME"/>
        </w:rPr>
        <w:t xml:space="preserve"> miliona eura, od čega će se  </w:t>
      </w:r>
      <w:r w:rsidRPr="007D135F">
        <w:rPr>
          <w:sz w:val="24"/>
          <w:szCs w:val="24"/>
          <w:lang w:val="sr-Latn-ME"/>
        </w:rPr>
        <w:t xml:space="preserve">20,7 </w:t>
      </w:r>
      <w:r w:rsidRPr="00A2653F">
        <w:rPr>
          <w:sz w:val="24"/>
          <w:szCs w:val="24"/>
          <w:lang w:val="sr-Latn-ME"/>
        </w:rPr>
        <w:t xml:space="preserve"> miliona eura realizovati u 202</w:t>
      </w:r>
      <w:r w:rsidRPr="007D135F">
        <w:rPr>
          <w:sz w:val="24"/>
          <w:szCs w:val="24"/>
          <w:lang w:val="sr-Latn-ME"/>
        </w:rPr>
        <w:t>4</w:t>
      </w:r>
      <w:r w:rsidRPr="00A2653F">
        <w:rPr>
          <w:sz w:val="24"/>
          <w:szCs w:val="24"/>
          <w:lang w:val="sr-Latn-ME"/>
        </w:rPr>
        <w:t xml:space="preserve">. godini, </w:t>
      </w:r>
      <w:r w:rsidRPr="007D135F">
        <w:rPr>
          <w:sz w:val="24"/>
          <w:szCs w:val="24"/>
          <w:lang w:val="sr-Latn-ME"/>
        </w:rPr>
        <w:t>25,5</w:t>
      </w:r>
      <w:r w:rsidRPr="00A2653F">
        <w:rPr>
          <w:sz w:val="24"/>
          <w:szCs w:val="24"/>
          <w:lang w:val="sr-Latn-ME"/>
        </w:rPr>
        <w:t xml:space="preserve"> miliona eura u 202</w:t>
      </w:r>
      <w:r w:rsidRPr="007D135F">
        <w:rPr>
          <w:sz w:val="24"/>
          <w:szCs w:val="24"/>
          <w:lang w:val="sr-Latn-ME"/>
        </w:rPr>
        <w:t>5</w:t>
      </w:r>
      <w:r w:rsidRPr="00A2653F">
        <w:rPr>
          <w:sz w:val="24"/>
          <w:szCs w:val="24"/>
          <w:lang w:val="sr-Latn-ME"/>
        </w:rPr>
        <w:t xml:space="preserve">. godini i </w:t>
      </w:r>
      <w:r w:rsidRPr="007D135F">
        <w:rPr>
          <w:sz w:val="24"/>
          <w:szCs w:val="24"/>
          <w:lang w:val="sr-Latn-ME"/>
        </w:rPr>
        <w:t>16,2</w:t>
      </w:r>
      <w:r w:rsidRPr="00A2653F">
        <w:rPr>
          <w:sz w:val="24"/>
          <w:szCs w:val="24"/>
          <w:lang w:val="sr-Latn-ME"/>
        </w:rPr>
        <w:t xml:space="preserve"> miliona eura u 202</w:t>
      </w:r>
      <w:r w:rsidRPr="007D135F">
        <w:rPr>
          <w:sz w:val="24"/>
          <w:szCs w:val="24"/>
          <w:lang w:val="sr-Latn-ME"/>
        </w:rPr>
        <w:t>6</w:t>
      </w:r>
      <w:r w:rsidRPr="00A2653F">
        <w:rPr>
          <w:sz w:val="24"/>
          <w:szCs w:val="24"/>
          <w:lang w:val="sr-Latn-ME"/>
        </w:rPr>
        <w:t xml:space="preserve">. godini. </w:t>
      </w:r>
    </w:p>
    <w:p w14:paraId="614966F4" w14:textId="77777777" w:rsidR="00CA7341" w:rsidRPr="00A2653F" w:rsidRDefault="00CA7341" w:rsidP="00CA7341">
      <w:pPr>
        <w:jc w:val="both"/>
        <w:rPr>
          <w:sz w:val="24"/>
          <w:szCs w:val="24"/>
          <w:lang w:val="sr-Latn-ME"/>
        </w:rPr>
      </w:pPr>
      <w:r w:rsidRPr="007D135F">
        <w:rPr>
          <w:sz w:val="24"/>
          <w:szCs w:val="24"/>
          <w:lang w:val="sr-Latn-ME"/>
        </w:rPr>
        <w:t xml:space="preserve">Okvirna procjena </w:t>
      </w:r>
      <w:r w:rsidRPr="00A2653F">
        <w:rPr>
          <w:sz w:val="24"/>
          <w:szCs w:val="24"/>
          <w:lang w:val="en-MY"/>
        </w:rPr>
        <w:t>uticaja prioritetnih reformskih mjera na ekonomski rast u srednjem roku</w:t>
      </w:r>
      <w:r w:rsidRPr="007D135F">
        <w:rPr>
          <w:sz w:val="24"/>
          <w:szCs w:val="24"/>
          <w:lang w:val="en-MY"/>
        </w:rPr>
        <w:t xml:space="preserve"> prikazana je </w:t>
      </w:r>
      <w:r w:rsidRPr="00A2653F">
        <w:rPr>
          <w:sz w:val="24"/>
          <w:szCs w:val="24"/>
          <w:lang w:val="sr-Latn-ME"/>
        </w:rPr>
        <w:t xml:space="preserve">u poglavlju  3 PER-a koji se odnosi na srednjoročni Makroekonomski okvir. </w:t>
      </w:r>
      <w:r w:rsidRPr="007D135F">
        <w:rPr>
          <w:sz w:val="24"/>
          <w:szCs w:val="24"/>
          <w:lang w:val="sr-Latn-ME"/>
        </w:rPr>
        <w:t xml:space="preserve">Ona ukazuje na kvanititativni efekat reformskih mjera iz </w:t>
      </w:r>
      <w:r>
        <w:rPr>
          <w:sz w:val="24"/>
          <w:szCs w:val="24"/>
          <w:lang w:val="sr-Latn-ME"/>
        </w:rPr>
        <w:t>p</w:t>
      </w:r>
      <w:r w:rsidRPr="007D135F">
        <w:rPr>
          <w:sz w:val="24"/>
          <w:szCs w:val="24"/>
          <w:lang w:val="sr-Latn-ME"/>
        </w:rPr>
        <w:t>ogla</w:t>
      </w:r>
      <w:r>
        <w:rPr>
          <w:sz w:val="24"/>
          <w:szCs w:val="24"/>
          <w:lang w:val="sr-Latn-ME"/>
        </w:rPr>
        <w:t>vlja</w:t>
      </w:r>
      <w:r w:rsidRPr="007D135F">
        <w:rPr>
          <w:sz w:val="24"/>
          <w:szCs w:val="24"/>
          <w:lang w:val="sr-Latn-ME"/>
        </w:rPr>
        <w:t xml:space="preserve"> 5 u iznosu od 0,3% BDP u srednjem roku.</w:t>
      </w:r>
    </w:p>
    <w:p w14:paraId="57FF860A" w14:textId="203C0946" w:rsidR="00CA7341" w:rsidRPr="00A2653F" w:rsidRDefault="00CA7341" w:rsidP="00CA7341">
      <w:pPr>
        <w:jc w:val="both"/>
        <w:rPr>
          <w:sz w:val="24"/>
          <w:szCs w:val="24"/>
          <w:lang w:val="sr-Latn-ME"/>
        </w:rPr>
      </w:pPr>
      <w:r w:rsidRPr="00A2653F">
        <w:rPr>
          <w:sz w:val="24"/>
          <w:szCs w:val="24"/>
          <w:lang w:val="sr-Latn-ME"/>
        </w:rPr>
        <w:t xml:space="preserve">Kao što je prikazano u tabeli 6.1, oko </w:t>
      </w:r>
      <w:r w:rsidRPr="007D135F">
        <w:rPr>
          <w:sz w:val="24"/>
          <w:szCs w:val="24"/>
          <w:lang w:val="sr-Latn-ME"/>
        </w:rPr>
        <w:t>68</w:t>
      </w:r>
      <w:r w:rsidRPr="00A2653F">
        <w:rPr>
          <w:sz w:val="24"/>
          <w:szCs w:val="24"/>
          <w:lang w:val="sr-Latn-ME"/>
        </w:rPr>
        <w:t>% ukupni</w:t>
      </w:r>
      <w:r w:rsidR="008F550B">
        <w:rPr>
          <w:sz w:val="24"/>
          <w:szCs w:val="24"/>
          <w:lang w:val="sr-Latn-ME"/>
        </w:rPr>
        <w:t>h</w:t>
      </w:r>
      <w:r w:rsidRPr="00A2653F">
        <w:rPr>
          <w:sz w:val="24"/>
          <w:szCs w:val="24"/>
          <w:lang w:val="sr-Latn-ME"/>
        </w:rPr>
        <w:t xml:space="preserve"> dodatni</w:t>
      </w:r>
      <w:r w:rsidR="008F550B">
        <w:rPr>
          <w:sz w:val="24"/>
          <w:szCs w:val="24"/>
          <w:lang w:val="sr-Latn-ME"/>
        </w:rPr>
        <w:t>h</w:t>
      </w:r>
      <w:r w:rsidRPr="00A2653F">
        <w:rPr>
          <w:sz w:val="24"/>
          <w:szCs w:val="24"/>
          <w:lang w:val="sr-Latn-ME"/>
        </w:rPr>
        <w:t xml:space="preserve"> troškov</w:t>
      </w:r>
      <w:r w:rsidR="008F550B">
        <w:rPr>
          <w:sz w:val="24"/>
          <w:szCs w:val="24"/>
          <w:lang w:val="sr-Latn-ME"/>
        </w:rPr>
        <w:t>a</w:t>
      </w:r>
      <w:r w:rsidRPr="00A2653F">
        <w:rPr>
          <w:sz w:val="24"/>
          <w:szCs w:val="24"/>
          <w:lang w:val="sr-Latn-ME"/>
        </w:rPr>
        <w:t xml:space="preserve"> finansiranja prioritetnih mjera u periodu 202</w:t>
      </w:r>
      <w:r w:rsidRPr="007D135F">
        <w:rPr>
          <w:sz w:val="24"/>
          <w:szCs w:val="24"/>
          <w:lang w:val="sr-Latn-ME"/>
        </w:rPr>
        <w:t>4</w:t>
      </w:r>
      <w:r w:rsidRPr="00A2653F">
        <w:rPr>
          <w:sz w:val="24"/>
          <w:szCs w:val="24"/>
          <w:lang w:val="sr-Latn-ME"/>
        </w:rPr>
        <w:t>-202</w:t>
      </w:r>
      <w:r w:rsidRPr="007D135F">
        <w:rPr>
          <w:sz w:val="24"/>
          <w:szCs w:val="24"/>
          <w:lang w:val="sr-Latn-ME"/>
        </w:rPr>
        <w:t>6</w:t>
      </w:r>
      <w:r w:rsidRPr="00A2653F">
        <w:rPr>
          <w:sz w:val="24"/>
          <w:szCs w:val="24"/>
          <w:lang w:val="sr-Latn-ME"/>
        </w:rPr>
        <w:t>. čine „</w:t>
      </w:r>
      <w:r w:rsidRPr="007D135F">
        <w:rPr>
          <w:sz w:val="24"/>
          <w:szCs w:val="24"/>
          <w:lang w:val="sr-Latn-ME"/>
        </w:rPr>
        <w:t>robe i usluge</w:t>
      </w:r>
      <w:r w:rsidRPr="00A2653F">
        <w:rPr>
          <w:sz w:val="24"/>
          <w:szCs w:val="24"/>
          <w:lang w:val="sr-Latn-ME"/>
        </w:rPr>
        <w:t>“, od čega se najveći dio odnosi na reformsku mjeru</w:t>
      </w:r>
      <w:r w:rsidRPr="007D135F">
        <w:rPr>
          <w:sz w:val="24"/>
          <w:szCs w:val="24"/>
          <w:lang w:val="sr-Latn-ME"/>
        </w:rPr>
        <w:t xml:space="preserve"> „Unapređenje digitalizacije i sajber bezbjednosti uz jačanje infrastrukture za širokopojasni pristup internetu“, kao i na reformsku mjeru „Jačanje mehanizama za formalizaciju ekonomije kroz donošenje Programa  za suzbijanje neformalne ekonomije“</w:t>
      </w:r>
      <w:r w:rsidRPr="00A2653F">
        <w:rPr>
          <w:sz w:val="24"/>
          <w:szCs w:val="24"/>
          <w:lang w:val="sr-Latn-ME"/>
        </w:rPr>
        <w:t>. Druga velika kategorija obra</w:t>
      </w:r>
      <w:r w:rsidRPr="00A2653F">
        <w:rPr>
          <w:sz w:val="24"/>
          <w:szCs w:val="24"/>
          <w:lang w:val="hr-HR"/>
        </w:rPr>
        <w:t>č</w:t>
      </w:r>
      <w:r w:rsidRPr="00A2653F">
        <w:rPr>
          <w:sz w:val="24"/>
          <w:szCs w:val="24"/>
          <w:lang w:val="sr-Latn-ME"/>
        </w:rPr>
        <w:t xml:space="preserve">una dodatnih troškova, koja čini oko </w:t>
      </w:r>
      <w:r w:rsidRPr="007D135F">
        <w:rPr>
          <w:sz w:val="24"/>
          <w:szCs w:val="24"/>
          <w:lang w:val="sr-Latn-ME"/>
        </w:rPr>
        <w:t>29,2</w:t>
      </w:r>
      <w:r w:rsidRPr="00A2653F">
        <w:rPr>
          <w:sz w:val="24"/>
          <w:szCs w:val="24"/>
          <w:lang w:val="sr-Latn-ME"/>
        </w:rPr>
        <w:t>% ukupnog iznosa dodatnih troškova za implementaciju prioritetnih reformskih mjera, su „</w:t>
      </w:r>
      <w:r w:rsidRPr="007D135F">
        <w:rPr>
          <w:sz w:val="24"/>
          <w:szCs w:val="24"/>
          <w:lang w:val="sr-Latn-ME"/>
        </w:rPr>
        <w:t>subvencije i transferi</w:t>
      </w:r>
      <w:r w:rsidRPr="00A2653F">
        <w:rPr>
          <w:sz w:val="24"/>
          <w:szCs w:val="24"/>
          <w:lang w:val="sr-Latn-ME"/>
        </w:rPr>
        <w:t>“</w:t>
      </w:r>
      <w:r w:rsidRPr="007D135F">
        <w:rPr>
          <w:sz w:val="24"/>
          <w:szCs w:val="24"/>
          <w:lang w:val="sr-Latn-ME"/>
        </w:rPr>
        <w:t>.</w:t>
      </w:r>
    </w:p>
    <w:p w14:paraId="4810C813" w14:textId="14BA2AF1" w:rsidR="00CA7341" w:rsidRPr="00671BCF" w:rsidRDefault="00CA7341" w:rsidP="00671BCF">
      <w:pPr>
        <w:jc w:val="both"/>
        <w:rPr>
          <w:sz w:val="24"/>
          <w:szCs w:val="24"/>
          <w:lang w:val="sr-Latn-ME"/>
        </w:rPr>
      </w:pPr>
      <w:r w:rsidRPr="00A2653F">
        <w:rPr>
          <w:sz w:val="24"/>
          <w:szCs w:val="24"/>
          <w:lang w:val="sr-Latn-ME"/>
        </w:rPr>
        <w:t xml:space="preserve">Obim dodatnih troškova </w:t>
      </w:r>
      <w:r w:rsidRPr="007D135F">
        <w:rPr>
          <w:sz w:val="24"/>
          <w:szCs w:val="24"/>
          <w:lang w:val="sr-Latn-ME"/>
        </w:rPr>
        <w:t xml:space="preserve">u </w:t>
      </w:r>
      <w:r w:rsidRPr="00A2653F">
        <w:rPr>
          <w:sz w:val="24"/>
          <w:szCs w:val="24"/>
          <w:lang w:val="sr-Latn-ME"/>
        </w:rPr>
        <w:t xml:space="preserve">  implementacij</w:t>
      </w:r>
      <w:r w:rsidRPr="007D135F">
        <w:rPr>
          <w:sz w:val="24"/>
          <w:szCs w:val="24"/>
          <w:lang w:val="sr-Latn-ME"/>
        </w:rPr>
        <w:t>i</w:t>
      </w:r>
      <w:r w:rsidRPr="00A2653F">
        <w:rPr>
          <w:sz w:val="24"/>
          <w:szCs w:val="24"/>
          <w:lang w:val="sr-Latn-ME"/>
        </w:rPr>
        <w:t xml:space="preserve"> PER-a </w:t>
      </w:r>
      <w:r w:rsidRPr="007D135F">
        <w:rPr>
          <w:sz w:val="24"/>
          <w:szCs w:val="24"/>
          <w:lang w:val="sr-Latn-ME"/>
        </w:rPr>
        <w:t xml:space="preserve">u 2026. </w:t>
      </w:r>
      <w:r w:rsidRPr="00A2653F">
        <w:rPr>
          <w:sz w:val="24"/>
          <w:szCs w:val="24"/>
          <w:lang w:val="sr-Latn-ME"/>
        </w:rPr>
        <w:t>će na godišnjem nivou biti manji, nego u 202</w:t>
      </w:r>
      <w:r>
        <w:rPr>
          <w:sz w:val="24"/>
          <w:szCs w:val="24"/>
          <w:lang w:val="sr-Latn-ME"/>
        </w:rPr>
        <w:t>4</w:t>
      </w:r>
      <w:r w:rsidRPr="00A2653F">
        <w:rPr>
          <w:sz w:val="24"/>
          <w:szCs w:val="24"/>
          <w:lang w:val="sr-Latn-ME"/>
        </w:rPr>
        <w:t>.</w:t>
      </w:r>
      <w:r>
        <w:rPr>
          <w:sz w:val="24"/>
          <w:szCs w:val="24"/>
          <w:lang w:val="sr-Latn-ME"/>
        </w:rPr>
        <w:t xml:space="preserve"> i 2025. </w:t>
      </w:r>
      <w:r w:rsidRPr="00A2653F">
        <w:rPr>
          <w:sz w:val="24"/>
          <w:szCs w:val="24"/>
          <w:lang w:val="sr-Latn-ME"/>
        </w:rPr>
        <w:t>godini. To je iz razloga što veliki dio aktivnosti na implementaciji  prioritetnih mjera treba da bude zavr</w:t>
      </w:r>
      <w:bookmarkStart w:id="190" w:name="_Hlk89223316"/>
      <w:r w:rsidRPr="00A2653F">
        <w:rPr>
          <w:sz w:val="24"/>
          <w:szCs w:val="24"/>
          <w:lang w:val="sr-Latn-ME"/>
        </w:rPr>
        <w:t>š</w:t>
      </w:r>
      <w:bookmarkEnd w:id="190"/>
      <w:r w:rsidRPr="00A2653F">
        <w:rPr>
          <w:sz w:val="24"/>
          <w:szCs w:val="24"/>
          <w:lang w:val="sr-Latn-ME"/>
        </w:rPr>
        <w:t xml:space="preserve">en </w:t>
      </w:r>
      <w:r w:rsidRPr="007D135F">
        <w:rPr>
          <w:sz w:val="24"/>
          <w:szCs w:val="24"/>
          <w:lang w:val="sr-Latn-ME"/>
        </w:rPr>
        <w:t>do 2026.</w:t>
      </w:r>
      <w:r w:rsidRPr="00A2653F">
        <w:rPr>
          <w:sz w:val="24"/>
          <w:szCs w:val="24"/>
          <w:lang w:val="sr-Latn-ME"/>
        </w:rPr>
        <w:t>, jer je riječ o višegodišnjim mjerama. Takođe</w:t>
      </w:r>
      <w:r>
        <w:rPr>
          <w:sz w:val="24"/>
          <w:szCs w:val="24"/>
          <w:lang w:val="sr-Latn-ME"/>
        </w:rPr>
        <w:t xml:space="preserve"> su i </w:t>
      </w:r>
      <w:r w:rsidRPr="00A2653F">
        <w:rPr>
          <w:sz w:val="24"/>
          <w:szCs w:val="24"/>
          <w:lang w:val="sr-Latn-ME"/>
        </w:rPr>
        <w:t xml:space="preserve">finansijska </w:t>
      </w:r>
      <w:r>
        <w:rPr>
          <w:sz w:val="24"/>
          <w:szCs w:val="24"/>
          <w:lang w:val="sr-Latn-ME"/>
        </w:rPr>
        <w:t xml:space="preserve">sredstva za implementaciju </w:t>
      </w:r>
      <w:r w:rsidRPr="00A2653F">
        <w:rPr>
          <w:sz w:val="24"/>
          <w:szCs w:val="24"/>
          <w:lang w:val="sr-Latn-ME"/>
        </w:rPr>
        <w:t xml:space="preserve">reformskih mjera </w:t>
      </w:r>
      <w:r w:rsidRPr="007D135F">
        <w:rPr>
          <w:sz w:val="24"/>
          <w:szCs w:val="24"/>
          <w:lang w:val="sr-Latn-ME"/>
        </w:rPr>
        <w:t xml:space="preserve">za </w:t>
      </w:r>
      <w:r w:rsidRPr="00A2653F">
        <w:rPr>
          <w:sz w:val="24"/>
          <w:szCs w:val="24"/>
          <w:lang w:val="sr-Latn-ME"/>
        </w:rPr>
        <w:t xml:space="preserve"> treću godinu </w:t>
      </w:r>
      <w:r w:rsidRPr="007D135F">
        <w:rPr>
          <w:sz w:val="24"/>
          <w:szCs w:val="24"/>
          <w:lang w:val="sr-Latn-ME"/>
        </w:rPr>
        <w:t xml:space="preserve">primjene </w:t>
      </w:r>
      <w:r w:rsidRPr="00A2653F">
        <w:rPr>
          <w:sz w:val="24"/>
          <w:szCs w:val="24"/>
          <w:lang w:val="sr-Latn-ME"/>
        </w:rPr>
        <w:t>okvirn</w:t>
      </w:r>
      <w:r>
        <w:rPr>
          <w:sz w:val="24"/>
          <w:szCs w:val="24"/>
          <w:lang w:val="sr-Latn-ME"/>
        </w:rPr>
        <w:t>o planirana</w:t>
      </w:r>
      <w:r w:rsidRPr="00A2653F">
        <w:rPr>
          <w:sz w:val="24"/>
          <w:szCs w:val="24"/>
          <w:lang w:val="sr-Latn-ME"/>
        </w:rPr>
        <w:t>.</w:t>
      </w:r>
    </w:p>
    <w:p w14:paraId="4BEAD2A8" w14:textId="46D86DB3" w:rsidR="00CA7341" w:rsidRDefault="00CA7341" w:rsidP="00CA7341">
      <w:pPr>
        <w:rPr>
          <w:b/>
          <w:bCs/>
          <w:iCs/>
          <w:lang w:val="en-MY"/>
        </w:rPr>
      </w:pPr>
      <w:r w:rsidRPr="00A2653F">
        <w:rPr>
          <w:b/>
          <w:bCs/>
          <w:iCs/>
          <w:lang w:val="en-MY"/>
        </w:rPr>
        <w:t>Tabela 6.1: Sumarna tabela tro</w:t>
      </w:r>
      <w:r w:rsidRPr="00A2653F">
        <w:rPr>
          <w:b/>
          <w:bCs/>
          <w:iCs/>
          <w:lang w:val="sr-Latn-ME"/>
        </w:rPr>
        <w:t>škova mjera strukturnih reformi</w:t>
      </w:r>
      <w:r w:rsidRPr="00A2653F">
        <w:rPr>
          <w:b/>
          <w:bCs/>
          <w:iCs/>
          <w:lang w:val="en-MY"/>
        </w:rPr>
        <w:t xml:space="preserve"> (u EUR)</w:t>
      </w:r>
    </w:p>
    <w:tbl>
      <w:tblPr>
        <w:tblStyle w:val="TableGrid"/>
        <w:tblW w:w="0" w:type="auto"/>
        <w:tblLook w:val="04A0" w:firstRow="1" w:lastRow="0" w:firstColumn="1" w:lastColumn="0" w:noHBand="0" w:noVBand="1"/>
      </w:tblPr>
      <w:tblGrid>
        <w:gridCol w:w="944"/>
        <w:gridCol w:w="1219"/>
        <w:gridCol w:w="1926"/>
        <w:gridCol w:w="1936"/>
        <w:gridCol w:w="1710"/>
        <w:gridCol w:w="1615"/>
      </w:tblGrid>
      <w:tr w:rsidR="00CA7341" w:rsidRPr="008A6EBC" w14:paraId="5036ECE8" w14:textId="77777777" w:rsidTr="00E448C6">
        <w:trPr>
          <w:trHeight w:val="480"/>
        </w:trPr>
        <w:tc>
          <w:tcPr>
            <w:tcW w:w="944" w:type="dxa"/>
            <w:shd w:val="clear" w:color="auto" w:fill="D9E2F3" w:themeFill="accent1" w:themeFillTint="33"/>
            <w:hideMark/>
          </w:tcPr>
          <w:p w14:paraId="17336DEA" w14:textId="77777777" w:rsidR="00CA7341" w:rsidRPr="008A6EBC" w:rsidRDefault="00CA7341" w:rsidP="00CA7341">
            <w:pPr>
              <w:jc w:val="center"/>
              <w:rPr>
                <w:b/>
                <w:bCs/>
                <w:sz w:val="18"/>
                <w:szCs w:val="18"/>
              </w:rPr>
            </w:pPr>
            <w:r w:rsidRPr="008A6EBC">
              <w:rPr>
                <w:b/>
                <w:bCs/>
                <w:sz w:val="18"/>
                <w:szCs w:val="18"/>
              </w:rPr>
              <w:t>Ukupno</w:t>
            </w:r>
          </w:p>
        </w:tc>
        <w:tc>
          <w:tcPr>
            <w:tcW w:w="1219" w:type="dxa"/>
            <w:shd w:val="clear" w:color="auto" w:fill="D9E2F3" w:themeFill="accent1" w:themeFillTint="33"/>
            <w:hideMark/>
          </w:tcPr>
          <w:p w14:paraId="2B0C7204" w14:textId="77777777" w:rsidR="00CA7341" w:rsidRPr="008A6EBC" w:rsidRDefault="00CA7341" w:rsidP="00CA7341">
            <w:pPr>
              <w:jc w:val="center"/>
              <w:rPr>
                <w:b/>
                <w:bCs/>
                <w:sz w:val="18"/>
                <w:szCs w:val="18"/>
              </w:rPr>
            </w:pPr>
            <w:r w:rsidRPr="008A6EBC">
              <w:rPr>
                <w:b/>
                <w:bCs/>
                <w:sz w:val="18"/>
                <w:szCs w:val="18"/>
              </w:rPr>
              <w:t>Plate</w:t>
            </w:r>
          </w:p>
        </w:tc>
        <w:tc>
          <w:tcPr>
            <w:tcW w:w="1926" w:type="dxa"/>
            <w:shd w:val="clear" w:color="auto" w:fill="D9E2F3" w:themeFill="accent1" w:themeFillTint="33"/>
            <w:hideMark/>
          </w:tcPr>
          <w:p w14:paraId="177ECC49" w14:textId="77777777" w:rsidR="00CA7341" w:rsidRPr="008A6EBC" w:rsidRDefault="00CA7341" w:rsidP="00CA7341">
            <w:pPr>
              <w:jc w:val="center"/>
              <w:rPr>
                <w:b/>
                <w:bCs/>
                <w:sz w:val="18"/>
                <w:szCs w:val="18"/>
              </w:rPr>
            </w:pPr>
            <w:r w:rsidRPr="008A6EBC">
              <w:rPr>
                <w:b/>
                <w:bCs/>
                <w:sz w:val="18"/>
                <w:szCs w:val="18"/>
              </w:rPr>
              <w:t>Robe i usluge</w:t>
            </w:r>
          </w:p>
        </w:tc>
        <w:tc>
          <w:tcPr>
            <w:tcW w:w="1936" w:type="dxa"/>
            <w:shd w:val="clear" w:color="auto" w:fill="D9E2F3" w:themeFill="accent1" w:themeFillTint="33"/>
            <w:hideMark/>
          </w:tcPr>
          <w:p w14:paraId="766FD546" w14:textId="77777777" w:rsidR="00CA7341" w:rsidRPr="008A6EBC" w:rsidRDefault="00CA7341" w:rsidP="00CA7341">
            <w:pPr>
              <w:jc w:val="center"/>
              <w:rPr>
                <w:b/>
                <w:bCs/>
                <w:sz w:val="18"/>
                <w:szCs w:val="18"/>
              </w:rPr>
            </w:pPr>
            <w:r w:rsidRPr="008A6EBC">
              <w:rPr>
                <w:b/>
                <w:bCs/>
                <w:sz w:val="18"/>
                <w:szCs w:val="18"/>
              </w:rPr>
              <w:t>Subvencije i transferi</w:t>
            </w:r>
          </w:p>
        </w:tc>
        <w:tc>
          <w:tcPr>
            <w:tcW w:w="1710" w:type="dxa"/>
            <w:shd w:val="clear" w:color="auto" w:fill="D9E2F3" w:themeFill="accent1" w:themeFillTint="33"/>
            <w:hideMark/>
          </w:tcPr>
          <w:p w14:paraId="3B55C695" w14:textId="77777777" w:rsidR="00CA7341" w:rsidRPr="008A6EBC" w:rsidRDefault="00CA7341" w:rsidP="00CA7341">
            <w:pPr>
              <w:jc w:val="center"/>
              <w:rPr>
                <w:b/>
                <w:bCs/>
                <w:sz w:val="18"/>
                <w:szCs w:val="18"/>
              </w:rPr>
            </w:pPr>
            <w:r w:rsidRPr="008A6EBC">
              <w:rPr>
                <w:b/>
                <w:bCs/>
                <w:sz w:val="18"/>
                <w:szCs w:val="18"/>
              </w:rPr>
              <w:t>Kapitalni izdaci</w:t>
            </w:r>
          </w:p>
        </w:tc>
        <w:tc>
          <w:tcPr>
            <w:tcW w:w="1615" w:type="dxa"/>
            <w:shd w:val="clear" w:color="auto" w:fill="D9E2F3" w:themeFill="accent1" w:themeFillTint="33"/>
            <w:hideMark/>
          </w:tcPr>
          <w:p w14:paraId="64B0082F" w14:textId="77777777" w:rsidR="00CA7341" w:rsidRPr="008A6EBC" w:rsidRDefault="00CA7341" w:rsidP="00CA7341">
            <w:pPr>
              <w:jc w:val="center"/>
              <w:rPr>
                <w:b/>
                <w:bCs/>
                <w:sz w:val="18"/>
                <w:szCs w:val="18"/>
              </w:rPr>
            </w:pPr>
            <w:r w:rsidRPr="008A6EBC">
              <w:rPr>
                <w:b/>
                <w:bCs/>
                <w:sz w:val="18"/>
                <w:szCs w:val="18"/>
              </w:rPr>
              <w:t>Ukupno</w:t>
            </w:r>
          </w:p>
        </w:tc>
      </w:tr>
      <w:tr w:rsidR="00CA7341" w:rsidRPr="008A6EBC" w14:paraId="79D0A0C3" w14:textId="77777777" w:rsidTr="00E448C6">
        <w:trPr>
          <w:trHeight w:val="300"/>
        </w:trPr>
        <w:tc>
          <w:tcPr>
            <w:tcW w:w="944" w:type="dxa"/>
            <w:shd w:val="clear" w:color="auto" w:fill="D9E2F3" w:themeFill="accent1" w:themeFillTint="33"/>
            <w:hideMark/>
          </w:tcPr>
          <w:p w14:paraId="662B6775" w14:textId="5FA24172" w:rsidR="00CA7341" w:rsidRPr="008A6EBC" w:rsidRDefault="00CA7341" w:rsidP="00CA7341">
            <w:pPr>
              <w:jc w:val="center"/>
              <w:rPr>
                <w:b/>
                <w:bCs/>
                <w:sz w:val="18"/>
                <w:szCs w:val="18"/>
              </w:rPr>
            </w:pPr>
            <w:r w:rsidRPr="008A6EBC">
              <w:rPr>
                <w:b/>
                <w:bCs/>
                <w:sz w:val="18"/>
                <w:szCs w:val="18"/>
              </w:rPr>
              <w:t>202</w:t>
            </w:r>
            <w:r>
              <w:rPr>
                <w:b/>
                <w:bCs/>
                <w:sz w:val="18"/>
                <w:szCs w:val="18"/>
              </w:rPr>
              <w:t>4</w:t>
            </w:r>
          </w:p>
        </w:tc>
        <w:tc>
          <w:tcPr>
            <w:tcW w:w="1219" w:type="dxa"/>
            <w:vAlign w:val="center"/>
            <w:hideMark/>
          </w:tcPr>
          <w:p w14:paraId="2A2CD1EA" w14:textId="217942C1" w:rsidR="00CA7341" w:rsidRPr="00CA7341" w:rsidRDefault="00CA7341" w:rsidP="00CA7341">
            <w:pPr>
              <w:jc w:val="center"/>
              <w:rPr>
                <w:sz w:val="16"/>
                <w:szCs w:val="16"/>
              </w:rPr>
            </w:pPr>
            <w:r w:rsidRPr="00CA7341">
              <w:rPr>
                <w:sz w:val="16"/>
                <w:szCs w:val="16"/>
                <w:lang w:val="hr-HR"/>
              </w:rPr>
              <w:t>1.549.176,00</w:t>
            </w:r>
          </w:p>
        </w:tc>
        <w:tc>
          <w:tcPr>
            <w:tcW w:w="1926" w:type="dxa"/>
            <w:vAlign w:val="center"/>
          </w:tcPr>
          <w:p w14:paraId="147DD2C1" w14:textId="1D9DF528" w:rsidR="00CA7341" w:rsidRPr="00CA7341" w:rsidRDefault="00CA7341" w:rsidP="00CA7341">
            <w:pPr>
              <w:jc w:val="center"/>
              <w:rPr>
                <w:sz w:val="16"/>
                <w:szCs w:val="16"/>
              </w:rPr>
            </w:pPr>
            <w:r w:rsidRPr="00CA7341">
              <w:rPr>
                <w:sz w:val="16"/>
                <w:szCs w:val="16"/>
                <w:lang w:val="hr-HR"/>
              </w:rPr>
              <w:t>10.411.250,00</w:t>
            </w:r>
          </w:p>
        </w:tc>
        <w:tc>
          <w:tcPr>
            <w:tcW w:w="1936" w:type="dxa"/>
            <w:vAlign w:val="center"/>
          </w:tcPr>
          <w:p w14:paraId="3A0AFA4C" w14:textId="2B50CF65" w:rsidR="00CA7341" w:rsidRPr="00CA7341" w:rsidRDefault="00CA7341" w:rsidP="00CA7341">
            <w:pPr>
              <w:jc w:val="center"/>
              <w:rPr>
                <w:sz w:val="16"/>
                <w:szCs w:val="16"/>
              </w:rPr>
            </w:pPr>
            <w:r w:rsidRPr="00CA7341">
              <w:rPr>
                <w:sz w:val="16"/>
                <w:szCs w:val="16"/>
                <w:lang w:val="hr-HR"/>
              </w:rPr>
              <w:t>8.700.000,00</w:t>
            </w:r>
          </w:p>
        </w:tc>
        <w:tc>
          <w:tcPr>
            <w:tcW w:w="1710" w:type="dxa"/>
            <w:vAlign w:val="center"/>
          </w:tcPr>
          <w:p w14:paraId="52311AB0" w14:textId="683FC8ED" w:rsidR="00CA7341" w:rsidRPr="00CA7341" w:rsidRDefault="00CA7341" w:rsidP="00CA7341">
            <w:pPr>
              <w:jc w:val="center"/>
              <w:rPr>
                <w:sz w:val="16"/>
                <w:szCs w:val="16"/>
              </w:rPr>
            </w:pPr>
            <w:r w:rsidRPr="00CA7341">
              <w:rPr>
                <w:sz w:val="16"/>
                <w:szCs w:val="16"/>
                <w:lang w:val="hr-HR"/>
              </w:rPr>
              <w:t>5.000,00</w:t>
            </w:r>
          </w:p>
        </w:tc>
        <w:tc>
          <w:tcPr>
            <w:tcW w:w="1615" w:type="dxa"/>
            <w:vAlign w:val="center"/>
          </w:tcPr>
          <w:p w14:paraId="40D9AD0D" w14:textId="25E2D1E7" w:rsidR="00CA7341" w:rsidRPr="00CA7341" w:rsidRDefault="00CA7341" w:rsidP="00CA7341">
            <w:pPr>
              <w:jc w:val="center"/>
              <w:rPr>
                <w:sz w:val="16"/>
                <w:szCs w:val="16"/>
              </w:rPr>
            </w:pPr>
            <w:r w:rsidRPr="00CA7341">
              <w:rPr>
                <w:sz w:val="16"/>
                <w:szCs w:val="16"/>
                <w:lang w:val="hr-HR"/>
              </w:rPr>
              <w:t>20.665.426,00</w:t>
            </w:r>
          </w:p>
        </w:tc>
      </w:tr>
      <w:tr w:rsidR="00CA7341" w:rsidRPr="008A6EBC" w14:paraId="60067CF3" w14:textId="77777777" w:rsidTr="00E448C6">
        <w:trPr>
          <w:trHeight w:val="300"/>
        </w:trPr>
        <w:tc>
          <w:tcPr>
            <w:tcW w:w="944" w:type="dxa"/>
            <w:shd w:val="clear" w:color="auto" w:fill="D9E2F3" w:themeFill="accent1" w:themeFillTint="33"/>
            <w:hideMark/>
          </w:tcPr>
          <w:p w14:paraId="53B45F43" w14:textId="49648229" w:rsidR="00CA7341" w:rsidRPr="008A6EBC" w:rsidRDefault="00CA7341" w:rsidP="00CA7341">
            <w:pPr>
              <w:jc w:val="center"/>
              <w:rPr>
                <w:b/>
                <w:bCs/>
                <w:sz w:val="18"/>
                <w:szCs w:val="18"/>
              </w:rPr>
            </w:pPr>
            <w:r w:rsidRPr="008A6EBC">
              <w:rPr>
                <w:b/>
                <w:bCs/>
                <w:sz w:val="18"/>
                <w:szCs w:val="18"/>
              </w:rPr>
              <w:t>202</w:t>
            </w:r>
            <w:r>
              <w:rPr>
                <w:b/>
                <w:bCs/>
                <w:sz w:val="18"/>
                <w:szCs w:val="18"/>
              </w:rPr>
              <w:t>5</w:t>
            </w:r>
          </w:p>
        </w:tc>
        <w:tc>
          <w:tcPr>
            <w:tcW w:w="1219" w:type="dxa"/>
            <w:vAlign w:val="center"/>
            <w:hideMark/>
          </w:tcPr>
          <w:p w14:paraId="49B76215" w14:textId="33550152" w:rsidR="00CA7341" w:rsidRPr="00CA7341" w:rsidRDefault="00CA7341" w:rsidP="00CA7341">
            <w:pPr>
              <w:jc w:val="center"/>
              <w:rPr>
                <w:sz w:val="16"/>
                <w:szCs w:val="16"/>
              </w:rPr>
            </w:pPr>
            <w:r w:rsidRPr="00CA7341">
              <w:rPr>
                <w:sz w:val="16"/>
                <w:szCs w:val="16"/>
                <w:lang w:val="hr-HR"/>
              </w:rPr>
              <w:t>15.000,00</w:t>
            </w:r>
          </w:p>
        </w:tc>
        <w:tc>
          <w:tcPr>
            <w:tcW w:w="1926" w:type="dxa"/>
            <w:vAlign w:val="center"/>
          </w:tcPr>
          <w:p w14:paraId="1B3AAA2E" w14:textId="4FD2AF2F" w:rsidR="00CA7341" w:rsidRPr="00CA7341" w:rsidRDefault="00CA7341" w:rsidP="00CA7341">
            <w:pPr>
              <w:jc w:val="center"/>
              <w:rPr>
                <w:sz w:val="16"/>
                <w:szCs w:val="16"/>
              </w:rPr>
            </w:pPr>
            <w:r w:rsidRPr="00CA7341">
              <w:rPr>
                <w:sz w:val="16"/>
                <w:szCs w:val="16"/>
                <w:lang w:val="hr-HR"/>
              </w:rPr>
              <w:t>20.233.283,00</w:t>
            </w:r>
          </w:p>
        </w:tc>
        <w:tc>
          <w:tcPr>
            <w:tcW w:w="1936" w:type="dxa"/>
            <w:vAlign w:val="center"/>
          </w:tcPr>
          <w:p w14:paraId="349F656D" w14:textId="56312BA2" w:rsidR="00CA7341" w:rsidRPr="00CA7341" w:rsidRDefault="00CA7341" w:rsidP="00CA7341">
            <w:pPr>
              <w:jc w:val="center"/>
              <w:rPr>
                <w:sz w:val="16"/>
                <w:szCs w:val="16"/>
              </w:rPr>
            </w:pPr>
            <w:r w:rsidRPr="00CA7341">
              <w:rPr>
                <w:sz w:val="16"/>
                <w:szCs w:val="16"/>
                <w:lang w:val="hr-HR"/>
              </w:rPr>
              <w:t>5.200.000,00</w:t>
            </w:r>
          </w:p>
        </w:tc>
        <w:tc>
          <w:tcPr>
            <w:tcW w:w="1710" w:type="dxa"/>
            <w:vAlign w:val="center"/>
          </w:tcPr>
          <w:p w14:paraId="6202E1B5" w14:textId="720C161E" w:rsidR="00CA7341" w:rsidRPr="00CA7341" w:rsidRDefault="00CA7341" w:rsidP="00CA7341">
            <w:pPr>
              <w:jc w:val="center"/>
              <w:rPr>
                <w:sz w:val="16"/>
                <w:szCs w:val="16"/>
              </w:rPr>
            </w:pPr>
            <w:r w:rsidRPr="00CA7341">
              <w:rPr>
                <w:sz w:val="16"/>
                <w:szCs w:val="16"/>
                <w:lang w:val="hr-HR"/>
              </w:rPr>
              <w:t>5.000,00</w:t>
            </w:r>
          </w:p>
        </w:tc>
        <w:tc>
          <w:tcPr>
            <w:tcW w:w="1615" w:type="dxa"/>
            <w:vAlign w:val="center"/>
          </w:tcPr>
          <w:p w14:paraId="2399D82A" w14:textId="099B4404" w:rsidR="00CA7341" w:rsidRPr="00CA7341" w:rsidRDefault="00CA7341" w:rsidP="00CA7341">
            <w:pPr>
              <w:jc w:val="center"/>
              <w:rPr>
                <w:sz w:val="16"/>
                <w:szCs w:val="16"/>
              </w:rPr>
            </w:pPr>
            <w:r w:rsidRPr="00CA7341">
              <w:rPr>
                <w:sz w:val="16"/>
                <w:szCs w:val="16"/>
                <w:lang w:val="hr-HR"/>
              </w:rPr>
              <w:t>25.453.283,00</w:t>
            </w:r>
          </w:p>
        </w:tc>
      </w:tr>
      <w:tr w:rsidR="00CA7341" w:rsidRPr="008A6EBC" w14:paraId="0CA377D2" w14:textId="77777777" w:rsidTr="00E448C6">
        <w:trPr>
          <w:trHeight w:val="300"/>
        </w:trPr>
        <w:tc>
          <w:tcPr>
            <w:tcW w:w="944" w:type="dxa"/>
            <w:shd w:val="clear" w:color="auto" w:fill="D9E2F3" w:themeFill="accent1" w:themeFillTint="33"/>
            <w:hideMark/>
          </w:tcPr>
          <w:p w14:paraId="73F4713B" w14:textId="13AA615A" w:rsidR="00CA7341" w:rsidRPr="008A6EBC" w:rsidRDefault="00CA7341" w:rsidP="00CA7341">
            <w:pPr>
              <w:jc w:val="center"/>
              <w:rPr>
                <w:b/>
                <w:bCs/>
                <w:sz w:val="18"/>
                <w:szCs w:val="18"/>
              </w:rPr>
            </w:pPr>
            <w:r w:rsidRPr="008A6EBC">
              <w:rPr>
                <w:b/>
                <w:bCs/>
                <w:sz w:val="18"/>
                <w:szCs w:val="18"/>
              </w:rPr>
              <w:t>202</w:t>
            </w:r>
            <w:r>
              <w:rPr>
                <w:b/>
                <w:bCs/>
                <w:sz w:val="18"/>
                <w:szCs w:val="18"/>
              </w:rPr>
              <w:t>6</w:t>
            </w:r>
          </w:p>
        </w:tc>
        <w:tc>
          <w:tcPr>
            <w:tcW w:w="1219" w:type="dxa"/>
            <w:vAlign w:val="center"/>
            <w:hideMark/>
          </w:tcPr>
          <w:p w14:paraId="03A8E76A" w14:textId="7BFC3D47" w:rsidR="00CA7341" w:rsidRPr="00CA7341" w:rsidRDefault="00CA7341" w:rsidP="00CA7341">
            <w:pPr>
              <w:jc w:val="center"/>
              <w:rPr>
                <w:sz w:val="16"/>
                <w:szCs w:val="16"/>
              </w:rPr>
            </w:pPr>
            <w:r w:rsidRPr="00CA7341">
              <w:rPr>
                <w:sz w:val="16"/>
                <w:szCs w:val="16"/>
                <w:lang w:val="hr-HR"/>
              </w:rPr>
              <w:t>15.000,00</w:t>
            </w:r>
          </w:p>
        </w:tc>
        <w:tc>
          <w:tcPr>
            <w:tcW w:w="1926" w:type="dxa"/>
            <w:vAlign w:val="center"/>
          </w:tcPr>
          <w:p w14:paraId="01C26E1B" w14:textId="60978BFE" w:rsidR="00CA7341" w:rsidRPr="00CA7341" w:rsidRDefault="00CA7341" w:rsidP="00CA7341">
            <w:pPr>
              <w:jc w:val="center"/>
              <w:rPr>
                <w:sz w:val="16"/>
                <w:szCs w:val="16"/>
              </w:rPr>
            </w:pPr>
            <w:r w:rsidRPr="00CA7341">
              <w:rPr>
                <w:sz w:val="16"/>
                <w:szCs w:val="16"/>
                <w:lang w:val="hr-HR"/>
              </w:rPr>
              <w:t>11.852.200,00</w:t>
            </w:r>
          </w:p>
        </w:tc>
        <w:tc>
          <w:tcPr>
            <w:tcW w:w="1936" w:type="dxa"/>
            <w:vAlign w:val="center"/>
          </w:tcPr>
          <w:p w14:paraId="1B06B5D0" w14:textId="3763CCCE" w:rsidR="00CA7341" w:rsidRPr="00CA7341" w:rsidRDefault="00CA7341" w:rsidP="00CA7341">
            <w:pPr>
              <w:jc w:val="center"/>
              <w:rPr>
                <w:sz w:val="16"/>
                <w:szCs w:val="16"/>
              </w:rPr>
            </w:pPr>
            <w:r w:rsidRPr="00CA7341">
              <w:rPr>
                <w:sz w:val="16"/>
                <w:szCs w:val="16"/>
                <w:lang w:val="hr-HR"/>
              </w:rPr>
              <w:t>4.300.000,00</w:t>
            </w:r>
          </w:p>
        </w:tc>
        <w:tc>
          <w:tcPr>
            <w:tcW w:w="1710" w:type="dxa"/>
            <w:vAlign w:val="center"/>
          </w:tcPr>
          <w:p w14:paraId="6B79A249" w14:textId="54B97DED" w:rsidR="00CA7341" w:rsidRPr="00CA7341" w:rsidRDefault="00CA7341" w:rsidP="00CA7341">
            <w:pPr>
              <w:jc w:val="center"/>
              <w:rPr>
                <w:sz w:val="16"/>
                <w:szCs w:val="16"/>
              </w:rPr>
            </w:pPr>
            <w:r w:rsidRPr="00CA7341">
              <w:rPr>
                <w:sz w:val="16"/>
                <w:szCs w:val="16"/>
                <w:lang w:val="hr-HR"/>
              </w:rPr>
              <w:t>5.000,00</w:t>
            </w:r>
          </w:p>
        </w:tc>
        <w:tc>
          <w:tcPr>
            <w:tcW w:w="1615" w:type="dxa"/>
            <w:vAlign w:val="center"/>
          </w:tcPr>
          <w:p w14:paraId="3453C46E" w14:textId="248D10AA" w:rsidR="00CA7341" w:rsidRPr="00CA7341" w:rsidRDefault="00CA7341" w:rsidP="00CA7341">
            <w:pPr>
              <w:jc w:val="center"/>
              <w:rPr>
                <w:sz w:val="16"/>
                <w:szCs w:val="16"/>
              </w:rPr>
            </w:pPr>
            <w:r w:rsidRPr="00CA7341">
              <w:rPr>
                <w:sz w:val="16"/>
                <w:szCs w:val="16"/>
                <w:lang w:val="hr-HR"/>
              </w:rPr>
              <w:t>16.172.200,00</w:t>
            </w:r>
          </w:p>
        </w:tc>
      </w:tr>
      <w:tr w:rsidR="00CA7341" w:rsidRPr="00B84A89" w14:paraId="6DE7D212" w14:textId="77777777" w:rsidTr="00E448C6">
        <w:tblPrEx>
          <w:jc w:val="center"/>
        </w:tblPrEx>
        <w:trPr>
          <w:trHeight w:val="315"/>
          <w:jc w:val="center"/>
        </w:trPr>
        <w:tc>
          <w:tcPr>
            <w:tcW w:w="9350" w:type="dxa"/>
            <w:gridSpan w:val="6"/>
            <w:tcBorders>
              <w:top w:val="single" w:sz="4" w:space="0" w:color="auto"/>
              <w:left w:val="nil"/>
              <w:bottom w:val="nil"/>
              <w:right w:val="nil"/>
            </w:tcBorders>
            <w:vAlign w:val="center"/>
          </w:tcPr>
          <w:p w14:paraId="76386E2E" w14:textId="77777777" w:rsidR="00CA7341" w:rsidRPr="00CA7341" w:rsidRDefault="00CA7341" w:rsidP="00E448C6">
            <w:pPr>
              <w:spacing w:after="160" w:line="259" w:lineRule="auto"/>
              <w:rPr>
                <w:i/>
                <w:iCs/>
                <w:sz w:val="20"/>
                <w:szCs w:val="20"/>
                <w:lang w:val="sr-Latn-ME"/>
              </w:rPr>
            </w:pPr>
            <w:r w:rsidRPr="00CA7341">
              <w:rPr>
                <w:i/>
                <w:iCs/>
                <w:sz w:val="20"/>
                <w:szCs w:val="20"/>
                <w:lang w:val="sr-Latn-ME"/>
              </w:rPr>
              <w:t>Izvor: Kalkulacije MF na osnovu tabele 10a iz aneksa</w:t>
            </w:r>
          </w:p>
        </w:tc>
      </w:tr>
    </w:tbl>
    <w:p w14:paraId="0A97FD61" w14:textId="450E22C3" w:rsidR="00CA7341" w:rsidRDefault="00CA7341" w:rsidP="00CA7341">
      <w:pPr>
        <w:jc w:val="both"/>
        <w:rPr>
          <w:sz w:val="24"/>
          <w:szCs w:val="24"/>
          <w:lang w:val="sr-Latn-ME"/>
        </w:rPr>
      </w:pPr>
      <w:r w:rsidRPr="00A2653F">
        <w:rPr>
          <w:sz w:val="24"/>
          <w:szCs w:val="24"/>
          <w:lang w:val="sr-Latn-ME"/>
        </w:rPr>
        <w:t>Pored navedenog, važan element u analizi dodatnih troškova strukturnih reformi su i izvori finansiranja prioritetnih reformskih mjera</w:t>
      </w:r>
      <w:r>
        <w:rPr>
          <w:sz w:val="24"/>
          <w:szCs w:val="24"/>
          <w:lang w:val="sr-Latn-ME"/>
        </w:rPr>
        <w:t>. U</w:t>
      </w:r>
      <w:r w:rsidRPr="00A2653F">
        <w:rPr>
          <w:sz w:val="24"/>
          <w:szCs w:val="24"/>
          <w:lang w:val="sr-Latn-ME"/>
        </w:rPr>
        <w:t xml:space="preserve"> periodu 202</w:t>
      </w:r>
      <w:r>
        <w:rPr>
          <w:sz w:val="24"/>
          <w:szCs w:val="24"/>
          <w:lang w:val="sr-Latn-ME"/>
        </w:rPr>
        <w:t>4</w:t>
      </w:r>
      <w:r w:rsidRPr="00A2653F">
        <w:rPr>
          <w:sz w:val="24"/>
          <w:szCs w:val="24"/>
          <w:lang w:val="sr-Latn-ME"/>
        </w:rPr>
        <w:t>-202</w:t>
      </w:r>
      <w:r>
        <w:rPr>
          <w:sz w:val="24"/>
          <w:szCs w:val="24"/>
          <w:lang w:val="sr-Latn-ME"/>
        </w:rPr>
        <w:t>6</w:t>
      </w:r>
      <w:r w:rsidRPr="00A2653F">
        <w:rPr>
          <w:sz w:val="24"/>
          <w:szCs w:val="24"/>
          <w:lang w:val="sr-Latn-ME"/>
        </w:rPr>
        <w:t xml:space="preserve">, najdominantniji izvor finansiranja reformskih mjera biće IPA fondovi, koji će iznositi </w:t>
      </w:r>
      <w:r>
        <w:rPr>
          <w:sz w:val="24"/>
          <w:szCs w:val="24"/>
          <w:lang w:val="sr-Latn-ME"/>
        </w:rPr>
        <w:t xml:space="preserve">21,4 </w:t>
      </w:r>
      <w:r w:rsidRPr="00A2653F">
        <w:rPr>
          <w:sz w:val="24"/>
          <w:szCs w:val="24"/>
          <w:lang w:val="sr-Latn-ME"/>
        </w:rPr>
        <w:t xml:space="preserve">miliona eura ili </w:t>
      </w:r>
      <w:r>
        <w:rPr>
          <w:sz w:val="24"/>
          <w:szCs w:val="24"/>
          <w:lang w:val="sr-Latn-ME"/>
        </w:rPr>
        <w:t>32,5</w:t>
      </w:r>
      <w:r w:rsidRPr="00A2653F">
        <w:rPr>
          <w:sz w:val="24"/>
          <w:szCs w:val="24"/>
          <w:lang w:val="sr-Latn-ME"/>
        </w:rPr>
        <w:t>% ukupnih izvora finansiranja tokom perioda od tri godine (vidjeti tabelu 6.2). Drugi najveći izvor finansiranja prioritetnih reformskih mjera će biti “</w:t>
      </w:r>
      <w:r>
        <w:rPr>
          <w:sz w:val="24"/>
          <w:szCs w:val="24"/>
          <w:lang w:val="sr-Latn-ME"/>
        </w:rPr>
        <w:t>Projektni zajmovi</w:t>
      </w:r>
      <w:r w:rsidRPr="00A2653F">
        <w:rPr>
          <w:sz w:val="24"/>
          <w:szCs w:val="24"/>
          <w:lang w:val="sr-Latn-ME"/>
        </w:rPr>
        <w:t>“, koji će u periodu 202</w:t>
      </w:r>
      <w:r>
        <w:rPr>
          <w:sz w:val="24"/>
          <w:szCs w:val="24"/>
          <w:lang w:val="sr-Latn-ME"/>
        </w:rPr>
        <w:t>4</w:t>
      </w:r>
      <w:r w:rsidRPr="00A2653F">
        <w:rPr>
          <w:sz w:val="24"/>
          <w:szCs w:val="24"/>
          <w:lang w:val="sr-Latn-ME"/>
        </w:rPr>
        <w:t>-202</w:t>
      </w:r>
      <w:r>
        <w:rPr>
          <w:sz w:val="24"/>
          <w:szCs w:val="24"/>
          <w:lang w:val="sr-Latn-ME"/>
        </w:rPr>
        <w:t>6</w:t>
      </w:r>
      <w:r w:rsidRPr="00A2653F">
        <w:rPr>
          <w:sz w:val="24"/>
          <w:szCs w:val="24"/>
          <w:lang w:val="sr-Latn-ME"/>
        </w:rPr>
        <w:t xml:space="preserve">.godina činiti </w:t>
      </w:r>
      <w:r>
        <w:rPr>
          <w:sz w:val="24"/>
          <w:szCs w:val="24"/>
          <w:lang w:val="sr-Latn-ME"/>
        </w:rPr>
        <w:lastRenderedPageBreak/>
        <w:t>13,3</w:t>
      </w:r>
      <w:r w:rsidRPr="00A2653F">
        <w:rPr>
          <w:sz w:val="24"/>
          <w:szCs w:val="24"/>
          <w:lang w:val="sr-Latn-ME"/>
        </w:rPr>
        <w:t>% ukupnih izvora finansiranja.</w:t>
      </w:r>
      <w:r>
        <w:rPr>
          <w:sz w:val="24"/>
          <w:szCs w:val="24"/>
          <w:lang w:val="sr-Latn-ME"/>
        </w:rPr>
        <w:t xml:space="preserve">Za značajan dio finansiranja, naročito u 2024.godini, treba </w:t>
      </w:r>
      <w:r w:rsidRPr="00A2653F">
        <w:rPr>
          <w:sz w:val="24"/>
          <w:szCs w:val="24"/>
          <w:lang w:val="sr-Latn-ME"/>
        </w:rPr>
        <w:t xml:space="preserve"> </w:t>
      </w:r>
      <w:r>
        <w:rPr>
          <w:sz w:val="24"/>
          <w:szCs w:val="24"/>
          <w:lang w:val="sr-Latn-ME"/>
        </w:rPr>
        <w:t xml:space="preserve">da se utvrdi izvor. </w:t>
      </w:r>
    </w:p>
    <w:p w14:paraId="2B32A1BC" w14:textId="77777777" w:rsidR="00CA7341" w:rsidRDefault="00CA7341" w:rsidP="00CA7341">
      <w:pPr>
        <w:rPr>
          <w:b/>
          <w:iCs/>
          <w:lang w:val="en-MY"/>
        </w:rPr>
      </w:pPr>
      <w:r w:rsidRPr="00A2653F">
        <w:rPr>
          <w:b/>
          <w:iCs/>
          <w:lang w:val="en-MY"/>
        </w:rPr>
        <w:t xml:space="preserve">Tabela 6.2: Sumarna tabela izvora finansiranja mjera strukturnih reformi (u EUR) </w:t>
      </w:r>
    </w:p>
    <w:tbl>
      <w:tblPr>
        <w:tblStyle w:val="TableGrid"/>
        <w:tblW w:w="0" w:type="auto"/>
        <w:tblLook w:val="04A0" w:firstRow="1" w:lastRow="0" w:firstColumn="1" w:lastColumn="0" w:noHBand="0" w:noVBand="1"/>
      </w:tblPr>
      <w:tblGrid>
        <w:gridCol w:w="694"/>
        <w:gridCol w:w="1067"/>
        <w:gridCol w:w="690"/>
        <w:gridCol w:w="1067"/>
        <w:gridCol w:w="1148"/>
        <w:gridCol w:w="1067"/>
        <w:gridCol w:w="1067"/>
        <w:gridCol w:w="1067"/>
        <w:gridCol w:w="1148"/>
      </w:tblGrid>
      <w:tr w:rsidR="00CA7341" w:rsidRPr="008A6EBC" w14:paraId="719436A2" w14:textId="77777777" w:rsidTr="00CA7341">
        <w:trPr>
          <w:trHeight w:val="621"/>
        </w:trPr>
        <w:tc>
          <w:tcPr>
            <w:tcW w:w="618" w:type="dxa"/>
            <w:shd w:val="clear" w:color="auto" w:fill="D9E2F3" w:themeFill="accent1" w:themeFillTint="33"/>
            <w:hideMark/>
          </w:tcPr>
          <w:p w14:paraId="1D0B9934" w14:textId="77777777" w:rsidR="00CA7341" w:rsidRPr="008A6EBC" w:rsidRDefault="00CA7341" w:rsidP="00CA7341">
            <w:pPr>
              <w:jc w:val="center"/>
              <w:rPr>
                <w:b/>
                <w:bCs/>
                <w:iCs/>
                <w:sz w:val="16"/>
                <w:szCs w:val="16"/>
              </w:rPr>
            </w:pPr>
            <w:r w:rsidRPr="008A6EBC">
              <w:rPr>
                <w:b/>
                <w:bCs/>
                <w:iCs/>
                <w:sz w:val="16"/>
                <w:szCs w:val="16"/>
              </w:rPr>
              <w:t>Godina</w:t>
            </w:r>
          </w:p>
        </w:tc>
        <w:tc>
          <w:tcPr>
            <w:tcW w:w="963" w:type="dxa"/>
            <w:shd w:val="clear" w:color="auto" w:fill="D9E2F3" w:themeFill="accent1" w:themeFillTint="33"/>
            <w:hideMark/>
          </w:tcPr>
          <w:p w14:paraId="610120C7" w14:textId="77777777" w:rsidR="00CA7341" w:rsidRPr="008A6EBC" w:rsidRDefault="00CA7341" w:rsidP="00CA7341">
            <w:pPr>
              <w:jc w:val="center"/>
              <w:rPr>
                <w:b/>
                <w:bCs/>
                <w:iCs/>
                <w:sz w:val="16"/>
                <w:szCs w:val="16"/>
              </w:rPr>
            </w:pPr>
            <w:r w:rsidRPr="008A6EBC">
              <w:rPr>
                <w:b/>
                <w:bCs/>
                <w:iCs/>
                <w:sz w:val="16"/>
                <w:szCs w:val="16"/>
              </w:rPr>
              <w:t>Centralni budžet</w:t>
            </w:r>
          </w:p>
        </w:tc>
        <w:tc>
          <w:tcPr>
            <w:tcW w:w="617" w:type="dxa"/>
            <w:shd w:val="clear" w:color="auto" w:fill="D9E2F3" w:themeFill="accent1" w:themeFillTint="33"/>
            <w:hideMark/>
          </w:tcPr>
          <w:p w14:paraId="035357AD" w14:textId="77777777" w:rsidR="00CA7341" w:rsidRPr="008A6EBC" w:rsidRDefault="00CA7341" w:rsidP="00CA7341">
            <w:pPr>
              <w:jc w:val="center"/>
              <w:rPr>
                <w:b/>
                <w:bCs/>
                <w:iCs/>
                <w:sz w:val="16"/>
                <w:szCs w:val="16"/>
              </w:rPr>
            </w:pPr>
            <w:r w:rsidRPr="008A6EBC">
              <w:rPr>
                <w:b/>
                <w:bCs/>
                <w:iCs/>
                <w:sz w:val="16"/>
                <w:szCs w:val="16"/>
              </w:rPr>
              <w:t>Lokalni budžet</w:t>
            </w:r>
          </w:p>
        </w:tc>
        <w:tc>
          <w:tcPr>
            <w:tcW w:w="963" w:type="dxa"/>
            <w:shd w:val="clear" w:color="auto" w:fill="D9E2F3" w:themeFill="accent1" w:themeFillTint="33"/>
            <w:hideMark/>
          </w:tcPr>
          <w:p w14:paraId="2F57321C" w14:textId="77777777" w:rsidR="00CA7341" w:rsidRPr="008A6EBC" w:rsidRDefault="00CA7341" w:rsidP="00CA7341">
            <w:pPr>
              <w:jc w:val="center"/>
              <w:rPr>
                <w:b/>
                <w:bCs/>
                <w:iCs/>
                <w:sz w:val="16"/>
                <w:szCs w:val="16"/>
              </w:rPr>
            </w:pPr>
            <w:r w:rsidRPr="008A6EBC">
              <w:rPr>
                <w:b/>
                <w:bCs/>
                <w:iCs/>
                <w:sz w:val="16"/>
                <w:szCs w:val="16"/>
              </w:rPr>
              <w:t>Ostali nacionalni javni izvori finansiranja</w:t>
            </w:r>
          </w:p>
        </w:tc>
        <w:tc>
          <w:tcPr>
            <w:tcW w:w="1135" w:type="dxa"/>
            <w:shd w:val="clear" w:color="auto" w:fill="D9E2F3" w:themeFill="accent1" w:themeFillTint="33"/>
            <w:hideMark/>
          </w:tcPr>
          <w:p w14:paraId="3F2A20BC" w14:textId="77777777" w:rsidR="00CA7341" w:rsidRPr="008A6EBC" w:rsidRDefault="00CA7341" w:rsidP="00CA7341">
            <w:pPr>
              <w:jc w:val="center"/>
              <w:rPr>
                <w:b/>
                <w:bCs/>
                <w:iCs/>
                <w:sz w:val="16"/>
                <w:szCs w:val="16"/>
              </w:rPr>
            </w:pPr>
            <w:r w:rsidRPr="008A6EBC">
              <w:rPr>
                <w:b/>
                <w:bCs/>
                <w:iCs/>
                <w:sz w:val="16"/>
                <w:szCs w:val="16"/>
              </w:rPr>
              <w:t>IPA fondovi</w:t>
            </w:r>
          </w:p>
        </w:tc>
        <w:tc>
          <w:tcPr>
            <w:tcW w:w="921" w:type="dxa"/>
            <w:shd w:val="clear" w:color="auto" w:fill="D9E2F3" w:themeFill="accent1" w:themeFillTint="33"/>
            <w:hideMark/>
          </w:tcPr>
          <w:p w14:paraId="4E369E7E" w14:textId="77777777" w:rsidR="00CA7341" w:rsidRPr="008A6EBC" w:rsidRDefault="00CA7341" w:rsidP="00CA7341">
            <w:pPr>
              <w:jc w:val="center"/>
              <w:rPr>
                <w:b/>
                <w:bCs/>
                <w:iCs/>
                <w:sz w:val="16"/>
                <w:szCs w:val="16"/>
              </w:rPr>
            </w:pPr>
            <w:r w:rsidRPr="008A6EBC">
              <w:rPr>
                <w:b/>
                <w:bCs/>
                <w:iCs/>
                <w:sz w:val="16"/>
                <w:szCs w:val="16"/>
              </w:rPr>
              <w:t>Ostali grantovi</w:t>
            </w:r>
          </w:p>
        </w:tc>
        <w:tc>
          <w:tcPr>
            <w:tcW w:w="917" w:type="dxa"/>
            <w:shd w:val="clear" w:color="auto" w:fill="D9E2F3" w:themeFill="accent1" w:themeFillTint="33"/>
            <w:hideMark/>
          </w:tcPr>
          <w:p w14:paraId="206B2B95" w14:textId="77777777" w:rsidR="00CA7341" w:rsidRPr="008A6EBC" w:rsidRDefault="00CA7341" w:rsidP="00CA7341">
            <w:pPr>
              <w:jc w:val="center"/>
              <w:rPr>
                <w:b/>
                <w:bCs/>
                <w:iCs/>
                <w:sz w:val="16"/>
                <w:szCs w:val="16"/>
              </w:rPr>
            </w:pPr>
            <w:r w:rsidRPr="008A6EBC">
              <w:rPr>
                <w:b/>
                <w:bCs/>
                <w:iCs/>
                <w:sz w:val="16"/>
                <w:szCs w:val="16"/>
              </w:rPr>
              <w:t>Projektni zajmovi</w:t>
            </w:r>
          </w:p>
        </w:tc>
        <w:tc>
          <w:tcPr>
            <w:tcW w:w="917" w:type="dxa"/>
            <w:shd w:val="clear" w:color="auto" w:fill="D9E2F3" w:themeFill="accent1" w:themeFillTint="33"/>
            <w:hideMark/>
          </w:tcPr>
          <w:p w14:paraId="4A73A482" w14:textId="77777777" w:rsidR="00CA7341" w:rsidRPr="008A6EBC" w:rsidRDefault="00CA7341" w:rsidP="00CA7341">
            <w:pPr>
              <w:jc w:val="center"/>
              <w:rPr>
                <w:b/>
                <w:bCs/>
                <w:iCs/>
                <w:sz w:val="16"/>
                <w:szCs w:val="16"/>
              </w:rPr>
            </w:pPr>
            <w:r w:rsidRPr="008A6EBC">
              <w:rPr>
                <w:b/>
                <w:bCs/>
                <w:iCs/>
                <w:sz w:val="16"/>
                <w:szCs w:val="16"/>
              </w:rPr>
              <w:t>Treba da se utvrdi</w:t>
            </w:r>
          </w:p>
        </w:tc>
        <w:tc>
          <w:tcPr>
            <w:tcW w:w="987" w:type="dxa"/>
            <w:shd w:val="clear" w:color="auto" w:fill="D9E2F3" w:themeFill="accent1" w:themeFillTint="33"/>
            <w:hideMark/>
          </w:tcPr>
          <w:p w14:paraId="517ADD9A" w14:textId="77777777" w:rsidR="00CA7341" w:rsidRPr="008A6EBC" w:rsidRDefault="00CA7341" w:rsidP="00CA7341">
            <w:pPr>
              <w:jc w:val="center"/>
              <w:rPr>
                <w:b/>
                <w:bCs/>
                <w:iCs/>
                <w:sz w:val="16"/>
                <w:szCs w:val="16"/>
              </w:rPr>
            </w:pPr>
            <w:r w:rsidRPr="008A6EBC">
              <w:rPr>
                <w:b/>
                <w:bCs/>
                <w:iCs/>
                <w:sz w:val="16"/>
                <w:szCs w:val="16"/>
              </w:rPr>
              <w:t>Ukupno</w:t>
            </w:r>
          </w:p>
        </w:tc>
      </w:tr>
      <w:tr w:rsidR="00CA7341" w:rsidRPr="008A6EBC" w14:paraId="0A5FDC45" w14:textId="77777777" w:rsidTr="00CA7341">
        <w:trPr>
          <w:trHeight w:val="298"/>
        </w:trPr>
        <w:tc>
          <w:tcPr>
            <w:tcW w:w="618" w:type="dxa"/>
            <w:shd w:val="clear" w:color="auto" w:fill="D9E2F3" w:themeFill="accent1" w:themeFillTint="33"/>
            <w:hideMark/>
          </w:tcPr>
          <w:p w14:paraId="5E00CEF3" w14:textId="23A9ACD8" w:rsidR="00CA7341" w:rsidRPr="008A6EBC" w:rsidRDefault="00CA7341" w:rsidP="00CA7341">
            <w:pPr>
              <w:jc w:val="center"/>
              <w:rPr>
                <w:b/>
                <w:bCs/>
                <w:iCs/>
                <w:sz w:val="16"/>
                <w:szCs w:val="16"/>
              </w:rPr>
            </w:pPr>
            <w:r w:rsidRPr="008A6EBC">
              <w:rPr>
                <w:b/>
                <w:bCs/>
                <w:iCs/>
                <w:sz w:val="16"/>
                <w:szCs w:val="16"/>
              </w:rPr>
              <w:t>202</w:t>
            </w:r>
            <w:r>
              <w:rPr>
                <w:b/>
                <w:bCs/>
                <w:iCs/>
                <w:sz w:val="16"/>
                <w:szCs w:val="16"/>
              </w:rPr>
              <w:t>4</w:t>
            </w:r>
          </w:p>
        </w:tc>
        <w:tc>
          <w:tcPr>
            <w:tcW w:w="963" w:type="dxa"/>
          </w:tcPr>
          <w:p w14:paraId="601021E8" w14:textId="711D89F7" w:rsidR="00CA7341" w:rsidRPr="00CA7341" w:rsidRDefault="00CA7341" w:rsidP="00CA7341">
            <w:pPr>
              <w:jc w:val="center"/>
              <w:rPr>
                <w:b/>
                <w:iCs/>
                <w:sz w:val="16"/>
                <w:szCs w:val="16"/>
              </w:rPr>
            </w:pPr>
            <w:r w:rsidRPr="00CA7341">
              <w:rPr>
                <w:iCs/>
                <w:sz w:val="16"/>
                <w:szCs w:val="16"/>
              </w:rPr>
              <w:t>8.848.776,71</w:t>
            </w:r>
          </w:p>
        </w:tc>
        <w:tc>
          <w:tcPr>
            <w:tcW w:w="617" w:type="dxa"/>
          </w:tcPr>
          <w:p w14:paraId="65F1B51E" w14:textId="1AFC1B47" w:rsidR="00CA7341" w:rsidRPr="00CA7341" w:rsidRDefault="00CA7341" w:rsidP="00CA7341">
            <w:pPr>
              <w:jc w:val="center"/>
              <w:rPr>
                <w:iCs/>
                <w:sz w:val="16"/>
                <w:szCs w:val="16"/>
              </w:rPr>
            </w:pPr>
            <w:r w:rsidRPr="00CA7341">
              <w:rPr>
                <w:iCs/>
                <w:sz w:val="16"/>
                <w:szCs w:val="16"/>
              </w:rPr>
              <w:t>0</w:t>
            </w:r>
          </w:p>
        </w:tc>
        <w:tc>
          <w:tcPr>
            <w:tcW w:w="963" w:type="dxa"/>
          </w:tcPr>
          <w:p w14:paraId="04BE3910" w14:textId="3D9D518A" w:rsidR="00CA7341" w:rsidRPr="00CA7341" w:rsidRDefault="00CA7341" w:rsidP="00CA7341">
            <w:pPr>
              <w:jc w:val="center"/>
              <w:rPr>
                <w:b/>
                <w:iCs/>
                <w:sz w:val="16"/>
                <w:szCs w:val="16"/>
              </w:rPr>
            </w:pPr>
            <w:r w:rsidRPr="00CA7341">
              <w:rPr>
                <w:iCs/>
                <w:sz w:val="16"/>
                <w:szCs w:val="16"/>
              </w:rPr>
              <w:t>6.569.166,00</w:t>
            </w:r>
          </w:p>
        </w:tc>
        <w:tc>
          <w:tcPr>
            <w:tcW w:w="1135" w:type="dxa"/>
          </w:tcPr>
          <w:p w14:paraId="109FC347" w14:textId="2F88A585" w:rsidR="00CA7341" w:rsidRPr="00CA7341" w:rsidRDefault="00CA7341" w:rsidP="00CA7341">
            <w:pPr>
              <w:jc w:val="center"/>
              <w:rPr>
                <w:b/>
                <w:iCs/>
                <w:sz w:val="16"/>
                <w:szCs w:val="16"/>
              </w:rPr>
            </w:pPr>
            <w:r w:rsidRPr="00CA7341">
              <w:rPr>
                <w:iCs/>
                <w:sz w:val="16"/>
                <w:szCs w:val="16"/>
              </w:rPr>
              <w:t>15.414.295,55</w:t>
            </w:r>
          </w:p>
        </w:tc>
        <w:tc>
          <w:tcPr>
            <w:tcW w:w="921" w:type="dxa"/>
          </w:tcPr>
          <w:p w14:paraId="5C133190" w14:textId="6EB191E9" w:rsidR="00CA7341" w:rsidRPr="00CA7341" w:rsidRDefault="00CA7341" w:rsidP="00CA7341">
            <w:pPr>
              <w:jc w:val="center"/>
              <w:rPr>
                <w:b/>
                <w:iCs/>
                <w:sz w:val="16"/>
                <w:szCs w:val="16"/>
              </w:rPr>
            </w:pPr>
            <w:r w:rsidRPr="00CA7341">
              <w:rPr>
                <w:iCs/>
                <w:sz w:val="16"/>
                <w:szCs w:val="16"/>
              </w:rPr>
              <w:t>7.205.000,00</w:t>
            </w:r>
          </w:p>
        </w:tc>
        <w:tc>
          <w:tcPr>
            <w:tcW w:w="917" w:type="dxa"/>
            <w:vAlign w:val="center"/>
          </w:tcPr>
          <w:p w14:paraId="6761590C" w14:textId="31A3F456" w:rsidR="00CA7341" w:rsidRPr="00CA7341" w:rsidRDefault="00CA7341" w:rsidP="00CA7341">
            <w:pPr>
              <w:jc w:val="center"/>
              <w:rPr>
                <w:b/>
                <w:iCs/>
                <w:sz w:val="16"/>
                <w:szCs w:val="16"/>
              </w:rPr>
            </w:pPr>
            <w:r w:rsidRPr="00CA7341">
              <w:rPr>
                <w:iCs/>
                <w:sz w:val="16"/>
                <w:szCs w:val="16"/>
              </w:rPr>
              <w:t>1.759.000,00</w:t>
            </w:r>
          </w:p>
        </w:tc>
        <w:tc>
          <w:tcPr>
            <w:tcW w:w="917" w:type="dxa"/>
            <w:vAlign w:val="center"/>
          </w:tcPr>
          <w:p w14:paraId="1CA2053E" w14:textId="7B5C4827" w:rsidR="00CA7341" w:rsidRPr="00CA7341" w:rsidRDefault="00CA7341" w:rsidP="00CA7341">
            <w:pPr>
              <w:jc w:val="center"/>
              <w:rPr>
                <w:b/>
                <w:iCs/>
                <w:sz w:val="16"/>
                <w:szCs w:val="16"/>
              </w:rPr>
            </w:pPr>
            <w:r w:rsidRPr="00CA7341">
              <w:rPr>
                <w:iCs/>
                <w:sz w:val="16"/>
                <w:szCs w:val="16"/>
              </w:rPr>
              <w:t>0</w:t>
            </w:r>
          </w:p>
        </w:tc>
        <w:tc>
          <w:tcPr>
            <w:tcW w:w="987" w:type="dxa"/>
            <w:vAlign w:val="center"/>
          </w:tcPr>
          <w:p w14:paraId="0EAFD3DF" w14:textId="3D60FC9A" w:rsidR="00CA7341" w:rsidRPr="00CA7341" w:rsidRDefault="00CA7341" w:rsidP="00CA7341">
            <w:pPr>
              <w:jc w:val="center"/>
              <w:rPr>
                <w:b/>
                <w:iCs/>
                <w:sz w:val="16"/>
                <w:szCs w:val="16"/>
              </w:rPr>
            </w:pPr>
            <w:r w:rsidRPr="00CA7341">
              <w:rPr>
                <w:iCs/>
                <w:sz w:val="16"/>
                <w:szCs w:val="16"/>
              </w:rPr>
              <w:t>39.796.238,26</w:t>
            </w:r>
          </w:p>
        </w:tc>
      </w:tr>
      <w:tr w:rsidR="00CA7341" w:rsidRPr="00B77FAB" w14:paraId="3092A420" w14:textId="77777777" w:rsidTr="00CA7341">
        <w:trPr>
          <w:trHeight w:val="298"/>
        </w:trPr>
        <w:tc>
          <w:tcPr>
            <w:tcW w:w="618" w:type="dxa"/>
            <w:shd w:val="clear" w:color="auto" w:fill="D9E2F3" w:themeFill="accent1" w:themeFillTint="33"/>
            <w:hideMark/>
          </w:tcPr>
          <w:p w14:paraId="1A91F6C5" w14:textId="486353DF" w:rsidR="00CA7341" w:rsidRPr="008A6EBC" w:rsidRDefault="00CA7341" w:rsidP="00CA7341">
            <w:pPr>
              <w:jc w:val="center"/>
              <w:rPr>
                <w:b/>
                <w:bCs/>
                <w:iCs/>
                <w:sz w:val="16"/>
                <w:szCs w:val="16"/>
              </w:rPr>
            </w:pPr>
            <w:r w:rsidRPr="008A6EBC">
              <w:rPr>
                <w:b/>
                <w:bCs/>
                <w:iCs/>
                <w:sz w:val="16"/>
                <w:szCs w:val="16"/>
              </w:rPr>
              <w:t>202</w:t>
            </w:r>
            <w:r>
              <w:rPr>
                <w:b/>
                <w:bCs/>
                <w:iCs/>
                <w:sz w:val="16"/>
                <w:szCs w:val="16"/>
              </w:rPr>
              <w:t>5</w:t>
            </w:r>
          </w:p>
        </w:tc>
        <w:tc>
          <w:tcPr>
            <w:tcW w:w="963" w:type="dxa"/>
          </w:tcPr>
          <w:p w14:paraId="6CB4A3C7" w14:textId="1542CE08" w:rsidR="00CA7341" w:rsidRPr="00CA7341" w:rsidRDefault="00CA7341" w:rsidP="00CA7341">
            <w:pPr>
              <w:jc w:val="center"/>
              <w:rPr>
                <w:b/>
                <w:iCs/>
                <w:sz w:val="16"/>
                <w:szCs w:val="16"/>
              </w:rPr>
            </w:pPr>
            <w:r w:rsidRPr="00CA7341">
              <w:rPr>
                <w:iCs/>
                <w:sz w:val="16"/>
                <w:szCs w:val="16"/>
              </w:rPr>
              <w:t>4.196.968,93</w:t>
            </w:r>
          </w:p>
        </w:tc>
        <w:tc>
          <w:tcPr>
            <w:tcW w:w="617" w:type="dxa"/>
          </w:tcPr>
          <w:p w14:paraId="68FBFCAE" w14:textId="54AF24FE" w:rsidR="00CA7341" w:rsidRPr="00CA7341" w:rsidRDefault="00CA7341" w:rsidP="00CA7341">
            <w:pPr>
              <w:jc w:val="center"/>
              <w:rPr>
                <w:iCs/>
                <w:sz w:val="16"/>
                <w:szCs w:val="16"/>
              </w:rPr>
            </w:pPr>
            <w:r w:rsidRPr="00CA7341">
              <w:rPr>
                <w:iCs/>
                <w:sz w:val="16"/>
                <w:szCs w:val="16"/>
              </w:rPr>
              <w:t>0</w:t>
            </w:r>
          </w:p>
        </w:tc>
        <w:tc>
          <w:tcPr>
            <w:tcW w:w="963" w:type="dxa"/>
          </w:tcPr>
          <w:p w14:paraId="261994ED" w14:textId="574DF6B2" w:rsidR="00CA7341" w:rsidRPr="00CA7341" w:rsidRDefault="00CA7341" w:rsidP="00CA7341">
            <w:pPr>
              <w:jc w:val="center"/>
              <w:rPr>
                <w:b/>
                <w:iCs/>
                <w:sz w:val="16"/>
                <w:szCs w:val="16"/>
              </w:rPr>
            </w:pPr>
            <w:r w:rsidRPr="00CA7341">
              <w:rPr>
                <w:iCs/>
                <w:sz w:val="16"/>
                <w:szCs w:val="16"/>
              </w:rPr>
              <w:t>6.762.499,50</w:t>
            </w:r>
          </w:p>
        </w:tc>
        <w:tc>
          <w:tcPr>
            <w:tcW w:w="1135" w:type="dxa"/>
          </w:tcPr>
          <w:p w14:paraId="3E730949" w14:textId="28429E7C" w:rsidR="00CA7341" w:rsidRPr="00CA7341" w:rsidRDefault="00CA7341" w:rsidP="00CA7341">
            <w:pPr>
              <w:jc w:val="center"/>
              <w:rPr>
                <w:b/>
                <w:iCs/>
                <w:sz w:val="16"/>
                <w:szCs w:val="16"/>
              </w:rPr>
            </w:pPr>
            <w:r w:rsidRPr="00CA7341">
              <w:rPr>
                <w:iCs/>
                <w:sz w:val="16"/>
                <w:szCs w:val="16"/>
              </w:rPr>
              <w:t>14.236.644,05</w:t>
            </w:r>
          </w:p>
        </w:tc>
        <w:tc>
          <w:tcPr>
            <w:tcW w:w="921" w:type="dxa"/>
          </w:tcPr>
          <w:p w14:paraId="5E381068" w14:textId="2D37918E" w:rsidR="00CA7341" w:rsidRPr="00CA7341" w:rsidRDefault="00CA7341" w:rsidP="00CA7341">
            <w:pPr>
              <w:jc w:val="center"/>
              <w:rPr>
                <w:b/>
                <w:iCs/>
                <w:sz w:val="16"/>
                <w:szCs w:val="16"/>
              </w:rPr>
            </w:pPr>
            <w:r w:rsidRPr="00CA7341">
              <w:rPr>
                <w:iCs/>
                <w:sz w:val="16"/>
                <w:szCs w:val="16"/>
              </w:rPr>
              <w:t>70.000,00</w:t>
            </w:r>
          </w:p>
        </w:tc>
        <w:tc>
          <w:tcPr>
            <w:tcW w:w="917" w:type="dxa"/>
          </w:tcPr>
          <w:p w14:paraId="27DA4C49" w14:textId="79E16054" w:rsidR="00CA7341" w:rsidRPr="00CA7341" w:rsidRDefault="00CA7341" w:rsidP="00CA7341">
            <w:pPr>
              <w:jc w:val="center"/>
              <w:rPr>
                <w:b/>
                <w:iCs/>
                <w:sz w:val="16"/>
                <w:szCs w:val="16"/>
              </w:rPr>
            </w:pPr>
            <w:r w:rsidRPr="00CA7341">
              <w:rPr>
                <w:iCs/>
                <w:sz w:val="16"/>
                <w:szCs w:val="16"/>
              </w:rPr>
              <w:t>0</w:t>
            </w:r>
          </w:p>
        </w:tc>
        <w:tc>
          <w:tcPr>
            <w:tcW w:w="917" w:type="dxa"/>
            <w:vAlign w:val="center"/>
          </w:tcPr>
          <w:p w14:paraId="7CAD5293" w14:textId="1E4902EC" w:rsidR="00CA7341" w:rsidRPr="00CA7341" w:rsidRDefault="00CA7341" w:rsidP="00CA7341">
            <w:pPr>
              <w:jc w:val="center"/>
              <w:rPr>
                <w:b/>
                <w:iCs/>
                <w:sz w:val="16"/>
                <w:szCs w:val="16"/>
              </w:rPr>
            </w:pPr>
            <w:r w:rsidRPr="00CA7341">
              <w:rPr>
                <w:iCs/>
                <w:sz w:val="16"/>
                <w:szCs w:val="16"/>
              </w:rPr>
              <w:t>5.300.000,00</w:t>
            </w:r>
          </w:p>
        </w:tc>
        <w:tc>
          <w:tcPr>
            <w:tcW w:w="987" w:type="dxa"/>
            <w:vAlign w:val="center"/>
          </w:tcPr>
          <w:p w14:paraId="2045CB3D" w14:textId="4CC76D0C" w:rsidR="00CA7341" w:rsidRPr="00CA7341" w:rsidRDefault="00CA7341" w:rsidP="00CA7341">
            <w:pPr>
              <w:jc w:val="center"/>
              <w:rPr>
                <w:b/>
                <w:iCs/>
                <w:sz w:val="16"/>
                <w:szCs w:val="16"/>
              </w:rPr>
            </w:pPr>
            <w:r w:rsidRPr="00CA7341">
              <w:rPr>
                <w:iCs/>
                <w:sz w:val="16"/>
                <w:szCs w:val="16"/>
              </w:rPr>
              <w:t>30.566.112,48</w:t>
            </w:r>
          </w:p>
        </w:tc>
      </w:tr>
      <w:tr w:rsidR="00CA7341" w:rsidRPr="00B77FAB" w14:paraId="3C08A4B4" w14:textId="77777777" w:rsidTr="00CA7341">
        <w:trPr>
          <w:trHeight w:val="298"/>
        </w:trPr>
        <w:tc>
          <w:tcPr>
            <w:tcW w:w="618" w:type="dxa"/>
            <w:shd w:val="clear" w:color="auto" w:fill="D9E2F3" w:themeFill="accent1" w:themeFillTint="33"/>
            <w:hideMark/>
          </w:tcPr>
          <w:p w14:paraId="04AF259D" w14:textId="71994D61" w:rsidR="00CA7341" w:rsidRPr="00B77FAB" w:rsidRDefault="00CA7341" w:rsidP="00CA7341">
            <w:pPr>
              <w:jc w:val="center"/>
              <w:rPr>
                <w:b/>
                <w:bCs/>
                <w:iCs/>
                <w:sz w:val="16"/>
                <w:szCs w:val="16"/>
              </w:rPr>
            </w:pPr>
            <w:r w:rsidRPr="00B77FAB">
              <w:rPr>
                <w:b/>
                <w:bCs/>
                <w:iCs/>
                <w:sz w:val="16"/>
                <w:szCs w:val="16"/>
              </w:rPr>
              <w:t>202</w:t>
            </w:r>
            <w:r>
              <w:rPr>
                <w:b/>
                <w:bCs/>
                <w:iCs/>
                <w:sz w:val="16"/>
                <w:szCs w:val="16"/>
              </w:rPr>
              <w:t>6</w:t>
            </w:r>
          </w:p>
        </w:tc>
        <w:tc>
          <w:tcPr>
            <w:tcW w:w="963" w:type="dxa"/>
          </w:tcPr>
          <w:p w14:paraId="4E429E2C" w14:textId="3EE6C1C7" w:rsidR="00CA7341" w:rsidRPr="00CA7341" w:rsidRDefault="00CA7341" w:rsidP="00CA7341">
            <w:pPr>
              <w:jc w:val="center"/>
              <w:rPr>
                <w:b/>
                <w:iCs/>
                <w:sz w:val="16"/>
                <w:szCs w:val="16"/>
              </w:rPr>
            </w:pPr>
            <w:r w:rsidRPr="00CA7341">
              <w:rPr>
                <w:iCs/>
                <w:sz w:val="16"/>
                <w:szCs w:val="16"/>
              </w:rPr>
              <w:t>4.199.342,93</w:t>
            </w:r>
          </w:p>
        </w:tc>
        <w:tc>
          <w:tcPr>
            <w:tcW w:w="617" w:type="dxa"/>
          </w:tcPr>
          <w:p w14:paraId="6CBAE947" w14:textId="5E2B18EF" w:rsidR="00CA7341" w:rsidRPr="00CA7341" w:rsidRDefault="00CA7341" w:rsidP="00CA7341">
            <w:pPr>
              <w:jc w:val="center"/>
              <w:rPr>
                <w:iCs/>
                <w:sz w:val="16"/>
                <w:szCs w:val="16"/>
              </w:rPr>
            </w:pPr>
            <w:r w:rsidRPr="00CA7341">
              <w:rPr>
                <w:iCs/>
                <w:sz w:val="16"/>
                <w:szCs w:val="16"/>
              </w:rPr>
              <w:t>0</w:t>
            </w:r>
          </w:p>
        </w:tc>
        <w:tc>
          <w:tcPr>
            <w:tcW w:w="963" w:type="dxa"/>
          </w:tcPr>
          <w:p w14:paraId="59944D31" w14:textId="64FDE327" w:rsidR="00CA7341" w:rsidRPr="00CA7341" w:rsidRDefault="00CA7341" w:rsidP="00CA7341">
            <w:pPr>
              <w:jc w:val="center"/>
              <w:rPr>
                <w:b/>
                <w:iCs/>
                <w:sz w:val="16"/>
                <w:szCs w:val="16"/>
              </w:rPr>
            </w:pPr>
            <w:r w:rsidRPr="00CA7341">
              <w:rPr>
                <w:iCs/>
                <w:sz w:val="16"/>
                <w:szCs w:val="16"/>
              </w:rPr>
              <w:t>6.900.000,00</w:t>
            </w:r>
          </w:p>
        </w:tc>
        <w:tc>
          <w:tcPr>
            <w:tcW w:w="1135" w:type="dxa"/>
          </w:tcPr>
          <w:p w14:paraId="29622925" w14:textId="1EC6B33F" w:rsidR="00CA7341" w:rsidRPr="00CA7341" w:rsidRDefault="00CA7341" w:rsidP="00CA7341">
            <w:pPr>
              <w:jc w:val="center"/>
              <w:rPr>
                <w:b/>
                <w:iCs/>
                <w:sz w:val="16"/>
                <w:szCs w:val="16"/>
              </w:rPr>
            </w:pPr>
            <w:r w:rsidRPr="00CA7341">
              <w:rPr>
                <w:iCs/>
                <w:sz w:val="16"/>
                <w:szCs w:val="16"/>
              </w:rPr>
              <w:t>12.403.595,55</w:t>
            </w:r>
          </w:p>
        </w:tc>
        <w:tc>
          <w:tcPr>
            <w:tcW w:w="921" w:type="dxa"/>
          </w:tcPr>
          <w:p w14:paraId="35D129D6" w14:textId="47D7BC71" w:rsidR="00CA7341" w:rsidRPr="00CA7341" w:rsidRDefault="00CA7341" w:rsidP="00CA7341">
            <w:pPr>
              <w:jc w:val="center"/>
              <w:rPr>
                <w:b/>
                <w:iCs/>
                <w:sz w:val="16"/>
                <w:szCs w:val="16"/>
              </w:rPr>
            </w:pPr>
            <w:r w:rsidRPr="00CA7341">
              <w:rPr>
                <w:iCs/>
                <w:sz w:val="16"/>
                <w:szCs w:val="16"/>
              </w:rPr>
              <w:t>100.000,00</w:t>
            </w:r>
          </w:p>
        </w:tc>
        <w:tc>
          <w:tcPr>
            <w:tcW w:w="917" w:type="dxa"/>
          </w:tcPr>
          <w:p w14:paraId="343ED5D4" w14:textId="56397598" w:rsidR="00CA7341" w:rsidRPr="00CA7341" w:rsidRDefault="00CA7341" w:rsidP="00CA7341">
            <w:pPr>
              <w:jc w:val="center"/>
              <w:rPr>
                <w:b/>
                <w:iCs/>
                <w:sz w:val="16"/>
                <w:szCs w:val="16"/>
              </w:rPr>
            </w:pPr>
            <w:r w:rsidRPr="00CA7341">
              <w:rPr>
                <w:iCs/>
                <w:sz w:val="16"/>
                <w:szCs w:val="16"/>
              </w:rPr>
              <w:t>0</w:t>
            </w:r>
          </w:p>
        </w:tc>
        <w:tc>
          <w:tcPr>
            <w:tcW w:w="917" w:type="dxa"/>
            <w:vAlign w:val="center"/>
          </w:tcPr>
          <w:p w14:paraId="699DECBF" w14:textId="7201C9DC" w:rsidR="00CA7341" w:rsidRPr="00CA7341" w:rsidRDefault="00CA7341" w:rsidP="00CA7341">
            <w:pPr>
              <w:jc w:val="center"/>
              <w:rPr>
                <w:b/>
                <w:iCs/>
                <w:sz w:val="16"/>
                <w:szCs w:val="16"/>
              </w:rPr>
            </w:pPr>
            <w:r w:rsidRPr="00CA7341">
              <w:rPr>
                <w:iCs/>
                <w:sz w:val="16"/>
                <w:szCs w:val="16"/>
              </w:rPr>
              <w:t>5.350.000,00</w:t>
            </w:r>
          </w:p>
        </w:tc>
        <w:tc>
          <w:tcPr>
            <w:tcW w:w="987" w:type="dxa"/>
            <w:vAlign w:val="center"/>
          </w:tcPr>
          <w:p w14:paraId="6A904735" w14:textId="19AF3BAE" w:rsidR="00CA7341" w:rsidRPr="00CA7341" w:rsidRDefault="00CA7341" w:rsidP="00CA7341">
            <w:pPr>
              <w:jc w:val="center"/>
              <w:rPr>
                <w:b/>
                <w:iCs/>
                <w:sz w:val="16"/>
                <w:szCs w:val="16"/>
              </w:rPr>
            </w:pPr>
            <w:r w:rsidRPr="00CA7341">
              <w:rPr>
                <w:iCs/>
                <w:sz w:val="16"/>
                <w:szCs w:val="16"/>
              </w:rPr>
              <w:t>28.952.938,48</w:t>
            </w:r>
          </w:p>
        </w:tc>
      </w:tr>
      <w:tr w:rsidR="00CA7341" w:rsidRPr="00B84A89" w14:paraId="42ECC666" w14:textId="77777777" w:rsidTr="00CA7341">
        <w:tblPrEx>
          <w:jc w:val="center"/>
        </w:tblPrEx>
        <w:trPr>
          <w:trHeight w:val="313"/>
          <w:jc w:val="center"/>
        </w:trPr>
        <w:tc>
          <w:tcPr>
            <w:tcW w:w="8043" w:type="dxa"/>
            <w:gridSpan w:val="9"/>
            <w:tcBorders>
              <w:top w:val="single" w:sz="4" w:space="0" w:color="auto"/>
              <w:left w:val="nil"/>
              <w:bottom w:val="nil"/>
              <w:right w:val="nil"/>
            </w:tcBorders>
            <w:vAlign w:val="center"/>
          </w:tcPr>
          <w:p w14:paraId="32A36F2C" w14:textId="77777777" w:rsidR="00CA7341" w:rsidRPr="00B84A89" w:rsidRDefault="00CA7341" w:rsidP="00E448C6">
            <w:pPr>
              <w:spacing w:after="160" w:line="259" w:lineRule="auto"/>
              <w:rPr>
                <w:i/>
                <w:iCs/>
                <w:lang w:val="sr-Latn-ME"/>
              </w:rPr>
            </w:pPr>
            <w:r w:rsidRPr="00B84A89">
              <w:rPr>
                <w:i/>
                <w:iCs/>
                <w:lang w:val="sr-Latn-ME"/>
              </w:rPr>
              <w:t>Izvor: Kalkulacije MF na osnovu tabele 10b iz aneksa</w:t>
            </w:r>
          </w:p>
        </w:tc>
      </w:tr>
    </w:tbl>
    <w:p w14:paraId="7C67647A" w14:textId="77777777" w:rsidR="00CA7341" w:rsidRPr="00A2653F" w:rsidRDefault="00CA7341" w:rsidP="00CA7341">
      <w:pPr>
        <w:rPr>
          <w:sz w:val="24"/>
          <w:szCs w:val="24"/>
          <w:lang w:val="sr-Latn-ME"/>
        </w:rPr>
      </w:pPr>
      <w:r w:rsidRPr="00A2653F">
        <w:rPr>
          <w:sz w:val="24"/>
          <w:szCs w:val="24"/>
          <w:lang w:val="sr-Latn-ME"/>
        </w:rPr>
        <w:t>Za 202</w:t>
      </w:r>
      <w:r>
        <w:rPr>
          <w:sz w:val="24"/>
          <w:szCs w:val="24"/>
          <w:lang w:val="sr-Latn-ME"/>
        </w:rPr>
        <w:t>4</w:t>
      </w:r>
      <w:r w:rsidRPr="00A2653F">
        <w:rPr>
          <w:sz w:val="24"/>
          <w:szCs w:val="24"/>
          <w:lang w:val="sr-Latn-ME"/>
        </w:rPr>
        <w:t>. godinu sredstva iz centralnog budžeta planirana su u okviru budžeta Crne Gore</w:t>
      </w:r>
      <w:r>
        <w:rPr>
          <w:sz w:val="24"/>
          <w:szCs w:val="24"/>
          <w:lang w:val="sr-Latn-ME"/>
        </w:rPr>
        <w:t xml:space="preserve">. </w:t>
      </w:r>
      <w:r w:rsidRPr="00A2653F">
        <w:rPr>
          <w:sz w:val="24"/>
          <w:szCs w:val="24"/>
          <w:lang w:val="sr-Latn-ME"/>
        </w:rPr>
        <w:t>Finansijska struktura za 202</w:t>
      </w:r>
      <w:r>
        <w:rPr>
          <w:sz w:val="24"/>
          <w:szCs w:val="24"/>
          <w:lang w:val="sr-Latn-ME"/>
        </w:rPr>
        <w:t>5</w:t>
      </w:r>
      <w:r w:rsidRPr="00A2653F">
        <w:rPr>
          <w:sz w:val="24"/>
          <w:szCs w:val="24"/>
          <w:lang w:val="sr-Latn-ME"/>
        </w:rPr>
        <w:t>. i 202</w:t>
      </w:r>
      <w:r>
        <w:rPr>
          <w:sz w:val="24"/>
          <w:szCs w:val="24"/>
          <w:lang w:val="sr-Latn-ME"/>
        </w:rPr>
        <w:t>6</w:t>
      </w:r>
      <w:r w:rsidRPr="00A2653F">
        <w:rPr>
          <w:sz w:val="24"/>
          <w:szCs w:val="24"/>
          <w:lang w:val="sr-Latn-ME"/>
        </w:rPr>
        <w:t>. godinu  će se prilagođavati u skladu sa godišnjim budžetima za te godine.</w:t>
      </w:r>
    </w:p>
    <w:p w14:paraId="25868A64" w14:textId="77777777" w:rsidR="00CA7341" w:rsidRDefault="00CA7341" w:rsidP="00CA7341"/>
    <w:p w14:paraId="5CBD2858" w14:textId="599FC46A" w:rsidR="009B3834" w:rsidRDefault="009B3834" w:rsidP="00C82B3B">
      <w:pPr>
        <w:jc w:val="both"/>
        <w:rPr>
          <w:rFonts w:ascii="Calibri" w:eastAsia="Calibri" w:hAnsi="Calibri" w:cs="Calibri"/>
          <w:b/>
          <w:bCs/>
          <w:kern w:val="0"/>
          <w:lang w:val="sr-Latn-RS" w:eastAsia="sr-Cyrl-CS" w:bidi="sr-Cyrl-CS"/>
          <w14:ligatures w14:val="none"/>
        </w:rPr>
      </w:pPr>
    </w:p>
    <w:sectPr w:rsidR="009B3834" w:rsidSect="007338DF">
      <w:footerReference w:type="default" r:id="rId29"/>
      <w:pgSz w:w="12240" w:h="15840"/>
      <w:pgMar w:top="153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A95738" w14:textId="77777777" w:rsidR="006F1AD6" w:rsidRDefault="006F1AD6" w:rsidP="004E2900">
      <w:pPr>
        <w:spacing w:after="0" w:line="240" w:lineRule="auto"/>
      </w:pPr>
      <w:r>
        <w:separator/>
      </w:r>
    </w:p>
  </w:endnote>
  <w:endnote w:type="continuationSeparator" w:id="0">
    <w:p w14:paraId="041F4C13" w14:textId="77777777" w:rsidR="006F1AD6" w:rsidRDefault="006F1AD6" w:rsidP="004E29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auto"/>
    <w:pitch w:val="variable"/>
    <w:sig w:usb0="E0002AE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Times New Roman YU">
    <w:altName w:val="Times New Roman"/>
    <w:charset w:val="00"/>
    <w:family w:val="auto"/>
    <w:pitch w:val="variable"/>
    <w:sig w:usb0="00000000" w:usb1="C0007841"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TimesNewRomanPS-ItalicMT">
    <w:altName w:val="Times New Roman"/>
    <w:charset w:val="00"/>
    <w:family w:val="auto"/>
    <w:pitch w:val="variable"/>
    <w:sig w:usb0="E0000AFF" w:usb1="00007843" w:usb2="00000001" w:usb3="00000000" w:csb0="000001BF" w:csb1="00000000"/>
  </w:font>
  <w:font w:name="Helvetica">
    <w:panose1 w:val="020B0604020202020204"/>
    <w:charset w:val="EE"/>
    <w:family w:val="swiss"/>
    <w:pitch w:val="variable"/>
    <w:sig w:usb0="E0002AFF" w:usb1="C0007843" w:usb2="00000009" w:usb3="00000000" w:csb0="000001FF" w:csb1="00000000"/>
  </w:font>
  <w:font w:name="inherit">
    <w:altName w:val="Cambria"/>
    <w:panose1 w:val="00000000000000000000"/>
    <w:charset w:val="00"/>
    <w:family w:val="roman"/>
    <w:notTrueType/>
    <w:pitch w:val="default"/>
  </w:font>
  <w:font w:name="+mn-ea">
    <w:panose1 w:val="00000000000000000000"/>
    <w:charset w:val="00"/>
    <w:family w:val="roman"/>
    <w:notTrueType/>
    <w:pitch w:val="default"/>
  </w:font>
  <w:font w:name="+mn-cs">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7056386"/>
      <w:docPartObj>
        <w:docPartGallery w:val="Page Numbers (Bottom of Page)"/>
        <w:docPartUnique/>
      </w:docPartObj>
    </w:sdtPr>
    <w:sdtEndPr>
      <w:rPr>
        <w:noProof/>
      </w:rPr>
    </w:sdtEndPr>
    <w:sdtContent>
      <w:p w14:paraId="3866AD7C" w14:textId="26F22B5F" w:rsidR="00052499" w:rsidRDefault="00052499">
        <w:pPr>
          <w:pStyle w:val="Footer"/>
          <w:jc w:val="right"/>
        </w:pPr>
        <w:r>
          <w:fldChar w:fldCharType="begin"/>
        </w:r>
        <w:r>
          <w:instrText xml:space="preserve"> PAGE   \* MERGEFORMAT </w:instrText>
        </w:r>
        <w:r>
          <w:fldChar w:fldCharType="separate"/>
        </w:r>
        <w:r w:rsidR="00D43B71">
          <w:rPr>
            <w:noProof/>
          </w:rPr>
          <w:t>4</w:t>
        </w:r>
        <w:r>
          <w:rPr>
            <w:noProof/>
          </w:rPr>
          <w:fldChar w:fldCharType="end"/>
        </w:r>
      </w:p>
    </w:sdtContent>
  </w:sdt>
  <w:p w14:paraId="561A48DC" w14:textId="77777777" w:rsidR="00052499" w:rsidRPr="00110B0F" w:rsidRDefault="00052499" w:rsidP="00052499"/>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1792954"/>
      <w:docPartObj>
        <w:docPartGallery w:val="Page Numbers (Bottom of Page)"/>
        <w:docPartUnique/>
      </w:docPartObj>
    </w:sdtPr>
    <w:sdtEndPr>
      <w:rPr>
        <w:noProof/>
      </w:rPr>
    </w:sdtEndPr>
    <w:sdtContent>
      <w:p w14:paraId="39890E7A" w14:textId="63F2F96A" w:rsidR="00052499" w:rsidRDefault="00052499">
        <w:pPr>
          <w:pStyle w:val="Footer"/>
          <w:jc w:val="right"/>
        </w:pPr>
        <w:r>
          <w:fldChar w:fldCharType="begin"/>
        </w:r>
        <w:r>
          <w:instrText xml:space="preserve"> PAGE   \* MERGEFORMAT </w:instrText>
        </w:r>
        <w:r>
          <w:fldChar w:fldCharType="separate"/>
        </w:r>
        <w:r w:rsidR="0024795F">
          <w:rPr>
            <w:noProof/>
          </w:rPr>
          <w:t>95</w:t>
        </w:r>
        <w:r>
          <w:rPr>
            <w:noProof/>
          </w:rPr>
          <w:fldChar w:fldCharType="end"/>
        </w:r>
      </w:p>
    </w:sdtContent>
  </w:sdt>
  <w:p w14:paraId="6E926EC8" w14:textId="77777777" w:rsidR="00052499" w:rsidRDefault="00052499">
    <w:pPr>
      <w:pStyle w:val="Footer"/>
    </w:pPr>
  </w:p>
  <w:p w14:paraId="7F27FB36" w14:textId="77777777" w:rsidR="00052499" w:rsidRDefault="00052499"/>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12DC64" w14:textId="77777777" w:rsidR="006F1AD6" w:rsidRDefault="006F1AD6" w:rsidP="004E2900">
      <w:pPr>
        <w:spacing w:after="0" w:line="240" w:lineRule="auto"/>
      </w:pPr>
      <w:r>
        <w:separator/>
      </w:r>
    </w:p>
  </w:footnote>
  <w:footnote w:type="continuationSeparator" w:id="0">
    <w:p w14:paraId="74C741F2" w14:textId="77777777" w:rsidR="006F1AD6" w:rsidRDefault="006F1AD6" w:rsidP="004E2900">
      <w:pPr>
        <w:spacing w:after="0" w:line="240" w:lineRule="auto"/>
      </w:pPr>
      <w:r>
        <w:continuationSeparator/>
      </w:r>
    </w:p>
  </w:footnote>
  <w:footnote w:id="1">
    <w:p w14:paraId="286B6162" w14:textId="77777777" w:rsidR="00052499" w:rsidRPr="004F29B4" w:rsidRDefault="00052499" w:rsidP="00CA7341">
      <w:pPr>
        <w:pStyle w:val="FootnoteText"/>
      </w:pPr>
      <w:r w:rsidRPr="00213467">
        <w:rPr>
          <w:rStyle w:val="FootnoteReference"/>
          <w:sz w:val="16"/>
        </w:rPr>
        <w:footnoteRef/>
      </w:r>
      <w:r w:rsidRPr="00213467">
        <w:rPr>
          <w:sz w:val="16"/>
        </w:rPr>
        <w:t xml:space="preserve"> AQR – </w:t>
      </w:r>
      <w:bookmarkStart w:id="7" w:name="OLE_LINK9"/>
      <w:r w:rsidRPr="00213467">
        <w:rPr>
          <w:i/>
          <w:sz w:val="16"/>
        </w:rPr>
        <w:t>engl. Asset Quality Review</w:t>
      </w:r>
      <w:r w:rsidRPr="00213467">
        <w:rPr>
          <w:sz w:val="16"/>
        </w:rPr>
        <w:t xml:space="preserve"> </w:t>
      </w:r>
      <w:bookmarkEnd w:id="7"/>
      <w:r w:rsidRPr="00213467">
        <w:rPr>
          <w:sz w:val="16"/>
        </w:rPr>
        <w:t xml:space="preserve">– </w:t>
      </w:r>
      <w:bookmarkStart w:id="8" w:name="_Hlk152328469"/>
      <w:r w:rsidRPr="00213467">
        <w:rPr>
          <w:sz w:val="16"/>
        </w:rPr>
        <w:t>Pregled kvaliteta aktive</w:t>
      </w:r>
    </w:p>
    <w:bookmarkEnd w:id="8"/>
  </w:footnote>
  <w:footnote w:id="2">
    <w:p w14:paraId="3A83A83F" w14:textId="77777777" w:rsidR="00052499" w:rsidRPr="00213467" w:rsidRDefault="00052499" w:rsidP="00CA7341">
      <w:pPr>
        <w:pStyle w:val="FootnoteText"/>
        <w:jc w:val="both"/>
        <w:rPr>
          <w:sz w:val="16"/>
        </w:rPr>
      </w:pPr>
      <w:r w:rsidRPr="00213467">
        <w:rPr>
          <w:rStyle w:val="FootnoteReference"/>
          <w:sz w:val="16"/>
        </w:rPr>
        <w:footnoteRef/>
      </w:r>
      <w:r w:rsidRPr="00213467">
        <w:rPr>
          <w:sz w:val="16"/>
        </w:rPr>
        <w:t xml:space="preserve"> „Sl. list Crne Gore“, br. 72/19 i 8/21</w:t>
      </w:r>
    </w:p>
  </w:footnote>
  <w:footnote w:id="3">
    <w:p w14:paraId="67DA42D7" w14:textId="77777777" w:rsidR="00052499" w:rsidRPr="00213467" w:rsidRDefault="00052499" w:rsidP="00CA7341">
      <w:pPr>
        <w:pStyle w:val="FootnoteText"/>
        <w:jc w:val="both"/>
        <w:rPr>
          <w:sz w:val="16"/>
        </w:rPr>
      </w:pPr>
      <w:r w:rsidRPr="00213467">
        <w:rPr>
          <w:rStyle w:val="FootnoteReference"/>
          <w:sz w:val="16"/>
        </w:rPr>
        <w:footnoteRef/>
      </w:r>
      <w:r w:rsidRPr="00213467">
        <w:rPr>
          <w:sz w:val="16"/>
        </w:rPr>
        <w:t xml:space="preserve"> NSFR – </w:t>
      </w:r>
      <w:r w:rsidRPr="00213467">
        <w:rPr>
          <w:i/>
          <w:sz w:val="16"/>
        </w:rPr>
        <w:t>engl. Net Stable Funding Ratio -</w:t>
      </w:r>
      <w:r w:rsidRPr="00213467">
        <w:rPr>
          <w:sz w:val="16"/>
        </w:rPr>
        <w:t xml:space="preserve"> </w:t>
      </w:r>
      <w:r w:rsidRPr="00213467">
        <w:rPr>
          <w:i/>
          <w:sz w:val="16"/>
        </w:rPr>
        <w:t>koeficijent neto stabilnih izvora finansiranja</w:t>
      </w:r>
    </w:p>
  </w:footnote>
  <w:footnote w:id="4">
    <w:p w14:paraId="3B4316A9" w14:textId="77777777" w:rsidR="00052499" w:rsidRPr="00213467" w:rsidRDefault="00052499" w:rsidP="00CA7341">
      <w:pPr>
        <w:pStyle w:val="FootnoteText"/>
        <w:jc w:val="both"/>
        <w:rPr>
          <w:sz w:val="16"/>
        </w:rPr>
      </w:pPr>
      <w:r w:rsidRPr="00213467">
        <w:rPr>
          <w:rStyle w:val="FootnoteReference"/>
          <w:sz w:val="16"/>
        </w:rPr>
        <w:footnoteRef/>
      </w:r>
      <w:r w:rsidRPr="00213467">
        <w:rPr>
          <w:sz w:val="16"/>
        </w:rPr>
        <w:t xml:space="preserve"> QIS – </w:t>
      </w:r>
      <w:r w:rsidRPr="00213467">
        <w:rPr>
          <w:i/>
          <w:sz w:val="16"/>
        </w:rPr>
        <w:t>engl. Quantitative Impact Study</w:t>
      </w:r>
      <w:r w:rsidRPr="00213467">
        <w:rPr>
          <w:sz w:val="16"/>
        </w:rPr>
        <w:t xml:space="preserve"> - </w:t>
      </w:r>
      <w:r w:rsidRPr="00213467">
        <w:rPr>
          <w:i/>
          <w:sz w:val="16"/>
        </w:rPr>
        <w:t>kvantitativna studija uticaja</w:t>
      </w:r>
    </w:p>
  </w:footnote>
  <w:footnote w:id="5">
    <w:p w14:paraId="17C92218" w14:textId="77777777" w:rsidR="00052499" w:rsidRPr="000A659E" w:rsidRDefault="00052499" w:rsidP="00CA7341">
      <w:pPr>
        <w:pStyle w:val="FootnoteText"/>
        <w:jc w:val="both"/>
      </w:pPr>
      <w:r w:rsidRPr="00213467">
        <w:rPr>
          <w:rStyle w:val="FootnoteReference"/>
          <w:sz w:val="16"/>
        </w:rPr>
        <w:footnoteRef/>
      </w:r>
      <w:r w:rsidRPr="00213467">
        <w:rPr>
          <w:sz w:val="16"/>
        </w:rPr>
        <w:t xml:space="preserve"> "Sl. list Crne Gore", br. 073/17 i 044/20</w:t>
      </w:r>
    </w:p>
  </w:footnote>
  <w:footnote w:id="6">
    <w:p w14:paraId="1A2DBE40" w14:textId="77777777" w:rsidR="00052499" w:rsidRPr="0011173A" w:rsidRDefault="00052499" w:rsidP="00CA7341">
      <w:pPr>
        <w:pStyle w:val="FootnoteText"/>
        <w:rPr>
          <w:sz w:val="16"/>
        </w:rPr>
      </w:pPr>
      <w:r w:rsidRPr="0011173A">
        <w:rPr>
          <w:rStyle w:val="FootnoteReference"/>
          <w:sz w:val="16"/>
        </w:rPr>
        <w:footnoteRef/>
      </w:r>
      <w:r w:rsidRPr="0011173A">
        <w:rPr>
          <w:sz w:val="16"/>
        </w:rPr>
        <w:t xml:space="preserve"> SRB – </w:t>
      </w:r>
      <w:r w:rsidRPr="0011173A">
        <w:rPr>
          <w:i/>
          <w:sz w:val="16"/>
        </w:rPr>
        <w:t>engl. Systemic Risk Board</w:t>
      </w:r>
      <w:r w:rsidRPr="0011173A">
        <w:rPr>
          <w:sz w:val="16"/>
        </w:rPr>
        <w:t xml:space="preserve"> - Jedinstveni odbor za sanaciju</w:t>
      </w:r>
    </w:p>
  </w:footnote>
  <w:footnote w:id="7">
    <w:p w14:paraId="67E85452" w14:textId="77777777" w:rsidR="00052499" w:rsidRPr="0011173A" w:rsidRDefault="00052499" w:rsidP="00CA7341">
      <w:pPr>
        <w:pStyle w:val="FootnoteText"/>
        <w:rPr>
          <w:sz w:val="16"/>
        </w:rPr>
      </w:pPr>
      <w:r w:rsidRPr="0011173A">
        <w:rPr>
          <w:rStyle w:val="FootnoteReference"/>
          <w:sz w:val="16"/>
        </w:rPr>
        <w:footnoteRef/>
      </w:r>
      <w:r w:rsidRPr="0011173A">
        <w:rPr>
          <w:sz w:val="16"/>
        </w:rPr>
        <w:t xml:space="preserve"> Dio I – Predmet, oblast primjene i definicije, tačka 2.</w:t>
      </w:r>
    </w:p>
  </w:footnote>
  <w:footnote w:id="8">
    <w:p w14:paraId="56F7BB09" w14:textId="77777777" w:rsidR="00052499" w:rsidRPr="000A659E" w:rsidRDefault="00052499" w:rsidP="00CA7341">
      <w:pPr>
        <w:pStyle w:val="FootnoteText"/>
      </w:pPr>
      <w:r w:rsidRPr="0011173A">
        <w:rPr>
          <w:rStyle w:val="FootnoteReference"/>
          <w:sz w:val="16"/>
        </w:rPr>
        <w:footnoteRef/>
      </w:r>
      <w:r w:rsidRPr="0011173A">
        <w:rPr>
          <w:sz w:val="16"/>
        </w:rPr>
        <w:t xml:space="preserve"> Dio II, 2.1. Razvoj strategije za nekvalitetne kredite, tačka 9.</w:t>
      </w:r>
    </w:p>
  </w:footnote>
  <w:footnote w:id="9">
    <w:p w14:paraId="2BB0F38F" w14:textId="77777777" w:rsidR="00052499" w:rsidRPr="00213467" w:rsidRDefault="00052499" w:rsidP="00CB2E14">
      <w:pPr>
        <w:pStyle w:val="FootnoteText"/>
        <w:jc w:val="both"/>
        <w:rPr>
          <w:rFonts w:cstheme="minorHAnsi"/>
          <w:sz w:val="16"/>
          <w:szCs w:val="16"/>
        </w:rPr>
      </w:pPr>
      <w:r w:rsidRPr="00213467">
        <w:rPr>
          <w:rStyle w:val="FootnoteReference"/>
          <w:rFonts w:cstheme="minorHAnsi"/>
          <w:sz w:val="16"/>
          <w:szCs w:val="16"/>
        </w:rPr>
        <w:footnoteRef/>
      </w:r>
      <w:r w:rsidRPr="00213467">
        <w:rPr>
          <w:rFonts w:cstheme="minorHAnsi"/>
          <w:sz w:val="16"/>
          <w:szCs w:val="16"/>
        </w:rPr>
        <w:t xml:space="preserve"> </w:t>
      </w:r>
      <w:hyperlink r:id="rId1" w:history="1">
        <w:r w:rsidRPr="00213467">
          <w:rPr>
            <w:rStyle w:val="Hyperlink"/>
            <w:rFonts w:cstheme="minorHAnsi"/>
            <w:sz w:val="16"/>
            <w:szCs w:val="16"/>
          </w:rPr>
          <w:t>World Economic Outlook, October 2023: Navigating Global Divergences (imf.org)</w:t>
        </w:r>
      </w:hyperlink>
    </w:p>
  </w:footnote>
  <w:footnote w:id="10">
    <w:p w14:paraId="3E7C7683" w14:textId="77777777" w:rsidR="00052499" w:rsidRPr="00213467" w:rsidRDefault="00052499" w:rsidP="00CB2E14">
      <w:pPr>
        <w:pStyle w:val="FootnoteText"/>
        <w:jc w:val="both"/>
        <w:rPr>
          <w:rFonts w:cstheme="minorHAnsi"/>
          <w:sz w:val="16"/>
          <w:szCs w:val="16"/>
        </w:rPr>
      </w:pPr>
      <w:r w:rsidRPr="00213467">
        <w:rPr>
          <w:rStyle w:val="FootnoteReference"/>
          <w:rFonts w:cstheme="minorHAnsi"/>
          <w:sz w:val="16"/>
          <w:szCs w:val="16"/>
        </w:rPr>
        <w:footnoteRef/>
      </w:r>
      <w:r w:rsidRPr="00213467">
        <w:rPr>
          <w:rFonts w:cstheme="minorHAnsi"/>
          <w:sz w:val="16"/>
          <w:szCs w:val="16"/>
        </w:rPr>
        <w:t xml:space="preserve"> </w:t>
      </w:r>
      <w:hyperlink r:id="rId2" w:anchor="toc7" w:history="1">
        <w:r w:rsidRPr="00213467">
          <w:rPr>
            <w:rStyle w:val="Hyperlink"/>
            <w:rFonts w:cstheme="minorHAnsi"/>
            <w:sz w:val="16"/>
            <w:szCs w:val="16"/>
          </w:rPr>
          <w:t>ECB staff macroeconomic projections for the euro area, September 2023 (europa.eu)</w:t>
        </w:r>
      </w:hyperlink>
    </w:p>
  </w:footnote>
  <w:footnote w:id="11">
    <w:p w14:paraId="47DB56F5" w14:textId="77777777" w:rsidR="00052499" w:rsidRPr="00213467" w:rsidRDefault="00052499" w:rsidP="00CB2E14">
      <w:pPr>
        <w:pStyle w:val="FootnoteText"/>
        <w:jc w:val="both"/>
        <w:rPr>
          <w:rFonts w:cstheme="minorHAnsi"/>
          <w:sz w:val="16"/>
          <w:szCs w:val="16"/>
        </w:rPr>
      </w:pPr>
      <w:r w:rsidRPr="00213467">
        <w:rPr>
          <w:rStyle w:val="FootnoteReference"/>
          <w:rFonts w:cstheme="minorHAnsi"/>
          <w:sz w:val="16"/>
          <w:szCs w:val="16"/>
        </w:rPr>
        <w:footnoteRef/>
      </w:r>
      <w:r w:rsidRPr="00213467">
        <w:rPr>
          <w:rFonts w:cstheme="minorHAnsi"/>
          <w:sz w:val="16"/>
          <w:szCs w:val="16"/>
        </w:rPr>
        <w:t xml:space="preserve"> </w:t>
      </w:r>
      <w:hyperlink r:id="rId3" w:history="1">
        <w:r w:rsidRPr="00213467">
          <w:rPr>
            <w:rStyle w:val="Hyperlink"/>
            <w:rFonts w:cstheme="minorHAnsi"/>
            <w:sz w:val="16"/>
            <w:szCs w:val="16"/>
          </w:rPr>
          <w:t>Autumn 2023 Economic Forecast: A modest recovery ahead after a challenging year (europa.eu)</w:t>
        </w:r>
      </w:hyperlink>
    </w:p>
  </w:footnote>
  <w:footnote w:id="12">
    <w:p w14:paraId="44A3C6E7" w14:textId="77777777" w:rsidR="00052499" w:rsidRPr="00213467" w:rsidRDefault="00052499" w:rsidP="00CB2E14">
      <w:pPr>
        <w:pStyle w:val="FootnoteText"/>
        <w:jc w:val="both"/>
        <w:rPr>
          <w:sz w:val="16"/>
          <w:szCs w:val="16"/>
        </w:rPr>
      </w:pPr>
      <w:r w:rsidRPr="00213467">
        <w:rPr>
          <w:rStyle w:val="FootnoteReference"/>
          <w:rFonts w:cstheme="minorHAnsi"/>
          <w:sz w:val="16"/>
          <w:szCs w:val="16"/>
        </w:rPr>
        <w:footnoteRef/>
      </w:r>
      <w:r w:rsidRPr="00213467">
        <w:rPr>
          <w:rFonts w:cstheme="minorHAnsi"/>
          <w:sz w:val="16"/>
          <w:szCs w:val="16"/>
        </w:rPr>
        <w:t xml:space="preserve"> </w:t>
      </w:r>
      <w:hyperlink r:id="rId4" w:history="1">
        <w:r w:rsidRPr="00213467">
          <w:rPr>
            <w:rFonts w:cstheme="minorHAnsi"/>
            <w:color w:val="0563C1"/>
            <w:sz w:val="16"/>
            <w:szCs w:val="16"/>
            <w:u w:val="single"/>
          </w:rPr>
          <w:t>https://www.worldbank.org/en/region/eca/publication/western-balkans-regular-economic-report</w:t>
        </w:r>
      </w:hyperlink>
      <w:r w:rsidRPr="00213467">
        <w:rPr>
          <w:rFonts w:cstheme="minorHAnsi"/>
          <w:color w:val="0563C1"/>
          <w:sz w:val="16"/>
          <w:szCs w:val="16"/>
          <w:u w:val="single"/>
        </w:rPr>
        <w:t>-2023</w:t>
      </w:r>
    </w:p>
  </w:footnote>
  <w:footnote w:id="13">
    <w:p w14:paraId="5A1253D9" w14:textId="77777777" w:rsidR="00052499" w:rsidRPr="0095305E" w:rsidRDefault="00052499" w:rsidP="00CB2E14">
      <w:pPr>
        <w:pStyle w:val="FootnoteText"/>
      </w:pPr>
      <w:r w:rsidRPr="00213467">
        <w:rPr>
          <w:rStyle w:val="FootnoteReference"/>
          <w:sz w:val="16"/>
        </w:rPr>
        <w:footnoteRef/>
      </w:r>
      <w:r w:rsidRPr="00213467">
        <w:rPr>
          <w:sz w:val="16"/>
        </w:rPr>
        <w:t xml:space="preserve"> NPL – </w:t>
      </w:r>
      <w:r w:rsidRPr="00213467">
        <w:rPr>
          <w:i/>
          <w:sz w:val="16"/>
        </w:rPr>
        <w:t xml:space="preserve">engl. </w:t>
      </w:r>
      <w:bookmarkStart w:id="11" w:name="OLE_LINK10"/>
      <w:r w:rsidRPr="00213467">
        <w:rPr>
          <w:i/>
          <w:sz w:val="16"/>
        </w:rPr>
        <w:t>Non- performing loans</w:t>
      </w:r>
      <w:r w:rsidRPr="00213467">
        <w:rPr>
          <w:sz w:val="16"/>
        </w:rPr>
        <w:t xml:space="preserve"> </w:t>
      </w:r>
      <w:bookmarkEnd w:id="11"/>
      <w:r w:rsidRPr="00213467">
        <w:rPr>
          <w:sz w:val="16"/>
        </w:rPr>
        <w:t>– nekvalitetni krediti</w:t>
      </w:r>
    </w:p>
  </w:footnote>
  <w:footnote w:id="14">
    <w:p w14:paraId="0C279410" w14:textId="77777777" w:rsidR="00052499" w:rsidRDefault="00052499" w:rsidP="00CB2E14">
      <w:pPr>
        <w:pStyle w:val="FootnoteText"/>
      </w:pPr>
      <w:r w:rsidRPr="003D509C">
        <w:rPr>
          <w:rStyle w:val="FootnoteReference"/>
          <w:sz w:val="16"/>
        </w:rPr>
        <w:footnoteRef/>
      </w:r>
      <w:r w:rsidRPr="003D509C">
        <w:rPr>
          <w:sz w:val="16"/>
        </w:rPr>
        <w:t xml:space="preserve"> </w:t>
      </w:r>
      <w:hyperlink r:id="rId5" w:anchor="toc7" w:history="1">
        <w:r w:rsidRPr="003D509C">
          <w:rPr>
            <w:rStyle w:val="Hyperlink"/>
            <w:sz w:val="16"/>
          </w:rPr>
          <w:t>ECB staff macroeconomic projections for the euro area, September 2023 (europa.eu)</w:t>
        </w:r>
      </w:hyperlink>
    </w:p>
  </w:footnote>
  <w:footnote w:id="15">
    <w:p w14:paraId="6567D053" w14:textId="77777777" w:rsidR="00052499" w:rsidRDefault="00052499" w:rsidP="00CB2E14">
      <w:pPr>
        <w:pStyle w:val="FootnoteText"/>
        <w:jc w:val="both"/>
      </w:pPr>
      <w:r w:rsidRPr="00416819">
        <w:rPr>
          <w:rStyle w:val="FootnoteReference"/>
          <w:sz w:val="16"/>
        </w:rPr>
        <w:footnoteRef/>
      </w:r>
      <w:r w:rsidRPr="00416819">
        <w:rPr>
          <w:sz w:val="16"/>
        </w:rPr>
        <w:t xml:space="preserve"> </w:t>
      </w:r>
      <w:hyperlink r:id="rId6" w:history="1">
        <w:r w:rsidRPr="00416819">
          <w:rPr>
            <w:rStyle w:val="Hyperlink"/>
            <w:sz w:val="16"/>
          </w:rPr>
          <w:t>Commission presents a new Growth Plan for the Western Balkans including €6 billion in grants and loans to accelerate economic convergence with the EU (europa.eu)</w:t>
        </w:r>
      </w:hyperlink>
    </w:p>
  </w:footnote>
  <w:footnote w:id="16">
    <w:p w14:paraId="5AAFE7ED" w14:textId="77777777" w:rsidR="00052499" w:rsidRPr="008A41FF" w:rsidRDefault="00052499" w:rsidP="00CB2E14">
      <w:pPr>
        <w:pStyle w:val="FootnoteText"/>
        <w:rPr>
          <w:sz w:val="16"/>
          <w:szCs w:val="16"/>
        </w:rPr>
      </w:pPr>
      <w:r w:rsidRPr="008A41FF">
        <w:rPr>
          <w:rStyle w:val="FootnoteReference"/>
          <w:sz w:val="16"/>
          <w:szCs w:val="16"/>
        </w:rPr>
        <w:footnoteRef/>
      </w:r>
      <w:r w:rsidRPr="008A41FF">
        <w:rPr>
          <w:sz w:val="16"/>
          <w:szCs w:val="16"/>
        </w:rPr>
        <w:t xml:space="preserve"> </w:t>
      </w:r>
      <w:hyperlink r:id="rId7" w:history="1">
        <w:r w:rsidRPr="008A41FF">
          <w:rPr>
            <w:rStyle w:val="Hyperlink"/>
            <w:sz w:val="16"/>
            <w:szCs w:val="16"/>
          </w:rPr>
          <w:t>2023 Regulation proposal Reform and Growth Facility Western Balkans (europa.eu)</w:t>
        </w:r>
      </w:hyperlink>
    </w:p>
  </w:footnote>
  <w:footnote w:id="17">
    <w:p w14:paraId="29615EE4" w14:textId="77777777" w:rsidR="00052499" w:rsidRDefault="00052499" w:rsidP="00CB2E14">
      <w:pPr>
        <w:pStyle w:val="FootnoteText"/>
        <w:jc w:val="both"/>
      </w:pPr>
      <w:r w:rsidRPr="00F5423D">
        <w:rPr>
          <w:rStyle w:val="FootnoteReference"/>
          <w:sz w:val="16"/>
        </w:rPr>
        <w:footnoteRef/>
      </w:r>
      <w:r w:rsidRPr="00F5423D">
        <w:rPr>
          <w:sz w:val="16"/>
        </w:rPr>
        <w:t xml:space="preserve"> </w:t>
      </w:r>
      <w:hyperlink r:id="rId8" w:history="1">
        <w:r w:rsidRPr="00F5423D">
          <w:rPr>
            <w:rStyle w:val="Hyperlink"/>
            <w:sz w:val="16"/>
          </w:rPr>
          <w:t>Predlog odluke o Energetskom bilansu Crne Gore za 2024. godinu (www.gov.me)</w:t>
        </w:r>
      </w:hyperlink>
    </w:p>
  </w:footnote>
  <w:footnote w:id="18">
    <w:p w14:paraId="3C4105DF" w14:textId="77777777" w:rsidR="00052499" w:rsidRPr="00C25B1B" w:rsidRDefault="00052499" w:rsidP="00052499">
      <w:pPr>
        <w:pStyle w:val="FootnoteText"/>
        <w:rPr>
          <w:sz w:val="18"/>
          <w:szCs w:val="18"/>
          <w:lang w:val="sr-Latn-ME"/>
        </w:rPr>
      </w:pPr>
      <w:r w:rsidRPr="00C25B1B">
        <w:rPr>
          <w:rStyle w:val="FootnoteReference"/>
          <w:sz w:val="18"/>
          <w:szCs w:val="18"/>
        </w:rPr>
        <w:footnoteRef/>
      </w:r>
      <w:r w:rsidRPr="00C25B1B">
        <w:rPr>
          <w:sz w:val="18"/>
          <w:szCs w:val="18"/>
        </w:rPr>
        <w:t xml:space="preserve"> </w:t>
      </w:r>
      <w:r w:rsidRPr="00C25B1B">
        <w:rPr>
          <w:sz w:val="18"/>
          <w:szCs w:val="18"/>
          <w:lang w:val="sr-Latn-ME"/>
        </w:rPr>
        <w:t>Prema podacima Monstata, vrijednost BDP-a za 20</w:t>
      </w:r>
      <w:r>
        <w:rPr>
          <w:sz w:val="18"/>
          <w:szCs w:val="18"/>
          <w:lang w:val="sr-Latn-ME"/>
        </w:rPr>
        <w:t>22</w:t>
      </w:r>
      <w:r w:rsidRPr="00C25B1B">
        <w:rPr>
          <w:sz w:val="18"/>
          <w:szCs w:val="18"/>
          <w:lang w:val="sr-Latn-ME"/>
        </w:rPr>
        <w:t xml:space="preserve">. godinu iznosi </w:t>
      </w:r>
      <w:r>
        <w:rPr>
          <w:sz w:val="18"/>
          <w:szCs w:val="18"/>
          <w:lang w:val="sr-Latn-ME"/>
        </w:rPr>
        <w:t>5.924,02</w:t>
      </w:r>
      <w:r w:rsidRPr="00C25B1B">
        <w:rPr>
          <w:sz w:val="18"/>
          <w:szCs w:val="18"/>
          <w:lang w:val="sr-Latn-ME"/>
        </w:rPr>
        <w:t xml:space="preserve"> miliona eura</w:t>
      </w:r>
    </w:p>
  </w:footnote>
  <w:footnote w:id="19">
    <w:p w14:paraId="258B0BBD" w14:textId="77777777" w:rsidR="00052499" w:rsidRPr="009B6A79" w:rsidRDefault="00052499" w:rsidP="00052499">
      <w:pPr>
        <w:pStyle w:val="FootnoteText"/>
        <w:rPr>
          <w:lang w:val="sr-Latn-ME"/>
        </w:rPr>
      </w:pPr>
      <w:r>
        <w:rPr>
          <w:rStyle w:val="FootnoteReference"/>
        </w:rPr>
        <w:footnoteRef/>
      </w:r>
      <w:r>
        <w:t xml:space="preserve"> Prema projekcijama Ministarstva finansija, vrijednost BDP-a za 2023. godinu, iznosi 6.624,34 miliona eura.</w:t>
      </w:r>
    </w:p>
  </w:footnote>
  <w:footnote w:id="20">
    <w:p w14:paraId="624E0F53" w14:textId="77777777" w:rsidR="00052499" w:rsidRPr="009F5536" w:rsidRDefault="00052499" w:rsidP="00052499">
      <w:pPr>
        <w:pStyle w:val="FootnoteText"/>
        <w:rPr>
          <w:sz w:val="18"/>
          <w:szCs w:val="18"/>
          <w:highlight w:val="yellow"/>
          <w:lang w:val="sr-Latn-RS"/>
        </w:rPr>
      </w:pPr>
      <w:r w:rsidRPr="00E44B35">
        <w:rPr>
          <w:rStyle w:val="FootnoteReference"/>
        </w:rPr>
        <w:footnoteRef/>
      </w:r>
      <w:r w:rsidRPr="00E44B35">
        <w:t xml:space="preserve"> </w:t>
      </w:r>
      <w:r>
        <w:rPr>
          <w:lang w:val="sr-Latn-RS"/>
        </w:rPr>
        <w:t>Prema kursu na dan 30.09.2023</w:t>
      </w:r>
      <w:r w:rsidRPr="00E44B35">
        <w:rPr>
          <w:lang w:val="sr-Latn-RS"/>
        </w:rPr>
        <w:t xml:space="preserve">. godine. </w:t>
      </w:r>
    </w:p>
  </w:footnote>
  <w:footnote w:id="21">
    <w:p w14:paraId="67AECFCC" w14:textId="77777777" w:rsidR="00052499" w:rsidRPr="00D85027" w:rsidRDefault="00052499" w:rsidP="00052499">
      <w:pPr>
        <w:pStyle w:val="FootnoteText"/>
        <w:rPr>
          <w:lang w:val="sr-Latn-ME"/>
        </w:rPr>
      </w:pPr>
      <w:r>
        <w:rPr>
          <w:rStyle w:val="FootnoteReference"/>
        </w:rPr>
        <w:footnoteRef/>
      </w:r>
      <w:r>
        <w:t xml:space="preserve"> </w:t>
      </w:r>
      <w:r>
        <w:rPr>
          <w:lang w:val="sr-Latn-ME"/>
        </w:rPr>
        <w:t>Detaljnije u Programu Ekonomskih reformi 2019-2021. godne</w:t>
      </w:r>
    </w:p>
  </w:footnote>
  <w:footnote w:id="22">
    <w:p w14:paraId="02794618" w14:textId="77777777" w:rsidR="00052499" w:rsidRDefault="00052499" w:rsidP="004333EF">
      <w:pPr>
        <w:pStyle w:val="FootnoteText"/>
        <w:rPr>
          <w:rFonts w:cs="Times New Roman"/>
          <w:lang w:val="sr-Latn-ME"/>
        </w:rPr>
      </w:pPr>
      <w:r>
        <w:rPr>
          <w:rStyle w:val="FootnoteReference"/>
        </w:rPr>
        <w:footnoteRef/>
      </w:r>
      <w:r>
        <w:t>Program za suzbijanje neformalne ekonomije u Crnoj Gori sa akcionim planom za period od 2024-2026.godine će nakon usvajanja od strane Vlade CG biti poslat EK.</w:t>
      </w:r>
    </w:p>
  </w:footnote>
  <w:footnote w:id="23">
    <w:p w14:paraId="36131E73" w14:textId="77777777" w:rsidR="00052499" w:rsidRPr="00B30F57" w:rsidRDefault="00052499" w:rsidP="00B30F57">
      <w:pPr>
        <w:pStyle w:val="FootnoteText"/>
        <w:jc w:val="both"/>
        <w:rPr>
          <w:rFonts w:ascii="Cambria" w:hAnsi="Cambria"/>
          <w:lang w:val="sr-Latn-ME"/>
        </w:rPr>
      </w:pPr>
      <w:r w:rsidRPr="00B30F57">
        <w:rPr>
          <w:rStyle w:val="FootnoteReference"/>
          <w:rFonts w:ascii="Cambria" w:hAnsi="Cambria"/>
        </w:rPr>
        <w:footnoteRef/>
      </w:r>
      <w:r w:rsidRPr="00B30F57">
        <w:rPr>
          <w:rFonts w:ascii="Cambria" w:hAnsi="Cambria"/>
        </w:rPr>
        <w:t xml:space="preserve"> Procjena fiskalnih rizika privrednih društava u većinskom vlasništvu države se analizira uz korišćenje MMF alata</w:t>
      </w:r>
      <w:r w:rsidRPr="00B30F57">
        <w:rPr>
          <w:rFonts w:ascii="Cambria" w:hAnsi="Cambria"/>
          <w:lang w:val="sr-Latn-ME"/>
        </w:rPr>
        <w:t xml:space="preserve"> „SOE Health Check Tool“, u okviru portfolija koji sadrži 49 privrednih društava u kojima je Vlada većinski vlasnik i osnivač za 2022. godinu.</w:t>
      </w:r>
    </w:p>
  </w:footnote>
  <w:footnote w:id="24">
    <w:p w14:paraId="2BF15451" w14:textId="77777777" w:rsidR="00052499" w:rsidRPr="00BC1CF4" w:rsidRDefault="00052499" w:rsidP="008C364B">
      <w:pPr>
        <w:pStyle w:val="FootnoteText"/>
        <w:rPr>
          <w:lang w:val="en-US"/>
        </w:rPr>
      </w:pPr>
      <w:r>
        <w:rPr>
          <w:rStyle w:val="FootnoteReference"/>
        </w:rPr>
        <w:footnoteRef/>
      </w:r>
      <w:r>
        <w:t xml:space="preserve"> </w:t>
      </w:r>
      <w:r>
        <w:rPr>
          <w:lang w:val="en-US"/>
        </w:rPr>
        <w:t>Anketa o radnoj snazi Q2/2023</w:t>
      </w:r>
      <w:r w:rsidRPr="00BC1CF4">
        <w:rPr>
          <w:lang w:val="en-US"/>
        </w:rPr>
        <w:t xml:space="preserve">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C3A406C6"/>
    <w:styleLink w:val="Style25"/>
    <w:lvl w:ilvl="0">
      <w:start w:val="1"/>
      <w:numFmt w:val="bullet"/>
      <w:pStyle w:val="ListBullet2"/>
      <w:lvlText w:val=""/>
      <w:lvlJc w:val="left"/>
      <w:pPr>
        <w:tabs>
          <w:tab w:val="num" w:pos="454"/>
        </w:tabs>
        <w:ind w:left="454" w:hanging="227"/>
      </w:pPr>
      <w:rPr>
        <w:rFonts w:ascii="Symbol" w:hAnsi="Symbol" w:hint="default"/>
      </w:rPr>
    </w:lvl>
  </w:abstractNum>
  <w:abstractNum w:abstractNumId="1" w15:restartNumberingAfterBreak="0">
    <w:nsid w:val="00903F2F"/>
    <w:multiLevelType w:val="hybridMultilevel"/>
    <w:tmpl w:val="76A29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652CCC"/>
    <w:multiLevelType w:val="multilevel"/>
    <w:tmpl w:val="3C1C573E"/>
    <w:lvl w:ilvl="0">
      <w:start w:val="1"/>
      <w:numFmt w:val="decimal"/>
      <w:pStyle w:val="Guidelines1"/>
      <w:lvlText w:val="%1."/>
      <w:lvlJc w:val="left"/>
      <w:pPr>
        <w:ind w:left="567" w:hanging="567"/>
      </w:pPr>
      <w:rPr>
        <w:rFonts w:ascii="Times New Roman Bold" w:hAnsi="Times New Roman Bold" w:hint="default"/>
        <w:b/>
        <w:i w:val="0"/>
        <w:caps/>
        <w:strike w:val="0"/>
        <w:dstrike w:val="0"/>
        <w:color w:val="000000"/>
        <w:sz w:val="24"/>
        <w:vertAlign w:val="baseline"/>
      </w:rPr>
    </w:lvl>
    <w:lvl w:ilvl="1">
      <w:start w:val="1"/>
      <w:numFmt w:val="decimal"/>
      <w:pStyle w:val="Guidelines2"/>
      <w:lvlText w:val="%1.%2."/>
      <w:lvlJc w:val="left"/>
      <w:pPr>
        <w:ind w:left="567" w:hanging="567"/>
      </w:pPr>
      <w:rPr>
        <w:rFonts w:asciiTheme="majorHAnsi" w:hAnsiTheme="majorHAnsi" w:hint="default"/>
        <w:b w:val="0"/>
        <w:i w:val="0"/>
        <w:caps w:val="0"/>
        <w:strike w:val="0"/>
        <w:dstrike w:val="0"/>
        <w:vanish w:val="0"/>
        <w:color w:val="000000"/>
        <w:sz w:val="24"/>
        <w:u w:val="none"/>
        <w:vertAlign w:val="baseline"/>
      </w:rPr>
    </w:lvl>
    <w:lvl w:ilvl="2">
      <w:start w:val="1"/>
      <w:numFmt w:val="decimal"/>
      <w:pStyle w:val="Guidelines3"/>
      <w:lvlText w:val="%1.%2.%3."/>
      <w:lvlJc w:val="left"/>
      <w:pPr>
        <w:ind w:left="851" w:hanging="851"/>
      </w:pPr>
      <w:rPr>
        <w:rFonts w:ascii="Times New Roman Bold" w:hAnsi="Times New Roman Bold" w:hint="default"/>
        <w:b/>
        <w:i/>
        <w:caps w:val="0"/>
        <w:strike w:val="0"/>
        <w:dstrike w:val="0"/>
        <w:vanish w:val="0"/>
        <w:color w:val="000000"/>
        <w:sz w:val="24"/>
        <w:u w:val="none"/>
        <w:vertAlign w:val="baseline"/>
      </w:rPr>
    </w:lvl>
    <w:lvl w:ilvl="3">
      <w:start w:val="1"/>
      <w:numFmt w:val="decimal"/>
      <w:isLgl/>
      <w:lvlText w:val="%1.%2.%3.%4"/>
      <w:lvlJc w:val="left"/>
      <w:pPr>
        <w:ind w:left="567" w:hanging="567"/>
      </w:pPr>
      <w:rPr>
        <w:rFonts w:hint="default"/>
      </w:rPr>
    </w:lvl>
    <w:lvl w:ilvl="4">
      <w:start w:val="1"/>
      <w:numFmt w:val="decimal"/>
      <w:isLgl/>
      <w:lvlText w:val="%1.%2.%3.%4.%5"/>
      <w:lvlJc w:val="left"/>
      <w:pPr>
        <w:ind w:left="567" w:hanging="567"/>
      </w:pPr>
      <w:rPr>
        <w:rFonts w:hint="default"/>
      </w:rPr>
    </w:lvl>
    <w:lvl w:ilvl="5">
      <w:start w:val="1"/>
      <w:numFmt w:val="decimal"/>
      <w:isLgl/>
      <w:lvlText w:val="%1.%2.%3.%4.%5.%6"/>
      <w:lvlJc w:val="left"/>
      <w:pPr>
        <w:ind w:left="567" w:hanging="567"/>
      </w:pPr>
      <w:rPr>
        <w:rFonts w:hint="default"/>
      </w:rPr>
    </w:lvl>
    <w:lvl w:ilvl="6">
      <w:start w:val="1"/>
      <w:numFmt w:val="decimal"/>
      <w:isLgl/>
      <w:lvlText w:val="%1.%2.%3.%4.%5.%6.%7"/>
      <w:lvlJc w:val="left"/>
      <w:pPr>
        <w:ind w:left="567" w:hanging="567"/>
      </w:pPr>
      <w:rPr>
        <w:rFonts w:hint="default"/>
      </w:rPr>
    </w:lvl>
    <w:lvl w:ilvl="7">
      <w:start w:val="1"/>
      <w:numFmt w:val="decimal"/>
      <w:isLgl/>
      <w:lvlText w:val="%1.%2.%3.%4.%5.%6.%7.%8"/>
      <w:lvlJc w:val="left"/>
      <w:pPr>
        <w:ind w:left="567" w:hanging="567"/>
      </w:pPr>
      <w:rPr>
        <w:rFonts w:hint="default"/>
      </w:rPr>
    </w:lvl>
    <w:lvl w:ilvl="8">
      <w:start w:val="1"/>
      <w:numFmt w:val="decimal"/>
      <w:isLgl/>
      <w:lvlText w:val="%1.%2.%3.%4.%5.%6.%7.%8.%9"/>
      <w:lvlJc w:val="left"/>
      <w:pPr>
        <w:ind w:left="567" w:hanging="567"/>
      </w:pPr>
      <w:rPr>
        <w:rFonts w:hint="default"/>
      </w:rPr>
    </w:lvl>
  </w:abstractNum>
  <w:abstractNum w:abstractNumId="3" w15:restartNumberingAfterBreak="0">
    <w:nsid w:val="0341746C"/>
    <w:multiLevelType w:val="hybridMultilevel"/>
    <w:tmpl w:val="347E3ED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513EDE"/>
    <w:multiLevelType w:val="multilevel"/>
    <w:tmpl w:val="9642F0FA"/>
    <w:styleLink w:val="Style1111"/>
    <w:lvl w:ilvl="0">
      <w:start w:val="2"/>
      <w:numFmt w:val="decimal"/>
      <w:lvlText w:val="%1."/>
      <w:lvlJc w:val="left"/>
      <w:pPr>
        <w:ind w:left="1071" w:hanging="357"/>
      </w:pPr>
      <w:rPr>
        <w:rFonts w:hint="default"/>
      </w:rPr>
    </w:lvl>
    <w:lvl w:ilvl="1">
      <w:start w:val="1"/>
      <w:numFmt w:val="decimal"/>
      <w:lvlText w:val="%1.%2."/>
      <w:lvlJc w:val="left"/>
      <w:pPr>
        <w:ind w:left="1428" w:hanging="357"/>
      </w:pPr>
      <w:rPr>
        <w:rFonts w:hint="default"/>
      </w:rPr>
    </w:lvl>
    <w:lvl w:ilvl="2">
      <w:start w:val="2"/>
      <w:numFmt w:val="decimal"/>
      <w:lvlText w:val="%1.%2.%3."/>
      <w:lvlJc w:val="left"/>
      <w:pPr>
        <w:ind w:left="1785" w:hanging="357"/>
      </w:pPr>
      <w:rPr>
        <w:rFonts w:hint="default"/>
        <w:b/>
        <w:sz w:val="22"/>
      </w:rPr>
    </w:lvl>
    <w:lvl w:ilvl="3">
      <w:start w:val="1"/>
      <w:numFmt w:val="decimal"/>
      <w:lvlText w:val="%1.%2.%3.%4."/>
      <w:lvlJc w:val="left"/>
      <w:pPr>
        <w:ind w:left="2142" w:hanging="357"/>
      </w:pPr>
      <w:rPr>
        <w:rFonts w:hint="default"/>
      </w:rPr>
    </w:lvl>
    <w:lvl w:ilvl="4">
      <w:start w:val="1"/>
      <w:numFmt w:val="decimal"/>
      <w:lvlText w:val="%1.%2.%3.%4.%5."/>
      <w:lvlJc w:val="left"/>
      <w:pPr>
        <w:ind w:left="2499" w:hanging="357"/>
      </w:pPr>
      <w:rPr>
        <w:rFonts w:hint="default"/>
      </w:rPr>
    </w:lvl>
    <w:lvl w:ilvl="5">
      <w:start w:val="1"/>
      <w:numFmt w:val="decimal"/>
      <w:lvlText w:val="%1.%2.%3.%4.%5.%6."/>
      <w:lvlJc w:val="left"/>
      <w:pPr>
        <w:ind w:left="2856" w:hanging="357"/>
      </w:pPr>
      <w:rPr>
        <w:rFonts w:hint="default"/>
      </w:rPr>
    </w:lvl>
    <w:lvl w:ilvl="6">
      <w:start w:val="1"/>
      <w:numFmt w:val="decimal"/>
      <w:lvlText w:val="%1.%2.%3.%4.%5.%6.%7."/>
      <w:lvlJc w:val="left"/>
      <w:pPr>
        <w:ind w:left="3213" w:hanging="357"/>
      </w:pPr>
      <w:rPr>
        <w:rFonts w:hint="default"/>
      </w:rPr>
    </w:lvl>
    <w:lvl w:ilvl="7">
      <w:start w:val="1"/>
      <w:numFmt w:val="decimal"/>
      <w:lvlText w:val="%1.%2.%3.%4.%5.%6.%7.%8."/>
      <w:lvlJc w:val="left"/>
      <w:pPr>
        <w:ind w:left="3570" w:hanging="357"/>
      </w:pPr>
      <w:rPr>
        <w:rFonts w:hint="default"/>
      </w:rPr>
    </w:lvl>
    <w:lvl w:ilvl="8">
      <w:start w:val="1"/>
      <w:numFmt w:val="decimal"/>
      <w:lvlText w:val="%1.%2.%3.%4.%5.%6.%7.%8.%9."/>
      <w:lvlJc w:val="left"/>
      <w:pPr>
        <w:ind w:left="3927" w:hanging="357"/>
      </w:pPr>
      <w:rPr>
        <w:rFonts w:hint="default"/>
      </w:rPr>
    </w:lvl>
  </w:abstractNum>
  <w:abstractNum w:abstractNumId="5" w15:restartNumberingAfterBreak="0">
    <w:nsid w:val="0477661B"/>
    <w:multiLevelType w:val="hybridMultilevel"/>
    <w:tmpl w:val="98EC1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6BE65DE"/>
    <w:multiLevelType w:val="hybridMultilevel"/>
    <w:tmpl w:val="750E3E56"/>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7" w15:restartNumberingAfterBreak="0">
    <w:nsid w:val="092C0285"/>
    <w:multiLevelType w:val="hybridMultilevel"/>
    <w:tmpl w:val="C25AAF3A"/>
    <w:styleLink w:val="Style3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AA529B"/>
    <w:multiLevelType w:val="hybridMultilevel"/>
    <w:tmpl w:val="A4FCF6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0096E95"/>
    <w:multiLevelType w:val="hybridMultilevel"/>
    <w:tmpl w:val="1E3E9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105CA9"/>
    <w:multiLevelType w:val="hybridMultilevel"/>
    <w:tmpl w:val="31C02244"/>
    <w:lvl w:ilvl="0" w:tplc="39D4FEEA">
      <w:start w:val="1"/>
      <w:numFmt w:val="decimal"/>
      <w:pStyle w:val="ParagraphNumbering"/>
      <w:lvlText w:val="%1.     "/>
      <w:lvlJc w:val="left"/>
      <w:pPr>
        <w:tabs>
          <w:tab w:val="num" w:pos="1004"/>
        </w:tabs>
        <w:ind w:left="284" w:firstLine="0"/>
      </w:pPr>
    </w:lvl>
    <w:lvl w:ilvl="1" w:tplc="E3A48F80">
      <w:start w:val="1"/>
      <w:numFmt w:val="lowerLetter"/>
      <w:lvlText w:val="%2."/>
      <w:lvlJc w:val="left"/>
      <w:pPr>
        <w:tabs>
          <w:tab w:val="num" w:pos="1800"/>
        </w:tabs>
        <w:ind w:left="1800" w:hanging="360"/>
      </w:pPr>
    </w:lvl>
    <w:lvl w:ilvl="2" w:tplc="AB42B8C4">
      <w:start w:val="1"/>
      <w:numFmt w:val="decimal"/>
      <w:lvlText w:val="%3."/>
      <w:lvlJc w:val="left"/>
      <w:pPr>
        <w:tabs>
          <w:tab w:val="num" w:pos="2160"/>
        </w:tabs>
        <w:ind w:left="2160" w:hanging="360"/>
      </w:pPr>
    </w:lvl>
    <w:lvl w:ilvl="3" w:tplc="A956DBEC">
      <w:start w:val="1"/>
      <w:numFmt w:val="decimal"/>
      <w:lvlText w:val="%4."/>
      <w:lvlJc w:val="left"/>
      <w:pPr>
        <w:tabs>
          <w:tab w:val="num" w:pos="2880"/>
        </w:tabs>
        <w:ind w:left="2880" w:hanging="360"/>
      </w:pPr>
    </w:lvl>
    <w:lvl w:ilvl="4" w:tplc="A5FE891C">
      <w:start w:val="1"/>
      <w:numFmt w:val="decimal"/>
      <w:lvlText w:val="%5."/>
      <w:lvlJc w:val="left"/>
      <w:pPr>
        <w:tabs>
          <w:tab w:val="num" w:pos="3600"/>
        </w:tabs>
        <w:ind w:left="3600" w:hanging="360"/>
      </w:pPr>
    </w:lvl>
    <w:lvl w:ilvl="5" w:tplc="8E5267B8">
      <w:start w:val="1"/>
      <w:numFmt w:val="decimal"/>
      <w:lvlText w:val="%6."/>
      <w:lvlJc w:val="left"/>
      <w:pPr>
        <w:tabs>
          <w:tab w:val="num" w:pos="4320"/>
        </w:tabs>
        <w:ind w:left="4320" w:hanging="360"/>
      </w:pPr>
    </w:lvl>
    <w:lvl w:ilvl="6" w:tplc="870A2D90">
      <w:start w:val="1"/>
      <w:numFmt w:val="decimal"/>
      <w:lvlText w:val="%7."/>
      <w:lvlJc w:val="left"/>
      <w:pPr>
        <w:tabs>
          <w:tab w:val="num" w:pos="5040"/>
        </w:tabs>
        <w:ind w:left="5040" w:hanging="360"/>
      </w:pPr>
    </w:lvl>
    <w:lvl w:ilvl="7" w:tplc="64E4DD36">
      <w:start w:val="1"/>
      <w:numFmt w:val="decimal"/>
      <w:lvlText w:val="%8."/>
      <w:lvlJc w:val="left"/>
      <w:pPr>
        <w:tabs>
          <w:tab w:val="num" w:pos="5760"/>
        </w:tabs>
        <w:ind w:left="5760" w:hanging="360"/>
      </w:pPr>
    </w:lvl>
    <w:lvl w:ilvl="8" w:tplc="F7C025F2">
      <w:start w:val="1"/>
      <w:numFmt w:val="decimal"/>
      <w:lvlText w:val="%9."/>
      <w:lvlJc w:val="left"/>
      <w:pPr>
        <w:tabs>
          <w:tab w:val="num" w:pos="6480"/>
        </w:tabs>
        <w:ind w:left="6480" w:hanging="360"/>
      </w:pPr>
    </w:lvl>
  </w:abstractNum>
  <w:abstractNum w:abstractNumId="11" w15:restartNumberingAfterBreak="0">
    <w:nsid w:val="15BB55F3"/>
    <w:multiLevelType w:val="hybridMultilevel"/>
    <w:tmpl w:val="64769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5EB189D"/>
    <w:multiLevelType w:val="hybridMultilevel"/>
    <w:tmpl w:val="030E8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243403"/>
    <w:multiLevelType w:val="hybridMultilevel"/>
    <w:tmpl w:val="17267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A9278FD"/>
    <w:multiLevelType w:val="hybridMultilevel"/>
    <w:tmpl w:val="93E422FE"/>
    <w:lvl w:ilvl="0" w:tplc="08090001">
      <w:start w:val="1"/>
      <w:numFmt w:val="bullet"/>
      <w:pStyle w:val="ETFBulletlevel1"/>
      <w:lvlText w:val=""/>
      <w:lvlJc w:val="left"/>
      <w:pPr>
        <w:tabs>
          <w:tab w:val="num" w:pos="357"/>
        </w:tabs>
        <w:ind w:left="357" w:hanging="357"/>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AC93462"/>
    <w:multiLevelType w:val="hybridMultilevel"/>
    <w:tmpl w:val="804A0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C406E66"/>
    <w:multiLevelType w:val="hybridMultilevel"/>
    <w:tmpl w:val="2966A930"/>
    <w:styleLink w:val="Radovan13"/>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D6A3162"/>
    <w:multiLevelType w:val="hybridMultilevel"/>
    <w:tmpl w:val="84683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F177182"/>
    <w:multiLevelType w:val="hybridMultilevel"/>
    <w:tmpl w:val="B7CED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F8F6D5A"/>
    <w:multiLevelType w:val="hybridMultilevel"/>
    <w:tmpl w:val="E9DC4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0D65FEE"/>
    <w:multiLevelType w:val="hybridMultilevel"/>
    <w:tmpl w:val="D96ED08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1417007"/>
    <w:multiLevelType w:val="hybridMultilevel"/>
    <w:tmpl w:val="F9E43138"/>
    <w:lvl w:ilvl="0" w:tplc="04090001">
      <w:start w:val="1"/>
      <w:numFmt w:val="bullet"/>
      <w:lvlText w:val=""/>
      <w:lvlJc w:val="left"/>
      <w:pPr>
        <w:ind w:left="1167" w:hanging="360"/>
      </w:pPr>
      <w:rPr>
        <w:rFonts w:ascii="Symbol" w:hAnsi="Symbol" w:hint="default"/>
      </w:rPr>
    </w:lvl>
    <w:lvl w:ilvl="1" w:tplc="04090003" w:tentative="1">
      <w:start w:val="1"/>
      <w:numFmt w:val="bullet"/>
      <w:lvlText w:val="o"/>
      <w:lvlJc w:val="left"/>
      <w:pPr>
        <w:ind w:left="1887" w:hanging="360"/>
      </w:pPr>
      <w:rPr>
        <w:rFonts w:ascii="Courier New" w:hAnsi="Courier New" w:cs="Courier New" w:hint="default"/>
      </w:rPr>
    </w:lvl>
    <w:lvl w:ilvl="2" w:tplc="04090005" w:tentative="1">
      <w:start w:val="1"/>
      <w:numFmt w:val="bullet"/>
      <w:lvlText w:val=""/>
      <w:lvlJc w:val="left"/>
      <w:pPr>
        <w:ind w:left="2607" w:hanging="360"/>
      </w:pPr>
      <w:rPr>
        <w:rFonts w:ascii="Wingdings" w:hAnsi="Wingdings" w:hint="default"/>
      </w:rPr>
    </w:lvl>
    <w:lvl w:ilvl="3" w:tplc="04090001" w:tentative="1">
      <w:start w:val="1"/>
      <w:numFmt w:val="bullet"/>
      <w:lvlText w:val=""/>
      <w:lvlJc w:val="left"/>
      <w:pPr>
        <w:ind w:left="3327" w:hanging="360"/>
      </w:pPr>
      <w:rPr>
        <w:rFonts w:ascii="Symbol" w:hAnsi="Symbol" w:hint="default"/>
      </w:rPr>
    </w:lvl>
    <w:lvl w:ilvl="4" w:tplc="04090003" w:tentative="1">
      <w:start w:val="1"/>
      <w:numFmt w:val="bullet"/>
      <w:lvlText w:val="o"/>
      <w:lvlJc w:val="left"/>
      <w:pPr>
        <w:ind w:left="4047" w:hanging="360"/>
      </w:pPr>
      <w:rPr>
        <w:rFonts w:ascii="Courier New" w:hAnsi="Courier New" w:cs="Courier New" w:hint="default"/>
      </w:rPr>
    </w:lvl>
    <w:lvl w:ilvl="5" w:tplc="04090005" w:tentative="1">
      <w:start w:val="1"/>
      <w:numFmt w:val="bullet"/>
      <w:lvlText w:val=""/>
      <w:lvlJc w:val="left"/>
      <w:pPr>
        <w:ind w:left="4767" w:hanging="360"/>
      </w:pPr>
      <w:rPr>
        <w:rFonts w:ascii="Wingdings" w:hAnsi="Wingdings" w:hint="default"/>
      </w:rPr>
    </w:lvl>
    <w:lvl w:ilvl="6" w:tplc="04090001" w:tentative="1">
      <w:start w:val="1"/>
      <w:numFmt w:val="bullet"/>
      <w:lvlText w:val=""/>
      <w:lvlJc w:val="left"/>
      <w:pPr>
        <w:ind w:left="5487" w:hanging="360"/>
      </w:pPr>
      <w:rPr>
        <w:rFonts w:ascii="Symbol" w:hAnsi="Symbol" w:hint="default"/>
      </w:rPr>
    </w:lvl>
    <w:lvl w:ilvl="7" w:tplc="04090003" w:tentative="1">
      <w:start w:val="1"/>
      <w:numFmt w:val="bullet"/>
      <w:lvlText w:val="o"/>
      <w:lvlJc w:val="left"/>
      <w:pPr>
        <w:ind w:left="6207" w:hanging="360"/>
      </w:pPr>
      <w:rPr>
        <w:rFonts w:ascii="Courier New" w:hAnsi="Courier New" w:cs="Courier New" w:hint="default"/>
      </w:rPr>
    </w:lvl>
    <w:lvl w:ilvl="8" w:tplc="04090005" w:tentative="1">
      <w:start w:val="1"/>
      <w:numFmt w:val="bullet"/>
      <w:lvlText w:val=""/>
      <w:lvlJc w:val="left"/>
      <w:pPr>
        <w:ind w:left="6927" w:hanging="360"/>
      </w:pPr>
      <w:rPr>
        <w:rFonts w:ascii="Wingdings" w:hAnsi="Wingdings" w:hint="default"/>
      </w:rPr>
    </w:lvl>
  </w:abstractNum>
  <w:abstractNum w:abstractNumId="22" w15:restartNumberingAfterBreak="0">
    <w:nsid w:val="223F7E35"/>
    <w:multiLevelType w:val="hybridMultilevel"/>
    <w:tmpl w:val="E896744A"/>
    <w:styleLink w:val="Style222"/>
    <w:lvl w:ilvl="0" w:tplc="CB0AEDD6">
      <w:numFmt w:val="bullet"/>
      <w:pStyle w:val="Nabrajanje"/>
      <w:lvlText w:val="•"/>
      <w:lvlJc w:val="left"/>
      <w:pPr>
        <w:ind w:left="1065" w:hanging="705"/>
      </w:pPr>
      <w:rPr>
        <w:rFonts w:ascii="Calibri Light" w:eastAsia="Calibri" w:hAnsi="Calibri Light" w:cs="Times New Roman" w:hint="default"/>
      </w:rPr>
    </w:lvl>
    <w:lvl w:ilvl="1" w:tplc="2C1A0003">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3" w15:restartNumberingAfterBreak="0">
    <w:nsid w:val="22D33156"/>
    <w:multiLevelType w:val="hybridMultilevel"/>
    <w:tmpl w:val="17D0F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47C5652"/>
    <w:multiLevelType w:val="hybridMultilevel"/>
    <w:tmpl w:val="9E4AF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5265A65"/>
    <w:multiLevelType w:val="hybridMultilevel"/>
    <w:tmpl w:val="CAB62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53B7663"/>
    <w:multiLevelType w:val="hybridMultilevel"/>
    <w:tmpl w:val="127A4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5B30EB6"/>
    <w:multiLevelType w:val="hybridMultilevel"/>
    <w:tmpl w:val="B3822914"/>
    <w:styleLink w:val="Style1113"/>
    <w:lvl w:ilvl="0" w:tplc="04090001">
      <w:start w:val="1"/>
      <w:numFmt w:val="bullet"/>
      <w:pStyle w:val="-PodnaslovCharChar"/>
      <w:lvlText w:val=""/>
      <w:lvlJc w:val="left"/>
      <w:pPr>
        <w:tabs>
          <w:tab w:val="num" w:pos="795"/>
        </w:tabs>
        <w:ind w:left="795" w:hanging="360"/>
      </w:pPr>
      <w:rPr>
        <w:rFonts w:ascii="Symbol" w:hAnsi="Symbol" w:hint="default"/>
      </w:rPr>
    </w:lvl>
    <w:lvl w:ilvl="1" w:tplc="04090003">
      <w:start w:val="1"/>
      <w:numFmt w:val="bullet"/>
      <w:lvlText w:val=""/>
      <w:lvlJc w:val="left"/>
      <w:pPr>
        <w:tabs>
          <w:tab w:val="num" w:pos="5760"/>
        </w:tabs>
        <w:ind w:left="5760" w:hanging="360"/>
      </w:pPr>
      <w:rPr>
        <w:rFonts w:ascii="Symbol" w:hAnsi="Symbol"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cs="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cs="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28" w15:restartNumberingAfterBreak="0">
    <w:nsid w:val="263166FA"/>
    <w:multiLevelType w:val="hybridMultilevel"/>
    <w:tmpl w:val="5754986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279111BF"/>
    <w:multiLevelType w:val="hybridMultilevel"/>
    <w:tmpl w:val="1E82C0DA"/>
    <w:lvl w:ilvl="0" w:tplc="04090001">
      <w:start w:val="1"/>
      <w:numFmt w:val="bullet"/>
      <w:lvlText w:val=""/>
      <w:lvlJc w:val="left"/>
      <w:pPr>
        <w:ind w:left="720" w:hanging="360"/>
      </w:pPr>
      <w:rPr>
        <w:rFonts w:ascii="Symbol" w:hAnsi="Symbol" w:hint="default"/>
      </w:rPr>
    </w:lvl>
    <w:lvl w:ilvl="1" w:tplc="121C3814">
      <w:numFmt w:val="bullet"/>
      <w:lvlText w:val="-"/>
      <w:lvlJc w:val="left"/>
      <w:pPr>
        <w:ind w:left="1800" w:hanging="720"/>
      </w:pPr>
      <w:rPr>
        <w:rFonts w:ascii="Century Gothic" w:eastAsiaTheme="minorHAnsi" w:hAnsi="Century Gothic"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8A86416"/>
    <w:multiLevelType w:val="hybridMultilevel"/>
    <w:tmpl w:val="DA522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92D5BC6"/>
    <w:multiLevelType w:val="hybridMultilevel"/>
    <w:tmpl w:val="13646A1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BD66778"/>
    <w:multiLevelType w:val="hybridMultilevel"/>
    <w:tmpl w:val="86CCE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E8F67CA"/>
    <w:multiLevelType w:val="hybridMultilevel"/>
    <w:tmpl w:val="A92A3E76"/>
    <w:styleLink w:val="Style34"/>
    <w:lvl w:ilvl="0" w:tplc="ABD46EDA">
      <w:start w:val="1"/>
      <w:numFmt w:val="bullet"/>
      <w:pStyle w:val="TNN-2"/>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EB75633"/>
    <w:multiLevelType w:val="hybridMultilevel"/>
    <w:tmpl w:val="60761EFE"/>
    <w:lvl w:ilvl="0" w:tplc="04090001">
      <w:start w:val="1"/>
      <w:numFmt w:val="bullet"/>
      <w:lvlText w:val=""/>
      <w:lvlJc w:val="left"/>
      <w:pPr>
        <w:ind w:left="1026" w:hanging="360"/>
      </w:pPr>
      <w:rPr>
        <w:rFonts w:ascii="Symbol" w:hAnsi="Symbol" w:hint="default"/>
      </w:rPr>
    </w:lvl>
    <w:lvl w:ilvl="1" w:tplc="04090003" w:tentative="1">
      <w:start w:val="1"/>
      <w:numFmt w:val="bullet"/>
      <w:lvlText w:val="o"/>
      <w:lvlJc w:val="left"/>
      <w:pPr>
        <w:ind w:left="1746" w:hanging="360"/>
      </w:pPr>
      <w:rPr>
        <w:rFonts w:ascii="Courier New" w:hAnsi="Courier New" w:cs="Courier New" w:hint="default"/>
      </w:rPr>
    </w:lvl>
    <w:lvl w:ilvl="2" w:tplc="04090005" w:tentative="1">
      <w:start w:val="1"/>
      <w:numFmt w:val="bullet"/>
      <w:lvlText w:val=""/>
      <w:lvlJc w:val="left"/>
      <w:pPr>
        <w:ind w:left="2466" w:hanging="360"/>
      </w:pPr>
      <w:rPr>
        <w:rFonts w:ascii="Wingdings" w:hAnsi="Wingdings" w:hint="default"/>
      </w:rPr>
    </w:lvl>
    <w:lvl w:ilvl="3" w:tplc="04090001" w:tentative="1">
      <w:start w:val="1"/>
      <w:numFmt w:val="bullet"/>
      <w:lvlText w:val=""/>
      <w:lvlJc w:val="left"/>
      <w:pPr>
        <w:ind w:left="3186" w:hanging="360"/>
      </w:pPr>
      <w:rPr>
        <w:rFonts w:ascii="Symbol" w:hAnsi="Symbol" w:hint="default"/>
      </w:rPr>
    </w:lvl>
    <w:lvl w:ilvl="4" w:tplc="04090003" w:tentative="1">
      <w:start w:val="1"/>
      <w:numFmt w:val="bullet"/>
      <w:lvlText w:val="o"/>
      <w:lvlJc w:val="left"/>
      <w:pPr>
        <w:ind w:left="3906" w:hanging="360"/>
      </w:pPr>
      <w:rPr>
        <w:rFonts w:ascii="Courier New" w:hAnsi="Courier New" w:cs="Courier New" w:hint="default"/>
      </w:rPr>
    </w:lvl>
    <w:lvl w:ilvl="5" w:tplc="04090005" w:tentative="1">
      <w:start w:val="1"/>
      <w:numFmt w:val="bullet"/>
      <w:lvlText w:val=""/>
      <w:lvlJc w:val="left"/>
      <w:pPr>
        <w:ind w:left="4626" w:hanging="360"/>
      </w:pPr>
      <w:rPr>
        <w:rFonts w:ascii="Wingdings" w:hAnsi="Wingdings" w:hint="default"/>
      </w:rPr>
    </w:lvl>
    <w:lvl w:ilvl="6" w:tplc="04090001" w:tentative="1">
      <w:start w:val="1"/>
      <w:numFmt w:val="bullet"/>
      <w:lvlText w:val=""/>
      <w:lvlJc w:val="left"/>
      <w:pPr>
        <w:ind w:left="5346" w:hanging="360"/>
      </w:pPr>
      <w:rPr>
        <w:rFonts w:ascii="Symbol" w:hAnsi="Symbol" w:hint="default"/>
      </w:rPr>
    </w:lvl>
    <w:lvl w:ilvl="7" w:tplc="04090003" w:tentative="1">
      <w:start w:val="1"/>
      <w:numFmt w:val="bullet"/>
      <w:lvlText w:val="o"/>
      <w:lvlJc w:val="left"/>
      <w:pPr>
        <w:ind w:left="6066" w:hanging="360"/>
      </w:pPr>
      <w:rPr>
        <w:rFonts w:ascii="Courier New" w:hAnsi="Courier New" w:cs="Courier New" w:hint="default"/>
      </w:rPr>
    </w:lvl>
    <w:lvl w:ilvl="8" w:tplc="04090005" w:tentative="1">
      <w:start w:val="1"/>
      <w:numFmt w:val="bullet"/>
      <w:lvlText w:val=""/>
      <w:lvlJc w:val="left"/>
      <w:pPr>
        <w:ind w:left="6786" w:hanging="360"/>
      </w:pPr>
      <w:rPr>
        <w:rFonts w:ascii="Wingdings" w:hAnsi="Wingdings" w:hint="default"/>
      </w:rPr>
    </w:lvl>
  </w:abstractNum>
  <w:abstractNum w:abstractNumId="35" w15:restartNumberingAfterBreak="0">
    <w:nsid w:val="2FD7011C"/>
    <w:multiLevelType w:val="hybridMultilevel"/>
    <w:tmpl w:val="F7A03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5BA5E38"/>
    <w:multiLevelType w:val="hybridMultilevel"/>
    <w:tmpl w:val="AFF6DBE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84C0398"/>
    <w:multiLevelType w:val="hybridMultilevel"/>
    <w:tmpl w:val="3EE8BB82"/>
    <w:styleLink w:val="Radovan9"/>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39" w15:restartNumberingAfterBreak="0">
    <w:nsid w:val="3C1128FF"/>
    <w:multiLevelType w:val="multilevel"/>
    <w:tmpl w:val="081A001D"/>
    <w:styleLink w:val="Radovan"/>
    <w:lvl w:ilvl="0">
      <w:start w:val="1"/>
      <w:numFmt w:val="upperRoman"/>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3C887444"/>
    <w:multiLevelType w:val="hybridMultilevel"/>
    <w:tmpl w:val="9BFC8ABA"/>
    <w:lvl w:ilvl="0" w:tplc="810E5BA6">
      <w:numFmt w:val="bullet"/>
      <w:pStyle w:val="TNN"/>
      <w:lvlText w:val="-"/>
      <w:lvlJc w:val="left"/>
      <w:pPr>
        <w:ind w:left="1069" w:hanging="360"/>
      </w:pPr>
      <w:rPr>
        <w:rFonts w:ascii="Calibri" w:eastAsia="Calibri" w:hAnsi="Calibri" w:cs="Calibri" w:hint="default"/>
      </w:rPr>
    </w:lvl>
    <w:lvl w:ilvl="1" w:tplc="04090003">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1" w15:restartNumberingAfterBreak="0">
    <w:nsid w:val="3F032184"/>
    <w:multiLevelType w:val="hybridMultilevel"/>
    <w:tmpl w:val="E38AA7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3FD05A1F"/>
    <w:multiLevelType w:val="hybridMultilevel"/>
    <w:tmpl w:val="4B32119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19F27AE"/>
    <w:multiLevelType w:val="hybridMultilevel"/>
    <w:tmpl w:val="C2468DDE"/>
    <w:lvl w:ilvl="0" w:tplc="BDAA9FAA">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46125725"/>
    <w:multiLevelType w:val="hybridMultilevel"/>
    <w:tmpl w:val="D2E05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9434F01"/>
    <w:multiLevelType w:val="hybridMultilevel"/>
    <w:tmpl w:val="23D02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9F03D24"/>
    <w:multiLevelType w:val="hybridMultilevel"/>
    <w:tmpl w:val="98EE8710"/>
    <w:styleLink w:val="Style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4AA02D6C"/>
    <w:multiLevelType w:val="hybridMultilevel"/>
    <w:tmpl w:val="7442694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BC20CBF"/>
    <w:multiLevelType w:val="hybridMultilevel"/>
    <w:tmpl w:val="64720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0DE2895"/>
    <w:multiLevelType w:val="hybridMultilevel"/>
    <w:tmpl w:val="F0F22B46"/>
    <w:styleLink w:val="Style33"/>
    <w:lvl w:ilvl="0" w:tplc="2C1A0001">
      <w:start w:val="1"/>
      <w:numFmt w:val="bullet"/>
      <w:lvlText w:val=""/>
      <w:lvlJc w:val="left"/>
      <w:pPr>
        <w:ind w:left="1080" w:hanging="360"/>
      </w:pPr>
      <w:rPr>
        <w:rFonts w:ascii="Symbol" w:hAnsi="Symbol" w:hint="default"/>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50" w15:restartNumberingAfterBreak="0">
    <w:nsid w:val="513063B5"/>
    <w:multiLevelType w:val="multilevel"/>
    <w:tmpl w:val="9850CC9C"/>
    <w:styleLink w:val="Style117"/>
    <w:lvl w:ilvl="0">
      <w:start w:val="1"/>
      <w:numFmt w:val="upperRoman"/>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decimal"/>
      <w:lvlText w:val="%3.1."/>
      <w:lvlJc w:val="left"/>
      <w:pPr>
        <w:ind w:left="1080" w:hanging="360"/>
      </w:pPr>
      <w:rPr>
        <w:rFonts w:hint="default"/>
      </w:rPr>
    </w:lvl>
    <w:lvl w:ilvl="3">
      <w:start w:val="1"/>
      <w:numFmt w:val="decimal"/>
      <w:lvlText w:val="%4.1.1."/>
      <w:lvlJc w:val="left"/>
      <w:pPr>
        <w:ind w:left="1440" w:hanging="360"/>
      </w:pPr>
      <w:rPr>
        <w:rFonts w:hint="default"/>
      </w:rPr>
    </w:lvl>
    <w:lvl w:ilvl="4">
      <w:start w:val="1"/>
      <w:numFmt w:val="none"/>
      <w:lvlText w:val="1.1.1.1."/>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15:restartNumberingAfterBreak="0">
    <w:nsid w:val="53831BC1"/>
    <w:multiLevelType w:val="hybridMultilevel"/>
    <w:tmpl w:val="9A66C85C"/>
    <w:styleLink w:val="Radovan5"/>
    <w:lvl w:ilvl="0" w:tplc="11BE2862">
      <w:start w:val="59"/>
      <w:numFmt w:val="bullet"/>
      <w:lvlText w:val="-"/>
      <w:lvlJc w:val="left"/>
      <w:pPr>
        <w:ind w:left="1440" w:hanging="360"/>
      </w:pPr>
      <w:rPr>
        <w:rFonts w:ascii="Calibri Light" w:eastAsia="Calibri" w:hAnsi="Calibri Light" w:cs="Calibri Light" w:hint="default"/>
      </w:rPr>
    </w:lvl>
    <w:lvl w:ilvl="1" w:tplc="2C1A0003" w:tentative="1">
      <w:start w:val="1"/>
      <w:numFmt w:val="bullet"/>
      <w:lvlText w:val="o"/>
      <w:lvlJc w:val="left"/>
      <w:pPr>
        <w:ind w:left="2160" w:hanging="360"/>
      </w:pPr>
      <w:rPr>
        <w:rFonts w:ascii="Courier New" w:hAnsi="Courier New" w:cs="Courier New" w:hint="default"/>
      </w:rPr>
    </w:lvl>
    <w:lvl w:ilvl="2" w:tplc="2C1A0005" w:tentative="1">
      <w:start w:val="1"/>
      <w:numFmt w:val="bullet"/>
      <w:lvlText w:val=""/>
      <w:lvlJc w:val="left"/>
      <w:pPr>
        <w:ind w:left="2880" w:hanging="360"/>
      </w:pPr>
      <w:rPr>
        <w:rFonts w:ascii="Wingdings" w:hAnsi="Wingdings" w:hint="default"/>
      </w:rPr>
    </w:lvl>
    <w:lvl w:ilvl="3" w:tplc="2C1A0001" w:tentative="1">
      <w:start w:val="1"/>
      <w:numFmt w:val="bullet"/>
      <w:lvlText w:val=""/>
      <w:lvlJc w:val="left"/>
      <w:pPr>
        <w:ind w:left="3600" w:hanging="360"/>
      </w:pPr>
      <w:rPr>
        <w:rFonts w:ascii="Symbol" w:hAnsi="Symbol" w:hint="default"/>
      </w:rPr>
    </w:lvl>
    <w:lvl w:ilvl="4" w:tplc="2C1A0003" w:tentative="1">
      <w:start w:val="1"/>
      <w:numFmt w:val="bullet"/>
      <w:lvlText w:val="o"/>
      <w:lvlJc w:val="left"/>
      <w:pPr>
        <w:ind w:left="4320" w:hanging="360"/>
      </w:pPr>
      <w:rPr>
        <w:rFonts w:ascii="Courier New" w:hAnsi="Courier New" w:cs="Courier New" w:hint="default"/>
      </w:rPr>
    </w:lvl>
    <w:lvl w:ilvl="5" w:tplc="2C1A0005" w:tentative="1">
      <w:start w:val="1"/>
      <w:numFmt w:val="bullet"/>
      <w:lvlText w:val=""/>
      <w:lvlJc w:val="left"/>
      <w:pPr>
        <w:ind w:left="5040" w:hanging="360"/>
      </w:pPr>
      <w:rPr>
        <w:rFonts w:ascii="Wingdings" w:hAnsi="Wingdings" w:hint="default"/>
      </w:rPr>
    </w:lvl>
    <w:lvl w:ilvl="6" w:tplc="2C1A0001" w:tentative="1">
      <w:start w:val="1"/>
      <w:numFmt w:val="bullet"/>
      <w:lvlText w:val=""/>
      <w:lvlJc w:val="left"/>
      <w:pPr>
        <w:ind w:left="5760" w:hanging="360"/>
      </w:pPr>
      <w:rPr>
        <w:rFonts w:ascii="Symbol" w:hAnsi="Symbol" w:hint="default"/>
      </w:rPr>
    </w:lvl>
    <w:lvl w:ilvl="7" w:tplc="2C1A0003" w:tentative="1">
      <w:start w:val="1"/>
      <w:numFmt w:val="bullet"/>
      <w:lvlText w:val="o"/>
      <w:lvlJc w:val="left"/>
      <w:pPr>
        <w:ind w:left="6480" w:hanging="360"/>
      </w:pPr>
      <w:rPr>
        <w:rFonts w:ascii="Courier New" w:hAnsi="Courier New" w:cs="Courier New" w:hint="default"/>
      </w:rPr>
    </w:lvl>
    <w:lvl w:ilvl="8" w:tplc="2C1A0005" w:tentative="1">
      <w:start w:val="1"/>
      <w:numFmt w:val="bullet"/>
      <w:lvlText w:val=""/>
      <w:lvlJc w:val="left"/>
      <w:pPr>
        <w:ind w:left="7200" w:hanging="360"/>
      </w:pPr>
      <w:rPr>
        <w:rFonts w:ascii="Wingdings" w:hAnsi="Wingdings" w:hint="default"/>
      </w:rPr>
    </w:lvl>
  </w:abstractNum>
  <w:abstractNum w:abstractNumId="52" w15:restartNumberingAfterBreak="0">
    <w:nsid w:val="558E6271"/>
    <w:multiLevelType w:val="hybridMultilevel"/>
    <w:tmpl w:val="6D443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B593CF0"/>
    <w:multiLevelType w:val="multilevel"/>
    <w:tmpl w:val="2C1A0025"/>
    <w:styleLink w:val="Style3"/>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rPr>
        <w:color w:val="auto"/>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4" w15:restartNumberingAfterBreak="0">
    <w:nsid w:val="5B7A283A"/>
    <w:multiLevelType w:val="hybridMultilevel"/>
    <w:tmpl w:val="2EC6C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E582DBB"/>
    <w:multiLevelType w:val="hybridMultilevel"/>
    <w:tmpl w:val="23606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E7B4E50"/>
    <w:multiLevelType w:val="hybridMultilevel"/>
    <w:tmpl w:val="0E3C8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FDC478A"/>
    <w:multiLevelType w:val="hybridMultilevel"/>
    <w:tmpl w:val="B0D46178"/>
    <w:lvl w:ilvl="0" w:tplc="8A684D7A">
      <w:start w:val="1"/>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606F5398"/>
    <w:multiLevelType w:val="hybridMultilevel"/>
    <w:tmpl w:val="74487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27615A2"/>
    <w:multiLevelType w:val="hybridMultilevel"/>
    <w:tmpl w:val="4FAE5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2786BD4"/>
    <w:multiLevelType w:val="hybridMultilevel"/>
    <w:tmpl w:val="E37ED8BC"/>
    <w:lvl w:ilvl="0" w:tplc="206AE6EA">
      <w:start w:val="2"/>
      <w:numFmt w:val="decimal"/>
      <w:lvlText w:val="%1."/>
      <w:lvlJc w:val="left"/>
      <w:pPr>
        <w:ind w:left="72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3463C0C"/>
    <w:multiLevelType w:val="hybridMultilevel"/>
    <w:tmpl w:val="1E923154"/>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62" w15:restartNumberingAfterBreak="0">
    <w:nsid w:val="69D60C0C"/>
    <w:multiLevelType w:val="hybridMultilevel"/>
    <w:tmpl w:val="C5E46358"/>
    <w:lvl w:ilvl="0" w:tplc="A6721004">
      <w:start w:val="3"/>
      <w:numFmt w:val="bullet"/>
      <w:lvlText w:val="-"/>
      <w:lvlJc w:val="left"/>
      <w:pPr>
        <w:ind w:left="720" w:hanging="360"/>
      </w:pPr>
      <w:rPr>
        <w:rFonts w:ascii="Calibri" w:eastAsiaTheme="minorHAnsi" w:hAnsi="Calibri" w:cs="Calibri" w:hint="default"/>
        <w:b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AE05F44"/>
    <w:multiLevelType w:val="hybridMultilevel"/>
    <w:tmpl w:val="F7FC4830"/>
    <w:lvl w:ilvl="0" w:tplc="081A000F">
      <w:start w:val="1"/>
      <w:numFmt w:val="decimal"/>
      <w:lvlText w:val="%1."/>
      <w:lvlJc w:val="left"/>
      <w:pPr>
        <w:ind w:left="720" w:hanging="360"/>
      </w:p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64" w15:restartNumberingAfterBreak="0">
    <w:nsid w:val="6B090E71"/>
    <w:multiLevelType w:val="hybridMultilevel"/>
    <w:tmpl w:val="263E9A3E"/>
    <w:lvl w:ilvl="0" w:tplc="2FAE8DB0">
      <w:numFmt w:val="bullet"/>
      <w:lvlText w:val="-"/>
      <w:lvlJc w:val="left"/>
      <w:pPr>
        <w:ind w:left="1065" w:hanging="705"/>
      </w:pPr>
      <w:rPr>
        <w:rFonts w:ascii="Calibri" w:eastAsiaTheme="minorHAnsi" w:hAnsi="Calibri" w:cstheme="minorHAnsi"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5" w15:restartNumberingAfterBreak="0">
    <w:nsid w:val="6DFB7C98"/>
    <w:multiLevelType w:val="hybridMultilevel"/>
    <w:tmpl w:val="2C588062"/>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6" w15:restartNumberingAfterBreak="0">
    <w:nsid w:val="6E1D2406"/>
    <w:multiLevelType w:val="hybridMultilevel"/>
    <w:tmpl w:val="5A12F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11F1549"/>
    <w:multiLevelType w:val="hybridMultilevel"/>
    <w:tmpl w:val="6FEE9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1BD2DDB"/>
    <w:multiLevelType w:val="hybridMultilevel"/>
    <w:tmpl w:val="A6CC5962"/>
    <w:lvl w:ilvl="0" w:tplc="89E0BF60">
      <w:numFmt w:val="bullet"/>
      <w:lvlText w:val="-"/>
      <w:lvlJc w:val="left"/>
      <w:pPr>
        <w:ind w:left="1080" w:hanging="720"/>
      </w:pPr>
      <w:rPr>
        <w:rFonts w:ascii="Century Gothic" w:eastAsiaTheme="minorHAnsi" w:hAnsi="Century Gothic"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1D4348D"/>
    <w:multiLevelType w:val="hybridMultilevel"/>
    <w:tmpl w:val="A6F24266"/>
    <w:styleLink w:val="Style313"/>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15:restartNumberingAfterBreak="0">
    <w:nsid w:val="72C071BF"/>
    <w:multiLevelType w:val="hybridMultilevel"/>
    <w:tmpl w:val="34F86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2F169CE"/>
    <w:multiLevelType w:val="multilevel"/>
    <w:tmpl w:val="24985ADE"/>
    <w:styleLink w:val="Style1"/>
    <w:lvl w:ilvl="0">
      <w:start w:val="1"/>
      <w:numFmt w:val="upperRoman"/>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15:restartNumberingAfterBreak="0">
    <w:nsid w:val="74203B3F"/>
    <w:multiLevelType w:val="hybridMultilevel"/>
    <w:tmpl w:val="2CC04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5323DB3"/>
    <w:multiLevelType w:val="hybridMultilevel"/>
    <w:tmpl w:val="433CCF04"/>
    <w:lvl w:ilvl="0" w:tplc="9356B130">
      <w:numFmt w:val="bullet"/>
      <w:lvlText w:val="-"/>
      <w:lvlJc w:val="left"/>
      <w:pPr>
        <w:ind w:left="720" w:hanging="360"/>
      </w:pPr>
      <w:rPr>
        <w:rFonts w:ascii="Garamond" w:eastAsiaTheme="minorHAnsi" w:hAnsi="Garamond"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53D7F04"/>
    <w:multiLevelType w:val="hybridMultilevel"/>
    <w:tmpl w:val="28CC5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5470265"/>
    <w:multiLevelType w:val="hybridMultilevel"/>
    <w:tmpl w:val="03FE936C"/>
    <w:styleLink w:val="Style311"/>
    <w:lvl w:ilvl="0" w:tplc="2C1A0009">
      <w:start w:val="1"/>
      <w:numFmt w:val="bullet"/>
      <w:lvlText w:val=""/>
      <w:lvlJc w:val="left"/>
      <w:pPr>
        <w:ind w:left="1080" w:hanging="360"/>
      </w:pPr>
      <w:rPr>
        <w:rFonts w:ascii="Wingdings" w:hAnsi="Wingdings" w:hint="default"/>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76" w15:restartNumberingAfterBreak="0">
    <w:nsid w:val="7ADF0EFC"/>
    <w:multiLevelType w:val="hybridMultilevel"/>
    <w:tmpl w:val="17E04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F1B792D"/>
    <w:multiLevelType w:val="hybridMultilevel"/>
    <w:tmpl w:val="068EE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7F390D56"/>
    <w:multiLevelType w:val="hybridMultilevel"/>
    <w:tmpl w:val="9432A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3"/>
  </w:num>
  <w:num w:numId="3">
    <w:abstractNumId w:val="11"/>
  </w:num>
  <w:num w:numId="4">
    <w:abstractNumId w:val="35"/>
  </w:num>
  <w:num w:numId="5">
    <w:abstractNumId w:val="32"/>
  </w:num>
  <w:num w:numId="6">
    <w:abstractNumId w:val="52"/>
  </w:num>
  <w:num w:numId="7">
    <w:abstractNumId w:val="55"/>
  </w:num>
  <w:num w:numId="8">
    <w:abstractNumId w:val="19"/>
  </w:num>
  <w:num w:numId="9">
    <w:abstractNumId w:val="43"/>
  </w:num>
  <w:num w:numId="10">
    <w:abstractNumId w:val="60"/>
  </w:num>
  <w:num w:numId="11">
    <w:abstractNumId w:val="66"/>
  </w:num>
  <w:num w:numId="12">
    <w:abstractNumId w:val="70"/>
  </w:num>
  <w:num w:numId="13">
    <w:abstractNumId w:val="44"/>
  </w:num>
  <w:num w:numId="14">
    <w:abstractNumId w:val="6"/>
  </w:num>
  <w:num w:numId="15">
    <w:abstractNumId w:val="25"/>
  </w:num>
  <w:num w:numId="16">
    <w:abstractNumId w:val="74"/>
  </w:num>
  <w:num w:numId="17">
    <w:abstractNumId w:val="67"/>
  </w:num>
  <w:num w:numId="18">
    <w:abstractNumId w:val="23"/>
  </w:num>
  <w:num w:numId="19">
    <w:abstractNumId w:val="15"/>
  </w:num>
  <w:num w:numId="20">
    <w:abstractNumId w:val="9"/>
  </w:num>
  <w:num w:numId="21">
    <w:abstractNumId w:val="57"/>
  </w:num>
  <w:num w:numId="22">
    <w:abstractNumId w:val="64"/>
  </w:num>
  <w:num w:numId="23">
    <w:abstractNumId w:val="30"/>
  </w:num>
  <w:num w:numId="24">
    <w:abstractNumId w:val="61"/>
  </w:num>
  <w:num w:numId="25">
    <w:abstractNumId w:val="58"/>
  </w:num>
  <w:num w:numId="26">
    <w:abstractNumId w:val="77"/>
  </w:num>
  <w:num w:numId="27">
    <w:abstractNumId w:val="24"/>
  </w:num>
  <w:num w:numId="28">
    <w:abstractNumId w:val="21"/>
  </w:num>
  <w:num w:numId="29">
    <w:abstractNumId w:val="8"/>
  </w:num>
  <w:num w:numId="30">
    <w:abstractNumId w:val="34"/>
  </w:num>
  <w:num w:numId="31">
    <w:abstractNumId w:val="62"/>
  </w:num>
  <w:num w:numId="32">
    <w:abstractNumId w:val="54"/>
  </w:num>
  <w:num w:numId="33">
    <w:abstractNumId w:val="69"/>
  </w:num>
  <w:num w:numId="34">
    <w:abstractNumId w:val="16"/>
  </w:num>
  <w:num w:numId="35">
    <w:abstractNumId w:val="37"/>
  </w:num>
  <w:num w:numId="36">
    <w:abstractNumId w:val="46"/>
  </w:num>
  <w:num w:numId="37">
    <w:abstractNumId w:val="0"/>
  </w:num>
  <w:num w:numId="38">
    <w:abstractNumId w:val="22"/>
  </w:num>
  <w:num w:numId="39">
    <w:abstractNumId w:val="39"/>
  </w:num>
  <w:num w:numId="40">
    <w:abstractNumId w:val="71"/>
  </w:num>
  <w:num w:numId="41">
    <w:abstractNumId w:val="50"/>
  </w:num>
  <w:num w:numId="42">
    <w:abstractNumId w:val="27"/>
  </w:num>
  <w:num w:numId="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4"/>
  </w:num>
  <w:num w:numId="45">
    <w:abstractNumId w:val="38"/>
  </w:num>
  <w:num w:numId="46">
    <w:abstractNumId w:val="4"/>
  </w:num>
  <w:num w:numId="47">
    <w:abstractNumId w:val="2"/>
  </w:num>
  <w:num w:numId="48">
    <w:abstractNumId w:val="51"/>
  </w:num>
  <w:num w:numId="49">
    <w:abstractNumId w:val="7"/>
  </w:num>
  <w:num w:numId="50">
    <w:abstractNumId w:val="40"/>
  </w:num>
  <w:num w:numId="51">
    <w:abstractNumId w:val="33"/>
  </w:num>
  <w:num w:numId="52">
    <w:abstractNumId w:val="49"/>
  </w:num>
  <w:num w:numId="53">
    <w:abstractNumId w:val="75"/>
  </w:num>
  <w:num w:numId="54">
    <w:abstractNumId w:val="53"/>
  </w:num>
  <w:num w:numId="55">
    <w:abstractNumId w:val="26"/>
  </w:num>
  <w:num w:numId="56">
    <w:abstractNumId w:val="20"/>
  </w:num>
  <w:num w:numId="57">
    <w:abstractNumId w:val="31"/>
  </w:num>
  <w:num w:numId="58">
    <w:abstractNumId w:val="63"/>
  </w:num>
  <w:num w:numId="59">
    <w:abstractNumId w:val="56"/>
  </w:num>
  <w:num w:numId="60">
    <w:abstractNumId w:val="12"/>
  </w:num>
  <w:num w:numId="61">
    <w:abstractNumId w:val="1"/>
  </w:num>
  <w:num w:numId="62">
    <w:abstractNumId w:val="29"/>
  </w:num>
  <w:num w:numId="63">
    <w:abstractNumId w:val="13"/>
  </w:num>
  <w:num w:numId="64">
    <w:abstractNumId w:val="68"/>
  </w:num>
  <w:num w:numId="65">
    <w:abstractNumId w:val="45"/>
  </w:num>
  <w:num w:numId="66">
    <w:abstractNumId w:val="28"/>
  </w:num>
  <w:num w:numId="67">
    <w:abstractNumId w:val="48"/>
  </w:num>
  <w:num w:numId="68">
    <w:abstractNumId w:val="73"/>
  </w:num>
  <w:num w:numId="69">
    <w:abstractNumId w:val="59"/>
  </w:num>
  <w:num w:numId="70">
    <w:abstractNumId w:val="72"/>
  </w:num>
  <w:num w:numId="71">
    <w:abstractNumId w:val="76"/>
  </w:num>
  <w:num w:numId="72">
    <w:abstractNumId w:val="12"/>
  </w:num>
  <w:num w:numId="73">
    <w:abstractNumId w:val="36"/>
  </w:num>
  <w:num w:numId="74">
    <w:abstractNumId w:val="17"/>
  </w:num>
  <w:num w:numId="75">
    <w:abstractNumId w:val="47"/>
  </w:num>
  <w:num w:numId="76">
    <w:abstractNumId w:val="3"/>
  </w:num>
  <w:num w:numId="77">
    <w:abstractNumId w:val="42"/>
  </w:num>
  <w:num w:numId="78">
    <w:abstractNumId w:val="65"/>
  </w:num>
  <w:num w:numId="79">
    <w:abstractNumId w:val="18"/>
  </w:num>
  <w:num w:numId="80">
    <w:abstractNumId w:val="41"/>
  </w:num>
  <w:num w:numId="81">
    <w:abstractNumId w:val="78"/>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CB4"/>
    <w:rsid w:val="000006E8"/>
    <w:rsid w:val="00002535"/>
    <w:rsid w:val="00005AD1"/>
    <w:rsid w:val="00007B58"/>
    <w:rsid w:val="000228CB"/>
    <w:rsid w:val="00025B7E"/>
    <w:rsid w:val="00030390"/>
    <w:rsid w:val="00034E7A"/>
    <w:rsid w:val="00040011"/>
    <w:rsid w:val="000434E2"/>
    <w:rsid w:val="00047658"/>
    <w:rsid w:val="00052499"/>
    <w:rsid w:val="000628D4"/>
    <w:rsid w:val="00067750"/>
    <w:rsid w:val="00070144"/>
    <w:rsid w:val="00076EE2"/>
    <w:rsid w:val="000807FC"/>
    <w:rsid w:val="00082B85"/>
    <w:rsid w:val="00086A3A"/>
    <w:rsid w:val="00090B3E"/>
    <w:rsid w:val="0009101F"/>
    <w:rsid w:val="000968F6"/>
    <w:rsid w:val="000A6EEB"/>
    <w:rsid w:val="000A7369"/>
    <w:rsid w:val="000C3D9B"/>
    <w:rsid w:val="000D24B8"/>
    <w:rsid w:val="000D27CE"/>
    <w:rsid w:val="000D6E85"/>
    <w:rsid w:val="000F2683"/>
    <w:rsid w:val="000F2898"/>
    <w:rsid w:val="000F38A3"/>
    <w:rsid w:val="000F4722"/>
    <w:rsid w:val="000F6288"/>
    <w:rsid w:val="00101AB3"/>
    <w:rsid w:val="00105C9E"/>
    <w:rsid w:val="001123EB"/>
    <w:rsid w:val="001139FE"/>
    <w:rsid w:val="00114632"/>
    <w:rsid w:val="0011774A"/>
    <w:rsid w:val="0014031B"/>
    <w:rsid w:val="00146E33"/>
    <w:rsid w:val="001507D4"/>
    <w:rsid w:val="00151C3D"/>
    <w:rsid w:val="001556A8"/>
    <w:rsid w:val="00155792"/>
    <w:rsid w:val="00156442"/>
    <w:rsid w:val="001609EB"/>
    <w:rsid w:val="00162290"/>
    <w:rsid w:val="001667AA"/>
    <w:rsid w:val="00166E95"/>
    <w:rsid w:val="00167CFB"/>
    <w:rsid w:val="00184966"/>
    <w:rsid w:val="00186061"/>
    <w:rsid w:val="0018660D"/>
    <w:rsid w:val="0019747A"/>
    <w:rsid w:val="001979A6"/>
    <w:rsid w:val="001A2776"/>
    <w:rsid w:val="001B2F88"/>
    <w:rsid w:val="001B5449"/>
    <w:rsid w:val="001B6681"/>
    <w:rsid w:val="001C2E87"/>
    <w:rsid w:val="001C6C11"/>
    <w:rsid w:val="001D30A4"/>
    <w:rsid w:val="001E0B77"/>
    <w:rsid w:val="001E3BBD"/>
    <w:rsid w:val="001F18B8"/>
    <w:rsid w:val="0020090C"/>
    <w:rsid w:val="00210862"/>
    <w:rsid w:val="00211679"/>
    <w:rsid w:val="00211DAD"/>
    <w:rsid w:val="0021288D"/>
    <w:rsid w:val="00213E97"/>
    <w:rsid w:val="0021498F"/>
    <w:rsid w:val="002205E1"/>
    <w:rsid w:val="00225DC6"/>
    <w:rsid w:val="00242A7E"/>
    <w:rsid w:val="00246AA1"/>
    <w:rsid w:val="0024795F"/>
    <w:rsid w:val="002712E9"/>
    <w:rsid w:val="00272AB4"/>
    <w:rsid w:val="00276874"/>
    <w:rsid w:val="002800F8"/>
    <w:rsid w:val="002818AF"/>
    <w:rsid w:val="002917EE"/>
    <w:rsid w:val="00291E41"/>
    <w:rsid w:val="00295A39"/>
    <w:rsid w:val="002A00FF"/>
    <w:rsid w:val="002B47D4"/>
    <w:rsid w:val="002B5D2B"/>
    <w:rsid w:val="002C099C"/>
    <w:rsid w:val="002C2D6D"/>
    <w:rsid w:val="002C5D8F"/>
    <w:rsid w:val="002D117F"/>
    <w:rsid w:val="002D4036"/>
    <w:rsid w:val="002D44ED"/>
    <w:rsid w:val="002E0F47"/>
    <w:rsid w:val="002E2266"/>
    <w:rsid w:val="002E6DC5"/>
    <w:rsid w:val="002E6EEB"/>
    <w:rsid w:val="002F27FB"/>
    <w:rsid w:val="002F384F"/>
    <w:rsid w:val="002F5656"/>
    <w:rsid w:val="002F7A7E"/>
    <w:rsid w:val="002F7CC8"/>
    <w:rsid w:val="00300D53"/>
    <w:rsid w:val="003053C4"/>
    <w:rsid w:val="003118C6"/>
    <w:rsid w:val="00321672"/>
    <w:rsid w:val="0032480C"/>
    <w:rsid w:val="00331E15"/>
    <w:rsid w:val="00335470"/>
    <w:rsid w:val="003626FE"/>
    <w:rsid w:val="003664F1"/>
    <w:rsid w:val="00371DC1"/>
    <w:rsid w:val="003771B9"/>
    <w:rsid w:val="0038028C"/>
    <w:rsid w:val="00381C0F"/>
    <w:rsid w:val="00383D39"/>
    <w:rsid w:val="00387D2D"/>
    <w:rsid w:val="0039112E"/>
    <w:rsid w:val="003911FB"/>
    <w:rsid w:val="00391874"/>
    <w:rsid w:val="00393340"/>
    <w:rsid w:val="00397707"/>
    <w:rsid w:val="003A0585"/>
    <w:rsid w:val="003A1347"/>
    <w:rsid w:val="003A4436"/>
    <w:rsid w:val="003A5053"/>
    <w:rsid w:val="003A5377"/>
    <w:rsid w:val="003A75FC"/>
    <w:rsid w:val="003B6750"/>
    <w:rsid w:val="003B6DFE"/>
    <w:rsid w:val="003C0C26"/>
    <w:rsid w:val="003C61D6"/>
    <w:rsid w:val="003D546D"/>
    <w:rsid w:val="003E2F43"/>
    <w:rsid w:val="003F186B"/>
    <w:rsid w:val="003F255C"/>
    <w:rsid w:val="00400115"/>
    <w:rsid w:val="00404BAE"/>
    <w:rsid w:val="00406A31"/>
    <w:rsid w:val="00411FFF"/>
    <w:rsid w:val="00416A69"/>
    <w:rsid w:val="004241DC"/>
    <w:rsid w:val="0043016C"/>
    <w:rsid w:val="004309CE"/>
    <w:rsid w:val="004316DD"/>
    <w:rsid w:val="00431EC6"/>
    <w:rsid w:val="00432A04"/>
    <w:rsid w:val="004333EF"/>
    <w:rsid w:val="00434DB6"/>
    <w:rsid w:val="00436100"/>
    <w:rsid w:val="00442351"/>
    <w:rsid w:val="0044350E"/>
    <w:rsid w:val="00457575"/>
    <w:rsid w:val="0046110A"/>
    <w:rsid w:val="0047326F"/>
    <w:rsid w:val="0047692E"/>
    <w:rsid w:val="00476B62"/>
    <w:rsid w:val="004838C9"/>
    <w:rsid w:val="00494E7C"/>
    <w:rsid w:val="00496445"/>
    <w:rsid w:val="00496FAD"/>
    <w:rsid w:val="00497AEA"/>
    <w:rsid w:val="004A0293"/>
    <w:rsid w:val="004A16E1"/>
    <w:rsid w:val="004A3C8D"/>
    <w:rsid w:val="004A602B"/>
    <w:rsid w:val="004B1905"/>
    <w:rsid w:val="004C0CB1"/>
    <w:rsid w:val="004C0FFA"/>
    <w:rsid w:val="004C59AA"/>
    <w:rsid w:val="004D422C"/>
    <w:rsid w:val="004D5210"/>
    <w:rsid w:val="004E2900"/>
    <w:rsid w:val="004E3522"/>
    <w:rsid w:val="00501E47"/>
    <w:rsid w:val="00502469"/>
    <w:rsid w:val="00507207"/>
    <w:rsid w:val="005139F3"/>
    <w:rsid w:val="0052698C"/>
    <w:rsid w:val="00530DF2"/>
    <w:rsid w:val="0053311C"/>
    <w:rsid w:val="00533532"/>
    <w:rsid w:val="00534466"/>
    <w:rsid w:val="005400EC"/>
    <w:rsid w:val="005507E0"/>
    <w:rsid w:val="00552502"/>
    <w:rsid w:val="00554606"/>
    <w:rsid w:val="005739BE"/>
    <w:rsid w:val="0057418E"/>
    <w:rsid w:val="005758C9"/>
    <w:rsid w:val="00581773"/>
    <w:rsid w:val="0059097B"/>
    <w:rsid w:val="005A020D"/>
    <w:rsid w:val="005A7858"/>
    <w:rsid w:val="005C7386"/>
    <w:rsid w:val="005C76C7"/>
    <w:rsid w:val="005D05D1"/>
    <w:rsid w:val="005D12E6"/>
    <w:rsid w:val="005E1A96"/>
    <w:rsid w:val="005E1CB4"/>
    <w:rsid w:val="005F2380"/>
    <w:rsid w:val="005F3B6D"/>
    <w:rsid w:val="005F5F83"/>
    <w:rsid w:val="005F69B8"/>
    <w:rsid w:val="00600332"/>
    <w:rsid w:val="0060375E"/>
    <w:rsid w:val="006118C4"/>
    <w:rsid w:val="00612107"/>
    <w:rsid w:val="006143E7"/>
    <w:rsid w:val="0061500B"/>
    <w:rsid w:val="00617934"/>
    <w:rsid w:val="00622171"/>
    <w:rsid w:val="00625E11"/>
    <w:rsid w:val="0062681F"/>
    <w:rsid w:val="0062773A"/>
    <w:rsid w:val="00627B58"/>
    <w:rsid w:val="00627F0F"/>
    <w:rsid w:val="006347CD"/>
    <w:rsid w:val="006355E2"/>
    <w:rsid w:val="006424BD"/>
    <w:rsid w:val="00653707"/>
    <w:rsid w:val="0065415E"/>
    <w:rsid w:val="00655BB5"/>
    <w:rsid w:val="00660440"/>
    <w:rsid w:val="00660F81"/>
    <w:rsid w:val="00670EA2"/>
    <w:rsid w:val="00671BCF"/>
    <w:rsid w:val="00672907"/>
    <w:rsid w:val="006857F4"/>
    <w:rsid w:val="00687897"/>
    <w:rsid w:val="00691817"/>
    <w:rsid w:val="006950C2"/>
    <w:rsid w:val="006A762A"/>
    <w:rsid w:val="006B1484"/>
    <w:rsid w:val="006B588F"/>
    <w:rsid w:val="006B6C69"/>
    <w:rsid w:val="006C74D6"/>
    <w:rsid w:val="006D2F1D"/>
    <w:rsid w:val="006E000D"/>
    <w:rsid w:val="006E3C16"/>
    <w:rsid w:val="006F1AD6"/>
    <w:rsid w:val="006F2FEC"/>
    <w:rsid w:val="00701428"/>
    <w:rsid w:val="007100B9"/>
    <w:rsid w:val="00713157"/>
    <w:rsid w:val="00713CBC"/>
    <w:rsid w:val="0071463E"/>
    <w:rsid w:val="00720984"/>
    <w:rsid w:val="00720C11"/>
    <w:rsid w:val="00724C38"/>
    <w:rsid w:val="00727788"/>
    <w:rsid w:val="007323F4"/>
    <w:rsid w:val="00732B08"/>
    <w:rsid w:val="007338DF"/>
    <w:rsid w:val="00734493"/>
    <w:rsid w:val="00740A6C"/>
    <w:rsid w:val="007419E1"/>
    <w:rsid w:val="00745DB6"/>
    <w:rsid w:val="00746FCC"/>
    <w:rsid w:val="00755C08"/>
    <w:rsid w:val="0076227F"/>
    <w:rsid w:val="0077081C"/>
    <w:rsid w:val="007761E7"/>
    <w:rsid w:val="0078602A"/>
    <w:rsid w:val="00791DB3"/>
    <w:rsid w:val="00792C35"/>
    <w:rsid w:val="007956E7"/>
    <w:rsid w:val="00795FF0"/>
    <w:rsid w:val="007A6C0A"/>
    <w:rsid w:val="007B64F7"/>
    <w:rsid w:val="007C3348"/>
    <w:rsid w:val="007C609C"/>
    <w:rsid w:val="007C7F00"/>
    <w:rsid w:val="007E0F1F"/>
    <w:rsid w:val="007E1D6F"/>
    <w:rsid w:val="007E35B0"/>
    <w:rsid w:val="007E459F"/>
    <w:rsid w:val="007E6917"/>
    <w:rsid w:val="007E7125"/>
    <w:rsid w:val="007F4999"/>
    <w:rsid w:val="007F5378"/>
    <w:rsid w:val="007F59F0"/>
    <w:rsid w:val="00803E04"/>
    <w:rsid w:val="00805A48"/>
    <w:rsid w:val="00820247"/>
    <w:rsid w:val="008301C5"/>
    <w:rsid w:val="00836794"/>
    <w:rsid w:val="00836E05"/>
    <w:rsid w:val="00837504"/>
    <w:rsid w:val="00837D02"/>
    <w:rsid w:val="008422EC"/>
    <w:rsid w:val="008460B1"/>
    <w:rsid w:val="00857CEB"/>
    <w:rsid w:val="00862BA4"/>
    <w:rsid w:val="00867F1A"/>
    <w:rsid w:val="00883114"/>
    <w:rsid w:val="00885009"/>
    <w:rsid w:val="00892683"/>
    <w:rsid w:val="00895DA4"/>
    <w:rsid w:val="00896919"/>
    <w:rsid w:val="008B0F85"/>
    <w:rsid w:val="008B7E7E"/>
    <w:rsid w:val="008C364B"/>
    <w:rsid w:val="008C62C7"/>
    <w:rsid w:val="008D0B88"/>
    <w:rsid w:val="008D1FF7"/>
    <w:rsid w:val="008D678E"/>
    <w:rsid w:val="008D6B8A"/>
    <w:rsid w:val="008E01F0"/>
    <w:rsid w:val="008F177D"/>
    <w:rsid w:val="008F550B"/>
    <w:rsid w:val="008F6E48"/>
    <w:rsid w:val="009011D9"/>
    <w:rsid w:val="0090338A"/>
    <w:rsid w:val="00911F33"/>
    <w:rsid w:val="0091749D"/>
    <w:rsid w:val="0092105C"/>
    <w:rsid w:val="00922341"/>
    <w:rsid w:val="0092437B"/>
    <w:rsid w:val="009251C4"/>
    <w:rsid w:val="0092632C"/>
    <w:rsid w:val="0093563E"/>
    <w:rsid w:val="00935910"/>
    <w:rsid w:val="00936869"/>
    <w:rsid w:val="00936EB9"/>
    <w:rsid w:val="009458A0"/>
    <w:rsid w:val="00946013"/>
    <w:rsid w:val="00947F5A"/>
    <w:rsid w:val="00950CE6"/>
    <w:rsid w:val="009667FD"/>
    <w:rsid w:val="009760C0"/>
    <w:rsid w:val="009823F0"/>
    <w:rsid w:val="0098419E"/>
    <w:rsid w:val="0099272F"/>
    <w:rsid w:val="009960D3"/>
    <w:rsid w:val="009A2673"/>
    <w:rsid w:val="009A3B4C"/>
    <w:rsid w:val="009B2D9D"/>
    <w:rsid w:val="009B3834"/>
    <w:rsid w:val="009B5280"/>
    <w:rsid w:val="009B753B"/>
    <w:rsid w:val="009C2B96"/>
    <w:rsid w:val="009C5D80"/>
    <w:rsid w:val="009C62B6"/>
    <w:rsid w:val="009C7308"/>
    <w:rsid w:val="009D0E01"/>
    <w:rsid w:val="009D3256"/>
    <w:rsid w:val="009E7511"/>
    <w:rsid w:val="009F05FB"/>
    <w:rsid w:val="009F16D3"/>
    <w:rsid w:val="009F4056"/>
    <w:rsid w:val="009F40CD"/>
    <w:rsid w:val="009F4149"/>
    <w:rsid w:val="009F6F5F"/>
    <w:rsid w:val="00A01B52"/>
    <w:rsid w:val="00A05814"/>
    <w:rsid w:val="00A109B8"/>
    <w:rsid w:val="00A13F90"/>
    <w:rsid w:val="00A146FC"/>
    <w:rsid w:val="00A15711"/>
    <w:rsid w:val="00A15E00"/>
    <w:rsid w:val="00A20039"/>
    <w:rsid w:val="00A24363"/>
    <w:rsid w:val="00A31F6E"/>
    <w:rsid w:val="00A37D96"/>
    <w:rsid w:val="00A4139D"/>
    <w:rsid w:val="00A4453F"/>
    <w:rsid w:val="00A451E5"/>
    <w:rsid w:val="00A46DC7"/>
    <w:rsid w:val="00A50DCE"/>
    <w:rsid w:val="00A549FA"/>
    <w:rsid w:val="00A60C23"/>
    <w:rsid w:val="00A673BB"/>
    <w:rsid w:val="00A75E0D"/>
    <w:rsid w:val="00A8637D"/>
    <w:rsid w:val="00A95A7C"/>
    <w:rsid w:val="00A95AE0"/>
    <w:rsid w:val="00A9672F"/>
    <w:rsid w:val="00AA136E"/>
    <w:rsid w:val="00AA4515"/>
    <w:rsid w:val="00AB0E22"/>
    <w:rsid w:val="00AB451D"/>
    <w:rsid w:val="00AB6CDA"/>
    <w:rsid w:val="00AC16DE"/>
    <w:rsid w:val="00AC4F59"/>
    <w:rsid w:val="00AC6D99"/>
    <w:rsid w:val="00AE0000"/>
    <w:rsid w:val="00AF11A4"/>
    <w:rsid w:val="00AF2DBE"/>
    <w:rsid w:val="00AF7500"/>
    <w:rsid w:val="00B019C6"/>
    <w:rsid w:val="00B10236"/>
    <w:rsid w:val="00B12214"/>
    <w:rsid w:val="00B21D39"/>
    <w:rsid w:val="00B24094"/>
    <w:rsid w:val="00B254B5"/>
    <w:rsid w:val="00B30F57"/>
    <w:rsid w:val="00B40837"/>
    <w:rsid w:val="00B41F01"/>
    <w:rsid w:val="00B43640"/>
    <w:rsid w:val="00B4557E"/>
    <w:rsid w:val="00B46AA3"/>
    <w:rsid w:val="00B54D5F"/>
    <w:rsid w:val="00B56A6E"/>
    <w:rsid w:val="00B56C3C"/>
    <w:rsid w:val="00B56D87"/>
    <w:rsid w:val="00B628E5"/>
    <w:rsid w:val="00B658CD"/>
    <w:rsid w:val="00B668FE"/>
    <w:rsid w:val="00B70A6D"/>
    <w:rsid w:val="00B72D3A"/>
    <w:rsid w:val="00B733A4"/>
    <w:rsid w:val="00B735F3"/>
    <w:rsid w:val="00B74923"/>
    <w:rsid w:val="00B765D8"/>
    <w:rsid w:val="00B84413"/>
    <w:rsid w:val="00B84E2B"/>
    <w:rsid w:val="00B85232"/>
    <w:rsid w:val="00B8791A"/>
    <w:rsid w:val="00B911C3"/>
    <w:rsid w:val="00B93811"/>
    <w:rsid w:val="00BA42D4"/>
    <w:rsid w:val="00BA49F9"/>
    <w:rsid w:val="00BA5CCE"/>
    <w:rsid w:val="00BA6C33"/>
    <w:rsid w:val="00BB6E57"/>
    <w:rsid w:val="00BB6F90"/>
    <w:rsid w:val="00BC53CE"/>
    <w:rsid w:val="00BD174B"/>
    <w:rsid w:val="00BD1980"/>
    <w:rsid w:val="00BD46B4"/>
    <w:rsid w:val="00BD7CF1"/>
    <w:rsid w:val="00BE0CE8"/>
    <w:rsid w:val="00BE2609"/>
    <w:rsid w:val="00BE3E8E"/>
    <w:rsid w:val="00BE4674"/>
    <w:rsid w:val="00BF442F"/>
    <w:rsid w:val="00BF5BB1"/>
    <w:rsid w:val="00BF7857"/>
    <w:rsid w:val="00C04B09"/>
    <w:rsid w:val="00C12B7B"/>
    <w:rsid w:val="00C1567F"/>
    <w:rsid w:val="00C17767"/>
    <w:rsid w:val="00C325CF"/>
    <w:rsid w:val="00C32815"/>
    <w:rsid w:val="00C35B2B"/>
    <w:rsid w:val="00C376F4"/>
    <w:rsid w:val="00C37ED5"/>
    <w:rsid w:val="00C45E87"/>
    <w:rsid w:val="00C5728F"/>
    <w:rsid w:val="00C64ABA"/>
    <w:rsid w:val="00C74101"/>
    <w:rsid w:val="00C76B07"/>
    <w:rsid w:val="00C82B3B"/>
    <w:rsid w:val="00C83383"/>
    <w:rsid w:val="00C8358A"/>
    <w:rsid w:val="00C83A32"/>
    <w:rsid w:val="00C877C1"/>
    <w:rsid w:val="00C96994"/>
    <w:rsid w:val="00CA42DE"/>
    <w:rsid w:val="00CA7341"/>
    <w:rsid w:val="00CB1A24"/>
    <w:rsid w:val="00CB236F"/>
    <w:rsid w:val="00CB2E14"/>
    <w:rsid w:val="00CB5533"/>
    <w:rsid w:val="00CB6213"/>
    <w:rsid w:val="00CB7851"/>
    <w:rsid w:val="00CC55F6"/>
    <w:rsid w:val="00CC6F22"/>
    <w:rsid w:val="00CD04DF"/>
    <w:rsid w:val="00CD66A3"/>
    <w:rsid w:val="00CD6CB9"/>
    <w:rsid w:val="00CE070C"/>
    <w:rsid w:val="00CE1932"/>
    <w:rsid w:val="00CE58DE"/>
    <w:rsid w:val="00CE5A62"/>
    <w:rsid w:val="00CF0DAE"/>
    <w:rsid w:val="00CF69F3"/>
    <w:rsid w:val="00D014C7"/>
    <w:rsid w:val="00D03A01"/>
    <w:rsid w:val="00D03C55"/>
    <w:rsid w:val="00D05C45"/>
    <w:rsid w:val="00D075E2"/>
    <w:rsid w:val="00D11C21"/>
    <w:rsid w:val="00D176DD"/>
    <w:rsid w:val="00D25668"/>
    <w:rsid w:val="00D3192B"/>
    <w:rsid w:val="00D32FD3"/>
    <w:rsid w:val="00D330C3"/>
    <w:rsid w:val="00D34913"/>
    <w:rsid w:val="00D43B71"/>
    <w:rsid w:val="00D43FE0"/>
    <w:rsid w:val="00D4677F"/>
    <w:rsid w:val="00D519F3"/>
    <w:rsid w:val="00D542A5"/>
    <w:rsid w:val="00D60869"/>
    <w:rsid w:val="00D60A5D"/>
    <w:rsid w:val="00D63495"/>
    <w:rsid w:val="00D63A29"/>
    <w:rsid w:val="00D64C44"/>
    <w:rsid w:val="00D67AF7"/>
    <w:rsid w:val="00D67B01"/>
    <w:rsid w:val="00D763D3"/>
    <w:rsid w:val="00D80F1F"/>
    <w:rsid w:val="00D912BE"/>
    <w:rsid w:val="00DA310D"/>
    <w:rsid w:val="00DA43E7"/>
    <w:rsid w:val="00DC031D"/>
    <w:rsid w:val="00DC2D7D"/>
    <w:rsid w:val="00DC4757"/>
    <w:rsid w:val="00DC481B"/>
    <w:rsid w:val="00DD1764"/>
    <w:rsid w:val="00DD1C08"/>
    <w:rsid w:val="00DD6D00"/>
    <w:rsid w:val="00DD73ED"/>
    <w:rsid w:val="00DD7A1C"/>
    <w:rsid w:val="00DE499F"/>
    <w:rsid w:val="00DE7242"/>
    <w:rsid w:val="00DF65A8"/>
    <w:rsid w:val="00DF7626"/>
    <w:rsid w:val="00E00AB8"/>
    <w:rsid w:val="00E00C71"/>
    <w:rsid w:val="00E010CE"/>
    <w:rsid w:val="00E03F64"/>
    <w:rsid w:val="00E24372"/>
    <w:rsid w:val="00E31A6B"/>
    <w:rsid w:val="00E34921"/>
    <w:rsid w:val="00E36593"/>
    <w:rsid w:val="00E413CB"/>
    <w:rsid w:val="00E41591"/>
    <w:rsid w:val="00E42606"/>
    <w:rsid w:val="00E42B79"/>
    <w:rsid w:val="00E448C6"/>
    <w:rsid w:val="00E4510D"/>
    <w:rsid w:val="00E46709"/>
    <w:rsid w:val="00E52C6A"/>
    <w:rsid w:val="00E63C3B"/>
    <w:rsid w:val="00E7270F"/>
    <w:rsid w:val="00E811C7"/>
    <w:rsid w:val="00E83289"/>
    <w:rsid w:val="00E8643F"/>
    <w:rsid w:val="00E92164"/>
    <w:rsid w:val="00E92524"/>
    <w:rsid w:val="00E929B4"/>
    <w:rsid w:val="00E9370A"/>
    <w:rsid w:val="00E93DF1"/>
    <w:rsid w:val="00EB041D"/>
    <w:rsid w:val="00EB23BD"/>
    <w:rsid w:val="00EB378F"/>
    <w:rsid w:val="00EC16D7"/>
    <w:rsid w:val="00EC29F9"/>
    <w:rsid w:val="00EC5B12"/>
    <w:rsid w:val="00EC6101"/>
    <w:rsid w:val="00ED4EF7"/>
    <w:rsid w:val="00ED5D1A"/>
    <w:rsid w:val="00EE6EAF"/>
    <w:rsid w:val="00EE7741"/>
    <w:rsid w:val="00EF2AB0"/>
    <w:rsid w:val="00EF3AB2"/>
    <w:rsid w:val="00EF3DFA"/>
    <w:rsid w:val="00EF4996"/>
    <w:rsid w:val="00F02B78"/>
    <w:rsid w:val="00F12D8A"/>
    <w:rsid w:val="00F13EB9"/>
    <w:rsid w:val="00F21455"/>
    <w:rsid w:val="00F346A9"/>
    <w:rsid w:val="00F41B52"/>
    <w:rsid w:val="00F44839"/>
    <w:rsid w:val="00F52785"/>
    <w:rsid w:val="00F53D00"/>
    <w:rsid w:val="00F674E3"/>
    <w:rsid w:val="00F7579C"/>
    <w:rsid w:val="00F84235"/>
    <w:rsid w:val="00F86B7E"/>
    <w:rsid w:val="00F86D05"/>
    <w:rsid w:val="00FA14A5"/>
    <w:rsid w:val="00FA41DC"/>
    <w:rsid w:val="00FA694A"/>
    <w:rsid w:val="00FA75BE"/>
    <w:rsid w:val="00FB00D3"/>
    <w:rsid w:val="00FC4C74"/>
    <w:rsid w:val="00FC59F3"/>
    <w:rsid w:val="00FD0F47"/>
    <w:rsid w:val="00FD3827"/>
    <w:rsid w:val="00FD7AD3"/>
    <w:rsid w:val="00FE03D5"/>
    <w:rsid w:val="00FE0B53"/>
    <w:rsid w:val="00FE52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44BE9"/>
  <w15:chartTrackingRefBased/>
  <w15:docId w15:val="{D82AB742-038B-4C9B-AB52-AB82C8258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1484"/>
  </w:style>
  <w:style w:type="paragraph" w:styleId="Heading1">
    <w:name w:val="heading 1"/>
    <w:basedOn w:val="Normal"/>
    <w:next w:val="Normal"/>
    <w:link w:val="Heading1Char"/>
    <w:qFormat/>
    <w:rsid w:val="0047326F"/>
    <w:pPr>
      <w:keepNext/>
      <w:keepLines/>
      <w:spacing w:before="240" w:after="0"/>
      <w:outlineLvl w:val="0"/>
    </w:pPr>
    <w:rPr>
      <w:rFonts w:asciiTheme="majorHAnsi" w:eastAsiaTheme="majorEastAsia" w:hAnsiTheme="majorHAnsi" w:cstheme="majorBidi"/>
      <w:color w:val="2F5496" w:themeColor="accent1" w:themeShade="BF"/>
      <w:kern w:val="0"/>
      <w:sz w:val="32"/>
      <w:szCs w:val="32"/>
      <w14:ligatures w14:val="none"/>
    </w:rPr>
  </w:style>
  <w:style w:type="paragraph" w:styleId="Heading2">
    <w:name w:val="heading 2"/>
    <w:basedOn w:val="Normal"/>
    <w:next w:val="Normal"/>
    <w:link w:val="Heading2Char"/>
    <w:unhideWhenUsed/>
    <w:qFormat/>
    <w:rsid w:val="009D0E0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qFormat/>
    <w:rsid w:val="009D0E0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Heading2"/>
    <w:next w:val="Normal"/>
    <w:link w:val="Heading4Char"/>
    <w:qFormat/>
    <w:rsid w:val="009B2D9D"/>
    <w:pPr>
      <w:spacing w:before="360" w:after="120" w:line="276" w:lineRule="auto"/>
      <w:ind w:left="1191" w:hanging="794"/>
      <w:jc w:val="both"/>
      <w:outlineLvl w:val="3"/>
    </w:pPr>
    <w:rPr>
      <w:rFonts w:ascii="Cambria" w:eastAsia="Times New Roman" w:hAnsi="Cambria" w:cs="Times New Roman"/>
      <w:bCs/>
      <w:iCs/>
      <w:color w:val="323E4F" w:themeColor="text2" w:themeShade="BF"/>
      <w:kern w:val="0"/>
      <w:sz w:val="32"/>
      <w:szCs w:val="28"/>
      <w:lang w:val="sr-Latn-CS"/>
      <w14:ligatures w14:val="none"/>
    </w:rPr>
  </w:style>
  <w:style w:type="paragraph" w:styleId="Heading5">
    <w:name w:val="heading 5"/>
    <w:basedOn w:val="Normal"/>
    <w:next w:val="Normal"/>
    <w:link w:val="Heading5Char"/>
    <w:unhideWhenUsed/>
    <w:qFormat/>
    <w:rsid w:val="009B2D9D"/>
    <w:pPr>
      <w:keepNext/>
      <w:keepLines/>
      <w:spacing w:after="60" w:line="240" w:lineRule="auto"/>
      <w:jc w:val="both"/>
      <w:outlineLvl w:val="4"/>
    </w:pPr>
    <w:rPr>
      <w:rFonts w:ascii="Times New Roman" w:eastAsiaTheme="majorEastAsia" w:hAnsi="Times New Roman" w:cstheme="majorBidi"/>
      <w:color w:val="2F5496" w:themeColor="accent1" w:themeShade="BF"/>
      <w:kern w:val="0"/>
      <w:sz w:val="24"/>
      <w14:ligatures w14:val="none"/>
    </w:rPr>
  </w:style>
  <w:style w:type="paragraph" w:styleId="Heading6">
    <w:name w:val="heading 6"/>
    <w:basedOn w:val="Normal"/>
    <w:next w:val="Normal"/>
    <w:link w:val="Heading6Char"/>
    <w:qFormat/>
    <w:rsid w:val="009B2D9D"/>
    <w:pPr>
      <w:keepNext/>
      <w:spacing w:after="0" w:line="240" w:lineRule="auto"/>
      <w:ind w:left="1152" w:hanging="1152"/>
      <w:jc w:val="center"/>
      <w:outlineLvl w:val="5"/>
    </w:pPr>
    <w:rPr>
      <w:rFonts w:ascii="Calibri" w:eastAsia="Times New Roman" w:hAnsi="Calibri" w:cs="Times New Roman"/>
      <w:color w:val="385623" w:themeColor="accent6" w:themeShade="80"/>
      <w:kern w:val="0"/>
      <w:sz w:val="24"/>
      <w:szCs w:val="24"/>
      <w:lang w:val="sl-SI"/>
      <w14:ligatures w14:val="none"/>
    </w:rPr>
  </w:style>
  <w:style w:type="paragraph" w:styleId="Heading7">
    <w:name w:val="heading 7"/>
    <w:basedOn w:val="Normal"/>
    <w:next w:val="Normal"/>
    <w:link w:val="Heading7Char"/>
    <w:qFormat/>
    <w:rsid w:val="009B2D9D"/>
    <w:pPr>
      <w:keepNext/>
      <w:spacing w:after="0" w:line="240" w:lineRule="auto"/>
      <w:ind w:left="1296" w:hanging="1296"/>
      <w:jc w:val="center"/>
      <w:outlineLvl w:val="6"/>
    </w:pPr>
    <w:rPr>
      <w:rFonts w:ascii="Book Antiqua" w:eastAsia="Times New Roman" w:hAnsi="Book Antiqua" w:cs="Times New Roman"/>
      <w:b/>
      <w:noProof/>
      <w:kern w:val="0"/>
      <w:sz w:val="52"/>
      <w:szCs w:val="24"/>
      <w14:ligatures w14:val="none"/>
    </w:rPr>
  </w:style>
  <w:style w:type="paragraph" w:styleId="Heading8">
    <w:name w:val="heading 8"/>
    <w:basedOn w:val="Normal"/>
    <w:next w:val="Normal"/>
    <w:link w:val="Heading8Char"/>
    <w:qFormat/>
    <w:rsid w:val="009B2D9D"/>
    <w:pPr>
      <w:keepNext/>
      <w:spacing w:after="0" w:line="240" w:lineRule="auto"/>
      <w:ind w:left="1440" w:right="-91" w:hanging="1440"/>
      <w:jc w:val="both"/>
      <w:outlineLvl w:val="7"/>
    </w:pPr>
    <w:rPr>
      <w:rFonts w:ascii="Times New Roman" w:eastAsia="Times New Roman" w:hAnsi="Times New Roman" w:cs="Times New Roman"/>
      <w:b/>
      <w:kern w:val="0"/>
      <w:sz w:val="24"/>
      <w:szCs w:val="24"/>
      <w:lang w:val="en-GB"/>
      <w14:ligatures w14:val="none"/>
    </w:rPr>
  </w:style>
  <w:style w:type="paragraph" w:styleId="Heading9">
    <w:name w:val="heading 9"/>
    <w:basedOn w:val="Normal"/>
    <w:next w:val="Normal"/>
    <w:link w:val="Heading9Char"/>
    <w:qFormat/>
    <w:rsid w:val="009B2D9D"/>
    <w:pPr>
      <w:keepNext/>
      <w:spacing w:after="0" w:line="240" w:lineRule="auto"/>
      <w:ind w:left="1584" w:hanging="1584"/>
      <w:jc w:val="both"/>
      <w:outlineLvl w:val="8"/>
    </w:pPr>
    <w:rPr>
      <w:rFonts w:ascii="Times New Roman YU" w:eastAsia="Times New Roman" w:hAnsi="Times New Roman YU" w:cs="Times New Roman"/>
      <w:b/>
      <w:bCs/>
      <w:kern w:val="0"/>
      <w:sz w:val="24"/>
      <w:szCs w:val="24"/>
      <w:lang w:val="sr-Latn-C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nhideWhenUsed/>
    <w:rsid w:val="0039112E"/>
    <w:rPr>
      <w:sz w:val="16"/>
      <w:szCs w:val="16"/>
    </w:rPr>
  </w:style>
  <w:style w:type="paragraph" w:styleId="CommentText">
    <w:name w:val="annotation text"/>
    <w:basedOn w:val="Normal"/>
    <w:link w:val="CommentTextChar"/>
    <w:unhideWhenUsed/>
    <w:rsid w:val="0039112E"/>
    <w:pPr>
      <w:widowControl w:val="0"/>
      <w:spacing w:after="0" w:line="240" w:lineRule="auto"/>
    </w:pPr>
    <w:rPr>
      <w:kern w:val="0"/>
      <w:sz w:val="20"/>
      <w:szCs w:val="20"/>
      <w:lang w:val="sr-Cyrl-CS" w:eastAsia="sr-Cyrl-CS" w:bidi="sr-Cyrl-CS"/>
      <w14:ligatures w14:val="none"/>
    </w:rPr>
  </w:style>
  <w:style w:type="character" w:customStyle="1" w:styleId="CommentTextChar">
    <w:name w:val="Comment Text Char"/>
    <w:basedOn w:val="DefaultParagraphFont"/>
    <w:link w:val="CommentText"/>
    <w:rsid w:val="0039112E"/>
    <w:rPr>
      <w:kern w:val="0"/>
      <w:sz w:val="20"/>
      <w:szCs w:val="20"/>
      <w:lang w:val="sr-Cyrl-CS" w:eastAsia="sr-Cyrl-CS" w:bidi="sr-Cyrl-CS"/>
      <w14:ligatures w14:val="none"/>
    </w:rPr>
  </w:style>
  <w:style w:type="table" w:styleId="TableGrid">
    <w:name w:val="Table Grid"/>
    <w:aliases w:val="TabelEcorys,HTG,Table Grid IDEA"/>
    <w:basedOn w:val="TableNormal"/>
    <w:uiPriority w:val="59"/>
    <w:rsid w:val="00A95A7C"/>
    <w:pPr>
      <w:spacing w:after="0" w:line="240" w:lineRule="auto"/>
    </w:pPr>
    <w:rPr>
      <w:kern w:val="0"/>
      <w:lang w:val="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single space,footnote text,Footnote Text Char Char,Footnote Text Char Char Char,FOOTNOTES,fn,Fußnotentextf,ALTS FOOTNOTE,Footnote,Footnote Text qer,Fußnotentext Char,Footnote Text Char2 Char,Fußnote,Footnote Text Char Char1,[txt] Footnote"/>
    <w:basedOn w:val="Normal"/>
    <w:link w:val="FootnoteTextChar"/>
    <w:uiPriority w:val="99"/>
    <w:unhideWhenUsed/>
    <w:qFormat/>
    <w:rsid w:val="00A95A7C"/>
    <w:pPr>
      <w:widowControl w:val="0"/>
      <w:spacing w:after="0" w:line="240" w:lineRule="auto"/>
    </w:pPr>
    <w:rPr>
      <w:kern w:val="0"/>
      <w:sz w:val="20"/>
      <w:szCs w:val="20"/>
      <w:lang w:val="sr-Cyrl-CS" w:eastAsia="sr-Cyrl-CS" w:bidi="sr-Cyrl-CS"/>
      <w14:ligatures w14:val="none"/>
    </w:rPr>
  </w:style>
  <w:style w:type="character" w:customStyle="1" w:styleId="FootnoteTextChar">
    <w:name w:val="Footnote Text Char"/>
    <w:aliases w:val="single space Char,footnote text Char,Footnote Text Char Char Char1,Footnote Text Char Char Char Char,FOOTNOTES Char,fn Char,Fußnotentextf Char,ALTS FOOTNOTE Char,Footnote Char,Footnote Text qer Char,Fußnotentext Char Char,Fußnote Char"/>
    <w:basedOn w:val="DefaultParagraphFont"/>
    <w:link w:val="FootnoteText"/>
    <w:uiPriority w:val="99"/>
    <w:qFormat/>
    <w:rsid w:val="00A95A7C"/>
    <w:rPr>
      <w:kern w:val="0"/>
      <w:sz w:val="20"/>
      <w:szCs w:val="20"/>
      <w:lang w:val="sr-Cyrl-CS" w:eastAsia="sr-Cyrl-CS" w:bidi="sr-Cyrl-CS"/>
      <w14:ligatures w14:val="none"/>
    </w:rPr>
  </w:style>
  <w:style w:type="character" w:styleId="FootnoteReference">
    <w:name w:val="footnote reference"/>
    <w:aliases w:val="BVI fnr,Footnote symbol,16 Point,Superscript 6 Point,nota pié di pagina,ftref,Footnote Text1,Ref. de nota al pie1,Times 10 Point,Exposant 3 Point,Footnote reference number,EN Footnote Reference,note TESI,Footnotes re,Footnote text,Ref"/>
    <w:basedOn w:val="DefaultParagraphFont"/>
    <w:link w:val="BVIfnrChar1Char"/>
    <w:uiPriority w:val="99"/>
    <w:unhideWhenUsed/>
    <w:qFormat/>
    <w:rsid w:val="00A95A7C"/>
    <w:rPr>
      <w:vertAlign w:val="superscript"/>
    </w:rPr>
  </w:style>
  <w:style w:type="table" w:customStyle="1" w:styleId="GridTable1Light-Accent11">
    <w:name w:val="Grid Table 1 Light - Accent 11"/>
    <w:basedOn w:val="TableNormal"/>
    <w:next w:val="GridTable1Light-Accent1"/>
    <w:uiPriority w:val="46"/>
    <w:rsid w:val="002800F8"/>
    <w:pPr>
      <w:spacing w:after="0" w:line="240" w:lineRule="auto"/>
    </w:pPr>
    <w:rPr>
      <w:kern w:val="0"/>
      <w:lang w:val="sl-SI"/>
      <w14:ligatures w14:val="none"/>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2800F8"/>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ListParagraph">
    <w:name w:val="List Paragraph"/>
    <w:aliases w:val="Table of contents numbered,Bullets,List Paragraph (numbered (a)),Akapit z listą BS,WB Para,List Square,Lapis Bulleted List,Numbered List Paragraph,References,Numbered Paragraph,Main numbered paragraph,Bullet1,PAD,List_Paragraph,Liste 1,6"/>
    <w:basedOn w:val="Normal"/>
    <w:link w:val="ListParagraphChar"/>
    <w:uiPriority w:val="34"/>
    <w:qFormat/>
    <w:rsid w:val="008D1FF7"/>
    <w:pPr>
      <w:ind w:left="720"/>
      <w:contextualSpacing/>
    </w:pPr>
  </w:style>
  <w:style w:type="table" w:customStyle="1" w:styleId="GridTable1Light-Accent12">
    <w:name w:val="Grid Table 1 Light - Accent 12"/>
    <w:basedOn w:val="TableNormal"/>
    <w:next w:val="GridTable1Light-Accent1"/>
    <w:uiPriority w:val="46"/>
    <w:rsid w:val="00691817"/>
    <w:pPr>
      <w:spacing w:after="0" w:line="240" w:lineRule="auto"/>
    </w:pPr>
    <w:rPr>
      <w:kern w:val="0"/>
      <w:lang w:val="sl-SI"/>
      <w14:ligatures w14:val="none"/>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character" w:customStyle="1" w:styleId="Heading1Char">
    <w:name w:val="Heading 1 Char"/>
    <w:basedOn w:val="DefaultParagraphFont"/>
    <w:link w:val="Heading1"/>
    <w:rsid w:val="0047326F"/>
    <w:rPr>
      <w:rFonts w:asciiTheme="majorHAnsi" w:eastAsiaTheme="majorEastAsia" w:hAnsiTheme="majorHAnsi" w:cstheme="majorBidi"/>
      <w:color w:val="2F5496" w:themeColor="accent1" w:themeShade="BF"/>
      <w:kern w:val="0"/>
      <w:sz w:val="32"/>
      <w:szCs w:val="32"/>
      <w14:ligatures w14:val="none"/>
    </w:rPr>
  </w:style>
  <w:style w:type="table" w:customStyle="1" w:styleId="GridTable1Light-Accent13">
    <w:name w:val="Grid Table 1 Light - Accent 13"/>
    <w:basedOn w:val="TableNormal"/>
    <w:next w:val="GridTable1Light-Accent1"/>
    <w:uiPriority w:val="46"/>
    <w:rsid w:val="00507207"/>
    <w:pPr>
      <w:spacing w:after="0" w:line="240" w:lineRule="auto"/>
    </w:pPr>
    <w:rPr>
      <w:kern w:val="0"/>
      <w:lang w:val="sl-SI"/>
      <w14:ligatures w14:val="none"/>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paragraph" w:styleId="NormalWeb">
    <w:name w:val="Normal (Web)"/>
    <w:basedOn w:val="Normal"/>
    <w:uiPriority w:val="99"/>
    <w:unhideWhenUsed/>
    <w:rsid w:val="00101AB3"/>
    <w:rPr>
      <w:rFonts w:ascii="Times New Roman" w:hAnsi="Times New Roman" w:cs="Times New Roman"/>
      <w:sz w:val="24"/>
      <w:szCs w:val="24"/>
    </w:rPr>
  </w:style>
  <w:style w:type="paragraph" w:styleId="HTMLPreformatted">
    <w:name w:val="HTML Preformatted"/>
    <w:basedOn w:val="Normal"/>
    <w:link w:val="HTMLPreformattedChar"/>
    <w:uiPriority w:val="99"/>
    <w:unhideWhenUsed/>
    <w:rsid w:val="009667FD"/>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9667FD"/>
    <w:rPr>
      <w:rFonts w:ascii="Consolas" w:hAnsi="Consolas"/>
      <w:sz w:val="20"/>
      <w:szCs w:val="20"/>
    </w:rPr>
  </w:style>
  <w:style w:type="character" w:styleId="Hyperlink">
    <w:name w:val="Hyperlink"/>
    <w:basedOn w:val="DefaultParagraphFont"/>
    <w:uiPriority w:val="99"/>
    <w:unhideWhenUsed/>
    <w:rsid w:val="00A109B8"/>
    <w:rPr>
      <w:color w:val="0563C1" w:themeColor="hyperlink"/>
      <w:u w:val="single"/>
    </w:rPr>
  </w:style>
  <w:style w:type="character" w:customStyle="1" w:styleId="UnresolvedMention1">
    <w:name w:val="Unresolved Mention1"/>
    <w:basedOn w:val="DefaultParagraphFont"/>
    <w:uiPriority w:val="99"/>
    <w:semiHidden/>
    <w:unhideWhenUsed/>
    <w:rsid w:val="00A109B8"/>
    <w:rPr>
      <w:color w:val="605E5C"/>
      <w:shd w:val="clear" w:color="auto" w:fill="E1DFDD"/>
    </w:rPr>
  </w:style>
  <w:style w:type="table" w:customStyle="1" w:styleId="GridTable1Light-Accent14">
    <w:name w:val="Grid Table 1 Light - Accent 14"/>
    <w:basedOn w:val="TableNormal"/>
    <w:next w:val="GridTable1Light-Accent1"/>
    <w:uiPriority w:val="46"/>
    <w:rsid w:val="00B254B5"/>
    <w:pPr>
      <w:spacing w:after="0" w:line="240" w:lineRule="auto"/>
    </w:pPr>
    <w:rPr>
      <w:kern w:val="0"/>
      <w:lang w:val="sl-SI"/>
      <w14:ligatures w14:val="none"/>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leGrid15">
    <w:name w:val="Table Grid15"/>
    <w:basedOn w:val="TableNormal"/>
    <w:next w:val="TableGrid"/>
    <w:uiPriority w:val="59"/>
    <w:rsid w:val="00B254B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F7579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5">
    <w:name w:val="Grid Table 1 Light - Accent 15"/>
    <w:basedOn w:val="TableNormal"/>
    <w:next w:val="GridTable1Light-Accent1"/>
    <w:uiPriority w:val="46"/>
    <w:rsid w:val="001B6681"/>
    <w:pPr>
      <w:spacing w:after="0" w:line="240" w:lineRule="auto"/>
    </w:pPr>
    <w:rPr>
      <w:kern w:val="0"/>
      <w:lang w:val="sl-SI"/>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leGrid2">
    <w:name w:val="Table Grid2"/>
    <w:basedOn w:val="TableNormal"/>
    <w:next w:val="TableGrid"/>
    <w:uiPriority w:val="59"/>
    <w:rsid w:val="009960D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6Colorful-Accent1">
    <w:name w:val="Grid Table 6 Colorful Accent 1"/>
    <w:basedOn w:val="TableNormal"/>
    <w:uiPriority w:val="51"/>
    <w:rsid w:val="00E93DF1"/>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PlainTable4">
    <w:name w:val="Plain Table 4"/>
    <w:basedOn w:val="TableNormal"/>
    <w:uiPriority w:val="44"/>
    <w:rsid w:val="0020090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2-Accent5">
    <w:name w:val="Grid Table 2 Accent 5"/>
    <w:basedOn w:val="TableNormal"/>
    <w:uiPriority w:val="47"/>
    <w:rsid w:val="0020090C"/>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6Colorful-Accent5">
    <w:name w:val="Grid Table 6 Colorful Accent 5"/>
    <w:basedOn w:val="TableNormal"/>
    <w:uiPriority w:val="51"/>
    <w:rsid w:val="0020090C"/>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5">
    <w:name w:val="List Table 1 Light Accent 5"/>
    <w:basedOn w:val="TableNormal"/>
    <w:uiPriority w:val="46"/>
    <w:rsid w:val="0020090C"/>
    <w:pPr>
      <w:spacing w:after="0" w:line="240" w:lineRule="auto"/>
    </w:p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2-Accent4">
    <w:name w:val="Grid Table 2 Accent 4"/>
    <w:basedOn w:val="TableNormal"/>
    <w:uiPriority w:val="47"/>
    <w:rsid w:val="004D422C"/>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rsid w:val="004D422C"/>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2-Accent1">
    <w:name w:val="Grid Table 2 Accent 1"/>
    <w:basedOn w:val="TableNormal"/>
    <w:uiPriority w:val="47"/>
    <w:rsid w:val="004D422C"/>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1Light-Accent5">
    <w:name w:val="Grid Table 1 Light Accent 5"/>
    <w:basedOn w:val="TableNormal"/>
    <w:uiPriority w:val="46"/>
    <w:rsid w:val="004D422C"/>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customStyle="1" w:styleId="TableGrid3">
    <w:name w:val="Table Grid3"/>
    <w:basedOn w:val="TableNormal"/>
    <w:next w:val="TableGrid"/>
    <w:uiPriority w:val="59"/>
    <w:rsid w:val="0065415E"/>
    <w:pPr>
      <w:spacing w:after="0" w:line="240" w:lineRule="auto"/>
    </w:pPr>
    <w:rPr>
      <w:rFonts w:ascii="Calibri" w:eastAsia="Calibri" w:hAnsi="Calibri" w:cs="Times New Roman"/>
      <w:kern w:val="0"/>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5415E"/>
    <w:pPr>
      <w:spacing w:after="0" w:line="240" w:lineRule="auto"/>
    </w:pPr>
    <w:rPr>
      <w:rFonts w:ascii="Calibri" w:eastAsia="Calibri" w:hAnsi="Calibri" w:cs="Times New Roman"/>
      <w:kern w:val="0"/>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65415E"/>
    <w:pPr>
      <w:outlineLvl w:val="9"/>
    </w:pPr>
  </w:style>
  <w:style w:type="paragraph" w:styleId="TOC1">
    <w:name w:val="toc 1"/>
    <w:basedOn w:val="Normal"/>
    <w:next w:val="Normal"/>
    <w:autoRedefine/>
    <w:uiPriority w:val="39"/>
    <w:unhideWhenUsed/>
    <w:qFormat/>
    <w:rsid w:val="009D0E01"/>
    <w:pPr>
      <w:spacing w:after="100"/>
    </w:pPr>
  </w:style>
  <w:style w:type="character" w:customStyle="1" w:styleId="Heading2Char">
    <w:name w:val="Heading 2 Char"/>
    <w:basedOn w:val="DefaultParagraphFont"/>
    <w:link w:val="Heading2"/>
    <w:rsid w:val="009D0E01"/>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qFormat/>
    <w:rsid w:val="009D0E01"/>
    <w:pPr>
      <w:spacing w:after="100"/>
      <w:ind w:left="220"/>
    </w:pPr>
  </w:style>
  <w:style w:type="character" w:customStyle="1" w:styleId="Heading3Char">
    <w:name w:val="Heading 3 Char"/>
    <w:basedOn w:val="DefaultParagraphFont"/>
    <w:link w:val="Heading3"/>
    <w:rsid w:val="009D0E01"/>
    <w:rPr>
      <w:rFonts w:asciiTheme="majorHAnsi" w:eastAsiaTheme="majorEastAsia" w:hAnsiTheme="majorHAnsi" w:cstheme="majorBidi"/>
      <w:color w:val="1F3763" w:themeColor="accent1" w:themeShade="7F"/>
      <w:sz w:val="24"/>
      <w:szCs w:val="24"/>
    </w:rPr>
  </w:style>
  <w:style w:type="paragraph" w:styleId="TOC3">
    <w:name w:val="toc 3"/>
    <w:basedOn w:val="Normal"/>
    <w:next w:val="Normal"/>
    <w:autoRedefine/>
    <w:uiPriority w:val="39"/>
    <w:unhideWhenUsed/>
    <w:qFormat/>
    <w:rsid w:val="009D0E01"/>
    <w:pPr>
      <w:spacing w:after="100"/>
      <w:ind w:left="440"/>
    </w:pPr>
  </w:style>
  <w:style w:type="paragraph" w:styleId="Title">
    <w:name w:val="Title"/>
    <w:basedOn w:val="Normal"/>
    <w:next w:val="Normal"/>
    <w:link w:val="TitleChar"/>
    <w:uiPriority w:val="10"/>
    <w:qFormat/>
    <w:rsid w:val="0014031B"/>
    <w:pPr>
      <w:spacing w:before="120" w:after="80" w:line="192" w:lineRule="auto"/>
      <w:ind w:left="1134"/>
    </w:pPr>
    <w:rPr>
      <w:rFonts w:ascii="Calibri" w:eastAsia="Times New Roman" w:hAnsi="Calibri" w:cs="Times New Roman"/>
      <w:noProof/>
      <w:spacing w:val="-10"/>
      <w:kern w:val="28"/>
      <w:sz w:val="28"/>
      <w:szCs w:val="40"/>
      <w14:ligatures w14:val="none"/>
    </w:rPr>
  </w:style>
  <w:style w:type="character" w:customStyle="1" w:styleId="TitleChar">
    <w:name w:val="Title Char"/>
    <w:basedOn w:val="DefaultParagraphFont"/>
    <w:link w:val="Title"/>
    <w:uiPriority w:val="10"/>
    <w:rsid w:val="0014031B"/>
    <w:rPr>
      <w:rFonts w:ascii="Calibri" w:eastAsia="Times New Roman" w:hAnsi="Calibri" w:cs="Times New Roman"/>
      <w:noProof/>
      <w:spacing w:val="-10"/>
      <w:kern w:val="28"/>
      <w:sz w:val="28"/>
      <w:szCs w:val="40"/>
      <w14:ligatures w14:val="none"/>
    </w:rPr>
  </w:style>
  <w:style w:type="paragraph" w:styleId="BalloonText">
    <w:name w:val="Balloon Text"/>
    <w:basedOn w:val="Normal"/>
    <w:link w:val="BalloonTextChar"/>
    <w:uiPriority w:val="99"/>
    <w:semiHidden/>
    <w:unhideWhenUsed/>
    <w:rsid w:val="001507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07D4"/>
    <w:rPr>
      <w:rFonts w:ascii="Segoe UI" w:hAnsi="Segoe UI" w:cs="Segoe UI"/>
      <w:sz w:val="18"/>
      <w:szCs w:val="18"/>
    </w:rPr>
  </w:style>
  <w:style w:type="paragraph" w:styleId="Header">
    <w:name w:val="header"/>
    <w:basedOn w:val="Normal"/>
    <w:link w:val="HeaderChar"/>
    <w:uiPriority w:val="99"/>
    <w:unhideWhenUsed/>
    <w:rsid w:val="00404B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4BAE"/>
  </w:style>
  <w:style w:type="paragraph" w:styleId="Footer">
    <w:name w:val="footer"/>
    <w:basedOn w:val="Normal"/>
    <w:link w:val="FooterChar"/>
    <w:uiPriority w:val="99"/>
    <w:unhideWhenUsed/>
    <w:qFormat/>
    <w:rsid w:val="00404B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4BAE"/>
  </w:style>
  <w:style w:type="character" w:styleId="Strong">
    <w:name w:val="Strong"/>
    <w:basedOn w:val="DefaultParagraphFont"/>
    <w:uiPriority w:val="22"/>
    <w:qFormat/>
    <w:rsid w:val="00CB2E14"/>
    <w:rPr>
      <w:b/>
      <w:bCs/>
    </w:rPr>
  </w:style>
  <w:style w:type="table" w:styleId="ListTable2-Accent1">
    <w:name w:val="List Table 2 Accent 1"/>
    <w:basedOn w:val="TableNormal"/>
    <w:uiPriority w:val="47"/>
    <w:rsid w:val="00CB2E14"/>
    <w:pPr>
      <w:spacing w:after="0" w:line="240" w:lineRule="auto"/>
    </w:pPr>
    <w:rPr>
      <w:kern w:val="0"/>
      <w14:ligatures w14:val="none"/>
    </w:r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Caption">
    <w:name w:val="caption"/>
    <w:basedOn w:val="Normal"/>
    <w:next w:val="Normal"/>
    <w:link w:val="CaptionChar"/>
    <w:uiPriority w:val="35"/>
    <w:unhideWhenUsed/>
    <w:qFormat/>
    <w:rsid w:val="00CB2E14"/>
    <w:pPr>
      <w:spacing w:after="200" w:line="240" w:lineRule="auto"/>
    </w:pPr>
    <w:rPr>
      <w:i/>
      <w:iCs/>
      <w:color w:val="44546A" w:themeColor="text2"/>
      <w:kern w:val="0"/>
      <w:sz w:val="18"/>
      <w:szCs w:val="18"/>
      <w14:ligatures w14:val="none"/>
    </w:rPr>
  </w:style>
  <w:style w:type="table" w:styleId="PlainTable1">
    <w:name w:val="Plain Table 1"/>
    <w:basedOn w:val="TableNormal"/>
    <w:uiPriority w:val="41"/>
    <w:rsid w:val="00CB2E14"/>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CB2E14"/>
    <w:pPr>
      <w:spacing w:after="0" w:line="240" w:lineRule="auto"/>
    </w:pPr>
    <w:rPr>
      <w:kern w:val="0"/>
      <w14:ligatures w14:val="none"/>
    </w:rPr>
  </w:style>
  <w:style w:type="paragraph" w:styleId="CommentSubject">
    <w:name w:val="annotation subject"/>
    <w:basedOn w:val="CommentText"/>
    <w:next w:val="CommentText"/>
    <w:link w:val="CommentSubjectChar"/>
    <w:uiPriority w:val="99"/>
    <w:semiHidden/>
    <w:unhideWhenUsed/>
    <w:rsid w:val="00CB2E14"/>
    <w:pPr>
      <w:widowControl/>
      <w:spacing w:after="160"/>
    </w:pPr>
    <w:rPr>
      <w:b/>
      <w:bCs/>
      <w:lang w:val="en-US" w:eastAsia="en-US" w:bidi="ar-SA"/>
    </w:rPr>
  </w:style>
  <w:style w:type="character" w:customStyle="1" w:styleId="CommentSubjectChar">
    <w:name w:val="Comment Subject Char"/>
    <w:basedOn w:val="CommentTextChar"/>
    <w:link w:val="CommentSubject"/>
    <w:uiPriority w:val="99"/>
    <w:semiHidden/>
    <w:rsid w:val="00CB2E14"/>
    <w:rPr>
      <w:b/>
      <w:bCs/>
      <w:kern w:val="0"/>
      <w:sz w:val="20"/>
      <w:szCs w:val="20"/>
      <w:lang w:val="sr-Cyrl-CS" w:eastAsia="sr-Cyrl-CS" w:bidi="sr-Cyrl-CS"/>
      <w14:ligatures w14:val="none"/>
    </w:rPr>
  </w:style>
  <w:style w:type="table" w:styleId="GridTable2-Accent2">
    <w:name w:val="Grid Table 2 Accent 2"/>
    <w:basedOn w:val="TableNormal"/>
    <w:uiPriority w:val="47"/>
    <w:rsid w:val="009B2D9D"/>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Heading4Char">
    <w:name w:val="Heading 4 Char"/>
    <w:basedOn w:val="DefaultParagraphFont"/>
    <w:link w:val="Heading4"/>
    <w:rsid w:val="009B2D9D"/>
    <w:rPr>
      <w:rFonts w:ascii="Cambria" w:eastAsia="Times New Roman" w:hAnsi="Cambria" w:cs="Times New Roman"/>
      <w:bCs/>
      <w:iCs/>
      <w:color w:val="323E4F" w:themeColor="text2" w:themeShade="BF"/>
      <w:kern w:val="0"/>
      <w:sz w:val="32"/>
      <w:szCs w:val="28"/>
      <w:lang w:val="sr-Latn-CS"/>
      <w14:ligatures w14:val="none"/>
    </w:rPr>
  </w:style>
  <w:style w:type="character" w:customStyle="1" w:styleId="Heading5Char">
    <w:name w:val="Heading 5 Char"/>
    <w:basedOn w:val="DefaultParagraphFont"/>
    <w:link w:val="Heading5"/>
    <w:rsid w:val="009B2D9D"/>
    <w:rPr>
      <w:rFonts w:ascii="Times New Roman" w:eastAsiaTheme="majorEastAsia" w:hAnsi="Times New Roman" w:cstheme="majorBidi"/>
      <w:color w:val="2F5496" w:themeColor="accent1" w:themeShade="BF"/>
      <w:kern w:val="0"/>
      <w:sz w:val="24"/>
      <w14:ligatures w14:val="none"/>
    </w:rPr>
  </w:style>
  <w:style w:type="character" w:customStyle="1" w:styleId="Heading6Char">
    <w:name w:val="Heading 6 Char"/>
    <w:basedOn w:val="DefaultParagraphFont"/>
    <w:link w:val="Heading6"/>
    <w:rsid w:val="009B2D9D"/>
    <w:rPr>
      <w:rFonts w:ascii="Calibri" w:eastAsia="Times New Roman" w:hAnsi="Calibri" w:cs="Times New Roman"/>
      <w:color w:val="385623" w:themeColor="accent6" w:themeShade="80"/>
      <w:kern w:val="0"/>
      <w:sz w:val="24"/>
      <w:szCs w:val="24"/>
      <w:lang w:val="sl-SI"/>
      <w14:ligatures w14:val="none"/>
    </w:rPr>
  </w:style>
  <w:style w:type="character" w:customStyle="1" w:styleId="Heading7Char">
    <w:name w:val="Heading 7 Char"/>
    <w:basedOn w:val="DefaultParagraphFont"/>
    <w:link w:val="Heading7"/>
    <w:rsid w:val="009B2D9D"/>
    <w:rPr>
      <w:rFonts w:ascii="Book Antiqua" w:eastAsia="Times New Roman" w:hAnsi="Book Antiqua" w:cs="Times New Roman"/>
      <w:b/>
      <w:noProof/>
      <w:kern w:val="0"/>
      <w:sz w:val="52"/>
      <w:szCs w:val="24"/>
      <w14:ligatures w14:val="none"/>
    </w:rPr>
  </w:style>
  <w:style w:type="character" w:customStyle="1" w:styleId="Heading8Char">
    <w:name w:val="Heading 8 Char"/>
    <w:basedOn w:val="DefaultParagraphFont"/>
    <w:link w:val="Heading8"/>
    <w:rsid w:val="009B2D9D"/>
    <w:rPr>
      <w:rFonts w:ascii="Times New Roman" w:eastAsia="Times New Roman" w:hAnsi="Times New Roman" w:cs="Times New Roman"/>
      <w:b/>
      <w:kern w:val="0"/>
      <w:sz w:val="24"/>
      <w:szCs w:val="24"/>
      <w:lang w:val="en-GB"/>
      <w14:ligatures w14:val="none"/>
    </w:rPr>
  </w:style>
  <w:style w:type="character" w:customStyle="1" w:styleId="Heading9Char">
    <w:name w:val="Heading 9 Char"/>
    <w:basedOn w:val="DefaultParagraphFont"/>
    <w:link w:val="Heading9"/>
    <w:rsid w:val="009B2D9D"/>
    <w:rPr>
      <w:rFonts w:ascii="Times New Roman YU" w:eastAsia="Times New Roman" w:hAnsi="Times New Roman YU" w:cs="Times New Roman"/>
      <w:b/>
      <w:bCs/>
      <w:kern w:val="0"/>
      <w:sz w:val="24"/>
      <w:szCs w:val="24"/>
      <w:lang w:val="sr-Latn-CS"/>
      <w14:ligatures w14:val="none"/>
    </w:rPr>
  </w:style>
  <w:style w:type="paragraph" w:styleId="EndnoteText">
    <w:name w:val="endnote text"/>
    <w:basedOn w:val="Normal"/>
    <w:link w:val="EndnoteTextChar"/>
    <w:uiPriority w:val="99"/>
    <w:semiHidden/>
    <w:unhideWhenUsed/>
    <w:rsid w:val="009B2D9D"/>
    <w:pPr>
      <w:spacing w:after="0" w:line="240" w:lineRule="auto"/>
      <w:jc w:val="both"/>
    </w:pPr>
    <w:rPr>
      <w:rFonts w:ascii="Century Gothic" w:hAnsi="Century Gothic"/>
      <w:kern w:val="0"/>
      <w:sz w:val="20"/>
      <w:szCs w:val="20"/>
      <w14:ligatures w14:val="none"/>
    </w:rPr>
  </w:style>
  <w:style w:type="character" w:customStyle="1" w:styleId="EndnoteTextChar">
    <w:name w:val="Endnote Text Char"/>
    <w:basedOn w:val="DefaultParagraphFont"/>
    <w:link w:val="EndnoteText"/>
    <w:uiPriority w:val="99"/>
    <w:semiHidden/>
    <w:rsid w:val="009B2D9D"/>
    <w:rPr>
      <w:rFonts w:ascii="Century Gothic" w:hAnsi="Century Gothic"/>
      <w:kern w:val="0"/>
      <w:sz w:val="20"/>
      <w:szCs w:val="20"/>
      <w14:ligatures w14:val="none"/>
    </w:rPr>
  </w:style>
  <w:style w:type="character" w:styleId="EndnoteReference">
    <w:name w:val="endnote reference"/>
    <w:basedOn w:val="DefaultParagraphFont"/>
    <w:uiPriority w:val="99"/>
    <w:semiHidden/>
    <w:unhideWhenUsed/>
    <w:rsid w:val="009B2D9D"/>
    <w:rPr>
      <w:vertAlign w:val="superscript"/>
    </w:rPr>
  </w:style>
  <w:style w:type="paragraph" w:styleId="NoSpacing">
    <w:name w:val="No Spacing"/>
    <w:link w:val="NoSpacingChar"/>
    <w:uiPriority w:val="1"/>
    <w:qFormat/>
    <w:rsid w:val="009B2D9D"/>
    <w:pPr>
      <w:widowControl w:val="0"/>
      <w:spacing w:after="0" w:line="240" w:lineRule="auto"/>
    </w:pPr>
    <w:rPr>
      <w:kern w:val="0"/>
      <w:lang w:val="sr-Cyrl-CS" w:eastAsia="sr-Cyrl-CS" w:bidi="sr-Cyrl-CS"/>
      <w14:ligatures w14:val="none"/>
    </w:rPr>
  </w:style>
  <w:style w:type="table" w:customStyle="1" w:styleId="TableGrid5">
    <w:name w:val="Table Grid5"/>
    <w:basedOn w:val="TableNormal"/>
    <w:next w:val="TableGrid"/>
    <w:uiPriority w:val="39"/>
    <w:rsid w:val="009B2D9D"/>
    <w:pPr>
      <w:spacing w:after="0" w:line="240" w:lineRule="auto"/>
    </w:pPr>
    <w:rPr>
      <w:rFonts w:ascii="Calibri" w:eastAsia="Calibri" w:hAnsi="Calibri" w:cs="Times New Roman"/>
      <w:kern w:val="0"/>
      <w:lang w:val="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9B2D9D"/>
    <w:pPr>
      <w:spacing w:after="0" w:line="240" w:lineRule="auto"/>
    </w:pPr>
    <w:rPr>
      <w:rFonts w:ascii="Calibri" w:eastAsia="Calibri" w:hAnsi="Calibri" w:cs="Times New Roman"/>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9B2D9D"/>
    <w:pPr>
      <w:spacing w:after="0" w:line="240" w:lineRule="auto"/>
    </w:pPr>
    <w:rPr>
      <w:rFonts w:ascii="Calibri" w:eastAsia="Calibri" w:hAnsi="Calibri" w:cs="Times New Roman"/>
      <w:kern w:val="0"/>
      <w:lang w:val="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9B2D9D"/>
    <w:pPr>
      <w:spacing w:after="0" w:line="240" w:lineRule="auto"/>
    </w:pPr>
    <w:rPr>
      <w:rFonts w:ascii="Calibri" w:eastAsia="Calibri" w:hAnsi="Calibri" w:cs="Times New Roman"/>
      <w:kern w:val="0"/>
      <w:lang w:val="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9B2D9D"/>
    <w:pPr>
      <w:spacing w:after="0" w:line="240" w:lineRule="auto"/>
    </w:pPr>
    <w:rPr>
      <w:kern w:val="0"/>
      <w:lang w:val="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9B2D9D"/>
    <w:pPr>
      <w:spacing w:after="0" w:line="240" w:lineRule="auto"/>
    </w:pPr>
    <w:rPr>
      <w:kern w:val="0"/>
      <w:lang w:val="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9B2D9D"/>
    <w:pPr>
      <w:spacing w:after="0" w:line="240" w:lineRule="auto"/>
    </w:pPr>
    <w:rPr>
      <w:rFonts w:ascii="Calibri" w:eastAsia="Calibri" w:hAnsi="Calibri" w:cs="Times New Roman"/>
      <w:kern w:val="0"/>
      <w:lang w:val="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9B2D9D"/>
    <w:pPr>
      <w:spacing w:after="0" w:line="240" w:lineRule="auto"/>
    </w:pPr>
    <w:rPr>
      <w:kern w:val="0"/>
      <w:lang w:val="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9B2D9D"/>
    <w:pPr>
      <w:spacing w:after="0" w:line="240" w:lineRule="auto"/>
    </w:pPr>
    <w:rPr>
      <w:kern w:val="0"/>
      <w:lang w:val="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tionChar">
    <w:name w:val="Caption Char"/>
    <w:link w:val="Caption"/>
    <w:uiPriority w:val="35"/>
    <w:rsid w:val="009B2D9D"/>
    <w:rPr>
      <w:i/>
      <w:iCs/>
      <w:color w:val="44546A" w:themeColor="text2"/>
      <w:kern w:val="0"/>
      <w:sz w:val="18"/>
      <w:szCs w:val="18"/>
      <w14:ligatures w14:val="none"/>
    </w:rPr>
  </w:style>
  <w:style w:type="paragraph" w:customStyle="1" w:styleId="BVIfnrChar1Char">
    <w:name w:val="BVI fnr Char1 Char"/>
    <w:aliases w:val="Footnotes refss Char1 Char,ftref Char1 Char,16 Point Char1 Char,Superscript 6 Point Char1 Char,Footnote Reference Number Char1 Char,nota pié di pagina Char1 Char,Times 10 Point Char1 Char"/>
    <w:basedOn w:val="Normal"/>
    <w:link w:val="FootnoteReference"/>
    <w:uiPriority w:val="99"/>
    <w:qFormat/>
    <w:rsid w:val="009B2D9D"/>
    <w:pPr>
      <w:spacing w:line="240" w:lineRule="exact"/>
      <w:jc w:val="both"/>
    </w:pPr>
    <w:rPr>
      <w:vertAlign w:val="superscript"/>
    </w:rPr>
  </w:style>
  <w:style w:type="paragraph" w:customStyle="1" w:styleId="Naslov">
    <w:name w:val="Naslov"/>
    <w:basedOn w:val="Heading1"/>
    <w:qFormat/>
    <w:rsid w:val="009B2D9D"/>
    <w:pPr>
      <w:keepLines w:val="0"/>
      <w:spacing w:before="120" w:after="240" w:line="240" w:lineRule="auto"/>
      <w:jc w:val="both"/>
    </w:pPr>
    <w:rPr>
      <w:rFonts w:ascii="Arial" w:eastAsia="Times New Roman" w:hAnsi="Arial" w:cs="Times New Roman"/>
      <w:b/>
      <w:bCs/>
      <w:color w:val="auto"/>
      <w:kern w:val="32"/>
      <w:sz w:val="28"/>
    </w:rPr>
  </w:style>
  <w:style w:type="character" w:styleId="FollowedHyperlink">
    <w:name w:val="FollowedHyperlink"/>
    <w:basedOn w:val="DefaultParagraphFont"/>
    <w:uiPriority w:val="99"/>
    <w:unhideWhenUsed/>
    <w:rsid w:val="009B2D9D"/>
    <w:rPr>
      <w:color w:val="954F72" w:themeColor="followedHyperlink"/>
      <w:u w:val="single"/>
    </w:rPr>
  </w:style>
  <w:style w:type="character" w:customStyle="1" w:styleId="tabelaChar">
    <w:name w:val="tabela Char"/>
    <w:link w:val="tabela"/>
    <w:locked/>
    <w:rsid w:val="009B2D9D"/>
    <w:rPr>
      <w:b/>
      <w:i/>
      <w:sz w:val="24"/>
      <w:szCs w:val="24"/>
      <w:lang w:val="pl-PL"/>
    </w:rPr>
  </w:style>
  <w:style w:type="paragraph" w:customStyle="1" w:styleId="tabela">
    <w:name w:val="tabela"/>
    <w:basedOn w:val="Normal"/>
    <w:link w:val="tabelaChar"/>
    <w:rsid w:val="009B2D9D"/>
    <w:pPr>
      <w:spacing w:after="0" w:line="240" w:lineRule="auto"/>
      <w:jc w:val="center"/>
    </w:pPr>
    <w:rPr>
      <w:b/>
      <w:i/>
      <w:sz w:val="24"/>
      <w:szCs w:val="24"/>
      <w:lang w:val="pl-PL"/>
    </w:rPr>
  </w:style>
  <w:style w:type="character" w:customStyle="1" w:styleId="ListParagraphChar">
    <w:name w:val="List Paragraph Char"/>
    <w:aliases w:val="Table of contents numbered Char,Bullets Char,List Paragraph (numbered (a)) Char,Akapit z listą BS Char,WB Para Char,List Square Char,Lapis Bulleted List Char,Numbered List Paragraph Char,References Char,Numbered Paragraph Char,6 Char"/>
    <w:link w:val="ListParagraph"/>
    <w:uiPriority w:val="34"/>
    <w:qFormat/>
    <w:locked/>
    <w:rsid w:val="009B2D9D"/>
  </w:style>
  <w:style w:type="table" w:styleId="GridTable4-Accent5">
    <w:name w:val="Grid Table 4 Accent 5"/>
    <w:basedOn w:val="TableNormal"/>
    <w:uiPriority w:val="49"/>
    <w:rsid w:val="009B2D9D"/>
    <w:pPr>
      <w:spacing w:after="0" w:line="240" w:lineRule="auto"/>
    </w:pPr>
    <w:rPr>
      <w:kern w:val="0"/>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Default">
    <w:name w:val="Default"/>
    <w:link w:val="DefaultChar"/>
    <w:rsid w:val="009B2D9D"/>
    <w:pPr>
      <w:autoSpaceDE w:val="0"/>
      <w:autoSpaceDN w:val="0"/>
      <w:adjustRightInd w:val="0"/>
      <w:spacing w:after="0" w:line="240" w:lineRule="auto"/>
    </w:pPr>
    <w:rPr>
      <w:rFonts w:ascii="Calibri" w:hAnsi="Calibri" w:cs="Calibri"/>
      <w:color w:val="000000"/>
      <w:kern w:val="0"/>
      <w:sz w:val="24"/>
      <w:szCs w:val="24"/>
      <w14:ligatures w14:val="none"/>
    </w:rPr>
  </w:style>
  <w:style w:type="table" w:styleId="GridTable1Light">
    <w:name w:val="Grid Table 1 Light"/>
    <w:basedOn w:val="TableNormal"/>
    <w:uiPriority w:val="46"/>
    <w:rsid w:val="009B2D9D"/>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1Light-Accent6">
    <w:name w:val="List Table 1 Light Accent 6"/>
    <w:basedOn w:val="TableNormal"/>
    <w:uiPriority w:val="46"/>
    <w:rsid w:val="009B2D9D"/>
    <w:pPr>
      <w:spacing w:after="0" w:line="240" w:lineRule="auto"/>
    </w:pPr>
    <w:rPr>
      <w:kern w:val="0"/>
      <w14:ligatures w14:val="none"/>
    </w:r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1Light-Accent6">
    <w:name w:val="Grid Table 1 Light Accent 6"/>
    <w:basedOn w:val="TableNormal"/>
    <w:uiPriority w:val="46"/>
    <w:rsid w:val="009B2D9D"/>
    <w:pPr>
      <w:spacing w:after="0" w:line="240" w:lineRule="auto"/>
    </w:pPr>
    <w:rPr>
      <w:kern w:val="0"/>
      <w14:ligatures w14:val="none"/>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Accent6">
    <w:name w:val="Grid Table 2 Accent 6"/>
    <w:basedOn w:val="TableNormal"/>
    <w:uiPriority w:val="47"/>
    <w:rsid w:val="009B2D9D"/>
    <w:pPr>
      <w:spacing w:after="0" w:line="240" w:lineRule="auto"/>
    </w:pPr>
    <w:rPr>
      <w:kern w:val="0"/>
      <w14:ligatures w14:val="none"/>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Accent6">
    <w:name w:val="Grid Table 3 Accent 6"/>
    <w:basedOn w:val="TableNormal"/>
    <w:uiPriority w:val="48"/>
    <w:rsid w:val="009B2D9D"/>
    <w:pPr>
      <w:spacing w:after="0" w:line="240" w:lineRule="auto"/>
    </w:pPr>
    <w:rPr>
      <w:kern w:val="0"/>
      <w14:ligatures w14:val="none"/>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Accent6">
    <w:name w:val="Grid Table 4 Accent 6"/>
    <w:basedOn w:val="TableNormal"/>
    <w:uiPriority w:val="49"/>
    <w:rsid w:val="009B2D9D"/>
    <w:pPr>
      <w:spacing w:after="0" w:line="240" w:lineRule="auto"/>
    </w:pPr>
    <w:rPr>
      <w:kern w:val="0"/>
      <w14:ligatures w14:val="none"/>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Accent6">
    <w:name w:val="List Table 2 Accent 6"/>
    <w:basedOn w:val="TableNormal"/>
    <w:uiPriority w:val="47"/>
    <w:rsid w:val="009B2D9D"/>
    <w:pPr>
      <w:spacing w:after="0" w:line="240" w:lineRule="auto"/>
    </w:pPr>
    <w:rPr>
      <w:kern w:val="0"/>
      <w14:ligatures w14:val="none"/>
    </w:r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6Colorful-Accent6">
    <w:name w:val="List Table 6 Colorful Accent 6"/>
    <w:basedOn w:val="TableNormal"/>
    <w:uiPriority w:val="51"/>
    <w:rsid w:val="009B2D9D"/>
    <w:pPr>
      <w:spacing w:after="0" w:line="240" w:lineRule="auto"/>
    </w:pPr>
    <w:rPr>
      <w:color w:val="538135" w:themeColor="accent6" w:themeShade="BF"/>
      <w:kern w:val="0"/>
      <w14:ligatures w14:val="none"/>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NoSpacingChar">
    <w:name w:val="No Spacing Char"/>
    <w:basedOn w:val="DefaultParagraphFont"/>
    <w:link w:val="NoSpacing"/>
    <w:uiPriority w:val="1"/>
    <w:rsid w:val="009B2D9D"/>
    <w:rPr>
      <w:kern w:val="0"/>
      <w:lang w:val="sr-Cyrl-CS" w:eastAsia="sr-Cyrl-CS" w:bidi="sr-Cyrl-CS"/>
      <w14:ligatures w14:val="none"/>
    </w:rPr>
  </w:style>
  <w:style w:type="table" w:customStyle="1" w:styleId="ListTable2-Accent52">
    <w:name w:val="List Table 2 - Accent 52"/>
    <w:basedOn w:val="TableNormal"/>
    <w:next w:val="TableNormal"/>
    <w:uiPriority w:val="47"/>
    <w:rsid w:val="009B2D9D"/>
    <w:pPr>
      <w:spacing w:after="0" w:line="240" w:lineRule="auto"/>
    </w:pPr>
    <w:rPr>
      <w:kern w:val="0"/>
      <w14:ligatures w14:val="none"/>
    </w:r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1Light-Accent111">
    <w:name w:val="Grid Table 1 Light - Accent 111"/>
    <w:basedOn w:val="TableNormal"/>
    <w:uiPriority w:val="46"/>
    <w:rsid w:val="009B2D9D"/>
    <w:pPr>
      <w:spacing w:after="0" w:line="240" w:lineRule="auto"/>
    </w:pPr>
    <w:rPr>
      <w:rFonts w:ascii="Calibri" w:eastAsia="Calibri" w:hAnsi="Calibri" w:cs="Times New Roman"/>
      <w:kern w:val="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styleId="LightList-Accent5">
    <w:name w:val="Light List Accent 5"/>
    <w:basedOn w:val="TableNormal"/>
    <w:uiPriority w:val="61"/>
    <w:rsid w:val="009B2D9D"/>
    <w:pPr>
      <w:spacing w:after="0" w:line="240" w:lineRule="auto"/>
    </w:pPr>
    <w:rPr>
      <w:kern w:val="0"/>
      <w14:ligatures w14:val="none"/>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MediumShading1-Accent5">
    <w:name w:val="Medium Shading 1 Accent 5"/>
    <w:basedOn w:val="TableNormal"/>
    <w:uiPriority w:val="63"/>
    <w:rsid w:val="009B2D9D"/>
    <w:pPr>
      <w:spacing w:after="0" w:line="240" w:lineRule="auto"/>
    </w:pPr>
    <w:rPr>
      <w:kern w:val="0"/>
      <w14:ligatures w14:val="none"/>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List1-Accent5">
    <w:name w:val="Medium List 1 Accent 5"/>
    <w:basedOn w:val="TableNormal"/>
    <w:uiPriority w:val="65"/>
    <w:rsid w:val="009B2D9D"/>
    <w:pPr>
      <w:spacing w:after="0" w:line="240" w:lineRule="auto"/>
    </w:pPr>
    <w:rPr>
      <w:color w:val="000000" w:themeColor="text1"/>
      <w:kern w:val="0"/>
      <w14:ligatures w14:val="none"/>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numbering" w:customStyle="1" w:styleId="NoList1">
    <w:name w:val="No List1"/>
    <w:next w:val="NoList"/>
    <w:uiPriority w:val="99"/>
    <w:semiHidden/>
    <w:unhideWhenUsed/>
    <w:rsid w:val="009B2D9D"/>
  </w:style>
  <w:style w:type="paragraph" w:customStyle="1" w:styleId="Tekst">
    <w:name w:val="_Tekst"/>
    <w:basedOn w:val="Normal"/>
    <w:link w:val="TekstChar"/>
    <w:qFormat/>
    <w:rsid w:val="009B2D9D"/>
    <w:pPr>
      <w:spacing w:after="80" w:line="240" w:lineRule="auto"/>
      <w:jc w:val="both"/>
    </w:pPr>
    <w:rPr>
      <w:rFonts w:ascii="Calibri Light" w:eastAsia="Times New Roman" w:hAnsi="Calibri Light" w:cs="Times New Roman"/>
      <w:color w:val="000000"/>
      <w:kern w:val="0"/>
      <w:sz w:val="20"/>
      <w:szCs w:val="20"/>
      <w14:ligatures w14:val="none"/>
    </w:rPr>
  </w:style>
  <w:style w:type="character" w:customStyle="1" w:styleId="TekstChar">
    <w:name w:val="_Tekst Char"/>
    <w:link w:val="Tekst"/>
    <w:rsid w:val="009B2D9D"/>
    <w:rPr>
      <w:rFonts w:ascii="Calibri Light" w:eastAsia="Times New Roman" w:hAnsi="Calibri Light" w:cs="Times New Roman"/>
      <w:color w:val="000000"/>
      <w:kern w:val="0"/>
      <w:sz w:val="20"/>
      <w:szCs w:val="20"/>
      <w14:ligatures w14:val="none"/>
    </w:rPr>
  </w:style>
  <w:style w:type="paragraph" w:styleId="ListBullet2">
    <w:name w:val="List Bullet 2"/>
    <w:basedOn w:val="Normal"/>
    <w:rsid w:val="009B2D9D"/>
    <w:pPr>
      <w:numPr>
        <w:numId w:val="37"/>
      </w:numPr>
      <w:spacing w:after="0" w:line="360" w:lineRule="auto"/>
      <w:jc w:val="both"/>
    </w:pPr>
    <w:rPr>
      <w:rFonts w:ascii="Tahoma" w:eastAsia="Times New Roman" w:hAnsi="Tahoma" w:cs="Times New Roman"/>
      <w:kern w:val="0"/>
      <w:sz w:val="20"/>
      <w:lang w:val="de-AT" w:eastAsia="de-DE"/>
      <w14:ligatures w14:val="none"/>
    </w:rPr>
  </w:style>
  <w:style w:type="paragraph" w:styleId="PlainText">
    <w:name w:val="Plain Text"/>
    <w:basedOn w:val="Normal"/>
    <w:link w:val="PlainTextChar"/>
    <w:unhideWhenUsed/>
    <w:rsid w:val="009B2D9D"/>
    <w:pPr>
      <w:spacing w:after="0" w:line="240" w:lineRule="auto"/>
      <w:jc w:val="both"/>
    </w:pPr>
    <w:rPr>
      <w:rFonts w:ascii="Consolas" w:hAnsi="Consolas"/>
      <w:kern w:val="0"/>
      <w:sz w:val="21"/>
      <w:szCs w:val="21"/>
      <w14:ligatures w14:val="none"/>
    </w:rPr>
  </w:style>
  <w:style w:type="character" w:customStyle="1" w:styleId="PlainTextChar">
    <w:name w:val="Plain Text Char"/>
    <w:basedOn w:val="DefaultParagraphFont"/>
    <w:link w:val="PlainText"/>
    <w:rsid w:val="009B2D9D"/>
    <w:rPr>
      <w:rFonts w:ascii="Consolas" w:hAnsi="Consolas"/>
      <w:kern w:val="0"/>
      <w:sz w:val="21"/>
      <w:szCs w:val="21"/>
      <w14:ligatures w14:val="none"/>
    </w:rPr>
  </w:style>
  <w:style w:type="paragraph" w:customStyle="1" w:styleId="NBB">
    <w:name w:val="NBB"/>
    <w:basedOn w:val="Normal"/>
    <w:qFormat/>
    <w:rsid w:val="009B2D9D"/>
    <w:pPr>
      <w:spacing w:after="0" w:line="240" w:lineRule="auto"/>
      <w:ind w:left="1065" w:hanging="705"/>
      <w:jc w:val="both"/>
    </w:pPr>
    <w:rPr>
      <w:rFonts w:ascii="Calibri Light" w:eastAsia="Times New Roman" w:hAnsi="Calibri Light" w:cs="Times New Roman"/>
      <w:noProof/>
      <w:kern w:val="0"/>
      <w:sz w:val="20"/>
      <w14:ligatures w14:val="none"/>
    </w:rPr>
  </w:style>
  <w:style w:type="character" w:customStyle="1" w:styleId="hps">
    <w:name w:val="hps"/>
    <w:basedOn w:val="DefaultParagraphFont"/>
    <w:rsid w:val="009B2D9D"/>
  </w:style>
  <w:style w:type="table" w:customStyle="1" w:styleId="LightShading-Accent11">
    <w:name w:val="Light Shading - Accent 11"/>
    <w:basedOn w:val="TableNormal"/>
    <w:uiPriority w:val="60"/>
    <w:rsid w:val="009B2D9D"/>
    <w:pPr>
      <w:spacing w:after="0" w:line="240" w:lineRule="auto"/>
    </w:pPr>
    <w:rPr>
      <w:rFonts w:ascii="Calibri" w:eastAsia="Times New Roman" w:hAnsi="Calibri" w:cs="Times New Roman"/>
      <w:color w:val="365F91"/>
      <w:kern w:val="0"/>
      <w:sz w:val="20"/>
      <w:szCs w:val="20"/>
      <w:lang w:val="sr-Latn-CS" w:eastAsia="sr-Latn-CS" w:bidi="en-US"/>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DefaultChar">
    <w:name w:val="Default Char"/>
    <w:link w:val="Default"/>
    <w:locked/>
    <w:rsid w:val="009B2D9D"/>
    <w:rPr>
      <w:rFonts w:ascii="Calibri" w:hAnsi="Calibri" w:cs="Calibri"/>
      <w:color w:val="000000"/>
      <w:kern w:val="0"/>
      <w:sz w:val="24"/>
      <w:szCs w:val="24"/>
      <w14:ligatures w14:val="none"/>
    </w:rPr>
  </w:style>
  <w:style w:type="character" w:styleId="PageNumber">
    <w:name w:val="page number"/>
    <w:basedOn w:val="DefaultParagraphFont"/>
    <w:uiPriority w:val="99"/>
    <w:rsid w:val="009B2D9D"/>
  </w:style>
  <w:style w:type="paragraph" w:customStyle="1" w:styleId="CharCharCharCharCharCharCharCharCharCharCharCharCharCharChar">
    <w:name w:val="Char Char Char Char Char Char Char Char Char Char Char Char Char Char Char"/>
    <w:basedOn w:val="Normal"/>
    <w:rsid w:val="009B2D9D"/>
    <w:pPr>
      <w:widowControl w:val="0"/>
      <w:autoSpaceDE w:val="0"/>
      <w:autoSpaceDN w:val="0"/>
      <w:adjustRightInd w:val="0"/>
      <w:spacing w:line="240" w:lineRule="exact"/>
      <w:jc w:val="both"/>
    </w:pPr>
    <w:rPr>
      <w:rFonts w:ascii="Arial" w:eastAsia="Times New Roman" w:hAnsi="Arial" w:cs="Arial"/>
      <w:kern w:val="0"/>
      <w:sz w:val="20"/>
      <w:szCs w:val="20"/>
      <w14:ligatures w14:val="none"/>
    </w:rPr>
  </w:style>
  <w:style w:type="paragraph" w:styleId="TOC4">
    <w:name w:val="toc 4"/>
    <w:basedOn w:val="Normal"/>
    <w:next w:val="Normal"/>
    <w:autoRedefine/>
    <w:uiPriority w:val="39"/>
    <w:unhideWhenUsed/>
    <w:rsid w:val="009B2D9D"/>
    <w:pPr>
      <w:spacing w:after="0" w:line="276" w:lineRule="auto"/>
      <w:ind w:left="660"/>
      <w:jc w:val="both"/>
    </w:pPr>
    <w:rPr>
      <w:rFonts w:ascii="Calibri Light" w:eastAsia="Calibri" w:hAnsi="Calibri Light" w:cs="Times New Roman"/>
      <w:kern w:val="0"/>
      <w:sz w:val="18"/>
      <w:szCs w:val="18"/>
      <w14:ligatures w14:val="none"/>
    </w:rPr>
  </w:style>
  <w:style w:type="paragraph" w:styleId="TOC5">
    <w:name w:val="toc 5"/>
    <w:basedOn w:val="Normal"/>
    <w:next w:val="Normal"/>
    <w:autoRedefine/>
    <w:uiPriority w:val="39"/>
    <w:unhideWhenUsed/>
    <w:rsid w:val="009B2D9D"/>
    <w:pPr>
      <w:spacing w:after="0" w:line="276" w:lineRule="auto"/>
      <w:ind w:left="880"/>
      <w:jc w:val="both"/>
    </w:pPr>
    <w:rPr>
      <w:rFonts w:ascii="Calibri Light" w:eastAsia="Calibri" w:hAnsi="Calibri Light" w:cs="Times New Roman"/>
      <w:kern w:val="0"/>
      <w:sz w:val="18"/>
      <w:szCs w:val="18"/>
      <w14:ligatures w14:val="none"/>
    </w:rPr>
  </w:style>
  <w:style w:type="paragraph" w:styleId="TOC6">
    <w:name w:val="toc 6"/>
    <w:basedOn w:val="Normal"/>
    <w:next w:val="Normal"/>
    <w:autoRedefine/>
    <w:uiPriority w:val="39"/>
    <w:unhideWhenUsed/>
    <w:rsid w:val="009B2D9D"/>
    <w:pPr>
      <w:spacing w:after="0" w:line="276" w:lineRule="auto"/>
      <w:ind w:left="1100"/>
      <w:jc w:val="both"/>
    </w:pPr>
    <w:rPr>
      <w:rFonts w:ascii="Calibri Light" w:eastAsia="Calibri" w:hAnsi="Calibri Light" w:cs="Times New Roman"/>
      <w:kern w:val="0"/>
      <w:sz w:val="18"/>
      <w:szCs w:val="18"/>
      <w14:ligatures w14:val="none"/>
    </w:rPr>
  </w:style>
  <w:style w:type="paragraph" w:styleId="TOC7">
    <w:name w:val="toc 7"/>
    <w:basedOn w:val="Normal"/>
    <w:next w:val="Normal"/>
    <w:autoRedefine/>
    <w:uiPriority w:val="39"/>
    <w:unhideWhenUsed/>
    <w:rsid w:val="009B2D9D"/>
    <w:pPr>
      <w:spacing w:after="0" w:line="276" w:lineRule="auto"/>
      <w:ind w:left="1320"/>
      <w:jc w:val="both"/>
    </w:pPr>
    <w:rPr>
      <w:rFonts w:ascii="Calibri Light" w:eastAsia="Calibri" w:hAnsi="Calibri Light" w:cs="Times New Roman"/>
      <w:kern w:val="0"/>
      <w:sz w:val="18"/>
      <w:szCs w:val="18"/>
      <w14:ligatures w14:val="none"/>
    </w:rPr>
  </w:style>
  <w:style w:type="paragraph" w:styleId="TOC8">
    <w:name w:val="toc 8"/>
    <w:basedOn w:val="Normal"/>
    <w:next w:val="Normal"/>
    <w:autoRedefine/>
    <w:uiPriority w:val="39"/>
    <w:unhideWhenUsed/>
    <w:rsid w:val="009B2D9D"/>
    <w:pPr>
      <w:spacing w:after="0" w:line="276" w:lineRule="auto"/>
      <w:ind w:left="1540"/>
      <w:jc w:val="both"/>
    </w:pPr>
    <w:rPr>
      <w:rFonts w:ascii="Calibri Light" w:eastAsia="Calibri" w:hAnsi="Calibri Light" w:cs="Times New Roman"/>
      <w:kern w:val="0"/>
      <w:sz w:val="18"/>
      <w:szCs w:val="18"/>
      <w14:ligatures w14:val="none"/>
    </w:rPr>
  </w:style>
  <w:style w:type="paragraph" w:styleId="TOC9">
    <w:name w:val="toc 9"/>
    <w:basedOn w:val="Normal"/>
    <w:next w:val="Normal"/>
    <w:autoRedefine/>
    <w:uiPriority w:val="39"/>
    <w:unhideWhenUsed/>
    <w:rsid w:val="009B2D9D"/>
    <w:pPr>
      <w:spacing w:after="0" w:line="276" w:lineRule="auto"/>
      <w:ind w:left="1760"/>
      <w:jc w:val="both"/>
    </w:pPr>
    <w:rPr>
      <w:rFonts w:ascii="Calibri Light" w:eastAsia="Calibri" w:hAnsi="Calibri Light" w:cs="Times New Roman"/>
      <w:kern w:val="0"/>
      <w:sz w:val="18"/>
      <w:szCs w:val="18"/>
      <w14:ligatures w14:val="none"/>
    </w:rPr>
  </w:style>
  <w:style w:type="character" w:customStyle="1" w:styleId="BalloonTextChar1">
    <w:name w:val="Balloon Text Char1"/>
    <w:basedOn w:val="DefaultParagraphFont"/>
    <w:uiPriority w:val="99"/>
    <w:semiHidden/>
    <w:rsid w:val="009B2D9D"/>
    <w:rPr>
      <w:rFonts w:ascii="Tahoma" w:hAnsi="Tahoma" w:cs="Tahoma"/>
      <w:sz w:val="16"/>
      <w:szCs w:val="16"/>
    </w:rPr>
  </w:style>
  <w:style w:type="paragraph" w:customStyle="1" w:styleId="Char">
    <w:name w:val="Char"/>
    <w:basedOn w:val="Normal"/>
    <w:rsid w:val="009B2D9D"/>
    <w:pPr>
      <w:widowControl w:val="0"/>
      <w:autoSpaceDE w:val="0"/>
      <w:autoSpaceDN w:val="0"/>
      <w:adjustRightInd w:val="0"/>
      <w:spacing w:line="240" w:lineRule="exact"/>
      <w:jc w:val="both"/>
    </w:pPr>
    <w:rPr>
      <w:rFonts w:ascii="Arial" w:eastAsia="Times New Roman" w:hAnsi="Arial" w:cs="Arial"/>
      <w:kern w:val="0"/>
      <w:sz w:val="20"/>
      <w:szCs w:val="20"/>
      <w14:ligatures w14:val="none"/>
    </w:rPr>
  </w:style>
  <w:style w:type="paragraph" w:customStyle="1" w:styleId="CharCharCharChar">
    <w:name w:val="Char Char Char Char"/>
    <w:basedOn w:val="Normal"/>
    <w:rsid w:val="009B2D9D"/>
    <w:pPr>
      <w:spacing w:line="240" w:lineRule="exact"/>
      <w:jc w:val="both"/>
    </w:pPr>
    <w:rPr>
      <w:rFonts w:ascii="Verdana" w:eastAsia="Times New Roman" w:hAnsi="Verdana" w:cs="Times New Roman"/>
      <w:b/>
      <w:bCs/>
      <w:kern w:val="0"/>
      <w:sz w:val="20"/>
      <w:szCs w:val="20"/>
      <w14:ligatures w14:val="none"/>
    </w:rPr>
  </w:style>
  <w:style w:type="paragraph" w:customStyle="1" w:styleId="msonospacing0">
    <w:name w:val="msonospacing"/>
    <w:basedOn w:val="Normal"/>
    <w:rsid w:val="009B2D9D"/>
    <w:pPr>
      <w:spacing w:after="0" w:line="240" w:lineRule="auto"/>
      <w:jc w:val="both"/>
    </w:pPr>
    <w:rPr>
      <w:rFonts w:ascii="Calibri" w:eastAsia="Calibri" w:hAnsi="Calibri" w:cs="Times New Roman"/>
      <w:kern w:val="0"/>
      <w:sz w:val="20"/>
      <w:lang w:eastAsia="ja-JP"/>
      <w14:ligatures w14:val="none"/>
    </w:rPr>
  </w:style>
  <w:style w:type="paragraph" w:styleId="BodyText">
    <w:name w:val="Body Text"/>
    <w:aliases w:val="Body Text Char Char Char Char,Body Text Char Char,Body Text Char Char Char,Body Text Char Char Char Char1 Char,Body Text Char Char Char Char Char Char,Body Text Char Char Char Char Char Char Char,Body Text Char Char Char Char Char,Body Text1"/>
    <w:basedOn w:val="Normal"/>
    <w:link w:val="BodyTextChar"/>
    <w:uiPriority w:val="99"/>
    <w:qFormat/>
    <w:rsid w:val="009B2D9D"/>
    <w:pPr>
      <w:spacing w:after="0" w:line="240" w:lineRule="auto"/>
      <w:jc w:val="center"/>
    </w:pPr>
    <w:rPr>
      <w:rFonts w:ascii="Times New Roman" w:eastAsia="Times New Roman" w:hAnsi="Times New Roman" w:cs="Times New Roman"/>
      <w:kern w:val="0"/>
      <w:sz w:val="24"/>
      <w:szCs w:val="24"/>
      <w:lang w:val="sr-Latn-CS"/>
      <w14:ligatures w14:val="none"/>
    </w:rPr>
  </w:style>
  <w:style w:type="character" w:customStyle="1" w:styleId="BodyTextChar">
    <w:name w:val="Body Text Char"/>
    <w:aliases w:val="Body Text Char Char Char Char Char1,Body Text Char Char Char1,Body Text Char Char Char Char1,Body Text Char Char Char Char1 Char Char,Body Text Char Char Char Char Char Char Char1,Body Text Char Char Char Char Char Char Char Char"/>
    <w:basedOn w:val="DefaultParagraphFont"/>
    <w:link w:val="BodyText"/>
    <w:uiPriority w:val="99"/>
    <w:rsid w:val="009B2D9D"/>
    <w:rPr>
      <w:rFonts w:ascii="Times New Roman" w:eastAsia="Times New Roman" w:hAnsi="Times New Roman" w:cs="Times New Roman"/>
      <w:kern w:val="0"/>
      <w:sz w:val="24"/>
      <w:szCs w:val="24"/>
      <w:lang w:val="sr-Latn-CS"/>
      <w14:ligatures w14:val="none"/>
    </w:rPr>
  </w:style>
  <w:style w:type="character" w:customStyle="1" w:styleId="CommentTextChar1">
    <w:name w:val="Comment Text Char1"/>
    <w:basedOn w:val="DefaultParagraphFont"/>
    <w:uiPriority w:val="99"/>
    <w:semiHidden/>
    <w:rsid w:val="009B2D9D"/>
    <w:rPr>
      <w:sz w:val="20"/>
      <w:szCs w:val="20"/>
    </w:rPr>
  </w:style>
  <w:style w:type="character" w:customStyle="1" w:styleId="CommentSubjectChar1">
    <w:name w:val="Comment Subject Char1"/>
    <w:basedOn w:val="CommentTextChar1"/>
    <w:uiPriority w:val="99"/>
    <w:semiHidden/>
    <w:rsid w:val="009B2D9D"/>
    <w:rPr>
      <w:b/>
      <w:bCs/>
      <w:sz w:val="20"/>
      <w:szCs w:val="20"/>
    </w:rPr>
  </w:style>
  <w:style w:type="paragraph" w:styleId="BodyText2">
    <w:name w:val="Body Text 2"/>
    <w:basedOn w:val="Normal"/>
    <w:link w:val="BodyText2Char"/>
    <w:rsid w:val="009B2D9D"/>
    <w:pPr>
      <w:spacing w:after="120" w:line="480" w:lineRule="auto"/>
      <w:jc w:val="both"/>
    </w:pPr>
    <w:rPr>
      <w:rFonts w:ascii="Times New Roman" w:eastAsia="Times New Roman" w:hAnsi="Times New Roman" w:cs="Times New Roman"/>
      <w:kern w:val="0"/>
      <w:sz w:val="24"/>
      <w:szCs w:val="24"/>
      <w14:ligatures w14:val="none"/>
    </w:rPr>
  </w:style>
  <w:style w:type="character" w:customStyle="1" w:styleId="BodyText2Char">
    <w:name w:val="Body Text 2 Char"/>
    <w:basedOn w:val="DefaultParagraphFont"/>
    <w:link w:val="BodyText2"/>
    <w:rsid w:val="009B2D9D"/>
    <w:rPr>
      <w:rFonts w:ascii="Times New Roman" w:eastAsia="Times New Roman" w:hAnsi="Times New Roman" w:cs="Times New Roman"/>
      <w:kern w:val="0"/>
      <w:sz w:val="24"/>
      <w:szCs w:val="24"/>
      <w14:ligatures w14:val="none"/>
    </w:rPr>
  </w:style>
  <w:style w:type="paragraph" w:styleId="BodyTextIndent">
    <w:name w:val="Body Text Indent"/>
    <w:basedOn w:val="Normal"/>
    <w:link w:val="BodyTextIndentChar"/>
    <w:rsid w:val="009B2D9D"/>
    <w:pPr>
      <w:spacing w:after="0" w:line="240" w:lineRule="auto"/>
      <w:ind w:left="360"/>
      <w:jc w:val="both"/>
    </w:pPr>
    <w:rPr>
      <w:rFonts w:ascii="Times New Roman" w:eastAsia="Times New Roman" w:hAnsi="Times New Roman" w:cs="Times New Roman"/>
      <w:kern w:val="0"/>
      <w:sz w:val="28"/>
      <w:szCs w:val="24"/>
      <w:lang w:val="sl-SI"/>
      <w14:ligatures w14:val="none"/>
    </w:rPr>
  </w:style>
  <w:style w:type="character" w:customStyle="1" w:styleId="BodyTextIndentChar">
    <w:name w:val="Body Text Indent Char"/>
    <w:basedOn w:val="DefaultParagraphFont"/>
    <w:link w:val="BodyTextIndent"/>
    <w:rsid w:val="009B2D9D"/>
    <w:rPr>
      <w:rFonts w:ascii="Times New Roman" w:eastAsia="Times New Roman" w:hAnsi="Times New Roman" w:cs="Times New Roman"/>
      <w:kern w:val="0"/>
      <w:sz w:val="28"/>
      <w:szCs w:val="24"/>
      <w:lang w:val="sl-SI"/>
      <w14:ligatures w14:val="none"/>
    </w:rPr>
  </w:style>
  <w:style w:type="paragraph" w:styleId="BodyText3">
    <w:name w:val="Body Text 3"/>
    <w:basedOn w:val="Normal"/>
    <w:link w:val="BodyText3Char"/>
    <w:rsid w:val="009B2D9D"/>
    <w:pPr>
      <w:spacing w:after="0" w:line="240" w:lineRule="auto"/>
      <w:ind w:right="-14"/>
      <w:jc w:val="both"/>
    </w:pPr>
    <w:rPr>
      <w:rFonts w:ascii="Times New Roman" w:eastAsia="Times New Roman" w:hAnsi="Times New Roman" w:cs="Times New Roman"/>
      <w:b/>
      <w:bCs/>
      <w:kern w:val="0"/>
      <w:sz w:val="24"/>
      <w:szCs w:val="24"/>
      <w:lang w:val="sl-SI"/>
      <w14:ligatures w14:val="none"/>
    </w:rPr>
  </w:style>
  <w:style w:type="character" w:customStyle="1" w:styleId="BodyText3Char">
    <w:name w:val="Body Text 3 Char"/>
    <w:basedOn w:val="DefaultParagraphFont"/>
    <w:link w:val="BodyText3"/>
    <w:rsid w:val="009B2D9D"/>
    <w:rPr>
      <w:rFonts w:ascii="Times New Roman" w:eastAsia="Times New Roman" w:hAnsi="Times New Roman" w:cs="Times New Roman"/>
      <w:b/>
      <w:bCs/>
      <w:kern w:val="0"/>
      <w:sz w:val="24"/>
      <w:szCs w:val="24"/>
      <w:lang w:val="sl-SI"/>
      <w14:ligatures w14:val="none"/>
    </w:rPr>
  </w:style>
  <w:style w:type="paragraph" w:styleId="BodyTextIndent2">
    <w:name w:val="Body Text Indent 2"/>
    <w:basedOn w:val="Normal"/>
    <w:link w:val="BodyTextIndent2Char"/>
    <w:rsid w:val="009B2D9D"/>
    <w:pPr>
      <w:spacing w:after="0" w:line="240" w:lineRule="auto"/>
      <w:ind w:right="-14" w:firstLine="720"/>
      <w:jc w:val="both"/>
    </w:pPr>
    <w:rPr>
      <w:rFonts w:ascii="Times New Roman" w:eastAsia="Times New Roman" w:hAnsi="Times New Roman" w:cs="Times New Roman"/>
      <w:kern w:val="0"/>
      <w:sz w:val="24"/>
      <w:szCs w:val="24"/>
      <w:lang w:val="sl-SI"/>
      <w14:ligatures w14:val="none"/>
    </w:rPr>
  </w:style>
  <w:style w:type="character" w:customStyle="1" w:styleId="BodyTextIndent2Char">
    <w:name w:val="Body Text Indent 2 Char"/>
    <w:basedOn w:val="DefaultParagraphFont"/>
    <w:link w:val="BodyTextIndent2"/>
    <w:rsid w:val="009B2D9D"/>
    <w:rPr>
      <w:rFonts w:ascii="Times New Roman" w:eastAsia="Times New Roman" w:hAnsi="Times New Roman" w:cs="Times New Roman"/>
      <w:kern w:val="0"/>
      <w:sz w:val="24"/>
      <w:szCs w:val="24"/>
      <w:lang w:val="sl-SI"/>
      <w14:ligatures w14:val="none"/>
    </w:rPr>
  </w:style>
  <w:style w:type="paragraph" w:styleId="BodyTextIndent3">
    <w:name w:val="Body Text Indent 3"/>
    <w:basedOn w:val="Normal"/>
    <w:link w:val="BodyTextIndent3Char"/>
    <w:rsid w:val="009B2D9D"/>
    <w:pPr>
      <w:spacing w:after="0" w:line="240" w:lineRule="auto"/>
      <w:ind w:left="1260" w:hanging="360"/>
      <w:jc w:val="both"/>
    </w:pPr>
    <w:rPr>
      <w:rFonts w:ascii="Times New Roman" w:eastAsia="Times New Roman" w:hAnsi="Times New Roman" w:cs="Times New Roman"/>
      <w:kern w:val="0"/>
      <w:sz w:val="24"/>
      <w:szCs w:val="24"/>
      <w:lang w:val="sl-SI"/>
      <w14:ligatures w14:val="none"/>
    </w:rPr>
  </w:style>
  <w:style w:type="character" w:customStyle="1" w:styleId="BodyTextIndent3Char">
    <w:name w:val="Body Text Indent 3 Char"/>
    <w:basedOn w:val="DefaultParagraphFont"/>
    <w:link w:val="BodyTextIndent3"/>
    <w:rsid w:val="009B2D9D"/>
    <w:rPr>
      <w:rFonts w:ascii="Times New Roman" w:eastAsia="Times New Roman" w:hAnsi="Times New Roman" w:cs="Times New Roman"/>
      <w:kern w:val="0"/>
      <w:sz w:val="24"/>
      <w:szCs w:val="24"/>
      <w:lang w:val="sl-SI"/>
      <w14:ligatures w14:val="none"/>
    </w:rPr>
  </w:style>
  <w:style w:type="character" w:customStyle="1" w:styleId="DocumentMapChar">
    <w:name w:val="Document Map Char"/>
    <w:basedOn w:val="DefaultParagraphFont"/>
    <w:link w:val="DocumentMap"/>
    <w:semiHidden/>
    <w:rsid w:val="009B2D9D"/>
    <w:rPr>
      <w:rFonts w:ascii="Tahoma" w:eastAsia="Times New Roman" w:hAnsi="Tahoma" w:cs="Tahoma"/>
      <w:shd w:val="clear" w:color="auto" w:fill="000080"/>
    </w:rPr>
  </w:style>
  <w:style w:type="paragraph" w:styleId="DocumentMap">
    <w:name w:val="Document Map"/>
    <w:basedOn w:val="Normal"/>
    <w:link w:val="DocumentMapChar"/>
    <w:semiHidden/>
    <w:rsid w:val="009B2D9D"/>
    <w:pPr>
      <w:shd w:val="clear" w:color="auto" w:fill="000080"/>
      <w:spacing w:after="0" w:line="240" w:lineRule="auto"/>
      <w:jc w:val="both"/>
    </w:pPr>
    <w:rPr>
      <w:rFonts w:ascii="Tahoma" w:eastAsia="Times New Roman" w:hAnsi="Tahoma" w:cs="Tahoma"/>
    </w:rPr>
  </w:style>
  <w:style w:type="character" w:customStyle="1" w:styleId="DocumentMapChar1">
    <w:name w:val="Document Map Char1"/>
    <w:basedOn w:val="DefaultParagraphFont"/>
    <w:uiPriority w:val="99"/>
    <w:semiHidden/>
    <w:rsid w:val="009B2D9D"/>
    <w:rPr>
      <w:rFonts w:ascii="Segoe UI" w:hAnsi="Segoe UI" w:cs="Segoe UI"/>
      <w:sz w:val="16"/>
      <w:szCs w:val="16"/>
    </w:rPr>
  </w:style>
  <w:style w:type="paragraph" w:styleId="BlockText">
    <w:name w:val="Block Text"/>
    <w:basedOn w:val="Normal"/>
    <w:rsid w:val="009B2D9D"/>
    <w:pPr>
      <w:spacing w:after="0" w:line="240" w:lineRule="auto"/>
      <w:ind w:left="1800" w:right="2438"/>
      <w:jc w:val="both"/>
    </w:pPr>
    <w:rPr>
      <w:rFonts w:ascii="Times New Roman" w:eastAsia="Times New Roman" w:hAnsi="Times New Roman" w:cs="Times New Roman"/>
      <w:kern w:val="0"/>
      <w:sz w:val="24"/>
      <w:szCs w:val="24"/>
      <w14:ligatures w14:val="none"/>
    </w:rPr>
  </w:style>
  <w:style w:type="paragraph" w:styleId="ListBullet">
    <w:name w:val="List Bullet"/>
    <w:basedOn w:val="Normal"/>
    <w:autoRedefine/>
    <w:rsid w:val="009B2D9D"/>
    <w:pPr>
      <w:spacing w:after="0" w:line="240" w:lineRule="auto"/>
      <w:ind w:left="732" w:hanging="360"/>
      <w:jc w:val="both"/>
    </w:pPr>
    <w:rPr>
      <w:rFonts w:ascii="Arial" w:eastAsia="Times New Roman" w:hAnsi="Arial" w:cs="Arial"/>
      <w:kern w:val="0"/>
      <w:sz w:val="18"/>
      <w:szCs w:val="18"/>
      <w:lang w:val="es-ES"/>
      <w14:ligatures w14:val="none"/>
    </w:rPr>
  </w:style>
  <w:style w:type="character" w:customStyle="1" w:styleId="CharCharChar">
    <w:name w:val="Char Char Char"/>
    <w:basedOn w:val="DefaultParagraphFont"/>
    <w:rsid w:val="009B2D9D"/>
    <w:rPr>
      <w:b/>
      <w:bCs/>
      <w:sz w:val="24"/>
      <w:szCs w:val="24"/>
      <w:lang w:val="sl-SI" w:eastAsia="en-US" w:bidi="ar-SA"/>
    </w:rPr>
  </w:style>
  <w:style w:type="paragraph" w:customStyle="1" w:styleId="Prioritybullet1">
    <w:name w:val="Priority bullet 1"/>
    <w:basedOn w:val="Normal"/>
    <w:rsid w:val="009B2D9D"/>
    <w:pPr>
      <w:tabs>
        <w:tab w:val="left" w:pos="1125"/>
      </w:tabs>
      <w:suppressAutoHyphens/>
      <w:spacing w:before="180" w:after="0" w:line="240" w:lineRule="auto"/>
      <w:jc w:val="both"/>
    </w:pPr>
    <w:rPr>
      <w:rFonts w:ascii="Arial Narrow" w:eastAsia="Times New Roman" w:hAnsi="Arial Narrow" w:cs="Times New Roman"/>
      <w:color w:val="000000"/>
      <w:kern w:val="0"/>
      <w:sz w:val="24"/>
      <w:szCs w:val="20"/>
      <w:lang w:eastAsia="ar-SA"/>
      <w14:ligatures w14:val="none"/>
    </w:rPr>
  </w:style>
  <w:style w:type="paragraph" w:customStyle="1" w:styleId="Char1">
    <w:name w:val="Char1"/>
    <w:basedOn w:val="Normal"/>
    <w:rsid w:val="009B2D9D"/>
    <w:pPr>
      <w:spacing w:line="240" w:lineRule="exact"/>
      <w:jc w:val="both"/>
    </w:pPr>
    <w:rPr>
      <w:rFonts w:ascii="Tahoma" w:eastAsia="Times New Roman" w:hAnsi="Tahoma" w:cs="Times New Roman"/>
      <w:kern w:val="0"/>
      <w:sz w:val="20"/>
      <w:szCs w:val="20"/>
      <w14:ligatures w14:val="none"/>
    </w:rPr>
  </w:style>
  <w:style w:type="paragraph" w:customStyle="1" w:styleId="CharCharCharCharCharChar1CharCharCharChar">
    <w:name w:val="Char Char Char Char Char Char1 Char Char Char Char"/>
    <w:basedOn w:val="Normal"/>
    <w:rsid w:val="009B2D9D"/>
    <w:pPr>
      <w:spacing w:line="240" w:lineRule="exact"/>
      <w:jc w:val="both"/>
    </w:pPr>
    <w:rPr>
      <w:rFonts w:ascii="Tahoma" w:eastAsia="Times New Roman" w:hAnsi="Tahoma" w:cs="Times New Roman"/>
      <w:kern w:val="0"/>
      <w:sz w:val="20"/>
      <w:szCs w:val="20"/>
      <w14:ligatures w14:val="none"/>
    </w:rPr>
  </w:style>
  <w:style w:type="character" w:customStyle="1" w:styleId="CharChar">
    <w:name w:val="Char Char"/>
    <w:basedOn w:val="DefaultParagraphFont"/>
    <w:locked/>
    <w:rsid w:val="009B2D9D"/>
    <w:rPr>
      <w:b/>
      <w:bCs/>
      <w:sz w:val="24"/>
      <w:szCs w:val="24"/>
      <w:lang w:val="sr-Latn-CS" w:eastAsia="en-US" w:bidi="ar-SA"/>
    </w:rPr>
  </w:style>
  <w:style w:type="paragraph" w:customStyle="1" w:styleId="CharCharCharCharCharCharChar">
    <w:name w:val="Char Char Char Char Char Char Char"/>
    <w:basedOn w:val="Normal"/>
    <w:rsid w:val="009B2D9D"/>
    <w:pPr>
      <w:spacing w:line="240" w:lineRule="exact"/>
      <w:jc w:val="both"/>
    </w:pPr>
    <w:rPr>
      <w:rFonts w:ascii="Tahoma" w:eastAsia="Times New Roman" w:hAnsi="Tahoma" w:cs="Times New Roman"/>
      <w:kern w:val="0"/>
      <w:sz w:val="20"/>
      <w:szCs w:val="20"/>
      <w:lang w:val="en-GB"/>
      <w14:ligatures w14:val="none"/>
    </w:rPr>
  </w:style>
  <w:style w:type="character" w:customStyle="1" w:styleId="CharChar1">
    <w:name w:val="Char Char1"/>
    <w:basedOn w:val="DefaultParagraphFont"/>
    <w:locked/>
    <w:rsid w:val="009B2D9D"/>
    <w:rPr>
      <w:b/>
      <w:bCs/>
      <w:sz w:val="24"/>
      <w:szCs w:val="24"/>
      <w:lang w:val="sr-Latn-CS" w:eastAsia="en-US" w:bidi="ar-SA"/>
    </w:rPr>
  </w:style>
  <w:style w:type="character" w:styleId="Emphasis">
    <w:name w:val="Emphasis"/>
    <w:basedOn w:val="DefaultParagraphFont"/>
    <w:uiPriority w:val="20"/>
    <w:qFormat/>
    <w:rsid w:val="009B2D9D"/>
    <w:rPr>
      <w:i/>
      <w:iCs/>
    </w:rPr>
  </w:style>
  <w:style w:type="character" w:customStyle="1" w:styleId="CharCharChar1">
    <w:name w:val="Char Char Char1"/>
    <w:basedOn w:val="DefaultParagraphFont"/>
    <w:rsid w:val="009B2D9D"/>
    <w:rPr>
      <w:b/>
      <w:bCs/>
      <w:sz w:val="24"/>
      <w:szCs w:val="24"/>
      <w:lang w:val="sl-SI" w:eastAsia="en-US" w:bidi="ar-SA"/>
    </w:rPr>
  </w:style>
  <w:style w:type="paragraph" w:customStyle="1" w:styleId="Char11">
    <w:name w:val="Char11"/>
    <w:basedOn w:val="Normal"/>
    <w:rsid w:val="009B2D9D"/>
    <w:pPr>
      <w:spacing w:line="240" w:lineRule="exact"/>
      <w:jc w:val="both"/>
    </w:pPr>
    <w:rPr>
      <w:rFonts w:ascii="Tahoma" w:eastAsia="Times New Roman" w:hAnsi="Tahoma" w:cs="Times New Roman"/>
      <w:kern w:val="0"/>
      <w:sz w:val="20"/>
      <w:szCs w:val="20"/>
      <w14:ligatures w14:val="none"/>
    </w:rPr>
  </w:style>
  <w:style w:type="paragraph" w:customStyle="1" w:styleId="CharCharCharCharCharChar1CharCharCharChar1">
    <w:name w:val="Char Char Char Char Char Char1 Char Char Char Char1"/>
    <w:basedOn w:val="Normal"/>
    <w:rsid w:val="009B2D9D"/>
    <w:pPr>
      <w:spacing w:line="240" w:lineRule="exact"/>
      <w:jc w:val="both"/>
    </w:pPr>
    <w:rPr>
      <w:rFonts w:ascii="Tahoma" w:eastAsia="Times New Roman" w:hAnsi="Tahoma" w:cs="Times New Roman"/>
      <w:kern w:val="0"/>
      <w:sz w:val="20"/>
      <w:szCs w:val="20"/>
      <w14:ligatures w14:val="none"/>
    </w:rPr>
  </w:style>
  <w:style w:type="character" w:customStyle="1" w:styleId="st1">
    <w:name w:val="st1"/>
    <w:basedOn w:val="DefaultParagraphFont"/>
    <w:rsid w:val="009B2D9D"/>
  </w:style>
  <w:style w:type="character" w:customStyle="1" w:styleId="no0020spacingchar1">
    <w:name w:val="no_0020spacing__char1"/>
    <w:basedOn w:val="DefaultParagraphFont"/>
    <w:rsid w:val="009B2D9D"/>
    <w:rPr>
      <w:rFonts w:ascii="Times New Roman" w:hAnsi="Times New Roman" w:cs="Times New Roman" w:hint="default"/>
      <w:strike w:val="0"/>
      <w:dstrike w:val="0"/>
      <w:sz w:val="24"/>
      <w:szCs w:val="24"/>
      <w:u w:val="none"/>
      <w:effect w:val="none"/>
    </w:rPr>
  </w:style>
  <w:style w:type="paragraph" w:customStyle="1" w:styleId="DecimalAligned">
    <w:name w:val="Decimal Aligned"/>
    <w:basedOn w:val="Normal"/>
    <w:link w:val="DecimalAlignedChar"/>
    <w:uiPriority w:val="40"/>
    <w:qFormat/>
    <w:rsid w:val="009B2D9D"/>
    <w:pPr>
      <w:tabs>
        <w:tab w:val="decimal" w:pos="360"/>
      </w:tabs>
      <w:spacing w:after="200" w:line="276" w:lineRule="auto"/>
      <w:jc w:val="both"/>
    </w:pPr>
    <w:rPr>
      <w:rFonts w:ascii="Calibri" w:eastAsia="Times New Roman" w:hAnsi="Calibri" w:cs="Times New Roman"/>
      <w:kern w:val="0"/>
      <w:sz w:val="20"/>
      <w14:ligatures w14:val="none"/>
    </w:rPr>
  </w:style>
  <w:style w:type="character" w:customStyle="1" w:styleId="DecimalAlignedChar">
    <w:name w:val="Decimal Aligned Char"/>
    <w:basedOn w:val="DefaultParagraphFont"/>
    <w:link w:val="DecimalAligned"/>
    <w:uiPriority w:val="40"/>
    <w:rsid w:val="009B2D9D"/>
    <w:rPr>
      <w:rFonts w:ascii="Calibri" w:eastAsia="Times New Roman" w:hAnsi="Calibri" w:cs="Times New Roman"/>
      <w:kern w:val="0"/>
      <w:sz w:val="20"/>
      <w14:ligatures w14:val="none"/>
    </w:rPr>
  </w:style>
  <w:style w:type="character" w:styleId="SubtleEmphasis">
    <w:name w:val="Subtle Emphasis"/>
    <w:basedOn w:val="DefaultParagraphFont"/>
    <w:uiPriority w:val="19"/>
    <w:rsid w:val="009B2D9D"/>
    <w:rPr>
      <w:rFonts w:eastAsia="Times New Roman" w:cs="Times New Roman"/>
      <w:bCs w:val="0"/>
      <w:i/>
      <w:iCs/>
      <w:color w:val="808080"/>
      <w:szCs w:val="22"/>
      <w:lang w:val="en-US"/>
    </w:rPr>
  </w:style>
  <w:style w:type="paragraph" w:styleId="Subtitle">
    <w:name w:val="Subtitle"/>
    <w:basedOn w:val="Normal"/>
    <w:next w:val="Normal"/>
    <w:link w:val="SubtitleChar"/>
    <w:uiPriority w:val="11"/>
    <w:qFormat/>
    <w:rsid w:val="009B2D9D"/>
    <w:pPr>
      <w:numPr>
        <w:ilvl w:val="1"/>
      </w:numPr>
      <w:spacing w:after="200" w:line="276" w:lineRule="auto"/>
      <w:jc w:val="both"/>
    </w:pPr>
    <w:rPr>
      <w:rFonts w:ascii="Cambria" w:eastAsia="Times New Roman" w:hAnsi="Cambria" w:cs="Times New Roman"/>
      <w:i/>
      <w:iCs/>
      <w:color w:val="4F81BD"/>
      <w:spacing w:val="15"/>
      <w:kern w:val="0"/>
      <w:sz w:val="24"/>
      <w:szCs w:val="24"/>
      <w14:ligatures w14:val="none"/>
    </w:rPr>
  </w:style>
  <w:style w:type="character" w:customStyle="1" w:styleId="SubtitleChar">
    <w:name w:val="Subtitle Char"/>
    <w:basedOn w:val="DefaultParagraphFont"/>
    <w:link w:val="Subtitle"/>
    <w:uiPriority w:val="11"/>
    <w:rsid w:val="009B2D9D"/>
    <w:rPr>
      <w:rFonts w:ascii="Cambria" w:eastAsia="Times New Roman" w:hAnsi="Cambria" w:cs="Times New Roman"/>
      <w:i/>
      <w:iCs/>
      <w:color w:val="4F81BD"/>
      <w:spacing w:val="15"/>
      <w:kern w:val="0"/>
      <w:sz w:val="24"/>
      <w:szCs w:val="24"/>
      <w14:ligatures w14:val="none"/>
    </w:rPr>
  </w:style>
  <w:style w:type="paragraph" w:customStyle="1" w:styleId="xmsonormal">
    <w:name w:val="x_msonormal"/>
    <w:basedOn w:val="Normal"/>
    <w:rsid w:val="009B2D9D"/>
    <w:pPr>
      <w:spacing w:before="100" w:beforeAutospacing="1" w:after="100" w:afterAutospacing="1" w:line="240" w:lineRule="auto"/>
      <w:jc w:val="both"/>
    </w:pPr>
    <w:rPr>
      <w:rFonts w:ascii="Times New Roman" w:eastAsia="Times New Roman" w:hAnsi="Times New Roman" w:cs="Times New Roman"/>
      <w:kern w:val="0"/>
      <w:sz w:val="24"/>
      <w:szCs w:val="24"/>
      <w14:ligatures w14:val="none"/>
    </w:rPr>
  </w:style>
  <w:style w:type="paragraph" w:customStyle="1" w:styleId="1tekst">
    <w:name w:val="1tekst"/>
    <w:basedOn w:val="Normal"/>
    <w:rsid w:val="009B2D9D"/>
    <w:pPr>
      <w:spacing w:before="100" w:beforeAutospacing="1" w:after="100" w:afterAutospacing="1" w:line="240" w:lineRule="auto"/>
      <w:ind w:firstLine="240"/>
      <w:jc w:val="both"/>
    </w:pPr>
    <w:rPr>
      <w:rFonts w:ascii="Arial" w:eastAsia="Arial Unicode MS" w:hAnsi="Arial" w:cs="Arial"/>
      <w:kern w:val="0"/>
      <w:sz w:val="20"/>
      <w:szCs w:val="20"/>
      <w14:ligatures w14:val="none"/>
    </w:rPr>
  </w:style>
  <w:style w:type="character" w:customStyle="1" w:styleId="normalchar">
    <w:name w:val="normal__char"/>
    <w:basedOn w:val="DefaultParagraphFont"/>
    <w:rsid w:val="009B2D9D"/>
  </w:style>
  <w:style w:type="numbering" w:customStyle="1" w:styleId="Radovan">
    <w:name w:val="Radovan"/>
    <w:uiPriority w:val="99"/>
    <w:rsid w:val="009B2D9D"/>
    <w:pPr>
      <w:numPr>
        <w:numId w:val="39"/>
      </w:numPr>
    </w:pPr>
  </w:style>
  <w:style w:type="numbering" w:customStyle="1" w:styleId="Style1">
    <w:name w:val="Style1"/>
    <w:uiPriority w:val="99"/>
    <w:rsid w:val="009B2D9D"/>
    <w:pPr>
      <w:numPr>
        <w:numId w:val="40"/>
      </w:numPr>
    </w:pPr>
  </w:style>
  <w:style w:type="numbering" w:customStyle="1" w:styleId="Style2">
    <w:name w:val="Style2"/>
    <w:uiPriority w:val="99"/>
    <w:rsid w:val="009B2D9D"/>
  </w:style>
  <w:style w:type="table" w:styleId="LightShading-Accent3">
    <w:name w:val="Light Shading Accent 3"/>
    <w:basedOn w:val="TableNormal"/>
    <w:uiPriority w:val="60"/>
    <w:rsid w:val="009B2D9D"/>
    <w:pPr>
      <w:spacing w:after="0" w:line="240" w:lineRule="auto"/>
    </w:pPr>
    <w:rPr>
      <w:rFonts w:ascii="Calibri" w:eastAsia="Calibri" w:hAnsi="Calibri" w:cs="Times New Roman"/>
      <w:color w:val="7B7B7B" w:themeColor="accent3" w:themeShade="BF"/>
      <w:kern w:val="0"/>
      <w:sz w:val="20"/>
      <w:szCs w:val="20"/>
      <w14:ligatures w14:val="none"/>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paragraph" w:customStyle="1" w:styleId="default0">
    <w:name w:val="default"/>
    <w:basedOn w:val="Normal"/>
    <w:rsid w:val="009B2D9D"/>
    <w:pPr>
      <w:autoSpaceDE w:val="0"/>
      <w:autoSpaceDN w:val="0"/>
      <w:spacing w:after="0" w:line="240" w:lineRule="auto"/>
      <w:jc w:val="both"/>
    </w:pPr>
    <w:rPr>
      <w:rFonts w:ascii="Arial" w:eastAsia="Times New Roman" w:hAnsi="Arial" w:cs="Arial"/>
      <w:color w:val="000000"/>
      <w:kern w:val="0"/>
      <w:sz w:val="24"/>
      <w:szCs w:val="24"/>
      <w14:ligatures w14:val="none"/>
    </w:rPr>
  </w:style>
  <w:style w:type="character" w:customStyle="1" w:styleId="longtext">
    <w:name w:val="long_text"/>
    <w:rsid w:val="009B2D9D"/>
    <w:rPr>
      <w:rFonts w:ascii="Times New Roman" w:hAnsi="Times New Roman" w:cs="Times New Roman"/>
    </w:rPr>
  </w:style>
  <w:style w:type="paragraph" w:customStyle="1" w:styleId="colorfullist-accent11">
    <w:name w:val="colorfullist-accent11"/>
    <w:basedOn w:val="Normal"/>
    <w:uiPriority w:val="99"/>
    <w:rsid w:val="009B2D9D"/>
    <w:pPr>
      <w:spacing w:before="100" w:beforeAutospacing="1" w:after="100" w:afterAutospacing="1" w:line="240" w:lineRule="auto"/>
      <w:jc w:val="both"/>
    </w:pPr>
    <w:rPr>
      <w:rFonts w:ascii="Times New Roman" w:eastAsia="Times New Roman" w:hAnsi="Times New Roman" w:cs="Times New Roman"/>
      <w:kern w:val="0"/>
      <w:sz w:val="24"/>
      <w:szCs w:val="24"/>
      <w14:ligatures w14:val="none"/>
    </w:rPr>
  </w:style>
  <w:style w:type="character" w:styleId="HTMLTypewriter">
    <w:name w:val="HTML Typewriter"/>
    <w:basedOn w:val="DefaultParagraphFont"/>
    <w:rsid w:val="009B2D9D"/>
    <w:rPr>
      <w:rFonts w:ascii="Courier New" w:eastAsia="Calibri" w:hAnsi="Courier New" w:cs="Courier New" w:hint="default"/>
      <w:sz w:val="20"/>
      <w:szCs w:val="20"/>
    </w:rPr>
  </w:style>
  <w:style w:type="table" w:styleId="LightList-Accent2">
    <w:name w:val="Light List Accent 2"/>
    <w:basedOn w:val="TableNormal"/>
    <w:uiPriority w:val="61"/>
    <w:rsid w:val="009B2D9D"/>
    <w:pPr>
      <w:spacing w:after="0" w:line="240" w:lineRule="auto"/>
    </w:pPr>
    <w:rPr>
      <w:rFonts w:eastAsiaTheme="minorEastAsia"/>
      <w:kern w:val="0"/>
      <w:lang w:val="sr-Latn-CS" w:eastAsia="sr-Latn-CS"/>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character" w:styleId="LineNumber">
    <w:name w:val="line number"/>
    <w:basedOn w:val="DefaultParagraphFont"/>
    <w:uiPriority w:val="99"/>
    <w:semiHidden/>
    <w:unhideWhenUsed/>
    <w:rsid w:val="009B2D9D"/>
  </w:style>
  <w:style w:type="character" w:customStyle="1" w:styleId="st">
    <w:name w:val="st"/>
    <w:basedOn w:val="DefaultParagraphFont"/>
    <w:rsid w:val="009B2D9D"/>
  </w:style>
  <w:style w:type="paragraph" w:customStyle="1" w:styleId="-PodnaslovCharChar">
    <w:name w:val="- Podnaslov Char Char"/>
    <w:basedOn w:val="Normal"/>
    <w:link w:val="-PodnaslovCharCharChar"/>
    <w:qFormat/>
    <w:rsid w:val="009B2D9D"/>
    <w:pPr>
      <w:numPr>
        <w:numId w:val="42"/>
      </w:numPr>
      <w:spacing w:after="0" w:line="240" w:lineRule="auto"/>
      <w:jc w:val="both"/>
    </w:pPr>
    <w:rPr>
      <w:rFonts w:ascii="Arial" w:eastAsia="Times New Roman" w:hAnsi="Arial" w:cs="Arial"/>
      <w:b/>
      <w:bCs/>
      <w:kern w:val="0"/>
      <w:sz w:val="28"/>
      <w:szCs w:val="28"/>
      <w:lang w:val="sl-SI"/>
      <w14:ligatures w14:val="none"/>
    </w:rPr>
  </w:style>
  <w:style w:type="character" w:customStyle="1" w:styleId="-PodnaslovCharCharChar">
    <w:name w:val="- Podnaslov Char Char Char"/>
    <w:basedOn w:val="DefaultParagraphFont"/>
    <w:link w:val="-PodnaslovCharChar"/>
    <w:rsid w:val="009B2D9D"/>
    <w:rPr>
      <w:rFonts w:ascii="Arial" w:eastAsia="Times New Roman" w:hAnsi="Arial" w:cs="Arial"/>
      <w:b/>
      <w:bCs/>
      <w:kern w:val="0"/>
      <w:sz w:val="28"/>
      <w:szCs w:val="28"/>
      <w:lang w:val="sl-SI"/>
      <w14:ligatures w14:val="none"/>
    </w:rPr>
  </w:style>
  <w:style w:type="character" w:customStyle="1" w:styleId="s5">
    <w:name w:val="s5"/>
    <w:basedOn w:val="DefaultParagraphFont"/>
    <w:rsid w:val="009B2D9D"/>
  </w:style>
  <w:style w:type="paragraph" w:customStyle="1" w:styleId="ListParagraph1">
    <w:name w:val="List Paragraph1"/>
    <w:basedOn w:val="Normal"/>
    <w:uiPriority w:val="1"/>
    <w:qFormat/>
    <w:rsid w:val="009B2D9D"/>
    <w:pPr>
      <w:spacing w:before="60" w:after="200" w:line="276" w:lineRule="auto"/>
      <w:ind w:left="720"/>
      <w:jc w:val="both"/>
    </w:pPr>
    <w:rPr>
      <w:rFonts w:ascii="Calibri" w:eastAsia="Times New Roman" w:hAnsi="Calibri" w:cs="Calibri"/>
      <w:kern w:val="0"/>
      <w:sz w:val="20"/>
      <w:lang w:val="en-GB"/>
      <w14:ligatures w14:val="none"/>
    </w:rPr>
  </w:style>
  <w:style w:type="paragraph" w:customStyle="1" w:styleId="ParagraphNumbering">
    <w:name w:val="Paragraph Numbering"/>
    <w:basedOn w:val="Normal"/>
    <w:rsid w:val="009B2D9D"/>
    <w:pPr>
      <w:numPr>
        <w:numId w:val="43"/>
      </w:numPr>
      <w:tabs>
        <w:tab w:val="clear" w:pos="1004"/>
        <w:tab w:val="num" w:pos="720"/>
      </w:tabs>
      <w:spacing w:after="240" w:line="264" w:lineRule="auto"/>
      <w:ind w:left="0"/>
      <w:jc w:val="both"/>
    </w:pPr>
    <w:rPr>
      <w:rFonts w:ascii="Times New Roman" w:eastAsia="Times New Roman" w:hAnsi="Times New Roman" w:cs="Times New Roman"/>
      <w:kern w:val="0"/>
      <w:sz w:val="24"/>
      <w:szCs w:val="24"/>
      <w14:ligatures w14:val="none"/>
    </w:rPr>
  </w:style>
  <w:style w:type="paragraph" w:customStyle="1" w:styleId="Point1number">
    <w:name w:val="Point 1 (number)"/>
    <w:basedOn w:val="Normal"/>
    <w:uiPriority w:val="99"/>
    <w:rsid w:val="009B2D9D"/>
    <w:pPr>
      <w:tabs>
        <w:tab w:val="num" w:pos="850"/>
        <w:tab w:val="num" w:pos="1417"/>
        <w:tab w:val="num" w:pos="2160"/>
      </w:tabs>
      <w:spacing w:before="120" w:after="120" w:line="276" w:lineRule="auto"/>
      <w:ind w:left="1417" w:hanging="567"/>
      <w:jc w:val="both"/>
    </w:pPr>
    <w:rPr>
      <w:rFonts w:ascii="Calibri" w:eastAsia="Times New Roman" w:hAnsi="Calibri" w:cs="Times New Roman"/>
      <w:kern w:val="0"/>
      <w:sz w:val="24"/>
      <w:szCs w:val="24"/>
      <w:lang w:val="en-GB"/>
      <w14:ligatures w14:val="none"/>
    </w:rPr>
  </w:style>
  <w:style w:type="paragraph" w:customStyle="1" w:styleId="ETFBulletlevel1">
    <w:name w:val="ETF Bullet level 1"/>
    <w:basedOn w:val="Normal"/>
    <w:next w:val="Normal"/>
    <w:uiPriority w:val="99"/>
    <w:rsid w:val="009B2D9D"/>
    <w:pPr>
      <w:numPr>
        <w:numId w:val="44"/>
      </w:numPr>
      <w:tabs>
        <w:tab w:val="clear" w:pos="357"/>
        <w:tab w:val="num" w:pos="420"/>
      </w:tabs>
      <w:spacing w:before="60" w:after="140" w:line="254" w:lineRule="auto"/>
      <w:ind w:left="420" w:hanging="360"/>
      <w:jc w:val="both"/>
    </w:pPr>
    <w:rPr>
      <w:rFonts w:ascii="Arial" w:eastAsia="Calibri" w:hAnsi="Arial" w:cs="Arial"/>
      <w:color w:val="000000"/>
      <w:kern w:val="0"/>
      <w:sz w:val="20"/>
      <w:szCs w:val="20"/>
      <w:lang w:val="en-GB" w:eastAsia="ru-RU"/>
      <w14:ligatures w14:val="none"/>
    </w:rPr>
  </w:style>
  <w:style w:type="paragraph" w:customStyle="1" w:styleId="Body">
    <w:name w:val="Body"/>
    <w:rsid w:val="009B2D9D"/>
    <w:pPr>
      <w:spacing w:before="60" w:after="60" w:line="276" w:lineRule="auto"/>
    </w:pPr>
    <w:rPr>
      <w:rFonts w:ascii="Calibri" w:eastAsia="Calibri" w:hAnsi="Calibri" w:cs="Calibri"/>
      <w:color w:val="000000"/>
      <w:kern w:val="0"/>
      <w:u w:color="000000"/>
      <w:lang w:val="nl-NL"/>
      <w14:ligatures w14:val="none"/>
    </w:rPr>
  </w:style>
  <w:style w:type="paragraph" w:customStyle="1" w:styleId="LeafletText1">
    <w:name w:val="Leaflet Text 1"/>
    <w:basedOn w:val="Normal"/>
    <w:link w:val="LeafletText1Char"/>
    <w:uiPriority w:val="99"/>
    <w:rsid w:val="009B2D9D"/>
    <w:pPr>
      <w:spacing w:after="0" w:line="240" w:lineRule="auto"/>
      <w:jc w:val="both"/>
    </w:pPr>
    <w:rPr>
      <w:rFonts w:ascii="Bookman Old Style" w:eastAsia="Times New Roman" w:hAnsi="Bookman Old Style" w:cs="Bookman Old Style"/>
      <w:kern w:val="0"/>
      <w:sz w:val="16"/>
      <w:szCs w:val="16"/>
      <w:lang w:val="en-GB"/>
      <w14:ligatures w14:val="none"/>
    </w:rPr>
  </w:style>
  <w:style w:type="character" w:customStyle="1" w:styleId="LeafletText1Char">
    <w:name w:val="Leaflet Text 1 Char"/>
    <w:basedOn w:val="DefaultParagraphFont"/>
    <w:link w:val="LeafletText1"/>
    <w:uiPriority w:val="99"/>
    <w:locked/>
    <w:rsid w:val="009B2D9D"/>
    <w:rPr>
      <w:rFonts w:ascii="Bookman Old Style" w:eastAsia="Times New Roman" w:hAnsi="Bookman Old Style" w:cs="Bookman Old Style"/>
      <w:kern w:val="0"/>
      <w:sz w:val="16"/>
      <w:szCs w:val="16"/>
      <w:lang w:val="en-GB"/>
      <w14:ligatures w14:val="none"/>
    </w:rPr>
  </w:style>
  <w:style w:type="paragraph" w:customStyle="1" w:styleId="ColorfulList-Accent110">
    <w:name w:val="Colorful List - Accent 11"/>
    <w:basedOn w:val="Normal"/>
    <w:qFormat/>
    <w:rsid w:val="009B2D9D"/>
    <w:pPr>
      <w:spacing w:after="200" w:line="276" w:lineRule="auto"/>
      <w:ind w:left="720"/>
      <w:jc w:val="both"/>
    </w:pPr>
    <w:rPr>
      <w:rFonts w:ascii="Calibri" w:eastAsia="Times New Roman" w:hAnsi="Calibri" w:cs="Times New Roman"/>
      <w:noProof/>
      <w:kern w:val="0"/>
      <w:sz w:val="20"/>
      <w14:ligatures w14:val="none"/>
    </w:rPr>
  </w:style>
  <w:style w:type="paragraph" w:styleId="Quote">
    <w:name w:val="Quote"/>
    <w:basedOn w:val="Normal"/>
    <w:next w:val="Normal"/>
    <w:link w:val="QuoteChar"/>
    <w:uiPriority w:val="29"/>
    <w:qFormat/>
    <w:rsid w:val="009B2D9D"/>
    <w:pPr>
      <w:spacing w:line="256" w:lineRule="auto"/>
      <w:jc w:val="both"/>
    </w:pPr>
    <w:rPr>
      <w:rFonts w:ascii="Calibri" w:eastAsia="Calibri" w:hAnsi="Calibri" w:cs="Times New Roman"/>
      <w:i/>
      <w:iCs/>
      <w:color w:val="000000"/>
      <w:kern w:val="0"/>
      <w:sz w:val="20"/>
      <w14:ligatures w14:val="none"/>
    </w:rPr>
  </w:style>
  <w:style w:type="character" w:customStyle="1" w:styleId="QuoteChar">
    <w:name w:val="Quote Char"/>
    <w:basedOn w:val="DefaultParagraphFont"/>
    <w:link w:val="Quote"/>
    <w:uiPriority w:val="29"/>
    <w:rsid w:val="009B2D9D"/>
    <w:rPr>
      <w:rFonts w:ascii="Calibri" w:eastAsia="Calibri" w:hAnsi="Calibri" w:cs="Times New Roman"/>
      <w:i/>
      <w:iCs/>
      <w:color w:val="000000"/>
      <w:kern w:val="0"/>
      <w:sz w:val="20"/>
      <w14:ligatures w14:val="none"/>
    </w:rPr>
  </w:style>
  <w:style w:type="character" w:styleId="PlaceholderText">
    <w:name w:val="Placeholder Text"/>
    <w:basedOn w:val="DefaultParagraphFont"/>
    <w:uiPriority w:val="99"/>
    <w:semiHidden/>
    <w:rsid w:val="009B2D9D"/>
    <w:rPr>
      <w:color w:val="808080"/>
    </w:rPr>
  </w:style>
  <w:style w:type="table" w:customStyle="1" w:styleId="TableNormal1">
    <w:name w:val="Table Normal1"/>
    <w:uiPriority w:val="2"/>
    <w:semiHidden/>
    <w:unhideWhenUsed/>
    <w:qFormat/>
    <w:rsid w:val="009B2D9D"/>
    <w:pPr>
      <w:widowControl w:val="0"/>
      <w:spacing w:after="0" w:line="240" w:lineRule="auto"/>
    </w:pPr>
    <w:rPr>
      <w:kern w:val="0"/>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B2D9D"/>
    <w:pPr>
      <w:widowControl w:val="0"/>
      <w:spacing w:after="0" w:line="240" w:lineRule="auto"/>
      <w:jc w:val="both"/>
    </w:pPr>
    <w:rPr>
      <w:rFonts w:ascii="Calibri Light" w:hAnsi="Calibri Light"/>
      <w:kern w:val="0"/>
      <w:sz w:val="20"/>
      <w14:ligatures w14:val="none"/>
    </w:rPr>
  </w:style>
  <w:style w:type="numbering" w:customStyle="1" w:styleId="NoList11">
    <w:name w:val="No List11"/>
    <w:next w:val="NoList"/>
    <w:uiPriority w:val="99"/>
    <w:semiHidden/>
    <w:unhideWhenUsed/>
    <w:rsid w:val="009B2D9D"/>
  </w:style>
  <w:style w:type="numbering" w:customStyle="1" w:styleId="NoList111">
    <w:name w:val="No List111"/>
    <w:next w:val="NoList"/>
    <w:uiPriority w:val="99"/>
    <w:semiHidden/>
    <w:unhideWhenUsed/>
    <w:rsid w:val="009B2D9D"/>
  </w:style>
  <w:style w:type="character" w:customStyle="1" w:styleId="Notedebasdepage">
    <w:name w:val="Note de bas de page_"/>
    <w:link w:val="Notedebasdepage0"/>
    <w:uiPriority w:val="99"/>
    <w:rsid w:val="009B2D9D"/>
    <w:rPr>
      <w:sz w:val="17"/>
      <w:szCs w:val="17"/>
      <w:shd w:val="clear" w:color="auto" w:fill="FFFFFF"/>
    </w:rPr>
  </w:style>
  <w:style w:type="character" w:customStyle="1" w:styleId="Corpsdutexte2">
    <w:name w:val="Corps du texte (2)_"/>
    <w:link w:val="Corpsdutexte21"/>
    <w:uiPriority w:val="99"/>
    <w:rsid w:val="009B2D9D"/>
    <w:rPr>
      <w:rFonts w:ascii="Arial" w:hAnsi="Arial" w:cs="Arial"/>
      <w:sz w:val="16"/>
      <w:szCs w:val="16"/>
      <w:shd w:val="clear" w:color="auto" w:fill="FFFFFF"/>
    </w:rPr>
  </w:style>
  <w:style w:type="character" w:customStyle="1" w:styleId="Corpsdutexte20">
    <w:name w:val="Corps du texte (2)"/>
    <w:uiPriority w:val="99"/>
    <w:rsid w:val="009B2D9D"/>
    <w:rPr>
      <w:rFonts w:ascii="Arial" w:hAnsi="Arial" w:cs="Arial"/>
      <w:color w:val="000096"/>
      <w:sz w:val="16"/>
      <w:szCs w:val="16"/>
      <w:u w:val="none"/>
      <w:lang w:val="bg-BG" w:eastAsia="bg-BG"/>
    </w:rPr>
  </w:style>
  <w:style w:type="character" w:customStyle="1" w:styleId="Corpsdutexte24">
    <w:name w:val="Corps du texte (2)4"/>
    <w:uiPriority w:val="99"/>
    <w:rsid w:val="009B2D9D"/>
    <w:rPr>
      <w:rFonts w:ascii="Arial" w:hAnsi="Arial" w:cs="Arial"/>
      <w:color w:val="4B4B4B"/>
      <w:sz w:val="16"/>
      <w:szCs w:val="16"/>
      <w:u w:val="none"/>
      <w:lang w:val="de-DE" w:eastAsia="de-DE"/>
    </w:rPr>
  </w:style>
  <w:style w:type="character" w:customStyle="1" w:styleId="Corpsdutexte3">
    <w:name w:val="Corps du texte (3)_"/>
    <w:link w:val="Corpsdutexte30"/>
    <w:uiPriority w:val="99"/>
    <w:rsid w:val="009B2D9D"/>
    <w:rPr>
      <w:rFonts w:ascii="Arial" w:hAnsi="Arial" w:cs="Arial"/>
      <w:shd w:val="clear" w:color="auto" w:fill="FFFFFF"/>
      <w:lang w:val="fi-FI" w:eastAsia="fi-FI"/>
    </w:rPr>
  </w:style>
  <w:style w:type="character" w:customStyle="1" w:styleId="Corpsdutexte4">
    <w:name w:val="Corps du texte (4)_"/>
    <w:link w:val="Corpsdutexte40"/>
    <w:uiPriority w:val="99"/>
    <w:rsid w:val="009B2D9D"/>
    <w:rPr>
      <w:rFonts w:ascii="Arial" w:hAnsi="Arial" w:cs="Arial"/>
      <w:sz w:val="14"/>
      <w:szCs w:val="14"/>
      <w:shd w:val="clear" w:color="auto" w:fill="FFFFFF"/>
    </w:rPr>
  </w:style>
  <w:style w:type="character" w:customStyle="1" w:styleId="Corpsdutexte5">
    <w:name w:val="Corps du texte (5)_"/>
    <w:link w:val="Corpsdutexte50"/>
    <w:uiPriority w:val="99"/>
    <w:rsid w:val="009B2D9D"/>
    <w:rPr>
      <w:rFonts w:ascii="Times New Roman" w:hAnsi="Times New Roman"/>
      <w:b/>
      <w:bCs/>
      <w:sz w:val="31"/>
      <w:szCs w:val="31"/>
      <w:shd w:val="clear" w:color="auto" w:fill="FFFFFF"/>
      <w:lang w:val="de-DE" w:eastAsia="de-DE"/>
    </w:rPr>
  </w:style>
  <w:style w:type="character" w:customStyle="1" w:styleId="Corpsdutexte6">
    <w:name w:val="Corps du texte (6)_"/>
    <w:link w:val="Corpsdutexte60"/>
    <w:uiPriority w:val="99"/>
    <w:rsid w:val="009B2D9D"/>
    <w:rPr>
      <w:sz w:val="31"/>
      <w:szCs w:val="31"/>
      <w:shd w:val="clear" w:color="auto" w:fill="FFFFFF"/>
    </w:rPr>
  </w:style>
  <w:style w:type="character" w:customStyle="1" w:styleId="Corpsdutexte">
    <w:name w:val="Corps du texte_"/>
    <w:link w:val="Corpsdutexte1"/>
    <w:uiPriority w:val="99"/>
    <w:rsid w:val="009B2D9D"/>
    <w:rPr>
      <w:sz w:val="23"/>
      <w:szCs w:val="23"/>
      <w:shd w:val="clear" w:color="auto" w:fill="FFFFFF"/>
    </w:rPr>
  </w:style>
  <w:style w:type="character" w:customStyle="1" w:styleId="Corpsdutexte0">
    <w:name w:val="Corps du texte"/>
    <w:uiPriority w:val="99"/>
    <w:rsid w:val="009B2D9D"/>
    <w:rPr>
      <w:sz w:val="23"/>
      <w:szCs w:val="23"/>
      <w:u w:val="single"/>
    </w:rPr>
  </w:style>
  <w:style w:type="character" w:customStyle="1" w:styleId="En-tteoupieddepage">
    <w:name w:val="En-tête ou pied de page_"/>
    <w:link w:val="En-tteoupieddepage0"/>
    <w:uiPriority w:val="99"/>
    <w:rsid w:val="009B2D9D"/>
    <w:rPr>
      <w:rFonts w:ascii="Times New Roman" w:hAnsi="Times New Roman"/>
      <w:noProof/>
      <w:shd w:val="clear" w:color="auto" w:fill="FFFFFF"/>
    </w:rPr>
  </w:style>
  <w:style w:type="character" w:customStyle="1" w:styleId="En-tteoupieddepage11pt">
    <w:name w:val="En-tête ou pied de page + 11 pt"/>
    <w:uiPriority w:val="99"/>
    <w:rsid w:val="009B2D9D"/>
    <w:rPr>
      <w:rFonts w:ascii="Times New Roman" w:hAnsi="Times New Roman" w:cs="Times New Roman"/>
      <w:noProof/>
      <w:sz w:val="22"/>
      <w:szCs w:val="22"/>
      <w:u w:val="none"/>
    </w:rPr>
  </w:style>
  <w:style w:type="character" w:customStyle="1" w:styleId="CorpsdutexteItalique">
    <w:name w:val="Corps du texte + Italique"/>
    <w:uiPriority w:val="99"/>
    <w:rsid w:val="009B2D9D"/>
    <w:rPr>
      <w:i/>
      <w:iCs/>
      <w:sz w:val="23"/>
      <w:szCs w:val="23"/>
      <w:u w:val="none"/>
    </w:rPr>
  </w:style>
  <w:style w:type="character" w:customStyle="1" w:styleId="Corpsdutexte31">
    <w:name w:val="Corps du texte3"/>
    <w:uiPriority w:val="99"/>
    <w:rsid w:val="009B2D9D"/>
    <w:rPr>
      <w:sz w:val="23"/>
      <w:szCs w:val="23"/>
      <w:u w:val="none"/>
    </w:rPr>
  </w:style>
  <w:style w:type="character" w:customStyle="1" w:styleId="CorpsdutexteGras">
    <w:name w:val="Corps du texte + Gras"/>
    <w:uiPriority w:val="99"/>
    <w:rsid w:val="009B2D9D"/>
    <w:rPr>
      <w:rFonts w:ascii="Times New Roman" w:hAnsi="Times New Roman" w:cs="Times New Roman"/>
      <w:b/>
      <w:bCs/>
      <w:noProof/>
      <w:sz w:val="23"/>
      <w:szCs w:val="23"/>
      <w:u w:val="none"/>
    </w:rPr>
  </w:style>
  <w:style w:type="character" w:customStyle="1" w:styleId="CorpsdutexteGras4">
    <w:name w:val="Corps du texte + Gras4"/>
    <w:uiPriority w:val="99"/>
    <w:rsid w:val="009B2D9D"/>
    <w:rPr>
      <w:b/>
      <w:bCs/>
      <w:sz w:val="23"/>
      <w:szCs w:val="23"/>
      <w:u w:val="single"/>
    </w:rPr>
  </w:style>
  <w:style w:type="character" w:customStyle="1" w:styleId="Corpsdutexte10pt">
    <w:name w:val="Corps du texte + 10 pt"/>
    <w:uiPriority w:val="99"/>
    <w:rsid w:val="009B2D9D"/>
    <w:rPr>
      <w:color w:val="0000FF"/>
      <w:sz w:val="20"/>
      <w:szCs w:val="20"/>
      <w:u w:val="single"/>
    </w:rPr>
  </w:style>
  <w:style w:type="character" w:customStyle="1" w:styleId="Corpsdutexte7">
    <w:name w:val="Corps du texte (7)_"/>
    <w:link w:val="Corpsdutexte71"/>
    <w:uiPriority w:val="99"/>
    <w:rsid w:val="009B2D9D"/>
    <w:rPr>
      <w:b/>
      <w:bCs/>
      <w:sz w:val="23"/>
      <w:szCs w:val="23"/>
      <w:shd w:val="clear" w:color="auto" w:fill="FFFFFF"/>
    </w:rPr>
  </w:style>
  <w:style w:type="character" w:customStyle="1" w:styleId="Corpsdutexte70">
    <w:name w:val="Corps du texte (7)"/>
    <w:uiPriority w:val="99"/>
    <w:rsid w:val="009B2D9D"/>
    <w:rPr>
      <w:rFonts w:ascii="Times New Roman" w:hAnsi="Times New Roman" w:cs="Times New Roman"/>
      <w:b/>
      <w:bCs/>
      <w:sz w:val="23"/>
      <w:szCs w:val="23"/>
      <w:u w:val="single"/>
      <w:lang w:val="de-DE" w:eastAsia="de-DE"/>
    </w:rPr>
  </w:style>
  <w:style w:type="character" w:customStyle="1" w:styleId="Corpsdutexte710pt">
    <w:name w:val="Corps du texte (7) + 10 pt"/>
    <w:aliases w:val="Non Gras"/>
    <w:uiPriority w:val="99"/>
    <w:rsid w:val="009B2D9D"/>
    <w:rPr>
      <w:b/>
      <w:bCs/>
      <w:sz w:val="20"/>
      <w:szCs w:val="20"/>
      <w:u w:val="none"/>
    </w:rPr>
  </w:style>
  <w:style w:type="character" w:customStyle="1" w:styleId="Corpsdutexte8">
    <w:name w:val="Corps du texte (8)_"/>
    <w:link w:val="Corpsdutexte80"/>
    <w:uiPriority w:val="99"/>
    <w:rsid w:val="009B2D9D"/>
    <w:rPr>
      <w:i/>
      <w:iCs/>
      <w:sz w:val="21"/>
      <w:szCs w:val="21"/>
      <w:shd w:val="clear" w:color="auto" w:fill="FFFFFF"/>
    </w:rPr>
  </w:style>
  <w:style w:type="character" w:customStyle="1" w:styleId="Corpsdutexte8NonItalique">
    <w:name w:val="Corps du texte (8) + Non Italique"/>
    <w:uiPriority w:val="99"/>
    <w:rsid w:val="009B2D9D"/>
    <w:rPr>
      <w:i/>
      <w:iCs/>
      <w:sz w:val="21"/>
      <w:szCs w:val="21"/>
      <w:u w:val="none"/>
    </w:rPr>
  </w:style>
  <w:style w:type="character" w:customStyle="1" w:styleId="Corpsdutexte710pt5">
    <w:name w:val="Corps du texte (7) + 10 pt5"/>
    <w:aliases w:val="Italique,Espacement 1 pt"/>
    <w:uiPriority w:val="99"/>
    <w:rsid w:val="009B2D9D"/>
    <w:rPr>
      <w:rFonts w:ascii="Times New Roman" w:hAnsi="Times New Roman" w:cs="Times New Roman"/>
      <w:b/>
      <w:bCs/>
      <w:i/>
      <w:iCs/>
      <w:spacing w:val="20"/>
      <w:sz w:val="20"/>
      <w:szCs w:val="20"/>
      <w:u w:val="none"/>
      <w:lang w:val="sl-SI" w:eastAsia="sl-SI"/>
    </w:rPr>
  </w:style>
  <w:style w:type="character" w:customStyle="1" w:styleId="Corpsdutexte9">
    <w:name w:val="Corps du texte (9)_"/>
    <w:link w:val="Corpsdutexte90"/>
    <w:uiPriority w:val="99"/>
    <w:rsid w:val="009B2D9D"/>
    <w:rPr>
      <w:b/>
      <w:bCs/>
      <w:i/>
      <w:iCs/>
      <w:sz w:val="21"/>
      <w:szCs w:val="21"/>
      <w:shd w:val="clear" w:color="auto" w:fill="FFFFFF"/>
    </w:rPr>
  </w:style>
  <w:style w:type="character" w:customStyle="1" w:styleId="Corpsdutexte710pt4">
    <w:name w:val="Corps du texte (7) + 10 pt4"/>
    <w:aliases w:val="Non Gras2"/>
    <w:uiPriority w:val="99"/>
    <w:rsid w:val="009B2D9D"/>
    <w:rPr>
      <w:b/>
      <w:bCs/>
      <w:sz w:val="20"/>
      <w:szCs w:val="20"/>
      <w:u w:val="none"/>
    </w:rPr>
  </w:style>
  <w:style w:type="character" w:customStyle="1" w:styleId="Corpsdutexte8NonItalique3">
    <w:name w:val="Corps du texte (8) + Non Italique3"/>
    <w:uiPriority w:val="99"/>
    <w:rsid w:val="009B2D9D"/>
    <w:rPr>
      <w:i/>
      <w:iCs/>
      <w:sz w:val="21"/>
      <w:szCs w:val="21"/>
      <w:u w:val="none"/>
    </w:rPr>
  </w:style>
  <w:style w:type="character" w:customStyle="1" w:styleId="Corpsdutexte710pt3">
    <w:name w:val="Corps du texte (7) + 10 pt3"/>
    <w:aliases w:val="Italique2,Espacement 1 pt2"/>
    <w:uiPriority w:val="99"/>
    <w:rsid w:val="009B2D9D"/>
    <w:rPr>
      <w:rFonts w:ascii="Times New Roman" w:hAnsi="Times New Roman" w:cs="Times New Roman"/>
      <w:b/>
      <w:bCs/>
      <w:i/>
      <w:iCs/>
      <w:spacing w:val="20"/>
      <w:sz w:val="20"/>
      <w:szCs w:val="20"/>
      <w:u w:val="none"/>
      <w:lang w:val="sl-SI" w:eastAsia="sl-SI"/>
    </w:rPr>
  </w:style>
  <w:style w:type="character" w:customStyle="1" w:styleId="Corpsdutexte8NonItalique2">
    <w:name w:val="Corps du texte (8) + Non Italique2"/>
    <w:uiPriority w:val="99"/>
    <w:rsid w:val="009B2D9D"/>
    <w:rPr>
      <w:i/>
      <w:iCs/>
      <w:sz w:val="21"/>
      <w:szCs w:val="21"/>
      <w:u w:val="none"/>
    </w:rPr>
  </w:style>
  <w:style w:type="character" w:customStyle="1" w:styleId="Corpsdutexte710pt2">
    <w:name w:val="Corps du texte (7) + 10 pt2"/>
    <w:aliases w:val="Italique1,Espacement 1 pt1"/>
    <w:uiPriority w:val="99"/>
    <w:rsid w:val="009B2D9D"/>
    <w:rPr>
      <w:rFonts w:ascii="Times New Roman" w:hAnsi="Times New Roman" w:cs="Times New Roman"/>
      <w:b/>
      <w:bCs/>
      <w:i/>
      <w:iCs/>
      <w:spacing w:val="20"/>
      <w:sz w:val="20"/>
      <w:szCs w:val="20"/>
      <w:u w:val="none"/>
      <w:lang w:val="sl-SI" w:eastAsia="sl-SI"/>
    </w:rPr>
  </w:style>
  <w:style w:type="character" w:customStyle="1" w:styleId="Corpsdutexte710pt1">
    <w:name w:val="Corps du texte (7) + 10 pt1"/>
    <w:aliases w:val="Non Gras1"/>
    <w:uiPriority w:val="99"/>
    <w:rsid w:val="009B2D9D"/>
    <w:rPr>
      <w:b/>
      <w:bCs/>
      <w:sz w:val="20"/>
      <w:szCs w:val="20"/>
      <w:u w:val="none"/>
    </w:rPr>
  </w:style>
  <w:style w:type="character" w:customStyle="1" w:styleId="Corpsdutexte8NonItalique1">
    <w:name w:val="Corps du texte (8) + Non Italique1"/>
    <w:uiPriority w:val="99"/>
    <w:rsid w:val="009B2D9D"/>
    <w:rPr>
      <w:i/>
      <w:iCs/>
      <w:sz w:val="21"/>
      <w:szCs w:val="21"/>
      <w:u w:val="none"/>
    </w:rPr>
  </w:style>
  <w:style w:type="character" w:customStyle="1" w:styleId="En-tte1">
    <w:name w:val="En-tête #1_"/>
    <w:link w:val="En-tte11"/>
    <w:uiPriority w:val="99"/>
    <w:rsid w:val="009B2D9D"/>
    <w:rPr>
      <w:b/>
      <w:bCs/>
      <w:sz w:val="23"/>
      <w:szCs w:val="23"/>
      <w:shd w:val="clear" w:color="auto" w:fill="FFFFFF"/>
    </w:rPr>
  </w:style>
  <w:style w:type="character" w:customStyle="1" w:styleId="En-tte10">
    <w:name w:val="En-tête #1"/>
    <w:uiPriority w:val="99"/>
    <w:rsid w:val="009B2D9D"/>
    <w:rPr>
      <w:b/>
      <w:bCs/>
      <w:sz w:val="23"/>
      <w:szCs w:val="23"/>
      <w:u w:val="single"/>
    </w:rPr>
  </w:style>
  <w:style w:type="character" w:customStyle="1" w:styleId="Corpsdutexte12">
    <w:name w:val="Corps du texte (12)_"/>
    <w:link w:val="Corpsdutexte120"/>
    <w:uiPriority w:val="99"/>
    <w:rsid w:val="009B2D9D"/>
    <w:rPr>
      <w:i/>
      <w:iCs/>
      <w:sz w:val="23"/>
      <w:szCs w:val="23"/>
      <w:shd w:val="clear" w:color="auto" w:fill="FFFFFF"/>
    </w:rPr>
  </w:style>
  <w:style w:type="character" w:customStyle="1" w:styleId="Corpsdutexte10">
    <w:name w:val="Corps du texte (10)_"/>
    <w:link w:val="Corpsdutexte101"/>
    <w:uiPriority w:val="99"/>
    <w:rsid w:val="009B2D9D"/>
    <w:rPr>
      <w:rFonts w:ascii="Arial" w:hAnsi="Arial" w:cs="Arial"/>
      <w:b/>
      <w:bCs/>
      <w:sz w:val="17"/>
      <w:szCs w:val="17"/>
      <w:shd w:val="clear" w:color="auto" w:fill="FFFFFF"/>
    </w:rPr>
  </w:style>
  <w:style w:type="character" w:customStyle="1" w:styleId="Corpsdutexte100">
    <w:name w:val="Corps du texte (10)"/>
    <w:uiPriority w:val="99"/>
    <w:rsid w:val="009B2D9D"/>
    <w:rPr>
      <w:rFonts w:ascii="Arial" w:hAnsi="Arial" w:cs="Arial"/>
      <w:b/>
      <w:bCs/>
      <w:color w:val="FF0000"/>
      <w:sz w:val="17"/>
      <w:szCs w:val="17"/>
      <w:u w:val="none"/>
    </w:rPr>
  </w:style>
  <w:style w:type="character" w:customStyle="1" w:styleId="Corpsdutexte23">
    <w:name w:val="Corps du texte (2)3"/>
    <w:uiPriority w:val="99"/>
    <w:rsid w:val="009B2D9D"/>
    <w:rPr>
      <w:rFonts w:ascii="Arial" w:hAnsi="Arial" w:cs="Arial"/>
      <w:color w:val="FF0000"/>
      <w:sz w:val="16"/>
      <w:szCs w:val="16"/>
      <w:u w:val="none"/>
    </w:rPr>
  </w:style>
  <w:style w:type="character" w:customStyle="1" w:styleId="Corpsdutexte22">
    <w:name w:val="Corps du texte (2)2"/>
    <w:uiPriority w:val="99"/>
    <w:rsid w:val="009B2D9D"/>
    <w:rPr>
      <w:rFonts w:ascii="Arial" w:hAnsi="Arial" w:cs="Arial"/>
      <w:color w:val="FF0000"/>
      <w:sz w:val="16"/>
      <w:szCs w:val="16"/>
      <w:u w:val="none"/>
    </w:rPr>
  </w:style>
  <w:style w:type="character" w:customStyle="1" w:styleId="Corpsdutexte2Exact">
    <w:name w:val="Corps du texte (2) Exact"/>
    <w:uiPriority w:val="99"/>
    <w:rsid w:val="009B2D9D"/>
    <w:rPr>
      <w:rFonts w:ascii="Arial" w:hAnsi="Arial" w:cs="Arial"/>
      <w:spacing w:val="5"/>
      <w:sz w:val="15"/>
      <w:szCs w:val="15"/>
      <w:u w:val="none"/>
    </w:rPr>
  </w:style>
  <w:style w:type="character" w:customStyle="1" w:styleId="Corpsdutexte13">
    <w:name w:val="Corps du texte (13)_"/>
    <w:link w:val="Corpsdutexte130"/>
    <w:uiPriority w:val="99"/>
    <w:rsid w:val="009B2D9D"/>
    <w:rPr>
      <w:rFonts w:ascii="Times New Roman" w:hAnsi="Times New Roman"/>
      <w:sz w:val="17"/>
      <w:szCs w:val="17"/>
      <w:shd w:val="clear" w:color="auto" w:fill="FFFFFF"/>
      <w:lang w:val="sk-SK" w:eastAsia="sk-SK"/>
    </w:rPr>
  </w:style>
  <w:style w:type="character" w:customStyle="1" w:styleId="CorpsdutexteGras3">
    <w:name w:val="Corps du texte + Gras3"/>
    <w:uiPriority w:val="99"/>
    <w:rsid w:val="009B2D9D"/>
    <w:rPr>
      <w:rFonts w:ascii="Times New Roman" w:hAnsi="Times New Roman" w:cs="Times New Roman"/>
      <w:b/>
      <w:bCs/>
      <w:sz w:val="23"/>
      <w:szCs w:val="23"/>
      <w:u w:val="none"/>
      <w:lang w:val="sl-SI" w:eastAsia="sl-SI"/>
    </w:rPr>
  </w:style>
  <w:style w:type="character" w:customStyle="1" w:styleId="CorpsdutexteGras2">
    <w:name w:val="Corps du texte + Gras2"/>
    <w:uiPriority w:val="99"/>
    <w:rsid w:val="009B2D9D"/>
    <w:rPr>
      <w:rFonts w:ascii="Times New Roman" w:hAnsi="Times New Roman" w:cs="Times New Roman"/>
      <w:b/>
      <w:bCs/>
      <w:sz w:val="23"/>
      <w:szCs w:val="23"/>
      <w:u w:val="none"/>
      <w:lang w:val="sl-SI" w:eastAsia="sl-SI"/>
    </w:rPr>
  </w:style>
  <w:style w:type="character" w:customStyle="1" w:styleId="Corpsdutexte25">
    <w:name w:val="Corps du texte2"/>
    <w:uiPriority w:val="99"/>
    <w:rsid w:val="009B2D9D"/>
    <w:rPr>
      <w:sz w:val="23"/>
      <w:szCs w:val="23"/>
      <w:u w:val="none"/>
    </w:rPr>
  </w:style>
  <w:style w:type="character" w:customStyle="1" w:styleId="CorpsdutexteItalique2">
    <w:name w:val="Corps du texte + Italique2"/>
    <w:uiPriority w:val="99"/>
    <w:rsid w:val="009B2D9D"/>
    <w:rPr>
      <w:i/>
      <w:iCs/>
      <w:sz w:val="23"/>
      <w:szCs w:val="23"/>
      <w:u w:val="none"/>
    </w:rPr>
  </w:style>
  <w:style w:type="character" w:customStyle="1" w:styleId="CorpsdutexteItalique1">
    <w:name w:val="Corps du texte + Italique1"/>
    <w:uiPriority w:val="99"/>
    <w:rsid w:val="009B2D9D"/>
    <w:rPr>
      <w:i/>
      <w:iCs/>
      <w:sz w:val="23"/>
      <w:szCs w:val="23"/>
      <w:u w:val="none"/>
    </w:rPr>
  </w:style>
  <w:style w:type="character" w:customStyle="1" w:styleId="Corpsdutexte11Exact">
    <w:name w:val="Corps du texte (11) Exact"/>
    <w:link w:val="Corpsdutexte11"/>
    <w:uiPriority w:val="99"/>
    <w:rsid w:val="009B2D9D"/>
    <w:rPr>
      <w:rFonts w:ascii="Times New Roman" w:hAnsi="Times New Roman"/>
      <w:shd w:val="clear" w:color="auto" w:fill="FFFFFF"/>
      <w:lang w:val="bg-BG" w:eastAsia="bg-BG"/>
    </w:rPr>
  </w:style>
  <w:style w:type="character" w:customStyle="1" w:styleId="CorpsdutexteGras1">
    <w:name w:val="Corps du texte + Gras1"/>
    <w:uiPriority w:val="99"/>
    <w:rsid w:val="009B2D9D"/>
    <w:rPr>
      <w:rFonts w:ascii="Times New Roman" w:hAnsi="Times New Roman" w:cs="Times New Roman"/>
      <w:b/>
      <w:bCs/>
      <w:sz w:val="23"/>
      <w:szCs w:val="23"/>
      <w:u w:val="none"/>
      <w:lang w:val="sl-SI" w:eastAsia="sl-SI"/>
    </w:rPr>
  </w:style>
  <w:style w:type="character" w:customStyle="1" w:styleId="Corpsdutexte14">
    <w:name w:val="Corps du texte (14)_"/>
    <w:link w:val="Corpsdutexte140"/>
    <w:uiPriority w:val="99"/>
    <w:rsid w:val="009B2D9D"/>
    <w:rPr>
      <w:rFonts w:ascii="Arial" w:hAnsi="Arial" w:cs="Arial"/>
      <w:b/>
      <w:bCs/>
      <w:i/>
      <w:iCs/>
      <w:sz w:val="17"/>
      <w:szCs w:val="17"/>
      <w:shd w:val="clear" w:color="auto" w:fill="FFFFFF"/>
    </w:rPr>
  </w:style>
  <w:style w:type="character" w:customStyle="1" w:styleId="En-tte12">
    <w:name w:val="En-tête #12"/>
    <w:uiPriority w:val="99"/>
    <w:rsid w:val="009B2D9D"/>
    <w:rPr>
      <w:rFonts w:ascii="Times New Roman" w:hAnsi="Times New Roman" w:cs="Times New Roman"/>
      <w:b/>
      <w:bCs/>
      <w:noProof/>
      <w:sz w:val="23"/>
      <w:szCs w:val="23"/>
      <w:u w:val="single"/>
    </w:rPr>
  </w:style>
  <w:style w:type="paragraph" w:customStyle="1" w:styleId="Notedebasdepage0">
    <w:name w:val="Note de bas de page"/>
    <w:basedOn w:val="Normal"/>
    <w:link w:val="Notedebasdepage"/>
    <w:uiPriority w:val="99"/>
    <w:rsid w:val="009B2D9D"/>
    <w:pPr>
      <w:shd w:val="clear" w:color="auto" w:fill="FFFFFF"/>
      <w:spacing w:after="0" w:line="206" w:lineRule="exact"/>
      <w:ind w:hanging="180"/>
      <w:jc w:val="both"/>
    </w:pPr>
    <w:rPr>
      <w:sz w:val="17"/>
      <w:szCs w:val="17"/>
    </w:rPr>
  </w:style>
  <w:style w:type="paragraph" w:customStyle="1" w:styleId="Corpsdutexte21">
    <w:name w:val="Corps du texte (2)1"/>
    <w:basedOn w:val="Normal"/>
    <w:link w:val="Corpsdutexte2"/>
    <w:uiPriority w:val="99"/>
    <w:rsid w:val="009B2D9D"/>
    <w:pPr>
      <w:shd w:val="clear" w:color="auto" w:fill="FFFFFF"/>
      <w:spacing w:after="720" w:line="240" w:lineRule="atLeast"/>
      <w:jc w:val="right"/>
    </w:pPr>
    <w:rPr>
      <w:rFonts w:ascii="Arial" w:hAnsi="Arial" w:cs="Arial"/>
      <w:sz w:val="16"/>
      <w:szCs w:val="16"/>
    </w:rPr>
  </w:style>
  <w:style w:type="paragraph" w:customStyle="1" w:styleId="Corpsdutexte30">
    <w:name w:val="Corps du texte (3)"/>
    <w:basedOn w:val="Normal"/>
    <w:link w:val="Corpsdutexte3"/>
    <w:uiPriority w:val="99"/>
    <w:rsid w:val="009B2D9D"/>
    <w:pPr>
      <w:shd w:val="clear" w:color="auto" w:fill="FFFFFF"/>
      <w:spacing w:before="720" w:after="60" w:line="240" w:lineRule="atLeast"/>
      <w:jc w:val="both"/>
    </w:pPr>
    <w:rPr>
      <w:rFonts w:ascii="Arial" w:hAnsi="Arial" w:cs="Arial"/>
      <w:lang w:val="fi-FI" w:eastAsia="fi-FI"/>
    </w:rPr>
  </w:style>
  <w:style w:type="paragraph" w:customStyle="1" w:styleId="Corpsdutexte40">
    <w:name w:val="Corps du texte (4)"/>
    <w:basedOn w:val="Normal"/>
    <w:link w:val="Corpsdutexte4"/>
    <w:uiPriority w:val="99"/>
    <w:rsid w:val="009B2D9D"/>
    <w:pPr>
      <w:shd w:val="clear" w:color="auto" w:fill="FFFFFF"/>
      <w:spacing w:before="60" w:after="5340" w:line="240" w:lineRule="atLeast"/>
      <w:jc w:val="both"/>
    </w:pPr>
    <w:rPr>
      <w:rFonts w:ascii="Arial" w:hAnsi="Arial" w:cs="Arial"/>
      <w:sz w:val="14"/>
      <w:szCs w:val="14"/>
    </w:rPr>
  </w:style>
  <w:style w:type="paragraph" w:customStyle="1" w:styleId="Corpsdutexte50">
    <w:name w:val="Corps du texte (5)"/>
    <w:basedOn w:val="Normal"/>
    <w:link w:val="Corpsdutexte5"/>
    <w:uiPriority w:val="99"/>
    <w:rsid w:val="009B2D9D"/>
    <w:pPr>
      <w:shd w:val="clear" w:color="auto" w:fill="FFFFFF"/>
      <w:spacing w:before="5340" w:after="1800" w:line="370" w:lineRule="exact"/>
      <w:jc w:val="both"/>
    </w:pPr>
    <w:rPr>
      <w:rFonts w:ascii="Times New Roman" w:hAnsi="Times New Roman"/>
      <w:b/>
      <w:bCs/>
      <w:sz w:val="31"/>
      <w:szCs w:val="31"/>
      <w:lang w:val="de-DE" w:eastAsia="de-DE"/>
    </w:rPr>
  </w:style>
  <w:style w:type="paragraph" w:customStyle="1" w:styleId="Corpsdutexte60">
    <w:name w:val="Corps du texte (6)"/>
    <w:basedOn w:val="Normal"/>
    <w:link w:val="Corpsdutexte6"/>
    <w:uiPriority w:val="99"/>
    <w:rsid w:val="009B2D9D"/>
    <w:pPr>
      <w:shd w:val="clear" w:color="auto" w:fill="FFFFFF"/>
      <w:spacing w:before="1800" w:after="0" w:line="240" w:lineRule="atLeast"/>
      <w:jc w:val="both"/>
    </w:pPr>
    <w:rPr>
      <w:sz w:val="31"/>
      <w:szCs w:val="31"/>
    </w:rPr>
  </w:style>
  <w:style w:type="paragraph" w:customStyle="1" w:styleId="Corpsdutexte1">
    <w:name w:val="Corps du texte1"/>
    <w:basedOn w:val="Normal"/>
    <w:link w:val="Corpsdutexte"/>
    <w:uiPriority w:val="99"/>
    <w:rsid w:val="009B2D9D"/>
    <w:pPr>
      <w:shd w:val="clear" w:color="auto" w:fill="FFFFFF"/>
      <w:spacing w:after="300" w:line="240" w:lineRule="atLeast"/>
      <w:jc w:val="both"/>
    </w:pPr>
    <w:rPr>
      <w:sz w:val="23"/>
      <w:szCs w:val="23"/>
    </w:rPr>
  </w:style>
  <w:style w:type="paragraph" w:customStyle="1" w:styleId="En-tteoupieddepage0">
    <w:name w:val="En-tête ou pied de page"/>
    <w:basedOn w:val="Normal"/>
    <w:link w:val="En-tteoupieddepage"/>
    <w:uiPriority w:val="99"/>
    <w:rsid w:val="009B2D9D"/>
    <w:pPr>
      <w:shd w:val="clear" w:color="auto" w:fill="FFFFFF"/>
      <w:spacing w:after="0" w:line="240" w:lineRule="auto"/>
      <w:jc w:val="both"/>
    </w:pPr>
    <w:rPr>
      <w:rFonts w:ascii="Times New Roman" w:hAnsi="Times New Roman"/>
      <w:noProof/>
    </w:rPr>
  </w:style>
  <w:style w:type="paragraph" w:customStyle="1" w:styleId="Corpsdutexte71">
    <w:name w:val="Corps du texte (7)1"/>
    <w:basedOn w:val="Normal"/>
    <w:link w:val="Corpsdutexte7"/>
    <w:uiPriority w:val="99"/>
    <w:rsid w:val="009B2D9D"/>
    <w:pPr>
      <w:shd w:val="clear" w:color="auto" w:fill="FFFFFF"/>
      <w:spacing w:after="540" w:line="240" w:lineRule="atLeast"/>
      <w:jc w:val="center"/>
    </w:pPr>
    <w:rPr>
      <w:b/>
      <w:bCs/>
      <w:sz w:val="23"/>
      <w:szCs w:val="23"/>
    </w:rPr>
  </w:style>
  <w:style w:type="paragraph" w:customStyle="1" w:styleId="Corpsdutexte80">
    <w:name w:val="Corps du texte (8)"/>
    <w:basedOn w:val="Normal"/>
    <w:link w:val="Corpsdutexte8"/>
    <w:uiPriority w:val="99"/>
    <w:rsid w:val="009B2D9D"/>
    <w:pPr>
      <w:shd w:val="clear" w:color="auto" w:fill="FFFFFF"/>
      <w:spacing w:before="180" w:after="180" w:line="240" w:lineRule="atLeast"/>
      <w:ind w:hanging="340"/>
      <w:jc w:val="both"/>
    </w:pPr>
    <w:rPr>
      <w:i/>
      <w:iCs/>
      <w:sz w:val="21"/>
      <w:szCs w:val="21"/>
    </w:rPr>
  </w:style>
  <w:style w:type="paragraph" w:customStyle="1" w:styleId="Corpsdutexte90">
    <w:name w:val="Corps du texte (9)"/>
    <w:basedOn w:val="Normal"/>
    <w:link w:val="Corpsdutexte9"/>
    <w:uiPriority w:val="99"/>
    <w:rsid w:val="009B2D9D"/>
    <w:pPr>
      <w:shd w:val="clear" w:color="auto" w:fill="FFFFFF"/>
      <w:spacing w:before="300" w:after="300" w:line="240" w:lineRule="atLeast"/>
      <w:jc w:val="both"/>
    </w:pPr>
    <w:rPr>
      <w:b/>
      <w:bCs/>
      <w:i/>
      <w:iCs/>
      <w:sz w:val="21"/>
      <w:szCs w:val="21"/>
    </w:rPr>
  </w:style>
  <w:style w:type="paragraph" w:customStyle="1" w:styleId="En-tte11">
    <w:name w:val="En-tête #11"/>
    <w:basedOn w:val="Normal"/>
    <w:link w:val="En-tte1"/>
    <w:uiPriority w:val="99"/>
    <w:rsid w:val="009B2D9D"/>
    <w:pPr>
      <w:shd w:val="clear" w:color="auto" w:fill="FFFFFF"/>
      <w:spacing w:after="600" w:line="240" w:lineRule="atLeast"/>
      <w:ind w:hanging="360"/>
      <w:jc w:val="center"/>
      <w:outlineLvl w:val="0"/>
    </w:pPr>
    <w:rPr>
      <w:b/>
      <w:bCs/>
      <w:sz w:val="23"/>
      <w:szCs w:val="23"/>
    </w:rPr>
  </w:style>
  <w:style w:type="paragraph" w:customStyle="1" w:styleId="Corpsdutexte120">
    <w:name w:val="Corps du texte (12)"/>
    <w:basedOn w:val="Normal"/>
    <w:link w:val="Corpsdutexte12"/>
    <w:uiPriority w:val="99"/>
    <w:rsid w:val="009B2D9D"/>
    <w:pPr>
      <w:shd w:val="clear" w:color="auto" w:fill="FFFFFF"/>
      <w:spacing w:before="300" w:after="180" w:line="274" w:lineRule="exact"/>
      <w:ind w:hanging="360"/>
      <w:jc w:val="both"/>
    </w:pPr>
    <w:rPr>
      <w:i/>
      <w:iCs/>
      <w:sz w:val="23"/>
      <w:szCs w:val="23"/>
    </w:rPr>
  </w:style>
  <w:style w:type="paragraph" w:customStyle="1" w:styleId="Corpsdutexte101">
    <w:name w:val="Corps du texte (10)1"/>
    <w:basedOn w:val="Normal"/>
    <w:link w:val="Corpsdutexte10"/>
    <w:uiPriority w:val="99"/>
    <w:rsid w:val="009B2D9D"/>
    <w:pPr>
      <w:shd w:val="clear" w:color="auto" w:fill="FFFFFF"/>
      <w:spacing w:after="0" w:line="240" w:lineRule="atLeast"/>
      <w:jc w:val="both"/>
    </w:pPr>
    <w:rPr>
      <w:rFonts w:ascii="Arial" w:hAnsi="Arial" w:cs="Arial"/>
      <w:b/>
      <w:bCs/>
      <w:sz w:val="17"/>
      <w:szCs w:val="17"/>
    </w:rPr>
  </w:style>
  <w:style w:type="paragraph" w:customStyle="1" w:styleId="Corpsdutexte130">
    <w:name w:val="Corps du texte (13)"/>
    <w:basedOn w:val="Normal"/>
    <w:link w:val="Corpsdutexte13"/>
    <w:uiPriority w:val="99"/>
    <w:rsid w:val="009B2D9D"/>
    <w:pPr>
      <w:shd w:val="clear" w:color="auto" w:fill="FFFFFF"/>
      <w:spacing w:after="0" w:line="240" w:lineRule="atLeast"/>
      <w:jc w:val="right"/>
    </w:pPr>
    <w:rPr>
      <w:rFonts w:ascii="Times New Roman" w:hAnsi="Times New Roman"/>
      <w:sz w:val="17"/>
      <w:szCs w:val="17"/>
      <w:lang w:val="sk-SK" w:eastAsia="sk-SK"/>
    </w:rPr>
  </w:style>
  <w:style w:type="paragraph" w:customStyle="1" w:styleId="Corpsdutexte11">
    <w:name w:val="Corps du texte (11)"/>
    <w:basedOn w:val="Normal"/>
    <w:link w:val="Corpsdutexte11Exact"/>
    <w:uiPriority w:val="99"/>
    <w:rsid w:val="009B2D9D"/>
    <w:pPr>
      <w:shd w:val="clear" w:color="auto" w:fill="FFFFFF"/>
      <w:spacing w:after="0" w:line="240" w:lineRule="atLeast"/>
      <w:jc w:val="both"/>
    </w:pPr>
    <w:rPr>
      <w:rFonts w:ascii="Times New Roman" w:hAnsi="Times New Roman"/>
      <w:lang w:val="bg-BG" w:eastAsia="bg-BG"/>
    </w:rPr>
  </w:style>
  <w:style w:type="paragraph" w:customStyle="1" w:styleId="Corpsdutexte140">
    <w:name w:val="Corps du texte (14)"/>
    <w:basedOn w:val="Normal"/>
    <w:link w:val="Corpsdutexte14"/>
    <w:uiPriority w:val="99"/>
    <w:rsid w:val="009B2D9D"/>
    <w:pPr>
      <w:shd w:val="clear" w:color="auto" w:fill="FFFFFF"/>
      <w:spacing w:after="0" w:line="240" w:lineRule="atLeast"/>
      <w:jc w:val="center"/>
    </w:pPr>
    <w:rPr>
      <w:rFonts w:ascii="Arial" w:hAnsi="Arial" w:cs="Arial"/>
      <w:b/>
      <w:bCs/>
      <w:i/>
      <w:iCs/>
      <w:sz w:val="17"/>
      <w:szCs w:val="17"/>
    </w:rPr>
  </w:style>
  <w:style w:type="paragraph" w:customStyle="1" w:styleId="Logo">
    <w:name w:val="Logo"/>
    <w:basedOn w:val="Normal"/>
    <w:rsid w:val="009B2D9D"/>
    <w:pPr>
      <w:spacing w:after="0" w:line="240" w:lineRule="auto"/>
      <w:jc w:val="both"/>
    </w:pPr>
    <w:rPr>
      <w:rFonts w:ascii="Arial" w:eastAsia="Times New Roman" w:hAnsi="Arial" w:cs="Times New Roman"/>
      <w:kern w:val="0"/>
      <w:sz w:val="26"/>
      <w:szCs w:val="20"/>
      <w:lang w:val="en-GB" w:eastAsia="en-GB"/>
      <w14:ligatures w14:val="none"/>
    </w:rPr>
  </w:style>
  <w:style w:type="paragraph" w:customStyle="1" w:styleId="ZDG">
    <w:name w:val="Z_DG"/>
    <w:basedOn w:val="Logo"/>
    <w:rsid w:val="009B2D9D"/>
    <w:rPr>
      <w:sz w:val="16"/>
      <w:lang w:val="fr-FR"/>
    </w:rPr>
  </w:style>
  <w:style w:type="paragraph" w:customStyle="1" w:styleId="ZD">
    <w:name w:val="Z_D"/>
    <w:basedOn w:val="Logo"/>
    <w:rsid w:val="009B2D9D"/>
    <w:rPr>
      <w:sz w:val="16"/>
      <w:lang w:val="fr-FR"/>
    </w:rPr>
  </w:style>
  <w:style w:type="paragraph" w:customStyle="1" w:styleId="ListBullet1">
    <w:name w:val="List Bullet 1"/>
    <w:basedOn w:val="Normal"/>
    <w:rsid w:val="009B2D9D"/>
    <w:pPr>
      <w:numPr>
        <w:numId w:val="45"/>
      </w:numPr>
      <w:spacing w:after="240" w:line="240" w:lineRule="auto"/>
      <w:jc w:val="both"/>
    </w:pPr>
    <w:rPr>
      <w:rFonts w:ascii="Times New Roman" w:eastAsia="Times New Roman" w:hAnsi="Times New Roman" w:cs="Times New Roman"/>
      <w:kern w:val="0"/>
      <w:sz w:val="24"/>
      <w:szCs w:val="20"/>
      <w:lang w:val="en-GB"/>
      <w14:ligatures w14:val="none"/>
    </w:rPr>
  </w:style>
  <w:style w:type="table" w:styleId="TableElegant">
    <w:name w:val="Table Elegant"/>
    <w:basedOn w:val="TableNormal"/>
    <w:rsid w:val="009B2D9D"/>
    <w:pPr>
      <w:spacing w:after="0" w:line="240" w:lineRule="auto"/>
    </w:pPr>
    <w:rPr>
      <w:rFonts w:ascii="Times New Roman" w:eastAsia="Times New Roman" w:hAnsi="Times New Roman" w:cs="Times New Roman"/>
      <w:kern w:val="0"/>
      <w:sz w:val="20"/>
      <w:szCs w:val="20"/>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Normal8pt">
    <w:name w:val="Normal + 8 pt"/>
    <w:aliases w:val="Before:  12 pt"/>
    <w:basedOn w:val="Normal"/>
    <w:rsid w:val="009B2D9D"/>
    <w:pPr>
      <w:spacing w:before="240" w:after="180" w:line="240" w:lineRule="auto"/>
      <w:jc w:val="both"/>
    </w:pPr>
    <w:rPr>
      <w:rFonts w:ascii="Times New Roman" w:eastAsia="Times New Roman" w:hAnsi="Times New Roman" w:cs="Times New Roman"/>
      <w:kern w:val="0"/>
      <w:sz w:val="16"/>
      <w:szCs w:val="16"/>
      <w:lang w:val="en-GB" w:eastAsia="en-GB"/>
      <w14:ligatures w14:val="none"/>
    </w:rPr>
  </w:style>
  <w:style w:type="paragraph" w:customStyle="1" w:styleId="ZCom">
    <w:name w:val="Z_Com"/>
    <w:basedOn w:val="Normal"/>
    <w:next w:val="ZDGName"/>
    <w:rsid w:val="009B2D9D"/>
    <w:pPr>
      <w:autoSpaceDE w:val="0"/>
      <w:autoSpaceDN w:val="0"/>
      <w:spacing w:after="0" w:line="240" w:lineRule="auto"/>
      <w:ind w:right="85"/>
      <w:jc w:val="both"/>
    </w:pPr>
    <w:rPr>
      <w:rFonts w:ascii="Arial" w:eastAsia="Times New Roman" w:hAnsi="Arial" w:cs="Arial"/>
      <w:kern w:val="0"/>
      <w:sz w:val="24"/>
      <w:szCs w:val="24"/>
      <w:lang w:val="en-GB" w:eastAsia="en-GB"/>
      <w14:ligatures w14:val="none"/>
    </w:rPr>
  </w:style>
  <w:style w:type="paragraph" w:customStyle="1" w:styleId="ZDGName">
    <w:name w:val="Z_DGName"/>
    <w:basedOn w:val="Normal"/>
    <w:rsid w:val="009B2D9D"/>
    <w:pPr>
      <w:autoSpaceDE w:val="0"/>
      <w:autoSpaceDN w:val="0"/>
      <w:spacing w:after="0" w:line="240" w:lineRule="auto"/>
      <w:ind w:right="85"/>
      <w:jc w:val="both"/>
    </w:pPr>
    <w:rPr>
      <w:rFonts w:ascii="Arial" w:eastAsia="Times New Roman" w:hAnsi="Arial" w:cs="Arial"/>
      <w:kern w:val="0"/>
      <w:sz w:val="16"/>
      <w:szCs w:val="16"/>
      <w:lang w:val="en-GB" w:eastAsia="en-GB"/>
      <w14:ligatures w14:val="none"/>
    </w:rPr>
  </w:style>
  <w:style w:type="paragraph" w:customStyle="1" w:styleId="Heading4a">
    <w:name w:val="Heading 4a"/>
    <w:basedOn w:val="Heading3"/>
    <w:rsid w:val="009B2D9D"/>
    <w:pPr>
      <w:keepLines w:val="0"/>
      <w:tabs>
        <w:tab w:val="left" w:pos="510"/>
        <w:tab w:val="num" w:pos="851"/>
      </w:tabs>
      <w:spacing w:before="300" w:after="120" w:line="240" w:lineRule="auto"/>
      <w:ind w:left="851" w:hanging="567"/>
      <w:jc w:val="both"/>
    </w:pPr>
    <w:rPr>
      <w:rFonts w:ascii="Times New Roman Bold" w:eastAsia="Times New Roman" w:hAnsi="Times New Roman Bold" w:cs="Times New Roman"/>
      <w:b/>
      <w:caps/>
      <w:color w:val="auto"/>
      <w:kern w:val="0"/>
      <w:sz w:val="23"/>
      <w:szCs w:val="23"/>
      <w:lang w:val="en-GB" w:eastAsia="en-GB"/>
      <w14:ligatures w14:val="none"/>
    </w:rPr>
  </w:style>
  <w:style w:type="numbering" w:customStyle="1" w:styleId="NoList1111">
    <w:name w:val="No List1111"/>
    <w:next w:val="NoList"/>
    <w:uiPriority w:val="99"/>
    <w:semiHidden/>
    <w:unhideWhenUsed/>
    <w:rsid w:val="009B2D9D"/>
  </w:style>
  <w:style w:type="character" w:customStyle="1" w:styleId="BodyTextChar1">
    <w:name w:val="Body Text Char1"/>
    <w:basedOn w:val="DefaultParagraphFont"/>
    <w:uiPriority w:val="99"/>
    <w:semiHidden/>
    <w:rsid w:val="009B2D9D"/>
    <w:rPr>
      <w:rFonts w:ascii="Times New Roman" w:eastAsia="Times New Roman" w:hAnsi="Times New Roman" w:cs="Times New Roman"/>
      <w:color w:val="000000"/>
      <w:sz w:val="24"/>
      <w:szCs w:val="24"/>
    </w:rPr>
  </w:style>
  <w:style w:type="table" w:customStyle="1" w:styleId="TableNormal11">
    <w:name w:val="Table Normal11"/>
    <w:uiPriority w:val="2"/>
    <w:semiHidden/>
    <w:unhideWhenUsed/>
    <w:qFormat/>
    <w:rsid w:val="009B2D9D"/>
    <w:pPr>
      <w:widowControl w:val="0"/>
      <w:spacing w:after="0" w:line="240" w:lineRule="auto"/>
    </w:pPr>
    <w:rPr>
      <w:kern w:val="0"/>
      <w14:ligatures w14:val="none"/>
    </w:rPr>
    <w:tblPr>
      <w:tblInd w:w="0" w:type="dxa"/>
      <w:tblCellMar>
        <w:top w:w="0" w:type="dxa"/>
        <w:left w:w="0" w:type="dxa"/>
        <w:bottom w:w="0" w:type="dxa"/>
        <w:right w:w="0" w:type="dxa"/>
      </w:tblCellMar>
    </w:tblPr>
  </w:style>
  <w:style w:type="table" w:customStyle="1" w:styleId="PERstyle">
    <w:name w:val="PER style"/>
    <w:basedOn w:val="TableNormal"/>
    <w:uiPriority w:val="99"/>
    <w:rsid w:val="009B2D9D"/>
    <w:pPr>
      <w:spacing w:after="0" w:line="240" w:lineRule="auto"/>
    </w:pPr>
    <w:rPr>
      <w:kern w:val="0"/>
      <w:lang w:val="en-GB"/>
      <w14:ligatures w14:val="none"/>
    </w:rPr>
    <w:tblPr/>
  </w:style>
  <w:style w:type="table" w:customStyle="1" w:styleId="PlainTable41">
    <w:name w:val="Plain Table 41"/>
    <w:basedOn w:val="TableNormal"/>
    <w:uiPriority w:val="44"/>
    <w:rsid w:val="009B2D9D"/>
    <w:pPr>
      <w:spacing w:after="0" w:line="240" w:lineRule="auto"/>
    </w:pPr>
    <w:rPr>
      <w:kern w:val="0"/>
      <w:lang w:val="en-GB"/>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Nabrajanje">
    <w:name w:val="_Nabrajanje"/>
    <w:basedOn w:val="Normal"/>
    <w:link w:val="NabrajanjeChar"/>
    <w:qFormat/>
    <w:rsid w:val="009B2D9D"/>
    <w:pPr>
      <w:numPr>
        <w:numId w:val="38"/>
      </w:numPr>
      <w:spacing w:after="0" w:line="240" w:lineRule="auto"/>
      <w:jc w:val="both"/>
    </w:pPr>
    <w:rPr>
      <w:rFonts w:asciiTheme="majorHAnsi" w:hAnsiTheme="majorHAnsi" w:cstheme="majorHAnsi"/>
      <w:kern w:val="0"/>
      <w:sz w:val="20"/>
      <w14:ligatures w14:val="none"/>
    </w:rPr>
  </w:style>
  <w:style w:type="paragraph" w:customStyle="1" w:styleId="Tabela0">
    <w:name w:val="_Tabela"/>
    <w:basedOn w:val="Normal"/>
    <w:link w:val="TabelaChar0"/>
    <w:qFormat/>
    <w:rsid w:val="009B2D9D"/>
    <w:pPr>
      <w:spacing w:after="80" w:line="240" w:lineRule="auto"/>
      <w:jc w:val="both"/>
    </w:pPr>
    <w:rPr>
      <w:rFonts w:ascii="Calibri Light" w:eastAsia="Calibri" w:hAnsi="Calibri Light" w:cs="Times New Roman"/>
      <w:b/>
      <w:i/>
      <w:color w:val="808080" w:themeColor="background1" w:themeShade="80"/>
      <w:kern w:val="0"/>
      <w:sz w:val="18"/>
      <w:szCs w:val="18"/>
      <w14:ligatures w14:val="none"/>
    </w:rPr>
  </w:style>
  <w:style w:type="character" w:customStyle="1" w:styleId="NabrajanjeChar">
    <w:name w:val="_Nabrajanje Char"/>
    <w:basedOn w:val="DefaultParagraphFont"/>
    <w:link w:val="Nabrajanje"/>
    <w:rsid w:val="009B2D9D"/>
    <w:rPr>
      <w:rFonts w:asciiTheme="majorHAnsi" w:hAnsiTheme="majorHAnsi" w:cstheme="majorHAnsi"/>
      <w:kern w:val="0"/>
      <w:sz w:val="20"/>
      <w14:ligatures w14:val="none"/>
    </w:rPr>
  </w:style>
  <w:style w:type="paragraph" w:customStyle="1" w:styleId="Grafik">
    <w:name w:val="_Grafik"/>
    <w:basedOn w:val="Normal"/>
    <w:link w:val="GrafikChar"/>
    <w:qFormat/>
    <w:rsid w:val="009B2D9D"/>
    <w:pPr>
      <w:spacing w:after="0" w:line="240" w:lineRule="auto"/>
      <w:jc w:val="both"/>
    </w:pPr>
    <w:rPr>
      <w:rFonts w:asciiTheme="majorHAnsi" w:hAnsiTheme="majorHAnsi" w:cs="Times New Roman"/>
      <w:b/>
      <w:i/>
      <w:iCs/>
      <w:color w:val="808080" w:themeColor="background1" w:themeShade="80"/>
      <w:kern w:val="0"/>
      <w:sz w:val="18"/>
      <w:szCs w:val="18"/>
      <w14:ligatures w14:val="none"/>
    </w:rPr>
  </w:style>
  <w:style w:type="character" w:customStyle="1" w:styleId="TabelaChar0">
    <w:name w:val="_Tabela Char"/>
    <w:basedOn w:val="DefaultParagraphFont"/>
    <w:link w:val="Tabela0"/>
    <w:rsid w:val="009B2D9D"/>
    <w:rPr>
      <w:rFonts w:ascii="Calibri Light" w:eastAsia="Calibri" w:hAnsi="Calibri Light" w:cs="Times New Roman"/>
      <w:b/>
      <w:i/>
      <w:color w:val="808080" w:themeColor="background1" w:themeShade="80"/>
      <w:kern w:val="0"/>
      <w:sz w:val="18"/>
      <w:szCs w:val="18"/>
      <w14:ligatures w14:val="none"/>
    </w:rPr>
  </w:style>
  <w:style w:type="character" w:customStyle="1" w:styleId="GrafikChar">
    <w:name w:val="_Grafik Char"/>
    <w:basedOn w:val="DefaultParagraphFont"/>
    <w:link w:val="Grafik"/>
    <w:rsid w:val="009B2D9D"/>
    <w:rPr>
      <w:rFonts w:asciiTheme="majorHAnsi" w:hAnsiTheme="majorHAnsi" w:cs="Times New Roman"/>
      <w:b/>
      <w:i/>
      <w:iCs/>
      <w:color w:val="808080" w:themeColor="background1" w:themeShade="80"/>
      <w:kern w:val="0"/>
      <w:sz w:val="18"/>
      <w:szCs w:val="18"/>
      <w14:ligatures w14:val="none"/>
    </w:rPr>
  </w:style>
  <w:style w:type="numbering" w:customStyle="1" w:styleId="Style11">
    <w:name w:val="Style11"/>
    <w:uiPriority w:val="99"/>
    <w:rsid w:val="009B2D9D"/>
  </w:style>
  <w:style w:type="table" w:customStyle="1" w:styleId="ListTable1Light-Accent11">
    <w:name w:val="List Table 1 Light - Accent 11"/>
    <w:basedOn w:val="TableNormal"/>
    <w:uiPriority w:val="46"/>
    <w:rsid w:val="009B2D9D"/>
    <w:pPr>
      <w:spacing w:after="0" w:line="240" w:lineRule="auto"/>
    </w:pPr>
    <w:rPr>
      <w:kern w:val="0"/>
      <w14:ligatures w14:val="none"/>
    </w:r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5Dark-Accent11">
    <w:name w:val="Grid Table 5 Dark - Accent 11"/>
    <w:basedOn w:val="TableNormal"/>
    <w:uiPriority w:val="50"/>
    <w:rsid w:val="009B2D9D"/>
    <w:pPr>
      <w:spacing w:after="0" w:line="240" w:lineRule="auto"/>
    </w:pPr>
    <w:rPr>
      <w:kern w:val="0"/>
      <w:lang w:val="en-GB"/>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GridTable5Dark-Accent12">
    <w:name w:val="Grid Table 5 Dark - Accent 12"/>
    <w:basedOn w:val="TableNormal"/>
    <w:uiPriority w:val="50"/>
    <w:rsid w:val="009B2D9D"/>
    <w:pPr>
      <w:spacing w:after="0" w:line="240" w:lineRule="auto"/>
    </w:pPr>
    <w:rPr>
      <w:kern w:val="0"/>
      <w:lang w:val="en-GB"/>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ListTable4-Accent11">
    <w:name w:val="List Table 4 - Accent 11"/>
    <w:basedOn w:val="TableNormal"/>
    <w:uiPriority w:val="49"/>
    <w:rsid w:val="009B2D9D"/>
    <w:pPr>
      <w:spacing w:after="0" w:line="240" w:lineRule="auto"/>
    </w:pPr>
    <w:rPr>
      <w:kern w:val="0"/>
      <w:lang w:val="en-GB"/>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1Light-Accent41">
    <w:name w:val="List Table 1 Light - Accent 41"/>
    <w:basedOn w:val="TableNormal"/>
    <w:uiPriority w:val="46"/>
    <w:rsid w:val="009B2D9D"/>
    <w:pPr>
      <w:spacing w:after="0" w:line="240" w:lineRule="auto"/>
    </w:pPr>
    <w:rPr>
      <w:kern w:val="0"/>
      <w14:ligatures w14:val="none"/>
    </w:r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4">
    <w:name w:val="Grid Table 4 Accent 4"/>
    <w:basedOn w:val="TableNormal"/>
    <w:uiPriority w:val="49"/>
    <w:rsid w:val="009B2D9D"/>
    <w:pPr>
      <w:spacing w:after="0" w:line="240" w:lineRule="auto"/>
    </w:pPr>
    <w:rPr>
      <w:kern w:val="0"/>
      <w14:ligatures w14:val="none"/>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4">
    <w:name w:val="List Table 4 Accent 4"/>
    <w:basedOn w:val="TableNormal"/>
    <w:uiPriority w:val="49"/>
    <w:rsid w:val="009B2D9D"/>
    <w:pPr>
      <w:spacing w:after="0" w:line="240" w:lineRule="auto"/>
    </w:pPr>
    <w:rPr>
      <w:kern w:val="0"/>
      <w14:ligatures w14:val="none"/>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5Dark-Accent1">
    <w:name w:val="Grid Table 5 Dark Accent 1"/>
    <w:basedOn w:val="TableNormal"/>
    <w:uiPriority w:val="50"/>
    <w:rsid w:val="009B2D9D"/>
    <w:pPr>
      <w:spacing w:after="0" w:line="240" w:lineRule="auto"/>
    </w:pPr>
    <w:rPr>
      <w:kern w:val="0"/>
      <w:lang w:val="sr-Latn-RS"/>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4-Accent1">
    <w:name w:val="Grid Table 4 Accent 1"/>
    <w:basedOn w:val="TableNormal"/>
    <w:uiPriority w:val="49"/>
    <w:rsid w:val="009B2D9D"/>
    <w:pPr>
      <w:spacing w:after="0" w:line="240" w:lineRule="auto"/>
    </w:pPr>
    <w:rPr>
      <w:kern w:val="0"/>
      <w:lang w:val="en-GB"/>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7Colorful-Accent1">
    <w:name w:val="List Table 7 Colorful Accent 1"/>
    <w:basedOn w:val="TableNormal"/>
    <w:uiPriority w:val="52"/>
    <w:rsid w:val="009B2D9D"/>
    <w:pPr>
      <w:spacing w:after="0" w:line="240" w:lineRule="auto"/>
    </w:pPr>
    <w:rPr>
      <w:color w:val="2F5496" w:themeColor="accent1" w:themeShade="BF"/>
      <w:kern w:val="0"/>
      <w:lang w:val="en-GB"/>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6Colorful-Accent5">
    <w:name w:val="List Table 6 Colorful Accent 5"/>
    <w:basedOn w:val="TableNormal"/>
    <w:uiPriority w:val="51"/>
    <w:rsid w:val="009B2D9D"/>
    <w:pPr>
      <w:spacing w:after="0" w:line="240" w:lineRule="auto"/>
    </w:pPr>
    <w:rPr>
      <w:color w:val="2E74B5" w:themeColor="accent5" w:themeShade="BF"/>
      <w:kern w:val="0"/>
      <w:lang w:val="en-GB"/>
      <w14:ligatures w14:val="none"/>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7Colorful-Accent1">
    <w:name w:val="Grid Table 7 Colorful Accent 1"/>
    <w:basedOn w:val="TableNormal"/>
    <w:uiPriority w:val="52"/>
    <w:rsid w:val="009B2D9D"/>
    <w:pPr>
      <w:spacing w:after="0" w:line="240" w:lineRule="auto"/>
    </w:pPr>
    <w:rPr>
      <w:color w:val="2F5496" w:themeColor="accent1" w:themeShade="BF"/>
      <w:kern w:val="0"/>
      <w:lang w:val="en-GB"/>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LightShading-Accent111">
    <w:name w:val="Light Shading - Accent 111"/>
    <w:basedOn w:val="TableNormal"/>
    <w:uiPriority w:val="60"/>
    <w:rsid w:val="009B2D9D"/>
    <w:pPr>
      <w:spacing w:after="0" w:line="240" w:lineRule="auto"/>
    </w:pPr>
    <w:rPr>
      <w:rFonts w:ascii="Calibri" w:eastAsia="Times New Roman" w:hAnsi="Calibri" w:cs="Times New Roman"/>
      <w:color w:val="365F91"/>
      <w:kern w:val="0"/>
      <w:sz w:val="20"/>
      <w:szCs w:val="20"/>
      <w:lang w:val="sr-Latn-CS" w:eastAsia="sr-Latn-CS" w:bidi="en-US"/>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stTable6Colorful-Accent1">
    <w:name w:val="List Table 6 Colorful Accent 1"/>
    <w:basedOn w:val="TableNormal"/>
    <w:uiPriority w:val="51"/>
    <w:rsid w:val="009B2D9D"/>
    <w:pPr>
      <w:spacing w:after="0" w:line="240" w:lineRule="auto"/>
    </w:pPr>
    <w:rPr>
      <w:color w:val="2F5496" w:themeColor="accent1" w:themeShade="BF"/>
      <w:kern w:val="0"/>
      <w:lang w:val="en-GB"/>
      <w14:ligatures w14:val="none"/>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6Colorful-Accent11">
    <w:name w:val="List Table 6 Colorful - Accent 11"/>
    <w:basedOn w:val="TableNormal"/>
    <w:next w:val="ListTable6Colorful-Accent1"/>
    <w:uiPriority w:val="51"/>
    <w:rsid w:val="009B2D9D"/>
    <w:pPr>
      <w:spacing w:after="0" w:line="240" w:lineRule="auto"/>
    </w:pPr>
    <w:rPr>
      <w:color w:val="2F5496" w:themeColor="accent1" w:themeShade="BF"/>
      <w:kern w:val="0"/>
      <w:lang w:val="en-GB"/>
      <w14:ligatures w14:val="none"/>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ghtShading-Accent112">
    <w:name w:val="Light Shading - Accent 112"/>
    <w:basedOn w:val="TableNormal"/>
    <w:uiPriority w:val="60"/>
    <w:rsid w:val="009B2D9D"/>
    <w:pPr>
      <w:spacing w:after="0" w:line="240" w:lineRule="auto"/>
    </w:pPr>
    <w:rPr>
      <w:color w:val="2F5496" w:themeColor="accent1" w:themeShade="BF"/>
      <w:kern w:val="0"/>
      <w:lang w:val="en-GB"/>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paragraph" w:customStyle="1" w:styleId="Guidelines1">
    <w:name w:val="Guidelines 1"/>
    <w:basedOn w:val="Normal"/>
    <w:autoRedefine/>
    <w:qFormat/>
    <w:rsid w:val="009B2D9D"/>
    <w:pPr>
      <w:widowControl w:val="0"/>
      <w:numPr>
        <w:numId w:val="47"/>
      </w:numPr>
      <w:spacing w:after="360" w:line="240" w:lineRule="auto"/>
      <w:jc w:val="both"/>
    </w:pPr>
    <w:rPr>
      <w:rFonts w:ascii="Times New Roman Bold" w:eastAsia="Times New Roman" w:hAnsi="Times New Roman Bold" w:cs="Times New Roman"/>
      <w:b/>
      <w:caps/>
      <w:snapToGrid w:val="0"/>
      <w:kern w:val="0"/>
      <w:sz w:val="20"/>
      <w:szCs w:val="20"/>
      <w:lang w:val="en-GB"/>
      <w14:ligatures w14:val="none"/>
    </w:rPr>
  </w:style>
  <w:style w:type="paragraph" w:customStyle="1" w:styleId="Guidelines2">
    <w:name w:val="Guidelines 2"/>
    <w:basedOn w:val="Normal"/>
    <w:next w:val="Normal"/>
    <w:autoRedefine/>
    <w:qFormat/>
    <w:rsid w:val="009B2D9D"/>
    <w:pPr>
      <w:numPr>
        <w:ilvl w:val="1"/>
        <w:numId w:val="47"/>
      </w:numPr>
      <w:spacing w:before="240" w:after="120" w:line="240" w:lineRule="auto"/>
      <w:jc w:val="both"/>
      <w:outlineLvl w:val="0"/>
    </w:pPr>
    <w:rPr>
      <w:rFonts w:asciiTheme="majorHAnsi" w:eastAsia="Times New Roman" w:hAnsiTheme="majorHAnsi" w:cs="Times New Roman"/>
      <w:smallCaps/>
      <w:snapToGrid w:val="0"/>
      <w:kern w:val="0"/>
      <w:sz w:val="24"/>
      <w:szCs w:val="24"/>
      <w:lang w:val="en-GB"/>
      <w14:ligatures w14:val="none"/>
    </w:rPr>
  </w:style>
  <w:style w:type="paragraph" w:customStyle="1" w:styleId="Guidelines3">
    <w:name w:val="Guidelines 3"/>
    <w:basedOn w:val="Normal"/>
    <w:next w:val="Normal"/>
    <w:autoRedefine/>
    <w:qFormat/>
    <w:rsid w:val="009B2D9D"/>
    <w:pPr>
      <w:keepNext/>
      <w:numPr>
        <w:ilvl w:val="2"/>
        <w:numId w:val="47"/>
      </w:numPr>
      <w:pBdr>
        <w:top w:val="single" w:sz="4" w:space="1" w:color="auto"/>
        <w:left w:val="single" w:sz="4" w:space="4" w:color="auto"/>
        <w:bottom w:val="single" w:sz="4" w:space="1" w:color="auto"/>
        <w:right w:val="single" w:sz="4" w:space="4" w:color="auto"/>
      </w:pBdr>
      <w:tabs>
        <w:tab w:val="left" w:pos="900"/>
      </w:tabs>
      <w:spacing w:before="120" w:after="0" w:line="240" w:lineRule="auto"/>
      <w:jc w:val="both"/>
    </w:pPr>
    <w:rPr>
      <w:rFonts w:ascii="Times New Roman" w:eastAsia="Times New Roman" w:hAnsi="Times New Roman" w:cs="Times New Roman"/>
      <w:b/>
      <w:i/>
      <w:snapToGrid w:val="0"/>
      <w:kern w:val="0"/>
      <w:sz w:val="24"/>
      <w:szCs w:val="20"/>
      <w:lang w:val="en-GB"/>
      <w14:ligatures w14:val="none"/>
    </w:rPr>
  </w:style>
  <w:style w:type="table" w:styleId="MediumGrid3-Accent1">
    <w:name w:val="Medium Grid 3 Accent 1"/>
    <w:basedOn w:val="TableNormal"/>
    <w:uiPriority w:val="69"/>
    <w:rsid w:val="009B2D9D"/>
    <w:pPr>
      <w:spacing w:after="0" w:line="240" w:lineRule="auto"/>
    </w:pPr>
    <w:rPr>
      <w:kern w:val="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numbering" w:customStyle="1" w:styleId="NoList2">
    <w:name w:val="No List2"/>
    <w:next w:val="NoList"/>
    <w:uiPriority w:val="99"/>
    <w:semiHidden/>
    <w:unhideWhenUsed/>
    <w:rsid w:val="009B2D9D"/>
  </w:style>
  <w:style w:type="paragraph" w:customStyle="1" w:styleId="TNN">
    <w:name w:val="TNN"/>
    <w:basedOn w:val="Normal"/>
    <w:qFormat/>
    <w:rsid w:val="009B2D9D"/>
    <w:pPr>
      <w:numPr>
        <w:numId w:val="50"/>
      </w:numPr>
      <w:spacing w:after="0" w:line="240" w:lineRule="auto"/>
      <w:contextualSpacing/>
      <w:jc w:val="both"/>
    </w:pPr>
    <w:rPr>
      <w:rFonts w:ascii="Calibri Light" w:eastAsia="Calibri" w:hAnsi="Calibri Light" w:cs="Times New Roman"/>
      <w:bCs/>
      <w:kern w:val="0"/>
      <w:sz w:val="20"/>
      <w14:ligatures w14:val="none"/>
    </w:rPr>
  </w:style>
  <w:style w:type="paragraph" w:customStyle="1" w:styleId="TNN-2">
    <w:name w:val="TNN-2"/>
    <w:basedOn w:val="Normal"/>
    <w:qFormat/>
    <w:rsid w:val="009B2D9D"/>
    <w:pPr>
      <w:numPr>
        <w:numId w:val="51"/>
      </w:numPr>
      <w:spacing w:after="0" w:line="276" w:lineRule="auto"/>
      <w:ind w:left="714" w:hanging="357"/>
      <w:contextualSpacing/>
      <w:jc w:val="both"/>
    </w:pPr>
    <w:rPr>
      <w:rFonts w:ascii="Calibri Light" w:eastAsia="Calibri" w:hAnsi="Calibri Light" w:cs="Times New Roman"/>
      <w:b/>
      <w:bCs/>
      <w:kern w:val="0"/>
      <w:sz w:val="20"/>
      <w14:ligatures w14:val="none"/>
    </w:rPr>
  </w:style>
  <w:style w:type="numbering" w:customStyle="1" w:styleId="NoList3">
    <w:name w:val="No List3"/>
    <w:next w:val="NoList"/>
    <w:uiPriority w:val="99"/>
    <w:semiHidden/>
    <w:unhideWhenUsed/>
    <w:rsid w:val="009B2D9D"/>
  </w:style>
  <w:style w:type="numbering" w:customStyle="1" w:styleId="Radovan1">
    <w:name w:val="Radovan1"/>
    <w:uiPriority w:val="99"/>
    <w:rsid w:val="009B2D9D"/>
  </w:style>
  <w:style w:type="numbering" w:customStyle="1" w:styleId="Style21">
    <w:name w:val="Style21"/>
    <w:uiPriority w:val="99"/>
    <w:rsid w:val="009B2D9D"/>
  </w:style>
  <w:style w:type="numbering" w:customStyle="1" w:styleId="NoList12">
    <w:name w:val="No List12"/>
    <w:next w:val="NoList"/>
    <w:uiPriority w:val="99"/>
    <w:semiHidden/>
    <w:unhideWhenUsed/>
    <w:rsid w:val="009B2D9D"/>
  </w:style>
  <w:style w:type="numbering" w:customStyle="1" w:styleId="NoList112">
    <w:name w:val="No List112"/>
    <w:next w:val="NoList"/>
    <w:uiPriority w:val="99"/>
    <w:semiHidden/>
    <w:unhideWhenUsed/>
    <w:rsid w:val="009B2D9D"/>
  </w:style>
  <w:style w:type="numbering" w:customStyle="1" w:styleId="Style111">
    <w:name w:val="Style111"/>
    <w:uiPriority w:val="99"/>
    <w:rsid w:val="009B2D9D"/>
  </w:style>
  <w:style w:type="table" w:customStyle="1" w:styleId="GridTable6Colorful-Accent51">
    <w:name w:val="Grid Table 6 Colorful - Accent 51"/>
    <w:basedOn w:val="TableNormal"/>
    <w:uiPriority w:val="51"/>
    <w:rsid w:val="009B2D9D"/>
    <w:pPr>
      <w:spacing w:after="0" w:line="240" w:lineRule="auto"/>
    </w:pPr>
    <w:rPr>
      <w:color w:val="2E74B5" w:themeColor="accent5" w:themeShade="BF"/>
      <w:kern w:val="0"/>
      <w:lang w:val="en-GB"/>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msonormal0">
    <w:name w:val="msonormal"/>
    <w:basedOn w:val="Normal"/>
    <w:rsid w:val="009B2D9D"/>
    <w:pPr>
      <w:spacing w:before="100" w:beforeAutospacing="1" w:after="100" w:afterAutospacing="1" w:line="240" w:lineRule="auto"/>
      <w:jc w:val="both"/>
    </w:pPr>
    <w:rPr>
      <w:rFonts w:ascii="Times New Roman" w:eastAsia="Times New Roman" w:hAnsi="Times New Roman" w:cs="Times New Roman"/>
      <w:kern w:val="0"/>
      <w:sz w:val="24"/>
      <w:szCs w:val="24"/>
      <w14:ligatures w14:val="none"/>
    </w:rPr>
  </w:style>
  <w:style w:type="paragraph" w:customStyle="1" w:styleId="xl105">
    <w:name w:val="xl105"/>
    <w:basedOn w:val="Normal"/>
    <w:rsid w:val="009B2D9D"/>
    <w:pPr>
      <w:spacing w:before="100" w:beforeAutospacing="1" w:after="100" w:afterAutospacing="1" w:line="240" w:lineRule="auto"/>
      <w:jc w:val="both"/>
    </w:pPr>
    <w:rPr>
      <w:rFonts w:ascii="Arial" w:eastAsia="Times New Roman" w:hAnsi="Arial" w:cs="Arial"/>
      <w:kern w:val="0"/>
      <w:sz w:val="24"/>
      <w:szCs w:val="24"/>
      <w14:ligatures w14:val="none"/>
    </w:rPr>
  </w:style>
  <w:style w:type="paragraph" w:customStyle="1" w:styleId="xl106">
    <w:name w:val="xl106"/>
    <w:basedOn w:val="Normal"/>
    <w:rsid w:val="009B2D9D"/>
    <w:pPr>
      <w:shd w:val="clear" w:color="000000" w:fill="FFFFFF"/>
      <w:spacing w:before="100" w:beforeAutospacing="1" w:after="100" w:afterAutospacing="1" w:line="240" w:lineRule="auto"/>
      <w:jc w:val="both"/>
    </w:pPr>
    <w:rPr>
      <w:rFonts w:ascii="Arial" w:eastAsia="Times New Roman" w:hAnsi="Arial" w:cs="Arial"/>
      <w:kern w:val="0"/>
      <w:sz w:val="24"/>
      <w:szCs w:val="24"/>
      <w14:ligatures w14:val="none"/>
    </w:rPr>
  </w:style>
  <w:style w:type="paragraph" w:customStyle="1" w:styleId="xl107">
    <w:name w:val="xl107"/>
    <w:basedOn w:val="Normal"/>
    <w:rsid w:val="009B2D9D"/>
    <w:pPr>
      <w:pBdr>
        <w:top w:val="double" w:sz="6" w:space="0" w:color="auto"/>
        <w:bottom w:val="double" w:sz="6" w:space="0" w:color="auto"/>
      </w:pBdr>
      <w:shd w:val="clear" w:color="000000" w:fill="FFFFFF"/>
      <w:spacing w:before="100" w:beforeAutospacing="1" w:after="100" w:afterAutospacing="1" w:line="240" w:lineRule="auto"/>
      <w:jc w:val="center"/>
    </w:pPr>
    <w:rPr>
      <w:rFonts w:ascii="Arial" w:eastAsia="Times New Roman" w:hAnsi="Arial" w:cs="Arial"/>
      <w:i/>
      <w:iCs/>
      <w:kern w:val="0"/>
      <w:sz w:val="16"/>
      <w:szCs w:val="16"/>
      <w14:ligatures w14:val="none"/>
    </w:rPr>
  </w:style>
  <w:style w:type="paragraph" w:customStyle="1" w:styleId="xl108">
    <w:name w:val="xl108"/>
    <w:basedOn w:val="Normal"/>
    <w:rsid w:val="009B2D9D"/>
    <w:pPr>
      <w:pBdr>
        <w:left w:val="double" w:sz="6" w:space="0" w:color="auto"/>
        <w:right w:val="single" w:sz="4" w:space="0" w:color="auto"/>
      </w:pBdr>
      <w:shd w:val="clear" w:color="000000" w:fill="FFFFFF"/>
      <w:spacing w:before="100" w:beforeAutospacing="1" w:after="100" w:afterAutospacing="1" w:line="240" w:lineRule="auto"/>
      <w:jc w:val="both"/>
      <w:textAlignment w:val="center"/>
    </w:pPr>
    <w:rPr>
      <w:rFonts w:ascii="Calibri" w:eastAsia="Times New Roman" w:hAnsi="Calibri" w:cs="Times New Roman"/>
      <w:kern w:val="0"/>
      <w:sz w:val="16"/>
      <w:szCs w:val="16"/>
      <w14:ligatures w14:val="none"/>
    </w:rPr>
  </w:style>
  <w:style w:type="paragraph" w:customStyle="1" w:styleId="xl109">
    <w:name w:val="xl109"/>
    <w:basedOn w:val="Normal"/>
    <w:rsid w:val="009B2D9D"/>
    <w:pPr>
      <w:pBdr>
        <w:top w:val="double" w:sz="6" w:space="0" w:color="auto"/>
        <w:left w:val="double" w:sz="6" w:space="0" w:color="auto"/>
        <w:bottom w:val="double" w:sz="6" w:space="0" w:color="auto"/>
      </w:pBdr>
      <w:shd w:val="clear" w:color="000000" w:fill="366092"/>
      <w:spacing w:before="100" w:beforeAutospacing="1" w:after="100" w:afterAutospacing="1" w:line="240" w:lineRule="auto"/>
      <w:jc w:val="both"/>
      <w:textAlignment w:val="center"/>
    </w:pPr>
    <w:rPr>
      <w:rFonts w:ascii="Calibri" w:eastAsia="Times New Roman" w:hAnsi="Calibri" w:cs="Times New Roman"/>
      <w:b/>
      <w:bCs/>
      <w:kern w:val="0"/>
      <w:sz w:val="16"/>
      <w:szCs w:val="16"/>
      <w14:ligatures w14:val="none"/>
    </w:rPr>
  </w:style>
  <w:style w:type="paragraph" w:customStyle="1" w:styleId="xl110">
    <w:name w:val="xl110"/>
    <w:basedOn w:val="Normal"/>
    <w:rsid w:val="009B2D9D"/>
    <w:pPr>
      <w:pBdr>
        <w:top w:val="double" w:sz="6" w:space="0" w:color="auto"/>
        <w:left w:val="double" w:sz="6" w:space="0" w:color="auto"/>
        <w:bottom w:val="double" w:sz="6" w:space="0" w:color="auto"/>
      </w:pBdr>
      <w:shd w:val="clear" w:color="000000" w:fill="B8CCE4"/>
      <w:spacing w:before="100" w:beforeAutospacing="1" w:after="100" w:afterAutospacing="1" w:line="240" w:lineRule="auto"/>
      <w:jc w:val="center"/>
      <w:textAlignment w:val="center"/>
    </w:pPr>
    <w:rPr>
      <w:rFonts w:ascii="Calibri" w:eastAsia="Times New Roman" w:hAnsi="Calibri" w:cs="Times New Roman"/>
      <w:kern w:val="0"/>
      <w:sz w:val="16"/>
      <w:szCs w:val="16"/>
      <w14:ligatures w14:val="none"/>
    </w:rPr>
  </w:style>
  <w:style w:type="paragraph" w:customStyle="1" w:styleId="xl111">
    <w:name w:val="xl111"/>
    <w:basedOn w:val="Normal"/>
    <w:rsid w:val="009B2D9D"/>
    <w:pPr>
      <w:pBdr>
        <w:top w:val="double" w:sz="6" w:space="0" w:color="auto"/>
        <w:bottom w:val="double" w:sz="6" w:space="0" w:color="auto"/>
        <w:right w:val="double" w:sz="6" w:space="0" w:color="auto"/>
      </w:pBdr>
      <w:shd w:val="clear" w:color="000000" w:fill="B8CCE4"/>
      <w:spacing w:before="100" w:beforeAutospacing="1" w:after="100" w:afterAutospacing="1" w:line="240" w:lineRule="auto"/>
      <w:jc w:val="center"/>
      <w:textAlignment w:val="center"/>
    </w:pPr>
    <w:rPr>
      <w:rFonts w:ascii="Calibri" w:eastAsia="Times New Roman" w:hAnsi="Calibri" w:cs="Times New Roman"/>
      <w:kern w:val="0"/>
      <w:sz w:val="16"/>
      <w:szCs w:val="16"/>
      <w14:ligatures w14:val="none"/>
    </w:rPr>
  </w:style>
  <w:style w:type="paragraph" w:customStyle="1" w:styleId="xl112">
    <w:name w:val="xl112"/>
    <w:basedOn w:val="Normal"/>
    <w:rsid w:val="009B2D9D"/>
    <w:pPr>
      <w:pBdr>
        <w:top w:val="double" w:sz="6" w:space="0" w:color="auto"/>
        <w:left w:val="double" w:sz="6" w:space="0" w:color="auto"/>
        <w:bottom w:val="double" w:sz="6" w:space="0" w:color="auto"/>
      </w:pBdr>
      <w:shd w:val="clear" w:color="000000" w:fill="B8CCE4"/>
      <w:spacing w:before="100" w:beforeAutospacing="1" w:after="100" w:afterAutospacing="1" w:line="240" w:lineRule="auto"/>
      <w:jc w:val="center"/>
      <w:textAlignment w:val="center"/>
    </w:pPr>
    <w:rPr>
      <w:rFonts w:ascii="Calibri" w:eastAsia="Times New Roman" w:hAnsi="Calibri" w:cs="Times New Roman"/>
      <w:kern w:val="0"/>
      <w:sz w:val="16"/>
      <w:szCs w:val="16"/>
      <w14:ligatures w14:val="none"/>
    </w:rPr>
  </w:style>
  <w:style w:type="paragraph" w:customStyle="1" w:styleId="xl113">
    <w:name w:val="xl113"/>
    <w:basedOn w:val="Normal"/>
    <w:rsid w:val="009B2D9D"/>
    <w:pPr>
      <w:pBdr>
        <w:top w:val="double" w:sz="6" w:space="0" w:color="auto"/>
        <w:bottom w:val="double" w:sz="6" w:space="0" w:color="auto"/>
        <w:right w:val="double" w:sz="6" w:space="0" w:color="auto"/>
      </w:pBdr>
      <w:shd w:val="clear" w:color="000000" w:fill="B8CCE4"/>
      <w:spacing w:before="100" w:beforeAutospacing="1" w:after="100" w:afterAutospacing="1" w:line="240" w:lineRule="auto"/>
      <w:jc w:val="center"/>
      <w:textAlignment w:val="center"/>
    </w:pPr>
    <w:rPr>
      <w:rFonts w:ascii="Calibri" w:eastAsia="Times New Roman" w:hAnsi="Calibri" w:cs="Times New Roman"/>
      <w:kern w:val="0"/>
      <w:sz w:val="16"/>
      <w:szCs w:val="16"/>
      <w14:ligatures w14:val="none"/>
    </w:rPr>
  </w:style>
  <w:style w:type="paragraph" w:customStyle="1" w:styleId="xl114">
    <w:name w:val="xl114"/>
    <w:basedOn w:val="Normal"/>
    <w:rsid w:val="009B2D9D"/>
    <w:pPr>
      <w:pBdr>
        <w:top w:val="double" w:sz="6" w:space="0" w:color="auto"/>
        <w:left w:val="double" w:sz="6" w:space="0" w:color="auto"/>
        <w:bottom w:val="double" w:sz="6" w:space="0" w:color="auto"/>
      </w:pBdr>
      <w:shd w:val="clear" w:color="000000" w:fill="B8CCE4"/>
      <w:spacing w:before="100" w:beforeAutospacing="1" w:after="100" w:afterAutospacing="1" w:line="240" w:lineRule="auto"/>
      <w:jc w:val="center"/>
      <w:textAlignment w:val="center"/>
    </w:pPr>
    <w:rPr>
      <w:rFonts w:ascii="Calibri" w:eastAsia="Times New Roman" w:hAnsi="Calibri" w:cs="Times New Roman"/>
      <w:color w:val="16365C"/>
      <w:kern w:val="0"/>
      <w:sz w:val="16"/>
      <w:szCs w:val="16"/>
      <w14:ligatures w14:val="none"/>
    </w:rPr>
  </w:style>
  <w:style w:type="paragraph" w:customStyle="1" w:styleId="xl115">
    <w:name w:val="xl115"/>
    <w:basedOn w:val="Normal"/>
    <w:rsid w:val="009B2D9D"/>
    <w:pPr>
      <w:pBdr>
        <w:top w:val="double" w:sz="6" w:space="0" w:color="auto"/>
        <w:bottom w:val="double" w:sz="6" w:space="0" w:color="auto"/>
        <w:right w:val="double" w:sz="6" w:space="0" w:color="auto"/>
      </w:pBdr>
      <w:shd w:val="clear" w:color="000000" w:fill="B8CCE4"/>
      <w:spacing w:before="100" w:beforeAutospacing="1" w:after="100" w:afterAutospacing="1" w:line="240" w:lineRule="auto"/>
      <w:jc w:val="center"/>
      <w:textAlignment w:val="center"/>
    </w:pPr>
    <w:rPr>
      <w:rFonts w:ascii="Calibri" w:eastAsia="Times New Roman" w:hAnsi="Calibri" w:cs="Times New Roman"/>
      <w:color w:val="16365C"/>
      <w:kern w:val="0"/>
      <w:sz w:val="16"/>
      <w:szCs w:val="16"/>
      <w14:ligatures w14:val="none"/>
    </w:rPr>
  </w:style>
  <w:style w:type="paragraph" w:customStyle="1" w:styleId="xl116">
    <w:name w:val="xl116"/>
    <w:basedOn w:val="Normal"/>
    <w:rsid w:val="009B2D9D"/>
    <w:pPr>
      <w:pBdr>
        <w:top w:val="double" w:sz="6" w:space="0" w:color="auto"/>
        <w:left w:val="double" w:sz="6" w:space="0" w:color="auto"/>
        <w:bottom w:val="double" w:sz="6" w:space="0" w:color="auto"/>
      </w:pBdr>
      <w:shd w:val="clear" w:color="000000" w:fill="B8CCE4"/>
      <w:spacing w:before="100" w:beforeAutospacing="1" w:after="100" w:afterAutospacing="1" w:line="240" w:lineRule="auto"/>
      <w:jc w:val="center"/>
      <w:textAlignment w:val="center"/>
    </w:pPr>
    <w:rPr>
      <w:rFonts w:ascii="Calibri" w:eastAsia="Times New Roman" w:hAnsi="Calibri" w:cs="Times New Roman"/>
      <w:color w:val="16365C"/>
      <w:kern w:val="0"/>
      <w:sz w:val="16"/>
      <w:szCs w:val="16"/>
      <w14:ligatures w14:val="none"/>
    </w:rPr>
  </w:style>
  <w:style w:type="paragraph" w:customStyle="1" w:styleId="xl117">
    <w:name w:val="xl117"/>
    <w:basedOn w:val="Normal"/>
    <w:rsid w:val="009B2D9D"/>
    <w:pPr>
      <w:pBdr>
        <w:top w:val="double" w:sz="6" w:space="0" w:color="auto"/>
        <w:bottom w:val="double" w:sz="6" w:space="0" w:color="auto"/>
        <w:right w:val="double" w:sz="6" w:space="0" w:color="auto"/>
      </w:pBdr>
      <w:shd w:val="clear" w:color="000000" w:fill="B8CCE4"/>
      <w:spacing w:before="100" w:beforeAutospacing="1" w:after="100" w:afterAutospacing="1" w:line="240" w:lineRule="auto"/>
      <w:jc w:val="center"/>
      <w:textAlignment w:val="center"/>
    </w:pPr>
    <w:rPr>
      <w:rFonts w:ascii="Calibri" w:eastAsia="Times New Roman" w:hAnsi="Calibri" w:cs="Times New Roman"/>
      <w:color w:val="16365C"/>
      <w:kern w:val="0"/>
      <w:sz w:val="16"/>
      <w:szCs w:val="16"/>
      <w14:ligatures w14:val="none"/>
    </w:rPr>
  </w:style>
  <w:style w:type="paragraph" w:customStyle="1" w:styleId="xl118">
    <w:name w:val="xl118"/>
    <w:basedOn w:val="Normal"/>
    <w:rsid w:val="009B2D9D"/>
    <w:pPr>
      <w:shd w:val="clear" w:color="000000" w:fill="FFFFFF"/>
      <w:spacing w:before="100" w:beforeAutospacing="1" w:after="100" w:afterAutospacing="1" w:line="240" w:lineRule="auto"/>
      <w:jc w:val="both"/>
      <w:textAlignment w:val="center"/>
    </w:pPr>
    <w:rPr>
      <w:rFonts w:ascii="Century Gothic" w:eastAsia="Times New Roman" w:hAnsi="Century Gothic" w:cs="Times New Roman"/>
      <w:kern w:val="0"/>
      <w:sz w:val="16"/>
      <w:szCs w:val="16"/>
      <w14:ligatures w14:val="none"/>
    </w:rPr>
  </w:style>
  <w:style w:type="paragraph" w:customStyle="1" w:styleId="xl119">
    <w:name w:val="xl119"/>
    <w:basedOn w:val="Normal"/>
    <w:rsid w:val="009B2D9D"/>
    <w:pPr>
      <w:shd w:val="clear" w:color="000000" w:fill="FFFFFF"/>
      <w:spacing w:before="100" w:beforeAutospacing="1" w:after="100" w:afterAutospacing="1" w:line="240" w:lineRule="auto"/>
      <w:jc w:val="both"/>
    </w:pPr>
    <w:rPr>
      <w:rFonts w:ascii="Arial" w:eastAsia="Times New Roman" w:hAnsi="Arial" w:cs="Arial"/>
      <w:kern w:val="0"/>
      <w:sz w:val="16"/>
      <w:szCs w:val="16"/>
      <w14:ligatures w14:val="none"/>
    </w:rPr>
  </w:style>
  <w:style w:type="paragraph" w:customStyle="1" w:styleId="xl120">
    <w:name w:val="xl120"/>
    <w:basedOn w:val="Normal"/>
    <w:rsid w:val="009B2D9D"/>
    <w:pPr>
      <w:pBdr>
        <w:top w:val="double" w:sz="6" w:space="0" w:color="auto"/>
        <w:left w:val="double" w:sz="6" w:space="0" w:color="auto"/>
        <w:right w:val="double" w:sz="6" w:space="0" w:color="auto"/>
      </w:pBdr>
      <w:shd w:val="clear" w:color="000000" w:fill="366092"/>
      <w:spacing w:before="100" w:beforeAutospacing="1" w:after="100" w:afterAutospacing="1" w:line="240" w:lineRule="auto"/>
      <w:jc w:val="center"/>
      <w:textAlignment w:val="center"/>
    </w:pPr>
    <w:rPr>
      <w:rFonts w:ascii="Calibri" w:eastAsia="Times New Roman" w:hAnsi="Calibri" w:cs="Times New Roman"/>
      <w:b/>
      <w:bCs/>
      <w:kern w:val="0"/>
      <w:sz w:val="16"/>
      <w:szCs w:val="16"/>
      <w14:ligatures w14:val="none"/>
    </w:rPr>
  </w:style>
  <w:style w:type="paragraph" w:customStyle="1" w:styleId="xl121">
    <w:name w:val="xl121"/>
    <w:basedOn w:val="Normal"/>
    <w:rsid w:val="009B2D9D"/>
    <w:pPr>
      <w:pBdr>
        <w:top w:val="double" w:sz="6" w:space="0" w:color="auto"/>
        <w:left w:val="double" w:sz="6" w:space="0" w:color="auto"/>
        <w:bottom w:val="single" w:sz="4" w:space="0" w:color="auto"/>
      </w:pBdr>
      <w:shd w:val="clear" w:color="000000" w:fill="B8CCE4"/>
      <w:spacing w:before="100" w:beforeAutospacing="1" w:after="100" w:afterAutospacing="1" w:line="240" w:lineRule="auto"/>
      <w:jc w:val="center"/>
      <w:textAlignment w:val="center"/>
    </w:pPr>
    <w:rPr>
      <w:rFonts w:ascii="Calibri" w:eastAsia="Times New Roman" w:hAnsi="Calibri" w:cs="Times New Roman"/>
      <w:b/>
      <w:bCs/>
      <w:kern w:val="0"/>
      <w:sz w:val="16"/>
      <w:szCs w:val="16"/>
      <w14:ligatures w14:val="none"/>
    </w:rPr>
  </w:style>
  <w:style w:type="paragraph" w:customStyle="1" w:styleId="xl122">
    <w:name w:val="xl122"/>
    <w:basedOn w:val="Normal"/>
    <w:rsid w:val="009B2D9D"/>
    <w:pPr>
      <w:pBdr>
        <w:top w:val="double" w:sz="6" w:space="0" w:color="auto"/>
        <w:bottom w:val="single" w:sz="4" w:space="0" w:color="auto"/>
        <w:right w:val="double" w:sz="6" w:space="0" w:color="auto"/>
      </w:pBdr>
      <w:shd w:val="clear" w:color="000000" w:fill="B8CCE4"/>
      <w:spacing w:before="100" w:beforeAutospacing="1" w:after="100" w:afterAutospacing="1" w:line="240" w:lineRule="auto"/>
      <w:jc w:val="center"/>
      <w:textAlignment w:val="center"/>
    </w:pPr>
    <w:rPr>
      <w:rFonts w:ascii="Calibri" w:eastAsia="Times New Roman" w:hAnsi="Calibri" w:cs="Times New Roman"/>
      <w:b/>
      <w:bCs/>
      <w:kern w:val="0"/>
      <w:sz w:val="16"/>
      <w:szCs w:val="16"/>
      <w14:ligatures w14:val="none"/>
    </w:rPr>
  </w:style>
  <w:style w:type="paragraph" w:customStyle="1" w:styleId="xl123">
    <w:name w:val="xl123"/>
    <w:basedOn w:val="Normal"/>
    <w:rsid w:val="009B2D9D"/>
    <w:pPr>
      <w:pBdr>
        <w:left w:val="double" w:sz="6" w:space="0" w:color="auto"/>
        <w:bottom w:val="double" w:sz="6" w:space="0" w:color="auto"/>
        <w:right w:val="double" w:sz="6" w:space="0" w:color="auto"/>
      </w:pBdr>
      <w:shd w:val="clear" w:color="000000" w:fill="366092"/>
      <w:spacing w:before="100" w:beforeAutospacing="1" w:after="100" w:afterAutospacing="1" w:line="240" w:lineRule="auto"/>
      <w:jc w:val="center"/>
      <w:textAlignment w:val="center"/>
    </w:pPr>
    <w:rPr>
      <w:rFonts w:ascii="Calibri" w:eastAsia="Times New Roman" w:hAnsi="Calibri" w:cs="Times New Roman"/>
      <w:b/>
      <w:bCs/>
      <w:kern w:val="0"/>
      <w:sz w:val="16"/>
      <w:szCs w:val="16"/>
      <w14:ligatures w14:val="none"/>
    </w:rPr>
  </w:style>
  <w:style w:type="paragraph" w:customStyle="1" w:styleId="xl124">
    <w:name w:val="xl124"/>
    <w:basedOn w:val="Normal"/>
    <w:rsid w:val="009B2D9D"/>
    <w:pPr>
      <w:pBdr>
        <w:top w:val="single" w:sz="4" w:space="0" w:color="auto"/>
        <w:left w:val="double" w:sz="6" w:space="0" w:color="auto"/>
        <w:bottom w:val="double" w:sz="6" w:space="0" w:color="auto"/>
        <w:right w:val="single" w:sz="4" w:space="0" w:color="auto"/>
      </w:pBdr>
      <w:shd w:val="clear" w:color="000000" w:fill="B8CCE4"/>
      <w:spacing w:before="100" w:beforeAutospacing="1" w:after="100" w:afterAutospacing="1" w:line="240" w:lineRule="auto"/>
      <w:jc w:val="center"/>
      <w:textAlignment w:val="center"/>
    </w:pPr>
    <w:rPr>
      <w:rFonts w:ascii="Calibri" w:eastAsia="Times New Roman" w:hAnsi="Calibri" w:cs="Times New Roman"/>
      <w:b/>
      <w:bCs/>
      <w:kern w:val="0"/>
      <w:sz w:val="16"/>
      <w:szCs w:val="16"/>
      <w14:ligatures w14:val="none"/>
    </w:rPr>
  </w:style>
  <w:style w:type="paragraph" w:customStyle="1" w:styleId="xl125">
    <w:name w:val="xl125"/>
    <w:basedOn w:val="Normal"/>
    <w:rsid w:val="009B2D9D"/>
    <w:pPr>
      <w:pBdr>
        <w:bottom w:val="double" w:sz="6" w:space="0" w:color="auto"/>
        <w:right w:val="double" w:sz="6" w:space="0" w:color="auto"/>
      </w:pBdr>
      <w:shd w:val="clear" w:color="000000" w:fill="B8CCE4"/>
      <w:spacing w:before="100" w:beforeAutospacing="1" w:after="100" w:afterAutospacing="1" w:line="240" w:lineRule="auto"/>
      <w:jc w:val="center"/>
      <w:textAlignment w:val="center"/>
    </w:pPr>
    <w:rPr>
      <w:rFonts w:ascii="Calibri" w:eastAsia="Times New Roman" w:hAnsi="Calibri" w:cs="Times New Roman"/>
      <w:b/>
      <w:bCs/>
      <w:kern w:val="0"/>
      <w:sz w:val="16"/>
      <w:szCs w:val="16"/>
      <w14:ligatures w14:val="none"/>
    </w:rPr>
  </w:style>
  <w:style w:type="paragraph" w:customStyle="1" w:styleId="xl126">
    <w:name w:val="xl126"/>
    <w:basedOn w:val="Normal"/>
    <w:rsid w:val="009B2D9D"/>
    <w:pPr>
      <w:pBdr>
        <w:bottom w:val="double" w:sz="6" w:space="0" w:color="auto"/>
      </w:pBdr>
      <w:shd w:val="clear" w:color="000000" w:fill="B8CCE4"/>
      <w:spacing w:before="100" w:beforeAutospacing="1" w:after="100" w:afterAutospacing="1" w:line="240" w:lineRule="auto"/>
      <w:jc w:val="center"/>
      <w:textAlignment w:val="center"/>
    </w:pPr>
    <w:rPr>
      <w:rFonts w:ascii="Calibri" w:eastAsia="Times New Roman" w:hAnsi="Calibri" w:cs="Times New Roman"/>
      <w:b/>
      <w:bCs/>
      <w:kern w:val="0"/>
      <w:sz w:val="16"/>
      <w:szCs w:val="16"/>
      <w14:ligatures w14:val="none"/>
    </w:rPr>
  </w:style>
  <w:style w:type="paragraph" w:customStyle="1" w:styleId="xl127">
    <w:name w:val="xl127"/>
    <w:basedOn w:val="Normal"/>
    <w:rsid w:val="009B2D9D"/>
    <w:pPr>
      <w:pBdr>
        <w:top w:val="single" w:sz="4" w:space="0" w:color="auto"/>
        <w:left w:val="single" w:sz="4" w:space="0" w:color="auto"/>
        <w:bottom w:val="double" w:sz="6" w:space="0" w:color="auto"/>
        <w:right w:val="double" w:sz="6" w:space="0" w:color="auto"/>
      </w:pBdr>
      <w:shd w:val="clear" w:color="000000" w:fill="B8CCE4"/>
      <w:spacing w:before="100" w:beforeAutospacing="1" w:after="100" w:afterAutospacing="1" w:line="240" w:lineRule="auto"/>
      <w:jc w:val="center"/>
      <w:textAlignment w:val="center"/>
    </w:pPr>
    <w:rPr>
      <w:rFonts w:ascii="Calibri" w:eastAsia="Times New Roman" w:hAnsi="Calibri" w:cs="Times New Roman"/>
      <w:b/>
      <w:bCs/>
      <w:kern w:val="0"/>
      <w:sz w:val="16"/>
      <w:szCs w:val="16"/>
      <w14:ligatures w14:val="none"/>
    </w:rPr>
  </w:style>
  <w:style w:type="paragraph" w:customStyle="1" w:styleId="xl128">
    <w:name w:val="xl128"/>
    <w:basedOn w:val="Normal"/>
    <w:rsid w:val="009B2D9D"/>
    <w:pPr>
      <w:pBdr>
        <w:left w:val="double" w:sz="6" w:space="0" w:color="auto"/>
        <w:bottom w:val="double" w:sz="6" w:space="0" w:color="auto"/>
      </w:pBdr>
      <w:shd w:val="clear" w:color="000000" w:fill="B8CCE4"/>
      <w:spacing w:before="100" w:beforeAutospacing="1" w:after="100" w:afterAutospacing="1" w:line="240" w:lineRule="auto"/>
      <w:jc w:val="center"/>
      <w:textAlignment w:val="center"/>
    </w:pPr>
    <w:rPr>
      <w:rFonts w:ascii="Calibri" w:eastAsia="Times New Roman" w:hAnsi="Calibri" w:cs="Times New Roman"/>
      <w:b/>
      <w:bCs/>
      <w:kern w:val="0"/>
      <w:sz w:val="16"/>
      <w:szCs w:val="16"/>
      <w14:ligatures w14:val="none"/>
    </w:rPr>
  </w:style>
  <w:style w:type="paragraph" w:customStyle="1" w:styleId="xl129">
    <w:name w:val="xl129"/>
    <w:basedOn w:val="Normal"/>
    <w:rsid w:val="009B2D9D"/>
    <w:pPr>
      <w:pBdr>
        <w:top w:val="single" w:sz="4" w:space="0" w:color="auto"/>
        <w:left w:val="single" w:sz="4" w:space="0" w:color="auto"/>
        <w:bottom w:val="double" w:sz="6" w:space="0" w:color="auto"/>
        <w:right w:val="single" w:sz="4" w:space="0" w:color="auto"/>
      </w:pBdr>
      <w:shd w:val="clear" w:color="000000" w:fill="B8CCE4"/>
      <w:spacing w:before="100" w:beforeAutospacing="1" w:after="100" w:afterAutospacing="1" w:line="240" w:lineRule="auto"/>
      <w:jc w:val="center"/>
      <w:textAlignment w:val="center"/>
    </w:pPr>
    <w:rPr>
      <w:rFonts w:ascii="Calibri" w:eastAsia="Times New Roman" w:hAnsi="Calibri" w:cs="Times New Roman"/>
      <w:b/>
      <w:bCs/>
      <w:kern w:val="0"/>
      <w:sz w:val="16"/>
      <w:szCs w:val="16"/>
      <w14:ligatures w14:val="none"/>
    </w:rPr>
  </w:style>
  <w:style w:type="paragraph" w:customStyle="1" w:styleId="xl130">
    <w:name w:val="xl130"/>
    <w:basedOn w:val="Normal"/>
    <w:rsid w:val="009B2D9D"/>
    <w:pPr>
      <w:pBdr>
        <w:top w:val="double" w:sz="6" w:space="0" w:color="auto"/>
        <w:left w:val="double" w:sz="6" w:space="0" w:color="auto"/>
        <w:bottom w:val="double" w:sz="6" w:space="0" w:color="auto"/>
      </w:pBdr>
      <w:shd w:val="clear" w:color="000000" w:fill="B8CCE4"/>
      <w:spacing w:before="100" w:beforeAutospacing="1" w:after="100" w:afterAutospacing="1" w:line="240" w:lineRule="auto"/>
      <w:jc w:val="both"/>
      <w:textAlignment w:val="center"/>
    </w:pPr>
    <w:rPr>
      <w:rFonts w:ascii="Calibri" w:eastAsia="Times New Roman" w:hAnsi="Calibri" w:cs="Times New Roman"/>
      <w:b/>
      <w:bCs/>
      <w:kern w:val="0"/>
      <w:sz w:val="16"/>
      <w:szCs w:val="16"/>
      <w14:ligatures w14:val="none"/>
    </w:rPr>
  </w:style>
  <w:style w:type="paragraph" w:customStyle="1" w:styleId="xl131">
    <w:name w:val="xl131"/>
    <w:basedOn w:val="Normal"/>
    <w:rsid w:val="009B2D9D"/>
    <w:pPr>
      <w:pBdr>
        <w:top w:val="double" w:sz="6" w:space="0" w:color="auto"/>
        <w:left w:val="double" w:sz="6" w:space="0" w:color="auto"/>
        <w:bottom w:val="double" w:sz="6" w:space="0" w:color="auto"/>
        <w:right w:val="single" w:sz="4" w:space="0" w:color="auto"/>
      </w:pBdr>
      <w:shd w:val="clear" w:color="000000" w:fill="B8CCE4"/>
      <w:spacing w:before="100" w:beforeAutospacing="1" w:after="100" w:afterAutospacing="1" w:line="240" w:lineRule="auto"/>
      <w:jc w:val="both"/>
      <w:textAlignment w:val="center"/>
    </w:pPr>
    <w:rPr>
      <w:rFonts w:ascii="Calibri" w:eastAsia="Times New Roman" w:hAnsi="Calibri" w:cs="Times New Roman"/>
      <w:b/>
      <w:bCs/>
      <w:kern w:val="0"/>
      <w:sz w:val="16"/>
      <w:szCs w:val="16"/>
      <w14:ligatures w14:val="none"/>
    </w:rPr>
  </w:style>
  <w:style w:type="paragraph" w:customStyle="1" w:styleId="xl132">
    <w:name w:val="xl132"/>
    <w:basedOn w:val="Normal"/>
    <w:rsid w:val="009B2D9D"/>
    <w:pPr>
      <w:pBdr>
        <w:top w:val="double" w:sz="6" w:space="0" w:color="auto"/>
        <w:bottom w:val="double" w:sz="6" w:space="0" w:color="auto"/>
        <w:right w:val="double" w:sz="6" w:space="0" w:color="auto"/>
      </w:pBdr>
      <w:shd w:val="clear" w:color="000000" w:fill="B8CCE4"/>
      <w:spacing w:before="100" w:beforeAutospacing="1" w:after="100" w:afterAutospacing="1" w:line="240" w:lineRule="auto"/>
      <w:jc w:val="both"/>
      <w:textAlignment w:val="center"/>
    </w:pPr>
    <w:rPr>
      <w:rFonts w:ascii="Calibri" w:eastAsia="Times New Roman" w:hAnsi="Calibri" w:cs="Times New Roman"/>
      <w:b/>
      <w:bCs/>
      <w:kern w:val="0"/>
      <w:sz w:val="16"/>
      <w:szCs w:val="16"/>
      <w14:ligatures w14:val="none"/>
    </w:rPr>
  </w:style>
  <w:style w:type="paragraph" w:customStyle="1" w:styleId="xl133">
    <w:name w:val="xl133"/>
    <w:basedOn w:val="Normal"/>
    <w:rsid w:val="009B2D9D"/>
    <w:pPr>
      <w:pBdr>
        <w:top w:val="double" w:sz="6" w:space="0" w:color="auto"/>
        <w:bottom w:val="double" w:sz="6" w:space="0" w:color="auto"/>
      </w:pBdr>
      <w:shd w:val="clear" w:color="000000" w:fill="B8CCE4"/>
      <w:spacing w:before="100" w:beforeAutospacing="1" w:after="100" w:afterAutospacing="1" w:line="240" w:lineRule="auto"/>
      <w:jc w:val="both"/>
      <w:textAlignment w:val="center"/>
    </w:pPr>
    <w:rPr>
      <w:rFonts w:ascii="Calibri" w:eastAsia="Times New Roman" w:hAnsi="Calibri" w:cs="Times New Roman"/>
      <w:b/>
      <w:bCs/>
      <w:kern w:val="0"/>
      <w:sz w:val="16"/>
      <w:szCs w:val="16"/>
      <w14:ligatures w14:val="none"/>
    </w:rPr>
  </w:style>
  <w:style w:type="paragraph" w:customStyle="1" w:styleId="xl134">
    <w:name w:val="xl134"/>
    <w:basedOn w:val="Normal"/>
    <w:rsid w:val="009B2D9D"/>
    <w:pPr>
      <w:pBdr>
        <w:top w:val="double" w:sz="6" w:space="0" w:color="auto"/>
        <w:left w:val="single" w:sz="4" w:space="0" w:color="auto"/>
        <w:bottom w:val="double" w:sz="6" w:space="0" w:color="auto"/>
        <w:right w:val="double" w:sz="6" w:space="0" w:color="auto"/>
      </w:pBdr>
      <w:shd w:val="clear" w:color="000000" w:fill="B8CCE4"/>
      <w:spacing w:before="100" w:beforeAutospacing="1" w:after="100" w:afterAutospacing="1" w:line="240" w:lineRule="auto"/>
      <w:jc w:val="both"/>
      <w:textAlignment w:val="center"/>
    </w:pPr>
    <w:rPr>
      <w:rFonts w:ascii="Calibri" w:eastAsia="Times New Roman" w:hAnsi="Calibri" w:cs="Times New Roman"/>
      <w:b/>
      <w:bCs/>
      <w:kern w:val="0"/>
      <w:sz w:val="16"/>
      <w:szCs w:val="16"/>
      <w14:ligatures w14:val="none"/>
    </w:rPr>
  </w:style>
  <w:style w:type="paragraph" w:customStyle="1" w:styleId="xl135">
    <w:name w:val="xl135"/>
    <w:basedOn w:val="Normal"/>
    <w:rsid w:val="009B2D9D"/>
    <w:pPr>
      <w:pBdr>
        <w:top w:val="double" w:sz="6" w:space="0" w:color="auto"/>
        <w:bottom w:val="double" w:sz="6" w:space="0" w:color="auto"/>
        <w:right w:val="double" w:sz="6" w:space="0" w:color="auto"/>
      </w:pBdr>
      <w:shd w:val="clear" w:color="000000" w:fill="B8CCE4"/>
      <w:spacing w:before="100" w:beforeAutospacing="1" w:after="100" w:afterAutospacing="1" w:line="240" w:lineRule="auto"/>
      <w:jc w:val="both"/>
      <w:textAlignment w:val="center"/>
    </w:pPr>
    <w:rPr>
      <w:rFonts w:ascii="Calibri" w:eastAsia="Times New Roman" w:hAnsi="Calibri" w:cs="Times New Roman"/>
      <w:b/>
      <w:bCs/>
      <w:kern w:val="0"/>
      <w:sz w:val="16"/>
      <w:szCs w:val="16"/>
      <w14:ligatures w14:val="none"/>
    </w:rPr>
  </w:style>
  <w:style w:type="paragraph" w:customStyle="1" w:styleId="xl136">
    <w:name w:val="xl136"/>
    <w:basedOn w:val="Normal"/>
    <w:rsid w:val="009B2D9D"/>
    <w:pPr>
      <w:pBdr>
        <w:left w:val="double" w:sz="6" w:space="0" w:color="auto"/>
      </w:pBdr>
      <w:shd w:val="clear" w:color="000000" w:fill="FFFFFF"/>
      <w:spacing w:before="100" w:beforeAutospacing="1" w:after="100" w:afterAutospacing="1" w:line="240" w:lineRule="auto"/>
      <w:jc w:val="both"/>
      <w:textAlignment w:val="center"/>
    </w:pPr>
    <w:rPr>
      <w:rFonts w:ascii="Calibri" w:eastAsia="Times New Roman" w:hAnsi="Calibri" w:cs="Times New Roman"/>
      <w:b/>
      <w:bCs/>
      <w:kern w:val="0"/>
      <w:sz w:val="16"/>
      <w:szCs w:val="16"/>
      <w14:ligatures w14:val="none"/>
    </w:rPr>
  </w:style>
  <w:style w:type="paragraph" w:customStyle="1" w:styleId="xl137">
    <w:name w:val="xl137"/>
    <w:basedOn w:val="Normal"/>
    <w:rsid w:val="009B2D9D"/>
    <w:pPr>
      <w:pBdr>
        <w:left w:val="double" w:sz="6" w:space="0" w:color="auto"/>
        <w:right w:val="single" w:sz="4" w:space="0" w:color="auto"/>
      </w:pBdr>
      <w:shd w:val="clear" w:color="000000" w:fill="FFFFFF"/>
      <w:spacing w:before="100" w:beforeAutospacing="1" w:after="100" w:afterAutospacing="1" w:line="240" w:lineRule="auto"/>
      <w:jc w:val="both"/>
      <w:textAlignment w:val="center"/>
    </w:pPr>
    <w:rPr>
      <w:rFonts w:ascii="Calibri" w:eastAsia="Times New Roman" w:hAnsi="Calibri" w:cs="Times New Roman"/>
      <w:b/>
      <w:bCs/>
      <w:kern w:val="0"/>
      <w:sz w:val="16"/>
      <w:szCs w:val="16"/>
      <w14:ligatures w14:val="none"/>
    </w:rPr>
  </w:style>
  <w:style w:type="paragraph" w:customStyle="1" w:styleId="xl138">
    <w:name w:val="xl138"/>
    <w:basedOn w:val="Normal"/>
    <w:rsid w:val="009B2D9D"/>
    <w:pPr>
      <w:pBdr>
        <w:top w:val="double" w:sz="6" w:space="0" w:color="auto"/>
        <w:left w:val="single" w:sz="4" w:space="0" w:color="auto"/>
        <w:right w:val="double" w:sz="6" w:space="0" w:color="auto"/>
      </w:pBdr>
      <w:shd w:val="clear" w:color="000000" w:fill="FFFFFF"/>
      <w:spacing w:before="100" w:beforeAutospacing="1" w:after="100" w:afterAutospacing="1" w:line="240" w:lineRule="auto"/>
      <w:jc w:val="both"/>
      <w:textAlignment w:val="center"/>
    </w:pPr>
    <w:rPr>
      <w:rFonts w:ascii="Calibri" w:eastAsia="Times New Roman" w:hAnsi="Calibri" w:cs="Times New Roman"/>
      <w:b/>
      <w:bCs/>
      <w:kern w:val="0"/>
      <w:sz w:val="16"/>
      <w:szCs w:val="16"/>
      <w14:ligatures w14:val="none"/>
    </w:rPr>
  </w:style>
  <w:style w:type="paragraph" w:customStyle="1" w:styleId="xl139">
    <w:name w:val="xl139"/>
    <w:basedOn w:val="Normal"/>
    <w:rsid w:val="009B2D9D"/>
    <w:pPr>
      <w:pBdr>
        <w:top w:val="double" w:sz="6" w:space="0" w:color="auto"/>
        <w:left w:val="double" w:sz="6" w:space="0" w:color="auto"/>
        <w:right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b/>
      <w:bCs/>
      <w:kern w:val="0"/>
      <w:sz w:val="16"/>
      <w:szCs w:val="16"/>
      <w14:ligatures w14:val="none"/>
    </w:rPr>
  </w:style>
  <w:style w:type="paragraph" w:customStyle="1" w:styleId="xl140">
    <w:name w:val="xl140"/>
    <w:basedOn w:val="Normal"/>
    <w:rsid w:val="009B2D9D"/>
    <w:pPr>
      <w:pBdr>
        <w:left w:val="single" w:sz="4" w:space="0" w:color="auto"/>
        <w:right w:val="double" w:sz="6" w:space="0" w:color="auto"/>
      </w:pBdr>
      <w:shd w:val="clear" w:color="000000" w:fill="FFFFFF"/>
      <w:spacing w:before="100" w:beforeAutospacing="1" w:after="100" w:afterAutospacing="1" w:line="240" w:lineRule="auto"/>
      <w:jc w:val="both"/>
      <w:textAlignment w:val="center"/>
    </w:pPr>
    <w:rPr>
      <w:rFonts w:ascii="Calibri" w:eastAsia="Times New Roman" w:hAnsi="Calibri" w:cs="Times New Roman"/>
      <w:b/>
      <w:bCs/>
      <w:kern w:val="0"/>
      <w:sz w:val="16"/>
      <w:szCs w:val="16"/>
      <w14:ligatures w14:val="none"/>
    </w:rPr>
  </w:style>
  <w:style w:type="paragraph" w:customStyle="1" w:styleId="xl141">
    <w:name w:val="xl141"/>
    <w:basedOn w:val="Normal"/>
    <w:rsid w:val="009B2D9D"/>
    <w:pPr>
      <w:pBdr>
        <w:left w:val="double" w:sz="6" w:space="0" w:color="auto"/>
        <w:right w:val="single" w:sz="4" w:space="0" w:color="auto"/>
      </w:pBdr>
      <w:shd w:val="clear" w:color="000000" w:fill="FFFFFF"/>
      <w:spacing w:before="100" w:beforeAutospacing="1" w:after="100" w:afterAutospacing="1" w:line="240" w:lineRule="auto"/>
      <w:jc w:val="both"/>
      <w:textAlignment w:val="center"/>
    </w:pPr>
    <w:rPr>
      <w:rFonts w:ascii="Calibri" w:eastAsia="Times New Roman" w:hAnsi="Calibri" w:cs="Times New Roman"/>
      <w:b/>
      <w:bCs/>
      <w:kern w:val="0"/>
      <w:sz w:val="16"/>
      <w:szCs w:val="16"/>
      <w14:ligatures w14:val="none"/>
    </w:rPr>
  </w:style>
  <w:style w:type="paragraph" w:customStyle="1" w:styleId="xl142">
    <w:name w:val="xl142"/>
    <w:basedOn w:val="Normal"/>
    <w:rsid w:val="009B2D9D"/>
    <w:pPr>
      <w:pBdr>
        <w:top w:val="double" w:sz="6" w:space="0" w:color="auto"/>
        <w:left w:val="single" w:sz="4" w:space="0" w:color="auto"/>
        <w:right w:val="double" w:sz="6" w:space="0" w:color="auto"/>
      </w:pBdr>
      <w:shd w:val="clear" w:color="000000" w:fill="FFFFFF"/>
      <w:spacing w:before="100" w:beforeAutospacing="1" w:after="100" w:afterAutospacing="1" w:line="240" w:lineRule="auto"/>
      <w:jc w:val="both"/>
      <w:textAlignment w:val="center"/>
    </w:pPr>
    <w:rPr>
      <w:rFonts w:ascii="Calibri" w:eastAsia="Times New Roman" w:hAnsi="Calibri" w:cs="Times New Roman"/>
      <w:b/>
      <w:bCs/>
      <w:kern w:val="0"/>
      <w:sz w:val="16"/>
      <w:szCs w:val="16"/>
      <w14:ligatures w14:val="none"/>
    </w:rPr>
  </w:style>
  <w:style w:type="paragraph" w:customStyle="1" w:styleId="xl143">
    <w:name w:val="xl143"/>
    <w:basedOn w:val="Normal"/>
    <w:rsid w:val="009B2D9D"/>
    <w:pPr>
      <w:pBdr>
        <w:left w:val="double" w:sz="6" w:space="0" w:color="auto"/>
      </w:pBdr>
      <w:shd w:val="clear" w:color="000000" w:fill="FFFFFF"/>
      <w:spacing w:before="100" w:beforeAutospacing="1" w:after="100" w:afterAutospacing="1" w:line="240" w:lineRule="auto"/>
      <w:jc w:val="both"/>
      <w:textAlignment w:val="center"/>
    </w:pPr>
    <w:rPr>
      <w:rFonts w:ascii="Calibri" w:eastAsia="Times New Roman" w:hAnsi="Calibri" w:cs="Times New Roman"/>
      <w:kern w:val="0"/>
      <w:sz w:val="16"/>
      <w:szCs w:val="16"/>
      <w14:ligatures w14:val="none"/>
    </w:rPr>
  </w:style>
  <w:style w:type="paragraph" w:customStyle="1" w:styleId="xl144">
    <w:name w:val="xl144"/>
    <w:basedOn w:val="Normal"/>
    <w:rsid w:val="009B2D9D"/>
    <w:pPr>
      <w:pBdr>
        <w:left w:val="double" w:sz="6" w:space="0" w:color="auto"/>
        <w:right w:val="single" w:sz="4" w:space="0" w:color="auto"/>
      </w:pBdr>
      <w:shd w:val="clear" w:color="000000" w:fill="FFFFFF"/>
      <w:spacing w:before="100" w:beforeAutospacing="1" w:after="100" w:afterAutospacing="1" w:line="240" w:lineRule="auto"/>
      <w:jc w:val="both"/>
      <w:textAlignment w:val="center"/>
    </w:pPr>
    <w:rPr>
      <w:rFonts w:ascii="Calibri" w:eastAsia="Times New Roman" w:hAnsi="Calibri" w:cs="Times New Roman"/>
      <w:kern w:val="0"/>
      <w:sz w:val="16"/>
      <w:szCs w:val="16"/>
      <w14:ligatures w14:val="none"/>
    </w:rPr>
  </w:style>
  <w:style w:type="paragraph" w:customStyle="1" w:styleId="xl145">
    <w:name w:val="xl145"/>
    <w:basedOn w:val="Normal"/>
    <w:rsid w:val="009B2D9D"/>
    <w:pPr>
      <w:pBdr>
        <w:left w:val="double" w:sz="6" w:space="0" w:color="auto"/>
        <w:right w:val="single" w:sz="4" w:space="0" w:color="auto"/>
      </w:pBdr>
      <w:shd w:val="clear" w:color="000000" w:fill="FFFFFF"/>
      <w:spacing w:before="100" w:beforeAutospacing="1" w:after="100" w:afterAutospacing="1" w:line="240" w:lineRule="auto"/>
      <w:jc w:val="both"/>
      <w:textAlignment w:val="center"/>
    </w:pPr>
    <w:rPr>
      <w:rFonts w:ascii="Calibri" w:eastAsia="Times New Roman" w:hAnsi="Calibri" w:cs="Times New Roman"/>
      <w:kern w:val="0"/>
      <w:sz w:val="16"/>
      <w:szCs w:val="16"/>
      <w14:ligatures w14:val="none"/>
    </w:rPr>
  </w:style>
  <w:style w:type="paragraph" w:customStyle="1" w:styleId="xl146">
    <w:name w:val="xl146"/>
    <w:basedOn w:val="Normal"/>
    <w:rsid w:val="009B2D9D"/>
    <w:pPr>
      <w:pBdr>
        <w:left w:val="single" w:sz="4" w:space="0" w:color="auto"/>
        <w:right w:val="double" w:sz="6" w:space="0" w:color="auto"/>
      </w:pBdr>
      <w:shd w:val="clear" w:color="000000" w:fill="FFFFFF"/>
      <w:spacing w:before="100" w:beforeAutospacing="1" w:after="100" w:afterAutospacing="1" w:line="240" w:lineRule="auto"/>
      <w:jc w:val="both"/>
      <w:textAlignment w:val="center"/>
    </w:pPr>
    <w:rPr>
      <w:rFonts w:ascii="Calibri" w:eastAsia="Times New Roman" w:hAnsi="Calibri" w:cs="Times New Roman"/>
      <w:b/>
      <w:bCs/>
      <w:kern w:val="0"/>
      <w:sz w:val="16"/>
      <w:szCs w:val="16"/>
      <w14:ligatures w14:val="none"/>
    </w:rPr>
  </w:style>
  <w:style w:type="paragraph" w:customStyle="1" w:styleId="xl147">
    <w:name w:val="xl147"/>
    <w:basedOn w:val="Normal"/>
    <w:rsid w:val="009B2D9D"/>
    <w:pPr>
      <w:pBdr>
        <w:left w:val="double" w:sz="6" w:space="0" w:color="auto"/>
      </w:pBdr>
      <w:shd w:val="clear" w:color="000000" w:fill="FFFFFF"/>
      <w:spacing w:before="100" w:beforeAutospacing="1" w:after="100" w:afterAutospacing="1" w:line="240" w:lineRule="auto"/>
      <w:jc w:val="both"/>
      <w:textAlignment w:val="center"/>
    </w:pPr>
    <w:rPr>
      <w:rFonts w:ascii="Calibri" w:eastAsia="Times New Roman" w:hAnsi="Calibri" w:cs="Times New Roman"/>
      <w:b/>
      <w:bCs/>
      <w:kern w:val="0"/>
      <w:sz w:val="16"/>
      <w:szCs w:val="16"/>
      <w14:ligatures w14:val="none"/>
    </w:rPr>
  </w:style>
  <w:style w:type="paragraph" w:customStyle="1" w:styleId="xl148">
    <w:name w:val="xl148"/>
    <w:basedOn w:val="Normal"/>
    <w:rsid w:val="009B2D9D"/>
    <w:pPr>
      <w:pBdr>
        <w:left w:val="single" w:sz="4" w:space="0" w:color="auto"/>
        <w:bottom w:val="double" w:sz="6" w:space="0" w:color="auto"/>
        <w:right w:val="double" w:sz="6" w:space="0" w:color="auto"/>
      </w:pBdr>
      <w:shd w:val="clear" w:color="000000" w:fill="FFFFFF"/>
      <w:spacing w:before="100" w:beforeAutospacing="1" w:after="100" w:afterAutospacing="1" w:line="240" w:lineRule="auto"/>
      <w:jc w:val="both"/>
      <w:textAlignment w:val="center"/>
    </w:pPr>
    <w:rPr>
      <w:rFonts w:ascii="Calibri" w:eastAsia="Times New Roman" w:hAnsi="Calibri" w:cs="Times New Roman"/>
      <w:b/>
      <w:bCs/>
      <w:kern w:val="0"/>
      <w:sz w:val="16"/>
      <w:szCs w:val="16"/>
      <w14:ligatures w14:val="none"/>
    </w:rPr>
  </w:style>
  <w:style w:type="paragraph" w:customStyle="1" w:styleId="xl149">
    <w:name w:val="xl149"/>
    <w:basedOn w:val="Normal"/>
    <w:rsid w:val="009B2D9D"/>
    <w:pPr>
      <w:pBdr>
        <w:left w:val="single" w:sz="4" w:space="0" w:color="auto"/>
        <w:bottom w:val="double" w:sz="6" w:space="0" w:color="auto"/>
        <w:right w:val="double" w:sz="6" w:space="0" w:color="auto"/>
      </w:pBdr>
      <w:shd w:val="clear" w:color="000000" w:fill="FFFFFF"/>
      <w:spacing w:before="100" w:beforeAutospacing="1" w:after="100" w:afterAutospacing="1" w:line="240" w:lineRule="auto"/>
      <w:jc w:val="both"/>
      <w:textAlignment w:val="center"/>
    </w:pPr>
    <w:rPr>
      <w:rFonts w:ascii="Calibri" w:eastAsia="Times New Roman" w:hAnsi="Calibri" w:cs="Times New Roman"/>
      <w:b/>
      <w:bCs/>
      <w:kern w:val="0"/>
      <w:sz w:val="16"/>
      <w:szCs w:val="16"/>
      <w14:ligatures w14:val="none"/>
    </w:rPr>
  </w:style>
  <w:style w:type="paragraph" w:customStyle="1" w:styleId="xl150">
    <w:name w:val="xl150"/>
    <w:basedOn w:val="Normal"/>
    <w:rsid w:val="009B2D9D"/>
    <w:pPr>
      <w:pBdr>
        <w:top w:val="double" w:sz="6" w:space="0" w:color="auto"/>
        <w:left w:val="double" w:sz="6" w:space="0" w:color="auto"/>
        <w:bottom w:val="double" w:sz="6" w:space="0" w:color="auto"/>
      </w:pBdr>
      <w:shd w:val="clear" w:color="000000" w:fill="B8CCE4"/>
      <w:spacing w:before="100" w:beforeAutospacing="1" w:after="100" w:afterAutospacing="1" w:line="240" w:lineRule="auto"/>
      <w:jc w:val="both"/>
      <w:textAlignment w:val="center"/>
    </w:pPr>
    <w:rPr>
      <w:rFonts w:ascii="Calibri" w:eastAsia="Times New Roman" w:hAnsi="Calibri" w:cs="Times New Roman"/>
      <w:b/>
      <w:bCs/>
      <w:kern w:val="0"/>
      <w:sz w:val="16"/>
      <w:szCs w:val="16"/>
      <w14:ligatures w14:val="none"/>
    </w:rPr>
  </w:style>
  <w:style w:type="paragraph" w:customStyle="1" w:styleId="xl151">
    <w:name w:val="xl151"/>
    <w:basedOn w:val="Normal"/>
    <w:rsid w:val="009B2D9D"/>
    <w:pPr>
      <w:pBdr>
        <w:top w:val="double" w:sz="6" w:space="0" w:color="auto"/>
        <w:left w:val="double" w:sz="6" w:space="0" w:color="auto"/>
        <w:bottom w:val="double" w:sz="6" w:space="0" w:color="auto"/>
        <w:right w:val="single" w:sz="4" w:space="0" w:color="auto"/>
      </w:pBdr>
      <w:shd w:val="clear" w:color="000000" w:fill="B8CCE4"/>
      <w:spacing w:before="100" w:beforeAutospacing="1" w:after="100" w:afterAutospacing="1" w:line="240" w:lineRule="auto"/>
      <w:jc w:val="both"/>
      <w:textAlignment w:val="center"/>
    </w:pPr>
    <w:rPr>
      <w:rFonts w:ascii="Calibri" w:eastAsia="Times New Roman" w:hAnsi="Calibri" w:cs="Times New Roman"/>
      <w:b/>
      <w:bCs/>
      <w:kern w:val="0"/>
      <w:sz w:val="16"/>
      <w:szCs w:val="16"/>
      <w14:ligatures w14:val="none"/>
    </w:rPr>
  </w:style>
  <w:style w:type="paragraph" w:customStyle="1" w:styleId="xl152">
    <w:name w:val="xl152"/>
    <w:basedOn w:val="Normal"/>
    <w:rsid w:val="009B2D9D"/>
    <w:pPr>
      <w:pBdr>
        <w:left w:val="double" w:sz="6" w:space="0" w:color="auto"/>
        <w:right w:val="single" w:sz="4" w:space="0" w:color="auto"/>
      </w:pBdr>
      <w:shd w:val="clear" w:color="000000" w:fill="FFFFFF"/>
      <w:spacing w:before="100" w:beforeAutospacing="1" w:after="100" w:afterAutospacing="1" w:line="240" w:lineRule="auto"/>
      <w:jc w:val="both"/>
      <w:textAlignment w:val="center"/>
    </w:pPr>
    <w:rPr>
      <w:rFonts w:ascii="Calibri" w:eastAsia="Times New Roman" w:hAnsi="Calibri" w:cs="Times New Roman"/>
      <w:b/>
      <w:bCs/>
      <w:kern w:val="0"/>
      <w:sz w:val="16"/>
      <w:szCs w:val="16"/>
      <w14:ligatures w14:val="none"/>
    </w:rPr>
  </w:style>
  <w:style w:type="paragraph" w:customStyle="1" w:styleId="xl153">
    <w:name w:val="xl153"/>
    <w:basedOn w:val="Normal"/>
    <w:rsid w:val="009B2D9D"/>
    <w:pPr>
      <w:pBdr>
        <w:left w:val="double" w:sz="6" w:space="0" w:color="auto"/>
        <w:right w:val="single" w:sz="4" w:space="0" w:color="auto"/>
      </w:pBdr>
      <w:shd w:val="clear" w:color="000000" w:fill="FFFFFF"/>
      <w:spacing w:before="100" w:beforeAutospacing="1" w:after="100" w:afterAutospacing="1" w:line="240" w:lineRule="auto"/>
      <w:jc w:val="both"/>
      <w:textAlignment w:val="center"/>
    </w:pPr>
    <w:rPr>
      <w:rFonts w:ascii="Calibri" w:eastAsia="Times New Roman" w:hAnsi="Calibri" w:cs="Times New Roman"/>
      <w:kern w:val="0"/>
      <w:sz w:val="16"/>
      <w:szCs w:val="16"/>
      <w14:ligatures w14:val="none"/>
    </w:rPr>
  </w:style>
  <w:style w:type="paragraph" w:customStyle="1" w:styleId="xl154">
    <w:name w:val="xl154"/>
    <w:basedOn w:val="Normal"/>
    <w:rsid w:val="009B2D9D"/>
    <w:pPr>
      <w:pBdr>
        <w:left w:val="single" w:sz="4" w:space="0" w:color="auto"/>
        <w:right w:val="double" w:sz="6" w:space="0" w:color="auto"/>
      </w:pBdr>
      <w:shd w:val="clear" w:color="000000" w:fill="FFFFFF"/>
      <w:spacing w:before="100" w:beforeAutospacing="1" w:after="100" w:afterAutospacing="1" w:line="240" w:lineRule="auto"/>
      <w:jc w:val="both"/>
      <w:textAlignment w:val="center"/>
    </w:pPr>
    <w:rPr>
      <w:rFonts w:ascii="Calibri" w:eastAsia="Times New Roman" w:hAnsi="Calibri" w:cs="Times New Roman"/>
      <w:b/>
      <w:bCs/>
      <w:kern w:val="0"/>
      <w:sz w:val="16"/>
      <w:szCs w:val="16"/>
      <w14:ligatures w14:val="none"/>
    </w:rPr>
  </w:style>
  <w:style w:type="paragraph" w:customStyle="1" w:styleId="xl155">
    <w:name w:val="xl155"/>
    <w:basedOn w:val="Normal"/>
    <w:rsid w:val="009B2D9D"/>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both"/>
      <w:textAlignment w:val="center"/>
    </w:pPr>
    <w:rPr>
      <w:rFonts w:ascii="Calibri" w:eastAsia="Times New Roman" w:hAnsi="Calibri" w:cs="Times New Roman"/>
      <w:b/>
      <w:bCs/>
      <w:kern w:val="0"/>
      <w:sz w:val="16"/>
      <w:szCs w:val="16"/>
      <w14:ligatures w14:val="none"/>
    </w:rPr>
  </w:style>
  <w:style w:type="paragraph" w:customStyle="1" w:styleId="xl156">
    <w:name w:val="xl156"/>
    <w:basedOn w:val="Normal"/>
    <w:rsid w:val="009B2D9D"/>
    <w:pPr>
      <w:pBdr>
        <w:top w:val="double" w:sz="6" w:space="0" w:color="auto"/>
        <w:left w:val="double" w:sz="6" w:space="0" w:color="auto"/>
        <w:right w:val="double" w:sz="6" w:space="0" w:color="auto"/>
      </w:pBdr>
      <w:shd w:val="clear" w:color="000000" w:fill="FFFFFF"/>
      <w:spacing w:before="100" w:beforeAutospacing="1" w:after="100" w:afterAutospacing="1" w:line="240" w:lineRule="auto"/>
      <w:jc w:val="both"/>
      <w:textAlignment w:val="center"/>
    </w:pPr>
    <w:rPr>
      <w:rFonts w:ascii="Calibri" w:eastAsia="Times New Roman" w:hAnsi="Calibri" w:cs="Times New Roman"/>
      <w:b/>
      <w:bCs/>
      <w:kern w:val="0"/>
      <w:sz w:val="16"/>
      <w:szCs w:val="16"/>
      <w14:ligatures w14:val="none"/>
    </w:rPr>
  </w:style>
  <w:style w:type="paragraph" w:customStyle="1" w:styleId="xl157">
    <w:name w:val="xl157"/>
    <w:basedOn w:val="Normal"/>
    <w:rsid w:val="009B2D9D"/>
    <w:pPr>
      <w:pBdr>
        <w:top w:val="double" w:sz="6" w:space="0" w:color="auto"/>
        <w:left w:val="double" w:sz="6" w:space="0" w:color="auto"/>
        <w:right w:val="single" w:sz="4" w:space="0" w:color="auto"/>
      </w:pBdr>
      <w:shd w:val="clear" w:color="000000" w:fill="FFFFFF"/>
      <w:spacing w:before="100" w:beforeAutospacing="1" w:after="100" w:afterAutospacing="1" w:line="240" w:lineRule="auto"/>
      <w:jc w:val="both"/>
      <w:textAlignment w:val="center"/>
    </w:pPr>
    <w:rPr>
      <w:rFonts w:ascii="Calibri" w:eastAsia="Times New Roman" w:hAnsi="Calibri" w:cs="Times New Roman"/>
      <w:b/>
      <w:bCs/>
      <w:kern w:val="0"/>
      <w:sz w:val="16"/>
      <w:szCs w:val="16"/>
      <w14:ligatures w14:val="none"/>
    </w:rPr>
  </w:style>
  <w:style w:type="paragraph" w:customStyle="1" w:styleId="xl158">
    <w:name w:val="xl158"/>
    <w:basedOn w:val="Normal"/>
    <w:rsid w:val="009B2D9D"/>
    <w:pPr>
      <w:pBdr>
        <w:top w:val="double" w:sz="6" w:space="0" w:color="auto"/>
      </w:pBdr>
      <w:shd w:val="clear" w:color="000000" w:fill="FFFFFF"/>
      <w:spacing w:before="100" w:beforeAutospacing="1" w:after="100" w:afterAutospacing="1" w:line="240" w:lineRule="auto"/>
      <w:jc w:val="both"/>
      <w:textAlignment w:val="center"/>
    </w:pPr>
    <w:rPr>
      <w:rFonts w:ascii="Calibri" w:eastAsia="Times New Roman" w:hAnsi="Calibri" w:cs="Times New Roman"/>
      <w:b/>
      <w:bCs/>
      <w:kern w:val="0"/>
      <w:sz w:val="16"/>
      <w:szCs w:val="16"/>
      <w14:ligatures w14:val="none"/>
    </w:rPr>
  </w:style>
  <w:style w:type="paragraph" w:customStyle="1" w:styleId="xl159">
    <w:name w:val="xl159"/>
    <w:basedOn w:val="Normal"/>
    <w:rsid w:val="009B2D9D"/>
    <w:pPr>
      <w:pBdr>
        <w:top w:val="double" w:sz="6" w:space="0" w:color="auto"/>
        <w:right w:val="double" w:sz="6" w:space="0" w:color="auto"/>
      </w:pBdr>
      <w:shd w:val="clear" w:color="000000" w:fill="FFFFFF"/>
      <w:spacing w:before="100" w:beforeAutospacing="1" w:after="100" w:afterAutospacing="1" w:line="240" w:lineRule="auto"/>
      <w:jc w:val="both"/>
      <w:textAlignment w:val="center"/>
    </w:pPr>
    <w:rPr>
      <w:rFonts w:ascii="Calibri" w:eastAsia="Times New Roman" w:hAnsi="Calibri" w:cs="Times New Roman"/>
      <w:b/>
      <w:bCs/>
      <w:kern w:val="0"/>
      <w:sz w:val="16"/>
      <w:szCs w:val="16"/>
      <w14:ligatures w14:val="none"/>
    </w:rPr>
  </w:style>
  <w:style w:type="paragraph" w:customStyle="1" w:styleId="xl160">
    <w:name w:val="xl160"/>
    <w:basedOn w:val="Normal"/>
    <w:rsid w:val="009B2D9D"/>
    <w:pPr>
      <w:pBdr>
        <w:top w:val="double" w:sz="6" w:space="0" w:color="auto"/>
        <w:left w:val="double" w:sz="6" w:space="0" w:color="auto"/>
        <w:right w:val="single" w:sz="4" w:space="0" w:color="auto"/>
      </w:pBdr>
      <w:shd w:val="clear" w:color="000000" w:fill="FFFFFF"/>
      <w:spacing w:before="100" w:beforeAutospacing="1" w:after="100" w:afterAutospacing="1" w:line="240" w:lineRule="auto"/>
      <w:jc w:val="both"/>
      <w:textAlignment w:val="center"/>
    </w:pPr>
    <w:rPr>
      <w:rFonts w:ascii="Calibri" w:eastAsia="Times New Roman" w:hAnsi="Calibri" w:cs="Times New Roman"/>
      <w:b/>
      <w:bCs/>
      <w:kern w:val="0"/>
      <w:sz w:val="16"/>
      <w:szCs w:val="16"/>
      <w14:ligatures w14:val="none"/>
    </w:rPr>
  </w:style>
  <w:style w:type="paragraph" w:customStyle="1" w:styleId="xl161">
    <w:name w:val="xl161"/>
    <w:basedOn w:val="Normal"/>
    <w:rsid w:val="009B2D9D"/>
    <w:pPr>
      <w:pBdr>
        <w:top w:val="double" w:sz="6" w:space="0" w:color="auto"/>
        <w:right w:val="double" w:sz="6" w:space="0" w:color="auto"/>
      </w:pBdr>
      <w:shd w:val="clear" w:color="000000" w:fill="FFFFFF"/>
      <w:spacing w:before="100" w:beforeAutospacing="1" w:after="100" w:afterAutospacing="1" w:line="240" w:lineRule="auto"/>
      <w:jc w:val="both"/>
      <w:textAlignment w:val="center"/>
    </w:pPr>
    <w:rPr>
      <w:rFonts w:ascii="Calibri" w:eastAsia="Times New Roman" w:hAnsi="Calibri" w:cs="Times New Roman"/>
      <w:b/>
      <w:bCs/>
      <w:kern w:val="0"/>
      <w:sz w:val="16"/>
      <w:szCs w:val="16"/>
      <w14:ligatures w14:val="none"/>
    </w:rPr>
  </w:style>
  <w:style w:type="paragraph" w:customStyle="1" w:styleId="xl162">
    <w:name w:val="xl162"/>
    <w:basedOn w:val="Normal"/>
    <w:rsid w:val="009B2D9D"/>
    <w:pPr>
      <w:pBdr>
        <w:left w:val="double" w:sz="6" w:space="0" w:color="auto"/>
        <w:bottom w:val="double" w:sz="6" w:space="0" w:color="auto"/>
        <w:right w:val="double" w:sz="6" w:space="0" w:color="auto"/>
      </w:pBdr>
      <w:shd w:val="clear" w:color="000000" w:fill="FFFFFF"/>
      <w:spacing w:before="100" w:beforeAutospacing="1" w:after="100" w:afterAutospacing="1" w:line="240" w:lineRule="auto"/>
      <w:jc w:val="both"/>
      <w:textAlignment w:val="center"/>
    </w:pPr>
    <w:rPr>
      <w:rFonts w:ascii="Calibri" w:eastAsia="Times New Roman" w:hAnsi="Calibri" w:cs="Times New Roman"/>
      <w:b/>
      <w:bCs/>
      <w:kern w:val="0"/>
      <w:sz w:val="16"/>
      <w:szCs w:val="16"/>
      <w14:ligatures w14:val="none"/>
    </w:rPr>
  </w:style>
  <w:style w:type="paragraph" w:customStyle="1" w:styleId="xl163">
    <w:name w:val="xl163"/>
    <w:basedOn w:val="Normal"/>
    <w:rsid w:val="009B2D9D"/>
    <w:pPr>
      <w:pBdr>
        <w:left w:val="double" w:sz="6" w:space="0" w:color="auto"/>
        <w:bottom w:val="double" w:sz="6" w:space="0" w:color="auto"/>
        <w:right w:val="single" w:sz="4" w:space="0" w:color="auto"/>
      </w:pBdr>
      <w:shd w:val="clear" w:color="000000" w:fill="FFFFFF"/>
      <w:spacing w:before="100" w:beforeAutospacing="1" w:after="100" w:afterAutospacing="1" w:line="240" w:lineRule="auto"/>
      <w:jc w:val="both"/>
      <w:textAlignment w:val="center"/>
    </w:pPr>
    <w:rPr>
      <w:rFonts w:ascii="Calibri" w:eastAsia="Times New Roman" w:hAnsi="Calibri" w:cs="Times New Roman"/>
      <w:b/>
      <w:bCs/>
      <w:kern w:val="0"/>
      <w:sz w:val="16"/>
      <w:szCs w:val="16"/>
      <w14:ligatures w14:val="none"/>
    </w:rPr>
  </w:style>
  <w:style w:type="paragraph" w:customStyle="1" w:styleId="xl164">
    <w:name w:val="xl164"/>
    <w:basedOn w:val="Normal"/>
    <w:rsid w:val="009B2D9D"/>
    <w:pPr>
      <w:pBdr>
        <w:bottom w:val="double" w:sz="6" w:space="0" w:color="auto"/>
        <w:right w:val="double" w:sz="6" w:space="0" w:color="auto"/>
      </w:pBdr>
      <w:shd w:val="clear" w:color="000000" w:fill="FFFFFF"/>
      <w:spacing w:before="100" w:beforeAutospacing="1" w:after="100" w:afterAutospacing="1" w:line="240" w:lineRule="auto"/>
      <w:jc w:val="both"/>
      <w:textAlignment w:val="center"/>
    </w:pPr>
    <w:rPr>
      <w:rFonts w:ascii="Calibri" w:eastAsia="Times New Roman" w:hAnsi="Calibri" w:cs="Times New Roman"/>
      <w:b/>
      <w:bCs/>
      <w:kern w:val="0"/>
      <w:sz w:val="16"/>
      <w:szCs w:val="16"/>
      <w14:ligatures w14:val="none"/>
    </w:rPr>
  </w:style>
  <w:style w:type="paragraph" w:customStyle="1" w:styleId="xl165">
    <w:name w:val="xl165"/>
    <w:basedOn w:val="Normal"/>
    <w:rsid w:val="009B2D9D"/>
    <w:pPr>
      <w:pBdr>
        <w:bottom w:val="double" w:sz="6" w:space="0" w:color="auto"/>
      </w:pBdr>
      <w:shd w:val="clear" w:color="000000" w:fill="FFFFFF"/>
      <w:spacing w:before="100" w:beforeAutospacing="1" w:after="100" w:afterAutospacing="1" w:line="240" w:lineRule="auto"/>
      <w:jc w:val="both"/>
      <w:textAlignment w:val="center"/>
    </w:pPr>
    <w:rPr>
      <w:rFonts w:ascii="Calibri" w:eastAsia="Times New Roman" w:hAnsi="Calibri" w:cs="Times New Roman"/>
      <w:b/>
      <w:bCs/>
      <w:kern w:val="0"/>
      <w:sz w:val="16"/>
      <w:szCs w:val="16"/>
      <w14:ligatures w14:val="none"/>
    </w:rPr>
  </w:style>
  <w:style w:type="paragraph" w:customStyle="1" w:styleId="xl166">
    <w:name w:val="xl166"/>
    <w:basedOn w:val="Normal"/>
    <w:rsid w:val="009B2D9D"/>
    <w:pPr>
      <w:pBdr>
        <w:left w:val="double" w:sz="6" w:space="0" w:color="auto"/>
        <w:bottom w:val="double" w:sz="6" w:space="0" w:color="auto"/>
        <w:right w:val="single" w:sz="4" w:space="0" w:color="auto"/>
      </w:pBdr>
      <w:shd w:val="clear" w:color="000000" w:fill="FFFFFF"/>
      <w:spacing w:before="100" w:beforeAutospacing="1" w:after="100" w:afterAutospacing="1" w:line="240" w:lineRule="auto"/>
      <w:jc w:val="both"/>
      <w:textAlignment w:val="center"/>
    </w:pPr>
    <w:rPr>
      <w:rFonts w:ascii="Calibri" w:eastAsia="Times New Roman" w:hAnsi="Calibri" w:cs="Times New Roman"/>
      <w:b/>
      <w:bCs/>
      <w:kern w:val="0"/>
      <w:sz w:val="16"/>
      <w:szCs w:val="16"/>
      <w14:ligatures w14:val="none"/>
    </w:rPr>
  </w:style>
  <w:style w:type="paragraph" w:customStyle="1" w:styleId="xl167">
    <w:name w:val="xl167"/>
    <w:basedOn w:val="Normal"/>
    <w:rsid w:val="009B2D9D"/>
    <w:pPr>
      <w:pBdr>
        <w:bottom w:val="double" w:sz="6" w:space="0" w:color="auto"/>
        <w:right w:val="double" w:sz="6" w:space="0" w:color="auto"/>
      </w:pBdr>
      <w:shd w:val="clear" w:color="000000" w:fill="FFFFFF"/>
      <w:spacing w:before="100" w:beforeAutospacing="1" w:after="100" w:afterAutospacing="1" w:line="240" w:lineRule="auto"/>
      <w:jc w:val="both"/>
      <w:textAlignment w:val="center"/>
    </w:pPr>
    <w:rPr>
      <w:rFonts w:ascii="Calibri" w:eastAsia="Times New Roman" w:hAnsi="Calibri" w:cs="Times New Roman"/>
      <w:b/>
      <w:bCs/>
      <w:kern w:val="0"/>
      <w:sz w:val="16"/>
      <w:szCs w:val="16"/>
      <w14:ligatures w14:val="none"/>
    </w:rPr>
  </w:style>
  <w:style w:type="paragraph" w:customStyle="1" w:styleId="xl168">
    <w:name w:val="xl168"/>
    <w:basedOn w:val="Normal"/>
    <w:rsid w:val="009B2D9D"/>
    <w:pPr>
      <w:pBdr>
        <w:top w:val="double" w:sz="6" w:space="0" w:color="auto"/>
        <w:left w:val="double" w:sz="6" w:space="0" w:color="auto"/>
        <w:bottom w:val="double" w:sz="6" w:space="0" w:color="auto"/>
      </w:pBdr>
      <w:shd w:val="clear" w:color="000000" w:fill="FFFFFF"/>
      <w:spacing w:before="100" w:beforeAutospacing="1" w:after="100" w:afterAutospacing="1" w:line="240" w:lineRule="auto"/>
      <w:jc w:val="both"/>
      <w:textAlignment w:val="center"/>
    </w:pPr>
    <w:rPr>
      <w:rFonts w:ascii="Calibri" w:eastAsia="Times New Roman" w:hAnsi="Calibri" w:cs="Times New Roman"/>
      <w:kern w:val="0"/>
      <w:sz w:val="16"/>
      <w:szCs w:val="16"/>
      <w14:ligatures w14:val="none"/>
    </w:rPr>
  </w:style>
  <w:style w:type="paragraph" w:customStyle="1" w:styleId="xl169">
    <w:name w:val="xl169"/>
    <w:basedOn w:val="Normal"/>
    <w:rsid w:val="009B2D9D"/>
    <w:pPr>
      <w:pBdr>
        <w:top w:val="double" w:sz="6" w:space="0" w:color="auto"/>
        <w:left w:val="double" w:sz="6" w:space="0" w:color="auto"/>
        <w:bottom w:val="double" w:sz="6" w:space="0" w:color="auto"/>
        <w:right w:val="single" w:sz="4" w:space="0" w:color="auto"/>
      </w:pBdr>
      <w:shd w:val="clear" w:color="000000" w:fill="FFFFFF"/>
      <w:spacing w:before="100" w:beforeAutospacing="1" w:after="100" w:afterAutospacing="1" w:line="240" w:lineRule="auto"/>
      <w:jc w:val="both"/>
      <w:textAlignment w:val="center"/>
    </w:pPr>
    <w:rPr>
      <w:rFonts w:ascii="Calibri" w:eastAsia="Times New Roman" w:hAnsi="Calibri" w:cs="Times New Roman"/>
      <w:kern w:val="0"/>
      <w:sz w:val="16"/>
      <w:szCs w:val="16"/>
      <w14:ligatures w14:val="none"/>
    </w:rPr>
  </w:style>
  <w:style w:type="paragraph" w:customStyle="1" w:styleId="xl170">
    <w:name w:val="xl170"/>
    <w:basedOn w:val="Normal"/>
    <w:rsid w:val="009B2D9D"/>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both"/>
      <w:textAlignment w:val="center"/>
    </w:pPr>
    <w:rPr>
      <w:rFonts w:ascii="Calibri" w:eastAsia="Times New Roman" w:hAnsi="Calibri" w:cs="Times New Roman"/>
      <w:b/>
      <w:bCs/>
      <w:kern w:val="0"/>
      <w:sz w:val="16"/>
      <w:szCs w:val="16"/>
      <w14:ligatures w14:val="none"/>
    </w:rPr>
  </w:style>
  <w:style w:type="paragraph" w:customStyle="1" w:styleId="xl171">
    <w:name w:val="xl171"/>
    <w:basedOn w:val="Normal"/>
    <w:rsid w:val="009B2D9D"/>
    <w:pPr>
      <w:pBdr>
        <w:top w:val="double" w:sz="6" w:space="0" w:color="auto"/>
        <w:bottom w:val="double" w:sz="6" w:space="0" w:color="auto"/>
      </w:pBdr>
      <w:shd w:val="clear" w:color="000000" w:fill="FFFFFF"/>
      <w:spacing w:before="100" w:beforeAutospacing="1" w:after="100" w:afterAutospacing="1" w:line="240" w:lineRule="auto"/>
      <w:jc w:val="both"/>
      <w:textAlignment w:val="center"/>
    </w:pPr>
    <w:rPr>
      <w:rFonts w:ascii="Calibri" w:eastAsia="Times New Roman" w:hAnsi="Calibri" w:cs="Times New Roman"/>
      <w:b/>
      <w:bCs/>
      <w:kern w:val="0"/>
      <w:sz w:val="16"/>
      <w:szCs w:val="16"/>
      <w14:ligatures w14:val="none"/>
    </w:rPr>
  </w:style>
  <w:style w:type="paragraph" w:customStyle="1" w:styleId="xl172">
    <w:name w:val="xl172"/>
    <w:basedOn w:val="Normal"/>
    <w:rsid w:val="009B2D9D"/>
    <w:pPr>
      <w:pBdr>
        <w:top w:val="double" w:sz="6" w:space="0" w:color="auto"/>
        <w:left w:val="double" w:sz="6" w:space="0" w:color="auto"/>
        <w:bottom w:val="double" w:sz="6" w:space="0" w:color="auto"/>
        <w:right w:val="single" w:sz="4" w:space="0" w:color="auto"/>
      </w:pBdr>
      <w:shd w:val="clear" w:color="000000" w:fill="FFFFFF"/>
      <w:spacing w:before="100" w:beforeAutospacing="1" w:after="100" w:afterAutospacing="1" w:line="240" w:lineRule="auto"/>
      <w:jc w:val="both"/>
      <w:textAlignment w:val="center"/>
    </w:pPr>
    <w:rPr>
      <w:rFonts w:ascii="Calibri" w:eastAsia="Times New Roman" w:hAnsi="Calibri" w:cs="Times New Roman"/>
      <w:b/>
      <w:bCs/>
      <w:kern w:val="0"/>
      <w:sz w:val="16"/>
      <w:szCs w:val="16"/>
      <w14:ligatures w14:val="none"/>
    </w:rPr>
  </w:style>
  <w:style w:type="paragraph" w:customStyle="1" w:styleId="xl173">
    <w:name w:val="xl173"/>
    <w:basedOn w:val="Normal"/>
    <w:rsid w:val="009B2D9D"/>
    <w:pPr>
      <w:pBdr>
        <w:top w:val="double" w:sz="6" w:space="0" w:color="auto"/>
        <w:left w:val="single" w:sz="4" w:space="0" w:color="auto"/>
        <w:bottom w:val="double" w:sz="6" w:space="0" w:color="auto"/>
        <w:right w:val="double" w:sz="6" w:space="0" w:color="auto"/>
      </w:pBdr>
      <w:shd w:val="clear" w:color="000000" w:fill="FFFFFF"/>
      <w:spacing w:before="100" w:beforeAutospacing="1" w:after="100" w:afterAutospacing="1" w:line="240" w:lineRule="auto"/>
      <w:jc w:val="both"/>
      <w:textAlignment w:val="center"/>
    </w:pPr>
    <w:rPr>
      <w:rFonts w:ascii="Calibri" w:eastAsia="Times New Roman" w:hAnsi="Calibri" w:cs="Times New Roman"/>
      <w:b/>
      <w:bCs/>
      <w:kern w:val="0"/>
      <w:sz w:val="16"/>
      <w:szCs w:val="16"/>
      <w14:ligatures w14:val="none"/>
    </w:rPr>
  </w:style>
  <w:style w:type="paragraph" w:customStyle="1" w:styleId="xl174">
    <w:name w:val="xl174"/>
    <w:basedOn w:val="Normal"/>
    <w:rsid w:val="009B2D9D"/>
    <w:pPr>
      <w:pBdr>
        <w:top w:val="double" w:sz="6" w:space="0" w:color="auto"/>
        <w:bottom w:val="double" w:sz="6" w:space="0" w:color="auto"/>
        <w:right w:val="double" w:sz="6" w:space="0" w:color="auto"/>
      </w:pBdr>
      <w:shd w:val="clear" w:color="000000" w:fill="B8CCE4"/>
      <w:spacing w:before="100" w:beforeAutospacing="1" w:after="100" w:afterAutospacing="1" w:line="240" w:lineRule="auto"/>
      <w:jc w:val="both"/>
      <w:textAlignment w:val="center"/>
    </w:pPr>
    <w:rPr>
      <w:rFonts w:ascii="Calibri" w:eastAsia="Times New Roman" w:hAnsi="Calibri" w:cs="Times New Roman"/>
      <w:b/>
      <w:bCs/>
      <w:kern w:val="0"/>
      <w:sz w:val="16"/>
      <w:szCs w:val="16"/>
      <w14:ligatures w14:val="none"/>
    </w:rPr>
  </w:style>
  <w:style w:type="paragraph" w:customStyle="1" w:styleId="xl175">
    <w:name w:val="xl175"/>
    <w:basedOn w:val="Normal"/>
    <w:rsid w:val="009B2D9D"/>
    <w:pPr>
      <w:pBdr>
        <w:left w:val="double" w:sz="6" w:space="0" w:color="auto"/>
        <w:bottom w:val="double" w:sz="6" w:space="0" w:color="auto"/>
        <w:right w:val="single" w:sz="4" w:space="0" w:color="auto"/>
      </w:pBdr>
      <w:shd w:val="clear" w:color="000000" w:fill="FFFFFF"/>
      <w:spacing w:before="100" w:beforeAutospacing="1" w:after="100" w:afterAutospacing="1" w:line="240" w:lineRule="auto"/>
      <w:jc w:val="both"/>
      <w:textAlignment w:val="center"/>
    </w:pPr>
    <w:rPr>
      <w:rFonts w:ascii="Calibri" w:eastAsia="Times New Roman" w:hAnsi="Calibri" w:cs="Times New Roman"/>
      <w:kern w:val="0"/>
      <w:sz w:val="16"/>
      <w:szCs w:val="16"/>
      <w14:ligatures w14:val="none"/>
    </w:rPr>
  </w:style>
  <w:style w:type="paragraph" w:customStyle="1" w:styleId="xl176">
    <w:name w:val="xl176"/>
    <w:basedOn w:val="Normal"/>
    <w:rsid w:val="009B2D9D"/>
    <w:pPr>
      <w:pBdr>
        <w:left w:val="double" w:sz="6" w:space="0" w:color="auto"/>
        <w:right w:val="single" w:sz="4" w:space="0" w:color="auto"/>
      </w:pBdr>
      <w:shd w:val="clear" w:color="000000" w:fill="FFFFFF"/>
      <w:spacing w:before="100" w:beforeAutospacing="1" w:after="100" w:afterAutospacing="1" w:line="240" w:lineRule="auto"/>
      <w:jc w:val="both"/>
      <w:textAlignment w:val="center"/>
    </w:pPr>
    <w:rPr>
      <w:rFonts w:ascii="Calibri" w:eastAsia="Times New Roman" w:hAnsi="Calibri" w:cs="Times New Roman"/>
      <w:kern w:val="0"/>
      <w:sz w:val="16"/>
      <w:szCs w:val="16"/>
      <w14:ligatures w14:val="none"/>
    </w:rPr>
  </w:style>
  <w:style w:type="paragraph" w:customStyle="1" w:styleId="xl177">
    <w:name w:val="xl177"/>
    <w:basedOn w:val="Normal"/>
    <w:rsid w:val="009B2D9D"/>
    <w:pPr>
      <w:pBdr>
        <w:left w:val="double" w:sz="6" w:space="0" w:color="auto"/>
        <w:bottom w:val="double" w:sz="6" w:space="0" w:color="auto"/>
      </w:pBdr>
      <w:shd w:val="clear" w:color="000000" w:fill="FFFFFF"/>
      <w:spacing w:before="100" w:beforeAutospacing="1" w:after="100" w:afterAutospacing="1" w:line="240" w:lineRule="auto"/>
      <w:jc w:val="both"/>
      <w:textAlignment w:val="center"/>
    </w:pPr>
    <w:rPr>
      <w:rFonts w:ascii="Calibri" w:eastAsia="Times New Roman" w:hAnsi="Calibri" w:cs="Times New Roman"/>
      <w:kern w:val="0"/>
      <w:sz w:val="16"/>
      <w:szCs w:val="16"/>
      <w14:ligatures w14:val="none"/>
    </w:rPr>
  </w:style>
  <w:style w:type="paragraph" w:customStyle="1" w:styleId="xl178">
    <w:name w:val="xl178"/>
    <w:basedOn w:val="Normal"/>
    <w:rsid w:val="009B2D9D"/>
    <w:pPr>
      <w:pBdr>
        <w:left w:val="double" w:sz="6" w:space="0" w:color="auto"/>
        <w:bottom w:val="double" w:sz="6" w:space="0" w:color="auto"/>
        <w:right w:val="single" w:sz="4" w:space="0" w:color="auto"/>
      </w:pBdr>
      <w:shd w:val="clear" w:color="000000" w:fill="FFFFFF"/>
      <w:spacing w:before="100" w:beforeAutospacing="1" w:after="100" w:afterAutospacing="1" w:line="240" w:lineRule="auto"/>
      <w:jc w:val="both"/>
      <w:textAlignment w:val="center"/>
    </w:pPr>
    <w:rPr>
      <w:rFonts w:ascii="Calibri" w:eastAsia="Times New Roman" w:hAnsi="Calibri" w:cs="Times New Roman"/>
      <w:kern w:val="0"/>
      <w:sz w:val="16"/>
      <w:szCs w:val="16"/>
      <w14:ligatures w14:val="none"/>
    </w:rPr>
  </w:style>
  <w:style w:type="paragraph" w:customStyle="1" w:styleId="xl179">
    <w:name w:val="xl179"/>
    <w:basedOn w:val="Normal"/>
    <w:rsid w:val="009B2D9D"/>
    <w:pPr>
      <w:pBdr>
        <w:left w:val="double" w:sz="6" w:space="0" w:color="auto"/>
        <w:bottom w:val="double" w:sz="6" w:space="0" w:color="auto"/>
      </w:pBdr>
      <w:shd w:val="clear" w:color="000000" w:fill="FFFFFF"/>
      <w:spacing w:before="100" w:beforeAutospacing="1" w:after="100" w:afterAutospacing="1" w:line="240" w:lineRule="auto"/>
      <w:jc w:val="both"/>
      <w:textAlignment w:val="center"/>
    </w:pPr>
    <w:rPr>
      <w:rFonts w:ascii="Calibri" w:eastAsia="Times New Roman" w:hAnsi="Calibri" w:cs="Times New Roman"/>
      <w:b/>
      <w:bCs/>
      <w:kern w:val="0"/>
      <w:sz w:val="16"/>
      <w:szCs w:val="16"/>
      <w14:ligatures w14:val="none"/>
    </w:rPr>
  </w:style>
  <w:style w:type="numbering" w:customStyle="1" w:styleId="NoList21">
    <w:name w:val="No List21"/>
    <w:next w:val="NoList"/>
    <w:uiPriority w:val="99"/>
    <w:semiHidden/>
    <w:unhideWhenUsed/>
    <w:rsid w:val="009B2D9D"/>
  </w:style>
  <w:style w:type="numbering" w:customStyle="1" w:styleId="Radovan11">
    <w:name w:val="Radovan11"/>
    <w:uiPriority w:val="99"/>
    <w:rsid w:val="009B2D9D"/>
  </w:style>
  <w:style w:type="numbering" w:customStyle="1" w:styleId="Style12">
    <w:name w:val="Style12"/>
    <w:uiPriority w:val="99"/>
    <w:rsid w:val="009B2D9D"/>
  </w:style>
  <w:style w:type="numbering" w:customStyle="1" w:styleId="Style211">
    <w:name w:val="Style211"/>
    <w:uiPriority w:val="99"/>
    <w:rsid w:val="009B2D9D"/>
  </w:style>
  <w:style w:type="numbering" w:customStyle="1" w:styleId="NoList121">
    <w:name w:val="No List121"/>
    <w:next w:val="NoList"/>
    <w:uiPriority w:val="99"/>
    <w:semiHidden/>
    <w:unhideWhenUsed/>
    <w:rsid w:val="009B2D9D"/>
  </w:style>
  <w:style w:type="numbering" w:customStyle="1" w:styleId="NoList1121">
    <w:name w:val="No List1121"/>
    <w:next w:val="NoList"/>
    <w:uiPriority w:val="99"/>
    <w:semiHidden/>
    <w:unhideWhenUsed/>
    <w:rsid w:val="009B2D9D"/>
  </w:style>
  <w:style w:type="numbering" w:customStyle="1" w:styleId="NoList11111">
    <w:name w:val="No List11111"/>
    <w:next w:val="NoList"/>
    <w:uiPriority w:val="99"/>
    <w:semiHidden/>
    <w:unhideWhenUsed/>
    <w:rsid w:val="009B2D9D"/>
  </w:style>
  <w:style w:type="numbering" w:customStyle="1" w:styleId="NoList211">
    <w:name w:val="No List211"/>
    <w:next w:val="NoList"/>
    <w:uiPriority w:val="99"/>
    <w:semiHidden/>
    <w:unhideWhenUsed/>
    <w:rsid w:val="009B2D9D"/>
  </w:style>
  <w:style w:type="paragraph" w:customStyle="1" w:styleId="Tekst-">
    <w:name w:val="_Tekst-"/>
    <w:basedOn w:val="Tekst"/>
    <w:qFormat/>
    <w:rsid w:val="009B2D9D"/>
    <w:pPr>
      <w:spacing w:before="100" w:after="100" w:line="230" w:lineRule="auto"/>
    </w:pPr>
    <w:rPr>
      <w:rFonts w:eastAsia="Calibri"/>
      <w:szCs w:val="22"/>
      <w:lang w:val="sr-Latn-ME" w:eastAsia="x-none"/>
    </w:rPr>
  </w:style>
  <w:style w:type="numbering" w:customStyle="1" w:styleId="NoList111111">
    <w:name w:val="No List111111"/>
    <w:next w:val="NoList"/>
    <w:uiPriority w:val="99"/>
    <w:semiHidden/>
    <w:unhideWhenUsed/>
    <w:rsid w:val="009B2D9D"/>
  </w:style>
  <w:style w:type="table" w:customStyle="1" w:styleId="TableGrid21">
    <w:name w:val="Table Grid21"/>
    <w:basedOn w:val="TableNormal"/>
    <w:next w:val="TableGrid"/>
    <w:uiPriority w:val="59"/>
    <w:rsid w:val="009B2D9D"/>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30X">
    <w:name w:val="T30X"/>
    <w:basedOn w:val="Normal"/>
    <w:uiPriority w:val="99"/>
    <w:rsid w:val="009B2D9D"/>
    <w:pPr>
      <w:autoSpaceDE w:val="0"/>
      <w:autoSpaceDN w:val="0"/>
      <w:adjustRightInd w:val="0"/>
      <w:spacing w:before="60" w:after="60" w:line="240" w:lineRule="auto"/>
      <w:ind w:firstLine="283"/>
      <w:jc w:val="both"/>
    </w:pPr>
    <w:rPr>
      <w:rFonts w:ascii="Times New Roman" w:eastAsia="Times New Roman" w:hAnsi="Times New Roman" w:cs="Times New Roman"/>
      <w:color w:val="000000"/>
      <w:kern w:val="0"/>
      <w:sz w:val="20"/>
      <w14:ligatures w14:val="none"/>
    </w:rPr>
  </w:style>
  <w:style w:type="numbering" w:customStyle="1" w:styleId="NoList31">
    <w:name w:val="No List31"/>
    <w:next w:val="NoList"/>
    <w:uiPriority w:val="99"/>
    <w:semiHidden/>
    <w:unhideWhenUsed/>
    <w:rsid w:val="009B2D9D"/>
  </w:style>
  <w:style w:type="table" w:customStyle="1" w:styleId="LightShading-Accent31">
    <w:name w:val="Light Shading - Accent 31"/>
    <w:basedOn w:val="TableNormal"/>
    <w:next w:val="LightShading-Accent3"/>
    <w:uiPriority w:val="60"/>
    <w:rsid w:val="009B2D9D"/>
    <w:pPr>
      <w:spacing w:after="0" w:line="240" w:lineRule="auto"/>
    </w:pPr>
    <w:rPr>
      <w:rFonts w:ascii="Calibri" w:eastAsia="Calibri" w:hAnsi="Calibri" w:cs="Times New Roman"/>
      <w:color w:val="7B7B7B"/>
      <w:kern w:val="0"/>
      <w:sz w:val="20"/>
      <w:szCs w:val="20"/>
      <w14:ligatures w14:val="none"/>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LightList-Accent21">
    <w:name w:val="Light List - Accent 21"/>
    <w:basedOn w:val="TableNormal"/>
    <w:next w:val="LightList-Accent2"/>
    <w:uiPriority w:val="61"/>
    <w:rsid w:val="009B2D9D"/>
    <w:pPr>
      <w:spacing w:after="0" w:line="240" w:lineRule="auto"/>
    </w:pPr>
    <w:rPr>
      <w:rFonts w:eastAsia="Times New Roman"/>
      <w:kern w:val="0"/>
      <w:lang w:val="sr-Latn-CS" w:eastAsia="sr-Latn-CS"/>
      <w14:ligatures w14:val="none"/>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TableNormal12">
    <w:name w:val="Table Normal12"/>
    <w:uiPriority w:val="2"/>
    <w:semiHidden/>
    <w:unhideWhenUsed/>
    <w:qFormat/>
    <w:rsid w:val="009B2D9D"/>
    <w:pPr>
      <w:widowControl w:val="0"/>
      <w:spacing w:after="0" w:line="240" w:lineRule="auto"/>
    </w:pPr>
    <w:rPr>
      <w:kern w:val="0"/>
      <w14:ligatures w14:val="none"/>
    </w:rPr>
    <w:tblPr>
      <w:tblInd w:w="0" w:type="dxa"/>
      <w:tblCellMar>
        <w:top w:w="0" w:type="dxa"/>
        <w:left w:w="0" w:type="dxa"/>
        <w:bottom w:w="0" w:type="dxa"/>
        <w:right w:w="0" w:type="dxa"/>
      </w:tblCellMar>
    </w:tblPr>
  </w:style>
  <w:style w:type="numbering" w:customStyle="1" w:styleId="NoList1211">
    <w:name w:val="No List1211"/>
    <w:next w:val="NoList"/>
    <w:uiPriority w:val="99"/>
    <w:semiHidden/>
    <w:unhideWhenUsed/>
    <w:rsid w:val="009B2D9D"/>
  </w:style>
  <w:style w:type="numbering" w:customStyle="1" w:styleId="NoList11211">
    <w:name w:val="No List11211"/>
    <w:next w:val="NoList"/>
    <w:uiPriority w:val="99"/>
    <w:semiHidden/>
    <w:unhideWhenUsed/>
    <w:rsid w:val="009B2D9D"/>
  </w:style>
  <w:style w:type="table" w:customStyle="1" w:styleId="TableElegant1">
    <w:name w:val="Table Elegant1"/>
    <w:basedOn w:val="TableNormal"/>
    <w:next w:val="TableElegant"/>
    <w:rsid w:val="009B2D9D"/>
    <w:pPr>
      <w:spacing w:after="0" w:line="240" w:lineRule="auto"/>
    </w:pPr>
    <w:rPr>
      <w:rFonts w:ascii="Times New Roman" w:eastAsia="Times New Roman" w:hAnsi="Times New Roman" w:cs="Times New Roman"/>
      <w:kern w:val="0"/>
      <w:sz w:val="20"/>
      <w:szCs w:val="20"/>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NoList1112">
    <w:name w:val="No List1112"/>
    <w:next w:val="NoList"/>
    <w:uiPriority w:val="99"/>
    <w:semiHidden/>
    <w:unhideWhenUsed/>
    <w:rsid w:val="009B2D9D"/>
  </w:style>
  <w:style w:type="table" w:customStyle="1" w:styleId="TableNormal111">
    <w:name w:val="Table Normal111"/>
    <w:uiPriority w:val="2"/>
    <w:semiHidden/>
    <w:unhideWhenUsed/>
    <w:qFormat/>
    <w:rsid w:val="009B2D9D"/>
    <w:pPr>
      <w:widowControl w:val="0"/>
      <w:spacing w:after="0" w:line="240" w:lineRule="auto"/>
    </w:pPr>
    <w:rPr>
      <w:kern w:val="0"/>
      <w14:ligatures w14:val="none"/>
    </w:rPr>
    <w:tblPr>
      <w:tblInd w:w="0" w:type="dxa"/>
      <w:tblCellMar>
        <w:top w:w="0" w:type="dxa"/>
        <w:left w:w="0" w:type="dxa"/>
        <w:bottom w:w="0" w:type="dxa"/>
        <w:right w:w="0" w:type="dxa"/>
      </w:tblCellMar>
    </w:tblPr>
  </w:style>
  <w:style w:type="table" w:customStyle="1" w:styleId="PERstyle1">
    <w:name w:val="PER style1"/>
    <w:basedOn w:val="TableNormal"/>
    <w:uiPriority w:val="99"/>
    <w:rsid w:val="009B2D9D"/>
    <w:pPr>
      <w:spacing w:after="0" w:line="240" w:lineRule="auto"/>
    </w:pPr>
    <w:rPr>
      <w:kern w:val="0"/>
      <w14:ligatures w14:val="none"/>
    </w:rPr>
    <w:tblPr/>
  </w:style>
  <w:style w:type="table" w:customStyle="1" w:styleId="PlainTable411">
    <w:name w:val="Plain Table 411"/>
    <w:basedOn w:val="TableNormal"/>
    <w:uiPriority w:val="44"/>
    <w:rsid w:val="009B2D9D"/>
    <w:pPr>
      <w:spacing w:after="0" w:line="240" w:lineRule="auto"/>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2111">
    <w:name w:val="No List2111"/>
    <w:next w:val="NoList"/>
    <w:uiPriority w:val="99"/>
    <w:semiHidden/>
    <w:unhideWhenUsed/>
    <w:rsid w:val="009B2D9D"/>
  </w:style>
  <w:style w:type="table" w:customStyle="1" w:styleId="PlainTable21">
    <w:name w:val="Plain Table 21"/>
    <w:basedOn w:val="TableNormal"/>
    <w:uiPriority w:val="42"/>
    <w:rsid w:val="009B2D9D"/>
    <w:pPr>
      <w:spacing w:after="0" w:line="240" w:lineRule="auto"/>
    </w:pPr>
    <w:rPr>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Light1">
    <w:name w:val="Table Grid Light1"/>
    <w:basedOn w:val="TableNormal"/>
    <w:uiPriority w:val="40"/>
    <w:rsid w:val="009B2D9D"/>
    <w:pPr>
      <w:spacing w:after="0" w:line="240" w:lineRule="auto"/>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2">
    <w:name w:val="Table Grid Light2"/>
    <w:basedOn w:val="TableNormal"/>
    <w:uiPriority w:val="40"/>
    <w:rsid w:val="009B2D9D"/>
    <w:pPr>
      <w:spacing w:after="0" w:line="240" w:lineRule="auto"/>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Style3">
    <w:name w:val="Style3"/>
    <w:uiPriority w:val="99"/>
    <w:rsid w:val="009B2D9D"/>
    <w:pPr>
      <w:numPr>
        <w:numId w:val="54"/>
      </w:numPr>
    </w:pPr>
  </w:style>
  <w:style w:type="table" w:customStyle="1" w:styleId="TableGridLight21">
    <w:name w:val="Table Grid Light21"/>
    <w:basedOn w:val="TableNormal"/>
    <w:uiPriority w:val="40"/>
    <w:rsid w:val="009B2D9D"/>
    <w:pPr>
      <w:spacing w:after="0" w:line="240" w:lineRule="auto"/>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4">
    <w:name w:val="No List4"/>
    <w:next w:val="NoList"/>
    <w:uiPriority w:val="99"/>
    <w:semiHidden/>
    <w:unhideWhenUsed/>
    <w:rsid w:val="009B2D9D"/>
  </w:style>
  <w:style w:type="numbering" w:customStyle="1" w:styleId="Radovan2">
    <w:name w:val="Radovan2"/>
    <w:uiPriority w:val="99"/>
    <w:rsid w:val="009B2D9D"/>
  </w:style>
  <w:style w:type="numbering" w:customStyle="1" w:styleId="Style13">
    <w:name w:val="Style13"/>
    <w:uiPriority w:val="99"/>
    <w:rsid w:val="009B2D9D"/>
  </w:style>
  <w:style w:type="numbering" w:customStyle="1" w:styleId="Style22">
    <w:name w:val="Style22"/>
    <w:uiPriority w:val="99"/>
    <w:rsid w:val="009B2D9D"/>
  </w:style>
  <w:style w:type="numbering" w:customStyle="1" w:styleId="NoList13">
    <w:name w:val="No List13"/>
    <w:next w:val="NoList"/>
    <w:uiPriority w:val="99"/>
    <w:semiHidden/>
    <w:unhideWhenUsed/>
    <w:rsid w:val="009B2D9D"/>
  </w:style>
  <w:style w:type="numbering" w:customStyle="1" w:styleId="NoList113">
    <w:name w:val="No List113"/>
    <w:next w:val="NoList"/>
    <w:uiPriority w:val="99"/>
    <w:semiHidden/>
    <w:unhideWhenUsed/>
    <w:rsid w:val="009B2D9D"/>
  </w:style>
  <w:style w:type="numbering" w:customStyle="1" w:styleId="NoList1113">
    <w:name w:val="No List1113"/>
    <w:next w:val="NoList"/>
    <w:uiPriority w:val="99"/>
    <w:semiHidden/>
    <w:unhideWhenUsed/>
    <w:rsid w:val="009B2D9D"/>
  </w:style>
  <w:style w:type="numbering" w:customStyle="1" w:styleId="Style1111">
    <w:name w:val="Style1111"/>
    <w:uiPriority w:val="99"/>
    <w:rsid w:val="009B2D9D"/>
    <w:pPr>
      <w:numPr>
        <w:numId w:val="46"/>
      </w:numPr>
    </w:pPr>
  </w:style>
  <w:style w:type="numbering" w:customStyle="1" w:styleId="NoList22">
    <w:name w:val="No List22"/>
    <w:next w:val="NoList"/>
    <w:uiPriority w:val="99"/>
    <w:semiHidden/>
    <w:unhideWhenUsed/>
    <w:rsid w:val="009B2D9D"/>
  </w:style>
  <w:style w:type="table" w:customStyle="1" w:styleId="PlainTable211">
    <w:name w:val="Plain Table 211"/>
    <w:basedOn w:val="TableNormal"/>
    <w:uiPriority w:val="42"/>
    <w:rsid w:val="009B2D9D"/>
    <w:pPr>
      <w:spacing w:after="0" w:line="240" w:lineRule="auto"/>
    </w:pPr>
    <w:rPr>
      <w:kern w:val="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Light11">
    <w:name w:val="Table Grid Light11"/>
    <w:basedOn w:val="TableNormal"/>
    <w:uiPriority w:val="40"/>
    <w:rsid w:val="009B2D9D"/>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22">
    <w:name w:val="Table Grid Light22"/>
    <w:basedOn w:val="TableNormal"/>
    <w:uiPriority w:val="40"/>
    <w:rsid w:val="009B2D9D"/>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Style31">
    <w:name w:val="Style31"/>
    <w:uiPriority w:val="99"/>
    <w:rsid w:val="009B2D9D"/>
  </w:style>
  <w:style w:type="numbering" w:customStyle="1" w:styleId="NoList11112">
    <w:name w:val="No List11112"/>
    <w:next w:val="NoList"/>
    <w:uiPriority w:val="99"/>
    <w:semiHidden/>
    <w:unhideWhenUsed/>
    <w:rsid w:val="009B2D9D"/>
  </w:style>
  <w:style w:type="numbering" w:customStyle="1" w:styleId="NoList311">
    <w:name w:val="No List311"/>
    <w:next w:val="NoList"/>
    <w:uiPriority w:val="99"/>
    <w:semiHidden/>
    <w:unhideWhenUsed/>
    <w:rsid w:val="009B2D9D"/>
  </w:style>
  <w:style w:type="numbering" w:customStyle="1" w:styleId="NoList122">
    <w:name w:val="No List122"/>
    <w:next w:val="NoList"/>
    <w:uiPriority w:val="99"/>
    <w:semiHidden/>
    <w:unhideWhenUsed/>
    <w:rsid w:val="009B2D9D"/>
  </w:style>
  <w:style w:type="numbering" w:customStyle="1" w:styleId="NoList1122">
    <w:name w:val="No List1122"/>
    <w:next w:val="NoList"/>
    <w:uiPriority w:val="99"/>
    <w:semiHidden/>
    <w:unhideWhenUsed/>
    <w:rsid w:val="009B2D9D"/>
  </w:style>
  <w:style w:type="numbering" w:customStyle="1" w:styleId="NoList11121">
    <w:name w:val="No List11121"/>
    <w:next w:val="NoList"/>
    <w:uiPriority w:val="99"/>
    <w:semiHidden/>
    <w:unhideWhenUsed/>
    <w:rsid w:val="009B2D9D"/>
  </w:style>
  <w:style w:type="numbering" w:customStyle="1" w:styleId="NoList212">
    <w:name w:val="No List212"/>
    <w:next w:val="NoList"/>
    <w:uiPriority w:val="99"/>
    <w:semiHidden/>
    <w:unhideWhenUsed/>
    <w:rsid w:val="009B2D9D"/>
  </w:style>
  <w:style w:type="numbering" w:customStyle="1" w:styleId="Style311">
    <w:name w:val="Style311"/>
    <w:uiPriority w:val="99"/>
    <w:rsid w:val="009B2D9D"/>
    <w:pPr>
      <w:numPr>
        <w:numId w:val="53"/>
      </w:numPr>
    </w:pPr>
  </w:style>
  <w:style w:type="numbering" w:customStyle="1" w:styleId="NoList5">
    <w:name w:val="No List5"/>
    <w:next w:val="NoList"/>
    <w:uiPriority w:val="99"/>
    <w:semiHidden/>
    <w:unhideWhenUsed/>
    <w:rsid w:val="009B2D9D"/>
  </w:style>
  <w:style w:type="numbering" w:customStyle="1" w:styleId="Radovan3">
    <w:name w:val="Radovan3"/>
    <w:uiPriority w:val="99"/>
    <w:rsid w:val="009B2D9D"/>
  </w:style>
  <w:style w:type="numbering" w:customStyle="1" w:styleId="Style14">
    <w:name w:val="Style14"/>
    <w:uiPriority w:val="99"/>
    <w:rsid w:val="009B2D9D"/>
  </w:style>
  <w:style w:type="numbering" w:customStyle="1" w:styleId="Style23">
    <w:name w:val="Style23"/>
    <w:uiPriority w:val="99"/>
    <w:rsid w:val="009B2D9D"/>
  </w:style>
  <w:style w:type="numbering" w:customStyle="1" w:styleId="NoList14">
    <w:name w:val="No List14"/>
    <w:next w:val="NoList"/>
    <w:uiPriority w:val="99"/>
    <w:semiHidden/>
    <w:unhideWhenUsed/>
    <w:rsid w:val="009B2D9D"/>
  </w:style>
  <w:style w:type="numbering" w:customStyle="1" w:styleId="NoList114">
    <w:name w:val="No List114"/>
    <w:next w:val="NoList"/>
    <w:uiPriority w:val="99"/>
    <w:semiHidden/>
    <w:unhideWhenUsed/>
    <w:rsid w:val="009B2D9D"/>
  </w:style>
  <w:style w:type="numbering" w:customStyle="1" w:styleId="NoList1114">
    <w:name w:val="No List1114"/>
    <w:next w:val="NoList"/>
    <w:uiPriority w:val="99"/>
    <w:semiHidden/>
    <w:unhideWhenUsed/>
    <w:rsid w:val="009B2D9D"/>
  </w:style>
  <w:style w:type="numbering" w:customStyle="1" w:styleId="Style112">
    <w:name w:val="Style112"/>
    <w:uiPriority w:val="99"/>
    <w:rsid w:val="009B2D9D"/>
  </w:style>
  <w:style w:type="numbering" w:customStyle="1" w:styleId="NoList23">
    <w:name w:val="No List23"/>
    <w:next w:val="NoList"/>
    <w:uiPriority w:val="99"/>
    <w:semiHidden/>
    <w:unhideWhenUsed/>
    <w:rsid w:val="009B2D9D"/>
  </w:style>
  <w:style w:type="numbering" w:customStyle="1" w:styleId="Radovan12">
    <w:name w:val="Radovan12"/>
    <w:uiPriority w:val="99"/>
    <w:rsid w:val="009B2D9D"/>
  </w:style>
  <w:style w:type="numbering" w:customStyle="1" w:styleId="Style121">
    <w:name w:val="Style121"/>
    <w:uiPriority w:val="99"/>
    <w:rsid w:val="009B2D9D"/>
  </w:style>
  <w:style w:type="numbering" w:customStyle="1" w:styleId="Style212">
    <w:name w:val="Style212"/>
    <w:uiPriority w:val="99"/>
    <w:rsid w:val="009B2D9D"/>
  </w:style>
  <w:style w:type="numbering" w:customStyle="1" w:styleId="NoList123">
    <w:name w:val="No List123"/>
    <w:next w:val="NoList"/>
    <w:uiPriority w:val="99"/>
    <w:semiHidden/>
    <w:unhideWhenUsed/>
    <w:rsid w:val="009B2D9D"/>
  </w:style>
  <w:style w:type="numbering" w:customStyle="1" w:styleId="NoList1123">
    <w:name w:val="No List1123"/>
    <w:next w:val="NoList"/>
    <w:uiPriority w:val="99"/>
    <w:semiHidden/>
    <w:unhideWhenUsed/>
    <w:rsid w:val="009B2D9D"/>
  </w:style>
  <w:style w:type="numbering" w:customStyle="1" w:styleId="NoList11113">
    <w:name w:val="No List11113"/>
    <w:next w:val="NoList"/>
    <w:uiPriority w:val="99"/>
    <w:semiHidden/>
    <w:unhideWhenUsed/>
    <w:rsid w:val="009B2D9D"/>
  </w:style>
  <w:style w:type="numbering" w:customStyle="1" w:styleId="NoList213">
    <w:name w:val="No List213"/>
    <w:next w:val="NoList"/>
    <w:uiPriority w:val="99"/>
    <w:semiHidden/>
    <w:unhideWhenUsed/>
    <w:rsid w:val="009B2D9D"/>
  </w:style>
  <w:style w:type="numbering" w:customStyle="1" w:styleId="NoList111112">
    <w:name w:val="No List111112"/>
    <w:next w:val="NoList"/>
    <w:uiPriority w:val="99"/>
    <w:semiHidden/>
    <w:unhideWhenUsed/>
    <w:rsid w:val="009B2D9D"/>
  </w:style>
  <w:style w:type="numbering" w:customStyle="1" w:styleId="NoList32">
    <w:name w:val="No List32"/>
    <w:next w:val="NoList"/>
    <w:uiPriority w:val="99"/>
    <w:semiHidden/>
    <w:unhideWhenUsed/>
    <w:rsid w:val="009B2D9D"/>
  </w:style>
  <w:style w:type="numbering" w:customStyle="1" w:styleId="NoList1212">
    <w:name w:val="No List1212"/>
    <w:next w:val="NoList"/>
    <w:uiPriority w:val="99"/>
    <w:semiHidden/>
    <w:unhideWhenUsed/>
    <w:rsid w:val="009B2D9D"/>
  </w:style>
  <w:style w:type="numbering" w:customStyle="1" w:styleId="NoList11212">
    <w:name w:val="No List11212"/>
    <w:next w:val="NoList"/>
    <w:uiPriority w:val="99"/>
    <w:semiHidden/>
    <w:unhideWhenUsed/>
    <w:rsid w:val="009B2D9D"/>
  </w:style>
  <w:style w:type="numbering" w:customStyle="1" w:styleId="NoList11122">
    <w:name w:val="No List11122"/>
    <w:next w:val="NoList"/>
    <w:uiPriority w:val="99"/>
    <w:semiHidden/>
    <w:unhideWhenUsed/>
    <w:rsid w:val="009B2D9D"/>
  </w:style>
  <w:style w:type="numbering" w:customStyle="1" w:styleId="NoList2112">
    <w:name w:val="No List2112"/>
    <w:next w:val="NoList"/>
    <w:uiPriority w:val="99"/>
    <w:semiHidden/>
    <w:unhideWhenUsed/>
    <w:rsid w:val="009B2D9D"/>
  </w:style>
  <w:style w:type="numbering" w:customStyle="1" w:styleId="Style32">
    <w:name w:val="Style32"/>
    <w:uiPriority w:val="99"/>
    <w:rsid w:val="009B2D9D"/>
  </w:style>
  <w:style w:type="numbering" w:customStyle="1" w:styleId="NoList41">
    <w:name w:val="No List41"/>
    <w:next w:val="NoList"/>
    <w:uiPriority w:val="99"/>
    <w:semiHidden/>
    <w:unhideWhenUsed/>
    <w:rsid w:val="009B2D9D"/>
  </w:style>
  <w:style w:type="numbering" w:customStyle="1" w:styleId="Radovan21">
    <w:name w:val="Radovan21"/>
    <w:uiPriority w:val="99"/>
    <w:rsid w:val="009B2D9D"/>
  </w:style>
  <w:style w:type="numbering" w:customStyle="1" w:styleId="Style131">
    <w:name w:val="Style131"/>
    <w:uiPriority w:val="99"/>
    <w:rsid w:val="009B2D9D"/>
  </w:style>
  <w:style w:type="numbering" w:customStyle="1" w:styleId="Style221">
    <w:name w:val="Style221"/>
    <w:uiPriority w:val="99"/>
    <w:rsid w:val="009B2D9D"/>
  </w:style>
  <w:style w:type="numbering" w:customStyle="1" w:styleId="NoList131">
    <w:name w:val="No List131"/>
    <w:next w:val="NoList"/>
    <w:uiPriority w:val="99"/>
    <w:semiHidden/>
    <w:unhideWhenUsed/>
    <w:rsid w:val="009B2D9D"/>
  </w:style>
  <w:style w:type="numbering" w:customStyle="1" w:styleId="NoList1131">
    <w:name w:val="No List1131"/>
    <w:next w:val="NoList"/>
    <w:uiPriority w:val="99"/>
    <w:semiHidden/>
    <w:unhideWhenUsed/>
    <w:rsid w:val="009B2D9D"/>
  </w:style>
  <w:style w:type="numbering" w:customStyle="1" w:styleId="NoList11131">
    <w:name w:val="No List11131"/>
    <w:next w:val="NoList"/>
    <w:uiPriority w:val="99"/>
    <w:semiHidden/>
    <w:unhideWhenUsed/>
    <w:rsid w:val="009B2D9D"/>
  </w:style>
  <w:style w:type="numbering" w:customStyle="1" w:styleId="Style1112">
    <w:name w:val="Style1112"/>
    <w:uiPriority w:val="99"/>
    <w:rsid w:val="009B2D9D"/>
  </w:style>
  <w:style w:type="numbering" w:customStyle="1" w:styleId="NoList221">
    <w:name w:val="No List221"/>
    <w:next w:val="NoList"/>
    <w:uiPriority w:val="99"/>
    <w:semiHidden/>
    <w:unhideWhenUsed/>
    <w:rsid w:val="009B2D9D"/>
  </w:style>
  <w:style w:type="numbering" w:customStyle="1" w:styleId="Style312">
    <w:name w:val="Style312"/>
    <w:uiPriority w:val="99"/>
    <w:rsid w:val="009B2D9D"/>
  </w:style>
  <w:style w:type="numbering" w:customStyle="1" w:styleId="NoList111121">
    <w:name w:val="No List111121"/>
    <w:next w:val="NoList"/>
    <w:uiPriority w:val="99"/>
    <w:semiHidden/>
    <w:unhideWhenUsed/>
    <w:rsid w:val="009B2D9D"/>
  </w:style>
  <w:style w:type="numbering" w:customStyle="1" w:styleId="NoList312">
    <w:name w:val="No List312"/>
    <w:next w:val="NoList"/>
    <w:uiPriority w:val="99"/>
    <w:semiHidden/>
    <w:unhideWhenUsed/>
    <w:rsid w:val="009B2D9D"/>
  </w:style>
  <w:style w:type="numbering" w:customStyle="1" w:styleId="NoList1221">
    <w:name w:val="No List1221"/>
    <w:next w:val="NoList"/>
    <w:uiPriority w:val="99"/>
    <w:semiHidden/>
    <w:unhideWhenUsed/>
    <w:rsid w:val="009B2D9D"/>
  </w:style>
  <w:style w:type="numbering" w:customStyle="1" w:styleId="NoList11221">
    <w:name w:val="No List11221"/>
    <w:next w:val="NoList"/>
    <w:uiPriority w:val="99"/>
    <w:semiHidden/>
    <w:unhideWhenUsed/>
    <w:rsid w:val="009B2D9D"/>
  </w:style>
  <w:style w:type="numbering" w:customStyle="1" w:styleId="NoList111211">
    <w:name w:val="No List111211"/>
    <w:next w:val="NoList"/>
    <w:uiPriority w:val="99"/>
    <w:semiHidden/>
    <w:unhideWhenUsed/>
    <w:rsid w:val="009B2D9D"/>
  </w:style>
  <w:style w:type="numbering" w:customStyle="1" w:styleId="NoList2121">
    <w:name w:val="No List2121"/>
    <w:next w:val="NoList"/>
    <w:uiPriority w:val="99"/>
    <w:semiHidden/>
    <w:unhideWhenUsed/>
    <w:rsid w:val="009B2D9D"/>
  </w:style>
  <w:style w:type="numbering" w:customStyle="1" w:styleId="Style3111">
    <w:name w:val="Style3111"/>
    <w:uiPriority w:val="99"/>
    <w:rsid w:val="009B2D9D"/>
  </w:style>
  <w:style w:type="numbering" w:customStyle="1" w:styleId="NoList6">
    <w:name w:val="No List6"/>
    <w:next w:val="NoList"/>
    <w:uiPriority w:val="99"/>
    <w:semiHidden/>
    <w:unhideWhenUsed/>
    <w:rsid w:val="009B2D9D"/>
  </w:style>
  <w:style w:type="numbering" w:customStyle="1" w:styleId="Radovan4">
    <w:name w:val="Radovan4"/>
    <w:uiPriority w:val="99"/>
    <w:rsid w:val="009B2D9D"/>
  </w:style>
  <w:style w:type="numbering" w:customStyle="1" w:styleId="Style15">
    <w:name w:val="Style15"/>
    <w:uiPriority w:val="99"/>
    <w:rsid w:val="009B2D9D"/>
  </w:style>
  <w:style w:type="numbering" w:customStyle="1" w:styleId="Style24">
    <w:name w:val="Style24"/>
    <w:uiPriority w:val="99"/>
    <w:rsid w:val="009B2D9D"/>
  </w:style>
  <w:style w:type="numbering" w:customStyle="1" w:styleId="NoList15">
    <w:name w:val="No List15"/>
    <w:next w:val="NoList"/>
    <w:uiPriority w:val="99"/>
    <w:semiHidden/>
    <w:unhideWhenUsed/>
    <w:rsid w:val="009B2D9D"/>
  </w:style>
  <w:style w:type="numbering" w:customStyle="1" w:styleId="NoList115">
    <w:name w:val="No List115"/>
    <w:next w:val="NoList"/>
    <w:uiPriority w:val="99"/>
    <w:semiHidden/>
    <w:unhideWhenUsed/>
    <w:rsid w:val="009B2D9D"/>
  </w:style>
  <w:style w:type="numbering" w:customStyle="1" w:styleId="NoList1115">
    <w:name w:val="No List1115"/>
    <w:next w:val="NoList"/>
    <w:uiPriority w:val="99"/>
    <w:semiHidden/>
    <w:unhideWhenUsed/>
    <w:rsid w:val="009B2D9D"/>
  </w:style>
  <w:style w:type="numbering" w:customStyle="1" w:styleId="Style113">
    <w:name w:val="Style113"/>
    <w:uiPriority w:val="99"/>
    <w:rsid w:val="009B2D9D"/>
  </w:style>
  <w:style w:type="numbering" w:customStyle="1" w:styleId="NoList24">
    <w:name w:val="No List24"/>
    <w:next w:val="NoList"/>
    <w:uiPriority w:val="99"/>
    <w:semiHidden/>
    <w:unhideWhenUsed/>
    <w:rsid w:val="009B2D9D"/>
  </w:style>
  <w:style w:type="numbering" w:customStyle="1" w:styleId="Radovan13">
    <w:name w:val="Radovan13"/>
    <w:uiPriority w:val="99"/>
    <w:rsid w:val="009B2D9D"/>
    <w:pPr>
      <w:numPr>
        <w:numId w:val="34"/>
      </w:numPr>
    </w:pPr>
  </w:style>
  <w:style w:type="numbering" w:customStyle="1" w:styleId="Style122">
    <w:name w:val="Style122"/>
    <w:uiPriority w:val="99"/>
    <w:rsid w:val="009B2D9D"/>
  </w:style>
  <w:style w:type="numbering" w:customStyle="1" w:styleId="Style213">
    <w:name w:val="Style213"/>
    <w:uiPriority w:val="99"/>
    <w:rsid w:val="009B2D9D"/>
  </w:style>
  <w:style w:type="numbering" w:customStyle="1" w:styleId="NoList124">
    <w:name w:val="No List124"/>
    <w:next w:val="NoList"/>
    <w:uiPriority w:val="99"/>
    <w:semiHidden/>
    <w:unhideWhenUsed/>
    <w:rsid w:val="009B2D9D"/>
  </w:style>
  <w:style w:type="numbering" w:customStyle="1" w:styleId="NoList1124">
    <w:name w:val="No List1124"/>
    <w:next w:val="NoList"/>
    <w:uiPriority w:val="99"/>
    <w:semiHidden/>
    <w:unhideWhenUsed/>
    <w:rsid w:val="009B2D9D"/>
  </w:style>
  <w:style w:type="numbering" w:customStyle="1" w:styleId="NoList11114">
    <w:name w:val="No List11114"/>
    <w:next w:val="NoList"/>
    <w:uiPriority w:val="99"/>
    <w:semiHidden/>
    <w:unhideWhenUsed/>
    <w:rsid w:val="009B2D9D"/>
  </w:style>
  <w:style w:type="numbering" w:customStyle="1" w:styleId="NoList214">
    <w:name w:val="No List214"/>
    <w:next w:val="NoList"/>
    <w:uiPriority w:val="99"/>
    <w:semiHidden/>
    <w:unhideWhenUsed/>
    <w:rsid w:val="009B2D9D"/>
  </w:style>
  <w:style w:type="numbering" w:customStyle="1" w:styleId="NoList111113">
    <w:name w:val="No List111113"/>
    <w:next w:val="NoList"/>
    <w:uiPriority w:val="99"/>
    <w:semiHidden/>
    <w:unhideWhenUsed/>
    <w:rsid w:val="009B2D9D"/>
  </w:style>
  <w:style w:type="numbering" w:customStyle="1" w:styleId="NoList33">
    <w:name w:val="No List33"/>
    <w:next w:val="NoList"/>
    <w:uiPriority w:val="99"/>
    <w:semiHidden/>
    <w:unhideWhenUsed/>
    <w:rsid w:val="009B2D9D"/>
  </w:style>
  <w:style w:type="numbering" w:customStyle="1" w:styleId="NoList1213">
    <w:name w:val="No List1213"/>
    <w:next w:val="NoList"/>
    <w:uiPriority w:val="99"/>
    <w:semiHidden/>
    <w:unhideWhenUsed/>
    <w:rsid w:val="009B2D9D"/>
  </w:style>
  <w:style w:type="numbering" w:customStyle="1" w:styleId="NoList11213">
    <w:name w:val="No List11213"/>
    <w:next w:val="NoList"/>
    <w:uiPriority w:val="99"/>
    <w:semiHidden/>
    <w:unhideWhenUsed/>
    <w:rsid w:val="009B2D9D"/>
  </w:style>
  <w:style w:type="numbering" w:customStyle="1" w:styleId="NoList11123">
    <w:name w:val="No List11123"/>
    <w:next w:val="NoList"/>
    <w:uiPriority w:val="99"/>
    <w:semiHidden/>
    <w:unhideWhenUsed/>
    <w:rsid w:val="009B2D9D"/>
  </w:style>
  <w:style w:type="numbering" w:customStyle="1" w:styleId="NoList2113">
    <w:name w:val="No List2113"/>
    <w:next w:val="NoList"/>
    <w:uiPriority w:val="99"/>
    <w:semiHidden/>
    <w:unhideWhenUsed/>
    <w:rsid w:val="009B2D9D"/>
  </w:style>
  <w:style w:type="numbering" w:customStyle="1" w:styleId="Style33">
    <w:name w:val="Style33"/>
    <w:uiPriority w:val="99"/>
    <w:rsid w:val="009B2D9D"/>
    <w:pPr>
      <w:numPr>
        <w:numId w:val="52"/>
      </w:numPr>
    </w:pPr>
  </w:style>
  <w:style w:type="numbering" w:customStyle="1" w:styleId="NoList42">
    <w:name w:val="No List42"/>
    <w:next w:val="NoList"/>
    <w:uiPriority w:val="99"/>
    <w:semiHidden/>
    <w:unhideWhenUsed/>
    <w:rsid w:val="009B2D9D"/>
  </w:style>
  <w:style w:type="numbering" w:customStyle="1" w:styleId="Radovan22">
    <w:name w:val="Radovan22"/>
    <w:uiPriority w:val="99"/>
    <w:rsid w:val="009B2D9D"/>
  </w:style>
  <w:style w:type="numbering" w:customStyle="1" w:styleId="Style132">
    <w:name w:val="Style132"/>
    <w:uiPriority w:val="99"/>
    <w:rsid w:val="009B2D9D"/>
  </w:style>
  <w:style w:type="numbering" w:customStyle="1" w:styleId="Style222">
    <w:name w:val="Style222"/>
    <w:uiPriority w:val="99"/>
    <w:rsid w:val="009B2D9D"/>
    <w:pPr>
      <w:numPr>
        <w:numId w:val="38"/>
      </w:numPr>
    </w:pPr>
  </w:style>
  <w:style w:type="numbering" w:customStyle="1" w:styleId="NoList132">
    <w:name w:val="No List132"/>
    <w:next w:val="NoList"/>
    <w:uiPriority w:val="99"/>
    <w:semiHidden/>
    <w:unhideWhenUsed/>
    <w:rsid w:val="009B2D9D"/>
  </w:style>
  <w:style w:type="numbering" w:customStyle="1" w:styleId="NoList1132">
    <w:name w:val="No List1132"/>
    <w:next w:val="NoList"/>
    <w:uiPriority w:val="99"/>
    <w:semiHidden/>
    <w:unhideWhenUsed/>
    <w:rsid w:val="009B2D9D"/>
  </w:style>
  <w:style w:type="numbering" w:customStyle="1" w:styleId="NoList11132">
    <w:name w:val="No List11132"/>
    <w:next w:val="NoList"/>
    <w:uiPriority w:val="99"/>
    <w:semiHidden/>
    <w:unhideWhenUsed/>
    <w:rsid w:val="009B2D9D"/>
  </w:style>
  <w:style w:type="numbering" w:customStyle="1" w:styleId="Style1113">
    <w:name w:val="Style1113"/>
    <w:uiPriority w:val="99"/>
    <w:rsid w:val="009B2D9D"/>
    <w:pPr>
      <w:numPr>
        <w:numId w:val="42"/>
      </w:numPr>
    </w:pPr>
  </w:style>
  <w:style w:type="numbering" w:customStyle="1" w:styleId="NoList222">
    <w:name w:val="No List222"/>
    <w:next w:val="NoList"/>
    <w:uiPriority w:val="99"/>
    <w:semiHidden/>
    <w:unhideWhenUsed/>
    <w:rsid w:val="009B2D9D"/>
  </w:style>
  <w:style w:type="numbering" w:customStyle="1" w:styleId="Style313">
    <w:name w:val="Style313"/>
    <w:uiPriority w:val="99"/>
    <w:rsid w:val="009B2D9D"/>
    <w:pPr>
      <w:numPr>
        <w:numId w:val="33"/>
      </w:numPr>
    </w:pPr>
  </w:style>
  <w:style w:type="numbering" w:customStyle="1" w:styleId="NoList111122">
    <w:name w:val="No List111122"/>
    <w:next w:val="NoList"/>
    <w:uiPriority w:val="99"/>
    <w:semiHidden/>
    <w:unhideWhenUsed/>
    <w:rsid w:val="009B2D9D"/>
  </w:style>
  <w:style w:type="numbering" w:customStyle="1" w:styleId="NoList313">
    <w:name w:val="No List313"/>
    <w:next w:val="NoList"/>
    <w:uiPriority w:val="99"/>
    <w:semiHidden/>
    <w:unhideWhenUsed/>
    <w:rsid w:val="009B2D9D"/>
  </w:style>
  <w:style w:type="numbering" w:customStyle="1" w:styleId="NoList1222">
    <w:name w:val="No List1222"/>
    <w:next w:val="NoList"/>
    <w:uiPriority w:val="99"/>
    <w:semiHidden/>
    <w:unhideWhenUsed/>
    <w:rsid w:val="009B2D9D"/>
  </w:style>
  <w:style w:type="numbering" w:customStyle="1" w:styleId="NoList11222">
    <w:name w:val="No List11222"/>
    <w:next w:val="NoList"/>
    <w:uiPriority w:val="99"/>
    <w:semiHidden/>
    <w:unhideWhenUsed/>
    <w:rsid w:val="009B2D9D"/>
  </w:style>
  <w:style w:type="numbering" w:customStyle="1" w:styleId="NoList111212">
    <w:name w:val="No List111212"/>
    <w:next w:val="NoList"/>
    <w:uiPriority w:val="99"/>
    <w:semiHidden/>
    <w:unhideWhenUsed/>
    <w:rsid w:val="009B2D9D"/>
  </w:style>
  <w:style w:type="numbering" w:customStyle="1" w:styleId="NoList2122">
    <w:name w:val="No List2122"/>
    <w:next w:val="NoList"/>
    <w:uiPriority w:val="99"/>
    <w:semiHidden/>
    <w:unhideWhenUsed/>
    <w:rsid w:val="009B2D9D"/>
  </w:style>
  <w:style w:type="numbering" w:customStyle="1" w:styleId="Style3112">
    <w:name w:val="Style3112"/>
    <w:uiPriority w:val="99"/>
    <w:rsid w:val="009B2D9D"/>
    <w:pPr>
      <w:numPr>
        <w:numId w:val="49"/>
      </w:numPr>
    </w:pPr>
  </w:style>
  <w:style w:type="numbering" w:customStyle="1" w:styleId="Radovan5">
    <w:name w:val="Radovan5"/>
    <w:uiPriority w:val="99"/>
    <w:rsid w:val="009B2D9D"/>
    <w:pPr>
      <w:numPr>
        <w:numId w:val="48"/>
      </w:numPr>
    </w:pPr>
  </w:style>
  <w:style w:type="table" w:customStyle="1" w:styleId="LightShading-Accent311">
    <w:name w:val="Light Shading - Accent 311"/>
    <w:basedOn w:val="TableNormal"/>
    <w:next w:val="LightShading-Accent3"/>
    <w:uiPriority w:val="60"/>
    <w:rsid w:val="009B2D9D"/>
    <w:pPr>
      <w:spacing w:after="0" w:line="240" w:lineRule="auto"/>
    </w:pPr>
    <w:rPr>
      <w:rFonts w:ascii="Calibri" w:eastAsia="Calibri" w:hAnsi="Calibri" w:cs="Times New Roman"/>
      <w:color w:val="7B7B7B" w:themeColor="accent3" w:themeShade="BF"/>
      <w:kern w:val="0"/>
      <w:sz w:val="20"/>
      <w:szCs w:val="20"/>
      <w14:ligatures w14:val="none"/>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LightList-Accent211">
    <w:name w:val="Light List - Accent 211"/>
    <w:basedOn w:val="TableNormal"/>
    <w:next w:val="LightList-Accent2"/>
    <w:uiPriority w:val="61"/>
    <w:rsid w:val="009B2D9D"/>
    <w:pPr>
      <w:spacing w:after="0" w:line="240" w:lineRule="auto"/>
    </w:pPr>
    <w:rPr>
      <w:rFonts w:eastAsiaTheme="minorEastAsia"/>
      <w:kern w:val="0"/>
      <w:lang w:val="sr-Latn-CS" w:eastAsia="sr-Latn-CS"/>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customStyle="1" w:styleId="PlainTable4111">
    <w:name w:val="Plain Table 4111"/>
    <w:basedOn w:val="TableNormal"/>
    <w:uiPriority w:val="44"/>
    <w:rsid w:val="009B2D9D"/>
    <w:pPr>
      <w:spacing w:after="0" w:line="240" w:lineRule="auto"/>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2">
    <w:name w:val="Plain Table 212"/>
    <w:basedOn w:val="TableNormal"/>
    <w:uiPriority w:val="42"/>
    <w:rsid w:val="009B2D9D"/>
    <w:pPr>
      <w:spacing w:after="0" w:line="240" w:lineRule="auto"/>
    </w:pPr>
    <w:rPr>
      <w:kern w:val="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Light12">
    <w:name w:val="Table Grid Light12"/>
    <w:basedOn w:val="TableNormal"/>
    <w:uiPriority w:val="40"/>
    <w:rsid w:val="009B2D9D"/>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23">
    <w:name w:val="Table Grid Light23"/>
    <w:basedOn w:val="TableNormal"/>
    <w:uiPriority w:val="40"/>
    <w:rsid w:val="009B2D9D"/>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Style34">
    <w:name w:val="Style34"/>
    <w:uiPriority w:val="99"/>
    <w:rsid w:val="009B2D9D"/>
    <w:pPr>
      <w:numPr>
        <w:numId w:val="51"/>
      </w:numPr>
    </w:pPr>
  </w:style>
  <w:style w:type="table" w:customStyle="1" w:styleId="TableGridLight211">
    <w:name w:val="Table Grid Light211"/>
    <w:basedOn w:val="TableNormal"/>
    <w:uiPriority w:val="40"/>
    <w:rsid w:val="009B2D9D"/>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2-Accent11">
    <w:name w:val="Grid Table 2 - Accent 11"/>
    <w:basedOn w:val="TableNormal"/>
    <w:uiPriority w:val="47"/>
    <w:rsid w:val="009B2D9D"/>
    <w:pPr>
      <w:spacing w:after="0" w:line="240" w:lineRule="auto"/>
    </w:pPr>
    <w:rPr>
      <w:kern w:val="0"/>
      <w14:ligatures w14:val="none"/>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4-Accent51">
    <w:name w:val="Grid Table 4 - Accent 51"/>
    <w:basedOn w:val="TableNormal"/>
    <w:uiPriority w:val="49"/>
    <w:rsid w:val="009B2D9D"/>
    <w:pPr>
      <w:spacing w:after="0" w:line="240" w:lineRule="auto"/>
    </w:pPr>
    <w:rPr>
      <w:kern w:val="0"/>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3-Accent51">
    <w:name w:val="Grid Table 3 - Accent 51"/>
    <w:basedOn w:val="TableNormal"/>
    <w:uiPriority w:val="48"/>
    <w:rsid w:val="009B2D9D"/>
    <w:pPr>
      <w:spacing w:after="0" w:line="240" w:lineRule="auto"/>
    </w:pPr>
    <w:rPr>
      <w:kern w:val="0"/>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ListTable2-Accent51">
    <w:name w:val="List Table 2 - Accent 51"/>
    <w:basedOn w:val="TableNormal"/>
    <w:uiPriority w:val="47"/>
    <w:rsid w:val="009B2D9D"/>
    <w:pPr>
      <w:spacing w:after="0" w:line="240" w:lineRule="auto"/>
    </w:pPr>
    <w:rPr>
      <w:kern w:val="0"/>
      <w14:ligatures w14:val="none"/>
    </w:r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6Colorful-Accent52">
    <w:name w:val="Grid Table 6 Colorful - Accent 52"/>
    <w:basedOn w:val="TableNormal"/>
    <w:uiPriority w:val="51"/>
    <w:rsid w:val="009B2D9D"/>
    <w:pPr>
      <w:spacing w:after="0" w:line="240" w:lineRule="auto"/>
    </w:pPr>
    <w:rPr>
      <w:color w:val="2E74B5" w:themeColor="accent5" w:themeShade="BF"/>
      <w:kern w:val="0"/>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5Dark-Accent51">
    <w:name w:val="Grid Table 5 Dark - Accent 51"/>
    <w:basedOn w:val="TableNormal"/>
    <w:uiPriority w:val="50"/>
    <w:rsid w:val="009B2D9D"/>
    <w:pPr>
      <w:spacing w:after="0" w:line="240" w:lineRule="auto"/>
    </w:pPr>
    <w:rPr>
      <w:kern w:val="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GridTable5Dark-Accent13">
    <w:name w:val="Grid Table 5 Dark - Accent 13"/>
    <w:basedOn w:val="TableNormal"/>
    <w:uiPriority w:val="50"/>
    <w:rsid w:val="009B2D9D"/>
    <w:pPr>
      <w:spacing w:after="0" w:line="240" w:lineRule="auto"/>
    </w:pPr>
    <w:rPr>
      <w:kern w:val="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TableGridLight3">
    <w:name w:val="Table Grid Light3"/>
    <w:basedOn w:val="TableNormal"/>
    <w:uiPriority w:val="40"/>
    <w:rsid w:val="009B2D9D"/>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1">
    <w:name w:val="Plain Table 11"/>
    <w:basedOn w:val="TableNormal"/>
    <w:uiPriority w:val="41"/>
    <w:rsid w:val="009B2D9D"/>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1Light-Accent21">
    <w:name w:val="Grid Table 1 Light - Accent 21"/>
    <w:basedOn w:val="TableNormal"/>
    <w:uiPriority w:val="46"/>
    <w:rsid w:val="009B2D9D"/>
    <w:pPr>
      <w:spacing w:after="0" w:line="240" w:lineRule="auto"/>
    </w:pPr>
    <w:rPr>
      <w:kern w:val="0"/>
      <w14:ligatures w14:val="none"/>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GridTable5Dark-Accent21">
    <w:name w:val="Grid Table 5 Dark - Accent 21"/>
    <w:basedOn w:val="TableNormal"/>
    <w:uiPriority w:val="50"/>
    <w:rsid w:val="009B2D9D"/>
    <w:pPr>
      <w:spacing w:after="0" w:line="240" w:lineRule="auto"/>
    </w:pPr>
    <w:rPr>
      <w:kern w:val="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ridTable6Colorful-Accent21">
    <w:name w:val="Grid Table 6 Colorful - Accent 21"/>
    <w:basedOn w:val="TableNormal"/>
    <w:uiPriority w:val="51"/>
    <w:rsid w:val="009B2D9D"/>
    <w:pPr>
      <w:spacing w:after="0" w:line="240" w:lineRule="auto"/>
    </w:pPr>
    <w:rPr>
      <w:color w:val="C45911" w:themeColor="accent2" w:themeShade="BF"/>
      <w:kern w:val="0"/>
      <w14:ligatures w14:val="non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6Colorful-Accent41">
    <w:name w:val="Grid Table 6 Colorful - Accent 41"/>
    <w:basedOn w:val="TableNormal"/>
    <w:uiPriority w:val="51"/>
    <w:rsid w:val="009B2D9D"/>
    <w:pPr>
      <w:spacing w:after="0" w:line="240" w:lineRule="auto"/>
    </w:pPr>
    <w:rPr>
      <w:color w:val="BF8F00" w:themeColor="accent4" w:themeShade="BF"/>
      <w:kern w:val="0"/>
      <w14:ligatures w14:val="none"/>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5Dark-Accent21">
    <w:name w:val="List Table 5 Dark - Accent 21"/>
    <w:basedOn w:val="TableNormal"/>
    <w:uiPriority w:val="50"/>
    <w:rsid w:val="009B2D9D"/>
    <w:pPr>
      <w:spacing w:after="0" w:line="240" w:lineRule="auto"/>
    </w:pPr>
    <w:rPr>
      <w:color w:val="FFFFFF" w:themeColor="background1"/>
      <w:kern w:val="0"/>
      <w14:ligatures w14:val="none"/>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3-Accent21">
    <w:name w:val="List Table 3 - Accent 21"/>
    <w:basedOn w:val="TableNormal"/>
    <w:uiPriority w:val="48"/>
    <w:rsid w:val="009B2D9D"/>
    <w:pPr>
      <w:spacing w:after="0" w:line="240" w:lineRule="auto"/>
    </w:pPr>
    <w:rPr>
      <w:kern w:val="0"/>
      <w14:ligatures w14:val="none"/>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Table3-Accent41">
    <w:name w:val="List Table 3 - Accent 41"/>
    <w:basedOn w:val="TableNormal"/>
    <w:uiPriority w:val="48"/>
    <w:rsid w:val="009B2D9D"/>
    <w:pPr>
      <w:spacing w:after="0" w:line="240" w:lineRule="auto"/>
    </w:pPr>
    <w:rPr>
      <w:kern w:val="0"/>
      <w14:ligatures w14:val="none"/>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customStyle="1" w:styleId="ListTable6Colorful-Accent41">
    <w:name w:val="List Table 6 Colorful - Accent 41"/>
    <w:basedOn w:val="TableNormal"/>
    <w:uiPriority w:val="51"/>
    <w:rsid w:val="009B2D9D"/>
    <w:pPr>
      <w:spacing w:after="0" w:line="240" w:lineRule="auto"/>
    </w:pPr>
    <w:rPr>
      <w:color w:val="BF8F00" w:themeColor="accent4" w:themeShade="BF"/>
      <w:kern w:val="0"/>
      <w14:ligatures w14:val="none"/>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4-Accent41">
    <w:name w:val="Grid Table 4 - Accent 41"/>
    <w:basedOn w:val="TableNormal"/>
    <w:uiPriority w:val="49"/>
    <w:rsid w:val="009B2D9D"/>
    <w:pPr>
      <w:spacing w:after="0" w:line="240" w:lineRule="auto"/>
    </w:pPr>
    <w:rPr>
      <w:kern w:val="0"/>
      <w14:ligatures w14:val="none"/>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7Colorful-Accent41">
    <w:name w:val="List Table 7 Colorful - Accent 41"/>
    <w:basedOn w:val="TableNormal"/>
    <w:uiPriority w:val="52"/>
    <w:rsid w:val="009B2D9D"/>
    <w:pPr>
      <w:spacing w:after="0" w:line="240" w:lineRule="auto"/>
    </w:pPr>
    <w:rPr>
      <w:color w:val="BF8F00" w:themeColor="accent4" w:themeShade="BF"/>
      <w:kern w:val="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5Dark-Accent41">
    <w:name w:val="List Table 5 Dark - Accent 41"/>
    <w:basedOn w:val="TableNormal"/>
    <w:uiPriority w:val="50"/>
    <w:rsid w:val="009B2D9D"/>
    <w:pPr>
      <w:spacing w:after="0" w:line="240" w:lineRule="auto"/>
    </w:pPr>
    <w:rPr>
      <w:color w:val="FFFFFF" w:themeColor="background1"/>
      <w:kern w:val="0"/>
      <w14:ligatures w14:val="none"/>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GridTable2-Accent41">
    <w:name w:val="Grid Table 2 - Accent 41"/>
    <w:basedOn w:val="TableNormal"/>
    <w:uiPriority w:val="47"/>
    <w:rsid w:val="009B2D9D"/>
    <w:pPr>
      <w:spacing w:after="0" w:line="240" w:lineRule="auto"/>
    </w:pPr>
    <w:rPr>
      <w:kern w:val="0"/>
      <w14:ligatures w14:val="none"/>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7Colorful-Accent21">
    <w:name w:val="Grid Table 7 Colorful - Accent 21"/>
    <w:basedOn w:val="TableNormal"/>
    <w:uiPriority w:val="52"/>
    <w:rsid w:val="009B2D9D"/>
    <w:pPr>
      <w:spacing w:after="0" w:line="240" w:lineRule="auto"/>
    </w:pPr>
    <w:rPr>
      <w:color w:val="C45911" w:themeColor="accent2" w:themeShade="BF"/>
      <w:kern w:val="0"/>
      <w14:ligatures w14:val="non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ListTable2-Accent41">
    <w:name w:val="List Table 2 - Accent 41"/>
    <w:basedOn w:val="TableNormal"/>
    <w:uiPriority w:val="47"/>
    <w:rsid w:val="009B2D9D"/>
    <w:pPr>
      <w:spacing w:after="0" w:line="240" w:lineRule="auto"/>
    </w:pPr>
    <w:rPr>
      <w:kern w:val="0"/>
      <w14:ligatures w14:val="none"/>
    </w:r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1Light-Accent41">
    <w:name w:val="Grid Table 1 Light - Accent 41"/>
    <w:basedOn w:val="TableNormal"/>
    <w:uiPriority w:val="46"/>
    <w:rsid w:val="009B2D9D"/>
    <w:pPr>
      <w:spacing w:after="0" w:line="240" w:lineRule="auto"/>
    </w:pPr>
    <w:rPr>
      <w:kern w:val="0"/>
      <w14:ligatures w14:val="none"/>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ListTable2-Accent31">
    <w:name w:val="List Table 2 - Accent 31"/>
    <w:basedOn w:val="TableNormal"/>
    <w:uiPriority w:val="47"/>
    <w:rsid w:val="009B2D9D"/>
    <w:pPr>
      <w:spacing w:after="0" w:line="240" w:lineRule="auto"/>
    </w:pPr>
    <w:rPr>
      <w:kern w:val="0"/>
      <w14:ligatures w14:val="none"/>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2-Accent21">
    <w:name w:val="List Table 2 - Accent 21"/>
    <w:basedOn w:val="TableNormal"/>
    <w:uiPriority w:val="47"/>
    <w:rsid w:val="009B2D9D"/>
    <w:pPr>
      <w:spacing w:after="0" w:line="240" w:lineRule="auto"/>
    </w:pPr>
    <w:rPr>
      <w:kern w:val="0"/>
      <w14:ligatures w14:val="none"/>
    </w:r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2-Accent11">
    <w:name w:val="List Table 2 - Accent 11"/>
    <w:basedOn w:val="TableNormal"/>
    <w:uiPriority w:val="47"/>
    <w:rsid w:val="009B2D9D"/>
    <w:pPr>
      <w:spacing w:after="0" w:line="240" w:lineRule="auto"/>
    </w:pPr>
    <w:rPr>
      <w:kern w:val="0"/>
      <w14:ligatures w14:val="none"/>
    </w:r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numbering" w:customStyle="1" w:styleId="NoList7">
    <w:name w:val="No List7"/>
    <w:next w:val="NoList"/>
    <w:uiPriority w:val="99"/>
    <w:semiHidden/>
    <w:unhideWhenUsed/>
    <w:rsid w:val="009B2D9D"/>
  </w:style>
  <w:style w:type="numbering" w:customStyle="1" w:styleId="Radovan6">
    <w:name w:val="Radovan6"/>
    <w:uiPriority w:val="99"/>
    <w:rsid w:val="009B2D9D"/>
  </w:style>
  <w:style w:type="table" w:customStyle="1" w:styleId="LightShading-Accent32">
    <w:name w:val="Light Shading - Accent 32"/>
    <w:basedOn w:val="TableNormal"/>
    <w:next w:val="LightShading-Accent3"/>
    <w:uiPriority w:val="60"/>
    <w:rsid w:val="009B2D9D"/>
    <w:pPr>
      <w:spacing w:after="0" w:line="240" w:lineRule="auto"/>
    </w:pPr>
    <w:rPr>
      <w:rFonts w:ascii="Calibri" w:eastAsia="Calibri" w:hAnsi="Calibri" w:cs="Times New Roman"/>
      <w:color w:val="7B7B7B" w:themeColor="accent3" w:themeShade="BF"/>
      <w:kern w:val="0"/>
      <w:sz w:val="20"/>
      <w:szCs w:val="20"/>
      <w14:ligatures w14:val="none"/>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LightList-Accent22">
    <w:name w:val="Light List - Accent 22"/>
    <w:basedOn w:val="TableNormal"/>
    <w:next w:val="LightList-Accent2"/>
    <w:uiPriority w:val="61"/>
    <w:rsid w:val="009B2D9D"/>
    <w:pPr>
      <w:spacing w:after="0" w:line="240" w:lineRule="auto"/>
    </w:pPr>
    <w:rPr>
      <w:rFonts w:eastAsiaTheme="minorEastAsia"/>
      <w:kern w:val="0"/>
      <w:lang w:val="sr-Latn-CS" w:eastAsia="sr-Latn-CS"/>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customStyle="1" w:styleId="TableNormal13">
    <w:name w:val="Table Normal13"/>
    <w:uiPriority w:val="2"/>
    <w:semiHidden/>
    <w:unhideWhenUsed/>
    <w:qFormat/>
    <w:rsid w:val="009B2D9D"/>
    <w:pPr>
      <w:widowControl w:val="0"/>
      <w:spacing w:after="0" w:line="240" w:lineRule="auto"/>
    </w:pPr>
    <w:rPr>
      <w:kern w:val="0"/>
      <w14:ligatures w14:val="none"/>
    </w:rPr>
    <w:tblPr>
      <w:tblInd w:w="0" w:type="dxa"/>
      <w:tblCellMar>
        <w:top w:w="0" w:type="dxa"/>
        <w:left w:w="0" w:type="dxa"/>
        <w:bottom w:w="0" w:type="dxa"/>
        <w:right w:w="0" w:type="dxa"/>
      </w:tblCellMar>
    </w:tblPr>
  </w:style>
  <w:style w:type="numbering" w:customStyle="1" w:styleId="NoList16">
    <w:name w:val="No List16"/>
    <w:next w:val="NoList"/>
    <w:uiPriority w:val="99"/>
    <w:semiHidden/>
    <w:unhideWhenUsed/>
    <w:rsid w:val="009B2D9D"/>
  </w:style>
  <w:style w:type="numbering" w:customStyle="1" w:styleId="NoList116">
    <w:name w:val="No List116"/>
    <w:next w:val="NoList"/>
    <w:uiPriority w:val="99"/>
    <w:semiHidden/>
    <w:unhideWhenUsed/>
    <w:rsid w:val="009B2D9D"/>
  </w:style>
  <w:style w:type="table" w:customStyle="1" w:styleId="TableElegant2">
    <w:name w:val="Table Elegant2"/>
    <w:basedOn w:val="TableNormal"/>
    <w:next w:val="TableElegant"/>
    <w:rsid w:val="009B2D9D"/>
    <w:pPr>
      <w:spacing w:after="0" w:line="240" w:lineRule="auto"/>
    </w:pPr>
    <w:rPr>
      <w:rFonts w:ascii="Times New Roman" w:eastAsia="Times New Roman" w:hAnsi="Times New Roman" w:cs="Times New Roman"/>
      <w:kern w:val="0"/>
      <w:sz w:val="20"/>
      <w:szCs w:val="20"/>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NoList1116">
    <w:name w:val="No List1116"/>
    <w:next w:val="NoList"/>
    <w:uiPriority w:val="99"/>
    <w:semiHidden/>
    <w:unhideWhenUsed/>
    <w:rsid w:val="009B2D9D"/>
  </w:style>
  <w:style w:type="table" w:customStyle="1" w:styleId="TableNormal112">
    <w:name w:val="Table Normal112"/>
    <w:uiPriority w:val="2"/>
    <w:semiHidden/>
    <w:unhideWhenUsed/>
    <w:qFormat/>
    <w:rsid w:val="009B2D9D"/>
    <w:pPr>
      <w:widowControl w:val="0"/>
      <w:spacing w:after="0" w:line="240" w:lineRule="auto"/>
    </w:pPr>
    <w:rPr>
      <w:kern w:val="0"/>
      <w14:ligatures w14:val="none"/>
    </w:rPr>
    <w:tblPr>
      <w:tblInd w:w="0" w:type="dxa"/>
      <w:tblCellMar>
        <w:top w:w="0" w:type="dxa"/>
        <w:left w:w="0" w:type="dxa"/>
        <w:bottom w:w="0" w:type="dxa"/>
        <w:right w:w="0" w:type="dxa"/>
      </w:tblCellMar>
    </w:tblPr>
  </w:style>
  <w:style w:type="table" w:customStyle="1" w:styleId="PERstyle2">
    <w:name w:val="PER style2"/>
    <w:basedOn w:val="TableNormal"/>
    <w:uiPriority w:val="99"/>
    <w:rsid w:val="009B2D9D"/>
    <w:pPr>
      <w:spacing w:after="0" w:line="240" w:lineRule="auto"/>
    </w:pPr>
    <w:rPr>
      <w:kern w:val="0"/>
      <w:lang w:val="sr-Latn-ME"/>
      <w14:ligatures w14:val="none"/>
    </w:rPr>
    <w:tblPr/>
  </w:style>
  <w:style w:type="table" w:customStyle="1" w:styleId="PlainTable412">
    <w:name w:val="Plain Table 412"/>
    <w:basedOn w:val="TableNormal"/>
    <w:uiPriority w:val="44"/>
    <w:rsid w:val="009B2D9D"/>
    <w:pPr>
      <w:spacing w:after="0" w:line="240" w:lineRule="auto"/>
    </w:pPr>
    <w:rPr>
      <w:kern w:val="0"/>
      <w:lang w:val="sr-Latn-ME"/>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NoList25">
    <w:name w:val="No List25"/>
    <w:next w:val="NoList"/>
    <w:uiPriority w:val="99"/>
    <w:semiHidden/>
    <w:unhideWhenUsed/>
    <w:rsid w:val="009B2D9D"/>
  </w:style>
  <w:style w:type="numbering" w:customStyle="1" w:styleId="NoList34">
    <w:name w:val="No List34"/>
    <w:next w:val="NoList"/>
    <w:uiPriority w:val="99"/>
    <w:semiHidden/>
    <w:unhideWhenUsed/>
    <w:rsid w:val="009B2D9D"/>
  </w:style>
  <w:style w:type="numbering" w:customStyle="1" w:styleId="Radovan14">
    <w:name w:val="Radovan14"/>
    <w:uiPriority w:val="99"/>
    <w:rsid w:val="009B2D9D"/>
  </w:style>
  <w:style w:type="numbering" w:customStyle="1" w:styleId="Style114">
    <w:name w:val="Style114"/>
    <w:uiPriority w:val="99"/>
    <w:rsid w:val="009B2D9D"/>
  </w:style>
  <w:style w:type="numbering" w:customStyle="1" w:styleId="Style214">
    <w:name w:val="Style214"/>
    <w:uiPriority w:val="99"/>
    <w:rsid w:val="009B2D9D"/>
  </w:style>
  <w:style w:type="numbering" w:customStyle="1" w:styleId="NoList125">
    <w:name w:val="No List125"/>
    <w:next w:val="NoList"/>
    <w:uiPriority w:val="99"/>
    <w:semiHidden/>
    <w:unhideWhenUsed/>
    <w:rsid w:val="009B2D9D"/>
  </w:style>
  <w:style w:type="numbering" w:customStyle="1" w:styleId="NoList1125">
    <w:name w:val="No List1125"/>
    <w:next w:val="NoList"/>
    <w:uiPriority w:val="99"/>
    <w:semiHidden/>
    <w:unhideWhenUsed/>
    <w:rsid w:val="009B2D9D"/>
  </w:style>
  <w:style w:type="numbering" w:customStyle="1" w:styleId="NoList11115">
    <w:name w:val="No List11115"/>
    <w:next w:val="NoList"/>
    <w:uiPriority w:val="99"/>
    <w:semiHidden/>
    <w:unhideWhenUsed/>
    <w:rsid w:val="009B2D9D"/>
  </w:style>
  <w:style w:type="numbering" w:customStyle="1" w:styleId="Style1114">
    <w:name w:val="Style1114"/>
    <w:uiPriority w:val="99"/>
    <w:rsid w:val="009B2D9D"/>
  </w:style>
  <w:style w:type="table" w:customStyle="1" w:styleId="ListTable1Light-Accent111">
    <w:name w:val="List Table 1 Light - Accent 111"/>
    <w:basedOn w:val="TableNormal"/>
    <w:uiPriority w:val="46"/>
    <w:rsid w:val="009B2D9D"/>
    <w:pPr>
      <w:spacing w:after="0" w:line="240" w:lineRule="auto"/>
    </w:pPr>
    <w:rPr>
      <w:kern w:val="0"/>
      <w14:ligatures w14:val="none"/>
    </w:r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5Dark-Accent111">
    <w:name w:val="Grid Table 5 Dark - Accent 111"/>
    <w:basedOn w:val="TableNormal"/>
    <w:uiPriority w:val="50"/>
    <w:rsid w:val="009B2D9D"/>
    <w:pPr>
      <w:spacing w:after="0" w:line="240" w:lineRule="auto"/>
    </w:pPr>
    <w:rPr>
      <w:kern w:val="0"/>
      <w:lang w:val="en-GB"/>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GridTable5Dark-Accent121">
    <w:name w:val="Grid Table 5 Dark - Accent 121"/>
    <w:basedOn w:val="TableNormal"/>
    <w:uiPriority w:val="50"/>
    <w:rsid w:val="009B2D9D"/>
    <w:pPr>
      <w:spacing w:after="0" w:line="240" w:lineRule="auto"/>
    </w:pPr>
    <w:rPr>
      <w:kern w:val="0"/>
      <w:lang w:val="en-GB"/>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GridTable6Colorful-Accent511">
    <w:name w:val="Grid Table 6 Colorful - Accent 511"/>
    <w:basedOn w:val="TableNormal"/>
    <w:uiPriority w:val="51"/>
    <w:rsid w:val="009B2D9D"/>
    <w:pPr>
      <w:spacing w:after="0" w:line="240" w:lineRule="auto"/>
    </w:pPr>
    <w:rPr>
      <w:color w:val="2E74B5" w:themeColor="accent5" w:themeShade="BF"/>
      <w:kern w:val="0"/>
      <w:lang w:val="en-GB"/>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numbering" w:customStyle="1" w:styleId="NoList215">
    <w:name w:val="No List215"/>
    <w:next w:val="NoList"/>
    <w:uiPriority w:val="99"/>
    <w:semiHidden/>
    <w:unhideWhenUsed/>
    <w:rsid w:val="009B2D9D"/>
  </w:style>
  <w:style w:type="numbering" w:customStyle="1" w:styleId="Radovan111">
    <w:name w:val="Radovan111"/>
    <w:uiPriority w:val="99"/>
    <w:rsid w:val="009B2D9D"/>
  </w:style>
  <w:style w:type="numbering" w:customStyle="1" w:styleId="Style123">
    <w:name w:val="Style123"/>
    <w:uiPriority w:val="99"/>
    <w:rsid w:val="009B2D9D"/>
  </w:style>
  <w:style w:type="numbering" w:customStyle="1" w:styleId="Style2111">
    <w:name w:val="Style2111"/>
    <w:uiPriority w:val="99"/>
    <w:rsid w:val="009B2D9D"/>
  </w:style>
  <w:style w:type="numbering" w:customStyle="1" w:styleId="NoList1214">
    <w:name w:val="No List1214"/>
    <w:next w:val="NoList"/>
    <w:uiPriority w:val="99"/>
    <w:semiHidden/>
    <w:unhideWhenUsed/>
    <w:rsid w:val="009B2D9D"/>
  </w:style>
  <w:style w:type="numbering" w:customStyle="1" w:styleId="NoList11214">
    <w:name w:val="No List11214"/>
    <w:next w:val="NoList"/>
    <w:uiPriority w:val="99"/>
    <w:semiHidden/>
    <w:unhideWhenUsed/>
    <w:rsid w:val="009B2D9D"/>
  </w:style>
  <w:style w:type="numbering" w:customStyle="1" w:styleId="NoList111114">
    <w:name w:val="No List111114"/>
    <w:next w:val="NoList"/>
    <w:uiPriority w:val="99"/>
    <w:semiHidden/>
    <w:unhideWhenUsed/>
    <w:rsid w:val="009B2D9D"/>
  </w:style>
  <w:style w:type="numbering" w:customStyle="1" w:styleId="NoList2114">
    <w:name w:val="No List2114"/>
    <w:next w:val="NoList"/>
    <w:uiPriority w:val="99"/>
    <w:semiHidden/>
    <w:unhideWhenUsed/>
    <w:rsid w:val="009B2D9D"/>
  </w:style>
  <w:style w:type="table" w:customStyle="1" w:styleId="TableGrid22">
    <w:name w:val="Table Grid22"/>
    <w:basedOn w:val="TableNormal"/>
    <w:next w:val="TableGrid"/>
    <w:uiPriority w:val="59"/>
    <w:rsid w:val="009B2D9D"/>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
    <w:name w:val="No List1111111"/>
    <w:next w:val="NoList"/>
    <w:uiPriority w:val="99"/>
    <w:semiHidden/>
    <w:unhideWhenUsed/>
    <w:rsid w:val="009B2D9D"/>
  </w:style>
  <w:style w:type="table" w:customStyle="1" w:styleId="TableGrid211">
    <w:name w:val="Table Grid211"/>
    <w:basedOn w:val="TableNormal"/>
    <w:next w:val="TableGrid"/>
    <w:uiPriority w:val="59"/>
    <w:rsid w:val="009B2D9D"/>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39"/>
    <w:rsid w:val="009B2D9D"/>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4">
    <w:name w:val="No List314"/>
    <w:next w:val="NoList"/>
    <w:uiPriority w:val="99"/>
    <w:semiHidden/>
    <w:unhideWhenUsed/>
    <w:rsid w:val="009B2D9D"/>
  </w:style>
  <w:style w:type="table" w:customStyle="1" w:styleId="TableGrid31">
    <w:name w:val="Table Grid31"/>
    <w:basedOn w:val="TableNormal"/>
    <w:next w:val="TableGrid"/>
    <w:uiPriority w:val="39"/>
    <w:rsid w:val="009B2D9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11">
    <w:name w:val="Light Shading - Accent 1111"/>
    <w:basedOn w:val="TableNormal"/>
    <w:uiPriority w:val="60"/>
    <w:rsid w:val="009B2D9D"/>
    <w:pPr>
      <w:spacing w:after="0" w:line="240" w:lineRule="auto"/>
    </w:pPr>
    <w:rPr>
      <w:rFonts w:ascii="Calibri" w:eastAsia="Times New Roman" w:hAnsi="Calibri" w:cs="Times New Roman"/>
      <w:color w:val="365F91"/>
      <w:kern w:val="0"/>
      <w:sz w:val="20"/>
      <w:szCs w:val="20"/>
      <w:lang w:val="sr-Latn-CS" w:eastAsia="sr-Latn-CS" w:bidi="en-US"/>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312">
    <w:name w:val="Light Shading - Accent 312"/>
    <w:basedOn w:val="TableNormal"/>
    <w:next w:val="LightShading-Accent3"/>
    <w:uiPriority w:val="60"/>
    <w:rsid w:val="009B2D9D"/>
    <w:pPr>
      <w:spacing w:after="0" w:line="240" w:lineRule="auto"/>
    </w:pPr>
    <w:rPr>
      <w:rFonts w:ascii="Calibri" w:eastAsia="Calibri" w:hAnsi="Calibri" w:cs="Times New Roman"/>
      <w:color w:val="7B7B7B"/>
      <w:kern w:val="0"/>
      <w:sz w:val="20"/>
      <w:szCs w:val="20"/>
      <w14:ligatures w14:val="none"/>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LightList-Accent212">
    <w:name w:val="Light List - Accent 212"/>
    <w:basedOn w:val="TableNormal"/>
    <w:next w:val="LightList-Accent2"/>
    <w:uiPriority w:val="61"/>
    <w:rsid w:val="009B2D9D"/>
    <w:pPr>
      <w:spacing w:after="0" w:line="240" w:lineRule="auto"/>
    </w:pPr>
    <w:rPr>
      <w:rFonts w:eastAsia="Times New Roman"/>
      <w:kern w:val="0"/>
      <w:lang w:val="sr-Latn-CS" w:eastAsia="sr-Latn-CS"/>
      <w14:ligatures w14:val="none"/>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TableNormal121">
    <w:name w:val="Table Normal121"/>
    <w:uiPriority w:val="2"/>
    <w:semiHidden/>
    <w:unhideWhenUsed/>
    <w:qFormat/>
    <w:rsid w:val="009B2D9D"/>
    <w:pPr>
      <w:widowControl w:val="0"/>
      <w:spacing w:after="0" w:line="240" w:lineRule="auto"/>
    </w:pPr>
    <w:rPr>
      <w:kern w:val="0"/>
      <w14:ligatures w14:val="none"/>
    </w:rPr>
    <w:tblPr>
      <w:tblInd w:w="0" w:type="dxa"/>
      <w:tblCellMar>
        <w:top w:w="0" w:type="dxa"/>
        <w:left w:w="0" w:type="dxa"/>
        <w:bottom w:w="0" w:type="dxa"/>
        <w:right w:w="0" w:type="dxa"/>
      </w:tblCellMar>
    </w:tblPr>
  </w:style>
  <w:style w:type="numbering" w:customStyle="1" w:styleId="NoList12111">
    <w:name w:val="No List12111"/>
    <w:next w:val="NoList"/>
    <w:uiPriority w:val="99"/>
    <w:semiHidden/>
    <w:unhideWhenUsed/>
    <w:rsid w:val="009B2D9D"/>
  </w:style>
  <w:style w:type="numbering" w:customStyle="1" w:styleId="NoList112111">
    <w:name w:val="No List112111"/>
    <w:next w:val="NoList"/>
    <w:uiPriority w:val="99"/>
    <w:semiHidden/>
    <w:unhideWhenUsed/>
    <w:rsid w:val="009B2D9D"/>
  </w:style>
  <w:style w:type="table" w:customStyle="1" w:styleId="TableElegant11">
    <w:name w:val="Table Elegant11"/>
    <w:basedOn w:val="TableNormal"/>
    <w:next w:val="TableElegant"/>
    <w:rsid w:val="009B2D9D"/>
    <w:pPr>
      <w:spacing w:after="0" w:line="240" w:lineRule="auto"/>
    </w:pPr>
    <w:rPr>
      <w:rFonts w:ascii="Times New Roman" w:eastAsia="Times New Roman" w:hAnsi="Times New Roman" w:cs="Times New Roman"/>
      <w:kern w:val="0"/>
      <w:sz w:val="20"/>
      <w:szCs w:val="20"/>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NoList11124">
    <w:name w:val="No List11124"/>
    <w:next w:val="NoList"/>
    <w:uiPriority w:val="99"/>
    <w:semiHidden/>
    <w:unhideWhenUsed/>
    <w:rsid w:val="009B2D9D"/>
  </w:style>
  <w:style w:type="table" w:customStyle="1" w:styleId="TableNormal1111">
    <w:name w:val="Table Normal1111"/>
    <w:uiPriority w:val="2"/>
    <w:semiHidden/>
    <w:unhideWhenUsed/>
    <w:qFormat/>
    <w:rsid w:val="009B2D9D"/>
    <w:pPr>
      <w:widowControl w:val="0"/>
      <w:spacing w:after="0" w:line="240" w:lineRule="auto"/>
    </w:pPr>
    <w:rPr>
      <w:kern w:val="0"/>
      <w14:ligatures w14:val="none"/>
    </w:rPr>
    <w:tblPr>
      <w:tblInd w:w="0" w:type="dxa"/>
      <w:tblCellMar>
        <w:top w:w="0" w:type="dxa"/>
        <w:left w:w="0" w:type="dxa"/>
        <w:bottom w:w="0" w:type="dxa"/>
        <w:right w:w="0" w:type="dxa"/>
      </w:tblCellMar>
    </w:tblPr>
  </w:style>
  <w:style w:type="table" w:customStyle="1" w:styleId="PERstyle11">
    <w:name w:val="PER style11"/>
    <w:basedOn w:val="TableNormal"/>
    <w:uiPriority w:val="99"/>
    <w:rsid w:val="009B2D9D"/>
    <w:pPr>
      <w:spacing w:after="0" w:line="240" w:lineRule="auto"/>
    </w:pPr>
    <w:rPr>
      <w:kern w:val="0"/>
      <w14:ligatures w14:val="none"/>
    </w:rPr>
    <w:tblPr/>
  </w:style>
  <w:style w:type="table" w:customStyle="1" w:styleId="PlainTable4112">
    <w:name w:val="Plain Table 4112"/>
    <w:basedOn w:val="TableNormal"/>
    <w:uiPriority w:val="44"/>
    <w:rsid w:val="009B2D9D"/>
    <w:pPr>
      <w:spacing w:after="0" w:line="240" w:lineRule="auto"/>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21111">
    <w:name w:val="No List21111"/>
    <w:next w:val="NoList"/>
    <w:uiPriority w:val="99"/>
    <w:semiHidden/>
    <w:unhideWhenUsed/>
    <w:rsid w:val="009B2D9D"/>
  </w:style>
  <w:style w:type="table" w:customStyle="1" w:styleId="PlainTable213">
    <w:name w:val="Plain Table 213"/>
    <w:basedOn w:val="TableNormal"/>
    <w:uiPriority w:val="42"/>
    <w:rsid w:val="009B2D9D"/>
    <w:pPr>
      <w:spacing w:after="0" w:line="240" w:lineRule="auto"/>
    </w:pPr>
    <w:rPr>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Light13">
    <w:name w:val="Table Grid Light13"/>
    <w:basedOn w:val="TableNormal"/>
    <w:uiPriority w:val="40"/>
    <w:rsid w:val="009B2D9D"/>
    <w:pPr>
      <w:spacing w:after="0" w:line="240" w:lineRule="auto"/>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24">
    <w:name w:val="Table Grid Light24"/>
    <w:basedOn w:val="TableNormal"/>
    <w:uiPriority w:val="40"/>
    <w:rsid w:val="009B2D9D"/>
    <w:pPr>
      <w:spacing w:after="0" w:line="240" w:lineRule="auto"/>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212">
    <w:name w:val="Table Grid Light212"/>
    <w:basedOn w:val="TableNormal"/>
    <w:uiPriority w:val="40"/>
    <w:rsid w:val="009B2D9D"/>
    <w:pPr>
      <w:spacing w:after="0" w:line="240" w:lineRule="auto"/>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41">
    <w:name w:val="Table Grid41"/>
    <w:basedOn w:val="TableNormal"/>
    <w:next w:val="TableGrid"/>
    <w:uiPriority w:val="39"/>
    <w:rsid w:val="009B2D9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uiPriority w:val="99"/>
    <w:semiHidden/>
    <w:unhideWhenUsed/>
    <w:rsid w:val="009B2D9D"/>
  </w:style>
  <w:style w:type="numbering" w:customStyle="1" w:styleId="Radovan23">
    <w:name w:val="Radovan23"/>
    <w:uiPriority w:val="99"/>
    <w:rsid w:val="009B2D9D"/>
  </w:style>
  <w:style w:type="numbering" w:customStyle="1" w:styleId="Style133">
    <w:name w:val="Style133"/>
    <w:uiPriority w:val="99"/>
    <w:rsid w:val="009B2D9D"/>
  </w:style>
  <w:style w:type="numbering" w:customStyle="1" w:styleId="Style223">
    <w:name w:val="Style223"/>
    <w:uiPriority w:val="99"/>
    <w:rsid w:val="009B2D9D"/>
  </w:style>
  <w:style w:type="numbering" w:customStyle="1" w:styleId="NoList133">
    <w:name w:val="No List133"/>
    <w:next w:val="NoList"/>
    <w:uiPriority w:val="99"/>
    <w:semiHidden/>
    <w:unhideWhenUsed/>
    <w:rsid w:val="009B2D9D"/>
  </w:style>
  <w:style w:type="numbering" w:customStyle="1" w:styleId="NoList1133">
    <w:name w:val="No List1133"/>
    <w:next w:val="NoList"/>
    <w:uiPriority w:val="99"/>
    <w:semiHidden/>
    <w:unhideWhenUsed/>
    <w:rsid w:val="009B2D9D"/>
  </w:style>
  <w:style w:type="numbering" w:customStyle="1" w:styleId="NoList11133">
    <w:name w:val="No List11133"/>
    <w:next w:val="NoList"/>
    <w:uiPriority w:val="99"/>
    <w:semiHidden/>
    <w:unhideWhenUsed/>
    <w:rsid w:val="009B2D9D"/>
  </w:style>
  <w:style w:type="numbering" w:customStyle="1" w:styleId="NoList223">
    <w:name w:val="No List223"/>
    <w:next w:val="NoList"/>
    <w:uiPriority w:val="99"/>
    <w:semiHidden/>
    <w:unhideWhenUsed/>
    <w:rsid w:val="009B2D9D"/>
  </w:style>
  <w:style w:type="table" w:customStyle="1" w:styleId="PlainTable2111">
    <w:name w:val="Plain Table 2111"/>
    <w:basedOn w:val="TableNormal"/>
    <w:uiPriority w:val="42"/>
    <w:rsid w:val="009B2D9D"/>
    <w:pPr>
      <w:spacing w:after="0" w:line="240" w:lineRule="auto"/>
    </w:pPr>
    <w:rPr>
      <w:kern w:val="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Light111">
    <w:name w:val="Table Grid Light111"/>
    <w:basedOn w:val="TableNormal"/>
    <w:uiPriority w:val="40"/>
    <w:rsid w:val="009B2D9D"/>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221">
    <w:name w:val="Table Grid Light221"/>
    <w:basedOn w:val="TableNormal"/>
    <w:uiPriority w:val="40"/>
    <w:rsid w:val="009B2D9D"/>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Style314">
    <w:name w:val="Style314"/>
    <w:uiPriority w:val="99"/>
    <w:rsid w:val="009B2D9D"/>
  </w:style>
  <w:style w:type="numbering" w:customStyle="1" w:styleId="NoList111123">
    <w:name w:val="No List111123"/>
    <w:next w:val="NoList"/>
    <w:uiPriority w:val="99"/>
    <w:semiHidden/>
    <w:unhideWhenUsed/>
    <w:rsid w:val="009B2D9D"/>
  </w:style>
  <w:style w:type="numbering" w:customStyle="1" w:styleId="NoList3111">
    <w:name w:val="No List3111"/>
    <w:next w:val="NoList"/>
    <w:uiPriority w:val="99"/>
    <w:semiHidden/>
    <w:unhideWhenUsed/>
    <w:rsid w:val="009B2D9D"/>
  </w:style>
  <w:style w:type="numbering" w:customStyle="1" w:styleId="NoList1223">
    <w:name w:val="No List1223"/>
    <w:next w:val="NoList"/>
    <w:uiPriority w:val="99"/>
    <w:semiHidden/>
    <w:unhideWhenUsed/>
    <w:rsid w:val="009B2D9D"/>
  </w:style>
  <w:style w:type="numbering" w:customStyle="1" w:styleId="NoList11223">
    <w:name w:val="No List11223"/>
    <w:next w:val="NoList"/>
    <w:uiPriority w:val="99"/>
    <w:semiHidden/>
    <w:unhideWhenUsed/>
    <w:rsid w:val="009B2D9D"/>
  </w:style>
  <w:style w:type="numbering" w:customStyle="1" w:styleId="NoList111213">
    <w:name w:val="No List111213"/>
    <w:next w:val="NoList"/>
    <w:uiPriority w:val="99"/>
    <w:semiHidden/>
    <w:unhideWhenUsed/>
    <w:rsid w:val="009B2D9D"/>
  </w:style>
  <w:style w:type="numbering" w:customStyle="1" w:styleId="NoList2123">
    <w:name w:val="No List2123"/>
    <w:next w:val="NoList"/>
    <w:uiPriority w:val="99"/>
    <w:semiHidden/>
    <w:unhideWhenUsed/>
    <w:rsid w:val="009B2D9D"/>
  </w:style>
  <w:style w:type="numbering" w:customStyle="1" w:styleId="NoList51">
    <w:name w:val="No List51"/>
    <w:next w:val="NoList"/>
    <w:uiPriority w:val="99"/>
    <w:semiHidden/>
    <w:unhideWhenUsed/>
    <w:rsid w:val="009B2D9D"/>
  </w:style>
  <w:style w:type="numbering" w:customStyle="1" w:styleId="Radovan31">
    <w:name w:val="Radovan31"/>
    <w:uiPriority w:val="99"/>
    <w:rsid w:val="009B2D9D"/>
  </w:style>
  <w:style w:type="numbering" w:customStyle="1" w:styleId="Style141">
    <w:name w:val="Style141"/>
    <w:uiPriority w:val="99"/>
    <w:rsid w:val="009B2D9D"/>
  </w:style>
  <w:style w:type="numbering" w:customStyle="1" w:styleId="Style231">
    <w:name w:val="Style231"/>
    <w:uiPriority w:val="99"/>
    <w:rsid w:val="009B2D9D"/>
  </w:style>
  <w:style w:type="numbering" w:customStyle="1" w:styleId="NoList141">
    <w:name w:val="No List141"/>
    <w:next w:val="NoList"/>
    <w:uiPriority w:val="99"/>
    <w:semiHidden/>
    <w:unhideWhenUsed/>
    <w:rsid w:val="009B2D9D"/>
  </w:style>
  <w:style w:type="numbering" w:customStyle="1" w:styleId="NoList1141">
    <w:name w:val="No List1141"/>
    <w:next w:val="NoList"/>
    <w:uiPriority w:val="99"/>
    <w:semiHidden/>
    <w:unhideWhenUsed/>
    <w:rsid w:val="009B2D9D"/>
  </w:style>
  <w:style w:type="numbering" w:customStyle="1" w:styleId="NoList11141">
    <w:name w:val="No List11141"/>
    <w:next w:val="NoList"/>
    <w:uiPriority w:val="99"/>
    <w:semiHidden/>
    <w:unhideWhenUsed/>
    <w:rsid w:val="009B2D9D"/>
  </w:style>
  <w:style w:type="numbering" w:customStyle="1" w:styleId="Style1121">
    <w:name w:val="Style1121"/>
    <w:uiPriority w:val="99"/>
    <w:rsid w:val="009B2D9D"/>
  </w:style>
  <w:style w:type="numbering" w:customStyle="1" w:styleId="NoList231">
    <w:name w:val="No List231"/>
    <w:next w:val="NoList"/>
    <w:uiPriority w:val="99"/>
    <w:semiHidden/>
    <w:unhideWhenUsed/>
    <w:rsid w:val="009B2D9D"/>
  </w:style>
  <w:style w:type="numbering" w:customStyle="1" w:styleId="Radovan121">
    <w:name w:val="Radovan121"/>
    <w:uiPriority w:val="99"/>
    <w:rsid w:val="009B2D9D"/>
  </w:style>
  <w:style w:type="numbering" w:customStyle="1" w:styleId="Style1211">
    <w:name w:val="Style1211"/>
    <w:uiPriority w:val="99"/>
    <w:rsid w:val="009B2D9D"/>
  </w:style>
  <w:style w:type="numbering" w:customStyle="1" w:styleId="Style2121">
    <w:name w:val="Style2121"/>
    <w:uiPriority w:val="99"/>
    <w:rsid w:val="009B2D9D"/>
  </w:style>
  <w:style w:type="numbering" w:customStyle="1" w:styleId="NoList1231">
    <w:name w:val="No List1231"/>
    <w:next w:val="NoList"/>
    <w:uiPriority w:val="99"/>
    <w:semiHidden/>
    <w:unhideWhenUsed/>
    <w:rsid w:val="009B2D9D"/>
  </w:style>
  <w:style w:type="numbering" w:customStyle="1" w:styleId="NoList11231">
    <w:name w:val="No List11231"/>
    <w:next w:val="NoList"/>
    <w:uiPriority w:val="99"/>
    <w:semiHidden/>
    <w:unhideWhenUsed/>
    <w:rsid w:val="009B2D9D"/>
  </w:style>
  <w:style w:type="numbering" w:customStyle="1" w:styleId="NoList111131">
    <w:name w:val="No List111131"/>
    <w:next w:val="NoList"/>
    <w:uiPriority w:val="99"/>
    <w:semiHidden/>
    <w:unhideWhenUsed/>
    <w:rsid w:val="009B2D9D"/>
  </w:style>
  <w:style w:type="numbering" w:customStyle="1" w:styleId="NoList2131">
    <w:name w:val="No List2131"/>
    <w:next w:val="NoList"/>
    <w:uiPriority w:val="99"/>
    <w:semiHidden/>
    <w:unhideWhenUsed/>
    <w:rsid w:val="009B2D9D"/>
  </w:style>
  <w:style w:type="numbering" w:customStyle="1" w:styleId="NoList1111121">
    <w:name w:val="No List1111121"/>
    <w:next w:val="NoList"/>
    <w:uiPriority w:val="99"/>
    <w:semiHidden/>
    <w:unhideWhenUsed/>
    <w:rsid w:val="009B2D9D"/>
  </w:style>
  <w:style w:type="numbering" w:customStyle="1" w:styleId="NoList321">
    <w:name w:val="No List321"/>
    <w:next w:val="NoList"/>
    <w:uiPriority w:val="99"/>
    <w:semiHidden/>
    <w:unhideWhenUsed/>
    <w:rsid w:val="009B2D9D"/>
  </w:style>
  <w:style w:type="numbering" w:customStyle="1" w:styleId="NoList12121">
    <w:name w:val="No List12121"/>
    <w:next w:val="NoList"/>
    <w:uiPriority w:val="99"/>
    <w:semiHidden/>
    <w:unhideWhenUsed/>
    <w:rsid w:val="009B2D9D"/>
  </w:style>
  <w:style w:type="numbering" w:customStyle="1" w:styleId="NoList112121">
    <w:name w:val="No List112121"/>
    <w:next w:val="NoList"/>
    <w:uiPriority w:val="99"/>
    <w:semiHidden/>
    <w:unhideWhenUsed/>
    <w:rsid w:val="009B2D9D"/>
  </w:style>
  <w:style w:type="numbering" w:customStyle="1" w:styleId="NoList111221">
    <w:name w:val="No List111221"/>
    <w:next w:val="NoList"/>
    <w:uiPriority w:val="99"/>
    <w:semiHidden/>
    <w:unhideWhenUsed/>
    <w:rsid w:val="009B2D9D"/>
  </w:style>
  <w:style w:type="numbering" w:customStyle="1" w:styleId="NoList21121">
    <w:name w:val="No List21121"/>
    <w:next w:val="NoList"/>
    <w:uiPriority w:val="99"/>
    <w:semiHidden/>
    <w:unhideWhenUsed/>
    <w:rsid w:val="009B2D9D"/>
  </w:style>
  <w:style w:type="numbering" w:customStyle="1" w:styleId="Style321">
    <w:name w:val="Style321"/>
    <w:uiPriority w:val="99"/>
    <w:rsid w:val="009B2D9D"/>
  </w:style>
  <w:style w:type="numbering" w:customStyle="1" w:styleId="NoList411">
    <w:name w:val="No List411"/>
    <w:next w:val="NoList"/>
    <w:uiPriority w:val="99"/>
    <w:semiHidden/>
    <w:unhideWhenUsed/>
    <w:rsid w:val="009B2D9D"/>
  </w:style>
  <w:style w:type="numbering" w:customStyle="1" w:styleId="Radovan211">
    <w:name w:val="Radovan211"/>
    <w:uiPriority w:val="99"/>
    <w:rsid w:val="009B2D9D"/>
  </w:style>
  <w:style w:type="numbering" w:customStyle="1" w:styleId="Style1311">
    <w:name w:val="Style1311"/>
    <w:uiPriority w:val="99"/>
    <w:rsid w:val="009B2D9D"/>
  </w:style>
  <w:style w:type="numbering" w:customStyle="1" w:styleId="Style2211">
    <w:name w:val="Style2211"/>
    <w:uiPriority w:val="99"/>
    <w:rsid w:val="009B2D9D"/>
  </w:style>
  <w:style w:type="numbering" w:customStyle="1" w:styleId="NoList1311">
    <w:name w:val="No List1311"/>
    <w:next w:val="NoList"/>
    <w:uiPriority w:val="99"/>
    <w:semiHidden/>
    <w:unhideWhenUsed/>
    <w:rsid w:val="009B2D9D"/>
  </w:style>
  <w:style w:type="numbering" w:customStyle="1" w:styleId="NoList11311">
    <w:name w:val="No List11311"/>
    <w:next w:val="NoList"/>
    <w:uiPriority w:val="99"/>
    <w:semiHidden/>
    <w:unhideWhenUsed/>
    <w:rsid w:val="009B2D9D"/>
  </w:style>
  <w:style w:type="numbering" w:customStyle="1" w:styleId="NoList111311">
    <w:name w:val="No List111311"/>
    <w:next w:val="NoList"/>
    <w:uiPriority w:val="99"/>
    <w:semiHidden/>
    <w:unhideWhenUsed/>
    <w:rsid w:val="009B2D9D"/>
  </w:style>
  <w:style w:type="numbering" w:customStyle="1" w:styleId="Style11121">
    <w:name w:val="Style11121"/>
    <w:uiPriority w:val="99"/>
    <w:rsid w:val="009B2D9D"/>
  </w:style>
  <w:style w:type="numbering" w:customStyle="1" w:styleId="NoList2211">
    <w:name w:val="No List2211"/>
    <w:next w:val="NoList"/>
    <w:uiPriority w:val="99"/>
    <w:semiHidden/>
    <w:unhideWhenUsed/>
    <w:rsid w:val="009B2D9D"/>
  </w:style>
  <w:style w:type="numbering" w:customStyle="1" w:styleId="Style3121">
    <w:name w:val="Style3121"/>
    <w:uiPriority w:val="99"/>
    <w:rsid w:val="009B2D9D"/>
  </w:style>
  <w:style w:type="numbering" w:customStyle="1" w:styleId="NoList1111211">
    <w:name w:val="No List1111211"/>
    <w:next w:val="NoList"/>
    <w:uiPriority w:val="99"/>
    <w:semiHidden/>
    <w:unhideWhenUsed/>
    <w:rsid w:val="009B2D9D"/>
  </w:style>
  <w:style w:type="numbering" w:customStyle="1" w:styleId="NoList3121">
    <w:name w:val="No List3121"/>
    <w:next w:val="NoList"/>
    <w:uiPriority w:val="99"/>
    <w:semiHidden/>
    <w:unhideWhenUsed/>
    <w:rsid w:val="009B2D9D"/>
  </w:style>
  <w:style w:type="numbering" w:customStyle="1" w:styleId="NoList12211">
    <w:name w:val="No List12211"/>
    <w:next w:val="NoList"/>
    <w:uiPriority w:val="99"/>
    <w:semiHidden/>
    <w:unhideWhenUsed/>
    <w:rsid w:val="009B2D9D"/>
  </w:style>
  <w:style w:type="numbering" w:customStyle="1" w:styleId="NoList112211">
    <w:name w:val="No List112211"/>
    <w:next w:val="NoList"/>
    <w:uiPriority w:val="99"/>
    <w:semiHidden/>
    <w:unhideWhenUsed/>
    <w:rsid w:val="009B2D9D"/>
  </w:style>
  <w:style w:type="numbering" w:customStyle="1" w:styleId="NoList1112111">
    <w:name w:val="No List1112111"/>
    <w:next w:val="NoList"/>
    <w:uiPriority w:val="99"/>
    <w:semiHidden/>
    <w:unhideWhenUsed/>
    <w:rsid w:val="009B2D9D"/>
  </w:style>
  <w:style w:type="numbering" w:customStyle="1" w:styleId="NoList21211">
    <w:name w:val="No List21211"/>
    <w:next w:val="NoList"/>
    <w:uiPriority w:val="99"/>
    <w:semiHidden/>
    <w:unhideWhenUsed/>
    <w:rsid w:val="009B2D9D"/>
  </w:style>
  <w:style w:type="numbering" w:customStyle="1" w:styleId="Style31111">
    <w:name w:val="Style31111"/>
    <w:uiPriority w:val="99"/>
    <w:rsid w:val="009B2D9D"/>
  </w:style>
  <w:style w:type="numbering" w:customStyle="1" w:styleId="NoList61">
    <w:name w:val="No List61"/>
    <w:next w:val="NoList"/>
    <w:uiPriority w:val="99"/>
    <w:semiHidden/>
    <w:unhideWhenUsed/>
    <w:rsid w:val="009B2D9D"/>
  </w:style>
  <w:style w:type="numbering" w:customStyle="1" w:styleId="Radovan41">
    <w:name w:val="Radovan41"/>
    <w:uiPriority w:val="99"/>
    <w:rsid w:val="009B2D9D"/>
  </w:style>
  <w:style w:type="numbering" w:customStyle="1" w:styleId="Style151">
    <w:name w:val="Style151"/>
    <w:uiPriority w:val="99"/>
    <w:rsid w:val="009B2D9D"/>
  </w:style>
  <w:style w:type="numbering" w:customStyle="1" w:styleId="Style241">
    <w:name w:val="Style241"/>
    <w:uiPriority w:val="99"/>
    <w:rsid w:val="009B2D9D"/>
  </w:style>
  <w:style w:type="numbering" w:customStyle="1" w:styleId="NoList151">
    <w:name w:val="No List151"/>
    <w:next w:val="NoList"/>
    <w:uiPriority w:val="99"/>
    <w:semiHidden/>
    <w:unhideWhenUsed/>
    <w:rsid w:val="009B2D9D"/>
  </w:style>
  <w:style w:type="numbering" w:customStyle="1" w:styleId="NoList1151">
    <w:name w:val="No List1151"/>
    <w:next w:val="NoList"/>
    <w:uiPriority w:val="99"/>
    <w:semiHidden/>
    <w:unhideWhenUsed/>
    <w:rsid w:val="009B2D9D"/>
  </w:style>
  <w:style w:type="numbering" w:customStyle="1" w:styleId="NoList11151">
    <w:name w:val="No List11151"/>
    <w:next w:val="NoList"/>
    <w:uiPriority w:val="99"/>
    <w:semiHidden/>
    <w:unhideWhenUsed/>
    <w:rsid w:val="009B2D9D"/>
  </w:style>
  <w:style w:type="numbering" w:customStyle="1" w:styleId="Style1131">
    <w:name w:val="Style1131"/>
    <w:uiPriority w:val="99"/>
    <w:rsid w:val="009B2D9D"/>
  </w:style>
  <w:style w:type="numbering" w:customStyle="1" w:styleId="NoList241">
    <w:name w:val="No List241"/>
    <w:next w:val="NoList"/>
    <w:uiPriority w:val="99"/>
    <w:semiHidden/>
    <w:unhideWhenUsed/>
    <w:rsid w:val="009B2D9D"/>
  </w:style>
  <w:style w:type="numbering" w:customStyle="1" w:styleId="Style1221">
    <w:name w:val="Style1221"/>
    <w:uiPriority w:val="99"/>
    <w:rsid w:val="009B2D9D"/>
  </w:style>
  <w:style w:type="numbering" w:customStyle="1" w:styleId="Style2131">
    <w:name w:val="Style2131"/>
    <w:uiPriority w:val="99"/>
    <w:rsid w:val="009B2D9D"/>
  </w:style>
  <w:style w:type="numbering" w:customStyle="1" w:styleId="NoList1241">
    <w:name w:val="No List1241"/>
    <w:next w:val="NoList"/>
    <w:uiPriority w:val="99"/>
    <w:semiHidden/>
    <w:unhideWhenUsed/>
    <w:rsid w:val="009B2D9D"/>
  </w:style>
  <w:style w:type="numbering" w:customStyle="1" w:styleId="NoList11241">
    <w:name w:val="No List11241"/>
    <w:next w:val="NoList"/>
    <w:uiPriority w:val="99"/>
    <w:semiHidden/>
    <w:unhideWhenUsed/>
    <w:rsid w:val="009B2D9D"/>
  </w:style>
  <w:style w:type="numbering" w:customStyle="1" w:styleId="NoList111141">
    <w:name w:val="No List111141"/>
    <w:next w:val="NoList"/>
    <w:uiPriority w:val="99"/>
    <w:semiHidden/>
    <w:unhideWhenUsed/>
    <w:rsid w:val="009B2D9D"/>
  </w:style>
  <w:style w:type="numbering" w:customStyle="1" w:styleId="NoList2141">
    <w:name w:val="No List2141"/>
    <w:next w:val="NoList"/>
    <w:uiPriority w:val="99"/>
    <w:semiHidden/>
    <w:unhideWhenUsed/>
    <w:rsid w:val="009B2D9D"/>
  </w:style>
  <w:style w:type="numbering" w:customStyle="1" w:styleId="NoList1111131">
    <w:name w:val="No List1111131"/>
    <w:next w:val="NoList"/>
    <w:uiPriority w:val="99"/>
    <w:semiHidden/>
    <w:unhideWhenUsed/>
    <w:rsid w:val="009B2D9D"/>
  </w:style>
  <w:style w:type="numbering" w:customStyle="1" w:styleId="NoList331">
    <w:name w:val="No List331"/>
    <w:next w:val="NoList"/>
    <w:uiPriority w:val="99"/>
    <w:semiHidden/>
    <w:unhideWhenUsed/>
    <w:rsid w:val="009B2D9D"/>
  </w:style>
  <w:style w:type="numbering" w:customStyle="1" w:styleId="NoList12131">
    <w:name w:val="No List12131"/>
    <w:next w:val="NoList"/>
    <w:uiPriority w:val="99"/>
    <w:semiHidden/>
    <w:unhideWhenUsed/>
    <w:rsid w:val="009B2D9D"/>
  </w:style>
  <w:style w:type="numbering" w:customStyle="1" w:styleId="NoList112131">
    <w:name w:val="No List112131"/>
    <w:next w:val="NoList"/>
    <w:uiPriority w:val="99"/>
    <w:semiHidden/>
    <w:unhideWhenUsed/>
    <w:rsid w:val="009B2D9D"/>
  </w:style>
  <w:style w:type="numbering" w:customStyle="1" w:styleId="NoList111231">
    <w:name w:val="No List111231"/>
    <w:next w:val="NoList"/>
    <w:uiPriority w:val="99"/>
    <w:semiHidden/>
    <w:unhideWhenUsed/>
    <w:rsid w:val="009B2D9D"/>
  </w:style>
  <w:style w:type="numbering" w:customStyle="1" w:styleId="NoList21131">
    <w:name w:val="No List21131"/>
    <w:next w:val="NoList"/>
    <w:uiPriority w:val="99"/>
    <w:semiHidden/>
    <w:unhideWhenUsed/>
    <w:rsid w:val="009B2D9D"/>
  </w:style>
  <w:style w:type="numbering" w:customStyle="1" w:styleId="NoList421">
    <w:name w:val="No List421"/>
    <w:next w:val="NoList"/>
    <w:uiPriority w:val="99"/>
    <w:semiHidden/>
    <w:unhideWhenUsed/>
    <w:rsid w:val="009B2D9D"/>
  </w:style>
  <w:style w:type="numbering" w:customStyle="1" w:styleId="NoList1321">
    <w:name w:val="No List1321"/>
    <w:next w:val="NoList"/>
    <w:uiPriority w:val="99"/>
    <w:semiHidden/>
    <w:unhideWhenUsed/>
    <w:rsid w:val="009B2D9D"/>
  </w:style>
  <w:style w:type="numbering" w:customStyle="1" w:styleId="NoList11321">
    <w:name w:val="No List11321"/>
    <w:next w:val="NoList"/>
    <w:uiPriority w:val="99"/>
    <w:semiHidden/>
    <w:unhideWhenUsed/>
    <w:rsid w:val="009B2D9D"/>
  </w:style>
  <w:style w:type="numbering" w:customStyle="1" w:styleId="NoList111321">
    <w:name w:val="No List111321"/>
    <w:next w:val="NoList"/>
    <w:uiPriority w:val="99"/>
    <w:semiHidden/>
    <w:unhideWhenUsed/>
    <w:rsid w:val="009B2D9D"/>
  </w:style>
  <w:style w:type="numbering" w:customStyle="1" w:styleId="NoList2221">
    <w:name w:val="No List2221"/>
    <w:next w:val="NoList"/>
    <w:uiPriority w:val="99"/>
    <w:semiHidden/>
    <w:unhideWhenUsed/>
    <w:rsid w:val="009B2D9D"/>
  </w:style>
  <w:style w:type="numbering" w:customStyle="1" w:styleId="NoList1111221">
    <w:name w:val="No List1111221"/>
    <w:next w:val="NoList"/>
    <w:uiPriority w:val="99"/>
    <w:semiHidden/>
    <w:unhideWhenUsed/>
    <w:rsid w:val="009B2D9D"/>
  </w:style>
  <w:style w:type="numbering" w:customStyle="1" w:styleId="NoList3131">
    <w:name w:val="No List3131"/>
    <w:next w:val="NoList"/>
    <w:uiPriority w:val="99"/>
    <w:semiHidden/>
    <w:unhideWhenUsed/>
    <w:rsid w:val="009B2D9D"/>
  </w:style>
  <w:style w:type="numbering" w:customStyle="1" w:styleId="NoList12221">
    <w:name w:val="No List12221"/>
    <w:next w:val="NoList"/>
    <w:uiPriority w:val="99"/>
    <w:semiHidden/>
    <w:unhideWhenUsed/>
    <w:rsid w:val="009B2D9D"/>
  </w:style>
  <w:style w:type="numbering" w:customStyle="1" w:styleId="NoList112221">
    <w:name w:val="No List112221"/>
    <w:next w:val="NoList"/>
    <w:uiPriority w:val="99"/>
    <w:semiHidden/>
    <w:unhideWhenUsed/>
    <w:rsid w:val="009B2D9D"/>
  </w:style>
  <w:style w:type="numbering" w:customStyle="1" w:styleId="NoList1112121">
    <w:name w:val="No List1112121"/>
    <w:next w:val="NoList"/>
    <w:uiPriority w:val="99"/>
    <w:semiHidden/>
    <w:unhideWhenUsed/>
    <w:rsid w:val="009B2D9D"/>
  </w:style>
  <w:style w:type="numbering" w:customStyle="1" w:styleId="NoList21221">
    <w:name w:val="No List21221"/>
    <w:next w:val="NoList"/>
    <w:uiPriority w:val="99"/>
    <w:semiHidden/>
    <w:unhideWhenUsed/>
    <w:rsid w:val="009B2D9D"/>
  </w:style>
  <w:style w:type="table" w:customStyle="1" w:styleId="LightShading-Accent3111">
    <w:name w:val="Light Shading - Accent 3111"/>
    <w:basedOn w:val="TableNormal"/>
    <w:next w:val="LightShading-Accent3"/>
    <w:uiPriority w:val="60"/>
    <w:rsid w:val="009B2D9D"/>
    <w:pPr>
      <w:spacing w:after="0" w:line="240" w:lineRule="auto"/>
    </w:pPr>
    <w:rPr>
      <w:rFonts w:ascii="Calibri" w:eastAsia="Calibri" w:hAnsi="Calibri" w:cs="Times New Roman"/>
      <w:color w:val="7B7B7B" w:themeColor="accent3" w:themeShade="BF"/>
      <w:kern w:val="0"/>
      <w:sz w:val="20"/>
      <w:szCs w:val="20"/>
      <w14:ligatures w14:val="none"/>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LightList-Accent2111">
    <w:name w:val="Light List - Accent 2111"/>
    <w:basedOn w:val="TableNormal"/>
    <w:next w:val="LightList-Accent2"/>
    <w:uiPriority w:val="61"/>
    <w:rsid w:val="009B2D9D"/>
    <w:pPr>
      <w:spacing w:after="0" w:line="240" w:lineRule="auto"/>
    </w:pPr>
    <w:rPr>
      <w:rFonts w:eastAsiaTheme="minorEastAsia"/>
      <w:kern w:val="0"/>
      <w:lang w:val="sr-Latn-CS" w:eastAsia="sr-Latn-CS"/>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customStyle="1" w:styleId="PlainTable41111">
    <w:name w:val="Plain Table 41111"/>
    <w:basedOn w:val="TableNormal"/>
    <w:uiPriority w:val="44"/>
    <w:rsid w:val="009B2D9D"/>
    <w:pPr>
      <w:spacing w:after="0" w:line="240" w:lineRule="auto"/>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21">
    <w:name w:val="Plain Table 2121"/>
    <w:basedOn w:val="TableNormal"/>
    <w:uiPriority w:val="42"/>
    <w:rsid w:val="009B2D9D"/>
    <w:pPr>
      <w:spacing w:after="0" w:line="240" w:lineRule="auto"/>
    </w:pPr>
    <w:rPr>
      <w:kern w:val="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Light121">
    <w:name w:val="Table Grid Light121"/>
    <w:basedOn w:val="TableNormal"/>
    <w:uiPriority w:val="40"/>
    <w:rsid w:val="009B2D9D"/>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231">
    <w:name w:val="Table Grid Light231"/>
    <w:basedOn w:val="TableNormal"/>
    <w:uiPriority w:val="40"/>
    <w:rsid w:val="009B2D9D"/>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2111">
    <w:name w:val="Table Grid Light2111"/>
    <w:basedOn w:val="TableNormal"/>
    <w:uiPriority w:val="40"/>
    <w:rsid w:val="009B2D9D"/>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2-Accent111">
    <w:name w:val="Grid Table 2 - Accent 111"/>
    <w:basedOn w:val="TableNormal"/>
    <w:next w:val="GridTable2-Accent11"/>
    <w:uiPriority w:val="47"/>
    <w:rsid w:val="009B2D9D"/>
    <w:pPr>
      <w:spacing w:after="0" w:line="240" w:lineRule="auto"/>
    </w:pPr>
    <w:rPr>
      <w:kern w:val="0"/>
      <w14:ligatures w14:val="none"/>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4-Accent511">
    <w:name w:val="Grid Table 4 - Accent 511"/>
    <w:basedOn w:val="TableNormal"/>
    <w:next w:val="GridTable4-Accent51"/>
    <w:uiPriority w:val="49"/>
    <w:rsid w:val="009B2D9D"/>
    <w:pPr>
      <w:spacing w:after="0" w:line="240" w:lineRule="auto"/>
    </w:pPr>
    <w:rPr>
      <w:kern w:val="0"/>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3-Accent511">
    <w:name w:val="Grid Table 3 - Accent 511"/>
    <w:basedOn w:val="TableNormal"/>
    <w:next w:val="GridTable3-Accent51"/>
    <w:uiPriority w:val="48"/>
    <w:rsid w:val="009B2D9D"/>
    <w:pPr>
      <w:spacing w:after="0" w:line="240" w:lineRule="auto"/>
    </w:pPr>
    <w:rPr>
      <w:kern w:val="0"/>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ListTable2-Accent511">
    <w:name w:val="List Table 2 - Accent 511"/>
    <w:basedOn w:val="TableNormal"/>
    <w:next w:val="ListTable2-Accent51"/>
    <w:uiPriority w:val="47"/>
    <w:rsid w:val="009B2D9D"/>
    <w:pPr>
      <w:spacing w:after="0" w:line="240" w:lineRule="auto"/>
    </w:pPr>
    <w:rPr>
      <w:kern w:val="0"/>
      <w14:ligatures w14:val="none"/>
    </w:r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6Colorful-Accent521">
    <w:name w:val="Grid Table 6 Colorful - Accent 521"/>
    <w:basedOn w:val="TableNormal"/>
    <w:next w:val="GridTable6Colorful-Accent52"/>
    <w:uiPriority w:val="51"/>
    <w:rsid w:val="009B2D9D"/>
    <w:pPr>
      <w:spacing w:after="0" w:line="240" w:lineRule="auto"/>
    </w:pPr>
    <w:rPr>
      <w:color w:val="2E74B5" w:themeColor="accent5" w:themeShade="BF"/>
      <w:kern w:val="0"/>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5Dark-Accent511">
    <w:name w:val="Grid Table 5 Dark - Accent 511"/>
    <w:basedOn w:val="TableNormal"/>
    <w:next w:val="GridTable5Dark-Accent51"/>
    <w:uiPriority w:val="50"/>
    <w:rsid w:val="009B2D9D"/>
    <w:pPr>
      <w:spacing w:after="0" w:line="240" w:lineRule="auto"/>
    </w:pPr>
    <w:rPr>
      <w:kern w:val="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GridTable5Dark-Accent131">
    <w:name w:val="Grid Table 5 Dark - Accent 131"/>
    <w:basedOn w:val="TableNormal"/>
    <w:next w:val="GridTable5Dark-Accent13"/>
    <w:uiPriority w:val="50"/>
    <w:rsid w:val="009B2D9D"/>
    <w:pPr>
      <w:spacing w:after="0" w:line="240" w:lineRule="auto"/>
    </w:pPr>
    <w:rPr>
      <w:kern w:val="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TableGridLight31">
    <w:name w:val="Table Grid Light31"/>
    <w:basedOn w:val="TableNormal"/>
    <w:next w:val="TableGridLight3"/>
    <w:uiPriority w:val="40"/>
    <w:rsid w:val="009B2D9D"/>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11">
    <w:name w:val="Plain Table 111"/>
    <w:basedOn w:val="TableNormal"/>
    <w:next w:val="PlainTable11"/>
    <w:uiPriority w:val="41"/>
    <w:rsid w:val="009B2D9D"/>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1Light-Accent211">
    <w:name w:val="Grid Table 1 Light - Accent 211"/>
    <w:basedOn w:val="TableNormal"/>
    <w:next w:val="GridTable1Light-Accent21"/>
    <w:uiPriority w:val="46"/>
    <w:rsid w:val="009B2D9D"/>
    <w:pPr>
      <w:spacing w:after="0" w:line="240" w:lineRule="auto"/>
    </w:pPr>
    <w:rPr>
      <w:kern w:val="0"/>
      <w14:ligatures w14:val="none"/>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GridTable5Dark-Accent211">
    <w:name w:val="Grid Table 5 Dark - Accent 211"/>
    <w:basedOn w:val="TableNormal"/>
    <w:next w:val="GridTable5Dark-Accent21"/>
    <w:uiPriority w:val="50"/>
    <w:rsid w:val="009B2D9D"/>
    <w:pPr>
      <w:spacing w:after="0" w:line="240" w:lineRule="auto"/>
    </w:pPr>
    <w:rPr>
      <w:kern w:val="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ridTable6Colorful-Accent211">
    <w:name w:val="Grid Table 6 Colorful - Accent 211"/>
    <w:basedOn w:val="TableNormal"/>
    <w:next w:val="GridTable6Colorful-Accent21"/>
    <w:uiPriority w:val="51"/>
    <w:rsid w:val="009B2D9D"/>
    <w:pPr>
      <w:spacing w:after="0" w:line="240" w:lineRule="auto"/>
    </w:pPr>
    <w:rPr>
      <w:color w:val="C45911" w:themeColor="accent2" w:themeShade="BF"/>
      <w:kern w:val="0"/>
      <w14:ligatures w14:val="non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6Colorful-Accent411">
    <w:name w:val="Grid Table 6 Colorful - Accent 411"/>
    <w:basedOn w:val="TableNormal"/>
    <w:next w:val="GridTable6Colorful-Accent41"/>
    <w:uiPriority w:val="51"/>
    <w:rsid w:val="009B2D9D"/>
    <w:pPr>
      <w:spacing w:after="0" w:line="240" w:lineRule="auto"/>
    </w:pPr>
    <w:rPr>
      <w:color w:val="BF8F00" w:themeColor="accent4" w:themeShade="BF"/>
      <w:kern w:val="0"/>
      <w14:ligatures w14:val="none"/>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5Dark-Accent211">
    <w:name w:val="List Table 5 Dark - Accent 211"/>
    <w:basedOn w:val="TableNormal"/>
    <w:next w:val="ListTable5Dark-Accent21"/>
    <w:uiPriority w:val="50"/>
    <w:rsid w:val="009B2D9D"/>
    <w:pPr>
      <w:spacing w:after="0" w:line="240" w:lineRule="auto"/>
    </w:pPr>
    <w:rPr>
      <w:color w:val="FFFFFF" w:themeColor="background1"/>
      <w:kern w:val="0"/>
      <w14:ligatures w14:val="none"/>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3-Accent211">
    <w:name w:val="List Table 3 - Accent 211"/>
    <w:basedOn w:val="TableNormal"/>
    <w:next w:val="ListTable3-Accent21"/>
    <w:uiPriority w:val="48"/>
    <w:rsid w:val="009B2D9D"/>
    <w:pPr>
      <w:spacing w:after="0" w:line="240" w:lineRule="auto"/>
    </w:pPr>
    <w:rPr>
      <w:kern w:val="0"/>
      <w14:ligatures w14:val="none"/>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Table3-Accent411">
    <w:name w:val="List Table 3 - Accent 411"/>
    <w:basedOn w:val="TableNormal"/>
    <w:next w:val="ListTable3-Accent41"/>
    <w:uiPriority w:val="48"/>
    <w:rsid w:val="009B2D9D"/>
    <w:pPr>
      <w:spacing w:after="0" w:line="240" w:lineRule="auto"/>
    </w:pPr>
    <w:rPr>
      <w:kern w:val="0"/>
      <w14:ligatures w14:val="none"/>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customStyle="1" w:styleId="ListTable6Colorful-Accent411">
    <w:name w:val="List Table 6 Colorful - Accent 411"/>
    <w:basedOn w:val="TableNormal"/>
    <w:next w:val="ListTable6Colorful-Accent41"/>
    <w:uiPriority w:val="51"/>
    <w:rsid w:val="009B2D9D"/>
    <w:pPr>
      <w:spacing w:after="0" w:line="240" w:lineRule="auto"/>
    </w:pPr>
    <w:rPr>
      <w:color w:val="BF8F00" w:themeColor="accent4" w:themeShade="BF"/>
      <w:kern w:val="0"/>
      <w14:ligatures w14:val="none"/>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4-Accent411">
    <w:name w:val="Grid Table 4 - Accent 411"/>
    <w:basedOn w:val="TableNormal"/>
    <w:next w:val="GridTable4-Accent41"/>
    <w:uiPriority w:val="49"/>
    <w:rsid w:val="009B2D9D"/>
    <w:pPr>
      <w:spacing w:after="0" w:line="240" w:lineRule="auto"/>
    </w:pPr>
    <w:rPr>
      <w:kern w:val="0"/>
      <w14:ligatures w14:val="none"/>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7Colorful-Accent411">
    <w:name w:val="List Table 7 Colorful - Accent 411"/>
    <w:basedOn w:val="TableNormal"/>
    <w:next w:val="ListTable7Colorful-Accent41"/>
    <w:uiPriority w:val="52"/>
    <w:rsid w:val="009B2D9D"/>
    <w:pPr>
      <w:spacing w:after="0" w:line="240" w:lineRule="auto"/>
    </w:pPr>
    <w:rPr>
      <w:color w:val="BF8F00" w:themeColor="accent4" w:themeShade="BF"/>
      <w:kern w:val="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5Dark-Accent411">
    <w:name w:val="List Table 5 Dark - Accent 411"/>
    <w:basedOn w:val="TableNormal"/>
    <w:next w:val="ListTable5Dark-Accent41"/>
    <w:uiPriority w:val="50"/>
    <w:rsid w:val="009B2D9D"/>
    <w:pPr>
      <w:spacing w:after="0" w:line="240" w:lineRule="auto"/>
    </w:pPr>
    <w:rPr>
      <w:color w:val="FFFFFF" w:themeColor="background1"/>
      <w:kern w:val="0"/>
      <w14:ligatures w14:val="none"/>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GridTable2-Accent411">
    <w:name w:val="Grid Table 2 - Accent 411"/>
    <w:basedOn w:val="TableNormal"/>
    <w:next w:val="GridTable2-Accent41"/>
    <w:uiPriority w:val="47"/>
    <w:rsid w:val="009B2D9D"/>
    <w:pPr>
      <w:spacing w:after="0" w:line="240" w:lineRule="auto"/>
    </w:pPr>
    <w:rPr>
      <w:kern w:val="0"/>
      <w14:ligatures w14:val="none"/>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7Colorful-Accent211">
    <w:name w:val="Grid Table 7 Colorful - Accent 211"/>
    <w:basedOn w:val="TableNormal"/>
    <w:next w:val="GridTable7Colorful-Accent21"/>
    <w:uiPriority w:val="52"/>
    <w:rsid w:val="009B2D9D"/>
    <w:pPr>
      <w:spacing w:after="0" w:line="240" w:lineRule="auto"/>
    </w:pPr>
    <w:rPr>
      <w:color w:val="C45911" w:themeColor="accent2" w:themeShade="BF"/>
      <w:kern w:val="0"/>
      <w14:ligatures w14:val="non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ListTable2-Accent411">
    <w:name w:val="List Table 2 - Accent 411"/>
    <w:basedOn w:val="TableNormal"/>
    <w:next w:val="ListTable2-Accent41"/>
    <w:uiPriority w:val="47"/>
    <w:rsid w:val="009B2D9D"/>
    <w:pPr>
      <w:spacing w:after="0" w:line="240" w:lineRule="auto"/>
    </w:pPr>
    <w:rPr>
      <w:kern w:val="0"/>
      <w14:ligatures w14:val="none"/>
    </w:r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1Light-Accent411">
    <w:name w:val="Grid Table 1 Light - Accent 411"/>
    <w:basedOn w:val="TableNormal"/>
    <w:next w:val="GridTable1Light-Accent41"/>
    <w:uiPriority w:val="46"/>
    <w:rsid w:val="009B2D9D"/>
    <w:pPr>
      <w:spacing w:after="0" w:line="240" w:lineRule="auto"/>
    </w:pPr>
    <w:rPr>
      <w:kern w:val="0"/>
      <w14:ligatures w14:val="none"/>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ListTable2-Accent311">
    <w:name w:val="List Table 2 - Accent 311"/>
    <w:basedOn w:val="TableNormal"/>
    <w:next w:val="ListTable2-Accent31"/>
    <w:uiPriority w:val="47"/>
    <w:rsid w:val="009B2D9D"/>
    <w:pPr>
      <w:spacing w:after="0" w:line="240" w:lineRule="auto"/>
    </w:pPr>
    <w:rPr>
      <w:kern w:val="0"/>
      <w14:ligatures w14:val="none"/>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2-Accent211">
    <w:name w:val="List Table 2 - Accent 211"/>
    <w:basedOn w:val="TableNormal"/>
    <w:next w:val="ListTable2-Accent21"/>
    <w:uiPriority w:val="47"/>
    <w:rsid w:val="009B2D9D"/>
    <w:pPr>
      <w:spacing w:after="0" w:line="240" w:lineRule="auto"/>
    </w:pPr>
    <w:rPr>
      <w:kern w:val="0"/>
      <w14:ligatures w14:val="none"/>
    </w:r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2-Accent111">
    <w:name w:val="List Table 2 - Accent 111"/>
    <w:basedOn w:val="TableNormal"/>
    <w:next w:val="ListTable2-Accent11"/>
    <w:uiPriority w:val="47"/>
    <w:rsid w:val="009B2D9D"/>
    <w:pPr>
      <w:spacing w:after="0" w:line="240" w:lineRule="auto"/>
    </w:pPr>
    <w:rPr>
      <w:kern w:val="0"/>
      <w14:ligatures w14:val="none"/>
    </w:r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1Light-Accent411">
    <w:name w:val="List Table 1 Light - Accent 411"/>
    <w:basedOn w:val="TableNormal"/>
    <w:next w:val="ListTable1Light-Accent41"/>
    <w:uiPriority w:val="46"/>
    <w:rsid w:val="009B2D9D"/>
    <w:pPr>
      <w:spacing w:after="0" w:line="240" w:lineRule="auto"/>
    </w:pPr>
    <w:rPr>
      <w:kern w:val="0"/>
      <w14:ligatures w14:val="none"/>
    </w:r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MSGENFONTSTYLENAMETEMPLATEROLENUMBERMSGENFONTSTYLENAMEBYROLETEXT2">
    <w:name w:val="MSG_EN_FONT_STYLE_NAME_TEMPLATE_ROLE_NUMBER MSG_EN_FONT_STYLE_NAME_BY_ROLE_TEXT 2_"/>
    <w:basedOn w:val="DefaultParagraphFont"/>
    <w:link w:val="MSGENFONTSTYLENAMETEMPLATEROLENUMBERMSGENFONTSTYLENAMEBYROLETEXT20"/>
    <w:locked/>
    <w:rsid w:val="009B2D9D"/>
    <w:rPr>
      <w:shd w:val="clear" w:color="auto" w:fill="FFFFFF"/>
    </w:rPr>
  </w:style>
  <w:style w:type="paragraph" w:customStyle="1" w:styleId="MSGENFONTSTYLENAMETEMPLATEROLENUMBERMSGENFONTSTYLENAMEBYROLETEXT20">
    <w:name w:val="MSG_EN_FONT_STYLE_NAME_TEMPLATE_ROLE_NUMBER MSG_EN_FONT_STYLE_NAME_BY_ROLE_TEXT 2"/>
    <w:basedOn w:val="Normal"/>
    <w:link w:val="MSGENFONTSTYLENAMETEMPLATEROLENUMBERMSGENFONTSTYLENAMEBYROLETEXT2"/>
    <w:rsid w:val="009B2D9D"/>
    <w:pPr>
      <w:shd w:val="clear" w:color="auto" w:fill="FFFFFF"/>
      <w:spacing w:after="300" w:line="274" w:lineRule="exact"/>
      <w:jc w:val="both"/>
    </w:pPr>
  </w:style>
  <w:style w:type="numbering" w:customStyle="1" w:styleId="NoList8">
    <w:name w:val="No List8"/>
    <w:next w:val="NoList"/>
    <w:uiPriority w:val="99"/>
    <w:semiHidden/>
    <w:unhideWhenUsed/>
    <w:rsid w:val="009B2D9D"/>
  </w:style>
  <w:style w:type="table" w:customStyle="1" w:styleId="LightShading-Accent113">
    <w:name w:val="Light Shading - Accent 113"/>
    <w:basedOn w:val="TableNormal"/>
    <w:uiPriority w:val="60"/>
    <w:rsid w:val="009B2D9D"/>
    <w:pPr>
      <w:spacing w:after="0" w:line="240" w:lineRule="auto"/>
    </w:pPr>
    <w:rPr>
      <w:rFonts w:ascii="Calibri" w:eastAsia="Times New Roman" w:hAnsi="Calibri" w:cs="Times New Roman"/>
      <w:color w:val="365F91"/>
      <w:kern w:val="0"/>
      <w:sz w:val="20"/>
      <w:szCs w:val="20"/>
      <w:lang w:val="sr-Latn-CS" w:eastAsia="sr-Latn-CS" w:bidi="en-US"/>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Radovan7">
    <w:name w:val="Radovan7"/>
    <w:uiPriority w:val="99"/>
    <w:rsid w:val="009B2D9D"/>
  </w:style>
  <w:style w:type="table" w:customStyle="1" w:styleId="LightShading-Accent33">
    <w:name w:val="Light Shading - Accent 33"/>
    <w:basedOn w:val="TableNormal"/>
    <w:next w:val="LightShading-Accent3"/>
    <w:uiPriority w:val="60"/>
    <w:rsid w:val="009B2D9D"/>
    <w:pPr>
      <w:spacing w:after="0" w:line="240" w:lineRule="auto"/>
    </w:pPr>
    <w:rPr>
      <w:rFonts w:ascii="Calibri" w:eastAsia="Calibri" w:hAnsi="Calibri" w:cs="Times New Roman"/>
      <w:color w:val="7B7B7B" w:themeColor="accent3" w:themeShade="BF"/>
      <w:kern w:val="0"/>
      <w:sz w:val="20"/>
      <w:szCs w:val="20"/>
      <w14:ligatures w14:val="none"/>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LightList-Accent23">
    <w:name w:val="Light List - Accent 23"/>
    <w:basedOn w:val="TableNormal"/>
    <w:next w:val="LightList-Accent2"/>
    <w:uiPriority w:val="61"/>
    <w:rsid w:val="009B2D9D"/>
    <w:pPr>
      <w:spacing w:after="0" w:line="240" w:lineRule="auto"/>
    </w:pPr>
    <w:rPr>
      <w:rFonts w:eastAsiaTheme="minorEastAsia"/>
      <w:kern w:val="0"/>
      <w:lang w:val="sr-Latn-CS" w:eastAsia="sr-Latn-CS"/>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customStyle="1" w:styleId="TableNormal14">
    <w:name w:val="Table Normal14"/>
    <w:uiPriority w:val="2"/>
    <w:semiHidden/>
    <w:unhideWhenUsed/>
    <w:qFormat/>
    <w:rsid w:val="009B2D9D"/>
    <w:pPr>
      <w:widowControl w:val="0"/>
      <w:spacing w:after="0" w:line="240" w:lineRule="auto"/>
    </w:pPr>
    <w:rPr>
      <w:kern w:val="0"/>
      <w14:ligatures w14:val="none"/>
    </w:rPr>
    <w:tblPr>
      <w:tblInd w:w="0" w:type="dxa"/>
      <w:tblCellMar>
        <w:top w:w="0" w:type="dxa"/>
        <w:left w:w="0" w:type="dxa"/>
        <w:bottom w:w="0" w:type="dxa"/>
        <w:right w:w="0" w:type="dxa"/>
      </w:tblCellMar>
    </w:tblPr>
  </w:style>
  <w:style w:type="numbering" w:customStyle="1" w:styleId="NoList17">
    <w:name w:val="No List17"/>
    <w:next w:val="NoList"/>
    <w:uiPriority w:val="99"/>
    <w:semiHidden/>
    <w:unhideWhenUsed/>
    <w:rsid w:val="009B2D9D"/>
  </w:style>
  <w:style w:type="numbering" w:customStyle="1" w:styleId="NoList117">
    <w:name w:val="No List117"/>
    <w:next w:val="NoList"/>
    <w:uiPriority w:val="99"/>
    <w:semiHidden/>
    <w:unhideWhenUsed/>
    <w:rsid w:val="009B2D9D"/>
  </w:style>
  <w:style w:type="table" w:customStyle="1" w:styleId="TableElegant3">
    <w:name w:val="Table Elegant3"/>
    <w:basedOn w:val="TableNormal"/>
    <w:next w:val="TableElegant"/>
    <w:rsid w:val="009B2D9D"/>
    <w:pPr>
      <w:spacing w:after="0" w:line="240" w:lineRule="auto"/>
    </w:pPr>
    <w:rPr>
      <w:rFonts w:ascii="Times New Roman" w:eastAsia="Times New Roman" w:hAnsi="Times New Roman" w:cs="Times New Roman"/>
      <w:kern w:val="0"/>
      <w:sz w:val="20"/>
      <w:szCs w:val="20"/>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NoList1117">
    <w:name w:val="No List1117"/>
    <w:next w:val="NoList"/>
    <w:uiPriority w:val="99"/>
    <w:semiHidden/>
    <w:unhideWhenUsed/>
    <w:rsid w:val="009B2D9D"/>
  </w:style>
  <w:style w:type="table" w:customStyle="1" w:styleId="TableNormal113">
    <w:name w:val="Table Normal113"/>
    <w:uiPriority w:val="2"/>
    <w:semiHidden/>
    <w:unhideWhenUsed/>
    <w:qFormat/>
    <w:rsid w:val="009B2D9D"/>
    <w:pPr>
      <w:widowControl w:val="0"/>
      <w:spacing w:after="0" w:line="240" w:lineRule="auto"/>
    </w:pPr>
    <w:rPr>
      <w:kern w:val="0"/>
      <w14:ligatures w14:val="none"/>
    </w:rPr>
    <w:tblPr>
      <w:tblInd w:w="0" w:type="dxa"/>
      <w:tblCellMar>
        <w:top w:w="0" w:type="dxa"/>
        <w:left w:w="0" w:type="dxa"/>
        <w:bottom w:w="0" w:type="dxa"/>
        <w:right w:w="0" w:type="dxa"/>
      </w:tblCellMar>
    </w:tblPr>
  </w:style>
  <w:style w:type="table" w:customStyle="1" w:styleId="PERstyle3">
    <w:name w:val="PER style3"/>
    <w:basedOn w:val="TableNormal"/>
    <w:uiPriority w:val="99"/>
    <w:rsid w:val="009B2D9D"/>
    <w:pPr>
      <w:spacing w:after="0" w:line="240" w:lineRule="auto"/>
    </w:pPr>
    <w:rPr>
      <w:kern w:val="0"/>
      <w:lang w:val="sr-Latn-ME"/>
      <w14:ligatures w14:val="none"/>
    </w:rPr>
    <w:tblPr/>
  </w:style>
  <w:style w:type="table" w:customStyle="1" w:styleId="PlainTable413">
    <w:name w:val="Plain Table 413"/>
    <w:basedOn w:val="TableNormal"/>
    <w:uiPriority w:val="44"/>
    <w:rsid w:val="009B2D9D"/>
    <w:pPr>
      <w:spacing w:after="0" w:line="240" w:lineRule="auto"/>
    </w:pPr>
    <w:rPr>
      <w:kern w:val="0"/>
      <w:lang w:val="sr-Latn-ME"/>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NoList26">
    <w:name w:val="No List26"/>
    <w:next w:val="NoList"/>
    <w:uiPriority w:val="99"/>
    <w:semiHidden/>
    <w:unhideWhenUsed/>
    <w:rsid w:val="009B2D9D"/>
  </w:style>
  <w:style w:type="numbering" w:customStyle="1" w:styleId="NoList35">
    <w:name w:val="No List35"/>
    <w:next w:val="NoList"/>
    <w:uiPriority w:val="99"/>
    <w:semiHidden/>
    <w:unhideWhenUsed/>
    <w:rsid w:val="009B2D9D"/>
  </w:style>
  <w:style w:type="numbering" w:customStyle="1" w:styleId="Radovan15">
    <w:name w:val="Radovan15"/>
    <w:uiPriority w:val="99"/>
    <w:rsid w:val="009B2D9D"/>
  </w:style>
  <w:style w:type="numbering" w:customStyle="1" w:styleId="Style115">
    <w:name w:val="Style115"/>
    <w:uiPriority w:val="99"/>
    <w:rsid w:val="009B2D9D"/>
  </w:style>
  <w:style w:type="numbering" w:customStyle="1" w:styleId="Style215">
    <w:name w:val="Style215"/>
    <w:uiPriority w:val="99"/>
    <w:rsid w:val="009B2D9D"/>
  </w:style>
  <w:style w:type="numbering" w:customStyle="1" w:styleId="NoList126">
    <w:name w:val="No List126"/>
    <w:next w:val="NoList"/>
    <w:uiPriority w:val="99"/>
    <w:semiHidden/>
    <w:unhideWhenUsed/>
    <w:rsid w:val="009B2D9D"/>
  </w:style>
  <w:style w:type="numbering" w:customStyle="1" w:styleId="NoList1126">
    <w:name w:val="No List1126"/>
    <w:next w:val="NoList"/>
    <w:uiPriority w:val="99"/>
    <w:semiHidden/>
    <w:unhideWhenUsed/>
    <w:rsid w:val="009B2D9D"/>
  </w:style>
  <w:style w:type="numbering" w:customStyle="1" w:styleId="NoList11116">
    <w:name w:val="No List11116"/>
    <w:next w:val="NoList"/>
    <w:uiPriority w:val="99"/>
    <w:semiHidden/>
    <w:unhideWhenUsed/>
    <w:rsid w:val="009B2D9D"/>
  </w:style>
  <w:style w:type="numbering" w:customStyle="1" w:styleId="Style1115">
    <w:name w:val="Style1115"/>
    <w:uiPriority w:val="99"/>
    <w:rsid w:val="009B2D9D"/>
  </w:style>
  <w:style w:type="table" w:customStyle="1" w:styleId="GridTable1Light-Accent112">
    <w:name w:val="Grid Table 1 Light - Accent 112"/>
    <w:basedOn w:val="TableNormal"/>
    <w:uiPriority w:val="46"/>
    <w:rsid w:val="009B2D9D"/>
    <w:pPr>
      <w:spacing w:after="0" w:line="240" w:lineRule="auto"/>
    </w:pPr>
    <w:rPr>
      <w:rFonts w:ascii="Calibri" w:eastAsia="Calibri" w:hAnsi="Calibri" w:cs="Times New Roman"/>
      <w:kern w:val="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ListTable1Light-Accent112">
    <w:name w:val="List Table 1 Light - Accent 112"/>
    <w:basedOn w:val="TableNormal"/>
    <w:uiPriority w:val="46"/>
    <w:rsid w:val="009B2D9D"/>
    <w:pPr>
      <w:spacing w:after="0" w:line="240" w:lineRule="auto"/>
    </w:pPr>
    <w:rPr>
      <w:kern w:val="0"/>
      <w14:ligatures w14:val="none"/>
    </w:r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5Dark-Accent112">
    <w:name w:val="Grid Table 5 Dark - Accent 112"/>
    <w:basedOn w:val="TableNormal"/>
    <w:uiPriority w:val="50"/>
    <w:rsid w:val="009B2D9D"/>
    <w:pPr>
      <w:spacing w:after="0" w:line="240" w:lineRule="auto"/>
    </w:pPr>
    <w:rPr>
      <w:kern w:val="0"/>
      <w:lang w:val="en-GB"/>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GridTable5Dark-Accent122">
    <w:name w:val="Grid Table 5 Dark - Accent 122"/>
    <w:basedOn w:val="TableNormal"/>
    <w:uiPriority w:val="50"/>
    <w:rsid w:val="009B2D9D"/>
    <w:pPr>
      <w:spacing w:after="0" w:line="240" w:lineRule="auto"/>
    </w:pPr>
    <w:rPr>
      <w:kern w:val="0"/>
      <w:lang w:val="en-GB"/>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GridTable6Colorful-Accent512">
    <w:name w:val="Grid Table 6 Colorful - Accent 512"/>
    <w:basedOn w:val="TableNormal"/>
    <w:uiPriority w:val="51"/>
    <w:rsid w:val="009B2D9D"/>
    <w:pPr>
      <w:spacing w:after="0" w:line="240" w:lineRule="auto"/>
    </w:pPr>
    <w:rPr>
      <w:color w:val="2E74B5" w:themeColor="accent5" w:themeShade="BF"/>
      <w:kern w:val="0"/>
      <w:lang w:val="en-GB"/>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numbering" w:customStyle="1" w:styleId="NoList216">
    <w:name w:val="No List216"/>
    <w:next w:val="NoList"/>
    <w:uiPriority w:val="99"/>
    <w:semiHidden/>
    <w:unhideWhenUsed/>
    <w:rsid w:val="009B2D9D"/>
  </w:style>
  <w:style w:type="numbering" w:customStyle="1" w:styleId="Radovan112">
    <w:name w:val="Radovan112"/>
    <w:uiPriority w:val="99"/>
    <w:rsid w:val="009B2D9D"/>
  </w:style>
  <w:style w:type="numbering" w:customStyle="1" w:styleId="Style124">
    <w:name w:val="Style124"/>
    <w:uiPriority w:val="99"/>
    <w:rsid w:val="009B2D9D"/>
  </w:style>
  <w:style w:type="numbering" w:customStyle="1" w:styleId="Style2112">
    <w:name w:val="Style2112"/>
    <w:uiPriority w:val="99"/>
    <w:rsid w:val="009B2D9D"/>
  </w:style>
  <w:style w:type="numbering" w:customStyle="1" w:styleId="NoList1215">
    <w:name w:val="No List1215"/>
    <w:next w:val="NoList"/>
    <w:uiPriority w:val="99"/>
    <w:semiHidden/>
    <w:unhideWhenUsed/>
    <w:rsid w:val="009B2D9D"/>
  </w:style>
  <w:style w:type="numbering" w:customStyle="1" w:styleId="NoList11215">
    <w:name w:val="No List11215"/>
    <w:next w:val="NoList"/>
    <w:uiPriority w:val="99"/>
    <w:semiHidden/>
    <w:unhideWhenUsed/>
    <w:rsid w:val="009B2D9D"/>
  </w:style>
  <w:style w:type="numbering" w:customStyle="1" w:styleId="NoList111115">
    <w:name w:val="No List111115"/>
    <w:next w:val="NoList"/>
    <w:uiPriority w:val="99"/>
    <w:semiHidden/>
    <w:unhideWhenUsed/>
    <w:rsid w:val="009B2D9D"/>
  </w:style>
  <w:style w:type="numbering" w:customStyle="1" w:styleId="NoList2115">
    <w:name w:val="No List2115"/>
    <w:next w:val="NoList"/>
    <w:uiPriority w:val="99"/>
    <w:semiHidden/>
    <w:unhideWhenUsed/>
    <w:rsid w:val="009B2D9D"/>
  </w:style>
  <w:style w:type="table" w:customStyle="1" w:styleId="TableGrid23">
    <w:name w:val="Table Grid23"/>
    <w:basedOn w:val="TableNormal"/>
    <w:next w:val="TableGrid"/>
    <w:uiPriority w:val="59"/>
    <w:rsid w:val="009B2D9D"/>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2">
    <w:name w:val="No List1111112"/>
    <w:next w:val="NoList"/>
    <w:uiPriority w:val="99"/>
    <w:semiHidden/>
    <w:unhideWhenUsed/>
    <w:rsid w:val="009B2D9D"/>
  </w:style>
  <w:style w:type="table" w:customStyle="1" w:styleId="TableGrid212">
    <w:name w:val="Table Grid212"/>
    <w:basedOn w:val="TableNormal"/>
    <w:next w:val="TableGrid"/>
    <w:uiPriority w:val="59"/>
    <w:rsid w:val="009B2D9D"/>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39"/>
    <w:rsid w:val="009B2D9D"/>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5">
    <w:name w:val="No List315"/>
    <w:next w:val="NoList"/>
    <w:uiPriority w:val="99"/>
    <w:semiHidden/>
    <w:unhideWhenUsed/>
    <w:rsid w:val="009B2D9D"/>
  </w:style>
  <w:style w:type="table" w:customStyle="1" w:styleId="TableGrid32">
    <w:name w:val="Table Grid32"/>
    <w:basedOn w:val="TableNormal"/>
    <w:next w:val="TableGrid"/>
    <w:uiPriority w:val="39"/>
    <w:rsid w:val="009B2D9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12">
    <w:name w:val="Light Shading - Accent 1112"/>
    <w:basedOn w:val="TableNormal"/>
    <w:uiPriority w:val="60"/>
    <w:rsid w:val="009B2D9D"/>
    <w:pPr>
      <w:spacing w:after="0" w:line="240" w:lineRule="auto"/>
    </w:pPr>
    <w:rPr>
      <w:rFonts w:ascii="Calibri" w:eastAsia="Times New Roman" w:hAnsi="Calibri" w:cs="Times New Roman"/>
      <w:color w:val="365F91"/>
      <w:kern w:val="0"/>
      <w:sz w:val="20"/>
      <w:szCs w:val="20"/>
      <w:lang w:val="sr-Latn-CS" w:eastAsia="sr-Latn-CS" w:bidi="en-US"/>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313">
    <w:name w:val="Light Shading - Accent 313"/>
    <w:basedOn w:val="TableNormal"/>
    <w:next w:val="LightShading-Accent3"/>
    <w:uiPriority w:val="60"/>
    <w:rsid w:val="009B2D9D"/>
    <w:pPr>
      <w:spacing w:after="0" w:line="240" w:lineRule="auto"/>
    </w:pPr>
    <w:rPr>
      <w:rFonts w:ascii="Calibri" w:eastAsia="Calibri" w:hAnsi="Calibri" w:cs="Times New Roman"/>
      <w:color w:val="7B7B7B"/>
      <w:kern w:val="0"/>
      <w:sz w:val="20"/>
      <w:szCs w:val="20"/>
      <w14:ligatures w14:val="none"/>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LightList-Accent213">
    <w:name w:val="Light List - Accent 213"/>
    <w:basedOn w:val="TableNormal"/>
    <w:next w:val="LightList-Accent2"/>
    <w:uiPriority w:val="61"/>
    <w:rsid w:val="009B2D9D"/>
    <w:pPr>
      <w:spacing w:after="0" w:line="240" w:lineRule="auto"/>
    </w:pPr>
    <w:rPr>
      <w:rFonts w:eastAsia="Times New Roman"/>
      <w:kern w:val="0"/>
      <w:lang w:val="sr-Latn-CS" w:eastAsia="sr-Latn-CS"/>
      <w14:ligatures w14:val="none"/>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TableNormal122">
    <w:name w:val="Table Normal122"/>
    <w:uiPriority w:val="2"/>
    <w:semiHidden/>
    <w:unhideWhenUsed/>
    <w:qFormat/>
    <w:rsid w:val="009B2D9D"/>
    <w:pPr>
      <w:widowControl w:val="0"/>
      <w:spacing w:after="0" w:line="240" w:lineRule="auto"/>
    </w:pPr>
    <w:rPr>
      <w:kern w:val="0"/>
      <w14:ligatures w14:val="none"/>
    </w:rPr>
    <w:tblPr>
      <w:tblInd w:w="0" w:type="dxa"/>
      <w:tblCellMar>
        <w:top w:w="0" w:type="dxa"/>
        <w:left w:w="0" w:type="dxa"/>
        <w:bottom w:w="0" w:type="dxa"/>
        <w:right w:w="0" w:type="dxa"/>
      </w:tblCellMar>
    </w:tblPr>
  </w:style>
  <w:style w:type="numbering" w:customStyle="1" w:styleId="NoList12112">
    <w:name w:val="No List12112"/>
    <w:next w:val="NoList"/>
    <w:uiPriority w:val="99"/>
    <w:semiHidden/>
    <w:unhideWhenUsed/>
    <w:rsid w:val="009B2D9D"/>
  </w:style>
  <w:style w:type="numbering" w:customStyle="1" w:styleId="NoList112112">
    <w:name w:val="No List112112"/>
    <w:next w:val="NoList"/>
    <w:uiPriority w:val="99"/>
    <w:semiHidden/>
    <w:unhideWhenUsed/>
    <w:rsid w:val="009B2D9D"/>
  </w:style>
  <w:style w:type="table" w:customStyle="1" w:styleId="TableElegant12">
    <w:name w:val="Table Elegant12"/>
    <w:basedOn w:val="TableNormal"/>
    <w:next w:val="TableElegant"/>
    <w:rsid w:val="009B2D9D"/>
    <w:pPr>
      <w:spacing w:after="0" w:line="240" w:lineRule="auto"/>
    </w:pPr>
    <w:rPr>
      <w:rFonts w:ascii="Times New Roman" w:eastAsia="Times New Roman" w:hAnsi="Times New Roman" w:cs="Times New Roman"/>
      <w:kern w:val="0"/>
      <w:sz w:val="20"/>
      <w:szCs w:val="20"/>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NoList11125">
    <w:name w:val="No List11125"/>
    <w:next w:val="NoList"/>
    <w:uiPriority w:val="99"/>
    <w:semiHidden/>
    <w:unhideWhenUsed/>
    <w:rsid w:val="009B2D9D"/>
  </w:style>
  <w:style w:type="table" w:customStyle="1" w:styleId="TableNormal1112">
    <w:name w:val="Table Normal1112"/>
    <w:uiPriority w:val="2"/>
    <w:semiHidden/>
    <w:unhideWhenUsed/>
    <w:qFormat/>
    <w:rsid w:val="009B2D9D"/>
    <w:pPr>
      <w:widowControl w:val="0"/>
      <w:spacing w:after="0" w:line="240" w:lineRule="auto"/>
    </w:pPr>
    <w:rPr>
      <w:kern w:val="0"/>
      <w14:ligatures w14:val="none"/>
    </w:rPr>
    <w:tblPr>
      <w:tblInd w:w="0" w:type="dxa"/>
      <w:tblCellMar>
        <w:top w:w="0" w:type="dxa"/>
        <w:left w:w="0" w:type="dxa"/>
        <w:bottom w:w="0" w:type="dxa"/>
        <w:right w:w="0" w:type="dxa"/>
      </w:tblCellMar>
    </w:tblPr>
  </w:style>
  <w:style w:type="table" w:customStyle="1" w:styleId="PERstyle12">
    <w:name w:val="PER style12"/>
    <w:basedOn w:val="TableNormal"/>
    <w:uiPriority w:val="99"/>
    <w:rsid w:val="009B2D9D"/>
    <w:pPr>
      <w:spacing w:after="0" w:line="240" w:lineRule="auto"/>
    </w:pPr>
    <w:rPr>
      <w:kern w:val="0"/>
      <w14:ligatures w14:val="none"/>
    </w:rPr>
    <w:tblPr/>
  </w:style>
  <w:style w:type="table" w:customStyle="1" w:styleId="PlainTable4113">
    <w:name w:val="Plain Table 4113"/>
    <w:basedOn w:val="TableNormal"/>
    <w:uiPriority w:val="44"/>
    <w:rsid w:val="009B2D9D"/>
    <w:pPr>
      <w:spacing w:after="0" w:line="240" w:lineRule="auto"/>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21112">
    <w:name w:val="No List21112"/>
    <w:next w:val="NoList"/>
    <w:uiPriority w:val="99"/>
    <w:semiHidden/>
    <w:unhideWhenUsed/>
    <w:rsid w:val="009B2D9D"/>
  </w:style>
  <w:style w:type="table" w:customStyle="1" w:styleId="PlainTable214">
    <w:name w:val="Plain Table 214"/>
    <w:basedOn w:val="TableNormal"/>
    <w:uiPriority w:val="42"/>
    <w:rsid w:val="009B2D9D"/>
    <w:pPr>
      <w:spacing w:after="0" w:line="240" w:lineRule="auto"/>
    </w:pPr>
    <w:rPr>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Light14">
    <w:name w:val="Table Grid Light14"/>
    <w:basedOn w:val="TableNormal"/>
    <w:uiPriority w:val="40"/>
    <w:rsid w:val="009B2D9D"/>
    <w:pPr>
      <w:spacing w:after="0" w:line="240" w:lineRule="auto"/>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25">
    <w:name w:val="Table Grid Light25"/>
    <w:basedOn w:val="TableNormal"/>
    <w:uiPriority w:val="40"/>
    <w:rsid w:val="009B2D9D"/>
    <w:pPr>
      <w:spacing w:after="0" w:line="240" w:lineRule="auto"/>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213">
    <w:name w:val="Table Grid Light213"/>
    <w:basedOn w:val="TableNormal"/>
    <w:uiPriority w:val="40"/>
    <w:rsid w:val="009B2D9D"/>
    <w:pPr>
      <w:spacing w:after="0" w:line="240" w:lineRule="auto"/>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42">
    <w:name w:val="Table Grid42"/>
    <w:basedOn w:val="TableNormal"/>
    <w:next w:val="TableGrid"/>
    <w:uiPriority w:val="39"/>
    <w:rsid w:val="009B2D9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
    <w:name w:val="No List44"/>
    <w:next w:val="NoList"/>
    <w:uiPriority w:val="99"/>
    <w:semiHidden/>
    <w:unhideWhenUsed/>
    <w:rsid w:val="009B2D9D"/>
  </w:style>
  <w:style w:type="numbering" w:customStyle="1" w:styleId="Radovan24">
    <w:name w:val="Radovan24"/>
    <w:uiPriority w:val="99"/>
    <w:rsid w:val="009B2D9D"/>
  </w:style>
  <w:style w:type="numbering" w:customStyle="1" w:styleId="Style134">
    <w:name w:val="Style134"/>
    <w:uiPriority w:val="99"/>
    <w:rsid w:val="009B2D9D"/>
  </w:style>
  <w:style w:type="numbering" w:customStyle="1" w:styleId="Style224">
    <w:name w:val="Style224"/>
    <w:uiPriority w:val="99"/>
    <w:rsid w:val="009B2D9D"/>
  </w:style>
  <w:style w:type="numbering" w:customStyle="1" w:styleId="NoList134">
    <w:name w:val="No List134"/>
    <w:next w:val="NoList"/>
    <w:uiPriority w:val="99"/>
    <w:semiHidden/>
    <w:unhideWhenUsed/>
    <w:rsid w:val="009B2D9D"/>
  </w:style>
  <w:style w:type="numbering" w:customStyle="1" w:styleId="NoList1134">
    <w:name w:val="No List1134"/>
    <w:next w:val="NoList"/>
    <w:uiPriority w:val="99"/>
    <w:semiHidden/>
    <w:unhideWhenUsed/>
    <w:rsid w:val="009B2D9D"/>
  </w:style>
  <w:style w:type="numbering" w:customStyle="1" w:styleId="NoList11134">
    <w:name w:val="No List11134"/>
    <w:next w:val="NoList"/>
    <w:uiPriority w:val="99"/>
    <w:semiHidden/>
    <w:unhideWhenUsed/>
    <w:rsid w:val="009B2D9D"/>
  </w:style>
  <w:style w:type="numbering" w:customStyle="1" w:styleId="NoList224">
    <w:name w:val="No List224"/>
    <w:next w:val="NoList"/>
    <w:uiPriority w:val="99"/>
    <w:semiHidden/>
    <w:unhideWhenUsed/>
    <w:rsid w:val="009B2D9D"/>
  </w:style>
  <w:style w:type="table" w:customStyle="1" w:styleId="PlainTable2112">
    <w:name w:val="Plain Table 2112"/>
    <w:basedOn w:val="TableNormal"/>
    <w:uiPriority w:val="42"/>
    <w:rsid w:val="009B2D9D"/>
    <w:pPr>
      <w:spacing w:after="0" w:line="240" w:lineRule="auto"/>
    </w:pPr>
    <w:rPr>
      <w:kern w:val="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Light112">
    <w:name w:val="Table Grid Light112"/>
    <w:basedOn w:val="TableNormal"/>
    <w:uiPriority w:val="40"/>
    <w:rsid w:val="009B2D9D"/>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222">
    <w:name w:val="Table Grid Light222"/>
    <w:basedOn w:val="TableNormal"/>
    <w:uiPriority w:val="40"/>
    <w:rsid w:val="009B2D9D"/>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Style315">
    <w:name w:val="Style315"/>
    <w:uiPriority w:val="99"/>
    <w:rsid w:val="009B2D9D"/>
  </w:style>
  <w:style w:type="numbering" w:customStyle="1" w:styleId="NoList111124">
    <w:name w:val="No List111124"/>
    <w:next w:val="NoList"/>
    <w:uiPriority w:val="99"/>
    <w:semiHidden/>
    <w:unhideWhenUsed/>
    <w:rsid w:val="009B2D9D"/>
  </w:style>
  <w:style w:type="numbering" w:customStyle="1" w:styleId="NoList3112">
    <w:name w:val="No List3112"/>
    <w:next w:val="NoList"/>
    <w:uiPriority w:val="99"/>
    <w:semiHidden/>
    <w:unhideWhenUsed/>
    <w:rsid w:val="009B2D9D"/>
  </w:style>
  <w:style w:type="numbering" w:customStyle="1" w:styleId="NoList1224">
    <w:name w:val="No List1224"/>
    <w:next w:val="NoList"/>
    <w:uiPriority w:val="99"/>
    <w:semiHidden/>
    <w:unhideWhenUsed/>
    <w:rsid w:val="009B2D9D"/>
  </w:style>
  <w:style w:type="numbering" w:customStyle="1" w:styleId="NoList11224">
    <w:name w:val="No List11224"/>
    <w:next w:val="NoList"/>
    <w:uiPriority w:val="99"/>
    <w:semiHidden/>
    <w:unhideWhenUsed/>
    <w:rsid w:val="009B2D9D"/>
  </w:style>
  <w:style w:type="numbering" w:customStyle="1" w:styleId="NoList111214">
    <w:name w:val="No List111214"/>
    <w:next w:val="NoList"/>
    <w:uiPriority w:val="99"/>
    <w:semiHidden/>
    <w:unhideWhenUsed/>
    <w:rsid w:val="009B2D9D"/>
  </w:style>
  <w:style w:type="numbering" w:customStyle="1" w:styleId="NoList2124">
    <w:name w:val="No List2124"/>
    <w:next w:val="NoList"/>
    <w:uiPriority w:val="99"/>
    <w:semiHidden/>
    <w:unhideWhenUsed/>
    <w:rsid w:val="009B2D9D"/>
  </w:style>
  <w:style w:type="numbering" w:customStyle="1" w:styleId="NoList52">
    <w:name w:val="No List52"/>
    <w:next w:val="NoList"/>
    <w:uiPriority w:val="99"/>
    <w:semiHidden/>
    <w:unhideWhenUsed/>
    <w:rsid w:val="009B2D9D"/>
  </w:style>
  <w:style w:type="numbering" w:customStyle="1" w:styleId="Radovan32">
    <w:name w:val="Radovan32"/>
    <w:uiPriority w:val="99"/>
    <w:rsid w:val="009B2D9D"/>
  </w:style>
  <w:style w:type="numbering" w:customStyle="1" w:styleId="Style142">
    <w:name w:val="Style142"/>
    <w:uiPriority w:val="99"/>
    <w:rsid w:val="009B2D9D"/>
  </w:style>
  <w:style w:type="numbering" w:customStyle="1" w:styleId="Style232">
    <w:name w:val="Style232"/>
    <w:uiPriority w:val="99"/>
    <w:rsid w:val="009B2D9D"/>
  </w:style>
  <w:style w:type="numbering" w:customStyle="1" w:styleId="NoList142">
    <w:name w:val="No List142"/>
    <w:next w:val="NoList"/>
    <w:uiPriority w:val="99"/>
    <w:semiHidden/>
    <w:unhideWhenUsed/>
    <w:rsid w:val="009B2D9D"/>
  </w:style>
  <w:style w:type="numbering" w:customStyle="1" w:styleId="NoList1142">
    <w:name w:val="No List1142"/>
    <w:next w:val="NoList"/>
    <w:uiPriority w:val="99"/>
    <w:semiHidden/>
    <w:unhideWhenUsed/>
    <w:rsid w:val="009B2D9D"/>
  </w:style>
  <w:style w:type="numbering" w:customStyle="1" w:styleId="NoList11142">
    <w:name w:val="No List11142"/>
    <w:next w:val="NoList"/>
    <w:uiPriority w:val="99"/>
    <w:semiHidden/>
    <w:unhideWhenUsed/>
    <w:rsid w:val="009B2D9D"/>
  </w:style>
  <w:style w:type="numbering" w:customStyle="1" w:styleId="Style1122">
    <w:name w:val="Style1122"/>
    <w:uiPriority w:val="99"/>
    <w:rsid w:val="009B2D9D"/>
  </w:style>
  <w:style w:type="numbering" w:customStyle="1" w:styleId="NoList232">
    <w:name w:val="No List232"/>
    <w:next w:val="NoList"/>
    <w:uiPriority w:val="99"/>
    <w:semiHidden/>
    <w:unhideWhenUsed/>
    <w:rsid w:val="009B2D9D"/>
  </w:style>
  <w:style w:type="numbering" w:customStyle="1" w:styleId="Radovan122">
    <w:name w:val="Radovan122"/>
    <w:uiPriority w:val="99"/>
    <w:rsid w:val="009B2D9D"/>
  </w:style>
  <w:style w:type="numbering" w:customStyle="1" w:styleId="Style1212">
    <w:name w:val="Style1212"/>
    <w:uiPriority w:val="99"/>
    <w:rsid w:val="009B2D9D"/>
  </w:style>
  <w:style w:type="numbering" w:customStyle="1" w:styleId="Style2122">
    <w:name w:val="Style2122"/>
    <w:uiPriority w:val="99"/>
    <w:rsid w:val="009B2D9D"/>
  </w:style>
  <w:style w:type="numbering" w:customStyle="1" w:styleId="NoList1232">
    <w:name w:val="No List1232"/>
    <w:next w:val="NoList"/>
    <w:uiPriority w:val="99"/>
    <w:semiHidden/>
    <w:unhideWhenUsed/>
    <w:rsid w:val="009B2D9D"/>
  </w:style>
  <w:style w:type="numbering" w:customStyle="1" w:styleId="NoList11232">
    <w:name w:val="No List11232"/>
    <w:next w:val="NoList"/>
    <w:uiPriority w:val="99"/>
    <w:semiHidden/>
    <w:unhideWhenUsed/>
    <w:rsid w:val="009B2D9D"/>
  </w:style>
  <w:style w:type="numbering" w:customStyle="1" w:styleId="NoList111132">
    <w:name w:val="No List111132"/>
    <w:next w:val="NoList"/>
    <w:uiPriority w:val="99"/>
    <w:semiHidden/>
    <w:unhideWhenUsed/>
    <w:rsid w:val="009B2D9D"/>
  </w:style>
  <w:style w:type="numbering" w:customStyle="1" w:styleId="NoList2132">
    <w:name w:val="No List2132"/>
    <w:next w:val="NoList"/>
    <w:uiPriority w:val="99"/>
    <w:semiHidden/>
    <w:unhideWhenUsed/>
    <w:rsid w:val="009B2D9D"/>
  </w:style>
  <w:style w:type="numbering" w:customStyle="1" w:styleId="NoList1111122">
    <w:name w:val="No List1111122"/>
    <w:next w:val="NoList"/>
    <w:uiPriority w:val="99"/>
    <w:semiHidden/>
    <w:unhideWhenUsed/>
    <w:rsid w:val="009B2D9D"/>
  </w:style>
  <w:style w:type="numbering" w:customStyle="1" w:styleId="NoList322">
    <w:name w:val="No List322"/>
    <w:next w:val="NoList"/>
    <w:uiPriority w:val="99"/>
    <w:semiHidden/>
    <w:unhideWhenUsed/>
    <w:rsid w:val="009B2D9D"/>
  </w:style>
  <w:style w:type="numbering" w:customStyle="1" w:styleId="NoList12122">
    <w:name w:val="No List12122"/>
    <w:next w:val="NoList"/>
    <w:uiPriority w:val="99"/>
    <w:semiHidden/>
    <w:unhideWhenUsed/>
    <w:rsid w:val="009B2D9D"/>
  </w:style>
  <w:style w:type="numbering" w:customStyle="1" w:styleId="NoList112122">
    <w:name w:val="No List112122"/>
    <w:next w:val="NoList"/>
    <w:uiPriority w:val="99"/>
    <w:semiHidden/>
    <w:unhideWhenUsed/>
    <w:rsid w:val="009B2D9D"/>
  </w:style>
  <w:style w:type="numbering" w:customStyle="1" w:styleId="NoList111222">
    <w:name w:val="No List111222"/>
    <w:next w:val="NoList"/>
    <w:uiPriority w:val="99"/>
    <w:semiHidden/>
    <w:unhideWhenUsed/>
    <w:rsid w:val="009B2D9D"/>
  </w:style>
  <w:style w:type="numbering" w:customStyle="1" w:styleId="NoList21122">
    <w:name w:val="No List21122"/>
    <w:next w:val="NoList"/>
    <w:uiPriority w:val="99"/>
    <w:semiHidden/>
    <w:unhideWhenUsed/>
    <w:rsid w:val="009B2D9D"/>
  </w:style>
  <w:style w:type="numbering" w:customStyle="1" w:styleId="Style322">
    <w:name w:val="Style322"/>
    <w:uiPriority w:val="99"/>
    <w:rsid w:val="009B2D9D"/>
  </w:style>
  <w:style w:type="numbering" w:customStyle="1" w:styleId="NoList412">
    <w:name w:val="No List412"/>
    <w:next w:val="NoList"/>
    <w:uiPriority w:val="99"/>
    <w:semiHidden/>
    <w:unhideWhenUsed/>
    <w:rsid w:val="009B2D9D"/>
  </w:style>
  <w:style w:type="numbering" w:customStyle="1" w:styleId="Radovan212">
    <w:name w:val="Radovan212"/>
    <w:uiPriority w:val="99"/>
    <w:rsid w:val="009B2D9D"/>
  </w:style>
  <w:style w:type="numbering" w:customStyle="1" w:styleId="Style1312">
    <w:name w:val="Style1312"/>
    <w:uiPriority w:val="99"/>
    <w:rsid w:val="009B2D9D"/>
  </w:style>
  <w:style w:type="numbering" w:customStyle="1" w:styleId="Style2212">
    <w:name w:val="Style2212"/>
    <w:uiPriority w:val="99"/>
    <w:rsid w:val="009B2D9D"/>
  </w:style>
  <w:style w:type="numbering" w:customStyle="1" w:styleId="NoList1312">
    <w:name w:val="No List1312"/>
    <w:next w:val="NoList"/>
    <w:uiPriority w:val="99"/>
    <w:semiHidden/>
    <w:unhideWhenUsed/>
    <w:rsid w:val="009B2D9D"/>
  </w:style>
  <w:style w:type="numbering" w:customStyle="1" w:styleId="NoList11312">
    <w:name w:val="No List11312"/>
    <w:next w:val="NoList"/>
    <w:uiPriority w:val="99"/>
    <w:semiHidden/>
    <w:unhideWhenUsed/>
    <w:rsid w:val="009B2D9D"/>
  </w:style>
  <w:style w:type="numbering" w:customStyle="1" w:styleId="NoList111312">
    <w:name w:val="No List111312"/>
    <w:next w:val="NoList"/>
    <w:uiPriority w:val="99"/>
    <w:semiHidden/>
    <w:unhideWhenUsed/>
    <w:rsid w:val="009B2D9D"/>
  </w:style>
  <w:style w:type="numbering" w:customStyle="1" w:styleId="Style11122">
    <w:name w:val="Style11122"/>
    <w:uiPriority w:val="99"/>
    <w:rsid w:val="009B2D9D"/>
  </w:style>
  <w:style w:type="numbering" w:customStyle="1" w:styleId="NoList2212">
    <w:name w:val="No List2212"/>
    <w:next w:val="NoList"/>
    <w:uiPriority w:val="99"/>
    <w:semiHidden/>
    <w:unhideWhenUsed/>
    <w:rsid w:val="009B2D9D"/>
  </w:style>
  <w:style w:type="numbering" w:customStyle="1" w:styleId="Style3122">
    <w:name w:val="Style3122"/>
    <w:uiPriority w:val="99"/>
    <w:rsid w:val="009B2D9D"/>
  </w:style>
  <w:style w:type="numbering" w:customStyle="1" w:styleId="NoList1111212">
    <w:name w:val="No List1111212"/>
    <w:next w:val="NoList"/>
    <w:uiPriority w:val="99"/>
    <w:semiHidden/>
    <w:unhideWhenUsed/>
    <w:rsid w:val="009B2D9D"/>
  </w:style>
  <w:style w:type="numbering" w:customStyle="1" w:styleId="NoList3122">
    <w:name w:val="No List3122"/>
    <w:next w:val="NoList"/>
    <w:uiPriority w:val="99"/>
    <w:semiHidden/>
    <w:unhideWhenUsed/>
    <w:rsid w:val="009B2D9D"/>
  </w:style>
  <w:style w:type="numbering" w:customStyle="1" w:styleId="NoList12212">
    <w:name w:val="No List12212"/>
    <w:next w:val="NoList"/>
    <w:uiPriority w:val="99"/>
    <w:semiHidden/>
    <w:unhideWhenUsed/>
    <w:rsid w:val="009B2D9D"/>
  </w:style>
  <w:style w:type="numbering" w:customStyle="1" w:styleId="NoList112212">
    <w:name w:val="No List112212"/>
    <w:next w:val="NoList"/>
    <w:uiPriority w:val="99"/>
    <w:semiHidden/>
    <w:unhideWhenUsed/>
    <w:rsid w:val="009B2D9D"/>
  </w:style>
  <w:style w:type="numbering" w:customStyle="1" w:styleId="NoList1112112">
    <w:name w:val="No List1112112"/>
    <w:next w:val="NoList"/>
    <w:uiPriority w:val="99"/>
    <w:semiHidden/>
    <w:unhideWhenUsed/>
    <w:rsid w:val="009B2D9D"/>
  </w:style>
  <w:style w:type="numbering" w:customStyle="1" w:styleId="NoList21212">
    <w:name w:val="No List21212"/>
    <w:next w:val="NoList"/>
    <w:uiPriority w:val="99"/>
    <w:semiHidden/>
    <w:unhideWhenUsed/>
    <w:rsid w:val="009B2D9D"/>
  </w:style>
  <w:style w:type="numbering" w:customStyle="1" w:styleId="Style31112">
    <w:name w:val="Style31112"/>
    <w:uiPriority w:val="99"/>
    <w:rsid w:val="009B2D9D"/>
  </w:style>
  <w:style w:type="numbering" w:customStyle="1" w:styleId="NoList62">
    <w:name w:val="No List62"/>
    <w:next w:val="NoList"/>
    <w:uiPriority w:val="99"/>
    <w:semiHidden/>
    <w:unhideWhenUsed/>
    <w:rsid w:val="009B2D9D"/>
  </w:style>
  <w:style w:type="numbering" w:customStyle="1" w:styleId="Radovan42">
    <w:name w:val="Radovan42"/>
    <w:uiPriority w:val="99"/>
    <w:rsid w:val="009B2D9D"/>
  </w:style>
  <w:style w:type="numbering" w:customStyle="1" w:styleId="Style152">
    <w:name w:val="Style152"/>
    <w:uiPriority w:val="99"/>
    <w:rsid w:val="009B2D9D"/>
  </w:style>
  <w:style w:type="numbering" w:customStyle="1" w:styleId="Style242">
    <w:name w:val="Style242"/>
    <w:uiPriority w:val="99"/>
    <w:rsid w:val="009B2D9D"/>
  </w:style>
  <w:style w:type="numbering" w:customStyle="1" w:styleId="NoList152">
    <w:name w:val="No List152"/>
    <w:next w:val="NoList"/>
    <w:uiPriority w:val="99"/>
    <w:semiHidden/>
    <w:unhideWhenUsed/>
    <w:rsid w:val="009B2D9D"/>
  </w:style>
  <w:style w:type="numbering" w:customStyle="1" w:styleId="NoList1152">
    <w:name w:val="No List1152"/>
    <w:next w:val="NoList"/>
    <w:uiPriority w:val="99"/>
    <w:semiHidden/>
    <w:unhideWhenUsed/>
    <w:rsid w:val="009B2D9D"/>
  </w:style>
  <w:style w:type="numbering" w:customStyle="1" w:styleId="NoList11152">
    <w:name w:val="No List11152"/>
    <w:next w:val="NoList"/>
    <w:uiPriority w:val="99"/>
    <w:semiHidden/>
    <w:unhideWhenUsed/>
    <w:rsid w:val="009B2D9D"/>
  </w:style>
  <w:style w:type="numbering" w:customStyle="1" w:styleId="Style1132">
    <w:name w:val="Style1132"/>
    <w:uiPriority w:val="99"/>
    <w:rsid w:val="009B2D9D"/>
  </w:style>
  <w:style w:type="numbering" w:customStyle="1" w:styleId="NoList242">
    <w:name w:val="No List242"/>
    <w:next w:val="NoList"/>
    <w:uiPriority w:val="99"/>
    <w:semiHidden/>
    <w:unhideWhenUsed/>
    <w:rsid w:val="009B2D9D"/>
  </w:style>
  <w:style w:type="numbering" w:customStyle="1" w:styleId="Style1222">
    <w:name w:val="Style1222"/>
    <w:uiPriority w:val="99"/>
    <w:rsid w:val="009B2D9D"/>
  </w:style>
  <w:style w:type="numbering" w:customStyle="1" w:styleId="Style2132">
    <w:name w:val="Style2132"/>
    <w:uiPriority w:val="99"/>
    <w:rsid w:val="009B2D9D"/>
  </w:style>
  <w:style w:type="numbering" w:customStyle="1" w:styleId="NoList1242">
    <w:name w:val="No List1242"/>
    <w:next w:val="NoList"/>
    <w:uiPriority w:val="99"/>
    <w:semiHidden/>
    <w:unhideWhenUsed/>
    <w:rsid w:val="009B2D9D"/>
  </w:style>
  <w:style w:type="numbering" w:customStyle="1" w:styleId="NoList11242">
    <w:name w:val="No List11242"/>
    <w:next w:val="NoList"/>
    <w:uiPriority w:val="99"/>
    <w:semiHidden/>
    <w:unhideWhenUsed/>
    <w:rsid w:val="009B2D9D"/>
  </w:style>
  <w:style w:type="numbering" w:customStyle="1" w:styleId="NoList111142">
    <w:name w:val="No List111142"/>
    <w:next w:val="NoList"/>
    <w:uiPriority w:val="99"/>
    <w:semiHidden/>
    <w:unhideWhenUsed/>
    <w:rsid w:val="009B2D9D"/>
  </w:style>
  <w:style w:type="numbering" w:customStyle="1" w:styleId="NoList2142">
    <w:name w:val="No List2142"/>
    <w:next w:val="NoList"/>
    <w:uiPriority w:val="99"/>
    <w:semiHidden/>
    <w:unhideWhenUsed/>
    <w:rsid w:val="009B2D9D"/>
  </w:style>
  <w:style w:type="numbering" w:customStyle="1" w:styleId="NoList1111132">
    <w:name w:val="No List1111132"/>
    <w:next w:val="NoList"/>
    <w:uiPriority w:val="99"/>
    <w:semiHidden/>
    <w:unhideWhenUsed/>
    <w:rsid w:val="009B2D9D"/>
  </w:style>
  <w:style w:type="numbering" w:customStyle="1" w:styleId="NoList332">
    <w:name w:val="No List332"/>
    <w:next w:val="NoList"/>
    <w:uiPriority w:val="99"/>
    <w:semiHidden/>
    <w:unhideWhenUsed/>
    <w:rsid w:val="009B2D9D"/>
  </w:style>
  <w:style w:type="numbering" w:customStyle="1" w:styleId="NoList12132">
    <w:name w:val="No List12132"/>
    <w:next w:val="NoList"/>
    <w:uiPriority w:val="99"/>
    <w:semiHidden/>
    <w:unhideWhenUsed/>
    <w:rsid w:val="009B2D9D"/>
  </w:style>
  <w:style w:type="numbering" w:customStyle="1" w:styleId="NoList112132">
    <w:name w:val="No List112132"/>
    <w:next w:val="NoList"/>
    <w:uiPriority w:val="99"/>
    <w:semiHidden/>
    <w:unhideWhenUsed/>
    <w:rsid w:val="009B2D9D"/>
  </w:style>
  <w:style w:type="numbering" w:customStyle="1" w:styleId="NoList111232">
    <w:name w:val="No List111232"/>
    <w:next w:val="NoList"/>
    <w:uiPriority w:val="99"/>
    <w:semiHidden/>
    <w:unhideWhenUsed/>
    <w:rsid w:val="009B2D9D"/>
  </w:style>
  <w:style w:type="numbering" w:customStyle="1" w:styleId="NoList21132">
    <w:name w:val="No List21132"/>
    <w:next w:val="NoList"/>
    <w:uiPriority w:val="99"/>
    <w:semiHidden/>
    <w:unhideWhenUsed/>
    <w:rsid w:val="009B2D9D"/>
  </w:style>
  <w:style w:type="numbering" w:customStyle="1" w:styleId="NoList422">
    <w:name w:val="No List422"/>
    <w:next w:val="NoList"/>
    <w:uiPriority w:val="99"/>
    <w:semiHidden/>
    <w:unhideWhenUsed/>
    <w:rsid w:val="009B2D9D"/>
  </w:style>
  <w:style w:type="numbering" w:customStyle="1" w:styleId="NoList1322">
    <w:name w:val="No List1322"/>
    <w:next w:val="NoList"/>
    <w:uiPriority w:val="99"/>
    <w:semiHidden/>
    <w:unhideWhenUsed/>
    <w:rsid w:val="009B2D9D"/>
  </w:style>
  <w:style w:type="numbering" w:customStyle="1" w:styleId="NoList11322">
    <w:name w:val="No List11322"/>
    <w:next w:val="NoList"/>
    <w:uiPriority w:val="99"/>
    <w:semiHidden/>
    <w:unhideWhenUsed/>
    <w:rsid w:val="009B2D9D"/>
  </w:style>
  <w:style w:type="numbering" w:customStyle="1" w:styleId="NoList111322">
    <w:name w:val="No List111322"/>
    <w:next w:val="NoList"/>
    <w:uiPriority w:val="99"/>
    <w:semiHidden/>
    <w:unhideWhenUsed/>
    <w:rsid w:val="009B2D9D"/>
  </w:style>
  <w:style w:type="numbering" w:customStyle="1" w:styleId="NoList2222">
    <w:name w:val="No List2222"/>
    <w:next w:val="NoList"/>
    <w:uiPriority w:val="99"/>
    <w:semiHidden/>
    <w:unhideWhenUsed/>
    <w:rsid w:val="009B2D9D"/>
  </w:style>
  <w:style w:type="numbering" w:customStyle="1" w:styleId="NoList1111222">
    <w:name w:val="No List1111222"/>
    <w:next w:val="NoList"/>
    <w:uiPriority w:val="99"/>
    <w:semiHidden/>
    <w:unhideWhenUsed/>
    <w:rsid w:val="009B2D9D"/>
  </w:style>
  <w:style w:type="numbering" w:customStyle="1" w:styleId="NoList3132">
    <w:name w:val="No List3132"/>
    <w:next w:val="NoList"/>
    <w:uiPriority w:val="99"/>
    <w:semiHidden/>
    <w:unhideWhenUsed/>
    <w:rsid w:val="009B2D9D"/>
  </w:style>
  <w:style w:type="numbering" w:customStyle="1" w:styleId="NoList12222">
    <w:name w:val="No List12222"/>
    <w:next w:val="NoList"/>
    <w:uiPriority w:val="99"/>
    <w:semiHidden/>
    <w:unhideWhenUsed/>
    <w:rsid w:val="009B2D9D"/>
  </w:style>
  <w:style w:type="numbering" w:customStyle="1" w:styleId="NoList112222">
    <w:name w:val="No List112222"/>
    <w:next w:val="NoList"/>
    <w:uiPriority w:val="99"/>
    <w:semiHidden/>
    <w:unhideWhenUsed/>
    <w:rsid w:val="009B2D9D"/>
  </w:style>
  <w:style w:type="numbering" w:customStyle="1" w:styleId="NoList1112122">
    <w:name w:val="No List1112122"/>
    <w:next w:val="NoList"/>
    <w:uiPriority w:val="99"/>
    <w:semiHidden/>
    <w:unhideWhenUsed/>
    <w:rsid w:val="009B2D9D"/>
  </w:style>
  <w:style w:type="numbering" w:customStyle="1" w:styleId="NoList21222">
    <w:name w:val="No List21222"/>
    <w:next w:val="NoList"/>
    <w:uiPriority w:val="99"/>
    <w:semiHidden/>
    <w:unhideWhenUsed/>
    <w:rsid w:val="009B2D9D"/>
  </w:style>
  <w:style w:type="table" w:customStyle="1" w:styleId="LightShading-Accent3112">
    <w:name w:val="Light Shading - Accent 3112"/>
    <w:basedOn w:val="TableNormal"/>
    <w:next w:val="LightShading-Accent3"/>
    <w:uiPriority w:val="60"/>
    <w:rsid w:val="009B2D9D"/>
    <w:pPr>
      <w:spacing w:after="0" w:line="240" w:lineRule="auto"/>
    </w:pPr>
    <w:rPr>
      <w:rFonts w:ascii="Calibri" w:eastAsia="Calibri" w:hAnsi="Calibri" w:cs="Times New Roman"/>
      <w:color w:val="7B7B7B" w:themeColor="accent3" w:themeShade="BF"/>
      <w:kern w:val="0"/>
      <w:sz w:val="20"/>
      <w:szCs w:val="20"/>
      <w14:ligatures w14:val="none"/>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LightList-Accent2112">
    <w:name w:val="Light List - Accent 2112"/>
    <w:basedOn w:val="TableNormal"/>
    <w:next w:val="LightList-Accent2"/>
    <w:uiPriority w:val="61"/>
    <w:rsid w:val="009B2D9D"/>
    <w:pPr>
      <w:spacing w:after="0" w:line="240" w:lineRule="auto"/>
    </w:pPr>
    <w:rPr>
      <w:rFonts w:eastAsiaTheme="minorEastAsia"/>
      <w:kern w:val="0"/>
      <w:lang w:val="sr-Latn-CS" w:eastAsia="sr-Latn-CS"/>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customStyle="1" w:styleId="PlainTable41112">
    <w:name w:val="Plain Table 41112"/>
    <w:basedOn w:val="TableNormal"/>
    <w:uiPriority w:val="44"/>
    <w:rsid w:val="009B2D9D"/>
    <w:pPr>
      <w:spacing w:after="0" w:line="240" w:lineRule="auto"/>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22">
    <w:name w:val="Plain Table 2122"/>
    <w:basedOn w:val="TableNormal"/>
    <w:uiPriority w:val="42"/>
    <w:rsid w:val="009B2D9D"/>
    <w:pPr>
      <w:spacing w:after="0" w:line="240" w:lineRule="auto"/>
    </w:pPr>
    <w:rPr>
      <w:kern w:val="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Light122">
    <w:name w:val="Table Grid Light122"/>
    <w:basedOn w:val="TableNormal"/>
    <w:uiPriority w:val="40"/>
    <w:rsid w:val="009B2D9D"/>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232">
    <w:name w:val="Table Grid Light232"/>
    <w:basedOn w:val="TableNormal"/>
    <w:uiPriority w:val="40"/>
    <w:rsid w:val="009B2D9D"/>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2112">
    <w:name w:val="Table Grid Light2112"/>
    <w:basedOn w:val="TableNormal"/>
    <w:uiPriority w:val="40"/>
    <w:rsid w:val="009B2D9D"/>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2-Accent12">
    <w:name w:val="Grid Table 2 - Accent 12"/>
    <w:basedOn w:val="TableNormal"/>
    <w:next w:val="GridTable2-Accent11"/>
    <w:uiPriority w:val="47"/>
    <w:rsid w:val="009B2D9D"/>
    <w:pPr>
      <w:spacing w:after="0" w:line="240" w:lineRule="auto"/>
    </w:pPr>
    <w:rPr>
      <w:kern w:val="0"/>
      <w14:ligatures w14:val="none"/>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4-Accent52">
    <w:name w:val="Grid Table 4 - Accent 52"/>
    <w:basedOn w:val="TableNormal"/>
    <w:next w:val="GridTable4-Accent51"/>
    <w:uiPriority w:val="49"/>
    <w:rsid w:val="009B2D9D"/>
    <w:pPr>
      <w:spacing w:after="0" w:line="240" w:lineRule="auto"/>
    </w:pPr>
    <w:rPr>
      <w:kern w:val="0"/>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3-Accent52">
    <w:name w:val="Grid Table 3 - Accent 52"/>
    <w:basedOn w:val="TableNormal"/>
    <w:next w:val="GridTable3-Accent51"/>
    <w:uiPriority w:val="48"/>
    <w:rsid w:val="009B2D9D"/>
    <w:pPr>
      <w:spacing w:after="0" w:line="240" w:lineRule="auto"/>
    </w:pPr>
    <w:rPr>
      <w:kern w:val="0"/>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GridTable6Colorful-Accent53">
    <w:name w:val="Grid Table 6 Colorful - Accent 53"/>
    <w:basedOn w:val="TableNormal"/>
    <w:next w:val="GridTable6Colorful-Accent52"/>
    <w:uiPriority w:val="51"/>
    <w:rsid w:val="009B2D9D"/>
    <w:pPr>
      <w:spacing w:after="0" w:line="240" w:lineRule="auto"/>
    </w:pPr>
    <w:rPr>
      <w:color w:val="2E74B5" w:themeColor="accent5" w:themeShade="BF"/>
      <w:kern w:val="0"/>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5Dark-Accent52">
    <w:name w:val="Grid Table 5 Dark - Accent 52"/>
    <w:basedOn w:val="TableNormal"/>
    <w:next w:val="GridTable5Dark-Accent51"/>
    <w:uiPriority w:val="50"/>
    <w:rsid w:val="009B2D9D"/>
    <w:pPr>
      <w:spacing w:after="0" w:line="240" w:lineRule="auto"/>
    </w:pPr>
    <w:rPr>
      <w:kern w:val="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GridTable5Dark-Accent14">
    <w:name w:val="Grid Table 5 Dark - Accent 14"/>
    <w:basedOn w:val="TableNormal"/>
    <w:next w:val="GridTable5Dark-Accent13"/>
    <w:uiPriority w:val="50"/>
    <w:rsid w:val="009B2D9D"/>
    <w:pPr>
      <w:spacing w:after="0" w:line="240" w:lineRule="auto"/>
    </w:pPr>
    <w:rPr>
      <w:kern w:val="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TableGridLight4">
    <w:name w:val="Table Grid Light4"/>
    <w:basedOn w:val="TableNormal"/>
    <w:next w:val="TableGridLight3"/>
    <w:uiPriority w:val="40"/>
    <w:rsid w:val="009B2D9D"/>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2">
    <w:name w:val="Plain Table 12"/>
    <w:basedOn w:val="TableNormal"/>
    <w:next w:val="PlainTable11"/>
    <w:uiPriority w:val="41"/>
    <w:rsid w:val="009B2D9D"/>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1Light-Accent22">
    <w:name w:val="Grid Table 1 Light - Accent 22"/>
    <w:basedOn w:val="TableNormal"/>
    <w:next w:val="GridTable1Light-Accent21"/>
    <w:uiPriority w:val="46"/>
    <w:rsid w:val="009B2D9D"/>
    <w:pPr>
      <w:spacing w:after="0" w:line="240" w:lineRule="auto"/>
    </w:pPr>
    <w:rPr>
      <w:kern w:val="0"/>
      <w14:ligatures w14:val="none"/>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GridTable5Dark-Accent22">
    <w:name w:val="Grid Table 5 Dark - Accent 22"/>
    <w:basedOn w:val="TableNormal"/>
    <w:next w:val="GridTable5Dark-Accent21"/>
    <w:uiPriority w:val="50"/>
    <w:rsid w:val="009B2D9D"/>
    <w:pPr>
      <w:spacing w:after="0" w:line="240" w:lineRule="auto"/>
    </w:pPr>
    <w:rPr>
      <w:kern w:val="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ridTable6Colorful-Accent22">
    <w:name w:val="Grid Table 6 Colorful - Accent 22"/>
    <w:basedOn w:val="TableNormal"/>
    <w:next w:val="GridTable6Colorful-Accent21"/>
    <w:uiPriority w:val="51"/>
    <w:rsid w:val="009B2D9D"/>
    <w:pPr>
      <w:spacing w:after="0" w:line="240" w:lineRule="auto"/>
    </w:pPr>
    <w:rPr>
      <w:color w:val="C45911" w:themeColor="accent2" w:themeShade="BF"/>
      <w:kern w:val="0"/>
      <w14:ligatures w14:val="non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6Colorful-Accent42">
    <w:name w:val="Grid Table 6 Colorful - Accent 42"/>
    <w:basedOn w:val="TableNormal"/>
    <w:next w:val="GridTable6Colorful-Accent41"/>
    <w:uiPriority w:val="51"/>
    <w:rsid w:val="009B2D9D"/>
    <w:pPr>
      <w:spacing w:after="0" w:line="240" w:lineRule="auto"/>
    </w:pPr>
    <w:rPr>
      <w:color w:val="BF8F00" w:themeColor="accent4" w:themeShade="BF"/>
      <w:kern w:val="0"/>
      <w14:ligatures w14:val="none"/>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5Dark-Accent22">
    <w:name w:val="List Table 5 Dark - Accent 22"/>
    <w:basedOn w:val="TableNormal"/>
    <w:next w:val="ListTable5Dark-Accent21"/>
    <w:uiPriority w:val="50"/>
    <w:rsid w:val="009B2D9D"/>
    <w:pPr>
      <w:spacing w:after="0" w:line="240" w:lineRule="auto"/>
    </w:pPr>
    <w:rPr>
      <w:color w:val="FFFFFF" w:themeColor="background1"/>
      <w:kern w:val="0"/>
      <w14:ligatures w14:val="none"/>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3-Accent22">
    <w:name w:val="List Table 3 - Accent 22"/>
    <w:basedOn w:val="TableNormal"/>
    <w:next w:val="ListTable3-Accent21"/>
    <w:uiPriority w:val="48"/>
    <w:rsid w:val="009B2D9D"/>
    <w:pPr>
      <w:spacing w:after="0" w:line="240" w:lineRule="auto"/>
    </w:pPr>
    <w:rPr>
      <w:kern w:val="0"/>
      <w14:ligatures w14:val="none"/>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Table3-Accent42">
    <w:name w:val="List Table 3 - Accent 42"/>
    <w:basedOn w:val="TableNormal"/>
    <w:next w:val="ListTable3-Accent41"/>
    <w:uiPriority w:val="48"/>
    <w:rsid w:val="009B2D9D"/>
    <w:pPr>
      <w:spacing w:after="0" w:line="240" w:lineRule="auto"/>
    </w:pPr>
    <w:rPr>
      <w:kern w:val="0"/>
      <w14:ligatures w14:val="none"/>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customStyle="1" w:styleId="ListTable6Colorful-Accent42">
    <w:name w:val="List Table 6 Colorful - Accent 42"/>
    <w:basedOn w:val="TableNormal"/>
    <w:next w:val="ListTable6Colorful-Accent41"/>
    <w:uiPriority w:val="51"/>
    <w:rsid w:val="009B2D9D"/>
    <w:pPr>
      <w:spacing w:after="0" w:line="240" w:lineRule="auto"/>
    </w:pPr>
    <w:rPr>
      <w:color w:val="BF8F00" w:themeColor="accent4" w:themeShade="BF"/>
      <w:kern w:val="0"/>
      <w14:ligatures w14:val="none"/>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4-Accent42">
    <w:name w:val="Grid Table 4 - Accent 42"/>
    <w:basedOn w:val="TableNormal"/>
    <w:next w:val="GridTable4-Accent41"/>
    <w:uiPriority w:val="49"/>
    <w:rsid w:val="009B2D9D"/>
    <w:pPr>
      <w:spacing w:after="0" w:line="240" w:lineRule="auto"/>
    </w:pPr>
    <w:rPr>
      <w:kern w:val="0"/>
      <w14:ligatures w14:val="none"/>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7Colorful-Accent42">
    <w:name w:val="List Table 7 Colorful - Accent 42"/>
    <w:basedOn w:val="TableNormal"/>
    <w:next w:val="ListTable7Colorful-Accent41"/>
    <w:uiPriority w:val="52"/>
    <w:rsid w:val="009B2D9D"/>
    <w:pPr>
      <w:spacing w:after="0" w:line="240" w:lineRule="auto"/>
    </w:pPr>
    <w:rPr>
      <w:color w:val="BF8F00" w:themeColor="accent4" w:themeShade="BF"/>
      <w:kern w:val="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5Dark-Accent42">
    <w:name w:val="List Table 5 Dark - Accent 42"/>
    <w:basedOn w:val="TableNormal"/>
    <w:next w:val="ListTable5Dark-Accent41"/>
    <w:uiPriority w:val="50"/>
    <w:rsid w:val="009B2D9D"/>
    <w:pPr>
      <w:spacing w:after="0" w:line="240" w:lineRule="auto"/>
    </w:pPr>
    <w:rPr>
      <w:color w:val="FFFFFF" w:themeColor="background1"/>
      <w:kern w:val="0"/>
      <w14:ligatures w14:val="none"/>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GridTable2-Accent42">
    <w:name w:val="Grid Table 2 - Accent 42"/>
    <w:basedOn w:val="TableNormal"/>
    <w:next w:val="GridTable2-Accent41"/>
    <w:uiPriority w:val="47"/>
    <w:rsid w:val="009B2D9D"/>
    <w:pPr>
      <w:spacing w:after="0" w:line="240" w:lineRule="auto"/>
    </w:pPr>
    <w:rPr>
      <w:kern w:val="0"/>
      <w14:ligatures w14:val="none"/>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7Colorful-Accent22">
    <w:name w:val="Grid Table 7 Colorful - Accent 22"/>
    <w:basedOn w:val="TableNormal"/>
    <w:next w:val="GridTable7Colorful-Accent21"/>
    <w:uiPriority w:val="52"/>
    <w:rsid w:val="009B2D9D"/>
    <w:pPr>
      <w:spacing w:after="0" w:line="240" w:lineRule="auto"/>
    </w:pPr>
    <w:rPr>
      <w:color w:val="C45911" w:themeColor="accent2" w:themeShade="BF"/>
      <w:kern w:val="0"/>
      <w14:ligatures w14:val="non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ListTable2-Accent42">
    <w:name w:val="List Table 2 - Accent 42"/>
    <w:basedOn w:val="TableNormal"/>
    <w:next w:val="ListTable2-Accent41"/>
    <w:uiPriority w:val="47"/>
    <w:rsid w:val="009B2D9D"/>
    <w:pPr>
      <w:spacing w:after="0" w:line="240" w:lineRule="auto"/>
    </w:pPr>
    <w:rPr>
      <w:kern w:val="0"/>
      <w14:ligatures w14:val="none"/>
    </w:r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1Light-Accent42">
    <w:name w:val="Grid Table 1 Light - Accent 42"/>
    <w:basedOn w:val="TableNormal"/>
    <w:next w:val="GridTable1Light-Accent41"/>
    <w:uiPriority w:val="46"/>
    <w:rsid w:val="009B2D9D"/>
    <w:pPr>
      <w:spacing w:after="0" w:line="240" w:lineRule="auto"/>
    </w:pPr>
    <w:rPr>
      <w:kern w:val="0"/>
      <w14:ligatures w14:val="none"/>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ListTable2-Accent32">
    <w:name w:val="List Table 2 - Accent 32"/>
    <w:basedOn w:val="TableNormal"/>
    <w:next w:val="ListTable2-Accent31"/>
    <w:uiPriority w:val="47"/>
    <w:rsid w:val="009B2D9D"/>
    <w:pPr>
      <w:spacing w:after="0" w:line="240" w:lineRule="auto"/>
    </w:pPr>
    <w:rPr>
      <w:kern w:val="0"/>
      <w14:ligatures w14:val="none"/>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2-Accent22">
    <w:name w:val="List Table 2 - Accent 22"/>
    <w:basedOn w:val="TableNormal"/>
    <w:next w:val="ListTable2-Accent21"/>
    <w:uiPriority w:val="47"/>
    <w:rsid w:val="009B2D9D"/>
    <w:pPr>
      <w:spacing w:after="0" w:line="240" w:lineRule="auto"/>
    </w:pPr>
    <w:rPr>
      <w:kern w:val="0"/>
      <w14:ligatures w14:val="none"/>
    </w:r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2-Accent12">
    <w:name w:val="List Table 2 - Accent 12"/>
    <w:basedOn w:val="TableNormal"/>
    <w:next w:val="ListTable2-Accent11"/>
    <w:uiPriority w:val="47"/>
    <w:rsid w:val="009B2D9D"/>
    <w:pPr>
      <w:spacing w:after="0" w:line="240" w:lineRule="auto"/>
    </w:pPr>
    <w:rPr>
      <w:kern w:val="0"/>
      <w14:ligatures w14:val="none"/>
    </w:r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1Light-Accent42">
    <w:name w:val="List Table 1 Light - Accent 42"/>
    <w:basedOn w:val="TableNormal"/>
    <w:next w:val="ListTable1Light-Accent41"/>
    <w:uiPriority w:val="46"/>
    <w:rsid w:val="009B2D9D"/>
    <w:pPr>
      <w:spacing w:after="0" w:line="240" w:lineRule="auto"/>
    </w:pPr>
    <w:rPr>
      <w:kern w:val="0"/>
      <w14:ligatures w14:val="none"/>
    </w:r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apple-converted-space">
    <w:name w:val="apple-converted-space"/>
    <w:basedOn w:val="DefaultParagraphFont"/>
    <w:rsid w:val="009B2D9D"/>
  </w:style>
  <w:style w:type="table" w:customStyle="1" w:styleId="TableGrid24">
    <w:name w:val="Table Grid24"/>
    <w:basedOn w:val="TableNormal"/>
    <w:next w:val="TableGrid"/>
    <w:uiPriority w:val="39"/>
    <w:rsid w:val="009B2D9D"/>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9B2D9D"/>
    <w:rPr>
      <w:rFonts w:ascii="TimesNewRomanPS-ItalicMT" w:hAnsi="TimesNewRomanPS-ItalicMT" w:hint="default"/>
      <w:b w:val="0"/>
      <w:bCs w:val="0"/>
      <w:i/>
      <w:iCs/>
      <w:color w:val="000000"/>
      <w:sz w:val="26"/>
      <w:szCs w:val="26"/>
    </w:rPr>
  </w:style>
  <w:style w:type="character" w:customStyle="1" w:styleId="tlid-translation">
    <w:name w:val="tlid-translation"/>
    <w:basedOn w:val="DefaultParagraphFont"/>
    <w:rsid w:val="009B2D9D"/>
  </w:style>
  <w:style w:type="table" w:customStyle="1" w:styleId="TableGrid0">
    <w:name w:val="TableGrid"/>
    <w:rsid w:val="009B2D9D"/>
    <w:pPr>
      <w:spacing w:after="0" w:line="240" w:lineRule="auto"/>
    </w:pPr>
    <w:rPr>
      <w:rFonts w:eastAsiaTheme="minorEastAsia"/>
      <w:kern w:val="0"/>
      <w:lang w:val="sr-Latn-ME" w:eastAsia="sr-Latn-ME"/>
      <w14:ligatures w14:val="none"/>
    </w:rPr>
    <w:tblPr>
      <w:tblCellMar>
        <w:top w:w="0" w:type="dxa"/>
        <w:left w:w="0" w:type="dxa"/>
        <w:bottom w:w="0" w:type="dxa"/>
        <w:right w:w="0" w:type="dxa"/>
      </w:tblCellMar>
    </w:tblPr>
  </w:style>
  <w:style w:type="table" w:customStyle="1" w:styleId="GridTable2-Accent13">
    <w:name w:val="Grid Table 2 - Accent 13"/>
    <w:basedOn w:val="TableNormal"/>
    <w:uiPriority w:val="47"/>
    <w:rsid w:val="009B2D9D"/>
    <w:pPr>
      <w:spacing w:after="0" w:line="240" w:lineRule="auto"/>
    </w:pPr>
    <w:rPr>
      <w:kern w:val="0"/>
      <w14:ligatures w14:val="none"/>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4-Accent53">
    <w:name w:val="Grid Table 4 - Accent 53"/>
    <w:basedOn w:val="TableNormal"/>
    <w:uiPriority w:val="49"/>
    <w:rsid w:val="009B2D9D"/>
    <w:pPr>
      <w:spacing w:after="0" w:line="240" w:lineRule="auto"/>
    </w:pPr>
    <w:rPr>
      <w:kern w:val="0"/>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3-Accent53">
    <w:name w:val="Grid Table 3 - Accent 53"/>
    <w:basedOn w:val="TableNormal"/>
    <w:uiPriority w:val="48"/>
    <w:rsid w:val="009B2D9D"/>
    <w:pPr>
      <w:spacing w:after="0" w:line="240" w:lineRule="auto"/>
    </w:pPr>
    <w:rPr>
      <w:kern w:val="0"/>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ListTable2-Accent53">
    <w:name w:val="List Table 2 - Accent 53"/>
    <w:basedOn w:val="TableNormal"/>
    <w:uiPriority w:val="47"/>
    <w:rsid w:val="009B2D9D"/>
    <w:pPr>
      <w:spacing w:after="0" w:line="240" w:lineRule="auto"/>
    </w:pPr>
    <w:rPr>
      <w:kern w:val="0"/>
      <w14:ligatures w14:val="none"/>
    </w:r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6Colorful-Accent54">
    <w:name w:val="Grid Table 6 Colorful - Accent 54"/>
    <w:basedOn w:val="TableNormal"/>
    <w:uiPriority w:val="51"/>
    <w:rsid w:val="009B2D9D"/>
    <w:pPr>
      <w:spacing w:after="0" w:line="240" w:lineRule="auto"/>
    </w:pPr>
    <w:rPr>
      <w:color w:val="2E74B5" w:themeColor="accent5" w:themeShade="BF"/>
      <w:kern w:val="0"/>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5Dark-Accent53">
    <w:name w:val="Grid Table 5 Dark - Accent 53"/>
    <w:basedOn w:val="TableNormal"/>
    <w:uiPriority w:val="50"/>
    <w:rsid w:val="009B2D9D"/>
    <w:pPr>
      <w:spacing w:after="0" w:line="240" w:lineRule="auto"/>
    </w:pPr>
    <w:rPr>
      <w:kern w:val="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GridTable5Dark-Accent15">
    <w:name w:val="Grid Table 5 Dark - Accent 15"/>
    <w:basedOn w:val="TableNormal"/>
    <w:uiPriority w:val="50"/>
    <w:rsid w:val="009B2D9D"/>
    <w:pPr>
      <w:spacing w:after="0" w:line="240" w:lineRule="auto"/>
    </w:pPr>
    <w:rPr>
      <w:kern w:val="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TableGridLight5">
    <w:name w:val="Table Grid Light5"/>
    <w:basedOn w:val="TableNormal"/>
    <w:uiPriority w:val="40"/>
    <w:rsid w:val="009B2D9D"/>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3">
    <w:name w:val="Plain Table 13"/>
    <w:basedOn w:val="TableNormal"/>
    <w:uiPriority w:val="41"/>
    <w:rsid w:val="009B2D9D"/>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1Light-Accent23">
    <w:name w:val="Grid Table 1 Light - Accent 23"/>
    <w:basedOn w:val="TableNormal"/>
    <w:uiPriority w:val="46"/>
    <w:rsid w:val="009B2D9D"/>
    <w:pPr>
      <w:spacing w:after="0" w:line="240" w:lineRule="auto"/>
    </w:pPr>
    <w:rPr>
      <w:kern w:val="0"/>
      <w14:ligatures w14:val="none"/>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GridTable5Dark-Accent23">
    <w:name w:val="Grid Table 5 Dark - Accent 23"/>
    <w:basedOn w:val="TableNormal"/>
    <w:uiPriority w:val="50"/>
    <w:rsid w:val="009B2D9D"/>
    <w:pPr>
      <w:spacing w:after="0" w:line="240" w:lineRule="auto"/>
    </w:pPr>
    <w:rPr>
      <w:kern w:val="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ridTable6Colorful-Accent23">
    <w:name w:val="Grid Table 6 Colorful - Accent 23"/>
    <w:basedOn w:val="TableNormal"/>
    <w:uiPriority w:val="51"/>
    <w:rsid w:val="009B2D9D"/>
    <w:pPr>
      <w:spacing w:after="0" w:line="240" w:lineRule="auto"/>
    </w:pPr>
    <w:rPr>
      <w:color w:val="C45911" w:themeColor="accent2" w:themeShade="BF"/>
      <w:kern w:val="0"/>
      <w14:ligatures w14:val="non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6Colorful-Accent43">
    <w:name w:val="Grid Table 6 Colorful - Accent 43"/>
    <w:basedOn w:val="TableNormal"/>
    <w:uiPriority w:val="51"/>
    <w:rsid w:val="009B2D9D"/>
    <w:pPr>
      <w:spacing w:after="0" w:line="240" w:lineRule="auto"/>
    </w:pPr>
    <w:rPr>
      <w:color w:val="BF8F00" w:themeColor="accent4" w:themeShade="BF"/>
      <w:kern w:val="0"/>
      <w14:ligatures w14:val="none"/>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5Dark-Accent23">
    <w:name w:val="List Table 5 Dark - Accent 23"/>
    <w:basedOn w:val="TableNormal"/>
    <w:uiPriority w:val="50"/>
    <w:rsid w:val="009B2D9D"/>
    <w:pPr>
      <w:spacing w:after="0" w:line="240" w:lineRule="auto"/>
    </w:pPr>
    <w:rPr>
      <w:color w:val="FFFFFF" w:themeColor="background1"/>
      <w:kern w:val="0"/>
      <w14:ligatures w14:val="none"/>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3-Accent23">
    <w:name w:val="List Table 3 - Accent 23"/>
    <w:basedOn w:val="TableNormal"/>
    <w:uiPriority w:val="48"/>
    <w:rsid w:val="009B2D9D"/>
    <w:pPr>
      <w:spacing w:after="0" w:line="240" w:lineRule="auto"/>
    </w:pPr>
    <w:rPr>
      <w:kern w:val="0"/>
      <w14:ligatures w14:val="none"/>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Table3-Accent43">
    <w:name w:val="List Table 3 - Accent 43"/>
    <w:basedOn w:val="TableNormal"/>
    <w:uiPriority w:val="48"/>
    <w:rsid w:val="009B2D9D"/>
    <w:pPr>
      <w:spacing w:after="0" w:line="240" w:lineRule="auto"/>
    </w:pPr>
    <w:rPr>
      <w:kern w:val="0"/>
      <w14:ligatures w14:val="none"/>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customStyle="1" w:styleId="ListTable6Colorful-Accent43">
    <w:name w:val="List Table 6 Colorful - Accent 43"/>
    <w:basedOn w:val="TableNormal"/>
    <w:uiPriority w:val="51"/>
    <w:rsid w:val="009B2D9D"/>
    <w:pPr>
      <w:spacing w:after="0" w:line="240" w:lineRule="auto"/>
    </w:pPr>
    <w:rPr>
      <w:color w:val="BF8F00" w:themeColor="accent4" w:themeShade="BF"/>
      <w:kern w:val="0"/>
      <w14:ligatures w14:val="none"/>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4-Accent43">
    <w:name w:val="Grid Table 4 - Accent 43"/>
    <w:basedOn w:val="TableNormal"/>
    <w:uiPriority w:val="49"/>
    <w:rsid w:val="009B2D9D"/>
    <w:pPr>
      <w:spacing w:after="0" w:line="240" w:lineRule="auto"/>
    </w:pPr>
    <w:rPr>
      <w:kern w:val="0"/>
      <w14:ligatures w14:val="none"/>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7Colorful-Accent43">
    <w:name w:val="List Table 7 Colorful - Accent 43"/>
    <w:basedOn w:val="TableNormal"/>
    <w:uiPriority w:val="52"/>
    <w:rsid w:val="009B2D9D"/>
    <w:pPr>
      <w:spacing w:after="0" w:line="240" w:lineRule="auto"/>
    </w:pPr>
    <w:rPr>
      <w:color w:val="BF8F00" w:themeColor="accent4" w:themeShade="BF"/>
      <w:kern w:val="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5Dark-Accent43">
    <w:name w:val="List Table 5 Dark - Accent 43"/>
    <w:basedOn w:val="TableNormal"/>
    <w:uiPriority w:val="50"/>
    <w:rsid w:val="009B2D9D"/>
    <w:pPr>
      <w:spacing w:after="0" w:line="240" w:lineRule="auto"/>
    </w:pPr>
    <w:rPr>
      <w:color w:val="FFFFFF" w:themeColor="background1"/>
      <w:kern w:val="0"/>
      <w14:ligatures w14:val="none"/>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GridTable2-Accent43">
    <w:name w:val="Grid Table 2 - Accent 43"/>
    <w:basedOn w:val="TableNormal"/>
    <w:uiPriority w:val="47"/>
    <w:rsid w:val="009B2D9D"/>
    <w:pPr>
      <w:spacing w:after="0" w:line="240" w:lineRule="auto"/>
    </w:pPr>
    <w:rPr>
      <w:kern w:val="0"/>
      <w14:ligatures w14:val="none"/>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7Colorful-Accent23">
    <w:name w:val="Grid Table 7 Colorful - Accent 23"/>
    <w:basedOn w:val="TableNormal"/>
    <w:uiPriority w:val="52"/>
    <w:rsid w:val="009B2D9D"/>
    <w:pPr>
      <w:spacing w:after="0" w:line="240" w:lineRule="auto"/>
    </w:pPr>
    <w:rPr>
      <w:color w:val="C45911" w:themeColor="accent2" w:themeShade="BF"/>
      <w:kern w:val="0"/>
      <w14:ligatures w14:val="non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ListTable2-Accent43">
    <w:name w:val="List Table 2 - Accent 43"/>
    <w:basedOn w:val="TableNormal"/>
    <w:uiPriority w:val="47"/>
    <w:rsid w:val="009B2D9D"/>
    <w:pPr>
      <w:spacing w:after="0" w:line="240" w:lineRule="auto"/>
    </w:pPr>
    <w:rPr>
      <w:kern w:val="0"/>
      <w14:ligatures w14:val="none"/>
    </w:r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1Light-Accent43">
    <w:name w:val="Grid Table 1 Light - Accent 43"/>
    <w:basedOn w:val="TableNormal"/>
    <w:uiPriority w:val="46"/>
    <w:rsid w:val="009B2D9D"/>
    <w:pPr>
      <w:spacing w:after="0" w:line="240" w:lineRule="auto"/>
    </w:pPr>
    <w:rPr>
      <w:kern w:val="0"/>
      <w14:ligatures w14:val="none"/>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ListTable2-Accent33">
    <w:name w:val="List Table 2 - Accent 33"/>
    <w:basedOn w:val="TableNormal"/>
    <w:uiPriority w:val="47"/>
    <w:rsid w:val="009B2D9D"/>
    <w:pPr>
      <w:spacing w:after="0" w:line="240" w:lineRule="auto"/>
    </w:pPr>
    <w:rPr>
      <w:kern w:val="0"/>
      <w14:ligatures w14:val="none"/>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2-Accent23">
    <w:name w:val="List Table 2 - Accent 23"/>
    <w:basedOn w:val="TableNormal"/>
    <w:uiPriority w:val="47"/>
    <w:rsid w:val="009B2D9D"/>
    <w:pPr>
      <w:spacing w:after="0" w:line="240" w:lineRule="auto"/>
    </w:pPr>
    <w:rPr>
      <w:kern w:val="0"/>
      <w14:ligatures w14:val="none"/>
    </w:r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2-Accent13">
    <w:name w:val="List Table 2 - Accent 13"/>
    <w:basedOn w:val="TableNormal"/>
    <w:uiPriority w:val="47"/>
    <w:rsid w:val="009B2D9D"/>
    <w:pPr>
      <w:spacing w:after="0" w:line="240" w:lineRule="auto"/>
    </w:pPr>
    <w:rPr>
      <w:kern w:val="0"/>
      <w14:ligatures w14:val="none"/>
    </w:r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1Light-Accent43">
    <w:name w:val="List Table 1 Light - Accent 43"/>
    <w:basedOn w:val="TableNormal"/>
    <w:uiPriority w:val="46"/>
    <w:rsid w:val="009B2D9D"/>
    <w:pPr>
      <w:spacing w:after="0" w:line="240" w:lineRule="auto"/>
    </w:pPr>
    <w:rPr>
      <w:kern w:val="0"/>
      <w14:ligatures w14:val="none"/>
    </w:r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1Light1">
    <w:name w:val="Grid Table 1 Light1"/>
    <w:basedOn w:val="TableNormal"/>
    <w:uiPriority w:val="46"/>
    <w:rsid w:val="009B2D9D"/>
    <w:pPr>
      <w:spacing w:after="0" w:line="240" w:lineRule="auto"/>
    </w:pPr>
    <w:rPr>
      <w:kern w:val="0"/>
      <w:lang w:val="en-GB"/>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ListTable3-Accent61">
    <w:name w:val="List Table 3 - Accent 61"/>
    <w:basedOn w:val="TableNormal"/>
    <w:next w:val="ListTable3-Accent62"/>
    <w:uiPriority w:val="48"/>
    <w:rsid w:val="009B2D9D"/>
    <w:pPr>
      <w:spacing w:after="0" w:line="240" w:lineRule="auto"/>
    </w:pPr>
    <w:rPr>
      <w:kern w:val="0"/>
      <w:lang w:val="sr-Latn-CS"/>
      <w14:ligatures w14:val="none"/>
    </w:rPr>
    <w:tblPr>
      <w:tblStyleRowBandSize w:val="1"/>
      <w:tblStyleColBandSize w:val="1"/>
      <w:tblBorders>
        <w:top w:val="single" w:sz="4" w:space="0" w:color="F79646"/>
        <w:left w:val="single" w:sz="4" w:space="0" w:color="F79646"/>
        <w:bottom w:val="single" w:sz="4" w:space="0" w:color="F79646"/>
        <w:right w:val="single" w:sz="4" w:space="0" w:color="F79646"/>
      </w:tblBorders>
    </w:tblPr>
    <w:tblStylePr w:type="firstRow">
      <w:rPr>
        <w:b/>
        <w:bCs/>
        <w:color w:val="FFFFFF"/>
      </w:rPr>
      <w:tblPr/>
      <w:tcPr>
        <w:shd w:val="clear" w:color="auto" w:fill="F79646"/>
      </w:tcPr>
    </w:tblStylePr>
    <w:tblStylePr w:type="lastRow">
      <w:rPr>
        <w:b/>
        <w:bCs/>
      </w:rPr>
      <w:tblPr/>
      <w:tcPr>
        <w:tcBorders>
          <w:top w:val="double" w:sz="4" w:space="0" w:color="F7964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79646"/>
          <w:right w:val="single" w:sz="4" w:space="0" w:color="F79646"/>
        </w:tcBorders>
      </w:tcPr>
    </w:tblStylePr>
    <w:tblStylePr w:type="band1Horz">
      <w:tblPr/>
      <w:tcPr>
        <w:tcBorders>
          <w:top w:val="single" w:sz="4" w:space="0" w:color="F79646"/>
          <w:bottom w:val="single" w:sz="4" w:space="0" w:color="F7964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left w:val="nil"/>
        </w:tcBorders>
      </w:tcPr>
    </w:tblStylePr>
    <w:tblStylePr w:type="swCell">
      <w:tblPr/>
      <w:tcPr>
        <w:tcBorders>
          <w:top w:val="double" w:sz="4" w:space="0" w:color="F79646"/>
          <w:right w:val="nil"/>
        </w:tcBorders>
      </w:tcPr>
    </w:tblStylePr>
  </w:style>
  <w:style w:type="table" w:customStyle="1" w:styleId="ListTable3-Accent62">
    <w:name w:val="List Table 3 - Accent 62"/>
    <w:basedOn w:val="TableNormal"/>
    <w:uiPriority w:val="48"/>
    <w:rsid w:val="009B2D9D"/>
    <w:pPr>
      <w:spacing w:after="0" w:line="240" w:lineRule="auto"/>
    </w:pPr>
    <w:rPr>
      <w:kern w:val="0"/>
      <w14:ligatures w14:val="none"/>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ListTable4-Accent41">
    <w:name w:val="List Table 4 - Accent 41"/>
    <w:basedOn w:val="TableNormal"/>
    <w:uiPriority w:val="49"/>
    <w:rsid w:val="009B2D9D"/>
    <w:pPr>
      <w:spacing w:after="0" w:line="240" w:lineRule="auto"/>
    </w:pPr>
    <w:rPr>
      <w:kern w:val="0"/>
      <w14:ligatures w14:val="none"/>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2-Accent51">
    <w:name w:val="Grid Table 2 - Accent 51"/>
    <w:basedOn w:val="TableNormal"/>
    <w:uiPriority w:val="47"/>
    <w:rsid w:val="009B2D9D"/>
    <w:pPr>
      <w:spacing w:after="0" w:line="240" w:lineRule="auto"/>
    </w:pPr>
    <w:rPr>
      <w:kern w:val="0"/>
      <w14:ligatures w14:val="none"/>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1Light-Accent51">
    <w:name w:val="List Table 1 Light - Accent 51"/>
    <w:basedOn w:val="TableNormal"/>
    <w:uiPriority w:val="46"/>
    <w:rsid w:val="009B2D9D"/>
    <w:pPr>
      <w:spacing w:after="0" w:line="240" w:lineRule="auto"/>
    </w:pPr>
    <w:rPr>
      <w:kern w:val="0"/>
      <w14:ligatures w14:val="none"/>
    </w:r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numbering" w:customStyle="1" w:styleId="NoList9">
    <w:name w:val="No List9"/>
    <w:next w:val="NoList"/>
    <w:uiPriority w:val="99"/>
    <w:semiHidden/>
    <w:unhideWhenUsed/>
    <w:rsid w:val="009B2D9D"/>
  </w:style>
  <w:style w:type="numbering" w:customStyle="1" w:styleId="NoList18">
    <w:name w:val="No List18"/>
    <w:next w:val="NoList"/>
    <w:uiPriority w:val="99"/>
    <w:semiHidden/>
    <w:unhideWhenUsed/>
    <w:rsid w:val="009B2D9D"/>
  </w:style>
  <w:style w:type="table" w:customStyle="1" w:styleId="MediumGrid3-Accent11">
    <w:name w:val="Medium Grid 3 - Accent 11"/>
    <w:basedOn w:val="TableNormal"/>
    <w:next w:val="MediumGrid3-Accent1"/>
    <w:uiPriority w:val="69"/>
    <w:rsid w:val="009B2D9D"/>
    <w:pPr>
      <w:spacing w:after="0" w:line="240" w:lineRule="auto"/>
    </w:pPr>
    <w:rPr>
      <w:kern w:val="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customStyle="1" w:styleId="LightShading-Accent114">
    <w:name w:val="Light Shading - Accent 114"/>
    <w:basedOn w:val="TableNormal"/>
    <w:uiPriority w:val="60"/>
    <w:rsid w:val="009B2D9D"/>
    <w:pPr>
      <w:spacing w:after="0" w:line="240" w:lineRule="auto"/>
    </w:pPr>
    <w:rPr>
      <w:rFonts w:ascii="Calibri" w:eastAsia="Times New Roman" w:hAnsi="Calibri" w:cs="Times New Roman"/>
      <w:color w:val="365F91"/>
      <w:kern w:val="0"/>
      <w:sz w:val="20"/>
      <w:szCs w:val="20"/>
      <w:lang w:val="sr-Latn-CS" w:eastAsia="sr-Latn-CS" w:bidi="en-US"/>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Radovan8">
    <w:name w:val="Radovan8"/>
    <w:uiPriority w:val="99"/>
    <w:rsid w:val="009B2D9D"/>
  </w:style>
  <w:style w:type="table" w:customStyle="1" w:styleId="LightShading-Accent34">
    <w:name w:val="Light Shading - Accent 34"/>
    <w:basedOn w:val="TableNormal"/>
    <w:next w:val="LightShading-Accent3"/>
    <w:uiPriority w:val="60"/>
    <w:rsid w:val="009B2D9D"/>
    <w:pPr>
      <w:spacing w:after="0" w:line="240" w:lineRule="auto"/>
    </w:pPr>
    <w:rPr>
      <w:rFonts w:ascii="Calibri" w:eastAsia="Calibri" w:hAnsi="Calibri" w:cs="Times New Roman"/>
      <w:color w:val="7B7B7B" w:themeColor="accent3" w:themeShade="BF"/>
      <w:kern w:val="0"/>
      <w:sz w:val="20"/>
      <w:szCs w:val="20"/>
      <w14:ligatures w14:val="none"/>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LightList-Accent24">
    <w:name w:val="Light List - Accent 24"/>
    <w:basedOn w:val="TableNormal"/>
    <w:next w:val="LightList-Accent2"/>
    <w:uiPriority w:val="61"/>
    <w:rsid w:val="009B2D9D"/>
    <w:pPr>
      <w:spacing w:after="0" w:line="240" w:lineRule="auto"/>
    </w:pPr>
    <w:rPr>
      <w:rFonts w:eastAsiaTheme="minorEastAsia"/>
      <w:kern w:val="0"/>
      <w:lang w:val="sr-Latn-CS" w:eastAsia="sr-Latn-CS"/>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customStyle="1" w:styleId="TableNormal15">
    <w:name w:val="Table Normal15"/>
    <w:uiPriority w:val="2"/>
    <w:semiHidden/>
    <w:unhideWhenUsed/>
    <w:qFormat/>
    <w:rsid w:val="009B2D9D"/>
    <w:pPr>
      <w:widowControl w:val="0"/>
      <w:spacing w:after="0" w:line="240" w:lineRule="auto"/>
    </w:pPr>
    <w:rPr>
      <w:kern w:val="0"/>
      <w14:ligatures w14:val="none"/>
    </w:rPr>
    <w:tblPr>
      <w:tblInd w:w="0" w:type="dxa"/>
      <w:tblCellMar>
        <w:top w:w="0" w:type="dxa"/>
        <w:left w:w="0" w:type="dxa"/>
        <w:bottom w:w="0" w:type="dxa"/>
        <w:right w:w="0" w:type="dxa"/>
      </w:tblCellMar>
    </w:tblPr>
  </w:style>
  <w:style w:type="numbering" w:customStyle="1" w:styleId="NoList118">
    <w:name w:val="No List118"/>
    <w:next w:val="NoList"/>
    <w:uiPriority w:val="99"/>
    <w:semiHidden/>
    <w:unhideWhenUsed/>
    <w:rsid w:val="009B2D9D"/>
  </w:style>
  <w:style w:type="table" w:customStyle="1" w:styleId="TableElegant4">
    <w:name w:val="Table Elegant4"/>
    <w:basedOn w:val="TableNormal"/>
    <w:next w:val="TableElegant"/>
    <w:rsid w:val="009B2D9D"/>
    <w:pPr>
      <w:spacing w:after="0" w:line="240" w:lineRule="auto"/>
    </w:pPr>
    <w:rPr>
      <w:rFonts w:ascii="Times New Roman" w:eastAsia="Times New Roman" w:hAnsi="Times New Roman" w:cs="Times New Roman"/>
      <w:kern w:val="0"/>
      <w:sz w:val="20"/>
      <w:szCs w:val="20"/>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NoList1118">
    <w:name w:val="No List1118"/>
    <w:next w:val="NoList"/>
    <w:uiPriority w:val="99"/>
    <w:semiHidden/>
    <w:unhideWhenUsed/>
    <w:rsid w:val="009B2D9D"/>
  </w:style>
  <w:style w:type="table" w:customStyle="1" w:styleId="TableNormal114">
    <w:name w:val="Table Normal114"/>
    <w:uiPriority w:val="2"/>
    <w:semiHidden/>
    <w:unhideWhenUsed/>
    <w:qFormat/>
    <w:rsid w:val="009B2D9D"/>
    <w:pPr>
      <w:widowControl w:val="0"/>
      <w:spacing w:after="0" w:line="240" w:lineRule="auto"/>
    </w:pPr>
    <w:rPr>
      <w:kern w:val="0"/>
      <w14:ligatures w14:val="none"/>
    </w:rPr>
    <w:tblPr>
      <w:tblInd w:w="0" w:type="dxa"/>
      <w:tblCellMar>
        <w:top w:w="0" w:type="dxa"/>
        <w:left w:w="0" w:type="dxa"/>
        <w:bottom w:w="0" w:type="dxa"/>
        <w:right w:w="0" w:type="dxa"/>
      </w:tblCellMar>
    </w:tblPr>
  </w:style>
  <w:style w:type="table" w:customStyle="1" w:styleId="PERstyle4">
    <w:name w:val="PER style4"/>
    <w:basedOn w:val="TableNormal"/>
    <w:uiPriority w:val="99"/>
    <w:rsid w:val="009B2D9D"/>
    <w:pPr>
      <w:spacing w:after="0" w:line="240" w:lineRule="auto"/>
    </w:pPr>
    <w:rPr>
      <w:kern w:val="0"/>
      <w:lang w:val="sr-Latn-ME"/>
      <w14:ligatures w14:val="none"/>
    </w:rPr>
    <w:tblPr/>
  </w:style>
  <w:style w:type="table" w:customStyle="1" w:styleId="PlainTable414">
    <w:name w:val="Plain Table 414"/>
    <w:basedOn w:val="TableNormal"/>
    <w:uiPriority w:val="44"/>
    <w:rsid w:val="009B2D9D"/>
    <w:pPr>
      <w:spacing w:after="0" w:line="240" w:lineRule="auto"/>
    </w:pPr>
    <w:rPr>
      <w:kern w:val="0"/>
      <w:lang w:val="sr-Latn-ME"/>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NoList27">
    <w:name w:val="No List27"/>
    <w:next w:val="NoList"/>
    <w:uiPriority w:val="99"/>
    <w:semiHidden/>
    <w:unhideWhenUsed/>
    <w:rsid w:val="009B2D9D"/>
  </w:style>
  <w:style w:type="numbering" w:customStyle="1" w:styleId="NoList36">
    <w:name w:val="No List36"/>
    <w:next w:val="NoList"/>
    <w:uiPriority w:val="99"/>
    <w:semiHidden/>
    <w:unhideWhenUsed/>
    <w:rsid w:val="009B2D9D"/>
  </w:style>
  <w:style w:type="numbering" w:customStyle="1" w:styleId="Radovan16">
    <w:name w:val="Radovan16"/>
    <w:uiPriority w:val="99"/>
    <w:rsid w:val="009B2D9D"/>
  </w:style>
  <w:style w:type="numbering" w:customStyle="1" w:styleId="Style116">
    <w:name w:val="Style116"/>
    <w:uiPriority w:val="99"/>
    <w:rsid w:val="009B2D9D"/>
  </w:style>
  <w:style w:type="numbering" w:customStyle="1" w:styleId="Style216">
    <w:name w:val="Style216"/>
    <w:uiPriority w:val="99"/>
    <w:rsid w:val="009B2D9D"/>
  </w:style>
  <w:style w:type="numbering" w:customStyle="1" w:styleId="NoList127">
    <w:name w:val="No List127"/>
    <w:next w:val="NoList"/>
    <w:uiPriority w:val="99"/>
    <w:semiHidden/>
    <w:unhideWhenUsed/>
    <w:rsid w:val="009B2D9D"/>
  </w:style>
  <w:style w:type="numbering" w:customStyle="1" w:styleId="NoList1127">
    <w:name w:val="No List1127"/>
    <w:next w:val="NoList"/>
    <w:uiPriority w:val="99"/>
    <w:semiHidden/>
    <w:unhideWhenUsed/>
    <w:rsid w:val="009B2D9D"/>
  </w:style>
  <w:style w:type="numbering" w:customStyle="1" w:styleId="NoList11117">
    <w:name w:val="No List11117"/>
    <w:next w:val="NoList"/>
    <w:uiPriority w:val="99"/>
    <w:semiHidden/>
    <w:unhideWhenUsed/>
    <w:rsid w:val="009B2D9D"/>
  </w:style>
  <w:style w:type="numbering" w:customStyle="1" w:styleId="Style1116">
    <w:name w:val="Style1116"/>
    <w:uiPriority w:val="99"/>
    <w:rsid w:val="009B2D9D"/>
  </w:style>
  <w:style w:type="table" w:customStyle="1" w:styleId="GridTable1Light-Accent113">
    <w:name w:val="Grid Table 1 Light - Accent 113"/>
    <w:basedOn w:val="TableNormal"/>
    <w:uiPriority w:val="46"/>
    <w:rsid w:val="009B2D9D"/>
    <w:pPr>
      <w:spacing w:after="0" w:line="240" w:lineRule="auto"/>
    </w:pPr>
    <w:rPr>
      <w:rFonts w:ascii="Calibri" w:eastAsia="Calibri" w:hAnsi="Calibri" w:cs="Times New Roman"/>
      <w:kern w:val="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ListTable1Light-Accent113">
    <w:name w:val="List Table 1 Light - Accent 113"/>
    <w:basedOn w:val="TableNormal"/>
    <w:uiPriority w:val="46"/>
    <w:rsid w:val="009B2D9D"/>
    <w:pPr>
      <w:spacing w:after="0" w:line="240" w:lineRule="auto"/>
    </w:pPr>
    <w:rPr>
      <w:kern w:val="0"/>
      <w14:ligatures w14:val="none"/>
    </w:r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5Dark-Accent113">
    <w:name w:val="Grid Table 5 Dark - Accent 113"/>
    <w:basedOn w:val="TableNormal"/>
    <w:uiPriority w:val="50"/>
    <w:rsid w:val="009B2D9D"/>
    <w:pPr>
      <w:spacing w:after="0" w:line="240" w:lineRule="auto"/>
    </w:pPr>
    <w:rPr>
      <w:kern w:val="0"/>
      <w:lang w:val="en-GB"/>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GridTable5Dark-Accent123">
    <w:name w:val="Grid Table 5 Dark - Accent 123"/>
    <w:basedOn w:val="TableNormal"/>
    <w:uiPriority w:val="50"/>
    <w:rsid w:val="009B2D9D"/>
    <w:pPr>
      <w:spacing w:after="0" w:line="240" w:lineRule="auto"/>
    </w:pPr>
    <w:rPr>
      <w:kern w:val="0"/>
      <w:lang w:val="en-GB"/>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GridTable6Colorful-Accent513">
    <w:name w:val="Grid Table 6 Colorful - Accent 513"/>
    <w:basedOn w:val="TableNormal"/>
    <w:uiPriority w:val="51"/>
    <w:rsid w:val="009B2D9D"/>
    <w:pPr>
      <w:spacing w:after="0" w:line="240" w:lineRule="auto"/>
    </w:pPr>
    <w:rPr>
      <w:color w:val="2E74B5" w:themeColor="accent5" w:themeShade="BF"/>
      <w:kern w:val="0"/>
      <w:lang w:val="en-GB"/>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numbering" w:customStyle="1" w:styleId="NoList217">
    <w:name w:val="No List217"/>
    <w:next w:val="NoList"/>
    <w:uiPriority w:val="99"/>
    <w:semiHidden/>
    <w:unhideWhenUsed/>
    <w:rsid w:val="009B2D9D"/>
  </w:style>
  <w:style w:type="numbering" w:customStyle="1" w:styleId="Radovan113">
    <w:name w:val="Radovan113"/>
    <w:uiPriority w:val="99"/>
    <w:rsid w:val="009B2D9D"/>
  </w:style>
  <w:style w:type="numbering" w:customStyle="1" w:styleId="Style125">
    <w:name w:val="Style125"/>
    <w:uiPriority w:val="99"/>
    <w:rsid w:val="009B2D9D"/>
  </w:style>
  <w:style w:type="numbering" w:customStyle="1" w:styleId="Style2113">
    <w:name w:val="Style2113"/>
    <w:uiPriority w:val="99"/>
    <w:rsid w:val="009B2D9D"/>
  </w:style>
  <w:style w:type="numbering" w:customStyle="1" w:styleId="NoList1216">
    <w:name w:val="No List1216"/>
    <w:next w:val="NoList"/>
    <w:uiPriority w:val="99"/>
    <w:semiHidden/>
    <w:unhideWhenUsed/>
    <w:rsid w:val="009B2D9D"/>
  </w:style>
  <w:style w:type="numbering" w:customStyle="1" w:styleId="NoList11216">
    <w:name w:val="No List11216"/>
    <w:next w:val="NoList"/>
    <w:uiPriority w:val="99"/>
    <w:semiHidden/>
    <w:unhideWhenUsed/>
    <w:rsid w:val="009B2D9D"/>
  </w:style>
  <w:style w:type="numbering" w:customStyle="1" w:styleId="NoList111116">
    <w:name w:val="No List111116"/>
    <w:next w:val="NoList"/>
    <w:uiPriority w:val="99"/>
    <w:semiHidden/>
    <w:unhideWhenUsed/>
    <w:rsid w:val="009B2D9D"/>
  </w:style>
  <w:style w:type="numbering" w:customStyle="1" w:styleId="NoList2116">
    <w:name w:val="No List2116"/>
    <w:next w:val="NoList"/>
    <w:uiPriority w:val="99"/>
    <w:semiHidden/>
    <w:unhideWhenUsed/>
    <w:rsid w:val="009B2D9D"/>
  </w:style>
  <w:style w:type="table" w:customStyle="1" w:styleId="TableGrid25">
    <w:name w:val="Table Grid25"/>
    <w:basedOn w:val="TableNormal"/>
    <w:next w:val="TableGrid"/>
    <w:uiPriority w:val="59"/>
    <w:rsid w:val="009B2D9D"/>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9B2D9D"/>
    <w:pPr>
      <w:spacing w:after="0" w:line="240" w:lineRule="auto"/>
    </w:pPr>
    <w:rPr>
      <w:kern w:val="0"/>
      <w:lang w:val="sr-Latn-M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3">
    <w:name w:val="No List1111113"/>
    <w:next w:val="NoList"/>
    <w:uiPriority w:val="99"/>
    <w:semiHidden/>
    <w:unhideWhenUsed/>
    <w:rsid w:val="009B2D9D"/>
  </w:style>
  <w:style w:type="table" w:customStyle="1" w:styleId="TableGrid213">
    <w:name w:val="Table Grid213"/>
    <w:basedOn w:val="TableNormal"/>
    <w:next w:val="TableGrid"/>
    <w:uiPriority w:val="59"/>
    <w:rsid w:val="009B2D9D"/>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TableNormal"/>
    <w:next w:val="TableGrid"/>
    <w:uiPriority w:val="39"/>
    <w:rsid w:val="009B2D9D"/>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6">
    <w:name w:val="No List316"/>
    <w:next w:val="NoList"/>
    <w:uiPriority w:val="99"/>
    <w:semiHidden/>
    <w:unhideWhenUsed/>
    <w:rsid w:val="009B2D9D"/>
  </w:style>
  <w:style w:type="table" w:customStyle="1" w:styleId="TableGrid33">
    <w:name w:val="Table Grid33"/>
    <w:basedOn w:val="TableNormal"/>
    <w:next w:val="TableGrid"/>
    <w:uiPriority w:val="39"/>
    <w:rsid w:val="009B2D9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13">
    <w:name w:val="Light Shading - Accent 1113"/>
    <w:basedOn w:val="TableNormal"/>
    <w:uiPriority w:val="60"/>
    <w:rsid w:val="009B2D9D"/>
    <w:pPr>
      <w:spacing w:after="0" w:line="240" w:lineRule="auto"/>
    </w:pPr>
    <w:rPr>
      <w:rFonts w:ascii="Calibri" w:eastAsia="Times New Roman" w:hAnsi="Calibri" w:cs="Times New Roman"/>
      <w:color w:val="365F91"/>
      <w:kern w:val="0"/>
      <w:sz w:val="20"/>
      <w:szCs w:val="20"/>
      <w:lang w:val="sr-Latn-CS" w:eastAsia="sr-Latn-CS" w:bidi="en-US"/>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314">
    <w:name w:val="Light Shading - Accent 314"/>
    <w:basedOn w:val="TableNormal"/>
    <w:next w:val="LightShading-Accent3"/>
    <w:uiPriority w:val="60"/>
    <w:rsid w:val="009B2D9D"/>
    <w:pPr>
      <w:spacing w:after="0" w:line="240" w:lineRule="auto"/>
    </w:pPr>
    <w:rPr>
      <w:rFonts w:ascii="Calibri" w:eastAsia="Calibri" w:hAnsi="Calibri" w:cs="Times New Roman"/>
      <w:color w:val="7B7B7B"/>
      <w:kern w:val="0"/>
      <w:sz w:val="20"/>
      <w:szCs w:val="20"/>
      <w14:ligatures w14:val="none"/>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LightList-Accent214">
    <w:name w:val="Light List - Accent 214"/>
    <w:basedOn w:val="TableNormal"/>
    <w:next w:val="LightList-Accent2"/>
    <w:uiPriority w:val="61"/>
    <w:rsid w:val="009B2D9D"/>
    <w:pPr>
      <w:spacing w:after="0" w:line="240" w:lineRule="auto"/>
    </w:pPr>
    <w:rPr>
      <w:rFonts w:eastAsia="Times New Roman"/>
      <w:kern w:val="0"/>
      <w:lang w:val="sr-Latn-CS" w:eastAsia="sr-Latn-CS"/>
      <w14:ligatures w14:val="none"/>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TableNormal123">
    <w:name w:val="Table Normal123"/>
    <w:uiPriority w:val="2"/>
    <w:semiHidden/>
    <w:unhideWhenUsed/>
    <w:qFormat/>
    <w:rsid w:val="009B2D9D"/>
    <w:pPr>
      <w:widowControl w:val="0"/>
      <w:spacing w:after="0" w:line="240" w:lineRule="auto"/>
    </w:pPr>
    <w:rPr>
      <w:kern w:val="0"/>
      <w14:ligatures w14:val="none"/>
    </w:rPr>
    <w:tblPr>
      <w:tblInd w:w="0" w:type="dxa"/>
      <w:tblCellMar>
        <w:top w:w="0" w:type="dxa"/>
        <w:left w:w="0" w:type="dxa"/>
        <w:bottom w:w="0" w:type="dxa"/>
        <w:right w:w="0" w:type="dxa"/>
      </w:tblCellMar>
    </w:tblPr>
  </w:style>
  <w:style w:type="numbering" w:customStyle="1" w:styleId="NoList12113">
    <w:name w:val="No List12113"/>
    <w:next w:val="NoList"/>
    <w:uiPriority w:val="99"/>
    <w:semiHidden/>
    <w:unhideWhenUsed/>
    <w:rsid w:val="009B2D9D"/>
  </w:style>
  <w:style w:type="numbering" w:customStyle="1" w:styleId="NoList112113">
    <w:name w:val="No List112113"/>
    <w:next w:val="NoList"/>
    <w:uiPriority w:val="99"/>
    <w:semiHidden/>
    <w:unhideWhenUsed/>
    <w:rsid w:val="009B2D9D"/>
  </w:style>
  <w:style w:type="table" w:customStyle="1" w:styleId="TableElegant13">
    <w:name w:val="Table Elegant13"/>
    <w:basedOn w:val="TableNormal"/>
    <w:next w:val="TableElegant"/>
    <w:rsid w:val="009B2D9D"/>
    <w:pPr>
      <w:spacing w:after="0" w:line="240" w:lineRule="auto"/>
    </w:pPr>
    <w:rPr>
      <w:rFonts w:ascii="Times New Roman" w:eastAsia="Times New Roman" w:hAnsi="Times New Roman" w:cs="Times New Roman"/>
      <w:kern w:val="0"/>
      <w:sz w:val="20"/>
      <w:szCs w:val="20"/>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NoList11126">
    <w:name w:val="No List11126"/>
    <w:next w:val="NoList"/>
    <w:uiPriority w:val="99"/>
    <w:semiHidden/>
    <w:unhideWhenUsed/>
    <w:rsid w:val="009B2D9D"/>
  </w:style>
  <w:style w:type="table" w:customStyle="1" w:styleId="TableNormal1113">
    <w:name w:val="Table Normal1113"/>
    <w:uiPriority w:val="2"/>
    <w:semiHidden/>
    <w:unhideWhenUsed/>
    <w:qFormat/>
    <w:rsid w:val="009B2D9D"/>
    <w:pPr>
      <w:widowControl w:val="0"/>
      <w:spacing w:after="0" w:line="240" w:lineRule="auto"/>
    </w:pPr>
    <w:rPr>
      <w:kern w:val="0"/>
      <w14:ligatures w14:val="none"/>
    </w:rPr>
    <w:tblPr>
      <w:tblInd w:w="0" w:type="dxa"/>
      <w:tblCellMar>
        <w:top w:w="0" w:type="dxa"/>
        <w:left w:w="0" w:type="dxa"/>
        <w:bottom w:w="0" w:type="dxa"/>
        <w:right w:w="0" w:type="dxa"/>
      </w:tblCellMar>
    </w:tblPr>
  </w:style>
  <w:style w:type="table" w:customStyle="1" w:styleId="PERstyle13">
    <w:name w:val="PER style13"/>
    <w:basedOn w:val="TableNormal"/>
    <w:uiPriority w:val="99"/>
    <w:rsid w:val="009B2D9D"/>
    <w:pPr>
      <w:spacing w:after="0" w:line="240" w:lineRule="auto"/>
    </w:pPr>
    <w:rPr>
      <w:kern w:val="0"/>
      <w14:ligatures w14:val="none"/>
    </w:rPr>
    <w:tblPr/>
  </w:style>
  <w:style w:type="table" w:customStyle="1" w:styleId="PlainTable4114">
    <w:name w:val="Plain Table 4114"/>
    <w:basedOn w:val="TableNormal"/>
    <w:uiPriority w:val="44"/>
    <w:rsid w:val="009B2D9D"/>
    <w:pPr>
      <w:spacing w:after="0" w:line="240" w:lineRule="auto"/>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21113">
    <w:name w:val="No List21113"/>
    <w:next w:val="NoList"/>
    <w:uiPriority w:val="99"/>
    <w:semiHidden/>
    <w:unhideWhenUsed/>
    <w:rsid w:val="009B2D9D"/>
  </w:style>
  <w:style w:type="table" w:customStyle="1" w:styleId="PlainTable215">
    <w:name w:val="Plain Table 215"/>
    <w:basedOn w:val="TableNormal"/>
    <w:uiPriority w:val="42"/>
    <w:rsid w:val="009B2D9D"/>
    <w:pPr>
      <w:spacing w:after="0" w:line="240" w:lineRule="auto"/>
    </w:pPr>
    <w:rPr>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Light15">
    <w:name w:val="Table Grid Light15"/>
    <w:basedOn w:val="TableNormal"/>
    <w:uiPriority w:val="40"/>
    <w:rsid w:val="009B2D9D"/>
    <w:pPr>
      <w:spacing w:after="0" w:line="240" w:lineRule="auto"/>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26">
    <w:name w:val="Table Grid Light26"/>
    <w:basedOn w:val="TableNormal"/>
    <w:uiPriority w:val="40"/>
    <w:rsid w:val="009B2D9D"/>
    <w:pPr>
      <w:spacing w:after="0" w:line="240" w:lineRule="auto"/>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214">
    <w:name w:val="Table Grid Light214"/>
    <w:basedOn w:val="TableNormal"/>
    <w:uiPriority w:val="40"/>
    <w:rsid w:val="009B2D9D"/>
    <w:pPr>
      <w:spacing w:after="0" w:line="240" w:lineRule="auto"/>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43">
    <w:name w:val="Table Grid43"/>
    <w:basedOn w:val="TableNormal"/>
    <w:next w:val="TableGrid"/>
    <w:uiPriority w:val="39"/>
    <w:rsid w:val="009B2D9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5">
    <w:name w:val="No List45"/>
    <w:next w:val="NoList"/>
    <w:uiPriority w:val="99"/>
    <w:semiHidden/>
    <w:unhideWhenUsed/>
    <w:rsid w:val="009B2D9D"/>
  </w:style>
  <w:style w:type="numbering" w:customStyle="1" w:styleId="Radovan25">
    <w:name w:val="Radovan25"/>
    <w:uiPriority w:val="99"/>
    <w:rsid w:val="009B2D9D"/>
  </w:style>
  <w:style w:type="numbering" w:customStyle="1" w:styleId="Style135">
    <w:name w:val="Style135"/>
    <w:uiPriority w:val="99"/>
    <w:rsid w:val="009B2D9D"/>
  </w:style>
  <w:style w:type="numbering" w:customStyle="1" w:styleId="Style225">
    <w:name w:val="Style225"/>
    <w:uiPriority w:val="99"/>
    <w:rsid w:val="009B2D9D"/>
  </w:style>
  <w:style w:type="numbering" w:customStyle="1" w:styleId="NoList135">
    <w:name w:val="No List135"/>
    <w:next w:val="NoList"/>
    <w:uiPriority w:val="99"/>
    <w:semiHidden/>
    <w:unhideWhenUsed/>
    <w:rsid w:val="009B2D9D"/>
  </w:style>
  <w:style w:type="numbering" w:customStyle="1" w:styleId="NoList1135">
    <w:name w:val="No List1135"/>
    <w:next w:val="NoList"/>
    <w:uiPriority w:val="99"/>
    <w:semiHidden/>
    <w:unhideWhenUsed/>
    <w:rsid w:val="009B2D9D"/>
  </w:style>
  <w:style w:type="numbering" w:customStyle="1" w:styleId="NoList11135">
    <w:name w:val="No List11135"/>
    <w:next w:val="NoList"/>
    <w:uiPriority w:val="99"/>
    <w:semiHidden/>
    <w:unhideWhenUsed/>
    <w:rsid w:val="009B2D9D"/>
  </w:style>
  <w:style w:type="numbering" w:customStyle="1" w:styleId="NoList225">
    <w:name w:val="No List225"/>
    <w:next w:val="NoList"/>
    <w:uiPriority w:val="99"/>
    <w:semiHidden/>
    <w:unhideWhenUsed/>
    <w:rsid w:val="009B2D9D"/>
  </w:style>
  <w:style w:type="table" w:customStyle="1" w:styleId="PlainTable2113">
    <w:name w:val="Plain Table 2113"/>
    <w:basedOn w:val="TableNormal"/>
    <w:uiPriority w:val="42"/>
    <w:rsid w:val="009B2D9D"/>
    <w:pPr>
      <w:spacing w:after="0" w:line="240" w:lineRule="auto"/>
    </w:pPr>
    <w:rPr>
      <w:kern w:val="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Light113">
    <w:name w:val="Table Grid Light113"/>
    <w:basedOn w:val="TableNormal"/>
    <w:uiPriority w:val="40"/>
    <w:rsid w:val="009B2D9D"/>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223">
    <w:name w:val="Table Grid Light223"/>
    <w:basedOn w:val="TableNormal"/>
    <w:uiPriority w:val="40"/>
    <w:rsid w:val="009B2D9D"/>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Style316">
    <w:name w:val="Style316"/>
    <w:uiPriority w:val="99"/>
    <w:rsid w:val="009B2D9D"/>
  </w:style>
  <w:style w:type="numbering" w:customStyle="1" w:styleId="NoList111125">
    <w:name w:val="No List111125"/>
    <w:next w:val="NoList"/>
    <w:uiPriority w:val="99"/>
    <w:semiHidden/>
    <w:unhideWhenUsed/>
    <w:rsid w:val="009B2D9D"/>
  </w:style>
  <w:style w:type="numbering" w:customStyle="1" w:styleId="NoList3113">
    <w:name w:val="No List3113"/>
    <w:next w:val="NoList"/>
    <w:uiPriority w:val="99"/>
    <w:semiHidden/>
    <w:unhideWhenUsed/>
    <w:rsid w:val="009B2D9D"/>
  </w:style>
  <w:style w:type="numbering" w:customStyle="1" w:styleId="NoList1225">
    <w:name w:val="No List1225"/>
    <w:next w:val="NoList"/>
    <w:uiPriority w:val="99"/>
    <w:semiHidden/>
    <w:unhideWhenUsed/>
    <w:rsid w:val="009B2D9D"/>
  </w:style>
  <w:style w:type="numbering" w:customStyle="1" w:styleId="NoList11225">
    <w:name w:val="No List11225"/>
    <w:next w:val="NoList"/>
    <w:uiPriority w:val="99"/>
    <w:semiHidden/>
    <w:unhideWhenUsed/>
    <w:rsid w:val="009B2D9D"/>
  </w:style>
  <w:style w:type="numbering" w:customStyle="1" w:styleId="NoList111215">
    <w:name w:val="No List111215"/>
    <w:next w:val="NoList"/>
    <w:uiPriority w:val="99"/>
    <w:semiHidden/>
    <w:unhideWhenUsed/>
    <w:rsid w:val="009B2D9D"/>
  </w:style>
  <w:style w:type="numbering" w:customStyle="1" w:styleId="NoList2125">
    <w:name w:val="No List2125"/>
    <w:next w:val="NoList"/>
    <w:uiPriority w:val="99"/>
    <w:semiHidden/>
    <w:unhideWhenUsed/>
    <w:rsid w:val="009B2D9D"/>
  </w:style>
  <w:style w:type="numbering" w:customStyle="1" w:styleId="NoList53">
    <w:name w:val="No List53"/>
    <w:next w:val="NoList"/>
    <w:uiPriority w:val="99"/>
    <w:semiHidden/>
    <w:unhideWhenUsed/>
    <w:rsid w:val="009B2D9D"/>
  </w:style>
  <w:style w:type="numbering" w:customStyle="1" w:styleId="Radovan33">
    <w:name w:val="Radovan33"/>
    <w:uiPriority w:val="99"/>
    <w:rsid w:val="009B2D9D"/>
  </w:style>
  <w:style w:type="numbering" w:customStyle="1" w:styleId="Style143">
    <w:name w:val="Style143"/>
    <w:uiPriority w:val="99"/>
    <w:rsid w:val="009B2D9D"/>
  </w:style>
  <w:style w:type="numbering" w:customStyle="1" w:styleId="Style233">
    <w:name w:val="Style233"/>
    <w:uiPriority w:val="99"/>
    <w:rsid w:val="009B2D9D"/>
  </w:style>
  <w:style w:type="numbering" w:customStyle="1" w:styleId="NoList143">
    <w:name w:val="No List143"/>
    <w:next w:val="NoList"/>
    <w:uiPriority w:val="99"/>
    <w:semiHidden/>
    <w:unhideWhenUsed/>
    <w:rsid w:val="009B2D9D"/>
  </w:style>
  <w:style w:type="numbering" w:customStyle="1" w:styleId="NoList1143">
    <w:name w:val="No List1143"/>
    <w:next w:val="NoList"/>
    <w:uiPriority w:val="99"/>
    <w:semiHidden/>
    <w:unhideWhenUsed/>
    <w:rsid w:val="009B2D9D"/>
  </w:style>
  <w:style w:type="numbering" w:customStyle="1" w:styleId="NoList11143">
    <w:name w:val="No List11143"/>
    <w:next w:val="NoList"/>
    <w:uiPriority w:val="99"/>
    <w:semiHidden/>
    <w:unhideWhenUsed/>
    <w:rsid w:val="009B2D9D"/>
  </w:style>
  <w:style w:type="numbering" w:customStyle="1" w:styleId="Style1123">
    <w:name w:val="Style1123"/>
    <w:uiPriority w:val="99"/>
    <w:rsid w:val="009B2D9D"/>
  </w:style>
  <w:style w:type="numbering" w:customStyle="1" w:styleId="NoList233">
    <w:name w:val="No List233"/>
    <w:next w:val="NoList"/>
    <w:uiPriority w:val="99"/>
    <w:semiHidden/>
    <w:unhideWhenUsed/>
    <w:rsid w:val="009B2D9D"/>
  </w:style>
  <w:style w:type="numbering" w:customStyle="1" w:styleId="Radovan123">
    <w:name w:val="Radovan123"/>
    <w:uiPriority w:val="99"/>
    <w:rsid w:val="009B2D9D"/>
  </w:style>
  <w:style w:type="numbering" w:customStyle="1" w:styleId="Style1213">
    <w:name w:val="Style1213"/>
    <w:uiPriority w:val="99"/>
    <w:rsid w:val="009B2D9D"/>
  </w:style>
  <w:style w:type="numbering" w:customStyle="1" w:styleId="Style2123">
    <w:name w:val="Style2123"/>
    <w:uiPriority w:val="99"/>
    <w:rsid w:val="009B2D9D"/>
  </w:style>
  <w:style w:type="numbering" w:customStyle="1" w:styleId="NoList1233">
    <w:name w:val="No List1233"/>
    <w:next w:val="NoList"/>
    <w:uiPriority w:val="99"/>
    <w:semiHidden/>
    <w:unhideWhenUsed/>
    <w:rsid w:val="009B2D9D"/>
  </w:style>
  <w:style w:type="numbering" w:customStyle="1" w:styleId="NoList11233">
    <w:name w:val="No List11233"/>
    <w:next w:val="NoList"/>
    <w:uiPriority w:val="99"/>
    <w:semiHidden/>
    <w:unhideWhenUsed/>
    <w:rsid w:val="009B2D9D"/>
  </w:style>
  <w:style w:type="numbering" w:customStyle="1" w:styleId="NoList111133">
    <w:name w:val="No List111133"/>
    <w:next w:val="NoList"/>
    <w:uiPriority w:val="99"/>
    <w:semiHidden/>
    <w:unhideWhenUsed/>
    <w:rsid w:val="009B2D9D"/>
  </w:style>
  <w:style w:type="numbering" w:customStyle="1" w:styleId="NoList2133">
    <w:name w:val="No List2133"/>
    <w:next w:val="NoList"/>
    <w:uiPriority w:val="99"/>
    <w:semiHidden/>
    <w:unhideWhenUsed/>
    <w:rsid w:val="009B2D9D"/>
  </w:style>
  <w:style w:type="numbering" w:customStyle="1" w:styleId="NoList1111123">
    <w:name w:val="No List1111123"/>
    <w:next w:val="NoList"/>
    <w:uiPriority w:val="99"/>
    <w:semiHidden/>
    <w:unhideWhenUsed/>
    <w:rsid w:val="009B2D9D"/>
  </w:style>
  <w:style w:type="numbering" w:customStyle="1" w:styleId="NoList323">
    <w:name w:val="No List323"/>
    <w:next w:val="NoList"/>
    <w:uiPriority w:val="99"/>
    <w:semiHidden/>
    <w:unhideWhenUsed/>
    <w:rsid w:val="009B2D9D"/>
  </w:style>
  <w:style w:type="numbering" w:customStyle="1" w:styleId="NoList12123">
    <w:name w:val="No List12123"/>
    <w:next w:val="NoList"/>
    <w:uiPriority w:val="99"/>
    <w:semiHidden/>
    <w:unhideWhenUsed/>
    <w:rsid w:val="009B2D9D"/>
  </w:style>
  <w:style w:type="numbering" w:customStyle="1" w:styleId="NoList112123">
    <w:name w:val="No List112123"/>
    <w:next w:val="NoList"/>
    <w:uiPriority w:val="99"/>
    <w:semiHidden/>
    <w:unhideWhenUsed/>
    <w:rsid w:val="009B2D9D"/>
  </w:style>
  <w:style w:type="numbering" w:customStyle="1" w:styleId="NoList111223">
    <w:name w:val="No List111223"/>
    <w:next w:val="NoList"/>
    <w:uiPriority w:val="99"/>
    <w:semiHidden/>
    <w:unhideWhenUsed/>
    <w:rsid w:val="009B2D9D"/>
  </w:style>
  <w:style w:type="numbering" w:customStyle="1" w:styleId="NoList21123">
    <w:name w:val="No List21123"/>
    <w:next w:val="NoList"/>
    <w:uiPriority w:val="99"/>
    <w:semiHidden/>
    <w:unhideWhenUsed/>
    <w:rsid w:val="009B2D9D"/>
  </w:style>
  <w:style w:type="numbering" w:customStyle="1" w:styleId="Style323">
    <w:name w:val="Style323"/>
    <w:uiPriority w:val="99"/>
    <w:rsid w:val="009B2D9D"/>
  </w:style>
  <w:style w:type="numbering" w:customStyle="1" w:styleId="NoList413">
    <w:name w:val="No List413"/>
    <w:next w:val="NoList"/>
    <w:uiPriority w:val="99"/>
    <w:semiHidden/>
    <w:unhideWhenUsed/>
    <w:rsid w:val="009B2D9D"/>
  </w:style>
  <w:style w:type="numbering" w:customStyle="1" w:styleId="Radovan213">
    <w:name w:val="Radovan213"/>
    <w:uiPriority w:val="99"/>
    <w:rsid w:val="009B2D9D"/>
  </w:style>
  <w:style w:type="numbering" w:customStyle="1" w:styleId="Style1313">
    <w:name w:val="Style1313"/>
    <w:uiPriority w:val="99"/>
    <w:rsid w:val="009B2D9D"/>
  </w:style>
  <w:style w:type="numbering" w:customStyle="1" w:styleId="Style2213">
    <w:name w:val="Style2213"/>
    <w:uiPriority w:val="99"/>
    <w:rsid w:val="009B2D9D"/>
  </w:style>
  <w:style w:type="numbering" w:customStyle="1" w:styleId="NoList1313">
    <w:name w:val="No List1313"/>
    <w:next w:val="NoList"/>
    <w:uiPriority w:val="99"/>
    <w:semiHidden/>
    <w:unhideWhenUsed/>
    <w:rsid w:val="009B2D9D"/>
  </w:style>
  <w:style w:type="numbering" w:customStyle="1" w:styleId="NoList11313">
    <w:name w:val="No List11313"/>
    <w:next w:val="NoList"/>
    <w:uiPriority w:val="99"/>
    <w:semiHidden/>
    <w:unhideWhenUsed/>
    <w:rsid w:val="009B2D9D"/>
  </w:style>
  <w:style w:type="numbering" w:customStyle="1" w:styleId="NoList111313">
    <w:name w:val="No List111313"/>
    <w:next w:val="NoList"/>
    <w:uiPriority w:val="99"/>
    <w:semiHidden/>
    <w:unhideWhenUsed/>
    <w:rsid w:val="009B2D9D"/>
  </w:style>
  <w:style w:type="numbering" w:customStyle="1" w:styleId="Style11123">
    <w:name w:val="Style11123"/>
    <w:uiPriority w:val="99"/>
    <w:rsid w:val="009B2D9D"/>
  </w:style>
  <w:style w:type="numbering" w:customStyle="1" w:styleId="NoList2213">
    <w:name w:val="No List2213"/>
    <w:next w:val="NoList"/>
    <w:uiPriority w:val="99"/>
    <w:semiHidden/>
    <w:unhideWhenUsed/>
    <w:rsid w:val="009B2D9D"/>
  </w:style>
  <w:style w:type="numbering" w:customStyle="1" w:styleId="Style3123">
    <w:name w:val="Style3123"/>
    <w:uiPriority w:val="99"/>
    <w:rsid w:val="009B2D9D"/>
  </w:style>
  <w:style w:type="numbering" w:customStyle="1" w:styleId="NoList1111213">
    <w:name w:val="No List1111213"/>
    <w:next w:val="NoList"/>
    <w:uiPriority w:val="99"/>
    <w:semiHidden/>
    <w:unhideWhenUsed/>
    <w:rsid w:val="009B2D9D"/>
  </w:style>
  <w:style w:type="numbering" w:customStyle="1" w:styleId="NoList3123">
    <w:name w:val="No List3123"/>
    <w:next w:val="NoList"/>
    <w:uiPriority w:val="99"/>
    <w:semiHidden/>
    <w:unhideWhenUsed/>
    <w:rsid w:val="009B2D9D"/>
  </w:style>
  <w:style w:type="numbering" w:customStyle="1" w:styleId="NoList12213">
    <w:name w:val="No List12213"/>
    <w:next w:val="NoList"/>
    <w:uiPriority w:val="99"/>
    <w:semiHidden/>
    <w:unhideWhenUsed/>
    <w:rsid w:val="009B2D9D"/>
  </w:style>
  <w:style w:type="numbering" w:customStyle="1" w:styleId="NoList112213">
    <w:name w:val="No List112213"/>
    <w:next w:val="NoList"/>
    <w:uiPriority w:val="99"/>
    <w:semiHidden/>
    <w:unhideWhenUsed/>
    <w:rsid w:val="009B2D9D"/>
  </w:style>
  <w:style w:type="numbering" w:customStyle="1" w:styleId="NoList1112113">
    <w:name w:val="No List1112113"/>
    <w:next w:val="NoList"/>
    <w:uiPriority w:val="99"/>
    <w:semiHidden/>
    <w:unhideWhenUsed/>
    <w:rsid w:val="009B2D9D"/>
  </w:style>
  <w:style w:type="numbering" w:customStyle="1" w:styleId="NoList21213">
    <w:name w:val="No List21213"/>
    <w:next w:val="NoList"/>
    <w:uiPriority w:val="99"/>
    <w:semiHidden/>
    <w:unhideWhenUsed/>
    <w:rsid w:val="009B2D9D"/>
  </w:style>
  <w:style w:type="numbering" w:customStyle="1" w:styleId="Style31113">
    <w:name w:val="Style31113"/>
    <w:uiPriority w:val="99"/>
    <w:rsid w:val="009B2D9D"/>
  </w:style>
  <w:style w:type="numbering" w:customStyle="1" w:styleId="NoList63">
    <w:name w:val="No List63"/>
    <w:next w:val="NoList"/>
    <w:uiPriority w:val="99"/>
    <w:semiHidden/>
    <w:unhideWhenUsed/>
    <w:rsid w:val="009B2D9D"/>
  </w:style>
  <w:style w:type="numbering" w:customStyle="1" w:styleId="Radovan43">
    <w:name w:val="Radovan43"/>
    <w:uiPriority w:val="99"/>
    <w:rsid w:val="009B2D9D"/>
  </w:style>
  <w:style w:type="numbering" w:customStyle="1" w:styleId="Style153">
    <w:name w:val="Style153"/>
    <w:uiPriority w:val="99"/>
    <w:rsid w:val="009B2D9D"/>
  </w:style>
  <w:style w:type="numbering" w:customStyle="1" w:styleId="Style243">
    <w:name w:val="Style243"/>
    <w:uiPriority w:val="99"/>
    <w:rsid w:val="009B2D9D"/>
  </w:style>
  <w:style w:type="numbering" w:customStyle="1" w:styleId="NoList153">
    <w:name w:val="No List153"/>
    <w:next w:val="NoList"/>
    <w:uiPriority w:val="99"/>
    <w:semiHidden/>
    <w:unhideWhenUsed/>
    <w:rsid w:val="009B2D9D"/>
  </w:style>
  <w:style w:type="numbering" w:customStyle="1" w:styleId="NoList1153">
    <w:name w:val="No List1153"/>
    <w:next w:val="NoList"/>
    <w:uiPriority w:val="99"/>
    <w:semiHidden/>
    <w:unhideWhenUsed/>
    <w:rsid w:val="009B2D9D"/>
  </w:style>
  <w:style w:type="numbering" w:customStyle="1" w:styleId="NoList11153">
    <w:name w:val="No List11153"/>
    <w:next w:val="NoList"/>
    <w:uiPriority w:val="99"/>
    <w:semiHidden/>
    <w:unhideWhenUsed/>
    <w:rsid w:val="009B2D9D"/>
  </w:style>
  <w:style w:type="numbering" w:customStyle="1" w:styleId="Style1133">
    <w:name w:val="Style1133"/>
    <w:uiPriority w:val="99"/>
    <w:rsid w:val="009B2D9D"/>
  </w:style>
  <w:style w:type="numbering" w:customStyle="1" w:styleId="NoList243">
    <w:name w:val="No List243"/>
    <w:next w:val="NoList"/>
    <w:uiPriority w:val="99"/>
    <w:semiHidden/>
    <w:unhideWhenUsed/>
    <w:rsid w:val="009B2D9D"/>
  </w:style>
  <w:style w:type="numbering" w:customStyle="1" w:styleId="Style1223">
    <w:name w:val="Style1223"/>
    <w:uiPriority w:val="99"/>
    <w:rsid w:val="009B2D9D"/>
  </w:style>
  <w:style w:type="numbering" w:customStyle="1" w:styleId="Style2133">
    <w:name w:val="Style2133"/>
    <w:uiPriority w:val="99"/>
    <w:rsid w:val="009B2D9D"/>
  </w:style>
  <w:style w:type="numbering" w:customStyle="1" w:styleId="NoList1243">
    <w:name w:val="No List1243"/>
    <w:next w:val="NoList"/>
    <w:uiPriority w:val="99"/>
    <w:semiHidden/>
    <w:unhideWhenUsed/>
    <w:rsid w:val="009B2D9D"/>
  </w:style>
  <w:style w:type="numbering" w:customStyle="1" w:styleId="NoList11243">
    <w:name w:val="No List11243"/>
    <w:next w:val="NoList"/>
    <w:uiPriority w:val="99"/>
    <w:semiHidden/>
    <w:unhideWhenUsed/>
    <w:rsid w:val="009B2D9D"/>
  </w:style>
  <w:style w:type="numbering" w:customStyle="1" w:styleId="NoList111143">
    <w:name w:val="No List111143"/>
    <w:next w:val="NoList"/>
    <w:uiPriority w:val="99"/>
    <w:semiHidden/>
    <w:unhideWhenUsed/>
    <w:rsid w:val="009B2D9D"/>
  </w:style>
  <w:style w:type="numbering" w:customStyle="1" w:styleId="NoList2143">
    <w:name w:val="No List2143"/>
    <w:next w:val="NoList"/>
    <w:uiPriority w:val="99"/>
    <w:semiHidden/>
    <w:unhideWhenUsed/>
    <w:rsid w:val="009B2D9D"/>
  </w:style>
  <w:style w:type="numbering" w:customStyle="1" w:styleId="NoList1111133">
    <w:name w:val="No List1111133"/>
    <w:next w:val="NoList"/>
    <w:uiPriority w:val="99"/>
    <w:semiHidden/>
    <w:unhideWhenUsed/>
    <w:rsid w:val="009B2D9D"/>
  </w:style>
  <w:style w:type="numbering" w:customStyle="1" w:styleId="NoList333">
    <w:name w:val="No List333"/>
    <w:next w:val="NoList"/>
    <w:uiPriority w:val="99"/>
    <w:semiHidden/>
    <w:unhideWhenUsed/>
    <w:rsid w:val="009B2D9D"/>
  </w:style>
  <w:style w:type="numbering" w:customStyle="1" w:styleId="NoList12133">
    <w:name w:val="No List12133"/>
    <w:next w:val="NoList"/>
    <w:uiPriority w:val="99"/>
    <w:semiHidden/>
    <w:unhideWhenUsed/>
    <w:rsid w:val="009B2D9D"/>
  </w:style>
  <w:style w:type="numbering" w:customStyle="1" w:styleId="NoList112133">
    <w:name w:val="No List112133"/>
    <w:next w:val="NoList"/>
    <w:uiPriority w:val="99"/>
    <w:semiHidden/>
    <w:unhideWhenUsed/>
    <w:rsid w:val="009B2D9D"/>
  </w:style>
  <w:style w:type="numbering" w:customStyle="1" w:styleId="NoList111233">
    <w:name w:val="No List111233"/>
    <w:next w:val="NoList"/>
    <w:uiPriority w:val="99"/>
    <w:semiHidden/>
    <w:unhideWhenUsed/>
    <w:rsid w:val="009B2D9D"/>
  </w:style>
  <w:style w:type="numbering" w:customStyle="1" w:styleId="NoList21133">
    <w:name w:val="No List21133"/>
    <w:next w:val="NoList"/>
    <w:uiPriority w:val="99"/>
    <w:semiHidden/>
    <w:unhideWhenUsed/>
    <w:rsid w:val="009B2D9D"/>
  </w:style>
  <w:style w:type="numbering" w:customStyle="1" w:styleId="NoList423">
    <w:name w:val="No List423"/>
    <w:next w:val="NoList"/>
    <w:uiPriority w:val="99"/>
    <w:semiHidden/>
    <w:unhideWhenUsed/>
    <w:rsid w:val="009B2D9D"/>
  </w:style>
  <w:style w:type="numbering" w:customStyle="1" w:styleId="NoList1323">
    <w:name w:val="No List1323"/>
    <w:next w:val="NoList"/>
    <w:uiPriority w:val="99"/>
    <w:semiHidden/>
    <w:unhideWhenUsed/>
    <w:rsid w:val="009B2D9D"/>
  </w:style>
  <w:style w:type="numbering" w:customStyle="1" w:styleId="NoList11323">
    <w:name w:val="No List11323"/>
    <w:next w:val="NoList"/>
    <w:uiPriority w:val="99"/>
    <w:semiHidden/>
    <w:unhideWhenUsed/>
    <w:rsid w:val="009B2D9D"/>
  </w:style>
  <w:style w:type="numbering" w:customStyle="1" w:styleId="NoList111323">
    <w:name w:val="No List111323"/>
    <w:next w:val="NoList"/>
    <w:uiPriority w:val="99"/>
    <w:semiHidden/>
    <w:unhideWhenUsed/>
    <w:rsid w:val="009B2D9D"/>
  </w:style>
  <w:style w:type="numbering" w:customStyle="1" w:styleId="NoList2223">
    <w:name w:val="No List2223"/>
    <w:next w:val="NoList"/>
    <w:uiPriority w:val="99"/>
    <w:semiHidden/>
    <w:unhideWhenUsed/>
    <w:rsid w:val="009B2D9D"/>
  </w:style>
  <w:style w:type="numbering" w:customStyle="1" w:styleId="NoList1111223">
    <w:name w:val="No List1111223"/>
    <w:next w:val="NoList"/>
    <w:uiPriority w:val="99"/>
    <w:semiHidden/>
    <w:unhideWhenUsed/>
    <w:rsid w:val="009B2D9D"/>
  </w:style>
  <w:style w:type="numbering" w:customStyle="1" w:styleId="NoList3133">
    <w:name w:val="No List3133"/>
    <w:next w:val="NoList"/>
    <w:uiPriority w:val="99"/>
    <w:semiHidden/>
    <w:unhideWhenUsed/>
    <w:rsid w:val="009B2D9D"/>
  </w:style>
  <w:style w:type="numbering" w:customStyle="1" w:styleId="NoList12223">
    <w:name w:val="No List12223"/>
    <w:next w:val="NoList"/>
    <w:uiPriority w:val="99"/>
    <w:semiHidden/>
    <w:unhideWhenUsed/>
    <w:rsid w:val="009B2D9D"/>
  </w:style>
  <w:style w:type="numbering" w:customStyle="1" w:styleId="NoList112223">
    <w:name w:val="No List112223"/>
    <w:next w:val="NoList"/>
    <w:uiPriority w:val="99"/>
    <w:semiHidden/>
    <w:unhideWhenUsed/>
    <w:rsid w:val="009B2D9D"/>
  </w:style>
  <w:style w:type="numbering" w:customStyle="1" w:styleId="NoList1112123">
    <w:name w:val="No List1112123"/>
    <w:next w:val="NoList"/>
    <w:uiPriority w:val="99"/>
    <w:semiHidden/>
    <w:unhideWhenUsed/>
    <w:rsid w:val="009B2D9D"/>
  </w:style>
  <w:style w:type="numbering" w:customStyle="1" w:styleId="NoList21223">
    <w:name w:val="No List21223"/>
    <w:next w:val="NoList"/>
    <w:uiPriority w:val="99"/>
    <w:semiHidden/>
    <w:unhideWhenUsed/>
    <w:rsid w:val="009B2D9D"/>
  </w:style>
  <w:style w:type="table" w:customStyle="1" w:styleId="LightShading-Accent3113">
    <w:name w:val="Light Shading - Accent 3113"/>
    <w:basedOn w:val="TableNormal"/>
    <w:next w:val="LightShading-Accent3"/>
    <w:uiPriority w:val="60"/>
    <w:rsid w:val="009B2D9D"/>
    <w:pPr>
      <w:spacing w:after="0" w:line="240" w:lineRule="auto"/>
    </w:pPr>
    <w:rPr>
      <w:rFonts w:ascii="Calibri" w:eastAsia="Calibri" w:hAnsi="Calibri" w:cs="Times New Roman"/>
      <w:color w:val="7B7B7B" w:themeColor="accent3" w:themeShade="BF"/>
      <w:kern w:val="0"/>
      <w:sz w:val="20"/>
      <w:szCs w:val="20"/>
      <w14:ligatures w14:val="none"/>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LightList-Accent2113">
    <w:name w:val="Light List - Accent 2113"/>
    <w:basedOn w:val="TableNormal"/>
    <w:next w:val="LightList-Accent2"/>
    <w:uiPriority w:val="61"/>
    <w:rsid w:val="009B2D9D"/>
    <w:pPr>
      <w:spacing w:after="0" w:line="240" w:lineRule="auto"/>
    </w:pPr>
    <w:rPr>
      <w:rFonts w:eastAsiaTheme="minorEastAsia"/>
      <w:kern w:val="0"/>
      <w:lang w:val="sr-Latn-CS" w:eastAsia="sr-Latn-CS"/>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customStyle="1" w:styleId="PlainTable41113">
    <w:name w:val="Plain Table 41113"/>
    <w:basedOn w:val="TableNormal"/>
    <w:uiPriority w:val="44"/>
    <w:rsid w:val="009B2D9D"/>
    <w:pPr>
      <w:spacing w:after="0" w:line="240" w:lineRule="auto"/>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23">
    <w:name w:val="Plain Table 2123"/>
    <w:basedOn w:val="TableNormal"/>
    <w:uiPriority w:val="42"/>
    <w:rsid w:val="009B2D9D"/>
    <w:pPr>
      <w:spacing w:after="0" w:line="240" w:lineRule="auto"/>
    </w:pPr>
    <w:rPr>
      <w:kern w:val="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Light123">
    <w:name w:val="Table Grid Light123"/>
    <w:basedOn w:val="TableNormal"/>
    <w:uiPriority w:val="40"/>
    <w:rsid w:val="009B2D9D"/>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233">
    <w:name w:val="Table Grid Light233"/>
    <w:basedOn w:val="TableNormal"/>
    <w:uiPriority w:val="40"/>
    <w:rsid w:val="009B2D9D"/>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2113">
    <w:name w:val="Table Grid Light2113"/>
    <w:basedOn w:val="TableNormal"/>
    <w:uiPriority w:val="40"/>
    <w:rsid w:val="009B2D9D"/>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2-Accent112">
    <w:name w:val="Grid Table 2 - Accent 112"/>
    <w:basedOn w:val="TableNormal"/>
    <w:uiPriority w:val="47"/>
    <w:rsid w:val="009B2D9D"/>
    <w:pPr>
      <w:spacing w:after="0" w:line="240" w:lineRule="auto"/>
    </w:pPr>
    <w:rPr>
      <w:kern w:val="0"/>
      <w14:ligatures w14:val="none"/>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4-Accent512">
    <w:name w:val="Grid Table 4 - Accent 512"/>
    <w:basedOn w:val="TableNormal"/>
    <w:uiPriority w:val="49"/>
    <w:rsid w:val="009B2D9D"/>
    <w:pPr>
      <w:spacing w:after="0" w:line="240" w:lineRule="auto"/>
    </w:pPr>
    <w:rPr>
      <w:kern w:val="0"/>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3-Accent512">
    <w:name w:val="Grid Table 3 - Accent 512"/>
    <w:basedOn w:val="TableNormal"/>
    <w:uiPriority w:val="48"/>
    <w:rsid w:val="009B2D9D"/>
    <w:pPr>
      <w:spacing w:after="0" w:line="240" w:lineRule="auto"/>
    </w:pPr>
    <w:rPr>
      <w:kern w:val="0"/>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ListTable2-Accent512">
    <w:name w:val="List Table 2 - Accent 512"/>
    <w:basedOn w:val="TableNormal"/>
    <w:uiPriority w:val="47"/>
    <w:rsid w:val="009B2D9D"/>
    <w:pPr>
      <w:spacing w:after="0" w:line="240" w:lineRule="auto"/>
    </w:pPr>
    <w:rPr>
      <w:kern w:val="0"/>
      <w14:ligatures w14:val="none"/>
    </w:r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6Colorful-Accent522">
    <w:name w:val="Grid Table 6 Colorful - Accent 522"/>
    <w:basedOn w:val="TableNormal"/>
    <w:uiPriority w:val="51"/>
    <w:rsid w:val="009B2D9D"/>
    <w:pPr>
      <w:spacing w:after="0" w:line="240" w:lineRule="auto"/>
    </w:pPr>
    <w:rPr>
      <w:color w:val="2E74B5" w:themeColor="accent5" w:themeShade="BF"/>
      <w:kern w:val="0"/>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5Dark-Accent512">
    <w:name w:val="Grid Table 5 Dark - Accent 512"/>
    <w:basedOn w:val="TableNormal"/>
    <w:uiPriority w:val="50"/>
    <w:rsid w:val="009B2D9D"/>
    <w:pPr>
      <w:spacing w:after="0" w:line="240" w:lineRule="auto"/>
    </w:pPr>
    <w:rPr>
      <w:kern w:val="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GridTable5Dark-Accent132">
    <w:name w:val="Grid Table 5 Dark - Accent 132"/>
    <w:basedOn w:val="TableNormal"/>
    <w:uiPriority w:val="50"/>
    <w:rsid w:val="009B2D9D"/>
    <w:pPr>
      <w:spacing w:after="0" w:line="240" w:lineRule="auto"/>
    </w:pPr>
    <w:rPr>
      <w:kern w:val="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TableGridLight32">
    <w:name w:val="Table Grid Light32"/>
    <w:basedOn w:val="TableNormal"/>
    <w:uiPriority w:val="40"/>
    <w:rsid w:val="009B2D9D"/>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12">
    <w:name w:val="Plain Table 112"/>
    <w:basedOn w:val="TableNormal"/>
    <w:uiPriority w:val="41"/>
    <w:rsid w:val="009B2D9D"/>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1Light-Accent212">
    <w:name w:val="Grid Table 1 Light - Accent 212"/>
    <w:basedOn w:val="TableNormal"/>
    <w:uiPriority w:val="46"/>
    <w:rsid w:val="009B2D9D"/>
    <w:pPr>
      <w:spacing w:after="0" w:line="240" w:lineRule="auto"/>
    </w:pPr>
    <w:rPr>
      <w:kern w:val="0"/>
      <w14:ligatures w14:val="none"/>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GridTable5Dark-Accent212">
    <w:name w:val="Grid Table 5 Dark - Accent 212"/>
    <w:basedOn w:val="TableNormal"/>
    <w:uiPriority w:val="50"/>
    <w:rsid w:val="009B2D9D"/>
    <w:pPr>
      <w:spacing w:after="0" w:line="240" w:lineRule="auto"/>
    </w:pPr>
    <w:rPr>
      <w:kern w:val="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ridTable6Colorful-Accent212">
    <w:name w:val="Grid Table 6 Colorful - Accent 212"/>
    <w:basedOn w:val="TableNormal"/>
    <w:uiPriority w:val="51"/>
    <w:rsid w:val="009B2D9D"/>
    <w:pPr>
      <w:spacing w:after="0" w:line="240" w:lineRule="auto"/>
    </w:pPr>
    <w:rPr>
      <w:color w:val="C45911" w:themeColor="accent2" w:themeShade="BF"/>
      <w:kern w:val="0"/>
      <w14:ligatures w14:val="non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6Colorful-Accent412">
    <w:name w:val="Grid Table 6 Colorful - Accent 412"/>
    <w:basedOn w:val="TableNormal"/>
    <w:uiPriority w:val="51"/>
    <w:rsid w:val="009B2D9D"/>
    <w:pPr>
      <w:spacing w:after="0" w:line="240" w:lineRule="auto"/>
    </w:pPr>
    <w:rPr>
      <w:color w:val="BF8F00" w:themeColor="accent4" w:themeShade="BF"/>
      <w:kern w:val="0"/>
      <w14:ligatures w14:val="none"/>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5Dark-Accent212">
    <w:name w:val="List Table 5 Dark - Accent 212"/>
    <w:basedOn w:val="TableNormal"/>
    <w:uiPriority w:val="50"/>
    <w:rsid w:val="009B2D9D"/>
    <w:pPr>
      <w:spacing w:after="0" w:line="240" w:lineRule="auto"/>
    </w:pPr>
    <w:rPr>
      <w:color w:val="FFFFFF" w:themeColor="background1"/>
      <w:kern w:val="0"/>
      <w14:ligatures w14:val="none"/>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3-Accent212">
    <w:name w:val="List Table 3 - Accent 212"/>
    <w:basedOn w:val="TableNormal"/>
    <w:uiPriority w:val="48"/>
    <w:rsid w:val="009B2D9D"/>
    <w:pPr>
      <w:spacing w:after="0" w:line="240" w:lineRule="auto"/>
    </w:pPr>
    <w:rPr>
      <w:kern w:val="0"/>
      <w14:ligatures w14:val="none"/>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Table3-Accent412">
    <w:name w:val="List Table 3 - Accent 412"/>
    <w:basedOn w:val="TableNormal"/>
    <w:uiPriority w:val="48"/>
    <w:rsid w:val="009B2D9D"/>
    <w:pPr>
      <w:spacing w:after="0" w:line="240" w:lineRule="auto"/>
    </w:pPr>
    <w:rPr>
      <w:kern w:val="0"/>
      <w14:ligatures w14:val="none"/>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customStyle="1" w:styleId="ListTable6Colorful-Accent412">
    <w:name w:val="List Table 6 Colorful - Accent 412"/>
    <w:basedOn w:val="TableNormal"/>
    <w:uiPriority w:val="51"/>
    <w:rsid w:val="009B2D9D"/>
    <w:pPr>
      <w:spacing w:after="0" w:line="240" w:lineRule="auto"/>
    </w:pPr>
    <w:rPr>
      <w:color w:val="BF8F00" w:themeColor="accent4" w:themeShade="BF"/>
      <w:kern w:val="0"/>
      <w14:ligatures w14:val="none"/>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4-Accent412">
    <w:name w:val="Grid Table 4 - Accent 412"/>
    <w:basedOn w:val="TableNormal"/>
    <w:uiPriority w:val="49"/>
    <w:rsid w:val="009B2D9D"/>
    <w:pPr>
      <w:spacing w:after="0" w:line="240" w:lineRule="auto"/>
    </w:pPr>
    <w:rPr>
      <w:kern w:val="0"/>
      <w14:ligatures w14:val="none"/>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7Colorful-Accent412">
    <w:name w:val="List Table 7 Colorful - Accent 412"/>
    <w:basedOn w:val="TableNormal"/>
    <w:uiPriority w:val="52"/>
    <w:rsid w:val="009B2D9D"/>
    <w:pPr>
      <w:spacing w:after="0" w:line="240" w:lineRule="auto"/>
    </w:pPr>
    <w:rPr>
      <w:color w:val="BF8F00" w:themeColor="accent4" w:themeShade="BF"/>
      <w:kern w:val="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5Dark-Accent412">
    <w:name w:val="List Table 5 Dark - Accent 412"/>
    <w:basedOn w:val="TableNormal"/>
    <w:uiPriority w:val="50"/>
    <w:rsid w:val="009B2D9D"/>
    <w:pPr>
      <w:spacing w:after="0" w:line="240" w:lineRule="auto"/>
    </w:pPr>
    <w:rPr>
      <w:color w:val="FFFFFF" w:themeColor="background1"/>
      <w:kern w:val="0"/>
      <w14:ligatures w14:val="none"/>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GridTable2-Accent412">
    <w:name w:val="Grid Table 2 - Accent 412"/>
    <w:basedOn w:val="TableNormal"/>
    <w:uiPriority w:val="47"/>
    <w:rsid w:val="009B2D9D"/>
    <w:pPr>
      <w:spacing w:after="0" w:line="240" w:lineRule="auto"/>
    </w:pPr>
    <w:rPr>
      <w:kern w:val="0"/>
      <w14:ligatures w14:val="none"/>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7Colorful-Accent212">
    <w:name w:val="Grid Table 7 Colorful - Accent 212"/>
    <w:basedOn w:val="TableNormal"/>
    <w:uiPriority w:val="52"/>
    <w:rsid w:val="009B2D9D"/>
    <w:pPr>
      <w:spacing w:after="0" w:line="240" w:lineRule="auto"/>
    </w:pPr>
    <w:rPr>
      <w:color w:val="C45911" w:themeColor="accent2" w:themeShade="BF"/>
      <w:kern w:val="0"/>
      <w14:ligatures w14:val="non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ListTable2-Accent412">
    <w:name w:val="List Table 2 - Accent 412"/>
    <w:basedOn w:val="TableNormal"/>
    <w:uiPriority w:val="47"/>
    <w:rsid w:val="009B2D9D"/>
    <w:pPr>
      <w:spacing w:after="0" w:line="240" w:lineRule="auto"/>
    </w:pPr>
    <w:rPr>
      <w:kern w:val="0"/>
      <w14:ligatures w14:val="none"/>
    </w:r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1Light-Accent412">
    <w:name w:val="Grid Table 1 Light - Accent 412"/>
    <w:basedOn w:val="TableNormal"/>
    <w:uiPriority w:val="46"/>
    <w:rsid w:val="009B2D9D"/>
    <w:pPr>
      <w:spacing w:after="0" w:line="240" w:lineRule="auto"/>
    </w:pPr>
    <w:rPr>
      <w:kern w:val="0"/>
      <w14:ligatures w14:val="none"/>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ListTable2-Accent312">
    <w:name w:val="List Table 2 - Accent 312"/>
    <w:basedOn w:val="TableNormal"/>
    <w:uiPriority w:val="47"/>
    <w:rsid w:val="009B2D9D"/>
    <w:pPr>
      <w:spacing w:after="0" w:line="240" w:lineRule="auto"/>
    </w:pPr>
    <w:rPr>
      <w:kern w:val="0"/>
      <w14:ligatures w14:val="none"/>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2-Accent212">
    <w:name w:val="List Table 2 - Accent 212"/>
    <w:basedOn w:val="TableNormal"/>
    <w:uiPriority w:val="47"/>
    <w:rsid w:val="009B2D9D"/>
    <w:pPr>
      <w:spacing w:after="0" w:line="240" w:lineRule="auto"/>
    </w:pPr>
    <w:rPr>
      <w:kern w:val="0"/>
      <w14:ligatures w14:val="none"/>
    </w:r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2-Accent112">
    <w:name w:val="List Table 2 - Accent 112"/>
    <w:basedOn w:val="TableNormal"/>
    <w:uiPriority w:val="47"/>
    <w:rsid w:val="009B2D9D"/>
    <w:pPr>
      <w:spacing w:after="0" w:line="240" w:lineRule="auto"/>
    </w:pPr>
    <w:rPr>
      <w:kern w:val="0"/>
      <w14:ligatures w14:val="none"/>
    </w:r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1Light-Accent412">
    <w:name w:val="List Table 1 Light - Accent 412"/>
    <w:basedOn w:val="TableNormal"/>
    <w:uiPriority w:val="46"/>
    <w:rsid w:val="009B2D9D"/>
    <w:pPr>
      <w:spacing w:after="0" w:line="240" w:lineRule="auto"/>
    </w:pPr>
    <w:rPr>
      <w:kern w:val="0"/>
      <w14:ligatures w14:val="none"/>
    </w:r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numbering" w:customStyle="1" w:styleId="NoList71">
    <w:name w:val="No List71"/>
    <w:next w:val="NoList"/>
    <w:uiPriority w:val="99"/>
    <w:semiHidden/>
    <w:unhideWhenUsed/>
    <w:rsid w:val="009B2D9D"/>
  </w:style>
  <w:style w:type="table" w:customStyle="1" w:styleId="TableGrid51">
    <w:name w:val="Table Grid51"/>
    <w:basedOn w:val="TableNormal"/>
    <w:next w:val="TableGrid"/>
    <w:uiPriority w:val="39"/>
    <w:rsid w:val="009B2D9D"/>
    <w:pPr>
      <w:spacing w:after="0" w:line="240" w:lineRule="auto"/>
    </w:pPr>
    <w:rPr>
      <w:kern w:val="0"/>
      <w:lang w:val="sr-Latn-M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21">
    <w:name w:val="Light Shading - Accent 1121"/>
    <w:basedOn w:val="TableNormal"/>
    <w:uiPriority w:val="60"/>
    <w:rsid w:val="009B2D9D"/>
    <w:pPr>
      <w:spacing w:after="0" w:line="240" w:lineRule="auto"/>
    </w:pPr>
    <w:rPr>
      <w:rFonts w:ascii="Calibri" w:eastAsia="Times New Roman" w:hAnsi="Calibri" w:cs="Times New Roman"/>
      <w:color w:val="365F91"/>
      <w:kern w:val="0"/>
      <w:sz w:val="20"/>
      <w:szCs w:val="20"/>
      <w:lang w:val="sr-Latn-CS" w:eastAsia="sr-Latn-CS" w:bidi="en-US"/>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Radovan61">
    <w:name w:val="Radovan61"/>
    <w:uiPriority w:val="99"/>
    <w:rsid w:val="009B2D9D"/>
  </w:style>
  <w:style w:type="table" w:customStyle="1" w:styleId="LightShading-Accent321">
    <w:name w:val="Light Shading - Accent 321"/>
    <w:basedOn w:val="TableNormal"/>
    <w:next w:val="LightShading-Accent3"/>
    <w:uiPriority w:val="60"/>
    <w:rsid w:val="009B2D9D"/>
    <w:pPr>
      <w:spacing w:after="0" w:line="240" w:lineRule="auto"/>
    </w:pPr>
    <w:rPr>
      <w:rFonts w:ascii="Calibri" w:eastAsia="Calibri" w:hAnsi="Calibri" w:cs="Times New Roman"/>
      <w:color w:val="7B7B7B" w:themeColor="accent3" w:themeShade="BF"/>
      <w:kern w:val="0"/>
      <w:sz w:val="20"/>
      <w:szCs w:val="20"/>
      <w14:ligatures w14:val="none"/>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LightList-Accent221">
    <w:name w:val="Light List - Accent 221"/>
    <w:basedOn w:val="TableNormal"/>
    <w:next w:val="LightList-Accent2"/>
    <w:uiPriority w:val="61"/>
    <w:rsid w:val="009B2D9D"/>
    <w:pPr>
      <w:spacing w:after="0" w:line="240" w:lineRule="auto"/>
    </w:pPr>
    <w:rPr>
      <w:rFonts w:eastAsiaTheme="minorEastAsia"/>
      <w:kern w:val="0"/>
      <w:lang w:val="sr-Latn-CS" w:eastAsia="sr-Latn-CS"/>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customStyle="1" w:styleId="TableNormal131">
    <w:name w:val="Table Normal131"/>
    <w:uiPriority w:val="2"/>
    <w:semiHidden/>
    <w:unhideWhenUsed/>
    <w:qFormat/>
    <w:rsid w:val="009B2D9D"/>
    <w:pPr>
      <w:widowControl w:val="0"/>
      <w:spacing w:after="0" w:line="240" w:lineRule="auto"/>
    </w:pPr>
    <w:rPr>
      <w:kern w:val="0"/>
      <w14:ligatures w14:val="none"/>
    </w:rPr>
    <w:tblPr>
      <w:tblInd w:w="0" w:type="dxa"/>
      <w:tblCellMar>
        <w:top w:w="0" w:type="dxa"/>
        <w:left w:w="0" w:type="dxa"/>
        <w:bottom w:w="0" w:type="dxa"/>
        <w:right w:w="0" w:type="dxa"/>
      </w:tblCellMar>
    </w:tblPr>
  </w:style>
  <w:style w:type="numbering" w:customStyle="1" w:styleId="NoList161">
    <w:name w:val="No List161"/>
    <w:next w:val="NoList"/>
    <w:uiPriority w:val="99"/>
    <w:semiHidden/>
    <w:unhideWhenUsed/>
    <w:rsid w:val="009B2D9D"/>
  </w:style>
  <w:style w:type="numbering" w:customStyle="1" w:styleId="NoList1161">
    <w:name w:val="No List1161"/>
    <w:next w:val="NoList"/>
    <w:uiPriority w:val="99"/>
    <w:semiHidden/>
    <w:unhideWhenUsed/>
    <w:rsid w:val="009B2D9D"/>
  </w:style>
  <w:style w:type="table" w:customStyle="1" w:styleId="TableElegant21">
    <w:name w:val="Table Elegant21"/>
    <w:basedOn w:val="TableNormal"/>
    <w:next w:val="TableElegant"/>
    <w:rsid w:val="009B2D9D"/>
    <w:pPr>
      <w:spacing w:after="0" w:line="240" w:lineRule="auto"/>
    </w:pPr>
    <w:rPr>
      <w:rFonts w:ascii="Times New Roman" w:eastAsia="Times New Roman" w:hAnsi="Times New Roman" w:cs="Times New Roman"/>
      <w:kern w:val="0"/>
      <w:sz w:val="20"/>
      <w:szCs w:val="20"/>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NoList11161">
    <w:name w:val="No List11161"/>
    <w:next w:val="NoList"/>
    <w:uiPriority w:val="99"/>
    <w:semiHidden/>
    <w:unhideWhenUsed/>
    <w:rsid w:val="009B2D9D"/>
  </w:style>
  <w:style w:type="table" w:customStyle="1" w:styleId="TableNormal1121">
    <w:name w:val="Table Normal1121"/>
    <w:uiPriority w:val="2"/>
    <w:semiHidden/>
    <w:unhideWhenUsed/>
    <w:qFormat/>
    <w:rsid w:val="009B2D9D"/>
    <w:pPr>
      <w:widowControl w:val="0"/>
      <w:spacing w:after="0" w:line="240" w:lineRule="auto"/>
    </w:pPr>
    <w:rPr>
      <w:kern w:val="0"/>
      <w14:ligatures w14:val="none"/>
    </w:rPr>
    <w:tblPr>
      <w:tblInd w:w="0" w:type="dxa"/>
      <w:tblCellMar>
        <w:top w:w="0" w:type="dxa"/>
        <w:left w:w="0" w:type="dxa"/>
        <w:bottom w:w="0" w:type="dxa"/>
        <w:right w:w="0" w:type="dxa"/>
      </w:tblCellMar>
    </w:tblPr>
  </w:style>
  <w:style w:type="table" w:customStyle="1" w:styleId="PERstyle21">
    <w:name w:val="PER style21"/>
    <w:basedOn w:val="TableNormal"/>
    <w:uiPriority w:val="99"/>
    <w:rsid w:val="009B2D9D"/>
    <w:pPr>
      <w:spacing w:after="0" w:line="240" w:lineRule="auto"/>
    </w:pPr>
    <w:rPr>
      <w:kern w:val="0"/>
      <w:lang w:val="sr-Latn-ME"/>
      <w14:ligatures w14:val="none"/>
    </w:rPr>
    <w:tblPr/>
  </w:style>
  <w:style w:type="table" w:customStyle="1" w:styleId="PlainTable4121">
    <w:name w:val="Plain Table 4121"/>
    <w:basedOn w:val="TableNormal"/>
    <w:uiPriority w:val="44"/>
    <w:rsid w:val="009B2D9D"/>
    <w:pPr>
      <w:spacing w:after="0" w:line="240" w:lineRule="auto"/>
    </w:pPr>
    <w:rPr>
      <w:kern w:val="0"/>
      <w:lang w:val="sr-Latn-ME"/>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NoList251">
    <w:name w:val="No List251"/>
    <w:next w:val="NoList"/>
    <w:uiPriority w:val="99"/>
    <w:semiHidden/>
    <w:unhideWhenUsed/>
    <w:rsid w:val="009B2D9D"/>
  </w:style>
  <w:style w:type="numbering" w:customStyle="1" w:styleId="NoList341">
    <w:name w:val="No List341"/>
    <w:next w:val="NoList"/>
    <w:uiPriority w:val="99"/>
    <w:semiHidden/>
    <w:unhideWhenUsed/>
    <w:rsid w:val="009B2D9D"/>
  </w:style>
  <w:style w:type="numbering" w:customStyle="1" w:styleId="Radovan141">
    <w:name w:val="Radovan141"/>
    <w:uiPriority w:val="99"/>
    <w:rsid w:val="009B2D9D"/>
  </w:style>
  <w:style w:type="numbering" w:customStyle="1" w:styleId="Style1141">
    <w:name w:val="Style1141"/>
    <w:uiPriority w:val="99"/>
    <w:rsid w:val="009B2D9D"/>
  </w:style>
  <w:style w:type="numbering" w:customStyle="1" w:styleId="Style2141">
    <w:name w:val="Style2141"/>
    <w:uiPriority w:val="99"/>
    <w:rsid w:val="009B2D9D"/>
  </w:style>
  <w:style w:type="numbering" w:customStyle="1" w:styleId="NoList1251">
    <w:name w:val="No List1251"/>
    <w:next w:val="NoList"/>
    <w:uiPriority w:val="99"/>
    <w:semiHidden/>
    <w:unhideWhenUsed/>
    <w:rsid w:val="009B2D9D"/>
  </w:style>
  <w:style w:type="numbering" w:customStyle="1" w:styleId="NoList11251">
    <w:name w:val="No List11251"/>
    <w:next w:val="NoList"/>
    <w:uiPriority w:val="99"/>
    <w:semiHidden/>
    <w:unhideWhenUsed/>
    <w:rsid w:val="009B2D9D"/>
  </w:style>
  <w:style w:type="numbering" w:customStyle="1" w:styleId="NoList111151">
    <w:name w:val="No List111151"/>
    <w:next w:val="NoList"/>
    <w:uiPriority w:val="99"/>
    <w:semiHidden/>
    <w:unhideWhenUsed/>
    <w:rsid w:val="009B2D9D"/>
  </w:style>
  <w:style w:type="numbering" w:customStyle="1" w:styleId="Style11141">
    <w:name w:val="Style11141"/>
    <w:uiPriority w:val="99"/>
    <w:rsid w:val="009B2D9D"/>
  </w:style>
  <w:style w:type="table" w:customStyle="1" w:styleId="GridTable1Light-Accent1111">
    <w:name w:val="Grid Table 1 Light - Accent 1111"/>
    <w:basedOn w:val="TableNormal"/>
    <w:uiPriority w:val="46"/>
    <w:rsid w:val="009B2D9D"/>
    <w:pPr>
      <w:spacing w:after="0" w:line="240" w:lineRule="auto"/>
    </w:pPr>
    <w:rPr>
      <w:rFonts w:ascii="Calibri" w:eastAsia="Calibri" w:hAnsi="Calibri" w:cs="Times New Roman"/>
      <w:kern w:val="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ListTable1Light-Accent1111">
    <w:name w:val="List Table 1 Light - Accent 1111"/>
    <w:basedOn w:val="TableNormal"/>
    <w:uiPriority w:val="46"/>
    <w:rsid w:val="009B2D9D"/>
    <w:pPr>
      <w:spacing w:after="0" w:line="240" w:lineRule="auto"/>
    </w:pPr>
    <w:rPr>
      <w:kern w:val="0"/>
      <w14:ligatures w14:val="none"/>
    </w:r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5Dark-Accent1111">
    <w:name w:val="Grid Table 5 Dark - Accent 1111"/>
    <w:basedOn w:val="TableNormal"/>
    <w:uiPriority w:val="50"/>
    <w:rsid w:val="009B2D9D"/>
    <w:pPr>
      <w:spacing w:after="0" w:line="240" w:lineRule="auto"/>
    </w:pPr>
    <w:rPr>
      <w:kern w:val="0"/>
      <w:lang w:val="en-GB"/>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GridTable5Dark-Accent1211">
    <w:name w:val="Grid Table 5 Dark - Accent 1211"/>
    <w:basedOn w:val="TableNormal"/>
    <w:uiPriority w:val="50"/>
    <w:rsid w:val="009B2D9D"/>
    <w:pPr>
      <w:spacing w:after="0" w:line="240" w:lineRule="auto"/>
    </w:pPr>
    <w:rPr>
      <w:kern w:val="0"/>
      <w:lang w:val="en-GB"/>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GridTable6Colorful-Accent5111">
    <w:name w:val="Grid Table 6 Colorful - Accent 5111"/>
    <w:basedOn w:val="TableNormal"/>
    <w:uiPriority w:val="51"/>
    <w:rsid w:val="009B2D9D"/>
    <w:pPr>
      <w:spacing w:after="0" w:line="240" w:lineRule="auto"/>
    </w:pPr>
    <w:rPr>
      <w:color w:val="2E74B5" w:themeColor="accent5" w:themeShade="BF"/>
      <w:kern w:val="0"/>
      <w:lang w:val="en-GB"/>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numbering" w:customStyle="1" w:styleId="NoList2151">
    <w:name w:val="No List2151"/>
    <w:next w:val="NoList"/>
    <w:uiPriority w:val="99"/>
    <w:semiHidden/>
    <w:unhideWhenUsed/>
    <w:rsid w:val="009B2D9D"/>
  </w:style>
  <w:style w:type="numbering" w:customStyle="1" w:styleId="Radovan1111">
    <w:name w:val="Radovan1111"/>
    <w:uiPriority w:val="99"/>
    <w:rsid w:val="009B2D9D"/>
  </w:style>
  <w:style w:type="numbering" w:customStyle="1" w:styleId="Style1231">
    <w:name w:val="Style1231"/>
    <w:uiPriority w:val="99"/>
    <w:rsid w:val="009B2D9D"/>
  </w:style>
  <w:style w:type="numbering" w:customStyle="1" w:styleId="Style21111">
    <w:name w:val="Style21111"/>
    <w:uiPriority w:val="99"/>
    <w:rsid w:val="009B2D9D"/>
  </w:style>
  <w:style w:type="numbering" w:customStyle="1" w:styleId="NoList12141">
    <w:name w:val="No List12141"/>
    <w:next w:val="NoList"/>
    <w:uiPriority w:val="99"/>
    <w:semiHidden/>
    <w:unhideWhenUsed/>
    <w:rsid w:val="009B2D9D"/>
  </w:style>
  <w:style w:type="numbering" w:customStyle="1" w:styleId="NoList112141">
    <w:name w:val="No List112141"/>
    <w:next w:val="NoList"/>
    <w:uiPriority w:val="99"/>
    <w:semiHidden/>
    <w:unhideWhenUsed/>
    <w:rsid w:val="009B2D9D"/>
  </w:style>
  <w:style w:type="numbering" w:customStyle="1" w:styleId="NoList1111141">
    <w:name w:val="No List1111141"/>
    <w:next w:val="NoList"/>
    <w:uiPriority w:val="99"/>
    <w:semiHidden/>
    <w:unhideWhenUsed/>
    <w:rsid w:val="009B2D9D"/>
  </w:style>
  <w:style w:type="numbering" w:customStyle="1" w:styleId="NoList21141">
    <w:name w:val="No List21141"/>
    <w:next w:val="NoList"/>
    <w:uiPriority w:val="99"/>
    <w:semiHidden/>
    <w:unhideWhenUsed/>
    <w:rsid w:val="009B2D9D"/>
  </w:style>
  <w:style w:type="table" w:customStyle="1" w:styleId="TableGrid221">
    <w:name w:val="Table Grid221"/>
    <w:basedOn w:val="TableNormal"/>
    <w:next w:val="TableGrid"/>
    <w:uiPriority w:val="59"/>
    <w:rsid w:val="009B2D9D"/>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9B2D9D"/>
    <w:pPr>
      <w:spacing w:after="0" w:line="240" w:lineRule="auto"/>
    </w:pPr>
    <w:rPr>
      <w:kern w:val="0"/>
      <w:lang w:val="sr-Latn-M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
    <w:name w:val="No List11111111"/>
    <w:next w:val="NoList"/>
    <w:uiPriority w:val="99"/>
    <w:semiHidden/>
    <w:unhideWhenUsed/>
    <w:rsid w:val="009B2D9D"/>
  </w:style>
  <w:style w:type="table" w:customStyle="1" w:styleId="TableGrid2111">
    <w:name w:val="Table Grid2111"/>
    <w:basedOn w:val="TableNormal"/>
    <w:next w:val="TableGrid"/>
    <w:uiPriority w:val="59"/>
    <w:rsid w:val="009B2D9D"/>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
    <w:name w:val="Table Grid1311"/>
    <w:basedOn w:val="TableNormal"/>
    <w:next w:val="TableGrid"/>
    <w:uiPriority w:val="39"/>
    <w:rsid w:val="009B2D9D"/>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41">
    <w:name w:val="No List3141"/>
    <w:next w:val="NoList"/>
    <w:uiPriority w:val="99"/>
    <w:semiHidden/>
    <w:unhideWhenUsed/>
    <w:rsid w:val="009B2D9D"/>
  </w:style>
  <w:style w:type="table" w:customStyle="1" w:styleId="TableGrid311">
    <w:name w:val="Table Grid311"/>
    <w:basedOn w:val="TableNormal"/>
    <w:next w:val="TableGrid"/>
    <w:uiPriority w:val="39"/>
    <w:rsid w:val="009B2D9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111">
    <w:name w:val="Light Shading - Accent 11111"/>
    <w:basedOn w:val="TableNormal"/>
    <w:uiPriority w:val="60"/>
    <w:rsid w:val="009B2D9D"/>
    <w:pPr>
      <w:spacing w:after="0" w:line="240" w:lineRule="auto"/>
    </w:pPr>
    <w:rPr>
      <w:rFonts w:ascii="Calibri" w:eastAsia="Times New Roman" w:hAnsi="Calibri" w:cs="Times New Roman"/>
      <w:color w:val="365F91"/>
      <w:kern w:val="0"/>
      <w:sz w:val="20"/>
      <w:szCs w:val="20"/>
      <w:lang w:val="sr-Latn-CS" w:eastAsia="sr-Latn-CS" w:bidi="en-US"/>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3121">
    <w:name w:val="Light Shading - Accent 3121"/>
    <w:basedOn w:val="TableNormal"/>
    <w:next w:val="LightShading-Accent3"/>
    <w:uiPriority w:val="60"/>
    <w:rsid w:val="009B2D9D"/>
    <w:pPr>
      <w:spacing w:after="0" w:line="240" w:lineRule="auto"/>
    </w:pPr>
    <w:rPr>
      <w:rFonts w:ascii="Calibri" w:eastAsia="Calibri" w:hAnsi="Calibri" w:cs="Times New Roman"/>
      <w:color w:val="7B7B7B"/>
      <w:kern w:val="0"/>
      <w:sz w:val="20"/>
      <w:szCs w:val="20"/>
      <w14:ligatures w14:val="none"/>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LightList-Accent2121">
    <w:name w:val="Light List - Accent 2121"/>
    <w:basedOn w:val="TableNormal"/>
    <w:next w:val="LightList-Accent2"/>
    <w:uiPriority w:val="61"/>
    <w:rsid w:val="009B2D9D"/>
    <w:pPr>
      <w:spacing w:after="0" w:line="240" w:lineRule="auto"/>
    </w:pPr>
    <w:rPr>
      <w:rFonts w:eastAsia="Times New Roman"/>
      <w:kern w:val="0"/>
      <w:lang w:val="sr-Latn-CS" w:eastAsia="sr-Latn-CS"/>
      <w14:ligatures w14:val="none"/>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TableNormal1211">
    <w:name w:val="Table Normal1211"/>
    <w:uiPriority w:val="2"/>
    <w:semiHidden/>
    <w:unhideWhenUsed/>
    <w:qFormat/>
    <w:rsid w:val="009B2D9D"/>
    <w:pPr>
      <w:widowControl w:val="0"/>
      <w:spacing w:after="0" w:line="240" w:lineRule="auto"/>
    </w:pPr>
    <w:rPr>
      <w:kern w:val="0"/>
      <w14:ligatures w14:val="none"/>
    </w:rPr>
    <w:tblPr>
      <w:tblInd w:w="0" w:type="dxa"/>
      <w:tblCellMar>
        <w:top w:w="0" w:type="dxa"/>
        <w:left w:w="0" w:type="dxa"/>
        <w:bottom w:w="0" w:type="dxa"/>
        <w:right w:w="0" w:type="dxa"/>
      </w:tblCellMar>
    </w:tblPr>
  </w:style>
  <w:style w:type="numbering" w:customStyle="1" w:styleId="NoList121111">
    <w:name w:val="No List121111"/>
    <w:next w:val="NoList"/>
    <w:uiPriority w:val="99"/>
    <w:semiHidden/>
    <w:unhideWhenUsed/>
    <w:rsid w:val="009B2D9D"/>
  </w:style>
  <w:style w:type="numbering" w:customStyle="1" w:styleId="NoList1121111">
    <w:name w:val="No List1121111"/>
    <w:next w:val="NoList"/>
    <w:uiPriority w:val="99"/>
    <w:semiHidden/>
    <w:unhideWhenUsed/>
    <w:rsid w:val="009B2D9D"/>
  </w:style>
  <w:style w:type="table" w:customStyle="1" w:styleId="TableElegant111">
    <w:name w:val="Table Elegant111"/>
    <w:basedOn w:val="TableNormal"/>
    <w:next w:val="TableElegant"/>
    <w:rsid w:val="009B2D9D"/>
    <w:pPr>
      <w:spacing w:after="0" w:line="240" w:lineRule="auto"/>
    </w:pPr>
    <w:rPr>
      <w:rFonts w:ascii="Times New Roman" w:eastAsia="Times New Roman" w:hAnsi="Times New Roman" w:cs="Times New Roman"/>
      <w:kern w:val="0"/>
      <w:sz w:val="20"/>
      <w:szCs w:val="20"/>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NoList111241">
    <w:name w:val="No List111241"/>
    <w:next w:val="NoList"/>
    <w:uiPriority w:val="99"/>
    <w:semiHidden/>
    <w:unhideWhenUsed/>
    <w:rsid w:val="009B2D9D"/>
  </w:style>
  <w:style w:type="table" w:customStyle="1" w:styleId="TableNormal11111">
    <w:name w:val="Table Normal11111"/>
    <w:uiPriority w:val="2"/>
    <w:semiHidden/>
    <w:unhideWhenUsed/>
    <w:qFormat/>
    <w:rsid w:val="009B2D9D"/>
    <w:pPr>
      <w:widowControl w:val="0"/>
      <w:spacing w:after="0" w:line="240" w:lineRule="auto"/>
    </w:pPr>
    <w:rPr>
      <w:kern w:val="0"/>
      <w14:ligatures w14:val="none"/>
    </w:rPr>
    <w:tblPr>
      <w:tblInd w:w="0" w:type="dxa"/>
      <w:tblCellMar>
        <w:top w:w="0" w:type="dxa"/>
        <w:left w:w="0" w:type="dxa"/>
        <w:bottom w:w="0" w:type="dxa"/>
        <w:right w:w="0" w:type="dxa"/>
      </w:tblCellMar>
    </w:tblPr>
  </w:style>
  <w:style w:type="table" w:customStyle="1" w:styleId="PERstyle111">
    <w:name w:val="PER style111"/>
    <w:basedOn w:val="TableNormal"/>
    <w:uiPriority w:val="99"/>
    <w:rsid w:val="009B2D9D"/>
    <w:pPr>
      <w:spacing w:after="0" w:line="240" w:lineRule="auto"/>
    </w:pPr>
    <w:rPr>
      <w:kern w:val="0"/>
      <w14:ligatures w14:val="none"/>
    </w:rPr>
    <w:tblPr/>
  </w:style>
  <w:style w:type="table" w:customStyle="1" w:styleId="PlainTable41121">
    <w:name w:val="Plain Table 41121"/>
    <w:basedOn w:val="TableNormal"/>
    <w:uiPriority w:val="44"/>
    <w:rsid w:val="009B2D9D"/>
    <w:pPr>
      <w:spacing w:after="0" w:line="240" w:lineRule="auto"/>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211111">
    <w:name w:val="No List211111"/>
    <w:next w:val="NoList"/>
    <w:uiPriority w:val="99"/>
    <w:semiHidden/>
    <w:unhideWhenUsed/>
    <w:rsid w:val="009B2D9D"/>
  </w:style>
  <w:style w:type="table" w:customStyle="1" w:styleId="PlainTable2131">
    <w:name w:val="Plain Table 2131"/>
    <w:basedOn w:val="TableNormal"/>
    <w:uiPriority w:val="42"/>
    <w:rsid w:val="009B2D9D"/>
    <w:pPr>
      <w:spacing w:after="0" w:line="240" w:lineRule="auto"/>
    </w:pPr>
    <w:rPr>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Light131">
    <w:name w:val="Table Grid Light131"/>
    <w:basedOn w:val="TableNormal"/>
    <w:uiPriority w:val="40"/>
    <w:rsid w:val="009B2D9D"/>
    <w:pPr>
      <w:spacing w:after="0" w:line="240" w:lineRule="auto"/>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241">
    <w:name w:val="Table Grid Light241"/>
    <w:basedOn w:val="TableNormal"/>
    <w:uiPriority w:val="40"/>
    <w:rsid w:val="009B2D9D"/>
    <w:pPr>
      <w:spacing w:after="0" w:line="240" w:lineRule="auto"/>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2121">
    <w:name w:val="Table Grid Light2121"/>
    <w:basedOn w:val="TableNormal"/>
    <w:uiPriority w:val="40"/>
    <w:rsid w:val="009B2D9D"/>
    <w:pPr>
      <w:spacing w:after="0" w:line="240" w:lineRule="auto"/>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411">
    <w:name w:val="Table Grid411"/>
    <w:basedOn w:val="TableNormal"/>
    <w:next w:val="TableGrid"/>
    <w:uiPriority w:val="39"/>
    <w:rsid w:val="009B2D9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1">
    <w:name w:val="No List431"/>
    <w:next w:val="NoList"/>
    <w:uiPriority w:val="99"/>
    <w:semiHidden/>
    <w:unhideWhenUsed/>
    <w:rsid w:val="009B2D9D"/>
  </w:style>
  <w:style w:type="numbering" w:customStyle="1" w:styleId="Radovan231">
    <w:name w:val="Radovan231"/>
    <w:uiPriority w:val="99"/>
    <w:rsid w:val="009B2D9D"/>
  </w:style>
  <w:style w:type="numbering" w:customStyle="1" w:styleId="Style1331">
    <w:name w:val="Style1331"/>
    <w:uiPriority w:val="99"/>
    <w:rsid w:val="009B2D9D"/>
  </w:style>
  <w:style w:type="numbering" w:customStyle="1" w:styleId="Style2231">
    <w:name w:val="Style2231"/>
    <w:uiPriority w:val="99"/>
    <w:rsid w:val="009B2D9D"/>
  </w:style>
  <w:style w:type="numbering" w:customStyle="1" w:styleId="NoList1331">
    <w:name w:val="No List1331"/>
    <w:next w:val="NoList"/>
    <w:uiPriority w:val="99"/>
    <w:semiHidden/>
    <w:unhideWhenUsed/>
    <w:rsid w:val="009B2D9D"/>
  </w:style>
  <w:style w:type="numbering" w:customStyle="1" w:styleId="NoList11331">
    <w:name w:val="No List11331"/>
    <w:next w:val="NoList"/>
    <w:uiPriority w:val="99"/>
    <w:semiHidden/>
    <w:unhideWhenUsed/>
    <w:rsid w:val="009B2D9D"/>
  </w:style>
  <w:style w:type="numbering" w:customStyle="1" w:styleId="NoList111331">
    <w:name w:val="No List111331"/>
    <w:next w:val="NoList"/>
    <w:uiPriority w:val="99"/>
    <w:semiHidden/>
    <w:unhideWhenUsed/>
    <w:rsid w:val="009B2D9D"/>
  </w:style>
  <w:style w:type="numbering" w:customStyle="1" w:styleId="NoList2231">
    <w:name w:val="No List2231"/>
    <w:next w:val="NoList"/>
    <w:uiPriority w:val="99"/>
    <w:semiHidden/>
    <w:unhideWhenUsed/>
    <w:rsid w:val="009B2D9D"/>
  </w:style>
  <w:style w:type="table" w:customStyle="1" w:styleId="PlainTable21111">
    <w:name w:val="Plain Table 21111"/>
    <w:basedOn w:val="TableNormal"/>
    <w:uiPriority w:val="42"/>
    <w:rsid w:val="009B2D9D"/>
    <w:pPr>
      <w:spacing w:after="0" w:line="240" w:lineRule="auto"/>
    </w:pPr>
    <w:rPr>
      <w:kern w:val="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Light1111">
    <w:name w:val="Table Grid Light1111"/>
    <w:basedOn w:val="TableNormal"/>
    <w:uiPriority w:val="40"/>
    <w:rsid w:val="009B2D9D"/>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2211">
    <w:name w:val="Table Grid Light2211"/>
    <w:basedOn w:val="TableNormal"/>
    <w:uiPriority w:val="40"/>
    <w:rsid w:val="009B2D9D"/>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Style3141">
    <w:name w:val="Style3141"/>
    <w:uiPriority w:val="99"/>
    <w:rsid w:val="009B2D9D"/>
  </w:style>
  <w:style w:type="numbering" w:customStyle="1" w:styleId="NoList1111231">
    <w:name w:val="No List1111231"/>
    <w:next w:val="NoList"/>
    <w:uiPriority w:val="99"/>
    <w:semiHidden/>
    <w:unhideWhenUsed/>
    <w:rsid w:val="009B2D9D"/>
  </w:style>
  <w:style w:type="numbering" w:customStyle="1" w:styleId="NoList31111">
    <w:name w:val="No List31111"/>
    <w:next w:val="NoList"/>
    <w:uiPriority w:val="99"/>
    <w:semiHidden/>
    <w:unhideWhenUsed/>
    <w:rsid w:val="009B2D9D"/>
  </w:style>
  <w:style w:type="numbering" w:customStyle="1" w:styleId="NoList12231">
    <w:name w:val="No List12231"/>
    <w:next w:val="NoList"/>
    <w:uiPriority w:val="99"/>
    <w:semiHidden/>
    <w:unhideWhenUsed/>
    <w:rsid w:val="009B2D9D"/>
  </w:style>
  <w:style w:type="numbering" w:customStyle="1" w:styleId="NoList112231">
    <w:name w:val="No List112231"/>
    <w:next w:val="NoList"/>
    <w:uiPriority w:val="99"/>
    <w:semiHidden/>
    <w:unhideWhenUsed/>
    <w:rsid w:val="009B2D9D"/>
  </w:style>
  <w:style w:type="numbering" w:customStyle="1" w:styleId="NoList1112131">
    <w:name w:val="No List1112131"/>
    <w:next w:val="NoList"/>
    <w:uiPriority w:val="99"/>
    <w:semiHidden/>
    <w:unhideWhenUsed/>
    <w:rsid w:val="009B2D9D"/>
  </w:style>
  <w:style w:type="numbering" w:customStyle="1" w:styleId="NoList21231">
    <w:name w:val="No List21231"/>
    <w:next w:val="NoList"/>
    <w:uiPriority w:val="99"/>
    <w:semiHidden/>
    <w:unhideWhenUsed/>
    <w:rsid w:val="009B2D9D"/>
  </w:style>
  <w:style w:type="numbering" w:customStyle="1" w:styleId="NoList511">
    <w:name w:val="No List511"/>
    <w:next w:val="NoList"/>
    <w:uiPriority w:val="99"/>
    <w:semiHidden/>
    <w:unhideWhenUsed/>
    <w:rsid w:val="009B2D9D"/>
  </w:style>
  <w:style w:type="numbering" w:customStyle="1" w:styleId="Radovan311">
    <w:name w:val="Radovan311"/>
    <w:uiPriority w:val="99"/>
    <w:rsid w:val="009B2D9D"/>
  </w:style>
  <w:style w:type="numbering" w:customStyle="1" w:styleId="Style1411">
    <w:name w:val="Style1411"/>
    <w:uiPriority w:val="99"/>
    <w:rsid w:val="009B2D9D"/>
  </w:style>
  <w:style w:type="numbering" w:customStyle="1" w:styleId="Style2311">
    <w:name w:val="Style2311"/>
    <w:uiPriority w:val="99"/>
    <w:rsid w:val="009B2D9D"/>
  </w:style>
  <w:style w:type="numbering" w:customStyle="1" w:styleId="NoList1411">
    <w:name w:val="No List1411"/>
    <w:next w:val="NoList"/>
    <w:uiPriority w:val="99"/>
    <w:semiHidden/>
    <w:unhideWhenUsed/>
    <w:rsid w:val="009B2D9D"/>
  </w:style>
  <w:style w:type="numbering" w:customStyle="1" w:styleId="NoList11411">
    <w:name w:val="No List11411"/>
    <w:next w:val="NoList"/>
    <w:uiPriority w:val="99"/>
    <w:semiHidden/>
    <w:unhideWhenUsed/>
    <w:rsid w:val="009B2D9D"/>
  </w:style>
  <w:style w:type="numbering" w:customStyle="1" w:styleId="NoList111411">
    <w:name w:val="No List111411"/>
    <w:next w:val="NoList"/>
    <w:uiPriority w:val="99"/>
    <w:semiHidden/>
    <w:unhideWhenUsed/>
    <w:rsid w:val="009B2D9D"/>
  </w:style>
  <w:style w:type="numbering" w:customStyle="1" w:styleId="Style11211">
    <w:name w:val="Style11211"/>
    <w:uiPriority w:val="99"/>
    <w:rsid w:val="009B2D9D"/>
  </w:style>
  <w:style w:type="numbering" w:customStyle="1" w:styleId="NoList2311">
    <w:name w:val="No List2311"/>
    <w:next w:val="NoList"/>
    <w:uiPriority w:val="99"/>
    <w:semiHidden/>
    <w:unhideWhenUsed/>
    <w:rsid w:val="009B2D9D"/>
  </w:style>
  <w:style w:type="numbering" w:customStyle="1" w:styleId="Radovan1211">
    <w:name w:val="Radovan1211"/>
    <w:uiPriority w:val="99"/>
    <w:rsid w:val="009B2D9D"/>
  </w:style>
  <w:style w:type="numbering" w:customStyle="1" w:styleId="Style12111">
    <w:name w:val="Style12111"/>
    <w:uiPriority w:val="99"/>
    <w:rsid w:val="009B2D9D"/>
  </w:style>
  <w:style w:type="numbering" w:customStyle="1" w:styleId="Style21211">
    <w:name w:val="Style21211"/>
    <w:uiPriority w:val="99"/>
    <w:rsid w:val="009B2D9D"/>
  </w:style>
  <w:style w:type="numbering" w:customStyle="1" w:styleId="NoList12311">
    <w:name w:val="No List12311"/>
    <w:next w:val="NoList"/>
    <w:uiPriority w:val="99"/>
    <w:semiHidden/>
    <w:unhideWhenUsed/>
    <w:rsid w:val="009B2D9D"/>
  </w:style>
  <w:style w:type="numbering" w:customStyle="1" w:styleId="NoList112311">
    <w:name w:val="No List112311"/>
    <w:next w:val="NoList"/>
    <w:uiPriority w:val="99"/>
    <w:semiHidden/>
    <w:unhideWhenUsed/>
    <w:rsid w:val="009B2D9D"/>
  </w:style>
  <w:style w:type="numbering" w:customStyle="1" w:styleId="NoList1111311">
    <w:name w:val="No List1111311"/>
    <w:next w:val="NoList"/>
    <w:uiPriority w:val="99"/>
    <w:semiHidden/>
    <w:unhideWhenUsed/>
    <w:rsid w:val="009B2D9D"/>
  </w:style>
  <w:style w:type="numbering" w:customStyle="1" w:styleId="NoList21311">
    <w:name w:val="No List21311"/>
    <w:next w:val="NoList"/>
    <w:uiPriority w:val="99"/>
    <w:semiHidden/>
    <w:unhideWhenUsed/>
    <w:rsid w:val="009B2D9D"/>
  </w:style>
  <w:style w:type="numbering" w:customStyle="1" w:styleId="NoList11111211">
    <w:name w:val="No List11111211"/>
    <w:next w:val="NoList"/>
    <w:uiPriority w:val="99"/>
    <w:semiHidden/>
    <w:unhideWhenUsed/>
    <w:rsid w:val="009B2D9D"/>
  </w:style>
  <w:style w:type="numbering" w:customStyle="1" w:styleId="NoList3211">
    <w:name w:val="No List3211"/>
    <w:next w:val="NoList"/>
    <w:uiPriority w:val="99"/>
    <w:semiHidden/>
    <w:unhideWhenUsed/>
    <w:rsid w:val="009B2D9D"/>
  </w:style>
  <w:style w:type="numbering" w:customStyle="1" w:styleId="NoList121211">
    <w:name w:val="No List121211"/>
    <w:next w:val="NoList"/>
    <w:uiPriority w:val="99"/>
    <w:semiHidden/>
    <w:unhideWhenUsed/>
    <w:rsid w:val="009B2D9D"/>
  </w:style>
  <w:style w:type="numbering" w:customStyle="1" w:styleId="NoList1121211">
    <w:name w:val="No List1121211"/>
    <w:next w:val="NoList"/>
    <w:uiPriority w:val="99"/>
    <w:semiHidden/>
    <w:unhideWhenUsed/>
    <w:rsid w:val="009B2D9D"/>
  </w:style>
  <w:style w:type="numbering" w:customStyle="1" w:styleId="NoList1112211">
    <w:name w:val="No List1112211"/>
    <w:next w:val="NoList"/>
    <w:uiPriority w:val="99"/>
    <w:semiHidden/>
    <w:unhideWhenUsed/>
    <w:rsid w:val="009B2D9D"/>
  </w:style>
  <w:style w:type="numbering" w:customStyle="1" w:styleId="NoList211211">
    <w:name w:val="No List211211"/>
    <w:next w:val="NoList"/>
    <w:uiPriority w:val="99"/>
    <w:semiHidden/>
    <w:unhideWhenUsed/>
    <w:rsid w:val="009B2D9D"/>
  </w:style>
  <w:style w:type="numbering" w:customStyle="1" w:styleId="Style3211">
    <w:name w:val="Style3211"/>
    <w:uiPriority w:val="99"/>
    <w:rsid w:val="009B2D9D"/>
  </w:style>
  <w:style w:type="numbering" w:customStyle="1" w:styleId="NoList4111">
    <w:name w:val="No List4111"/>
    <w:next w:val="NoList"/>
    <w:uiPriority w:val="99"/>
    <w:semiHidden/>
    <w:unhideWhenUsed/>
    <w:rsid w:val="009B2D9D"/>
  </w:style>
  <w:style w:type="numbering" w:customStyle="1" w:styleId="Radovan2111">
    <w:name w:val="Radovan2111"/>
    <w:uiPriority w:val="99"/>
    <w:rsid w:val="009B2D9D"/>
  </w:style>
  <w:style w:type="numbering" w:customStyle="1" w:styleId="Style13111">
    <w:name w:val="Style13111"/>
    <w:uiPriority w:val="99"/>
    <w:rsid w:val="009B2D9D"/>
  </w:style>
  <w:style w:type="numbering" w:customStyle="1" w:styleId="Style22111">
    <w:name w:val="Style22111"/>
    <w:uiPriority w:val="99"/>
    <w:rsid w:val="009B2D9D"/>
  </w:style>
  <w:style w:type="numbering" w:customStyle="1" w:styleId="NoList13111">
    <w:name w:val="No List13111"/>
    <w:next w:val="NoList"/>
    <w:uiPriority w:val="99"/>
    <w:semiHidden/>
    <w:unhideWhenUsed/>
    <w:rsid w:val="009B2D9D"/>
  </w:style>
  <w:style w:type="numbering" w:customStyle="1" w:styleId="NoList113111">
    <w:name w:val="No List113111"/>
    <w:next w:val="NoList"/>
    <w:uiPriority w:val="99"/>
    <w:semiHidden/>
    <w:unhideWhenUsed/>
    <w:rsid w:val="009B2D9D"/>
  </w:style>
  <w:style w:type="numbering" w:customStyle="1" w:styleId="NoList1113111">
    <w:name w:val="No List1113111"/>
    <w:next w:val="NoList"/>
    <w:uiPriority w:val="99"/>
    <w:semiHidden/>
    <w:unhideWhenUsed/>
    <w:rsid w:val="009B2D9D"/>
  </w:style>
  <w:style w:type="numbering" w:customStyle="1" w:styleId="Style111211">
    <w:name w:val="Style111211"/>
    <w:uiPriority w:val="99"/>
    <w:rsid w:val="009B2D9D"/>
  </w:style>
  <w:style w:type="numbering" w:customStyle="1" w:styleId="NoList22111">
    <w:name w:val="No List22111"/>
    <w:next w:val="NoList"/>
    <w:uiPriority w:val="99"/>
    <w:semiHidden/>
    <w:unhideWhenUsed/>
    <w:rsid w:val="009B2D9D"/>
  </w:style>
  <w:style w:type="numbering" w:customStyle="1" w:styleId="Style31211">
    <w:name w:val="Style31211"/>
    <w:uiPriority w:val="99"/>
    <w:rsid w:val="009B2D9D"/>
  </w:style>
  <w:style w:type="numbering" w:customStyle="1" w:styleId="NoList11112111">
    <w:name w:val="No List11112111"/>
    <w:next w:val="NoList"/>
    <w:uiPriority w:val="99"/>
    <w:semiHidden/>
    <w:unhideWhenUsed/>
    <w:rsid w:val="009B2D9D"/>
  </w:style>
  <w:style w:type="numbering" w:customStyle="1" w:styleId="NoList31211">
    <w:name w:val="No List31211"/>
    <w:next w:val="NoList"/>
    <w:uiPriority w:val="99"/>
    <w:semiHidden/>
    <w:unhideWhenUsed/>
    <w:rsid w:val="009B2D9D"/>
  </w:style>
  <w:style w:type="numbering" w:customStyle="1" w:styleId="NoList122111">
    <w:name w:val="No List122111"/>
    <w:next w:val="NoList"/>
    <w:uiPriority w:val="99"/>
    <w:semiHidden/>
    <w:unhideWhenUsed/>
    <w:rsid w:val="009B2D9D"/>
  </w:style>
  <w:style w:type="numbering" w:customStyle="1" w:styleId="NoList1122111">
    <w:name w:val="No List1122111"/>
    <w:next w:val="NoList"/>
    <w:uiPriority w:val="99"/>
    <w:semiHidden/>
    <w:unhideWhenUsed/>
    <w:rsid w:val="009B2D9D"/>
  </w:style>
  <w:style w:type="numbering" w:customStyle="1" w:styleId="NoList11121111">
    <w:name w:val="No List11121111"/>
    <w:next w:val="NoList"/>
    <w:uiPriority w:val="99"/>
    <w:semiHidden/>
    <w:unhideWhenUsed/>
    <w:rsid w:val="009B2D9D"/>
  </w:style>
  <w:style w:type="numbering" w:customStyle="1" w:styleId="NoList212111">
    <w:name w:val="No List212111"/>
    <w:next w:val="NoList"/>
    <w:uiPriority w:val="99"/>
    <w:semiHidden/>
    <w:unhideWhenUsed/>
    <w:rsid w:val="009B2D9D"/>
  </w:style>
  <w:style w:type="numbering" w:customStyle="1" w:styleId="Style311111">
    <w:name w:val="Style311111"/>
    <w:uiPriority w:val="99"/>
    <w:rsid w:val="009B2D9D"/>
  </w:style>
  <w:style w:type="numbering" w:customStyle="1" w:styleId="NoList611">
    <w:name w:val="No List611"/>
    <w:next w:val="NoList"/>
    <w:uiPriority w:val="99"/>
    <w:semiHidden/>
    <w:unhideWhenUsed/>
    <w:rsid w:val="009B2D9D"/>
  </w:style>
  <w:style w:type="numbering" w:customStyle="1" w:styleId="Radovan411">
    <w:name w:val="Radovan411"/>
    <w:uiPriority w:val="99"/>
    <w:rsid w:val="009B2D9D"/>
  </w:style>
  <w:style w:type="numbering" w:customStyle="1" w:styleId="Style1511">
    <w:name w:val="Style1511"/>
    <w:uiPriority w:val="99"/>
    <w:rsid w:val="009B2D9D"/>
  </w:style>
  <w:style w:type="numbering" w:customStyle="1" w:styleId="Style2411">
    <w:name w:val="Style2411"/>
    <w:uiPriority w:val="99"/>
    <w:rsid w:val="009B2D9D"/>
  </w:style>
  <w:style w:type="numbering" w:customStyle="1" w:styleId="NoList1511">
    <w:name w:val="No List1511"/>
    <w:next w:val="NoList"/>
    <w:uiPriority w:val="99"/>
    <w:semiHidden/>
    <w:unhideWhenUsed/>
    <w:rsid w:val="009B2D9D"/>
  </w:style>
  <w:style w:type="numbering" w:customStyle="1" w:styleId="NoList11511">
    <w:name w:val="No List11511"/>
    <w:next w:val="NoList"/>
    <w:uiPriority w:val="99"/>
    <w:semiHidden/>
    <w:unhideWhenUsed/>
    <w:rsid w:val="009B2D9D"/>
  </w:style>
  <w:style w:type="numbering" w:customStyle="1" w:styleId="NoList111511">
    <w:name w:val="No List111511"/>
    <w:next w:val="NoList"/>
    <w:uiPriority w:val="99"/>
    <w:semiHidden/>
    <w:unhideWhenUsed/>
    <w:rsid w:val="009B2D9D"/>
  </w:style>
  <w:style w:type="numbering" w:customStyle="1" w:styleId="Style11311">
    <w:name w:val="Style11311"/>
    <w:uiPriority w:val="99"/>
    <w:rsid w:val="009B2D9D"/>
  </w:style>
  <w:style w:type="numbering" w:customStyle="1" w:styleId="NoList2411">
    <w:name w:val="No List2411"/>
    <w:next w:val="NoList"/>
    <w:uiPriority w:val="99"/>
    <w:semiHidden/>
    <w:unhideWhenUsed/>
    <w:rsid w:val="009B2D9D"/>
  </w:style>
  <w:style w:type="numbering" w:customStyle="1" w:styleId="Style12211">
    <w:name w:val="Style12211"/>
    <w:uiPriority w:val="99"/>
    <w:rsid w:val="009B2D9D"/>
  </w:style>
  <w:style w:type="numbering" w:customStyle="1" w:styleId="Style21311">
    <w:name w:val="Style21311"/>
    <w:uiPriority w:val="99"/>
    <w:rsid w:val="009B2D9D"/>
  </w:style>
  <w:style w:type="numbering" w:customStyle="1" w:styleId="NoList12411">
    <w:name w:val="No List12411"/>
    <w:next w:val="NoList"/>
    <w:uiPriority w:val="99"/>
    <w:semiHidden/>
    <w:unhideWhenUsed/>
    <w:rsid w:val="009B2D9D"/>
  </w:style>
  <w:style w:type="numbering" w:customStyle="1" w:styleId="NoList112411">
    <w:name w:val="No List112411"/>
    <w:next w:val="NoList"/>
    <w:uiPriority w:val="99"/>
    <w:semiHidden/>
    <w:unhideWhenUsed/>
    <w:rsid w:val="009B2D9D"/>
  </w:style>
  <w:style w:type="numbering" w:customStyle="1" w:styleId="NoList1111411">
    <w:name w:val="No List1111411"/>
    <w:next w:val="NoList"/>
    <w:uiPriority w:val="99"/>
    <w:semiHidden/>
    <w:unhideWhenUsed/>
    <w:rsid w:val="009B2D9D"/>
  </w:style>
  <w:style w:type="numbering" w:customStyle="1" w:styleId="NoList21411">
    <w:name w:val="No List21411"/>
    <w:next w:val="NoList"/>
    <w:uiPriority w:val="99"/>
    <w:semiHidden/>
    <w:unhideWhenUsed/>
    <w:rsid w:val="009B2D9D"/>
  </w:style>
  <w:style w:type="numbering" w:customStyle="1" w:styleId="NoList11111311">
    <w:name w:val="No List11111311"/>
    <w:next w:val="NoList"/>
    <w:uiPriority w:val="99"/>
    <w:semiHidden/>
    <w:unhideWhenUsed/>
    <w:rsid w:val="009B2D9D"/>
  </w:style>
  <w:style w:type="numbering" w:customStyle="1" w:styleId="NoList3311">
    <w:name w:val="No List3311"/>
    <w:next w:val="NoList"/>
    <w:uiPriority w:val="99"/>
    <w:semiHidden/>
    <w:unhideWhenUsed/>
    <w:rsid w:val="009B2D9D"/>
  </w:style>
  <w:style w:type="numbering" w:customStyle="1" w:styleId="NoList121311">
    <w:name w:val="No List121311"/>
    <w:next w:val="NoList"/>
    <w:uiPriority w:val="99"/>
    <w:semiHidden/>
    <w:unhideWhenUsed/>
    <w:rsid w:val="009B2D9D"/>
  </w:style>
  <w:style w:type="numbering" w:customStyle="1" w:styleId="NoList1121311">
    <w:name w:val="No List1121311"/>
    <w:next w:val="NoList"/>
    <w:uiPriority w:val="99"/>
    <w:semiHidden/>
    <w:unhideWhenUsed/>
    <w:rsid w:val="009B2D9D"/>
  </w:style>
  <w:style w:type="numbering" w:customStyle="1" w:styleId="NoList1112311">
    <w:name w:val="No List1112311"/>
    <w:next w:val="NoList"/>
    <w:uiPriority w:val="99"/>
    <w:semiHidden/>
    <w:unhideWhenUsed/>
    <w:rsid w:val="009B2D9D"/>
  </w:style>
  <w:style w:type="numbering" w:customStyle="1" w:styleId="NoList211311">
    <w:name w:val="No List211311"/>
    <w:next w:val="NoList"/>
    <w:uiPriority w:val="99"/>
    <w:semiHidden/>
    <w:unhideWhenUsed/>
    <w:rsid w:val="009B2D9D"/>
  </w:style>
  <w:style w:type="numbering" w:customStyle="1" w:styleId="NoList4211">
    <w:name w:val="No List4211"/>
    <w:next w:val="NoList"/>
    <w:uiPriority w:val="99"/>
    <w:semiHidden/>
    <w:unhideWhenUsed/>
    <w:rsid w:val="009B2D9D"/>
  </w:style>
  <w:style w:type="numbering" w:customStyle="1" w:styleId="NoList13211">
    <w:name w:val="No List13211"/>
    <w:next w:val="NoList"/>
    <w:uiPriority w:val="99"/>
    <w:semiHidden/>
    <w:unhideWhenUsed/>
    <w:rsid w:val="009B2D9D"/>
  </w:style>
  <w:style w:type="numbering" w:customStyle="1" w:styleId="NoList113211">
    <w:name w:val="No List113211"/>
    <w:next w:val="NoList"/>
    <w:uiPriority w:val="99"/>
    <w:semiHidden/>
    <w:unhideWhenUsed/>
    <w:rsid w:val="009B2D9D"/>
  </w:style>
  <w:style w:type="numbering" w:customStyle="1" w:styleId="NoList1113211">
    <w:name w:val="No List1113211"/>
    <w:next w:val="NoList"/>
    <w:uiPriority w:val="99"/>
    <w:semiHidden/>
    <w:unhideWhenUsed/>
    <w:rsid w:val="009B2D9D"/>
  </w:style>
  <w:style w:type="numbering" w:customStyle="1" w:styleId="NoList22211">
    <w:name w:val="No List22211"/>
    <w:next w:val="NoList"/>
    <w:uiPriority w:val="99"/>
    <w:semiHidden/>
    <w:unhideWhenUsed/>
    <w:rsid w:val="009B2D9D"/>
  </w:style>
  <w:style w:type="numbering" w:customStyle="1" w:styleId="NoList11112211">
    <w:name w:val="No List11112211"/>
    <w:next w:val="NoList"/>
    <w:uiPriority w:val="99"/>
    <w:semiHidden/>
    <w:unhideWhenUsed/>
    <w:rsid w:val="009B2D9D"/>
  </w:style>
  <w:style w:type="numbering" w:customStyle="1" w:styleId="NoList31311">
    <w:name w:val="No List31311"/>
    <w:next w:val="NoList"/>
    <w:uiPriority w:val="99"/>
    <w:semiHidden/>
    <w:unhideWhenUsed/>
    <w:rsid w:val="009B2D9D"/>
  </w:style>
  <w:style w:type="numbering" w:customStyle="1" w:styleId="NoList122211">
    <w:name w:val="No List122211"/>
    <w:next w:val="NoList"/>
    <w:uiPriority w:val="99"/>
    <w:semiHidden/>
    <w:unhideWhenUsed/>
    <w:rsid w:val="009B2D9D"/>
  </w:style>
  <w:style w:type="numbering" w:customStyle="1" w:styleId="NoList1122211">
    <w:name w:val="No List1122211"/>
    <w:next w:val="NoList"/>
    <w:uiPriority w:val="99"/>
    <w:semiHidden/>
    <w:unhideWhenUsed/>
    <w:rsid w:val="009B2D9D"/>
  </w:style>
  <w:style w:type="numbering" w:customStyle="1" w:styleId="NoList11121211">
    <w:name w:val="No List11121211"/>
    <w:next w:val="NoList"/>
    <w:uiPriority w:val="99"/>
    <w:semiHidden/>
    <w:unhideWhenUsed/>
    <w:rsid w:val="009B2D9D"/>
  </w:style>
  <w:style w:type="numbering" w:customStyle="1" w:styleId="NoList212211">
    <w:name w:val="No List212211"/>
    <w:next w:val="NoList"/>
    <w:uiPriority w:val="99"/>
    <w:semiHidden/>
    <w:unhideWhenUsed/>
    <w:rsid w:val="009B2D9D"/>
  </w:style>
  <w:style w:type="table" w:customStyle="1" w:styleId="LightShading-Accent31111">
    <w:name w:val="Light Shading - Accent 31111"/>
    <w:basedOn w:val="TableNormal"/>
    <w:next w:val="LightShading-Accent3"/>
    <w:uiPriority w:val="60"/>
    <w:rsid w:val="009B2D9D"/>
    <w:pPr>
      <w:spacing w:after="0" w:line="240" w:lineRule="auto"/>
    </w:pPr>
    <w:rPr>
      <w:rFonts w:ascii="Calibri" w:eastAsia="Calibri" w:hAnsi="Calibri" w:cs="Times New Roman"/>
      <w:color w:val="7B7B7B" w:themeColor="accent3" w:themeShade="BF"/>
      <w:kern w:val="0"/>
      <w:sz w:val="20"/>
      <w:szCs w:val="20"/>
      <w14:ligatures w14:val="none"/>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LightList-Accent21111">
    <w:name w:val="Light List - Accent 21111"/>
    <w:basedOn w:val="TableNormal"/>
    <w:next w:val="LightList-Accent2"/>
    <w:uiPriority w:val="61"/>
    <w:rsid w:val="009B2D9D"/>
    <w:pPr>
      <w:spacing w:after="0" w:line="240" w:lineRule="auto"/>
    </w:pPr>
    <w:rPr>
      <w:rFonts w:eastAsiaTheme="minorEastAsia"/>
      <w:kern w:val="0"/>
      <w:lang w:val="sr-Latn-CS" w:eastAsia="sr-Latn-CS"/>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customStyle="1" w:styleId="PlainTable411111">
    <w:name w:val="Plain Table 411111"/>
    <w:basedOn w:val="TableNormal"/>
    <w:uiPriority w:val="44"/>
    <w:rsid w:val="009B2D9D"/>
    <w:pPr>
      <w:spacing w:after="0" w:line="240" w:lineRule="auto"/>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211">
    <w:name w:val="Plain Table 21211"/>
    <w:basedOn w:val="TableNormal"/>
    <w:uiPriority w:val="42"/>
    <w:rsid w:val="009B2D9D"/>
    <w:pPr>
      <w:spacing w:after="0" w:line="240" w:lineRule="auto"/>
    </w:pPr>
    <w:rPr>
      <w:kern w:val="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Light1211">
    <w:name w:val="Table Grid Light1211"/>
    <w:basedOn w:val="TableNormal"/>
    <w:uiPriority w:val="40"/>
    <w:rsid w:val="009B2D9D"/>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2311">
    <w:name w:val="Table Grid Light2311"/>
    <w:basedOn w:val="TableNormal"/>
    <w:uiPriority w:val="40"/>
    <w:rsid w:val="009B2D9D"/>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21111">
    <w:name w:val="Table Grid Light21111"/>
    <w:basedOn w:val="TableNormal"/>
    <w:uiPriority w:val="40"/>
    <w:rsid w:val="009B2D9D"/>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2-Accent1111">
    <w:name w:val="Grid Table 2 - Accent 1111"/>
    <w:basedOn w:val="TableNormal"/>
    <w:next w:val="GridTable2-Accent11"/>
    <w:uiPriority w:val="47"/>
    <w:rsid w:val="009B2D9D"/>
    <w:pPr>
      <w:spacing w:after="0" w:line="240" w:lineRule="auto"/>
    </w:pPr>
    <w:rPr>
      <w:kern w:val="0"/>
      <w14:ligatures w14:val="none"/>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4-Accent5111">
    <w:name w:val="Grid Table 4 - Accent 5111"/>
    <w:basedOn w:val="TableNormal"/>
    <w:next w:val="GridTable4-Accent51"/>
    <w:uiPriority w:val="49"/>
    <w:rsid w:val="009B2D9D"/>
    <w:pPr>
      <w:spacing w:after="0" w:line="240" w:lineRule="auto"/>
    </w:pPr>
    <w:rPr>
      <w:kern w:val="0"/>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3-Accent5111">
    <w:name w:val="Grid Table 3 - Accent 5111"/>
    <w:basedOn w:val="TableNormal"/>
    <w:next w:val="GridTable3-Accent51"/>
    <w:uiPriority w:val="48"/>
    <w:rsid w:val="009B2D9D"/>
    <w:pPr>
      <w:spacing w:after="0" w:line="240" w:lineRule="auto"/>
    </w:pPr>
    <w:rPr>
      <w:kern w:val="0"/>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ListTable2-Accent5111">
    <w:name w:val="List Table 2 - Accent 5111"/>
    <w:basedOn w:val="TableNormal"/>
    <w:next w:val="ListTable2-Accent51"/>
    <w:uiPriority w:val="47"/>
    <w:rsid w:val="009B2D9D"/>
    <w:pPr>
      <w:spacing w:after="0" w:line="240" w:lineRule="auto"/>
    </w:pPr>
    <w:rPr>
      <w:kern w:val="0"/>
      <w14:ligatures w14:val="none"/>
    </w:r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6Colorful-Accent5211">
    <w:name w:val="Grid Table 6 Colorful - Accent 5211"/>
    <w:basedOn w:val="TableNormal"/>
    <w:next w:val="GridTable6Colorful-Accent52"/>
    <w:uiPriority w:val="51"/>
    <w:rsid w:val="009B2D9D"/>
    <w:pPr>
      <w:spacing w:after="0" w:line="240" w:lineRule="auto"/>
    </w:pPr>
    <w:rPr>
      <w:color w:val="2E74B5" w:themeColor="accent5" w:themeShade="BF"/>
      <w:kern w:val="0"/>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5Dark-Accent5111">
    <w:name w:val="Grid Table 5 Dark - Accent 5111"/>
    <w:basedOn w:val="TableNormal"/>
    <w:next w:val="GridTable5Dark-Accent51"/>
    <w:uiPriority w:val="50"/>
    <w:rsid w:val="009B2D9D"/>
    <w:pPr>
      <w:spacing w:after="0" w:line="240" w:lineRule="auto"/>
    </w:pPr>
    <w:rPr>
      <w:kern w:val="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GridTable5Dark-Accent1311">
    <w:name w:val="Grid Table 5 Dark - Accent 1311"/>
    <w:basedOn w:val="TableNormal"/>
    <w:next w:val="GridTable5Dark-Accent13"/>
    <w:uiPriority w:val="50"/>
    <w:rsid w:val="009B2D9D"/>
    <w:pPr>
      <w:spacing w:after="0" w:line="240" w:lineRule="auto"/>
    </w:pPr>
    <w:rPr>
      <w:kern w:val="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TableGridLight311">
    <w:name w:val="Table Grid Light311"/>
    <w:basedOn w:val="TableNormal"/>
    <w:next w:val="TableGridLight3"/>
    <w:uiPriority w:val="40"/>
    <w:rsid w:val="009B2D9D"/>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111">
    <w:name w:val="Plain Table 1111"/>
    <w:basedOn w:val="TableNormal"/>
    <w:next w:val="PlainTable11"/>
    <w:uiPriority w:val="41"/>
    <w:rsid w:val="009B2D9D"/>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1Light-Accent2111">
    <w:name w:val="Grid Table 1 Light - Accent 2111"/>
    <w:basedOn w:val="TableNormal"/>
    <w:next w:val="GridTable1Light-Accent21"/>
    <w:uiPriority w:val="46"/>
    <w:rsid w:val="009B2D9D"/>
    <w:pPr>
      <w:spacing w:after="0" w:line="240" w:lineRule="auto"/>
    </w:pPr>
    <w:rPr>
      <w:kern w:val="0"/>
      <w14:ligatures w14:val="none"/>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GridTable5Dark-Accent2111">
    <w:name w:val="Grid Table 5 Dark - Accent 2111"/>
    <w:basedOn w:val="TableNormal"/>
    <w:next w:val="GridTable5Dark-Accent21"/>
    <w:uiPriority w:val="50"/>
    <w:rsid w:val="009B2D9D"/>
    <w:pPr>
      <w:spacing w:after="0" w:line="240" w:lineRule="auto"/>
    </w:pPr>
    <w:rPr>
      <w:kern w:val="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ridTable6Colorful-Accent2111">
    <w:name w:val="Grid Table 6 Colorful - Accent 2111"/>
    <w:basedOn w:val="TableNormal"/>
    <w:next w:val="GridTable6Colorful-Accent21"/>
    <w:uiPriority w:val="51"/>
    <w:rsid w:val="009B2D9D"/>
    <w:pPr>
      <w:spacing w:after="0" w:line="240" w:lineRule="auto"/>
    </w:pPr>
    <w:rPr>
      <w:color w:val="C45911" w:themeColor="accent2" w:themeShade="BF"/>
      <w:kern w:val="0"/>
      <w14:ligatures w14:val="non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6Colorful-Accent4111">
    <w:name w:val="Grid Table 6 Colorful - Accent 4111"/>
    <w:basedOn w:val="TableNormal"/>
    <w:next w:val="GridTable6Colorful-Accent41"/>
    <w:uiPriority w:val="51"/>
    <w:rsid w:val="009B2D9D"/>
    <w:pPr>
      <w:spacing w:after="0" w:line="240" w:lineRule="auto"/>
    </w:pPr>
    <w:rPr>
      <w:color w:val="BF8F00" w:themeColor="accent4" w:themeShade="BF"/>
      <w:kern w:val="0"/>
      <w14:ligatures w14:val="none"/>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5Dark-Accent2111">
    <w:name w:val="List Table 5 Dark - Accent 2111"/>
    <w:basedOn w:val="TableNormal"/>
    <w:next w:val="ListTable5Dark-Accent21"/>
    <w:uiPriority w:val="50"/>
    <w:rsid w:val="009B2D9D"/>
    <w:pPr>
      <w:spacing w:after="0" w:line="240" w:lineRule="auto"/>
    </w:pPr>
    <w:rPr>
      <w:color w:val="FFFFFF" w:themeColor="background1"/>
      <w:kern w:val="0"/>
      <w14:ligatures w14:val="none"/>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3-Accent2111">
    <w:name w:val="List Table 3 - Accent 2111"/>
    <w:basedOn w:val="TableNormal"/>
    <w:next w:val="ListTable3-Accent21"/>
    <w:uiPriority w:val="48"/>
    <w:rsid w:val="009B2D9D"/>
    <w:pPr>
      <w:spacing w:after="0" w:line="240" w:lineRule="auto"/>
    </w:pPr>
    <w:rPr>
      <w:kern w:val="0"/>
      <w14:ligatures w14:val="none"/>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Table3-Accent4111">
    <w:name w:val="List Table 3 - Accent 4111"/>
    <w:basedOn w:val="TableNormal"/>
    <w:next w:val="ListTable3-Accent41"/>
    <w:uiPriority w:val="48"/>
    <w:rsid w:val="009B2D9D"/>
    <w:pPr>
      <w:spacing w:after="0" w:line="240" w:lineRule="auto"/>
    </w:pPr>
    <w:rPr>
      <w:kern w:val="0"/>
      <w14:ligatures w14:val="none"/>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customStyle="1" w:styleId="ListTable6Colorful-Accent4111">
    <w:name w:val="List Table 6 Colorful - Accent 4111"/>
    <w:basedOn w:val="TableNormal"/>
    <w:next w:val="ListTable6Colorful-Accent41"/>
    <w:uiPriority w:val="51"/>
    <w:rsid w:val="009B2D9D"/>
    <w:pPr>
      <w:spacing w:after="0" w:line="240" w:lineRule="auto"/>
    </w:pPr>
    <w:rPr>
      <w:color w:val="BF8F00" w:themeColor="accent4" w:themeShade="BF"/>
      <w:kern w:val="0"/>
      <w14:ligatures w14:val="none"/>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4-Accent4111">
    <w:name w:val="Grid Table 4 - Accent 4111"/>
    <w:basedOn w:val="TableNormal"/>
    <w:next w:val="GridTable4-Accent41"/>
    <w:uiPriority w:val="49"/>
    <w:rsid w:val="009B2D9D"/>
    <w:pPr>
      <w:spacing w:after="0" w:line="240" w:lineRule="auto"/>
    </w:pPr>
    <w:rPr>
      <w:kern w:val="0"/>
      <w14:ligatures w14:val="none"/>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7Colorful-Accent4111">
    <w:name w:val="List Table 7 Colorful - Accent 4111"/>
    <w:basedOn w:val="TableNormal"/>
    <w:next w:val="ListTable7Colorful-Accent41"/>
    <w:uiPriority w:val="52"/>
    <w:rsid w:val="009B2D9D"/>
    <w:pPr>
      <w:spacing w:after="0" w:line="240" w:lineRule="auto"/>
    </w:pPr>
    <w:rPr>
      <w:color w:val="BF8F00" w:themeColor="accent4" w:themeShade="BF"/>
      <w:kern w:val="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5Dark-Accent4111">
    <w:name w:val="List Table 5 Dark - Accent 4111"/>
    <w:basedOn w:val="TableNormal"/>
    <w:next w:val="ListTable5Dark-Accent41"/>
    <w:uiPriority w:val="50"/>
    <w:rsid w:val="009B2D9D"/>
    <w:pPr>
      <w:spacing w:after="0" w:line="240" w:lineRule="auto"/>
    </w:pPr>
    <w:rPr>
      <w:color w:val="FFFFFF" w:themeColor="background1"/>
      <w:kern w:val="0"/>
      <w14:ligatures w14:val="none"/>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GridTable2-Accent4111">
    <w:name w:val="Grid Table 2 - Accent 4111"/>
    <w:basedOn w:val="TableNormal"/>
    <w:next w:val="GridTable2-Accent41"/>
    <w:uiPriority w:val="47"/>
    <w:rsid w:val="009B2D9D"/>
    <w:pPr>
      <w:spacing w:after="0" w:line="240" w:lineRule="auto"/>
    </w:pPr>
    <w:rPr>
      <w:kern w:val="0"/>
      <w14:ligatures w14:val="none"/>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7Colorful-Accent2111">
    <w:name w:val="Grid Table 7 Colorful - Accent 2111"/>
    <w:basedOn w:val="TableNormal"/>
    <w:next w:val="GridTable7Colorful-Accent21"/>
    <w:uiPriority w:val="52"/>
    <w:rsid w:val="009B2D9D"/>
    <w:pPr>
      <w:spacing w:after="0" w:line="240" w:lineRule="auto"/>
    </w:pPr>
    <w:rPr>
      <w:color w:val="C45911" w:themeColor="accent2" w:themeShade="BF"/>
      <w:kern w:val="0"/>
      <w14:ligatures w14:val="non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ListTable2-Accent4111">
    <w:name w:val="List Table 2 - Accent 4111"/>
    <w:basedOn w:val="TableNormal"/>
    <w:next w:val="ListTable2-Accent41"/>
    <w:uiPriority w:val="47"/>
    <w:rsid w:val="009B2D9D"/>
    <w:pPr>
      <w:spacing w:after="0" w:line="240" w:lineRule="auto"/>
    </w:pPr>
    <w:rPr>
      <w:kern w:val="0"/>
      <w14:ligatures w14:val="none"/>
    </w:r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1Light-Accent4111">
    <w:name w:val="Grid Table 1 Light - Accent 4111"/>
    <w:basedOn w:val="TableNormal"/>
    <w:next w:val="GridTable1Light-Accent41"/>
    <w:uiPriority w:val="46"/>
    <w:rsid w:val="009B2D9D"/>
    <w:pPr>
      <w:spacing w:after="0" w:line="240" w:lineRule="auto"/>
    </w:pPr>
    <w:rPr>
      <w:kern w:val="0"/>
      <w14:ligatures w14:val="none"/>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ListTable2-Accent3111">
    <w:name w:val="List Table 2 - Accent 3111"/>
    <w:basedOn w:val="TableNormal"/>
    <w:next w:val="ListTable2-Accent31"/>
    <w:uiPriority w:val="47"/>
    <w:rsid w:val="009B2D9D"/>
    <w:pPr>
      <w:spacing w:after="0" w:line="240" w:lineRule="auto"/>
    </w:pPr>
    <w:rPr>
      <w:kern w:val="0"/>
      <w14:ligatures w14:val="none"/>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2-Accent2111">
    <w:name w:val="List Table 2 - Accent 2111"/>
    <w:basedOn w:val="TableNormal"/>
    <w:next w:val="ListTable2-Accent21"/>
    <w:uiPriority w:val="47"/>
    <w:rsid w:val="009B2D9D"/>
    <w:pPr>
      <w:spacing w:after="0" w:line="240" w:lineRule="auto"/>
    </w:pPr>
    <w:rPr>
      <w:kern w:val="0"/>
      <w14:ligatures w14:val="none"/>
    </w:r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2-Accent1111">
    <w:name w:val="List Table 2 - Accent 1111"/>
    <w:basedOn w:val="TableNormal"/>
    <w:next w:val="ListTable2-Accent11"/>
    <w:uiPriority w:val="47"/>
    <w:rsid w:val="009B2D9D"/>
    <w:pPr>
      <w:spacing w:after="0" w:line="240" w:lineRule="auto"/>
    </w:pPr>
    <w:rPr>
      <w:kern w:val="0"/>
      <w14:ligatures w14:val="none"/>
    </w:r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1Light-Accent4111">
    <w:name w:val="List Table 1 Light - Accent 4111"/>
    <w:basedOn w:val="TableNormal"/>
    <w:next w:val="ListTable1Light-Accent41"/>
    <w:uiPriority w:val="46"/>
    <w:rsid w:val="009B2D9D"/>
    <w:pPr>
      <w:spacing w:after="0" w:line="240" w:lineRule="auto"/>
    </w:pPr>
    <w:rPr>
      <w:kern w:val="0"/>
      <w14:ligatures w14:val="none"/>
    </w:r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numbering" w:customStyle="1" w:styleId="NoList81">
    <w:name w:val="No List81"/>
    <w:next w:val="NoList"/>
    <w:uiPriority w:val="99"/>
    <w:semiHidden/>
    <w:unhideWhenUsed/>
    <w:rsid w:val="009B2D9D"/>
  </w:style>
  <w:style w:type="table" w:customStyle="1" w:styleId="TableGrid61">
    <w:name w:val="Table Grid61"/>
    <w:basedOn w:val="TableNormal"/>
    <w:next w:val="TableGrid"/>
    <w:uiPriority w:val="39"/>
    <w:rsid w:val="009B2D9D"/>
    <w:pPr>
      <w:spacing w:after="0" w:line="240" w:lineRule="auto"/>
    </w:pPr>
    <w:rPr>
      <w:kern w:val="0"/>
      <w:lang w:val="sr-Latn-M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31">
    <w:name w:val="Light Shading - Accent 1131"/>
    <w:basedOn w:val="TableNormal"/>
    <w:uiPriority w:val="60"/>
    <w:rsid w:val="009B2D9D"/>
    <w:pPr>
      <w:spacing w:after="0" w:line="240" w:lineRule="auto"/>
    </w:pPr>
    <w:rPr>
      <w:rFonts w:ascii="Calibri" w:eastAsia="Times New Roman" w:hAnsi="Calibri" w:cs="Times New Roman"/>
      <w:color w:val="365F91"/>
      <w:kern w:val="0"/>
      <w:sz w:val="20"/>
      <w:szCs w:val="20"/>
      <w:lang w:val="sr-Latn-CS" w:eastAsia="sr-Latn-CS" w:bidi="en-US"/>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Radovan71">
    <w:name w:val="Radovan71"/>
    <w:uiPriority w:val="99"/>
    <w:rsid w:val="009B2D9D"/>
  </w:style>
  <w:style w:type="table" w:customStyle="1" w:styleId="LightShading-Accent331">
    <w:name w:val="Light Shading - Accent 331"/>
    <w:basedOn w:val="TableNormal"/>
    <w:next w:val="LightShading-Accent3"/>
    <w:uiPriority w:val="60"/>
    <w:rsid w:val="009B2D9D"/>
    <w:pPr>
      <w:spacing w:after="0" w:line="240" w:lineRule="auto"/>
    </w:pPr>
    <w:rPr>
      <w:rFonts w:ascii="Calibri" w:eastAsia="Calibri" w:hAnsi="Calibri" w:cs="Times New Roman"/>
      <w:color w:val="7B7B7B" w:themeColor="accent3" w:themeShade="BF"/>
      <w:kern w:val="0"/>
      <w:sz w:val="20"/>
      <w:szCs w:val="20"/>
      <w14:ligatures w14:val="none"/>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LightList-Accent231">
    <w:name w:val="Light List - Accent 231"/>
    <w:basedOn w:val="TableNormal"/>
    <w:next w:val="LightList-Accent2"/>
    <w:uiPriority w:val="61"/>
    <w:rsid w:val="009B2D9D"/>
    <w:pPr>
      <w:spacing w:after="0" w:line="240" w:lineRule="auto"/>
    </w:pPr>
    <w:rPr>
      <w:rFonts w:eastAsiaTheme="minorEastAsia"/>
      <w:kern w:val="0"/>
      <w:lang w:val="sr-Latn-CS" w:eastAsia="sr-Latn-CS"/>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customStyle="1" w:styleId="TableNormal141">
    <w:name w:val="Table Normal141"/>
    <w:uiPriority w:val="2"/>
    <w:semiHidden/>
    <w:unhideWhenUsed/>
    <w:qFormat/>
    <w:rsid w:val="009B2D9D"/>
    <w:pPr>
      <w:widowControl w:val="0"/>
      <w:spacing w:after="0" w:line="240" w:lineRule="auto"/>
    </w:pPr>
    <w:rPr>
      <w:kern w:val="0"/>
      <w14:ligatures w14:val="none"/>
    </w:rPr>
    <w:tblPr>
      <w:tblInd w:w="0" w:type="dxa"/>
      <w:tblCellMar>
        <w:top w:w="0" w:type="dxa"/>
        <w:left w:w="0" w:type="dxa"/>
        <w:bottom w:w="0" w:type="dxa"/>
        <w:right w:w="0" w:type="dxa"/>
      </w:tblCellMar>
    </w:tblPr>
  </w:style>
  <w:style w:type="numbering" w:customStyle="1" w:styleId="NoList171">
    <w:name w:val="No List171"/>
    <w:next w:val="NoList"/>
    <w:uiPriority w:val="99"/>
    <w:semiHidden/>
    <w:unhideWhenUsed/>
    <w:rsid w:val="009B2D9D"/>
  </w:style>
  <w:style w:type="numbering" w:customStyle="1" w:styleId="NoList1171">
    <w:name w:val="No List1171"/>
    <w:next w:val="NoList"/>
    <w:uiPriority w:val="99"/>
    <w:semiHidden/>
    <w:unhideWhenUsed/>
    <w:rsid w:val="009B2D9D"/>
  </w:style>
  <w:style w:type="table" w:customStyle="1" w:styleId="TableElegant31">
    <w:name w:val="Table Elegant31"/>
    <w:basedOn w:val="TableNormal"/>
    <w:next w:val="TableElegant"/>
    <w:rsid w:val="009B2D9D"/>
    <w:pPr>
      <w:spacing w:after="0" w:line="240" w:lineRule="auto"/>
    </w:pPr>
    <w:rPr>
      <w:rFonts w:ascii="Times New Roman" w:eastAsia="Times New Roman" w:hAnsi="Times New Roman" w:cs="Times New Roman"/>
      <w:kern w:val="0"/>
      <w:sz w:val="20"/>
      <w:szCs w:val="20"/>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NoList11171">
    <w:name w:val="No List11171"/>
    <w:next w:val="NoList"/>
    <w:uiPriority w:val="99"/>
    <w:semiHidden/>
    <w:unhideWhenUsed/>
    <w:rsid w:val="009B2D9D"/>
  </w:style>
  <w:style w:type="table" w:customStyle="1" w:styleId="TableNormal1131">
    <w:name w:val="Table Normal1131"/>
    <w:uiPriority w:val="2"/>
    <w:semiHidden/>
    <w:unhideWhenUsed/>
    <w:qFormat/>
    <w:rsid w:val="009B2D9D"/>
    <w:pPr>
      <w:widowControl w:val="0"/>
      <w:spacing w:after="0" w:line="240" w:lineRule="auto"/>
    </w:pPr>
    <w:rPr>
      <w:kern w:val="0"/>
      <w14:ligatures w14:val="none"/>
    </w:rPr>
    <w:tblPr>
      <w:tblInd w:w="0" w:type="dxa"/>
      <w:tblCellMar>
        <w:top w:w="0" w:type="dxa"/>
        <w:left w:w="0" w:type="dxa"/>
        <w:bottom w:w="0" w:type="dxa"/>
        <w:right w:w="0" w:type="dxa"/>
      </w:tblCellMar>
    </w:tblPr>
  </w:style>
  <w:style w:type="table" w:customStyle="1" w:styleId="PERstyle31">
    <w:name w:val="PER style31"/>
    <w:basedOn w:val="TableNormal"/>
    <w:uiPriority w:val="99"/>
    <w:rsid w:val="009B2D9D"/>
    <w:pPr>
      <w:spacing w:after="0" w:line="240" w:lineRule="auto"/>
    </w:pPr>
    <w:rPr>
      <w:kern w:val="0"/>
      <w:lang w:val="sr-Latn-ME"/>
      <w14:ligatures w14:val="none"/>
    </w:rPr>
    <w:tblPr/>
  </w:style>
  <w:style w:type="table" w:customStyle="1" w:styleId="PlainTable4131">
    <w:name w:val="Plain Table 4131"/>
    <w:basedOn w:val="TableNormal"/>
    <w:uiPriority w:val="44"/>
    <w:rsid w:val="009B2D9D"/>
    <w:pPr>
      <w:spacing w:after="0" w:line="240" w:lineRule="auto"/>
    </w:pPr>
    <w:rPr>
      <w:kern w:val="0"/>
      <w:lang w:val="sr-Latn-ME"/>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NoList261">
    <w:name w:val="No List261"/>
    <w:next w:val="NoList"/>
    <w:uiPriority w:val="99"/>
    <w:semiHidden/>
    <w:unhideWhenUsed/>
    <w:rsid w:val="009B2D9D"/>
  </w:style>
  <w:style w:type="numbering" w:customStyle="1" w:styleId="NoList351">
    <w:name w:val="No List351"/>
    <w:next w:val="NoList"/>
    <w:uiPriority w:val="99"/>
    <w:semiHidden/>
    <w:unhideWhenUsed/>
    <w:rsid w:val="009B2D9D"/>
  </w:style>
  <w:style w:type="numbering" w:customStyle="1" w:styleId="Radovan151">
    <w:name w:val="Radovan151"/>
    <w:uiPriority w:val="99"/>
    <w:rsid w:val="009B2D9D"/>
  </w:style>
  <w:style w:type="numbering" w:customStyle="1" w:styleId="Style1151">
    <w:name w:val="Style1151"/>
    <w:uiPriority w:val="99"/>
    <w:rsid w:val="009B2D9D"/>
  </w:style>
  <w:style w:type="numbering" w:customStyle="1" w:styleId="Style2151">
    <w:name w:val="Style2151"/>
    <w:uiPriority w:val="99"/>
    <w:rsid w:val="009B2D9D"/>
  </w:style>
  <w:style w:type="numbering" w:customStyle="1" w:styleId="NoList1261">
    <w:name w:val="No List1261"/>
    <w:next w:val="NoList"/>
    <w:uiPriority w:val="99"/>
    <w:semiHidden/>
    <w:unhideWhenUsed/>
    <w:rsid w:val="009B2D9D"/>
  </w:style>
  <w:style w:type="numbering" w:customStyle="1" w:styleId="NoList11261">
    <w:name w:val="No List11261"/>
    <w:next w:val="NoList"/>
    <w:uiPriority w:val="99"/>
    <w:semiHidden/>
    <w:unhideWhenUsed/>
    <w:rsid w:val="009B2D9D"/>
  </w:style>
  <w:style w:type="numbering" w:customStyle="1" w:styleId="NoList111161">
    <w:name w:val="No List111161"/>
    <w:next w:val="NoList"/>
    <w:uiPriority w:val="99"/>
    <w:semiHidden/>
    <w:unhideWhenUsed/>
    <w:rsid w:val="009B2D9D"/>
  </w:style>
  <w:style w:type="numbering" w:customStyle="1" w:styleId="Style11151">
    <w:name w:val="Style11151"/>
    <w:uiPriority w:val="99"/>
    <w:rsid w:val="009B2D9D"/>
  </w:style>
  <w:style w:type="table" w:customStyle="1" w:styleId="GridTable1Light-Accent1121">
    <w:name w:val="Grid Table 1 Light - Accent 1121"/>
    <w:basedOn w:val="TableNormal"/>
    <w:uiPriority w:val="46"/>
    <w:rsid w:val="009B2D9D"/>
    <w:pPr>
      <w:spacing w:after="0" w:line="240" w:lineRule="auto"/>
    </w:pPr>
    <w:rPr>
      <w:rFonts w:ascii="Calibri" w:eastAsia="Calibri" w:hAnsi="Calibri" w:cs="Times New Roman"/>
      <w:kern w:val="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ListTable1Light-Accent1121">
    <w:name w:val="List Table 1 Light - Accent 1121"/>
    <w:basedOn w:val="TableNormal"/>
    <w:uiPriority w:val="46"/>
    <w:rsid w:val="009B2D9D"/>
    <w:pPr>
      <w:spacing w:after="0" w:line="240" w:lineRule="auto"/>
    </w:pPr>
    <w:rPr>
      <w:kern w:val="0"/>
      <w14:ligatures w14:val="none"/>
    </w:r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5Dark-Accent1121">
    <w:name w:val="Grid Table 5 Dark - Accent 1121"/>
    <w:basedOn w:val="TableNormal"/>
    <w:uiPriority w:val="50"/>
    <w:rsid w:val="009B2D9D"/>
    <w:pPr>
      <w:spacing w:after="0" w:line="240" w:lineRule="auto"/>
    </w:pPr>
    <w:rPr>
      <w:kern w:val="0"/>
      <w:lang w:val="en-GB"/>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GridTable5Dark-Accent1221">
    <w:name w:val="Grid Table 5 Dark - Accent 1221"/>
    <w:basedOn w:val="TableNormal"/>
    <w:uiPriority w:val="50"/>
    <w:rsid w:val="009B2D9D"/>
    <w:pPr>
      <w:spacing w:after="0" w:line="240" w:lineRule="auto"/>
    </w:pPr>
    <w:rPr>
      <w:kern w:val="0"/>
      <w:lang w:val="en-GB"/>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GridTable6Colorful-Accent5121">
    <w:name w:val="Grid Table 6 Colorful - Accent 5121"/>
    <w:basedOn w:val="TableNormal"/>
    <w:uiPriority w:val="51"/>
    <w:rsid w:val="009B2D9D"/>
    <w:pPr>
      <w:spacing w:after="0" w:line="240" w:lineRule="auto"/>
    </w:pPr>
    <w:rPr>
      <w:color w:val="2E74B5" w:themeColor="accent5" w:themeShade="BF"/>
      <w:kern w:val="0"/>
      <w:lang w:val="en-GB"/>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numbering" w:customStyle="1" w:styleId="NoList2161">
    <w:name w:val="No List2161"/>
    <w:next w:val="NoList"/>
    <w:uiPriority w:val="99"/>
    <w:semiHidden/>
    <w:unhideWhenUsed/>
    <w:rsid w:val="009B2D9D"/>
  </w:style>
  <w:style w:type="numbering" w:customStyle="1" w:styleId="Radovan1121">
    <w:name w:val="Radovan1121"/>
    <w:uiPriority w:val="99"/>
    <w:rsid w:val="009B2D9D"/>
  </w:style>
  <w:style w:type="numbering" w:customStyle="1" w:styleId="Style1241">
    <w:name w:val="Style1241"/>
    <w:uiPriority w:val="99"/>
    <w:rsid w:val="009B2D9D"/>
  </w:style>
  <w:style w:type="numbering" w:customStyle="1" w:styleId="Style21121">
    <w:name w:val="Style21121"/>
    <w:uiPriority w:val="99"/>
    <w:rsid w:val="009B2D9D"/>
  </w:style>
  <w:style w:type="numbering" w:customStyle="1" w:styleId="NoList12151">
    <w:name w:val="No List12151"/>
    <w:next w:val="NoList"/>
    <w:uiPriority w:val="99"/>
    <w:semiHidden/>
    <w:unhideWhenUsed/>
    <w:rsid w:val="009B2D9D"/>
  </w:style>
  <w:style w:type="numbering" w:customStyle="1" w:styleId="NoList112151">
    <w:name w:val="No List112151"/>
    <w:next w:val="NoList"/>
    <w:uiPriority w:val="99"/>
    <w:semiHidden/>
    <w:unhideWhenUsed/>
    <w:rsid w:val="009B2D9D"/>
  </w:style>
  <w:style w:type="numbering" w:customStyle="1" w:styleId="NoList1111151">
    <w:name w:val="No List1111151"/>
    <w:next w:val="NoList"/>
    <w:uiPriority w:val="99"/>
    <w:semiHidden/>
    <w:unhideWhenUsed/>
    <w:rsid w:val="009B2D9D"/>
  </w:style>
  <w:style w:type="numbering" w:customStyle="1" w:styleId="NoList21151">
    <w:name w:val="No List21151"/>
    <w:next w:val="NoList"/>
    <w:uiPriority w:val="99"/>
    <w:semiHidden/>
    <w:unhideWhenUsed/>
    <w:rsid w:val="009B2D9D"/>
  </w:style>
  <w:style w:type="table" w:customStyle="1" w:styleId="TableGrid231">
    <w:name w:val="Table Grid231"/>
    <w:basedOn w:val="TableNormal"/>
    <w:next w:val="TableGrid"/>
    <w:uiPriority w:val="59"/>
    <w:rsid w:val="009B2D9D"/>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39"/>
    <w:rsid w:val="009B2D9D"/>
    <w:pPr>
      <w:spacing w:after="0" w:line="240" w:lineRule="auto"/>
    </w:pPr>
    <w:rPr>
      <w:kern w:val="0"/>
      <w:lang w:val="sr-Latn-M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21">
    <w:name w:val="No List11111121"/>
    <w:next w:val="NoList"/>
    <w:uiPriority w:val="99"/>
    <w:semiHidden/>
    <w:unhideWhenUsed/>
    <w:rsid w:val="009B2D9D"/>
  </w:style>
  <w:style w:type="table" w:customStyle="1" w:styleId="TableGrid2121">
    <w:name w:val="Table Grid2121"/>
    <w:basedOn w:val="TableNormal"/>
    <w:next w:val="TableGrid"/>
    <w:uiPriority w:val="59"/>
    <w:rsid w:val="009B2D9D"/>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1">
    <w:name w:val="Table Grid1321"/>
    <w:basedOn w:val="TableNormal"/>
    <w:next w:val="TableGrid"/>
    <w:uiPriority w:val="39"/>
    <w:rsid w:val="009B2D9D"/>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51">
    <w:name w:val="No List3151"/>
    <w:next w:val="NoList"/>
    <w:uiPriority w:val="99"/>
    <w:semiHidden/>
    <w:unhideWhenUsed/>
    <w:rsid w:val="009B2D9D"/>
  </w:style>
  <w:style w:type="table" w:customStyle="1" w:styleId="TableGrid321">
    <w:name w:val="Table Grid321"/>
    <w:basedOn w:val="TableNormal"/>
    <w:next w:val="TableGrid"/>
    <w:uiPriority w:val="39"/>
    <w:rsid w:val="009B2D9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121">
    <w:name w:val="Light Shading - Accent 11121"/>
    <w:basedOn w:val="TableNormal"/>
    <w:uiPriority w:val="60"/>
    <w:rsid w:val="009B2D9D"/>
    <w:pPr>
      <w:spacing w:after="0" w:line="240" w:lineRule="auto"/>
    </w:pPr>
    <w:rPr>
      <w:rFonts w:ascii="Calibri" w:eastAsia="Times New Roman" w:hAnsi="Calibri" w:cs="Times New Roman"/>
      <w:color w:val="365F91"/>
      <w:kern w:val="0"/>
      <w:sz w:val="20"/>
      <w:szCs w:val="20"/>
      <w:lang w:val="sr-Latn-CS" w:eastAsia="sr-Latn-CS" w:bidi="en-US"/>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3131">
    <w:name w:val="Light Shading - Accent 3131"/>
    <w:basedOn w:val="TableNormal"/>
    <w:next w:val="LightShading-Accent3"/>
    <w:uiPriority w:val="60"/>
    <w:rsid w:val="009B2D9D"/>
    <w:pPr>
      <w:spacing w:after="0" w:line="240" w:lineRule="auto"/>
    </w:pPr>
    <w:rPr>
      <w:rFonts w:ascii="Calibri" w:eastAsia="Calibri" w:hAnsi="Calibri" w:cs="Times New Roman"/>
      <w:color w:val="7B7B7B"/>
      <w:kern w:val="0"/>
      <w:sz w:val="20"/>
      <w:szCs w:val="20"/>
      <w14:ligatures w14:val="none"/>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LightList-Accent2131">
    <w:name w:val="Light List - Accent 2131"/>
    <w:basedOn w:val="TableNormal"/>
    <w:next w:val="LightList-Accent2"/>
    <w:uiPriority w:val="61"/>
    <w:rsid w:val="009B2D9D"/>
    <w:pPr>
      <w:spacing w:after="0" w:line="240" w:lineRule="auto"/>
    </w:pPr>
    <w:rPr>
      <w:rFonts w:eastAsia="Times New Roman"/>
      <w:kern w:val="0"/>
      <w:lang w:val="sr-Latn-CS" w:eastAsia="sr-Latn-CS"/>
      <w14:ligatures w14:val="none"/>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TableNormal1221">
    <w:name w:val="Table Normal1221"/>
    <w:uiPriority w:val="2"/>
    <w:semiHidden/>
    <w:unhideWhenUsed/>
    <w:qFormat/>
    <w:rsid w:val="009B2D9D"/>
    <w:pPr>
      <w:widowControl w:val="0"/>
      <w:spacing w:after="0" w:line="240" w:lineRule="auto"/>
    </w:pPr>
    <w:rPr>
      <w:kern w:val="0"/>
      <w14:ligatures w14:val="none"/>
    </w:rPr>
    <w:tblPr>
      <w:tblInd w:w="0" w:type="dxa"/>
      <w:tblCellMar>
        <w:top w:w="0" w:type="dxa"/>
        <w:left w:w="0" w:type="dxa"/>
        <w:bottom w:w="0" w:type="dxa"/>
        <w:right w:w="0" w:type="dxa"/>
      </w:tblCellMar>
    </w:tblPr>
  </w:style>
  <w:style w:type="numbering" w:customStyle="1" w:styleId="NoList121121">
    <w:name w:val="No List121121"/>
    <w:next w:val="NoList"/>
    <w:uiPriority w:val="99"/>
    <w:semiHidden/>
    <w:unhideWhenUsed/>
    <w:rsid w:val="009B2D9D"/>
  </w:style>
  <w:style w:type="numbering" w:customStyle="1" w:styleId="NoList1121121">
    <w:name w:val="No List1121121"/>
    <w:next w:val="NoList"/>
    <w:uiPriority w:val="99"/>
    <w:semiHidden/>
    <w:unhideWhenUsed/>
    <w:rsid w:val="009B2D9D"/>
  </w:style>
  <w:style w:type="table" w:customStyle="1" w:styleId="TableElegant121">
    <w:name w:val="Table Elegant121"/>
    <w:basedOn w:val="TableNormal"/>
    <w:next w:val="TableElegant"/>
    <w:rsid w:val="009B2D9D"/>
    <w:pPr>
      <w:spacing w:after="0" w:line="240" w:lineRule="auto"/>
    </w:pPr>
    <w:rPr>
      <w:rFonts w:ascii="Times New Roman" w:eastAsia="Times New Roman" w:hAnsi="Times New Roman" w:cs="Times New Roman"/>
      <w:kern w:val="0"/>
      <w:sz w:val="20"/>
      <w:szCs w:val="20"/>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NoList111251">
    <w:name w:val="No List111251"/>
    <w:next w:val="NoList"/>
    <w:uiPriority w:val="99"/>
    <w:semiHidden/>
    <w:unhideWhenUsed/>
    <w:rsid w:val="009B2D9D"/>
  </w:style>
  <w:style w:type="table" w:customStyle="1" w:styleId="TableNormal11121">
    <w:name w:val="Table Normal11121"/>
    <w:uiPriority w:val="2"/>
    <w:semiHidden/>
    <w:unhideWhenUsed/>
    <w:qFormat/>
    <w:rsid w:val="009B2D9D"/>
    <w:pPr>
      <w:widowControl w:val="0"/>
      <w:spacing w:after="0" w:line="240" w:lineRule="auto"/>
    </w:pPr>
    <w:rPr>
      <w:kern w:val="0"/>
      <w14:ligatures w14:val="none"/>
    </w:rPr>
    <w:tblPr>
      <w:tblInd w:w="0" w:type="dxa"/>
      <w:tblCellMar>
        <w:top w:w="0" w:type="dxa"/>
        <w:left w:w="0" w:type="dxa"/>
        <w:bottom w:w="0" w:type="dxa"/>
        <w:right w:w="0" w:type="dxa"/>
      </w:tblCellMar>
    </w:tblPr>
  </w:style>
  <w:style w:type="table" w:customStyle="1" w:styleId="PERstyle121">
    <w:name w:val="PER style121"/>
    <w:basedOn w:val="TableNormal"/>
    <w:uiPriority w:val="99"/>
    <w:rsid w:val="009B2D9D"/>
    <w:pPr>
      <w:spacing w:after="0" w:line="240" w:lineRule="auto"/>
    </w:pPr>
    <w:rPr>
      <w:kern w:val="0"/>
      <w14:ligatures w14:val="none"/>
    </w:rPr>
    <w:tblPr/>
  </w:style>
  <w:style w:type="table" w:customStyle="1" w:styleId="PlainTable41131">
    <w:name w:val="Plain Table 41131"/>
    <w:basedOn w:val="TableNormal"/>
    <w:uiPriority w:val="44"/>
    <w:rsid w:val="009B2D9D"/>
    <w:pPr>
      <w:spacing w:after="0" w:line="240" w:lineRule="auto"/>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211121">
    <w:name w:val="No List211121"/>
    <w:next w:val="NoList"/>
    <w:uiPriority w:val="99"/>
    <w:semiHidden/>
    <w:unhideWhenUsed/>
    <w:rsid w:val="009B2D9D"/>
  </w:style>
  <w:style w:type="table" w:customStyle="1" w:styleId="PlainTable2141">
    <w:name w:val="Plain Table 2141"/>
    <w:basedOn w:val="TableNormal"/>
    <w:uiPriority w:val="42"/>
    <w:rsid w:val="009B2D9D"/>
    <w:pPr>
      <w:spacing w:after="0" w:line="240" w:lineRule="auto"/>
    </w:pPr>
    <w:rPr>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Light141">
    <w:name w:val="Table Grid Light141"/>
    <w:basedOn w:val="TableNormal"/>
    <w:uiPriority w:val="40"/>
    <w:rsid w:val="009B2D9D"/>
    <w:pPr>
      <w:spacing w:after="0" w:line="240" w:lineRule="auto"/>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251">
    <w:name w:val="Table Grid Light251"/>
    <w:basedOn w:val="TableNormal"/>
    <w:uiPriority w:val="40"/>
    <w:rsid w:val="009B2D9D"/>
    <w:pPr>
      <w:spacing w:after="0" w:line="240" w:lineRule="auto"/>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2131">
    <w:name w:val="Table Grid Light2131"/>
    <w:basedOn w:val="TableNormal"/>
    <w:uiPriority w:val="40"/>
    <w:rsid w:val="009B2D9D"/>
    <w:pPr>
      <w:spacing w:after="0" w:line="240" w:lineRule="auto"/>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421">
    <w:name w:val="Table Grid421"/>
    <w:basedOn w:val="TableNormal"/>
    <w:next w:val="TableGrid"/>
    <w:uiPriority w:val="39"/>
    <w:rsid w:val="009B2D9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1">
    <w:name w:val="No List441"/>
    <w:next w:val="NoList"/>
    <w:uiPriority w:val="99"/>
    <w:semiHidden/>
    <w:unhideWhenUsed/>
    <w:rsid w:val="009B2D9D"/>
  </w:style>
  <w:style w:type="numbering" w:customStyle="1" w:styleId="Radovan241">
    <w:name w:val="Radovan241"/>
    <w:uiPriority w:val="99"/>
    <w:rsid w:val="009B2D9D"/>
  </w:style>
  <w:style w:type="numbering" w:customStyle="1" w:styleId="Style1341">
    <w:name w:val="Style1341"/>
    <w:uiPriority w:val="99"/>
    <w:rsid w:val="009B2D9D"/>
  </w:style>
  <w:style w:type="numbering" w:customStyle="1" w:styleId="Style2241">
    <w:name w:val="Style2241"/>
    <w:uiPriority w:val="99"/>
    <w:rsid w:val="009B2D9D"/>
  </w:style>
  <w:style w:type="numbering" w:customStyle="1" w:styleId="NoList1341">
    <w:name w:val="No List1341"/>
    <w:next w:val="NoList"/>
    <w:uiPriority w:val="99"/>
    <w:semiHidden/>
    <w:unhideWhenUsed/>
    <w:rsid w:val="009B2D9D"/>
  </w:style>
  <w:style w:type="numbering" w:customStyle="1" w:styleId="NoList11341">
    <w:name w:val="No List11341"/>
    <w:next w:val="NoList"/>
    <w:uiPriority w:val="99"/>
    <w:semiHidden/>
    <w:unhideWhenUsed/>
    <w:rsid w:val="009B2D9D"/>
  </w:style>
  <w:style w:type="numbering" w:customStyle="1" w:styleId="NoList111341">
    <w:name w:val="No List111341"/>
    <w:next w:val="NoList"/>
    <w:uiPriority w:val="99"/>
    <w:semiHidden/>
    <w:unhideWhenUsed/>
    <w:rsid w:val="009B2D9D"/>
  </w:style>
  <w:style w:type="numbering" w:customStyle="1" w:styleId="NoList2241">
    <w:name w:val="No List2241"/>
    <w:next w:val="NoList"/>
    <w:uiPriority w:val="99"/>
    <w:semiHidden/>
    <w:unhideWhenUsed/>
    <w:rsid w:val="009B2D9D"/>
  </w:style>
  <w:style w:type="table" w:customStyle="1" w:styleId="PlainTable21121">
    <w:name w:val="Plain Table 21121"/>
    <w:basedOn w:val="TableNormal"/>
    <w:uiPriority w:val="42"/>
    <w:rsid w:val="009B2D9D"/>
    <w:pPr>
      <w:spacing w:after="0" w:line="240" w:lineRule="auto"/>
    </w:pPr>
    <w:rPr>
      <w:kern w:val="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Light1121">
    <w:name w:val="Table Grid Light1121"/>
    <w:basedOn w:val="TableNormal"/>
    <w:uiPriority w:val="40"/>
    <w:rsid w:val="009B2D9D"/>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2221">
    <w:name w:val="Table Grid Light2221"/>
    <w:basedOn w:val="TableNormal"/>
    <w:uiPriority w:val="40"/>
    <w:rsid w:val="009B2D9D"/>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Style3151">
    <w:name w:val="Style3151"/>
    <w:uiPriority w:val="99"/>
    <w:rsid w:val="009B2D9D"/>
  </w:style>
  <w:style w:type="numbering" w:customStyle="1" w:styleId="NoList1111241">
    <w:name w:val="No List1111241"/>
    <w:next w:val="NoList"/>
    <w:uiPriority w:val="99"/>
    <w:semiHidden/>
    <w:unhideWhenUsed/>
    <w:rsid w:val="009B2D9D"/>
  </w:style>
  <w:style w:type="numbering" w:customStyle="1" w:styleId="NoList31121">
    <w:name w:val="No List31121"/>
    <w:next w:val="NoList"/>
    <w:uiPriority w:val="99"/>
    <w:semiHidden/>
    <w:unhideWhenUsed/>
    <w:rsid w:val="009B2D9D"/>
  </w:style>
  <w:style w:type="numbering" w:customStyle="1" w:styleId="NoList12241">
    <w:name w:val="No List12241"/>
    <w:next w:val="NoList"/>
    <w:uiPriority w:val="99"/>
    <w:semiHidden/>
    <w:unhideWhenUsed/>
    <w:rsid w:val="009B2D9D"/>
  </w:style>
  <w:style w:type="numbering" w:customStyle="1" w:styleId="NoList112241">
    <w:name w:val="No List112241"/>
    <w:next w:val="NoList"/>
    <w:uiPriority w:val="99"/>
    <w:semiHidden/>
    <w:unhideWhenUsed/>
    <w:rsid w:val="009B2D9D"/>
  </w:style>
  <w:style w:type="numbering" w:customStyle="1" w:styleId="NoList1112141">
    <w:name w:val="No List1112141"/>
    <w:next w:val="NoList"/>
    <w:uiPriority w:val="99"/>
    <w:semiHidden/>
    <w:unhideWhenUsed/>
    <w:rsid w:val="009B2D9D"/>
  </w:style>
  <w:style w:type="numbering" w:customStyle="1" w:styleId="NoList21241">
    <w:name w:val="No List21241"/>
    <w:next w:val="NoList"/>
    <w:uiPriority w:val="99"/>
    <w:semiHidden/>
    <w:unhideWhenUsed/>
    <w:rsid w:val="009B2D9D"/>
  </w:style>
  <w:style w:type="numbering" w:customStyle="1" w:styleId="NoList521">
    <w:name w:val="No List521"/>
    <w:next w:val="NoList"/>
    <w:uiPriority w:val="99"/>
    <w:semiHidden/>
    <w:unhideWhenUsed/>
    <w:rsid w:val="009B2D9D"/>
  </w:style>
  <w:style w:type="numbering" w:customStyle="1" w:styleId="Radovan321">
    <w:name w:val="Radovan321"/>
    <w:uiPriority w:val="99"/>
    <w:rsid w:val="009B2D9D"/>
  </w:style>
  <w:style w:type="numbering" w:customStyle="1" w:styleId="Style1421">
    <w:name w:val="Style1421"/>
    <w:uiPriority w:val="99"/>
    <w:rsid w:val="009B2D9D"/>
  </w:style>
  <w:style w:type="numbering" w:customStyle="1" w:styleId="Style2321">
    <w:name w:val="Style2321"/>
    <w:uiPriority w:val="99"/>
    <w:rsid w:val="009B2D9D"/>
  </w:style>
  <w:style w:type="numbering" w:customStyle="1" w:styleId="NoList1421">
    <w:name w:val="No List1421"/>
    <w:next w:val="NoList"/>
    <w:uiPriority w:val="99"/>
    <w:semiHidden/>
    <w:unhideWhenUsed/>
    <w:rsid w:val="009B2D9D"/>
  </w:style>
  <w:style w:type="numbering" w:customStyle="1" w:styleId="NoList11421">
    <w:name w:val="No List11421"/>
    <w:next w:val="NoList"/>
    <w:uiPriority w:val="99"/>
    <w:semiHidden/>
    <w:unhideWhenUsed/>
    <w:rsid w:val="009B2D9D"/>
  </w:style>
  <w:style w:type="numbering" w:customStyle="1" w:styleId="NoList111421">
    <w:name w:val="No List111421"/>
    <w:next w:val="NoList"/>
    <w:uiPriority w:val="99"/>
    <w:semiHidden/>
    <w:unhideWhenUsed/>
    <w:rsid w:val="009B2D9D"/>
  </w:style>
  <w:style w:type="numbering" w:customStyle="1" w:styleId="Style11221">
    <w:name w:val="Style11221"/>
    <w:uiPriority w:val="99"/>
    <w:rsid w:val="009B2D9D"/>
  </w:style>
  <w:style w:type="numbering" w:customStyle="1" w:styleId="NoList2321">
    <w:name w:val="No List2321"/>
    <w:next w:val="NoList"/>
    <w:uiPriority w:val="99"/>
    <w:semiHidden/>
    <w:unhideWhenUsed/>
    <w:rsid w:val="009B2D9D"/>
  </w:style>
  <w:style w:type="numbering" w:customStyle="1" w:styleId="Radovan1221">
    <w:name w:val="Radovan1221"/>
    <w:uiPriority w:val="99"/>
    <w:rsid w:val="009B2D9D"/>
  </w:style>
  <w:style w:type="numbering" w:customStyle="1" w:styleId="Style12121">
    <w:name w:val="Style12121"/>
    <w:uiPriority w:val="99"/>
    <w:rsid w:val="009B2D9D"/>
  </w:style>
  <w:style w:type="numbering" w:customStyle="1" w:styleId="Style21221">
    <w:name w:val="Style21221"/>
    <w:uiPriority w:val="99"/>
    <w:rsid w:val="009B2D9D"/>
  </w:style>
  <w:style w:type="numbering" w:customStyle="1" w:styleId="NoList12321">
    <w:name w:val="No List12321"/>
    <w:next w:val="NoList"/>
    <w:uiPriority w:val="99"/>
    <w:semiHidden/>
    <w:unhideWhenUsed/>
    <w:rsid w:val="009B2D9D"/>
  </w:style>
  <w:style w:type="numbering" w:customStyle="1" w:styleId="NoList112321">
    <w:name w:val="No List112321"/>
    <w:next w:val="NoList"/>
    <w:uiPriority w:val="99"/>
    <w:semiHidden/>
    <w:unhideWhenUsed/>
    <w:rsid w:val="009B2D9D"/>
  </w:style>
  <w:style w:type="numbering" w:customStyle="1" w:styleId="NoList1111321">
    <w:name w:val="No List1111321"/>
    <w:next w:val="NoList"/>
    <w:uiPriority w:val="99"/>
    <w:semiHidden/>
    <w:unhideWhenUsed/>
    <w:rsid w:val="009B2D9D"/>
  </w:style>
  <w:style w:type="numbering" w:customStyle="1" w:styleId="NoList21321">
    <w:name w:val="No List21321"/>
    <w:next w:val="NoList"/>
    <w:uiPriority w:val="99"/>
    <w:semiHidden/>
    <w:unhideWhenUsed/>
    <w:rsid w:val="009B2D9D"/>
  </w:style>
  <w:style w:type="numbering" w:customStyle="1" w:styleId="NoList11111221">
    <w:name w:val="No List11111221"/>
    <w:next w:val="NoList"/>
    <w:uiPriority w:val="99"/>
    <w:semiHidden/>
    <w:unhideWhenUsed/>
    <w:rsid w:val="009B2D9D"/>
  </w:style>
  <w:style w:type="numbering" w:customStyle="1" w:styleId="NoList3221">
    <w:name w:val="No List3221"/>
    <w:next w:val="NoList"/>
    <w:uiPriority w:val="99"/>
    <w:semiHidden/>
    <w:unhideWhenUsed/>
    <w:rsid w:val="009B2D9D"/>
  </w:style>
  <w:style w:type="numbering" w:customStyle="1" w:styleId="NoList121221">
    <w:name w:val="No List121221"/>
    <w:next w:val="NoList"/>
    <w:uiPriority w:val="99"/>
    <w:semiHidden/>
    <w:unhideWhenUsed/>
    <w:rsid w:val="009B2D9D"/>
  </w:style>
  <w:style w:type="numbering" w:customStyle="1" w:styleId="NoList1121221">
    <w:name w:val="No List1121221"/>
    <w:next w:val="NoList"/>
    <w:uiPriority w:val="99"/>
    <w:semiHidden/>
    <w:unhideWhenUsed/>
    <w:rsid w:val="009B2D9D"/>
  </w:style>
  <w:style w:type="numbering" w:customStyle="1" w:styleId="NoList1112221">
    <w:name w:val="No List1112221"/>
    <w:next w:val="NoList"/>
    <w:uiPriority w:val="99"/>
    <w:semiHidden/>
    <w:unhideWhenUsed/>
    <w:rsid w:val="009B2D9D"/>
  </w:style>
  <w:style w:type="numbering" w:customStyle="1" w:styleId="NoList211221">
    <w:name w:val="No List211221"/>
    <w:next w:val="NoList"/>
    <w:uiPriority w:val="99"/>
    <w:semiHidden/>
    <w:unhideWhenUsed/>
    <w:rsid w:val="009B2D9D"/>
  </w:style>
  <w:style w:type="numbering" w:customStyle="1" w:styleId="Style3221">
    <w:name w:val="Style3221"/>
    <w:uiPriority w:val="99"/>
    <w:rsid w:val="009B2D9D"/>
  </w:style>
  <w:style w:type="numbering" w:customStyle="1" w:styleId="NoList4121">
    <w:name w:val="No List4121"/>
    <w:next w:val="NoList"/>
    <w:uiPriority w:val="99"/>
    <w:semiHidden/>
    <w:unhideWhenUsed/>
    <w:rsid w:val="009B2D9D"/>
  </w:style>
  <w:style w:type="numbering" w:customStyle="1" w:styleId="Radovan2121">
    <w:name w:val="Radovan2121"/>
    <w:uiPriority w:val="99"/>
    <w:rsid w:val="009B2D9D"/>
  </w:style>
  <w:style w:type="numbering" w:customStyle="1" w:styleId="Style13121">
    <w:name w:val="Style13121"/>
    <w:uiPriority w:val="99"/>
    <w:rsid w:val="009B2D9D"/>
  </w:style>
  <w:style w:type="numbering" w:customStyle="1" w:styleId="Style22121">
    <w:name w:val="Style22121"/>
    <w:uiPriority w:val="99"/>
    <w:rsid w:val="009B2D9D"/>
  </w:style>
  <w:style w:type="numbering" w:customStyle="1" w:styleId="NoList13121">
    <w:name w:val="No List13121"/>
    <w:next w:val="NoList"/>
    <w:uiPriority w:val="99"/>
    <w:semiHidden/>
    <w:unhideWhenUsed/>
    <w:rsid w:val="009B2D9D"/>
  </w:style>
  <w:style w:type="numbering" w:customStyle="1" w:styleId="NoList113121">
    <w:name w:val="No List113121"/>
    <w:next w:val="NoList"/>
    <w:uiPriority w:val="99"/>
    <w:semiHidden/>
    <w:unhideWhenUsed/>
    <w:rsid w:val="009B2D9D"/>
  </w:style>
  <w:style w:type="numbering" w:customStyle="1" w:styleId="NoList1113121">
    <w:name w:val="No List1113121"/>
    <w:next w:val="NoList"/>
    <w:uiPriority w:val="99"/>
    <w:semiHidden/>
    <w:unhideWhenUsed/>
    <w:rsid w:val="009B2D9D"/>
  </w:style>
  <w:style w:type="numbering" w:customStyle="1" w:styleId="Style111221">
    <w:name w:val="Style111221"/>
    <w:uiPriority w:val="99"/>
    <w:rsid w:val="009B2D9D"/>
  </w:style>
  <w:style w:type="numbering" w:customStyle="1" w:styleId="NoList22121">
    <w:name w:val="No List22121"/>
    <w:next w:val="NoList"/>
    <w:uiPriority w:val="99"/>
    <w:semiHidden/>
    <w:unhideWhenUsed/>
    <w:rsid w:val="009B2D9D"/>
  </w:style>
  <w:style w:type="numbering" w:customStyle="1" w:styleId="Style31221">
    <w:name w:val="Style31221"/>
    <w:uiPriority w:val="99"/>
    <w:rsid w:val="009B2D9D"/>
  </w:style>
  <w:style w:type="numbering" w:customStyle="1" w:styleId="NoList11112121">
    <w:name w:val="No List11112121"/>
    <w:next w:val="NoList"/>
    <w:uiPriority w:val="99"/>
    <w:semiHidden/>
    <w:unhideWhenUsed/>
    <w:rsid w:val="009B2D9D"/>
  </w:style>
  <w:style w:type="numbering" w:customStyle="1" w:styleId="NoList31221">
    <w:name w:val="No List31221"/>
    <w:next w:val="NoList"/>
    <w:uiPriority w:val="99"/>
    <w:semiHidden/>
    <w:unhideWhenUsed/>
    <w:rsid w:val="009B2D9D"/>
  </w:style>
  <w:style w:type="numbering" w:customStyle="1" w:styleId="NoList122121">
    <w:name w:val="No List122121"/>
    <w:next w:val="NoList"/>
    <w:uiPriority w:val="99"/>
    <w:semiHidden/>
    <w:unhideWhenUsed/>
    <w:rsid w:val="009B2D9D"/>
  </w:style>
  <w:style w:type="numbering" w:customStyle="1" w:styleId="NoList1122121">
    <w:name w:val="No List1122121"/>
    <w:next w:val="NoList"/>
    <w:uiPriority w:val="99"/>
    <w:semiHidden/>
    <w:unhideWhenUsed/>
    <w:rsid w:val="009B2D9D"/>
  </w:style>
  <w:style w:type="numbering" w:customStyle="1" w:styleId="NoList11121121">
    <w:name w:val="No List11121121"/>
    <w:next w:val="NoList"/>
    <w:uiPriority w:val="99"/>
    <w:semiHidden/>
    <w:unhideWhenUsed/>
    <w:rsid w:val="009B2D9D"/>
  </w:style>
  <w:style w:type="numbering" w:customStyle="1" w:styleId="NoList212121">
    <w:name w:val="No List212121"/>
    <w:next w:val="NoList"/>
    <w:uiPriority w:val="99"/>
    <w:semiHidden/>
    <w:unhideWhenUsed/>
    <w:rsid w:val="009B2D9D"/>
  </w:style>
  <w:style w:type="numbering" w:customStyle="1" w:styleId="Style311121">
    <w:name w:val="Style311121"/>
    <w:uiPriority w:val="99"/>
    <w:rsid w:val="009B2D9D"/>
  </w:style>
  <w:style w:type="numbering" w:customStyle="1" w:styleId="NoList621">
    <w:name w:val="No List621"/>
    <w:next w:val="NoList"/>
    <w:uiPriority w:val="99"/>
    <w:semiHidden/>
    <w:unhideWhenUsed/>
    <w:rsid w:val="009B2D9D"/>
  </w:style>
  <w:style w:type="numbering" w:customStyle="1" w:styleId="Radovan421">
    <w:name w:val="Radovan421"/>
    <w:uiPriority w:val="99"/>
    <w:rsid w:val="009B2D9D"/>
  </w:style>
  <w:style w:type="numbering" w:customStyle="1" w:styleId="Style1521">
    <w:name w:val="Style1521"/>
    <w:uiPriority w:val="99"/>
    <w:rsid w:val="009B2D9D"/>
  </w:style>
  <w:style w:type="numbering" w:customStyle="1" w:styleId="Style2421">
    <w:name w:val="Style2421"/>
    <w:uiPriority w:val="99"/>
    <w:rsid w:val="009B2D9D"/>
  </w:style>
  <w:style w:type="numbering" w:customStyle="1" w:styleId="NoList1521">
    <w:name w:val="No List1521"/>
    <w:next w:val="NoList"/>
    <w:uiPriority w:val="99"/>
    <w:semiHidden/>
    <w:unhideWhenUsed/>
    <w:rsid w:val="009B2D9D"/>
  </w:style>
  <w:style w:type="numbering" w:customStyle="1" w:styleId="NoList11521">
    <w:name w:val="No List11521"/>
    <w:next w:val="NoList"/>
    <w:uiPriority w:val="99"/>
    <w:semiHidden/>
    <w:unhideWhenUsed/>
    <w:rsid w:val="009B2D9D"/>
  </w:style>
  <w:style w:type="numbering" w:customStyle="1" w:styleId="NoList111521">
    <w:name w:val="No List111521"/>
    <w:next w:val="NoList"/>
    <w:uiPriority w:val="99"/>
    <w:semiHidden/>
    <w:unhideWhenUsed/>
    <w:rsid w:val="009B2D9D"/>
  </w:style>
  <w:style w:type="numbering" w:customStyle="1" w:styleId="Style11321">
    <w:name w:val="Style11321"/>
    <w:uiPriority w:val="99"/>
    <w:rsid w:val="009B2D9D"/>
  </w:style>
  <w:style w:type="numbering" w:customStyle="1" w:styleId="NoList2421">
    <w:name w:val="No List2421"/>
    <w:next w:val="NoList"/>
    <w:uiPriority w:val="99"/>
    <w:semiHidden/>
    <w:unhideWhenUsed/>
    <w:rsid w:val="009B2D9D"/>
  </w:style>
  <w:style w:type="numbering" w:customStyle="1" w:styleId="Style12221">
    <w:name w:val="Style12221"/>
    <w:uiPriority w:val="99"/>
    <w:rsid w:val="009B2D9D"/>
  </w:style>
  <w:style w:type="numbering" w:customStyle="1" w:styleId="Style21321">
    <w:name w:val="Style21321"/>
    <w:uiPriority w:val="99"/>
    <w:rsid w:val="009B2D9D"/>
  </w:style>
  <w:style w:type="numbering" w:customStyle="1" w:styleId="NoList12421">
    <w:name w:val="No List12421"/>
    <w:next w:val="NoList"/>
    <w:uiPriority w:val="99"/>
    <w:semiHidden/>
    <w:unhideWhenUsed/>
    <w:rsid w:val="009B2D9D"/>
  </w:style>
  <w:style w:type="numbering" w:customStyle="1" w:styleId="NoList112421">
    <w:name w:val="No List112421"/>
    <w:next w:val="NoList"/>
    <w:uiPriority w:val="99"/>
    <w:semiHidden/>
    <w:unhideWhenUsed/>
    <w:rsid w:val="009B2D9D"/>
  </w:style>
  <w:style w:type="numbering" w:customStyle="1" w:styleId="NoList1111421">
    <w:name w:val="No List1111421"/>
    <w:next w:val="NoList"/>
    <w:uiPriority w:val="99"/>
    <w:semiHidden/>
    <w:unhideWhenUsed/>
    <w:rsid w:val="009B2D9D"/>
  </w:style>
  <w:style w:type="numbering" w:customStyle="1" w:styleId="NoList21421">
    <w:name w:val="No List21421"/>
    <w:next w:val="NoList"/>
    <w:uiPriority w:val="99"/>
    <w:semiHidden/>
    <w:unhideWhenUsed/>
    <w:rsid w:val="009B2D9D"/>
  </w:style>
  <w:style w:type="numbering" w:customStyle="1" w:styleId="NoList11111321">
    <w:name w:val="No List11111321"/>
    <w:next w:val="NoList"/>
    <w:uiPriority w:val="99"/>
    <w:semiHidden/>
    <w:unhideWhenUsed/>
    <w:rsid w:val="009B2D9D"/>
  </w:style>
  <w:style w:type="numbering" w:customStyle="1" w:styleId="NoList3321">
    <w:name w:val="No List3321"/>
    <w:next w:val="NoList"/>
    <w:uiPriority w:val="99"/>
    <w:semiHidden/>
    <w:unhideWhenUsed/>
    <w:rsid w:val="009B2D9D"/>
  </w:style>
  <w:style w:type="numbering" w:customStyle="1" w:styleId="NoList121321">
    <w:name w:val="No List121321"/>
    <w:next w:val="NoList"/>
    <w:uiPriority w:val="99"/>
    <w:semiHidden/>
    <w:unhideWhenUsed/>
    <w:rsid w:val="009B2D9D"/>
  </w:style>
  <w:style w:type="numbering" w:customStyle="1" w:styleId="NoList1121321">
    <w:name w:val="No List1121321"/>
    <w:next w:val="NoList"/>
    <w:uiPriority w:val="99"/>
    <w:semiHidden/>
    <w:unhideWhenUsed/>
    <w:rsid w:val="009B2D9D"/>
  </w:style>
  <w:style w:type="numbering" w:customStyle="1" w:styleId="NoList1112321">
    <w:name w:val="No List1112321"/>
    <w:next w:val="NoList"/>
    <w:uiPriority w:val="99"/>
    <w:semiHidden/>
    <w:unhideWhenUsed/>
    <w:rsid w:val="009B2D9D"/>
  </w:style>
  <w:style w:type="numbering" w:customStyle="1" w:styleId="NoList211321">
    <w:name w:val="No List211321"/>
    <w:next w:val="NoList"/>
    <w:uiPriority w:val="99"/>
    <w:semiHidden/>
    <w:unhideWhenUsed/>
    <w:rsid w:val="009B2D9D"/>
  </w:style>
  <w:style w:type="numbering" w:customStyle="1" w:styleId="NoList4221">
    <w:name w:val="No List4221"/>
    <w:next w:val="NoList"/>
    <w:uiPriority w:val="99"/>
    <w:semiHidden/>
    <w:unhideWhenUsed/>
    <w:rsid w:val="009B2D9D"/>
  </w:style>
  <w:style w:type="numbering" w:customStyle="1" w:styleId="NoList13221">
    <w:name w:val="No List13221"/>
    <w:next w:val="NoList"/>
    <w:uiPriority w:val="99"/>
    <w:semiHidden/>
    <w:unhideWhenUsed/>
    <w:rsid w:val="009B2D9D"/>
  </w:style>
  <w:style w:type="numbering" w:customStyle="1" w:styleId="NoList113221">
    <w:name w:val="No List113221"/>
    <w:next w:val="NoList"/>
    <w:uiPriority w:val="99"/>
    <w:semiHidden/>
    <w:unhideWhenUsed/>
    <w:rsid w:val="009B2D9D"/>
  </w:style>
  <w:style w:type="numbering" w:customStyle="1" w:styleId="NoList1113221">
    <w:name w:val="No List1113221"/>
    <w:next w:val="NoList"/>
    <w:uiPriority w:val="99"/>
    <w:semiHidden/>
    <w:unhideWhenUsed/>
    <w:rsid w:val="009B2D9D"/>
  </w:style>
  <w:style w:type="numbering" w:customStyle="1" w:styleId="NoList22221">
    <w:name w:val="No List22221"/>
    <w:next w:val="NoList"/>
    <w:uiPriority w:val="99"/>
    <w:semiHidden/>
    <w:unhideWhenUsed/>
    <w:rsid w:val="009B2D9D"/>
  </w:style>
  <w:style w:type="numbering" w:customStyle="1" w:styleId="NoList11112221">
    <w:name w:val="No List11112221"/>
    <w:next w:val="NoList"/>
    <w:uiPriority w:val="99"/>
    <w:semiHidden/>
    <w:unhideWhenUsed/>
    <w:rsid w:val="009B2D9D"/>
  </w:style>
  <w:style w:type="numbering" w:customStyle="1" w:styleId="NoList31321">
    <w:name w:val="No List31321"/>
    <w:next w:val="NoList"/>
    <w:uiPriority w:val="99"/>
    <w:semiHidden/>
    <w:unhideWhenUsed/>
    <w:rsid w:val="009B2D9D"/>
  </w:style>
  <w:style w:type="numbering" w:customStyle="1" w:styleId="NoList122221">
    <w:name w:val="No List122221"/>
    <w:next w:val="NoList"/>
    <w:uiPriority w:val="99"/>
    <w:semiHidden/>
    <w:unhideWhenUsed/>
    <w:rsid w:val="009B2D9D"/>
  </w:style>
  <w:style w:type="numbering" w:customStyle="1" w:styleId="NoList1122221">
    <w:name w:val="No List1122221"/>
    <w:next w:val="NoList"/>
    <w:uiPriority w:val="99"/>
    <w:semiHidden/>
    <w:unhideWhenUsed/>
    <w:rsid w:val="009B2D9D"/>
  </w:style>
  <w:style w:type="numbering" w:customStyle="1" w:styleId="NoList11121221">
    <w:name w:val="No List11121221"/>
    <w:next w:val="NoList"/>
    <w:uiPriority w:val="99"/>
    <w:semiHidden/>
    <w:unhideWhenUsed/>
    <w:rsid w:val="009B2D9D"/>
  </w:style>
  <w:style w:type="numbering" w:customStyle="1" w:styleId="NoList212221">
    <w:name w:val="No List212221"/>
    <w:next w:val="NoList"/>
    <w:uiPriority w:val="99"/>
    <w:semiHidden/>
    <w:unhideWhenUsed/>
    <w:rsid w:val="009B2D9D"/>
  </w:style>
  <w:style w:type="table" w:customStyle="1" w:styleId="LightShading-Accent31121">
    <w:name w:val="Light Shading - Accent 31121"/>
    <w:basedOn w:val="TableNormal"/>
    <w:next w:val="LightShading-Accent3"/>
    <w:uiPriority w:val="60"/>
    <w:rsid w:val="009B2D9D"/>
    <w:pPr>
      <w:spacing w:after="0" w:line="240" w:lineRule="auto"/>
    </w:pPr>
    <w:rPr>
      <w:rFonts w:ascii="Calibri" w:eastAsia="Calibri" w:hAnsi="Calibri" w:cs="Times New Roman"/>
      <w:color w:val="7B7B7B" w:themeColor="accent3" w:themeShade="BF"/>
      <w:kern w:val="0"/>
      <w:sz w:val="20"/>
      <w:szCs w:val="20"/>
      <w14:ligatures w14:val="none"/>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LightList-Accent21121">
    <w:name w:val="Light List - Accent 21121"/>
    <w:basedOn w:val="TableNormal"/>
    <w:next w:val="LightList-Accent2"/>
    <w:uiPriority w:val="61"/>
    <w:rsid w:val="009B2D9D"/>
    <w:pPr>
      <w:spacing w:after="0" w:line="240" w:lineRule="auto"/>
    </w:pPr>
    <w:rPr>
      <w:rFonts w:eastAsiaTheme="minorEastAsia"/>
      <w:kern w:val="0"/>
      <w:lang w:val="sr-Latn-CS" w:eastAsia="sr-Latn-CS"/>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customStyle="1" w:styleId="PlainTable411121">
    <w:name w:val="Plain Table 411121"/>
    <w:basedOn w:val="TableNormal"/>
    <w:uiPriority w:val="44"/>
    <w:rsid w:val="009B2D9D"/>
    <w:pPr>
      <w:spacing w:after="0" w:line="240" w:lineRule="auto"/>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221">
    <w:name w:val="Plain Table 21221"/>
    <w:basedOn w:val="TableNormal"/>
    <w:uiPriority w:val="42"/>
    <w:rsid w:val="009B2D9D"/>
    <w:pPr>
      <w:spacing w:after="0" w:line="240" w:lineRule="auto"/>
    </w:pPr>
    <w:rPr>
      <w:kern w:val="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Light1221">
    <w:name w:val="Table Grid Light1221"/>
    <w:basedOn w:val="TableNormal"/>
    <w:uiPriority w:val="40"/>
    <w:rsid w:val="009B2D9D"/>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2321">
    <w:name w:val="Table Grid Light2321"/>
    <w:basedOn w:val="TableNormal"/>
    <w:uiPriority w:val="40"/>
    <w:rsid w:val="009B2D9D"/>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21121">
    <w:name w:val="Table Grid Light21121"/>
    <w:basedOn w:val="TableNormal"/>
    <w:uiPriority w:val="40"/>
    <w:rsid w:val="009B2D9D"/>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2-Accent121">
    <w:name w:val="Grid Table 2 - Accent 121"/>
    <w:basedOn w:val="TableNormal"/>
    <w:next w:val="GridTable2-Accent11"/>
    <w:uiPriority w:val="47"/>
    <w:rsid w:val="009B2D9D"/>
    <w:pPr>
      <w:spacing w:after="0" w:line="240" w:lineRule="auto"/>
    </w:pPr>
    <w:rPr>
      <w:kern w:val="0"/>
      <w14:ligatures w14:val="none"/>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4-Accent521">
    <w:name w:val="Grid Table 4 - Accent 521"/>
    <w:basedOn w:val="TableNormal"/>
    <w:next w:val="GridTable4-Accent51"/>
    <w:uiPriority w:val="49"/>
    <w:rsid w:val="009B2D9D"/>
    <w:pPr>
      <w:spacing w:after="0" w:line="240" w:lineRule="auto"/>
    </w:pPr>
    <w:rPr>
      <w:kern w:val="0"/>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3-Accent521">
    <w:name w:val="Grid Table 3 - Accent 521"/>
    <w:basedOn w:val="TableNormal"/>
    <w:next w:val="GridTable3-Accent51"/>
    <w:uiPriority w:val="48"/>
    <w:rsid w:val="009B2D9D"/>
    <w:pPr>
      <w:spacing w:after="0" w:line="240" w:lineRule="auto"/>
    </w:pPr>
    <w:rPr>
      <w:kern w:val="0"/>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ListTable2-Accent521">
    <w:name w:val="List Table 2 - Accent 521"/>
    <w:basedOn w:val="TableNormal"/>
    <w:next w:val="ListTable2-Accent51"/>
    <w:uiPriority w:val="47"/>
    <w:rsid w:val="009B2D9D"/>
    <w:pPr>
      <w:spacing w:after="0" w:line="240" w:lineRule="auto"/>
    </w:pPr>
    <w:rPr>
      <w:kern w:val="0"/>
      <w14:ligatures w14:val="none"/>
    </w:r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6Colorful-Accent531">
    <w:name w:val="Grid Table 6 Colorful - Accent 531"/>
    <w:basedOn w:val="TableNormal"/>
    <w:next w:val="GridTable6Colorful-Accent52"/>
    <w:uiPriority w:val="51"/>
    <w:rsid w:val="009B2D9D"/>
    <w:pPr>
      <w:spacing w:after="0" w:line="240" w:lineRule="auto"/>
    </w:pPr>
    <w:rPr>
      <w:color w:val="2E74B5" w:themeColor="accent5" w:themeShade="BF"/>
      <w:kern w:val="0"/>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5Dark-Accent521">
    <w:name w:val="Grid Table 5 Dark - Accent 521"/>
    <w:basedOn w:val="TableNormal"/>
    <w:next w:val="GridTable5Dark-Accent51"/>
    <w:uiPriority w:val="50"/>
    <w:rsid w:val="009B2D9D"/>
    <w:pPr>
      <w:spacing w:after="0" w:line="240" w:lineRule="auto"/>
    </w:pPr>
    <w:rPr>
      <w:kern w:val="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GridTable5Dark-Accent141">
    <w:name w:val="Grid Table 5 Dark - Accent 141"/>
    <w:basedOn w:val="TableNormal"/>
    <w:next w:val="GridTable5Dark-Accent13"/>
    <w:uiPriority w:val="50"/>
    <w:rsid w:val="009B2D9D"/>
    <w:pPr>
      <w:spacing w:after="0" w:line="240" w:lineRule="auto"/>
    </w:pPr>
    <w:rPr>
      <w:kern w:val="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TableGridLight41">
    <w:name w:val="Table Grid Light41"/>
    <w:basedOn w:val="TableNormal"/>
    <w:next w:val="TableGridLight3"/>
    <w:uiPriority w:val="40"/>
    <w:rsid w:val="009B2D9D"/>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21">
    <w:name w:val="Plain Table 121"/>
    <w:basedOn w:val="TableNormal"/>
    <w:next w:val="PlainTable11"/>
    <w:uiPriority w:val="41"/>
    <w:rsid w:val="009B2D9D"/>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1Light-Accent221">
    <w:name w:val="Grid Table 1 Light - Accent 221"/>
    <w:basedOn w:val="TableNormal"/>
    <w:next w:val="GridTable1Light-Accent21"/>
    <w:uiPriority w:val="46"/>
    <w:rsid w:val="009B2D9D"/>
    <w:pPr>
      <w:spacing w:after="0" w:line="240" w:lineRule="auto"/>
    </w:pPr>
    <w:rPr>
      <w:kern w:val="0"/>
      <w14:ligatures w14:val="none"/>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GridTable5Dark-Accent221">
    <w:name w:val="Grid Table 5 Dark - Accent 221"/>
    <w:basedOn w:val="TableNormal"/>
    <w:next w:val="GridTable5Dark-Accent21"/>
    <w:uiPriority w:val="50"/>
    <w:rsid w:val="009B2D9D"/>
    <w:pPr>
      <w:spacing w:after="0" w:line="240" w:lineRule="auto"/>
    </w:pPr>
    <w:rPr>
      <w:kern w:val="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ridTable6Colorful-Accent221">
    <w:name w:val="Grid Table 6 Colorful - Accent 221"/>
    <w:basedOn w:val="TableNormal"/>
    <w:next w:val="GridTable6Colorful-Accent21"/>
    <w:uiPriority w:val="51"/>
    <w:rsid w:val="009B2D9D"/>
    <w:pPr>
      <w:spacing w:after="0" w:line="240" w:lineRule="auto"/>
    </w:pPr>
    <w:rPr>
      <w:color w:val="C45911" w:themeColor="accent2" w:themeShade="BF"/>
      <w:kern w:val="0"/>
      <w14:ligatures w14:val="non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6Colorful-Accent421">
    <w:name w:val="Grid Table 6 Colorful - Accent 421"/>
    <w:basedOn w:val="TableNormal"/>
    <w:next w:val="GridTable6Colorful-Accent41"/>
    <w:uiPriority w:val="51"/>
    <w:rsid w:val="009B2D9D"/>
    <w:pPr>
      <w:spacing w:after="0" w:line="240" w:lineRule="auto"/>
    </w:pPr>
    <w:rPr>
      <w:color w:val="BF8F00" w:themeColor="accent4" w:themeShade="BF"/>
      <w:kern w:val="0"/>
      <w14:ligatures w14:val="none"/>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5Dark-Accent221">
    <w:name w:val="List Table 5 Dark - Accent 221"/>
    <w:basedOn w:val="TableNormal"/>
    <w:next w:val="ListTable5Dark-Accent21"/>
    <w:uiPriority w:val="50"/>
    <w:rsid w:val="009B2D9D"/>
    <w:pPr>
      <w:spacing w:after="0" w:line="240" w:lineRule="auto"/>
    </w:pPr>
    <w:rPr>
      <w:color w:val="FFFFFF" w:themeColor="background1"/>
      <w:kern w:val="0"/>
      <w14:ligatures w14:val="none"/>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3-Accent221">
    <w:name w:val="List Table 3 - Accent 221"/>
    <w:basedOn w:val="TableNormal"/>
    <w:next w:val="ListTable3-Accent21"/>
    <w:uiPriority w:val="48"/>
    <w:rsid w:val="009B2D9D"/>
    <w:pPr>
      <w:spacing w:after="0" w:line="240" w:lineRule="auto"/>
    </w:pPr>
    <w:rPr>
      <w:kern w:val="0"/>
      <w14:ligatures w14:val="none"/>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Table3-Accent421">
    <w:name w:val="List Table 3 - Accent 421"/>
    <w:basedOn w:val="TableNormal"/>
    <w:next w:val="ListTable3-Accent41"/>
    <w:uiPriority w:val="48"/>
    <w:rsid w:val="009B2D9D"/>
    <w:pPr>
      <w:spacing w:after="0" w:line="240" w:lineRule="auto"/>
    </w:pPr>
    <w:rPr>
      <w:kern w:val="0"/>
      <w14:ligatures w14:val="none"/>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customStyle="1" w:styleId="ListTable6Colorful-Accent421">
    <w:name w:val="List Table 6 Colorful - Accent 421"/>
    <w:basedOn w:val="TableNormal"/>
    <w:next w:val="ListTable6Colorful-Accent41"/>
    <w:uiPriority w:val="51"/>
    <w:rsid w:val="009B2D9D"/>
    <w:pPr>
      <w:spacing w:after="0" w:line="240" w:lineRule="auto"/>
    </w:pPr>
    <w:rPr>
      <w:color w:val="BF8F00" w:themeColor="accent4" w:themeShade="BF"/>
      <w:kern w:val="0"/>
      <w14:ligatures w14:val="none"/>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4-Accent421">
    <w:name w:val="Grid Table 4 - Accent 421"/>
    <w:basedOn w:val="TableNormal"/>
    <w:next w:val="GridTable4-Accent41"/>
    <w:uiPriority w:val="49"/>
    <w:rsid w:val="009B2D9D"/>
    <w:pPr>
      <w:spacing w:after="0" w:line="240" w:lineRule="auto"/>
    </w:pPr>
    <w:rPr>
      <w:kern w:val="0"/>
      <w14:ligatures w14:val="none"/>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7Colorful-Accent421">
    <w:name w:val="List Table 7 Colorful - Accent 421"/>
    <w:basedOn w:val="TableNormal"/>
    <w:next w:val="ListTable7Colorful-Accent41"/>
    <w:uiPriority w:val="52"/>
    <w:rsid w:val="009B2D9D"/>
    <w:pPr>
      <w:spacing w:after="0" w:line="240" w:lineRule="auto"/>
    </w:pPr>
    <w:rPr>
      <w:color w:val="BF8F00" w:themeColor="accent4" w:themeShade="BF"/>
      <w:kern w:val="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5Dark-Accent421">
    <w:name w:val="List Table 5 Dark - Accent 421"/>
    <w:basedOn w:val="TableNormal"/>
    <w:next w:val="ListTable5Dark-Accent41"/>
    <w:uiPriority w:val="50"/>
    <w:rsid w:val="009B2D9D"/>
    <w:pPr>
      <w:spacing w:after="0" w:line="240" w:lineRule="auto"/>
    </w:pPr>
    <w:rPr>
      <w:color w:val="FFFFFF" w:themeColor="background1"/>
      <w:kern w:val="0"/>
      <w14:ligatures w14:val="none"/>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GridTable2-Accent421">
    <w:name w:val="Grid Table 2 - Accent 421"/>
    <w:basedOn w:val="TableNormal"/>
    <w:next w:val="GridTable2-Accent41"/>
    <w:uiPriority w:val="47"/>
    <w:rsid w:val="009B2D9D"/>
    <w:pPr>
      <w:spacing w:after="0" w:line="240" w:lineRule="auto"/>
    </w:pPr>
    <w:rPr>
      <w:kern w:val="0"/>
      <w14:ligatures w14:val="none"/>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7Colorful-Accent221">
    <w:name w:val="Grid Table 7 Colorful - Accent 221"/>
    <w:basedOn w:val="TableNormal"/>
    <w:next w:val="GridTable7Colorful-Accent21"/>
    <w:uiPriority w:val="52"/>
    <w:rsid w:val="009B2D9D"/>
    <w:pPr>
      <w:spacing w:after="0" w:line="240" w:lineRule="auto"/>
    </w:pPr>
    <w:rPr>
      <w:color w:val="C45911" w:themeColor="accent2" w:themeShade="BF"/>
      <w:kern w:val="0"/>
      <w14:ligatures w14:val="non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ListTable2-Accent421">
    <w:name w:val="List Table 2 - Accent 421"/>
    <w:basedOn w:val="TableNormal"/>
    <w:next w:val="ListTable2-Accent41"/>
    <w:uiPriority w:val="47"/>
    <w:rsid w:val="009B2D9D"/>
    <w:pPr>
      <w:spacing w:after="0" w:line="240" w:lineRule="auto"/>
    </w:pPr>
    <w:rPr>
      <w:kern w:val="0"/>
      <w14:ligatures w14:val="none"/>
    </w:r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1Light-Accent421">
    <w:name w:val="Grid Table 1 Light - Accent 421"/>
    <w:basedOn w:val="TableNormal"/>
    <w:next w:val="GridTable1Light-Accent41"/>
    <w:uiPriority w:val="46"/>
    <w:rsid w:val="009B2D9D"/>
    <w:pPr>
      <w:spacing w:after="0" w:line="240" w:lineRule="auto"/>
    </w:pPr>
    <w:rPr>
      <w:kern w:val="0"/>
      <w14:ligatures w14:val="none"/>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ListTable2-Accent321">
    <w:name w:val="List Table 2 - Accent 321"/>
    <w:basedOn w:val="TableNormal"/>
    <w:next w:val="ListTable2-Accent31"/>
    <w:uiPriority w:val="47"/>
    <w:rsid w:val="009B2D9D"/>
    <w:pPr>
      <w:spacing w:after="0" w:line="240" w:lineRule="auto"/>
    </w:pPr>
    <w:rPr>
      <w:kern w:val="0"/>
      <w14:ligatures w14:val="none"/>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2-Accent221">
    <w:name w:val="List Table 2 - Accent 221"/>
    <w:basedOn w:val="TableNormal"/>
    <w:next w:val="ListTable2-Accent21"/>
    <w:uiPriority w:val="47"/>
    <w:rsid w:val="009B2D9D"/>
    <w:pPr>
      <w:spacing w:after="0" w:line="240" w:lineRule="auto"/>
    </w:pPr>
    <w:rPr>
      <w:kern w:val="0"/>
      <w14:ligatures w14:val="none"/>
    </w:r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2-Accent121">
    <w:name w:val="List Table 2 - Accent 121"/>
    <w:basedOn w:val="TableNormal"/>
    <w:next w:val="ListTable2-Accent11"/>
    <w:uiPriority w:val="47"/>
    <w:rsid w:val="009B2D9D"/>
    <w:pPr>
      <w:spacing w:after="0" w:line="240" w:lineRule="auto"/>
    </w:pPr>
    <w:rPr>
      <w:kern w:val="0"/>
      <w14:ligatures w14:val="none"/>
    </w:r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1Light-Accent421">
    <w:name w:val="List Table 1 Light - Accent 421"/>
    <w:basedOn w:val="TableNormal"/>
    <w:next w:val="ListTable1Light-Accent41"/>
    <w:uiPriority w:val="46"/>
    <w:rsid w:val="009B2D9D"/>
    <w:pPr>
      <w:spacing w:after="0" w:line="240" w:lineRule="auto"/>
    </w:pPr>
    <w:rPr>
      <w:kern w:val="0"/>
      <w14:ligatures w14:val="none"/>
    </w:r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TableGrid241">
    <w:name w:val="Table Grid241"/>
    <w:basedOn w:val="TableNormal"/>
    <w:next w:val="TableGrid"/>
    <w:uiPriority w:val="39"/>
    <w:rsid w:val="009B2D9D"/>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Grid1"/>
    <w:rsid w:val="009B2D9D"/>
    <w:pPr>
      <w:spacing w:after="0" w:line="240" w:lineRule="auto"/>
    </w:pPr>
    <w:rPr>
      <w:rFonts w:eastAsiaTheme="minorEastAsia"/>
      <w:kern w:val="0"/>
      <w:lang w:val="sr-Latn-ME" w:eastAsia="sr-Latn-ME"/>
      <w14:ligatures w14:val="none"/>
    </w:rPr>
    <w:tblPr>
      <w:tblCellMar>
        <w:top w:w="0" w:type="dxa"/>
        <w:left w:w="0" w:type="dxa"/>
        <w:bottom w:w="0" w:type="dxa"/>
        <w:right w:w="0" w:type="dxa"/>
      </w:tblCellMar>
    </w:tblPr>
  </w:style>
  <w:style w:type="table" w:styleId="GridTable3-Accent5">
    <w:name w:val="Grid Table 3 Accent 5"/>
    <w:basedOn w:val="TableNormal"/>
    <w:uiPriority w:val="48"/>
    <w:rsid w:val="009B2D9D"/>
    <w:pPr>
      <w:spacing w:after="0" w:line="240" w:lineRule="auto"/>
    </w:pPr>
    <w:rPr>
      <w:kern w:val="0"/>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5Dark-Accent5">
    <w:name w:val="Grid Table 5 Dark Accent 5"/>
    <w:basedOn w:val="TableNormal"/>
    <w:uiPriority w:val="50"/>
    <w:rsid w:val="009B2D9D"/>
    <w:pPr>
      <w:spacing w:after="0" w:line="240" w:lineRule="auto"/>
    </w:pPr>
    <w:rPr>
      <w:kern w:val="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TableGridLight">
    <w:name w:val="Grid Table Light"/>
    <w:basedOn w:val="TableNormal"/>
    <w:uiPriority w:val="40"/>
    <w:rsid w:val="009B2D9D"/>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Accent2">
    <w:name w:val="Grid Table 1 Light Accent 2"/>
    <w:basedOn w:val="TableNormal"/>
    <w:uiPriority w:val="46"/>
    <w:rsid w:val="009B2D9D"/>
    <w:pPr>
      <w:spacing w:after="0" w:line="240" w:lineRule="auto"/>
    </w:pPr>
    <w:rPr>
      <w:kern w:val="0"/>
      <w14:ligatures w14:val="none"/>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5Dark-Accent2">
    <w:name w:val="Grid Table 5 Dark Accent 2"/>
    <w:basedOn w:val="TableNormal"/>
    <w:uiPriority w:val="50"/>
    <w:rsid w:val="009B2D9D"/>
    <w:pPr>
      <w:spacing w:after="0" w:line="240" w:lineRule="auto"/>
    </w:pPr>
    <w:rPr>
      <w:kern w:val="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6Colorful-Accent2">
    <w:name w:val="Grid Table 6 Colorful Accent 2"/>
    <w:basedOn w:val="TableNormal"/>
    <w:uiPriority w:val="51"/>
    <w:rsid w:val="009B2D9D"/>
    <w:pPr>
      <w:spacing w:after="0" w:line="240" w:lineRule="auto"/>
    </w:pPr>
    <w:rPr>
      <w:color w:val="C45911" w:themeColor="accent2" w:themeShade="BF"/>
      <w:kern w:val="0"/>
      <w14:ligatures w14:val="non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4">
    <w:name w:val="Grid Table 6 Colorful Accent 4"/>
    <w:basedOn w:val="TableNormal"/>
    <w:uiPriority w:val="51"/>
    <w:rsid w:val="009B2D9D"/>
    <w:pPr>
      <w:spacing w:after="0" w:line="240" w:lineRule="auto"/>
    </w:pPr>
    <w:rPr>
      <w:color w:val="BF8F00" w:themeColor="accent4" w:themeShade="BF"/>
      <w:kern w:val="0"/>
      <w14:ligatures w14:val="none"/>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5Dark-Accent2">
    <w:name w:val="List Table 5 Dark Accent 2"/>
    <w:basedOn w:val="TableNormal"/>
    <w:uiPriority w:val="50"/>
    <w:rsid w:val="009B2D9D"/>
    <w:pPr>
      <w:spacing w:after="0" w:line="240" w:lineRule="auto"/>
    </w:pPr>
    <w:rPr>
      <w:color w:val="FFFFFF" w:themeColor="background1"/>
      <w:kern w:val="0"/>
      <w14:ligatures w14:val="none"/>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3-Accent2">
    <w:name w:val="List Table 3 Accent 2"/>
    <w:basedOn w:val="TableNormal"/>
    <w:uiPriority w:val="48"/>
    <w:rsid w:val="009B2D9D"/>
    <w:pPr>
      <w:spacing w:after="0" w:line="240" w:lineRule="auto"/>
    </w:pPr>
    <w:rPr>
      <w:kern w:val="0"/>
      <w14:ligatures w14:val="none"/>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4">
    <w:name w:val="List Table 3 Accent 4"/>
    <w:basedOn w:val="TableNormal"/>
    <w:uiPriority w:val="48"/>
    <w:rsid w:val="009B2D9D"/>
    <w:pPr>
      <w:spacing w:after="0" w:line="240" w:lineRule="auto"/>
    </w:pPr>
    <w:rPr>
      <w:kern w:val="0"/>
      <w14:ligatures w14:val="none"/>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6Colorful-Accent4">
    <w:name w:val="List Table 6 Colorful Accent 4"/>
    <w:basedOn w:val="TableNormal"/>
    <w:uiPriority w:val="51"/>
    <w:rsid w:val="009B2D9D"/>
    <w:pPr>
      <w:spacing w:after="0" w:line="240" w:lineRule="auto"/>
    </w:pPr>
    <w:rPr>
      <w:color w:val="BF8F00" w:themeColor="accent4" w:themeShade="BF"/>
      <w:kern w:val="0"/>
      <w14:ligatures w14:val="none"/>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7Colorful-Accent4">
    <w:name w:val="List Table 7 Colorful Accent 4"/>
    <w:basedOn w:val="TableNormal"/>
    <w:uiPriority w:val="52"/>
    <w:rsid w:val="009B2D9D"/>
    <w:pPr>
      <w:spacing w:after="0" w:line="240" w:lineRule="auto"/>
    </w:pPr>
    <w:rPr>
      <w:color w:val="BF8F00" w:themeColor="accent4" w:themeShade="BF"/>
      <w:kern w:val="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5Dark-Accent4">
    <w:name w:val="List Table 5 Dark Accent 4"/>
    <w:basedOn w:val="TableNormal"/>
    <w:uiPriority w:val="50"/>
    <w:rsid w:val="009B2D9D"/>
    <w:pPr>
      <w:spacing w:after="0" w:line="240" w:lineRule="auto"/>
    </w:pPr>
    <w:rPr>
      <w:color w:val="FFFFFF" w:themeColor="background1"/>
      <w:kern w:val="0"/>
      <w14:ligatures w14:val="none"/>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GridTable7Colorful-Accent2">
    <w:name w:val="Grid Table 7 Colorful Accent 2"/>
    <w:basedOn w:val="TableNormal"/>
    <w:uiPriority w:val="52"/>
    <w:rsid w:val="009B2D9D"/>
    <w:pPr>
      <w:spacing w:after="0" w:line="240" w:lineRule="auto"/>
    </w:pPr>
    <w:rPr>
      <w:color w:val="C45911" w:themeColor="accent2" w:themeShade="BF"/>
      <w:kern w:val="0"/>
      <w14:ligatures w14:val="non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ListTable2-Accent4">
    <w:name w:val="List Table 2 Accent 4"/>
    <w:basedOn w:val="TableNormal"/>
    <w:uiPriority w:val="47"/>
    <w:rsid w:val="009B2D9D"/>
    <w:pPr>
      <w:spacing w:after="0" w:line="240" w:lineRule="auto"/>
    </w:pPr>
    <w:rPr>
      <w:kern w:val="0"/>
      <w14:ligatures w14:val="none"/>
    </w:r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1Light-Accent4">
    <w:name w:val="Grid Table 1 Light Accent 4"/>
    <w:basedOn w:val="TableNormal"/>
    <w:uiPriority w:val="46"/>
    <w:rsid w:val="009B2D9D"/>
    <w:pPr>
      <w:spacing w:after="0" w:line="240" w:lineRule="auto"/>
    </w:pPr>
    <w:rPr>
      <w:kern w:val="0"/>
      <w14:ligatures w14:val="none"/>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ListTable2-Accent3">
    <w:name w:val="List Table 2 Accent 3"/>
    <w:basedOn w:val="TableNormal"/>
    <w:uiPriority w:val="47"/>
    <w:rsid w:val="009B2D9D"/>
    <w:pPr>
      <w:spacing w:after="0" w:line="240" w:lineRule="auto"/>
    </w:pPr>
    <w:rPr>
      <w:kern w:val="0"/>
      <w14:ligatures w14:val="none"/>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2">
    <w:name w:val="List Table 2 Accent 2"/>
    <w:basedOn w:val="TableNormal"/>
    <w:uiPriority w:val="47"/>
    <w:rsid w:val="009B2D9D"/>
    <w:pPr>
      <w:spacing w:after="0" w:line="240" w:lineRule="auto"/>
    </w:pPr>
    <w:rPr>
      <w:kern w:val="0"/>
      <w14:ligatures w14:val="none"/>
    </w:r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4">
    <w:name w:val="List Table 1 Light Accent 4"/>
    <w:basedOn w:val="TableNormal"/>
    <w:uiPriority w:val="46"/>
    <w:rsid w:val="009B2D9D"/>
    <w:pPr>
      <w:spacing w:after="0" w:line="240" w:lineRule="auto"/>
    </w:pPr>
    <w:rPr>
      <w:kern w:val="0"/>
      <w14:ligatures w14:val="none"/>
    </w:r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3-Accent611">
    <w:name w:val="List Table 3 - Accent 611"/>
    <w:basedOn w:val="TableNormal"/>
    <w:next w:val="ListTable3-Accent6"/>
    <w:uiPriority w:val="48"/>
    <w:rsid w:val="009B2D9D"/>
    <w:pPr>
      <w:spacing w:after="0" w:line="240" w:lineRule="auto"/>
    </w:pPr>
    <w:rPr>
      <w:kern w:val="0"/>
      <w:lang w:val="sr-Latn-CS"/>
      <w14:ligatures w14:val="none"/>
    </w:rPr>
    <w:tblPr>
      <w:tblStyleRowBandSize w:val="1"/>
      <w:tblStyleColBandSize w:val="1"/>
      <w:tblBorders>
        <w:top w:val="single" w:sz="4" w:space="0" w:color="F79646"/>
        <w:left w:val="single" w:sz="4" w:space="0" w:color="F79646"/>
        <w:bottom w:val="single" w:sz="4" w:space="0" w:color="F79646"/>
        <w:right w:val="single" w:sz="4" w:space="0" w:color="F79646"/>
      </w:tblBorders>
    </w:tblPr>
    <w:tblStylePr w:type="firstRow">
      <w:rPr>
        <w:b/>
        <w:bCs/>
        <w:color w:val="FFFFFF"/>
      </w:rPr>
      <w:tblPr/>
      <w:tcPr>
        <w:shd w:val="clear" w:color="auto" w:fill="F79646"/>
      </w:tcPr>
    </w:tblStylePr>
    <w:tblStylePr w:type="lastRow">
      <w:rPr>
        <w:b/>
        <w:bCs/>
      </w:rPr>
      <w:tblPr/>
      <w:tcPr>
        <w:tcBorders>
          <w:top w:val="double" w:sz="4" w:space="0" w:color="F7964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79646"/>
          <w:right w:val="single" w:sz="4" w:space="0" w:color="F79646"/>
        </w:tcBorders>
      </w:tcPr>
    </w:tblStylePr>
    <w:tblStylePr w:type="band1Horz">
      <w:tblPr/>
      <w:tcPr>
        <w:tcBorders>
          <w:top w:val="single" w:sz="4" w:space="0" w:color="F79646"/>
          <w:bottom w:val="single" w:sz="4" w:space="0" w:color="F7964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left w:val="nil"/>
        </w:tcBorders>
      </w:tcPr>
    </w:tblStylePr>
    <w:tblStylePr w:type="swCell">
      <w:tblPr/>
      <w:tcPr>
        <w:tcBorders>
          <w:top w:val="double" w:sz="4" w:space="0" w:color="F79646"/>
          <w:right w:val="nil"/>
        </w:tcBorders>
      </w:tcPr>
    </w:tblStylePr>
  </w:style>
  <w:style w:type="table" w:styleId="ListTable3-Accent6">
    <w:name w:val="List Table 3 Accent 6"/>
    <w:basedOn w:val="TableNormal"/>
    <w:uiPriority w:val="48"/>
    <w:rsid w:val="009B2D9D"/>
    <w:pPr>
      <w:spacing w:after="0" w:line="240" w:lineRule="auto"/>
    </w:pPr>
    <w:rPr>
      <w:kern w:val="0"/>
      <w14:ligatures w14:val="none"/>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ListTable4-Accent111">
    <w:name w:val="List Table 4 - Accent 111"/>
    <w:basedOn w:val="TableNormal"/>
    <w:uiPriority w:val="49"/>
    <w:rsid w:val="009B2D9D"/>
    <w:pPr>
      <w:spacing w:after="0" w:line="240" w:lineRule="auto"/>
    </w:pPr>
    <w:rPr>
      <w:kern w:val="0"/>
      <w:lang w:val="en-GB"/>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4-Accent5">
    <w:name w:val="List Table 4 Accent 5"/>
    <w:basedOn w:val="TableNormal"/>
    <w:uiPriority w:val="49"/>
    <w:rsid w:val="009B2D9D"/>
    <w:pPr>
      <w:spacing w:after="0" w:line="240" w:lineRule="auto"/>
    </w:pPr>
    <w:rPr>
      <w:kern w:val="0"/>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3-Accent5">
    <w:name w:val="List Table 3 Accent 5"/>
    <w:basedOn w:val="TableNormal"/>
    <w:uiPriority w:val="48"/>
    <w:rsid w:val="009B2D9D"/>
    <w:pPr>
      <w:spacing w:after="0" w:line="240" w:lineRule="auto"/>
    </w:pPr>
    <w:rPr>
      <w:kern w:val="0"/>
      <w14:ligatures w14:val="none"/>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9B2D9D"/>
    <w:pPr>
      <w:spacing w:after="0" w:line="240" w:lineRule="auto"/>
    </w:pPr>
    <w:rPr>
      <w:kern w:val="0"/>
      <w14:ligatures w14:val="none"/>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character" w:customStyle="1" w:styleId="fontstyle21">
    <w:name w:val="fontstyle21"/>
    <w:basedOn w:val="DefaultParagraphFont"/>
    <w:rsid w:val="009B2D9D"/>
    <w:rPr>
      <w:rFonts w:ascii="Helvetica" w:hAnsi="Helvetica" w:hint="default"/>
      <w:b w:val="0"/>
      <w:bCs w:val="0"/>
      <w:i w:val="0"/>
      <w:iCs w:val="0"/>
      <w:color w:val="000000"/>
      <w:sz w:val="22"/>
      <w:szCs w:val="22"/>
    </w:rPr>
  </w:style>
  <w:style w:type="table" w:customStyle="1" w:styleId="ListTable2-Accent5112">
    <w:name w:val="List Table 2 - Accent 5112"/>
    <w:basedOn w:val="TableNormal"/>
    <w:next w:val="TableNormal"/>
    <w:uiPriority w:val="47"/>
    <w:rsid w:val="009B2D9D"/>
    <w:pPr>
      <w:spacing w:after="0" w:line="240" w:lineRule="auto"/>
    </w:pPr>
    <w:rPr>
      <w:kern w:val="0"/>
      <w14:ligatures w14:val="none"/>
    </w:r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ftrefChar">
    <w:name w:val="ftref Char"/>
    <w:aliases w:val="Footnote text Char,Ref Char,de nota al pie Char,16 Point Char,Superscript 6 Point Char,Знак сноски 1 Char,样式程脚注引用 Char,Footnotes refss Char,SUPERS Char,nota pié di pagina Char,BVI fnr Char,BVI fnr Car Car Char"/>
    <w:basedOn w:val="Normal"/>
    <w:uiPriority w:val="99"/>
    <w:rsid w:val="009B2D9D"/>
    <w:pPr>
      <w:spacing w:line="240" w:lineRule="exact"/>
      <w:jc w:val="both"/>
    </w:pPr>
    <w:rPr>
      <w:rFonts w:ascii="Century Gothic" w:hAnsi="Century Gothic"/>
      <w:kern w:val="0"/>
      <w:sz w:val="20"/>
      <w:vertAlign w:val="superscript"/>
      <w14:ligatures w14:val="none"/>
    </w:rPr>
  </w:style>
  <w:style w:type="table" w:customStyle="1" w:styleId="LightList-Accent11">
    <w:name w:val="Light List - Accent 11"/>
    <w:basedOn w:val="TableNormal"/>
    <w:uiPriority w:val="61"/>
    <w:rsid w:val="009B2D9D"/>
    <w:pPr>
      <w:spacing w:after="0" w:line="240" w:lineRule="auto"/>
    </w:pPr>
    <w:rPr>
      <w:kern w:val="0"/>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Shading-Accent5">
    <w:name w:val="Light Shading Accent 5"/>
    <w:basedOn w:val="TableNormal"/>
    <w:uiPriority w:val="60"/>
    <w:rsid w:val="009B2D9D"/>
    <w:pPr>
      <w:spacing w:after="0" w:line="240" w:lineRule="auto"/>
    </w:pPr>
    <w:rPr>
      <w:color w:val="2E74B5" w:themeColor="accent5" w:themeShade="BF"/>
      <w:kern w:val="0"/>
      <w14:ligatures w14:val="none"/>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MediumGrid3-Accent5">
    <w:name w:val="Medium Grid 3 Accent 5"/>
    <w:basedOn w:val="TableNormal"/>
    <w:uiPriority w:val="69"/>
    <w:rsid w:val="009B2D9D"/>
    <w:pPr>
      <w:spacing w:after="0" w:line="240" w:lineRule="auto"/>
    </w:pPr>
    <w:rPr>
      <w:kern w:val="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numbering" w:customStyle="1" w:styleId="NoList10">
    <w:name w:val="No List10"/>
    <w:next w:val="NoList"/>
    <w:uiPriority w:val="99"/>
    <w:semiHidden/>
    <w:unhideWhenUsed/>
    <w:rsid w:val="009B2D9D"/>
  </w:style>
  <w:style w:type="numbering" w:customStyle="1" w:styleId="Radovan9">
    <w:name w:val="Radovan9"/>
    <w:uiPriority w:val="99"/>
    <w:rsid w:val="009B2D9D"/>
    <w:pPr>
      <w:numPr>
        <w:numId w:val="35"/>
      </w:numPr>
    </w:pPr>
  </w:style>
  <w:style w:type="numbering" w:customStyle="1" w:styleId="Style16">
    <w:name w:val="Style16"/>
    <w:uiPriority w:val="99"/>
    <w:rsid w:val="009B2D9D"/>
    <w:pPr>
      <w:numPr>
        <w:numId w:val="36"/>
      </w:numPr>
    </w:pPr>
  </w:style>
  <w:style w:type="numbering" w:customStyle="1" w:styleId="Style25">
    <w:name w:val="Style25"/>
    <w:uiPriority w:val="99"/>
    <w:rsid w:val="009B2D9D"/>
    <w:pPr>
      <w:numPr>
        <w:numId w:val="37"/>
      </w:numPr>
    </w:pPr>
  </w:style>
  <w:style w:type="numbering" w:customStyle="1" w:styleId="NoList19">
    <w:name w:val="No List19"/>
    <w:next w:val="NoList"/>
    <w:uiPriority w:val="99"/>
    <w:semiHidden/>
    <w:unhideWhenUsed/>
    <w:rsid w:val="009B2D9D"/>
  </w:style>
  <w:style w:type="numbering" w:customStyle="1" w:styleId="NoList119">
    <w:name w:val="No List119"/>
    <w:next w:val="NoList"/>
    <w:uiPriority w:val="99"/>
    <w:semiHidden/>
    <w:unhideWhenUsed/>
    <w:rsid w:val="009B2D9D"/>
  </w:style>
  <w:style w:type="numbering" w:customStyle="1" w:styleId="NoList1119">
    <w:name w:val="No List1119"/>
    <w:next w:val="NoList"/>
    <w:uiPriority w:val="99"/>
    <w:semiHidden/>
    <w:unhideWhenUsed/>
    <w:rsid w:val="009B2D9D"/>
  </w:style>
  <w:style w:type="numbering" w:customStyle="1" w:styleId="Style117">
    <w:name w:val="Style117"/>
    <w:uiPriority w:val="99"/>
    <w:rsid w:val="009B2D9D"/>
    <w:pPr>
      <w:numPr>
        <w:numId w:val="41"/>
      </w:numPr>
    </w:pPr>
  </w:style>
  <w:style w:type="table" w:customStyle="1" w:styleId="LightShading-Accent1132">
    <w:name w:val="Light Shading - Accent 1132"/>
    <w:basedOn w:val="TableNormal"/>
    <w:uiPriority w:val="60"/>
    <w:rsid w:val="009B2D9D"/>
    <w:pPr>
      <w:spacing w:after="0" w:line="240" w:lineRule="auto"/>
    </w:pPr>
    <w:rPr>
      <w:color w:val="2F5496" w:themeColor="accent1" w:themeShade="BF"/>
      <w:kern w:val="0"/>
      <w:lang w:val="en-GB"/>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GridTable1Light-Accent51">
    <w:name w:val="Grid Table 1 Light - Accent 51"/>
    <w:basedOn w:val="TableNormal"/>
    <w:next w:val="GridTable1Light-Accent5"/>
    <w:uiPriority w:val="46"/>
    <w:rsid w:val="009B2D9D"/>
    <w:pPr>
      <w:spacing w:after="0" w:line="240" w:lineRule="auto"/>
    </w:pPr>
    <w:rPr>
      <w:kern w:val="0"/>
      <w:lang w:val="en-GB"/>
      <w14:ligatures w14:val="none"/>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customStyle="1" w:styleId="GridTable1Light-Accent11111">
    <w:name w:val="Grid Table 1 Light - Accent 11111"/>
    <w:basedOn w:val="TableNormal"/>
    <w:uiPriority w:val="46"/>
    <w:rsid w:val="009B2D9D"/>
    <w:pPr>
      <w:spacing w:after="0" w:line="240" w:lineRule="auto"/>
    </w:pPr>
    <w:rPr>
      <w:rFonts w:ascii="Calibri" w:eastAsia="Calibri" w:hAnsi="Calibri" w:cs="Times New Roman"/>
      <w:kern w:val="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LightShading-Accent115">
    <w:name w:val="Light Shading - Accent 115"/>
    <w:basedOn w:val="TableNormal"/>
    <w:uiPriority w:val="60"/>
    <w:rsid w:val="009B2D9D"/>
    <w:pPr>
      <w:spacing w:after="0" w:line="240" w:lineRule="auto"/>
    </w:pPr>
    <w:rPr>
      <w:color w:val="2F5496" w:themeColor="accent1" w:themeShade="BF"/>
      <w:kern w:val="0"/>
      <w:lang w:val="en-GB"/>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GridTable1Light-Accent1122">
    <w:name w:val="Grid Table 1 Light - Accent 1122"/>
    <w:basedOn w:val="TableNormal"/>
    <w:uiPriority w:val="46"/>
    <w:rsid w:val="009B2D9D"/>
    <w:pPr>
      <w:spacing w:after="0" w:line="240" w:lineRule="auto"/>
    </w:pPr>
    <w:rPr>
      <w:rFonts w:ascii="Calibri" w:eastAsia="Calibri" w:hAnsi="Calibri" w:cs="Times New Roman"/>
      <w:kern w:val="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ListTable1Light-Accent21">
    <w:name w:val="List Table 1 Light - Accent 21"/>
    <w:basedOn w:val="TableNormal"/>
    <w:uiPriority w:val="46"/>
    <w:rsid w:val="009B2D9D"/>
    <w:pPr>
      <w:spacing w:after="0" w:line="240" w:lineRule="auto"/>
    </w:pPr>
    <w:rPr>
      <w:kern w:val="0"/>
      <w14:ligatures w14:val="none"/>
    </w:r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ghtList-Accent1">
    <w:name w:val="Light List Accent 1"/>
    <w:basedOn w:val="TableNormal"/>
    <w:uiPriority w:val="61"/>
    <w:rsid w:val="009B2D9D"/>
    <w:pPr>
      <w:spacing w:after="0" w:line="240" w:lineRule="auto"/>
    </w:pPr>
    <w:rPr>
      <w:kern w:val="0"/>
      <w:lang w:val="sr-Latn-ME"/>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MediumList1-Accent1">
    <w:name w:val="Medium List 1 Accent 1"/>
    <w:basedOn w:val="TableNormal"/>
    <w:uiPriority w:val="65"/>
    <w:rsid w:val="009B2D9D"/>
    <w:pPr>
      <w:spacing w:after="0" w:line="240" w:lineRule="auto"/>
    </w:pPr>
    <w:rPr>
      <w:color w:val="000000" w:themeColor="text1"/>
      <w:kern w:val="0"/>
      <w:lang w:val="sr-Latn-ME"/>
      <w14:ligatures w14:val="none"/>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LightGrid-Accent1">
    <w:name w:val="Light Grid Accent 1"/>
    <w:basedOn w:val="TableNormal"/>
    <w:uiPriority w:val="62"/>
    <w:rsid w:val="009B2D9D"/>
    <w:pPr>
      <w:spacing w:after="0" w:line="240" w:lineRule="auto"/>
    </w:pPr>
    <w:rPr>
      <w:kern w:val="0"/>
      <w:lang w:val="sr-Latn-ME"/>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numbering" w:customStyle="1" w:styleId="NoList20">
    <w:name w:val="No List20"/>
    <w:next w:val="NoList"/>
    <w:uiPriority w:val="99"/>
    <w:semiHidden/>
    <w:unhideWhenUsed/>
    <w:rsid w:val="009B2D9D"/>
  </w:style>
  <w:style w:type="table" w:customStyle="1" w:styleId="TableGrid160">
    <w:name w:val="Table Grid16"/>
    <w:basedOn w:val="TableNormal"/>
    <w:next w:val="TableGrid"/>
    <w:uiPriority w:val="39"/>
    <w:rsid w:val="009B2D9D"/>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9B2D9D"/>
    <w:pPr>
      <w:spacing w:after="0" w:line="240" w:lineRule="auto"/>
    </w:pPr>
    <w:rPr>
      <w:rFonts w:ascii="Calibri" w:eastAsia="Calibri" w:hAnsi="Calibri" w:cs="Times New Roman"/>
      <w:kern w:val="0"/>
      <w:lang w:val="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39"/>
    <w:rsid w:val="009B2D9D"/>
    <w:pPr>
      <w:spacing w:after="0" w:line="240" w:lineRule="auto"/>
    </w:pPr>
    <w:rPr>
      <w:rFonts w:ascii="Calibri" w:eastAsia="Calibri" w:hAnsi="Calibri" w:cs="Times New Roman"/>
      <w:kern w:val="0"/>
      <w:lang w:val="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39"/>
    <w:rsid w:val="009B2D9D"/>
    <w:pPr>
      <w:spacing w:after="0" w:line="240" w:lineRule="auto"/>
    </w:pPr>
    <w:rPr>
      <w:rFonts w:ascii="Calibri" w:eastAsia="Calibri" w:hAnsi="Calibri" w:cs="Times New Roman"/>
      <w:kern w:val="0"/>
      <w:lang w:val="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39"/>
    <w:rsid w:val="009B2D9D"/>
    <w:pPr>
      <w:spacing w:after="0" w:line="240" w:lineRule="auto"/>
    </w:pPr>
    <w:rPr>
      <w:rFonts w:ascii="Calibri" w:eastAsia="Calibri" w:hAnsi="Calibri" w:cs="Times New Roman"/>
      <w:kern w:val="0"/>
      <w:lang w:val="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39"/>
    <w:rsid w:val="009B2D9D"/>
    <w:pPr>
      <w:spacing w:after="0" w:line="240" w:lineRule="auto"/>
    </w:pPr>
    <w:rPr>
      <w:rFonts w:ascii="Calibri" w:eastAsia="Calibri" w:hAnsi="Calibri" w:cs="Times New Roman"/>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9B2D9D"/>
    <w:pPr>
      <w:spacing w:after="0" w:line="240" w:lineRule="auto"/>
    </w:pPr>
    <w:rPr>
      <w:rFonts w:ascii="Calibri" w:eastAsia="Calibri" w:hAnsi="Calibri" w:cs="Times New Roman"/>
      <w:kern w:val="0"/>
      <w:lang w:val="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9B2D9D"/>
    <w:pPr>
      <w:spacing w:after="0" w:line="240" w:lineRule="auto"/>
    </w:pPr>
    <w:rPr>
      <w:rFonts w:ascii="Calibri" w:eastAsia="Calibri" w:hAnsi="Calibri" w:cs="Times New Roman"/>
      <w:kern w:val="0"/>
      <w:lang w:val="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59"/>
    <w:rsid w:val="009B2D9D"/>
    <w:pPr>
      <w:spacing w:after="0" w:line="240" w:lineRule="auto"/>
    </w:pPr>
    <w:rPr>
      <w:kern w:val="0"/>
      <w:lang w:val="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59"/>
    <w:rsid w:val="009B2D9D"/>
    <w:pPr>
      <w:spacing w:after="0" w:line="240" w:lineRule="auto"/>
    </w:pPr>
    <w:rPr>
      <w:kern w:val="0"/>
      <w:lang w:val="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39"/>
    <w:rsid w:val="009B2D9D"/>
    <w:pPr>
      <w:spacing w:after="0" w:line="240" w:lineRule="auto"/>
    </w:pPr>
    <w:rPr>
      <w:rFonts w:ascii="Calibri" w:eastAsia="Calibri" w:hAnsi="Calibri" w:cs="Times New Roman"/>
      <w:kern w:val="0"/>
      <w:lang w:val="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39"/>
    <w:rsid w:val="009B2D9D"/>
    <w:pPr>
      <w:spacing w:after="0" w:line="240" w:lineRule="auto"/>
    </w:pPr>
    <w:rPr>
      <w:kern w:val="0"/>
      <w:lang w:val="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
    <w:name w:val="Table Grid134"/>
    <w:basedOn w:val="TableNormal"/>
    <w:next w:val="TableGrid"/>
    <w:uiPriority w:val="39"/>
    <w:rsid w:val="009B2D9D"/>
    <w:pPr>
      <w:spacing w:after="0" w:line="240" w:lineRule="auto"/>
    </w:pPr>
    <w:rPr>
      <w:kern w:val="0"/>
      <w:lang w:val="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4iawc">
    <w:name w:val="q4iawc"/>
    <w:basedOn w:val="DefaultParagraphFont"/>
    <w:rsid w:val="009B2D9D"/>
  </w:style>
  <w:style w:type="character" w:customStyle="1" w:styleId="Hyperlink1">
    <w:name w:val="Hyperlink1"/>
    <w:basedOn w:val="DefaultParagraphFont"/>
    <w:uiPriority w:val="99"/>
    <w:unhideWhenUsed/>
    <w:rsid w:val="009B2D9D"/>
    <w:rPr>
      <w:color w:val="0563C1"/>
      <w:u w:val="single"/>
    </w:rPr>
  </w:style>
  <w:style w:type="table" w:customStyle="1" w:styleId="TableGrid141">
    <w:name w:val="Table Grid141"/>
    <w:basedOn w:val="TableNormal"/>
    <w:next w:val="TableGrid"/>
    <w:uiPriority w:val="39"/>
    <w:rsid w:val="009B2D9D"/>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39"/>
    <w:rsid w:val="009B2D9D"/>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38"/>
    <w:basedOn w:val="TableNormal"/>
    <w:rsid w:val="009B2D9D"/>
    <w:pPr>
      <w:spacing w:after="0" w:line="240" w:lineRule="auto"/>
      <w:ind w:left="144" w:right="144"/>
    </w:pPr>
    <w:rPr>
      <w:rFonts w:ascii="Calibri" w:eastAsia="Calibri" w:hAnsi="Calibri" w:cs="Calibri"/>
      <w:b/>
      <w:color w:val="000000"/>
      <w:kern w:val="0"/>
      <w:lang w:val="en-GB"/>
      <w14:ligatures w14:val="none"/>
    </w:rPr>
    <w:tblPr>
      <w:tblStyleRowBandSize w:val="1"/>
      <w:tblStyleColBandSize w:val="1"/>
      <w:tblCellMar>
        <w:left w:w="115" w:type="dxa"/>
        <w:right w:w="115" w:type="dxa"/>
      </w:tblCellMar>
    </w:tblPr>
    <w:tcPr>
      <w:shd w:val="clear" w:color="auto" w:fill="EBE9E2"/>
    </w:tcPr>
  </w:style>
  <w:style w:type="table" w:customStyle="1" w:styleId="TableGrid17">
    <w:name w:val="Table Grid17"/>
    <w:basedOn w:val="TableNormal"/>
    <w:next w:val="TableGrid"/>
    <w:uiPriority w:val="39"/>
    <w:rsid w:val="009B2D9D"/>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9B2D9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9B2D9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9B2D9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9B2D9D"/>
    <w:rPr>
      <w:color w:val="605E5C"/>
      <w:shd w:val="clear" w:color="auto" w:fill="E1DFDD"/>
    </w:rPr>
  </w:style>
  <w:style w:type="table" w:customStyle="1" w:styleId="TableGrid152">
    <w:name w:val="Table Grid152"/>
    <w:basedOn w:val="TableNormal"/>
    <w:uiPriority w:val="39"/>
    <w:rsid w:val="009B2D9D"/>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3">
    <w:name w:val="Table Grid153"/>
    <w:basedOn w:val="TableNormal"/>
    <w:uiPriority w:val="39"/>
    <w:rsid w:val="009B2D9D"/>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uiPriority w:val="39"/>
    <w:rsid w:val="009B2D9D"/>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
    <w:name w:val="No List28"/>
    <w:next w:val="NoList"/>
    <w:uiPriority w:val="99"/>
    <w:semiHidden/>
    <w:unhideWhenUsed/>
    <w:rsid w:val="009B2D9D"/>
  </w:style>
  <w:style w:type="table" w:customStyle="1" w:styleId="TableGrid27">
    <w:name w:val="Table Grid27"/>
    <w:basedOn w:val="TableNormal"/>
    <w:next w:val="TableGrid"/>
    <w:uiPriority w:val="59"/>
    <w:rsid w:val="009B2D9D"/>
    <w:pPr>
      <w:spacing w:after="0" w:line="240" w:lineRule="auto"/>
    </w:pPr>
    <w:rPr>
      <w:rFonts w:ascii="Calibri" w:eastAsia="Calibri" w:hAnsi="Calibri" w:cs="Times New Roman"/>
      <w:kern w:val="0"/>
      <w:lang w:val="sr-Latn-ME"/>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
    <w:name w:val="Light List - Accent 12"/>
    <w:basedOn w:val="TableNormal"/>
    <w:next w:val="LightList-Accent1"/>
    <w:uiPriority w:val="61"/>
    <w:semiHidden/>
    <w:unhideWhenUsed/>
    <w:rsid w:val="009B2D9D"/>
    <w:pPr>
      <w:spacing w:after="0" w:line="240" w:lineRule="auto"/>
    </w:pPr>
    <w:rPr>
      <w:rFonts w:ascii="Calibri" w:eastAsia="Calibri" w:hAnsi="Calibri" w:cs="Times New Roman"/>
      <w:kern w:val="0"/>
      <w:lang w:val="sr-Latn-ME"/>
      <w14:ligatures w14:val="none"/>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Grid-Accent11">
    <w:name w:val="Light Grid - Accent 11"/>
    <w:basedOn w:val="TableNormal"/>
    <w:next w:val="LightGrid-Accent1"/>
    <w:uiPriority w:val="62"/>
    <w:semiHidden/>
    <w:unhideWhenUsed/>
    <w:rsid w:val="009B2D9D"/>
    <w:pPr>
      <w:spacing w:after="0" w:line="240" w:lineRule="auto"/>
    </w:pPr>
    <w:rPr>
      <w:rFonts w:ascii="Calibri" w:eastAsia="Calibri" w:hAnsi="Calibri" w:cs="Times New Roman"/>
      <w:kern w:val="0"/>
      <w:lang w:val="sr-Latn-ME"/>
      <w14:ligatures w14:val="none"/>
    </w:rPr>
    <w:tblPr>
      <w:tblStyleRowBandSize w:val="1"/>
      <w:tblStyleColBandSize w:val="1"/>
      <w:tblInd w:w="0" w:type="nil"/>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List1-Accent11">
    <w:name w:val="Medium List 1 - Accent 11"/>
    <w:basedOn w:val="TableNormal"/>
    <w:next w:val="MediumList1-Accent1"/>
    <w:uiPriority w:val="65"/>
    <w:semiHidden/>
    <w:unhideWhenUsed/>
    <w:rsid w:val="009B2D9D"/>
    <w:pPr>
      <w:spacing w:after="0" w:line="240" w:lineRule="auto"/>
    </w:pPr>
    <w:rPr>
      <w:rFonts w:ascii="Calibri" w:eastAsia="Calibri" w:hAnsi="Calibri" w:cs="Times New Roman"/>
      <w:color w:val="000000"/>
      <w:kern w:val="0"/>
      <w:lang w:val="sr-Latn-ME"/>
      <w14:ligatures w14:val="none"/>
    </w:rPr>
    <w:tblPr>
      <w:tblStyleRowBandSize w:val="1"/>
      <w:tblStyleColBandSize w:val="1"/>
      <w:tblInd w:w="0" w:type="nil"/>
      <w:tblBorders>
        <w:top w:val="single" w:sz="8" w:space="0" w:color="4F81BD"/>
        <w:bottom w:val="single" w:sz="8" w:space="0" w:color="4F81BD"/>
      </w:tblBorders>
    </w:tblPr>
    <w:tblStylePr w:type="firstRow">
      <w:rPr>
        <w:rFonts w:ascii="Cambria" w:eastAsia="Times New Roman" w:hAnsi="Cambri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LightShading-Accent51">
    <w:name w:val="Light Shading - Accent 51"/>
    <w:basedOn w:val="TableNormal"/>
    <w:next w:val="LightShading-Accent5"/>
    <w:uiPriority w:val="60"/>
    <w:unhideWhenUsed/>
    <w:rsid w:val="009B2D9D"/>
    <w:pPr>
      <w:spacing w:after="0" w:line="240" w:lineRule="auto"/>
    </w:pPr>
    <w:rPr>
      <w:rFonts w:ascii="Calibri" w:eastAsia="Calibri" w:hAnsi="Calibri" w:cs="Times New Roman"/>
      <w:color w:val="31849B"/>
      <w:kern w:val="0"/>
      <w:lang w:val="sr-Latn-ME"/>
      <w14:ligatures w14:val="none"/>
    </w:rPr>
    <w:tblPr>
      <w:tblStyleRowBandSize w:val="1"/>
      <w:tblStyleColBandSize w:val="1"/>
      <w:tblInd w:w="0" w:type="nil"/>
      <w:tblBorders>
        <w:top w:val="single" w:sz="8" w:space="0" w:color="4BACC6"/>
        <w:bottom w:val="single" w:sz="8" w:space="0" w:color="4BACC6"/>
      </w:tblBorders>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List-Accent51">
    <w:name w:val="Light List - Accent 51"/>
    <w:basedOn w:val="TableNormal"/>
    <w:next w:val="LightList-Accent5"/>
    <w:uiPriority w:val="61"/>
    <w:unhideWhenUsed/>
    <w:rsid w:val="009B2D9D"/>
    <w:pPr>
      <w:spacing w:after="0" w:line="240" w:lineRule="auto"/>
    </w:pPr>
    <w:rPr>
      <w:rFonts w:ascii="Calibri" w:eastAsia="Calibri" w:hAnsi="Calibri" w:cs="Times New Roman"/>
      <w:kern w:val="0"/>
      <w:lang w:val="sr-Latn-ME"/>
      <w14:ligatures w14:val="none"/>
    </w:rPr>
    <w:tblPr>
      <w:tblStyleRowBandSize w:val="1"/>
      <w:tblStyleColBandSize w:val="1"/>
      <w:tblInd w:w="0" w:type="nil"/>
      <w:tblBorders>
        <w:top w:val="single" w:sz="8" w:space="0" w:color="4BACC6"/>
        <w:left w:val="single" w:sz="8" w:space="0" w:color="4BACC6"/>
        <w:bottom w:val="single" w:sz="8" w:space="0" w:color="4BACC6"/>
        <w:right w:val="single" w:sz="8" w:space="0" w:color="4BACC6"/>
      </w:tblBorders>
    </w:tblPr>
    <w:tblStylePr w:type="firstRow">
      <w:pPr>
        <w:spacing w:beforeLines="0" w:before="0" w:beforeAutospacing="0" w:afterLines="0" w:after="0" w:afterAutospacing="0" w:line="240" w:lineRule="auto"/>
      </w:pPr>
      <w:rPr>
        <w:b/>
        <w:bCs/>
        <w:color w:val="FFFFFF"/>
      </w:rPr>
      <w:tblPr/>
      <w:tcPr>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List1-Accent51">
    <w:name w:val="Medium List 1 - Accent 51"/>
    <w:basedOn w:val="TableNormal"/>
    <w:next w:val="MediumList1-Accent5"/>
    <w:uiPriority w:val="65"/>
    <w:unhideWhenUsed/>
    <w:rsid w:val="009B2D9D"/>
    <w:pPr>
      <w:spacing w:after="0" w:line="240" w:lineRule="auto"/>
    </w:pPr>
    <w:rPr>
      <w:rFonts w:ascii="Calibri" w:eastAsia="Calibri" w:hAnsi="Calibri" w:cs="Times New Roman"/>
      <w:color w:val="000000"/>
      <w:kern w:val="0"/>
      <w:lang w:val="sr-Latn-ME"/>
      <w14:ligatures w14:val="none"/>
    </w:rPr>
    <w:tblPr>
      <w:tblStyleRowBandSize w:val="1"/>
      <w:tblStyleColBandSize w:val="1"/>
      <w:tblInd w:w="0" w:type="nil"/>
      <w:tblBorders>
        <w:top w:val="single" w:sz="8" w:space="0" w:color="4BACC6"/>
        <w:bottom w:val="single" w:sz="8" w:space="0" w:color="4BACC6"/>
      </w:tblBorders>
    </w:tblPr>
    <w:tblStylePr w:type="firstRow">
      <w:rPr>
        <w:rFonts w:ascii="Cambria" w:eastAsia="Times New Roman" w:hAnsi="Cambria" w:cs="Times New Roman" w:hint="default"/>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TableGrid28">
    <w:name w:val="Table Grid28"/>
    <w:basedOn w:val="TableNormal"/>
    <w:next w:val="TableGrid"/>
    <w:uiPriority w:val="39"/>
    <w:rsid w:val="009B2D9D"/>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1Light-Accent61">
    <w:name w:val="List Table 1 Light - Accent 61"/>
    <w:basedOn w:val="TableNormal"/>
    <w:uiPriority w:val="46"/>
    <w:rsid w:val="009B2D9D"/>
    <w:pPr>
      <w:spacing w:before="100" w:beforeAutospacing="1" w:after="0" w:afterAutospacing="1" w:line="240" w:lineRule="auto"/>
      <w:jc w:val="both"/>
    </w:pPr>
    <w:rPr>
      <w:kern w:val="0"/>
      <w14:ligatures w14:val="none"/>
    </w:r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1Light-Accent61">
    <w:name w:val="Grid Table 1 Light - Accent 61"/>
    <w:basedOn w:val="TableNormal"/>
    <w:uiPriority w:val="46"/>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GridTable2-Accent61">
    <w:name w:val="Grid Table 2 - Accent 61"/>
    <w:basedOn w:val="TableNormal"/>
    <w:uiPriority w:val="47"/>
    <w:rsid w:val="009B2D9D"/>
    <w:pPr>
      <w:spacing w:before="100" w:beforeAutospacing="1" w:after="0" w:afterAutospacing="1" w:line="240" w:lineRule="auto"/>
      <w:jc w:val="both"/>
    </w:pPr>
    <w:rPr>
      <w:kern w:val="0"/>
      <w14:ligatures w14:val="none"/>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3-Accent61">
    <w:name w:val="Grid Table 3 - Accent 61"/>
    <w:basedOn w:val="TableNormal"/>
    <w:uiPriority w:val="48"/>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GridTable4-Accent61">
    <w:name w:val="Grid Table 4 - Accent 61"/>
    <w:basedOn w:val="TableNormal"/>
    <w:uiPriority w:val="49"/>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2-Accent61">
    <w:name w:val="List Table 2 - Accent 61"/>
    <w:basedOn w:val="TableNormal"/>
    <w:uiPriority w:val="47"/>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6Colorful-Accent61">
    <w:name w:val="List Table 6 Colorful - Accent 61"/>
    <w:basedOn w:val="TableNormal"/>
    <w:uiPriority w:val="51"/>
    <w:rsid w:val="009B2D9D"/>
    <w:pPr>
      <w:spacing w:before="100" w:beforeAutospacing="1" w:after="0" w:afterAutospacing="1" w:line="240" w:lineRule="auto"/>
      <w:jc w:val="both"/>
    </w:pPr>
    <w:rPr>
      <w:color w:val="538135" w:themeColor="accent6" w:themeShade="BF"/>
      <w:kern w:val="0"/>
      <w14:ligatures w14:val="none"/>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1Light-Accent52">
    <w:name w:val="Grid Table 1 Light - Accent 52"/>
    <w:basedOn w:val="TableNormal"/>
    <w:next w:val="GridTable1Light-Accent5"/>
    <w:uiPriority w:val="46"/>
    <w:rsid w:val="009B2D9D"/>
    <w:pPr>
      <w:spacing w:before="100" w:beforeAutospacing="1" w:after="0" w:afterAutospacing="1" w:line="240" w:lineRule="auto"/>
      <w:jc w:val="both"/>
    </w:pPr>
    <w:rPr>
      <w:rFonts w:eastAsia="Times New Roman" w:cs="Times New Roman"/>
      <w:kern w:val="0"/>
      <w14:ligatures w14:val="none"/>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cs="Times New Roman"/>
        <w:b/>
        <w:bCs/>
      </w:rPr>
      <w:tblPr/>
      <w:tcPr>
        <w:tcBorders>
          <w:bottom w:val="single" w:sz="12" w:space="0" w:color="92CDDC"/>
        </w:tcBorders>
      </w:tcPr>
    </w:tblStylePr>
    <w:tblStylePr w:type="lastRow">
      <w:rPr>
        <w:rFonts w:cs="Times New Roman"/>
        <w:b/>
        <w:bCs/>
      </w:rPr>
      <w:tblPr/>
      <w:tcPr>
        <w:tcBorders>
          <w:top w:val="double" w:sz="2" w:space="0" w:color="92CDDC"/>
        </w:tcBorders>
      </w:tcPr>
    </w:tblStylePr>
    <w:tblStylePr w:type="firstCol">
      <w:rPr>
        <w:rFonts w:cs="Times New Roman"/>
        <w:b/>
        <w:bCs/>
      </w:rPr>
    </w:tblStylePr>
    <w:tblStylePr w:type="lastCol">
      <w:rPr>
        <w:rFonts w:cs="Times New Roman"/>
        <w:b/>
        <w:bCs/>
      </w:rPr>
    </w:tblStylePr>
  </w:style>
  <w:style w:type="paragraph" w:customStyle="1" w:styleId="font5">
    <w:name w:val="font5"/>
    <w:basedOn w:val="Normal"/>
    <w:rsid w:val="009B2D9D"/>
    <w:pPr>
      <w:spacing w:before="100" w:beforeAutospacing="1" w:after="100" w:afterAutospacing="1" w:line="240" w:lineRule="auto"/>
      <w:jc w:val="both"/>
    </w:pPr>
    <w:rPr>
      <w:rFonts w:ascii="Times New Roman" w:eastAsia="Times New Roman" w:hAnsi="Times New Roman" w:cs="Times New Roman"/>
      <w:kern w:val="0"/>
      <w:sz w:val="20"/>
      <w:szCs w:val="20"/>
      <w:lang w:val="hr-HR" w:eastAsia="hr-HR"/>
      <w14:ligatures w14:val="none"/>
    </w:rPr>
  </w:style>
  <w:style w:type="paragraph" w:customStyle="1" w:styleId="font6">
    <w:name w:val="font6"/>
    <w:basedOn w:val="Normal"/>
    <w:rsid w:val="009B2D9D"/>
    <w:pPr>
      <w:spacing w:before="100" w:beforeAutospacing="1" w:after="100" w:afterAutospacing="1" w:line="240" w:lineRule="auto"/>
      <w:jc w:val="both"/>
    </w:pPr>
    <w:rPr>
      <w:rFonts w:ascii="Tahoma" w:eastAsia="Times New Roman" w:hAnsi="Tahoma" w:cs="Tahoma"/>
      <w:color w:val="000000"/>
      <w:kern w:val="0"/>
      <w:sz w:val="16"/>
      <w:szCs w:val="16"/>
      <w:lang w:val="hr-HR" w:eastAsia="hr-HR"/>
      <w14:ligatures w14:val="none"/>
    </w:rPr>
  </w:style>
  <w:style w:type="paragraph" w:customStyle="1" w:styleId="font7">
    <w:name w:val="font7"/>
    <w:basedOn w:val="Normal"/>
    <w:rsid w:val="009B2D9D"/>
    <w:pPr>
      <w:spacing w:before="100" w:beforeAutospacing="1" w:after="100" w:afterAutospacing="1" w:line="240" w:lineRule="auto"/>
      <w:jc w:val="both"/>
    </w:pPr>
    <w:rPr>
      <w:rFonts w:ascii="Tahoma" w:eastAsia="Times New Roman" w:hAnsi="Tahoma" w:cs="Tahoma"/>
      <w:b/>
      <w:bCs/>
      <w:color w:val="000000"/>
      <w:kern w:val="0"/>
      <w:sz w:val="16"/>
      <w:szCs w:val="16"/>
      <w:lang w:val="hr-HR" w:eastAsia="hr-HR"/>
      <w14:ligatures w14:val="none"/>
    </w:rPr>
  </w:style>
  <w:style w:type="paragraph" w:customStyle="1" w:styleId="xl72">
    <w:name w:val="xl72"/>
    <w:basedOn w:val="Normal"/>
    <w:rsid w:val="009B2D9D"/>
    <w:pPr>
      <w:spacing w:before="100" w:beforeAutospacing="1" w:after="100" w:afterAutospacing="1" w:line="240" w:lineRule="auto"/>
      <w:jc w:val="right"/>
    </w:pPr>
    <w:rPr>
      <w:rFonts w:ascii="Times New Roman" w:eastAsia="Times New Roman" w:hAnsi="Times New Roman" w:cs="Times New Roman"/>
      <w:kern w:val="0"/>
      <w:sz w:val="24"/>
      <w:szCs w:val="24"/>
      <w:lang w:val="hr-HR" w:eastAsia="hr-HR"/>
      <w14:ligatures w14:val="none"/>
    </w:rPr>
  </w:style>
  <w:style w:type="paragraph" w:customStyle="1" w:styleId="xl73">
    <w:name w:val="xl73"/>
    <w:basedOn w:val="Normal"/>
    <w:rsid w:val="009B2D9D"/>
    <w:pPr>
      <w:pBdr>
        <w:top w:val="dashed" w:sz="4" w:space="0" w:color="auto"/>
        <w:left w:val="double" w:sz="6" w:space="0" w:color="auto"/>
        <w:bottom w:val="dashed" w:sz="4" w:space="0" w:color="auto"/>
      </w:pBdr>
      <w:spacing w:before="100" w:beforeAutospacing="1" w:after="100" w:afterAutospacing="1" w:line="240" w:lineRule="auto"/>
      <w:jc w:val="both"/>
    </w:pPr>
    <w:rPr>
      <w:rFonts w:ascii="Times New Roman" w:eastAsia="Times New Roman" w:hAnsi="Times New Roman" w:cs="Times New Roman"/>
      <w:kern w:val="0"/>
      <w:sz w:val="24"/>
      <w:szCs w:val="24"/>
      <w:lang w:val="hr-HR" w:eastAsia="hr-HR"/>
      <w14:ligatures w14:val="none"/>
    </w:rPr>
  </w:style>
  <w:style w:type="paragraph" w:customStyle="1" w:styleId="xl74">
    <w:name w:val="xl74"/>
    <w:basedOn w:val="Normal"/>
    <w:rsid w:val="009B2D9D"/>
    <w:pPr>
      <w:pBdr>
        <w:top w:val="dashed" w:sz="4" w:space="0" w:color="auto"/>
        <w:left w:val="double" w:sz="6" w:space="0" w:color="auto"/>
        <w:bottom w:val="dashed" w:sz="4" w:space="0" w:color="auto"/>
      </w:pBdr>
      <w:spacing w:before="100" w:beforeAutospacing="1" w:after="100" w:afterAutospacing="1" w:line="240" w:lineRule="auto"/>
      <w:jc w:val="both"/>
      <w:textAlignment w:val="center"/>
    </w:pPr>
    <w:rPr>
      <w:rFonts w:ascii="Times New Roman" w:eastAsia="Times New Roman" w:hAnsi="Times New Roman" w:cs="Times New Roman"/>
      <w:kern w:val="0"/>
      <w:sz w:val="24"/>
      <w:szCs w:val="24"/>
      <w:lang w:val="hr-HR" w:eastAsia="hr-HR"/>
      <w14:ligatures w14:val="none"/>
    </w:rPr>
  </w:style>
  <w:style w:type="paragraph" w:customStyle="1" w:styleId="xl75">
    <w:name w:val="xl75"/>
    <w:basedOn w:val="Normal"/>
    <w:rsid w:val="009B2D9D"/>
    <w:pPr>
      <w:pBdr>
        <w:top w:val="dashed" w:sz="4" w:space="0" w:color="auto"/>
        <w:left w:val="double" w:sz="6" w:space="0" w:color="auto"/>
        <w:bottom w:val="dashed" w:sz="4" w:space="0" w:color="auto"/>
      </w:pBdr>
      <w:spacing w:before="100" w:beforeAutospacing="1" w:after="100" w:afterAutospacing="1" w:line="240" w:lineRule="auto"/>
      <w:jc w:val="both"/>
      <w:textAlignment w:val="top"/>
    </w:pPr>
    <w:rPr>
      <w:rFonts w:ascii="Times New Roman" w:eastAsia="Times New Roman" w:hAnsi="Times New Roman" w:cs="Times New Roman"/>
      <w:color w:val="000000"/>
      <w:kern w:val="0"/>
      <w:sz w:val="24"/>
      <w:szCs w:val="24"/>
      <w:lang w:val="hr-HR" w:eastAsia="hr-HR"/>
      <w14:ligatures w14:val="none"/>
    </w:rPr>
  </w:style>
  <w:style w:type="paragraph" w:customStyle="1" w:styleId="xl76">
    <w:name w:val="xl76"/>
    <w:basedOn w:val="Normal"/>
    <w:rsid w:val="009B2D9D"/>
    <w:pPr>
      <w:pBdr>
        <w:top w:val="dashed" w:sz="4" w:space="0" w:color="auto"/>
        <w:left w:val="double" w:sz="6" w:space="0" w:color="auto"/>
        <w:bottom w:val="dashed" w:sz="4" w:space="0" w:color="auto"/>
      </w:pBdr>
      <w:spacing w:before="100" w:beforeAutospacing="1" w:after="100" w:afterAutospacing="1" w:line="240" w:lineRule="auto"/>
      <w:jc w:val="both"/>
      <w:textAlignment w:val="top"/>
    </w:pPr>
    <w:rPr>
      <w:rFonts w:ascii="Times New Roman" w:eastAsia="Times New Roman" w:hAnsi="Times New Roman" w:cs="Times New Roman"/>
      <w:color w:val="000000"/>
      <w:kern w:val="0"/>
      <w:sz w:val="24"/>
      <w:szCs w:val="24"/>
      <w:u w:val="single"/>
      <w:lang w:val="hr-HR" w:eastAsia="hr-HR"/>
      <w14:ligatures w14:val="none"/>
    </w:rPr>
  </w:style>
  <w:style w:type="paragraph" w:customStyle="1" w:styleId="xl77">
    <w:name w:val="xl77"/>
    <w:basedOn w:val="Normal"/>
    <w:rsid w:val="009B2D9D"/>
    <w:pPr>
      <w:pBdr>
        <w:top w:val="dashed" w:sz="4" w:space="0" w:color="auto"/>
        <w:left w:val="double" w:sz="6" w:space="0" w:color="auto"/>
        <w:bottom w:val="dashed" w:sz="4" w:space="0" w:color="auto"/>
      </w:pBdr>
      <w:spacing w:before="100" w:beforeAutospacing="1" w:after="100" w:afterAutospacing="1" w:line="240" w:lineRule="auto"/>
      <w:jc w:val="both"/>
      <w:textAlignment w:val="center"/>
    </w:pPr>
    <w:rPr>
      <w:rFonts w:ascii="Times New Roman" w:eastAsia="Times New Roman" w:hAnsi="Times New Roman" w:cs="Times New Roman"/>
      <w:i/>
      <w:iCs/>
      <w:kern w:val="0"/>
      <w:sz w:val="24"/>
      <w:szCs w:val="24"/>
      <w:lang w:val="hr-HR" w:eastAsia="hr-HR"/>
      <w14:ligatures w14:val="none"/>
    </w:rPr>
  </w:style>
  <w:style w:type="paragraph" w:customStyle="1" w:styleId="xl78">
    <w:name w:val="xl78"/>
    <w:basedOn w:val="Normal"/>
    <w:rsid w:val="009B2D9D"/>
    <w:pPr>
      <w:pBdr>
        <w:top w:val="dashed" w:sz="4" w:space="0" w:color="auto"/>
        <w:left w:val="double" w:sz="6" w:space="0" w:color="auto"/>
        <w:bottom w:val="dashed" w:sz="4" w:space="0" w:color="auto"/>
      </w:pBdr>
      <w:spacing w:before="100" w:beforeAutospacing="1" w:after="100" w:afterAutospacing="1" w:line="240" w:lineRule="auto"/>
      <w:jc w:val="both"/>
    </w:pPr>
    <w:rPr>
      <w:rFonts w:ascii="Times New Roman" w:eastAsia="Times New Roman" w:hAnsi="Times New Roman" w:cs="Times New Roman"/>
      <w:kern w:val="0"/>
      <w:sz w:val="24"/>
      <w:szCs w:val="24"/>
      <w:lang w:val="hr-HR" w:eastAsia="hr-HR"/>
      <w14:ligatures w14:val="none"/>
    </w:rPr>
  </w:style>
  <w:style w:type="paragraph" w:customStyle="1" w:styleId="xl79">
    <w:name w:val="xl79"/>
    <w:basedOn w:val="Normal"/>
    <w:rsid w:val="009B2D9D"/>
    <w:pPr>
      <w:pBdr>
        <w:top w:val="dashed" w:sz="4" w:space="0" w:color="auto"/>
        <w:left w:val="double" w:sz="6" w:space="0" w:color="auto"/>
        <w:bottom w:val="dashed" w:sz="4" w:space="0" w:color="auto"/>
      </w:pBdr>
      <w:spacing w:before="100" w:beforeAutospacing="1" w:after="100" w:afterAutospacing="1" w:line="240" w:lineRule="auto"/>
      <w:jc w:val="both"/>
      <w:textAlignment w:val="top"/>
    </w:pPr>
    <w:rPr>
      <w:rFonts w:ascii="Times New Roman" w:eastAsia="Times New Roman" w:hAnsi="Times New Roman" w:cs="Times New Roman"/>
      <w:kern w:val="0"/>
      <w:sz w:val="24"/>
      <w:szCs w:val="24"/>
      <w:lang w:val="hr-HR" w:eastAsia="hr-HR"/>
      <w14:ligatures w14:val="none"/>
    </w:rPr>
  </w:style>
  <w:style w:type="paragraph" w:customStyle="1" w:styleId="xl80">
    <w:name w:val="xl80"/>
    <w:basedOn w:val="Normal"/>
    <w:rsid w:val="009B2D9D"/>
    <w:pPr>
      <w:pBdr>
        <w:top w:val="dashed" w:sz="4" w:space="0" w:color="auto"/>
        <w:left w:val="double" w:sz="6" w:space="0" w:color="auto"/>
        <w:bottom w:val="dashed" w:sz="4" w:space="0" w:color="auto"/>
      </w:pBdr>
      <w:spacing w:before="100" w:beforeAutospacing="1" w:after="100" w:afterAutospacing="1" w:line="240" w:lineRule="auto"/>
      <w:jc w:val="both"/>
      <w:textAlignment w:val="top"/>
    </w:pPr>
    <w:rPr>
      <w:rFonts w:ascii="Times New Roman" w:eastAsia="Times New Roman" w:hAnsi="Times New Roman" w:cs="Times New Roman"/>
      <w:i/>
      <w:iCs/>
      <w:kern w:val="0"/>
      <w:sz w:val="24"/>
      <w:szCs w:val="24"/>
      <w:lang w:val="hr-HR" w:eastAsia="hr-HR"/>
      <w14:ligatures w14:val="none"/>
    </w:rPr>
  </w:style>
  <w:style w:type="paragraph" w:customStyle="1" w:styleId="xl81">
    <w:name w:val="xl81"/>
    <w:basedOn w:val="Normal"/>
    <w:rsid w:val="009B2D9D"/>
    <w:pPr>
      <w:pBdr>
        <w:top w:val="dashed" w:sz="4" w:space="0" w:color="auto"/>
        <w:left w:val="double" w:sz="6" w:space="0" w:color="auto"/>
        <w:bottom w:val="double" w:sz="6" w:space="0" w:color="auto"/>
      </w:pBdr>
      <w:spacing w:before="100" w:beforeAutospacing="1" w:after="100" w:afterAutospacing="1" w:line="240" w:lineRule="auto"/>
      <w:jc w:val="both"/>
      <w:textAlignment w:val="top"/>
    </w:pPr>
    <w:rPr>
      <w:rFonts w:ascii="Times New Roman" w:eastAsia="Times New Roman" w:hAnsi="Times New Roman" w:cs="Times New Roman"/>
      <w:kern w:val="0"/>
      <w:sz w:val="24"/>
      <w:szCs w:val="24"/>
      <w:lang w:val="hr-HR" w:eastAsia="hr-HR"/>
      <w14:ligatures w14:val="none"/>
    </w:rPr>
  </w:style>
  <w:style w:type="paragraph" w:customStyle="1" w:styleId="xl82">
    <w:name w:val="xl82"/>
    <w:basedOn w:val="Normal"/>
    <w:rsid w:val="009B2D9D"/>
    <w:pPr>
      <w:pBdr>
        <w:top w:val="dashed" w:sz="4" w:space="0" w:color="auto"/>
        <w:left w:val="single" w:sz="8" w:space="0" w:color="auto"/>
        <w:bottom w:val="dashed"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val="hr-HR" w:eastAsia="hr-HR"/>
      <w14:ligatures w14:val="none"/>
    </w:rPr>
  </w:style>
  <w:style w:type="paragraph" w:customStyle="1" w:styleId="xl83">
    <w:name w:val="xl83"/>
    <w:basedOn w:val="Normal"/>
    <w:rsid w:val="009B2D9D"/>
    <w:pPr>
      <w:pBdr>
        <w:left w:val="double" w:sz="6" w:space="0" w:color="auto"/>
        <w:bottom w:val="dashed" w:sz="4" w:space="0" w:color="auto"/>
      </w:pBdr>
      <w:spacing w:before="100" w:beforeAutospacing="1" w:after="100" w:afterAutospacing="1" w:line="240" w:lineRule="auto"/>
      <w:jc w:val="both"/>
    </w:pPr>
    <w:rPr>
      <w:rFonts w:ascii="Times New Roman" w:eastAsia="Times New Roman" w:hAnsi="Times New Roman" w:cs="Times New Roman"/>
      <w:kern w:val="0"/>
      <w:sz w:val="24"/>
      <w:szCs w:val="24"/>
      <w:lang w:val="hr-HR" w:eastAsia="hr-HR"/>
      <w14:ligatures w14:val="none"/>
    </w:rPr>
  </w:style>
  <w:style w:type="paragraph" w:customStyle="1" w:styleId="xl84">
    <w:name w:val="xl84"/>
    <w:basedOn w:val="Normal"/>
    <w:rsid w:val="009B2D9D"/>
    <w:pPr>
      <w:pBdr>
        <w:top w:val="dashed" w:sz="4" w:space="0" w:color="auto"/>
        <w:left w:val="double" w:sz="6" w:space="0" w:color="auto"/>
      </w:pBdr>
      <w:spacing w:before="100" w:beforeAutospacing="1" w:after="100" w:afterAutospacing="1" w:line="240" w:lineRule="auto"/>
      <w:jc w:val="both"/>
    </w:pPr>
    <w:rPr>
      <w:rFonts w:ascii="Times New Roman" w:eastAsia="Times New Roman" w:hAnsi="Times New Roman" w:cs="Times New Roman"/>
      <w:kern w:val="0"/>
      <w:sz w:val="24"/>
      <w:szCs w:val="24"/>
      <w:lang w:val="hr-HR" w:eastAsia="hr-HR"/>
      <w14:ligatures w14:val="none"/>
    </w:rPr>
  </w:style>
  <w:style w:type="paragraph" w:customStyle="1" w:styleId="xl85">
    <w:name w:val="xl85"/>
    <w:basedOn w:val="Normal"/>
    <w:rsid w:val="009B2D9D"/>
    <w:pPr>
      <w:pBdr>
        <w:top w:val="dashed" w:sz="4" w:space="0" w:color="auto"/>
        <w:left w:val="double" w:sz="6" w:space="0" w:color="auto"/>
        <w:bottom w:val="single" w:sz="4" w:space="0" w:color="auto"/>
      </w:pBdr>
      <w:spacing w:before="100" w:beforeAutospacing="1" w:after="100" w:afterAutospacing="1" w:line="240" w:lineRule="auto"/>
      <w:jc w:val="both"/>
    </w:pPr>
    <w:rPr>
      <w:rFonts w:ascii="Times New Roman" w:eastAsia="Times New Roman" w:hAnsi="Times New Roman" w:cs="Times New Roman"/>
      <w:kern w:val="0"/>
      <w:sz w:val="24"/>
      <w:szCs w:val="24"/>
      <w:lang w:val="hr-HR" w:eastAsia="hr-HR"/>
      <w14:ligatures w14:val="none"/>
    </w:rPr>
  </w:style>
  <w:style w:type="paragraph" w:customStyle="1" w:styleId="xl86">
    <w:name w:val="xl86"/>
    <w:basedOn w:val="Normal"/>
    <w:rsid w:val="009B2D9D"/>
    <w:pPr>
      <w:pBdr>
        <w:top w:val="dashed" w:sz="4" w:space="0" w:color="auto"/>
        <w:left w:val="double" w:sz="6" w:space="0" w:color="auto"/>
      </w:pBdr>
      <w:spacing w:before="100" w:beforeAutospacing="1" w:after="100" w:afterAutospacing="1" w:line="240" w:lineRule="auto"/>
      <w:jc w:val="both"/>
      <w:textAlignment w:val="top"/>
    </w:pPr>
    <w:rPr>
      <w:rFonts w:ascii="Times New Roman" w:eastAsia="Times New Roman" w:hAnsi="Times New Roman" w:cs="Times New Roman"/>
      <w:color w:val="000000"/>
      <w:kern w:val="0"/>
      <w:sz w:val="24"/>
      <w:szCs w:val="24"/>
      <w:lang w:val="hr-HR" w:eastAsia="hr-HR"/>
      <w14:ligatures w14:val="none"/>
    </w:rPr>
  </w:style>
  <w:style w:type="paragraph" w:customStyle="1" w:styleId="xl87">
    <w:name w:val="xl87"/>
    <w:basedOn w:val="Normal"/>
    <w:rsid w:val="009B2D9D"/>
    <w:pPr>
      <w:pBdr>
        <w:left w:val="double" w:sz="6" w:space="0" w:color="auto"/>
        <w:bottom w:val="dashed" w:sz="4" w:space="0" w:color="auto"/>
      </w:pBdr>
      <w:spacing w:before="100" w:beforeAutospacing="1" w:after="100" w:afterAutospacing="1" w:line="240" w:lineRule="auto"/>
      <w:jc w:val="both"/>
      <w:textAlignment w:val="center"/>
    </w:pPr>
    <w:rPr>
      <w:rFonts w:ascii="Times New Roman" w:eastAsia="Times New Roman" w:hAnsi="Times New Roman" w:cs="Times New Roman"/>
      <w:kern w:val="0"/>
      <w:sz w:val="24"/>
      <w:szCs w:val="24"/>
      <w:lang w:val="hr-HR" w:eastAsia="hr-HR"/>
      <w14:ligatures w14:val="none"/>
    </w:rPr>
  </w:style>
  <w:style w:type="paragraph" w:customStyle="1" w:styleId="xl88">
    <w:name w:val="xl88"/>
    <w:basedOn w:val="Normal"/>
    <w:rsid w:val="009B2D9D"/>
    <w:pPr>
      <w:pBdr>
        <w:top w:val="dashed" w:sz="4" w:space="0" w:color="auto"/>
        <w:left w:val="double" w:sz="6" w:space="0" w:color="auto"/>
        <w:bottom w:val="single" w:sz="8" w:space="0" w:color="auto"/>
      </w:pBdr>
      <w:spacing w:before="100" w:beforeAutospacing="1" w:after="100" w:afterAutospacing="1" w:line="240" w:lineRule="auto"/>
      <w:jc w:val="both"/>
    </w:pPr>
    <w:rPr>
      <w:rFonts w:ascii="Times New Roman" w:eastAsia="Times New Roman" w:hAnsi="Times New Roman" w:cs="Times New Roman"/>
      <w:kern w:val="0"/>
      <w:sz w:val="24"/>
      <w:szCs w:val="24"/>
      <w:lang w:val="hr-HR" w:eastAsia="hr-HR"/>
      <w14:ligatures w14:val="none"/>
    </w:rPr>
  </w:style>
  <w:style w:type="paragraph" w:customStyle="1" w:styleId="xl89">
    <w:name w:val="xl89"/>
    <w:basedOn w:val="Normal"/>
    <w:rsid w:val="009B2D9D"/>
    <w:pPr>
      <w:pBdr>
        <w:left w:val="double" w:sz="6" w:space="0" w:color="auto"/>
        <w:bottom w:val="dashed" w:sz="4" w:space="0" w:color="auto"/>
      </w:pBdr>
      <w:spacing w:before="100" w:beforeAutospacing="1" w:after="100" w:afterAutospacing="1" w:line="240" w:lineRule="auto"/>
      <w:jc w:val="both"/>
      <w:textAlignment w:val="center"/>
    </w:pPr>
    <w:rPr>
      <w:rFonts w:ascii="Times New Roman" w:eastAsia="Times New Roman" w:hAnsi="Times New Roman" w:cs="Times New Roman"/>
      <w:kern w:val="0"/>
      <w:sz w:val="24"/>
      <w:szCs w:val="24"/>
      <w:lang w:val="hr-HR" w:eastAsia="hr-HR"/>
      <w14:ligatures w14:val="none"/>
    </w:rPr>
  </w:style>
  <w:style w:type="paragraph" w:customStyle="1" w:styleId="xl90">
    <w:name w:val="xl90"/>
    <w:basedOn w:val="Normal"/>
    <w:rsid w:val="009B2D9D"/>
    <w:pPr>
      <w:pBdr>
        <w:top w:val="single" w:sz="8" w:space="0" w:color="auto"/>
        <w:left w:val="double" w:sz="6"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val="hr-HR" w:eastAsia="hr-HR"/>
      <w14:ligatures w14:val="none"/>
    </w:rPr>
  </w:style>
  <w:style w:type="paragraph" w:customStyle="1" w:styleId="xl91">
    <w:name w:val="xl91"/>
    <w:basedOn w:val="Normal"/>
    <w:rsid w:val="009B2D9D"/>
    <w:pPr>
      <w:pBdr>
        <w:left w:val="double" w:sz="6" w:space="0" w:color="auto"/>
        <w:bottom w:val="dashed" w:sz="4" w:space="0" w:color="auto"/>
      </w:pBdr>
      <w:spacing w:before="100" w:beforeAutospacing="1" w:after="100" w:afterAutospacing="1" w:line="240" w:lineRule="auto"/>
      <w:jc w:val="both"/>
    </w:pPr>
    <w:rPr>
      <w:rFonts w:ascii="Times New Roman" w:eastAsia="Times New Roman" w:hAnsi="Times New Roman" w:cs="Times New Roman"/>
      <w:kern w:val="0"/>
      <w:sz w:val="24"/>
      <w:szCs w:val="24"/>
      <w:lang w:val="hr-HR" w:eastAsia="hr-HR"/>
      <w14:ligatures w14:val="none"/>
    </w:rPr>
  </w:style>
  <w:style w:type="paragraph" w:customStyle="1" w:styleId="xl92">
    <w:name w:val="xl92"/>
    <w:basedOn w:val="Normal"/>
    <w:rsid w:val="009B2D9D"/>
    <w:pPr>
      <w:pBdr>
        <w:left w:val="single" w:sz="8" w:space="0" w:color="auto"/>
        <w:bottom w:val="dashed"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val="hr-HR" w:eastAsia="hr-HR"/>
      <w14:ligatures w14:val="none"/>
    </w:rPr>
  </w:style>
  <w:style w:type="paragraph" w:customStyle="1" w:styleId="xl93">
    <w:name w:val="xl93"/>
    <w:basedOn w:val="Normal"/>
    <w:rsid w:val="009B2D9D"/>
    <w:pPr>
      <w:pBdr>
        <w:top w:val="dashed" w:sz="4" w:space="0" w:color="auto"/>
        <w:left w:val="double" w:sz="6" w:space="0" w:color="auto"/>
        <w:bottom w:val="single" w:sz="4" w:space="0" w:color="auto"/>
      </w:pBdr>
      <w:spacing w:before="100" w:beforeAutospacing="1" w:after="100" w:afterAutospacing="1" w:line="240" w:lineRule="auto"/>
      <w:jc w:val="both"/>
    </w:pPr>
    <w:rPr>
      <w:rFonts w:ascii="Times New Roman" w:eastAsia="Times New Roman" w:hAnsi="Times New Roman" w:cs="Times New Roman"/>
      <w:kern w:val="0"/>
      <w:sz w:val="24"/>
      <w:szCs w:val="24"/>
      <w:lang w:val="hr-HR" w:eastAsia="hr-HR"/>
      <w14:ligatures w14:val="none"/>
    </w:rPr>
  </w:style>
  <w:style w:type="paragraph" w:customStyle="1" w:styleId="xl94">
    <w:name w:val="xl94"/>
    <w:basedOn w:val="Normal"/>
    <w:rsid w:val="009B2D9D"/>
    <w:pPr>
      <w:pBdr>
        <w:top w:val="dashed"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val="hr-HR" w:eastAsia="hr-HR"/>
      <w14:ligatures w14:val="none"/>
    </w:rPr>
  </w:style>
  <w:style w:type="paragraph" w:customStyle="1" w:styleId="xl95">
    <w:name w:val="xl95"/>
    <w:basedOn w:val="Normal"/>
    <w:rsid w:val="009B2D9D"/>
    <w:pPr>
      <w:pBdr>
        <w:top w:val="single" w:sz="4"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val="hr-HR" w:eastAsia="hr-HR"/>
      <w14:ligatures w14:val="none"/>
    </w:rPr>
  </w:style>
  <w:style w:type="paragraph" w:customStyle="1" w:styleId="xl96">
    <w:name w:val="xl96"/>
    <w:basedOn w:val="Normal"/>
    <w:rsid w:val="009B2D9D"/>
    <w:pPr>
      <w:pBdr>
        <w:left w:val="single" w:sz="8" w:space="0" w:color="auto"/>
        <w:bottom w:val="dashed"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val="hr-HR" w:eastAsia="hr-HR"/>
      <w14:ligatures w14:val="none"/>
    </w:rPr>
  </w:style>
  <w:style w:type="paragraph" w:customStyle="1" w:styleId="xl97">
    <w:name w:val="xl97"/>
    <w:basedOn w:val="Normal"/>
    <w:rsid w:val="009B2D9D"/>
    <w:pPr>
      <w:pBdr>
        <w:top w:val="dashed" w:sz="4" w:space="0" w:color="auto"/>
        <w:left w:val="single" w:sz="8" w:space="0" w:color="auto"/>
        <w:bottom w:val="dashed"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val="hr-HR" w:eastAsia="hr-HR"/>
      <w14:ligatures w14:val="none"/>
    </w:rPr>
  </w:style>
  <w:style w:type="paragraph" w:customStyle="1" w:styleId="xl98">
    <w:name w:val="xl98"/>
    <w:basedOn w:val="Normal"/>
    <w:rsid w:val="009B2D9D"/>
    <w:pPr>
      <w:pBdr>
        <w:top w:val="dashed"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val="hr-HR" w:eastAsia="hr-HR"/>
      <w14:ligatures w14:val="none"/>
    </w:rPr>
  </w:style>
  <w:style w:type="paragraph" w:customStyle="1" w:styleId="xl99">
    <w:name w:val="xl99"/>
    <w:basedOn w:val="Normal"/>
    <w:rsid w:val="009B2D9D"/>
    <w:pPr>
      <w:pBdr>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val="hr-HR" w:eastAsia="hr-HR"/>
      <w14:ligatures w14:val="none"/>
    </w:rPr>
  </w:style>
  <w:style w:type="paragraph" w:customStyle="1" w:styleId="xl100">
    <w:name w:val="xl100"/>
    <w:basedOn w:val="Normal"/>
    <w:rsid w:val="009B2D9D"/>
    <w:pPr>
      <w:pBdr>
        <w:top w:val="dashed" w:sz="4"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val="hr-HR" w:eastAsia="hr-HR"/>
      <w14:ligatures w14:val="none"/>
    </w:rPr>
  </w:style>
  <w:style w:type="paragraph" w:customStyle="1" w:styleId="xl101">
    <w:name w:val="xl101"/>
    <w:basedOn w:val="Normal"/>
    <w:rsid w:val="009B2D9D"/>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val="hr-HR" w:eastAsia="hr-HR"/>
      <w14:ligatures w14:val="none"/>
    </w:rPr>
  </w:style>
  <w:style w:type="paragraph" w:customStyle="1" w:styleId="xl102">
    <w:name w:val="xl102"/>
    <w:basedOn w:val="Normal"/>
    <w:rsid w:val="009B2D9D"/>
    <w:pPr>
      <w:pBdr>
        <w:top w:val="dashed" w:sz="4"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val="hr-HR" w:eastAsia="hr-HR"/>
      <w14:ligatures w14:val="none"/>
    </w:rPr>
  </w:style>
  <w:style w:type="paragraph" w:customStyle="1" w:styleId="xl103">
    <w:name w:val="xl103"/>
    <w:basedOn w:val="Normal"/>
    <w:rsid w:val="009B2D9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val="hr-HR" w:eastAsia="hr-HR"/>
      <w14:ligatures w14:val="none"/>
    </w:rPr>
  </w:style>
  <w:style w:type="paragraph" w:customStyle="1" w:styleId="xl104">
    <w:name w:val="xl104"/>
    <w:basedOn w:val="Normal"/>
    <w:rsid w:val="009B2D9D"/>
    <w:pPr>
      <w:spacing w:before="100" w:beforeAutospacing="1" w:after="100" w:afterAutospacing="1" w:line="240" w:lineRule="auto"/>
      <w:jc w:val="center"/>
    </w:pPr>
    <w:rPr>
      <w:rFonts w:ascii="Times New Roman" w:eastAsia="Times New Roman" w:hAnsi="Times New Roman" w:cs="Times New Roman"/>
      <w:kern w:val="0"/>
      <w:sz w:val="24"/>
      <w:szCs w:val="24"/>
      <w:lang w:val="hr-HR" w:eastAsia="hr-HR"/>
      <w14:ligatures w14:val="none"/>
    </w:rPr>
  </w:style>
  <w:style w:type="paragraph" w:customStyle="1" w:styleId="xl180">
    <w:name w:val="xl180"/>
    <w:basedOn w:val="Normal"/>
    <w:rsid w:val="009B2D9D"/>
    <w:pPr>
      <w:pBdr>
        <w:top w:val="dashed" w:sz="4" w:space="0" w:color="auto"/>
        <w:left w:val="dashed" w:sz="4" w:space="0" w:color="auto"/>
        <w:bottom w:val="dashed" w:sz="4" w:space="0" w:color="auto"/>
        <w:right w:val="dashed" w:sz="4" w:space="0" w:color="auto"/>
      </w:pBdr>
      <w:shd w:val="clear" w:color="000000" w:fill="FFFF99"/>
      <w:spacing w:before="100" w:beforeAutospacing="1" w:after="100" w:afterAutospacing="1" w:line="240" w:lineRule="auto"/>
      <w:jc w:val="right"/>
    </w:pPr>
    <w:rPr>
      <w:rFonts w:ascii="Times New Roman" w:eastAsia="Times New Roman" w:hAnsi="Times New Roman" w:cs="Times New Roman"/>
      <w:kern w:val="0"/>
      <w:sz w:val="24"/>
      <w:szCs w:val="24"/>
      <w:lang w:val="hr-HR" w:eastAsia="hr-HR"/>
      <w14:ligatures w14:val="none"/>
    </w:rPr>
  </w:style>
  <w:style w:type="paragraph" w:customStyle="1" w:styleId="xl181">
    <w:name w:val="xl181"/>
    <w:basedOn w:val="Normal"/>
    <w:rsid w:val="009B2D9D"/>
    <w:pPr>
      <w:pBdr>
        <w:top w:val="dashed" w:sz="4" w:space="0" w:color="auto"/>
        <w:left w:val="dashed" w:sz="4" w:space="0" w:color="auto"/>
        <w:bottom w:val="dashed" w:sz="4" w:space="0" w:color="auto"/>
      </w:pBdr>
      <w:shd w:val="clear" w:color="000000" w:fill="FFFF99"/>
      <w:spacing w:before="100" w:beforeAutospacing="1" w:after="100" w:afterAutospacing="1" w:line="240" w:lineRule="auto"/>
      <w:jc w:val="right"/>
    </w:pPr>
    <w:rPr>
      <w:rFonts w:ascii="Times New Roman" w:eastAsia="Times New Roman" w:hAnsi="Times New Roman" w:cs="Times New Roman"/>
      <w:kern w:val="0"/>
      <w:sz w:val="24"/>
      <w:szCs w:val="24"/>
      <w:lang w:val="hr-HR" w:eastAsia="hr-HR"/>
      <w14:ligatures w14:val="none"/>
    </w:rPr>
  </w:style>
  <w:style w:type="paragraph" w:customStyle="1" w:styleId="xl182">
    <w:name w:val="xl182"/>
    <w:basedOn w:val="Normal"/>
    <w:rsid w:val="009B2D9D"/>
    <w:pPr>
      <w:pBdr>
        <w:top w:val="dashed" w:sz="4" w:space="0" w:color="auto"/>
        <w:bottom w:val="dashed" w:sz="4" w:space="0" w:color="auto"/>
        <w:right w:val="dashed" w:sz="4" w:space="0" w:color="auto"/>
      </w:pBdr>
      <w:shd w:val="clear" w:color="000000" w:fill="FFFF99"/>
      <w:spacing w:before="100" w:beforeAutospacing="1" w:after="100" w:afterAutospacing="1" w:line="240" w:lineRule="auto"/>
      <w:jc w:val="right"/>
    </w:pPr>
    <w:rPr>
      <w:rFonts w:ascii="Times New Roman" w:eastAsia="Times New Roman" w:hAnsi="Times New Roman" w:cs="Times New Roman"/>
      <w:i/>
      <w:iCs/>
      <w:kern w:val="0"/>
      <w:sz w:val="24"/>
      <w:szCs w:val="24"/>
      <w:lang w:val="hr-HR" w:eastAsia="hr-HR"/>
      <w14:ligatures w14:val="none"/>
    </w:rPr>
  </w:style>
  <w:style w:type="paragraph" w:customStyle="1" w:styleId="xl183">
    <w:name w:val="xl183"/>
    <w:basedOn w:val="Normal"/>
    <w:rsid w:val="009B2D9D"/>
    <w:pPr>
      <w:pBdr>
        <w:top w:val="dashed" w:sz="4" w:space="0" w:color="auto"/>
        <w:left w:val="dashed" w:sz="4" w:space="0" w:color="auto"/>
        <w:bottom w:val="dashed" w:sz="4" w:space="0" w:color="auto"/>
        <w:right w:val="dashed" w:sz="4" w:space="0" w:color="auto"/>
      </w:pBdr>
      <w:shd w:val="clear" w:color="000000" w:fill="FFFF99"/>
      <w:spacing w:before="100" w:beforeAutospacing="1" w:after="100" w:afterAutospacing="1" w:line="240" w:lineRule="auto"/>
      <w:jc w:val="right"/>
    </w:pPr>
    <w:rPr>
      <w:rFonts w:ascii="Times New Roman" w:eastAsia="Times New Roman" w:hAnsi="Times New Roman" w:cs="Times New Roman"/>
      <w:i/>
      <w:iCs/>
      <w:kern w:val="0"/>
      <w:sz w:val="24"/>
      <w:szCs w:val="24"/>
      <w:lang w:val="hr-HR" w:eastAsia="hr-HR"/>
      <w14:ligatures w14:val="none"/>
    </w:rPr>
  </w:style>
  <w:style w:type="paragraph" w:customStyle="1" w:styleId="xl184">
    <w:name w:val="xl184"/>
    <w:basedOn w:val="Normal"/>
    <w:rsid w:val="009B2D9D"/>
    <w:pPr>
      <w:pBdr>
        <w:top w:val="dashed" w:sz="4" w:space="0" w:color="auto"/>
        <w:left w:val="dashed" w:sz="4" w:space="0" w:color="auto"/>
        <w:bottom w:val="dashed" w:sz="4" w:space="0" w:color="auto"/>
      </w:pBdr>
      <w:shd w:val="clear" w:color="000000" w:fill="FFFF99"/>
      <w:spacing w:before="100" w:beforeAutospacing="1" w:after="100" w:afterAutospacing="1" w:line="240" w:lineRule="auto"/>
      <w:jc w:val="right"/>
    </w:pPr>
    <w:rPr>
      <w:rFonts w:ascii="Times New Roman" w:eastAsia="Times New Roman" w:hAnsi="Times New Roman" w:cs="Times New Roman"/>
      <w:i/>
      <w:iCs/>
      <w:kern w:val="0"/>
      <w:sz w:val="24"/>
      <w:szCs w:val="24"/>
      <w:lang w:val="hr-HR" w:eastAsia="hr-HR"/>
      <w14:ligatures w14:val="none"/>
    </w:rPr>
  </w:style>
  <w:style w:type="paragraph" w:customStyle="1" w:styleId="xl185">
    <w:name w:val="xl185"/>
    <w:basedOn w:val="Normal"/>
    <w:rsid w:val="009B2D9D"/>
    <w:pPr>
      <w:pBdr>
        <w:left w:val="dashed" w:sz="4" w:space="0" w:color="auto"/>
        <w:bottom w:val="dashed" w:sz="4" w:space="0" w:color="auto"/>
        <w:right w:val="dashed" w:sz="4" w:space="0" w:color="auto"/>
      </w:pBdr>
      <w:shd w:val="clear" w:color="000000" w:fill="FFFF99"/>
      <w:spacing w:before="100" w:beforeAutospacing="1" w:after="100" w:afterAutospacing="1" w:line="240" w:lineRule="auto"/>
      <w:jc w:val="right"/>
    </w:pPr>
    <w:rPr>
      <w:rFonts w:ascii="Times New Roman" w:eastAsia="Times New Roman" w:hAnsi="Times New Roman" w:cs="Times New Roman"/>
      <w:kern w:val="0"/>
      <w:sz w:val="24"/>
      <w:szCs w:val="24"/>
      <w:lang w:val="hr-HR" w:eastAsia="hr-HR"/>
      <w14:ligatures w14:val="none"/>
    </w:rPr>
  </w:style>
  <w:style w:type="paragraph" w:customStyle="1" w:styleId="xl186">
    <w:name w:val="xl186"/>
    <w:basedOn w:val="Normal"/>
    <w:rsid w:val="009B2D9D"/>
    <w:pPr>
      <w:pBdr>
        <w:left w:val="dashed" w:sz="4" w:space="0" w:color="auto"/>
        <w:bottom w:val="dashed" w:sz="4" w:space="0" w:color="auto"/>
      </w:pBdr>
      <w:shd w:val="clear" w:color="000000" w:fill="FFFF99"/>
      <w:spacing w:before="100" w:beforeAutospacing="1" w:after="100" w:afterAutospacing="1" w:line="240" w:lineRule="auto"/>
      <w:jc w:val="right"/>
    </w:pPr>
    <w:rPr>
      <w:rFonts w:ascii="Times New Roman" w:eastAsia="Times New Roman" w:hAnsi="Times New Roman" w:cs="Times New Roman"/>
      <w:kern w:val="0"/>
      <w:sz w:val="24"/>
      <w:szCs w:val="24"/>
      <w:lang w:val="hr-HR" w:eastAsia="hr-HR"/>
      <w14:ligatures w14:val="none"/>
    </w:rPr>
  </w:style>
  <w:style w:type="paragraph" w:customStyle="1" w:styleId="xl187">
    <w:name w:val="xl187"/>
    <w:basedOn w:val="Normal"/>
    <w:rsid w:val="009B2D9D"/>
    <w:pPr>
      <w:pBdr>
        <w:top w:val="dashed" w:sz="4" w:space="0" w:color="auto"/>
        <w:bottom w:val="dashed" w:sz="4" w:space="0" w:color="auto"/>
        <w:right w:val="dashed" w:sz="4" w:space="0" w:color="auto"/>
      </w:pBdr>
      <w:spacing w:before="100" w:beforeAutospacing="1" w:after="100" w:afterAutospacing="1" w:line="240" w:lineRule="auto"/>
      <w:jc w:val="right"/>
    </w:pPr>
    <w:rPr>
      <w:rFonts w:ascii="Times New Roman" w:eastAsia="Times New Roman" w:hAnsi="Times New Roman" w:cs="Times New Roman"/>
      <w:kern w:val="0"/>
      <w:sz w:val="24"/>
      <w:szCs w:val="24"/>
      <w:lang w:val="hr-HR" w:eastAsia="hr-HR"/>
      <w14:ligatures w14:val="none"/>
    </w:rPr>
  </w:style>
  <w:style w:type="paragraph" w:customStyle="1" w:styleId="xl188">
    <w:name w:val="xl188"/>
    <w:basedOn w:val="Normal"/>
    <w:rsid w:val="009B2D9D"/>
    <w:pPr>
      <w:pBdr>
        <w:top w:val="dashed" w:sz="4" w:space="0" w:color="auto"/>
        <w:left w:val="dashed" w:sz="4" w:space="0" w:color="auto"/>
        <w:bottom w:val="dashed" w:sz="4" w:space="0" w:color="auto"/>
        <w:right w:val="dashed" w:sz="4" w:space="0" w:color="auto"/>
      </w:pBdr>
      <w:spacing w:before="100" w:beforeAutospacing="1" w:after="100" w:afterAutospacing="1" w:line="240" w:lineRule="auto"/>
      <w:jc w:val="right"/>
    </w:pPr>
    <w:rPr>
      <w:rFonts w:ascii="Times New Roman" w:eastAsia="Times New Roman" w:hAnsi="Times New Roman" w:cs="Times New Roman"/>
      <w:kern w:val="0"/>
      <w:sz w:val="24"/>
      <w:szCs w:val="24"/>
      <w:lang w:val="hr-HR" w:eastAsia="hr-HR"/>
      <w14:ligatures w14:val="none"/>
    </w:rPr>
  </w:style>
  <w:style w:type="paragraph" w:customStyle="1" w:styleId="xl189">
    <w:name w:val="xl189"/>
    <w:basedOn w:val="Normal"/>
    <w:rsid w:val="009B2D9D"/>
    <w:pPr>
      <w:pBdr>
        <w:top w:val="dashed" w:sz="4" w:space="0" w:color="auto"/>
        <w:left w:val="dashed" w:sz="4" w:space="0" w:color="auto"/>
        <w:bottom w:val="dashed" w:sz="4" w:space="0" w:color="auto"/>
      </w:pBdr>
      <w:spacing w:before="100" w:beforeAutospacing="1" w:after="100" w:afterAutospacing="1" w:line="240" w:lineRule="auto"/>
      <w:jc w:val="right"/>
    </w:pPr>
    <w:rPr>
      <w:rFonts w:ascii="Times New Roman" w:eastAsia="Times New Roman" w:hAnsi="Times New Roman" w:cs="Times New Roman"/>
      <w:kern w:val="0"/>
      <w:sz w:val="24"/>
      <w:szCs w:val="24"/>
      <w:lang w:val="hr-HR" w:eastAsia="hr-HR"/>
      <w14:ligatures w14:val="none"/>
    </w:rPr>
  </w:style>
  <w:style w:type="paragraph" w:customStyle="1" w:styleId="xl190">
    <w:name w:val="xl190"/>
    <w:basedOn w:val="Normal"/>
    <w:rsid w:val="009B2D9D"/>
    <w:pPr>
      <w:pBdr>
        <w:top w:val="dashed" w:sz="4" w:space="0" w:color="auto"/>
        <w:bottom w:val="dashed" w:sz="4" w:space="0" w:color="auto"/>
        <w:right w:val="dashed" w:sz="4" w:space="0" w:color="auto"/>
      </w:pBdr>
      <w:shd w:val="clear" w:color="000000" w:fill="FFFF99"/>
      <w:spacing w:before="100" w:beforeAutospacing="1" w:after="100" w:afterAutospacing="1" w:line="240" w:lineRule="auto"/>
      <w:jc w:val="right"/>
    </w:pPr>
    <w:rPr>
      <w:rFonts w:ascii="Times New Roman" w:eastAsia="Times New Roman" w:hAnsi="Times New Roman" w:cs="Times New Roman"/>
      <w:kern w:val="0"/>
      <w:sz w:val="24"/>
      <w:szCs w:val="24"/>
      <w:lang w:val="hr-HR" w:eastAsia="hr-HR"/>
      <w14:ligatures w14:val="none"/>
    </w:rPr>
  </w:style>
  <w:style w:type="paragraph" w:customStyle="1" w:styleId="xl191">
    <w:name w:val="xl191"/>
    <w:basedOn w:val="Normal"/>
    <w:rsid w:val="009B2D9D"/>
    <w:pPr>
      <w:pBdr>
        <w:top w:val="dashed" w:sz="4" w:space="0" w:color="auto"/>
        <w:bottom w:val="single" w:sz="8" w:space="0" w:color="auto"/>
        <w:right w:val="dashed" w:sz="4" w:space="0" w:color="auto"/>
      </w:pBdr>
      <w:shd w:val="clear" w:color="000000" w:fill="FFFF99"/>
      <w:spacing w:before="100" w:beforeAutospacing="1" w:after="100" w:afterAutospacing="1" w:line="240" w:lineRule="auto"/>
      <w:jc w:val="right"/>
    </w:pPr>
    <w:rPr>
      <w:rFonts w:ascii="Times New Roman" w:eastAsia="Times New Roman" w:hAnsi="Times New Roman" w:cs="Times New Roman"/>
      <w:kern w:val="0"/>
      <w:sz w:val="24"/>
      <w:szCs w:val="24"/>
      <w:lang w:val="hr-HR" w:eastAsia="hr-HR"/>
      <w14:ligatures w14:val="none"/>
    </w:rPr>
  </w:style>
  <w:style w:type="paragraph" w:customStyle="1" w:styleId="xl192">
    <w:name w:val="xl192"/>
    <w:basedOn w:val="Normal"/>
    <w:rsid w:val="009B2D9D"/>
    <w:pPr>
      <w:pBdr>
        <w:top w:val="dashed" w:sz="4" w:space="0" w:color="auto"/>
        <w:left w:val="dashed" w:sz="4" w:space="0" w:color="auto"/>
        <w:bottom w:val="single" w:sz="8" w:space="0" w:color="auto"/>
        <w:right w:val="dashed" w:sz="4" w:space="0" w:color="auto"/>
      </w:pBdr>
      <w:shd w:val="clear" w:color="000000" w:fill="FFFF99"/>
      <w:spacing w:before="100" w:beforeAutospacing="1" w:after="100" w:afterAutospacing="1" w:line="240" w:lineRule="auto"/>
      <w:jc w:val="right"/>
    </w:pPr>
    <w:rPr>
      <w:rFonts w:ascii="Times New Roman" w:eastAsia="Times New Roman" w:hAnsi="Times New Roman" w:cs="Times New Roman"/>
      <w:kern w:val="0"/>
      <w:sz w:val="24"/>
      <w:szCs w:val="24"/>
      <w:lang w:val="hr-HR" w:eastAsia="hr-HR"/>
      <w14:ligatures w14:val="none"/>
    </w:rPr>
  </w:style>
  <w:style w:type="paragraph" w:customStyle="1" w:styleId="xl193">
    <w:name w:val="xl193"/>
    <w:basedOn w:val="Normal"/>
    <w:rsid w:val="009B2D9D"/>
    <w:pPr>
      <w:pBdr>
        <w:top w:val="dashed" w:sz="4" w:space="0" w:color="auto"/>
        <w:left w:val="dashed" w:sz="4" w:space="0" w:color="auto"/>
        <w:bottom w:val="single" w:sz="8" w:space="0" w:color="auto"/>
      </w:pBdr>
      <w:shd w:val="clear" w:color="000000" w:fill="FFFF99"/>
      <w:spacing w:before="100" w:beforeAutospacing="1" w:after="100" w:afterAutospacing="1" w:line="240" w:lineRule="auto"/>
      <w:jc w:val="right"/>
    </w:pPr>
    <w:rPr>
      <w:rFonts w:ascii="Times New Roman" w:eastAsia="Times New Roman" w:hAnsi="Times New Roman" w:cs="Times New Roman"/>
      <w:kern w:val="0"/>
      <w:sz w:val="24"/>
      <w:szCs w:val="24"/>
      <w:lang w:val="hr-HR" w:eastAsia="hr-HR"/>
      <w14:ligatures w14:val="none"/>
    </w:rPr>
  </w:style>
  <w:style w:type="paragraph" w:customStyle="1" w:styleId="xl194">
    <w:name w:val="xl194"/>
    <w:basedOn w:val="Normal"/>
    <w:rsid w:val="009B2D9D"/>
    <w:pPr>
      <w:pBdr>
        <w:top w:val="dashed" w:sz="4" w:space="0" w:color="auto"/>
        <w:left w:val="dashed" w:sz="4" w:space="0" w:color="auto"/>
        <w:bottom w:val="dashed" w:sz="4" w:space="0" w:color="auto"/>
      </w:pBdr>
      <w:shd w:val="clear" w:color="000000" w:fill="FFFF99"/>
      <w:spacing w:before="100" w:beforeAutospacing="1" w:after="100" w:afterAutospacing="1" w:line="240" w:lineRule="auto"/>
      <w:jc w:val="right"/>
    </w:pPr>
    <w:rPr>
      <w:rFonts w:ascii="Times New Roman" w:eastAsia="Times New Roman" w:hAnsi="Times New Roman" w:cs="Times New Roman"/>
      <w:kern w:val="0"/>
      <w:sz w:val="24"/>
      <w:szCs w:val="24"/>
      <w:lang w:val="hr-HR" w:eastAsia="hr-HR"/>
      <w14:ligatures w14:val="none"/>
    </w:rPr>
  </w:style>
  <w:style w:type="paragraph" w:customStyle="1" w:styleId="xl195">
    <w:name w:val="xl195"/>
    <w:basedOn w:val="Normal"/>
    <w:rsid w:val="009B2D9D"/>
    <w:pPr>
      <w:pBdr>
        <w:top w:val="dashed" w:sz="4" w:space="0" w:color="auto"/>
        <w:left w:val="dashed" w:sz="4" w:space="0" w:color="auto"/>
        <w:bottom w:val="single" w:sz="4" w:space="0" w:color="auto"/>
        <w:right w:val="dashed" w:sz="4" w:space="0" w:color="auto"/>
      </w:pBdr>
      <w:shd w:val="clear" w:color="000000" w:fill="FFFF99"/>
      <w:spacing w:before="100" w:beforeAutospacing="1" w:after="100" w:afterAutospacing="1" w:line="240" w:lineRule="auto"/>
      <w:jc w:val="right"/>
    </w:pPr>
    <w:rPr>
      <w:rFonts w:ascii="Times New Roman" w:eastAsia="Times New Roman" w:hAnsi="Times New Roman" w:cs="Times New Roman"/>
      <w:kern w:val="0"/>
      <w:sz w:val="24"/>
      <w:szCs w:val="24"/>
      <w:lang w:val="hr-HR" w:eastAsia="hr-HR"/>
      <w14:ligatures w14:val="none"/>
    </w:rPr>
  </w:style>
  <w:style w:type="paragraph" w:customStyle="1" w:styleId="xl196">
    <w:name w:val="xl196"/>
    <w:basedOn w:val="Normal"/>
    <w:rsid w:val="009B2D9D"/>
    <w:pPr>
      <w:pBdr>
        <w:top w:val="dashed" w:sz="4" w:space="0" w:color="auto"/>
        <w:left w:val="dashed" w:sz="4" w:space="0" w:color="auto"/>
        <w:bottom w:val="single" w:sz="4" w:space="0" w:color="auto"/>
      </w:pBdr>
      <w:shd w:val="clear" w:color="000000" w:fill="FFFF99"/>
      <w:spacing w:before="100" w:beforeAutospacing="1" w:after="100" w:afterAutospacing="1" w:line="240" w:lineRule="auto"/>
      <w:jc w:val="right"/>
    </w:pPr>
    <w:rPr>
      <w:rFonts w:ascii="Times New Roman" w:eastAsia="Times New Roman" w:hAnsi="Times New Roman" w:cs="Times New Roman"/>
      <w:kern w:val="0"/>
      <w:sz w:val="24"/>
      <w:szCs w:val="24"/>
      <w:lang w:val="hr-HR" w:eastAsia="hr-HR"/>
      <w14:ligatures w14:val="none"/>
    </w:rPr>
  </w:style>
  <w:style w:type="paragraph" w:customStyle="1" w:styleId="xl65">
    <w:name w:val="xl65"/>
    <w:basedOn w:val="Normal"/>
    <w:rsid w:val="009B2D9D"/>
    <w:pPr>
      <w:pBdr>
        <w:left w:val="single" w:sz="8" w:space="0" w:color="F7CAAC"/>
        <w:bottom w:val="single" w:sz="8" w:space="0" w:color="F7CAAC"/>
        <w:right w:val="single" w:sz="8" w:space="0" w:color="F7CAAC"/>
      </w:pBdr>
      <w:spacing w:before="100" w:beforeAutospacing="1" w:after="100" w:afterAutospacing="1" w:line="240" w:lineRule="auto"/>
      <w:jc w:val="center"/>
      <w:textAlignment w:val="center"/>
    </w:pPr>
    <w:rPr>
      <w:rFonts w:ascii="Calibri Light" w:eastAsia="Times New Roman" w:hAnsi="Calibri Light" w:cs="Calibri Light"/>
      <w:b/>
      <w:bCs/>
      <w:kern w:val="0"/>
      <w:sz w:val="16"/>
      <w:szCs w:val="16"/>
      <w:lang w:val="hr-HR" w:eastAsia="hr-HR"/>
      <w14:ligatures w14:val="none"/>
    </w:rPr>
  </w:style>
  <w:style w:type="paragraph" w:customStyle="1" w:styleId="xl66">
    <w:name w:val="xl66"/>
    <w:basedOn w:val="Normal"/>
    <w:rsid w:val="009B2D9D"/>
    <w:pPr>
      <w:pBdr>
        <w:bottom w:val="single" w:sz="8" w:space="0" w:color="F7CAAC"/>
        <w:right w:val="single" w:sz="8" w:space="0" w:color="F7CAAC"/>
      </w:pBdr>
      <w:spacing w:before="100" w:beforeAutospacing="1" w:after="100" w:afterAutospacing="1" w:line="240" w:lineRule="auto"/>
      <w:jc w:val="center"/>
      <w:textAlignment w:val="center"/>
    </w:pPr>
    <w:rPr>
      <w:rFonts w:ascii="Calibri Light" w:eastAsia="Times New Roman" w:hAnsi="Calibri Light" w:cs="Calibri Light"/>
      <w:b/>
      <w:bCs/>
      <w:kern w:val="0"/>
      <w:sz w:val="16"/>
      <w:szCs w:val="16"/>
      <w:lang w:val="hr-HR" w:eastAsia="hr-HR"/>
      <w14:ligatures w14:val="none"/>
    </w:rPr>
  </w:style>
  <w:style w:type="paragraph" w:customStyle="1" w:styleId="xl67">
    <w:name w:val="xl67"/>
    <w:basedOn w:val="Normal"/>
    <w:rsid w:val="009B2D9D"/>
    <w:pPr>
      <w:pBdr>
        <w:left w:val="single" w:sz="8" w:space="0" w:color="F7CAAC"/>
        <w:bottom w:val="single" w:sz="8" w:space="0" w:color="F7CAAC"/>
        <w:right w:val="single" w:sz="8" w:space="0" w:color="F7CAAC"/>
      </w:pBdr>
      <w:spacing w:before="100" w:beforeAutospacing="1" w:after="100" w:afterAutospacing="1" w:line="240" w:lineRule="auto"/>
      <w:jc w:val="both"/>
      <w:textAlignment w:val="center"/>
    </w:pPr>
    <w:rPr>
      <w:rFonts w:ascii="Calibri Light" w:eastAsia="Times New Roman" w:hAnsi="Calibri Light" w:cs="Calibri Light"/>
      <w:b/>
      <w:bCs/>
      <w:kern w:val="0"/>
      <w:sz w:val="16"/>
      <w:szCs w:val="16"/>
      <w:lang w:val="hr-HR" w:eastAsia="hr-HR"/>
      <w14:ligatures w14:val="none"/>
    </w:rPr>
  </w:style>
  <w:style w:type="paragraph" w:customStyle="1" w:styleId="xl68">
    <w:name w:val="xl68"/>
    <w:basedOn w:val="Normal"/>
    <w:rsid w:val="009B2D9D"/>
    <w:pPr>
      <w:pBdr>
        <w:bottom w:val="single" w:sz="8" w:space="0" w:color="F7CAAC"/>
        <w:right w:val="single" w:sz="8" w:space="0" w:color="F7CAAC"/>
      </w:pBdr>
      <w:spacing w:before="100" w:beforeAutospacing="1" w:after="100" w:afterAutospacing="1" w:line="240" w:lineRule="auto"/>
      <w:jc w:val="center"/>
      <w:textAlignment w:val="center"/>
    </w:pPr>
    <w:rPr>
      <w:rFonts w:ascii="Calibri Light" w:eastAsia="Times New Roman" w:hAnsi="Calibri Light" w:cs="Calibri Light"/>
      <w:kern w:val="0"/>
      <w:sz w:val="16"/>
      <w:szCs w:val="16"/>
      <w:lang w:val="hr-HR" w:eastAsia="hr-HR"/>
      <w14:ligatures w14:val="none"/>
    </w:rPr>
  </w:style>
  <w:style w:type="paragraph" w:customStyle="1" w:styleId="xl69">
    <w:name w:val="xl69"/>
    <w:basedOn w:val="Normal"/>
    <w:rsid w:val="009B2D9D"/>
    <w:pPr>
      <w:pBdr>
        <w:bottom w:val="single" w:sz="8" w:space="0" w:color="F7CAAC"/>
        <w:right w:val="single" w:sz="8" w:space="0" w:color="F7CAAC"/>
      </w:pBdr>
      <w:shd w:val="clear" w:color="000000" w:fill="FFFFFF"/>
      <w:spacing w:before="100" w:beforeAutospacing="1" w:after="100" w:afterAutospacing="1" w:line="240" w:lineRule="auto"/>
      <w:jc w:val="center"/>
      <w:textAlignment w:val="center"/>
    </w:pPr>
    <w:rPr>
      <w:rFonts w:ascii="Calibri Light" w:eastAsia="Times New Roman" w:hAnsi="Calibri Light" w:cs="Calibri Light"/>
      <w:kern w:val="0"/>
      <w:sz w:val="16"/>
      <w:szCs w:val="16"/>
      <w:lang w:val="hr-HR" w:eastAsia="hr-HR"/>
      <w14:ligatures w14:val="none"/>
    </w:rPr>
  </w:style>
  <w:style w:type="paragraph" w:customStyle="1" w:styleId="xl70">
    <w:name w:val="xl70"/>
    <w:basedOn w:val="Normal"/>
    <w:rsid w:val="009B2D9D"/>
    <w:pPr>
      <w:pBdr>
        <w:bottom w:val="single" w:sz="8" w:space="0" w:color="F7CAAC"/>
        <w:right w:val="single" w:sz="8" w:space="0" w:color="F7CAAC"/>
      </w:pBdr>
      <w:spacing w:before="100" w:beforeAutospacing="1" w:after="100" w:afterAutospacing="1" w:line="240" w:lineRule="auto"/>
      <w:jc w:val="center"/>
      <w:textAlignment w:val="center"/>
    </w:pPr>
    <w:rPr>
      <w:rFonts w:ascii="Calibri Light" w:eastAsia="Times New Roman" w:hAnsi="Calibri Light" w:cs="Calibri Light"/>
      <w:b/>
      <w:bCs/>
      <w:kern w:val="0"/>
      <w:sz w:val="16"/>
      <w:szCs w:val="16"/>
      <w:lang w:val="hr-HR" w:eastAsia="hr-HR"/>
      <w14:ligatures w14:val="none"/>
    </w:rPr>
  </w:style>
  <w:style w:type="paragraph" w:customStyle="1" w:styleId="xl71">
    <w:name w:val="xl71"/>
    <w:basedOn w:val="Normal"/>
    <w:rsid w:val="009B2D9D"/>
    <w:pPr>
      <w:pBdr>
        <w:bottom w:val="single" w:sz="8" w:space="0" w:color="F7CAAC"/>
        <w:right w:val="single" w:sz="8" w:space="0" w:color="F7CAAC"/>
      </w:pBdr>
      <w:spacing w:before="100" w:beforeAutospacing="1" w:after="100" w:afterAutospacing="1" w:line="240" w:lineRule="auto"/>
      <w:jc w:val="center"/>
      <w:textAlignment w:val="center"/>
    </w:pPr>
    <w:rPr>
      <w:rFonts w:ascii="Calibri Light" w:eastAsia="Times New Roman" w:hAnsi="Calibri Light" w:cs="Calibri Light"/>
      <w:b/>
      <w:bCs/>
      <w:kern w:val="0"/>
      <w:sz w:val="16"/>
      <w:szCs w:val="16"/>
      <w:lang w:val="hr-HR" w:eastAsia="hr-HR"/>
      <w14:ligatures w14:val="none"/>
    </w:rPr>
  </w:style>
  <w:style w:type="table" w:customStyle="1" w:styleId="ListTable2-Accent522">
    <w:name w:val="List Table 2 - Accent 522"/>
    <w:basedOn w:val="TableNormal"/>
    <w:next w:val="TableNormal"/>
    <w:uiPriority w:val="47"/>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Accent1112">
    <w:name w:val="Grid Table 1 Light - Accent 1112"/>
    <w:basedOn w:val="TableNormal"/>
    <w:uiPriority w:val="46"/>
    <w:rsid w:val="009B2D9D"/>
    <w:pPr>
      <w:spacing w:before="100" w:beforeAutospacing="1" w:after="0" w:afterAutospacing="1" w:line="240" w:lineRule="auto"/>
      <w:jc w:val="both"/>
    </w:pPr>
    <w:rPr>
      <w:rFonts w:ascii="Calibri" w:eastAsia="Calibri" w:hAnsi="Calibri" w:cs="Times New Roman"/>
      <w:kern w:val="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MediumShading1-Accent51">
    <w:name w:val="Medium Shading 1 - Accent 51"/>
    <w:basedOn w:val="TableNormal"/>
    <w:next w:val="MediumShading1-Accent5"/>
    <w:uiPriority w:val="63"/>
    <w:locked/>
    <w:rsid w:val="009B2D9D"/>
    <w:pPr>
      <w:spacing w:before="100" w:beforeAutospacing="1" w:after="0" w:afterAutospacing="1" w:line="240" w:lineRule="auto"/>
      <w:jc w:val="both"/>
    </w:pPr>
    <w:rPr>
      <w:kern w:val="0"/>
      <w14:ligatures w14:val="none"/>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numbering" w:customStyle="1" w:styleId="NoList110">
    <w:name w:val="No List110"/>
    <w:next w:val="NoList"/>
    <w:uiPriority w:val="99"/>
    <w:semiHidden/>
    <w:unhideWhenUsed/>
    <w:rsid w:val="009B2D9D"/>
  </w:style>
  <w:style w:type="table" w:customStyle="1" w:styleId="LightShading-Accent116">
    <w:name w:val="Light Shading - Accent 116"/>
    <w:basedOn w:val="TableNormal"/>
    <w:uiPriority w:val="60"/>
    <w:rsid w:val="009B2D9D"/>
    <w:pPr>
      <w:spacing w:before="100" w:beforeAutospacing="1" w:after="0" w:afterAutospacing="1" w:line="240" w:lineRule="auto"/>
      <w:jc w:val="both"/>
    </w:pPr>
    <w:rPr>
      <w:rFonts w:ascii="Calibri" w:eastAsia="Times New Roman" w:hAnsi="Calibri" w:cs="Times New Roman"/>
      <w:color w:val="365F91"/>
      <w:kern w:val="0"/>
      <w:sz w:val="20"/>
      <w:szCs w:val="20"/>
      <w:lang w:val="sr-Latn-CS" w:eastAsia="sr-Latn-CS" w:bidi="en-US"/>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Radovan10">
    <w:name w:val="Radovan10"/>
    <w:uiPriority w:val="99"/>
    <w:rsid w:val="009B2D9D"/>
  </w:style>
  <w:style w:type="numbering" w:customStyle="1" w:styleId="Style17">
    <w:name w:val="Style17"/>
    <w:uiPriority w:val="99"/>
    <w:rsid w:val="009B2D9D"/>
  </w:style>
  <w:style w:type="numbering" w:customStyle="1" w:styleId="Style26">
    <w:name w:val="Style26"/>
    <w:uiPriority w:val="99"/>
    <w:rsid w:val="009B2D9D"/>
  </w:style>
  <w:style w:type="table" w:customStyle="1" w:styleId="LightShading-Accent35">
    <w:name w:val="Light Shading - Accent 35"/>
    <w:basedOn w:val="TableNormal"/>
    <w:next w:val="LightShading-Accent3"/>
    <w:uiPriority w:val="60"/>
    <w:rsid w:val="009B2D9D"/>
    <w:pPr>
      <w:spacing w:before="100" w:beforeAutospacing="1" w:after="0" w:afterAutospacing="1" w:line="240" w:lineRule="auto"/>
      <w:jc w:val="both"/>
    </w:pPr>
    <w:rPr>
      <w:rFonts w:ascii="Calibri" w:eastAsia="Calibri" w:hAnsi="Calibri" w:cs="Times New Roman"/>
      <w:color w:val="7B7B7B"/>
      <w:kern w:val="0"/>
      <w:sz w:val="20"/>
      <w:szCs w:val="20"/>
      <w14:ligatures w14:val="none"/>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LightList-Accent25">
    <w:name w:val="Light List - Accent 25"/>
    <w:basedOn w:val="TableNormal"/>
    <w:next w:val="LightList-Accent2"/>
    <w:uiPriority w:val="61"/>
    <w:rsid w:val="009B2D9D"/>
    <w:pPr>
      <w:spacing w:before="100" w:beforeAutospacing="1" w:after="0" w:afterAutospacing="1" w:line="240" w:lineRule="auto"/>
      <w:jc w:val="both"/>
    </w:pPr>
    <w:rPr>
      <w:rFonts w:eastAsia="Times New Roman"/>
      <w:kern w:val="0"/>
      <w:lang w:val="sr-Latn-CS" w:eastAsia="sr-Latn-CS"/>
      <w14:ligatures w14:val="none"/>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TableNormal16">
    <w:name w:val="Table Normal16"/>
    <w:uiPriority w:val="2"/>
    <w:semiHidden/>
    <w:unhideWhenUsed/>
    <w:qFormat/>
    <w:rsid w:val="009B2D9D"/>
    <w:pPr>
      <w:widowControl w:val="0"/>
      <w:spacing w:before="100" w:beforeAutospacing="1" w:after="0" w:afterAutospacing="1" w:line="240" w:lineRule="auto"/>
      <w:jc w:val="both"/>
    </w:pPr>
    <w:rPr>
      <w:kern w:val="0"/>
      <w14:ligatures w14:val="none"/>
    </w:rPr>
    <w:tblPr>
      <w:tblInd w:w="0" w:type="dxa"/>
      <w:tblCellMar>
        <w:top w:w="0" w:type="dxa"/>
        <w:left w:w="0" w:type="dxa"/>
        <w:bottom w:w="0" w:type="dxa"/>
        <w:right w:w="0" w:type="dxa"/>
      </w:tblCellMar>
    </w:tblPr>
  </w:style>
  <w:style w:type="numbering" w:customStyle="1" w:styleId="NoList1110">
    <w:name w:val="No List1110"/>
    <w:next w:val="NoList"/>
    <w:uiPriority w:val="99"/>
    <w:semiHidden/>
    <w:unhideWhenUsed/>
    <w:rsid w:val="009B2D9D"/>
  </w:style>
  <w:style w:type="numbering" w:customStyle="1" w:styleId="NoList11110">
    <w:name w:val="No List11110"/>
    <w:next w:val="NoList"/>
    <w:uiPriority w:val="99"/>
    <w:semiHidden/>
    <w:unhideWhenUsed/>
    <w:rsid w:val="009B2D9D"/>
  </w:style>
  <w:style w:type="table" w:customStyle="1" w:styleId="TableElegant5">
    <w:name w:val="Table Elegant5"/>
    <w:basedOn w:val="TableNormal"/>
    <w:next w:val="TableElegant"/>
    <w:rsid w:val="009B2D9D"/>
    <w:pPr>
      <w:spacing w:before="100" w:beforeAutospacing="1" w:after="0" w:afterAutospacing="1" w:line="240" w:lineRule="auto"/>
      <w:jc w:val="both"/>
    </w:pPr>
    <w:rPr>
      <w:rFonts w:ascii="Times New Roman" w:eastAsia="Times New Roman" w:hAnsi="Times New Roman" w:cs="Times New Roman"/>
      <w:kern w:val="0"/>
      <w:sz w:val="20"/>
      <w:szCs w:val="20"/>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NoList11118">
    <w:name w:val="No List11118"/>
    <w:next w:val="NoList"/>
    <w:uiPriority w:val="99"/>
    <w:semiHidden/>
    <w:unhideWhenUsed/>
    <w:rsid w:val="009B2D9D"/>
  </w:style>
  <w:style w:type="table" w:customStyle="1" w:styleId="TableNormal115">
    <w:name w:val="Table Normal115"/>
    <w:uiPriority w:val="2"/>
    <w:semiHidden/>
    <w:unhideWhenUsed/>
    <w:qFormat/>
    <w:rsid w:val="009B2D9D"/>
    <w:pPr>
      <w:widowControl w:val="0"/>
      <w:spacing w:before="100" w:beforeAutospacing="1" w:after="0" w:afterAutospacing="1" w:line="240" w:lineRule="auto"/>
      <w:jc w:val="both"/>
    </w:pPr>
    <w:rPr>
      <w:kern w:val="0"/>
      <w14:ligatures w14:val="none"/>
    </w:rPr>
    <w:tblPr>
      <w:tblInd w:w="0" w:type="dxa"/>
      <w:tblCellMar>
        <w:top w:w="0" w:type="dxa"/>
        <w:left w:w="0" w:type="dxa"/>
        <w:bottom w:w="0" w:type="dxa"/>
        <w:right w:w="0" w:type="dxa"/>
      </w:tblCellMar>
    </w:tblPr>
  </w:style>
  <w:style w:type="table" w:customStyle="1" w:styleId="PERstyle5">
    <w:name w:val="PER style5"/>
    <w:basedOn w:val="TableNormal"/>
    <w:uiPriority w:val="99"/>
    <w:rsid w:val="009B2D9D"/>
    <w:pPr>
      <w:spacing w:before="100" w:beforeAutospacing="1" w:after="0" w:afterAutospacing="1" w:line="240" w:lineRule="auto"/>
      <w:jc w:val="both"/>
    </w:pPr>
    <w:rPr>
      <w:kern w:val="0"/>
      <w:lang w:val="en-GB"/>
      <w14:ligatures w14:val="none"/>
    </w:rPr>
    <w:tblPr/>
  </w:style>
  <w:style w:type="table" w:customStyle="1" w:styleId="PlainTable415">
    <w:name w:val="Plain Table 415"/>
    <w:basedOn w:val="TableNormal"/>
    <w:uiPriority w:val="44"/>
    <w:rsid w:val="009B2D9D"/>
    <w:pPr>
      <w:spacing w:before="100" w:beforeAutospacing="1" w:after="0" w:afterAutospacing="1" w:line="240" w:lineRule="auto"/>
      <w:jc w:val="both"/>
    </w:pPr>
    <w:rPr>
      <w:kern w:val="0"/>
      <w:lang w:val="en-GB"/>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Style118">
    <w:name w:val="Style118"/>
    <w:uiPriority w:val="99"/>
    <w:rsid w:val="009B2D9D"/>
  </w:style>
  <w:style w:type="table" w:customStyle="1" w:styleId="GridTable1Light-Accent114">
    <w:name w:val="Grid Table 1 Light - Accent 114"/>
    <w:basedOn w:val="TableNormal"/>
    <w:uiPriority w:val="46"/>
    <w:rsid w:val="009B2D9D"/>
    <w:pPr>
      <w:spacing w:before="100" w:beforeAutospacing="1" w:after="0" w:afterAutospacing="1" w:line="240" w:lineRule="auto"/>
      <w:jc w:val="both"/>
    </w:pPr>
    <w:rPr>
      <w:rFonts w:ascii="Calibri" w:eastAsia="Calibri" w:hAnsi="Calibri" w:cs="Times New Roman"/>
      <w:kern w:val="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ListTable1Light-Accent114">
    <w:name w:val="List Table 1 Light - Accent 114"/>
    <w:basedOn w:val="TableNormal"/>
    <w:uiPriority w:val="46"/>
    <w:rsid w:val="009B2D9D"/>
    <w:pPr>
      <w:spacing w:before="100" w:beforeAutospacing="1" w:after="0" w:afterAutospacing="1" w:line="240" w:lineRule="auto"/>
      <w:jc w:val="both"/>
    </w:pPr>
    <w:rPr>
      <w:kern w:val="0"/>
      <w14:ligatures w14:val="none"/>
    </w:rPr>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114">
    <w:name w:val="Grid Table 5 Dark - Accent 114"/>
    <w:basedOn w:val="TableNormal"/>
    <w:uiPriority w:val="50"/>
    <w:rsid w:val="009B2D9D"/>
    <w:pPr>
      <w:spacing w:before="100" w:beforeAutospacing="1" w:after="0" w:afterAutospacing="1" w:line="240" w:lineRule="auto"/>
      <w:jc w:val="both"/>
    </w:pPr>
    <w:rPr>
      <w:kern w:val="0"/>
      <w:lang w:val="en-GB"/>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124">
    <w:name w:val="Grid Table 5 Dark - Accent 124"/>
    <w:basedOn w:val="TableNormal"/>
    <w:uiPriority w:val="50"/>
    <w:rsid w:val="009B2D9D"/>
    <w:pPr>
      <w:spacing w:before="100" w:beforeAutospacing="1" w:after="0" w:afterAutospacing="1" w:line="240" w:lineRule="auto"/>
      <w:jc w:val="both"/>
    </w:pPr>
    <w:rPr>
      <w:kern w:val="0"/>
      <w:lang w:val="en-GB"/>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ListTable4-Accent112">
    <w:name w:val="List Table 4 - Accent 112"/>
    <w:basedOn w:val="TableNormal"/>
    <w:uiPriority w:val="49"/>
    <w:rsid w:val="009B2D9D"/>
    <w:pPr>
      <w:spacing w:before="100" w:beforeAutospacing="1" w:after="0" w:afterAutospacing="1" w:line="240" w:lineRule="auto"/>
      <w:jc w:val="both"/>
    </w:pPr>
    <w:rPr>
      <w:kern w:val="0"/>
      <w:lang w:val="en-GB"/>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1Light-Accent413">
    <w:name w:val="List Table 1 Light - Accent 413"/>
    <w:basedOn w:val="TableNormal"/>
    <w:uiPriority w:val="46"/>
    <w:rsid w:val="009B2D9D"/>
    <w:pPr>
      <w:spacing w:before="100" w:beforeAutospacing="1" w:after="0" w:afterAutospacing="1" w:line="240" w:lineRule="auto"/>
      <w:jc w:val="both"/>
    </w:pPr>
    <w:rPr>
      <w:kern w:val="0"/>
      <w14:ligatures w14:val="none"/>
    </w:rPr>
    <w:tblPr>
      <w:tblStyleRowBandSize w:val="1"/>
      <w:tblStyleColBandSize w:val="1"/>
    </w:tblPr>
    <w:tblStylePr w:type="firstRow">
      <w:rPr>
        <w:b/>
        <w:bCs/>
      </w:rPr>
      <w:tblPr/>
      <w:tcPr>
        <w:tcBorders>
          <w:bottom w:val="single" w:sz="4" w:space="0" w:color="FFD966"/>
        </w:tcBorders>
      </w:tcPr>
    </w:tblStylePr>
    <w:tblStylePr w:type="lastRow">
      <w:rPr>
        <w:b/>
        <w:bCs/>
      </w:rPr>
      <w:tblPr/>
      <w:tcPr>
        <w:tcBorders>
          <w:top w:val="sing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4-Accent44">
    <w:name w:val="Grid Table 4 - Accent 44"/>
    <w:basedOn w:val="TableNormal"/>
    <w:next w:val="GridTable4-Accent4"/>
    <w:uiPriority w:val="49"/>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4-Accent42">
    <w:name w:val="List Table 4 - Accent 42"/>
    <w:basedOn w:val="TableNormal"/>
    <w:next w:val="ListTable4-Accent4"/>
    <w:uiPriority w:val="49"/>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tcBorders>
        <w:shd w:val="clear" w:color="auto" w:fill="FFC000"/>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5Dark-Accent16">
    <w:name w:val="Grid Table 5 Dark - Accent 16"/>
    <w:basedOn w:val="TableNormal"/>
    <w:next w:val="GridTable5Dark-Accent1"/>
    <w:uiPriority w:val="50"/>
    <w:rsid w:val="009B2D9D"/>
    <w:pPr>
      <w:spacing w:before="100" w:beforeAutospacing="1" w:after="0" w:afterAutospacing="1" w:line="240" w:lineRule="auto"/>
      <w:jc w:val="both"/>
    </w:pPr>
    <w:rPr>
      <w:kern w:val="0"/>
      <w:lang w:val="sr-Latn-RS"/>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4-Accent11">
    <w:name w:val="Grid Table 4 - Accent 11"/>
    <w:basedOn w:val="TableNormal"/>
    <w:next w:val="GridTable4-Accent1"/>
    <w:uiPriority w:val="49"/>
    <w:rsid w:val="009B2D9D"/>
    <w:pPr>
      <w:spacing w:before="100" w:beforeAutospacing="1" w:after="0" w:afterAutospacing="1" w:line="240" w:lineRule="auto"/>
      <w:jc w:val="both"/>
    </w:pPr>
    <w:rPr>
      <w:kern w:val="0"/>
      <w:lang w:val="en-GB"/>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7Colorful-Accent11">
    <w:name w:val="List Table 7 Colorful - Accent 11"/>
    <w:basedOn w:val="TableNormal"/>
    <w:next w:val="ListTable7Colorful-Accent1"/>
    <w:uiPriority w:val="52"/>
    <w:rsid w:val="009B2D9D"/>
    <w:pPr>
      <w:spacing w:before="100" w:beforeAutospacing="1" w:after="0" w:afterAutospacing="1" w:line="240" w:lineRule="auto"/>
      <w:jc w:val="both"/>
    </w:pPr>
    <w:rPr>
      <w:color w:val="2E74B5"/>
      <w:kern w:val="0"/>
      <w:lang w:val="en-GB"/>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5B9BD5"/>
        </w:tcBorders>
        <w:shd w:val="clear" w:color="auto" w:fill="FFFFFF"/>
      </w:tcPr>
    </w:tblStylePr>
    <w:tblStylePr w:type="lastRow">
      <w:rPr>
        <w:rFonts w:ascii="Calibri Light" w:eastAsia="Times New Roman"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5B9BD5"/>
        </w:tcBorders>
        <w:shd w:val="clear" w:color="auto" w:fill="FFFFFF"/>
      </w:tcPr>
    </w:tblStylePr>
    <w:tblStylePr w:type="lastCol">
      <w:rPr>
        <w:rFonts w:ascii="Calibri Light" w:eastAsia="Times New Roman"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6Colorful-Accent51">
    <w:name w:val="List Table 6 Colorful - Accent 51"/>
    <w:basedOn w:val="TableNormal"/>
    <w:next w:val="ListTable6Colorful-Accent5"/>
    <w:uiPriority w:val="51"/>
    <w:rsid w:val="009B2D9D"/>
    <w:pPr>
      <w:spacing w:before="100" w:beforeAutospacing="1" w:after="0" w:afterAutospacing="1" w:line="240" w:lineRule="auto"/>
      <w:jc w:val="both"/>
    </w:pPr>
    <w:rPr>
      <w:color w:val="2F5496"/>
      <w:kern w:val="0"/>
      <w:lang w:val="en-GB"/>
      <w14:ligatures w14:val="none"/>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7Colorful-Accent11">
    <w:name w:val="Grid Table 7 Colorful - Accent 11"/>
    <w:basedOn w:val="TableNormal"/>
    <w:next w:val="GridTable7Colorful-Accent1"/>
    <w:uiPriority w:val="52"/>
    <w:locked/>
    <w:rsid w:val="009B2D9D"/>
    <w:pPr>
      <w:spacing w:before="100" w:beforeAutospacing="1" w:after="0" w:afterAutospacing="1" w:line="240" w:lineRule="auto"/>
      <w:jc w:val="both"/>
    </w:pPr>
    <w:rPr>
      <w:color w:val="2E74B5"/>
      <w:kern w:val="0"/>
      <w:lang w:val="en-GB"/>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LightShading-Accent1114">
    <w:name w:val="Light Shading - Accent 1114"/>
    <w:basedOn w:val="TableNormal"/>
    <w:uiPriority w:val="60"/>
    <w:rsid w:val="009B2D9D"/>
    <w:pPr>
      <w:spacing w:before="100" w:beforeAutospacing="1" w:after="0" w:afterAutospacing="1" w:line="240" w:lineRule="auto"/>
      <w:jc w:val="both"/>
    </w:pPr>
    <w:rPr>
      <w:rFonts w:ascii="Calibri" w:eastAsia="Times New Roman" w:hAnsi="Calibri" w:cs="Times New Roman"/>
      <w:color w:val="365F91"/>
      <w:kern w:val="0"/>
      <w:sz w:val="20"/>
      <w:szCs w:val="20"/>
      <w:lang w:val="sr-Latn-CS" w:eastAsia="sr-Latn-CS" w:bidi="en-US"/>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Table6Colorful-Accent12">
    <w:name w:val="List Table 6 Colorful - Accent 12"/>
    <w:basedOn w:val="TableNormal"/>
    <w:next w:val="ListTable6Colorful-Accent1"/>
    <w:uiPriority w:val="51"/>
    <w:rsid w:val="009B2D9D"/>
    <w:pPr>
      <w:spacing w:before="100" w:beforeAutospacing="1" w:after="0" w:afterAutospacing="1" w:line="240" w:lineRule="auto"/>
      <w:jc w:val="both"/>
    </w:pPr>
    <w:rPr>
      <w:color w:val="2E74B5"/>
      <w:kern w:val="0"/>
      <w:lang w:val="en-GB"/>
      <w14:ligatures w14:val="none"/>
    </w:rPr>
    <w:tblPr>
      <w:tblStyleRowBandSize w:val="1"/>
      <w:tblStyleColBandSize w:val="1"/>
      <w:tblBorders>
        <w:top w:val="single" w:sz="4" w:space="0" w:color="5B9BD5"/>
        <w:bottom w:val="single" w:sz="4" w:space="0" w:color="5B9BD5"/>
      </w:tblBorders>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6Colorful-Accent111">
    <w:name w:val="List Table 6 Colorful - Accent 111"/>
    <w:basedOn w:val="TableNormal"/>
    <w:next w:val="ListTable6Colorful-Accent1"/>
    <w:uiPriority w:val="51"/>
    <w:rsid w:val="009B2D9D"/>
    <w:pPr>
      <w:spacing w:before="100" w:beforeAutospacing="1" w:after="0" w:afterAutospacing="1" w:line="240" w:lineRule="auto"/>
      <w:jc w:val="both"/>
    </w:pPr>
    <w:rPr>
      <w:color w:val="2E74B5"/>
      <w:kern w:val="0"/>
      <w:lang w:val="en-GB"/>
      <w14:ligatures w14:val="none"/>
    </w:rPr>
    <w:tblPr>
      <w:tblStyleRowBandSize w:val="1"/>
      <w:tblStyleColBandSize w:val="1"/>
      <w:tblBorders>
        <w:top w:val="single" w:sz="4" w:space="0" w:color="5B9BD5"/>
        <w:bottom w:val="single" w:sz="4" w:space="0" w:color="5B9BD5"/>
      </w:tblBorders>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1Light-Accent53">
    <w:name w:val="Grid Table 1 Light - Accent 53"/>
    <w:basedOn w:val="TableNormal"/>
    <w:next w:val="GridTable1Light-Accent5"/>
    <w:uiPriority w:val="46"/>
    <w:rsid w:val="009B2D9D"/>
    <w:pPr>
      <w:spacing w:before="100" w:beforeAutospacing="1" w:after="0" w:afterAutospacing="1" w:line="240" w:lineRule="auto"/>
      <w:jc w:val="both"/>
    </w:pPr>
    <w:rPr>
      <w:kern w:val="0"/>
      <w:lang w:val="en-GB"/>
      <w14:ligatures w14:val="none"/>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LightShading-Accent1122">
    <w:name w:val="Light Shading - Accent 1122"/>
    <w:basedOn w:val="TableNormal"/>
    <w:uiPriority w:val="60"/>
    <w:rsid w:val="009B2D9D"/>
    <w:pPr>
      <w:spacing w:before="100" w:beforeAutospacing="1" w:after="0" w:afterAutospacing="1" w:line="240" w:lineRule="auto"/>
      <w:jc w:val="both"/>
    </w:pPr>
    <w:rPr>
      <w:color w:val="2E74B5"/>
      <w:kern w:val="0"/>
      <w:lang w:val="en-GB"/>
      <w14:ligatures w14:val="none"/>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MediumGrid3-Accent12">
    <w:name w:val="Medium Grid 3 - Accent 12"/>
    <w:basedOn w:val="TableNormal"/>
    <w:next w:val="MediumGrid3-Accent1"/>
    <w:uiPriority w:val="69"/>
    <w:rsid w:val="009B2D9D"/>
    <w:pPr>
      <w:spacing w:before="100" w:beforeAutospacing="1" w:after="0" w:afterAutospacing="1" w:line="240" w:lineRule="auto"/>
      <w:jc w:val="both"/>
    </w:pPr>
    <w:rPr>
      <w:kern w:val="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numbering" w:customStyle="1" w:styleId="NoList37">
    <w:name w:val="No List37"/>
    <w:next w:val="NoList"/>
    <w:uiPriority w:val="99"/>
    <w:semiHidden/>
    <w:unhideWhenUsed/>
    <w:rsid w:val="009B2D9D"/>
  </w:style>
  <w:style w:type="numbering" w:customStyle="1" w:styleId="Radovan17">
    <w:name w:val="Radovan17"/>
    <w:uiPriority w:val="99"/>
    <w:rsid w:val="009B2D9D"/>
  </w:style>
  <w:style w:type="numbering" w:customStyle="1" w:styleId="Style217">
    <w:name w:val="Style217"/>
    <w:uiPriority w:val="99"/>
    <w:rsid w:val="009B2D9D"/>
  </w:style>
  <w:style w:type="numbering" w:customStyle="1" w:styleId="NoList128">
    <w:name w:val="No List128"/>
    <w:next w:val="NoList"/>
    <w:uiPriority w:val="99"/>
    <w:semiHidden/>
    <w:unhideWhenUsed/>
    <w:rsid w:val="009B2D9D"/>
  </w:style>
  <w:style w:type="numbering" w:customStyle="1" w:styleId="NoList1128">
    <w:name w:val="No List1128"/>
    <w:next w:val="NoList"/>
    <w:uiPriority w:val="99"/>
    <w:semiHidden/>
    <w:unhideWhenUsed/>
    <w:rsid w:val="009B2D9D"/>
  </w:style>
  <w:style w:type="numbering" w:customStyle="1" w:styleId="Style1117">
    <w:name w:val="Style1117"/>
    <w:uiPriority w:val="99"/>
    <w:rsid w:val="009B2D9D"/>
  </w:style>
  <w:style w:type="table" w:customStyle="1" w:styleId="GridTable6Colorful-Accent514">
    <w:name w:val="Grid Table 6 Colorful - Accent 514"/>
    <w:basedOn w:val="TableNormal"/>
    <w:uiPriority w:val="51"/>
    <w:rsid w:val="009B2D9D"/>
    <w:pPr>
      <w:spacing w:before="100" w:beforeAutospacing="1" w:after="0" w:afterAutospacing="1" w:line="240" w:lineRule="auto"/>
      <w:jc w:val="both"/>
    </w:pPr>
    <w:rPr>
      <w:color w:val="2F5496"/>
      <w:kern w:val="0"/>
      <w:lang w:val="en-GB"/>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numbering" w:customStyle="1" w:styleId="NoList218">
    <w:name w:val="No List218"/>
    <w:next w:val="NoList"/>
    <w:uiPriority w:val="99"/>
    <w:semiHidden/>
    <w:unhideWhenUsed/>
    <w:rsid w:val="009B2D9D"/>
  </w:style>
  <w:style w:type="numbering" w:customStyle="1" w:styleId="Radovan114">
    <w:name w:val="Radovan114"/>
    <w:uiPriority w:val="99"/>
    <w:rsid w:val="009B2D9D"/>
  </w:style>
  <w:style w:type="numbering" w:customStyle="1" w:styleId="Style126">
    <w:name w:val="Style126"/>
    <w:uiPriority w:val="99"/>
    <w:rsid w:val="009B2D9D"/>
  </w:style>
  <w:style w:type="numbering" w:customStyle="1" w:styleId="Style2114">
    <w:name w:val="Style2114"/>
    <w:uiPriority w:val="99"/>
    <w:rsid w:val="009B2D9D"/>
  </w:style>
  <w:style w:type="numbering" w:customStyle="1" w:styleId="NoList1217">
    <w:name w:val="No List1217"/>
    <w:next w:val="NoList"/>
    <w:uiPriority w:val="99"/>
    <w:semiHidden/>
    <w:unhideWhenUsed/>
    <w:rsid w:val="009B2D9D"/>
  </w:style>
  <w:style w:type="numbering" w:customStyle="1" w:styleId="NoList11217">
    <w:name w:val="No List11217"/>
    <w:next w:val="NoList"/>
    <w:uiPriority w:val="99"/>
    <w:semiHidden/>
    <w:unhideWhenUsed/>
    <w:rsid w:val="009B2D9D"/>
  </w:style>
  <w:style w:type="numbering" w:customStyle="1" w:styleId="NoList111117">
    <w:name w:val="No List111117"/>
    <w:next w:val="NoList"/>
    <w:uiPriority w:val="99"/>
    <w:semiHidden/>
    <w:unhideWhenUsed/>
    <w:rsid w:val="009B2D9D"/>
  </w:style>
  <w:style w:type="numbering" w:customStyle="1" w:styleId="NoList2117">
    <w:name w:val="No List2117"/>
    <w:next w:val="NoList"/>
    <w:uiPriority w:val="99"/>
    <w:semiHidden/>
    <w:unhideWhenUsed/>
    <w:rsid w:val="009B2D9D"/>
  </w:style>
  <w:style w:type="numbering" w:customStyle="1" w:styleId="NoList1111114">
    <w:name w:val="No List1111114"/>
    <w:next w:val="NoList"/>
    <w:uiPriority w:val="99"/>
    <w:semiHidden/>
    <w:unhideWhenUsed/>
    <w:rsid w:val="009B2D9D"/>
  </w:style>
  <w:style w:type="table" w:customStyle="1" w:styleId="TableGrid214">
    <w:name w:val="Table Grid214"/>
    <w:basedOn w:val="TableNormal"/>
    <w:next w:val="TableGrid"/>
    <w:uiPriority w:val="59"/>
    <w:rsid w:val="009B2D9D"/>
    <w:pPr>
      <w:spacing w:before="100" w:beforeAutospacing="1" w:after="0" w:afterAutospacing="1" w:line="240" w:lineRule="auto"/>
      <w:jc w:val="both"/>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7">
    <w:name w:val="No List317"/>
    <w:next w:val="NoList"/>
    <w:uiPriority w:val="99"/>
    <w:semiHidden/>
    <w:unhideWhenUsed/>
    <w:rsid w:val="009B2D9D"/>
  </w:style>
  <w:style w:type="table" w:customStyle="1" w:styleId="LightShading-Accent315">
    <w:name w:val="Light Shading - Accent 315"/>
    <w:basedOn w:val="TableNormal"/>
    <w:next w:val="LightShading-Accent3"/>
    <w:uiPriority w:val="60"/>
    <w:rsid w:val="009B2D9D"/>
    <w:pPr>
      <w:spacing w:before="100" w:beforeAutospacing="1" w:after="0" w:afterAutospacing="1" w:line="240" w:lineRule="auto"/>
      <w:jc w:val="both"/>
    </w:pPr>
    <w:rPr>
      <w:rFonts w:ascii="Calibri" w:eastAsia="Calibri" w:hAnsi="Calibri" w:cs="Times New Roman"/>
      <w:color w:val="7B7B7B"/>
      <w:kern w:val="0"/>
      <w:sz w:val="20"/>
      <w:szCs w:val="20"/>
      <w14:ligatures w14:val="none"/>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LightList-Accent215">
    <w:name w:val="Light List - Accent 215"/>
    <w:basedOn w:val="TableNormal"/>
    <w:next w:val="LightList-Accent2"/>
    <w:uiPriority w:val="61"/>
    <w:rsid w:val="009B2D9D"/>
    <w:pPr>
      <w:spacing w:before="100" w:beforeAutospacing="1" w:after="0" w:afterAutospacing="1" w:line="240" w:lineRule="auto"/>
      <w:jc w:val="both"/>
    </w:pPr>
    <w:rPr>
      <w:rFonts w:eastAsia="Times New Roman"/>
      <w:kern w:val="0"/>
      <w:lang w:val="sr-Latn-CS" w:eastAsia="sr-Latn-CS"/>
      <w14:ligatures w14:val="none"/>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TableNormal124">
    <w:name w:val="Table Normal124"/>
    <w:uiPriority w:val="2"/>
    <w:semiHidden/>
    <w:unhideWhenUsed/>
    <w:qFormat/>
    <w:rsid w:val="009B2D9D"/>
    <w:pPr>
      <w:widowControl w:val="0"/>
      <w:spacing w:before="100" w:beforeAutospacing="1" w:after="0" w:afterAutospacing="1" w:line="240" w:lineRule="auto"/>
      <w:jc w:val="both"/>
    </w:pPr>
    <w:rPr>
      <w:kern w:val="0"/>
      <w14:ligatures w14:val="none"/>
    </w:rPr>
    <w:tblPr>
      <w:tblInd w:w="0" w:type="dxa"/>
      <w:tblCellMar>
        <w:top w:w="0" w:type="dxa"/>
        <w:left w:w="0" w:type="dxa"/>
        <w:bottom w:w="0" w:type="dxa"/>
        <w:right w:w="0" w:type="dxa"/>
      </w:tblCellMar>
    </w:tblPr>
  </w:style>
  <w:style w:type="numbering" w:customStyle="1" w:styleId="NoList12114">
    <w:name w:val="No List12114"/>
    <w:next w:val="NoList"/>
    <w:uiPriority w:val="99"/>
    <w:semiHidden/>
    <w:unhideWhenUsed/>
    <w:rsid w:val="009B2D9D"/>
  </w:style>
  <w:style w:type="numbering" w:customStyle="1" w:styleId="NoList112114">
    <w:name w:val="No List112114"/>
    <w:next w:val="NoList"/>
    <w:uiPriority w:val="99"/>
    <w:semiHidden/>
    <w:unhideWhenUsed/>
    <w:rsid w:val="009B2D9D"/>
  </w:style>
  <w:style w:type="table" w:customStyle="1" w:styleId="TableElegant14">
    <w:name w:val="Table Elegant14"/>
    <w:basedOn w:val="TableNormal"/>
    <w:next w:val="TableElegant"/>
    <w:rsid w:val="009B2D9D"/>
    <w:pPr>
      <w:spacing w:before="100" w:beforeAutospacing="1" w:after="0" w:afterAutospacing="1" w:line="240" w:lineRule="auto"/>
      <w:jc w:val="both"/>
    </w:pPr>
    <w:rPr>
      <w:rFonts w:ascii="Times New Roman" w:eastAsia="Times New Roman" w:hAnsi="Times New Roman" w:cs="Times New Roman"/>
      <w:kern w:val="0"/>
      <w:sz w:val="20"/>
      <w:szCs w:val="20"/>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NoList11127">
    <w:name w:val="No List11127"/>
    <w:next w:val="NoList"/>
    <w:uiPriority w:val="99"/>
    <w:semiHidden/>
    <w:unhideWhenUsed/>
    <w:rsid w:val="009B2D9D"/>
  </w:style>
  <w:style w:type="table" w:customStyle="1" w:styleId="TableNormal1114">
    <w:name w:val="Table Normal1114"/>
    <w:uiPriority w:val="2"/>
    <w:semiHidden/>
    <w:unhideWhenUsed/>
    <w:qFormat/>
    <w:rsid w:val="009B2D9D"/>
    <w:pPr>
      <w:widowControl w:val="0"/>
      <w:spacing w:before="100" w:beforeAutospacing="1" w:after="0" w:afterAutospacing="1" w:line="240" w:lineRule="auto"/>
      <w:jc w:val="both"/>
    </w:pPr>
    <w:rPr>
      <w:kern w:val="0"/>
      <w14:ligatures w14:val="none"/>
    </w:rPr>
    <w:tblPr>
      <w:tblInd w:w="0" w:type="dxa"/>
      <w:tblCellMar>
        <w:top w:w="0" w:type="dxa"/>
        <w:left w:w="0" w:type="dxa"/>
        <w:bottom w:w="0" w:type="dxa"/>
        <w:right w:w="0" w:type="dxa"/>
      </w:tblCellMar>
    </w:tblPr>
  </w:style>
  <w:style w:type="table" w:customStyle="1" w:styleId="PERstyle14">
    <w:name w:val="PER style14"/>
    <w:basedOn w:val="TableNormal"/>
    <w:uiPriority w:val="99"/>
    <w:rsid w:val="009B2D9D"/>
    <w:pPr>
      <w:spacing w:before="100" w:beforeAutospacing="1" w:after="0" w:afterAutospacing="1" w:line="240" w:lineRule="auto"/>
      <w:jc w:val="both"/>
    </w:pPr>
    <w:rPr>
      <w:kern w:val="0"/>
      <w14:ligatures w14:val="none"/>
    </w:rPr>
    <w:tblPr/>
  </w:style>
  <w:style w:type="table" w:customStyle="1" w:styleId="PlainTable4115">
    <w:name w:val="Plain Table 4115"/>
    <w:basedOn w:val="TableNormal"/>
    <w:uiPriority w:val="44"/>
    <w:rsid w:val="009B2D9D"/>
    <w:pPr>
      <w:spacing w:before="100" w:beforeAutospacing="1" w:after="0" w:afterAutospacing="1" w:line="240" w:lineRule="auto"/>
      <w:jc w:val="both"/>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21114">
    <w:name w:val="No List21114"/>
    <w:next w:val="NoList"/>
    <w:uiPriority w:val="99"/>
    <w:semiHidden/>
    <w:unhideWhenUsed/>
    <w:rsid w:val="009B2D9D"/>
  </w:style>
  <w:style w:type="table" w:customStyle="1" w:styleId="PlainTable216">
    <w:name w:val="Plain Table 216"/>
    <w:basedOn w:val="TableNormal"/>
    <w:uiPriority w:val="42"/>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Light16">
    <w:name w:val="Table Grid Light16"/>
    <w:basedOn w:val="TableNormal"/>
    <w:uiPriority w:val="40"/>
    <w:rsid w:val="009B2D9D"/>
    <w:pPr>
      <w:spacing w:before="100" w:beforeAutospacing="1" w:after="0" w:afterAutospacing="1" w:line="240" w:lineRule="auto"/>
      <w:jc w:val="both"/>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27">
    <w:name w:val="Table Grid Light27"/>
    <w:basedOn w:val="TableNormal"/>
    <w:uiPriority w:val="40"/>
    <w:rsid w:val="009B2D9D"/>
    <w:pPr>
      <w:spacing w:before="100" w:beforeAutospacing="1" w:after="0" w:afterAutospacing="1" w:line="240" w:lineRule="auto"/>
      <w:jc w:val="both"/>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Style35">
    <w:name w:val="Style35"/>
    <w:uiPriority w:val="99"/>
    <w:rsid w:val="009B2D9D"/>
  </w:style>
  <w:style w:type="table" w:customStyle="1" w:styleId="TableGridLight215">
    <w:name w:val="Table Grid Light215"/>
    <w:basedOn w:val="TableNormal"/>
    <w:uiPriority w:val="40"/>
    <w:rsid w:val="009B2D9D"/>
    <w:pPr>
      <w:spacing w:before="100" w:beforeAutospacing="1" w:after="0" w:afterAutospacing="1" w:line="240" w:lineRule="auto"/>
      <w:jc w:val="both"/>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46">
    <w:name w:val="No List46"/>
    <w:next w:val="NoList"/>
    <w:uiPriority w:val="99"/>
    <w:semiHidden/>
    <w:unhideWhenUsed/>
    <w:rsid w:val="009B2D9D"/>
  </w:style>
  <w:style w:type="numbering" w:customStyle="1" w:styleId="Radovan26">
    <w:name w:val="Radovan26"/>
    <w:uiPriority w:val="99"/>
    <w:rsid w:val="009B2D9D"/>
  </w:style>
  <w:style w:type="numbering" w:customStyle="1" w:styleId="Style136">
    <w:name w:val="Style136"/>
    <w:uiPriority w:val="99"/>
    <w:rsid w:val="009B2D9D"/>
  </w:style>
  <w:style w:type="numbering" w:customStyle="1" w:styleId="Style226">
    <w:name w:val="Style226"/>
    <w:uiPriority w:val="99"/>
    <w:rsid w:val="009B2D9D"/>
  </w:style>
  <w:style w:type="numbering" w:customStyle="1" w:styleId="NoList136">
    <w:name w:val="No List136"/>
    <w:next w:val="NoList"/>
    <w:uiPriority w:val="99"/>
    <w:semiHidden/>
    <w:unhideWhenUsed/>
    <w:rsid w:val="009B2D9D"/>
  </w:style>
  <w:style w:type="numbering" w:customStyle="1" w:styleId="NoList1136">
    <w:name w:val="No List1136"/>
    <w:next w:val="NoList"/>
    <w:uiPriority w:val="99"/>
    <w:semiHidden/>
    <w:unhideWhenUsed/>
    <w:rsid w:val="009B2D9D"/>
  </w:style>
  <w:style w:type="numbering" w:customStyle="1" w:styleId="NoList11136">
    <w:name w:val="No List11136"/>
    <w:next w:val="NoList"/>
    <w:uiPriority w:val="99"/>
    <w:semiHidden/>
    <w:unhideWhenUsed/>
    <w:rsid w:val="009B2D9D"/>
  </w:style>
  <w:style w:type="numbering" w:customStyle="1" w:styleId="Style11111">
    <w:name w:val="Style11111"/>
    <w:uiPriority w:val="99"/>
    <w:rsid w:val="009B2D9D"/>
  </w:style>
  <w:style w:type="numbering" w:customStyle="1" w:styleId="NoList226">
    <w:name w:val="No List226"/>
    <w:next w:val="NoList"/>
    <w:uiPriority w:val="99"/>
    <w:semiHidden/>
    <w:unhideWhenUsed/>
    <w:rsid w:val="009B2D9D"/>
  </w:style>
  <w:style w:type="table" w:customStyle="1" w:styleId="PlainTable2114">
    <w:name w:val="Plain Table 2114"/>
    <w:basedOn w:val="TableNormal"/>
    <w:uiPriority w:val="42"/>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Light114">
    <w:name w:val="Table Grid Light114"/>
    <w:basedOn w:val="TableNormal"/>
    <w:uiPriority w:val="40"/>
    <w:rsid w:val="009B2D9D"/>
    <w:pPr>
      <w:spacing w:before="100" w:beforeAutospacing="1" w:after="0" w:afterAutospacing="1" w:line="240" w:lineRule="auto"/>
      <w:jc w:val="both"/>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224">
    <w:name w:val="Table Grid Light224"/>
    <w:basedOn w:val="TableNormal"/>
    <w:uiPriority w:val="40"/>
    <w:rsid w:val="009B2D9D"/>
    <w:pPr>
      <w:spacing w:before="100" w:beforeAutospacing="1" w:after="0" w:afterAutospacing="1" w:line="240" w:lineRule="auto"/>
      <w:jc w:val="both"/>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Style317">
    <w:name w:val="Style317"/>
    <w:uiPriority w:val="99"/>
    <w:rsid w:val="009B2D9D"/>
  </w:style>
  <w:style w:type="numbering" w:customStyle="1" w:styleId="NoList111126">
    <w:name w:val="No List111126"/>
    <w:next w:val="NoList"/>
    <w:uiPriority w:val="99"/>
    <w:semiHidden/>
    <w:unhideWhenUsed/>
    <w:rsid w:val="009B2D9D"/>
  </w:style>
  <w:style w:type="numbering" w:customStyle="1" w:styleId="NoList3114">
    <w:name w:val="No List3114"/>
    <w:next w:val="NoList"/>
    <w:uiPriority w:val="99"/>
    <w:semiHidden/>
    <w:unhideWhenUsed/>
    <w:rsid w:val="009B2D9D"/>
  </w:style>
  <w:style w:type="numbering" w:customStyle="1" w:styleId="NoList1226">
    <w:name w:val="No List1226"/>
    <w:next w:val="NoList"/>
    <w:uiPriority w:val="99"/>
    <w:semiHidden/>
    <w:unhideWhenUsed/>
    <w:rsid w:val="009B2D9D"/>
  </w:style>
  <w:style w:type="numbering" w:customStyle="1" w:styleId="NoList11226">
    <w:name w:val="No List11226"/>
    <w:next w:val="NoList"/>
    <w:uiPriority w:val="99"/>
    <w:semiHidden/>
    <w:unhideWhenUsed/>
    <w:rsid w:val="009B2D9D"/>
  </w:style>
  <w:style w:type="numbering" w:customStyle="1" w:styleId="NoList111216">
    <w:name w:val="No List111216"/>
    <w:next w:val="NoList"/>
    <w:uiPriority w:val="99"/>
    <w:semiHidden/>
    <w:unhideWhenUsed/>
    <w:rsid w:val="009B2D9D"/>
  </w:style>
  <w:style w:type="numbering" w:customStyle="1" w:styleId="NoList2126">
    <w:name w:val="No List2126"/>
    <w:next w:val="NoList"/>
    <w:uiPriority w:val="99"/>
    <w:semiHidden/>
    <w:unhideWhenUsed/>
    <w:rsid w:val="009B2D9D"/>
  </w:style>
  <w:style w:type="numbering" w:customStyle="1" w:styleId="Style3113">
    <w:name w:val="Style3113"/>
    <w:uiPriority w:val="99"/>
    <w:rsid w:val="009B2D9D"/>
  </w:style>
  <w:style w:type="numbering" w:customStyle="1" w:styleId="NoList54">
    <w:name w:val="No List54"/>
    <w:next w:val="NoList"/>
    <w:uiPriority w:val="99"/>
    <w:semiHidden/>
    <w:unhideWhenUsed/>
    <w:rsid w:val="009B2D9D"/>
  </w:style>
  <w:style w:type="numbering" w:customStyle="1" w:styleId="Radovan34">
    <w:name w:val="Radovan34"/>
    <w:uiPriority w:val="99"/>
    <w:rsid w:val="009B2D9D"/>
  </w:style>
  <w:style w:type="numbering" w:customStyle="1" w:styleId="Style144">
    <w:name w:val="Style144"/>
    <w:uiPriority w:val="99"/>
    <w:rsid w:val="009B2D9D"/>
  </w:style>
  <w:style w:type="numbering" w:customStyle="1" w:styleId="Style234">
    <w:name w:val="Style234"/>
    <w:uiPriority w:val="99"/>
    <w:rsid w:val="009B2D9D"/>
  </w:style>
  <w:style w:type="numbering" w:customStyle="1" w:styleId="NoList144">
    <w:name w:val="No List144"/>
    <w:next w:val="NoList"/>
    <w:uiPriority w:val="99"/>
    <w:semiHidden/>
    <w:unhideWhenUsed/>
    <w:rsid w:val="009B2D9D"/>
  </w:style>
  <w:style w:type="numbering" w:customStyle="1" w:styleId="NoList1144">
    <w:name w:val="No List1144"/>
    <w:next w:val="NoList"/>
    <w:uiPriority w:val="99"/>
    <w:semiHidden/>
    <w:unhideWhenUsed/>
    <w:rsid w:val="009B2D9D"/>
  </w:style>
  <w:style w:type="numbering" w:customStyle="1" w:styleId="NoList11144">
    <w:name w:val="No List11144"/>
    <w:next w:val="NoList"/>
    <w:uiPriority w:val="99"/>
    <w:semiHidden/>
    <w:unhideWhenUsed/>
    <w:rsid w:val="009B2D9D"/>
  </w:style>
  <w:style w:type="numbering" w:customStyle="1" w:styleId="Style1124">
    <w:name w:val="Style1124"/>
    <w:uiPriority w:val="99"/>
    <w:rsid w:val="009B2D9D"/>
  </w:style>
  <w:style w:type="numbering" w:customStyle="1" w:styleId="NoList234">
    <w:name w:val="No List234"/>
    <w:next w:val="NoList"/>
    <w:uiPriority w:val="99"/>
    <w:semiHidden/>
    <w:unhideWhenUsed/>
    <w:rsid w:val="009B2D9D"/>
  </w:style>
  <w:style w:type="numbering" w:customStyle="1" w:styleId="Radovan124">
    <w:name w:val="Radovan124"/>
    <w:uiPriority w:val="99"/>
    <w:rsid w:val="009B2D9D"/>
  </w:style>
  <w:style w:type="numbering" w:customStyle="1" w:styleId="Style1214">
    <w:name w:val="Style1214"/>
    <w:uiPriority w:val="99"/>
    <w:rsid w:val="009B2D9D"/>
  </w:style>
  <w:style w:type="numbering" w:customStyle="1" w:styleId="Style2124">
    <w:name w:val="Style2124"/>
    <w:uiPriority w:val="99"/>
    <w:rsid w:val="009B2D9D"/>
  </w:style>
  <w:style w:type="numbering" w:customStyle="1" w:styleId="NoList1234">
    <w:name w:val="No List1234"/>
    <w:next w:val="NoList"/>
    <w:uiPriority w:val="99"/>
    <w:semiHidden/>
    <w:unhideWhenUsed/>
    <w:rsid w:val="009B2D9D"/>
  </w:style>
  <w:style w:type="numbering" w:customStyle="1" w:styleId="NoList11234">
    <w:name w:val="No List11234"/>
    <w:next w:val="NoList"/>
    <w:uiPriority w:val="99"/>
    <w:semiHidden/>
    <w:unhideWhenUsed/>
    <w:rsid w:val="009B2D9D"/>
  </w:style>
  <w:style w:type="numbering" w:customStyle="1" w:styleId="NoList111134">
    <w:name w:val="No List111134"/>
    <w:next w:val="NoList"/>
    <w:uiPriority w:val="99"/>
    <w:semiHidden/>
    <w:unhideWhenUsed/>
    <w:rsid w:val="009B2D9D"/>
  </w:style>
  <w:style w:type="numbering" w:customStyle="1" w:styleId="NoList2134">
    <w:name w:val="No List2134"/>
    <w:next w:val="NoList"/>
    <w:uiPriority w:val="99"/>
    <w:semiHidden/>
    <w:unhideWhenUsed/>
    <w:rsid w:val="009B2D9D"/>
  </w:style>
  <w:style w:type="numbering" w:customStyle="1" w:styleId="NoList1111124">
    <w:name w:val="No List1111124"/>
    <w:next w:val="NoList"/>
    <w:uiPriority w:val="99"/>
    <w:semiHidden/>
    <w:unhideWhenUsed/>
    <w:rsid w:val="009B2D9D"/>
  </w:style>
  <w:style w:type="numbering" w:customStyle="1" w:styleId="NoList324">
    <w:name w:val="No List324"/>
    <w:next w:val="NoList"/>
    <w:uiPriority w:val="99"/>
    <w:semiHidden/>
    <w:unhideWhenUsed/>
    <w:rsid w:val="009B2D9D"/>
  </w:style>
  <w:style w:type="numbering" w:customStyle="1" w:styleId="NoList12124">
    <w:name w:val="No List12124"/>
    <w:next w:val="NoList"/>
    <w:uiPriority w:val="99"/>
    <w:semiHidden/>
    <w:unhideWhenUsed/>
    <w:rsid w:val="009B2D9D"/>
  </w:style>
  <w:style w:type="numbering" w:customStyle="1" w:styleId="NoList112124">
    <w:name w:val="No List112124"/>
    <w:next w:val="NoList"/>
    <w:uiPriority w:val="99"/>
    <w:semiHidden/>
    <w:unhideWhenUsed/>
    <w:rsid w:val="009B2D9D"/>
  </w:style>
  <w:style w:type="numbering" w:customStyle="1" w:styleId="NoList111224">
    <w:name w:val="No List111224"/>
    <w:next w:val="NoList"/>
    <w:uiPriority w:val="99"/>
    <w:semiHidden/>
    <w:unhideWhenUsed/>
    <w:rsid w:val="009B2D9D"/>
  </w:style>
  <w:style w:type="numbering" w:customStyle="1" w:styleId="NoList21124">
    <w:name w:val="No List21124"/>
    <w:next w:val="NoList"/>
    <w:uiPriority w:val="99"/>
    <w:semiHidden/>
    <w:unhideWhenUsed/>
    <w:rsid w:val="009B2D9D"/>
  </w:style>
  <w:style w:type="numbering" w:customStyle="1" w:styleId="Style324">
    <w:name w:val="Style324"/>
    <w:uiPriority w:val="99"/>
    <w:rsid w:val="009B2D9D"/>
  </w:style>
  <w:style w:type="numbering" w:customStyle="1" w:styleId="NoList414">
    <w:name w:val="No List414"/>
    <w:next w:val="NoList"/>
    <w:uiPriority w:val="99"/>
    <w:semiHidden/>
    <w:unhideWhenUsed/>
    <w:rsid w:val="009B2D9D"/>
  </w:style>
  <w:style w:type="numbering" w:customStyle="1" w:styleId="Radovan214">
    <w:name w:val="Radovan214"/>
    <w:uiPriority w:val="99"/>
    <w:rsid w:val="009B2D9D"/>
  </w:style>
  <w:style w:type="numbering" w:customStyle="1" w:styleId="Style1314">
    <w:name w:val="Style1314"/>
    <w:uiPriority w:val="99"/>
    <w:rsid w:val="009B2D9D"/>
  </w:style>
  <w:style w:type="numbering" w:customStyle="1" w:styleId="Style2214">
    <w:name w:val="Style2214"/>
    <w:uiPriority w:val="99"/>
    <w:rsid w:val="009B2D9D"/>
  </w:style>
  <w:style w:type="numbering" w:customStyle="1" w:styleId="NoList1314">
    <w:name w:val="No List1314"/>
    <w:next w:val="NoList"/>
    <w:uiPriority w:val="99"/>
    <w:semiHidden/>
    <w:unhideWhenUsed/>
    <w:rsid w:val="009B2D9D"/>
  </w:style>
  <w:style w:type="numbering" w:customStyle="1" w:styleId="NoList11314">
    <w:name w:val="No List11314"/>
    <w:next w:val="NoList"/>
    <w:uiPriority w:val="99"/>
    <w:semiHidden/>
    <w:unhideWhenUsed/>
    <w:rsid w:val="009B2D9D"/>
  </w:style>
  <w:style w:type="numbering" w:customStyle="1" w:styleId="NoList111314">
    <w:name w:val="No List111314"/>
    <w:next w:val="NoList"/>
    <w:uiPriority w:val="99"/>
    <w:semiHidden/>
    <w:unhideWhenUsed/>
    <w:rsid w:val="009B2D9D"/>
  </w:style>
  <w:style w:type="numbering" w:customStyle="1" w:styleId="Style11124">
    <w:name w:val="Style11124"/>
    <w:uiPriority w:val="99"/>
    <w:rsid w:val="009B2D9D"/>
  </w:style>
  <w:style w:type="numbering" w:customStyle="1" w:styleId="NoList2214">
    <w:name w:val="No List2214"/>
    <w:next w:val="NoList"/>
    <w:uiPriority w:val="99"/>
    <w:semiHidden/>
    <w:unhideWhenUsed/>
    <w:rsid w:val="009B2D9D"/>
  </w:style>
  <w:style w:type="numbering" w:customStyle="1" w:styleId="Style3124">
    <w:name w:val="Style3124"/>
    <w:uiPriority w:val="99"/>
    <w:rsid w:val="009B2D9D"/>
  </w:style>
  <w:style w:type="numbering" w:customStyle="1" w:styleId="NoList1111214">
    <w:name w:val="No List1111214"/>
    <w:next w:val="NoList"/>
    <w:uiPriority w:val="99"/>
    <w:semiHidden/>
    <w:unhideWhenUsed/>
    <w:rsid w:val="009B2D9D"/>
  </w:style>
  <w:style w:type="numbering" w:customStyle="1" w:styleId="NoList3124">
    <w:name w:val="No List3124"/>
    <w:next w:val="NoList"/>
    <w:uiPriority w:val="99"/>
    <w:semiHidden/>
    <w:unhideWhenUsed/>
    <w:rsid w:val="009B2D9D"/>
  </w:style>
  <w:style w:type="numbering" w:customStyle="1" w:styleId="NoList12214">
    <w:name w:val="No List12214"/>
    <w:next w:val="NoList"/>
    <w:uiPriority w:val="99"/>
    <w:semiHidden/>
    <w:unhideWhenUsed/>
    <w:rsid w:val="009B2D9D"/>
  </w:style>
  <w:style w:type="numbering" w:customStyle="1" w:styleId="NoList112214">
    <w:name w:val="No List112214"/>
    <w:next w:val="NoList"/>
    <w:uiPriority w:val="99"/>
    <w:semiHidden/>
    <w:unhideWhenUsed/>
    <w:rsid w:val="009B2D9D"/>
  </w:style>
  <w:style w:type="numbering" w:customStyle="1" w:styleId="NoList1112114">
    <w:name w:val="No List1112114"/>
    <w:next w:val="NoList"/>
    <w:uiPriority w:val="99"/>
    <w:semiHidden/>
    <w:unhideWhenUsed/>
    <w:rsid w:val="009B2D9D"/>
  </w:style>
  <w:style w:type="numbering" w:customStyle="1" w:styleId="NoList21214">
    <w:name w:val="No List21214"/>
    <w:next w:val="NoList"/>
    <w:uiPriority w:val="99"/>
    <w:semiHidden/>
    <w:unhideWhenUsed/>
    <w:rsid w:val="009B2D9D"/>
  </w:style>
  <w:style w:type="numbering" w:customStyle="1" w:styleId="Style31114">
    <w:name w:val="Style31114"/>
    <w:uiPriority w:val="99"/>
    <w:rsid w:val="009B2D9D"/>
  </w:style>
  <w:style w:type="numbering" w:customStyle="1" w:styleId="NoList64">
    <w:name w:val="No List64"/>
    <w:next w:val="NoList"/>
    <w:uiPriority w:val="99"/>
    <w:semiHidden/>
    <w:unhideWhenUsed/>
    <w:rsid w:val="009B2D9D"/>
  </w:style>
  <w:style w:type="numbering" w:customStyle="1" w:styleId="Radovan44">
    <w:name w:val="Radovan44"/>
    <w:uiPriority w:val="99"/>
    <w:rsid w:val="009B2D9D"/>
  </w:style>
  <w:style w:type="numbering" w:customStyle="1" w:styleId="Style154">
    <w:name w:val="Style154"/>
    <w:uiPriority w:val="99"/>
    <w:rsid w:val="009B2D9D"/>
  </w:style>
  <w:style w:type="numbering" w:customStyle="1" w:styleId="Style244">
    <w:name w:val="Style244"/>
    <w:uiPriority w:val="99"/>
    <w:rsid w:val="009B2D9D"/>
  </w:style>
  <w:style w:type="numbering" w:customStyle="1" w:styleId="NoList154">
    <w:name w:val="No List154"/>
    <w:next w:val="NoList"/>
    <w:uiPriority w:val="99"/>
    <w:semiHidden/>
    <w:unhideWhenUsed/>
    <w:rsid w:val="009B2D9D"/>
  </w:style>
  <w:style w:type="numbering" w:customStyle="1" w:styleId="NoList1154">
    <w:name w:val="No List1154"/>
    <w:next w:val="NoList"/>
    <w:uiPriority w:val="99"/>
    <w:semiHidden/>
    <w:unhideWhenUsed/>
    <w:rsid w:val="009B2D9D"/>
  </w:style>
  <w:style w:type="numbering" w:customStyle="1" w:styleId="NoList11154">
    <w:name w:val="No List11154"/>
    <w:next w:val="NoList"/>
    <w:uiPriority w:val="99"/>
    <w:semiHidden/>
    <w:unhideWhenUsed/>
    <w:rsid w:val="009B2D9D"/>
  </w:style>
  <w:style w:type="numbering" w:customStyle="1" w:styleId="Style1134">
    <w:name w:val="Style1134"/>
    <w:uiPriority w:val="99"/>
    <w:rsid w:val="009B2D9D"/>
  </w:style>
  <w:style w:type="numbering" w:customStyle="1" w:styleId="NoList244">
    <w:name w:val="No List244"/>
    <w:next w:val="NoList"/>
    <w:uiPriority w:val="99"/>
    <w:semiHidden/>
    <w:unhideWhenUsed/>
    <w:rsid w:val="009B2D9D"/>
  </w:style>
  <w:style w:type="numbering" w:customStyle="1" w:styleId="Radovan131">
    <w:name w:val="Radovan131"/>
    <w:uiPriority w:val="99"/>
    <w:rsid w:val="009B2D9D"/>
  </w:style>
  <w:style w:type="numbering" w:customStyle="1" w:styleId="Style1224">
    <w:name w:val="Style1224"/>
    <w:uiPriority w:val="99"/>
    <w:rsid w:val="009B2D9D"/>
  </w:style>
  <w:style w:type="numbering" w:customStyle="1" w:styleId="Style2134">
    <w:name w:val="Style2134"/>
    <w:uiPriority w:val="99"/>
    <w:rsid w:val="009B2D9D"/>
  </w:style>
  <w:style w:type="numbering" w:customStyle="1" w:styleId="NoList1244">
    <w:name w:val="No List1244"/>
    <w:next w:val="NoList"/>
    <w:uiPriority w:val="99"/>
    <w:semiHidden/>
    <w:unhideWhenUsed/>
    <w:rsid w:val="009B2D9D"/>
  </w:style>
  <w:style w:type="numbering" w:customStyle="1" w:styleId="NoList11244">
    <w:name w:val="No List11244"/>
    <w:next w:val="NoList"/>
    <w:uiPriority w:val="99"/>
    <w:semiHidden/>
    <w:unhideWhenUsed/>
    <w:rsid w:val="009B2D9D"/>
  </w:style>
  <w:style w:type="numbering" w:customStyle="1" w:styleId="NoList111144">
    <w:name w:val="No List111144"/>
    <w:next w:val="NoList"/>
    <w:uiPriority w:val="99"/>
    <w:semiHidden/>
    <w:unhideWhenUsed/>
    <w:rsid w:val="009B2D9D"/>
  </w:style>
  <w:style w:type="numbering" w:customStyle="1" w:styleId="NoList2144">
    <w:name w:val="No List2144"/>
    <w:next w:val="NoList"/>
    <w:uiPriority w:val="99"/>
    <w:semiHidden/>
    <w:unhideWhenUsed/>
    <w:rsid w:val="009B2D9D"/>
  </w:style>
  <w:style w:type="numbering" w:customStyle="1" w:styleId="NoList1111134">
    <w:name w:val="No List1111134"/>
    <w:next w:val="NoList"/>
    <w:uiPriority w:val="99"/>
    <w:semiHidden/>
    <w:unhideWhenUsed/>
    <w:rsid w:val="009B2D9D"/>
  </w:style>
  <w:style w:type="numbering" w:customStyle="1" w:styleId="NoList334">
    <w:name w:val="No List334"/>
    <w:next w:val="NoList"/>
    <w:uiPriority w:val="99"/>
    <w:semiHidden/>
    <w:unhideWhenUsed/>
    <w:rsid w:val="009B2D9D"/>
  </w:style>
  <w:style w:type="numbering" w:customStyle="1" w:styleId="NoList12134">
    <w:name w:val="No List12134"/>
    <w:next w:val="NoList"/>
    <w:uiPriority w:val="99"/>
    <w:semiHidden/>
    <w:unhideWhenUsed/>
    <w:rsid w:val="009B2D9D"/>
  </w:style>
  <w:style w:type="numbering" w:customStyle="1" w:styleId="NoList112134">
    <w:name w:val="No List112134"/>
    <w:next w:val="NoList"/>
    <w:uiPriority w:val="99"/>
    <w:semiHidden/>
    <w:unhideWhenUsed/>
    <w:rsid w:val="009B2D9D"/>
  </w:style>
  <w:style w:type="numbering" w:customStyle="1" w:styleId="NoList111234">
    <w:name w:val="No List111234"/>
    <w:next w:val="NoList"/>
    <w:uiPriority w:val="99"/>
    <w:semiHidden/>
    <w:unhideWhenUsed/>
    <w:rsid w:val="009B2D9D"/>
  </w:style>
  <w:style w:type="numbering" w:customStyle="1" w:styleId="NoList21134">
    <w:name w:val="No List21134"/>
    <w:next w:val="NoList"/>
    <w:uiPriority w:val="99"/>
    <w:semiHidden/>
    <w:unhideWhenUsed/>
    <w:rsid w:val="009B2D9D"/>
  </w:style>
  <w:style w:type="numbering" w:customStyle="1" w:styleId="Style331">
    <w:name w:val="Style331"/>
    <w:uiPriority w:val="99"/>
    <w:rsid w:val="009B2D9D"/>
  </w:style>
  <w:style w:type="numbering" w:customStyle="1" w:styleId="NoList424">
    <w:name w:val="No List424"/>
    <w:next w:val="NoList"/>
    <w:uiPriority w:val="99"/>
    <w:semiHidden/>
    <w:unhideWhenUsed/>
    <w:rsid w:val="009B2D9D"/>
  </w:style>
  <w:style w:type="numbering" w:customStyle="1" w:styleId="Radovan221">
    <w:name w:val="Radovan221"/>
    <w:uiPriority w:val="99"/>
    <w:rsid w:val="009B2D9D"/>
  </w:style>
  <w:style w:type="numbering" w:customStyle="1" w:styleId="Style1321">
    <w:name w:val="Style1321"/>
    <w:uiPriority w:val="99"/>
    <w:rsid w:val="009B2D9D"/>
  </w:style>
  <w:style w:type="numbering" w:customStyle="1" w:styleId="Style2221">
    <w:name w:val="Style2221"/>
    <w:uiPriority w:val="99"/>
    <w:rsid w:val="009B2D9D"/>
  </w:style>
  <w:style w:type="numbering" w:customStyle="1" w:styleId="NoList1324">
    <w:name w:val="No List1324"/>
    <w:next w:val="NoList"/>
    <w:uiPriority w:val="99"/>
    <w:semiHidden/>
    <w:unhideWhenUsed/>
    <w:rsid w:val="009B2D9D"/>
  </w:style>
  <w:style w:type="numbering" w:customStyle="1" w:styleId="NoList11324">
    <w:name w:val="No List11324"/>
    <w:next w:val="NoList"/>
    <w:uiPriority w:val="99"/>
    <w:semiHidden/>
    <w:unhideWhenUsed/>
    <w:rsid w:val="009B2D9D"/>
  </w:style>
  <w:style w:type="numbering" w:customStyle="1" w:styleId="NoList111324">
    <w:name w:val="No List111324"/>
    <w:next w:val="NoList"/>
    <w:uiPriority w:val="99"/>
    <w:semiHidden/>
    <w:unhideWhenUsed/>
    <w:rsid w:val="009B2D9D"/>
  </w:style>
  <w:style w:type="numbering" w:customStyle="1" w:styleId="Style11131">
    <w:name w:val="Style11131"/>
    <w:uiPriority w:val="99"/>
    <w:rsid w:val="009B2D9D"/>
  </w:style>
  <w:style w:type="numbering" w:customStyle="1" w:styleId="NoList2224">
    <w:name w:val="No List2224"/>
    <w:next w:val="NoList"/>
    <w:uiPriority w:val="99"/>
    <w:semiHidden/>
    <w:unhideWhenUsed/>
    <w:rsid w:val="009B2D9D"/>
  </w:style>
  <w:style w:type="numbering" w:customStyle="1" w:styleId="Style3131">
    <w:name w:val="Style3131"/>
    <w:uiPriority w:val="99"/>
    <w:rsid w:val="009B2D9D"/>
  </w:style>
  <w:style w:type="numbering" w:customStyle="1" w:styleId="NoList1111224">
    <w:name w:val="No List1111224"/>
    <w:next w:val="NoList"/>
    <w:uiPriority w:val="99"/>
    <w:semiHidden/>
    <w:unhideWhenUsed/>
    <w:rsid w:val="009B2D9D"/>
  </w:style>
  <w:style w:type="numbering" w:customStyle="1" w:styleId="NoList3134">
    <w:name w:val="No List3134"/>
    <w:next w:val="NoList"/>
    <w:uiPriority w:val="99"/>
    <w:semiHidden/>
    <w:unhideWhenUsed/>
    <w:rsid w:val="009B2D9D"/>
  </w:style>
  <w:style w:type="numbering" w:customStyle="1" w:styleId="NoList12224">
    <w:name w:val="No List12224"/>
    <w:next w:val="NoList"/>
    <w:uiPriority w:val="99"/>
    <w:semiHidden/>
    <w:unhideWhenUsed/>
    <w:rsid w:val="009B2D9D"/>
  </w:style>
  <w:style w:type="numbering" w:customStyle="1" w:styleId="NoList112224">
    <w:name w:val="No List112224"/>
    <w:next w:val="NoList"/>
    <w:uiPriority w:val="99"/>
    <w:semiHidden/>
    <w:unhideWhenUsed/>
    <w:rsid w:val="009B2D9D"/>
  </w:style>
  <w:style w:type="numbering" w:customStyle="1" w:styleId="NoList1112124">
    <w:name w:val="No List1112124"/>
    <w:next w:val="NoList"/>
    <w:uiPriority w:val="99"/>
    <w:semiHidden/>
    <w:unhideWhenUsed/>
    <w:rsid w:val="009B2D9D"/>
  </w:style>
  <w:style w:type="numbering" w:customStyle="1" w:styleId="NoList21224">
    <w:name w:val="No List21224"/>
    <w:next w:val="NoList"/>
    <w:uiPriority w:val="99"/>
    <w:semiHidden/>
    <w:unhideWhenUsed/>
    <w:rsid w:val="009B2D9D"/>
  </w:style>
  <w:style w:type="numbering" w:customStyle="1" w:styleId="Style31121">
    <w:name w:val="Style31121"/>
    <w:uiPriority w:val="99"/>
    <w:rsid w:val="009B2D9D"/>
  </w:style>
  <w:style w:type="numbering" w:customStyle="1" w:styleId="Radovan51">
    <w:name w:val="Radovan51"/>
    <w:uiPriority w:val="99"/>
    <w:rsid w:val="009B2D9D"/>
  </w:style>
  <w:style w:type="table" w:customStyle="1" w:styleId="LightShading-Accent3114">
    <w:name w:val="Light Shading - Accent 3114"/>
    <w:basedOn w:val="TableNormal"/>
    <w:next w:val="LightShading-Accent3"/>
    <w:uiPriority w:val="60"/>
    <w:rsid w:val="009B2D9D"/>
    <w:pPr>
      <w:spacing w:before="100" w:beforeAutospacing="1" w:after="0" w:afterAutospacing="1" w:line="240" w:lineRule="auto"/>
      <w:jc w:val="both"/>
    </w:pPr>
    <w:rPr>
      <w:rFonts w:ascii="Calibri" w:eastAsia="Calibri" w:hAnsi="Calibri" w:cs="Times New Roman"/>
      <w:color w:val="7B7B7B"/>
      <w:kern w:val="0"/>
      <w:sz w:val="20"/>
      <w:szCs w:val="20"/>
      <w14:ligatures w14:val="none"/>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LightList-Accent2114">
    <w:name w:val="Light List - Accent 2114"/>
    <w:basedOn w:val="TableNormal"/>
    <w:next w:val="LightList-Accent2"/>
    <w:uiPriority w:val="61"/>
    <w:rsid w:val="009B2D9D"/>
    <w:pPr>
      <w:spacing w:before="100" w:beforeAutospacing="1" w:after="0" w:afterAutospacing="1" w:line="240" w:lineRule="auto"/>
      <w:jc w:val="both"/>
    </w:pPr>
    <w:rPr>
      <w:rFonts w:eastAsia="Times New Roman"/>
      <w:kern w:val="0"/>
      <w:lang w:val="sr-Latn-CS" w:eastAsia="sr-Latn-CS"/>
      <w14:ligatures w14:val="none"/>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PlainTable41114">
    <w:name w:val="Plain Table 41114"/>
    <w:basedOn w:val="TableNormal"/>
    <w:uiPriority w:val="44"/>
    <w:rsid w:val="009B2D9D"/>
    <w:pPr>
      <w:spacing w:before="100" w:beforeAutospacing="1" w:after="0" w:afterAutospacing="1" w:line="240" w:lineRule="auto"/>
      <w:jc w:val="both"/>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24">
    <w:name w:val="Plain Table 2124"/>
    <w:basedOn w:val="TableNormal"/>
    <w:uiPriority w:val="42"/>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Light124">
    <w:name w:val="Table Grid Light124"/>
    <w:basedOn w:val="TableNormal"/>
    <w:uiPriority w:val="40"/>
    <w:rsid w:val="009B2D9D"/>
    <w:pPr>
      <w:spacing w:before="100" w:beforeAutospacing="1" w:after="0" w:afterAutospacing="1" w:line="240" w:lineRule="auto"/>
      <w:jc w:val="both"/>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234">
    <w:name w:val="Table Grid Light234"/>
    <w:basedOn w:val="TableNormal"/>
    <w:uiPriority w:val="40"/>
    <w:rsid w:val="009B2D9D"/>
    <w:pPr>
      <w:spacing w:before="100" w:beforeAutospacing="1" w:after="0" w:afterAutospacing="1" w:line="240" w:lineRule="auto"/>
      <w:jc w:val="both"/>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Style341">
    <w:name w:val="Style341"/>
    <w:uiPriority w:val="99"/>
    <w:rsid w:val="009B2D9D"/>
  </w:style>
  <w:style w:type="table" w:customStyle="1" w:styleId="TableGridLight2114">
    <w:name w:val="Table Grid Light2114"/>
    <w:basedOn w:val="TableNormal"/>
    <w:uiPriority w:val="40"/>
    <w:rsid w:val="009B2D9D"/>
    <w:pPr>
      <w:spacing w:before="100" w:beforeAutospacing="1" w:after="0" w:afterAutospacing="1" w:line="240" w:lineRule="auto"/>
      <w:jc w:val="both"/>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2-Accent113">
    <w:name w:val="Grid Table 2 - Accent 113"/>
    <w:basedOn w:val="TableNormal"/>
    <w:uiPriority w:val="47"/>
    <w:rsid w:val="009B2D9D"/>
    <w:pPr>
      <w:spacing w:before="100" w:beforeAutospacing="1" w:after="0" w:afterAutospacing="1" w:line="240" w:lineRule="auto"/>
      <w:jc w:val="both"/>
    </w:pPr>
    <w:rPr>
      <w:kern w:val="0"/>
      <w14:ligatures w14:val="none"/>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513">
    <w:name w:val="Grid Table 4 - Accent 513"/>
    <w:basedOn w:val="TableNormal"/>
    <w:uiPriority w:val="49"/>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3-Accent513">
    <w:name w:val="Grid Table 3 - Accent 513"/>
    <w:basedOn w:val="TableNormal"/>
    <w:uiPriority w:val="48"/>
    <w:locked/>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ListTable2-Accent513">
    <w:name w:val="List Table 2 - Accent 513"/>
    <w:basedOn w:val="TableNormal"/>
    <w:uiPriority w:val="47"/>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6Colorful-Accent523">
    <w:name w:val="Grid Table 6 Colorful - Accent 523"/>
    <w:basedOn w:val="TableNormal"/>
    <w:uiPriority w:val="51"/>
    <w:rsid w:val="009B2D9D"/>
    <w:pPr>
      <w:spacing w:before="100" w:beforeAutospacing="1" w:after="0" w:afterAutospacing="1" w:line="240" w:lineRule="auto"/>
      <w:jc w:val="both"/>
    </w:pPr>
    <w:rPr>
      <w:color w:val="2F5496"/>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5Dark-Accent513">
    <w:name w:val="Grid Table 5 Dark - Accent 513"/>
    <w:basedOn w:val="TableNormal"/>
    <w:uiPriority w:val="50"/>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133">
    <w:name w:val="Grid Table 5 Dark - Accent 133"/>
    <w:basedOn w:val="TableNormal"/>
    <w:uiPriority w:val="50"/>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33">
    <w:name w:val="Table Grid Light33"/>
    <w:basedOn w:val="TableNormal"/>
    <w:uiPriority w:val="40"/>
    <w:rsid w:val="009B2D9D"/>
    <w:pPr>
      <w:spacing w:before="100" w:beforeAutospacing="1" w:after="0" w:afterAutospacing="1" w:line="240" w:lineRule="auto"/>
      <w:jc w:val="both"/>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113">
    <w:name w:val="Plain Table 113"/>
    <w:basedOn w:val="TableNormal"/>
    <w:uiPriority w:val="41"/>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213">
    <w:name w:val="Grid Table 1 Light - Accent 213"/>
    <w:basedOn w:val="TableNormal"/>
    <w:uiPriority w:val="46"/>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GridTable5Dark-Accent213">
    <w:name w:val="Grid Table 5 Dark - Accent 213"/>
    <w:basedOn w:val="TableNormal"/>
    <w:uiPriority w:val="50"/>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GridTable6Colorful-Accent213">
    <w:name w:val="Grid Table 6 Colorful - Accent 213"/>
    <w:basedOn w:val="TableNormal"/>
    <w:uiPriority w:val="51"/>
    <w:rsid w:val="009B2D9D"/>
    <w:pPr>
      <w:spacing w:before="100" w:beforeAutospacing="1" w:after="0" w:afterAutospacing="1" w:line="240" w:lineRule="auto"/>
      <w:jc w:val="both"/>
    </w:pPr>
    <w:rPr>
      <w:color w:val="C45911"/>
      <w:kern w:val="0"/>
      <w14:ligatures w14:val="none"/>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6Colorful-Accent413">
    <w:name w:val="Grid Table 6 Colorful - Accent 413"/>
    <w:basedOn w:val="TableNormal"/>
    <w:uiPriority w:val="51"/>
    <w:rsid w:val="009B2D9D"/>
    <w:pPr>
      <w:spacing w:before="100" w:beforeAutospacing="1" w:after="0" w:afterAutospacing="1" w:line="240" w:lineRule="auto"/>
      <w:jc w:val="both"/>
    </w:pPr>
    <w:rPr>
      <w:color w:val="BF8F00"/>
      <w:kern w:val="0"/>
      <w14:ligatures w14:val="none"/>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5Dark-Accent213">
    <w:name w:val="List Table 5 Dark - Accent 213"/>
    <w:basedOn w:val="TableNormal"/>
    <w:uiPriority w:val="50"/>
    <w:rsid w:val="009B2D9D"/>
    <w:pPr>
      <w:spacing w:before="100" w:beforeAutospacing="1" w:after="0" w:afterAutospacing="1" w:line="240" w:lineRule="auto"/>
      <w:jc w:val="both"/>
    </w:pPr>
    <w:rPr>
      <w:color w:val="FFFFFF"/>
      <w:kern w:val="0"/>
      <w14:ligatures w14:val="none"/>
    </w:rPr>
    <w:tblPr>
      <w:tblStyleRowBandSize w:val="1"/>
      <w:tblStyleColBandSize w:val="1"/>
      <w:tblBorders>
        <w:top w:val="single" w:sz="24" w:space="0" w:color="ED7D31"/>
        <w:left w:val="single" w:sz="24" w:space="0" w:color="ED7D31"/>
        <w:bottom w:val="single" w:sz="24" w:space="0" w:color="ED7D31"/>
        <w:right w:val="single" w:sz="24" w:space="0" w:color="ED7D31"/>
      </w:tblBorders>
    </w:tblPr>
    <w:tcPr>
      <w:shd w:val="clear" w:color="auto" w:fill="ED7D31"/>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3-Accent213">
    <w:name w:val="List Table 3 - Accent 213"/>
    <w:basedOn w:val="TableNormal"/>
    <w:uiPriority w:val="48"/>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ED7D31"/>
        <w:left w:val="single" w:sz="4" w:space="0" w:color="ED7D31"/>
        <w:bottom w:val="single" w:sz="4" w:space="0" w:color="ED7D31"/>
        <w:right w:val="single" w:sz="4" w:space="0" w:color="ED7D31"/>
      </w:tblBorders>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table" w:customStyle="1" w:styleId="ListTable3-Accent413">
    <w:name w:val="List Table 3 - Accent 413"/>
    <w:basedOn w:val="TableNormal"/>
    <w:uiPriority w:val="48"/>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ListTable6Colorful-Accent413">
    <w:name w:val="List Table 6 Colorful - Accent 413"/>
    <w:basedOn w:val="TableNormal"/>
    <w:uiPriority w:val="51"/>
    <w:rsid w:val="009B2D9D"/>
    <w:pPr>
      <w:spacing w:before="100" w:beforeAutospacing="1" w:after="0" w:afterAutospacing="1" w:line="240" w:lineRule="auto"/>
      <w:jc w:val="both"/>
    </w:pPr>
    <w:rPr>
      <w:color w:val="BF8F00"/>
      <w:kern w:val="0"/>
      <w14:ligatures w14:val="none"/>
    </w:rPr>
    <w:tblPr>
      <w:tblStyleRowBandSize w:val="1"/>
      <w:tblStyleColBandSize w:val="1"/>
      <w:tblBorders>
        <w:top w:val="single" w:sz="4" w:space="0" w:color="FFC000"/>
        <w:bottom w:val="single" w:sz="4" w:space="0" w:color="FFC000"/>
      </w:tblBorders>
    </w:tblPr>
    <w:tblStylePr w:type="firstRow">
      <w:rPr>
        <w:b/>
        <w:bCs/>
      </w:rPr>
      <w:tblPr/>
      <w:tcPr>
        <w:tcBorders>
          <w:bottom w:val="single" w:sz="4" w:space="0" w:color="FFC000"/>
        </w:tcBorders>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4-Accent413">
    <w:name w:val="Grid Table 4 - Accent 413"/>
    <w:basedOn w:val="TableNormal"/>
    <w:uiPriority w:val="49"/>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7Colorful-Accent413">
    <w:name w:val="List Table 7 Colorful - Accent 413"/>
    <w:basedOn w:val="TableNormal"/>
    <w:uiPriority w:val="52"/>
    <w:locked/>
    <w:rsid w:val="009B2D9D"/>
    <w:pPr>
      <w:spacing w:before="100" w:beforeAutospacing="1" w:after="0" w:afterAutospacing="1" w:line="240" w:lineRule="auto"/>
      <w:jc w:val="both"/>
    </w:pPr>
    <w:rPr>
      <w:color w:val="BF8F00"/>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FFC000"/>
        </w:tcBorders>
        <w:shd w:val="clear" w:color="auto" w:fill="FFFFFF"/>
      </w:tcPr>
    </w:tblStylePr>
    <w:tblStylePr w:type="lastRow">
      <w:rPr>
        <w:rFonts w:ascii="Calibri Light" w:eastAsia="Times New Roman" w:hAnsi="Calibri Light" w:cs="Times New Roman"/>
        <w:i/>
        <w:iCs/>
        <w:sz w:val="26"/>
      </w:rPr>
      <w:tblPr/>
      <w:tcPr>
        <w:tcBorders>
          <w:top w:val="single" w:sz="4" w:space="0" w:color="FFC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FFC000"/>
        </w:tcBorders>
        <w:shd w:val="clear" w:color="auto" w:fill="FFFFFF"/>
      </w:tcPr>
    </w:tblStylePr>
    <w:tblStylePr w:type="lastCol">
      <w:rPr>
        <w:rFonts w:ascii="Calibri Light" w:eastAsia="Times New Roman" w:hAnsi="Calibri Light" w:cs="Times New Roman"/>
        <w:i/>
        <w:iCs/>
        <w:sz w:val="26"/>
      </w:rPr>
      <w:tblPr/>
      <w:tcPr>
        <w:tcBorders>
          <w:left w:val="single" w:sz="4" w:space="0" w:color="FFC000"/>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5Dark-Accent413">
    <w:name w:val="List Table 5 Dark - Accent 413"/>
    <w:basedOn w:val="TableNormal"/>
    <w:uiPriority w:val="50"/>
    <w:rsid w:val="009B2D9D"/>
    <w:pPr>
      <w:spacing w:before="100" w:beforeAutospacing="1" w:after="0" w:afterAutospacing="1" w:line="240" w:lineRule="auto"/>
      <w:jc w:val="both"/>
    </w:pPr>
    <w:rPr>
      <w:color w:val="FFFFFF"/>
      <w:kern w:val="0"/>
      <w14:ligatures w14:val="none"/>
    </w:rPr>
    <w:tblPr>
      <w:tblStyleRowBandSize w:val="1"/>
      <w:tblStyleColBandSize w:val="1"/>
      <w:tblBorders>
        <w:top w:val="single" w:sz="24" w:space="0" w:color="FFC000"/>
        <w:left w:val="single" w:sz="24" w:space="0" w:color="FFC000"/>
        <w:bottom w:val="single" w:sz="24" w:space="0" w:color="FFC000"/>
        <w:right w:val="single" w:sz="24" w:space="0" w:color="FFC000"/>
      </w:tblBorders>
    </w:tblPr>
    <w:tcPr>
      <w:shd w:val="clear" w:color="auto" w:fill="FFC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GridTable2-Accent413">
    <w:name w:val="Grid Table 2 - Accent 413"/>
    <w:basedOn w:val="TableNormal"/>
    <w:uiPriority w:val="47"/>
    <w:rsid w:val="009B2D9D"/>
    <w:pPr>
      <w:spacing w:before="100" w:beforeAutospacing="1" w:after="0" w:afterAutospacing="1" w:line="240" w:lineRule="auto"/>
      <w:jc w:val="both"/>
    </w:pPr>
    <w:rPr>
      <w:kern w:val="0"/>
      <w14:ligatures w14:val="none"/>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7Colorful-Accent213">
    <w:name w:val="Grid Table 7 Colorful - Accent 213"/>
    <w:basedOn w:val="TableNormal"/>
    <w:uiPriority w:val="52"/>
    <w:locked/>
    <w:rsid w:val="009B2D9D"/>
    <w:pPr>
      <w:spacing w:before="100" w:beforeAutospacing="1" w:after="0" w:afterAutospacing="1" w:line="240" w:lineRule="auto"/>
      <w:jc w:val="both"/>
    </w:pPr>
    <w:rPr>
      <w:color w:val="C45911"/>
      <w:kern w:val="0"/>
      <w14:ligatures w14:val="none"/>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ListTable2-Accent413">
    <w:name w:val="List Table 2 - Accent 413"/>
    <w:basedOn w:val="TableNormal"/>
    <w:uiPriority w:val="47"/>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FFD966"/>
        <w:bottom w:val="single" w:sz="4" w:space="0" w:color="FFD966"/>
        <w:insideH w:val="single" w:sz="4" w:space="0" w:color="FFD9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1Light-Accent413">
    <w:name w:val="Grid Table 1 Light - Accent 413"/>
    <w:basedOn w:val="TableNormal"/>
    <w:uiPriority w:val="46"/>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ListTable2-Accent313">
    <w:name w:val="List Table 2 - Accent 313"/>
    <w:basedOn w:val="TableNormal"/>
    <w:uiPriority w:val="47"/>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2-Accent213">
    <w:name w:val="List Table 2 - Accent 213"/>
    <w:basedOn w:val="TableNormal"/>
    <w:uiPriority w:val="47"/>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F4B083"/>
        <w:bottom w:val="single" w:sz="4" w:space="0" w:color="F4B083"/>
        <w:insideH w:val="single" w:sz="4" w:space="0" w:color="F4B08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2-Accent113">
    <w:name w:val="List Table 2 - Accent 113"/>
    <w:basedOn w:val="TableNormal"/>
    <w:uiPriority w:val="47"/>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NoList72">
    <w:name w:val="No List72"/>
    <w:next w:val="NoList"/>
    <w:uiPriority w:val="99"/>
    <w:semiHidden/>
    <w:unhideWhenUsed/>
    <w:rsid w:val="009B2D9D"/>
  </w:style>
  <w:style w:type="numbering" w:customStyle="1" w:styleId="Radovan62">
    <w:name w:val="Radovan62"/>
    <w:uiPriority w:val="99"/>
    <w:rsid w:val="009B2D9D"/>
  </w:style>
  <w:style w:type="table" w:customStyle="1" w:styleId="LightShading-Accent322">
    <w:name w:val="Light Shading - Accent 322"/>
    <w:basedOn w:val="TableNormal"/>
    <w:next w:val="LightShading-Accent3"/>
    <w:uiPriority w:val="60"/>
    <w:rsid w:val="009B2D9D"/>
    <w:pPr>
      <w:spacing w:before="100" w:beforeAutospacing="1" w:after="0" w:afterAutospacing="1" w:line="240" w:lineRule="auto"/>
      <w:jc w:val="both"/>
    </w:pPr>
    <w:rPr>
      <w:rFonts w:ascii="Calibri" w:eastAsia="Calibri" w:hAnsi="Calibri" w:cs="Times New Roman"/>
      <w:color w:val="7B7B7B"/>
      <w:kern w:val="0"/>
      <w:sz w:val="20"/>
      <w:szCs w:val="20"/>
      <w14:ligatures w14:val="none"/>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LightList-Accent222">
    <w:name w:val="Light List - Accent 222"/>
    <w:basedOn w:val="TableNormal"/>
    <w:next w:val="LightList-Accent2"/>
    <w:uiPriority w:val="61"/>
    <w:rsid w:val="009B2D9D"/>
    <w:pPr>
      <w:spacing w:before="100" w:beforeAutospacing="1" w:after="0" w:afterAutospacing="1" w:line="240" w:lineRule="auto"/>
      <w:jc w:val="both"/>
    </w:pPr>
    <w:rPr>
      <w:rFonts w:eastAsia="Times New Roman"/>
      <w:kern w:val="0"/>
      <w:lang w:val="sr-Latn-CS" w:eastAsia="sr-Latn-CS"/>
      <w14:ligatures w14:val="none"/>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TableNormal132">
    <w:name w:val="Table Normal132"/>
    <w:uiPriority w:val="2"/>
    <w:semiHidden/>
    <w:unhideWhenUsed/>
    <w:qFormat/>
    <w:rsid w:val="009B2D9D"/>
    <w:pPr>
      <w:widowControl w:val="0"/>
      <w:spacing w:before="100" w:beforeAutospacing="1" w:after="0" w:afterAutospacing="1" w:line="240" w:lineRule="auto"/>
      <w:jc w:val="both"/>
    </w:pPr>
    <w:rPr>
      <w:kern w:val="0"/>
      <w14:ligatures w14:val="none"/>
    </w:rPr>
    <w:tblPr>
      <w:tblInd w:w="0" w:type="dxa"/>
      <w:tblCellMar>
        <w:top w:w="0" w:type="dxa"/>
        <w:left w:w="0" w:type="dxa"/>
        <w:bottom w:w="0" w:type="dxa"/>
        <w:right w:w="0" w:type="dxa"/>
      </w:tblCellMar>
    </w:tblPr>
  </w:style>
  <w:style w:type="numbering" w:customStyle="1" w:styleId="NoList162">
    <w:name w:val="No List162"/>
    <w:next w:val="NoList"/>
    <w:uiPriority w:val="99"/>
    <w:semiHidden/>
    <w:unhideWhenUsed/>
    <w:rsid w:val="009B2D9D"/>
  </w:style>
  <w:style w:type="numbering" w:customStyle="1" w:styleId="NoList1162">
    <w:name w:val="No List1162"/>
    <w:next w:val="NoList"/>
    <w:uiPriority w:val="99"/>
    <w:semiHidden/>
    <w:unhideWhenUsed/>
    <w:rsid w:val="009B2D9D"/>
  </w:style>
  <w:style w:type="table" w:customStyle="1" w:styleId="TableElegant22">
    <w:name w:val="Table Elegant22"/>
    <w:basedOn w:val="TableNormal"/>
    <w:next w:val="TableElegant"/>
    <w:rsid w:val="009B2D9D"/>
    <w:pPr>
      <w:spacing w:before="100" w:beforeAutospacing="1" w:after="0" w:afterAutospacing="1" w:line="240" w:lineRule="auto"/>
      <w:jc w:val="both"/>
    </w:pPr>
    <w:rPr>
      <w:rFonts w:ascii="Times New Roman" w:eastAsia="Times New Roman" w:hAnsi="Times New Roman" w:cs="Times New Roman"/>
      <w:kern w:val="0"/>
      <w:sz w:val="20"/>
      <w:szCs w:val="20"/>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NoList11162">
    <w:name w:val="No List11162"/>
    <w:next w:val="NoList"/>
    <w:uiPriority w:val="99"/>
    <w:semiHidden/>
    <w:unhideWhenUsed/>
    <w:rsid w:val="009B2D9D"/>
  </w:style>
  <w:style w:type="table" w:customStyle="1" w:styleId="TableNormal1122">
    <w:name w:val="Table Normal1122"/>
    <w:uiPriority w:val="2"/>
    <w:semiHidden/>
    <w:unhideWhenUsed/>
    <w:qFormat/>
    <w:rsid w:val="009B2D9D"/>
    <w:pPr>
      <w:widowControl w:val="0"/>
      <w:spacing w:before="100" w:beforeAutospacing="1" w:after="0" w:afterAutospacing="1" w:line="240" w:lineRule="auto"/>
      <w:jc w:val="both"/>
    </w:pPr>
    <w:rPr>
      <w:kern w:val="0"/>
      <w14:ligatures w14:val="none"/>
    </w:rPr>
    <w:tblPr>
      <w:tblInd w:w="0" w:type="dxa"/>
      <w:tblCellMar>
        <w:top w:w="0" w:type="dxa"/>
        <w:left w:w="0" w:type="dxa"/>
        <w:bottom w:w="0" w:type="dxa"/>
        <w:right w:w="0" w:type="dxa"/>
      </w:tblCellMar>
    </w:tblPr>
  </w:style>
  <w:style w:type="table" w:customStyle="1" w:styleId="PERstyle22">
    <w:name w:val="PER style22"/>
    <w:basedOn w:val="TableNormal"/>
    <w:uiPriority w:val="99"/>
    <w:rsid w:val="009B2D9D"/>
    <w:pPr>
      <w:spacing w:before="100" w:beforeAutospacing="1" w:after="0" w:afterAutospacing="1" w:line="240" w:lineRule="auto"/>
      <w:jc w:val="both"/>
    </w:pPr>
    <w:rPr>
      <w:kern w:val="0"/>
      <w:lang w:val="sr-Latn-ME"/>
      <w14:ligatures w14:val="none"/>
    </w:rPr>
    <w:tblPr/>
  </w:style>
  <w:style w:type="table" w:customStyle="1" w:styleId="PlainTable4122">
    <w:name w:val="Plain Table 4122"/>
    <w:basedOn w:val="TableNormal"/>
    <w:uiPriority w:val="44"/>
    <w:rsid w:val="009B2D9D"/>
    <w:pPr>
      <w:spacing w:before="100" w:beforeAutospacing="1" w:after="0" w:afterAutospacing="1" w:line="240" w:lineRule="auto"/>
      <w:jc w:val="both"/>
    </w:pPr>
    <w:rPr>
      <w:kern w:val="0"/>
      <w:lang w:val="sr-Latn-ME"/>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252">
    <w:name w:val="No List252"/>
    <w:next w:val="NoList"/>
    <w:uiPriority w:val="99"/>
    <w:semiHidden/>
    <w:unhideWhenUsed/>
    <w:rsid w:val="009B2D9D"/>
  </w:style>
  <w:style w:type="numbering" w:customStyle="1" w:styleId="NoList342">
    <w:name w:val="No List342"/>
    <w:next w:val="NoList"/>
    <w:uiPriority w:val="99"/>
    <w:semiHidden/>
    <w:unhideWhenUsed/>
    <w:rsid w:val="009B2D9D"/>
  </w:style>
  <w:style w:type="numbering" w:customStyle="1" w:styleId="Radovan142">
    <w:name w:val="Radovan142"/>
    <w:uiPriority w:val="99"/>
    <w:rsid w:val="009B2D9D"/>
  </w:style>
  <w:style w:type="numbering" w:customStyle="1" w:styleId="Style1142">
    <w:name w:val="Style1142"/>
    <w:uiPriority w:val="99"/>
    <w:rsid w:val="009B2D9D"/>
  </w:style>
  <w:style w:type="numbering" w:customStyle="1" w:styleId="Style2142">
    <w:name w:val="Style2142"/>
    <w:uiPriority w:val="99"/>
    <w:rsid w:val="009B2D9D"/>
  </w:style>
  <w:style w:type="numbering" w:customStyle="1" w:styleId="NoList1252">
    <w:name w:val="No List1252"/>
    <w:next w:val="NoList"/>
    <w:uiPriority w:val="99"/>
    <w:semiHidden/>
    <w:unhideWhenUsed/>
    <w:rsid w:val="009B2D9D"/>
  </w:style>
  <w:style w:type="numbering" w:customStyle="1" w:styleId="NoList11252">
    <w:name w:val="No List11252"/>
    <w:next w:val="NoList"/>
    <w:uiPriority w:val="99"/>
    <w:semiHidden/>
    <w:unhideWhenUsed/>
    <w:rsid w:val="009B2D9D"/>
  </w:style>
  <w:style w:type="numbering" w:customStyle="1" w:styleId="NoList111152">
    <w:name w:val="No List111152"/>
    <w:next w:val="NoList"/>
    <w:uiPriority w:val="99"/>
    <w:semiHidden/>
    <w:unhideWhenUsed/>
    <w:rsid w:val="009B2D9D"/>
  </w:style>
  <w:style w:type="numbering" w:customStyle="1" w:styleId="Style11142">
    <w:name w:val="Style11142"/>
    <w:uiPriority w:val="99"/>
    <w:rsid w:val="009B2D9D"/>
  </w:style>
  <w:style w:type="table" w:customStyle="1" w:styleId="ListTable1Light-Accent1112">
    <w:name w:val="List Table 1 Light - Accent 1112"/>
    <w:basedOn w:val="TableNormal"/>
    <w:uiPriority w:val="46"/>
    <w:rsid w:val="009B2D9D"/>
    <w:pPr>
      <w:spacing w:before="100" w:beforeAutospacing="1" w:after="0" w:afterAutospacing="1" w:line="240" w:lineRule="auto"/>
      <w:jc w:val="both"/>
    </w:pPr>
    <w:rPr>
      <w:kern w:val="0"/>
      <w14:ligatures w14:val="none"/>
    </w:rPr>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1112">
    <w:name w:val="Grid Table 5 Dark - Accent 1112"/>
    <w:basedOn w:val="TableNormal"/>
    <w:uiPriority w:val="50"/>
    <w:rsid w:val="009B2D9D"/>
    <w:pPr>
      <w:spacing w:before="100" w:beforeAutospacing="1" w:after="0" w:afterAutospacing="1" w:line="240" w:lineRule="auto"/>
      <w:jc w:val="both"/>
    </w:pPr>
    <w:rPr>
      <w:kern w:val="0"/>
      <w:lang w:val="en-GB"/>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1212">
    <w:name w:val="Grid Table 5 Dark - Accent 1212"/>
    <w:basedOn w:val="TableNormal"/>
    <w:uiPriority w:val="50"/>
    <w:rsid w:val="009B2D9D"/>
    <w:pPr>
      <w:spacing w:before="100" w:beforeAutospacing="1" w:after="0" w:afterAutospacing="1" w:line="240" w:lineRule="auto"/>
      <w:jc w:val="both"/>
    </w:pPr>
    <w:rPr>
      <w:kern w:val="0"/>
      <w:lang w:val="en-GB"/>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6Colorful-Accent5112">
    <w:name w:val="Grid Table 6 Colorful - Accent 5112"/>
    <w:basedOn w:val="TableNormal"/>
    <w:uiPriority w:val="51"/>
    <w:rsid w:val="009B2D9D"/>
    <w:pPr>
      <w:spacing w:before="100" w:beforeAutospacing="1" w:after="0" w:afterAutospacing="1" w:line="240" w:lineRule="auto"/>
      <w:jc w:val="both"/>
    </w:pPr>
    <w:rPr>
      <w:color w:val="2F5496"/>
      <w:kern w:val="0"/>
      <w:lang w:val="en-GB"/>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numbering" w:customStyle="1" w:styleId="NoList2152">
    <w:name w:val="No List2152"/>
    <w:next w:val="NoList"/>
    <w:uiPriority w:val="99"/>
    <w:semiHidden/>
    <w:unhideWhenUsed/>
    <w:rsid w:val="009B2D9D"/>
  </w:style>
  <w:style w:type="numbering" w:customStyle="1" w:styleId="Radovan1112">
    <w:name w:val="Radovan1112"/>
    <w:uiPriority w:val="99"/>
    <w:rsid w:val="009B2D9D"/>
  </w:style>
  <w:style w:type="numbering" w:customStyle="1" w:styleId="Style1232">
    <w:name w:val="Style1232"/>
    <w:uiPriority w:val="99"/>
    <w:rsid w:val="009B2D9D"/>
  </w:style>
  <w:style w:type="numbering" w:customStyle="1" w:styleId="Style21112">
    <w:name w:val="Style21112"/>
    <w:uiPriority w:val="99"/>
    <w:rsid w:val="009B2D9D"/>
  </w:style>
  <w:style w:type="numbering" w:customStyle="1" w:styleId="NoList12142">
    <w:name w:val="No List12142"/>
    <w:next w:val="NoList"/>
    <w:uiPriority w:val="99"/>
    <w:semiHidden/>
    <w:unhideWhenUsed/>
    <w:rsid w:val="009B2D9D"/>
  </w:style>
  <w:style w:type="numbering" w:customStyle="1" w:styleId="NoList112142">
    <w:name w:val="No List112142"/>
    <w:next w:val="NoList"/>
    <w:uiPriority w:val="99"/>
    <w:semiHidden/>
    <w:unhideWhenUsed/>
    <w:rsid w:val="009B2D9D"/>
  </w:style>
  <w:style w:type="numbering" w:customStyle="1" w:styleId="NoList1111142">
    <w:name w:val="No List1111142"/>
    <w:next w:val="NoList"/>
    <w:uiPriority w:val="99"/>
    <w:semiHidden/>
    <w:unhideWhenUsed/>
    <w:rsid w:val="009B2D9D"/>
  </w:style>
  <w:style w:type="numbering" w:customStyle="1" w:styleId="NoList21142">
    <w:name w:val="No List21142"/>
    <w:next w:val="NoList"/>
    <w:uiPriority w:val="99"/>
    <w:semiHidden/>
    <w:unhideWhenUsed/>
    <w:rsid w:val="009B2D9D"/>
  </w:style>
  <w:style w:type="table" w:customStyle="1" w:styleId="TableGrid222">
    <w:name w:val="Table Grid222"/>
    <w:basedOn w:val="TableNormal"/>
    <w:next w:val="TableGrid"/>
    <w:uiPriority w:val="59"/>
    <w:rsid w:val="009B2D9D"/>
    <w:pPr>
      <w:spacing w:before="100" w:beforeAutospacing="1" w:after="0" w:afterAutospacing="1" w:line="240" w:lineRule="auto"/>
      <w:jc w:val="both"/>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2">
    <w:name w:val="No List11111112"/>
    <w:next w:val="NoList"/>
    <w:uiPriority w:val="99"/>
    <w:semiHidden/>
    <w:unhideWhenUsed/>
    <w:rsid w:val="009B2D9D"/>
  </w:style>
  <w:style w:type="table" w:customStyle="1" w:styleId="TableGrid2112">
    <w:name w:val="Table Grid2112"/>
    <w:basedOn w:val="TableNormal"/>
    <w:next w:val="TableGrid"/>
    <w:uiPriority w:val="59"/>
    <w:rsid w:val="009B2D9D"/>
    <w:pPr>
      <w:spacing w:before="100" w:beforeAutospacing="1" w:after="0" w:afterAutospacing="1" w:line="240" w:lineRule="auto"/>
      <w:jc w:val="both"/>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2">
    <w:name w:val="Table Grid1312"/>
    <w:basedOn w:val="TableNormal"/>
    <w:next w:val="TableGrid"/>
    <w:uiPriority w:val="39"/>
    <w:rsid w:val="009B2D9D"/>
    <w:pPr>
      <w:spacing w:before="100" w:beforeAutospacing="1" w:after="0" w:afterAutospacing="1" w:line="240" w:lineRule="auto"/>
      <w:jc w:val="both"/>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42">
    <w:name w:val="No List3142"/>
    <w:next w:val="NoList"/>
    <w:uiPriority w:val="99"/>
    <w:semiHidden/>
    <w:unhideWhenUsed/>
    <w:rsid w:val="009B2D9D"/>
  </w:style>
  <w:style w:type="table" w:customStyle="1" w:styleId="TableGrid312">
    <w:name w:val="Table Grid312"/>
    <w:basedOn w:val="TableNormal"/>
    <w:next w:val="TableGrid"/>
    <w:uiPriority w:val="39"/>
    <w:rsid w:val="009B2D9D"/>
    <w:pPr>
      <w:spacing w:before="100" w:beforeAutospacing="1" w:after="0" w:afterAutospacing="1" w:line="240" w:lineRule="auto"/>
      <w:jc w:val="both"/>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112">
    <w:name w:val="Light Shading - Accent 11112"/>
    <w:basedOn w:val="TableNormal"/>
    <w:uiPriority w:val="60"/>
    <w:locked/>
    <w:rsid w:val="009B2D9D"/>
    <w:pPr>
      <w:spacing w:before="100" w:beforeAutospacing="1" w:after="0" w:afterAutospacing="1" w:line="240" w:lineRule="auto"/>
      <w:jc w:val="both"/>
    </w:pPr>
    <w:rPr>
      <w:rFonts w:ascii="Calibri" w:eastAsia="Times New Roman" w:hAnsi="Calibri" w:cs="Times New Roman"/>
      <w:color w:val="365F91"/>
      <w:kern w:val="0"/>
      <w:sz w:val="20"/>
      <w:szCs w:val="20"/>
      <w:lang w:val="sr-Latn-CS" w:eastAsia="sr-Latn-CS" w:bidi="en-US"/>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3122">
    <w:name w:val="Light Shading - Accent 3122"/>
    <w:basedOn w:val="TableNormal"/>
    <w:next w:val="LightShading-Accent3"/>
    <w:uiPriority w:val="60"/>
    <w:locked/>
    <w:rsid w:val="009B2D9D"/>
    <w:pPr>
      <w:spacing w:before="100" w:beforeAutospacing="1" w:after="0" w:afterAutospacing="1" w:line="240" w:lineRule="auto"/>
      <w:jc w:val="both"/>
    </w:pPr>
    <w:rPr>
      <w:rFonts w:ascii="Calibri" w:eastAsia="Calibri" w:hAnsi="Calibri" w:cs="Times New Roman"/>
      <w:color w:val="7B7B7B"/>
      <w:kern w:val="0"/>
      <w:sz w:val="20"/>
      <w:szCs w:val="20"/>
      <w14:ligatures w14:val="none"/>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LightList-Accent2122">
    <w:name w:val="Light List - Accent 2122"/>
    <w:basedOn w:val="TableNormal"/>
    <w:next w:val="LightList-Accent2"/>
    <w:uiPriority w:val="61"/>
    <w:rsid w:val="009B2D9D"/>
    <w:pPr>
      <w:spacing w:before="100" w:beforeAutospacing="1" w:after="0" w:afterAutospacing="1" w:line="240" w:lineRule="auto"/>
      <w:jc w:val="both"/>
    </w:pPr>
    <w:rPr>
      <w:rFonts w:eastAsia="Times New Roman"/>
      <w:kern w:val="0"/>
      <w:lang w:val="sr-Latn-CS" w:eastAsia="sr-Latn-CS"/>
      <w14:ligatures w14:val="none"/>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TableNormal1212">
    <w:name w:val="Table Normal1212"/>
    <w:uiPriority w:val="2"/>
    <w:semiHidden/>
    <w:unhideWhenUsed/>
    <w:qFormat/>
    <w:rsid w:val="009B2D9D"/>
    <w:pPr>
      <w:widowControl w:val="0"/>
      <w:spacing w:before="100" w:beforeAutospacing="1" w:after="0" w:afterAutospacing="1" w:line="240" w:lineRule="auto"/>
      <w:jc w:val="both"/>
    </w:pPr>
    <w:rPr>
      <w:kern w:val="0"/>
      <w14:ligatures w14:val="none"/>
    </w:rPr>
    <w:tblPr>
      <w:tblInd w:w="0" w:type="dxa"/>
      <w:tblCellMar>
        <w:top w:w="0" w:type="dxa"/>
        <w:left w:w="0" w:type="dxa"/>
        <w:bottom w:w="0" w:type="dxa"/>
        <w:right w:w="0" w:type="dxa"/>
      </w:tblCellMar>
    </w:tblPr>
  </w:style>
  <w:style w:type="numbering" w:customStyle="1" w:styleId="NoList121112">
    <w:name w:val="No List121112"/>
    <w:next w:val="NoList"/>
    <w:uiPriority w:val="99"/>
    <w:semiHidden/>
    <w:unhideWhenUsed/>
    <w:rsid w:val="009B2D9D"/>
  </w:style>
  <w:style w:type="numbering" w:customStyle="1" w:styleId="NoList1121112">
    <w:name w:val="No List1121112"/>
    <w:next w:val="NoList"/>
    <w:uiPriority w:val="99"/>
    <w:semiHidden/>
    <w:unhideWhenUsed/>
    <w:rsid w:val="009B2D9D"/>
  </w:style>
  <w:style w:type="table" w:customStyle="1" w:styleId="TableElegant112">
    <w:name w:val="Table Elegant112"/>
    <w:basedOn w:val="TableNormal"/>
    <w:next w:val="TableElegant"/>
    <w:rsid w:val="009B2D9D"/>
    <w:pPr>
      <w:spacing w:before="100" w:beforeAutospacing="1" w:after="0" w:afterAutospacing="1" w:line="240" w:lineRule="auto"/>
      <w:jc w:val="both"/>
    </w:pPr>
    <w:rPr>
      <w:rFonts w:ascii="Times New Roman" w:eastAsia="Times New Roman" w:hAnsi="Times New Roman" w:cs="Times New Roman"/>
      <w:kern w:val="0"/>
      <w:sz w:val="20"/>
      <w:szCs w:val="20"/>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NoList111242">
    <w:name w:val="No List111242"/>
    <w:next w:val="NoList"/>
    <w:uiPriority w:val="99"/>
    <w:semiHidden/>
    <w:unhideWhenUsed/>
    <w:rsid w:val="009B2D9D"/>
  </w:style>
  <w:style w:type="table" w:customStyle="1" w:styleId="TableNormal11112">
    <w:name w:val="Table Normal11112"/>
    <w:uiPriority w:val="2"/>
    <w:semiHidden/>
    <w:unhideWhenUsed/>
    <w:qFormat/>
    <w:rsid w:val="009B2D9D"/>
    <w:pPr>
      <w:widowControl w:val="0"/>
      <w:spacing w:before="100" w:beforeAutospacing="1" w:after="0" w:afterAutospacing="1" w:line="240" w:lineRule="auto"/>
      <w:jc w:val="both"/>
    </w:pPr>
    <w:rPr>
      <w:kern w:val="0"/>
      <w14:ligatures w14:val="none"/>
    </w:rPr>
    <w:tblPr>
      <w:tblInd w:w="0" w:type="dxa"/>
      <w:tblCellMar>
        <w:top w:w="0" w:type="dxa"/>
        <w:left w:w="0" w:type="dxa"/>
        <w:bottom w:w="0" w:type="dxa"/>
        <w:right w:w="0" w:type="dxa"/>
      </w:tblCellMar>
    </w:tblPr>
  </w:style>
  <w:style w:type="table" w:customStyle="1" w:styleId="PERstyle112">
    <w:name w:val="PER style112"/>
    <w:basedOn w:val="TableNormal"/>
    <w:uiPriority w:val="99"/>
    <w:rsid w:val="009B2D9D"/>
    <w:pPr>
      <w:spacing w:before="100" w:beforeAutospacing="1" w:after="0" w:afterAutospacing="1" w:line="240" w:lineRule="auto"/>
      <w:jc w:val="both"/>
    </w:pPr>
    <w:rPr>
      <w:kern w:val="0"/>
      <w14:ligatures w14:val="none"/>
    </w:rPr>
    <w:tblPr/>
  </w:style>
  <w:style w:type="table" w:customStyle="1" w:styleId="PlainTable41122">
    <w:name w:val="Plain Table 41122"/>
    <w:basedOn w:val="TableNormal"/>
    <w:uiPriority w:val="44"/>
    <w:rsid w:val="009B2D9D"/>
    <w:pPr>
      <w:spacing w:before="100" w:beforeAutospacing="1" w:after="0" w:afterAutospacing="1" w:line="240" w:lineRule="auto"/>
      <w:jc w:val="both"/>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211112">
    <w:name w:val="No List211112"/>
    <w:next w:val="NoList"/>
    <w:uiPriority w:val="99"/>
    <w:semiHidden/>
    <w:unhideWhenUsed/>
    <w:rsid w:val="009B2D9D"/>
  </w:style>
  <w:style w:type="table" w:customStyle="1" w:styleId="PlainTable2132">
    <w:name w:val="Plain Table 2132"/>
    <w:basedOn w:val="TableNormal"/>
    <w:uiPriority w:val="42"/>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Light132">
    <w:name w:val="Table Grid Light132"/>
    <w:basedOn w:val="TableNormal"/>
    <w:uiPriority w:val="40"/>
    <w:rsid w:val="009B2D9D"/>
    <w:pPr>
      <w:spacing w:before="100" w:beforeAutospacing="1" w:after="0" w:afterAutospacing="1" w:line="240" w:lineRule="auto"/>
      <w:jc w:val="both"/>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242">
    <w:name w:val="Table Grid Light242"/>
    <w:basedOn w:val="TableNormal"/>
    <w:uiPriority w:val="40"/>
    <w:rsid w:val="009B2D9D"/>
    <w:pPr>
      <w:spacing w:before="100" w:beforeAutospacing="1" w:after="0" w:afterAutospacing="1" w:line="240" w:lineRule="auto"/>
      <w:jc w:val="both"/>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2122">
    <w:name w:val="Table Grid Light2122"/>
    <w:basedOn w:val="TableNormal"/>
    <w:uiPriority w:val="40"/>
    <w:rsid w:val="009B2D9D"/>
    <w:pPr>
      <w:spacing w:before="100" w:beforeAutospacing="1" w:after="0" w:afterAutospacing="1" w:line="240" w:lineRule="auto"/>
      <w:jc w:val="both"/>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412">
    <w:name w:val="Table Grid412"/>
    <w:basedOn w:val="TableNormal"/>
    <w:next w:val="TableGrid"/>
    <w:uiPriority w:val="39"/>
    <w:rsid w:val="009B2D9D"/>
    <w:pPr>
      <w:spacing w:before="100" w:beforeAutospacing="1" w:after="0" w:afterAutospacing="1" w:line="240" w:lineRule="auto"/>
      <w:jc w:val="both"/>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2">
    <w:name w:val="No List432"/>
    <w:next w:val="NoList"/>
    <w:uiPriority w:val="99"/>
    <w:semiHidden/>
    <w:unhideWhenUsed/>
    <w:rsid w:val="009B2D9D"/>
  </w:style>
  <w:style w:type="numbering" w:customStyle="1" w:styleId="Radovan232">
    <w:name w:val="Radovan232"/>
    <w:uiPriority w:val="99"/>
    <w:rsid w:val="009B2D9D"/>
  </w:style>
  <w:style w:type="numbering" w:customStyle="1" w:styleId="Style1332">
    <w:name w:val="Style1332"/>
    <w:uiPriority w:val="99"/>
    <w:rsid w:val="009B2D9D"/>
  </w:style>
  <w:style w:type="numbering" w:customStyle="1" w:styleId="Style2232">
    <w:name w:val="Style2232"/>
    <w:uiPriority w:val="99"/>
    <w:rsid w:val="009B2D9D"/>
  </w:style>
  <w:style w:type="numbering" w:customStyle="1" w:styleId="NoList1332">
    <w:name w:val="No List1332"/>
    <w:next w:val="NoList"/>
    <w:uiPriority w:val="99"/>
    <w:semiHidden/>
    <w:unhideWhenUsed/>
    <w:rsid w:val="009B2D9D"/>
  </w:style>
  <w:style w:type="numbering" w:customStyle="1" w:styleId="NoList11332">
    <w:name w:val="No List11332"/>
    <w:next w:val="NoList"/>
    <w:uiPriority w:val="99"/>
    <w:semiHidden/>
    <w:unhideWhenUsed/>
    <w:rsid w:val="009B2D9D"/>
  </w:style>
  <w:style w:type="numbering" w:customStyle="1" w:styleId="NoList111332">
    <w:name w:val="No List111332"/>
    <w:next w:val="NoList"/>
    <w:uiPriority w:val="99"/>
    <w:semiHidden/>
    <w:unhideWhenUsed/>
    <w:rsid w:val="009B2D9D"/>
  </w:style>
  <w:style w:type="numbering" w:customStyle="1" w:styleId="NoList2232">
    <w:name w:val="No List2232"/>
    <w:next w:val="NoList"/>
    <w:uiPriority w:val="99"/>
    <w:semiHidden/>
    <w:unhideWhenUsed/>
    <w:rsid w:val="009B2D9D"/>
  </w:style>
  <w:style w:type="table" w:customStyle="1" w:styleId="PlainTable21112">
    <w:name w:val="Plain Table 21112"/>
    <w:basedOn w:val="TableNormal"/>
    <w:uiPriority w:val="42"/>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Light1112">
    <w:name w:val="Table Grid Light1112"/>
    <w:basedOn w:val="TableNormal"/>
    <w:uiPriority w:val="40"/>
    <w:rsid w:val="009B2D9D"/>
    <w:pPr>
      <w:spacing w:before="100" w:beforeAutospacing="1" w:after="0" w:afterAutospacing="1" w:line="240" w:lineRule="auto"/>
      <w:jc w:val="both"/>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2212">
    <w:name w:val="Table Grid Light2212"/>
    <w:basedOn w:val="TableNormal"/>
    <w:uiPriority w:val="40"/>
    <w:rsid w:val="009B2D9D"/>
    <w:pPr>
      <w:spacing w:before="100" w:beforeAutospacing="1" w:after="0" w:afterAutospacing="1" w:line="240" w:lineRule="auto"/>
      <w:jc w:val="both"/>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Style3142">
    <w:name w:val="Style3142"/>
    <w:uiPriority w:val="99"/>
    <w:rsid w:val="009B2D9D"/>
  </w:style>
  <w:style w:type="numbering" w:customStyle="1" w:styleId="NoList1111232">
    <w:name w:val="No List1111232"/>
    <w:next w:val="NoList"/>
    <w:uiPriority w:val="99"/>
    <w:semiHidden/>
    <w:unhideWhenUsed/>
    <w:rsid w:val="009B2D9D"/>
  </w:style>
  <w:style w:type="numbering" w:customStyle="1" w:styleId="NoList31112">
    <w:name w:val="No List31112"/>
    <w:next w:val="NoList"/>
    <w:uiPriority w:val="99"/>
    <w:semiHidden/>
    <w:unhideWhenUsed/>
    <w:rsid w:val="009B2D9D"/>
  </w:style>
  <w:style w:type="numbering" w:customStyle="1" w:styleId="NoList12232">
    <w:name w:val="No List12232"/>
    <w:next w:val="NoList"/>
    <w:uiPriority w:val="99"/>
    <w:semiHidden/>
    <w:unhideWhenUsed/>
    <w:rsid w:val="009B2D9D"/>
  </w:style>
  <w:style w:type="numbering" w:customStyle="1" w:styleId="NoList112232">
    <w:name w:val="No List112232"/>
    <w:next w:val="NoList"/>
    <w:uiPriority w:val="99"/>
    <w:semiHidden/>
    <w:unhideWhenUsed/>
    <w:rsid w:val="009B2D9D"/>
  </w:style>
  <w:style w:type="numbering" w:customStyle="1" w:styleId="NoList1112132">
    <w:name w:val="No List1112132"/>
    <w:next w:val="NoList"/>
    <w:uiPriority w:val="99"/>
    <w:semiHidden/>
    <w:unhideWhenUsed/>
    <w:rsid w:val="009B2D9D"/>
  </w:style>
  <w:style w:type="numbering" w:customStyle="1" w:styleId="NoList21232">
    <w:name w:val="No List21232"/>
    <w:next w:val="NoList"/>
    <w:uiPriority w:val="99"/>
    <w:semiHidden/>
    <w:unhideWhenUsed/>
    <w:rsid w:val="009B2D9D"/>
  </w:style>
  <w:style w:type="numbering" w:customStyle="1" w:styleId="NoList512">
    <w:name w:val="No List512"/>
    <w:next w:val="NoList"/>
    <w:uiPriority w:val="99"/>
    <w:semiHidden/>
    <w:unhideWhenUsed/>
    <w:rsid w:val="009B2D9D"/>
  </w:style>
  <w:style w:type="numbering" w:customStyle="1" w:styleId="Radovan312">
    <w:name w:val="Radovan312"/>
    <w:uiPriority w:val="99"/>
    <w:rsid w:val="009B2D9D"/>
  </w:style>
  <w:style w:type="numbering" w:customStyle="1" w:styleId="Style1412">
    <w:name w:val="Style1412"/>
    <w:uiPriority w:val="99"/>
    <w:rsid w:val="009B2D9D"/>
  </w:style>
  <w:style w:type="numbering" w:customStyle="1" w:styleId="Style2312">
    <w:name w:val="Style2312"/>
    <w:uiPriority w:val="99"/>
    <w:rsid w:val="009B2D9D"/>
  </w:style>
  <w:style w:type="numbering" w:customStyle="1" w:styleId="NoList1412">
    <w:name w:val="No List1412"/>
    <w:next w:val="NoList"/>
    <w:uiPriority w:val="99"/>
    <w:semiHidden/>
    <w:unhideWhenUsed/>
    <w:rsid w:val="009B2D9D"/>
  </w:style>
  <w:style w:type="numbering" w:customStyle="1" w:styleId="NoList11412">
    <w:name w:val="No List11412"/>
    <w:next w:val="NoList"/>
    <w:uiPriority w:val="99"/>
    <w:semiHidden/>
    <w:unhideWhenUsed/>
    <w:rsid w:val="009B2D9D"/>
  </w:style>
  <w:style w:type="numbering" w:customStyle="1" w:styleId="NoList111412">
    <w:name w:val="No List111412"/>
    <w:next w:val="NoList"/>
    <w:uiPriority w:val="99"/>
    <w:semiHidden/>
    <w:unhideWhenUsed/>
    <w:rsid w:val="009B2D9D"/>
  </w:style>
  <w:style w:type="numbering" w:customStyle="1" w:styleId="Style11212">
    <w:name w:val="Style11212"/>
    <w:uiPriority w:val="99"/>
    <w:rsid w:val="009B2D9D"/>
  </w:style>
  <w:style w:type="numbering" w:customStyle="1" w:styleId="NoList2312">
    <w:name w:val="No List2312"/>
    <w:next w:val="NoList"/>
    <w:uiPriority w:val="99"/>
    <w:semiHidden/>
    <w:unhideWhenUsed/>
    <w:rsid w:val="009B2D9D"/>
  </w:style>
  <w:style w:type="numbering" w:customStyle="1" w:styleId="Radovan1212">
    <w:name w:val="Radovan1212"/>
    <w:uiPriority w:val="99"/>
    <w:rsid w:val="009B2D9D"/>
  </w:style>
  <w:style w:type="numbering" w:customStyle="1" w:styleId="Style12112">
    <w:name w:val="Style12112"/>
    <w:uiPriority w:val="99"/>
    <w:rsid w:val="009B2D9D"/>
  </w:style>
  <w:style w:type="numbering" w:customStyle="1" w:styleId="Style21212">
    <w:name w:val="Style21212"/>
    <w:uiPriority w:val="99"/>
    <w:rsid w:val="009B2D9D"/>
  </w:style>
  <w:style w:type="numbering" w:customStyle="1" w:styleId="NoList12312">
    <w:name w:val="No List12312"/>
    <w:next w:val="NoList"/>
    <w:uiPriority w:val="99"/>
    <w:semiHidden/>
    <w:unhideWhenUsed/>
    <w:rsid w:val="009B2D9D"/>
  </w:style>
  <w:style w:type="numbering" w:customStyle="1" w:styleId="NoList112312">
    <w:name w:val="No List112312"/>
    <w:next w:val="NoList"/>
    <w:uiPriority w:val="99"/>
    <w:semiHidden/>
    <w:unhideWhenUsed/>
    <w:rsid w:val="009B2D9D"/>
  </w:style>
  <w:style w:type="numbering" w:customStyle="1" w:styleId="NoList1111312">
    <w:name w:val="No List1111312"/>
    <w:next w:val="NoList"/>
    <w:uiPriority w:val="99"/>
    <w:semiHidden/>
    <w:unhideWhenUsed/>
    <w:rsid w:val="009B2D9D"/>
  </w:style>
  <w:style w:type="numbering" w:customStyle="1" w:styleId="NoList21312">
    <w:name w:val="No List21312"/>
    <w:next w:val="NoList"/>
    <w:uiPriority w:val="99"/>
    <w:semiHidden/>
    <w:unhideWhenUsed/>
    <w:rsid w:val="009B2D9D"/>
  </w:style>
  <w:style w:type="numbering" w:customStyle="1" w:styleId="NoList11111212">
    <w:name w:val="No List11111212"/>
    <w:next w:val="NoList"/>
    <w:uiPriority w:val="99"/>
    <w:semiHidden/>
    <w:unhideWhenUsed/>
    <w:rsid w:val="009B2D9D"/>
  </w:style>
  <w:style w:type="numbering" w:customStyle="1" w:styleId="NoList3212">
    <w:name w:val="No List3212"/>
    <w:next w:val="NoList"/>
    <w:uiPriority w:val="99"/>
    <w:semiHidden/>
    <w:unhideWhenUsed/>
    <w:rsid w:val="009B2D9D"/>
  </w:style>
  <w:style w:type="numbering" w:customStyle="1" w:styleId="NoList121212">
    <w:name w:val="No List121212"/>
    <w:next w:val="NoList"/>
    <w:uiPriority w:val="99"/>
    <w:semiHidden/>
    <w:unhideWhenUsed/>
    <w:rsid w:val="009B2D9D"/>
  </w:style>
  <w:style w:type="numbering" w:customStyle="1" w:styleId="NoList1121212">
    <w:name w:val="No List1121212"/>
    <w:next w:val="NoList"/>
    <w:uiPriority w:val="99"/>
    <w:semiHidden/>
    <w:unhideWhenUsed/>
    <w:rsid w:val="009B2D9D"/>
  </w:style>
  <w:style w:type="numbering" w:customStyle="1" w:styleId="NoList1112212">
    <w:name w:val="No List1112212"/>
    <w:next w:val="NoList"/>
    <w:uiPriority w:val="99"/>
    <w:semiHidden/>
    <w:unhideWhenUsed/>
    <w:rsid w:val="009B2D9D"/>
  </w:style>
  <w:style w:type="numbering" w:customStyle="1" w:styleId="NoList211212">
    <w:name w:val="No List211212"/>
    <w:next w:val="NoList"/>
    <w:uiPriority w:val="99"/>
    <w:semiHidden/>
    <w:unhideWhenUsed/>
    <w:rsid w:val="009B2D9D"/>
  </w:style>
  <w:style w:type="numbering" w:customStyle="1" w:styleId="Style3212">
    <w:name w:val="Style3212"/>
    <w:uiPriority w:val="99"/>
    <w:rsid w:val="009B2D9D"/>
  </w:style>
  <w:style w:type="numbering" w:customStyle="1" w:styleId="NoList4112">
    <w:name w:val="No List4112"/>
    <w:next w:val="NoList"/>
    <w:uiPriority w:val="99"/>
    <w:semiHidden/>
    <w:unhideWhenUsed/>
    <w:rsid w:val="009B2D9D"/>
  </w:style>
  <w:style w:type="numbering" w:customStyle="1" w:styleId="Radovan2112">
    <w:name w:val="Radovan2112"/>
    <w:uiPriority w:val="99"/>
    <w:rsid w:val="009B2D9D"/>
  </w:style>
  <w:style w:type="numbering" w:customStyle="1" w:styleId="Style13112">
    <w:name w:val="Style13112"/>
    <w:uiPriority w:val="99"/>
    <w:rsid w:val="009B2D9D"/>
  </w:style>
  <w:style w:type="numbering" w:customStyle="1" w:styleId="Style22112">
    <w:name w:val="Style22112"/>
    <w:uiPriority w:val="99"/>
    <w:rsid w:val="009B2D9D"/>
  </w:style>
  <w:style w:type="numbering" w:customStyle="1" w:styleId="NoList13112">
    <w:name w:val="No List13112"/>
    <w:next w:val="NoList"/>
    <w:uiPriority w:val="99"/>
    <w:semiHidden/>
    <w:unhideWhenUsed/>
    <w:rsid w:val="009B2D9D"/>
  </w:style>
  <w:style w:type="numbering" w:customStyle="1" w:styleId="NoList113112">
    <w:name w:val="No List113112"/>
    <w:next w:val="NoList"/>
    <w:uiPriority w:val="99"/>
    <w:semiHidden/>
    <w:unhideWhenUsed/>
    <w:rsid w:val="009B2D9D"/>
  </w:style>
  <w:style w:type="numbering" w:customStyle="1" w:styleId="NoList1113112">
    <w:name w:val="No List1113112"/>
    <w:next w:val="NoList"/>
    <w:uiPriority w:val="99"/>
    <w:semiHidden/>
    <w:unhideWhenUsed/>
    <w:rsid w:val="009B2D9D"/>
  </w:style>
  <w:style w:type="numbering" w:customStyle="1" w:styleId="Style111212">
    <w:name w:val="Style111212"/>
    <w:uiPriority w:val="99"/>
    <w:rsid w:val="009B2D9D"/>
  </w:style>
  <w:style w:type="numbering" w:customStyle="1" w:styleId="NoList22112">
    <w:name w:val="No List22112"/>
    <w:next w:val="NoList"/>
    <w:uiPriority w:val="99"/>
    <w:semiHidden/>
    <w:unhideWhenUsed/>
    <w:rsid w:val="009B2D9D"/>
  </w:style>
  <w:style w:type="numbering" w:customStyle="1" w:styleId="Style31212">
    <w:name w:val="Style31212"/>
    <w:uiPriority w:val="99"/>
    <w:rsid w:val="009B2D9D"/>
  </w:style>
  <w:style w:type="numbering" w:customStyle="1" w:styleId="NoList11112112">
    <w:name w:val="No List11112112"/>
    <w:next w:val="NoList"/>
    <w:uiPriority w:val="99"/>
    <w:semiHidden/>
    <w:unhideWhenUsed/>
    <w:rsid w:val="009B2D9D"/>
  </w:style>
  <w:style w:type="numbering" w:customStyle="1" w:styleId="NoList31212">
    <w:name w:val="No List31212"/>
    <w:next w:val="NoList"/>
    <w:uiPriority w:val="99"/>
    <w:semiHidden/>
    <w:unhideWhenUsed/>
    <w:rsid w:val="009B2D9D"/>
  </w:style>
  <w:style w:type="numbering" w:customStyle="1" w:styleId="NoList122112">
    <w:name w:val="No List122112"/>
    <w:next w:val="NoList"/>
    <w:uiPriority w:val="99"/>
    <w:semiHidden/>
    <w:unhideWhenUsed/>
    <w:rsid w:val="009B2D9D"/>
  </w:style>
  <w:style w:type="numbering" w:customStyle="1" w:styleId="NoList1122112">
    <w:name w:val="No List1122112"/>
    <w:next w:val="NoList"/>
    <w:uiPriority w:val="99"/>
    <w:semiHidden/>
    <w:unhideWhenUsed/>
    <w:rsid w:val="009B2D9D"/>
  </w:style>
  <w:style w:type="numbering" w:customStyle="1" w:styleId="NoList11121112">
    <w:name w:val="No List11121112"/>
    <w:next w:val="NoList"/>
    <w:uiPriority w:val="99"/>
    <w:semiHidden/>
    <w:unhideWhenUsed/>
    <w:rsid w:val="009B2D9D"/>
  </w:style>
  <w:style w:type="numbering" w:customStyle="1" w:styleId="NoList212112">
    <w:name w:val="No List212112"/>
    <w:next w:val="NoList"/>
    <w:uiPriority w:val="99"/>
    <w:semiHidden/>
    <w:unhideWhenUsed/>
    <w:rsid w:val="009B2D9D"/>
  </w:style>
  <w:style w:type="numbering" w:customStyle="1" w:styleId="Style311112">
    <w:name w:val="Style311112"/>
    <w:uiPriority w:val="99"/>
    <w:rsid w:val="009B2D9D"/>
  </w:style>
  <w:style w:type="numbering" w:customStyle="1" w:styleId="NoList612">
    <w:name w:val="No List612"/>
    <w:next w:val="NoList"/>
    <w:uiPriority w:val="99"/>
    <w:semiHidden/>
    <w:unhideWhenUsed/>
    <w:rsid w:val="009B2D9D"/>
  </w:style>
  <w:style w:type="numbering" w:customStyle="1" w:styleId="Radovan412">
    <w:name w:val="Radovan412"/>
    <w:uiPriority w:val="99"/>
    <w:rsid w:val="009B2D9D"/>
  </w:style>
  <w:style w:type="numbering" w:customStyle="1" w:styleId="Style1512">
    <w:name w:val="Style1512"/>
    <w:uiPriority w:val="99"/>
    <w:rsid w:val="009B2D9D"/>
  </w:style>
  <w:style w:type="numbering" w:customStyle="1" w:styleId="Style2412">
    <w:name w:val="Style2412"/>
    <w:uiPriority w:val="99"/>
    <w:rsid w:val="009B2D9D"/>
  </w:style>
  <w:style w:type="numbering" w:customStyle="1" w:styleId="NoList1512">
    <w:name w:val="No List1512"/>
    <w:next w:val="NoList"/>
    <w:uiPriority w:val="99"/>
    <w:semiHidden/>
    <w:unhideWhenUsed/>
    <w:rsid w:val="009B2D9D"/>
  </w:style>
  <w:style w:type="numbering" w:customStyle="1" w:styleId="NoList11512">
    <w:name w:val="No List11512"/>
    <w:next w:val="NoList"/>
    <w:uiPriority w:val="99"/>
    <w:semiHidden/>
    <w:unhideWhenUsed/>
    <w:rsid w:val="009B2D9D"/>
  </w:style>
  <w:style w:type="numbering" w:customStyle="1" w:styleId="NoList111512">
    <w:name w:val="No List111512"/>
    <w:next w:val="NoList"/>
    <w:uiPriority w:val="99"/>
    <w:semiHidden/>
    <w:unhideWhenUsed/>
    <w:rsid w:val="009B2D9D"/>
  </w:style>
  <w:style w:type="numbering" w:customStyle="1" w:styleId="Style11312">
    <w:name w:val="Style11312"/>
    <w:uiPriority w:val="99"/>
    <w:rsid w:val="009B2D9D"/>
  </w:style>
  <w:style w:type="numbering" w:customStyle="1" w:styleId="NoList2412">
    <w:name w:val="No List2412"/>
    <w:next w:val="NoList"/>
    <w:uiPriority w:val="99"/>
    <w:semiHidden/>
    <w:unhideWhenUsed/>
    <w:rsid w:val="009B2D9D"/>
  </w:style>
  <w:style w:type="numbering" w:customStyle="1" w:styleId="Style12212">
    <w:name w:val="Style12212"/>
    <w:uiPriority w:val="99"/>
    <w:rsid w:val="009B2D9D"/>
  </w:style>
  <w:style w:type="numbering" w:customStyle="1" w:styleId="Style21312">
    <w:name w:val="Style21312"/>
    <w:uiPriority w:val="99"/>
    <w:rsid w:val="009B2D9D"/>
  </w:style>
  <w:style w:type="numbering" w:customStyle="1" w:styleId="NoList12412">
    <w:name w:val="No List12412"/>
    <w:next w:val="NoList"/>
    <w:uiPriority w:val="99"/>
    <w:semiHidden/>
    <w:unhideWhenUsed/>
    <w:rsid w:val="009B2D9D"/>
  </w:style>
  <w:style w:type="numbering" w:customStyle="1" w:styleId="NoList112412">
    <w:name w:val="No List112412"/>
    <w:next w:val="NoList"/>
    <w:uiPriority w:val="99"/>
    <w:semiHidden/>
    <w:unhideWhenUsed/>
    <w:rsid w:val="009B2D9D"/>
  </w:style>
  <w:style w:type="numbering" w:customStyle="1" w:styleId="NoList1111412">
    <w:name w:val="No List1111412"/>
    <w:next w:val="NoList"/>
    <w:uiPriority w:val="99"/>
    <w:semiHidden/>
    <w:unhideWhenUsed/>
    <w:rsid w:val="009B2D9D"/>
  </w:style>
  <w:style w:type="numbering" w:customStyle="1" w:styleId="NoList21412">
    <w:name w:val="No List21412"/>
    <w:next w:val="NoList"/>
    <w:uiPriority w:val="99"/>
    <w:semiHidden/>
    <w:unhideWhenUsed/>
    <w:rsid w:val="009B2D9D"/>
  </w:style>
  <w:style w:type="numbering" w:customStyle="1" w:styleId="NoList11111312">
    <w:name w:val="No List11111312"/>
    <w:next w:val="NoList"/>
    <w:uiPriority w:val="99"/>
    <w:semiHidden/>
    <w:unhideWhenUsed/>
    <w:rsid w:val="009B2D9D"/>
  </w:style>
  <w:style w:type="numbering" w:customStyle="1" w:styleId="NoList3312">
    <w:name w:val="No List3312"/>
    <w:next w:val="NoList"/>
    <w:uiPriority w:val="99"/>
    <w:semiHidden/>
    <w:unhideWhenUsed/>
    <w:rsid w:val="009B2D9D"/>
  </w:style>
  <w:style w:type="numbering" w:customStyle="1" w:styleId="NoList121312">
    <w:name w:val="No List121312"/>
    <w:next w:val="NoList"/>
    <w:uiPriority w:val="99"/>
    <w:semiHidden/>
    <w:unhideWhenUsed/>
    <w:rsid w:val="009B2D9D"/>
  </w:style>
  <w:style w:type="numbering" w:customStyle="1" w:styleId="NoList1121312">
    <w:name w:val="No List1121312"/>
    <w:next w:val="NoList"/>
    <w:uiPriority w:val="99"/>
    <w:semiHidden/>
    <w:unhideWhenUsed/>
    <w:rsid w:val="009B2D9D"/>
  </w:style>
  <w:style w:type="numbering" w:customStyle="1" w:styleId="NoList1112312">
    <w:name w:val="No List1112312"/>
    <w:next w:val="NoList"/>
    <w:uiPriority w:val="99"/>
    <w:semiHidden/>
    <w:unhideWhenUsed/>
    <w:rsid w:val="009B2D9D"/>
  </w:style>
  <w:style w:type="numbering" w:customStyle="1" w:styleId="NoList211312">
    <w:name w:val="No List211312"/>
    <w:next w:val="NoList"/>
    <w:uiPriority w:val="99"/>
    <w:semiHidden/>
    <w:unhideWhenUsed/>
    <w:rsid w:val="009B2D9D"/>
  </w:style>
  <w:style w:type="numbering" w:customStyle="1" w:styleId="NoList4212">
    <w:name w:val="No List4212"/>
    <w:next w:val="NoList"/>
    <w:uiPriority w:val="99"/>
    <w:semiHidden/>
    <w:unhideWhenUsed/>
    <w:rsid w:val="009B2D9D"/>
  </w:style>
  <w:style w:type="numbering" w:customStyle="1" w:styleId="NoList13212">
    <w:name w:val="No List13212"/>
    <w:next w:val="NoList"/>
    <w:uiPriority w:val="99"/>
    <w:semiHidden/>
    <w:unhideWhenUsed/>
    <w:rsid w:val="009B2D9D"/>
  </w:style>
  <w:style w:type="numbering" w:customStyle="1" w:styleId="NoList113212">
    <w:name w:val="No List113212"/>
    <w:next w:val="NoList"/>
    <w:uiPriority w:val="99"/>
    <w:semiHidden/>
    <w:unhideWhenUsed/>
    <w:rsid w:val="009B2D9D"/>
  </w:style>
  <w:style w:type="numbering" w:customStyle="1" w:styleId="NoList1113212">
    <w:name w:val="No List1113212"/>
    <w:next w:val="NoList"/>
    <w:uiPriority w:val="99"/>
    <w:semiHidden/>
    <w:unhideWhenUsed/>
    <w:rsid w:val="009B2D9D"/>
  </w:style>
  <w:style w:type="numbering" w:customStyle="1" w:styleId="NoList22212">
    <w:name w:val="No List22212"/>
    <w:next w:val="NoList"/>
    <w:uiPriority w:val="99"/>
    <w:semiHidden/>
    <w:unhideWhenUsed/>
    <w:rsid w:val="009B2D9D"/>
  </w:style>
  <w:style w:type="numbering" w:customStyle="1" w:styleId="NoList11112212">
    <w:name w:val="No List11112212"/>
    <w:next w:val="NoList"/>
    <w:uiPriority w:val="99"/>
    <w:semiHidden/>
    <w:unhideWhenUsed/>
    <w:rsid w:val="009B2D9D"/>
  </w:style>
  <w:style w:type="numbering" w:customStyle="1" w:styleId="NoList31312">
    <w:name w:val="No List31312"/>
    <w:next w:val="NoList"/>
    <w:uiPriority w:val="99"/>
    <w:semiHidden/>
    <w:unhideWhenUsed/>
    <w:rsid w:val="009B2D9D"/>
  </w:style>
  <w:style w:type="numbering" w:customStyle="1" w:styleId="NoList122212">
    <w:name w:val="No List122212"/>
    <w:next w:val="NoList"/>
    <w:uiPriority w:val="99"/>
    <w:semiHidden/>
    <w:unhideWhenUsed/>
    <w:rsid w:val="009B2D9D"/>
  </w:style>
  <w:style w:type="numbering" w:customStyle="1" w:styleId="NoList1122212">
    <w:name w:val="No List1122212"/>
    <w:next w:val="NoList"/>
    <w:uiPriority w:val="99"/>
    <w:semiHidden/>
    <w:unhideWhenUsed/>
    <w:rsid w:val="009B2D9D"/>
  </w:style>
  <w:style w:type="numbering" w:customStyle="1" w:styleId="NoList11121212">
    <w:name w:val="No List11121212"/>
    <w:next w:val="NoList"/>
    <w:uiPriority w:val="99"/>
    <w:semiHidden/>
    <w:unhideWhenUsed/>
    <w:rsid w:val="009B2D9D"/>
  </w:style>
  <w:style w:type="numbering" w:customStyle="1" w:styleId="NoList212212">
    <w:name w:val="No List212212"/>
    <w:next w:val="NoList"/>
    <w:uiPriority w:val="99"/>
    <w:semiHidden/>
    <w:unhideWhenUsed/>
    <w:rsid w:val="009B2D9D"/>
  </w:style>
  <w:style w:type="table" w:customStyle="1" w:styleId="LightShading-Accent31112">
    <w:name w:val="Light Shading - Accent 31112"/>
    <w:basedOn w:val="TableNormal"/>
    <w:next w:val="LightShading-Accent3"/>
    <w:uiPriority w:val="60"/>
    <w:rsid w:val="009B2D9D"/>
    <w:pPr>
      <w:spacing w:before="100" w:beforeAutospacing="1" w:after="0" w:afterAutospacing="1" w:line="240" w:lineRule="auto"/>
      <w:jc w:val="both"/>
    </w:pPr>
    <w:rPr>
      <w:rFonts w:ascii="Calibri" w:eastAsia="Calibri" w:hAnsi="Calibri" w:cs="Times New Roman"/>
      <w:color w:val="7B7B7B"/>
      <w:kern w:val="0"/>
      <w:sz w:val="20"/>
      <w:szCs w:val="20"/>
      <w14:ligatures w14:val="none"/>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LightList-Accent21112">
    <w:name w:val="Light List - Accent 21112"/>
    <w:basedOn w:val="TableNormal"/>
    <w:next w:val="LightList-Accent2"/>
    <w:uiPriority w:val="61"/>
    <w:rsid w:val="009B2D9D"/>
    <w:pPr>
      <w:spacing w:before="100" w:beforeAutospacing="1" w:after="0" w:afterAutospacing="1" w:line="240" w:lineRule="auto"/>
      <w:jc w:val="both"/>
    </w:pPr>
    <w:rPr>
      <w:rFonts w:eastAsia="Times New Roman"/>
      <w:kern w:val="0"/>
      <w:lang w:val="sr-Latn-CS" w:eastAsia="sr-Latn-CS"/>
      <w14:ligatures w14:val="none"/>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PlainTable411112">
    <w:name w:val="Plain Table 411112"/>
    <w:basedOn w:val="TableNormal"/>
    <w:uiPriority w:val="44"/>
    <w:rsid w:val="009B2D9D"/>
    <w:pPr>
      <w:spacing w:before="100" w:beforeAutospacing="1" w:after="0" w:afterAutospacing="1" w:line="240" w:lineRule="auto"/>
      <w:jc w:val="both"/>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212">
    <w:name w:val="Plain Table 21212"/>
    <w:basedOn w:val="TableNormal"/>
    <w:uiPriority w:val="42"/>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Light1212">
    <w:name w:val="Table Grid Light1212"/>
    <w:basedOn w:val="TableNormal"/>
    <w:uiPriority w:val="40"/>
    <w:rsid w:val="009B2D9D"/>
    <w:pPr>
      <w:spacing w:before="100" w:beforeAutospacing="1" w:after="0" w:afterAutospacing="1" w:line="240" w:lineRule="auto"/>
      <w:jc w:val="both"/>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2312">
    <w:name w:val="Table Grid Light2312"/>
    <w:basedOn w:val="TableNormal"/>
    <w:uiPriority w:val="40"/>
    <w:rsid w:val="009B2D9D"/>
    <w:pPr>
      <w:spacing w:before="100" w:beforeAutospacing="1" w:after="0" w:afterAutospacing="1" w:line="240" w:lineRule="auto"/>
      <w:jc w:val="both"/>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21112">
    <w:name w:val="Table Grid Light21112"/>
    <w:basedOn w:val="TableNormal"/>
    <w:uiPriority w:val="40"/>
    <w:rsid w:val="009B2D9D"/>
    <w:pPr>
      <w:spacing w:before="100" w:beforeAutospacing="1" w:after="0" w:afterAutospacing="1" w:line="240" w:lineRule="auto"/>
      <w:jc w:val="both"/>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2-Accent1112">
    <w:name w:val="Grid Table 2 - Accent 1112"/>
    <w:basedOn w:val="TableNormal"/>
    <w:next w:val="GridTable2-Accent11"/>
    <w:uiPriority w:val="47"/>
    <w:rsid w:val="009B2D9D"/>
    <w:pPr>
      <w:spacing w:before="100" w:beforeAutospacing="1" w:after="0" w:afterAutospacing="1" w:line="240" w:lineRule="auto"/>
      <w:jc w:val="both"/>
    </w:pPr>
    <w:rPr>
      <w:kern w:val="0"/>
      <w14:ligatures w14:val="none"/>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5112">
    <w:name w:val="Grid Table 4 - Accent 5112"/>
    <w:basedOn w:val="TableNormal"/>
    <w:next w:val="GridTable4-Accent51"/>
    <w:uiPriority w:val="49"/>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3-Accent5112">
    <w:name w:val="Grid Table 3 - Accent 5112"/>
    <w:basedOn w:val="TableNormal"/>
    <w:next w:val="GridTable3-Accent51"/>
    <w:uiPriority w:val="48"/>
    <w:locked/>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ListTable2-Accent5113">
    <w:name w:val="List Table 2 - Accent 5113"/>
    <w:basedOn w:val="TableNormal"/>
    <w:next w:val="ListTable2-Accent51"/>
    <w:uiPriority w:val="47"/>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6Colorful-Accent5212">
    <w:name w:val="Grid Table 6 Colorful - Accent 5212"/>
    <w:basedOn w:val="TableNormal"/>
    <w:next w:val="GridTable6Colorful-Accent52"/>
    <w:uiPriority w:val="51"/>
    <w:rsid w:val="009B2D9D"/>
    <w:pPr>
      <w:spacing w:before="100" w:beforeAutospacing="1" w:after="0" w:afterAutospacing="1" w:line="240" w:lineRule="auto"/>
      <w:jc w:val="both"/>
    </w:pPr>
    <w:rPr>
      <w:color w:val="2F5496"/>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5Dark-Accent5112">
    <w:name w:val="Grid Table 5 Dark - Accent 5112"/>
    <w:basedOn w:val="TableNormal"/>
    <w:next w:val="GridTable5Dark-Accent51"/>
    <w:uiPriority w:val="50"/>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1312">
    <w:name w:val="Grid Table 5 Dark - Accent 1312"/>
    <w:basedOn w:val="TableNormal"/>
    <w:next w:val="GridTable5Dark-Accent13"/>
    <w:uiPriority w:val="50"/>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312">
    <w:name w:val="Table Grid Light312"/>
    <w:basedOn w:val="TableNormal"/>
    <w:next w:val="TableGridLight3"/>
    <w:uiPriority w:val="40"/>
    <w:rsid w:val="009B2D9D"/>
    <w:pPr>
      <w:spacing w:before="100" w:beforeAutospacing="1" w:after="0" w:afterAutospacing="1" w:line="240" w:lineRule="auto"/>
      <w:jc w:val="both"/>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1112">
    <w:name w:val="Plain Table 1112"/>
    <w:basedOn w:val="TableNormal"/>
    <w:next w:val="PlainTable11"/>
    <w:uiPriority w:val="41"/>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2112">
    <w:name w:val="Grid Table 1 Light - Accent 2112"/>
    <w:basedOn w:val="TableNormal"/>
    <w:next w:val="GridTable1Light-Accent21"/>
    <w:uiPriority w:val="46"/>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GridTable5Dark-Accent2112">
    <w:name w:val="Grid Table 5 Dark - Accent 2112"/>
    <w:basedOn w:val="TableNormal"/>
    <w:next w:val="GridTable5Dark-Accent21"/>
    <w:uiPriority w:val="50"/>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GridTable6Colorful-Accent2112">
    <w:name w:val="Grid Table 6 Colorful - Accent 2112"/>
    <w:basedOn w:val="TableNormal"/>
    <w:next w:val="GridTable6Colorful-Accent21"/>
    <w:uiPriority w:val="51"/>
    <w:rsid w:val="009B2D9D"/>
    <w:pPr>
      <w:spacing w:before="100" w:beforeAutospacing="1" w:after="0" w:afterAutospacing="1" w:line="240" w:lineRule="auto"/>
      <w:jc w:val="both"/>
    </w:pPr>
    <w:rPr>
      <w:color w:val="C45911"/>
      <w:kern w:val="0"/>
      <w14:ligatures w14:val="none"/>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6Colorful-Accent4112">
    <w:name w:val="Grid Table 6 Colorful - Accent 4112"/>
    <w:basedOn w:val="TableNormal"/>
    <w:next w:val="GridTable6Colorful-Accent41"/>
    <w:uiPriority w:val="51"/>
    <w:rsid w:val="009B2D9D"/>
    <w:pPr>
      <w:spacing w:before="100" w:beforeAutospacing="1" w:after="0" w:afterAutospacing="1" w:line="240" w:lineRule="auto"/>
      <w:jc w:val="both"/>
    </w:pPr>
    <w:rPr>
      <w:color w:val="BF8F00"/>
      <w:kern w:val="0"/>
      <w14:ligatures w14:val="none"/>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5Dark-Accent2112">
    <w:name w:val="List Table 5 Dark - Accent 2112"/>
    <w:basedOn w:val="TableNormal"/>
    <w:next w:val="ListTable5Dark-Accent21"/>
    <w:uiPriority w:val="50"/>
    <w:rsid w:val="009B2D9D"/>
    <w:pPr>
      <w:spacing w:before="100" w:beforeAutospacing="1" w:after="0" w:afterAutospacing="1" w:line="240" w:lineRule="auto"/>
      <w:jc w:val="both"/>
    </w:pPr>
    <w:rPr>
      <w:color w:val="FFFFFF"/>
      <w:kern w:val="0"/>
      <w14:ligatures w14:val="none"/>
    </w:rPr>
    <w:tblPr>
      <w:tblStyleRowBandSize w:val="1"/>
      <w:tblStyleColBandSize w:val="1"/>
      <w:tblBorders>
        <w:top w:val="single" w:sz="24" w:space="0" w:color="ED7D31"/>
        <w:left w:val="single" w:sz="24" w:space="0" w:color="ED7D31"/>
        <w:bottom w:val="single" w:sz="24" w:space="0" w:color="ED7D31"/>
        <w:right w:val="single" w:sz="24" w:space="0" w:color="ED7D31"/>
      </w:tblBorders>
    </w:tblPr>
    <w:tcPr>
      <w:shd w:val="clear" w:color="auto" w:fill="ED7D31"/>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3-Accent2112">
    <w:name w:val="List Table 3 - Accent 2112"/>
    <w:basedOn w:val="TableNormal"/>
    <w:next w:val="ListTable3-Accent21"/>
    <w:uiPriority w:val="48"/>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ED7D31"/>
        <w:left w:val="single" w:sz="4" w:space="0" w:color="ED7D31"/>
        <w:bottom w:val="single" w:sz="4" w:space="0" w:color="ED7D31"/>
        <w:right w:val="single" w:sz="4" w:space="0" w:color="ED7D31"/>
      </w:tblBorders>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table" w:customStyle="1" w:styleId="ListTable3-Accent4112">
    <w:name w:val="List Table 3 - Accent 4112"/>
    <w:basedOn w:val="TableNormal"/>
    <w:next w:val="ListTable3-Accent41"/>
    <w:uiPriority w:val="48"/>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ListTable6Colorful-Accent4112">
    <w:name w:val="List Table 6 Colorful - Accent 4112"/>
    <w:basedOn w:val="TableNormal"/>
    <w:next w:val="ListTable6Colorful-Accent41"/>
    <w:uiPriority w:val="51"/>
    <w:rsid w:val="009B2D9D"/>
    <w:pPr>
      <w:spacing w:before="100" w:beforeAutospacing="1" w:after="0" w:afterAutospacing="1" w:line="240" w:lineRule="auto"/>
      <w:jc w:val="both"/>
    </w:pPr>
    <w:rPr>
      <w:color w:val="BF8F00"/>
      <w:kern w:val="0"/>
      <w14:ligatures w14:val="none"/>
    </w:rPr>
    <w:tblPr>
      <w:tblStyleRowBandSize w:val="1"/>
      <w:tblStyleColBandSize w:val="1"/>
      <w:tblBorders>
        <w:top w:val="single" w:sz="4" w:space="0" w:color="FFC000"/>
        <w:bottom w:val="single" w:sz="4" w:space="0" w:color="FFC000"/>
      </w:tblBorders>
    </w:tblPr>
    <w:tblStylePr w:type="firstRow">
      <w:rPr>
        <w:b/>
        <w:bCs/>
      </w:rPr>
      <w:tblPr/>
      <w:tcPr>
        <w:tcBorders>
          <w:bottom w:val="single" w:sz="4" w:space="0" w:color="FFC000"/>
        </w:tcBorders>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4-Accent4112">
    <w:name w:val="Grid Table 4 - Accent 4112"/>
    <w:basedOn w:val="TableNormal"/>
    <w:next w:val="GridTable4-Accent41"/>
    <w:uiPriority w:val="49"/>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7Colorful-Accent4112">
    <w:name w:val="List Table 7 Colorful - Accent 4112"/>
    <w:basedOn w:val="TableNormal"/>
    <w:next w:val="ListTable7Colorful-Accent41"/>
    <w:uiPriority w:val="52"/>
    <w:locked/>
    <w:rsid w:val="009B2D9D"/>
    <w:pPr>
      <w:spacing w:before="100" w:beforeAutospacing="1" w:after="0" w:afterAutospacing="1" w:line="240" w:lineRule="auto"/>
      <w:jc w:val="both"/>
    </w:pPr>
    <w:rPr>
      <w:color w:val="BF8F00"/>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FFC000"/>
        </w:tcBorders>
        <w:shd w:val="clear" w:color="auto" w:fill="FFFFFF"/>
      </w:tcPr>
    </w:tblStylePr>
    <w:tblStylePr w:type="lastRow">
      <w:rPr>
        <w:rFonts w:ascii="Calibri Light" w:eastAsia="Times New Roman" w:hAnsi="Calibri Light" w:cs="Times New Roman"/>
        <w:i/>
        <w:iCs/>
        <w:sz w:val="26"/>
      </w:rPr>
      <w:tblPr/>
      <w:tcPr>
        <w:tcBorders>
          <w:top w:val="single" w:sz="4" w:space="0" w:color="FFC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FFC000"/>
        </w:tcBorders>
        <w:shd w:val="clear" w:color="auto" w:fill="FFFFFF"/>
      </w:tcPr>
    </w:tblStylePr>
    <w:tblStylePr w:type="lastCol">
      <w:rPr>
        <w:rFonts w:ascii="Calibri Light" w:eastAsia="Times New Roman" w:hAnsi="Calibri Light" w:cs="Times New Roman"/>
        <w:i/>
        <w:iCs/>
        <w:sz w:val="26"/>
      </w:rPr>
      <w:tblPr/>
      <w:tcPr>
        <w:tcBorders>
          <w:left w:val="single" w:sz="4" w:space="0" w:color="FFC000"/>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5Dark-Accent4112">
    <w:name w:val="List Table 5 Dark - Accent 4112"/>
    <w:basedOn w:val="TableNormal"/>
    <w:next w:val="ListTable5Dark-Accent41"/>
    <w:uiPriority w:val="50"/>
    <w:rsid w:val="009B2D9D"/>
    <w:pPr>
      <w:spacing w:before="100" w:beforeAutospacing="1" w:after="0" w:afterAutospacing="1" w:line="240" w:lineRule="auto"/>
      <w:jc w:val="both"/>
    </w:pPr>
    <w:rPr>
      <w:color w:val="FFFFFF"/>
      <w:kern w:val="0"/>
      <w14:ligatures w14:val="none"/>
    </w:rPr>
    <w:tblPr>
      <w:tblStyleRowBandSize w:val="1"/>
      <w:tblStyleColBandSize w:val="1"/>
      <w:tblBorders>
        <w:top w:val="single" w:sz="24" w:space="0" w:color="FFC000"/>
        <w:left w:val="single" w:sz="24" w:space="0" w:color="FFC000"/>
        <w:bottom w:val="single" w:sz="24" w:space="0" w:color="FFC000"/>
        <w:right w:val="single" w:sz="24" w:space="0" w:color="FFC000"/>
      </w:tblBorders>
    </w:tblPr>
    <w:tcPr>
      <w:shd w:val="clear" w:color="auto" w:fill="FFC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GridTable2-Accent4112">
    <w:name w:val="Grid Table 2 - Accent 4112"/>
    <w:basedOn w:val="TableNormal"/>
    <w:next w:val="GridTable2-Accent41"/>
    <w:uiPriority w:val="47"/>
    <w:rsid w:val="009B2D9D"/>
    <w:pPr>
      <w:spacing w:before="100" w:beforeAutospacing="1" w:after="0" w:afterAutospacing="1" w:line="240" w:lineRule="auto"/>
      <w:jc w:val="both"/>
    </w:pPr>
    <w:rPr>
      <w:kern w:val="0"/>
      <w14:ligatures w14:val="none"/>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7Colorful-Accent2112">
    <w:name w:val="Grid Table 7 Colorful - Accent 2112"/>
    <w:basedOn w:val="TableNormal"/>
    <w:next w:val="GridTable7Colorful-Accent21"/>
    <w:uiPriority w:val="52"/>
    <w:locked/>
    <w:rsid w:val="009B2D9D"/>
    <w:pPr>
      <w:spacing w:before="100" w:beforeAutospacing="1" w:after="0" w:afterAutospacing="1" w:line="240" w:lineRule="auto"/>
      <w:jc w:val="both"/>
    </w:pPr>
    <w:rPr>
      <w:color w:val="C45911"/>
      <w:kern w:val="0"/>
      <w14:ligatures w14:val="none"/>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ListTable2-Accent4112">
    <w:name w:val="List Table 2 - Accent 4112"/>
    <w:basedOn w:val="TableNormal"/>
    <w:next w:val="ListTable2-Accent41"/>
    <w:uiPriority w:val="47"/>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FFD966"/>
        <w:bottom w:val="single" w:sz="4" w:space="0" w:color="FFD966"/>
        <w:insideH w:val="single" w:sz="4" w:space="0" w:color="FFD9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1Light-Accent4112">
    <w:name w:val="Grid Table 1 Light - Accent 4112"/>
    <w:basedOn w:val="TableNormal"/>
    <w:next w:val="GridTable1Light-Accent41"/>
    <w:uiPriority w:val="46"/>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ListTable2-Accent3112">
    <w:name w:val="List Table 2 - Accent 3112"/>
    <w:basedOn w:val="TableNormal"/>
    <w:next w:val="ListTable2-Accent31"/>
    <w:uiPriority w:val="47"/>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2-Accent2112">
    <w:name w:val="List Table 2 - Accent 2112"/>
    <w:basedOn w:val="TableNormal"/>
    <w:next w:val="ListTable2-Accent21"/>
    <w:uiPriority w:val="47"/>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F4B083"/>
        <w:bottom w:val="single" w:sz="4" w:space="0" w:color="F4B083"/>
        <w:insideH w:val="single" w:sz="4" w:space="0" w:color="F4B08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2-Accent1112">
    <w:name w:val="List Table 2 - Accent 1112"/>
    <w:basedOn w:val="TableNormal"/>
    <w:next w:val="ListTable2-Accent11"/>
    <w:uiPriority w:val="47"/>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1Light-Accent4112">
    <w:name w:val="List Table 1 Light - Accent 4112"/>
    <w:basedOn w:val="TableNormal"/>
    <w:next w:val="ListTable1Light-Accent41"/>
    <w:uiPriority w:val="46"/>
    <w:rsid w:val="009B2D9D"/>
    <w:pPr>
      <w:spacing w:before="100" w:beforeAutospacing="1" w:after="0" w:afterAutospacing="1" w:line="240" w:lineRule="auto"/>
      <w:jc w:val="both"/>
    </w:pPr>
    <w:rPr>
      <w:kern w:val="0"/>
      <w14:ligatures w14:val="none"/>
    </w:rPr>
    <w:tblPr>
      <w:tblStyleRowBandSize w:val="1"/>
      <w:tblStyleColBandSize w:val="1"/>
    </w:tblPr>
    <w:tblStylePr w:type="firstRow">
      <w:rPr>
        <w:b/>
        <w:bCs/>
      </w:rPr>
      <w:tblPr/>
      <w:tcPr>
        <w:tcBorders>
          <w:bottom w:val="single" w:sz="4" w:space="0" w:color="FFD966"/>
        </w:tcBorders>
      </w:tcPr>
    </w:tblStylePr>
    <w:tblStylePr w:type="lastRow">
      <w:rPr>
        <w:b/>
        <w:bCs/>
      </w:rPr>
      <w:tblPr/>
      <w:tcPr>
        <w:tcBorders>
          <w:top w:val="sing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numbering" w:customStyle="1" w:styleId="NoList82">
    <w:name w:val="No List82"/>
    <w:next w:val="NoList"/>
    <w:uiPriority w:val="99"/>
    <w:semiHidden/>
    <w:unhideWhenUsed/>
    <w:rsid w:val="009B2D9D"/>
  </w:style>
  <w:style w:type="table" w:customStyle="1" w:styleId="LightShading-Accent1133">
    <w:name w:val="Light Shading - Accent 1133"/>
    <w:basedOn w:val="TableNormal"/>
    <w:uiPriority w:val="60"/>
    <w:rsid w:val="009B2D9D"/>
    <w:pPr>
      <w:spacing w:before="100" w:beforeAutospacing="1" w:after="0" w:afterAutospacing="1" w:line="240" w:lineRule="auto"/>
      <w:jc w:val="both"/>
    </w:pPr>
    <w:rPr>
      <w:rFonts w:ascii="Calibri" w:eastAsia="Times New Roman" w:hAnsi="Calibri" w:cs="Times New Roman"/>
      <w:color w:val="365F91"/>
      <w:kern w:val="0"/>
      <w:sz w:val="20"/>
      <w:szCs w:val="20"/>
      <w:lang w:val="sr-Latn-CS" w:eastAsia="sr-Latn-CS" w:bidi="en-US"/>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Radovan72">
    <w:name w:val="Radovan72"/>
    <w:uiPriority w:val="99"/>
    <w:rsid w:val="009B2D9D"/>
  </w:style>
  <w:style w:type="table" w:customStyle="1" w:styleId="LightShading-Accent332">
    <w:name w:val="Light Shading - Accent 332"/>
    <w:basedOn w:val="TableNormal"/>
    <w:next w:val="LightShading-Accent3"/>
    <w:uiPriority w:val="60"/>
    <w:rsid w:val="009B2D9D"/>
    <w:pPr>
      <w:spacing w:before="100" w:beforeAutospacing="1" w:after="0" w:afterAutospacing="1" w:line="240" w:lineRule="auto"/>
      <w:jc w:val="both"/>
    </w:pPr>
    <w:rPr>
      <w:rFonts w:ascii="Calibri" w:eastAsia="Calibri" w:hAnsi="Calibri" w:cs="Times New Roman"/>
      <w:color w:val="7B7B7B"/>
      <w:kern w:val="0"/>
      <w:sz w:val="20"/>
      <w:szCs w:val="20"/>
      <w14:ligatures w14:val="none"/>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LightList-Accent232">
    <w:name w:val="Light List - Accent 232"/>
    <w:basedOn w:val="TableNormal"/>
    <w:next w:val="LightList-Accent2"/>
    <w:uiPriority w:val="61"/>
    <w:rsid w:val="009B2D9D"/>
    <w:pPr>
      <w:spacing w:before="100" w:beforeAutospacing="1" w:after="0" w:afterAutospacing="1" w:line="240" w:lineRule="auto"/>
      <w:jc w:val="both"/>
    </w:pPr>
    <w:rPr>
      <w:rFonts w:eastAsia="Times New Roman"/>
      <w:kern w:val="0"/>
      <w:lang w:val="sr-Latn-CS" w:eastAsia="sr-Latn-CS"/>
      <w14:ligatures w14:val="none"/>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TableNormal142">
    <w:name w:val="Table Normal142"/>
    <w:uiPriority w:val="2"/>
    <w:semiHidden/>
    <w:unhideWhenUsed/>
    <w:qFormat/>
    <w:rsid w:val="009B2D9D"/>
    <w:pPr>
      <w:widowControl w:val="0"/>
      <w:spacing w:before="100" w:beforeAutospacing="1" w:after="0" w:afterAutospacing="1" w:line="240" w:lineRule="auto"/>
      <w:jc w:val="both"/>
    </w:pPr>
    <w:rPr>
      <w:kern w:val="0"/>
      <w14:ligatures w14:val="none"/>
    </w:rPr>
    <w:tblPr>
      <w:tblInd w:w="0" w:type="dxa"/>
      <w:tblCellMar>
        <w:top w:w="0" w:type="dxa"/>
        <w:left w:w="0" w:type="dxa"/>
        <w:bottom w:w="0" w:type="dxa"/>
        <w:right w:w="0" w:type="dxa"/>
      </w:tblCellMar>
    </w:tblPr>
  </w:style>
  <w:style w:type="numbering" w:customStyle="1" w:styleId="NoList172">
    <w:name w:val="No List172"/>
    <w:next w:val="NoList"/>
    <w:uiPriority w:val="99"/>
    <w:semiHidden/>
    <w:unhideWhenUsed/>
    <w:rsid w:val="009B2D9D"/>
  </w:style>
  <w:style w:type="numbering" w:customStyle="1" w:styleId="NoList1172">
    <w:name w:val="No List1172"/>
    <w:next w:val="NoList"/>
    <w:uiPriority w:val="99"/>
    <w:semiHidden/>
    <w:unhideWhenUsed/>
    <w:rsid w:val="009B2D9D"/>
  </w:style>
  <w:style w:type="table" w:customStyle="1" w:styleId="TableElegant32">
    <w:name w:val="Table Elegant32"/>
    <w:basedOn w:val="TableNormal"/>
    <w:next w:val="TableElegant"/>
    <w:rsid w:val="009B2D9D"/>
    <w:pPr>
      <w:spacing w:before="100" w:beforeAutospacing="1" w:after="0" w:afterAutospacing="1" w:line="240" w:lineRule="auto"/>
      <w:jc w:val="both"/>
    </w:pPr>
    <w:rPr>
      <w:rFonts w:ascii="Times New Roman" w:eastAsia="Times New Roman" w:hAnsi="Times New Roman" w:cs="Times New Roman"/>
      <w:kern w:val="0"/>
      <w:sz w:val="20"/>
      <w:szCs w:val="20"/>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NoList11172">
    <w:name w:val="No List11172"/>
    <w:next w:val="NoList"/>
    <w:uiPriority w:val="99"/>
    <w:semiHidden/>
    <w:unhideWhenUsed/>
    <w:rsid w:val="009B2D9D"/>
  </w:style>
  <w:style w:type="table" w:customStyle="1" w:styleId="TableNormal1132">
    <w:name w:val="Table Normal1132"/>
    <w:uiPriority w:val="2"/>
    <w:semiHidden/>
    <w:unhideWhenUsed/>
    <w:qFormat/>
    <w:rsid w:val="009B2D9D"/>
    <w:pPr>
      <w:widowControl w:val="0"/>
      <w:spacing w:before="100" w:beforeAutospacing="1" w:after="0" w:afterAutospacing="1" w:line="240" w:lineRule="auto"/>
      <w:jc w:val="both"/>
    </w:pPr>
    <w:rPr>
      <w:kern w:val="0"/>
      <w14:ligatures w14:val="none"/>
    </w:rPr>
    <w:tblPr>
      <w:tblInd w:w="0" w:type="dxa"/>
      <w:tblCellMar>
        <w:top w:w="0" w:type="dxa"/>
        <w:left w:w="0" w:type="dxa"/>
        <w:bottom w:w="0" w:type="dxa"/>
        <w:right w:w="0" w:type="dxa"/>
      </w:tblCellMar>
    </w:tblPr>
  </w:style>
  <w:style w:type="table" w:customStyle="1" w:styleId="PERstyle32">
    <w:name w:val="PER style32"/>
    <w:basedOn w:val="TableNormal"/>
    <w:uiPriority w:val="99"/>
    <w:rsid w:val="009B2D9D"/>
    <w:pPr>
      <w:spacing w:before="100" w:beforeAutospacing="1" w:after="0" w:afterAutospacing="1" w:line="240" w:lineRule="auto"/>
      <w:jc w:val="both"/>
    </w:pPr>
    <w:rPr>
      <w:kern w:val="0"/>
      <w:lang w:val="sr-Latn-ME"/>
      <w14:ligatures w14:val="none"/>
    </w:rPr>
    <w:tblPr/>
  </w:style>
  <w:style w:type="table" w:customStyle="1" w:styleId="PlainTable4132">
    <w:name w:val="Plain Table 4132"/>
    <w:basedOn w:val="TableNormal"/>
    <w:uiPriority w:val="44"/>
    <w:rsid w:val="009B2D9D"/>
    <w:pPr>
      <w:spacing w:before="100" w:beforeAutospacing="1" w:after="0" w:afterAutospacing="1" w:line="240" w:lineRule="auto"/>
      <w:jc w:val="both"/>
    </w:pPr>
    <w:rPr>
      <w:kern w:val="0"/>
      <w:lang w:val="sr-Latn-ME"/>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262">
    <w:name w:val="No List262"/>
    <w:next w:val="NoList"/>
    <w:uiPriority w:val="99"/>
    <w:semiHidden/>
    <w:unhideWhenUsed/>
    <w:rsid w:val="009B2D9D"/>
  </w:style>
  <w:style w:type="numbering" w:customStyle="1" w:styleId="NoList352">
    <w:name w:val="No List352"/>
    <w:next w:val="NoList"/>
    <w:uiPriority w:val="99"/>
    <w:semiHidden/>
    <w:unhideWhenUsed/>
    <w:rsid w:val="009B2D9D"/>
  </w:style>
  <w:style w:type="numbering" w:customStyle="1" w:styleId="Radovan152">
    <w:name w:val="Radovan152"/>
    <w:uiPriority w:val="99"/>
    <w:rsid w:val="009B2D9D"/>
  </w:style>
  <w:style w:type="numbering" w:customStyle="1" w:styleId="Style1152">
    <w:name w:val="Style1152"/>
    <w:uiPriority w:val="99"/>
    <w:rsid w:val="009B2D9D"/>
  </w:style>
  <w:style w:type="numbering" w:customStyle="1" w:styleId="Style2152">
    <w:name w:val="Style2152"/>
    <w:uiPriority w:val="99"/>
    <w:rsid w:val="009B2D9D"/>
  </w:style>
  <w:style w:type="numbering" w:customStyle="1" w:styleId="NoList1262">
    <w:name w:val="No List1262"/>
    <w:next w:val="NoList"/>
    <w:uiPriority w:val="99"/>
    <w:semiHidden/>
    <w:unhideWhenUsed/>
    <w:rsid w:val="009B2D9D"/>
  </w:style>
  <w:style w:type="numbering" w:customStyle="1" w:styleId="NoList11262">
    <w:name w:val="No List11262"/>
    <w:next w:val="NoList"/>
    <w:uiPriority w:val="99"/>
    <w:semiHidden/>
    <w:unhideWhenUsed/>
    <w:rsid w:val="009B2D9D"/>
  </w:style>
  <w:style w:type="numbering" w:customStyle="1" w:styleId="NoList111162">
    <w:name w:val="No List111162"/>
    <w:next w:val="NoList"/>
    <w:uiPriority w:val="99"/>
    <w:semiHidden/>
    <w:unhideWhenUsed/>
    <w:rsid w:val="009B2D9D"/>
  </w:style>
  <w:style w:type="numbering" w:customStyle="1" w:styleId="Style11152">
    <w:name w:val="Style11152"/>
    <w:uiPriority w:val="99"/>
    <w:rsid w:val="009B2D9D"/>
  </w:style>
  <w:style w:type="table" w:customStyle="1" w:styleId="GridTable1Light-Accent1123">
    <w:name w:val="Grid Table 1 Light - Accent 1123"/>
    <w:basedOn w:val="TableNormal"/>
    <w:uiPriority w:val="46"/>
    <w:rsid w:val="009B2D9D"/>
    <w:pPr>
      <w:spacing w:before="100" w:beforeAutospacing="1" w:after="0" w:afterAutospacing="1" w:line="240" w:lineRule="auto"/>
      <w:jc w:val="both"/>
    </w:pPr>
    <w:rPr>
      <w:rFonts w:ascii="Calibri" w:eastAsia="Calibri" w:hAnsi="Calibri" w:cs="Times New Roman"/>
      <w:kern w:val="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ListTable1Light-Accent1122">
    <w:name w:val="List Table 1 Light - Accent 1122"/>
    <w:basedOn w:val="TableNormal"/>
    <w:uiPriority w:val="46"/>
    <w:rsid w:val="009B2D9D"/>
    <w:pPr>
      <w:spacing w:before="100" w:beforeAutospacing="1" w:after="0" w:afterAutospacing="1" w:line="240" w:lineRule="auto"/>
      <w:jc w:val="both"/>
    </w:pPr>
    <w:rPr>
      <w:kern w:val="0"/>
      <w14:ligatures w14:val="none"/>
    </w:rPr>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1122">
    <w:name w:val="Grid Table 5 Dark - Accent 1122"/>
    <w:basedOn w:val="TableNormal"/>
    <w:uiPriority w:val="50"/>
    <w:rsid w:val="009B2D9D"/>
    <w:pPr>
      <w:spacing w:before="100" w:beforeAutospacing="1" w:after="0" w:afterAutospacing="1" w:line="240" w:lineRule="auto"/>
      <w:jc w:val="both"/>
    </w:pPr>
    <w:rPr>
      <w:kern w:val="0"/>
      <w:lang w:val="en-GB"/>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1222">
    <w:name w:val="Grid Table 5 Dark - Accent 1222"/>
    <w:basedOn w:val="TableNormal"/>
    <w:uiPriority w:val="50"/>
    <w:rsid w:val="009B2D9D"/>
    <w:pPr>
      <w:spacing w:before="100" w:beforeAutospacing="1" w:after="0" w:afterAutospacing="1" w:line="240" w:lineRule="auto"/>
      <w:jc w:val="both"/>
    </w:pPr>
    <w:rPr>
      <w:kern w:val="0"/>
      <w:lang w:val="en-GB"/>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6Colorful-Accent5122">
    <w:name w:val="Grid Table 6 Colorful - Accent 5122"/>
    <w:basedOn w:val="TableNormal"/>
    <w:uiPriority w:val="51"/>
    <w:rsid w:val="009B2D9D"/>
    <w:pPr>
      <w:spacing w:before="100" w:beforeAutospacing="1" w:after="0" w:afterAutospacing="1" w:line="240" w:lineRule="auto"/>
      <w:jc w:val="both"/>
    </w:pPr>
    <w:rPr>
      <w:color w:val="2F5496"/>
      <w:kern w:val="0"/>
      <w:lang w:val="en-GB"/>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numbering" w:customStyle="1" w:styleId="NoList2162">
    <w:name w:val="No List2162"/>
    <w:next w:val="NoList"/>
    <w:uiPriority w:val="99"/>
    <w:semiHidden/>
    <w:unhideWhenUsed/>
    <w:rsid w:val="009B2D9D"/>
  </w:style>
  <w:style w:type="numbering" w:customStyle="1" w:styleId="Radovan1122">
    <w:name w:val="Radovan1122"/>
    <w:uiPriority w:val="99"/>
    <w:rsid w:val="009B2D9D"/>
  </w:style>
  <w:style w:type="numbering" w:customStyle="1" w:styleId="Style1242">
    <w:name w:val="Style1242"/>
    <w:uiPriority w:val="99"/>
    <w:rsid w:val="009B2D9D"/>
  </w:style>
  <w:style w:type="numbering" w:customStyle="1" w:styleId="Style21122">
    <w:name w:val="Style21122"/>
    <w:uiPriority w:val="99"/>
    <w:rsid w:val="009B2D9D"/>
  </w:style>
  <w:style w:type="numbering" w:customStyle="1" w:styleId="NoList12152">
    <w:name w:val="No List12152"/>
    <w:next w:val="NoList"/>
    <w:uiPriority w:val="99"/>
    <w:semiHidden/>
    <w:unhideWhenUsed/>
    <w:rsid w:val="009B2D9D"/>
  </w:style>
  <w:style w:type="numbering" w:customStyle="1" w:styleId="NoList112152">
    <w:name w:val="No List112152"/>
    <w:next w:val="NoList"/>
    <w:uiPriority w:val="99"/>
    <w:semiHidden/>
    <w:unhideWhenUsed/>
    <w:rsid w:val="009B2D9D"/>
  </w:style>
  <w:style w:type="numbering" w:customStyle="1" w:styleId="NoList1111152">
    <w:name w:val="No List1111152"/>
    <w:next w:val="NoList"/>
    <w:uiPriority w:val="99"/>
    <w:semiHidden/>
    <w:unhideWhenUsed/>
    <w:rsid w:val="009B2D9D"/>
  </w:style>
  <w:style w:type="numbering" w:customStyle="1" w:styleId="NoList21152">
    <w:name w:val="No List21152"/>
    <w:next w:val="NoList"/>
    <w:uiPriority w:val="99"/>
    <w:semiHidden/>
    <w:unhideWhenUsed/>
    <w:rsid w:val="009B2D9D"/>
  </w:style>
  <w:style w:type="table" w:customStyle="1" w:styleId="TableGrid232">
    <w:name w:val="Table Grid232"/>
    <w:basedOn w:val="TableNormal"/>
    <w:next w:val="TableGrid"/>
    <w:uiPriority w:val="59"/>
    <w:rsid w:val="009B2D9D"/>
    <w:pPr>
      <w:spacing w:before="100" w:beforeAutospacing="1" w:after="0" w:afterAutospacing="1" w:line="240" w:lineRule="auto"/>
      <w:jc w:val="both"/>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22">
    <w:name w:val="No List11111122"/>
    <w:next w:val="NoList"/>
    <w:uiPriority w:val="99"/>
    <w:semiHidden/>
    <w:unhideWhenUsed/>
    <w:rsid w:val="009B2D9D"/>
  </w:style>
  <w:style w:type="table" w:customStyle="1" w:styleId="TableGrid2122">
    <w:name w:val="Table Grid2122"/>
    <w:basedOn w:val="TableNormal"/>
    <w:next w:val="TableGrid"/>
    <w:uiPriority w:val="59"/>
    <w:rsid w:val="009B2D9D"/>
    <w:pPr>
      <w:spacing w:before="100" w:beforeAutospacing="1" w:after="0" w:afterAutospacing="1" w:line="240" w:lineRule="auto"/>
      <w:jc w:val="both"/>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2">
    <w:name w:val="Table Grid1322"/>
    <w:basedOn w:val="TableNormal"/>
    <w:next w:val="TableGrid"/>
    <w:uiPriority w:val="39"/>
    <w:rsid w:val="009B2D9D"/>
    <w:pPr>
      <w:spacing w:before="100" w:beforeAutospacing="1" w:after="0" w:afterAutospacing="1" w:line="240" w:lineRule="auto"/>
      <w:jc w:val="both"/>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52">
    <w:name w:val="No List3152"/>
    <w:next w:val="NoList"/>
    <w:uiPriority w:val="99"/>
    <w:semiHidden/>
    <w:unhideWhenUsed/>
    <w:rsid w:val="009B2D9D"/>
  </w:style>
  <w:style w:type="table" w:customStyle="1" w:styleId="TableGrid322">
    <w:name w:val="Table Grid322"/>
    <w:basedOn w:val="TableNormal"/>
    <w:next w:val="TableGrid"/>
    <w:uiPriority w:val="39"/>
    <w:rsid w:val="009B2D9D"/>
    <w:pPr>
      <w:spacing w:before="100" w:beforeAutospacing="1" w:after="0" w:afterAutospacing="1" w:line="240" w:lineRule="auto"/>
      <w:jc w:val="both"/>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122">
    <w:name w:val="Light Shading - Accent 11122"/>
    <w:basedOn w:val="TableNormal"/>
    <w:uiPriority w:val="60"/>
    <w:locked/>
    <w:rsid w:val="009B2D9D"/>
    <w:pPr>
      <w:spacing w:before="100" w:beforeAutospacing="1" w:after="0" w:afterAutospacing="1" w:line="240" w:lineRule="auto"/>
      <w:jc w:val="both"/>
    </w:pPr>
    <w:rPr>
      <w:rFonts w:ascii="Calibri" w:eastAsia="Times New Roman" w:hAnsi="Calibri" w:cs="Times New Roman"/>
      <w:color w:val="365F91"/>
      <w:kern w:val="0"/>
      <w:sz w:val="20"/>
      <w:szCs w:val="20"/>
      <w:lang w:val="sr-Latn-CS" w:eastAsia="sr-Latn-CS" w:bidi="en-US"/>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3132">
    <w:name w:val="Light Shading - Accent 3132"/>
    <w:basedOn w:val="TableNormal"/>
    <w:next w:val="LightShading-Accent3"/>
    <w:uiPriority w:val="60"/>
    <w:locked/>
    <w:rsid w:val="009B2D9D"/>
    <w:pPr>
      <w:spacing w:before="100" w:beforeAutospacing="1" w:after="0" w:afterAutospacing="1" w:line="240" w:lineRule="auto"/>
      <w:jc w:val="both"/>
    </w:pPr>
    <w:rPr>
      <w:rFonts w:ascii="Calibri" w:eastAsia="Calibri" w:hAnsi="Calibri" w:cs="Times New Roman"/>
      <w:color w:val="7B7B7B"/>
      <w:kern w:val="0"/>
      <w:sz w:val="20"/>
      <w:szCs w:val="20"/>
      <w14:ligatures w14:val="none"/>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LightList-Accent2132">
    <w:name w:val="Light List - Accent 2132"/>
    <w:basedOn w:val="TableNormal"/>
    <w:next w:val="LightList-Accent2"/>
    <w:uiPriority w:val="61"/>
    <w:rsid w:val="009B2D9D"/>
    <w:pPr>
      <w:spacing w:before="100" w:beforeAutospacing="1" w:after="0" w:afterAutospacing="1" w:line="240" w:lineRule="auto"/>
      <w:jc w:val="both"/>
    </w:pPr>
    <w:rPr>
      <w:rFonts w:eastAsia="Times New Roman"/>
      <w:kern w:val="0"/>
      <w:lang w:val="sr-Latn-CS" w:eastAsia="sr-Latn-CS"/>
      <w14:ligatures w14:val="none"/>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TableNormal1222">
    <w:name w:val="Table Normal1222"/>
    <w:uiPriority w:val="2"/>
    <w:semiHidden/>
    <w:unhideWhenUsed/>
    <w:qFormat/>
    <w:rsid w:val="009B2D9D"/>
    <w:pPr>
      <w:widowControl w:val="0"/>
      <w:spacing w:before="100" w:beforeAutospacing="1" w:after="0" w:afterAutospacing="1" w:line="240" w:lineRule="auto"/>
      <w:jc w:val="both"/>
    </w:pPr>
    <w:rPr>
      <w:kern w:val="0"/>
      <w14:ligatures w14:val="none"/>
    </w:rPr>
    <w:tblPr>
      <w:tblInd w:w="0" w:type="dxa"/>
      <w:tblCellMar>
        <w:top w:w="0" w:type="dxa"/>
        <w:left w:w="0" w:type="dxa"/>
        <w:bottom w:w="0" w:type="dxa"/>
        <w:right w:w="0" w:type="dxa"/>
      </w:tblCellMar>
    </w:tblPr>
  </w:style>
  <w:style w:type="numbering" w:customStyle="1" w:styleId="NoList121122">
    <w:name w:val="No List121122"/>
    <w:next w:val="NoList"/>
    <w:uiPriority w:val="99"/>
    <w:semiHidden/>
    <w:unhideWhenUsed/>
    <w:rsid w:val="009B2D9D"/>
  </w:style>
  <w:style w:type="numbering" w:customStyle="1" w:styleId="NoList1121122">
    <w:name w:val="No List1121122"/>
    <w:next w:val="NoList"/>
    <w:uiPriority w:val="99"/>
    <w:semiHidden/>
    <w:unhideWhenUsed/>
    <w:rsid w:val="009B2D9D"/>
  </w:style>
  <w:style w:type="table" w:customStyle="1" w:styleId="TableElegant122">
    <w:name w:val="Table Elegant122"/>
    <w:basedOn w:val="TableNormal"/>
    <w:next w:val="TableElegant"/>
    <w:rsid w:val="009B2D9D"/>
    <w:pPr>
      <w:spacing w:before="100" w:beforeAutospacing="1" w:after="0" w:afterAutospacing="1" w:line="240" w:lineRule="auto"/>
      <w:jc w:val="both"/>
    </w:pPr>
    <w:rPr>
      <w:rFonts w:ascii="Times New Roman" w:eastAsia="Times New Roman" w:hAnsi="Times New Roman" w:cs="Times New Roman"/>
      <w:kern w:val="0"/>
      <w:sz w:val="20"/>
      <w:szCs w:val="20"/>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NoList111252">
    <w:name w:val="No List111252"/>
    <w:next w:val="NoList"/>
    <w:uiPriority w:val="99"/>
    <w:semiHidden/>
    <w:unhideWhenUsed/>
    <w:rsid w:val="009B2D9D"/>
  </w:style>
  <w:style w:type="table" w:customStyle="1" w:styleId="TableNormal11122">
    <w:name w:val="Table Normal11122"/>
    <w:uiPriority w:val="2"/>
    <w:semiHidden/>
    <w:unhideWhenUsed/>
    <w:qFormat/>
    <w:rsid w:val="009B2D9D"/>
    <w:pPr>
      <w:widowControl w:val="0"/>
      <w:spacing w:before="100" w:beforeAutospacing="1" w:after="0" w:afterAutospacing="1" w:line="240" w:lineRule="auto"/>
      <w:jc w:val="both"/>
    </w:pPr>
    <w:rPr>
      <w:kern w:val="0"/>
      <w14:ligatures w14:val="none"/>
    </w:rPr>
    <w:tblPr>
      <w:tblInd w:w="0" w:type="dxa"/>
      <w:tblCellMar>
        <w:top w:w="0" w:type="dxa"/>
        <w:left w:w="0" w:type="dxa"/>
        <w:bottom w:w="0" w:type="dxa"/>
        <w:right w:w="0" w:type="dxa"/>
      </w:tblCellMar>
    </w:tblPr>
  </w:style>
  <w:style w:type="table" w:customStyle="1" w:styleId="PERstyle122">
    <w:name w:val="PER style122"/>
    <w:basedOn w:val="TableNormal"/>
    <w:uiPriority w:val="99"/>
    <w:rsid w:val="009B2D9D"/>
    <w:pPr>
      <w:spacing w:before="100" w:beforeAutospacing="1" w:after="0" w:afterAutospacing="1" w:line="240" w:lineRule="auto"/>
      <w:jc w:val="both"/>
    </w:pPr>
    <w:rPr>
      <w:kern w:val="0"/>
      <w14:ligatures w14:val="none"/>
    </w:rPr>
    <w:tblPr/>
  </w:style>
  <w:style w:type="table" w:customStyle="1" w:styleId="PlainTable41132">
    <w:name w:val="Plain Table 41132"/>
    <w:basedOn w:val="TableNormal"/>
    <w:uiPriority w:val="44"/>
    <w:rsid w:val="009B2D9D"/>
    <w:pPr>
      <w:spacing w:before="100" w:beforeAutospacing="1" w:after="0" w:afterAutospacing="1" w:line="240" w:lineRule="auto"/>
      <w:jc w:val="both"/>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211122">
    <w:name w:val="No List211122"/>
    <w:next w:val="NoList"/>
    <w:uiPriority w:val="99"/>
    <w:semiHidden/>
    <w:unhideWhenUsed/>
    <w:rsid w:val="009B2D9D"/>
  </w:style>
  <w:style w:type="table" w:customStyle="1" w:styleId="PlainTable2142">
    <w:name w:val="Plain Table 2142"/>
    <w:basedOn w:val="TableNormal"/>
    <w:uiPriority w:val="42"/>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Light142">
    <w:name w:val="Table Grid Light142"/>
    <w:basedOn w:val="TableNormal"/>
    <w:uiPriority w:val="40"/>
    <w:rsid w:val="009B2D9D"/>
    <w:pPr>
      <w:spacing w:before="100" w:beforeAutospacing="1" w:after="0" w:afterAutospacing="1" w:line="240" w:lineRule="auto"/>
      <w:jc w:val="both"/>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252">
    <w:name w:val="Table Grid Light252"/>
    <w:basedOn w:val="TableNormal"/>
    <w:uiPriority w:val="40"/>
    <w:rsid w:val="009B2D9D"/>
    <w:pPr>
      <w:spacing w:before="100" w:beforeAutospacing="1" w:after="0" w:afterAutospacing="1" w:line="240" w:lineRule="auto"/>
      <w:jc w:val="both"/>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2132">
    <w:name w:val="Table Grid Light2132"/>
    <w:basedOn w:val="TableNormal"/>
    <w:uiPriority w:val="40"/>
    <w:rsid w:val="009B2D9D"/>
    <w:pPr>
      <w:spacing w:before="100" w:beforeAutospacing="1" w:after="0" w:afterAutospacing="1" w:line="240" w:lineRule="auto"/>
      <w:jc w:val="both"/>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422">
    <w:name w:val="Table Grid422"/>
    <w:basedOn w:val="TableNormal"/>
    <w:next w:val="TableGrid"/>
    <w:uiPriority w:val="39"/>
    <w:rsid w:val="009B2D9D"/>
    <w:pPr>
      <w:spacing w:before="100" w:beforeAutospacing="1" w:after="0" w:afterAutospacing="1" w:line="240" w:lineRule="auto"/>
      <w:jc w:val="both"/>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2">
    <w:name w:val="No List442"/>
    <w:next w:val="NoList"/>
    <w:uiPriority w:val="99"/>
    <w:semiHidden/>
    <w:unhideWhenUsed/>
    <w:rsid w:val="009B2D9D"/>
  </w:style>
  <w:style w:type="numbering" w:customStyle="1" w:styleId="Radovan242">
    <w:name w:val="Radovan242"/>
    <w:uiPriority w:val="99"/>
    <w:rsid w:val="009B2D9D"/>
  </w:style>
  <w:style w:type="numbering" w:customStyle="1" w:styleId="Style1342">
    <w:name w:val="Style1342"/>
    <w:uiPriority w:val="99"/>
    <w:rsid w:val="009B2D9D"/>
  </w:style>
  <w:style w:type="numbering" w:customStyle="1" w:styleId="Style2242">
    <w:name w:val="Style2242"/>
    <w:uiPriority w:val="99"/>
    <w:rsid w:val="009B2D9D"/>
  </w:style>
  <w:style w:type="numbering" w:customStyle="1" w:styleId="NoList1342">
    <w:name w:val="No List1342"/>
    <w:next w:val="NoList"/>
    <w:uiPriority w:val="99"/>
    <w:semiHidden/>
    <w:unhideWhenUsed/>
    <w:rsid w:val="009B2D9D"/>
  </w:style>
  <w:style w:type="numbering" w:customStyle="1" w:styleId="NoList11342">
    <w:name w:val="No List11342"/>
    <w:next w:val="NoList"/>
    <w:uiPriority w:val="99"/>
    <w:semiHidden/>
    <w:unhideWhenUsed/>
    <w:rsid w:val="009B2D9D"/>
  </w:style>
  <w:style w:type="numbering" w:customStyle="1" w:styleId="NoList111342">
    <w:name w:val="No List111342"/>
    <w:next w:val="NoList"/>
    <w:uiPriority w:val="99"/>
    <w:semiHidden/>
    <w:unhideWhenUsed/>
    <w:rsid w:val="009B2D9D"/>
  </w:style>
  <w:style w:type="numbering" w:customStyle="1" w:styleId="NoList2242">
    <w:name w:val="No List2242"/>
    <w:next w:val="NoList"/>
    <w:uiPriority w:val="99"/>
    <w:semiHidden/>
    <w:unhideWhenUsed/>
    <w:rsid w:val="009B2D9D"/>
  </w:style>
  <w:style w:type="table" w:customStyle="1" w:styleId="PlainTable21122">
    <w:name w:val="Plain Table 21122"/>
    <w:basedOn w:val="TableNormal"/>
    <w:uiPriority w:val="42"/>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Light1122">
    <w:name w:val="Table Grid Light1122"/>
    <w:basedOn w:val="TableNormal"/>
    <w:uiPriority w:val="40"/>
    <w:rsid w:val="009B2D9D"/>
    <w:pPr>
      <w:spacing w:before="100" w:beforeAutospacing="1" w:after="0" w:afterAutospacing="1" w:line="240" w:lineRule="auto"/>
      <w:jc w:val="both"/>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2222">
    <w:name w:val="Table Grid Light2222"/>
    <w:basedOn w:val="TableNormal"/>
    <w:uiPriority w:val="40"/>
    <w:rsid w:val="009B2D9D"/>
    <w:pPr>
      <w:spacing w:before="100" w:beforeAutospacing="1" w:after="0" w:afterAutospacing="1" w:line="240" w:lineRule="auto"/>
      <w:jc w:val="both"/>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Style3152">
    <w:name w:val="Style3152"/>
    <w:uiPriority w:val="99"/>
    <w:rsid w:val="009B2D9D"/>
  </w:style>
  <w:style w:type="numbering" w:customStyle="1" w:styleId="NoList1111242">
    <w:name w:val="No List1111242"/>
    <w:next w:val="NoList"/>
    <w:uiPriority w:val="99"/>
    <w:semiHidden/>
    <w:unhideWhenUsed/>
    <w:rsid w:val="009B2D9D"/>
  </w:style>
  <w:style w:type="numbering" w:customStyle="1" w:styleId="NoList31122">
    <w:name w:val="No List31122"/>
    <w:next w:val="NoList"/>
    <w:uiPriority w:val="99"/>
    <w:semiHidden/>
    <w:unhideWhenUsed/>
    <w:rsid w:val="009B2D9D"/>
  </w:style>
  <w:style w:type="numbering" w:customStyle="1" w:styleId="NoList12242">
    <w:name w:val="No List12242"/>
    <w:next w:val="NoList"/>
    <w:uiPriority w:val="99"/>
    <w:semiHidden/>
    <w:unhideWhenUsed/>
    <w:rsid w:val="009B2D9D"/>
  </w:style>
  <w:style w:type="numbering" w:customStyle="1" w:styleId="NoList112242">
    <w:name w:val="No List112242"/>
    <w:next w:val="NoList"/>
    <w:uiPriority w:val="99"/>
    <w:semiHidden/>
    <w:unhideWhenUsed/>
    <w:rsid w:val="009B2D9D"/>
  </w:style>
  <w:style w:type="numbering" w:customStyle="1" w:styleId="NoList1112142">
    <w:name w:val="No List1112142"/>
    <w:next w:val="NoList"/>
    <w:uiPriority w:val="99"/>
    <w:semiHidden/>
    <w:unhideWhenUsed/>
    <w:rsid w:val="009B2D9D"/>
  </w:style>
  <w:style w:type="numbering" w:customStyle="1" w:styleId="NoList21242">
    <w:name w:val="No List21242"/>
    <w:next w:val="NoList"/>
    <w:uiPriority w:val="99"/>
    <w:semiHidden/>
    <w:unhideWhenUsed/>
    <w:rsid w:val="009B2D9D"/>
  </w:style>
  <w:style w:type="numbering" w:customStyle="1" w:styleId="NoList522">
    <w:name w:val="No List522"/>
    <w:next w:val="NoList"/>
    <w:uiPriority w:val="99"/>
    <w:semiHidden/>
    <w:unhideWhenUsed/>
    <w:rsid w:val="009B2D9D"/>
  </w:style>
  <w:style w:type="numbering" w:customStyle="1" w:styleId="Radovan322">
    <w:name w:val="Radovan322"/>
    <w:uiPriority w:val="99"/>
    <w:rsid w:val="009B2D9D"/>
  </w:style>
  <w:style w:type="numbering" w:customStyle="1" w:styleId="Style1422">
    <w:name w:val="Style1422"/>
    <w:uiPriority w:val="99"/>
    <w:rsid w:val="009B2D9D"/>
  </w:style>
  <w:style w:type="numbering" w:customStyle="1" w:styleId="Style2322">
    <w:name w:val="Style2322"/>
    <w:uiPriority w:val="99"/>
    <w:rsid w:val="009B2D9D"/>
  </w:style>
  <w:style w:type="numbering" w:customStyle="1" w:styleId="NoList1422">
    <w:name w:val="No List1422"/>
    <w:next w:val="NoList"/>
    <w:uiPriority w:val="99"/>
    <w:semiHidden/>
    <w:unhideWhenUsed/>
    <w:rsid w:val="009B2D9D"/>
  </w:style>
  <w:style w:type="numbering" w:customStyle="1" w:styleId="NoList11422">
    <w:name w:val="No List11422"/>
    <w:next w:val="NoList"/>
    <w:uiPriority w:val="99"/>
    <w:semiHidden/>
    <w:unhideWhenUsed/>
    <w:rsid w:val="009B2D9D"/>
  </w:style>
  <w:style w:type="numbering" w:customStyle="1" w:styleId="NoList111422">
    <w:name w:val="No List111422"/>
    <w:next w:val="NoList"/>
    <w:uiPriority w:val="99"/>
    <w:semiHidden/>
    <w:unhideWhenUsed/>
    <w:rsid w:val="009B2D9D"/>
  </w:style>
  <w:style w:type="numbering" w:customStyle="1" w:styleId="Style11222">
    <w:name w:val="Style11222"/>
    <w:uiPriority w:val="99"/>
    <w:rsid w:val="009B2D9D"/>
  </w:style>
  <w:style w:type="numbering" w:customStyle="1" w:styleId="NoList2322">
    <w:name w:val="No List2322"/>
    <w:next w:val="NoList"/>
    <w:uiPriority w:val="99"/>
    <w:semiHidden/>
    <w:unhideWhenUsed/>
    <w:rsid w:val="009B2D9D"/>
  </w:style>
  <w:style w:type="numbering" w:customStyle="1" w:styleId="Radovan1222">
    <w:name w:val="Radovan1222"/>
    <w:uiPriority w:val="99"/>
    <w:rsid w:val="009B2D9D"/>
  </w:style>
  <w:style w:type="numbering" w:customStyle="1" w:styleId="Style12122">
    <w:name w:val="Style12122"/>
    <w:uiPriority w:val="99"/>
    <w:rsid w:val="009B2D9D"/>
  </w:style>
  <w:style w:type="numbering" w:customStyle="1" w:styleId="Style21222">
    <w:name w:val="Style21222"/>
    <w:uiPriority w:val="99"/>
    <w:rsid w:val="009B2D9D"/>
  </w:style>
  <w:style w:type="numbering" w:customStyle="1" w:styleId="NoList12322">
    <w:name w:val="No List12322"/>
    <w:next w:val="NoList"/>
    <w:uiPriority w:val="99"/>
    <w:semiHidden/>
    <w:unhideWhenUsed/>
    <w:rsid w:val="009B2D9D"/>
  </w:style>
  <w:style w:type="numbering" w:customStyle="1" w:styleId="NoList112322">
    <w:name w:val="No List112322"/>
    <w:next w:val="NoList"/>
    <w:uiPriority w:val="99"/>
    <w:semiHidden/>
    <w:unhideWhenUsed/>
    <w:rsid w:val="009B2D9D"/>
  </w:style>
  <w:style w:type="numbering" w:customStyle="1" w:styleId="NoList1111322">
    <w:name w:val="No List1111322"/>
    <w:next w:val="NoList"/>
    <w:uiPriority w:val="99"/>
    <w:semiHidden/>
    <w:unhideWhenUsed/>
    <w:rsid w:val="009B2D9D"/>
  </w:style>
  <w:style w:type="numbering" w:customStyle="1" w:styleId="NoList21322">
    <w:name w:val="No List21322"/>
    <w:next w:val="NoList"/>
    <w:uiPriority w:val="99"/>
    <w:semiHidden/>
    <w:unhideWhenUsed/>
    <w:rsid w:val="009B2D9D"/>
  </w:style>
  <w:style w:type="numbering" w:customStyle="1" w:styleId="NoList11111222">
    <w:name w:val="No List11111222"/>
    <w:next w:val="NoList"/>
    <w:uiPriority w:val="99"/>
    <w:semiHidden/>
    <w:unhideWhenUsed/>
    <w:rsid w:val="009B2D9D"/>
  </w:style>
  <w:style w:type="numbering" w:customStyle="1" w:styleId="NoList3222">
    <w:name w:val="No List3222"/>
    <w:next w:val="NoList"/>
    <w:uiPriority w:val="99"/>
    <w:semiHidden/>
    <w:unhideWhenUsed/>
    <w:rsid w:val="009B2D9D"/>
  </w:style>
  <w:style w:type="numbering" w:customStyle="1" w:styleId="NoList121222">
    <w:name w:val="No List121222"/>
    <w:next w:val="NoList"/>
    <w:uiPriority w:val="99"/>
    <w:semiHidden/>
    <w:unhideWhenUsed/>
    <w:rsid w:val="009B2D9D"/>
  </w:style>
  <w:style w:type="numbering" w:customStyle="1" w:styleId="NoList1121222">
    <w:name w:val="No List1121222"/>
    <w:next w:val="NoList"/>
    <w:uiPriority w:val="99"/>
    <w:semiHidden/>
    <w:unhideWhenUsed/>
    <w:rsid w:val="009B2D9D"/>
  </w:style>
  <w:style w:type="numbering" w:customStyle="1" w:styleId="NoList1112222">
    <w:name w:val="No List1112222"/>
    <w:next w:val="NoList"/>
    <w:uiPriority w:val="99"/>
    <w:semiHidden/>
    <w:unhideWhenUsed/>
    <w:rsid w:val="009B2D9D"/>
  </w:style>
  <w:style w:type="numbering" w:customStyle="1" w:styleId="NoList211222">
    <w:name w:val="No List211222"/>
    <w:next w:val="NoList"/>
    <w:uiPriority w:val="99"/>
    <w:semiHidden/>
    <w:unhideWhenUsed/>
    <w:rsid w:val="009B2D9D"/>
  </w:style>
  <w:style w:type="numbering" w:customStyle="1" w:styleId="Style3222">
    <w:name w:val="Style3222"/>
    <w:uiPriority w:val="99"/>
    <w:rsid w:val="009B2D9D"/>
  </w:style>
  <w:style w:type="numbering" w:customStyle="1" w:styleId="NoList4122">
    <w:name w:val="No List4122"/>
    <w:next w:val="NoList"/>
    <w:uiPriority w:val="99"/>
    <w:semiHidden/>
    <w:unhideWhenUsed/>
    <w:rsid w:val="009B2D9D"/>
  </w:style>
  <w:style w:type="numbering" w:customStyle="1" w:styleId="Radovan2122">
    <w:name w:val="Radovan2122"/>
    <w:uiPriority w:val="99"/>
    <w:rsid w:val="009B2D9D"/>
  </w:style>
  <w:style w:type="numbering" w:customStyle="1" w:styleId="Style13122">
    <w:name w:val="Style13122"/>
    <w:uiPriority w:val="99"/>
    <w:rsid w:val="009B2D9D"/>
  </w:style>
  <w:style w:type="numbering" w:customStyle="1" w:styleId="Style22122">
    <w:name w:val="Style22122"/>
    <w:uiPriority w:val="99"/>
    <w:rsid w:val="009B2D9D"/>
  </w:style>
  <w:style w:type="numbering" w:customStyle="1" w:styleId="NoList13122">
    <w:name w:val="No List13122"/>
    <w:next w:val="NoList"/>
    <w:uiPriority w:val="99"/>
    <w:semiHidden/>
    <w:unhideWhenUsed/>
    <w:rsid w:val="009B2D9D"/>
  </w:style>
  <w:style w:type="numbering" w:customStyle="1" w:styleId="NoList113122">
    <w:name w:val="No List113122"/>
    <w:next w:val="NoList"/>
    <w:uiPriority w:val="99"/>
    <w:semiHidden/>
    <w:unhideWhenUsed/>
    <w:rsid w:val="009B2D9D"/>
  </w:style>
  <w:style w:type="numbering" w:customStyle="1" w:styleId="NoList1113122">
    <w:name w:val="No List1113122"/>
    <w:next w:val="NoList"/>
    <w:uiPriority w:val="99"/>
    <w:semiHidden/>
    <w:unhideWhenUsed/>
    <w:rsid w:val="009B2D9D"/>
  </w:style>
  <w:style w:type="numbering" w:customStyle="1" w:styleId="Style111222">
    <w:name w:val="Style111222"/>
    <w:uiPriority w:val="99"/>
    <w:rsid w:val="009B2D9D"/>
  </w:style>
  <w:style w:type="numbering" w:customStyle="1" w:styleId="NoList22122">
    <w:name w:val="No List22122"/>
    <w:next w:val="NoList"/>
    <w:uiPriority w:val="99"/>
    <w:semiHidden/>
    <w:unhideWhenUsed/>
    <w:rsid w:val="009B2D9D"/>
  </w:style>
  <w:style w:type="numbering" w:customStyle="1" w:styleId="Style31222">
    <w:name w:val="Style31222"/>
    <w:uiPriority w:val="99"/>
    <w:rsid w:val="009B2D9D"/>
  </w:style>
  <w:style w:type="numbering" w:customStyle="1" w:styleId="NoList11112122">
    <w:name w:val="No List11112122"/>
    <w:next w:val="NoList"/>
    <w:uiPriority w:val="99"/>
    <w:semiHidden/>
    <w:unhideWhenUsed/>
    <w:rsid w:val="009B2D9D"/>
  </w:style>
  <w:style w:type="numbering" w:customStyle="1" w:styleId="NoList31222">
    <w:name w:val="No List31222"/>
    <w:next w:val="NoList"/>
    <w:uiPriority w:val="99"/>
    <w:semiHidden/>
    <w:unhideWhenUsed/>
    <w:rsid w:val="009B2D9D"/>
  </w:style>
  <w:style w:type="numbering" w:customStyle="1" w:styleId="NoList122122">
    <w:name w:val="No List122122"/>
    <w:next w:val="NoList"/>
    <w:uiPriority w:val="99"/>
    <w:semiHidden/>
    <w:unhideWhenUsed/>
    <w:rsid w:val="009B2D9D"/>
  </w:style>
  <w:style w:type="numbering" w:customStyle="1" w:styleId="NoList1122122">
    <w:name w:val="No List1122122"/>
    <w:next w:val="NoList"/>
    <w:uiPriority w:val="99"/>
    <w:semiHidden/>
    <w:unhideWhenUsed/>
    <w:rsid w:val="009B2D9D"/>
  </w:style>
  <w:style w:type="numbering" w:customStyle="1" w:styleId="NoList11121122">
    <w:name w:val="No List11121122"/>
    <w:next w:val="NoList"/>
    <w:uiPriority w:val="99"/>
    <w:semiHidden/>
    <w:unhideWhenUsed/>
    <w:rsid w:val="009B2D9D"/>
  </w:style>
  <w:style w:type="numbering" w:customStyle="1" w:styleId="NoList212122">
    <w:name w:val="No List212122"/>
    <w:next w:val="NoList"/>
    <w:uiPriority w:val="99"/>
    <w:semiHidden/>
    <w:unhideWhenUsed/>
    <w:rsid w:val="009B2D9D"/>
  </w:style>
  <w:style w:type="numbering" w:customStyle="1" w:styleId="Style311122">
    <w:name w:val="Style311122"/>
    <w:uiPriority w:val="99"/>
    <w:rsid w:val="009B2D9D"/>
  </w:style>
  <w:style w:type="numbering" w:customStyle="1" w:styleId="NoList622">
    <w:name w:val="No List622"/>
    <w:next w:val="NoList"/>
    <w:uiPriority w:val="99"/>
    <w:semiHidden/>
    <w:unhideWhenUsed/>
    <w:rsid w:val="009B2D9D"/>
  </w:style>
  <w:style w:type="numbering" w:customStyle="1" w:styleId="Radovan422">
    <w:name w:val="Radovan422"/>
    <w:uiPriority w:val="99"/>
    <w:rsid w:val="009B2D9D"/>
  </w:style>
  <w:style w:type="numbering" w:customStyle="1" w:styleId="Style1522">
    <w:name w:val="Style1522"/>
    <w:uiPriority w:val="99"/>
    <w:rsid w:val="009B2D9D"/>
  </w:style>
  <w:style w:type="numbering" w:customStyle="1" w:styleId="Style2422">
    <w:name w:val="Style2422"/>
    <w:uiPriority w:val="99"/>
    <w:rsid w:val="009B2D9D"/>
  </w:style>
  <w:style w:type="numbering" w:customStyle="1" w:styleId="NoList1522">
    <w:name w:val="No List1522"/>
    <w:next w:val="NoList"/>
    <w:uiPriority w:val="99"/>
    <w:semiHidden/>
    <w:unhideWhenUsed/>
    <w:rsid w:val="009B2D9D"/>
  </w:style>
  <w:style w:type="numbering" w:customStyle="1" w:styleId="NoList11522">
    <w:name w:val="No List11522"/>
    <w:next w:val="NoList"/>
    <w:uiPriority w:val="99"/>
    <w:semiHidden/>
    <w:unhideWhenUsed/>
    <w:rsid w:val="009B2D9D"/>
  </w:style>
  <w:style w:type="numbering" w:customStyle="1" w:styleId="NoList111522">
    <w:name w:val="No List111522"/>
    <w:next w:val="NoList"/>
    <w:uiPriority w:val="99"/>
    <w:semiHidden/>
    <w:unhideWhenUsed/>
    <w:rsid w:val="009B2D9D"/>
  </w:style>
  <w:style w:type="numbering" w:customStyle="1" w:styleId="Style11322">
    <w:name w:val="Style11322"/>
    <w:uiPriority w:val="99"/>
    <w:rsid w:val="009B2D9D"/>
  </w:style>
  <w:style w:type="numbering" w:customStyle="1" w:styleId="NoList2422">
    <w:name w:val="No List2422"/>
    <w:next w:val="NoList"/>
    <w:uiPriority w:val="99"/>
    <w:semiHidden/>
    <w:unhideWhenUsed/>
    <w:rsid w:val="009B2D9D"/>
  </w:style>
  <w:style w:type="numbering" w:customStyle="1" w:styleId="Style12222">
    <w:name w:val="Style12222"/>
    <w:uiPriority w:val="99"/>
    <w:rsid w:val="009B2D9D"/>
  </w:style>
  <w:style w:type="numbering" w:customStyle="1" w:styleId="Style21322">
    <w:name w:val="Style21322"/>
    <w:uiPriority w:val="99"/>
    <w:rsid w:val="009B2D9D"/>
  </w:style>
  <w:style w:type="numbering" w:customStyle="1" w:styleId="NoList12422">
    <w:name w:val="No List12422"/>
    <w:next w:val="NoList"/>
    <w:uiPriority w:val="99"/>
    <w:semiHidden/>
    <w:unhideWhenUsed/>
    <w:rsid w:val="009B2D9D"/>
  </w:style>
  <w:style w:type="numbering" w:customStyle="1" w:styleId="NoList112422">
    <w:name w:val="No List112422"/>
    <w:next w:val="NoList"/>
    <w:uiPriority w:val="99"/>
    <w:semiHidden/>
    <w:unhideWhenUsed/>
    <w:rsid w:val="009B2D9D"/>
  </w:style>
  <w:style w:type="numbering" w:customStyle="1" w:styleId="NoList1111422">
    <w:name w:val="No List1111422"/>
    <w:next w:val="NoList"/>
    <w:uiPriority w:val="99"/>
    <w:semiHidden/>
    <w:unhideWhenUsed/>
    <w:rsid w:val="009B2D9D"/>
  </w:style>
  <w:style w:type="numbering" w:customStyle="1" w:styleId="NoList21422">
    <w:name w:val="No List21422"/>
    <w:next w:val="NoList"/>
    <w:uiPriority w:val="99"/>
    <w:semiHidden/>
    <w:unhideWhenUsed/>
    <w:rsid w:val="009B2D9D"/>
  </w:style>
  <w:style w:type="numbering" w:customStyle="1" w:styleId="NoList11111322">
    <w:name w:val="No List11111322"/>
    <w:next w:val="NoList"/>
    <w:uiPriority w:val="99"/>
    <w:semiHidden/>
    <w:unhideWhenUsed/>
    <w:rsid w:val="009B2D9D"/>
  </w:style>
  <w:style w:type="numbering" w:customStyle="1" w:styleId="NoList3322">
    <w:name w:val="No List3322"/>
    <w:next w:val="NoList"/>
    <w:uiPriority w:val="99"/>
    <w:semiHidden/>
    <w:unhideWhenUsed/>
    <w:rsid w:val="009B2D9D"/>
  </w:style>
  <w:style w:type="numbering" w:customStyle="1" w:styleId="NoList121322">
    <w:name w:val="No List121322"/>
    <w:next w:val="NoList"/>
    <w:uiPriority w:val="99"/>
    <w:semiHidden/>
    <w:unhideWhenUsed/>
    <w:rsid w:val="009B2D9D"/>
  </w:style>
  <w:style w:type="numbering" w:customStyle="1" w:styleId="NoList1121322">
    <w:name w:val="No List1121322"/>
    <w:next w:val="NoList"/>
    <w:uiPriority w:val="99"/>
    <w:semiHidden/>
    <w:unhideWhenUsed/>
    <w:rsid w:val="009B2D9D"/>
  </w:style>
  <w:style w:type="numbering" w:customStyle="1" w:styleId="NoList1112322">
    <w:name w:val="No List1112322"/>
    <w:next w:val="NoList"/>
    <w:uiPriority w:val="99"/>
    <w:semiHidden/>
    <w:unhideWhenUsed/>
    <w:rsid w:val="009B2D9D"/>
  </w:style>
  <w:style w:type="numbering" w:customStyle="1" w:styleId="NoList211322">
    <w:name w:val="No List211322"/>
    <w:next w:val="NoList"/>
    <w:uiPriority w:val="99"/>
    <w:semiHidden/>
    <w:unhideWhenUsed/>
    <w:rsid w:val="009B2D9D"/>
  </w:style>
  <w:style w:type="numbering" w:customStyle="1" w:styleId="NoList4222">
    <w:name w:val="No List4222"/>
    <w:next w:val="NoList"/>
    <w:uiPriority w:val="99"/>
    <w:semiHidden/>
    <w:unhideWhenUsed/>
    <w:rsid w:val="009B2D9D"/>
  </w:style>
  <w:style w:type="numbering" w:customStyle="1" w:styleId="NoList13222">
    <w:name w:val="No List13222"/>
    <w:next w:val="NoList"/>
    <w:uiPriority w:val="99"/>
    <w:semiHidden/>
    <w:unhideWhenUsed/>
    <w:rsid w:val="009B2D9D"/>
  </w:style>
  <w:style w:type="numbering" w:customStyle="1" w:styleId="NoList113222">
    <w:name w:val="No List113222"/>
    <w:next w:val="NoList"/>
    <w:uiPriority w:val="99"/>
    <w:semiHidden/>
    <w:unhideWhenUsed/>
    <w:rsid w:val="009B2D9D"/>
  </w:style>
  <w:style w:type="numbering" w:customStyle="1" w:styleId="NoList1113222">
    <w:name w:val="No List1113222"/>
    <w:next w:val="NoList"/>
    <w:uiPriority w:val="99"/>
    <w:semiHidden/>
    <w:unhideWhenUsed/>
    <w:rsid w:val="009B2D9D"/>
  </w:style>
  <w:style w:type="numbering" w:customStyle="1" w:styleId="NoList22222">
    <w:name w:val="No List22222"/>
    <w:next w:val="NoList"/>
    <w:uiPriority w:val="99"/>
    <w:semiHidden/>
    <w:unhideWhenUsed/>
    <w:rsid w:val="009B2D9D"/>
  </w:style>
  <w:style w:type="numbering" w:customStyle="1" w:styleId="NoList11112222">
    <w:name w:val="No List11112222"/>
    <w:next w:val="NoList"/>
    <w:uiPriority w:val="99"/>
    <w:semiHidden/>
    <w:unhideWhenUsed/>
    <w:rsid w:val="009B2D9D"/>
  </w:style>
  <w:style w:type="numbering" w:customStyle="1" w:styleId="NoList31322">
    <w:name w:val="No List31322"/>
    <w:next w:val="NoList"/>
    <w:uiPriority w:val="99"/>
    <w:semiHidden/>
    <w:unhideWhenUsed/>
    <w:rsid w:val="009B2D9D"/>
  </w:style>
  <w:style w:type="numbering" w:customStyle="1" w:styleId="NoList122222">
    <w:name w:val="No List122222"/>
    <w:next w:val="NoList"/>
    <w:uiPriority w:val="99"/>
    <w:semiHidden/>
    <w:unhideWhenUsed/>
    <w:rsid w:val="009B2D9D"/>
  </w:style>
  <w:style w:type="numbering" w:customStyle="1" w:styleId="NoList1122222">
    <w:name w:val="No List1122222"/>
    <w:next w:val="NoList"/>
    <w:uiPriority w:val="99"/>
    <w:semiHidden/>
    <w:unhideWhenUsed/>
    <w:rsid w:val="009B2D9D"/>
  </w:style>
  <w:style w:type="numbering" w:customStyle="1" w:styleId="NoList11121222">
    <w:name w:val="No List11121222"/>
    <w:next w:val="NoList"/>
    <w:uiPriority w:val="99"/>
    <w:semiHidden/>
    <w:unhideWhenUsed/>
    <w:rsid w:val="009B2D9D"/>
  </w:style>
  <w:style w:type="numbering" w:customStyle="1" w:styleId="NoList212222">
    <w:name w:val="No List212222"/>
    <w:next w:val="NoList"/>
    <w:uiPriority w:val="99"/>
    <w:semiHidden/>
    <w:unhideWhenUsed/>
    <w:rsid w:val="009B2D9D"/>
  </w:style>
  <w:style w:type="table" w:customStyle="1" w:styleId="LightShading-Accent31122">
    <w:name w:val="Light Shading - Accent 31122"/>
    <w:basedOn w:val="TableNormal"/>
    <w:next w:val="LightShading-Accent3"/>
    <w:uiPriority w:val="60"/>
    <w:locked/>
    <w:rsid w:val="009B2D9D"/>
    <w:pPr>
      <w:spacing w:before="100" w:beforeAutospacing="1" w:after="0" w:afterAutospacing="1" w:line="240" w:lineRule="auto"/>
      <w:jc w:val="both"/>
    </w:pPr>
    <w:rPr>
      <w:rFonts w:ascii="Calibri" w:eastAsia="Calibri" w:hAnsi="Calibri" w:cs="Times New Roman"/>
      <w:color w:val="7B7B7B"/>
      <w:kern w:val="0"/>
      <w:sz w:val="20"/>
      <w:szCs w:val="20"/>
      <w14:ligatures w14:val="none"/>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LightList-Accent21122">
    <w:name w:val="Light List - Accent 21122"/>
    <w:basedOn w:val="TableNormal"/>
    <w:next w:val="LightList-Accent2"/>
    <w:uiPriority w:val="61"/>
    <w:rsid w:val="009B2D9D"/>
    <w:pPr>
      <w:spacing w:before="100" w:beforeAutospacing="1" w:after="0" w:afterAutospacing="1" w:line="240" w:lineRule="auto"/>
      <w:jc w:val="both"/>
    </w:pPr>
    <w:rPr>
      <w:rFonts w:eastAsia="Times New Roman"/>
      <w:kern w:val="0"/>
      <w:lang w:val="sr-Latn-CS" w:eastAsia="sr-Latn-CS"/>
      <w14:ligatures w14:val="none"/>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PlainTable411122">
    <w:name w:val="Plain Table 411122"/>
    <w:basedOn w:val="TableNormal"/>
    <w:uiPriority w:val="44"/>
    <w:rsid w:val="009B2D9D"/>
    <w:pPr>
      <w:spacing w:before="100" w:beforeAutospacing="1" w:after="0" w:afterAutospacing="1" w:line="240" w:lineRule="auto"/>
      <w:jc w:val="both"/>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222">
    <w:name w:val="Plain Table 21222"/>
    <w:basedOn w:val="TableNormal"/>
    <w:uiPriority w:val="42"/>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Light1222">
    <w:name w:val="Table Grid Light1222"/>
    <w:basedOn w:val="TableNormal"/>
    <w:uiPriority w:val="40"/>
    <w:rsid w:val="009B2D9D"/>
    <w:pPr>
      <w:spacing w:before="100" w:beforeAutospacing="1" w:after="0" w:afterAutospacing="1" w:line="240" w:lineRule="auto"/>
      <w:jc w:val="both"/>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2322">
    <w:name w:val="Table Grid Light2322"/>
    <w:basedOn w:val="TableNormal"/>
    <w:uiPriority w:val="40"/>
    <w:rsid w:val="009B2D9D"/>
    <w:pPr>
      <w:spacing w:before="100" w:beforeAutospacing="1" w:after="0" w:afterAutospacing="1" w:line="240" w:lineRule="auto"/>
      <w:jc w:val="both"/>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21122">
    <w:name w:val="Table Grid Light21122"/>
    <w:basedOn w:val="TableNormal"/>
    <w:uiPriority w:val="40"/>
    <w:rsid w:val="009B2D9D"/>
    <w:pPr>
      <w:spacing w:before="100" w:beforeAutospacing="1" w:after="0" w:afterAutospacing="1" w:line="240" w:lineRule="auto"/>
      <w:jc w:val="both"/>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2-Accent122">
    <w:name w:val="Grid Table 2 - Accent 122"/>
    <w:basedOn w:val="TableNormal"/>
    <w:next w:val="GridTable2-Accent11"/>
    <w:uiPriority w:val="47"/>
    <w:rsid w:val="009B2D9D"/>
    <w:pPr>
      <w:spacing w:before="100" w:beforeAutospacing="1" w:after="0" w:afterAutospacing="1" w:line="240" w:lineRule="auto"/>
      <w:jc w:val="both"/>
    </w:pPr>
    <w:rPr>
      <w:kern w:val="0"/>
      <w14:ligatures w14:val="none"/>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522">
    <w:name w:val="Grid Table 4 - Accent 522"/>
    <w:basedOn w:val="TableNormal"/>
    <w:next w:val="GridTable4-Accent51"/>
    <w:uiPriority w:val="49"/>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3-Accent522">
    <w:name w:val="Grid Table 3 - Accent 522"/>
    <w:basedOn w:val="TableNormal"/>
    <w:next w:val="GridTable3-Accent51"/>
    <w:uiPriority w:val="48"/>
    <w:locked/>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GridTable6Colorful-Accent532">
    <w:name w:val="Grid Table 6 Colorful - Accent 532"/>
    <w:basedOn w:val="TableNormal"/>
    <w:next w:val="GridTable6Colorful-Accent52"/>
    <w:uiPriority w:val="51"/>
    <w:rsid w:val="009B2D9D"/>
    <w:pPr>
      <w:spacing w:before="100" w:beforeAutospacing="1" w:after="0" w:afterAutospacing="1" w:line="240" w:lineRule="auto"/>
      <w:jc w:val="both"/>
    </w:pPr>
    <w:rPr>
      <w:color w:val="2F5496"/>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5Dark-Accent522">
    <w:name w:val="Grid Table 5 Dark - Accent 522"/>
    <w:basedOn w:val="TableNormal"/>
    <w:next w:val="GridTable5Dark-Accent51"/>
    <w:uiPriority w:val="50"/>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142">
    <w:name w:val="Grid Table 5 Dark - Accent 142"/>
    <w:basedOn w:val="TableNormal"/>
    <w:next w:val="GridTable5Dark-Accent13"/>
    <w:uiPriority w:val="50"/>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42">
    <w:name w:val="Table Grid Light42"/>
    <w:basedOn w:val="TableNormal"/>
    <w:next w:val="TableGridLight3"/>
    <w:uiPriority w:val="40"/>
    <w:rsid w:val="009B2D9D"/>
    <w:pPr>
      <w:spacing w:before="100" w:beforeAutospacing="1" w:after="0" w:afterAutospacing="1" w:line="240" w:lineRule="auto"/>
      <w:jc w:val="both"/>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122">
    <w:name w:val="Plain Table 122"/>
    <w:basedOn w:val="TableNormal"/>
    <w:next w:val="PlainTable11"/>
    <w:uiPriority w:val="41"/>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222">
    <w:name w:val="Grid Table 1 Light - Accent 222"/>
    <w:basedOn w:val="TableNormal"/>
    <w:next w:val="GridTable1Light-Accent21"/>
    <w:uiPriority w:val="46"/>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GridTable5Dark-Accent222">
    <w:name w:val="Grid Table 5 Dark - Accent 222"/>
    <w:basedOn w:val="TableNormal"/>
    <w:next w:val="GridTable5Dark-Accent21"/>
    <w:uiPriority w:val="50"/>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GridTable6Colorful-Accent222">
    <w:name w:val="Grid Table 6 Colorful - Accent 222"/>
    <w:basedOn w:val="TableNormal"/>
    <w:next w:val="GridTable6Colorful-Accent21"/>
    <w:uiPriority w:val="51"/>
    <w:rsid w:val="009B2D9D"/>
    <w:pPr>
      <w:spacing w:before="100" w:beforeAutospacing="1" w:after="0" w:afterAutospacing="1" w:line="240" w:lineRule="auto"/>
      <w:jc w:val="both"/>
    </w:pPr>
    <w:rPr>
      <w:color w:val="C45911"/>
      <w:kern w:val="0"/>
      <w14:ligatures w14:val="none"/>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6Colorful-Accent422">
    <w:name w:val="Grid Table 6 Colorful - Accent 422"/>
    <w:basedOn w:val="TableNormal"/>
    <w:next w:val="GridTable6Colorful-Accent41"/>
    <w:uiPriority w:val="51"/>
    <w:rsid w:val="009B2D9D"/>
    <w:pPr>
      <w:spacing w:before="100" w:beforeAutospacing="1" w:after="0" w:afterAutospacing="1" w:line="240" w:lineRule="auto"/>
      <w:jc w:val="both"/>
    </w:pPr>
    <w:rPr>
      <w:color w:val="BF8F00"/>
      <w:kern w:val="0"/>
      <w14:ligatures w14:val="none"/>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5Dark-Accent222">
    <w:name w:val="List Table 5 Dark - Accent 222"/>
    <w:basedOn w:val="TableNormal"/>
    <w:next w:val="ListTable5Dark-Accent21"/>
    <w:uiPriority w:val="50"/>
    <w:rsid w:val="009B2D9D"/>
    <w:pPr>
      <w:spacing w:before="100" w:beforeAutospacing="1" w:after="0" w:afterAutospacing="1" w:line="240" w:lineRule="auto"/>
      <w:jc w:val="both"/>
    </w:pPr>
    <w:rPr>
      <w:color w:val="FFFFFF"/>
      <w:kern w:val="0"/>
      <w14:ligatures w14:val="none"/>
    </w:rPr>
    <w:tblPr>
      <w:tblStyleRowBandSize w:val="1"/>
      <w:tblStyleColBandSize w:val="1"/>
      <w:tblBorders>
        <w:top w:val="single" w:sz="24" w:space="0" w:color="ED7D31"/>
        <w:left w:val="single" w:sz="24" w:space="0" w:color="ED7D31"/>
        <w:bottom w:val="single" w:sz="24" w:space="0" w:color="ED7D31"/>
        <w:right w:val="single" w:sz="24" w:space="0" w:color="ED7D31"/>
      </w:tblBorders>
    </w:tblPr>
    <w:tcPr>
      <w:shd w:val="clear" w:color="auto" w:fill="ED7D31"/>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3-Accent222">
    <w:name w:val="List Table 3 - Accent 222"/>
    <w:basedOn w:val="TableNormal"/>
    <w:next w:val="ListTable3-Accent21"/>
    <w:uiPriority w:val="48"/>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ED7D31"/>
        <w:left w:val="single" w:sz="4" w:space="0" w:color="ED7D31"/>
        <w:bottom w:val="single" w:sz="4" w:space="0" w:color="ED7D31"/>
        <w:right w:val="single" w:sz="4" w:space="0" w:color="ED7D31"/>
      </w:tblBorders>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table" w:customStyle="1" w:styleId="ListTable3-Accent422">
    <w:name w:val="List Table 3 - Accent 422"/>
    <w:basedOn w:val="TableNormal"/>
    <w:next w:val="ListTable3-Accent41"/>
    <w:uiPriority w:val="48"/>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ListTable6Colorful-Accent422">
    <w:name w:val="List Table 6 Colorful - Accent 422"/>
    <w:basedOn w:val="TableNormal"/>
    <w:next w:val="ListTable6Colorful-Accent41"/>
    <w:uiPriority w:val="51"/>
    <w:rsid w:val="009B2D9D"/>
    <w:pPr>
      <w:spacing w:before="100" w:beforeAutospacing="1" w:after="0" w:afterAutospacing="1" w:line="240" w:lineRule="auto"/>
      <w:jc w:val="both"/>
    </w:pPr>
    <w:rPr>
      <w:color w:val="BF8F00"/>
      <w:kern w:val="0"/>
      <w14:ligatures w14:val="none"/>
    </w:rPr>
    <w:tblPr>
      <w:tblStyleRowBandSize w:val="1"/>
      <w:tblStyleColBandSize w:val="1"/>
      <w:tblBorders>
        <w:top w:val="single" w:sz="4" w:space="0" w:color="FFC000"/>
        <w:bottom w:val="single" w:sz="4" w:space="0" w:color="FFC000"/>
      </w:tblBorders>
    </w:tblPr>
    <w:tblStylePr w:type="firstRow">
      <w:rPr>
        <w:b/>
        <w:bCs/>
      </w:rPr>
      <w:tblPr/>
      <w:tcPr>
        <w:tcBorders>
          <w:bottom w:val="single" w:sz="4" w:space="0" w:color="FFC000"/>
        </w:tcBorders>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4-Accent422">
    <w:name w:val="Grid Table 4 - Accent 422"/>
    <w:basedOn w:val="TableNormal"/>
    <w:next w:val="GridTable4-Accent41"/>
    <w:uiPriority w:val="49"/>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7Colorful-Accent422">
    <w:name w:val="List Table 7 Colorful - Accent 422"/>
    <w:basedOn w:val="TableNormal"/>
    <w:next w:val="ListTable7Colorful-Accent41"/>
    <w:uiPriority w:val="52"/>
    <w:locked/>
    <w:rsid w:val="009B2D9D"/>
    <w:pPr>
      <w:spacing w:before="100" w:beforeAutospacing="1" w:after="0" w:afterAutospacing="1" w:line="240" w:lineRule="auto"/>
      <w:jc w:val="both"/>
    </w:pPr>
    <w:rPr>
      <w:color w:val="BF8F00"/>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FFC000"/>
        </w:tcBorders>
        <w:shd w:val="clear" w:color="auto" w:fill="FFFFFF"/>
      </w:tcPr>
    </w:tblStylePr>
    <w:tblStylePr w:type="lastRow">
      <w:rPr>
        <w:rFonts w:ascii="Calibri Light" w:eastAsia="Times New Roman" w:hAnsi="Calibri Light" w:cs="Times New Roman"/>
        <w:i/>
        <w:iCs/>
        <w:sz w:val="26"/>
      </w:rPr>
      <w:tblPr/>
      <w:tcPr>
        <w:tcBorders>
          <w:top w:val="single" w:sz="4" w:space="0" w:color="FFC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FFC000"/>
        </w:tcBorders>
        <w:shd w:val="clear" w:color="auto" w:fill="FFFFFF"/>
      </w:tcPr>
    </w:tblStylePr>
    <w:tblStylePr w:type="lastCol">
      <w:rPr>
        <w:rFonts w:ascii="Calibri Light" w:eastAsia="Times New Roman" w:hAnsi="Calibri Light" w:cs="Times New Roman"/>
        <w:i/>
        <w:iCs/>
        <w:sz w:val="26"/>
      </w:rPr>
      <w:tblPr/>
      <w:tcPr>
        <w:tcBorders>
          <w:left w:val="single" w:sz="4" w:space="0" w:color="FFC000"/>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5Dark-Accent422">
    <w:name w:val="List Table 5 Dark - Accent 422"/>
    <w:basedOn w:val="TableNormal"/>
    <w:next w:val="ListTable5Dark-Accent41"/>
    <w:uiPriority w:val="50"/>
    <w:rsid w:val="009B2D9D"/>
    <w:pPr>
      <w:spacing w:before="100" w:beforeAutospacing="1" w:after="0" w:afterAutospacing="1" w:line="240" w:lineRule="auto"/>
      <w:jc w:val="both"/>
    </w:pPr>
    <w:rPr>
      <w:color w:val="FFFFFF"/>
      <w:kern w:val="0"/>
      <w14:ligatures w14:val="none"/>
    </w:rPr>
    <w:tblPr>
      <w:tblStyleRowBandSize w:val="1"/>
      <w:tblStyleColBandSize w:val="1"/>
      <w:tblBorders>
        <w:top w:val="single" w:sz="24" w:space="0" w:color="FFC000"/>
        <w:left w:val="single" w:sz="24" w:space="0" w:color="FFC000"/>
        <w:bottom w:val="single" w:sz="24" w:space="0" w:color="FFC000"/>
        <w:right w:val="single" w:sz="24" w:space="0" w:color="FFC000"/>
      </w:tblBorders>
    </w:tblPr>
    <w:tcPr>
      <w:shd w:val="clear" w:color="auto" w:fill="FFC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GridTable2-Accent422">
    <w:name w:val="Grid Table 2 - Accent 422"/>
    <w:basedOn w:val="TableNormal"/>
    <w:next w:val="GridTable2-Accent41"/>
    <w:uiPriority w:val="47"/>
    <w:rsid w:val="009B2D9D"/>
    <w:pPr>
      <w:spacing w:before="100" w:beforeAutospacing="1" w:after="0" w:afterAutospacing="1" w:line="240" w:lineRule="auto"/>
      <w:jc w:val="both"/>
    </w:pPr>
    <w:rPr>
      <w:kern w:val="0"/>
      <w14:ligatures w14:val="none"/>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7Colorful-Accent222">
    <w:name w:val="Grid Table 7 Colorful - Accent 222"/>
    <w:basedOn w:val="TableNormal"/>
    <w:next w:val="GridTable7Colorful-Accent21"/>
    <w:uiPriority w:val="52"/>
    <w:rsid w:val="009B2D9D"/>
    <w:pPr>
      <w:spacing w:before="100" w:beforeAutospacing="1" w:after="0" w:afterAutospacing="1" w:line="240" w:lineRule="auto"/>
      <w:jc w:val="both"/>
    </w:pPr>
    <w:rPr>
      <w:color w:val="C45911"/>
      <w:kern w:val="0"/>
      <w14:ligatures w14:val="none"/>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ListTable2-Accent422">
    <w:name w:val="List Table 2 - Accent 422"/>
    <w:basedOn w:val="TableNormal"/>
    <w:next w:val="ListTable2-Accent41"/>
    <w:uiPriority w:val="47"/>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FFD966"/>
        <w:bottom w:val="single" w:sz="4" w:space="0" w:color="FFD966"/>
        <w:insideH w:val="single" w:sz="4" w:space="0" w:color="FFD9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1Light-Accent422">
    <w:name w:val="Grid Table 1 Light - Accent 422"/>
    <w:basedOn w:val="TableNormal"/>
    <w:next w:val="GridTable1Light-Accent41"/>
    <w:uiPriority w:val="46"/>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ListTable2-Accent322">
    <w:name w:val="List Table 2 - Accent 322"/>
    <w:basedOn w:val="TableNormal"/>
    <w:next w:val="ListTable2-Accent31"/>
    <w:uiPriority w:val="47"/>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2-Accent222">
    <w:name w:val="List Table 2 - Accent 222"/>
    <w:basedOn w:val="TableNormal"/>
    <w:next w:val="ListTable2-Accent21"/>
    <w:uiPriority w:val="47"/>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F4B083"/>
        <w:bottom w:val="single" w:sz="4" w:space="0" w:color="F4B083"/>
        <w:insideH w:val="single" w:sz="4" w:space="0" w:color="F4B08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2-Accent122">
    <w:name w:val="List Table 2 - Accent 122"/>
    <w:basedOn w:val="TableNormal"/>
    <w:next w:val="ListTable2-Accent11"/>
    <w:uiPriority w:val="47"/>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1Light-Accent422">
    <w:name w:val="List Table 1 Light - Accent 422"/>
    <w:basedOn w:val="TableNormal"/>
    <w:next w:val="ListTable1Light-Accent41"/>
    <w:uiPriority w:val="46"/>
    <w:rsid w:val="009B2D9D"/>
    <w:pPr>
      <w:spacing w:before="100" w:beforeAutospacing="1" w:after="0" w:afterAutospacing="1" w:line="240" w:lineRule="auto"/>
      <w:jc w:val="both"/>
    </w:pPr>
    <w:rPr>
      <w:kern w:val="0"/>
      <w14:ligatures w14:val="none"/>
    </w:rPr>
    <w:tblPr>
      <w:tblStyleRowBandSize w:val="1"/>
      <w:tblStyleColBandSize w:val="1"/>
    </w:tblPr>
    <w:tblStylePr w:type="firstRow">
      <w:rPr>
        <w:b/>
        <w:bCs/>
      </w:rPr>
      <w:tblPr/>
      <w:tcPr>
        <w:tcBorders>
          <w:bottom w:val="single" w:sz="4" w:space="0" w:color="FFD966"/>
        </w:tcBorders>
      </w:tcPr>
    </w:tblStylePr>
    <w:tblStylePr w:type="lastRow">
      <w:rPr>
        <w:b/>
        <w:bCs/>
      </w:rPr>
      <w:tblPr/>
      <w:tcPr>
        <w:tcBorders>
          <w:top w:val="sing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TableGrid242">
    <w:name w:val="Table Grid242"/>
    <w:basedOn w:val="TableNormal"/>
    <w:next w:val="TableGrid"/>
    <w:uiPriority w:val="39"/>
    <w:rsid w:val="009B2D9D"/>
    <w:pPr>
      <w:spacing w:before="100" w:beforeAutospacing="1" w:after="0" w:afterAutospacing="1" w:line="240" w:lineRule="auto"/>
      <w:jc w:val="both"/>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Grid2"/>
    <w:rsid w:val="009B2D9D"/>
    <w:pPr>
      <w:spacing w:before="100" w:beforeAutospacing="1" w:after="0" w:afterAutospacing="1" w:line="240" w:lineRule="auto"/>
      <w:jc w:val="both"/>
    </w:pPr>
    <w:rPr>
      <w:rFonts w:eastAsia="Times New Roman"/>
      <w:kern w:val="0"/>
      <w:lang w:val="sr-Latn-ME" w:eastAsia="sr-Latn-ME"/>
      <w14:ligatures w14:val="none"/>
    </w:rPr>
    <w:tblPr>
      <w:tblCellMar>
        <w:top w:w="0" w:type="dxa"/>
        <w:left w:w="0" w:type="dxa"/>
        <w:bottom w:w="0" w:type="dxa"/>
        <w:right w:w="0" w:type="dxa"/>
      </w:tblCellMar>
    </w:tblPr>
  </w:style>
  <w:style w:type="table" w:customStyle="1" w:styleId="GridTable2-Accent131">
    <w:name w:val="Grid Table 2 - Accent 131"/>
    <w:basedOn w:val="TableNormal"/>
    <w:uiPriority w:val="47"/>
    <w:rsid w:val="009B2D9D"/>
    <w:pPr>
      <w:spacing w:before="100" w:beforeAutospacing="1" w:after="0" w:afterAutospacing="1" w:line="240" w:lineRule="auto"/>
      <w:jc w:val="both"/>
    </w:pPr>
    <w:rPr>
      <w:kern w:val="0"/>
      <w14:ligatures w14:val="none"/>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531">
    <w:name w:val="Grid Table 4 - Accent 531"/>
    <w:basedOn w:val="TableNormal"/>
    <w:uiPriority w:val="49"/>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3-Accent531">
    <w:name w:val="Grid Table 3 - Accent 531"/>
    <w:basedOn w:val="TableNormal"/>
    <w:uiPriority w:val="48"/>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ListTable2-Accent531">
    <w:name w:val="List Table 2 - Accent 531"/>
    <w:basedOn w:val="TableNormal"/>
    <w:uiPriority w:val="47"/>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6Colorful-Accent541">
    <w:name w:val="Grid Table 6 Colorful - Accent 541"/>
    <w:basedOn w:val="TableNormal"/>
    <w:uiPriority w:val="51"/>
    <w:rsid w:val="009B2D9D"/>
    <w:pPr>
      <w:spacing w:before="100" w:beforeAutospacing="1" w:after="0" w:afterAutospacing="1" w:line="240" w:lineRule="auto"/>
      <w:jc w:val="both"/>
    </w:pPr>
    <w:rPr>
      <w:color w:val="2F5496"/>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5Dark-Accent531">
    <w:name w:val="Grid Table 5 Dark - Accent 531"/>
    <w:basedOn w:val="TableNormal"/>
    <w:uiPriority w:val="50"/>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151">
    <w:name w:val="Grid Table 5 Dark - Accent 151"/>
    <w:basedOn w:val="TableNormal"/>
    <w:uiPriority w:val="50"/>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51">
    <w:name w:val="Table Grid Light51"/>
    <w:basedOn w:val="TableNormal"/>
    <w:uiPriority w:val="40"/>
    <w:rsid w:val="009B2D9D"/>
    <w:pPr>
      <w:spacing w:before="100" w:beforeAutospacing="1" w:after="0" w:afterAutospacing="1" w:line="240" w:lineRule="auto"/>
      <w:jc w:val="both"/>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131">
    <w:name w:val="Plain Table 131"/>
    <w:basedOn w:val="TableNormal"/>
    <w:uiPriority w:val="41"/>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231">
    <w:name w:val="Grid Table 1 Light - Accent 231"/>
    <w:basedOn w:val="TableNormal"/>
    <w:uiPriority w:val="46"/>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GridTable5Dark-Accent231">
    <w:name w:val="Grid Table 5 Dark - Accent 231"/>
    <w:basedOn w:val="TableNormal"/>
    <w:uiPriority w:val="50"/>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GridTable6Colorful-Accent231">
    <w:name w:val="Grid Table 6 Colorful - Accent 231"/>
    <w:basedOn w:val="TableNormal"/>
    <w:uiPriority w:val="51"/>
    <w:rsid w:val="009B2D9D"/>
    <w:pPr>
      <w:spacing w:before="100" w:beforeAutospacing="1" w:after="0" w:afterAutospacing="1" w:line="240" w:lineRule="auto"/>
      <w:jc w:val="both"/>
    </w:pPr>
    <w:rPr>
      <w:color w:val="C45911"/>
      <w:kern w:val="0"/>
      <w14:ligatures w14:val="none"/>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6Colorful-Accent431">
    <w:name w:val="Grid Table 6 Colorful - Accent 431"/>
    <w:basedOn w:val="TableNormal"/>
    <w:uiPriority w:val="51"/>
    <w:rsid w:val="009B2D9D"/>
    <w:pPr>
      <w:spacing w:before="100" w:beforeAutospacing="1" w:after="0" w:afterAutospacing="1" w:line="240" w:lineRule="auto"/>
      <w:jc w:val="both"/>
    </w:pPr>
    <w:rPr>
      <w:color w:val="BF8F00"/>
      <w:kern w:val="0"/>
      <w14:ligatures w14:val="none"/>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5Dark-Accent231">
    <w:name w:val="List Table 5 Dark - Accent 231"/>
    <w:basedOn w:val="TableNormal"/>
    <w:uiPriority w:val="50"/>
    <w:rsid w:val="009B2D9D"/>
    <w:pPr>
      <w:spacing w:before="100" w:beforeAutospacing="1" w:after="0" w:afterAutospacing="1" w:line="240" w:lineRule="auto"/>
      <w:jc w:val="both"/>
    </w:pPr>
    <w:rPr>
      <w:color w:val="FFFFFF"/>
      <w:kern w:val="0"/>
      <w14:ligatures w14:val="none"/>
    </w:rPr>
    <w:tblPr>
      <w:tblStyleRowBandSize w:val="1"/>
      <w:tblStyleColBandSize w:val="1"/>
      <w:tblBorders>
        <w:top w:val="single" w:sz="24" w:space="0" w:color="ED7D31"/>
        <w:left w:val="single" w:sz="24" w:space="0" w:color="ED7D31"/>
        <w:bottom w:val="single" w:sz="24" w:space="0" w:color="ED7D31"/>
        <w:right w:val="single" w:sz="24" w:space="0" w:color="ED7D31"/>
      </w:tblBorders>
    </w:tblPr>
    <w:tcPr>
      <w:shd w:val="clear" w:color="auto" w:fill="ED7D31"/>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3-Accent231">
    <w:name w:val="List Table 3 - Accent 231"/>
    <w:basedOn w:val="TableNormal"/>
    <w:uiPriority w:val="48"/>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ED7D31"/>
        <w:left w:val="single" w:sz="4" w:space="0" w:color="ED7D31"/>
        <w:bottom w:val="single" w:sz="4" w:space="0" w:color="ED7D31"/>
        <w:right w:val="single" w:sz="4" w:space="0" w:color="ED7D31"/>
      </w:tblBorders>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table" w:customStyle="1" w:styleId="ListTable3-Accent431">
    <w:name w:val="List Table 3 - Accent 431"/>
    <w:basedOn w:val="TableNormal"/>
    <w:uiPriority w:val="48"/>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ListTable6Colorful-Accent431">
    <w:name w:val="List Table 6 Colorful - Accent 431"/>
    <w:basedOn w:val="TableNormal"/>
    <w:uiPriority w:val="51"/>
    <w:rsid w:val="009B2D9D"/>
    <w:pPr>
      <w:spacing w:before="100" w:beforeAutospacing="1" w:after="0" w:afterAutospacing="1" w:line="240" w:lineRule="auto"/>
      <w:jc w:val="both"/>
    </w:pPr>
    <w:rPr>
      <w:color w:val="BF8F00"/>
      <w:kern w:val="0"/>
      <w14:ligatures w14:val="none"/>
    </w:rPr>
    <w:tblPr>
      <w:tblStyleRowBandSize w:val="1"/>
      <w:tblStyleColBandSize w:val="1"/>
      <w:tblBorders>
        <w:top w:val="single" w:sz="4" w:space="0" w:color="FFC000"/>
        <w:bottom w:val="single" w:sz="4" w:space="0" w:color="FFC000"/>
      </w:tblBorders>
    </w:tblPr>
    <w:tblStylePr w:type="firstRow">
      <w:rPr>
        <w:b/>
        <w:bCs/>
      </w:rPr>
      <w:tblPr/>
      <w:tcPr>
        <w:tcBorders>
          <w:bottom w:val="single" w:sz="4" w:space="0" w:color="FFC000"/>
        </w:tcBorders>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4-Accent431">
    <w:name w:val="Grid Table 4 - Accent 431"/>
    <w:basedOn w:val="TableNormal"/>
    <w:uiPriority w:val="49"/>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7Colorful-Accent431">
    <w:name w:val="List Table 7 Colorful - Accent 431"/>
    <w:basedOn w:val="TableNormal"/>
    <w:uiPriority w:val="52"/>
    <w:rsid w:val="009B2D9D"/>
    <w:pPr>
      <w:spacing w:before="100" w:beforeAutospacing="1" w:after="0" w:afterAutospacing="1" w:line="240" w:lineRule="auto"/>
      <w:jc w:val="both"/>
    </w:pPr>
    <w:rPr>
      <w:color w:val="BF8F00"/>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FFC000"/>
        </w:tcBorders>
        <w:shd w:val="clear" w:color="auto" w:fill="FFFFFF"/>
      </w:tcPr>
    </w:tblStylePr>
    <w:tblStylePr w:type="lastRow">
      <w:rPr>
        <w:rFonts w:ascii="Calibri Light" w:eastAsia="Times New Roman" w:hAnsi="Calibri Light" w:cs="Times New Roman"/>
        <w:i/>
        <w:iCs/>
        <w:sz w:val="26"/>
      </w:rPr>
      <w:tblPr/>
      <w:tcPr>
        <w:tcBorders>
          <w:top w:val="single" w:sz="4" w:space="0" w:color="FFC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FFC000"/>
        </w:tcBorders>
        <w:shd w:val="clear" w:color="auto" w:fill="FFFFFF"/>
      </w:tcPr>
    </w:tblStylePr>
    <w:tblStylePr w:type="lastCol">
      <w:rPr>
        <w:rFonts w:ascii="Calibri Light" w:eastAsia="Times New Roman" w:hAnsi="Calibri Light" w:cs="Times New Roman"/>
        <w:i/>
        <w:iCs/>
        <w:sz w:val="26"/>
      </w:rPr>
      <w:tblPr/>
      <w:tcPr>
        <w:tcBorders>
          <w:left w:val="single" w:sz="4" w:space="0" w:color="FFC000"/>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5Dark-Accent431">
    <w:name w:val="List Table 5 Dark - Accent 431"/>
    <w:basedOn w:val="TableNormal"/>
    <w:uiPriority w:val="50"/>
    <w:rsid w:val="009B2D9D"/>
    <w:pPr>
      <w:spacing w:before="100" w:beforeAutospacing="1" w:after="0" w:afterAutospacing="1" w:line="240" w:lineRule="auto"/>
      <w:jc w:val="both"/>
    </w:pPr>
    <w:rPr>
      <w:color w:val="FFFFFF"/>
      <w:kern w:val="0"/>
      <w14:ligatures w14:val="none"/>
    </w:rPr>
    <w:tblPr>
      <w:tblStyleRowBandSize w:val="1"/>
      <w:tblStyleColBandSize w:val="1"/>
      <w:tblBorders>
        <w:top w:val="single" w:sz="24" w:space="0" w:color="FFC000"/>
        <w:left w:val="single" w:sz="24" w:space="0" w:color="FFC000"/>
        <w:bottom w:val="single" w:sz="24" w:space="0" w:color="FFC000"/>
        <w:right w:val="single" w:sz="24" w:space="0" w:color="FFC000"/>
      </w:tblBorders>
    </w:tblPr>
    <w:tcPr>
      <w:shd w:val="clear" w:color="auto" w:fill="FFC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GridTable2-Accent431">
    <w:name w:val="Grid Table 2 - Accent 431"/>
    <w:basedOn w:val="TableNormal"/>
    <w:uiPriority w:val="47"/>
    <w:rsid w:val="009B2D9D"/>
    <w:pPr>
      <w:spacing w:before="100" w:beforeAutospacing="1" w:after="0" w:afterAutospacing="1" w:line="240" w:lineRule="auto"/>
      <w:jc w:val="both"/>
    </w:pPr>
    <w:rPr>
      <w:kern w:val="0"/>
      <w14:ligatures w14:val="none"/>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7Colorful-Accent231">
    <w:name w:val="Grid Table 7 Colorful - Accent 231"/>
    <w:basedOn w:val="TableNormal"/>
    <w:uiPriority w:val="52"/>
    <w:locked/>
    <w:rsid w:val="009B2D9D"/>
    <w:pPr>
      <w:spacing w:before="100" w:beforeAutospacing="1" w:after="0" w:afterAutospacing="1" w:line="240" w:lineRule="auto"/>
      <w:jc w:val="both"/>
    </w:pPr>
    <w:rPr>
      <w:color w:val="C45911"/>
      <w:kern w:val="0"/>
      <w14:ligatures w14:val="none"/>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ListTable2-Accent431">
    <w:name w:val="List Table 2 - Accent 431"/>
    <w:basedOn w:val="TableNormal"/>
    <w:uiPriority w:val="47"/>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FFD966"/>
        <w:bottom w:val="single" w:sz="4" w:space="0" w:color="FFD966"/>
        <w:insideH w:val="single" w:sz="4" w:space="0" w:color="FFD9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1Light-Accent431">
    <w:name w:val="Grid Table 1 Light - Accent 431"/>
    <w:basedOn w:val="TableNormal"/>
    <w:uiPriority w:val="46"/>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ListTable2-Accent331">
    <w:name w:val="List Table 2 - Accent 331"/>
    <w:basedOn w:val="TableNormal"/>
    <w:uiPriority w:val="47"/>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2-Accent231">
    <w:name w:val="List Table 2 - Accent 231"/>
    <w:basedOn w:val="TableNormal"/>
    <w:uiPriority w:val="47"/>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F4B083"/>
        <w:bottom w:val="single" w:sz="4" w:space="0" w:color="F4B083"/>
        <w:insideH w:val="single" w:sz="4" w:space="0" w:color="F4B08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2-Accent131">
    <w:name w:val="List Table 2 - Accent 131"/>
    <w:basedOn w:val="TableNormal"/>
    <w:uiPriority w:val="47"/>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1Light-Accent431">
    <w:name w:val="List Table 1 Light - Accent 431"/>
    <w:basedOn w:val="TableNormal"/>
    <w:uiPriority w:val="46"/>
    <w:rsid w:val="009B2D9D"/>
    <w:pPr>
      <w:spacing w:before="100" w:beforeAutospacing="1" w:after="0" w:afterAutospacing="1" w:line="240" w:lineRule="auto"/>
      <w:jc w:val="both"/>
    </w:pPr>
    <w:rPr>
      <w:kern w:val="0"/>
      <w14:ligatures w14:val="none"/>
    </w:rPr>
    <w:tblPr>
      <w:tblStyleRowBandSize w:val="1"/>
      <w:tblStyleColBandSize w:val="1"/>
    </w:tblPr>
    <w:tblStylePr w:type="firstRow">
      <w:rPr>
        <w:b/>
        <w:bCs/>
      </w:rPr>
      <w:tblPr/>
      <w:tcPr>
        <w:tcBorders>
          <w:bottom w:val="single" w:sz="4" w:space="0" w:color="FFD966"/>
        </w:tcBorders>
      </w:tcPr>
    </w:tblStylePr>
    <w:tblStylePr w:type="lastRow">
      <w:rPr>
        <w:b/>
        <w:bCs/>
      </w:rPr>
      <w:tblPr/>
      <w:tcPr>
        <w:tcBorders>
          <w:top w:val="sing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1Light11">
    <w:name w:val="Grid Table 1 Light11"/>
    <w:basedOn w:val="TableNormal"/>
    <w:uiPriority w:val="46"/>
    <w:rsid w:val="009B2D9D"/>
    <w:pPr>
      <w:spacing w:before="100" w:beforeAutospacing="1" w:after="0" w:afterAutospacing="1" w:line="240" w:lineRule="auto"/>
      <w:jc w:val="both"/>
    </w:pPr>
    <w:rPr>
      <w:kern w:val="0"/>
      <w:lang w:val="en-GB"/>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stTable3-Accent612">
    <w:name w:val="List Table 3 - Accent 612"/>
    <w:basedOn w:val="TableNormal"/>
    <w:next w:val="ListTable3-Accent62"/>
    <w:uiPriority w:val="48"/>
    <w:rsid w:val="009B2D9D"/>
    <w:pPr>
      <w:spacing w:before="100" w:beforeAutospacing="1" w:after="0" w:afterAutospacing="1" w:line="240" w:lineRule="auto"/>
      <w:jc w:val="both"/>
    </w:pPr>
    <w:rPr>
      <w:kern w:val="0"/>
      <w:lang w:val="sr-Latn-CS"/>
      <w14:ligatures w14:val="none"/>
    </w:rPr>
    <w:tblPr>
      <w:tblStyleRowBandSize w:val="1"/>
      <w:tblStyleColBandSize w:val="1"/>
      <w:tblBorders>
        <w:top w:val="single" w:sz="4" w:space="0" w:color="F79646"/>
        <w:left w:val="single" w:sz="4" w:space="0" w:color="F79646"/>
        <w:bottom w:val="single" w:sz="4" w:space="0" w:color="F79646"/>
        <w:right w:val="single" w:sz="4" w:space="0" w:color="F79646"/>
      </w:tblBorders>
    </w:tblPr>
    <w:tblStylePr w:type="firstRow">
      <w:rPr>
        <w:b/>
        <w:bCs/>
        <w:color w:val="FFFFFF"/>
      </w:rPr>
      <w:tblPr/>
      <w:tcPr>
        <w:shd w:val="clear" w:color="auto" w:fill="F79646"/>
      </w:tcPr>
    </w:tblStylePr>
    <w:tblStylePr w:type="lastRow">
      <w:rPr>
        <w:b/>
        <w:bCs/>
      </w:rPr>
      <w:tblPr/>
      <w:tcPr>
        <w:tcBorders>
          <w:top w:val="double" w:sz="4" w:space="0" w:color="F7964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79646"/>
          <w:right w:val="single" w:sz="4" w:space="0" w:color="F79646"/>
        </w:tcBorders>
      </w:tcPr>
    </w:tblStylePr>
    <w:tblStylePr w:type="band1Horz">
      <w:tblPr/>
      <w:tcPr>
        <w:tcBorders>
          <w:top w:val="single" w:sz="4" w:space="0" w:color="F79646"/>
          <w:bottom w:val="single" w:sz="4" w:space="0" w:color="F7964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left w:val="nil"/>
        </w:tcBorders>
      </w:tcPr>
    </w:tblStylePr>
    <w:tblStylePr w:type="swCell">
      <w:tblPr/>
      <w:tcPr>
        <w:tcBorders>
          <w:top w:val="double" w:sz="4" w:space="0" w:color="F79646"/>
          <w:right w:val="nil"/>
        </w:tcBorders>
      </w:tcPr>
    </w:tblStylePr>
  </w:style>
  <w:style w:type="table" w:customStyle="1" w:styleId="ListTable3-Accent621">
    <w:name w:val="List Table 3 - Accent 621"/>
    <w:basedOn w:val="TableNormal"/>
    <w:uiPriority w:val="48"/>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ListTable4-Accent411">
    <w:name w:val="List Table 4 - Accent 411"/>
    <w:basedOn w:val="TableNormal"/>
    <w:uiPriority w:val="49"/>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tcBorders>
        <w:shd w:val="clear" w:color="auto" w:fill="FFC000"/>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2-Accent511">
    <w:name w:val="Grid Table 2 - Accent 511"/>
    <w:basedOn w:val="TableNormal"/>
    <w:uiPriority w:val="47"/>
    <w:rsid w:val="009B2D9D"/>
    <w:pPr>
      <w:spacing w:before="100" w:beforeAutospacing="1" w:after="0" w:afterAutospacing="1" w:line="240" w:lineRule="auto"/>
      <w:jc w:val="both"/>
    </w:pPr>
    <w:rPr>
      <w:kern w:val="0"/>
      <w14:ligatures w14:val="none"/>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1Light-Accent511">
    <w:name w:val="List Table 1 Light - Accent 511"/>
    <w:basedOn w:val="TableNormal"/>
    <w:uiPriority w:val="46"/>
    <w:rsid w:val="009B2D9D"/>
    <w:pPr>
      <w:spacing w:before="100" w:beforeAutospacing="1" w:after="0" w:afterAutospacing="1" w:line="240" w:lineRule="auto"/>
      <w:jc w:val="both"/>
    </w:pPr>
    <w:rPr>
      <w:kern w:val="0"/>
      <w14:ligatures w14:val="none"/>
    </w:rPr>
    <w:tblPr>
      <w:tblStyleRowBandSize w:val="1"/>
      <w:tblStyleColBandSize w:val="1"/>
    </w:tblPr>
    <w:tblStylePr w:type="firstRow">
      <w:rPr>
        <w:b/>
        <w:bCs/>
      </w:rPr>
      <w:tblPr/>
      <w:tcPr>
        <w:tcBorders>
          <w:bottom w:val="single" w:sz="4"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numbering" w:customStyle="1" w:styleId="NoList91">
    <w:name w:val="No List91"/>
    <w:next w:val="NoList"/>
    <w:uiPriority w:val="99"/>
    <w:semiHidden/>
    <w:unhideWhenUsed/>
    <w:rsid w:val="009B2D9D"/>
  </w:style>
  <w:style w:type="numbering" w:customStyle="1" w:styleId="NoList181">
    <w:name w:val="No List181"/>
    <w:next w:val="NoList"/>
    <w:uiPriority w:val="99"/>
    <w:semiHidden/>
    <w:unhideWhenUsed/>
    <w:rsid w:val="009B2D9D"/>
  </w:style>
  <w:style w:type="table" w:customStyle="1" w:styleId="MediumGrid3-Accent111">
    <w:name w:val="Medium Grid 3 - Accent 111"/>
    <w:basedOn w:val="TableNormal"/>
    <w:next w:val="MediumGrid3-Accent1"/>
    <w:uiPriority w:val="69"/>
    <w:locked/>
    <w:rsid w:val="009B2D9D"/>
    <w:pPr>
      <w:spacing w:before="100" w:beforeAutospacing="1" w:after="0" w:afterAutospacing="1" w:line="240" w:lineRule="auto"/>
      <w:jc w:val="both"/>
    </w:pPr>
    <w:rPr>
      <w:kern w:val="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LightShading-Accent1141">
    <w:name w:val="Light Shading - Accent 1141"/>
    <w:basedOn w:val="TableNormal"/>
    <w:uiPriority w:val="60"/>
    <w:locked/>
    <w:rsid w:val="009B2D9D"/>
    <w:pPr>
      <w:spacing w:before="100" w:beforeAutospacing="1" w:after="0" w:afterAutospacing="1" w:line="240" w:lineRule="auto"/>
      <w:jc w:val="both"/>
    </w:pPr>
    <w:rPr>
      <w:rFonts w:ascii="Calibri" w:eastAsia="Times New Roman" w:hAnsi="Calibri" w:cs="Times New Roman"/>
      <w:color w:val="365F91"/>
      <w:kern w:val="0"/>
      <w:sz w:val="20"/>
      <w:szCs w:val="20"/>
      <w:lang w:val="sr-Latn-CS" w:eastAsia="sr-Latn-CS" w:bidi="en-US"/>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Radovan81">
    <w:name w:val="Radovan81"/>
    <w:uiPriority w:val="99"/>
    <w:rsid w:val="009B2D9D"/>
  </w:style>
  <w:style w:type="table" w:customStyle="1" w:styleId="LightShading-Accent341">
    <w:name w:val="Light Shading - Accent 341"/>
    <w:basedOn w:val="TableNormal"/>
    <w:next w:val="LightShading-Accent3"/>
    <w:uiPriority w:val="60"/>
    <w:rsid w:val="009B2D9D"/>
    <w:pPr>
      <w:spacing w:before="100" w:beforeAutospacing="1" w:after="0" w:afterAutospacing="1" w:line="240" w:lineRule="auto"/>
      <w:jc w:val="both"/>
    </w:pPr>
    <w:rPr>
      <w:rFonts w:ascii="Calibri" w:eastAsia="Calibri" w:hAnsi="Calibri" w:cs="Times New Roman"/>
      <w:color w:val="7B7B7B"/>
      <w:kern w:val="0"/>
      <w:sz w:val="20"/>
      <w:szCs w:val="20"/>
      <w14:ligatures w14:val="none"/>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LightList-Accent241">
    <w:name w:val="Light List - Accent 241"/>
    <w:basedOn w:val="TableNormal"/>
    <w:next w:val="LightList-Accent2"/>
    <w:uiPriority w:val="61"/>
    <w:rsid w:val="009B2D9D"/>
    <w:pPr>
      <w:spacing w:before="100" w:beforeAutospacing="1" w:after="0" w:afterAutospacing="1" w:line="240" w:lineRule="auto"/>
      <w:jc w:val="both"/>
    </w:pPr>
    <w:rPr>
      <w:rFonts w:eastAsia="Times New Roman"/>
      <w:kern w:val="0"/>
      <w:lang w:val="sr-Latn-CS" w:eastAsia="sr-Latn-CS"/>
      <w14:ligatures w14:val="none"/>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TableNormal151">
    <w:name w:val="Table Normal151"/>
    <w:uiPriority w:val="2"/>
    <w:semiHidden/>
    <w:unhideWhenUsed/>
    <w:qFormat/>
    <w:rsid w:val="009B2D9D"/>
    <w:pPr>
      <w:widowControl w:val="0"/>
      <w:spacing w:before="100" w:beforeAutospacing="1" w:after="0" w:afterAutospacing="1" w:line="240" w:lineRule="auto"/>
      <w:jc w:val="both"/>
    </w:pPr>
    <w:rPr>
      <w:kern w:val="0"/>
      <w14:ligatures w14:val="none"/>
    </w:rPr>
    <w:tblPr>
      <w:tblInd w:w="0" w:type="dxa"/>
      <w:tblCellMar>
        <w:top w:w="0" w:type="dxa"/>
        <w:left w:w="0" w:type="dxa"/>
        <w:bottom w:w="0" w:type="dxa"/>
        <w:right w:w="0" w:type="dxa"/>
      </w:tblCellMar>
    </w:tblPr>
  </w:style>
  <w:style w:type="numbering" w:customStyle="1" w:styleId="NoList1181">
    <w:name w:val="No List1181"/>
    <w:next w:val="NoList"/>
    <w:uiPriority w:val="99"/>
    <w:semiHidden/>
    <w:unhideWhenUsed/>
    <w:rsid w:val="009B2D9D"/>
  </w:style>
  <w:style w:type="table" w:customStyle="1" w:styleId="TableElegant41">
    <w:name w:val="Table Elegant41"/>
    <w:basedOn w:val="TableNormal"/>
    <w:next w:val="TableElegant"/>
    <w:rsid w:val="009B2D9D"/>
    <w:pPr>
      <w:spacing w:before="100" w:beforeAutospacing="1" w:after="0" w:afterAutospacing="1" w:line="240" w:lineRule="auto"/>
      <w:jc w:val="both"/>
    </w:pPr>
    <w:rPr>
      <w:rFonts w:ascii="Times New Roman" w:eastAsia="Times New Roman" w:hAnsi="Times New Roman" w:cs="Times New Roman"/>
      <w:kern w:val="0"/>
      <w:sz w:val="20"/>
      <w:szCs w:val="20"/>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NoList11181">
    <w:name w:val="No List11181"/>
    <w:next w:val="NoList"/>
    <w:uiPriority w:val="99"/>
    <w:semiHidden/>
    <w:unhideWhenUsed/>
    <w:rsid w:val="009B2D9D"/>
  </w:style>
  <w:style w:type="table" w:customStyle="1" w:styleId="TableNormal1141">
    <w:name w:val="Table Normal1141"/>
    <w:uiPriority w:val="2"/>
    <w:semiHidden/>
    <w:unhideWhenUsed/>
    <w:qFormat/>
    <w:rsid w:val="009B2D9D"/>
    <w:pPr>
      <w:widowControl w:val="0"/>
      <w:spacing w:before="100" w:beforeAutospacing="1" w:after="0" w:afterAutospacing="1" w:line="240" w:lineRule="auto"/>
      <w:jc w:val="both"/>
    </w:pPr>
    <w:rPr>
      <w:kern w:val="0"/>
      <w14:ligatures w14:val="none"/>
    </w:rPr>
    <w:tblPr>
      <w:tblInd w:w="0" w:type="dxa"/>
      <w:tblCellMar>
        <w:top w:w="0" w:type="dxa"/>
        <w:left w:w="0" w:type="dxa"/>
        <w:bottom w:w="0" w:type="dxa"/>
        <w:right w:w="0" w:type="dxa"/>
      </w:tblCellMar>
    </w:tblPr>
  </w:style>
  <w:style w:type="table" w:customStyle="1" w:styleId="PERstyle41">
    <w:name w:val="PER style41"/>
    <w:basedOn w:val="TableNormal"/>
    <w:uiPriority w:val="99"/>
    <w:rsid w:val="009B2D9D"/>
    <w:pPr>
      <w:spacing w:before="100" w:beforeAutospacing="1" w:after="0" w:afterAutospacing="1" w:line="240" w:lineRule="auto"/>
      <w:jc w:val="both"/>
    </w:pPr>
    <w:rPr>
      <w:kern w:val="0"/>
      <w:lang w:val="sr-Latn-ME"/>
      <w14:ligatures w14:val="none"/>
    </w:rPr>
    <w:tblPr/>
  </w:style>
  <w:style w:type="table" w:customStyle="1" w:styleId="PlainTable4141">
    <w:name w:val="Plain Table 4141"/>
    <w:basedOn w:val="TableNormal"/>
    <w:uiPriority w:val="44"/>
    <w:rsid w:val="009B2D9D"/>
    <w:pPr>
      <w:spacing w:before="100" w:beforeAutospacing="1" w:after="0" w:afterAutospacing="1" w:line="240" w:lineRule="auto"/>
      <w:jc w:val="both"/>
    </w:pPr>
    <w:rPr>
      <w:kern w:val="0"/>
      <w:lang w:val="sr-Latn-ME"/>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271">
    <w:name w:val="No List271"/>
    <w:next w:val="NoList"/>
    <w:uiPriority w:val="99"/>
    <w:semiHidden/>
    <w:unhideWhenUsed/>
    <w:rsid w:val="009B2D9D"/>
  </w:style>
  <w:style w:type="numbering" w:customStyle="1" w:styleId="NoList361">
    <w:name w:val="No List361"/>
    <w:next w:val="NoList"/>
    <w:uiPriority w:val="99"/>
    <w:semiHidden/>
    <w:unhideWhenUsed/>
    <w:rsid w:val="009B2D9D"/>
  </w:style>
  <w:style w:type="numbering" w:customStyle="1" w:styleId="Radovan161">
    <w:name w:val="Radovan161"/>
    <w:uiPriority w:val="99"/>
    <w:rsid w:val="009B2D9D"/>
  </w:style>
  <w:style w:type="numbering" w:customStyle="1" w:styleId="Style1161">
    <w:name w:val="Style1161"/>
    <w:uiPriority w:val="99"/>
    <w:rsid w:val="009B2D9D"/>
  </w:style>
  <w:style w:type="numbering" w:customStyle="1" w:styleId="Style2161">
    <w:name w:val="Style2161"/>
    <w:uiPriority w:val="99"/>
    <w:rsid w:val="009B2D9D"/>
  </w:style>
  <w:style w:type="numbering" w:customStyle="1" w:styleId="NoList1271">
    <w:name w:val="No List1271"/>
    <w:next w:val="NoList"/>
    <w:uiPriority w:val="99"/>
    <w:semiHidden/>
    <w:unhideWhenUsed/>
    <w:rsid w:val="009B2D9D"/>
  </w:style>
  <w:style w:type="numbering" w:customStyle="1" w:styleId="NoList11271">
    <w:name w:val="No List11271"/>
    <w:next w:val="NoList"/>
    <w:uiPriority w:val="99"/>
    <w:semiHidden/>
    <w:unhideWhenUsed/>
    <w:rsid w:val="009B2D9D"/>
  </w:style>
  <w:style w:type="numbering" w:customStyle="1" w:styleId="NoList111171">
    <w:name w:val="No List111171"/>
    <w:next w:val="NoList"/>
    <w:uiPriority w:val="99"/>
    <w:semiHidden/>
    <w:unhideWhenUsed/>
    <w:rsid w:val="009B2D9D"/>
  </w:style>
  <w:style w:type="numbering" w:customStyle="1" w:styleId="Style11161">
    <w:name w:val="Style11161"/>
    <w:uiPriority w:val="99"/>
    <w:rsid w:val="009B2D9D"/>
  </w:style>
  <w:style w:type="table" w:customStyle="1" w:styleId="GridTable1Light-Accent1131">
    <w:name w:val="Grid Table 1 Light - Accent 1131"/>
    <w:basedOn w:val="TableNormal"/>
    <w:uiPriority w:val="46"/>
    <w:rsid w:val="009B2D9D"/>
    <w:pPr>
      <w:spacing w:before="100" w:beforeAutospacing="1" w:after="0" w:afterAutospacing="1" w:line="240" w:lineRule="auto"/>
      <w:jc w:val="both"/>
    </w:pPr>
    <w:rPr>
      <w:rFonts w:ascii="Calibri" w:eastAsia="Calibri" w:hAnsi="Calibri" w:cs="Times New Roman"/>
      <w:kern w:val="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ListTable1Light-Accent1131">
    <w:name w:val="List Table 1 Light - Accent 1131"/>
    <w:basedOn w:val="TableNormal"/>
    <w:uiPriority w:val="46"/>
    <w:rsid w:val="009B2D9D"/>
    <w:pPr>
      <w:spacing w:before="100" w:beforeAutospacing="1" w:after="0" w:afterAutospacing="1" w:line="240" w:lineRule="auto"/>
      <w:jc w:val="both"/>
    </w:pPr>
    <w:rPr>
      <w:kern w:val="0"/>
      <w14:ligatures w14:val="none"/>
    </w:rPr>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1131">
    <w:name w:val="Grid Table 5 Dark - Accent 1131"/>
    <w:basedOn w:val="TableNormal"/>
    <w:uiPriority w:val="50"/>
    <w:rsid w:val="009B2D9D"/>
    <w:pPr>
      <w:spacing w:before="100" w:beforeAutospacing="1" w:after="0" w:afterAutospacing="1" w:line="240" w:lineRule="auto"/>
      <w:jc w:val="both"/>
    </w:pPr>
    <w:rPr>
      <w:kern w:val="0"/>
      <w:lang w:val="en-GB"/>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1231">
    <w:name w:val="Grid Table 5 Dark - Accent 1231"/>
    <w:basedOn w:val="TableNormal"/>
    <w:uiPriority w:val="50"/>
    <w:rsid w:val="009B2D9D"/>
    <w:pPr>
      <w:spacing w:before="100" w:beforeAutospacing="1" w:after="0" w:afterAutospacing="1" w:line="240" w:lineRule="auto"/>
      <w:jc w:val="both"/>
    </w:pPr>
    <w:rPr>
      <w:kern w:val="0"/>
      <w:lang w:val="en-GB"/>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6Colorful-Accent5131">
    <w:name w:val="Grid Table 6 Colorful - Accent 5131"/>
    <w:basedOn w:val="TableNormal"/>
    <w:uiPriority w:val="51"/>
    <w:rsid w:val="009B2D9D"/>
    <w:pPr>
      <w:spacing w:before="100" w:beforeAutospacing="1" w:after="0" w:afterAutospacing="1" w:line="240" w:lineRule="auto"/>
      <w:jc w:val="both"/>
    </w:pPr>
    <w:rPr>
      <w:color w:val="2F5496"/>
      <w:kern w:val="0"/>
      <w:lang w:val="en-GB"/>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numbering" w:customStyle="1" w:styleId="NoList2171">
    <w:name w:val="No List2171"/>
    <w:next w:val="NoList"/>
    <w:uiPriority w:val="99"/>
    <w:semiHidden/>
    <w:unhideWhenUsed/>
    <w:rsid w:val="009B2D9D"/>
  </w:style>
  <w:style w:type="numbering" w:customStyle="1" w:styleId="Radovan1131">
    <w:name w:val="Radovan1131"/>
    <w:uiPriority w:val="99"/>
    <w:rsid w:val="009B2D9D"/>
  </w:style>
  <w:style w:type="numbering" w:customStyle="1" w:styleId="Style1251">
    <w:name w:val="Style1251"/>
    <w:uiPriority w:val="99"/>
    <w:rsid w:val="009B2D9D"/>
  </w:style>
  <w:style w:type="numbering" w:customStyle="1" w:styleId="Style21131">
    <w:name w:val="Style21131"/>
    <w:uiPriority w:val="99"/>
    <w:rsid w:val="009B2D9D"/>
  </w:style>
  <w:style w:type="numbering" w:customStyle="1" w:styleId="NoList12161">
    <w:name w:val="No List12161"/>
    <w:next w:val="NoList"/>
    <w:uiPriority w:val="99"/>
    <w:semiHidden/>
    <w:unhideWhenUsed/>
    <w:rsid w:val="009B2D9D"/>
  </w:style>
  <w:style w:type="numbering" w:customStyle="1" w:styleId="NoList112161">
    <w:name w:val="No List112161"/>
    <w:next w:val="NoList"/>
    <w:uiPriority w:val="99"/>
    <w:semiHidden/>
    <w:unhideWhenUsed/>
    <w:rsid w:val="009B2D9D"/>
  </w:style>
  <w:style w:type="numbering" w:customStyle="1" w:styleId="NoList1111161">
    <w:name w:val="No List1111161"/>
    <w:next w:val="NoList"/>
    <w:uiPriority w:val="99"/>
    <w:semiHidden/>
    <w:unhideWhenUsed/>
    <w:rsid w:val="009B2D9D"/>
  </w:style>
  <w:style w:type="numbering" w:customStyle="1" w:styleId="NoList21161">
    <w:name w:val="No List21161"/>
    <w:next w:val="NoList"/>
    <w:uiPriority w:val="99"/>
    <w:semiHidden/>
    <w:unhideWhenUsed/>
    <w:rsid w:val="009B2D9D"/>
  </w:style>
  <w:style w:type="table" w:customStyle="1" w:styleId="TableGrid251">
    <w:name w:val="Table Grid251"/>
    <w:basedOn w:val="TableNormal"/>
    <w:next w:val="TableGrid"/>
    <w:uiPriority w:val="59"/>
    <w:rsid w:val="009B2D9D"/>
    <w:pPr>
      <w:spacing w:before="100" w:beforeAutospacing="1" w:after="0" w:afterAutospacing="1" w:line="240" w:lineRule="auto"/>
      <w:jc w:val="both"/>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31">
    <w:name w:val="No List11111131"/>
    <w:next w:val="NoList"/>
    <w:uiPriority w:val="99"/>
    <w:semiHidden/>
    <w:unhideWhenUsed/>
    <w:rsid w:val="009B2D9D"/>
  </w:style>
  <w:style w:type="table" w:customStyle="1" w:styleId="TableGrid2131">
    <w:name w:val="Table Grid2131"/>
    <w:basedOn w:val="TableNormal"/>
    <w:next w:val="TableGrid"/>
    <w:uiPriority w:val="59"/>
    <w:rsid w:val="009B2D9D"/>
    <w:pPr>
      <w:spacing w:before="100" w:beforeAutospacing="1" w:after="0" w:afterAutospacing="1" w:line="240" w:lineRule="auto"/>
      <w:jc w:val="both"/>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1">
    <w:name w:val="Table Grid1331"/>
    <w:basedOn w:val="TableNormal"/>
    <w:next w:val="TableGrid"/>
    <w:uiPriority w:val="39"/>
    <w:rsid w:val="009B2D9D"/>
    <w:pPr>
      <w:spacing w:before="100" w:beforeAutospacing="1" w:after="0" w:afterAutospacing="1" w:line="240" w:lineRule="auto"/>
      <w:jc w:val="both"/>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61">
    <w:name w:val="No List3161"/>
    <w:next w:val="NoList"/>
    <w:uiPriority w:val="99"/>
    <w:semiHidden/>
    <w:unhideWhenUsed/>
    <w:rsid w:val="009B2D9D"/>
  </w:style>
  <w:style w:type="table" w:customStyle="1" w:styleId="TableGrid331">
    <w:name w:val="Table Grid331"/>
    <w:basedOn w:val="TableNormal"/>
    <w:next w:val="TableGrid"/>
    <w:uiPriority w:val="39"/>
    <w:rsid w:val="009B2D9D"/>
    <w:pPr>
      <w:spacing w:before="100" w:beforeAutospacing="1" w:after="0" w:afterAutospacing="1" w:line="240" w:lineRule="auto"/>
      <w:jc w:val="both"/>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131">
    <w:name w:val="Light Shading - Accent 11131"/>
    <w:basedOn w:val="TableNormal"/>
    <w:uiPriority w:val="60"/>
    <w:locked/>
    <w:rsid w:val="009B2D9D"/>
    <w:pPr>
      <w:spacing w:before="100" w:beforeAutospacing="1" w:after="0" w:afterAutospacing="1" w:line="240" w:lineRule="auto"/>
      <w:jc w:val="both"/>
    </w:pPr>
    <w:rPr>
      <w:rFonts w:ascii="Calibri" w:eastAsia="Times New Roman" w:hAnsi="Calibri" w:cs="Times New Roman"/>
      <w:color w:val="365F91"/>
      <w:kern w:val="0"/>
      <w:sz w:val="20"/>
      <w:szCs w:val="20"/>
      <w:lang w:val="sr-Latn-CS" w:eastAsia="sr-Latn-CS" w:bidi="en-US"/>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3141">
    <w:name w:val="Light Shading - Accent 3141"/>
    <w:basedOn w:val="TableNormal"/>
    <w:next w:val="LightShading-Accent3"/>
    <w:uiPriority w:val="60"/>
    <w:rsid w:val="009B2D9D"/>
    <w:pPr>
      <w:spacing w:before="100" w:beforeAutospacing="1" w:after="0" w:afterAutospacing="1" w:line="240" w:lineRule="auto"/>
      <w:jc w:val="both"/>
    </w:pPr>
    <w:rPr>
      <w:rFonts w:ascii="Calibri" w:eastAsia="Calibri" w:hAnsi="Calibri" w:cs="Times New Roman"/>
      <w:color w:val="7B7B7B"/>
      <w:kern w:val="0"/>
      <w:sz w:val="20"/>
      <w:szCs w:val="20"/>
      <w14:ligatures w14:val="none"/>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LightList-Accent2141">
    <w:name w:val="Light List - Accent 2141"/>
    <w:basedOn w:val="TableNormal"/>
    <w:next w:val="LightList-Accent2"/>
    <w:uiPriority w:val="61"/>
    <w:rsid w:val="009B2D9D"/>
    <w:pPr>
      <w:spacing w:before="100" w:beforeAutospacing="1" w:after="0" w:afterAutospacing="1" w:line="240" w:lineRule="auto"/>
      <w:jc w:val="both"/>
    </w:pPr>
    <w:rPr>
      <w:rFonts w:eastAsia="Times New Roman"/>
      <w:kern w:val="0"/>
      <w:lang w:val="sr-Latn-CS" w:eastAsia="sr-Latn-CS"/>
      <w14:ligatures w14:val="none"/>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TableNormal1231">
    <w:name w:val="Table Normal1231"/>
    <w:uiPriority w:val="2"/>
    <w:semiHidden/>
    <w:unhideWhenUsed/>
    <w:qFormat/>
    <w:rsid w:val="009B2D9D"/>
    <w:pPr>
      <w:widowControl w:val="0"/>
      <w:spacing w:before="100" w:beforeAutospacing="1" w:after="0" w:afterAutospacing="1" w:line="240" w:lineRule="auto"/>
      <w:jc w:val="both"/>
    </w:pPr>
    <w:rPr>
      <w:kern w:val="0"/>
      <w14:ligatures w14:val="none"/>
    </w:rPr>
    <w:tblPr>
      <w:tblInd w:w="0" w:type="dxa"/>
      <w:tblCellMar>
        <w:top w:w="0" w:type="dxa"/>
        <w:left w:w="0" w:type="dxa"/>
        <w:bottom w:w="0" w:type="dxa"/>
        <w:right w:w="0" w:type="dxa"/>
      </w:tblCellMar>
    </w:tblPr>
  </w:style>
  <w:style w:type="numbering" w:customStyle="1" w:styleId="NoList121131">
    <w:name w:val="No List121131"/>
    <w:next w:val="NoList"/>
    <w:uiPriority w:val="99"/>
    <w:semiHidden/>
    <w:unhideWhenUsed/>
    <w:rsid w:val="009B2D9D"/>
  </w:style>
  <w:style w:type="numbering" w:customStyle="1" w:styleId="NoList1121131">
    <w:name w:val="No List1121131"/>
    <w:next w:val="NoList"/>
    <w:uiPriority w:val="99"/>
    <w:semiHidden/>
    <w:unhideWhenUsed/>
    <w:rsid w:val="009B2D9D"/>
  </w:style>
  <w:style w:type="table" w:customStyle="1" w:styleId="TableElegant131">
    <w:name w:val="Table Elegant131"/>
    <w:basedOn w:val="TableNormal"/>
    <w:next w:val="TableElegant"/>
    <w:rsid w:val="009B2D9D"/>
    <w:pPr>
      <w:spacing w:before="100" w:beforeAutospacing="1" w:after="0" w:afterAutospacing="1" w:line="240" w:lineRule="auto"/>
      <w:jc w:val="both"/>
    </w:pPr>
    <w:rPr>
      <w:rFonts w:ascii="Times New Roman" w:eastAsia="Times New Roman" w:hAnsi="Times New Roman" w:cs="Times New Roman"/>
      <w:kern w:val="0"/>
      <w:sz w:val="20"/>
      <w:szCs w:val="20"/>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NoList111261">
    <w:name w:val="No List111261"/>
    <w:next w:val="NoList"/>
    <w:uiPriority w:val="99"/>
    <w:semiHidden/>
    <w:unhideWhenUsed/>
    <w:rsid w:val="009B2D9D"/>
  </w:style>
  <w:style w:type="table" w:customStyle="1" w:styleId="TableNormal11131">
    <w:name w:val="Table Normal11131"/>
    <w:uiPriority w:val="2"/>
    <w:semiHidden/>
    <w:unhideWhenUsed/>
    <w:qFormat/>
    <w:rsid w:val="009B2D9D"/>
    <w:pPr>
      <w:widowControl w:val="0"/>
      <w:spacing w:before="100" w:beforeAutospacing="1" w:after="0" w:afterAutospacing="1" w:line="240" w:lineRule="auto"/>
      <w:jc w:val="both"/>
    </w:pPr>
    <w:rPr>
      <w:kern w:val="0"/>
      <w14:ligatures w14:val="none"/>
    </w:rPr>
    <w:tblPr>
      <w:tblInd w:w="0" w:type="dxa"/>
      <w:tblCellMar>
        <w:top w:w="0" w:type="dxa"/>
        <w:left w:w="0" w:type="dxa"/>
        <w:bottom w:w="0" w:type="dxa"/>
        <w:right w:w="0" w:type="dxa"/>
      </w:tblCellMar>
    </w:tblPr>
  </w:style>
  <w:style w:type="table" w:customStyle="1" w:styleId="PERstyle131">
    <w:name w:val="PER style131"/>
    <w:basedOn w:val="TableNormal"/>
    <w:uiPriority w:val="99"/>
    <w:rsid w:val="009B2D9D"/>
    <w:pPr>
      <w:spacing w:before="100" w:beforeAutospacing="1" w:after="0" w:afterAutospacing="1" w:line="240" w:lineRule="auto"/>
      <w:jc w:val="both"/>
    </w:pPr>
    <w:rPr>
      <w:kern w:val="0"/>
      <w14:ligatures w14:val="none"/>
    </w:rPr>
    <w:tblPr/>
  </w:style>
  <w:style w:type="table" w:customStyle="1" w:styleId="PlainTable41141">
    <w:name w:val="Plain Table 41141"/>
    <w:basedOn w:val="TableNormal"/>
    <w:uiPriority w:val="44"/>
    <w:rsid w:val="009B2D9D"/>
    <w:pPr>
      <w:spacing w:before="100" w:beforeAutospacing="1" w:after="0" w:afterAutospacing="1" w:line="240" w:lineRule="auto"/>
      <w:jc w:val="both"/>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211131">
    <w:name w:val="No List211131"/>
    <w:next w:val="NoList"/>
    <w:uiPriority w:val="99"/>
    <w:semiHidden/>
    <w:unhideWhenUsed/>
    <w:rsid w:val="009B2D9D"/>
  </w:style>
  <w:style w:type="table" w:customStyle="1" w:styleId="PlainTable2151">
    <w:name w:val="Plain Table 2151"/>
    <w:basedOn w:val="TableNormal"/>
    <w:uiPriority w:val="42"/>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Light151">
    <w:name w:val="Table Grid Light151"/>
    <w:basedOn w:val="TableNormal"/>
    <w:uiPriority w:val="40"/>
    <w:rsid w:val="009B2D9D"/>
    <w:pPr>
      <w:spacing w:before="100" w:beforeAutospacing="1" w:after="0" w:afterAutospacing="1" w:line="240" w:lineRule="auto"/>
      <w:jc w:val="both"/>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261">
    <w:name w:val="Table Grid Light261"/>
    <w:basedOn w:val="TableNormal"/>
    <w:uiPriority w:val="40"/>
    <w:rsid w:val="009B2D9D"/>
    <w:pPr>
      <w:spacing w:before="100" w:beforeAutospacing="1" w:after="0" w:afterAutospacing="1" w:line="240" w:lineRule="auto"/>
      <w:jc w:val="both"/>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2141">
    <w:name w:val="Table Grid Light2141"/>
    <w:basedOn w:val="TableNormal"/>
    <w:uiPriority w:val="40"/>
    <w:rsid w:val="009B2D9D"/>
    <w:pPr>
      <w:spacing w:before="100" w:beforeAutospacing="1" w:after="0" w:afterAutospacing="1" w:line="240" w:lineRule="auto"/>
      <w:jc w:val="both"/>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431">
    <w:name w:val="Table Grid431"/>
    <w:basedOn w:val="TableNormal"/>
    <w:next w:val="TableGrid"/>
    <w:uiPriority w:val="39"/>
    <w:rsid w:val="009B2D9D"/>
    <w:pPr>
      <w:spacing w:before="100" w:beforeAutospacing="1" w:after="0" w:afterAutospacing="1" w:line="240" w:lineRule="auto"/>
      <w:jc w:val="both"/>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51">
    <w:name w:val="No List451"/>
    <w:next w:val="NoList"/>
    <w:uiPriority w:val="99"/>
    <w:semiHidden/>
    <w:unhideWhenUsed/>
    <w:rsid w:val="009B2D9D"/>
  </w:style>
  <w:style w:type="numbering" w:customStyle="1" w:styleId="Radovan251">
    <w:name w:val="Radovan251"/>
    <w:uiPriority w:val="99"/>
    <w:rsid w:val="009B2D9D"/>
  </w:style>
  <w:style w:type="numbering" w:customStyle="1" w:styleId="Style1351">
    <w:name w:val="Style1351"/>
    <w:uiPriority w:val="99"/>
    <w:rsid w:val="009B2D9D"/>
  </w:style>
  <w:style w:type="numbering" w:customStyle="1" w:styleId="Style2251">
    <w:name w:val="Style2251"/>
    <w:uiPriority w:val="99"/>
    <w:rsid w:val="009B2D9D"/>
  </w:style>
  <w:style w:type="numbering" w:customStyle="1" w:styleId="NoList1351">
    <w:name w:val="No List1351"/>
    <w:next w:val="NoList"/>
    <w:uiPriority w:val="99"/>
    <w:semiHidden/>
    <w:unhideWhenUsed/>
    <w:rsid w:val="009B2D9D"/>
  </w:style>
  <w:style w:type="numbering" w:customStyle="1" w:styleId="NoList11351">
    <w:name w:val="No List11351"/>
    <w:next w:val="NoList"/>
    <w:uiPriority w:val="99"/>
    <w:semiHidden/>
    <w:unhideWhenUsed/>
    <w:rsid w:val="009B2D9D"/>
  </w:style>
  <w:style w:type="numbering" w:customStyle="1" w:styleId="NoList111351">
    <w:name w:val="No List111351"/>
    <w:next w:val="NoList"/>
    <w:uiPriority w:val="99"/>
    <w:semiHidden/>
    <w:unhideWhenUsed/>
    <w:rsid w:val="009B2D9D"/>
  </w:style>
  <w:style w:type="numbering" w:customStyle="1" w:styleId="NoList2251">
    <w:name w:val="No List2251"/>
    <w:next w:val="NoList"/>
    <w:uiPriority w:val="99"/>
    <w:semiHidden/>
    <w:unhideWhenUsed/>
    <w:rsid w:val="009B2D9D"/>
  </w:style>
  <w:style w:type="table" w:customStyle="1" w:styleId="PlainTable21131">
    <w:name w:val="Plain Table 21131"/>
    <w:basedOn w:val="TableNormal"/>
    <w:uiPriority w:val="42"/>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Light1131">
    <w:name w:val="Table Grid Light1131"/>
    <w:basedOn w:val="TableNormal"/>
    <w:uiPriority w:val="40"/>
    <w:rsid w:val="009B2D9D"/>
    <w:pPr>
      <w:spacing w:before="100" w:beforeAutospacing="1" w:after="0" w:afterAutospacing="1" w:line="240" w:lineRule="auto"/>
      <w:jc w:val="both"/>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2231">
    <w:name w:val="Table Grid Light2231"/>
    <w:basedOn w:val="TableNormal"/>
    <w:uiPriority w:val="40"/>
    <w:rsid w:val="009B2D9D"/>
    <w:pPr>
      <w:spacing w:before="100" w:beforeAutospacing="1" w:after="0" w:afterAutospacing="1" w:line="240" w:lineRule="auto"/>
      <w:jc w:val="both"/>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Style3161">
    <w:name w:val="Style3161"/>
    <w:uiPriority w:val="99"/>
    <w:rsid w:val="009B2D9D"/>
  </w:style>
  <w:style w:type="numbering" w:customStyle="1" w:styleId="NoList1111251">
    <w:name w:val="No List1111251"/>
    <w:next w:val="NoList"/>
    <w:uiPriority w:val="99"/>
    <w:semiHidden/>
    <w:unhideWhenUsed/>
    <w:rsid w:val="009B2D9D"/>
  </w:style>
  <w:style w:type="numbering" w:customStyle="1" w:styleId="NoList31131">
    <w:name w:val="No List31131"/>
    <w:next w:val="NoList"/>
    <w:uiPriority w:val="99"/>
    <w:semiHidden/>
    <w:unhideWhenUsed/>
    <w:rsid w:val="009B2D9D"/>
  </w:style>
  <w:style w:type="numbering" w:customStyle="1" w:styleId="NoList12251">
    <w:name w:val="No List12251"/>
    <w:next w:val="NoList"/>
    <w:uiPriority w:val="99"/>
    <w:semiHidden/>
    <w:unhideWhenUsed/>
    <w:rsid w:val="009B2D9D"/>
  </w:style>
  <w:style w:type="numbering" w:customStyle="1" w:styleId="NoList112251">
    <w:name w:val="No List112251"/>
    <w:next w:val="NoList"/>
    <w:uiPriority w:val="99"/>
    <w:semiHidden/>
    <w:unhideWhenUsed/>
    <w:rsid w:val="009B2D9D"/>
  </w:style>
  <w:style w:type="numbering" w:customStyle="1" w:styleId="NoList1112151">
    <w:name w:val="No List1112151"/>
    <w:next w:val="NoList"/>
    <w:uiPriority w:val="99"/>
    <w:semiHidden/>
    <w:unhideWhenUsed/>
    <w:rsid w:val="009B2D9D"/>
  </w:style>
  <w:style w:type="numbering" w:customStyle="1" w:styleId="NoList21251">
    <w:name w:val="No List21251"/>
    <w:next w:val="NoList"/>
    <w:uiPriority w:val="99"/>
    <w:semiHidden/>
    <w:unhideWhenUsed/>
    <w:rsid w:val="009B2D9D"/>
  </w:style>
  <w:style w:type="numbering" w:customStyle="1" w:styleId="NoList531">
    <w:name w:val="No List531"/>
    <w:next w:val="NoList"/>
    <w:uiPriority w:val="99"/>
    <w:semiHidden/>
    <w:unhideWhenUsed/>
    <w:rsid w:val="009B2D9D"/>
  </w:style>
  <w:style w:type="numbering" w:customStyle="1" w:styleId="Radovan331">
    <w:name w:val="Radovan331"/>
    <w:uiPriority w:val="99"/>
    <w:rsid w:val="009B2D9D"/>
  </w:style>
  <w:style w:type="numbering" w:customStyle="1" w:styleId="Style1431">
    <w:name w:val="Style1431"/>
    <w:uiPriority w:val="99"/>
    <w:rsid w:val="009B2D9D"/>
  </w:style>
  <w:style w:type="numbering" w:customStyle="1" w:styleId="Style2331">
    <w:name w:val="Style2331"/>
    <w:uiPriority w:val="99"/>
    <w:rsid w:val="009B2D9D"/>
  </w:style>
  <w:style w:type="numbering" w:customStyle="1" w:styleId="NoList1431">
    <w:name w:val="No List1431"/>
    <w:next w:val="NoList"/>
    <w:uiPriority w:val="99"/>
    <w:semiHidden/>
    <w:unhideWhenUsed/>
    <w:rsid w:val="009B2D9D"/>
  </w:style>
  <w:style w:type="numbering" w:customStyle="1" w:styleId="NoList11431">
    <w:name w:val="No List11431"/>
    <w:next w:val="NoList"/>
    <w:uiPriority w:val="99"/>
    <w:semiHidden/>
    <w:unhideWhenUsed/>
    <w:rsid w:val="009B2D9D"/>
  </w:style>
  <w:style w:type="numbering" w:customStyle="1" w:styleId="NoList111431">
    <w:name w:val="No List111431"/>
    <w:next w:val="NoList"/>
    <w:uiPriority w:val="99"/>
    <w:semiHidden/>
    <w:unhideWhenUsed/>
    <w:rsid w:val="009B2D9D"/>
  </w:style>
  <w:style w:type="numbering" w:customStyle="1" w:styleId="Style11231">
    <w:name w:val="Style11231"/>
    <w:uiPriority w:val="99"/>
    <w:rsid w:val="009B2D9D"/>
  </w:style>
  <w:style w:type="numbering" w:customStyle="1" w:styleId="NoList2331">
    <w:name w:val="No List2331"/>
    <w:next w:val="NoList"/>
    <w:uiPriority w:val="99"/>
    <w:semiHidden/>
    <w:unhideWhenUsed/>
    <w:rsid w:val="009B2D9D"/>
  </w:style>
  <w:style w:type="numbering" w:customStyle="1" w:styleId="Radovan1231">
    <w:name w:val="Radovan1231"/>
    <w:uiPriority w:val="99"/>
    <w:rsid w:val="009B2D9D"/>
  </w:style>
  <w:style w:type="numbering" w:customStyle="1" w:styleId="Style12131">
    <w:name w:val="Style12131"/>
    <w:uiPriority w:val="99"/>
    <w:rsid w:val="009B2D9D"/>
  </w:style>
  <w:style w:type="numbering" w:customStyle="1" w:styleId="Style21231">
    <w:name w:val="Style21231"/>
    <w:uiPriority w:val="99"/>
    <w:rsid w:val="009B2D9D"/>
  </w:style>
  <w:style w:type="numbering" w:customStyle="1" w:styleId="NoList12331">
    <w:name w:val="No List12331"/>
    <w:next w:val="NoList"/>
    <w:uiPriority w:val="99"/>
    <w:semiHidden/>
    <w:unhideWhenUsed/>
    <w:rsid w:val="009B2D9D"/>
  </w:style>
  <w:style w:type="numbering" w:customStyle="1" w:styleId="NoList112331">
    <w:name w:val="No List112331"/>
    <w:next w:val="NoList"/>
    <w:uiPriority w:val="99"/>
    <w:semiHidden/>
    <w:unhideWhenUsed/>
    <w:rsid w:val="009B2D9D"/>
  </w:style>
  <w:style w:type="numbering" w:customStyle="1" w:styleId="NoList1111331">
    <w:name w:val="No List1111331"/>
    <w:next w:val="NoList"/>
    <w:uiPriority w:val="99"/>
    <w:semiHidden/>
    <w:unhideWhenUsed/>
    <w:rsid w:val="009B2D9D"/>
  </w:style>
  <w:style w:type="numbering" w:customStyle="1" w:styleId="NoList21331">
    <w:name w:val="No List21331"/>
    <w:next w:val="NoList"/>
    <w:uiPriority w:val="99"/>
    <w:semiHidden/>
    <w:unhideWhenUsed/>
    <w:rsid w:val="009B2D9D"/>
  </w:style>
  <w:style w:type="numbering" w:customStyle="1" w:styleId="NoList11111231">
    <w:name w:val="No List11111231"/>
    <w:next w:val="NoList"/>
    <w:uiPriority w:val="99"/>
    <w:semiHidden/>
    <w:unhideWhenUsed/>
    <w:rsid w:val="009B2D9D"/>
  </w:style>
  <w:style w:type="numbering" w:customStyle="1" w:styleId="NoList3231">
    <w:name w:val="No List3231"/>
    <w:next w:val="NoList"/>
    <w:uiPriority w:val="99"/>
    <w:semiHidden/>
    <w:unhideWhenUsed/>
    <w:rsid w:val="009B2D9D"/>
  </w:style>
  <w:style w:type="numbering" w:customStyle="1" w:styleId="NoList121231">
    <w:name w:val="No List121231"/>
    <w:next w:val="NoList"/>
    <w:uiPriority w:val="99"/>
    <w:semiHidden/>
    <w:unhideWhenUsed/>
    <w:rsid w:val="009B2D9D"/>
  </w:style>
  <w:style w:type="numbering" w:customStyle="1" w:styleId="NoList1121231">
    <w:name w:val="No List1121231"/>
    <w:next w:val="NoList"/>
    <w:uiPriority w:val="99"/>
    <w:semiHidden/>
    <w:unhideWhenUsed/>
    <w:rsid w:val="009B2D9D"/>
  </w:style>
  <w:style w:type="numbering" w:customStyle="1" w:styleId="NoList1112231">
    <w:name w:val="No List1112231"/>
    <w:next w:val="NoList"/>
    <w:uiPriority w:val="99"/>
    <w:semiHidden/>
    <w:unhideWhenUsed/>
    <w:rsid w:val="009B2D9D"/>
  </w:style>
  <w:style w:type="numbering" w:customStyle="1" w:styleId="NoList211231">
    <w:name w:val="No List211231"/>
    <w:next w:val="NoList"/>
    <w:uiPriority w:val="99"/>
    <w:semiHidden/>
    <w:unhideWhenUsed/>
    <w:rsid w:val="009B2D9D"/>
  </w:style>
  <w:style w:type="numbering" w:customStyle="1" w:styleId="Style3231">
    <w:name w:val="Style3231"/>
    <w:uiPriority w:val="99"/>
    <w:rsid w:val="009B2D9D"/>
  </w:style>
  <w:style w:type="numbering" w:customStyle="1" w:styleId="NoList4131">
    <w:name w:val="No List4131"/>
    <w:next w:val="NoList"/>
    <w:uiPriority w:val="99"/>
    <w:semiHidden/>
    <w:unhideWhenUsed/>
    <w:rsid w:val="009B2D9D"/>
  </w:style>
  <w:style w:type="numbering" w:customStyle="1" w:styleId="Radovan2131">
    <w:name w:val="Radovan2131"/>
    <w:uiPriority w:val="99"/>
    <w:rsid w:val="009B2D9D"/>
  </w:style>
  <w:style w:type="numbering" w:customStyle="1" w:styleId="Style13131">
    <w:name w:val="Style13131"/>
    <w:uiPriority w:val="99"/>
    <w:rsid w:val="009B2D9D"/>
  </w:style>
  <w:style w:type="numbering" w:customStyle="1" w:styleId="Style22131">
    <w:name w:val="Style22131"/>
    <w:uiPriority w:val="99"/>
    <w:rsid w:val="009B2D9D"/>
  </w:style>
  <w:style w:type="numbering" w:customStyle="1" w:styleId="NoList13131">
    <w:name w:val="No List13131"/>
    <w:next w:val="NoList"/>
    <w:uiPriority w:val="99"/>
    <w:semiHidden/>
    <w:unhideWhenUsed/>
    <w:rsid w:val="009B2D9D"/>
  </w:style>
  <w:style w:type="numbering" w:customStyle="1" w:styleId="NoList113131">
    <w:name w:val="No List113131"/>
    <w:next w:val="NoList"/>
    <w:uiPriority w:val="99"/>
    <w:semiHidden/>
    <w:unhideWhenUsed/>
    <w:rsid w:val="009B2D9D"/>
  </w:style>
  <w:style w:type="numbering" w:customStyle="1" w:styleId="NoList1113131">
    <w:name w:val="No List1113131"/>
    <w:next w:val="NoList"/>
    <w:uiPriority w:val="99"/>
    <w:semiHidden/>
    <w:unhideWhenUsed/>
    <w:rsid w:val="009B2D9D"/>
  </w:style>
  <w:style w:type="numbering" w:customStyle="1" w:styleId="Style111231">
    <w:name w:val="Style111231"/>
    <w:uiPriority w:val="99"/>
    <w:rsid w:val="009B2D9D"/>
  </w:style>
  <w:style w:type="numbering" w:customStyle="1" w:styleId="NoList22131">
    <w:name w:val="No List22131"/>
    <w:next w:val="NoList"/>
    <w:uiPriority w:val="99"/>
    <w:semiHidden/>
    <w:unhideWhenUsed/>
    <w:rsid w:val="009B2D9D"/>
  </w:style>
  <w:style w:type="numbering" w:customStyle="1" w:styleId="Style31231">
    <w:name w:val="Style31231"/>
    <w:uiPriority w:val="99"/>
    <w:rsid w:val="009B2D9D"/>
  </w:style>
  <w:style w:type="numbering" w:customStyle="1" w:styleId="NoList11112131">
    <w:name w:val="No List11112131"/>
    <w:next w:val="NoList"/>
    <w:uiPriority w:val="99"/>
    <w:semiHidden/>
    <w:unhideWhenUsed/>
    <w:rsid w:val="009B2D9D"/>
  </w:style>
  <w:style w:type="numbering" w:customStyle="1" w:styleId="NoList31231">
    <w:name w:val="No List31231"/>
    <w:next w:val="NoList"/>
    <w:uiPriority w:val="99"/>
    <w:semiHidden/>
    <w:unhideWhenUsed/>
    <w:rsid w:val="009B2D9D"/>
  </w:style>
  <w:style w:type="numbering" w:customStyle="1" w:styleId="NoList122131">
    <w:name w:val="No List122131"/>
    <w:next w:val="NoList"/>
    <w:uiPriority w:val="99"/>
    <w:semiHidden/>
    <w:unhideWhenUsed/>
    <w:rsid w:val="009B2D9D"/>
  </w:style>
  <w:style w:type="numbering" w:customStyle="1" w:styleId="NoList1122131">
    <w:name w:val="No List1122131"/>
    <w:next w:val="NoList"/>
    <w:uiPriority w:val="99"/>
    <w:semiHidden/>
    <w:unhideWhenUsed/>
    <w:rsid w:val="009B2D9D"/>
  </w:style>
  <w:style w:type="numbering" w:customStyle="1" w:styleId="NoList11121131">
    <w:name w:val="No List11121131"/>
    <w:next w:val="NoList"/>
    <w:uiPriority w:val="99"/>
    <w:semiHidden/>
    <w:unhideWhenUsed/>
    <w:rsid w:val="009B2D9D"/>
  </w:style>
  <w:style w:type="numbering" w:customStyle="1" w:styleId="NoList212131">
    <w:name w:val="No List212131"/>
    <w:next w:val="NoList"/>
    <w:uiPriority w:val="99"/>
    <w:semiHidden/>
    <w:unhideWhenUsed/>
    <w:rsid w:val="009B2D9D"/>
  </w:style>
  <w:style w:type="numbering" w:customStyle="1" w:styleId="Style311131">
    <w:name w:val="Style311131"/>
    <w:uiPriority w:val="99"/>
    <w:rsid w:val="009B2D9D"/>
  </w:style>
  <w:style w:type="numbering" w:customStyle="1" w:styleId="NoList631">
    <w:name w:val="No List631"/>
    <w:next w:val="NoList"/>
    <w:uiPriority w:val="99"/>
    <w:semiHidden/>
    <w:unhideWhenUsed/>
    <w:rsid w:val="009B2D9D"/>
  </w:style>
  <w:style w:type="numbering" w:customStyle="1" w:styleId="Radovan431">
    <w:name w:val="Radovan431"/>
    <w:uiPriority w:val="99"/>
    <w:rsid w:val="009B2D9D"/>
  </w:style>
  <w:style w:type="numbering" w:customStyle="1" w:styleId="Style1531">
    <w:name w:val="Style1531"/>
    <w:uiPriority w:val="99"/>
    <w:rsid w:val="009B2D9D"/>
  </w:style>
  <w:style w:type="numbering" w:customStyle="1" w:styleId="Style2431">
    <w:name w:val="Style2431"/>
    <w:uiPriority w:val="99"/>
    <w:rsid w:val="009B2D9D"/>
  </w:style>
  <w:style w:type="numbering" w:customStyle="1" w:styleId="NoList1531">
    <w:name w:val="No List1531"/>
    <w:next w:val="NoList"/>
    <w:uiPriority w:val="99"/>
    <w:semiHidden/>
    <w:unhideWhenUsed/>
    <w:rsid w:val="009B2D9D"/>
  </w:style>
  <w:style w:type="numbering" w:customStyle="1" w:styleId="NoList11531">
    <w:name w:val="No List11531"/>
    <w:next w:val="NoList"/>
    <w:uiPriority w:val="99"/>
    <w:semiHidden/>
    <w:unhideWhenUsed/>
    <w:rsid w:val="009B2D9D"/>
  </w:style>
  <w:style w:type="numbering" w:customStyle="1" w:styleId="NoList111531">
    <w:name w:val="No List111531"/>
    <w:next w:val="NoList"/>
    <w:uiPriority w:val="99"/>
    <w:semiHidden/>
    <w:unhideWhenUsed/>
    <w:rsid w:val="009B2D9D"/>
  </w:style>
  <w:style w:type="numbering" w:customStyle="1" w:styleId="Style11331">
    <w:name w:val="Style11331"/>
    <w:uiPriority w:val="99"/>
    <w:rsid w:val="009B2D9D"/>
  </w:style>
  <w:style w:type="numbering" w:customStyle="1" w:styleId="NoList2431">
    <w:name w:val="No List2431"/>
    <w:next w:val="NoList"/>
    <w:uiPriority w:val="99"/>
    <w:semiHidden/>
    <w:unhideWhenUsed/>
    <w:rsid w:val="009B2D9D"/>
  </w:style>
  <w:style w:type="numbering" w:customStyle="1" w:styleId="Style12231">
    <w:name w:val="Style12231"/>
    <w:uiPriority w:val="99"/>
    <w:rsid w:val="009B2D9D"/>
  </w:style>
  <w:style w:type="numbering" w:customStyle="1" w:styleId="Style21331">
    <w:name w:val="Style21331"/>
    <w:uiPriority w:val="99"/>
    <w:rsid w:val="009B2D9D"/>
  </w:style>
  <w:style w:type="numbering" w:customStyle="1" w:styleId="NoList12431">
    <w:name w:val="No List12431"/>
    <w:next w:val="NoList"/>
    <w:uiPriority w:val="99"/>
    <w:semiHidden/>
    <w:unhideWhenUsed/>
    <w:rsid w:val="009B2D9D"/>
  </w:style>
  <w:style w:type="numbering" w:customStyle="1" w:styleId="NoList112431">
    <w:name w:val="No List112431"/>
    <w:next w:val="NoList"/>
    <w:uiPriority w:val="99"/>
    <w:semiHidden/>
    <w:unhideWhenUsed/>
    <w:rsid w:val="009B2D9D"/>
  </w:style>
  <w:style w:type="numbering" w:customStyle="1" w:styleId="NoList1111431">
    <w:name w:val="No List1111431"/>
    <w:next w:val="NoList"/>
    <w:uiPriority w:val="99"/>
    <w:semiHidden/>
    <w:unhideWhenUsed/>
    <w:rsid w:val="009B2D9D"/>
  </w:style>
  <w:style w:type="numbering" w:customStyle="1" w:styleId="NoList21431">
    <w:name w:val="No List21431"/>
    <w:next w:val="NoList"/>
    <w:uiPriority w:val="99"/>
    <w:semiHidden/>
    <w:unhideWhenUsed/>
    <w:rsid w:val="009B2D9D"/>
  </w:style>
  <w:style w:type="numbering" w:customStyle="1" w:styleId="NoList11111331">
    <w:name w:val="No List11111331"/>
    <w:next w:val="NoList"/>
    <w:uiPriority w:val="99"/>
    <w:semiHidden/>
    <w:unhideWhenUsed/>
    <w:rsid w:val="009B2D9D"/>
  </w:style>
  <w:style w:type="numbering" w:customStyle="1" w:styleId="NoList3331">
    <w:name w:val="No List3331"/>
    <w:next w:val="NoList"/>
    <w:uiPriority w:val="99"/>
    <w:semiHidden/>
    <w:unhideWhenUsed/>
    <w:rsid w:val="009B2D9D"/>
  </w:style>
  <w:style w:type="numbering" w:customStyle="1" w:styleId="NoList121331">
    <w:name w:val="No List121331"/>
    <w:next w:val="NoList"/>
    <w:uiPriority w:val="99"/>
    <w:semiHidden/>
    <w:unhideWhenUsed/>
    <w:rsid w:val="009B2D9D"/>
  </w:style>
  <w:style w:type="numbering" w:customStyle="1" w:styleId="NoList1121331">
    <w:name w:val="No List1121331"/>
    <w:next w:val="NoList"/>
    <w:uiPriority w:val="99"/>
    <w:semiHidden/>
    <w:unhideWhenUsed/>
    <w:rsid w:val="009B2D9D"/>
  </w:style>
  <w:style w:type="numbering" w:customStyle="1" w:styleId="NoList1112331">
    <w:name w:val="No List1112331"/>
    <w:next w:val="NoList"/>
    <w:uiPriority w:val="99"/>
    <w:semiHidden/>
    <w:unhideWhenUsed/>
    <w:rsid w:val="009B2D9D"/>
  </w:style>
  <w:style w:type="numbering" w:customStyle="1" w:styleId="NoList211331">
    <w:name w:val="No List211331"/>
    <w:next w:val="NoList"/>
    <w:uiPriority w:val="99"/>
    <w:semiHidden/>
    <w:unhideWhenUsed/>
    <w:rsid w:val="009B2D9D"/>
  </w:style>
  <w:style w:type="numbering" w:customStyle="1" w:styleId="NoList4231">
    <w:name w:val="No List4231"/>
    <w:next w:val="NoList"/>
    <w:uiPriority w:val="99"/>
    <w:semiHidden/>
    <w:unhideWhenUsed/>
    <w:rsid w:val="009B2D9D"/>
  </w:style>
  <w:style w:type="numbering" w:customStyle="1" w:styleId="NoList13231">
    <w:name w:val="No List13231"/>
    <w:next w:val="NoList"/>
    <w:uiPriority w:val="99"/>
    <w:semiHidden/>
    <w:unhideWhenUsed/>
    <w:rsid w:val="009B2D9D"/>
  </w:style>
  <w:style w:type="numbering" w:customStyle="1" w:styleId="NoList113231">
    <w:name w:val="No List113231"/>
    <w:next w:val="NoList"/>
    <w:uiPriority w:val="99"/>
    <w:semiHidden/>
    <w:unhideWhenUsed/>
    <w:rsid w:val="009B2D9D"/>
  </w:style>
  <w:style w:type="numbering" w:customStyle="1" w:styleId="NoList1113231">
    <w:name w:val="No List1113231"/>
    <w:next w:val="NoList"/>
    <w:uiPriority w:val="99"/>
    <w:semiHidden/>
    <w:unhideWhenUsed/>
    <w:rsid w:val="009B2D9D"/>
  </w:style>
  <w:style w:type="numbering" w:customStyle="1" w:styleId="NoList22231">
    <w:name w:val="No List22231"/>
    <w:next w:val="NoList"/>
    <w:uiPriority w:val="99"/>
    <w:semiHidden/>
    <w:unhideWhenUsed/>
    <w:rsid w:val="009B2D9D"/>
  </w:style>
  <w:style w:type="numbering" w:customStyle="1" w:styleId="NoList11112231">
    <w:name w:val="No List11112231"/>
    <w:next w:val="NoList"/>
    <w:uiPriority w:val="99"/>
    <w:semiHidden/>
    <w:unhideWhenUsed/>
    <w:rsid w:val="009B2D9D"/>
  </w:style>
  <w:style w:type="numbering" w:customStyle="1" w:styleId="NoList31331">
    <w:name w:val="No List31331"/>
    <w:next w:val="NoList"/>
    <w:uiPriority w:val="99"/>
    <w:semiHidden/>
    <w:unhideWhenUsed/>
    <w:rsid w:val="009B2D9D"/>
  </w:style>
  <w:style w:type="numbering" w:customStyle="1" w:styleId="NoList122231">
    <w:name w:val="No List122231"/>
    <w:next w:val="NoList"/>
    <w:uiPriority w:val="99"/>
    <w:semiHidden/>
    <w:unhideWhenUsed/>
    <w:rsid w:val="009B2D9D"/>
  </w:style>
  <w:style w:type="numbering" w:customStyle="1" w:styleId="NoList1122231">
    <w:name w:val="No List1122231"/>
    <w:next w:val="NoList"/>
    <w:uiPriority w:val="99"/>
    <w:semiHidden/>
    <w:unhideWhenUsed/>
    <w:rsid w:val="009B2D9D"/>
  </w:style>
  <w:style w:type="numbering" w:customStyle="1" w:styleId="NoList11121231">
    <w:name w:val="No List11121231"/>
    <w:next w:val="NoList"/>
    <w:uiPriority w:val="99"/>
    <w:semiHidden/>
    <w:unhideWhenUsed/>
    <w:rsid w:val="009B2D9D"/>
  </w:style>
  <w:style w:type="numbering" w:customStyle="1" w:styleId="NoList212231">
    <w:name w:val="No List212231"/>
    <w:next w:val="NoList"/>
    <w:uiPriority w:val="99"/>
    <w:semiHidden/>
    <w:unhideWhenUsed/>
    <w:rsid w:val="009B2D9D"/>
  </w:style>
  <w:style w:type="table" w:customStyle="1" w:styleId="LightShading-Accent31131">
    <w:name w:val="Light Shading - Accent 31131"/>
    <w:basedOn w:val="TableNormal"/>
    <w:next w:val="LightShading-Accent3"/>
    <w:uiPriority w:val="60"/>
    <w:rsid w:val="009B2D9D"/>
    <w:pPr>
      <w:spacing w:before="100" w:beforeAutospacing="1" w:after="0" w:afterAutospacing="1" w:line="240" w:lineRule="auto"/>
      <w:jc w:val="both"/>
    </w:pPr>
    <w:rPr>
      <w:rFonts w:ascii="Calibri" w:eastAsia="Calibri" w:hAnsi="Calibri" w:cs="Times New Roman"/>
      <w:color w:val="7B7B7B"/>
      <w:kern w:val="0"/>
      <w:sz w:val="20"/>
      <w:szCs w:val="20"/>
      <w14:ligatures w14:val="none"/>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LightList-Accent21131">
    <w:name w:val="Light List - Accent 21131"/>
    <w:basedOn w:val="TableNormal"/>
    <w:next w:val="LightList-Accent2"/>
    <w:uiPriority w:val="61"/>
    <w:rsid w:val="009B2D9D"/>
    <w:pPr>
      <w:spacing w:before="100" w:beforeAutospacing="1" w:after="0" w:afterAutospacing="1" w:line="240" w:lineRule="auto"/>
      <w:jc w:val="both"/>
    </w:pPr>
    <w:rPr>
      <w:rFonts w:eastAsia="Times New Roman"/>
      <w:kern w:val="0"/>
      <w:lang w:val="sr-Latn-CS" w:eastAsia="sr-Latn-CS"/>
      <w14:ligatures w14:val="none"/>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PlainTable411131">
    <w:name w:val="Plain Table 411131"/>
    <w:basedOn w:val="TableNormal"/>
    <w:uiPriority w:val="44"/>
    <w:rsid w:val="009B2D9D"/>
    <w:pPr>
      <w:spacing w:before="100" w:beforeAutospacing="1" w:after="0" w:afterAutospacing="1" w:line="240" w:lineRule="auto"/>
      <w:jc w:val="both"/>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231">
    <w:name w:val="Plain Table 21231"/>
    <w:basedOn w:val="TableNormal"/>
    <w:uiPriority w:val="42"/>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Light1231">
    <w:name w:val="Table Grid Light1231"/>
    <w:basedOn w:val="TableNormal"/>
    <w:uiPriority w:val="40"/>
    <w:rsid w:val="009B2D9D"/>
    <w:pPr>
      <w:spacing w:before="100" w:beforeAutospacing="1" w:after="0" w:afterAutospacing="1" w:line="240" w:lineRule="auto"/>
      <w:jc w:val="both"/>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2331">
    <w:name w:val="Table Grid Light2331"/>
    <w:basedOn w:val="TableNormal"/>
    <w:uiPriority w:val="40"/>
    <w:rsid w:val="009B2D9D"/>
    <w:pPr>
      <w:spacing w:before="100" w:beforeAutospacing="1" w:after="0" w:afterAutospacing="1" w:line="240" w:lineRule="auto"/>
      <w:jc w:val="both"/>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21131">
    <w:name w:val="Table Grid Light21131"/>
    <w:basedOn w:val="TableNormal"/>
    <w:uiPriority w:val="40"/>
    <w:rsid w:val="009B2D9D"/>
    <w:pPr>
      <w:spacing w:before="100" w:beforeAutospacing="1" w:after="0" w:afterAutospacing="1" w:line="240" w:lineRule="auto"/>
      <w:jc w:val="both"/>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2-Accent1121">
    <w:name w:val="Grid Table 2 - Accent 1121"/>
    <w:basedOn w:val="TableNormal"/>
    <w:uiPriority w:val="47"/>
    <w:rsid w:val="009B2D9D"/>
    <w:pPr>
      <w:spacing w:before="100" w:beforeAutospacing="1" w:after="0" w:afterAutospacing="1" w:line="240" w:lineRule="auto"/>
      <w:jc w:val="both"/>
    </w:pPr>
    <w:rPr>
      <w:kern w:val="0"/>
      <w14:ligatures w14:val="none"/>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5121">
    <w:name w:val="Grid Table 4 - Accent 5121"/>
    <w:basedOn w:val="TableNormal"/>
    <w:uiPriority w:val="49"/>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3-Accent5121">
    <w:name w:val="Grid Table 3 - Accent 5121"/>
    <w:basedOn w:val="TableNormal"/>
    <w:uiPriority w:val="48"/>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ListTable2-Accent5121">
    <w:name w:val="List Table 2 - Accent 5121"/>
    <w:basedOn w:val="TableNormal"/>
    <w:uiPriority w:val="47"/>
    <w:locked/>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6Colorful-Accent5221">
    <w:name w:val="Grid Table 6 Colorful - Accent 5221"/>
    <w:basedOn w:val="TableNormal"/>
    <w:uiPriority w:val="51"/>
    <w:rsid w:val="009B2D9D"/>
    <w:pPr>
      <w:spacing w:before="100" w:beforeAutospacing="1" w:after="0" w:afterAutospacing="1" w:line="240" w:lineRule="auto"/>
      <w:jc w:val="both"/>
    </w:pPr>
    <w:rPr>
      <w:color w:val="2F5496"/>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5Dark-Accent5121">
    <w:name w:val="Grid Table 5 Dark - Accent 5121"/>
    <w:basedOn w:val="TableNormal"/>
    <w:uiPriority w:val="50"/>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1321">
    <w:name w:val="Grid Table 5 Dark - Accent 1321"/>
    <w:basedOn w:val="TableNormal"/>
    <w:uiPriority w:val="50"/>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321">
    <w:name w:val="Table Grid Light321"/>
    <w:basedOn w:val="TableNormal"/>
    <w:uiPriority w:val="40"/>
    <w:rsid w:val="009B2D9D"/>
    <w:pPr>
      <w:spacing w:before="100" w:beforeAutospacing="1" w:after="0" w:afterAutospacing="1" w:line="240" w:lineRule="auto"/>
      <w:jc w:val="both"/>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1121">
    <w:name w:val="Plain Table 1121"/>
    <w:basedOn w:val="TableNormal"/>
    <w:uiPriority w:val="41"/>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2121">
    <w:name w:val="Grid Table 1 Light - Accent 2121"/>
    <w:basedOn w:val="TableNormal"/>
    <w:uiPriority w:val="46"/>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GridTable5Dark-Accent2121">
    <w:name w:val="Grid Table 5 Dark - Accent 2121"/>
    <w:basedOn w:val="TableNormal"/>
    <w:uiPriority w:val="50"/>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GridTable6Colorful-Accent2121">
    <w:name w:val="Grid Table 6 Colorful - Accent 2121"/>
    <w:basedOn w:val="TableNormal"/>
    <w:uiPriority w:val="51"/>
    <w:rsid w:val="009B2D9D"/>
    <w:pPr>
      <w:spacing w:before="100" w:beforeAutospacing="1" w:after="0" w:afterAutospacing="1" w:line="240" w:lineRule="auto"/>
      <w:jc w:val="both"/>
    </w:pPr>
    <w:rPr>
      <w:color w:val="C45911"/>
      <w:kern w:val="0"/>
      <w14:ligatures w14:val="none"/>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6Colorful-Accent4121">
    <w:name w:val="Grid Table 6 Colorful - Accent 4121"/>
    <w:basedOn w:val="TableNormal"/>
    <w:uiPriority w:val="51"/>
    <w:rsid w:val="009B2D9D"/>
    <w:pPr>
      <w:spacing w:before="100" w:beforeAutospacing="1" w:after="0" w:afterAutospacing="1" w:line="240" w:lineRule="auto"/>
      <w:jc w:val="both"/>
    </w:pPr>
    <w:rPr>
      <w:color w:val="BF8F00"/>
      <w:kern w:val="0"/>
      <w14:ligatures w14:val="none"/>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5Dark-Accent2121">
    <w:name w:val="List Table 5 Dark - Accent 2121"/>
    <w:basedOn w:val="TableNormal"/>
    <w:uiPriority w:val="50"/>
    <w:rsid w:val="009B2D9D"/>
    <w:pPr>
      <w:spacing w:before="100" w:beforeAutospacing="1" w:after="0" w:afterAutospacing="1" w:line="240" w:lineRule="auto"/>
      <w:jc w:val="both"/>
    </w:pPr>
    <w:rPr>
      <w:color w:val="FFFFFF"/>
      <w:kern w:val="0"/>
      <w14:ligatures w14:val="none"/>
    </w:rPr>
    <w:tblPr>
      <w:tblStyleRowBandSize w:val="1"/>
      <w:tblStyleColBandSize w:val="1"/>
      <w:tblBorders>
        <w:top w:val="single" w:sz="24" w:space="0" w:color="ED7D31"/>
        <w:left w:val="single" w:sz="24" w:space="0" w:color="ED7D31"/>
        <w:bottom w:val="single" w:sz="24" w:space="0" w:color="ED7D31"/>
        <w:right w:val="single" w:sz="24" w:space="0" w:color="ED7D31"/>
      </w:tblBorders>
    </w:tblPr>
    <w:tcPr>
      <w:shd w:val="clear" w:color="auto" w:fill="ED7D31"/>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3-Accent2121">
    <w:name w:val="List Table 3 - Accent 2121"/>
    <w:basedOn w:val="TableNormal"/>
    <w:uiPriority w:val="48"/>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ED7D31"/>
        <w:left w:val="single" w:sz="4" w:space="0" w:color="ED7D31"/>
        <w:bottom w:val="single" w:sz="4" w:space="0" w:color="ED7D31"/>
        <w:right w:val="single" w:sz="4" w:space="0" w:color="ED7D31"/>
      </w:tblBorders>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table" w:customStyle="1" w:styleId="ListTable3-Accent4121">
    <w:name w:val="List Table 3 - Accent 4121"/>
    <w:basedOn w:val="TableNormal"/>
    <w:uiPriority w:val="48"/>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ListTable6Colorful-Accent4121">
    <w:name w:val="List Table 6 Colorful - Accent 4121"/>
    <w:basedOn w:val="TableNormal"/>
    <w:uiPriority w:val="51"/>
    <w:rsid w:val="009B2D9D"/>
    <w:pPr>
      <w:spacing w:before="100" w:beforeAutospacing="1" w:after="0" w:afterAutospacing="1" w:line="240" w:lineRule="auto"/>
      <w:jc w:val="both"/>
    </w:pPr>
    <w:rPr>
      <w:color w:val="BF8F00"/>
      <w:kern w:val="0"/>
      <w14:ligatures w14:val="none"/>
    </w:rPr>
    <w:tblPr>
      <w:tblStyleRowBandSize w:val="1"/>
      <w:tblStyleColBandSize w:val="1"/>
      <w:tblBorders>
        <w:top w:val="single" w:sz="4" w:space="0" w:color="FFC000"/>
        <w:bottom w:val="single" w:sz="4" w:space="0" w:color="FFC000"/>
      </w:tblBorders>
    </w:tblPr>
    <w:tblStylePr w:type="firstRow">
      <w:rPr>
        <w:b/>
        <w:bCs/>
      </w:rPr>
      <w:tblPr/>
      <w:tcPr>
        <w:tcBorders>
          <w:bottom w:val="single" w:sz="4" w:space="0" w:color="FFC000"/>
        </w:tcBorders>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4-Accent4121">
    <w:name w:val="Grid Table 4 - Accent 4121"/>
    <w:basedOn w:val="TableNormal"/>
    <w:uiPriority w:val="49"/>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7Colorful-Accent4121">
    <w:name w:val="List Table 7 Colorful - Accent 4121"/>
    <w:basedOn w:val="TableNormal"/>
    <w:uiPriority w:val="52"/>
    <w:locked/>
    <w:rsid w:val="009B2D9D"/>
    <w:pPr>
      <w:spacing w:before="100" w:beforeAutospacing="1" w:after="0" w:afterAutospacing="1" w:line="240" w:lineRule="auto"/>
      <w:jc w:val="both"/>
    </w:pPr>
    <w:rPr>
      <w:color w:val="BF8F00"/>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FFC000"/>
        </w:tcBorders>
        <w:shd w:val="clear" w:color="auto" w:fill="FFFFFF"/>
      </w:tcPr>
    </w:tblStylePr>
    <w:tblStylePr w:type="lastRow">
      <w:rPr>
        <w:rFonts w:ascii="Calibri Light" w:eastAsia="Times New Roman" w:hAnsi="Calibri Light" w:cs="Times New Roman"/>
        <w:i/>
        <w:iCs/>
        <w:sz w:val="26"/>
      </w:rPr>
      <w:tblPr/>
      <w:tcPr>
        <w:tcBorders>
          <w:top w:val="single" w:sz="4" w:space="0" w:color="FFC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FFC000"/>
        </w:tcBorders>
        <w:shd w:val="clear" w:color="auto" w:fill="FFFFFF"/>
      </w:tcPr>
    </w:tblStylePr>
    <w:tblStylePr w:type="lastCol">
      <w:rPr>
        <w:rFonts w:ascii="Calibri Light" w:eastAsia="Times New Roman" w:hAnsi="Calibri Light" w:cs="Times New Roman"/>
        <w:i/>
        <w:iCs/>
        <w:sz w:val="26"/>
      </w:rPr>
      <w:tblPr/>
      <w:tcPr>
        <w:tcBorders>
          <w:left w:val="single" w:sz="4" w:space="0" w:color="FFC000"/>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5Dark-Accent4121">
    <w:name w:val="List Table 5 Dark - Accent 4121"/>
    <w:basedOn w:val="TableNormal"/>
    <w:uiPriority w:val="50"/>
    <w:rsid w:val="009B2D9D"/>
    <w:pPr>
      <w:spacing w:before="100" w:beforeAutospacing="1" w:after="0" w:afterAutospacing="1" w:line="240" w:lineRule="auto"/>
      <w:jc w:val="both"/>
    </w:pPr>
    <w:rPr>
      <w:color w:val="FFFFFF"/>
      <w:kern w:val="0"/>
      <w14:ligatures w14:val="none"/>
    </w:rPr>
    <w:tblPr>
      <w:tblStyleRowBandSize w:val="1"/>
      <w:tblStyleColBandSize w:val="1"/>
      <w:tblBorders>
        <w:top w:val="single" w:sz="24" w:space="0" w:color="FFC000"/>
        <w:left w:val="single" w:sz="24" w:space="0" w:color="FFC000"/>
        <w:bottom w:val="single" w:sz="24" w:space="0" w:color="FFC000"/>
        <w:right w:val="single" w:sz="24" w:space="0" w:color="FFC000"/>
      </w:tblBorders>
    </w:tblPr>
    <w:tcPr>
      <w:shd w:val="clear" w:color="auto" w:fill="FFC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GridTable2-Accent4121">
    <w:name w:val="Grid Table 2 - Accent 4121"/>
    <w:basedOn w:val="TableNormal"/>
    <w:uiPriority w:val="47"/>
    <w:rsid w:val="009B2D9D"/>
    <w:pPr>
      <w:spacing w:before="100" w:beforeAutospacing="1" w:after="0" w:afterAutospacing="1" w:line="240" w:lineRule="auto"/>
      <w:jc w:val="both"/>
    </w:pPr>
    <w:rPr>
      <w:kern w:val="0"/>
      <w14:ligatures w14:val="none"/>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7Colorful-Accent2121">
    <w:name w:val="Grid Table 7 Colorful - Accent 2121"/>
    <w:basedOn w:val="TableNormal"/>
    <w:uiPriority w:val="52"/>
    <w:rsid w:val="009B2D9D"/>
    <w:pPr>
      <w:spacing w:before="100" w:beforeAutospacing="1" w:after="0" w:afterAutospacing="1" w:line="240" w:lineRule="auto"/>
      <w:jc w:val="both"/>
    </w:pPr>
    <w:rPr>
      <w:color w:val="C45911"/>
      <w:kern w:val="0"/>
      <w14:ligatures w14:val="none"/>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ListTable2-Accent4121">
    <w:name w:val="List Table 2 - Accent 4121"/>
    <w:basedOn w:val="TableNormal"/>
    <w:uiPriority w:val="47"/>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FFD966"/>
        <w:bottom w:val="single" w:sz="4" w:space="0" w:color="FFD966"/>
        <w:insideH w:val="single" w:sz="4" w:space="0" w:color="FFD9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1Light-Accent4121">
    <w:name w:val="Grid Table 1 Light - Accent 4121"/>
    <w:basedOn w:val="TableNormal"/>
    <w:uiPriority w:val="46"/>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ListTable2-Accent3121">
    <w:name w:val="List Table 2 - Accent 3121"/>
    <w:basedOn w:val="TableNormal"/>
    <w:uiPriority w:val="47"/>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2-Accent2121">
    <w:name w:val="List Table 2 - Accent 2121"/>
    <w:basedOn w:val="TableNormal"/>
    <w:uiPriority w:val="47"/>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F4B083"/>
        <w:bottom w:val="single" w:sz="4" w:space="0" w:color="F4B083"/>
        <w:insideH w:val="single" w:sz="4" w:space="0" w:color="F4B08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2-Accent1121">
    <w:name w:val="List Table 2 - Accent 1121"/>
    <w:basedOn w:val="TableNormal"/>
    <w:uiPriority w:val="47"/>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1Light-Accent4121">
    <w:name w:val="List Table 1 Light - Accent 4121"/>
    <w:basedOn w:val="TableNormal"/>
    <w:uiPriority w:val="46"/>
    <w:rsid w:val="009B2D9D"/>
    <w:pPr>
      <w:spacing w:before="100" w:beforeAutospacing="1" w:after="0" w:afterAutospacing="1" w:line="240" w:lineRule="auto"/>
      <w:jc w:val="both"/>
    </w:pPr>
    <w:rPr>
      <w:kern w:val="0"/>
      <w14:ligatures w14:val="none"/>
    </w:rPr>
    <w:tblPr>
      <w:tblStyleRowBandSize w:val="1"/>
      <w:tblStyleColBandSize w:val="1"/>
    </w:tblPr>
    <w:tblStylePr w:type="firstRow">
      <w:rPr>
        <w:b/>
        <w:bCs/>
      </w:rPr>
      <w:tblPr/>
      <w:tcPr>
        <w:tcBorders>
          <w:bottom w:val="single" w:sz="4" w:space="0" w:color="FFD966"/>
        </w:tcBorders>
      </w:tcPr>
    </w:tblStylePr>
    <w:tblStylePr w:type="lastRow">
      <w:rPr>
        <w:b/>
        <w:bCs/>
      </w:rPr>
      <w:tblPr/>
      <w:tcPr>
        <w:tcBorders>
          <w:top w:val="sing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numbering" w:customStyle="1" w:styleId="NoList711">
    <w:name w:val="No List711"/>
    <w:next w:val="NoList"/>
    <w:uiPriority w:val="99"/>
    <w:semiHidden/>
    <w:unhideWhenUsed/>
    <w:rsid w:val="009B2D9D"/>
  </w:style>
  <w:style w:type="table" w:customStyle="1" w:styleId="TableGrid511">
    <w:name w:val="Table Grid511"/>
    <w:basedOn w:val="TableNormal"/>
    <w:next w:val="TableGrid"/>
    <w:uiPriority w:val="39"/>
    <w:rsid w:val="009B2D9D"/>
    <w:pPr>
      <w:spacing w:before="100" w:beforeAutospacing="1" w:after="0" w:afterAutospacing="1" w:line="240" w:lineRule="auto"/>
      <w:jc w:val="both"/>
    </w:pPr>
    <w:rPr>
      <w:kern w:val="0"/>
      <w:lang w:val="sr-Latn-M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211">
    <w:name w:val="Light Shading - Accent 11211"/>
    <w:basedOn w:val="TableNormal"/>
    <w:uiPriority w:val="60"/>
    <w:rsid w:val="009B2D9D"/>
    <w:pPr>
      <w:spacing w:before="100" w:beforeAutospacing="1" w:after="0" w:afterAutospacing="1" w:line="240" w:lineRule="auto"/>
      <w:jc w:val="both"/>
    </w:pPr>
    <w:rPr>
      <w:rFonts w:ascii="Calibri" w:eastAsia="Times New Roman" w:hAnsi="Calibri" w:cs="Times New Roman"/>
      <w:color w:val="365F91"/>
      <w:kern w:val="0"/>
      <w:sz w:val="20"/>
      <w:szCs w:val="20"/>
      <w:lang w:val="sr-Latn-CS" w:eastAsia="sr-Latn-CS" w:bidi="en-US"/>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Radovan611">
    <w:name w:val="Radovan611"/>
    <w:uiPriority w:val="99"/>
    <w:rsid w:val="009B2D9D"/>
  </w:style>
  <w:style w:type="table" w:customStyle="1" w:styleId="LightShading-Accent3211">
    <w:name w:val="Light Shading - Accent 3211"/>
    <w:basedOn w:val="TableNormal"/>
    <w:next w:val="LightShading-Accent3"/>
    <w:uiPriority w:val="60"/>
    <w:rsid w:val="009B2D9D"/>
    <w:pPr>
      <w:spacing w:before="100" w:beforeAutospacing="1" w:after="0" w:afterAutospacing="1" w:line="240" w:lineRule="auto"/>
      <w:jc w:val="both"/>
    </w:pPr>
    <w:rPr>
      <w:rFonts w:ascii="Calibri" w:eastAsia="Calibri" w:hAnsi="Calibri" w:cs="Times New Roman"/>
      <w:color w:val="7B7B7B"/>
      <w:kern w:val="0"/>
      <w:sz w:val="20"/>
      <w:szCs w:val="20"/>
      <w14:ligatures w14:val="none"/>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LightList-Accent2211">
    <w:name w:val="Light List - Accent 2211"/>
    <w:basedOn w:val="TableNormal"/>
    <w:next w:val="LightList-Accent2"/>
    <w:uiPriority w:val="61"/>
    <w:rsid w:val="009B2D9D"/>
    <w:pPr>
      <w:spacing w:before="100" w:beforeAutospacing="1" w:after="0" w:afterAutospacing="1" w:line="240" w:lineRule="auto"/>
      <w:jc w:val="both"/>
    </w:pPr>
    <w:rPr>
      <w:rFonts w:eastAsia="Times New Roman"/>
      <w:kern w:val="0"/>
      <w:lang w:val="sr-Latn-CS" w:eastAsia="sr-Latn-CS"/>
      <w14:ligatures w14:val="none"/>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TableNormal1311">
    <w:name w:val="Table Normal1311"/>
    <w:uiPriority w:val="2"/>
    <w:semiHidden/>
    <w:unhideWhenUsed/>
    <w:qFormat/>
    <w:rsid w:val="009B2D9D"/>
    <w:pPr>
      <w:widowControl w:val="0"/>
      <w:spacing w:before="100" w:beforeAutospacing="1" w:after="0" w:afterAutospacing="1" w:line="240" w:lineRule="auto"/>
      <w:jc w:val="both"/>
    </w:pPr>
    <w:rPr>
      <w:kern w:val="0"/>
      <w14:ligatures w14:val="none"/>
    </w:rPr>
    <w:tblPr>
      <w:tblInd w:w="0" w:type="dxa"/>
      <w:tblCellMar>
        <w:top w:w="0" w:type="dxa"/>
        <w:left w:w="0" w:type="dxa"/>
        <w:bottom w:w="0" w:type="dxa"/>
        <w:right w:w="0" w:type="dxa"/>
      </w:tblCellMar>
    </w:tblPr>
  </w:style>
  <w:style w:type="numbering" w:customStyle="1" w:styleId="NoList1611">
    <w:name w:val="No List1611"/>
    <w:next w:val="NoList"/>
    <w:uiPriority w:val="99"/>
    <w:semiHidden/>
    <w:unhideWhenUsed/>
    <w:rsid w:val="009B2D9D"/>
  </w:style>
  <w:style w:type="numbering" w:customStyle="1" w:styleId="NoList11611">
    <w:name w:val="No List11611"/>
    <w:next w:val="NoList"/>
    <w:uiPriority w:val="99"/>
    <w:semiHidden/>
    <w:unhideWhenUsed/>
    <w:rsid w:val="009B2D9D"/>
  </w:style>
  <w:style w:type="table" w:customStyle="1" w:styleId="TableElegant211">
    <w:name w:val="Table Elegant211"/>
    <w:basedOn w:val="TableNormal"/>
    <w:next w:val="TableElegant"/>
    <w:rsid w:val="009B2D9D"/>
    <w:pPr>
      <w:spacing w:before="100" w:beforeAutospacing="1" w:after="0" w:afterAutospacing="1" w:line="240" w:lineRule="auto"/>
      <w:jc w:val="both"/>
    </w:pPr>
    <w:rPr>
      <w:rFonts w:ascii="Times New Roman" w:eastAsia="Times New Roman" w:hAnsi="Times New Roman" w:cs="Times New Roman"/>
      <w:kern w:val="0"/>
      <w:sz w:val="20"/>
      <w:szCs w:val="20"/>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NoList111611">
    <w:name w:val="No List111611"/>
    <w:next w:val="NoList"/>
    <w:uiPriority w:val="99"/>
    <w:semiHidden/>
    <w:unhideWhenUsed/>
    <w:rsid w:val="009B2D9D"/>
  </w:style>
  <w:style w:type="table" w:customStyle="1" w:styleId="TableNormal11211">
    <w:name w:val="Table Normal11211"/>
    <w:uiPriority w:val="2"/>
    <w:semiHidden/>
    <w:unhideWhenUsed/>
    <w:qFormat/>
    <w:rsid w:val="009B2D9D"/>
    <w:pPr>
      <w:widowControl w:val="0"/>
      <w:spacing w:before="100" w:beforeAutospacing="1" w:after="0" w:afterAutospacing="1" w:line="240" w:lineRule="auto"/>
      <w:jc w:val="both"/>
    </w:pPr>
    <w:rPr>
      <w:kern w:val="0"/>
      <w14:ligatures w14:val="none"/>
    </w:rPr>
    <w:tblPr>
      <w:tblInd w:w="0" w:type="dxa"/>
      <w:tblCellMar>
        <w:top w:w="0" w:type="dxa"/>
        <w:left w:w="0" w:type="dxa"/>
        <w:bottom w:w="0" w:type="dxa"/>
        <w:right w:w="0" w:type="dxa"/>
      </w:tblCellMar>
    </w:tblPr>
  </w:style>
  <w:style w:type="table" w:customStyle="1" w:styleId="PERstyle211">
    <w:name w:val="PER style211"/>
    <w:basedOn w:val="TableNormal"/>
    <w:uiPriority w:val="99"/>
    <w:rsid w:val="009B2D9D"/>
    <w:pPr>
      <w:spacing w:before="100" w:beforeAutospacing="1" w:after="0" w:afterAutospacing="1" w:line="240" w:lineRule="auto"/>
      <w:jc w:val="both"/>
    </w:pPr>
    <w:rPr>
      <w:kern w:val="0"/>
      <w:lang w:val="sr-Latn-ME"/>
      <w14:ligatures w14:val="none"/>
    </w:rPr>
    <w:tblPr/>
  </w:style>
  <w:style w:type="table" w:customStyle="1" w:styleId="PlainTable41211">
    <w:name w:val="Plain Table 41211"/>
    <w:basedOn w:val="TableNormal"/>
    <w:uiPriority w:val="44"/>
    <w:rsid w:val="009B2D9D"/>
    <w:pPr>
      <w:spacing w:before="100" w:beforeAutospacing="1" w:after="0" w:afterAutospacing="1" w:line="240" w:lineRule="auto"/>
      <w:jc w:val="both"/>
    </w:pPr>
    <w:rPr>
      <w:kern w:val="0"/>
      <w:lang w:val="sr-Latn-ME"/>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2511">
    <w:name w:val="No List2511"/>
    <w:next w:val="NoList"/>
    <w:uiPriority w:val="99"/>
    <w:semiHidden/>
    <w:unhideWhenUsed/>
    <w:rsid w:val="009B2D9D"/>
  </w:style>
  <w:style w:type="numbering" w:customStyle="1" w:styleId="NoList3411">
    <w:name w:val="No List3411"/>
    <w:next w:val="NoList"/>
    <w:uiPriority w:val="99"/>
    <w:semiHidden/>
    <w:unhideWhenUsed/>
    <w:rsid w:val="009B2D9D"/>
  </w:style>
  <w:style w:type="numbering" w:customStyle="1" w:styleId="Radovan1411">
    <w:name w:val="Radovan1411"/>
    <w:uiPriority w:val="99"/>
    <w:rsid w:val="009B2D9D"/>
  </w:style>
  <w:style w:type="numbering" w:customStyle="1" w:styleId="Style11411">
    <w:name w:val="Style11411"/>
    <w:uiPriority w:val="99"/>
    <w:rsid w:val="009B2D9D"/>
  </w:style>
  <w:style w:type="numbering" w:customStyle="1" w:styleId="Style21411">
    <w:name w:val="Style21411"/>
    <w:uiPriority w:val="99"/>
    <w:rsid w:val="009B2D9D"/>
  </w:style>
  <w:style w:type="numbering" w:customStyle="1" w:styleId="NoList12511">
    <w:name w:val="No List12511"/>
    <w:next w:val="NoList"/>
    <w:uiPriority w:val="99"/>
    <w:semiHidden/>
    <w:unhideWhenUsed/>
    <w:rsid w:val="009B2D9D"/>
  </w:style>
  <w:style w:type="numbering" w:customStyle="1" w:styleId="NoList112511">
    <w:name w:val="No List112511"/>
    <w:next w:val="NoList"/>
    <w:uiPriority w:val="99"/>
    <w:semiHidden/>
    <w:unhideWhenUsed/>
    <w:rsid w:val="009B2D9D"/>
  </w:style>
  <w:style w:type="numbering" w:customStyle="1" w:styleId="NoList1111511">
    <w:name w:val="No List1111511"/>
    <w:next w:val="NoList"/>
    <w:uiPriority w:val="99"/>
    <w:semiHidden/>
    <w:unhideWhenUsed/>
    <w:rsid w:val="009B2D9D"/>
  </w:style>
  <w:style w:type="numbering" w:customStyle="1" w:styleId="Style111411">
    <w:name w:val="Style111411"/>
    <w:uiPriority w:val="99"/>
    <w:rsid w:val="009B2D9D"/>
  </w:style>
  <w:style w:type="table" w:customStyle="1" w:styleId="GridTable1Light-Accent11112">
    <w:name w:val="Grid Table 1 Light - Accent 11112"/>
    <w:basedOn w:val="TableNormal"/>
    <w:uiPriority w:val="46"/>
    <w:rsid w:val="009B2D9D"/>
    <w:pPr>
      <w:spacing w:before="100" w:beforeAutospacing="1" w:after="0" w:afterAutospacing="1" w:line="240" w:lineRule="auto"/>
      <w:jc w:val="both"/>
    </w:pPr>
    <w:rPr>
      <w:rFonts w:ascii="Calibri" w:eastAsia="Calibri" w:hAnsi="Calibri" w:cs="Times New Roman"/>
      <w:kern w:val="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ListTable1Light-Accent11111">
    <w:name w:val="List Table 1 Light - Accent 11111"/>
    <w:basedOn w:val="TableNormal"/>
    <w:uiPriority w:val="46"/>
    <w:rsid w:val="009B2D9D"/>
    <w:pPr>
      <w:spacing w:before="100" w:beforeAutospacing="1" w:after="0" w:afterAutospacing="1" w:line="240" w:lineRule="auto"/>
      <w:jc w:val="both"/>
    </w:pPr>
    <w:rPr>
      <w:kern w:val="0"/>
      <w14:ligatures w14:val="none"/>
    </w:rPr>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11111">
    <w:name w:val="Grid Table 5 Dark - Accent 11111"/>
    <w:basedOn w:val="TableNormal"/>
    <w:uiPriority w:val="50"/>
    <w:rsid w:val="009B2D9D"/>
    <w:pPr>
      <w:spacing w:before="100" w:beforeAutospacing="1" w:after="0" w:afterAutospacing="1" w:line="240" w:lineRule="auto"/>
      <w:jc w:val="both"/>
    </w:pPr>
    <w:rPr>
      <w:kern w:val="0"/>
      <w:lang w:val="en-GB"/>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12111">
    <w:name w:val="Grid Table 5 Dark - Accent 12111"/>
    <w:basedOn w:val="TableNormal"/>
    <w:uiPriority w:val="50"/>
    <w:rsid w:val="009B2D9D"/>
    <w:pPr>
      <w:spacing w:before="100" w:beforeAutospacing="1" w:after="0" w:afterAutospacing="1" w:line="240" w:lineRule="auto"/>
      <w:jc w:val="both"/>
    </w:pPr>
    <w:rPr>
      <w:kern w:val="0"/>
      <w:lang w:val="en-GB"/>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6Colorful-Accent51111">
    <w:name w:val="Grid Table 6 Colorful - Accent 51111"/>
    <w:basedOn w:val="TableNormal"/>
    <w:uiPriority w:val="51"/>
    <w:rsid w:val="009B2D9D"/>
    <w:pPr>
      <w:spacing w:before="100" w:beforeAutospacing="1" w:after="0" w:afterAutospacing="1" w:line="240" w:lineRule="auto"/>
      <w:jc w:val="both"/>
    </w:pPr>
    <w:rPr>
      <w:color w:val="2F5496"/>
      <w:kern w:val="0"/>
      <w:lang w:val="en-GB"/>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numbering" w:customStyle="1" w:styleId="NoList21511">
    <w:name w:val="No List21511"/>
    <w:next w:val="NoList"/>
    <w:uiPriority w:val="99"/>
    <w:semiHidden/>
    <w:unhideWhenUsed/>
    <w:rsid w:val="009B2D9D"/>
  </w:style>
  <w:style w:type="numbering" w:customStyle="1" w:styleId="Radovan11111">
    <w:name w:val="Radovan11111"/>
    <w:uiPriority w:val="99"/>
    <w:rsid w:val="009B2D9D"/>
  </w:style>
  <w:style w:type="numbering" w:customStyle="1" w:styleId="Style12311">
    <w:name w:val="Style12311"/>
    <w:uiPriority w:val="99"/>
    <w:rsid w:val="009B2D9D"/>
  </w:style>
  <w:style w:type="numbering" w:customStyle="1" w:styleId="Style211111">
    <w:name w:val="Style211111"/>
    <w:uiPriority w:val="99"/>
    <w:rsid w:val="009B2D9D"/>
  </w:style>
  <w:style w:type="numbering" w:customStyle="1" w:styleId="NoList121411">
    <w:name w:val="No List121411"/>
    <w:next w:val="NoList"/>
    <w:uiPriority w:val="99"/>
    <w:semiHidden/>
    <w:unhideWhenUsed/>
    <w:rsid w:val="009B2D9D"/>
  </w:style>
  <w:style w:type="numbering" w:customStyle="1" w:styleId="NoList1121411">
    <w:name w:val="No List1121411"/>
    <w:next w:val="NoList"/>
    <w:uiPriority w:val="99"/>
    <w:semiHidden/>
    <w:unhideWhenUsed/>
    <w:rsid w:val="009B2D9D"/>
  </w:style>
  <w:style w:type="numbering" w:customStyle="1" w:styleId="NoList11111411">
    <w:name w:val="No List11111411"/>
    <w:next w:val="NoList"/>
    <w:uiPriority w:val="99"/>
    <w:semiHidden/>
    <w:unhideWhenUsed/>
    <w:rsid w:val="009B2D9D"/>
  </w:style>
  <w:style w:type="numbering" w:customStyle="1" w:styleId="NoList211411">
    <w:name w:val="No List211411"/>
    <w:next w:val="NoList"/>
    <w:uiPriority w:val="99"/>
    <w:semiHidden/>
    <w:unhideWhenUsed/>
    <w:rsid w:val="009B2D9D"/>
  </w:style>
  <w:style w:type="table" w:customStyle="1" w:styleId="TableGrid2211">
    <w:name w:val="Table Grid2211"/>
    <w:basedOn w:val="TableNormal"/>
    <w:next w:val="TableGrid"/>
    <w:uiPriority w:val="59"/>
    <w:rsid w:val="009B2D9D"/>
    <w:pPr>
      <w:spacing w:before="100" w:beforeAutospacing="1" w:after="0" w:afterAutospacing="1" w:line="240" w:lineRule="auto"/>
      <w:jc w:val="both"/>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39"/>
    <w:rsid w:val="009B2D9D"/>
    <w:pPr>
      <w:spacing w:before="100" w:beforeAutospacing="1" w:after="0" w:afterAutospacing="1" w:line="240" w:lineRule="auto"/>
      <w:jc w:val="both"/>
    </w:pPr>
    <w:rPr>
      <w:kern w:val="0"/>
      <w:lang w:val="sr-Latn-M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1">
    <w:name w:val="No List111111111"/>
    <w:next w:val="NoList"/>
    <w:uiPriority w:val="99"/>
    <w:semiHidden/>
    <w:unhideWhenUsed/>
    <w:rsid w:val="009B2D9D"/>
  </w:style>
  <w:style w:type="table" w:customStyle="1" w:styleId="TableGrid21111">
    <w:name w:val="Table Grid21111"/>
    <w:basedOn w:val="TableNormal"/>
    <w:next w:val="TableGrid"/>
    <w:uiPriority w:val="59"/>
    <w:rsid w:val="009B2D9D"/>
    <w:pPr>
      <w:spacing w:before="100" w:beforeAutospacing="1" w:after="0" w:afterAutospacing="1" w:line="240" w:lineRule="auto"/>
      <w:jc w:val="both"/>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1">
    <w:name w:val="Table Grid13111"/>
    <w:basedOn w:val="TableNormal"/>
    <w:next w:val="TableGrid"/>
    <w:uiPriority w:val="39"/>
    <w:rsid w:val="009B2D9D"/>
    <w:pPr>
      <w:spacing w:before="100" w:beforeAutospacing="1" w:after="0" w:afterAutospacing="1" w:line="240" w:lineRule="auto"/>
      <w:jc w:val="both"/>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411">
    <w:name w:val="No List31411"/>
    <w:next w:val="NoList"/>
    <w:uiPriority w:val="99"/>
    <w:semiHidden/>
    <w:unhideWhenUsed/>
    <w:rsid w:val="009B2D9D"/>
  </w:style>
  <w:style w:type="table" w:customStyle="1" w:styleId="TableGrid3111">
    <w:name w:val="Table Grid3111"/>
    <w:basedOn w:val="TableNormal"/>
    <w:next w:val="TableGrid"/>
    <w:uiPriority w:val="39"/>
    <w:rsid w:val="009B2D9D"/>
    <w:pPr>
      <w:spacing w:before="100" w:beforeAutospacing="1" w:after="0" w:afterAutospacing="1" w:line="240" w:lineRule="auto"/>
      <w:jc w:val="both"/>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1111">
    <w:name w:val="Light Shading - Accent 111111"/>
    <w:basedOn w:val="TableNormal"/>
    <w:uiPriority w:val="60"/>
    <w:rsid w:val="009B2D9D"/>
    <w:pPr>
      <w:spacing w:before="100" w:beforeAutospacing="1" w:after="0" w:afterAutospacing="1" w:line="240" w:lineRule="auto"/>
      <w:jc w:val="both"/>
    </w:pPr>
    <w:rPr>
      <w:rFonts w:ascii="Calibri" w:eastAsia="Times New Roman" w:hAnsi="Calibri" w:cs="Times New Roman"/>
      <w:color w:val="365F91"/>
      <w:kern w:val="0"/>
      <w:sz w:val="20"/>
      <w:szCs w:val="20"/>
      <w:lang w:val="sr-Latn-CS" w:eastAsia="sr-Latn-CS" w:bidi="en-US"/>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31211">
    <w:name w:val="Light Shading - Accent 31211"/>
    <w:basedOn w:val="TableNormal"/>
    <w:next w:val="LightShading-Accent3"/>
    <w:uiPriority w:val="60"/>
    <w:rsid w:val="009B2D9D"/>
    <w:pPr>
      <w:spacing w:before="100" w:beforeAutospacing="1" w:after="0" w:afterAutospacing="1" w:line="240" w:lineRule="auto"/>
      <w:jc w:val="both"/>
    </w:pPr>
    <w:rPr>
      <w:rFonts w:ascii="Calibri" w:eastAsia="Calibri" w:hAnsi="Calibri" w:cs="Times New Roman"/>
      <w:color w:val="7B7B7B"/>
      <w:kern w:val="0"/>
      <w:sz w:val="20"/>
      <w:szCs w:val="20"/>
      <w14:ligatures w14:val="none"/>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LightList-Accent21211">
    <w:name w:val="Light List - Accent 21211"/>
    <w:basedOn w:val="TableNormal"/>
    <w:next w:val="LightList-Accent2"/>
    <w:uiPriority w:val="61"/>
    <w:rsid w:val="009B2D9D"/>
    <w:pPr>
      <w:spacing w:before="100" w:beforeAutospacing="1" w:after="0" w:afterAutospacing="1" w:line="240" w:lineRule="auto"/>
      <w:jc w:val="both"/>
    </w:pPr>
    <w:rPr>
      <w:rFonts w:eastAsia="Times New Roman"/>
      <w:kern w:val="0"/>
      <w:lang w:val="sr-Latn-CS" w:eastAsia="sr-Latn-CS"/>
      <w14:ligatures w14:val="none"/>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TableNormal12111">
    <w:name w:val="Table Normal12111"/>
    <w:uiPriority w:val="2"/>
    <w:semiHidden/>
    <w:unhideWhenUsed/>
    <w:qFormat/>
    <w:rsid w:val="009B2D9D"/>
    <w:pPr>
      <w:widowControl w:val="0"/>
      <w:spacing w:before="100" w:beforeAutospacing="1" w:after="0" w:afterAutospacing="1" w:line="240" w:lineRule="auto"/>
      <w:jc w:val="both"/>
    </w:pPr>
    <w:rPr>
      <w:kern w:val="0"/>
      <w14:ligatures w14:val="none"/>
    </w:rPr>
    <w:tblPr>
      <w:tblInd w:w="0" w:type="dxa"/>
      <w:tblCellMar>
        <w:top w:w="0" w:type="dxa"/>
        <w:left w:w="0" w:type="dxa"/>
        <w:bottom w:w="0" w:type="dxa"/>
        <w:right w:w="0" w:type="dxa"/>
      </w:tblCellMar>
    </w:tblPr>
  </w:style>
  <w:style w:type="numbering" w:customStyle="1" w:styleId="NoList1211111">
    <w:name w:val="No List1211111"/>
    <w:next w:val="NoList"/>
    <w:uiPriority w:val="99"/>
    <w:semiHidden/>
    <w:unhideWhenUsed/>
    <w:rsid w:val="009B2D9D"/>
  </w:style>
  <w:style w:type="numbering" w:customStyle="1" w:styleId="NoList11211111">
    <w:name w:val="No List11211111"/>
    <w:next w:val="NoList"/>
    <w:uiPriority w:val="99"/>
    <w:semiHidden/>
    <w:unhideWhenUsed/>
    <w:rsid w:val="009B2D9D"/>
  </w:style>
  <w:style w:type="table" w:customStyle="1" w:styleId="TableElegant1111">
    <w:name w:val="Table Elegant1111"/>
    <w:basedOn w:val="TableNormal"/>
    <w:next w:val="TableElegant"/>
    <w:rsid w:val="009B2D9D"/>
    <w:pPr>
      <w:spacing w:before="100" w:beforeAutospacing="1" w:after="0" w:afterAutospacing="1" w:line="240" w:lineRule="auto"/>
      <w:jc w:val="both"/>
    </w:pPr>
    <w:rPr>
      <w:rFonts w:ascii="Times New Roman" w:eastAsia="Times New Roman" w:hAnsi="Times New Roman" w:cs="Times New Roman"/>
      <w:kern w:val="0"/>
      <w:sz w:val="20"/>
      <w:szCs w:val="20"/>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NoList1112411">
    <w:name w:val="No List1112411"/>
    <w:next w:val="NoList"/>
    <w:uiPriority w:val="99"/>
    <w:semiHidden/>
    <w:unhideWhenUsed/>
    <w:rsid w:val="009B2D9D"/>
  </w:style>
  <w:style w:type="table" w:customStyle="1" w:styleId="TableNormal111111">
    <w:name w:val="Table Normal111111"/>
    <w:uiPriority w:val="2"/>
    <w:semiHidden/>
    <w:unhideWhenUsed/>
    <w:qFormat/>
    <w:rsid w:val="009B2D9D"/>
    <w:pPr>
      <w:widowControl w:val="0"/>
      <w:spacing w:before="100" w:beforeAutospacing="1" w:after="0" w:afterAutospacing="1" w:line="240" w:lineRule="auto"/>
      <w:jc w:val="both"/>
    </w:pPr>
    <w:rPr>
      <w:kern w:val="0"/>
      <w14:ligatures w14:val="none"/>
    </w:rPr>
    <w:tblPr>
      <w:tblInd w:w="0" w:type="dxa"/>
      <w:tblCellMar>
        <w:top w:w="0" w:type="dxa"/>
        <w:left w:w="0" w:type="dxa"/>
        <w:bottom w:w="0" w:type="dxa"/>
        <w:right w:w="0" w:type="dxa"/>
      </w:tblCellMar>
    </w:tblPr>
  </w:style>
  <w:style w:type="table" w:customStyle="1" w:styleId="PERstyle1111">
    <w:name w:val="PER style1111"/>
    <w:basedOn w:val="TableNormal"/>
    <w:uiPriority w:val="99"/>
    <w:rsid w:val="009B2D9D"/>
    <w:pPr>
      <w:spacing w:before="100" w:beforeAutospacing="1" w:after="0" w:afterAutospacing="1" w:line="240" w:lineRule="auto"/>
      <w:jc w:val="both"/>
    </w:pPr>
    <w:rPr>
      <w:kern w:val="0"/>
      <w14:ligatures w14:val="none"/>
    </w:rPr>
    <w:tblPr/>
  </w:style>
  <w:style w:type="table" w:customStyle="1" w:styleId="PlainTable411211">
    <w:name w:val="Plain Table 411211"/>
    <w:basedOn w:val="TableNormal"/>
    <w:uiPriority w:val="44"/>
    <w:rsid w:val="009B2D9D"/>
    <w:pPr>
      <w:spacing w:before="100" w:beforeAutospacing="1" w:after="0" w:afterAutospacing="1" w:line="240" w:lineRule="auto"/>
      <w:jc w:val="both"/>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2111111">
    <w:name w:val="No List2111111"/>
    <w:next w:val="NoList"/>
    <w:uiPriority w:val="99"/>
    <w:semiHidden/>
    <w:unhideWhenUsed/>
    <w:rsid w:val="009B2D9D"/>
  </w:style>
  <w:style w:type="table" w:customStyle="1" w:styleId="PlainTable21311">
    <w:name w:val="Plain Table 21311"/>
    <w:basedOn w:val="TableNormal"/>
    <w:uiPriority w:val="42"/>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Light1311">
    <w:name w:val="Table Grid Light1311"/>
    <w:basedOn w:val="TableNormal"/>
    <w:uiPriority w:val="40"/>
    <w:rsid w:val="009B2D9D"/>
    <w:pPr>
      <w:spacing w:before="100" w:beforeAutospacing="1" w:after="0" w:afterAutospacing="1" w:line="240" w:lineRule="auto"/>
      <w:jc w:val="both"/>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2411">
    <w:name w:val="Table Grid Light2411"/>
    <w:basedOn w:val="TableNormal"/>
    <w:uiPriority w:val="40"/>
    <w:rsid w:val="009B2D9D"/>
    <w:pPr>
      <w:spacing w:before="100" w:beforeAutospacing="1" w:after="0" w:afterAutospacing="1" w:line="240" w:lineRule="auto"/>
      <w:jc w:val="both"/>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21211">
    <w:name w:val="Table Grid Light21211"/>
    <w:basedOn w:val="TableNormal"/>
    <w:uiPriority w:val="40"/>
    <w:rsid w:val="009B2D9D"/>
    <w:pPr>
      <w:spacing w:before="100" w:beforeAutospacing="1" w:after="0" w:afterAutospacing="1" w:line="240" w:lineRule="auto"/>
      <w:jc w:val="both"/>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4111">
    <w:name w:val="Table Grid4111"/>
    <w:basedOn w:val="TableNormal"/>
    <w:next w:val="TableGrid"/>
    <w:uiPriority w:val="39"/>
    <w:rsid w:val="009B2D9D"/>
    <w:pPr>
      <w:spacing w:before="100" w:beforeAutospacing="1" w:after="0" w:afterAutospacing="1" w:line="240" w:lineRule="auto"/>
      <w:jc w:val="both"/>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11">
    <w:name w:val="No List4311"/>
    <w:next w:val="NoList"/>
    <w:uiPriority w:val="99"/>
    <w:semiHidden/>
    <w:unhideWhenUsed/>
    <w:rsid w:val="009B2D9D"/>
  </w:style>
  <w:style w:type="numbering" w:customStyle="1" w:styleId="Radovan2311">
    <w:name w:val="Radovan2311"/>
    <w:uiPriority w:val="99"/>
    <w:rsid w:val="009B2D9D"/>
  </w:style>
  <w:style w:type="numbering" w:customStyle="1" w:styleId="Style13311">
    <w:name w:val="Style13311"/>
    <w:uiPriority w:val="99"/>
    <w:rsid w:val="009B2D9D"/>
  </w:style>
  <w:style w:type="numbering" w:customStyle="1" w:styleId="Style22311">
    <w:name w:val="Style22311"/>
    <w:uiPriority w:val="99"/>
    <w:rsid w:val="009B2D9D"/>
  </w:style>
  <w:style w:type="numbering" w:customStyle="1" w:styleId="NoList13311">
    <w:name w:val="No List13311"/>
    <w:next w:val="NoList"/>
    <w:uiPriority w:val="99"/>
    <w:semiHidden/>
    <w:unhideWhenUsed/>
    <w:rsid w:val="009B2D9D"/>
  </w:style>
  <w:style w:type="numbering" w:customStyle="1" w:styleId="NoList113311">
    <w:name w:val="No List113311"/>
    <w:next w:val="NoList"/>
    <w:uiPriority w:val="99"/>
    <w:semiHidden/>
    <w:unhideWhenUsed/>
    <w:rsid w:val="009B2D9D"/>
  </w:style>
  <w:style w:type="numbering" w:customStyle="1" w:styleId="NoList1113311">
    <w:name w:val="No List1113311"/>
    <w:next w:val="NoList"/>
    <w:uiPriority w:val="99"/>
    <w:semiHidden/>
    <w:unhideWhenUsed/>
    <w:rsid w:val="009B2D9D"/>
  </w:style>
  <w:style w:type="numbering" w:customStyle="1" w:styleId="NoList22311">
    <w:name w:val="No List22311"/>
    <w:next w:val="NoList"/>
    <w:uiPriority w:val="99"/>
    <w:semiHidden/>
    <w:unhideWhenUsed/>
    <w:rsid w:val="009B2D9D"/>
  </w:style>
  <w:style w:type="table" w:customStyle="1" w:styleId="PlainTable211111">
    <w:name w:val="Plain Table 211111"/>
    <w:basedOn w:val="TableNormal"/>
    <w:uiPriority w:val="42"/>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Light11111">
    <w:name w:val="Table Grid Light11111"/>
    <w:basedOn w:val="TableNormal"/>
    <w:uiPriority w:val="40"/>
    <w:rsid w:val="009B2D9D"/>
    <w:pPr>
      <w:spacing w:before="100" w:beforeAutospacing="1" w:after="0" w:afterAutospacing="1" w:line="240" w:lineRule="auto"/>
      <w:jc w:val="both"/>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22111">
    <w:name w:val="Table Grid Light22111"/>
    <w:basedOn w:val="TableNormal"/>
    <w:uiPriority w:val="40"/>
    <w:rsid w:val="009B2D9D"/>
    <w:pPr>
      <w:spacing w:before="100" w:beforeAutospacing="1" w:after="0" w:afterAutospacing="1" w:line="240" w:lineRule="auto"/>
      <w:jc w:val="both"/>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Style31411">
    <w:name w:val="Style31411"/>
    <w:uiPriority w:val="99"/>
    <w:rsid w:val="009B2D9D"/>
  </w:style>
  <w:style w:type="numbering" w:customStyle="1" w:styleId="NoList11112311">
    <w:name w:val="No List11112311"/>
    <w:next w:val="NoList"/>
    <w:uiPriority w:val="99"/>
    <w:semiHidden/>
    <w:unhideWhenUsed/>
    <w:rsid w:val="009B2D9D"/>
  </w:style>
  <w:style w:type="numbering" w:customStyle="1" w:styleId="NoList311111">
    <w:name w:val="No List311111"/>
    <w:next w:val="NoList"/>
    <w:uiPriority w:val="99"/>
    <w:semiHidden/>
    <w:unhideWhenUsed/>
    <w:rsid w:val="009B2D9D"/>
  </w:style>
  <w:style w:type="numbering" w:customStyle="1" w:styleId="NoList122311">
    <w:name w:val="No List122311"/>
    <w:next w:val="NoList"/>
    <w:uiPriority w:val="99"/>
    <w:semiHidden/>
    <w:unhideWhenUsed/>
    <w:rsid w:val="009B2D9D"/>
  </w:style>
  <w:style w:type="numbering" w:customStyle="1" w:styleId="NoList1122311">
    <w:name w:val="No List1122311"/>
    <w:next w:val="NoList"/>
    <w:uiPriority w:val="99"/>
    <w:semiHidden/>
    <w:unhideWhenUsed/>
    <w:rsid w:val="009B2D9D"/>
  </w:style>
  <w:style w:type="numbering" w:customStyle="1" w:styleId="NoList11121311">
    <w:name w:val="No List11121311"/>
    <w:next w:val="NoList"/>
    <w:uiPriority w:val="99"/>
    <w:semiHidden/>
    <w:unhideWhenUsed/>
    <w:rsid w:val="009B2D9D"/>
  </w:style>
  <w:style w:type="numbering" w:customStyle="1" w:styleId="NoList212311">
    <w:name w:val="No List212311"/>
    <w:next w:val="NoList"/>
    <w:uiPriority w:val="99"/>
    <w:semiHidden/>
    <w:unhideWhenUsed/>
    <w:rsid w:val="009B2D9D"/>
  </w:style>
  <w:style w:type="numbering" w:customStyle="1" w:styleId="NoList5111">
    <w:name w:val="No List5111"/>
    <w:next w:val="NoList"/>
    <w:uiPriority w:val="99"/>
    <w:semiHidden/>
    <w:unhideWhenUsed/>
    <w:rsid w:val="009B2D9D"/>
  </w:style>
  <w:style w:type="numbering" w:customStyle="1" w:styleId="Radovan3111">
    <w:name w:val="Radovan3111"/>
    <w:uiPriority w:val="99"/>
    <w:rsid w:val="009B2D9D"/>
  </w:style>
  <w:style w:type="numbering" w:customStyle="1" w:styleId="Style14111">
    <w:name w:val="Style14111"/>
    <w:uiPriority w:val="99"/>
    <w:rsid w:val="009B2D9D"/>
  </w:style>
  <w:style w:type="numbering" w:customStyle="1" w:styleId="Style23111">
    <w:name w:val="Style23111"/>
    <w:uiPriority w:val="99"/>
    <w:rsid w:val="009B2D9D"/>
  </w:style>
  <w:style w:type="numbering" w:customStyle="1" w:styleId="NoList14111">
    <w:name w:val="No List14111"/>
    <w:next w:val="NoList"/>
    <w:uiPriority w:val="99"/>
    <w:semiHidden/>
    <w:unhideWhenUsed/>
    <w:rsid w:val="009B2D9D"/>
  </w:style>
  <w:style w:type="numbering" w:customStyle="1" w:styleId="NoList114111">
    <w:name w:val="No List114111"/>
    <w:next w:val="NoList"/>
    <w:uiPriority w:val="99"/>
    <w:semiHidden/>
    <w:unhideWhenUsed/>
    <w:rsid w:val="009B2D9D"/>
  </w:style>
  <w:style w:type="numbering" w:customStyle="1" w:styleId="NoList1114111">
    <w:name w:val="No List1114111"/>
    <w:next w:val="NoList"/>
    <w:uiPriority w:val="99"/>
    <w:semiHidden/>
    <w:unhideWhenUsed/>
    <w:rsid w:val="009B2D9D"/>
  </w:style>
  <w:style w:type="numbering" w:customStyle="1" w:styleId="Style112111">
    <w:name w:val="Style112111"/>
    <w:uiPriority w:val="99"/>
    <w:rsid w:val="009B2D9D"/>
  </w:style>
  <w:style w:type="numbering" w:customStyle="1" w:styleId="NoList23111">
    <w:name w:val="No List23111"/>
    <w:next w:val="NoList"/>
    <w:uiPriority w:val="99"/>
    <w:semiHidden/>
    <w:unhideWhenUsed/>
    <w:rsid w:val="009B2D9D"/>
  </w:style>
  <w:style w:type="numbering" w:customStyle="1" w:styleId="Radovan12111">
    <w:name w:val="Radovan12111"/>
    <w:uiPriority w:val="99"/>
    <w:rsid w:val="009B2D9D"/>
  </w:style>
  <w:style w:type="numbering" w:customStyle="1" w:styleId="Style121111">
    <w:name w:val="Style121111"/>
    <w:uiPriority w:val="99"/>
    <w:rsid w:val="009B2D9D"/>
  </w:style>
  <w:style w:type="numbering" w:customStyle="1" w:styleId="Style212111">
    <w:name w:val="Style212111"/>
    <w:uiPriority w:val="99"/>
    <w:rsid w:val="009B2D9D"/>
  </w:style>
  <w:style w:type="numbering" w:customStyle="1" w:styleId="NoList123111">
    <w:name w:val="No List123111"/>
    <w:next w:val="NoList"/>
    <w:uiPriority w:val="99"/>
    <w:semiHidden/>
    <w:unhideWhenUsed/>
    <w:rsid w:val="009B2D9D"/>
  </w:style>
  <w:style w:type="numbering" w:customStyle="1" w:styleId="NoList1123111">
    <w:name w:val="No List1123111"/>
    <w:next w:val="NoList"/>
    <w:uiPriority w:val="99"/>
    <w:semiHidden/>
    <w:unhideWhenUsed/>
    <w:rsid w:val="009B2D9D"/>
  </w:style>
  <w:style w:type="numbering" w:customStyle="1" w:styleId="NoList11113111">
    <w:name w:val="No List11113111"/>
    <w:next w:val="NoList"/>
    <w:uiPriority w:val="99"/>
    <w:semiHidden/>
    <w:unhideWhenUsed/>
    <w:rsid w:val="009B2D9D"/>
  </w:style>
  <w:style w:type="numbering" w:customStyle="1" w:styleId="NoList213111">
    <w:name w:val="No List213111"/>
    <w:next w:val="NoList"/>
    <w:uiPriority w:val="99"/>
    <w:semiHidden/>
    <w:unhideWhenUsed/>
    <w:rsid w:val="009B2D9D"/>
  </w:style>
  <w:style w:type="numbering" w:customStyle="1" w:styleId="NoList111112111">
    <w:name w:val="No List111112111"/>
    <w:next w:val="NoList"/>
    <w:uiPriority w:val="99"/>
    <w:semiHidden/>
    <w:unhideWhenUsed/>
    <w:rsid w:val="009B2D9D"/>
  </w:style>
  <w:style w:type="numbering" w:customStyle="1" w:styleId="NoList32111">
    <w:name w:val="No List32111"/>
    <w:next w:val="NoList"/>
    <w:uiPriority w:val="99"/>
    <w:semiHidden/>
    <w:unhideWhenUsed/>
    <w:rsid w:val="009B2D9D"/>
  </w:style>
  <w:style w:type="numbering" w:customStyle="1" w:styleId="NoList1212111">
    <w:name w:val="No List1212111"/>
    <w:next w:val="NoList"/>
    <w:uiPriority w:val="99"/>
    <w:semiHidden/>
    <w:unhideWhenUsed/>
    <w:rsid w:val="009B2D9D"/>
  </w:style>
  <w:style w:type="numbering" w:customStyle="1" w:styleId="NoList11212111">
    <w:name w:val="No List11212111"/>
    <w:next w:val="NoList"/>
    <w:uiPriority w:val="99"/>
    <w:semiHidden/>
    <w:unhideWhenUsed/>
    <w:rsid w:val="009B2D9D"/>
  </w:style>
  <w:style w:type="numbering" w:customStyle="1" w:styleId="NoList11122111">
    <w:name w:val="No List11122111"/>
    <w:next w:val="NoList"/>
    <w:uiPriority w:val="99"/>
    <w:semiHidden/>
    <w:unhideWhenUsed/>
    <w:rsid w:val="009B2D9D"/>
  </w:style>
  <w:style w:type="numbering" w:customStyle="1" w:styleId="NoList2112111">
    <w:name w:val="No List2112111"/>
    <w:next w:val="NoList"/>
    <w:uiPriority w:val="99"/>
    <w:semiHidden/>
    <w:unhideWhenUsed/>
    <w:rsid w:val="009B2D9D"/>
  </w:style>
  <w:style w:type="numbering" w:customStyle="1" w:styleId="Style32111">
    <w:name w:val="Style32111"/>
    <w:uiPriority w:val="99"/>
    <w:rsid w:val="009B2D9D"/>
  </w:style>
  <w:style w:type="numbering" w:customStyle="1" w:styleId="NoList41111">
    <w:name w:val="No List41111"/>
    <w:next w:val="NoList"/>
    <w:uiPriority w:val="99"/>
    <w:semiHidden/>
    <w:unhideWhenUsed/>
    <w:rsid w:val="009B2D9D"/>
  </w:style>
  <w:style w:type="numbering" w:customStyle="1" w:styleId="Radovan21111">
    <w:name w:val="Radovan21111"/>
    <w:uiPriority w:val="99"/>
    <w:rsid w:val="009B2D9D"/>
  </w:style>
  <w:style w:type="numbering" w:customStyle="1" w:styleId="Style131111">
    <w:name w:val="Style131111"/>
    <w:uiPriority w:val="99"/>
    <w:rsid w:val="009B2D9D"/>
  </w:style>
  <w:style w:type="numbering" w:customStyle="1" w:styleId="Style221111">
    <w:name w:val="Style221111"/>
    <w:uiPriority w:val="99"/>
    <w:rsid w:val="009B2D9D"/>
  </w:style>
  <w:style w:type="numbering" w:customStyle="1" w:styleId="NoList131111">
    <w:name w:val="No List131111"/>
    <w:next w:val="NoList"/>
    <w:uiPriority w:val="99"/>
    <w:semiHidden/>
    <w:unhideWhenUsed/>
    <w:rsid w:val="009B2D9D"/>
  </w:style>
  <w:style w:type="numbering" w:customStyle="1" w:styleId="NoList1131111">
    <w:name w:val="No List1131111"/>
    <w:next w:val="NoList"/>
    <w:uiPriority w:val="99"/>
    <w:semiHidden/>
    <w:unhideWhenUsed/>
    <w:rsid w:val="009B2D9D"/>
  </w:style>
  <w:style w:type="numbering" w:customStyle="1" w:styleId="NoList11131111">
    <w:name w:val="No List11131111"/>
    <w:next w:val="NoList"/>
    <w:uiPriority w:val="99"/>
    <w:semiHidden/>
    <w:unhideWhenUsed/>
    <w:rsid w:val="009B2D9D"/>
  </w:style>
  <w:style w:type="numbering" w:customStyle="1" w:styleId="Style1112111">
    <w:name w:val="Style1112111"/>
    <w:uiPriority w:val="99"/>
    <w:rsid w:val="009B2D9D"/>
  </w:style>
  <w:style w:type="numbering" w:customStyle="1" w:styleId="NoList221111">
    <w:name w:val="No List221111"/>
    <w:next w:val="NoList"/>
    <w:uiPriority w:val="99"/>
    <w:semiHidden/>
    <w:unhideWhenUsed/>
    <w:rsid w:val="009B2D9D"/>
  </w:style>
  <w:style w:type="numbering" w:customStyle="1" w:styleId="Style312111">
    <w:name w:val="Style312111"/>
    <w:uiPriority w:val="99"/>
    <w:rsid w:val="009B2D9D"/>
  </w:style>
  <w:style w:type="numbering" w:customStyle="1" w:styleId="NoList111121111">
    <w:name w:val="No List111121111"/>
    <w:next w:val="NoList"/>
    <w:uiPriority w:val="99"/>
    <w:semiHidden/>
    <w:unhideWhenUsed/>
    <w:rsid w:val="009B2D9D"/>
  </w:style>
  <w:style w:type="numbering" w:customStyle="1" w:styleId="NoList312111">
    <w:name w:val="No List312111"/>
    <w:next w:val="NoList"/>
    <w:uiPriority w:val="99"/>
    <w:semiHidden/>
    <w:unhideWhenUsed/>
    <w:rsid w:val="009B2D9D"/>
  </w:style>
  <w:style w:type="numbering" w:customStyle="1" w:styleId="NoList1221111">
    <w:name w:val="No List1221111"/>
    <w:next w:val="NoList"/>
    <w:uiPriority w:val="99"/>
    <w:semiHidden/>
    <w:unhideWhenUsed/>
    <w:rsid w:val="009B2D9D"/>
  </w:style>
  <w:style w:type="numbering" w:customStyle="1" w:styleId="NoList11221111">
    <w:name w:val="No List11221111"/>
    <w:next w:val="NoList"/>
    <w:uiPriority w:val="99"/>
    <w:semiHidden/>
    <w:unhideWhenUsed/>
    <w:rsid w:val="009B2D9D"/>
  </w:style>
  <w:style w:type="numbering" w:customStyle="1" w:styleId="NoList111211111">
    <w:name w:val="No List111211111"/>
    <w:next w:val="NoList"/>
    <w:uiPriority w:val="99"/>
    <w:semiHidden/>
    <w:unhideWhenUsed/>
    <w:rsid w:val="009B2D9D"/>
  </w:style>
  <w:style w:type="numbering" w:customStyle="1" w:styleId="NoList2121111">
    <w:name w:val="No List2121111"/>
    <w:next w:val="NoList"/>
    <w:uiPriority w:val="99"/>
    <w:semiHidden/>
    <w:unhideWhenUsed/>
    <w:rsid w:val="009B2D9D"/>
  </w:style>
  <w:style w:type="numbering" w:customStyle="1" w:styleId="Style3111111">
    <w:name w:val="Style3111111"/>
    <w:uiPriority w:val="99"/>
    <w:rsid w:val="009B2D9D"/>
  </w:style>
  <w:style w:type="numbering" w:customStyle="1" w:styleId="NoList6111">
    <w:name w:val="No List6111"/>
    <w:next w:val="NoList"/>
    <w:uiPriority w:val="99"/>
    <w:semiHidden/>
    <w:unhideWhenUsed/>
    <w:rsid w:val="009B2D9D"/>
  </w:style>
  <w:style w:type="numbering" w:customStyle="1" w:styleId="Radovan4111">
    <w:name w:val="Radovan4111"/>
    <w:uiPriority w:val="99"/>
    <w:rsid w:val="009B2D9D"/>
  </w:style>
  <w:style w:type="numbering" w:customStyle="1" w:styleId="Style15111">
    <w:name w:val="Style15111"/>
    <w:uiPriority w:val="99"/>
    <w:rsid w:val="009B2D9D"/>
  </w:style>
  <w:style w:type="numbering" w:customStyle="1" w:styleId="Style24111">
    <w:name w:val="Style24111"/>
    <w:uiPriority w:val="99"/>
    <w:rsid w:val="009B2D9D"/>
  </w:style>
  <w:style w:type="numbering" w:customStyle="1" w:styleId="NoList15111">
    <w:name w:val="No List15111"/>
    <w:next w:val="NoList"/>
    <w:uiPriority w:val="99"/>
    <w:semiHidden/>
    <w:unhideWhenUsed/>
    <w:rsid w:val="009B2D9D"/>
  </w:style>
  <w:style w:type="numbering" w:customStyle="1" w:styleId="NoList115111">
    <w:name w:val="No List115111"/>
    <w:next w:val="NoList"/>
    <w:uiPriority w:val="99"/>
    <w:semiHidden/>
    <w:unhideWhenUsed/>
    <w:rsid w:val="009B2D9D"/>
  </w:style>
  <w:style w:type="numbering" w:customStyle="1" w:styleId="NoList1115111">
    <w:name w:val="No List1115111"/>
    <w:next w:val="NoList"/>
    <w:uiPriority w:val="99"/>
    <w:semiHidden/>
    <w:unhideWhenUsed/>
    <w:rsid w:val="009B2D9D"/>
  </w:style>
  <w:style w:type="numbering" w:customStyle="1" w:styleId="Style113111">
    <w:name w:val="Style113111"/>
    <w:uiPriority w:val="99"/>
    <w:rsid w:val="009B2D9D"/>
  </w:style>
  <w:style w:type="numbering" w:customStyle="1" w:styleId="NoList24111">
    <w:name w:val="No List24111"/>
    <w:next w:val="NoList"/>
    <w:uiPriority w:val="99"/>
    <w:semiHidden/>
    <w:unhideWhenUsed/>
    <w:rsid w:val="009B2D9D"/>
  </w:style>
  <w:style w:type="numbering" w:customStyle="1" w:styleId="Style122111">
    <w:name w:val="Style122111"/>
    <w:uiPriority w:val="99"/>
    <w:rsid w:val="009B2D9D"/>
  </w:style>
  <w:style w:type="numbering" w:customStyle="1" w:styleId="Style213111">
    <w:name w:val="Style213111"/>
    <w:uiPriority w:val="99"/>
    <w:rsid w:val="009B2D9D"/>
  </w:style>
  <w:style w:type="numbering" w:customStyle="1" w:styleId="NoList124111">
    <w:name w:val="No List124111"/>
    <w:next w:val="NoList"/>
    <w:uiPriority w:val="99"/>
    <w:semiHidden/>
    <w:unhideWhenUsed/>
    <w:rsid w:val="009B2D9D"/>
  </w:style>
  <w:style w:type="numbering" w:customStyle="1" w:styleId="NoList1124111">
    <w:name w:val="No List1124111"/>
    <w:next w:val="NoList"/>
    <w:uiPriority w:val="99"/>
    <w:semiHidden/>
    <w:unhideWhenUsed/>
    <w:rsid w:val="009B2D9D"/>
  </w:style>
  <w:style w:type="numbering" w:customStyle="1" w:styleId="NoList11114111">
    <w:name w:val="No List11114111"/>
    <w:next w:val="NoList"/>
    <w:uiPriority w:val="99"/>
    <w:semiHidden/>
    <w:unhideWhenUsed/>
    <w:rsid w:val="009B2D9D"/>
  </w:style>
  <w:style w:type="numbering" w:customStyle="1" w:styleId="NoList214111">
    <w:name w:val="No List214111"/>
    <w:next w:val="NoList"/>
    <w:uiPriority w:val="99"/>
    <w:semiHidden/>
    <w:unhideWhenUsed/>
    <w:rsid w:val="009B2D9D"/>
  </w:style>
  <w:style w:type="numbering" w:customStyle="1" w:styleId="NoList111113111">
    <w:name w:val="No List111113111"/>
    <w:next w:val="NoList"/>
    <w:uiPriority w:val="99"/>
    <w:semiHidden/>
    <w:unhideWhenUsed/>
    <w:rsid w:val="009B2D9D"/>
  </w:style>
  <w:style w:type="numbering" w:customStyle="1" w:styleId="NoList33111">
    <w:name w:val="No List33111"/>
    <w:next w:val="NoList"/>
    <w:uiPriority w:val="99"/>
    <w:semiHidden/>
    <w:unhideWhenUsed/>
    <w:rsid w:val="009B2D9D"/>
  </w:style>
  <w:style w:type="numbering" w:customStyle="1" w:styleId="NoList1213111">
    <w:name w:val="No List1213111"/>
    <w:next w:val="NoList"/>
    <w:uiPriority w:val="99"/>
    <w:semiHidden/>
    <w:unhideWhenUsed/>
    <w:rsid w:val="009B2D9D"/>
  </w:style>
  <w:style w:type="numbering" w:customStyle="1" w:styleId="NoList11213111">
    <w:name w:val="No List11213111"/>
    <w:next w:val="NoList"/>
    <w:uiPriority w:val="99"/>
    <w:semiHidden/>
    <w:unhideWhenUsed/>
    <w:rsid w:val="009B2D9D"/>
  </w:style>
  <w:style w:type="numbering" w:customStyle="1" w:styleId="NoList11123111">
    <w:name w:val="No List11123111"/>
    <w:next w:val="NoList"/>
    <w:uiPriority w:val="99"/>
    <w:semiHidden/>
    <w:unhideWhenUsed/>
    <w:rsid w:val="009B2D9D"/>
  </w:style>
  <w:style w:type="numbering" w:customStyle="1" w:styleId="NoList2113111">
    <w:name w:val="No List2113111"/>
    <w:next w:val="NoList"/>
    <w:uiPriority w:val="99"/>
    <w:semiHidden/>
    <w:unhideWhenUsed/>
    <w:rsid w:val="009B2D9D"/>
  </w:style>
  <w:style w:type="numbering" w:customStyle="1" w:styleId="NoList42111">
    <w:name w:val="No List42111"/>
    <w:next w:val="NoList"/>
    <w:uiPriority w:val="99"/>
    <w:semiHidden/>
    <w:unhideWhenUsed/>
    <w:rsid w:val="009B2D9D"/>
  </w:style>
  <w:style w:type="numbering" w:customStyle="1" w:styleId="NoList132111">
    <w:name w:val="No List132111"/>
    <w:next w:val="NoList"/>
    <w:uiPriority w:val="99"/>
    <w:semiHidden/>
    <w:unhideWhenUsed/>
    <w:rsid w:val="009B2D9D"/>
  </w:style>
  <w:style w:type="numbering" w:customStyle="1" w:styleId="NoList1132111">
    <w:name w:val="No List1132111"/>
    <w:next w:val="NoList"/>
    <w:uiPriority w:val="99"/>
    <w:semiHidden/>
    <w:unhideWhenUsed/>
    <w:rsid w:val="009B2D9D"/>
  </w:style>
  <w:style w:type="numbering" w:customStyle="1" w:styleId="NoList11132111">
    <w:name w:val="No List11132111"/>
    <w:next w:val="NoList"/>
    <w:uiPriority w:val="99"/>
    <w:semiHidden/>
    <w:unhideWhenUsed/>
    <w:rsid w:val="009B2D9D"/>
  </w:style>
  <w:style w:type="numbering" w:customStyle="1" w:styleId="NoList222111">
    <w:name w:val="No List222111"/>
    <w:next w:val="NoList"/>
    <w:uiPriority w:val="99"/>
    <w:semiHidden/>
    <w:unhideWhenUsed/>
    <w:rsid w:val="009B2D9D"/>
  </w:style>
  <w:style w:type="numbering" w:customStyle="1" w:styleId="NoList111122111">
    <w:name w:val="No List111122111"/>
    <w:next w:val="NoList"/>
    <w:uiPriority w:val="99"/>
    <w:semiHidden/>
    <w:unhideWhenUsed/>
    <w:rsid w:val="009B2D9D"/>
  </w:style>
  <w:style w:type="numbering" w:customStyle="1" w:styleId="NoList313111">
    <w:name w:val="No List313111"/>
    <w:next w:val="NoList"/>
    <w:uiPriority w:val="99"/>
    <w:semiHidden/>
    <w:unhideWhenUsed/>
    <w:rsid w:val="009B2D9D"/>
  </w:style>
  <w:style w:type="numbering" w:customStyle="1" w:styleId="NoList1222111">
    <w:name w:val="No List1222111"/>
    <w:next w:val="NoList"/>
    <w:uiPriority w:val="99"/>
    <w:semiHidden/>
    <w:unhideWhenUsed/>
    <w:rsid w:val="009B2D9D"/>
  </w:style>
  <w:style w:type="numbering" w:customStyle="1" w:styleId="NoList11222111">
    <w:name w:val="No List11222111"/>
    <w:next w:val="NoList"/>
    <w:uiPriority w:val="99"/>
    <w:semiHidden/>
    <w:unhideWhenUsed/>
    <w:rsid w:val="009B2D9D"/>
  </w:style>
  <w:style w:type="numbering" w:customStyle="1" w:styleId="NoList111212111">
    <w:name w:val="No List111212111"/>
    <w:next w:val="NoList"/>
    <w:uiPriority w:val="99"/>
    <w:semiHidden/>
    <w:unhideWhenUsed/>
    <w:rsid w:val="009B2D9D"/>
  </w:style>
  <w:style w:type="numbering" w:customStyle="1" w:styleId="NoList2122111">
    <w:name w:val="No List2122111"/>
    <w:next w:val="NoList"/>
    <w:uiPriority w:val="99"/>
    <w:semiHidden/>
    <w:unhideWhenUsed/>
    <w:rsid w:val="009B2D9D"/>
  </w:style>
  <w:style w:type="table" w:customStyle="1" w:styleId="LightShading-Accent311111">
    <w:name w:val="Light Shading - Accent 311111"/>
    <w:basedOn w:val="TableNormal"/>
    <w:next w:val="LightShading-Accent3"/>
    <w:uiPriority w:val="60"/>
    <w:rsid w:val="009B2D9D"/>
    <w:pPr>
      <w:spacing w:before="100" w:beforeAutospacing="1" w:after="0" w:afterAutospacing="1" w:line="240" w:lineRule="auto"/>
      <w:jc w:val="both"/>
    </w:pPr>
    <w:rPr>
      <w:rFonts w:ascii="Calibri" w:eastAsia="Calibri" w:hAnsi="Calibri" w:cs="Times New Roman"/>
      <w:color w:val="7B7B7B"/>
      <w:kern w:val="0"/>
      <w:sz w:val="20"/>
      <w:szCs w:val="20"/>
      <w14:ligatures w14:val="none"/>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LightList-Accent211111">
    <w:name w:val="Light List - Accent 211111"/>
    <w:basedOn w:val="TableNormal"/>
    <w:next w:val="LightList-Accent2"/>
    <w:uiPriority w:val="61"/>
    <w:rsid w:val="009B2D9D"/>
    <w:pPr>
      <w:spacing w:before="100" w:beforeAutospacing="1" w:after="0" w:afterAutospacing="1" w:line="240" w:lineRule="auto"/>
      <w:jc w:val="both"/>
    </w:pPr>
    <w:rPr>
      <w:rFonts w:eastAsia="Times New Roman"/>
      <w:kern w:val="0"/>
      <w:lang w:val="sr-Latn-CS" w:eastAsia="sr-Latn-CS"/>
      <w14:ligatures w14:val="none"/>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PlainTable4111111">
    <w:name w:val="Plain Table 4111111"/>
    <w:basedOn w:val="TableNormal"/>
    <w:uiPriority w:val="44"/>
    <w:rsid w:val="009B2D9D"/>
    <w:pPr>
      <w:spacing w:before="100" w:beforeAutospacing="1" w:after="0" w:afterAutospacing="1" w:line="240" w:lineRule="auto"/>
      <w:jc w:val="both"/>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2111">
    <w:name w:val="Plain Table 212111"/>
    <w:basedOn w:val="TableNormal"/>
    <w:uiPriority w:val="42"/>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Light12111">
    <w:name w:val="Table Grid Light12111"/>
    <w:basedOn w:val="TableNormal"/>
    <w:uiPriority w:val="40"/>
    <w:rsid w:val="009B2D9D"/>
    <w:pPr>
      <w:spacing w:before="100" w:beforeAutospacing="1" w:after="0" w:afterAutospacing="1" w:line="240" w:lineRule="auto"/>
      <w:jc w:val="both"/>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23111">
    <w:name w:val="Table Grid Light23111"/>
    <w:basedOn w:val="TableNormal"/>
    <w:uiPriority w:val="40"/>
    <w:rsid w:val="009B2D9D"/>
    <w:pPr>
      <w:spacing w:before="100" w:beforeAutospacing="1" w:after="0" w:afterAutospacing="1" w:line="240" w:lineRule="auto"/>
      <w:jc w:val="both"/>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211111">
    <w:name w:val="Table Grid Light211111"/>
    <w:basedOn w:val="TableNormal"/>
    <w:uiPriority w:val="40"/>
    <w:rsid w:val="009B2D9D"/>
    <w:pPr>
      <w:spacing w:before="100" w:beforeAutospacing="1" w:after="0" w:afterAutospacing="1" w:line="240" w:lineRule="auto"/>
      <w:jc w:val="both"/>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2-Accent11111">
    <w:name w:val="Grid Table 2 - Accent 11111"/>
    <w:basedOn w:val="TableNormal"/>
    <w:next w:val="GridTable2-Accent11"/>
    <w:uiPriority w:val="47"/>
    <w:rsid w:val="009B2D9D"/>
    <w:pPr>
      <w:spacing w:before="100" w:beforeAutospacing="1" w:after="0" w:afterAutospacing="1" w:line="240" w:lineRule="auto"/>
      <w:jc w:val="both"/>
    </w:pPr>
    <w:rPr>
      <w:kern w:val="0"/>
      <w14:ligatures w14:val="none"/>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51111">
    <w:name w:val="Grid Table 4 - Accent 51111"/>
    <w:basedOn w:val="TableNormal"/>
    <w:next w:val="GridTable4-Accent51"/>
    <w:uiPriority w:val="49"/>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3-Accent51111">
    <w:name w:val="Grid Table 3 - Accent 51111"/>
    <w:basedOn w:val="TableNormal"/>
    <w:next w:val="GridTable3-Accent51"/>
    <w:uiPriority w:val="48"/>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ListTable2-Accent51111">
    <w:name w:val="List Table 2 - Accent 51111"/>
    <w:basedOn w:val="TableNormal"/>
    <w:next w:val="ListTable2-Accent51"/>
    <w:uiPriority w:val="47"/>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6Colorful-Accent52111">
    <w:name w:val="Grid Table 6 Colorful - Accent 52111"/>
    <w:basedOn w:val="TableNormal"/>
    <w:next w:val="GridTable6Colorful-Accent52"/>
    <w:uiPriority w:val="51"/>
    <w:rsid w:val="009B2D9D"/>
    <w:pPr>
      <w:spacing w:before="100" w:beforeAutospacing="1" w:after="0" w:afterAutospacing="1" w:line="240" w:lineRule="auto"/>
      <w:jc w:val="both"/>
    </w:pPr>
    <w:rPr>
      <w:color w:val="2F5496"/>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5Dark-Accent51111">
    <w:name w:val="Grid Table 5 Dark - Accent 51111"/>
    <w:basedOn w:val="TableNormal"/>
    <w:next w:val="GridTable5Dark-Accent51"/>
    <w:uiPriority w:val="50"/>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13111">
    <w:name w:val="Grid Table 5 Dark - Accent 13111"/>
    <w:basedOn w:val="TableNormal"/>
    <w:next w:val="GridTable5Dark-Accent13"/>
    <w:uiPriority w:val="50"/>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3111">
    <w:name w:val="Table Grid Light3111"/>
    <w:basedOn w:val="TableNormal"/>
    <w:next w:val="TableGridLight3"/>
    <w:uiPriority w:val="40"/>
    <w:rsid w:val="009B2D9D"/>
    <w:pPr>
      <w:spacing w:before="100" w:beforeAutospacing="1" w:after="0" w:afterAutospacing="1" w:line="240" w:lineRule="auto"/>
      <w:jc w:val="both"/>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11111">
    <w:name w:val="Plain Table 11111"/>
    <w:basedOn w:val="TableNormal"/>
    <w:next w:val="PlainTable11"/>
    <w:uiPriority w:val="41"/>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21111">
    <w:name w:val="Grid Table 1 Light - Accent 21111"/>
    <w:basedOn w:val="TableNormal"/>
    <w:next w:val="GridTable1Light-Accent21"/>
    <w:uiPriority w:val="46"/>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GridTable5Dark-Accent21111">
    <w:name w:val="Grid Table 5 Dark - Accent 21111"/>
    <w:basedOn w:val="TableNormal"/>
    <w:next w:val="GridTable5Dark-Accent21"/>
    <w:uiPriority w:val="50"/>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GridTable6Colorful-Accent21111">
    <w:name w:val="Grid Table 6 Colorful - Accent 21111"/>
    <w:basedOn w:val="TableNormal"/>
    <w:next w:val="GridTable6Colorful-Accent21"/>
    <w:uiPriority w:val="51"/>
    <w:rsid w:val="009B2D9D"/>
    <w:pPr>
      <w:spacing w:before="100" w:beforeAutospacing="1" w:after="0" w:afterAutospacing="1" w:line="240" w:lineRule="auto"/>
      <w:jc w:val="both"/>
    </w:pPr>
    <w:rPr>
      <w:color w:val="C45911"/>
      <w:kern w:val="0"/>
      <w14:ligatures w14:val="none"/>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6Colorful-Accent41111">
    <w:name w:val="Grid Table 6 Colorful - Accent 41111"/>
    <w:basedOn w:val="TableNormal"/>
    <w:next w:val="GridTable6Colorful-Accent41"/>
    <w:uiPriority w:val="51"/>
    <w:rsid w:val="009B2D9D"/>
    <w:pPr>
      <w:spacing w:before="100" w:beforeAutospacing="1" w:after="0" w:afterAutospacing="1" w:line="240" w:lineRule="auto"/>
      <w:jc w:val="both"/>
    </w:pPr>
    <w:rPr>
      <w:color w:val="BF8F00"/>
      <w:kern w:val="0"/>
      <w14:ligatures w14:val="none"/>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5Dark-Accent21111">
    <w:name w:val="List Table 5 Dark - Accent 21111"/>
    <w:basedOn w:val="TableNormal"/>
    <w:next w:val="ListTable5Dark-Accent21"/>
    <w:uiPriority w:val="50"/>
    <w:locked/>
    <w:rsid w:val="009B2D9D"/>
    <w:pPr>
      <w:spacing w:before="100" w:beforeAutospacing="1" w:after="0" w:afterAutospacing="1" w:line="240" w:lineRule="auto"/>
      <w:jc w:val="both"/>
    </w:pPr>
    <w:rPr>
      <w:color w:val="FFFFFF"/>
      <w:kern w:val="0"/>
      <w14:ligatures w14:val="none"/>
    </w:rPr>
    <w:tblPr>
      <w:tblStyleRowBandSize w:val="1"/>
      <w:tblStyleColBandSize w:val="1"/>
      <w:tblBorders>
        <w:top w:val="single" w:sz="24" w:space="0" w:color="ED7D31"/>
        <w:left w:val="single" w:sz="24" w:space="0" w:color="ED7D31"/>
        <w:bottom w:val="single" w:sz="24" w:space="0" w:color="ED7D31"/>
        <w:right w:val="single" w:sz="24" w:space="0" w:color="ED7D31"/>
      </w:tblBorders>
    </w:tblPr>
    <w:tcPr>
      <w:shd w:val="clear" w:color="auto" w:fill="ED7D31"/>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3-Accent21111">
    <w:name w:val="List Table 3 - Accent 21111"/>
    <w:basedOn w:val="TableNormal"/>
    <w:next w:val="ListTable3-Accent21"/>
    <w:uiPriority w:val="48"/>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ED7D31"/>
        <w:left w:val="single" w:sz="4" w:space="0" w:color="ED7D31"/>
        <w:bottom w:val="single" w:sz="4" w:space="0" w:color="ED7D31"/>
        <w:right w:val="single" w:sz="4" w:space="0" w:color="ED7D31"/>
      </w:tblBorders>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table" w:customStyle="1" w:styleId="ListTable3-Accent41111">
    <w:name w:val="List Table 3 - Accent 41111"/>
    <w:basedOn w:val="TableNormal"/>
    <w:next w:val="ListTable3-Accent41"/>
    <w:uiPriority w:val="48"/>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ListTable6Colorful-Accent41111">
    <w:name w:val="List Table 6 Colorful - Accent 41111"/>
    <w:basedOn w:val="TableNormal"/>
    <w:next w:val="ListTable6Colorful-Accent41"/>
    <w:uiPriority w:val="51"/>
    <w:rsid w:val="009B2D9D"/>
    <w:pPr>
      <w:spacing w:before="100" w:beforeAutospacing="1" w:after="0" w:afterAutospacing="1" w:line="240" w:lineRule="auto"/>
      <w:jc w:val="both"/>
    </w:pPr>
    <w:rPr>
      <w:color w:val="BF8F00"/>
      <w:kern w:val="0"/>
      <w14:ligatures w14:val="none"/>
    </w:rPr>
    <w:tblPr>
      <w:tblStyleRowBandSize w:val="1"/>
      <w:tblStyleColBandSize w:val="1"/>
      <w:tblBorders>
        <w:top w:val="single" w:sz="4" w:space="0" w:color="FFC000"/>
        <w:bottom w:val="single" w:sz="4" w:space="0" w:color="FFC000"/>
      </w:tblBorders>
    </w:tblPr>
    <w:tblStylePr w:type="firstRow">
      <w:rPr>
        <w:b/>
        <w:bCs/>
      </w:rPr>
      <w:tblPr/>
      <w:tcPr>
        <w:tcBorders>
          <w:bottom w:val="single" w:sz="4" w:space="0" w:color="FFC000"/>
        </w:tcBorders>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4-Accent41111">
    <w:name w:val="Grid Table 4 - Accent 41111"/>
    <w:basedOn w:val="TableNormal"/>
    <w:next w:val="GridTable4-Accent41"/>
    <w:uiPriority w:val="49"/>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7Colorful-Accent41111">
    <w:name w:val="List Table 7 Colorful - Accent 41111"/>
    <w:basedOn w:val="TableNormal"/>
    <w:next w:val="ListTable7Colorful-Accent41"/>
    <w:uiPriority w:val="52"/>
    <w:rsid w:val="009B2D9D"/>
    <w:pPr>
      <w:spacing w:before="100" w:beforeAutospacing="1" w:after="0" w:afterAutospacing="1" w:line="240" w:lineRule="auto"/>
      <w:jc w:val="both"/>
    </w:pPr>
    <w:rPr>
      <w:color w:val="BF8F00"/>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FFC000"/>
        </w:tcBorders>
        <w:shd w:val="clear" w:color="auto" w:fill="FFFFFF"/>
      </w:tcPr>
    </w:tblStylePr>
    <w:tblStylePr w:type="lastRow">
      <w:rPr>
        <w:rFonts w:ascii="Calibri Light" w:eastAsia="Times New Roman" w:hAnsi="Calibri Light" w:cs="Times New Roman"/>
        <w:i/>
        <w:iCs/>
        <w:sz w:val="26"/>
      </w:rPr>
      <w:tblPr/>
      <w:tcPr>
        <w:tcBorders>
          <w:top w:val="single" w:sz="4" w:space="0" w:color="FFC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FFC000"/>
        </w:tcBorders>
        <w:shd w:val="clear" w:color="auto" w:fill="FFFFFF"/>
      </w:tcPr>
    </w:tblStylePr>
    <w:tblStylePr w:type="lastCol">
      <w:rPr>
        <w:rFonts w:ascii="Calibri Light" w:eastAsia="Times New Roman" w:hAnsi="Calibri Light" w:cs="Times New Roman"/>
        <w:i/>
        <w:iCs/>
        <w:sz w:val="26"/>
      </w:rPr>
      <w:tblPr/>
      <w:tcPr>
        <w:tcBorders>
          <w:left w:val="single" w:sz="4" w:space="0" w:color="FFC000"/>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5Dark-Accent41111">
    <w:name w:val="List Table 5 Dark - Accent 41111"/>
    <w:basedOn w:val="TableNormal"/>
    <w:next w:val="ListTable5Dark-Accent41"/>
    <w:uiPriority w:val="50"/>
    <w:locked/>
    <w:rsid w:val="009B2D9D"/>
    <w:pPr>
      <w:spacing w:before="100" w:beforeAutospacing="1" w:after="0" w:afterAutospacing="1" w:line="240" w:lineRule="auto"/>
      <w:jc w:val="both"/>
    </w:pPr>
    <w:rPr>
      <w:color w:val="FFFFFF"/>
      <w:kern w:val="0"/>
      <w14:ligatures w14:val="none"/>
    </w:rPr>
    <w:tblPr>
      <w:tblStyleRowBandSize w:val="1"/>
      <w:tblStyleColBandSize w:val="1"/>
      <w:tblBorders>
        <w:top w:val="single" w:sz="24" w:space="0" w:color="FFC000"/>
        <w:left w:val="single" w:sz="24" w:space="0" w:color="FFC000"/>
        <w:bottom w:val="single" w:sz="24" w:space="0" w:color="FFC000"/>
        <w:right w:val="single" w:sz="24" w:space="0" w:color="FFC000"/>
      </w:tblBorders>
    </w:tblPr>
    <w:tcPr>
      <w:shd w:val="clear" w:color="auto" w:fill="FFC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GridTable2-Accent41111">
    <w:name w:val="Grid Table 2 - Accent 41111"/>
    <w:basedOn w:val="TableNormal"/>
    <w:next w:val="GridTable2-Accent41"/>
    <w:uiPriority w:val="47"/>
    <w:rsid w:val="009B2D9D"/>
    <w:pPr>
      <w:spacing w:before="100" w:beforeAutospacing="1" w:after="0" w:afterAutospacing="1" w:line="240" w:lineRule="auto"/>
      <w:jc w:val="both"/>
    </w:pPr>
    <w:rPr>
      <w:kern w:val="0"/>
      <w14:ligatures w14:val="none"/>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7Colorful-Accent21111">
    <w:name w:val="Grid Table 7 Colorful - Accent 21111"/>
    <w:basedOn w:val="TableNormal"/>
    <w:next w:val="GridTable7Colorful-Accent21"/>
    <w:uiPriority w:val="52"/>
    <w:rsid w:val="009B2D9D"/>
    <w:pPr>
      <w:spacing w:before="100" w:beforeAutospacing="1" w:after="0" w:afterAutospacing="1" w:line="240" w:lineRule="auto"/>
      <w:jc w:val="both"/>
    </w:pPr>
    <w:rPr>
      <w:color w:val="C45911"/>
      <w:kern w:val="0"/>
      <w14:ligatures w14:val="none"/>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ListTable2-Accent41111">
    <w:name w:val="List Table 2 - Accent 41111"/>
    <w:basedOn w:val="TableNormal"/>
    <w:next w:val="ListTable2-Accent41"/>
    <w:uiPriority w:val="47"/>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FFD966"/>
        <w:bottom w:val="single" w:sz="4" w:space="0" w:color="FFD966"/>
        <w:insideH w:val="single" w:sz="4" w:space="0" w:color="FFD9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1Light-Accent41111">
    <w:name w:val="Grid Table 1 Light - Accent 41111"/>
    <w:basedOn w:val="TableNormal"/>
    <w:next w:val="GridTable1Light-Accent41"/>
    <w:uiPriority w:val="46"/>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ListTable2-Accent31111">
    <w:name w:val="List Table 2 - Accent 31111"/>
    <w:basedOn w:val="TableNormal"/>
    <w:next w:val="ListTable2-Accent31"/>
    <w:uiPriority w:val="47"/>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2-Accent21111">
    <w:name w:val="List Table 2 - Accent 21111"/>
    <w:basedOn w:val="TableNormal"/>
    <w:next w:val="ListTable2-Accent21"/>
    <w:uiPriority w:val="47"/>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F4B083"/>
        <w:bottom w:val="single" w:sz="4" w:space="0" w:color="F4B083"/>
        <w:insideH w:val="single" w:sz="4" w:space="0" w:color="F4B08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2-Accent11111">
    <w:name w:val="List Table 2 - Accent 11111"/>
    <w:basedOn w:val="TableNormal"/>
    <w:next w:val="ListTable2-Accent11"/>
    <w:uiPriority w:val="47"/>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1Light-Accent41111">
    <w:name w:val="List Table 1 Light - Accent 41111"/>
    <w:basedOn w:val="TableNormal"/>
    <w:next w:val="ListTable1Light-Accent41"/>
    <w:uiPriority w:val="46"/>
    <w:rsid w:val="009B2D9D"/>
    <w:pPr>
      <w:spacing w:before="100" w:beforeAutospacing="1" w:after="0" w:afterAutospacing="1" w:line="240" w:lineRule="auto"/>
      <w:jc w:val="both"/>
    </w:pPr>
    <w:rPr>
      <w:kern w:val="0"/>
      <w14:ligatures w14:val="none"/>
    </w:rPr>
    <w:tblPr>
      <w:tblStyleRowBandSize w:val="1"/>
      <w:tblStyleColBandSize w:val="1"/>
    </w:tblPr>
    <w:tblStylePr w:type="firstRow">
      <w:rPr>
        <w:b/>
        <w:bCs/>
      </w:rPr>
      <w:tblPr/>
      <w:tcPr>
        <w:tcBorders>
          <w:bottom w:val="single" w:sz="4" w:space="0" w:color="FFD966"/>
        </w:tcBorders>
      </w:tcPr>
    </w:tblStylePr>
    <w:tblStylePr w:type="lastRow">
      <w:rPr>
        <w:b/>
        <w:bCs/>
      </w:rPr>
      <w:tblPr/>
      <w:tcPr>
        <w:tcBorders>
          <w:top w:val="sing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numbering" w:customStyle="1" w:styleId="NoList811">
    <w:name w:val="No List811"/>
    <w:next w:val="NoList"/>
    <w:uiPriority w:val="99"/>
    <w:semiHidden/>
    <w:unhideWhenUsed/>
    <w:rsid w:val="009B2D9D"/>
  </w:style>
  <w:style w:type="table" w:customStyle="1" w:styleId="TableGrid611">
    <w:name w:val="Table Grid611"/>
    <w:basedOn w:val="TableNormal"/>
    <w:next w:val="TableGrid"/>
    <w:uiPriority w:val="39"/>
    <w:rsid w:val="009B2D9D"/>
    <w:pPr>
      <w:spacing w:before="100" w:beforeAutospacing="1" w:after="0" w:afterAutospacing="1" w:line="240" w:lineRule="auto"/>
      <w:jc w:val="both"/>
    </w:pPr>
    <w:rPr>
      <w:kern w:val="0"/>
      <w:lang w:val="sr-Latn-M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311">
    <w:name w:val="Light Shading - Accent 11311"/>
    <w:basedOn w:val="TableNormal"/>
    <w:uiPriority w:val="60"/>
    <w:rsid w:val="009B2D9D"/>
    <w:pPr>
      <w:spacing w:before="100" w:beforeAutospacing="1" w:after="0" w:afterAutospacing="1" w:line="240" w:lineRule="auto"/>
      <w:jc w:val="both"/>
    </w:pPr>
    <w:rPr>
      <w:rFonts w:ascii="Calibri" w:eastAsia="Times New Roman" w:hAnsi="Calibri" w:cs="Times New Roman"/>
      <w:color w:val="365F91"/>
      <w:kern w:val="0"/>
      <w:sz w:val="20"/>
      <w:szCs w:val="20"/>
      <w:lang w:val="sr-Latn-CS" w:eastAsia="sr-Latn-CS" w:bidi="en-US"/>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Radovan711">
    <w:name w:val="Radovan711"/>
    <w:uiPriority w:val="99"/>
    <w:rsid w:val="009B2D9D"/>
  </w:style>
  <w:style w:type="table" w:customStyle="1" w:styleId="LightShading-Accent3311">
    <w:name w:val="Light Shading - Accent 3311"/>
    <w:basedOn w:val="TableNormal"/>
    <w:next w:val="LightShading-Accent3"/>
    <w:uiPriority w:val="60"/>
    <w:rsid w:val="009B2D9D"/>
    <w:pPr>
      <w:spacing w:before="100" w:beforeAutospacing="1" w:after="0" w:afterAutospacing="1" w:line="240" w:lineRule="auto"/>
      <w:jc w:val="both"/>
    </w:pPr>
    <w:rPr>
      <w:rFonts w:ascii="Calibri" w:eastAsia="Calibri" w:hAnsi="Calibri" w:cs="Times New Roman"/>
      <w:color w:val="7B7B7B"/>
      <w:kern w:val="0"/>
      <w:sz w:val="20"/>
      <w:szCs w:val="20"/>
      <w14:ligatures w14:val="none"/>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LightList-Accent2311">
    <w:name w:val="Light List - Accent 2311"/>
    <w:basedOn w:val="TableNormal"/>
    <w:next w:val="LightList-Accent2"/>
    <w:uiPriority w:val="61"/>
    <w:rsid w:val="009B2D9D"/>
    <w:pPr>
      <w:spacing w:before="100" w:beforeAutospacing="1" w:after="0" w:afterAutospacing="1" w:line="240" w:lineRule="auto"/>
      <w:jc w:val="both"/>
    </w:pPr>
    <w:rPr>
      <w:rFonts w:eastAsia="Times New Roman"/>
      <w:kern w:val="0"/>
      <w:lang w:val="sr-Latn-CS" w:eastAsia="sr-Latn-CS"/>
      <w14:ligatures w14:val="none"/>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TableNormal1411">
    <w:name w:val="Table Normal1411"/>
    <w:uiPriority w:val="2"/>
    <w:semiHidden/>
    <w:unhideWhenUsed/>
    <w:qFormat/>
    <w:rsid w:val="009B2D9D"/>
    <w:pPr>
      <w:widowControl w:val="0"/>
      <w:spacing w:before="100" w:beforeAutospacing="1" w:after="0" w:afterAutospacing="1" w:line="240" w:lineRule="auto"/>
      <w:jc w:val="both"/>
    </w:pPr>
    <w:rPr>
      <w:kern w:val="0"/>
      <w14:ligatures w14:val="none"/>
    </w:rPr>
    <w:tblPr>
      <w:tblInd w:w="0" w:type="dxa"/>
      <w:tblCellMar>
        <w:top w:w="0" w:type="dxa"/>
        <w:left w:w="0" w:type="dxa"/>
        <w:bottom w:w="0" w:type="dxa"/>
        <w:right w:w="0" w:type="dxa"/>
      </w:tblCellMar>
    </w:tblPr>
  </w:style>
  <w:style w:type="numbering" w:customStyle="1" w:styleId="NoList1711">
    <w:name w:val="No List1711"/>
    <w:next w:val="NoList"/>
    <w:uiPriority w:val="99"/>
    <w:semiHidden/>
    <w:unhideWhenUsed/>
    <w:rsid w:val="009B2D9D"/>
  </w:style>
  <w:style w:type="numbering" w:customStyle="1" w:styleId="NoList11711">
    <w:name w:val="No List11711"/>
    <w:next w:val="NoList"/>
    <w:uiPriority w:val="99"/>
    <w:semiHidden/>
    <w:unhideWhenUsed/>
    <w:rsid w:val="009B2D9D"/>
  </w:style>
  <w:style w:type="table" w:customStyle="1" w:styleId="TableElegant311">
    <w:name w:val="Table Elegant311"/>
    <w:basedOn w:val="TableNormal"/>
    <w:next w:val="TableElegant"/>
    <w:rsid w:val="009B2D9D"/>
    <w:pPr>
      <w:spacing w:before="100" w:beforeAutospacing="1" w:after="0" w:afterAutospacing="1" w:line="240" w:lineRule="auto"/>
      <w:jc w:val="both"/>
    </w:pPr>
    <w:rPr>
      <w:rFonts w:ascii="Times New Roman" w:eastAsia="Times New Roman" w:hAnsi="Times New Roman" w:cs="Times New Roman"/>
      <w:kern w:val="0"/>
      <w:sz w:val="20"/>
      <w:szCs w:val="20"/>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NoList111711">
    <w:name w:val="No List111711"/>
    <w:next w:val="NoList"/>
    <w:uiPriority w:val="99"/>
    <w:semiHidden/>
    <w:unhideWhenUsed/>
    <w:rsid w:val="009B2D9D"/>
  </w:style>
  <w:style w:type="table" w:customStyle="1" w:styleId="TableNormal11311">
    <w:name w:val="Table Normal11311"/>
    <w:uiPriority w:val="2"/>
    <w:semiHidden/>
    <w:unhideWhenUsed/>
    <w:qFormat/>
    <w:rsid w:val="009B2D9D"/>
    <w:pPr>
      <w:widowControl w:val="0"/>
      <w:spacing w:before="100" w:beforeAutospacing="1" w:after="0" w:afterAutospacing="1" w:line="240" w:lineRule="auto"/>
      <w:jc w:val="both"/>
    </w:pPr>
    <w:rPr>
      <w:kern w:val="0"/>
      <w14:ligatures w14:val="none"/>
    </w:rPr>
    <w:tblPr>
      <w:tblInd w:w="0" w:type="dxa"/>
      <w:tblCellMar>
        <w:top w:w="0" w:type="dxa"/>
        <w:left w:w="0" w:type="dxa"/>
        <w:bottom w:w="0" w:type="dxa"/>
        <w:right w:w="0" w:type="dxa"/>
      </w:tblCellMar>
    </w:tblPr>
  </w:style>
  <w:style w:type="table" w:customStyle="1" w:styleId="PERstyle311">
    <w:name w:val="PER style311"/>
    <w:basedOn w:val="TableNormal"/>
    <w:uiPriority w:val="99"/>
    <w:rsid w:val="009B2D9D"/>
    <w:pPr>
      <w:spacing w:before="100" w:beforeAutospacing="1" w:after="0" w:afterAutospacing="1" w:line="240" w:lineRule="auto"/>
      <w:jc w:val="both"/>
    </w:pPr>
    <w:rPr>
      <w:kern w:val="0"/>
      <w:lang w:val="sr-Latn-ME"/>
      <w14:ligatures w14:val="none"/>
    </w:rPr>
    <w:tblPr/>
  </w:style>
  <w:style w:type="table" w:customStyle="1" w:styleId="PlainTable41311">
    <w:name w:val="Plain Table 41311"/>
    <w:basedOn w:val="TableNormal"/>
    <w:uiPriority w:val="44"/>
    <w:rsid w:val="009B2D9D"/>
    <w:pPr>
      <w:spacing w:before="100" w:beforeAutospacing="1" w:after="0" w:afterAutospacing="1" w:line="240" w:lineRule="auto"/>
      <w:jc w:val="both"/>
    </w:pPr>
    <w:rPr>
      <w:kern w:val="0"/>
      <w:lang w:val="sr-Latn-ME"/>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2611">
    <w:name w:val="No List2611"/>
    <w:next w:val="NoList"/>
    <w:uiPriority w:val="99"/>
    <w:semiHidden/>
    <w:unhideWhenUsed/>
    <w:rsid w:val="009B2D9D"/>
  </w:style>
  <w:style w:type="numbering" w:customStyle="1" w:styleId="NoList3511">
    <w:name w:val="No List3511"/>
    <w:next w:val="NoList"/>
    <w:uiPriority w:val="99"/>
    <w:semiHidden/>
    <w:unhideWhenUsed/>
    <w:rsid w:val="009B2D9D"/>
  </w:style>
  <w:style w:type="numbering" w:customStyle="1" w:styleId="Radovan1511">
    <w:name w:val="Radovan1511"/>
    <w:uiPriority w:val="99"/>
    <w:rsid w:val="009B2D9D"/>
  </w:style>
  <w:style w:type="numbering" w:customStyle="1" w:styleId="Style11511">
    <w:name w:val="Style11511"/>
    <w:uiPriority w:val="99"/>
    <w:rsid w:val="009B2D9D"/>
  </w:style>
  <w:style w:type="numbering" w:customStyle="1" w:styleId="Style21511">
    <w:name w:val="Style21511"/>
    <w:uiPriority w:val="99"/>
    <w:rsid w:val="009B2D9D"/>
  </w:style>
  <w:style w:type="numbering" w:customStyle="1" w:styleId="NoList12611">
    <w:name w:val="No List12611"/>
    <w:next w:val="NoList"/>
    <w:uiPriority w:val="99"/>
    <w:semiHidden/>
    <w:unhideWhenUsed/>
    <w:rsid w:val="009B2D9D"/>
  </w:style>
  <w:style w:type="numbering" w:customStyle="1" w:styleId="NoList112611">
    <w:name w:val="No List112611"/>
    <w:next w:val="NoList"/>
    <w:uiPriority w:val="99"/>
    <w:semiHidden/>
    <w:unhideWhenUsed/>
    <w:rsid w:val="009B2D9D"/>
  </w:style>
  <w:style w:type="numbering" w:customStyle="1" w:styleId="NoList1111611">
    <w:name w:val="No List1111611"/>
    <w:next w:val="NoList"/>
    <w:uiPriority w:val="99"/>
    <w:semiHidden/>
    <w:unhideWhenUsed/>
    <w:rsid w:val="009B2D9D"/>
  </w:style>
  <w:style w:type="numbering" w:customStyle="1" w:styleId="Style111511">
    <w:name w:val="Style111511"/>
    <w:uiPriority w:val="99"/>
    <w:rsid w:val="009B2D9D"/>
  </w:style>
  <w:style w:type="table" w:customStyle="1" w:styleId="GridTable1Light-Accent11211">
    <w:name w:val="Grid Table 1 Light - Accent 11211"/>
    <w:basedOn w:val="TableNormal"/>
    <w:uiPriority w:val="46"/>
    <w:rsid w:val="009B2D9D"/>
    <w:pPr>
      <w:spacing w:before="100" w:beforeAutospacing="1" w:after="0" w:afterAutospacing="1" w:line="240" w:lineRule="auto"/>
      <w:jc w:val="both"/>
    </w:pPr>
    <w:rPr>
      <w:rFonts w:ascii="Calibri" w:eastAsia="Calibri" w:hAnsi="Calibri" w:cs="Times New Roman"/>
      <w:kern w:val="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ListTable1Light-Accent11211">
    <w:name w:val="List Table 1 Light - Accent 11211"/>
    <w:basedOn w:val="TableNormal"/>
    <w:uiPriority w:val="46"/>
    <w:rsid w:val="009B2D9D"/>
    <w:pPr>
      <w:spacing w:before="100" w:beforeAutospacing="1" w:after="0" w:afterAutospacing="1" w:line="240" w:lineRule="auto"/>
      <w:jc w:val="both"/>
    </w:pPr>
    <w:rPr>
      <w:kern w:val="0"/>
      <w14:ligatures w14:val="none"/>
    </w:rPr>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11211">
    <w:name w:val="Grid Table 5 Dark - Accent 11211"/>
    <w:basedOn w:val="TableNormal"/>
    <w:uiPriority w:val="50"/>
    <w:rsid w:val="009B2D9D"/>
    <w:pPr>
      <w:spacing w:before="100" w:beforeAutospacing="1" w:after="0" w:afterAutospacing="1" w:line="240" w:lineRule="auto"/>
      <w:jc w:val="both"/>
    </w:pPr>
    <w:rPr>
      <w:kern w:val="0"/>
      <w:lang w:val="en-GB"/>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12211">
    <w:name w:val="Grid Table 5 Dark - Accent 12211"/>
    <w:basedOn w:val="TableNormal"/>
    <w:uiPriority w:val="50"/>
    <w:rsid w:val="009B2D9D"/>
    <w:pPr>
      <w:spacing w:before="100" w:beforeAutospacing="1" w:after="0" w:afterAutospacing="1" w:line="240" w:lineRule="auto"/>
      <w:jc w:val="both"/>
    </w:pPr>
    <w:rPr>
      <w:kern w:val="0"/>
      <w:lang w:val="en-GB"/>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6Colorful-Accent51211">
    <w:name w:val="Grid Table 6 Colorful - Accent 51211"/>
    <w:basedOn w:val="TableNormal"/>
    <w:uiPriority w:val="51"/>
    <w:rsid w:val="009B2D9D"/>
    <w:pPr>
      <w:spacing w:before="100" w:beforeAutospacing="1" w:after="0" w:afterAutospacing="1" w:line="240" w:lineRule="auto"/>
      <w:jc w:val="both"/>
    </w:pPr>
    <w:rPr>
      <w:color w:val="2F5496"/>
      <w:kern w:val="0"/>
      <w:lang w:val="en-GB"/>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numbering" w:customStyle="1" w:styleId="NoList21611">
    <w:name w:val="No List21611"/>
    <w:next w:val="NoList"/>
    <w:uiPriority w:val="99"/>
    <w:semiHidden/>
    <w:unhideWhenUsed/>
    <w:rsid w:val="009B2D9D"/>
  </w:style>
  <w:style w:type="numbering" w:customStyle="1" w:styleId="Radovan11211">
    <w:name w:val="Radovan11211"/>
    <w:uiPriority w:val="99"/>
    <w:rsid w:val="009B2D9D"/>
  </w:style>
  <w:style w:type="numbering" w:customStyle="1" w:styleId="Style12411">
    <w:name w:val="Style12411"/>
    <w:uiPriority w:val="99"/>
    <w:rsid w:val="009B2D9D"/>
  </w:style>
  <w:style w:type="numbering" w:customStyle="1" w:styleId="Style211211">
    <w:name w:val="Style211211"/>
    <w:uiPriority w:val="99"/>
    <w:rsid w:val="009B2D9D"/>
  </w:style>
  <w:style w:type="numbering" w:customStyle="1" w:styleId="NoList121511">
    <w:name w:val="No List121511"/>
    <w:next w:val="NoList"/>
    <w:uiPriority w:val="99"/>
    <w:semiHidden/>
    <w:unhideWhenUsed/>
    <w:rsid w:val="009B2D9D"/>
  </w:style>
  <w:style w:type="numbering" w:customStyle="1" w:styleId="NoList1121511">
    <w:name w:val="No List1121511"/>
    <w:next w:val="NoList"/>
    <w:uiPriority w:val="99"/>
    <w:semiHidden/>
    <w:unhideWhenUsed/>
    <w:rsid w:val="009B2D9D"/>
  </w:style>
  <w:style w:type="numbering" w:customStyle="1" w:styleId="NoList11111511">
    <w:name w:val="No List11111511"/>
    <w:next w:val="NoList"/>
    <w:uiPriority w:val="99"/>
    <w:semiHidden/>
    <w:unhideWhenUsed/>
    <w:rsid w:val="009B2D9D"/>
  </w:style>
  <w:style w:type="numbering" w:customStyle="1" w:styleId="NoList211511">
    <w:name w:val="No List211511"/>
    <w:next w:val="NoList"/>
    <w:uiPriority w:val="99"/>
    <w:semiHidden/>
    <w:unhideWhenUsed/>
    <w:rsid w:val="009B2D9D"/>
  </w:style>
  <w:style w:type="table" w:customStyle="1" w:styleId="TableGrid2311">
    <w:name w:val="Table Grid2311"/>
    <w:basedOn w:val="TableNormal"/>
    <w:next w:val="TableGrid"/>
    <w:uiPriority w:val="59"/>
    <w:rsid w:val="009B2D9D"/>
    <w:pPr>
      <w:spacing w:before="100" w:beforeAutospacing="1" w:after="0" w:afterAutospacing="1" w:line="240" w:lineRule="auto"/>
      <w:jc w:val="both"/>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39"/>
    <w:rsid w:val="009B2D9D"/>
    <w:pPr>
      <w:spacing w:before="100" w:beforeAutospacing="1" w:after="0" w:afterAutospacing="1" w:line="240" w:lineRule="auto"/>
      <w:jc w:val="both"/>
    </w:pPr>
    <w:rPr>
      <w:kern w:val="0"/>
      <w:lang w:val="sr-Latn-M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211">
    <w:name w:val="No List111111211"/>
    <w:next w:val="NoList"/>
    <w:uiPriority w:val="99"/>
    <w:semiHidden/>
    <w:unhideWhenUsed/>
    <w:rsid w:val="009B2D9D"/>
  </w:style>
  <w:style w:type="table" w:customStyle="1" w:styleId="TableGrid21211">
    <w:name w:val="Table Grid21211"/>
    <w:basedOn w:val="TableNormal"/>
    <w:next w:val="TableGrid"/>
    <w:uiPriority w:val="59"/>
    <w:rsid w:val="009B2D9D"/>
    <w:pPr>
      <w:spacing w:before="100" w:beforeAutospacing="1" w:after="0" w:afterAutospacing="1" w:line="240" w:lineRule="auto"/>
      <w:jc w:val="both"/>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11">
    <w:name w:val="Table Grid13211"/>
    <w:basedOn w:val="TableNormal"/>
    <w:next w:val="TableGrid"/>
    <w:uiPriority w:val="39"/>
    <w:rsid w:val="009B2D9D"/>
    <w:pPr>
      <w:spacing w:before="100" w:beforeAutospacing="1" w:after="0" w:afterAutospacing="1" w:line="240" w:lineRule="auto"/>
      <w:jc w:val="both"/>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511">
    <w:name w:val="No List31511"/>
    <w:next w:val="NoList"/>
    <w:uiPriority w:val="99"/>
    <w:semiHidden/>
    <w:unhideWhenUsed/>
    <w:rsid w:val="009B2D9D"/>
  </w:style>
  <w:style w:type="table" w:customStyle="1" w:styleId="TableGrid3211">
    <w:name w:val="Table Grid3211"/>
    <w:basedOn w:val="TableNormal"/>
    <w:next w:val="TableGrid"/>
    <w:uiPriority w:val="39"/>
    <w:rsid w:val="009B2D9D"/>
    <w:pPr>
      <w:spacing w:before="100" w:beforeAutospacing="1" w:after="0" w:afterAutospacing="1" w:line="240" w:lineRule="auto"/>
      <w:jc w:val="both"/>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1211">
    <w:name w:val="Light Shading - Accent 111211"/>
    <w:basedOn w:val="TableNormal"/>
    <w:uiPriority w:val="60"/>
    <w:rsid w:val="009B2D9D"/>
    <w:pPr>
      <w:spacing w:before="100" w:beforeAutospacing="1" w:after="0" w:afterAutospacing="1" w:line="240" w:lineRule="auto"/>
      <w:jc w:val="both"/>
    </w:pPr>
    <w:rPr>
      <w:rFonts w:ascii="Calibri" w:eastAsia="Times New Roman" w:hAnsi="Calibri" w:cs="Times New Roman"/>
      <w:color w:val="365F91"/>
      <w:kern w:val="0"/>
      <w:sz w:val="20"/>
      <w:szCs w:val="20"/>
      <w:lang w:val="sr-Latn-CS" w:eastAsia="sr-Latn-CS" w:bidi="en-US"/>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31311">
    <w:name w:val="Light Shading - Accent 31311"/>
    <w:basedOn w:val="TableNormal"/>
    <w:next w:val="LightShading-Accent3"/>
    <w:uiPriority w:val="60"/>
    <w:rsid w:val="009B2D9D"/>
    <w:pPr>
      <w:spacing w:before="100" w:beforeAutospacing="1" w:after="0" w:afterAutospacing="1" w:line="240" w:lineRule="auto"/>
      <w:jc w:val="both"/>
    </w:pPr>
    <w:rPr>
      <w:rFonts w:ascii="Calibri" w:eastAsia="Calibri" w:hAnsi="Calibri" w:cs="Times New Roman"/>
      <w:color w:val="7B7B7B"/>
      <w:kern w:val="0"/>
      <w:sz w:val="20"/>
      <w:szCs w:val="20"/>
      <w14:ligatures w14:val="none"/>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LightList-Accent21311">
    <w:name w:val="Light List - Accent 21311"/>
    <w:basedOn w:val="TableNormal"/>
    <w:next w:val="LightList-Accent2"/>
    <w:uiPriority w:val="61"/>
    <w:rsid w:val="009B2D9D"/>
    <w:pPr>
      <w:spacing w:before="100" w:beforeAutospacing="1" w:after="0" w:afterAutospacing="1" w:line="240" w:lineRule="auto"/>
      <w:jc w:val="both"/>
    </w:pPr>
    <w:rPr>
      <w:rFonts w:eastAsia="Times New Roman"/>
      <w:kern w:val="0"/>
      <w:lang w:val="sr-Latn-CS" w:eastAsia="sr-Latn-CS"/>
      <w14:ligatures w14:val="none"/>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TableNormal12211">
    <w:name w:val="Table Normal12211"/>
    <w:uiPriority w:val="2"/>
    <w:semiHidden/>
    <w:unhideWhenUsed/>
    <w:qFormat/>
    <w:rsid w:val="009B2D9D"/>
    <w:pPr>
      <w:widowControl w:val="0"/>
      <w:spacing w:before="100" w:beforeAutospacing="1" w:after="0" w:afterAutospacing="1" w:line="240" w:lineRule="auto"/>
      <w:jc w:val="both"/>
    </w:pPr>
    <w:rPr>
      <w:kern w:val="0"/>
      <w14:ligatures w14:val="none"/>
    </w:rPr>
    <w:tblPr>
      <w:tblInd w:w="0" w:type="dxa"/>
      <w:tblCellMar>
        <w:top w:w="0" w:type="dxa"/>
        <w:left w:w="0" w:type="dxa"/>
        <w:bottom w:w="0" w:type="dxa"/>
        <w:right w:w="0" w:type="dxa"/>
      </w:tblCellMar>
    </w:tblPr>
  </w:style>
  <w:style w:type="numbering" w:customStyle="1" w:styleId="NoList1211211">
    <w:name w:val="No List1211211"/>
    <w:next w:val="NoList"/>
    <w:uiPriority w:val="99"/>
    <w:semiHidden/>
    <w:unhideWhenUsed/>
    <w:rsid w:val="009B2D9D"/>
  </w:style>
  <w:style w:type="numbering" w:customStyle="1" w:styleId="NoList11211211">
    <w:name w:val="No List11211211"/>
    <w:next w:val="NoList"/>
    <w:uiPriority w:val="99"/>
    <w:semiHidden/>
    <w:unhideWhenUsed/>
    <w:rsid w:val="009B2D9D"/>
  </w:style>
  <w:style w:type="table" w:customStyle="1" w:styleId="TableElegant1211">
    <w:name w:val="Table Elegant1211"/>
    <w:basedOn w:val="TableNormal"/>
    <w:next w:val="TableElegant"/>
    <w:rsid w:val="009B2D9D"/>
    <w:pPr>
      <w:spacing w:before="100" w:beforeAutospacing="1" w:after="0" w:afterAutospacing="1" w:line="240" w:lineRule="auto"/>
      <w:jc w:val="both"/>
    </w:pPr>
    <w:rPr>
      <w:rFonts w:ascii="Times New Roman" w:eastAsia="Times New Roman" w:hAnsi="Times New Roman" w:cs="Times New Roman"/>
      <w:kern w:val="0"/>
      <w:sz w:val="20"/>
      <w:szCs w:val="20"/>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NoList1112511">
    <w:name w:val="No List1112511"/>
    <w:next w:val="NoList"/>
    <w:uiPriority w:val="99"/>
    <w:semiHidden/>
    <w:unhideWhenUsed/>
    <w:rsid w:val="009B2D9D"/>
  </w:style>
  <w:style w:type="table" w:customStyle="1" w:styleId="TableNormal111211">
    <w:name w:val="Table Normal111211"/>
    <w:uiPriority w:val="2"/>
    <w:semiHidden/>
    <w:unhideWhenUsed/>
    <w:qFormat/>
    <w:rsid w:val="009B2D9D"/>
    <w:pPr>
      <w:widowControl w:val="0"/>
      <w:spacing w:before="100" w:beforeAutospacing="1" w:after="0" w:afterAutospacing="1" w:line="240" w:lineRule="auto"/>
      <w:jc w:val="both"/>
    </w:pPr>
    <w:rPr>
      <w:kern w:val="0"/>
      <w14:ligatures w14:val="none"/>
    </w:rPr>
    <w:tblPr>
      <w:tblInd w:w="0" w:type="dxa"/>
      <w:tblCellMar>
        <w:top w:w="0" w:type="dxa"/>
        <w:left w:w="0" w:type="dxa"/>
        <w:bottom w:w="0" w:type="dxa"/>
        <w:right w:w="0" w:type="dxa"/>
      </w:tblCellMar>
    </w:tblPr>
  </w:style>
  <w:style w:type="table" w:customStyle="1" w:styleId="PERstyle1211">
    <w:name w:val="PER style1211"/>
    <w:basedOn w:val="TableNormal"/>
    <w:uiPriority w:val="99"/>
    <w:rsid w:val="009B2D9D"/>
    <w:pPr>
      <w:spacing w:before="100" w:beforeAutospacing="1" w:after="0" w:afterAutospacing="1" w:line="240" w:lineRule="auto"/>
      <w:jc w:val="both"/>
    </w:pPr>
    <w:rPr>
      <w:kern w:val="0"/>
      <w14:ligatures w14:val="none"/>
    </w:rPr>
    <w:tblPr/>
  </w:style>
  <w:style w:type="table" w:customStyle="1" w:styleId="PlainTable411311">
    <w:name w:val="Plain Table 411311"/>
    <w:basedOn w:val="TableNormal"/>
    <w:uiPriority w:val="44"/>
    <w:rsid w:val="009B2D9D"/>
    <w:pPr>
      <w:spacing w:before="100" w:beforeAutospacing="1" w:after="0" w:afterAutospacing="1" w:line="240" w:lineRule="auto"/>
      <w:jc w:val="both"/>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2111211">
    <w:name w:val="No List2111211"/>
    <w:next w:val="NoList"/>
    <w:uiPriority w:val="99"/>
    <w:semiHidden/>
    <w:unhideWhenUsed/>
    <w:rsid w:val="009B2D9D"/>
  </w:style>
  <w:style w:type="table" w:customStyle="1" w:styleId="PlainTable21411">
    <w:name w:val="Plain Table 21411"/>
    <w:basedOn w:val="TableNormal"/>
    <w:uiPriority w:val="42"/>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Light1411">
    <w:name w:val="Table Grid Light1411"/>
    <w:basedOn w:val="TableNormal"/>
    <w:uiPriority w:val="40"/>
    <w:rsid w:val="009B2D9D"/>
    <w:pPr>
      <w:spacing w:before="100" w:beforeAutospacing="1" w:after="0" w:afterAutospacing="1" w:line="240" w:lineRule="auto"/>
      <w:jc w:val="both"/>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2511">
    <w:name w:val="Table Grid Light2511"/>
    <w:basedOn w:val="TableNormal"/>
    <w:uiPriority w:val="40"/>
    <w:rsid w:val="009B2D9D"/>
    <w:pPr>
      <w:spacing w:before="100" w:beforeAutospacing="1" w:after="0" w:afterAutospacing="1" w:line="240" w:lineRule="auto"/>
      <w:jc w:val="both"/>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21311">
    <w:name w:val="Table Grid Light21311"/>
    <w:basedOn w:val="TableNormal"/>
    <w:uiPriority w:val="40"/>
    <w:rsid w:val="009B2D9D"/>
    <w:pPr>
      <w:spacing w:before="100" w:beforeAutospacing="1" w:after="0" w:afterAutospacing="1" w:line="240" w:lineRule="auto"/>
      <w:jc w:val="both"/>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4211">
    <w:name w:val="Table Grid4211"/>
    <w:basedOn w:val="TableNormal"/>
    <w:next w:val="TableGrid"/>
    <w:uiPriority w:val="39"/>
    <w:rsid w:val="009B2D9D"/>
    <w:pPr>
      <w:spacing w:before="100" w:beforeAutospacing="1" w:after="0" w:afterAutospacing="1" w:line="240" w:lineRule="auto"/>
      <w:jc w:val="both"/>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11">
    <w:name w:val="No List4411"/>
    <w:next w:val="NoList"/>
    <w:uiPriority w:val="99"/>
    <w:semiHidden/>
    <w:unhideWhenUsed/>
    <w:rsid w:val="009B2D9D"/>
  </w:style>
  <w:style w:type="numbering" w:customStyle="1" w:styleId="Radovan2411">
    <w:name w:val="Radovan2411"/>
    <w:uiPriority w:val="99"/>
    <w:rsid w:val="009B2D9D"/>
  </w:style>
  <w:style w:type="numbering" w:customStyle="1" w:styleId="Style13411">
    <w:name w:val="Style13411"/>
    <w:uiPriority w:val="99"/>
    <w:rsid w:val="009B2D9D"/>
  </w:style>
  <w:style w:type="numbering" w:customStyle="1" w:styleId="Style22411">
    <w:name w:val="Style22411"/>
    <w:uiPriority w:val="99"/>
    <w:rsid w:val="009B2D9D"/>
  </w:style>
  <w:style w:type="numbering" w:customStyle="1" w:styleId="NoList13411">
    <w:name w:val="No List13411"/>
    <w:next w:val="NoList"/>
    <w:uiPriority w:val="99"/>
    <w:semiHidden/>
    <w:unhideWhenUsed/>
    <w:rsid w:val="009B2D9D"/>
  </w:style>
  <w:style w:type="numbering" w:customStyle="1" w:styleId="NoList113411">
    <w:name w:val="No List113411"/>
    <w:next w:val="NoList"/>
    <w:uiPriority w:val="99"/>
    <w:semiHidden/>
    <w:unhideWhenUsed/>
    <w:rsid w:val="009B2D9D"/>
  </w:style>
  <w:style w:type="numbering" w:customStyle="1" w:styleId="NoList1113411">
    <w:name w:val="No List1113411"/>
    <w:next w:val="NoList"/>
    <w:uiPriority w:val="99"/>
    <w:semiHidden/>
    <w:unhideWhenUsed/>
    <w:rsid w:val="009B2D9D"/>
  </w:style>
  <w:style w:type="numbering" w:customStyle="1" w:styleId="NoList22411">
    <w:name w:val="No List22411"/>
    <w:next w:val="NoList"/>
    <w:uiPriority w:val="99"/>
    <w:semiHidden/>
    <w:unhideWhenUsed/>
    <w:rsid w:val="009B2D9D"/>
  </w:style>
  <w:style w:type="table" w:customStyle="1" w:styleId="PlainTable211211">
    <w:name w:val="Plain Table 211211"/>
    <w:basedOn w:val="TableNormal"/>
    <w:uiPriority w:val="42"/>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Light11211">
    <w:name w:val="Table Grid Light11211"/>
    <w:basedOn w:val="TableNormal"/>
    <w:uiPriority w:val="40"/>
    <w:rsid w:val="009B2D9D"/>
    <w:pPr>
      <w:spacing w:before="100" w:beforeAutospacing="1" w:after="0" w:afterAutospacing="1" w:line="240" w:lineRule="auto"/>
      <w:jc w:val="both"/>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22211">
    <w:name w:val="Table Grid Light22211"/>
    <w:basedOn w:val="TableNormal"/>
    <w:uiPriority w:val="40"/>
    <w:rsid w:val="009B2D9D"/>
    <w:pPr>
      <w:spacing w:before="100" w:beforeAutospacing="1" w:after="0" w:afterAutospacing="1" w:line="240" w:lineRule="auto"/>
      <w:jc w:val="both"/>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Style31511">
    <w:name w:val="Style31511"/>
    <w:uiPriority w:val="99"/>
    <w:rsid w:val="009B2D9D"/>
  </w:style>
  <w:style w:type="numbering" w:customStyle="1" w:styleId="NoList11112411">
    <w:name w:val="No List11112411"/>
    <w:next w:val="NoList"/>
    <w:uiPriority w:val="99"/>
    <w:semiHidden/>
    <w:unhideWhenUsed/>
    <w:rsid w:val="009B2D9D"/>
  </w:style>
  <w:style w:type="numbering" w:customStyle="1" w:styleId="NoList311211">
    <w:name w:val="No List311211"/>
    <w:next w:val="NoList"/>
    <w:uiPriority w:val="99"/>
    <w:semiHidden/>
    <w:unhideWhenUsed/>
    <w:rsid w:val="009B2D9D"/>
  </w:style>
  <w:style w:type="numbering" w:customStyle="1" w:styleId="NoList122411">
    <w:name w:val="No List122411"/>
    <w:next w:val="NoList"/>
    <w:uiPriority w:val="99"/>
    <w:semiHidden/>
    <w:unhideWhenUsed/>
    <w:rsid w:val="009B2D9D"/>
  </w:style>
  <w:style w:type="numbering" w:customStyle="1" w:styleId="NoList1122411">
    <w:name w:val="No List1122411"/>
    <w:next w:val="NoList"/>
    <w:uiPriority w:val="99"/>
    <w:semiHidden/>
    <w:unhideWhenUsed/>
    <w:rsid w:val="009B2D9D"/>
  </w:style>
  <w:style w:type="numbering" w:customStyle="1" w:styleId="NoList11121411">
    <w:name w:val="No List11121411"/>
    <w:next w:val="NoList"/>
    <w:uiPriority w:val="99"/>
    <w:semiHidden/>
    <w:unhideWhenUsed/>
    <w:rsid w:val="009B2D9D"/>
  </w:style>
  <w:style w:type="numbering" w:customStyle="1" w:styleId="NoList212411">
    <w:name w:val="No List212411"/>
    <w:next w:val="NoList"/>
    <w:uiPriority w:val="99"/>
    <w:semiHidden/>
    <w:unhideWhenUsed/>
    <w:rsid w:val="009B2D9D"/>
  </w:style>
  <w:style w:type="numbering" w:customStyle="1" w:styleId="NoList5211">
    <w:name w:val="No List5211"/>
    <w:next w:val="NoList"/>
    <w:uiPriority w:val="99"/>
    <w:semiHidden/>
    <w:unhideWhenUsed/>
    <w:rsid w:val="009B2D9D"/>
  </w:style>
  <w:style w:type="numbering" w:customStyle="1" w:styleId="Radovan3211">
    <w:name w:val="Radovan3211"/>
    <w:uiPriority w:val="99"/>
    <w:rsid w:val="009B2D9D"/>
  </w:style>
  <w:style w:type="numbering" w:customStyle="1" w:styleId="Style14211">
    <w:name w:val="Style14211"/>
    <w:uiPriority w:val="99"/>
    <w:rsid w:val="009B2D9D"/>
  </w:style>
  <w:style w:type="numbering" w:customStyle="1" w:styleId="Style23211">
    <w:name w:val="Style23211"/>
    <w:uiPriority w:val="99"/>
    <w:rsid w:val="009B2D9D"/>
  </w:style>
  <w:style w:type="numbering" w:customStyle="1" w:styleId="NoList14211">
    <w:name w:val="No List14211"/>
    <w:next w:val="NoList"/>
    <w:uiPriority w:val="99"/>
    <w:semiHidden/>
    <w:unhideWhenUsed/>
    <w:rsid w:val="009B2D9D"/>
  </w:style>
  <w:style w:type="numbering" w:customStyle="1" w:styleId="NoList114211">
    <w:name w:val="No List114211"/>
    <w:next w:val="NoList"/>
    <w:uiPriority w:val="99"/>
    <w:semiHidden/>
    <w:unhideWhenUsed/>
    <w:rsid w:val="009B2D9D"/>
  </w:style>
  <w:style w:type="numbering" w:customStyle="1" w:styleId="NoList1114211">
    <w:name w:val="No List1114211"/>
    <w:next w:val="NoList"/>
    <w:uiPriority w:val="99"/>
    <w:semiHidden/>
    <w:unhideWhenUsed/>
    <w:rsid w:val="009B2D9D"/>
  </w:style>
  <w:style w:type="numbering" w:customStyle="1" w:styleId="Style112211">
    <w:name w:val="Style112211"/>
    <w:uiPriority w:val="99"/>
    <w:rsid w:val="009B2D9D"/>
  </w:style>
  <w:style w:type="numbering" w:customStyle="1" w:styleId="NoList23211">
    <w:name w:val="No List23211"/>
    <w:next w:val="NoList"/>
    <w:uiPriority w:val="99"/>
    <w:semiHidden/>
    <w:unhideWhenUsed/>
    <w:rsid w:val="009B2D9D"/>
  </w:style>
  <w:style w:type="numbering" w:customStyle="1" w:styleId="Radovan12211">
    <w:name w:val="Radovan12211"/>
    <w:uiPriority w:val="99"/>
    <w:rsid w:val="009B2D9D"/>
  </w:style>
  <w:style w:type="numbering" w:customStyle="1" w:styleId="Style121211">
    <w:name w:val="Style121211"/>
    <w:uiPriority w:val="99"/>
    <w:rsid w:val="009B2D9D"/>
  </w:style>
  <w:style w:type="numbering" w:customStyle="1" w:styleId="Style212211">
    <w:name w:val="Style212211"/>
    <w:uiPriority w:val="99"/>
    <w:rsid w:val="009B2D9D"/>
  </w:style>
  <w:style w:type="numbering" w:customStyle="1" w:styleId="NoList123211">
    <w:name w:val="No List123211"/>
    <w:next w:val="NoList"/>
    <w:uiPriority w:val="99"/>
    <w:semiHidden/>
    <w:unhideWhenUsed/>
    <w:rsid w:val="009B2D9D"/>
  </w:style>
  <w:style w:type="numbering" w:customStyle="1" w:styleId="NoList1123211">
    <w:name w:val="No List1123211"/>
    <w:next w:val="NoList"/>
    <w:uiPriority w:val="99"/>
    <w:semiHidden/>
    <w:unhideWhenUsed/>
    <w:rsid w:val="009B2D9D"/>
  </w:style>
  <w:style w:type="numbering" w:customStyle="1" w:styleId="NoList11113211">
    <w:name w:val="No List11113211"/>
    <w:next w:val="NoList"/>
    <w:uiPriority w:val="99"/>
    <w:semiHidden/>
    <w:unhideWhenUsed/>
    <w:rsid w:val="009B2D9D"/>
  </w:style>
  <w:style w:type="numbering" w:customStyle="1" w:styleId="NoList213211">
    <w:name w:val="No List213211"/>
    <w:next w:val="NoList"/>
    <w:uiPriority w:val="99"/>
    <w:semiHidden/>
    <w:unhideWhenUsed/>
    <w:rsid w:val="009B2D9D"/>
  </w:style>
  <w:style w:type="numbering" w:customStyle="1" w:styleId="NoList111112211">
    <w:name w:val="No List111112211"/>
    <w:next w:val="NoList"/>
    <w:uiPriority w:val="99"/>
    <w:semiHidden/>
    <w:unhideWhenUsed/>
    <w:rsid w:val="009B2D9D"/>
  </w:style>
  <w:style w:type="numbering" w:customStyle="1" w:styleId="NoList32211">
    <w:name w:val="No List32211"/>
    <w:next w:val="NoList"/>
    <w:uiPriority w:val="99"/>
    <w:semiHidden/>
    <w:unhideWhenUsed/>
    <w:rsid w:val="009B2D9D"/>
  </w:style>
  <w:style w:type="numbering" w:customStyle="1" w:styleId="NoList1212211">
    <w:name w:val="No List1212211"/>
    <w:next w:val="NoList"/>
    <w:uiPriority w:val="99"/>
    <w:semiHidden/>
    <w:unhideWhenUsed/>
    <w:rsid w:val="009B2D9D"/>
  </w:style>
  <w:style w:type="numbering" w:customStyle="1" w:styleId="NoList11212211">
    <w:name w:val="No List11212211"/>
    <w:next w:val="NoList"/>
    <w:uiPriority w:val="99"/>
    <w:semiHidden/>
    <w:unhideWhenUsed/>
    <w:rsid w:val="009B2D9D"/>
  </w:style>
  <w:style w:type="numbering" w:customStyle="1" w:styleId="NoList11122211">
    <w:name w:val="No List11122211"/>
    <w:next w:val="NoList"/>
    <w:uiPriority w:val="99"/>
    <w:semiHidden/>
    <w:unhideWhenUsed/>
    <w:rsid w:val="009B2D9D"/>
  </w:style>
  <w:style w:type="numbering" w:customStyle="1" w:styleId="NoList2112211">
    <w:name w:val="No List2112211"/>
    <w:next w:val="NoList"/>
    <w:uiPriority w:val="99"/>
    <w:semiHidden/>
    <w:unhideWhenUsed/>
    <w:rsid w:val="009B2D9D"/>
  </w:style>
  <w:style w:type="numbering" w:customStyle="1" w:styleId="Style32211">
    <w:name w:val="Style32211"/>
    <w:uiPriority w:val="99"/>
    <w:rsid w:val="009B2D9D"/>
  </w:style>
  <w:style w:type="numbering" w:customStyle="1" w:styleId="NoList41211">
    <w:name w:val="No List41211"/>
    <w:next w:val="NoList"/>
    <w:uiPriority w:val="99"/>
    <w:semiHidden/>
    <w:unhideWhenUsed/>
    <w:rsid w:val="009B2D9D"/>
  </w:style>
  <w:style w:type="numbering" w:customStyle="1" w:styleId="Radovan21211">
    <w:name w:val="Radovan21211"/>
    <w:uiPriority w:val="99"/>
    <w:rsid w:val="009B2D9D"/>
  </w:style>
  <w:style w:type="numbering" w:customStyle="1" w:styleId="Style131211">
    <w:name w:val="Style131211"/>
    <w:uiPriority w:val="99"/>
    <w:rsid w:val="009B2D9D"/>
  </w:style>
  <w:style w:type="numbering" w:customStyle="1" w:styleId="Style221211">
    <w:name w:val="Style221211"/>
    <w:uiPriority w:val="99"/>
    <w:rsid w:val="009B2D9D"/>
  </w:style>
  <w:style w:type="numbering" w:customStyle="1" w:styleId="NoList131211">
    <w:name w:val="No List131211"/>
    <w:next w:val="NoList"/>
    <w:uiPriority w:val="99"/>
    <w:semiHidden/>
    <w:unhideWhenUsed/>
    <w:rsid w:val="009B2D9D"/>
  </w:style>
  <w:style w:type="numbering" w:customStyle="1" w:styleId="NoList1131211">
    <w:name w:val="No List1131211"/>
    <w:next w:val="NoList"/>
    <w:uiPriority w:val="99"/>
    <w:semiHidden/>
    <w:unhideWhenUsed/>
    <w:rsid w:val="009B2D9D"/>
  </w:style>
  <w:style w:type="numbering" w:customStyle="1" w:styleId="NoList11131211">
    <w:name w:val="No List11131211"/>
    <w:next w:val="NoList"/>
    <w:uiPriority w:val="99"/>
    <w:semiHidden/>
    <w:unhideWhenUsed/>
    <w:rsid w:val="009B2D9D"/>
  </w:style>
  <w:style w:type="numbering" w:customStyle="1" w:styleId="Style1112211">
    <w:name w:val="Style1112211"/>
    <w:uiPriority w:val="99"/>
    <w:rsid w:val="009B2D9D"/>
  </w:style>
  <w:style w:type="numbering" w:customStyle="1" w:styleId="NoList221211">
    <w:name w:val="No List221211"/>
    <w:next w:val="NoList"/>
    <w:uiPriority w:val="99"/>
    <w:semiHidden/>
    <w:unhideWhenUsed/>
    <w:rsid w:val="009B2D9D"/>
  </w:style>
  <w:style w:type="numbering" w:customStyle="1" w:styleId="Style312211">
    <w:name w:val="Style312211"/>
    <w:uiPriority w:val="99"/>
    <w:rsid w:val="009B2D9D"/>
  </w:style>
  <w:style w:type="numbering" w:customStyle="1" w:styleId="NoList111121211">
    <w:name w:val="No List111121211"/>
    <w:next w:val="NoList"/>
    <w:uiPriority w:val="99"/>
    <w:semiHidden/>
    <w:unhideWhenUsed/>
    <w:rsid w:val="009B2D9D"/>
  </w:style>
  <w:style w:type="numbering" w:customStyle="1" w:styleId="NoList312211">
    <w:name w:val="No List312211"/>
    <w:next w:val="NoList"/>
    <w:uiPriority w:val="99"/>
    <w:semiHidden/>
    <w:unhideWhenUsed/>
    <w:rsid w:val="009B2D9D"/>
  </w:style>
  <w:style w:type="numbering" w:customStyle="1" w:styleId="NoList1221211">
    <w:name w:val="No List1221211"/>
    <w:next w:val="NoList"/>
    <w:uiPriority w:val="99"/>
    <w:semiHidden/>
    <w:unhideWhenUsed/>
    <w:rsid w:val="009B2D9D"/>
  </w:style>
  <w:style w:type="numbering" w:customStyle="1" w:styleId="NoList11221211">
    <w:name w:val="No List11221211"/>
    <w:next w:val="NoList"/>
    <w:uiPriority w:val="99"/>
    <w:semiHidden/>
    <w:unhideWhenUsed/>
    <w:rsid w:val="009B2D9D"/>
  </w:style>
  <w:style w:type="numbering" w:customStyle="1" w:styleId="NoList111211211">
    <w:name w:val="No List111211211"/>
    <w:next w:val="NoList"/>
    <w:uiPriority w:val="99"/>
    <w:semiHidden/>
    <w:unhideWhenUsed/>
    <w:rsid w:val="009B2D9D"/>
  </w:style>
  <w:style w:type="numbering" w:customStyle="1" w:styleId="NoList2121211">
    <w:name w:val="No List2121211"/>
    <w:next w:val="NoList"/>
    <w:uiPriority w:val="99"/>
    <w:semiHidden/>
    <w:unhideWhenUsed/>
    <w:rsid w:val="009B2D9D"/>
  </w:style>
  <w:style w:type="numbering" w:customStyle="1" w:styleId="Style3111211">
    <w:name w:val="Style3111211"/>
    <w:uiPriority w:val="99"/>
    <w:rsid w:val="009B2D9D"/>
  </w:style>
  <w:style w:type="numbering" w:customStyle="1" w:styleId="NoList6211">
    <w:name w:val="No List6211"/>
    <w:next w:val="NoList"/>
    <w:uiPriority w:val="99"/>
    <w:semiHidden/>
    <w:unhideWhenUsed/>
    <w:rsid w:val="009B2D9D"/>
  </w:style>
  <w:style w:type="numbering" w:customStyle="1" w:styleId="Radovan4211">
    <w:name w:val="Radovan4211"/>
    <w:uiPriority w:val="99"/>
    <w:rsid w:val="009B2D9D"/>
  </w:style>
  <w:style w:type="numbering" w:customStyle="1" w:styleId="Style15211">
    <w:name w:val="Style15211"/>
    <w:uiPriority w:val="99"/>
    <w:rsid w:val="009B2D9D"/>
  </w:style>
  <w:style w:type="numbering" w:customStyle="1" w:styleId="Style24211">
    <w:name w:val="Style24211"/>
    <w:uiPriority w:val="99"/>
    <w:rsid w:val="009B2D9D"/>
  </w:style>
  <w:style w:type="numbering" w:customStyle="1" w:styleId="NoList15211">
    <w:name w:val="No List15211"/>
    <w:next w:val="NoList"/>
    <w:uiPriority w:val="99"/>
    <w:semiHidden/>
    <w:unhideWhenUsed/>
    <w:rsid w:val="009B2D9D"/>
  </w:style>
  <w:style w:type="numbering" w:customStyle="1" w:styleId="NoList115211">
    <w:name w:val="No List115211"/>
    <w:next w:val="NoList"/>
    <w:uiPriority w:val="99"/>
    <w:semiHidden/>
    <w:unhideWhenUsed/>
    <w:rsid w:val="009B2D9D"/>
  </w:style>
  <w:style w:type="numbering" w:customStyle="1" w:styleId="NoList1115211">
    <w:name w:val="No List1115211"/>
    <w:next w:val="NoList"/>
    <w:uiPriority w:val="99"/>
    <w:semiHidden/>
    <w:unhideWhenUsed/>
    <w:rsid w:val="009B2D9D"/>
  </w:style>
  <w:style w:type="numbering" w:customStyle="1" w:styleId="Style113211">
    <w:name w:val="Style113211"/>
    <w:uiPriority w:val="99"/>
    <w:rsid w:val="009B2D9D"/>
  </w:style>
  <w:style w:type="numbering" w:customStyle="1" w:styleId="NoList24211">
    <w:name w:val="No List24211"/>
    <w:next w:val="NoList"/>
    <w:uiPriority w:val="99"/>
    <w:semiHidden/>
    <w:unhideWhenUsed/>
    <w:rsid w:val="009B2D9D"/>
  </w:style>
  <w:style w:type="numbering" w:customStyle="1" w:styleId="Style122211">
    <w:name w:val="Style122211"/>
    <w:uiPriority w:val="99"/>
    <w:rsid w:val="009B2D9D"/>
  </w:style>
  <w:style w:type="numbering" w:customStyle="1" w:styleId="Style213211">
    <w:name w:val="Style213211"/>
    <w:uiPriority w:val="99"/>
    <w:rsid w:val="009B2D9D"/>
  </w:style>
  <w:style w:type="numbering" w:customStyle="1" w:styleId="NoList124211">
    <w:name w:val="No List124211"/>
    <w:next w:val="NoList"/>
    <w:uiPriority w:val="99"/>
    <w:semiHidden/>
    <w:unhideWhenUsed/>
    <w:rsid w:val="009B2D9D"/>
  </w:style>
  <w:style w:type="numbering" w:customStyle="1" w:styleId="NoList1124211">
    <w:name w:val="No List1124211"/>
    <w:next w:val="NoList"/>
    <w:uiPriority w:val="99"/>
    <w:semiHidden/>
    <w:unhideWhenUsed/>
    <w:rsid w:val="009B2D9D"/>
  </w:style>
  <w:style w:type="numbering" w:customStyle="1" w:styleId="NoList11114211">
    <w:name w:val="No List11114211"/>
    <w:next w:val="NoList"/>
    <w:uiPriority w:val="99"/>
    <w:semiHidden/>
    <w:unhideWhenUsed/>
    <w:rsid w:val="009B2D9D"/>
  </w:style>
  <w:style w:type="numbering" w:customStyle="1" w:styleId="NoList214211">
    <w:name w:val="No List214211"/>
    <w:next w:val="NoList"/>
    <w:uiPriority w:val="99"/>
    <w:semiHidden/>
    <w:unhideWhenUsed/>
    <w:rsid w:val="009B2D9D"/>
  </w:style>
  <w:style w:type="numbering" w:customStyle="1" w:styleId="NoList111113211">
    <w:name w:val="No List111113211"/>
    <w:next w:val="NoList"/>
    <w:uiPriority w:val="99"/>
    <w:semiHidden/>
    <w:unhideWhenUsed/>
    <w:rsid w:val="009B2D9D"/>
  </w:style>
  <w:style w:type="numbering" w:customStyle="1" w:styleId="NoList33211">
    <w:name w:val="No List33211"/>
    <w:next w:val="NoList"/>
    <w:uiPriority w:val="99"/>
    <w:semiHidden/>
    <w:unhideWhenUsed/>
    <w:rsid w:val="009B2D9D"/>
  </w:style>
  <w:style w:type="numbering" w:customStyle="1" w:styleId="NoList1213211">
    <w:name w:val="No List1213211"/>
    <w:next w:val="NoList"/>
    <w:uiPriority w:val="99"/>
    <w:semiHidden/>
    <w:unhideWhenUsed/>
    <w:rsid w:val="009B2D9D"/>
  </w:style>
  <w:style w:type="numbering" w:customStyle="1" w:styleId="NoList11213211">
    <w:name w:val="No List11213211"/>
    <w:next w:val="NoList"/>
    <w:uiPriority w:val="99"/>
    <w:semiHidden/>
    <w:unhideWhenUsed/>
    <w:rsid w:val="009B2D9D"/>
  </w:style>
  <w:style w:type="numbering" w:customStyle="1" w:styleId="NoList11123211">
    <w:name w:val="No List11123211"/>
    <w:next w:val="NoList"/>
    <w:uiPriority w:val="99"/>
    <w:semiHidden/>
    <w:unhideWhenUsed/>
    <w:rsid w:val="009B2D9D"/>
  </w:style>
  <w:style w:type="numbering" w:customStyle="1" w:styleId="NoList2113211">
    <w:name w:val="No List2113211"/>
    <w:next w:val="NoList"/>
    <w:uiPriority w:val="99"/>
    <w:semiHidden/>
    <w:unhideWhenUsed/>
    <w:rsid w:val="009B2D9D"/>
  </w:style>
  <w:style w:type="numbering" w:customStyle="1" w:styleId="NoList42211">
    <w:name w:val="No List42211"/>
    <w:next w:val="NoList"/>
    <w:uiPriority w:val="99"/>
    <w:semiHidden/>
    <w:unhideWhenUsed/>
    <w:rsid w:val="009B2D9D"/>
  </w:style>
  <w:style w:type="numbering" w:customStyle="1" w:styleId="NoList132211">
    <w:name w:val="No List132211"/>
    <w:next w:val="NoList"/>
    <w:uiPriority w:val="99"/>
    <w:semiHidden/>
    <w:unhideWhenUsed/>
    <w:rsid w:val="009B2D9D"/>
  </w:style>
  <w:style w:type="numbering" w:customStyle="1" w:styleId="NoList1132211">
    <w:name w:val="No List1132211"/>
    <w:next w:val="NoList"/>
    <w:uiPriority w:val="99"/>
    <w:semiHidden/>
    <w:unhideWhenUsed/>
    <w:rsid w:val="009B2D9D"/>
  </w:style>
  <w:style w:type="numbering" w:customStyle="1" w:styleId="NoList11132211">
    <w:name w:val="No List11132211"/>
    <w:next w:val="NoList"/>
    <w:uiPriority w:val="99"/>
    <w:semiHidden/>
    <w:unhideWhenUsed/>
    <w:rsid w:val="009B2D9D"/>
  </w:style>
  <w:style w:type="numbering" w:customStyle="1" w:styleId="NoList222211">
    <w:name w:val="No List222211"/>
    <w:next w:val="NoList"/>
    <w:uiPriority w:val="99"/>
    <w:semiHidden/>
    <w:unhideWhenUsed/>
    <w:rsid w:val="009B2D9D"/>
  </w:style>
  <w:style w:type="numbering" w:customStyle="1" w:styleId="NoList111122211">
    <w:name w:val="No List111122211"/>
    <w:next w:val="NoList"/>
    <w:uiPriority w:val="99"/>
    <w:semiHidden/>
    <w:unhideWhenUsed/>
    <w:rsid w:val="009B2D9D"/>
  </w:style>
  <w:style w:type="numbering" w:customStyle="1" w:styleId="NoList313211">
    <w:name w:val="No List313211"/>
    <w:next w:val="NoList"/>
    <w:uiPriority w:val="99"/>
    <w:semiHidden/>
    <w:unhideWhenUsed/>
    <w:rsid w:val="009B2D9D"/>
  </w:style>
  <w:style w:type="numbering" w:customStyle="1" w:styleId="NoList1222211">
    <w:name w:val="No List1222211"/>
    <w:next w:val="NoList"/>
    <w:uiPriority w:val="99"/>
    <w:semiHidden/>
    <w:unhideWhenUsed/>
    <w:rsid w:val="009B2D9D"/>
  </w:style>
  <w:style w:type="numbering" w:customStyle="1" w:styleId="NoList11222211">
    <w:name w:val="No List11222211"/>
    <w:next w:val="NoList"/>
    <w:uiPriority w:val="99"/>
    <w:semiHidden/>
    <w:unhideWhenUsed/>
    <w:rsid w:val="009B2D9D"/>
  </w:style>
  <w:style w:type="numbering" w:customStyle="1" w:styleId="NoList111212211">
    <w:name w:val="No List111212211"/>
    <w:next w:val="NoList"/>
    <w:uiPriority w:val="99"/>
    <w:semiHidden/>
    <w:unhideWhenUsed/>
    <w:rsid w:val="009B2D9D"/>
  </w:style>
  <w:style w:type="numbering" w:customStyle="1" w:styleId="NoList2122211">
    <w:name w:val="No List2122211"/>
    <w:next w:val="NoList"/>
    <w:uiPriority w:val="99"/>
    <w:semiHidden/>
    <w:unhideWhenUsed/>
    <w:rsid w:val="009B2D9D"/>
  </w:style>
  <w:style w:type="table" w:customStyle="1" w:styleId="LightShading-Accent311211">
    <w:name w:val="Light Shading - Accent 311211"/>
    <w:basedOn w:val="TableNormal"/>
    <w:next w:val="LightShading-Accent3"/>
    <w:uiPriority w:val="60"/>
    <w:rsid w:val="009B2D9D"/>
    <w:pPr>
      <w:spacing w:before="100" w:beforeAutospacing="1" w:after="0" w:afterAutospacing="1" w:line="240" w:lineRule="auto"/>
      <w:jc w:val="both"/>
    </w:pPr>
    <w:rPr>
      <w:rFonts w:ascii="Calibri" w:eastAsia="Calibri" w:hAnsi="Calibri" w:cs="Times New Roman"/>
      <w:color w:val="7B7B7B"/>
      <w:kern w:val="0"/>
      <w:sz w:val="20"/>
      <w:szCs w:val="20"/>
      <w14:ligatures w14:val="none"/>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LightList-Accent211211">
    <w:name w:val="Light List - Accent 211211"/>
    <w:basedOn w:val="TableNormal"/>
    <w:next w:val="LightList-Accent2"/>
    <w:uiPriority w:val="61"/>
    <w:rsid w:val="009B2D9D"/>
    <w:pPr>
      <w:spacing w:before="100" w:beforeAutospacing="1" w:after="0" w:afterAutospacing="1" w:line="240" w:lineRule="auto"/>
      <w:jc w:val="both"/>
    </w:pPr>
    <w:rPr>
      <w:rFonts w:eastAsia="Times New Roman"/>
      <w:kern w:val="0"/>
      <w:lang w:val="sr-Latn-CS" w:eastAsia="sr-Latn-CS"/>
      <w14:ligatures w14:val="none"/>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PlainTable4111211">
    <w:name w:val="Plain Table 4111211"/>
    <w:basedOn w:val="TableNormal"/>
    <w:uiPriority w:val="44"/>
    <w:rsid w:val="009B2D9D"/>
    <w:pPr>
      <w:spacing w:before="100" w:beforeAutospacing="1" w:after="0" w:afterAutospacing="1" w:line="240" w:lineRule="auto"/>
      <w:jc w:val="both"/>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2211">
    <w:name w:val="Plain Table 212211"/>
    <w:basedOn w:val="TableNormal"/>
    <w:uiPriority w:val="42"/>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Light12211">
    <w:name w:val="Table Grid Light12211"/>
    <w:basedOn w:val="TableNormal"/>
    <w:uiPriority w:val="40"/>
    <w:rsid w:val="009B2D9D"/>
    <w:pPr>
      <w:spacing w:before="100" w:beforeAutospacing="1" w:after="0" w:afterAutospacing="1" w:line="240" w:lineRule="auto"/>
      <w:jc w:val="both"/>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23211">
    <w:name w:val="Table Grid Light23211"/>
    <w:basedOn w:val="TableNormal"/>
    <w:uiPriority w:val="40"/>
    <w:rsid w:val="009B2D9D"/>
    <w:pPr>
      <w:spacing w:before="100" w:beforeAutospacing="1" w:after="0" w:afterAutospacing="1" w:line="240" w:lineRule="auto"/>
      <w:jc w:val="both"/>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211211">
    <w:name w:val="Table Grid Light211211"/>
    <w:basedOn w:val="TableNormal"/>
    <w:uiPriority w:val="40"/>
    <w:rsid w:val="009B2D9D"/>
    <w:pPr>
      <w:spacing w:before="100" w:beforeAutospacing="1" w:after="0" w:afterAutospacing="1" w:line="240" w:lineRule="auto"/>
      <w:jc w:val="both"/>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2-Accent1211">
    <w:name w:val="Grid Table 2 - Accent 1211"/>
    <w:basedOn w:val="TableNormal"/>
    <w:next w:val="GridTable2-Accent11"/>
    <w:uiPriority w:val="47"/>
    <w:rsid w:val="009B2D9D"/>
    <w:pPr>
      <w:spacing w:before="100" w:beforeAutospacing="1" w:after="0" w:afterAutospacing="1" w:line="240" w:lineRule="auto"/>
      <w:jc w:val="both"/>
    </w:pPr>
    <w:rPr>
      <w:kern w:val="0"/>
      <w14:ligatures w14:val="none"/>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5211">
    <w:name w:val="Grid Table 4 - Accent 5211"/>
    <w:basedOn w:val="TableNormal"/>
    <w:next w:val="GridTable4-Accent51"/>
    <w:uiPriority w:val="49"/>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3-Accent5211">
    <w:name w:val="Grid Table 3 - Accent 5211"/>
    <w:basedOn w:val="TableNormal"/>
    <w:next w:val="GridTable3-Accent51"/>
    <w:uiPriority w:val="48"/>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ListTable2-Accent5211">
    <w:name w:val="List Table 2 - Accent 5211"/>
    <w:basedOn w:val="TableNormal"/>
    <w:next w:val="ListTable2-Accent51"/>
    <w:uiPriority w:val="47"/>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6Colorful-Accent5311">
    <w:name w:val="Grid Table 6 Colorful - Accent 5311"/>
    <w:basedOn w:val="TableNormal"/>
    <w:next w:val="GridTable6Colorful-Accent52"/>
    <w:uiPriority w:val="51"/>
    <w:rsid w:val="009B2D9D"/>
    <w:pPr>
      <w:spacing w:before="100" w:beforeAutospacing="1" w:after="0" w:afterAutospacing="1" w:line="240" w:lineRule="auto"/>
      <w:jc w:val="both"/>
    </w:pPr>
    <w:rPr>
      <w:color w:val="2F5496"/>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5Dark-Accent5211">
    <w:name w:val="Grid Table 5 Dark - Accent 5211"/>
    <w:basedOn w:val="TableNormal"/>
    <w:next w:val="GridTable5Dark-Accent51"/>
    <w:uiPriority w:val="50"/>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1411">
    <w:name w:val="Grid Table 5 Dark - Accent 1411"/>
    <w:basedOn w:val="TableNormal"/>
    <w:next w:val="GridTable5Dark-Accent13"/>
    <w:uiPriority w:val="50"/>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411">
    <w:name w:val="Table Grid Light411"/>
    <w:basedOn w:val="TableNormal"/>
    <w:next w:val="TableGridLight3"/>
    <w:uiPriority w:val="40"/>
    <w:rsid w:val="009B2D9D"/>
    <w:pPr>
      <w:spacing w:before="100" w:beforeAutospacing="1" w:after="0" w:afterAutospacing="1" w:line="240" w:lineRule="auto"/>
      <w:jc w:val="both"/>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1211">
    <w:name w:val="Plain Table 1211"/>
    <w:basedOn w:val="TableNormal"/>
    <w:next w:val="PlainTable11"/>
    <w:uiPriority w:val="41"/>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2211">
    <w:name w:val="Grid Table 1 Light - Accent 2211"/>
    <w:basedOn w:val="TableNormal"/>
    <w:next w:val="GridTable1Light-Accent21"/>
    <w:uiPriority w:val="46"/>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GridTable5Dark-Accent2211">
    <w:name w:val="Grid Table 5 Dark - Accent 2211"/>
    <w:basedOn w:val="TableNormal"/>
    <w:next w:val="GridTable5Dark-Accent21"/>
    <w:uiPriority w:val="50"/>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GridTable6Colorful-Accent2211">
    <w:name w:val="Grid Table 6 Colorful - Accent 2211"/>
    <w:basedOn w:val="TableNormal"/>
    <w:next w:val="GridTable6Colorful-Accent21"/>
    <w:uiPriority w:val="51"/>
    <w:rsid w:val="009B2D9D"/>
    <w:pPr>
      <w:spacing w:before="100" w:beforeAutospacing="1" w:after="0" w:afterAutospacing="1" w:line="240" w:lineRule="auto"/>
      <w:jc w:val="both"/>
    </w:pPr>
    <w:rPr>
      <w:color w:val="C45911"/>
      <w:kern w:val="0"/>
      <w14:ligatures w14:val="none"/>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6Colorful-Accent4211">
    <w:name w:val="Grid Table 6 Colorful - Accent 4211"/>
    <w:basedOn w:val="TableNormal"/>
    <w:next w:val="GridTable6Colorful-Accent41"/>
    <w:uiPriority w:val="51"/>
    <w:rsid w:val="009B2D9D"/>
    <w:pPr>
      <w:spacing w:before="100" w:beforeAutospacing="1" w:after="0" w:afterAutospacing="1" w:line="240" w:lineRule="auto"/>
      <w:jc w:val="both"/>
    </w:pPr>
    <w:rPr>
      <w:color w:val="BF8F00"/>
      <w:kern w:val="0"/>
      <w14:ligatures w14:val="none"/>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5Dark-Accent2211">
    <w:name w:val="List Table 5 Dark - Accent 2211"/>
    <w:basedOn w:val="TableNormal"/>
    <w:next w:val="ListTable5Dark-Accent21"/>
    <w:uiPriority w:val="50"/>
    <w:rsid w:val="009B2D9D"/>
    <w:pPr>
      <w:spacing w:before="100" w:beforeAutospacing="1" w:after="0" w:afterAutospacing="1" w:line="240" w:lineRule="auto"/>
      <w:jc w:val="both"/>
    </w:pPr>
    <w:rPr>
      <w:color w:val="FFFFFF"/>
      <w:kern w:val="0"/>
      <w14:ligatures w14:val="none"/>
    </w:rPr>
    <w:tblPr>
      <w:tblStyleRowBandSize w:val="1"/>
      <w:tblStyleColBandSize w:val="1"/>
      <w:tblBorders>
        <w:top w:val="single" w:sz="24" w:space="0" w:color="ED7D31"/>
        <w:left w:val="single" w:sz="24" w:space="0" w:color="ED7D31"/>
        <w:bottom w:val="single" w:sz="24" w:space="0" w:color="ED7D31"/>
        <w:right w:val="single" w:sz="24" w:space="0" w:color="ED7D31"/>
      </w:tblBorders>
    </w:tblPr>
    <w:tcPr>
      <w:shd w:val="clear" w:color="auto" w:fill="ED7D31"/>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3-Accent2211">
    <w:name w:val="List Table 3 - Accent 2211"/>
    <w:basedOn w:val="TableNormal"/>
    <w:next w:val="ListTable3-Accent21"/>
    <w:uiPriority w:val="48"/>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ED7D31"/>
        <w:left w:val="single" w:sz="4" w:space="0" w:color="ED7D31"/>
        <w:bottom w:val="single" w:sz="4" w:space="0" w:color="ED7D31"/>
        <w:right w:val="single" w:sz="4" w:space="0" w:color="ED7D31"/>
      </w:tblBorders>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table" w:customStyle="1" w:styleId="ListTable3-Accent4211">
    <w:name w:val="List Table 3 - Accent 4211"/>
    <w:basedOn w:val="TableNormal"/>
    <w:next w:val="ListTable3-Accent41"/>
    <w:uiPriority w:val="48"/>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ListTable6Colorful-Accent4211">
    <w:name w:val="List Table 6 Colorful - Accent 4211"/>
    <w:basedOn w:val="TableNormal"/>
    <w:next w:val="ListTable6Colorful-Accent41"/>
    <w:uiPriority w:val="51"/>
    <w:rsid w:val="009B2D9D"/>
    <w:pPr>
      <w:spacing w:before="100" w:beforeAutospacing="1" w:after="0" w:afterAutospacing="1" w:line="240" w:lineRule="auto"/>
      <w:jc w:val="both"/>
    </w:pPr>
    <w:rPr>
      <w:color w:val="BF8F00"/>
      <w:kern w:val="0"/>
      <w14:ligatures w14:val="none"/>
    </w:rPr>
    <w:tblPr>
      <w:tblStyleRowBandSize w:val="1"/>
      <w:tblStyleColBandSize w:val="1"/>
      <w:tblBorders>
        <w:top w:val="single" w:sz="4" w:space="0" w:color="FFC000"/>
        <w:bottom w:val="single" w:sz="4" w:space="0" w:color="FFC000"/>
      </w:tblBorders>
    </w:tblPr>
    <w:tblStylePr w:type="firstRow">
      <w:rPr>
        <w:b/>
        <w:bCs/>
      </w:rPr>
      <w:tblPr/>
      <w:tcPr>
        <w:tcBorders>
          <w:bottom w:val="single" w:sz="4" w:space="0" w:color="FFC000"/>
        </w:tcBorders>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4-Accent4211">
    <w:name w:val="Grid Table 4 - Accent 4211"/>
    <w:basedOn w:val="TableNormal"/>
    <w:next w:val="GridTable4-Accent41"/>
    <w:uiPriority w:val="49"/>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7Colorful-Accent4211">
    <w:name w:val="List Table 7 Colorful - Accent 4211"/>
    <w:basedOn w:val="TableNormal"/>
    <w:next w:val="ListTable7Colorful-Accent41"/>
    <w:uiPriority w:val="52"/>
    <w:rsid w:val="009B2D9D"/>
    <w:pPr>
      <w:spacing w:before="100" w:beforeAutospacing="1" w:after="0" w:afterAutospacing="1" w:line="240" w:lineRule="auto"/>
      <w:jc w:val="both"/>
    </w:pPr>
    <w:rPr>
      <w:color w:val="BF8F00"/>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FFC000"/>
        </w:tcBorders>
        <w:shd w:val="clear" w:color="auto" w:fill="FFFFFF"/>
      </w:tcPr>
    </w:tblStylePr>
    <w:tblStylePr w:type="lastRow">
      <w:rPr>
        <w:rFonts w:ascii="Calibri Light" w:eastAsia="Times New Roman" w:hAnsi="Calibri Light" w:cs="Times New Roman"/>
        <w:i/>
        <w:iCs/>
        <w:sz w:val="26"/>
      </w:rPr>
      <w:tblPr/>
      <w:tcPr>
        <w:tcBorders>
          <w:top w:val="single" w:sz="4" w:space="0" w:color="FFC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FFC000"/>
        </w:tcBorders>
        <w:shd w:val="clear" w:color="auto" w:fill="FFFFFF"/>
      </w:tcPr>
    </w:tblStylePr>
    <w:tblStylePr w:type="lastCol">
      <w:rPr>
        <w:rFonts w:ascii="Calibri Light" w:eastAsia="Times New Roman" w:hAnsi="Calibri Light" w:cs="Times New Roman"/>
        <w:i/>
        <w:iCs/>
        <w:sz w:val="26"/>
      </w:rPr>
      <w:tblPr/>
      <w:tcPr>
        <w:tcBorders>
          <w:left w:val="single" w:sz="4" w:space="0" w:color="FFC000"/>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5Dark-Accent4211">
    <w:name w:val="List Table 5 Dark - Accent 4211"/>
    <w:basedOn w:val="TableNormal"/>
    <w:next w:val="ListTable5Dark-Accent41"/>
    <w:uiPriority w:val="50"/>
    <w:rsid w:val="009B2D9D"/>
    <w:pPr>
      <w:spacing w:before="100" w:beforeAutospacing="1" w:after="0" w:afterAutospacing="1" w:line="240" w:lineRule="auto"/>
      <w:jc w:val="both"/>
    </w:pPr>
    <w:rPr>
      <w:color w:val="FFFFFF"/>
      <w:kern w:val="0"/>
      <w14:ligatures w14:val="none"/>
    </w:rPr>
    <w:tblPr>
      <w:tblStyleRowBandSize w:val="1"/>
      <w:tblStyleColBandSize w:val="1"/>
      <w:tblBorders>
        <w:top w:val="single" w:sz="24" w:space="0" w:color="FFC000"/>
        <w:left w:val="single" w:sz="24" w:space="0" w:color="FFC000"/>
        <w:bottom w:val="single" w:sz="24" w:space="0" w:color="FFC000"/>
        <w:right w:val="single" w:sz="24" w:space="0" w:color="FFC000"/>
      </w:tblBorders>
    </w:tblPr>
    <w:tcPr>
      <w:shd w:val="clear" w:color="auto" w:fill="FFC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GridTable2-Accent4211">
    <w:name w:val="Grid Table 2 - Accent 4211"/>
    <w:basedOn w:val="TableNormal"/>
    <w:next w:val="GridTable2-Accent41"/>
    <w:uiPriority w:val="47"/>
    <w:rsid w:val="009B2D9D"/>
    <w:pPr>
      <w:spacing w:before="100" w:beforeAutospacing="1" w:after="0" w:afterAutospacing="1" w:line="240" w:lineRule="auto"/>
      <w:jc w:val="both"/>
    </w:pPr>
    <w:rPr>
      <w:kern w:val="0"/>
      <w14:ligatures w14:val="none"/>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7Colorful-Accent2211">
    <w:name w:val="Grid Table 7 Colorful - Accent 2211"/>
    <w:basedOn w:val="TableNormal"/>
    <w:next w:val="GridTable7Colorful-Accent21"/>
    <w:uiPriority w:val="52"/>
    <w:rsid w:val="009B2D9D"/>
    <w:pPr>
      <w:spacing w:before="100" w:beforeAutospacing="1" w:after="0" w:afterAutospacing="1" w:line="240" w:lineRule="auto"/>
      <w:jc w:val="both"/>
    </w:pPr>
    <w:rPr>
      <w:color w:val="C45911"/>
      <w:kern w:val="0"/>
      <w14:ligatures w14:val="none"/>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ListTable2-Accent4211">
    <w:name w:val="List Table 2 - Accent 4211"/>
    <w:basedOn w:val="TableNormal"/>
    <w:next w:val="ListTable2-Accent41"/>
    <w:uiPriority w:val="47"/>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FFD966"/>
        <w:bottom w:val="single" w:sz="4" w:space="0" w:color="FFD966"/>
        <w:insideH w:val="single" w:sz="4" w:space="0" w:color="FFD9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1Light-Accent4211">
    <w:name w:val="Grid Table 1 Light - Accent 4211"/>
    <w:basedOn w:val="TableNormal"/>
    <w:next w:val="GridTable1Light-Accent41"/>
    <w:uiPriority w:val="46"/>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ListTable2-Accent3211">
    <w:name w:val="List Table 2 - Accent 3211"/>
    <w:basedOn w:val="TableNormal"/>
    <w:next w:val="ListTable2-Accent31"/>
    <w:uiPriority w:val="47"/>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2-Accent2211">
    <w:name w:val="List Table 2 - Accent 2211"/>
    <w:basedOn w:val="TableNormal"/>
    <w:next w:val="ListTable2-Accent21"/>
    <w:uiPriority w:val="47"/>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F4B083"/>
        <w:bottom w:val="single" w:sz="4" w:space="0" w:color="F4B083"/>
        <w:insideH w:val="single" w:sz="4" w:space="0" w:color="F4B08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2-Accent1211">
    <w:name w:val="List Table 2 - Accent 1211"/>
    <w:basedOn w:val="TableNormal"/>
    <w:next w:val="ListTable2-Accent11"/>
    <w:uiPriority w:val="47"/>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1Light-Accent4211">
    <w:name w:val="List Table 1 Light - Accent 4211"/>
    <w:basedOn w:val="TableNormal"/>
    <w:next w:val="ListTable1Light-Accent41"/>
    <w:uiPriority w:val="46"/>
    <w:rsid w:val="009B2D9D"/>
    <w:pPr>
      <w:spacing w:before="100" w:beforeAutospacing="1" w:after="0" w:afterAutospacing="1" w:line="240" w:lineRule="auto"/>
      <w:jc w:val="both"/>
    </w:pPr>
    <w:rPr>
      <w:kern w:val="0"/>
      <w14:ligatures w14:val="none"/>
    </w:rPr>
    <w:tblPr>
      <w:tblStyleRowBandSize w:val="1"/>
      <w:tblStyleColBandSize w:val="1"/>
    </w:tblPr>
    <w:tblStylePr w:type="firstRow">
      <w:rPr>
        <w:b/>
        <w:bCs/>
      </w:rPr>
      <w:tblPr/>
      <w:tcPr>
        <w:tcBorders>
          <w:bottom w:val="single" w:sz="4" w:space="0" w:color="FFD966"/>
        </w:tcBorders>
      </w:tcPr>
    </w:tblStylePr>
    <w:tblStylePr w:type="lastRow">
      <w:rPr>
        <w:b/>
        <w:bCs/>
      </w:rPr>
      <w:tblPr/>
      <w:tcPr>
        <w:tcBorders>
          <w:top w:val="sing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TableGrid2411">
    <w:name w:val="Table Grid2411"/>
    <w:basedOn w:val="TableNormal"/>
    <w:next w:val="TableGrid"/>
    <w:uiPriority w:val="39"/>
    <w:rsid w:val="009B2D9D"/>
    <w:pPr>
      <w:spacing w:before="100" w:beforeAutospacing="1" w:after="0" w:afterAutospacing="1" w:line="240" w:lineRule="auto"/>
      <w:jc w:val="both"/>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Grid11"/>
    <w:rsid w:val="009B2D9D"/>
    <w:pPr>
      <w:spacing w:before="100" w:beforeAutospacing="1" w:after="0" w:afterAutospacing="1" w:line="240" w:lineRule="auto"/>
      <w:jc w:val="both"/>
    </w:pPr>
    <w:rPr>
      <w:rFonts w:eastAsia="Times New Roman"/>
      <w:kern w:val="0"/>
      <w:lang w:val="sr-Latn-ME" w:eastAsia="sr-Latn-ME"/>
      <w14:ligatures w14:val="none"/>
    </w:rPr>
    <w:tblPr>
      <w:tblCellMar>
        <w:top w:w="0" w:type="dxa"/>
        <w:left w:w="0" w:type="dxa"/>
        <w:bottom w:w="0" w:type="dxa"/>
        <w:right w:w="0" w:type="dxa"/>
      </w:tblCellMar>
    </w:tblPr>
  </w:style>
  <w:style w:type="table" w:customStyle="1" w:styleId="GridTable2-Accent14">
    <w:name w:val="Grid Table 2 - Accent 14"/>
    <w:basedOn w:val="TableNormal"/>
    <w:next w:val="GridTable2-Accent1"/>
    <w:uiPriority w:val="47"/>
    <w:rsid w:val="009B2D9D"/>
    <w:pPr>
      <w:spacing w:before="100" w:beforeAutospacing="1" w:after="0" w:afterAutospacing="1" w:line="240" w:lineRule="auto"/>
      <w:jc w:val="both"/>
    </w:pPr>
    <w:rPr>
      <w:kern w:val="0"/>
      <w14:ligatures w14:val="none"/>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54">
    <w:name w:val="Grid Table 4 - Accent 54"/>
    <w:basedOn w:val="TableNormal"/>
    <w:next w:val="GridTable4-Accent5"/>
    <w:uiPriority w:val="49"/>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3-Accent54">
    <w:name w:val="Grid Table 3 - Accent 54"/>
    <w:basedOn w:val="TableNormal"/>
    <w:next w:val="GridTable3-Accent5"/>
    <w:uiPriority w:val="48"/>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ListTable2-Accent54">
    <w:name w:val="List Table 2 - Accent 54"/>
    <w:basedOn w:val="TableNormal"/>
    <w:next w:val="ListTable2-Accent5"/>
    <w:uiPriority w:val="47"/>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6Colorful-Accent55">
    <w:name w:val="Grid Table 6 Colorful - Accent 55"/>
    <w:basedOn w:val="TableNormal"/>
    <w:next w:val="GridTable6Colorful-Accent5"/>
    <w:uiPriority w:val="51"/>
    <w:rsid w:val="009B2D9D"/>
    <w:pPr>
      <w:spacing w:before="100" w:beforeAutospacing="1" w:after="0" w:afterAutospacing="1" w:line="240" w:lineRule="auto"/>
      <w:jc w:val="both"/>
    </w:pPr>
    <w:rPr>
      <w:color w:val="2F5496"/>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5Dark-Accent54">
    <w:name w:val="Grid Table 5 Dark - Accent 54"/>
    <w:basedOn w:val="TableNormal"/>
    <w:next w:val="GridTable5Dark-Accent5"/>
    <w:uiPriority w:val="50"/>
    <w:locked/>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TableGridLight6">
    <w:name w:val="Table Grid Light6"/>
    <w:basedOn w:val="TableNormal"/>
    <w:next w:val="TableGridLight"/>
    <w:uiPriority w:val="40"/>
    <w:rsid w:val="009B2D9D"/>
    <w:pPr>
      <w:spacing w:before="100" w:beforeAutospacing="1" w:after="0" w:afterAutospacing="1" w:line="240" w:lineRule="auto"/>
      <w:jc w:val="both"/>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14">
    <w:name w:val="Plain Table 14"/>
    <w:basedOn w:val="TableNormal"/>
    <w:next w:val="PlainTable1"/>
    <w:uiPriority w:val="41"/>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24">
    <w:name w:val="Grid Table 1 Light - Accent 24"/>
    <w:basedOn w:val="TableNormal"/>
    <w:next w:val="GridTable1Light-Accent2"/>
    <w:uiPriority w:val="46"/>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GridTable5Dark-Accent24">
    <w:name w:val="Grid Table 5 Dark - Accent 24"/>
    <w:basedOn w:val="TableNormal"/>
    <w:next w:val="GridTable5Dark-Accent2"/>
    <w:uiPriority w:val="50"/>
    <w:locked/>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GridTable6Colorful-Accent24">
    <w:name w:val="Grid Table 6 Colorful - Accent 24"/>
    <w:basedOn w:val="TableNormal"/>
    <w:next w:val="GridTable6Colorful-Accent2"/>
    <w:uiPriority w:val="51"/>
    <w:rsid w:val="009B2D9D"/>
    <w:pPr>
      <w:spacing w:before="100" w:beforeAutospacing="1" w:after="0" w:afterAutospacing="1" w:line="240" w:lineRule="auto"/>
      <w:jc w:val="both"/>
    </w:pPr>
    <w:rPr>
      <w:color w:val="C45911"/>
      <w:kern w:val="0"/>
      <w14:ligatures w14:val="none"/>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6Colorful-Accent44">
    <w:name w:val="Grid Table 6 Colorful - Accent 44"/>
    <w:basedOn w:val="TableNormal"/>
    <w:next w:val="GridTable6Colorful-Accent4"/>
    <w:uiPriority w:val="51"/>
    <w:rsid w:val="009B2D9D"/>
    <w:pPr>
      <w:spacing w:before="100" w:beforeAutospacing="1" w:after="0" w:afterAutospacing="1" w:line="240" w:lineRule="auto"/>
      <w:jc w:val="both"/>
    </w:pPr>
    <w:rPr>
      <w:color w:val="BF8F00"/>
      <w:kern w:val="0"/>
      <w14:ligatures w14:val="none"/>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5Dark-Accent24">
    <w:name w:val="List Table 5 Dark - Accent 24"/>
    <w:basedOn w:val="TableNormal"/>
    <w:next w:val="ListTable5Dark-Accent2"/>
    <w:uiPriority w:val="50"/>
    <w:rsid w:val="009B2D9D"/>
    <w:pPr>
      <w:spacing w:before="100" w:beforeAutospacing="1" w:after="0" w:afterAutospacing="1" w:line="240" w:lineRule="auto"/>
      <w:jc w:val="both"/>
    </w:pPr>
    <w:rPr>
      <w:color w:val="FFFFFF"/>
      <w:kern w:val="0"/>
      <w14:ligatures w14:val="none"/>
    </w:rPr>
    <w:tblPr>
      <w:tblStyleRowBandSize w:val="1"/>
      <w:tblStyleColBandSize w:val="1"/>
      <w:tblBorders>
        <w:top w:val="single" w:sz="24" w:space="0" w:color="ED7D31"/>
        <w:left w:val="single" w:sz="24" w:space="0" w:color="ED7D31"/>
        <w:bottom w:val="single" w:sz="24" w:space="0" w:color="ED7D31"/>
        <w:right w:val="single" w:sz="24" w:space="0" w:color="ED7D31"/>
      </w:tblBorders>
    </w:tblPr>
    <w:tcPr>
      <w:shd w:val="clear" w:color="auto" w:fill="ED7D31"/>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3-Accent24">
    <w:name w:val="List Table 3 - Accent 24"/>
    <w:basedOn w:val="TableNormal"/>
    <w:next w:val="ListTable3-Accent2"/>
    <w:uiPriority w:val="48"/>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ED7D31"/>
        <w:left w:val="single" w:sz="4" w:space="0" w:color="ED7D31"/>
        <w:bottom w:val="single" w:sz="4" w:space="0" w:color="ED7D31"/>
        <w:right w:val="single" w:sz="4" w:space="0" w:color="ED7D31"/>
      </w:tblBorders>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table" w:customStyle="1" w:styleId="ListTable3-Accent44">
    <w:name w:val="List Table 3 - Accent 44"/>
    <w:basedOn w:val="TableNormal"/>
    <w:next w:val="ListTable3-Accent4"/>
    <w:uiPriority w:val="48"/>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ListTable6Colorful-Accent44">
    <w:name w:val="List Table 6 Colorful - Accent 44"/>
    <w:basedOn w:val="TableNormal"/>
    <w:next w:val="ListTable6Colorful-Accent4"/>
    <w:uiPriority w:val="51"/>
    <w:rsid w:val="009B2D9D"/>
    <w:pPr>
      <w:spacing w:before="100" w:beforeAutospacing="1" w:after="0" w:afterAutospacing="1" w:line="240" w:lineRule="auto"/>
      <w:jc w:val="both"/>
    </w:pPr>
    <w:rPr>
      <w:color w:val="BF8F00"/>
      <w:kern w:val="0"/>
      <w14:ligatures w14:val="none"/>
    </w:rPr>
    <w:tblPr>
      <w:tblStyleRowBandSize w:val="1"/>
      <w:tblStyleColBandSize w:val="1"/>
      <w:tblBorders>
        <w:top w:val="single" w:sz="4" w:space="0" w:color="FFC000"/>
        <w:bottom w:val="single" w:sz="4" w:space="0" w:color="FFC000"/>
      </w:tblBorders>
    </w:tblPr>
    <w:tblStylePr w:type="firstRow">
      <w:rPr>
        <w:b/>
        <w:bCs/>
      </w:rPr>
      <w:tblPr/>
      <w:tcPr>
        <w:tcBorders>
          <w:bottom w:val="single" w:sz="4" w:space="0" w:color="FFC000"/>
        </w:tcBorders>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7Colorful-Accent44">
    <w:name w:val="List Table 7 Colorful - Accent 44"/>
    <w:basedOn w:val="TableNormal"/>
    <w:next w:val="ListTable7Colorful-Accent4"/>
    <w:uiPriority w:val="52"/>
    <w:rsid w:val="009B2D9D"/>
    <w:pPr>
      <w:spacing w:before="100" w:beforeAutospacing="1" w:after="0" w:afterAutospacing="1" w:line="240" w:lineRule="auto"/>
      <w:jc w:val="both"/>
    </w:pPr>
    <w:rPr>
      <w:color w:val="BF8F00"/>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FFC000"/>
        </w:tcBorders>
        <w:shd w:val="clear" w:color="auto" w:fill="FFFFFF"/>
      </w:tcPr>
    </w:tblStylePr>
    <w:tblStylePr w:type="lastRow">
      <w:rPr>
        <w:rFonts w:ascii="Calibri Light" w:eastAsia="Times New Roman" w:hAnsi="Calibri Light" w:cs="Times New Roman"/>
        <w:i/>
        <w:iCs/>
        <w:sz w:val="26"/>
      </w:rPr>
      <w:tblPr/>
      <w:tcPr>
        <w:tcBorders>
          <w:top w:val="single" w:sz="4" w:space="0" w:color="FFC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FFC000"/>
        </w:tcBorders>
        <w:shd w:val="clear" w:color="auto" w:fill="FFFFFF"/>
      </w:tcPr>
    </w:tblStylePr>
    <w:tblStylePr w:type="lastCol">
      <w:rPr>
        <w:rFonts w:ascii="Calibri Light" w:eastAsia="Times New Roman" w:hAnsi="Calibri Light" w:cs="Times New Roman"/>
        <w:i/>
        <w:iCs/>
        <w:sz w:val="26"/>
      </w:rPr>
      <w:tblPr/>
      <w:tcPr>
        <w:tcBorders>
          <w:left w:val="single" w:sz="4" w:space="0" w:color="FFC000"/>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5Dark-Accent44">
    <w:name w:val="List Table 5 Dark - Accent 44"/>
    <w:basedOn w:val="TableNormal"/>
    <w:next w:val="ListTable5Dark-Accent4"/>
    <w:uiPriority w:val="50"/>
    <w:rsid w:val="009B2D9D"/>
    <w:pPr>
      <w:spacing w:before="100" w:beforeAutospacing="1" w:after="0" w:afterAutospacing="1" w:line="240" w:lineRule="auto"/>
      <w:jc w:val="both"/>
    </w:pPr>
    <w:rPr>
      <w:color w:val="FFFFFF"/>
      <w:kern w:val="0"/>
      <w14:ligatures w14:val="none"/>
    </w:rPr>
    <w:tblPr>
      <w:tblStyleRowBandSize w:val="1"/>
      <w:tblStyleColBandSize w:val="1"/>
      <w:tblBorders>
        <w:top w:val="single" w:sz="24" w:space="0" w:color="FFC000"/>
        <w:left w:val="single" w:sz="24" w:space="0" w:color="FFC000"/>
        <w:bottom w:val="single" w:sz="24" w:space="0" w:color="FFC000"/>
        <w:right w:val="single" w:sz="24" w:space="0" w:color="FFC000"/>
      </w:tblBorders>
    </w:tblPr>
    <w:tcPr>
      <w:shd w:val="clear" w:color="auto" w:fill="FFC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GridTable2-Accent44">
    <w:name w:val="Grid Table 2 - Accent 44"/>
    <w:basedOn w:val="TableNormal"/>
    <w:next w:val="GridTable2-Accent4"/>
    <w:uiPriority w:val="47"/>
    <w:rsid w:val="009B2D9D"/>
    <w:pPr>
      <w:spacing w:before="100" w:beforeAutospacing="1" w:after="0" w:afterAutospacing="1" w:line="240" w:lineRule="auto"/>
      <w:jc w:val="both"/>
    </w:pPr>
    <w:rPr>
      <w:kern w:val="0"/>
      <w14:ligatures w14:val="none"/>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7Colorful-Accent24">
    <w:name w:val="Grid Table 7 Colorful - Accent 24"/>
    <w:basedOn w:val="TableNormal"/>
    <w:next w:val="GridTable7Colorful-Accent2"/>
    <w:uiPriority w:val="52"/>
    <w:rsid w:val="009B2D9D"/>
    <w:pPr>
      <w:spacing w:before="100" w:beforeAutospacing="1" w:after="0" w:afterAutospacing="1" w:line="240" w:lineRule="auto"/>
      <w:jc w:val="both"/>
    </w:pPr>
    <w:rPr>
      <w:color w:val="C45911"/>
      <w:kern w:val="0"/>
      <w14:ligatures w14:val="none"/>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ListTable2-Accent44">
    <w:name w:val="List Table 2 - Accent 44"/>
    <w:basedOn w:val="TableNormal"/>
    <w:next w:val="ListTable2-Accent4"/>
    <w:uiPriority w:val="47"/>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FFD966"/>
        <w:bottom w:val="single" w:sz="4" w:space="0" w:color="FFD966"/>
        <w:insideH w:val="single" w:sz="4" w:space="0" w:color="FFD9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1Light-Accent44">
    <w:name w:val="Grid Table 1 Light - Accent 44"/>
    <w:basedOn w:val="TableNormal"/>
    <w:next w:val="GridTable1Light-Accent4"/>
    <w:uiPriority w:val="46"/>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ListTable2-Accent34">
    <w:name w:val="List Table 2 - Accent 34"/>
    <w:basedOn w:val="TableNormal"/>
    <w:next w:val="ListTable2-Accent3"/>
    <w:uiPriority w:val="47"/>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2-Accent24">
    <w:name w:val="List Table 2 - Accent 24"/>
    <w:basedOn w:val="TableNormal"/>
    <w:next w:val="ListTable2-Accent2"/>
    <w:uiPriority w:val="47"/>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F4B083"/>
        <w:bottom w:val="single" w:sz="4" w:space="0" w:color="F4B083"/>
        <w:insideH w:val="single" w:sz="4" w:space="0" w:color="F4B08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2-Accent14">
    <w:name w:val="List Table 2 - Accent 14"/>
    <w:basedOn w:val="TableNormal"/>
    <w:next w:val="ListTable2-Accent1"/>
    <w:uiPriority w:val="47"/>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1Light-Accent44">
    <w:name w:val="List Table 1 Light - Accent 44"/>
    <w:basedOn w:val="TableNormal"/>
    <w:next w:val="ListTable1Light-Accent4"/>
    <w:uiPriority w:val="46"/>
    <w:rsid w:val="009B2D9D"/>
    <w:pPr>
      <w:spacing w:before="100" w:beforeAutospacing="1" w:after="0" w:afterAutospacing="1" w:line="240" w:lineRule="auto"/>
      <w:jc w:val="both"/>
    </w:pPr>
    <w:rPr>
      <w:kern w:val="0"/>
      <w14:ligatures w14:val="none"/>
    </w:rPr>
    <w:tblPr>
      <w:tblStyleRowBandSize w:val="1"/>
      <w:tblStyleColBandSize w:val="1"/>
    </w:tblPr>
    <w:tblStylePr w:type="firstRow">
      <w:rPr>
        <w:b/>
        <w:bCs/>
      </w:rPr>
      <w:tblPr/>
      <w:tcPr>
        <w:tcBorders>
          <w:bottom w:val="single" w:sz="4" w:space="0" w:color="FFD966"/>
        </w:tcBorders>
      </w:tcPr>
    </w:tblStylePr>
    <w:tblStylePr w:type="lastRow">
      <w:rPr>
        <w:b/>
        <w:bCs/>
      </w:rPr>
      <w:tblPr/>
      <w:tcPr>
        <w:tcBorders>
          <w:top w:val="sing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1Light2">
    <w:name w:val="Grid Table 1 Light2"/>
    <w:basedOn w:val="TableNormal"/>
    <w:next w:val="GridTable1Light"/>
    <w:uiPriority w:val="46"/>
    <w:rsid w:val="009B2D9D"/>
    <w:pPr>
      <w:spacing w:before="100" w:beforeAutospacing="1" w:after="0" w:afterAutospacing="1" w:line="240" w:lineRule="auto"/>
      <w:jc w:val="both"/>
    </w:pPr>
    <w:rPr>
      <w:kern w:val="0"/>
      <w:lang w:val="en-GB"/>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stTable3-Accent6111">
    <w:name w:val="List Table 3 - Accent 6111"/>
    <w:basedOn w:val="TableNormal"/>
    <w:next w:val="ListTable3-Accent6"/>
    <w:uiPriority w:val="48"/>
    <w:rsid w:val="009B2D9D"/>
    <w:pPr>
      <w:spacing w:before="100" w:beforeAutospacing="1" w:after="0" w:afterAutospacing="1" w:line="240" w:lineRule="auto"/>
      <w:jc w:val="both"/>
    </w:pPr>
    <w:rPr>
      <w:kern w:val="0"/>
      <w:lang w:val="sr-Latn-CS"/>
      <w14:ligatures w14:val="none"/>
    </w:rPr>
    <w:tblPr>
      <w:tblStyleRowBandSize w:val="1"/>
      <w:tblStyleColBandSize w:val="1"/>
      <w:tblBorders>
        <w:top w:val="single" w:sz="4" w:space="0" w:color="F79646"/>
        <w:left w:val="single" w:sz="4" w:space="0" w:color="F79646"/>
        <w:bottom w:val="single" w:sz="4" w:space="0" w:color="F79646"/>
        <w:right w:val="single" w:sz="4" w:space="0" w:color="F79646"/>
      </w:tblBorders>
    </w:tblPr>
    <w:tblStylePr w:type="firstRow">
      <w:rPr>
        <w:b/>
        <w:bCs/>
        <w:color w:val="FFFFFF"/>
      </w:rPr>
      <w:tblPr/>
      <w:tcPr>
        <w:shd w:val="clear" w:color="auto" w:fill="F79646"/>
      </w:tcPr>
    </w:tblStylePr>
    <w:tblStylePr w:type="lastRow">
      <w:rPr>
        <w:b/>
        <w:bCs/>
      </w:rPr>
      <w:tblPr/>
      <w:tcPr>
        <w:tcBorders>
          <w:top w:val="double" w:sz="4" w:space="0" w:color="F7964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79646"/>
          <w:right w:val="single" w:sz="4" w:space="0" w:color="F79646"/>
        </w:tcBorders>
      </w:tcPr>
    </w:tblStylePr>
    <w:tblStylePr w:type="band1Horz">
      <w:tblPr/>
      <w:tcPr>
        <w:tcBorders>
          <w:top w:val="single" w:sz="4" w:space="0" w:color="F79646"/>
          <w:bottom w:val="single" w:sz="4" w:space="0" w:color="F7964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left w:val="nil"/>
        </w:tcBorders>
      </w:tcPr>
    </w:tblStylePr>
    <w:tblStylePr w:type="swCell">
      <w:tblPr/>
      <w:tcPr>
        <w:tcBorders>
          <w:top w:val="double" w:sz="4" w:space="0" w:color="F79646"/>
          <w:right w:val="nil"/>
        </w:tcBorders>
      </w:tcPr>
    </w:tblStylePr>
  </w:style>
  <w:style w:type="table" w:customStyle="1" w:styleId="ListTable3-Accent63">
    <w:name w:val="List Table 3 - Accent 63"/>
    <w:basedOn w:val="TableNormal"/>
    <w:next w:val="ListTable3-Accent6"/>
    <w:uiPriority w:val="48"/>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ListTable4-Accent1111">
    <w:name w:val="List Table 4 - Accent 1111"/>
    <w:basedOn w:val="TableNormal"/>
    <w:uiPriority w:val="49"/>
    <w:rsid w:val="009B2D9D"/>
    <w:pPr>
      <w:spacing w:before="100" w:beforeAutospacing="1" w:after="0" w:afterAutospacing="1" w:line="240" w:lineRule="auto"/>
      <w:jc w:val="both"/>
    </w:pPr>
    <w:rPr>
      <w:kern w:val="0"/>
      <w:lang w:val="en-GB"/>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2-Accent52">
    <w:name w:val="Grid Table 2 - Accent 52"/>
    <w:basedOn w:val="TableNormal"/>
    <w:next w:val="GridTable2-Accent5"/>
    <w:uiPriority w:val="47"/>
    <w:rsid w:val="009B2D9D"/>
    <w:pPr>
      <w:spacing w:before="100" w:beforeAutospacing="1" w:after="0" w:afterAutospacing="1" w:line="240" w:lineRule="auto"/>
      <w:jc w:val="both"/>
    </w:pPr>
    <w:rPr>
      <w:kern w:val="0"/>
      <w14:ligatures w14:val="none"/>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1Light-Accent52">
    <w:name w:val="List Table 1 Light - Accent 52"/>
    <w:basedOn w:val="TableNormal"/>
    <w:next w:val="ListTable1Light-Accent5"/>
    <w:uiPriority w:val="46"/>
    <w:rsid w:val="009B2D9D"/>
    <w:pPr>
      <w:spacing w:before="100" w:beforeAutospacing="1" w:after="0" w:afterAutospacing="1" w:line="240" w:lineRule="auto"/>
      <w:jc w:val="both"/>
    </w:pPr>
    <w:rPr>
      <w:kern w:val="0"/>
      <w14:ligatures w14:val="none"/>
    </w:rPr>
    <w:tblPr>
      <w:tblStyleRowBandSize w:val="1"/>
      <w:tblStyleColBandSize w:val="1"/>
    </w:tblPr>
    <w:tblStylePr w:type="firstRow">
      <w:rPr>
        <w:b/>
        <w:bCs/>
      </w:rPr>
      <w:tblPr/>
      <w:tcPr>
        <w:tcBorders>
          <w:bottom w:val="single" w:sz="4"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4-Accent51">
    <w:name w:val="List Table 4 - Accent 51"/>
    <w:basedOn w:val="TableNormal"/>
    <w:next w:val="ListTable4-Accent5"/>
    <w:uiPriority w:val="49"/>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3-Accent51">
    <w:name w:val="List Table 3 - Accent 51"/>
    <w:basedOn w:val="TableNormal"/>
    <w:next w:val="ListTable3-Accent5"/>
    <w:uiPriority w:val="48"/>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ListTable3-Accent11">
    <w:name w:val="List Table 3 - Accent 11"/>
    <w:basedOn w:val="TableNormal"/>
    <w:next w:val="ListTable3-Accent1"/>
    <w:uiPriority w:val="48"/>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ListTable2-Accent51121">
    <w:name w:val="List Table 2 - Accent 51121"/>
    <w:basedOn w:val="TableNormal"/>
    <w:next w:val="TableNormal"/>
    <w:uiPriority w:val="47"/>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ghtList-Accent111">
    <w:name w:val="Light List - Accent 111"/>
    <w:basedOn w:val="TableNormal"/>
    <w:uiPriority w:val="61"/>
    <w:rsid w:val="009B2D9D"/>
    <w:pPr>
      <w:spacing w:before="100" w:beforeAutospacing="1" w:after="0" w:afterAutospacing="1" w:line="240" w:lineRule="auto"/>
      <w:jc w:val="both"/>
    </w:pPr>
    <w:rPr>
      <w:kern w:val="0"/>
      <w14:ligatures w14:val="none"/>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MediumGrid3-Accent51">
    <w:name w:val="Medium Grid 3 - Accent 51"/>
    <w:basedOn w:val="TableNormal"/>
    <w:next w:val="MediumGrid3-Accent5"/>
    <w:uiPriority w:val="69"/>
    <w:locked/>
    <w:rsid w:val="009B2D9D"/>
    <w:pPr>
      <w:spacing w:before="100" w:beforeAutospacing="1" w:after="0" w:afterAutospacing="1" w:line="240" w:lineRule="auto"/>
      <w:jc w:val="both"/>
    </w:pPr>
    <w:rPr>
      <w:kern w:val="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GridTable6Colorful-Accent11">
    <w:name w:val="Grid Table 6 Colorful - Accent 11"/>
    <w:basedOn w:val="TableNormal"/>
    <w:next w:val="GridTable6Colorful-Accent1"/>
    <w:uiPriority w:val="51"/>
    <w:rsid w:val="009B2D9D"/>
    <w:pPr>
      <w:spacing w:before="100" w:beforeAutospacing="1" w:after="0" w:afterAutospacing="1" w:line="240" w:lineRule="auto"/>
      <w:jc w:val="both"/>
    </w:pPr>
    <w:rPr>
      <w:color w:val="2E74B5"/>
      <w:kern w:val="0"/>
      <w:lang w:val="en-GB"/>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NoList101">
    <w:name w:val="No List101"/>
    <w:next w:val="NoList"/>
    <w:uiPriority w:val="99"/>
    <w:semiHidden/>
    <w:unhideWhenUsed/>
    <w:rsid w:val="009B2D9D"/>
  </w:style>
  <w:style w:type="numbering" w:customStyle="1" w:styleId="Radovan91">
    <w:name w:val="Radovan91"/>
    <w:uiPriority w:val="99"/>
    <w:rsid w:val="009B2D9D"/>
  </w:style>
  <w:style w:type="numbering" w:customStyle="1" w:styleId="Style161">
    <w:name w:val="Style161"/>
    <w:uiPriority w:val="99"/>
    <w:rsid w:val="009B2D9D"/>
  </w:style>
  <w:style w:type="numbering" w:customStyle="1" w:styleId="Style251">
    <w:name w:val="Style251"/>
    <w:uiPriority w:val="99"/>
    <w:rsid w:val="009B2D9D"/>
  </w:style>
  <w:style w:type="numbering" w:customStyle="1" w:styleId="NoList191">
    <w:name w:val="No List191"/>
    <w:next w:val="NoList"/>
    <w:uiPriority w:val="99"/>
    <w:semiHidden/>
    <w:unhideWhenUsed/>
    <w:rsid w:val="009B2D9D"/>
  </w:style>
  <w:style w:type="numbering" w:customStyle="1" w:styleId="NoList1191">
    <w:name w:val="No List1191"/>
    <w:next w:val="NoList"/>
    <w:uiPriority w:val="99"/>
    <w:semiHidden/>
    <w:unhideWhenUsed/>
    <w:rsid w:val="009B2D9D"/>
  </w:style>
  <w:style w:type="numbering" w:customStyle="1" w:styleId="NoList11191">
    <w:name w:val="No List11191"/>
    <w:next w:val="NoList"/>
    <w:uiPriority w:val="99"/>
    <w:semiHidden/>
    <w:unhideWhenUsed/>
    <w:rsid w:val="009B2D9D"/>
  </w:style>
  <w:style w:type="numbering" w:customStyle="1" w:styleId="Style1171">
    <w:name w:val="Style1171"/>
    <w:uiPriority w:val="99"/>
    <w:rsid w:val="009B2D9D"/>
  </w:style>
  <w:style w:type="table" w:customStyle="1" w:styleId="LightShading-Accent11321">
    <w:name w:val="Light Shading - Accent 11321"/>
    <w:basedOn w:val="TableNormal"/>
    <w:uiPriority w:val="60"/>
    <w:rsid w:val="009B2D9D"/>
    <w:pPr>
      <w:spacing w:before="100" w:beforeAutospacing="1" w:after="0" w:afterAutospacing="1" w:line="240" w:lineRule="auto"/>
      <w:jc w:val="both"/>
    </w:pPr>
    <w:rPr>
      <w:color w:val="2E74B5"/>
      <w:kern w:val="0"/>
      <w:lang w:val="en-GB"/>
      <w14:ligatures w14:val="none"/>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GridTable1Light-Accent511">
    <w:name w:val="Grid Table 1 Light - Accent 511"/>
    <w:basedOn w:val="TableNormal"/>
    <w:next w:val="GridTable1Light-Accent5"/>
    <w:uiPriority w:val="46"/>
    <w:rsid w:val="009B2D9D"/>
    <w:pPr>
      <w:spacing w:before="100" w:beforeAutospacing="1" w:after="0" w:afterAutospacing="1" w:line="240" w:lineRule="auto"/>
      <w:jc w:val="both"/>
    </w:pPr>
    <w:rPr>
      <w:kern w:val="0"/>
      <w:lang w:val="en-GB"/>
      <w14:ligatures w14:val="none"/>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1Light-Accent111111">
    <w:name w:val="Grid Table 1 Light - Accent 111111"/>
    <w:basedOn w:val="TableNormal"/>
    <w:uiPriority w:val="46"/>
    <w:rsid w:val="009B2D9D"/>
    <w:pPr>
      <w:spacing w:before="100" w:beforeAutospacing="1" w:after="0" w:afterAutospacing="1" w:line="240" w:lineRule="auto"/>
      <w:jc w:val="both"/>
    </w:pPr>
    <w:rPr>
      <w:rFonts w:ascii="Calibri" w:eastAsia="Calibri" w:hAnsi="Calibri" w:cs="Times New Roman"/>
      <w:kern w:val="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LightShading-Accent1151">
    <w:name w:val="Light Shading - Accent 1151"/>
    <w:basedOn w:val="TableNormal"/>
    <w:uiPriority w:val="60"/>
    <w:locked/>
    <w:rsid w:val="009B2D9D"/>
    <w:pPr>
      <w:spacing w:before="100" w:beforeAutospacing="1" w:after="0" w:afterAutospacing="1" w:line="240" w:lineRule="auto"/>
      <w:jc w:val="both"/>
    </w:pPr>
    <w:rPr>
      <w:color w:val="2E74B5"/>
      <w:kern w:val="0"/>
      <w:lang w:val="en-GB"/>
      <w14:ligatures w14:val="none"/>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GridTable1Light-Accent11221">
    <w:name w:val="Grid Table 1 Light - Accent 11221"/>
    <w:basedOn w:val="TableNormal"/>
    <w:uiPriority w:val="46"/>
    <w:rsid w:val="009B2D9D"/>
    <w:pPr>
      <w:spacing w:before="100" w:beforeAutospacing="1" w:after="0" w:afterAutospacing="1" w:line="240" w:lineRule="auto"/>
      <w:jc w:val="both"/>
    </w:pPr>
    <w:rPr>
      <w:rFonts w:ascii="Calibri" w:eastAsia="Calibri" w:hAnsi="Calibri" w:cs="Times New Roman"/>
      <w:kern w:val="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ListTable1Light-Accent211">
    <w:name w:val="List Table 1 Light - Accent 211"/>
    <w:basedOn w:val="TableNormal"/>
    <w:uiPriority w:val="46"/>
    <w:rsid w:val="009B2D9D"/>
    <w:pPr>
      <w:spacing w:before="100" w:beforeAutospacing="1" w:after="0" w:afterAutospacing="1" w:line="240" w:lineRule="auto"/>
      <w:jc w:val="both"/>
    </w:pPr>
    <w:rPr>
      <w:kern w:val="0"/>
      <w14:ligatures w14:val="none"/>
    </w:rPr>
    <w:tblPr>
      <w:tblStyleRowBandSize w:val="1"/>
      <w:tblStyleColBandSize w:val="1"/>
    </w:tblPr>
    <w:tblStylePr w:type="firstRow">
      <w:rPr>
        <w:b/>
        <w:bCs/>
      </w:rPr>
      <w:tblPr/>
      <w:tcPr>
        <w:tcBorders>
          <w:bottom w:val="single" w:sz="4" w:space="0" w:color="F4B083"/>
        </w:tcBorders>
      </w:tcPr>
    </w:tblStylePr>
    <w:tblStylePr w:type="lastRow">
      <w:rPr>
        <w:b/>
        <w:bCs/>
      </w:rPr>
      <w:tblPr/>
      <w:tcPr>
        <w:tcBorders>
          <w:top w:val="sing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2-Accent21">
    <w:name w:val="Grid Table 2 - Accent 21"/>
    <w:basedOn w:val="TableNormal"/>
    <w:next w:val="GridTable2-Accent2"/>
    <w:uiPriority w:val="47"/>
    <w:rsid w:val="009B2D9D"/>
    <w:pPr>
      <w:spacing w:before="100" w:beforeAutospacing="1" w:after="0" w:afterAutospacing="1" w:line="240" w:lineRule="auto"/>
      <w:jc w:val="both"/>
    </w:pPr>
    <w:rPr>
      <w:kern w:val="0"/>
      <w14:ligatures w14:val="none"/>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numbering" w:customStyle="1" w:styleId="NoList29">
    <w:name w:val="No List29"/>
    <w:next w:val="NoList"/>
    <w:uiPriority w:val="99"/>
    <w:semiHidden/>
    <w:unhideWhenUsed/>
    <w:rsid w:val="009B2D9D"/>
  </w:style>
  <w:style w:type="table" w:customStyle="1" w:styleId="GridTable1Light-Accent115">
    <w:name w:val="Grid Table 1 Light - Accent 115"/>
    <w:basedOn w:val="TableNormal"/>
    <w:uiPriority w:val="46"/>
    <w:rsid w:val="009B2D9D"/>
    <w:pPr>
      <w:spacing w:before="100" w:beforeAutospacing="1" w:after="0" w:afterAutospacing="1" w:line="240" w:lineRule="auto"/>
      <w:jc w:val="both"/>
    </w:pPr>
    <w:rPr>
      <w:kern w:val="0"/>
      <w:lang w:val="en-GB"/>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6Colorful-Accent31">
    <w:name w:val="Grid Table 6 Colorful - Accent 31"/>
    <w:basedOn w:val="TableNormal"/>
    <w:uiPriority w:val="51"/>
    <w:rsid w:val="009B2D9D"/>
    <w:pPr>
      <w:spacing w:before="100" w:beforeAutospacing="1" w:after="0" w:afterAutospacing="1" w:line="240" w:lineRule="auto"/>
      <w:jc w:val="both"/>
    </w:pPr>
    <w:rPr>
      <w:color w:val="7B7B7B"/>
      <w:kern w:val="0"/>
      <w:lang w:val="en-GB"/>
      <w14:ligatures w14:val="none"/>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7Colorful-Accent111">
    <w:name w:val="Grid Table 7 Colorful - Accent 111"/>
    <w:basedOn w:val="TableNormal"/>
    <w:uiPriority w:val="52"/>
    <w:rsid w:val="009B2D9D"/>
    <w:pPr>
      <w:spacing w:before="100" w:beforeAutospacing="1" w:after="0" w:afterAutospacing="1" w:line="240" w:lineRule="auto"/>
      <w:jc w:val="both"/>
    </w:pPr>
    <w:rPr>
      <w:color w:val="2E74B5"/>
      <w:kern w:val="0"/>
      <w:lang w:val="en-GB"/>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ListTable4-Accent113">
    <w:name w:val="List Table 4 - Accent 113"/>
    <w:basedOn w:val="TableNormal"/>
    <w:uiPriority w:val="49"/>
    <w:rsid w:val="009B2D9D"/>
    <w:pPr>
      <w:spacing w:before="100" w:beforeAutospacing="1" w:after="0" w:afterAutospacing="1" w:line="240" w:lineRule="auto"/>
      <w:jc w:val="both"/>
    </w:pPr>
    <w:rPr>
      <w:kern w:val="0"/>
      <w:lang w:val="en-GB"/>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2-Accent611">
    <w:name w:val="List Table 2 - Accent 611"/>
    <w:basedOn w:val="TableNormal"/>
    <w:uiPriority w:val="47"/>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A8D08D"/>
        <w:bottom w:val="single" w:sz="4" w:space="0" w:color="A8D08D"/>
        <w:insideH w:val="single" w:sz="4" w:space="0" w:color="A8D08D"/>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2-Accent514">
    <w:name w:val="List Table 2 - Accent 514"/>
    <w:basedOn w:val="TableNormal"/>
    <w:uiPriority w:val="47"/>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2-Accent5114">
    <w:name w:val="List Table 2 - Accent 5114"/>
    <w:basedOn w:val="TableNormal"/>
    <w:next w:val="ListTable2-Accent51"/>
    <w:uiPriority w:val="47"/>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ghtGrid-Accent51">
    <w:name w:val="Light Grid - Accent 51"/>
    <w:basedOn w:val="TableNormal"/>
    <w:next w:val="LightGrid-Accent5"/>
    <w:uiPriority w:val="62"/>
    <w:rsid w:val="009B2D9D"/>
    <w:pPr>
      <w:spacing w:before="100" w:beforeAutospacing="1" w:after="0" w:afterAutospacing="1" w:line="240" w:lineRule="auto"/>
      <w:jc w:val="both"/>
    </w:pPr>
    <w:rPr>
      <w:kern w:val="0"/>
      <w:lang w:val="en-GB"/>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stTable4-Accent12">
    <w:name w:val="List Table 4 - Accent 12"/>
    <w:basedOn w:val="TableNormal"/>
    <w:next w:val="ListTable4-Accent1"/>
    <w:uiPriority w:val="49"/>
    <w:rsid w:val="009B2D9D"/>
    <w:pPr>
      <w:spacing w:before="100" w:beforeAutospacing="1" w:after="0" w:afterAutospacing="1" w:line="240" w:lineRule="auto"/>
      <w:jc w:val="both"/>
    </w:pPr>
    <w:rPr>
      <w:kern w:val="0"/>
      <w:lang w:val="en-GB"/>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ghtGrid-Accent5">
    <w:name w:val="Light Grid Accent 5"/>
    <w:basedOn w:val="TableNormal"/>
    <w:uiPriority w:val="62"/>
    <w:semiHidden/>
    <w:unhideWhenUsed/>
    <w:rsid w:val="009B2D9D"/>
    <w:pPr>
      <w:spacing w:before="100" w:beforeAutospacing="1" w:after="0" w:afterAutospacing="1" w:line="240" w:lineRule="auto"/>
      <w:jc w:val="both"/>
    </w:pPr>
    <w:rPr>
      <w:kern w:val="0"/>
      <w14:ligatures w14:val="none"/>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stTable4-Accent1">
    <w:name w:val="List Table 4 Accent 1"/>
    <w:basedOn w:val="TableNormal"/>
    <w:uiPriority w:val="49"/>
    <w:rsid w:val="009B2D9D"/>
    <w:pPr>
      <w:spacing w:before="100" w:beforeAutospacing="1" w:after="0" w:afterAutospacing="1" w:line="240" w:lineRule="auto"/>
      <w:jc w:val="both"/>
    </w:pPr>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nresolvedMention3">
    <w:name w:val="Unresolved Mention3"/>
    <w:basedOn w:val="DefaultParagraphFont"/>
    <w:uiPriority w:val="99"/>
    <w:semiHidden/>
    <w:unhideWhenUsed/>
    <w:rsid w:val="009B2D9D"/>
    <w:rPr>
      <w:color w:val="605E5C"/>
      <w:shd w:val="clear" w:color="auto" w:fill="E1DFDD"/>
    </w:rPr>
  </w:style>
  <w:style w:type="table" w:customStyle="1" w:styleId="GridTable2-Accent22">
    <w:name w:val="Grid Table 2 - Accent 22"/>
    <w:basedOn w:val="TableNormal"/>
    <w:next w:val="GridTable2-Accent2"/>
    <w:uiPriority w:val="47"/>
    <w:rsid w:val="00070144"/>
    <w:pPr>
      <w:spacing w:after="0" w:line="240" w:lineRule="auto"/>
    </w:pPr>
    <w:rPr>
      <w:kern w:val="0"/>
      <w14:ligatures w14:val="none"/>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2-Accent23">
    <w:name w:val="Grid Table 2 - Accent 23"/>
    <w:basedOn w:val="TableNormal"/>
    <w:next w:val="GridTable2-Accent2"/>
    <w:uiPriority w:val="47"/>
    <w:rsid w:val="00070144"/>
    <w:pPr>
      <w:spacing w:after="0" w:line="240" w:lineRule="auto"/>
    </w:pPr>
    <w:rPr>
      <w:kern w:val="0"/>
      <w14:ligatures w14:val="none"/>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2-Accent24">
    <w:name w:val="Grid Table 2 - Accent 24"/>
    <w:basedOn w:val="TableNormal"/>
    <w:next w:val="GridTable2-Accent2"/>
    <w:uiPriority w:val="47"/>
    <w:rsid w:val="00070144"/>
    <w:pPr>
      <w:spacing w:after="0" w:line="240" w:lineRule="auto"/>
    </w:pPr>
    <w:rPr>
      <w:kern w:val="0"/>
      <w14:ligatures w14:val="none"/>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2-Accent25">
    <w:name w:val="Grid Table 2 - Accent 25"/>
    <w:basedOn w:val="TableNormal"/>
    <w:next w:val="GridTable2-Accent2"/>
    <w:uiPriority w:val="47"/>
    <w:rsid w:val="00070144"/>
    <w:pPr>
      <w:spacing w:after="0" w:line="240" w:lineRule="auto"/>
    </w:pPr>
    <w:rPr>
      <w:kern w:val="0"/>
      <w14:ligatures w14:val="none"/>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6353">
      <w:bodyDiv w:val="1"/>
      <w:marLeft w:val="0"/>
      <w:marRight w:val="0"/>
      <w:marTop w:val="0"/>
      <w:marBottom w:val="0"/>
      <w:divBdr>
        <w:top w:val="none" w:sz="0" w:space="0" w:color="auto"/>
        <w:left w:val="none" w:sz="0" w:space="0" w:color="auto"/>
        <w:bottom w:val="none" w:sz="0" w:space="0" w:color="auto"/>
        <w:right w:val="none" w:sz="0" w:space="0" w:color="auto"/>
      </w:divBdr>
    </w:div>
    <w:div w:id="68576352">
      <w:bodyDiv w:val="1"/>
      <w:marLeft w:val="0"/>
      <w:marRight w:val="0"/>
      <w:marTop w:val="0"/>
      <w:marBottom w:val="0"/>
      <w:divBdr>
        <w:top w:val="none" w:sz="0" w:space="0" w:color="auto"/>
        <w:left w:val="none" w:sz="0" w:space="0" w:color="auto"/>
        <w:bottom w:val="none" w:sz="0" w:space="0" w:color="auto"/>
        <w:right w:val="none" w:sz="0" w:space="0" w:color="auto"/>
      </w:divBdr>
    </w:div>
    <w:div w:id="197402244">
      <w:bodyDiv w:val="1"/>
      <w:marLeft w:val="0"/>
      <w:marRight w:val="0"/>
      <w:marTop w:val="0"/>
      <w:marBottom w:val="0"/>
      <w:divBdr>
        <w:top w:val="none" w:sz="0" w:space="0" w:color="auto"/>
        <w:left w:val="none" w:sz="0" w:space="0" w:color="auto"/>
        <w:bottom w:val="none" w:sz="0" w:space="0" w:color="auto"/>
        <w:right w:val="none" w:sz="0" w:space="0" w:color="auto"/>
      </w:divBdr>
      <w:divsChild>
        <w:div w:id="669337934">
          <w:marLeft w:val="0"/>
          <w:marRight w:val="0"/>
          <w:marTop w:val="0"/>
          <w:marBottom w:val="0"/>
          <w:divBdr>
            <w:top w:val="none" w:sz="0" w:space="0" w:color="auto"/>
            <w:left w:val="none" w:sz="0" w:space="0" w:color="auto"/>
            <w:bottom w:val="none" w:sz="0" w:space="0" w:color="auto"/>
            <w:right w:val="none" w:sz="0" w:space="0" w:color="auto"/>
          </w:divBdr>
          <w:divsChild>
            <w:div w:id="1918133152">
              <w:marLeft w:val="0"/>
              <w:marRight w:val="0"/>
              <w:marTop w:val="0"/>
              <w:marBottom w:val="0"/>
              <w:divBdr>
                <w:top w:val="none" w:sz="0" w:space="0" w:color="auto"/>
                <w:left w:val="none" w:sz="0" w:space="0" w:color="auto"/>
                <w:bottom w:val="none" w:sz="0" w:space="0" w:color="auto"/>
                <w:right w:val="none" w:sz="0" w:space="0" w:color="auto"/>
              </w:divBdr>
              <w:divsChild>
                <w:div w:id="1482114539">
                  <w:marLeft w:val="0"/>
                  <w:marRight w:val="0"/>
                  <w:marTop w:val="0"/>
                  <w:marBottom w:val="0"/>
                  <w:divBdr>
                    <w:top w:val="none" w:sz="0" w:space="0" w:color="auto"/>
                    <w:left w:val="none" w:sz="0" w:space="0" w:color="auto"/>
                    <w:bottom w:val="none" w:sz="0" w:space="0" w:color="auto"/>
                    <w:right w:val="none" w:sz="0" w:space="0" w:color="auto"/>
                  </w:divBdr>
                  <w:divsChild>
                    <w:div w:id="2146778035">
                      <w:marLeft w:val="0"/>
                      <w:marRight w:val="0"/>
                      <w:marTop w:val="0"/>
                      <w:marBottom w:val="0"/>
                      <w:divBdr>
                        <w:top w:val="none" w:sz="0" w:space="0" w:color="auto"/>
                        <w:left w:val="none" w:sz="0" w:space="0" w:color="auto"/>
                        <w:bottom w:val="none" w:sz="0" w:space="0" w:color="auto"/>
                        <w:right w:val="none" w:sz="0" w:space="0" w:color="auto"/>
                      </w:divBdr>
                      <w:divsChild>
                        <w:div w:id="709112505">
                          <w:marLeft w:val="0"/>
                          <w:marRight w:val="0"/>
                          <w:marTop w:val="0"/>
                          <w:marBottom w:val="0"/>
                          <w:divBdr>
                            <w:top w:val="none" w:sz="0" w:space="0" w:color="auto"/>
                            <w:left w:val="none" w:sz="0" w:space="0" w:color="auto"/>
                            <w:bottom w:val="none" w:sz="0" w:space="0" w:color="auto"/>
                            <w:right w:val="none" w:sz="0" w:space="0" w:color="auto"/>
                          </w:divBdr>
                          <w:divsChild>
                            <w:div w:id="2009670139">
                              <w:marLeft w:val="0"/>
                              <w:marRight w:val="0"/>
                              <w:marTop w:val="0"/>
                              <w:marBottom w:val="0"/>
                              <w:divBdr>
                                <w:top w:val="none" w:sz="0" w:space="0" w:color="auto"/>
                                <w:left w:val="none" w:sz="0" w:space="0" w:color="auto"/>
                                <w:bottom w:val="none" w:sz="0" w:space="0" w:color="auto"/>
                                <w:right w:val="none" w:sz="0" w:space="0" w:color="auto"/>
                              </w:divBdr>
                              <w:divsChild>
                                <w:div w:id="1688943413">
                                  <w:marLeft w:val="0"/>
                                  <w:marRight w:val="0"/>
                                  <w:marTop w:val="0"/>
                                  <w:marBottom w:val="0"/>
                                  <w:divBdr>
                                    <w:top w:val="none" w:sz="0" w:space="0" w:color="auto"/>
                                    <w:left w:val="none" w:sz="0" w:space="0" w:color="auto"/>
                                    <w:bottom w:val="none" w:sz="0" w:space="0" w:color="auto"/>
                                    <w:right w:val="none" w:sz="0" w:space="0" w:color="auto"/>
                                  </w:divBdr>
                                  <w:divsChild>
                                    <w:div w:id="605429081">
                                      <w:marLeft w:val="0"/>
                                      <w:marRight w:val="0"/>
                                      <w:marTop w:val="0"/>
                                      <w:marBottom w:val="0"/>
                                      <w:divBdr>
                                        <w:top w:val="none" w:sz="0" w:space="0" w:color="auto"/>
                                        <w:left w:val="none" w:sz="0" w:space="0" w:color="auto"/>
                                        <w:bottom w:val="none" w:sz="0" w:space="0" w:color="auto"/>
                                        <w:right w:val="none" w:sz="0" w:space="0" w:color="auto"/>
                                      </w:divBdr>
                                    </w:div>
                                    <w:div w:id="1117258004">
                                      <w:marLeft w:val="0"/>
                                      <w:marRight w:val="0"/>
                                      <w:marTop w:val="0"/>
                                      <w:marBottom w:val="0"/>
                                      <w:divBdr>
                                        <w:top w:val="none" w:sz="0" w:space="0" w:color="auto"/>
                                        <w:left w:val="none" w:sz="0" w:space="0" w:color="auto"/>
                                        <w:bottom w:val="none" w:sz="0" w:space="0" w:color="auto"/>
                                        <w:right w:val="none" w:sz="0" w:space="0" w:color="auto"/>
                                      </w:divBdr>
                                      <w:divsChild>
                                        <w:div w:id="718942380">
                                          <w:marLeft w:val="0"/>
                                          <w:marRight w:val="165"/>
                                          <w:marTop w:val="150"/>
                                          <w:marBottom w:val="0"/>
                                          <w:divBdr>
                                            <w:top w:val="none" w:sz="0" w:space="0" w:color="auto"/>
                                            <w:left w:val="none" w:sz="0" w:space="0" w:color="auto"/>
                                            <w:bottom w:val="none" w:sz="0" w:space="0" w:color="auto"/>
                                            <w:right w:val="none" w:sz="0" w:space="0" w:color="auto"/>
                                          </w:divBdr>
                                          <w:divsChild>
                                            <w:div w:id="1232302823">
                                              <w:marLeft w:val="0"/>
                                              <w:marRight w:val="0"/>
                                              <w:marTop w:val="0"/>
                                              <w:marBottom w:val="0"/>
                                              <w:divBdr>
                                                <w:top w:val="none" w:sz="0" w:space="0" w:color="auto"/>
                                                <w:left w:val="none" w:sz="0" w:space="0" w:color="auto"/>
                                                <w:bottom w:val="none" w:sz="0" w:space="0" w:color="auto"/>
                                                <w:right w:val="none" w:sz="0" w:space="0" w:color="auto"/>
                                              </w:divBdr>
                                              <w:divsChild>
                                                <w:div w:id="172224930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98748887">
      <w:bodyDiv w:val="1"/>
      <w:marLeft w:val="0"/>
      <w:marRight w:val="0"/>
      <w:marTop w:val="0"/>
      <w:marBottom w:val="0"/>
      <w:divBdr>
        <w:top w:val="none" w:sz="0" w:space="0" w:color="auto"/>
        <w:left w:val="none" w:sz="0" w:space="0" w:color="auto"/>
        <w:bottom w:val="none" w:sz="0" w:space="0" w:color="auto"/>
        <w:right w:val="none" w:sz="0" w:space="0" w:color="auto"/>
      </w:divBdr>
    </w:div>
    <w:div w:id="498233545">
      <w:bodyDiv w:val="1"/>
      <w:marLeft w:val="0"/>
      <w:marRight w:val="0"/>
      <w:marTop w:val="0"/>
      <w:marBottom w:val="0"/>
      <w:divBdr>
        <w:top w:val="none" w:sz="0" w:space="0" w:color="auto"/>
        <w:left w:val="none" w:sz="0" w:space="0" w:color="auto"/>
        <w:bottom w:val="none" w:sz="0" w:space="0" w:color="auto"/>
        <w:right w:val="none" w:sz="0" w:space="0" w:color="auto"/>
      </w:divBdr>
    </w:div>
    <w:div w:id="614138199">
      <w:bodyDiv w:val="1"/>
      <w:marLeft w:val="0"/>
      <w:marRight w:val="0"/>
      <w:marTop w:val="0"/>
      <w:marBottom w:val="0"/>
      <w:divBdr>
        <w:top w:val="none" w:sz="0" w:space="0" w:color="auto"/>
        <w:left w:val="none" w:sz="0" w:space="0" w:color="auto"/>
        <w:bottom w:val="none" w:sz="0" w:space="0" w:color="auto"/>
        <w:right w:val="none" w:sz="0" w:space="0" w:color="auto"/>
      </w:divBdr>
    </w:div>
    <w:div w:id="625745703">
      <w:bodyDiv w:val="1"/>
      <w:marLeft w:val="0"/>
      <w:marRight w:val="0"/>
      <w:marTop w:val="0"/>
      <w:marBottom w:val="0"/>
      <w:divBdr>
        <w:top w:val="none" w:sz="0" w:space="0" w:color="auto"/>
        <w:left w:val="none" w:sz="0" w:space="0" w:color="auto"/>
        <w:bottom w:val="none" w:sz="0" w:space="0" w:color="auto"/>
        <w:right w:val="none" w:sz="0" w:space="0" w:color="auto"/>
      </w:divBdr>
    </w:div>
    <w:div w:id="648945774">
      <w:bodyDiv w:val="1"/>
      <w:marLeft w:val="0"/>
      <w:marRight w:val="0"/>
      <w:marTop w:val="0"/>
      <w:marBottom w:val="0"/>
      <w:divBdr>
        <w:top w:val="none" w:sz="0" w:space="0" w:color="auto"/>
        <w:left w:val="none" w:sz="0" w:space="0" w:color="auto"/>
        <w:bottom w:val="none" w:sz="0" w:space="0" w:color="auto"/>
        <w:right w:val="none" w:sz="0" w:space="0" w:color="auto"/>
      </w:divBdr>
    </w:div>
    <w:div w:id="718478181">
      <w:bodyDiv w:val="1"/>
      <w:marLeft w:val="0"/>
      <w:marRight w:val="0"/>
      <w:marTop w:val="0"/>
      <w:marBottom w:val="0"/>
      <w:divBdr>
        <w:top w:val="none" w:sz="0" w:space="0" w:color="auto"/>
        <w:left w:val="none" w:sz="0" w:space="0" w:color="auto"/>
        <w:bottom w:val="none" w:sz="0" w:space="0" w:color="auto"/>
        <w:right w:val="none" w:sz="0" w:space="0" w:color="auto"/>
      </w:divBdr>
    </w:div>
    <w:div w:id="954285458">
      <w:bodyDiv w:val="1"/>
      <w:marLeft w:val="0"/>
      <w:marRight w:val="0"/>
      <w:marTop w:val="0"/>
      <w:marBottom w:val="0"/>
      <w:divBdr>
        <w:top w:val="none" w:sz="0" w:space="0" w:color="auto"/>
        <w:left w:val="none" w:sz="0" w:space="0" w:color="auto"/>
        <w:bottom w:val="none" w:sz="0" w:space="0" w:color="auto"/>
        <w:right w:val="none" w:sz="0" w:space="0" w:color="auto"/>
      </w:divBdr>
    </w:div>
    <w:div w:id="970356193">
      <w:bodyDiv w:val="1"/>
      <w:marLeft w:val="0"/>
      <w:marRight w:val="0"/>
      <w:marTop w:val="0"/>
      <w:marBottom w:val="0"/>
      <w:divBdr>
        <w:top w:val="none" w:sz="0" w:space="0" w:color="auto"/>
        <w:left w:val="none" w:sz="0" w:space="0" w:color="auto"/>
        <w:bottom w:val="none" w:sz="0" w:space="0" w:color="auto"/>
        <w:right w:val="none" w:sz="0" w:space="0" w:color="auto"/>
      </w:divBdr>
    </w:div>
    <w:div w:id="1161000285">
      <w:bodyDiv w:val="1"/>
      <w:marLeft w:val="0"/>
      <w:marRight w:val="0"/>
      <w:marTop w:val="0"/>
      <w:marBottom w:val="0"/>
      <w:divBdr>
        <w:top w:val="none" w:sz="0" w:space="0" w:color="auto"/>
        <w:left w:val="none" w:sz="0" w:space="0" w:color="auto"/>
        <w:bottom w:val="none" w:sz="0" w:space="0" w:color="auto"/>
        <w:right w:val="none" w:sz="0" w:space="0" w:color="auto"/>
      </w:divBdr>
    </w:div>
    <w:div w:id="1376735796">
      <w:bodyDiv w:val="1"/>
      <w:marLeft w:val="0"/>
      <w:marRight w:val="0"/>
      <w:marTop w:val="0"/>
      <w:marBottom w:val="0"/>
      <w:divBdr>
        <w:top w:val="none" w:sz="0" w:space="0" w:color="auto"/>
        <w:left w:val="none" w:sz="0" w:space="0" w:color="auto"/>
        <w:bottom w:val="none" w:sz="0" w:space="0" w:color="auto"/>
        <w:right w:val="none" w:sz="0" w:space="0" w:color="auto"/>
      </w:divBdr>
    </w:div>
    <w:div w:id="1392536812">
      <w:bodyDiv w:val="1"/>
      <w:marLeft w:val="0"/>
      <w:marRight w:val="0"/>
      <w:marTop w:val="0"/>
      <w:marBottom w:val="0"/>
      <w:divBdr>
        <w:top w:val="none" w:sz="0" w:space="0" w:color="auto"/>
        <w:left w:val="none" w:sz="0" w:space="0" w:color="auto"/>
        <w:bottom w:val="none" w:sz="0" w:space="0" w:color="auto"/>
        <w:right w:val="none" w:sz="0" w:space="0" w:color="auto"/>
      </w:divBdr>
    </w:div>
    <w:div w:id="1620526706">
      <w:bodyDiv w:val="1"/>
      <w:marLeft w:val="0"/>
      <w:marRight w:val="0"/>
      <w:marTop w:val="0"/>
      <w:marBottom w:val="0"/>
      <w:divBdr>
        <w:top w:val="none" w:sz="0" w:space="0" w:color="auto"/>
        <w:left w:val="none" w:sz="0" w:space="0" w:color="auto"/>
        <w:bottom w:val="none" w:sz="0" w:space="0" w:color="auto"/>
        <w:right w:val="none" w:sz="0" w:space="0" w:color="auto"/>
      </w:divBdr>
    </w:div>
    <w:div w:id="1666326121">
      <w:bodyDiv w:val="1"/>
      <w:marLeft w:val="0"/>
      <w:marRight w:val="0"/>
      <w:marTop w:val="0"/>
      <w:marBottom w:val="0"/>
      <w:divBdr>
        <w:top w:val="none" w:sz="0" w:space="0" w:color="auto"/>
        <w:left w:val="none" w:sz="0" w:space="0" w:color="auto"/>
        <w:bottom w:val="none" w:sz="0" w:space="0" w:color="auto"/>
        <w:right w:val="none" w:sz="0" w:space="0" w:color="auto"/>
      </w:divBdr>
    </w:div>
    <w:div w:id="1671523850">
      <w:bodyDiv w:val="1"/>
      <w:marLeft w:val="0"/>
      <w:marRight w:val="0"/>
      <w:marTop w:val="0"/>
      <w:marBottom w:val="0"/>
      <w:divBdr>
        <w:top w:val="none" w:sz="0" w:space="0" w:color="auto"/>
        <w:left w:val="none" w:sz="0" w:space="0" w:color="auto"/>
        <w:bottom w:val="none" w:sz="0" w:space="0" w:color="auto"/>
        <w:right w:val="none" w:sz="0" w:space="0" w:color="auto"/>
      </w:divBdr>
    </w:div>
    <w:div w:id="1712880419">
      <w:bodyDiv w:val="1"/>
      <w:marLeft w:val="0"/>
      <w:marRight w:val="0"/>
      <w:marTop w:val="0"/>
      <w:marBottom w:val="0"/>
      <w:divBdr>
        <w:top w:val="none" w:sz="0" w:space="0" w:color="auto"/>
        <w:left w:val="none" w:sz="0" w:space="0" w:color="auto"/>
        <w:bottom w:val="none" w:sz="0" w:space="0" w:color="auto"/>
        <w:right w:val="none" w:sz="0" w:space="0" w:color="auto"/>
      </w:divBdr>
    </w:div>
    <w:div w:id="1885870763">
      <w:bodyDiv w:val="1"/>
      <w:marLeft w:val="0"/>
      <w:marRight w:val="0"/>
      <w:marTop w:val="0"/>
      <w:marBottom w:val="0"/>
      <w:divBdr>
        <w:top w:val="none" w:sz="0" w:space="0" w:color="auto"/>
        <w:left w:val="none" w:sz="0" w:space="0" w:color="auto"/>
        <w:bottom w:val="none" w:sz="0" w:space="0" w:color="auto"/>
        <w:right w:val="none" w:sz="0" w:space="0" w:color="auto"/>
      </w:divBdr>
    </w:div>
    <w:div w:id="2049376362">
      <w:bodyDiv w:val="1"/>
      <w:marLeft w:val="0"/>
      <w:marRight w:val="0"/>
      <w:marTop w:val="0"/>
      <w:marBottom w:val="0"/>
      <w:divBdr>
        <w:top w:val="none" w:sz="0" w:space="0" w:color="auto"/>
        <w:left w:val="none" w:sz="0" w:space="0" w:color="auto"/>
        <w:bottom w:val="none" w:sz="0" w:space="0" w:color="auto"/>
        <w:right w:val="none" w:sz="0" w:space="0" w:color="auto"/>
      </w:divBdr>
    </w:div>
    <w:div w:id="2076393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png"/><Relationship Id="rId18" Type="http://schemas.openxmlformats.org/officeDocument/2006/relationships/chart" Target="charts/chart6.xml"/><Relationship Id="rId26" Type="http://schemas.openxmlformats.org/officeDocument/2006/relationships/image" Target="media/image5.emf"/><Relationship Id="rId3" Type="http://schemas.openxmlformats.org/officeDocument/2006/relationships/styles" Target="styles.xml"/><Relationship Id="rId21" Type="http://schemas.openxmlformats.org/officeDocument/2006/relationships/chart" Target="charts/chart9.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5.xml"/><Relationship Id="rId25" Type="http://schemas.openxmlformats.org/officeDocument/2006/relationships/chart" Target="charts/chart13.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chart" Target="charts/chart8.xm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chart" Target="charts/chart12.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chart" Target="charts/chart11.xml"/><Relationship Id="rId28" Type="http://schemas.openxmlformats.org/officeDocument/2006/relationships/hyperlink" Target="about:blank" TargetMode="External"/><Relationship Id="rId10" Type="http://schemas.openxmlformats.org/officeDocument/2006/relationships/chart" Target="charts/chart2.xml"/><Relationship Id="rId19" Type="http://schemas.openxmlformats.org/officeDocument/2006/relationships/chart" Target="charts/chart7.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3.png"/><Relationship Id="rId22" Type="http://schemas.openxmlformats.org/officeDocument/2006/relationships/chart" Target="charts/chart10.xml"/><Relationship Id="rId27" Type="http://schemas.openxmlformats.org/officeDocument/2006/relationships/hyperlink" Target="about:blank"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about:blank" TargetMode="External"/><Relationship Id="rId3" Type="http://schemas.openxmlformats.org/officeDocument/2006/relationships/hyperlink" Target="about:blank" TargetMode="External"/><Relationship Id="rId7" Type="http://schemas.openxmlformats.org/officeDocument/2006/relationships/hyperlink" Target="about:blank" TargetMode="External"/><Relationship Id="rId2" Type="http://schemas.openxmlformats.org/officeDocument/2006/relationships/hyperlink" Target="about:blank" TargetMode="External"/><Relationship Id="rId1" Type="http://schemas.openxmlformats.org/officeDocument/2006/relationships/hyperlink" Target="about:blank" TargetMode="External"/><Relationship Id="rId6" Type="http://schemas.openxmlformats.org/officeDocument/2006/relationships/hyperlink" Target="about:blank" TargetMode="External"/><Relationship Id="rId5" Type="http://schemas.openxmlformats.org/officeDocument/2006/relationships/hyperlink" Target="about:blank" TargetMode="External"/><Relationship Id="rId4" Type="http://schemas.openxmlformats.org/officeDocument/2006/relationships/hyperlink" Target="about:blank"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about:blank"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2.xlsx"/></Relationships>
</file>

<file path=word/charts/_rels/chart11.xml.rels><?xml version="1.0" encoding="UTF-8" standalone="yes"?>
<Relationships xmlns="http://schemas.openxmlformats.org/package/2006/relationships"><Relationship Id="rId3" Type="http://schemas.openxmlformats.org/officeDocument/2006/relationships/oleObject" Target="file:///C:\Users\katarina.zivkovic\AppData\Local\Microsoft\Windows\INetCache\Content.Outlook\X3QDPFMI\Grafici%20za%20preliminarnu%20prosje&#269;nu%20ro&#269;nost%20i%20KS%20na%20kraju%2023.xlsx" TargetMode="External"/><Relationship Id="rId2" Type="http://schemas.microsoft.com/office/2011/relationships/chartColorStyle" Target="colors10.xml"/><Relationship Id="rId1" Type="http://schemas.microsoft.com/office/2011/relationships/chartStyle" Target="style10.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11.xml"/><Relationship Id="rId1" Type="http://schemas.microsoft.com/office/2011/relationships/chartStyle" Target="style11.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bojana.boljevic\Desktop\Pododbor%202023\Grafici%20za%20javni%20dug%2022.03.2023.xlsx" TargetMode="External"/><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about:blank"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about:blank"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3.xml"/></Relationships>
</file>

<file path=word/charts/_rels/chart4.xml.rels><?xml version="1.0" encoding="UTF-8" standalone="yes"?>
<Relationships xmlns="http://schemas.openxmlformats.org/package/2006/relationships"><Relationship Id="rId3" Type="http://schemas.openxmlformats.org/officeDocument/2006/relationships/oleObject" Target="about:blank" TargetMode="External"/><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katarina.zivkovic\Desktop\Javni%20dug\PER\PER%202023\EXCEL-GRAFICI%20ZA%20PER%202022%2024.11.2023..xlsx" TargetMode="External"/><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bojana.boljevic\Desktop\PER%202024-2026\milena%20per%20pro&#353;la%20godina\EXCEL-GRAFICI%20ZA%20PER%202022%2004.11.2022..xlsx" TargetMode="External"/><Relationship Id="rId2" Type="http://schemas.microsoft.com/office/2011/relationships/chartColorStyle" Target="colors6.xml"/><Relationship Id="rId1" Type="http://schemas.microsoft.com/office/2011/relationships/chartStyle" Target="style6.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7.xml"/><Relationship Id="rId1" Type="http://schemas.microsoft.com/office/2011/relationships/chartStyle" Target="style7.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bojana.boljevic\Desktop\PER%202024-2026\milena%20per%20pro&#353;la%20godina\EXCEL-GRAFICI%20ZA%20PER%202022%2004.11.2022..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785809305433416"/>
          <c:y val="7.3529411764705885E-2"/>
          <c:w val="0.78744300630205588"/>
          <c:h val="0.77923491515432231"/>
        </c:manualLayout>
      </c:layout>
      <c:lineChart>
        <c:grouping val="standard"/>
        <c:varyColors val="0"/>
        <c:ser>
          <c:idx val="0"/>
          <c:order val="0"/>
          <c:spPr>
            <a:ln w="34925" cap="rnd">
              <a:solidFill>
                <a:schemeClr val="accent1"/>
              </a:solidFill>
              <a:round/>
            </a:ln>
            <a:effectLst>
              <a:outerShdw blurRad="57150" dist="19050" dir="5400000" algn="ctr" rotWithShape="0">
                <a:srgbClr val="000000">
                  <a:alpha val="63000"/>
                </a:srgbClr>
              </a:outerShdw>
            </a:effectLst>
          </c:spPr>
          <c:marker>
            <c:symbol val="none"/>
          </c:marker>
          <c:cat>
            <c:numRef>
              <c:f>Growth!$D$1:$X$1</c:f>
              <c:numCache>
                <c:formatCode>General</c:formatCode>
                <c:ptCount val="21"/>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pt idx="15">
                  <c:v>2022</c:v>
                </c:pt>
                <c:pt idx="16">
                  <c:v>2023</c:v>
                </c:pt>
                <c:pt idx="17">
                  <c:v>2024</c:v>
                </c:pt>
                <c:pt idx="18">
                  <c:v>2025</c:v>
                </c:pt>
                <c:pt idx="19">
                  <c:v>2026</c:v>
                </c:pt>
                <c:pt idx="20">
                  <c:v>2027</c:v>
                </c:pt>
              </c:numCache>
            </c:numRef>
          </c:cat>
          <c:val>
            <c:numRef>
              <c:f>Growth!$D$29:$X$29</c:f>
              <c:numCache>
                <c:formatCode>0.0%</c:formatCode>
                <c:ptCount val="21"/>
                <c:pt idx="0">
                  <c:v>3.793634436464921E-2</c:v>
                </c:pt>
                <c:pt idx="1">
                  <c:v>4.4289665916263932E-2</c:v>
                </c:pt>
                <c:pt idx="2">
                  <c:v>-4.5972517616850395E-2</c:v>
                </c:pt>
                <c:pt idx="3">
                  <c:v>-3.7804629092031194E-2</c:v>
                </c:pt>
                <c:pt idx="4">
                  <c:v>4.7375404146849931E-3</c:v>
                </c:pt>
                <c:pt idx="5">
                  <c:v>-3.2756148300968402E-2</c:v>
                </c:pt>
                <c:pt idx="6">
                  <c:v>-1.2171942547244186E-2</c:v>
                </c:pt>
                <c:pt idx="7">
                  <c:v>-7.3175210869298457E-3</c:v>
                </c:pt>
                <c:pt idx="8">
                  <c:v>1.0415101156449724E-2</c:v>
                </c:pt>
                <c:pt idx="9">
                  <c:v>1.3506290595518999E-2</c:v>
                </c:pt>
                <c:pt idx="10">
                  <c:v>2.9812205027899941E-2</c:v>
                </c:pt>
                <c:pt idx="11">
                  <c:v>4.7133870919146892E-2</c:v>
                </c:pt>
                <c:pt idx="12">
                  <c:v>5.9170276292846324E-2</c:v>
                </c:pt>
                <c:pt idx="13">
                  <c:v>-0.11977169925736686</c:v>
                </c:pt>
                <c:pt idx="14">
                  <c:v>-1.5672675191718444E-2</c:v>
                </c:pt>
                <c:pt idx="15">
                  <c:v>-1.0166032948755288E-2</c:v>
                </c:pt>
                <c:pt idx="16">
                  <c:v>1.6781397702157363E-2</c:v>
                </c:pt>
                <c:pt idx="17">
                  <c:v>2.6633851129312491E-2</c:v>
                </c:pt>
                <c:pt idx="18">
                  <c:v>2.4349689637387373E-2</c:v>
                </c:pt>
                <c:pt idx="19">
                  <c:v>2.1859597038727419E-2</c:v>
                </c:pt>
                <c:pt idx="20">
                  <c:v>1.7715716267308279E-2</c:v>
                </c:pt>
              </c:numCache>
            </c:numRef>
          </c:val>
          <c:smooth val="1"/>
          <c:extLst>
            <c:ext xmlns:c16="http://schemas.microsoft.com/office/drawing/2014/chart" uri="{C3380CC4-5D6E-409C-BE32-E72D297353CC}">
              <c16:uniqueId val="{00000000-E092-4FE1-8D6B-0465DEB571D3}"/>
            </c:ext>
          </c:extLst>
        </c:ser>
        <c:dLbls>
          <c:showLegendKey val="0"/>
          <c:showVal val="0"/>
          <c:showCatName val="0"/>
          <c:showSerName val="0"/>
          <c:showPercent val="0"/>
          <c:showBubbleSize val="0"/>
        </c:dLbls>
        <c:smooth val="0"/>
        <c:axId val="136196864"/>
        <c:axId val="136198784"/>
      </c:lineChart>
      <c:catAx>
        <c:axId val="136196864"/>
        <c:scaling>
          <c:orientation val="minMax"/>
        </c:scaling>
        <c:delete val="0"/>
        <c:axPos val="b"/>
        <c:numFmt formatCode="General" sourceLinked="1"/>
        <c:majorTickMark val="none"/>
        <c:minorTickMark val="none"/>
        <c:tickLblPos val="low"/>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36198784"/>
        <c:crosses val="autoZero"/>
        <c:auto val="1"/>
        <c:lblAlgn val="ctr"/>
        <c:lblOffset val="100"/>
        <c:tickLblSkip val="2"/>
        <c:tickMarkSkip val="2"/>
        <c:noMultiLvlLbl val="0"/>
      </c:catAx>
      <c:valAx>
        <c:axId val="136198784"/>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3619686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r-Latn-RS" sz="1000" b="1">
                <a:solidFill>
                  <a:schemeClr val="tx1"/>
                </a:solidFill>
                <a:latin typeface="+mn-lt"/>
              </a:rPr>
              <a:t>Grafik</a:t>
            </a:r>
            <a:r>
              <a:rPr lang="sr-Latn-RS" sz="1000" b="1" baseline="0">
                <a:solidFill>
                  <a:schemeClr val="tx1"/>
                </a:solidFill>
                <a:latin typeface="+mn-lt"/>
              </a:rPr>
              <a:t> 5 Valutna struktura duga 30.09.2019.</a:t>
            </a:r>
            <a:endParaRPr lang="en-GB" sz="1000" b="1">
              <a:solidFill>
                <a:schemeClr val="tx1"/>
              </a:solidFill>
              <a:latin typeface="+mn-l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6180873363983864"/>
          <c:y val="0.21066315379779049"/>
          <c:w val="0.56082192746040982"/>
          <c:h val="0.63545602427073056"/>
        </c:manualLayout>
      </c:layout>
      <c:pieChart>
        <c:varyColors val="1"/>
        <c:dLbls>
          <c:showLegendKey val="0"/>
          <c:showVal val="0"/>
          <c:showCatName val="0"/>
          <c:showSerName val="0"/>
          <c:showPercent val="0"/>
          <c:showBubbleSize val="0"/>
          <c:showLeaderLines val="0"/>
        </c:dLbls>
        <c:firstSliceAng val="0"/>
      </c:pieChart>
      <c:spPr>
        <a:noFill/>
        <a:ln>
          <a:noFill/>
        </a:ln>
        <a:effectLst/>
      </c:spPr>
    </c:plotArea>
    <c:legend>
      <c:legendPos val="r"/>
      <c:layout>
        <c:manualLayout>
          <c:xMode val="edge"/>
          <c:yMode val="edge"/>
          <c:x val="0.72764325600239566"/>
          <c:y val="0.40148904463865093"/>
          <c:w val="0.24551110641371171"/>
          <c:h val="0.2625164162172036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sz="1000"/>
              <a:t>Grafik 5</a:t>
            </a:r>
            <a:r>
              <a:rPr lang="sr-Latn-ME" sz="1000"/>
              <a:t>:</a:t>
            </a:r>
            <a:r>
              <a:rPr lang="en-US" sz="1000"/>
              <a:t> Kretanje</a:t>
            </a:r>
            <a:r>
              <a:rPr lang="sr-Latn-ME" sz="1000"/>
              <a:t> efektivne ročnosti duga u periodu 2017-2023. god</a:t>
            </a:r>
            <a:r>
              <a:rPr lang="en-US" sz="1000"/>
              <a:t> </a:t>
            </a:r>
          </a:p>
        </c:rich>
      </c:tx>
      <c:layout>
        <c:manualLayout>
          <c:xMode val="edge"/>
          <c:yMode val="edge"/>
          <c:x val="0.10102476320894671"/>
          <c:y val="0"/>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manualLayout>
          <c:layoutTarget val="inner"/>
          <c:xMode val="edge"/>
          <c:yMode val="edge"/>
          <c:x val="7.0666885389326334E-2"/>
          <c:y val="0.19173629337999418"/>
          <c:w val="0.89599978127734037"/>
          <c:h val="0.72608778069407987"/>
        </c:manualLayout>
      </c:layout>
      <c:lineChart>
        <c:grouping val="standard"/>
        <c:varyColors val="0"/>
        <c:ser>
          <c:idx val="0"/>
          <c:order val="0"/>
          <c:spPr>
            <a:ln w="31750" cap="rnd">
              <a:solidFill>
                <a:schemeClr val="accent1"/>
              </a:solidFill>
              <a:round/>
            </a:ln>
            <a:effectLst>
              <a:outerShdw blurRad="40000" dist="23000" dir="5400000" rotWithShape="0">
                <a:srgbClr val="000000">
                  <a:alpha val="35000"/>
                </a:srgbClr>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'prosječna ročnost i KS'!$A$17:$A$23</c:f>
              <c:numCache>
                <c:formatCode>General</c:formatCode>
                <c:ptCount val="6"/>
                <c:pt idx="0">
                  <c:v>2017</c:v>
                </c:pt>
                <c:pt idx="1">
                  <c:v>2018</c:v>
                </c:pt>
                <c:pt idx="2">
                  <c:v>2019</c:v>
                </c:pt>
                <c:pt idx="3">
                  <c:v>2020</c:v>
                </c:pt>
                <c:pt idx="4">
                  <c:v>2021</c:v>
                </c:pt>
                <c:pt idx="5">
                  <c:v>2022</c:v>
                </c:pt>
              </c:numCache>
            </c:numRef>
          </c:cat>
          <c:val>
            <c:numRef>
              <c:f>'prosječna ročnost i KS'!$B$17:$B$23</c:f>
              <c:numCache>
                <c:formatCode>#,##0.0</c:formatCode>
                <c:ptCount val="6"/>
                <c:pt idx="0">
                  <c:v>4.5999999999999996</c:v>
                </c:pt>
                <c:pt idx="1">
                  <c:v>5.2</c:v>
                </c:pt>
                <c:pt idx="2">
                  <c:v>5.9</c:v>
                </c:pt>
                <c:pt idx="3">
                  <c:v>6.86</c:v>
                </c:pt>
                <c:pt idx="4">
                  <c:v>5.62</c:v>
                </c:pt>
                <c:pt idx="5">
                  <c:v>4.93</c:v>
                </c:pt>
              </c:numCache>
            </c:numRef>
          </c:val>
          <c:smooth val="0"/>
          <c:extLst>
            <c:ext xmlns:c16="http://schemas.microsoft.com/office/drawing/2014/chart" uri="{C3380CC4-5D6E-409C-BE32-E72D297353CC}">
              <c16:uniqueId val="{00000000-6307-423D-8393-321D5AC97F30}"/>
            </c:ext>
          </c:extLst>
        </c:ser>
        <c:dLbls>
          <c:dLblPos val="t"/>
          <c:showLegendKey val="0"/>
          <c:showVal val="1"/>
          <c:showCatName val="0"/>
          <c:showSerName val="0"/>
          <c:showPercent val="0"/>
          <c:showBubbleSize val="0"/>
        </c:dLbls>
        <c:smooth val="0"/>
        <c:axId val="401867784"/>
        <c:axId val="401865488"/>
      </c:lineChart>
      <c:catAx>
        <c:axId val="401867784"/>
        <c:scaling>
          <c:orientation val="minMax"/>
        </c:scaling>
        <c:delete val="0"/>
        <c:axPos val="b"/>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401865488"/>
        <c:crosses val="autoZero"/>
        <c:auto val="1"/>
        <c:lblAlgn val="ctr"/>
        <c:lblOffset val="100"/>
        <c:noMultiLvlLbl val="0"/>
      </c:catAx>
      <c:valAx>
        <c:axId val="401865488"/>
        <c:scaling>
          <c:orientation val="minMax"/>
          <c:min val="3"/>
        </c:scaling>
        <c:delete val="0"/>
        <c:axPos val="l"/>
        <c:majorGridlines>
          <c:spPr>
            <a:ln w="9525" cap="flat" cmpd="sng" algn="ctr">
              <a:solidFill>
                <a:schemeClr val="tx2">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401867784"/>
        <c:crosses val="autoZero"/>
        <c:crossBetween val="between"/>
        <c:majorUnit val="1"/>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sr-Latn-ME" sz="1000"/>
              <a:t>Grafik 6: Kretanje realne ponderisane prosječne kamatne stope u periodu 2016-2023. god</a:t>
            </a:r>
            <a:endParaRPr lang="en-US" sz="1000"/>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lineChart>
        <c:grouping val="stacked"/>
        <c:varyColors val="0"/>
        <c:ser>
          <c:idx val="0"/>
          <c:order val="0"/>
          <c:spPr>
            <a:ln w="31750" cap="rnd">
              <a:solidFill>
                <a:schemeClr val="accent1"/>
              </a:solidFill>
              <a:round/>
            </a:ln>
            <a:effectLst>
              <a:outerShdw blurRad="40000" dist="23000" dir="5400000" rotWithShape="0">
                <a:srgbClr val="000000">
                  <a:alpha val="35000"/>
                </a:srgbClr>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'prosječna ročnost i KS'!$C$4:$J$4</c:f>
              <c:numCache>
                <c:formatCode>General</c:formatCode>
                <c:ptCount val="7"/>
                <c:pt idx="0">
                  <c:v>2016</c:v>
                </c:pt>
                <c:pt idx="1">
                  <c:v>2017</c:v>
                </c:pt>
                <c:pt idx="2">
                  <c:v>2018</c:v>
                </c:pt>
                <c:pt idx="3">
                  <c:v>2019</c:v>
                </c:pt>
                <c:pt idx="4">
                  <c:v>2020</c:v>
                </c:pt>
                <c:pt idx="5">
                  <c:v>2021</c:v>
                </c:pt>
                <c:pt idx="6">
                  <c:v>2022</c:v>
                </c:pt>
              </c:numCache>
            </c:numRef>
          </c:cat>
          <c:val>
            <c:numRef>
              <c:f>'prosječna ročnost i KS'!$C$5:$J$5</c:f>
              <c:numCache>
                <c:formatCode>0.0</c:formatCode>
                <c:ptCount val="7"/>
                <c:pt idx="0">
                  <c:v>3.7</c:v>
                </c:pt>
                <c:pt idx="1">
                  <c:v>3.1</c:v>
                </c:pt>
                <c:pt idx="2">
                  <c:v>3</c:v>
                </c:pt>
                <c:pt idx="3">
                  <c:v>2.8</c:v>
                </c:pt>
                <c:pt idx="4">
                  <c:v>2.65</c:v>
                </c:pt>
                <c:pt idx="5">
                  <c:v>2.2000000000000002</c:v>
                </c:pt>
                <c:pt idx="6">
                  <c:v>2.2799999999999998</c:v>
                </c:pt>
              </c:numCache>
            </c:numRef>
          </c:val>
          <c:smooth val="0"/>
          <c:extLst>
            <c:ext xmlns:c16="http://schemas.microsoft.com/office/drawing/2014/chart" uri="{C3380CC4-5D6E-409C-BE32-E72D297353CC}">
              <c16:uniqueId val="{00000000-5509-4F73-86DD-8EF991C9BEF5}"/>
            </c:ext>
          </c:extLst>
        </c:ser>
        <c:dLbls>
          <c:dLblPos val="ctr"/>
          <c:showLegendKey val="0"/>
          <c:showVal val="1"/>
          <c:showCatName val="0"/>
          <c:showSerName val="0"/>
          <c:showPercent val="0"/>
          <c:showBubbleSize val="0"/>
        </c:dLbls>
        <c:smooth val="0"/>
        <c:axId val="380608024"/>
        <c:axId val="380613600"/>
      </c:lineChart>
      <c:catAx>
        <c:axId val="380608024"/>
        <c:scaling>
          <c:orientation val="minMax"/>
        </c:scaling>
        <c:delete val="0"/>
        <c:axPos val="b"/>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380613600"/>
        <c:crosses val="autoZero"/>
        <c:auto val="1"/>
        <c:lblAlgn val="ctr"/>
        <c:lblOffset val="100"/>
        <c:noMultiLvlLbl val="0"/>
      </c:catAx>
      <c:valAx>
        <c:axId val="380613600"/>
        <c:scaling>
          <c:orientation val="minMax"/>
          <c:max val="4"/>
          <c:min val="2"/>
        </c:scaling>
        <c:delete val="0"/>
        <c:axPos val="l"/>
        <c:majorGridlines>
          <c:spPr>
            <a:ln w="9525" cap="flat" cmpd="sng" algn="ctr">
              <a:solidFill>
                <a:schemeClr val="tx2">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380608024"/>
        <c:crosses val="autoZero"/>
        <c:crossBetween val="between"/>
        <c:majorUnit val="0.5"/>
      </c:valAx>
      <c:spPr>
        <a:noFill/>
        <a:ln>
          <a:noFill/>
        </a:ln>
        <a:effectLst/>
      </c:spPr>
    </c:plotArea>
    <c:plotVisOnly val="1"/>
    <c:dispBlanksAs val="zero"/>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373136301759198"/>
          <c:y val="2.4064261161834695E-2"/>
          <c:w val="0.87125140924464506"/>
          <c:h val="0.73563218390804597"/>
        </c:manualLayout>
      </c:layout>
      <c:barChart>
        <c:barDir val="col"/>
        <c:grouping val="clustered"/>
        <c:varyColors val="0"/>
        <c:ser>
          <c:idx val="0"/>
          <c:order val="0"/>
          <c:tx>
            <c:strRef>
              <c:f>'Ino garancije i grafik TOTAL'!$A$67:$B$67</c:f>
              <c:strCache>
                <c:ptCount val="2"/>
                <c:pt idx="0">
                  <c:v>Ino garancije</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spc="-1" baseline="0">
                    <a:solidFill>
                      <a:srgbClr val="404040"/>
                    </a:solidFill>
                    <a:latin typeface="Calibri"/>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'Ino garancije i grafik TOTAL'!$C$66:$F$66</c:f>
              <c:strCache>
                <c:ptCount val="3"/>
                <c:pt idx="0">
                  <c:v>Ugovoreni iznos</c:v>
                </c:pt>
                <c:pt idx="1">
                  <c:v>Povučeno do 30.09.2023 godine</c:v>
                </c:pt>
                <c:pt idx="2">
                  <c:v>Stanje duga</c:v>
                </c:pt>
              </c:strCache>
            </c:strRef>
          </c:cat>
          <c:val>
            <c:numRef>
              <c:f>'Ino garancije i grafik TOTAL'!$C$67:$F$67</c:f>
              <c:numCache>
                <c:formatCode>0.00</c:formatCode>
                <c:ptCount val="3"/>
                <c:pt idx="0">
                  <c:v>564.09</c:v>
                </c:pt>
                <c:pt idx="1">
                  <c:v>442.67</c:v>
                </c:pt>
                <c:pt idx="2">
                  <c:v>130.35</c:v>
                </c:pt>
              </c:numCache>
            </c:numRef>
          </c:val>
          <c:extLst>
            <c:ext xmlns:c16="http://schemas.microsoft.com/office/drawing/2014/chart" uri="{C3380CC4-5D6E-409C-BE32-E72D297353CC}">
              <c16:uniqueId val="{00000000-9CCF-4F48-BA70-54D87D84E4B4}"/>
            </c:ext>
          </c:extLst>
        </c:ser>
        <c:ser>
          <c:idx val="1"/>
          <c:order val="1"/>
          <c:tx>
            <c:strRef>
              <c:f>'Ino garancije i grafik TOTAL'!$A$68:$B$68</c:f>
              <c:strCache>
                <c:ptCount val="2"/>
                <c:pt idx="0">
                  <c:v>Domaće garancije</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spc="-1" baseline="0">
                    <a:solidFill>
                      <a:srgbClr val="404040"/>
                    </a:solidFill>
                    <a:latin typeface="Calibri"/>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'Ino garancije i grafik TOTAL'!$C$66:$F$66</c:f>
              <c:strCache>
                <c:ptCount val="3"/>
                <c:pt idx="0">
                  <c:v>Ugovoreni iznos</c:v>
                </c:pt>
                <c:pt idx="1">
                  <c:v>Povučeno do 30.09.2023 godine</c:v>
                </c:pt>
                <c:pt idx="2">
                  <c:v>Stanje duga</c:v>
                </c:pt>
              </c:strCache>
            </c:strRef>
          </c:cat>
          <c:val>
            <c:numRef>
              <c:f>'Ino garancije i grafik TOTAL'!$C$68:$F$68</c:f>
              <c:numCache>
                <c:formatCode>0.00</c:formatCode>
                <c:ptCount val="3"/>
                <c:pt idx="0">
                  <c:v>66.040000000000006</c:v>
                </c:pt>
                <c:pt idx="1">
                  <c:v>65.180000000000007</c:v>
                </c:pt>
                <c:pt idx="2">
                  <c:v>27.48</c:v>
                </c:pt>
              </c:numCache>
            </c:numRef>
          </c:val>
          <c:extLst>
            <c:ext xmlns:c16="http://schemas.microsoft.com/office/drawing/2014/chart" uri="{C3380CC4-5D6E-409C-BE32-E72D297353CC}">
              <c16:uniqueId val="{00000001-9CCF-4F48-BA70-54D87D84E4B4}"/>
            </c:ext>
          </c:extLst>
        </c:ser>
        <c:dLbls>
          <c:showLegendKey val="0"/>
          <c:showVal val="0"/>
          <c:showCatName val="0"/>
          <c:showSerName val="0"/>
          <c:showPercent val="0"/>
          <c:showBubbleSize val="0"/>
        </c:dLbls>
        <c:gapWidth val="164"/>
        <c:overlap val="-22"/>
        <c:axId val="134845952"/>
        <c:axId val="134847488"/>
      </c:barChart>
      <c:scatterChart>
        <c:scatterStyle val="lineMarker"/>
        <c:varyColors val="0"/>
        <c:ser>
          <c:idx val="2"/>
          <c:order val="2"/>
          <c:tx>
            <c:strRef>
              <c:f>'Ino garancije i grafik TOTAL'!$A$69:$B$69</c:f>
              <c:strCache>
                <c:ptCount val="2"/>
                <c:pt idx="0">
                  <c:v>Total</c:v>
                </c:pt>
              </c:strCache>
            </c:strRef>
          </c:tx>
          <c:spPr>
            <a:ln w="25560" cap="rnd" cmpd="sng" algn="ctr">
              <a:noFill/>
              <a:prstDash val="solid"/>
              <a:round/>
            </a:ln>
            <a:effectLst/>
          </c:spPr>
          <c:marker>
            <c:symbol val="circle"/>
            <c:size val="6"/>
            <c:spPr>
              <a:solidFill>
                <a:schemeClr val="accent6"/>
              </a:solidFill>
              <a:ln w="6350" cap="flat" cmpd="sng" algn="ctr">
                <a:solidFill>
                  <a:schemeClr val="accent6"/>
                </a:solidFill>
                <a:prstDash val="solid"/>
                <a:round/>
              </a:ln>
              <a:effectLst/>
            </c:spPr>
          </c:marker>
          <c:dLbls>
            <c:spPr>
              <a:noFill/>
              <a:ln>
                <a:noFill/>
              </a:ln>
              <a:effectLst/>
            </c:spPr>
            <c:txPr>
              <a:bodyPr rot="0" spcFirstLastPara="1" vertOverflow="ellipsis" vert="horz" wrap="square" anchor="ctr" anchorCtr="1"/>
              <a:lstStyle/>
              <a:p>
                <a:pPr>
                  <a:defRPr sz="900" b="1" i="0" u="none" strike="noStrike" kern="1200" spc="-1" baseline="0">
                    <a:solidFill>
                      <a:srgbClr val="404040"/>
                    </a:solidFill>
                    <a:latin typeface="Calibri"/>
                    <a:ea typeface="+mn-ea"/>
                    <a:cs typeface="+mn-cs"/>
                  </a:defRPr>
                </a:pPr>
                <a:endParaRPr lang="en-US"/>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xVal>
            <c:strRef>
              <c:f>'Ino garancije i grafik TOTAL'!$C$66:$F$66</c:f>
              <c:strCache>
                <c:ptCount val="3"/>
                <c:pt idx="0">
                  <c:v>Ugovoreni iznos</c:v>
                </c:pt>
                <c:pt idx="1">
                  <c:v>Povučeno do 30.09.2023 godine</c:v>
                </c:pt>
                <c:pt idx="2">
                  <c:v>Stanje duga</c:v>
                </c:pt>
              </c:strCache>
            </c:strRef>
          </c:xVal>
          <c:yVal>
            <c:numRef>
              <c:f>'Ino garancije i grafik TOTAL'!$C$69:$F$69</c:f>
              <c:numCache>
                <c:formatCode>0.00</c:formatCode>
                <c:ptCount val="3"/>
                <c:pt idx="0">
                  <c:v>630.13</c:v>
                </c:pt>
                <c:pt idx="1">
                  <c:v>507.85</c:v>
                </c:pt>
                <c:pt idx="2">
                  <c:v>157.82999999999998</c:v>
                </c:pt>
              </c:numCache>
            </c:numRef>
          </c:yVal>
          <c:smooth val="0"/>
          <c:extLst>
            <c:ext xmlns:c16="http://schemas.microsoft.com/office/drawing/2014/chart" uri="{C3380CC4-5D6E-409C-BE32-E72D297353CC}">
              <c16:uniqueId val="{00000002-9CCF-4F48-BA70-54D87D84E4B4}"/>
            </c:ext>
          </c:extLst>
        </c:ser>
        <c:dLbls>
          <c:showLegendKey val="0"/>
          <c:showVal val="0"/>
          <c:showCatName val="0"/>
          <c:showSerName val="0"/>
          <c:showPercent val="0"/>
          <c:showBubbleSize val="0"/>
        </c:dLbls>
        <c:axId val="97452800"/>
        <c:axId val="97454336"/>
      </c:scatterChart>
      <c:catAx>
        <c:axId val="134845952"/>
        <c:scaling>
          <c:orientation val="minMax"/>
        </c:scaling>
        <c:delete val="0"/>
        <c:axPos val="b"/>
        <c:numFmt formatCode="General" sourceLinked="1"/>
        <c:majorTickMark val="none"/>
        <c:minorTickMark val="none"/>
        <c:tickLblPos val="nextTo"/>
        <c:spPr>
          <a:noFill/>
          <a:ln w="19080" cap="flat" cmpd="sng" algn="ctr">
            <a:solidFill>
              <a:srgbClr val="BFBFBF"/>
            </a:solidFill>
            <a:prstDash val="solid"/>
            <a:round/>
          </a:ln>
          <a:effectLst/>
        </c:spPr>
        <c:txPr>
          <a:bodyPr rot="-60000000" spcFirstLastPara="1" vertOverflow="ellipsis" vert="horz" wrap="square" anchor="ctr" anchorCtr="1"/>
          <a:lstStyle/>
          <a:p>
            <a:pPr>
              <a:defRPr sz="900" b="0" i="0" u="none" strike="noStrike" kern="1200" spc="-1" baseline="0">
                <a:solidFill>
                  <a:srgbClr val="595959"/>
                </a:solidFill>
                <a:latin typeface="Calibri"/>
                <a:ea typeface="+mn-ea"/>
                <a:cs typeface="+mn-cs"/>
              </a:defRPr>
            </a:pPr>
            <a:endParaRPr lang="en-US"/>
          </a:p>
        </c:txPr>
        <c:crossAx val="134847488"/>
        <c:crossesAt val="0"/>
        <c:auto val="1"/>
        <c:lblAlgn val="ctr"/>
        <c:lblOffset val="100"/>
        <c:noMultiLvlLbl val="0"/>
      </c:catAx>
      <c:valAx>
        <c:axId val="134847488"/>
        <c:scaling>
          <c:orientation val="minMax"/>
        </c:scaling>
        <c:delete val="0"/>
        <c:axPos val="l"/>
        <c:majorGridlines>
          <c:spPr>
            <a:ln w="6480" cap="flat" cmpd="sng" algn="ctr">
              <a:solidFill>
                <a:srgbClr val="D9D9D9"/>
              </a:solidFill>
              <a:prstDash val="solid"/>
              <a:round/>
            </a:ln>
            <a:effectLst/>
          </c:spPr>
        </c:majorGridlines>
        <c:numFmt formatCode="0.0" sourceLinked="0"/>
        <c:majorTickMark val="none"/>
        <c:minorTickMark val="none"/>
        <c:tickLblPos val="nextTo"/>
        <c:spPr>
          <a:noFill/>
          <a:ln w="6480" cap="flat" cmpd="sng" algn="ctr">
            <a:noFill/>
            <a:prstDash val="solid"/>
            <a:round/>
          </a:ln>
          <a:effectLst/>
        </c:spPr>
        <c:txPr>
          <a:bodyPr rot="-60000000" spcFirstLastPara="1" vertOverflow="ellipsis" vert="horz" wrap="square" anchor="ctr" anchorCtr="1"/>
          <a:lstStyle/>
          <a:p>
            <a:pPr>
              <a:defRPr sz="900" b="0" i="0" u="none" strike="noStrike" kern="1200" spc="-1" baseline="0">
                <a:solidFill>
                  <a:srgbClr val="595959"/>
                </a:solidFill>
                <a:latin typeface="Calibri"/>
                <a:ea typeface="+mn-ea"/>
                <a:cs typeface="+mn-cs"/>
              </a:defRPr>
            </a:pPr>
            <a:endParaRPr lang="en-US"/>
          </a:p>
        </c:txPr>
        <c:crossAx val="134845952"/>
        <c:crosses val="autoZero"/>
        <c:crossBetween val="between"/>
      </c:valAx>
      <c:catAx>
        <c:axId val="97452800"/>
        <c:scaling>
          <c:orientation val="minMax"/>
        </c:scaling>
        <c:delete val="1"/>
        <c:axPos val="b"/>
        <c:numFmt formatCode="General" sourceLinked="1"/>
        <c:majorTickMark val="none"/>
        <c:minorTickMark val="none"/>
        <c:tickLblPos val="nextTo"/>
        <c:crossAx val="97454336"/>
        <c:crosses val="autoZero"/>
        <c:auto val="1"/>
        <c:lblAlgn val="ctr"/>
        <c:lblOffset val="100"/>
        <c:noMultiLvlLbl val="0"/>
      </c:catAx>
      <c:valAx>
        <c:axId val="97454336"/>
        <c:scaling>
          <c:orientation val="minMax"/>
        </c:scaling>
        <c:delete val="1"/>
        <c:axPos val="l"/>
        <c:majorGridlines>
          <c:spPr>
            <a:ln w="6480" cap="flat" cmpd="sng" algn="ctr">
              <a:solidFill>
                <a:srgbClr val="D9D9D9"/>
              </a:solidFill>
              <a:prstDash val="solid"/>
              <a:round/>
            </a:ln>
            <a:effectLst/>
          </c:spPr>
        </c:majorGridlines>
        <c:numFmt formatCode="0.0" sourceLinked="0"/>
        <c:majorTickMark val="none"/>
        <c:minorTickMark val="none"/>
        <c:tickLblPos val="nextTo"/>
        <c:crossAx val="974528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spc="-1" baseline="0">
              <a:solidFill>
                <a:srgbClr val="595959"/>
              </a:solidFill>
              <a:latin typeface="Calibri"/>
              <a:ea typeface="+mn-ea"/>
              <a:cs typeface="+mn-cs"/>
            </a:defRPr>
          </a:pPr>
          <a:endParaRPr lang="en-US"/>
        </a:p>
      </c:txPr>
    </c:legend>
    <c:plotVisOnly val="1"/>
    <c:dispBlanksAs val="gap"/>
    <c:showDLblsOverMax val="0"/>
  </c:chart>
  <c:spPr>
    <a:solidFill>
      <a:srgbClr val="FFFFFF"/>
    </a:solidFill>
    <a:ln w="9360" cap="flat" cmpd="sng" algn="ctr">
      <a:solidFill>
        <a:srgbClr val="D9D9D9"/>
      </a:solidFill>
      <a:prstDash val="solid"/>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700" b="0" i="0" u="none" strike="noStrike" kern="1200" cap="none" spc="20" baseline="0">
                <a:solidFill>
                  <a:schemeClr val="dk1">
                    <a:lumMod val="50000"/>
                    <a:lumOff val="50000"/>
                  </a:schemeClr>
                </a:solidFill>
                <a:latin typeface="+mn-lt"/>
                <a:ea typeface="+mn-ea"/>
                <a:cs typeface="+mn-cs"/>
              </a:defRPr>
            </a:pPr>
            <a:r>
              <a:rPr lang="sr-Latn-ME" sz="700"/>
              <a:t>ULC nominalni, realni 2010=100</a:t>
            </a:r>
            <a:endParaRPr lang="en-US" sz="700"/>
          </a:p>
        </c:rich>
      </c:tx>
      <c:layout>
        <c:manualLayout>
          <c:xMode val="edge"/>
          <c:yMode val="edge"/>
          <c:x val="0.25688715739800816"/>
          <c:y val="3.0923850019327407E-2"/>
        </c:manualLayout>
      </c:layout>
      <c:overlay val="0"/>
      <c:spPr>
        <a:noFill/>
        <a:ln>
          <a:noFill/>
        </a:ln>
        <a:effectLst/>
      </c:spPr>
    </c:title>
    <c:autoTitleDeleted val="0"/>
    <c:plotArea>
      <c:layout>
        <c:manualLayout>
          <c:layoutTarget val="inner"/>
          <c:xMode val="edge"/>
          <c:yMode val="edge"/>
          <c:x val="0.10538188976377953"/>
          <c:y val="0.10389865743009415"/>
          <c:w val="0.88389129483814588"/>
          <c:h val="0.64255377432285599"/>
        </c:manualLayout>
      </c:layout>
      <c:lineChart>
        <c:grouping val="standard"/>
        <c:varyColors val="0"/>
        <c:ser>
          <c:idx val="0"/>
          <c:order val="0"/>
          <c:tx>
            <c:strRef>
              <c:f>'ULC1'!$N$3</c:f>
              <c:strCache>
                <c:ptCount val="1"/>
                <c:pt idx="0">
                  <c:v>ULC nom</c:v>
                </c:pt>
              </c:strCache>
            </c:strRef>
          </c:tx>
          <c:spPr>
            <a:ln w="22225" cap="rnd" cmpd="sng" algn="ctr">
              <a:solidFill>
                <a:schemeClr val="accent1"/>
              </a:solidFill>
              <a:round/>
            </a:ln>
            <a:effectLst/>
          </c:spPr>
          <c:marker>
            <c:symbol val="none"/>
          </c:marker>
          <c:dLbls>
            <c:delete val="1"/>
          </c:dLbls>
          <c:cat>
            <c:numRef>
              <c:f>'ULC1'!$C$5:$C$21</c:f>
              <c:numCache>
                <c:formatCode>General</c:formatCode>
                <c:ptCount val="17"/>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pt idx="16">
                  <c:v>2026</c:v>
                </c:pt>
              </c:numCache>
            </c:numRef>
          </c:cat>
          <c:val>
            <c:numRef>
              <c:f>'ULC1'!$U$5:$U$21</c:f>
              <c:numCache>
                <c:formatCode>General</c:formatCode>
                <c:ptCount val="17"/>
                <c:pt idx="0">
                  <c:v>100</c:v>
                </c:pt>
                <c:pt idx="1">
                  <c:v>90.47276991808539</c:v>
                </c:pt>
                <c:pt idx="2">
                  <c:v>95.869340641674611</c:v>
                </c:pt>
                <c:pt idx="3">
                  <c:v>90.613628808319518</c:v>
                </c:pt>
                <c:pt idx="4">
                  <c:v>94.789866200208422</c:v>
                </c:pt>
                <c:pt idx="5">
                  <c:v>92.221059104653961</c:v>
                </c:pt>
                <c:pt idx="6">
                  <c:v>89.28351621281702</c:v>
                </c:pt>
                <c:pt idx="7">
                  <c:v>85.545065291889827</c:v>
                </c:pt>
                <c:pt idx="8">
                  <c:v>81.925431562991051</c:v>
                </c:pt>
                <c:pt idx="9">
                  <c:v>78.531293417019242</c:v>
                </c:pt>
                <c:pt idx="10">
                  <c:v>84.655276735252443</c:v>
                </c:pt>
                <c:pt idx="11">
                  <c:v>70.192248070523604</c:v>
                </c:pt>
                <c:pt idx="12">
                  <c:v>75.562384700916354</c:v>
                </c:pt>
                <c:pt idx="13">
                  <c:v>82.571783531643646</c:v>
                </c:pt>
                <c:pt idx="14">
                  <c:v>83.436249699158267</c:v>
                </c:pt>
                <c:pt idx="15">
                  <c:v>83.673845406443291</c:v>
                </c:pt>
                <c:pt idx="16">
                  <c:v>84.470082723450659</c:v>
                </c:pt>
              </c:numCache>
            </c:numRef>
          </c:val>
          <c:smooth val="1"/>
          <c:extLst>
            <c:ext xmlns:c16="http://schemas.microsoft.com/office/drawing/2014/chart" uri="{C3380CC4-5D6E-409C-BE32-E72D297353CC}">
              <c16:uniqueId val="{00000000-EDAC-4388-89BE-1709C2B139EF}"/>
            </c:ext>
          </c:extLst>
        </c:ser>
        <c:ser>
          <c:idx val="1"/>
          <c:order val="1"/>
          <c:tx>
            <c:strRef>
              <c:f>'ULC1'!$O$3</c:f>
              <c:strCache>
                <c:ptCount val="1"/>
                <c:pt idx="0">
                  <c:v>ULC real</c:v>
                </c:pt>
              </c:strCache>
            </c:strRef>
          </c:tx>
          <c:spPr>
            <a:ln w="22225" cap="rnd" cmpd="sng" algn="ctr">
              <a:solidFill>
                <a:schemeClr val="accent2"/>
              </a:solidFill>
              <a:round/>
            </a:ln>
            <a:effectLst/>
          </c:spPr>
          <c:marker>
            <c:symbol val="none"/>
          </c:marker>
          <c:dLbls>
            <c:delete val="1"/>
          </c:dLbls>
          <c:cat>
            <c:numRef>
              <c:f>'ULC1'!$C$5:$C$21</c:f>
              <c:numCache>
                <c:formatCode>General</c:formatCode>
                <c:ptCount val="17"/>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pt idx="16">
                  <c:v>2026</c:v>
                </c:pt>
              </c:numCache>
            </c:numRef>
          </c:cat>
          <c:val>
            <c:numRef>
              <c:f>'ULC1'!$V$5:$V$21</c:f>
              <c:numCache>
                <c:formatCode>General</c:formatCode>
                <c:ptCount val="17"/>
                <c:pt idx="0">
                  <c:v>100</c:v>
                </c:pt>
                <c:pt idx="1">
                  <c:v>88.507521235568163</c:v>
                </c:pt>
                <c:pt idx="2">
                  <c:v>90.213453932001372</c:v>
                </c:pt>
                <c:pt idx="3">
                  <c:v>85.151773022227559</c:v>
                </c:pt>
                <c:pt idx="4">
                  <c:v>90.642222162422712</c:v>
                </c:pt>
                <c:pt idx="5">
                  <c:v>88.768682753402913</c:v>
                </c:pt>
                <c:pt idx="6">
                  <c:v>90.570860858273861</c:v>
                </c:pt>
                <c:pt idx="7">
                  <c:v>88.003509353587248</c:v>
                </c:pt>
                <c:pt idx="8">
                  <c:v>84.793962487953024</c:v>
                </c:pt>
                <c:pt idx="9">
                  <c:v>82.594234571817154</c:v>
                </c:pt>
                <c:pt idx="10">
                  <c:v>89.14616097116533</c:v>
                </c:pt>
                <c:pt idx="11">
                  <c:v>75.595035723828303</c:v>
                </c:pt>
                <c:pt idx="12">
                  <c:v>80.914222756843671</c:v>
                </c:pt>
                <c:pt idx="13">
                  <c:v>85.664606037298981</c:v>
                </c:pt>
                <c:pt idx="14" formatCode="0.0000">
                  <c:v>84.346895698994345</c:v>
                </c:pt>
                <c:pt idx="15" formatCode="0.0000">
                  <c:v>83.855057266069906</c:v>
                </c:pt>
                <c:pt idx="16" formatCode="0.0000">
                  <c:v>84.089738990426255</c:v>
                </c:pt>
              </c:numCache>
            </c:numRef>
          </c:val>
          <c:smooth val="1"/>
          <c:extLst>
            <c:ext xmlns:c16="http://schemas.microsoft.com/office/drawing/2014/chart" uri="{C3380CC4-5D6E-409C-BE32-E72D297353CC}">
              <c16:uniqueId val="{00000001-EDAC-4388-89BE-1709C2B139EF}"/>
            </c:ext>
          </c:extLst>
        </c:ser>
        <c:dLbls>
          <c:showLegendKey val="0"/>
          <c:showVal val="1"/>
          <c:showCatName val="0"/>
          <c:showSerName val="0"/>
          <c:showPercent val="0"/>
          <c:showBubbleSize val="0"/>
        </c:dLbls>
        <c:smooth val="0"/>
        <c:axId val="212198912"/>
        <c:axId val="212200448"/>
      </c:lineChart>
      <c:catAx>
        <c:axId val="212198912"/>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700" b="0" i="0" u="none" strike="noStrike" kern="1200" spc="20" baseline="0">
                <a:solidFill>
                  <a:schemeClr val="dk1">
                    <a:lumMod val="65000"/>
                    <a:lumOff val="35000"/>
                  </a:schemeClr>
                </a:solidFill>
                <a:latin typeface="+mn-lt"/>
                <a:ea typeface="+mn-ea"/>
                <a:cs typeface="+mn-cs"/>
              </a:defRPr>
            </a:pPr>
            <a:endParaRPr lang="en-US"/>
          </a:p>
        </c:txPr>
        <c:crossAx val="212200448"/>
        <c:crosses val="autoZero"/>
        <c:auto val="1"/>
        <c:lblAlgn val="ctr"/>
        <c:lblOffset val="100"/>
        <c:tickLblSkip val="2"/>
        <c:tickMarkSkip val="4"/>
        <c:noMultiLvlLbl val="0"/>
      </c:catAx>
      <c:valAx>
        <c:axId val="212200448"/>
        <c:scaling>
          <c:orientation val="minMax"/>
          <c:max val="100"/>
          <c:min val="70"/>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spc="20" baseline="0">
                <a:solidFill>
                  <a:schemeClr val="dk1">
                    <a:lumMod val="65000"/>
                    <a:lumOff val="35000"/>
                  </a:schemeClr>
                </a:solidFill>
                <a:latin typeface="+mn-lt"/>
                <a:ea typeface="+mn-ea"/>
                <a:cs typeface="+mn-cs"/>
              </a:defRPr>
            </a:pPr>
            <a:endParaRPr lang="en-US"/>
          </a:p>
        </c:txPr>
        <c:crossAx val="212198912"/>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layout>
        <c:manualLayout>
          <c:xMode val="edge"/>
          <c:yMode val="edge"/>
          <c:x val="0.10777213823881771"/>
          <c:y val="0.8684780656766572"/>
          <c:w val="0.6450826388888895"/>
          <c:h val="6.9674444444444428E-2"/>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noFill/>
      <a:round/>
    </a:ln>
    <a:effectLst/>
  </c:spPr>
  <c:txPr>
    <a:bodyPr/>
    <a:lstStyle/>
    <a:p>
      <a:pPr>
        <a:defRPr/>
      </a:pPr>
      <a:endParaRPr lang="en-US"/>
    </a:p>
  </c:tx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r>
              <a:rPr lang="sr-Latn-ME" sz="900" b="0"/>
              <a:t>Produktivnost 2007=100</a:t>
            </a:r>
            <a:endParaRPr lang="en-US" sz="900" b="0"/>
          </a:p>
        </c:rich>
      </c:tx>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title>
    <c:autoTitleDeleted val="0"/>
    <c:plotArea>
      <c:layout/>
      <c:lineChart>
        <c:grouping val="standard"/>
        <c:varyColors val="0"/>
        <c:ser>
          <c:idx val="0"/>
          <c:order val="0"/>
          <c:spPr>
            <a:ln w="31750" cap="rnd">
              <a:solidFill>
                <a:schemeClr val="accent1"/>
              </a:solidFill>
              <a:round/>
            </a:ln>
            <a:effectLst/>
          </c:spPr>
          <c:marker>
            <c:symbol val="none"/>
          </c:marker>
          <c:cat>
            <c:numRef>
              <c:f>Sheet1!$B$5:$U$5</c:f>
              <c:numCache>
                <c:formatCode>General</c:formatCode>
                <c:ptCount val="20"/>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pt idx="15">
                  <c:v>2022</c:v>
                </c:pt>
                <c:pt idx="16">
                  <c:v>2023</c:v>
                </c:pt>
                <c:pt idx="17">
                  <c:v>2024</c:v>
                </c:pt>
                <c:pt idx="18">
                  <c:v>2025</c:v>
                </c:pt>
                <c:pt idx="19">
                  <c:v>2026</c:v>
                </c:pt>
              </c:numCache>
            </c:numRef>
          </c:cat>
          <c:val>
            <c:numRef>
              <c:f>Sheet1!$B$14:$U$14</c:f>
              <c:numCache>
                <c:formatCode>0.0</c:formatCode>
                <c:ptCount val="20"/>
                <c:pt idx="0">
                  <c:v>100</c:v>
                </c:pt>
                <c:pt idx="1">
                  <c:v>104.22161715492375</c:v>
                </c:pt>
                <c:pt idx="2">
                  <c:v>100.93798058300949</c:v>
                </c:pt>
                <c:pt idx="3">
                  <c:v>106.0394549998932</c:v>
                </c:pt>
                <c:pt idx="4">
                  <c:v>116.62030883435233</c:v>
                </c:pt>
                <c:pt idx="5">
                  <c:v>111.00079682941231</c:v>
                </c:pt>
                <c:pt idx="6">
                  <c:v>113.64537331726454</c:v>
                </c:pt>
                <c:pt idx="7">
                  <c:v>108.02341776096382</c:v>
                </c:pt>
                <c:pt idx="8">
                  <c:v>108.95257059235344</c:v>
                </c:pt>
                <c:pt idx="9">
                  <c:v>110.89031544182953</c:v>
                </c:pt>
                <c:pt idx="10">
                  <c:v>113.56275498458885</c:v>
                </c:pt>
                <c:pt idx="11">
                  <c:v>115.23319514568577</c:v>
                </c:pt>
                <c:pt idx="12">
                  <c:v>116.75547997434441</c:v>
                </c:pt>
                <c:pt idx="13">
                  <c:v>109.90348674904355</c:v>
                </c:pt>
                <c:pt idx="14">
                  <c:v>128.21248811291323</c:v>
                </c:pt>
                <c:pt idx="15">
                  <c:v>115.48092064185794</c:v>
                </c:pt>
                <c:pt idx="16">
                  <c:v>111.57889387633695</c:v>
                </c:pt>
                <c:pt idx="17">
                  <c:v>113.32203641618976</c:v>
                </c:pt>
                <c:pt idx="18">
                  <c:v>114.64814028314395</c:v>
                </c:pt>
                <c:pt idx="19">
                  <c:v>116.00126992885296</c:v>
                </c:pt>
              </c:numCache>
            </c:numRef>
          </c:val>
          <c:smooth val="0"/>
          <c:extLst>
            <c:ext xmlns:c16="http://schemas.microsoft.com/office/drawing/2014/chart" uri="{C3380CC4-5D6E-409C-BE32-E72D297353CC}">
              <c16:uniqueId val="{00000000-3B3D-490B-9834-4AB129ACCF89}"/>
            </c:ext>
          </c:extLst>
        </c:ser>
        <c:dLbls>
          <c:showLegendKey val="0"/>
          <c:showVal val="0"/>
          <c:showCatName val="0"/>
          <c:showSerName val="0"/>
          <c:showPercent val="0"/>
          <c:showBubbleSize val="0"/>
        </c:dLbls>
        <c:smooth val="0"/>
        <c:axId val="1508036960"/>
        <c:axId val="1511225232"/>
      </c:lineChart>
      <c:catAx>
        <c:axId val="1508036960"/>
        <c:scaling>
          <c:orientation val="minMax"/>
        </c:scaling>
        <c:delete val="0"/>
        <c:axPos val="b"/>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511225232"/>
        <c:crosses val="autoZero"/>
        <c:auto val="1"/>
        <c:lblAlgn val="ctr"/>
        <c:lblOffset val="100"/>
        <c:tickLblSkip val="3"/>
        <c:noMultiLvlLbl val="0"/>
      </c:catAx>
      <c:valAx>
        <c:axId val="1511225232"/>
        <c:scaling>
          <c:orientation val="minMax"/>
          <c:min val="100"/>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50803696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'Scenarios Summary'!$R$10</c:f>
              <c:strCache>
                <c:ptCount val="1"/>
                <c:pt idx="0">
                  <c:v>Osnovni scenario (2022=100)</c:v>
                </c:pt>
              </c:strCache>
            </c:strRef>
          </c:tx>
          <c:spPr>
            <a:ln w="28575" cap="rnd">
              <a:solidFill>
                <a:schemeClr val="accent1"/>
              </a:solidFill>
              <a:round/>
            </a:ln>
            <a:effectLst/>
          </c:spPr>
          <c:marker>
            <c:symbol val="none"/>
          </c:marker>
          <c:dLbls>
            <c:dLbl>
              <c:idx val="1"/>
              <c:layout>
                <c:manualLayout>
                  <c:x val="-3.1225604996096799E-2"/>
                  <c:y val="-8.53138330286410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F69-451B-9E0B-33DD198D99A7}"/>
                </c:ext>
              </c:extLst>
            </c:dLbl>
            <c:dLbl>
              <c:idx val="2"/>
              <c:layout>
                <c:manualLayout>
                  <c:x val="-2.4980483996877439E-2"/>
                  <c:y val="-9.75015234613040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F69-451B-9E0B-33DD198D99A7}"/>
                </c:ext>
              </c:extLst>
            </c:dLbl>
            <c:dLbl>
              <c:idx val="3"/>
              <c:layout>
                <c:manualLayout>
                  <c:x val="-6.5573770491803282E-2"/>
                  <c:y val="-4.26569165143205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F69-451B-9E0B-33DD198D99A7}"/>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'Scenarios Summary'!$M$3:$P$3</c:f>
              <c:numCache>
                <c:formatCode>General</c:formatCode>
                <c:ptCount val="4"/>
                <c:pt idx="0">
                  <c:v>2022</c:v>
                </c:pt>
                <c:pt idx="1">
                  <c:v>2023</c:v>
                </c:pt>
                <c:pt idx="2">
                  <c:v>2024</c:v>
                </c:pt>
                <c:pt idx="3">
                  <c:v>2025</c:v>
                </c:pt>
              </c:numCache>
            </c:numRef>
          </c:cat>
          <c:val>
            <c:numRef>
              <c:f>'Scenarios Summary'!$S$4:$V$4</c:f>
              <c:numCache>
                <c:formatCode>General</c:formatCode>
                <c:ptCount val="4"/>
                <c:pt idx="0">
                  <c:v>100</c:v>
                </c:pt>
                <c:pt idx="1">
                  <c:v>111.82176583900217</c:v>
                </c:pt>
                <c:pt idx="2">
                  <c:v>118.73696128181204</c:v>
                </c:pt>
                <c:pt idx="3">
                  <c:v>125.328839016294</c:v>
                </c:pt>
              </c:numCache>
            </c:numRef>
          </c:val>
          <c:smooth val="0"/>
          <c:extLst>
            <c:ext xmlns:c16="http://schemas.microsoft.com/office/drawing/2014/chart" uri="{C3380CC4-5D6E-409C-BE32-E72D297353CC}">
              <c16:uniqueId val="{00000003-AF69-451B-9E0B-33DD198D99A7}"/>
            </c:ext>
          </c:extLst>
        </c:ser>
        <c:ser>
          <c:idx val="1"/>
          <c:order val="1"/>
          <c:tx>
            <c:strRef>
              <c:f>'Scenarios Summary'!$R$11</c:f>
              <c:strCache>
                <c:ptCount val="1"/>
                <c:pt idx="0">
                  <c:v>Sa neto efektima (2022=100)</c:v>
                </c:pt>
              </c:strCache>
            </c:strRef>
          </c:tx>
          <c:spPr>
            <a:ln w="28575" cap="rnd">
              <a:solidFill>
                <a:schemeClr val="accent2"/>
              </a:solidFill>
              <a:round/>
            </a:ln>
            <a:effectLst/>
          </c:spPr>
          <c:marker>
            <c:symbol val="none"/>
          </c:marker>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'Scenarios Summary'!$M$3:$P$3</c:f>
              <c:numCache>
                <c:formatCode>General</c:formatCode>
                <c:ptCount val="4"/>
                <c:pt idx="0">
                  <c:v>2022</c:v>
                </c:pt>
                <c:pt idx="1">
                  <c:v>2023</c:v>
                </c:pt>
                <c:pt idx="2">
                  <c:v>2024</c:v>
                </c:pt>
                <c:pt idx="3">
                  <c:v>2025</c:v>
                </c:pt>
              </c:numCache>
            </c:numRef>
          </c:cat>
          <c:val>
            <c:numRef>
              <c:f>'Scenarios Summary'!$S$5:$V$5</c:f>
              <c:numCache>
                <c:formatCode>General</c:formatCode>
                <c:ptCount val="4"/>
                <c:pt idx="0">
                  <c:v>100</c:v>
                </c:pt>
                <c:pt idx="1">
                  <c:v>111.37447877564617</c:v>
                </c:pt>
                <c:pt idx="2">
                  <c:v>117.78706559155754</c:v>
                </c:pt>
                <c:pt idx="3">
                  <c:v>123.3235775920333</c:v>
                </c:pt>
              </c:numCache>
            </c:numRef>
          </c:val>
          <c:smooth val="0"/>
          <c:extLst>
            <c:ext xmlns:c16="http://schemas.microsoft.com/office/drawing/2014/chart" uri="{C3380CC4-5D6E-409C-BE32-E72D297353CC}">
              <c16:uniqueId val="{00000004-AF69-451B-9E0B-33DD198D99A7}"/>
            </c:ext>
          </c:extLst>
        </c:ser>
        <c:dLbls>
          <c:showLegendKey val="0"/>
          <c:showVal val="0"/>
          <c:showCatName val="0"/>
          <c:showSerName val="0"/>
          <c:showPercent val="0"/>
          <c:showBubbleSize val="0"/>
        </c:dLbls>
        <c:smooth val="0"/>
        <c:axId val="651008175"/>
        <c:axId val="165512303"/>
      </c:lineChart>
      <c:catAx>
        <c:axId val="6510081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5512303"/>
        <c:crosses val="autoZero"/>
        <c:auto val="1"/>
        <c:lblAlgn val="ctr"/>
        <c:lblOffset val="100"/>
        <c:noMultiLvlLbl val="0"/>
      </c:catAx>
      <c:valAx>
        <c:axId val="165512303"/>
        <c:scaling>
          <c:orientation val="minMax"/>
          <c:max val="130"/>
          <c:min val="100"/>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100817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677090482548634"/>
          <c:y val="6.7532386037952155E-2"/>
          <c:w val="0.78506391138508635"/>
          <c:h val="0.56719389386671493"/>
        </c:manualLayout>
      </c:layout>
      <c:barChart>
        <c:barDir val="col"/>
        <c:grouping val="clustered"/>
        <c:varyColors val="0"/>
        <c:ser>
          <c:idx val="2"/>
          <c:order val="2"/>
          <c:tx>
            <c:strRef>
              <c:f>'Grafik 1'!$D$1</c:f>
              <c:strCache>
                <c:ptCount val="1"/>
                <c:pt idx="0">
                  <c:v>Državni dug</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'Grafik 1'!$A$2:$A$5</c:f>
              <c:strCache>
                <c:ptCount val="4"/>
                <c:pt idx="0">
                  <c:v>31.12.2022.</c:v>
                </c:pt>
                <c:pt idx="1">
                  <c:v>31.03.2023.</c:v>
                </c:pt>
                <c:pt idx="2">
                  <c:v>30.06.2023.</c:v>
                </c:pt>
                <c:pt idx="3">
                  <c:v>30.09.2023.</c:v>
                </c:pt>
              </c:strCache>
            </c:strRef>
          </c:cat>
          <c:val>
            <c:numRef>
              <c:f>'Grafik 1'!$D$2:$D$5</c:f>
              <c:numCache>
                <c:formatCode>#,##0.00</c:formatCode>
                <c:ptCount val="4"/>
                <c:pt idx="0">
                  <c:v>4026.33</c:v>
                </c:pt>
                <c:pt idx="1">
                  <c:v>4080.56</c:v>
                </c:pt>
                <c:pt idx="2">
                  <c:v>4024.4700000000003</c:v>
                </c:pt>
                <c:pt idx="3">
                  <c:v>3986.7599999999998</c:v>
                </c:pt>
              </c:numCache>
            </c:numRef>
          </c:val>
          <c:extLst>
            <c:ext xmlns:c16="http://schemas.microsoft.com/office/drawing/2014/chart" uri="{C3380CC4-5D6E-409C-BE32-E72D297353CC}">
              <c16:uniqueId val="{00000000-B7C4-4D39-9A45-5762CD5F0222}"/>
            </c:ext>
          </c:extLst>
        </c:ser>
        <c:ser>
          <c:idx val="3"/>
          <c:order val="3"/>
          <c:tx>
            <c:strRef>
              <c:f>'Grafik 1'!$E$1</c:f>
              <c:strCache>
                <c:ptCount val="1"/>
                <c:pt idx="0">
                  <c:v>Javni dug </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'Grafik 1'!$A$2:$A$5</c:f>
              <c:strCache>
                <c:ptCount val="4"/>
                <c:pt idx="0">
                  <c:v>31.12.2022.</c:v>
                </c:pt>
                <c:pt idx="1">
                  <c:v>31.03.2023.</c:v>
                </c:pt>
                <c:pt idx="2">
                  <c:v>30.06.2023.</c:v>
                </c:pt>
                <c:pt idx="3">
                  <c:v>30.09.2023.</c:v>
                </c:pt>
              </c:strCache>
            </c:strRef>
          </c:cat>
          <c:val>
            <c:numRef>
              <c:f>'Grafik 1'!$E$2:$E$5</c:f>
              <c:numCache>
                <c:formatCode>#,##0.00</c:formatCode>
                <c:ptCount val="4"/>
                <c:pt idx="0">
                  <c:v>4102.22</c:v>
                </c:pt>
                <c:pt idx="1">
                  <c:v>4153.84</c:v>
                </c:pt>
                <c:pt idx="2">
                  <c:v>4095.07</c:v>
                </c:pt>
                <c:pt idx="3">
                  <c:v>4057.3599999999997</c:v>
                </c:pt>
              </c:numCache>
            </c:numRef>
          </c:val>
          <c:extLst>
            <c:ext xmlns:c16="http://schemas.microsoft.com/office/drawing/2014/chart" uri="{C3380CC4-5D6E-409C-BE32-E72D297353CC}">
              <c16:uniqueId val="{00000001-B7C4-4D39-9A45-5762CD5F0222}"/>
            </c:ext>
          </c:extLst>
        </c:ser>
        <c:dLbls>
          <c:showLegendKey val="0"/>
          <c:showVal val="0"/>
          <c:showCatName val="0"/>
          <c:showSerName val="0"/>
          <c:showPercent val="0"/>
          <c:showBubbleSize val="0"/>
        </c:dLbls>
        <c:gapWidth val="150"/>
        <c:axId val="326206224"/>
        <c:axId val="326208968"/>
      </c:barChart>
      <c:lineChart>
        <c:grouping val="standard"/>
        <c:varyColors val="0"/>
        <c:ser>
          <c:idx val="0"/>
          <c:order val="0"/>
          <c:tx>
            <c:strRef>
              <c:f>'Grafik 1'!$B$1</c:f>
              <c:strCache>
                <c:ptCount val="1"/>
                <c:pt idx="0">
                  <c:v>Državni dug u % BDP-a</c:v>
                </c:pt>
              </c:strCache>
            </c:strRef>
          </c:tx>
          <c:spPr>
            <a:ln w="31750" cap="rnd">
              <a:solidFill>
                <a:schemeClr val="accent1"/>
              </a:solidFill>
              <a:round/>
            </a:ln>
            <a:effectLst/>
          </c:spPr>
          <c:marker>
            <c:symbol val="circle"/>
            <c:size val="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12700">
                <a:solidFill>
                  <a:schemeClr val="lt2"/>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'Grafik 1'!$A$2:$A$5</c:f>
              <c:strCache>
                <c:ptCount val="4"/>
                <c:pt idx="0">
                  <c:v>31.12.2022.</c:v>
                </c:pt>
                <c:pt idx="1">
                  <c:v>31.03.2023.</c:v>
                </c:pt>
                <c:pt idx="2">
                  <c:v>30.06.2023.</c:v>
                </c:pt>
                <c:pt idx="3">
                  <c:v>30.09.2023.</c:v>
                </c:pt>
              </c:strCache>
            </c:strRef>
          </c:cat>
          <c:val>
            <c:numRef>
              <c:f>'Grafik 1'!$B$2:$B$5</c:f>
              <c:numCache>
                <c:formatCode>0.00%</c:formatCode>
                <c:ptCount val="4"/>
                <c:pt idx="0">
                  <c:v>0.67966178372118924</c:v>
                </c:pt>
                <c:pt idx="1">
                  <c:v>0.61599495194993004</c:v>
                </c:pt>
                <c:pt idx="2">
                  <c:v>0.60752769332491996</c:v>
                </c:pt>
                <c:pt idx="3">
                  <c:v>0.60183505073712995</c:v>
                </c:pt>
              </c:numCache>
            </c:numRef>
          </c:val>
          <c:smooth val="0"/>
          <c:extLst>
            <c:ext xmlns:c16="http://schemas.microsoft.com/office/drawing/2014/chart" uri="{C3380CC4-5D6E-409C-BE32-E72D297353CC}">
              <c16:uniqueId val="{00000002-B7C4-4D39-9A45-5762CD5F0222}"/>
            </c:ext>
          </c:extLst>
        </c:ser>
        <c:ser>
          <c:idx val="1"/>
          <c:order val="1"/>
          <c:tx>
            <c:strRef>
              <c:f>'Grafik 1'!$C$1</c:f>
              <c:strCache>
                <c:ptCount val="1"/>
                <c:pt idx="0">
                  <c:v>Javni dug u % BDP-a</c:v>
                </c:pt>
              </c:strCache>
            </c:strRef>
          </c:tx>
          <c:spPr>
            <a:ln w="31750" cap="rnd">
              <a:solidFill>
                <a:schemeClr val="accent2"/>
              </a:solidFill>
              <a:round/>
            </a:ln>
            <a:effectLst/>
          </c:spPr>
          <c:marker>
            <c:symbol val="circle"/>
            <c:size val="6"/>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12700">
                <a:solidFill>
                  <a:schemeClr val="lt2"/>
                </a:solidFill>
                <a:round/>
              </a:ln>
              <a:effectLst/>
            </c:spPr>
          </c:marker>
          <c:dLbls>
            <c:dLbl>
              <c:idx val="1"/>
              <c:layout>
                <c:manualLayout>
                  <c:x val="0"/>
                  <c:y val="-4.06278855032317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7C4-4D39-9A45-5762CD5F0222}"/>
                </c:ext>
              </c:extLst>
            </c:dLbl>
            <c:dLbl>
              <c:idx val="2"/>
              <c:layout>
                <c:manualLayout>
                  <c:x val="-4.226096143687191E-3"/>
                  <c:y val="-3.324099722991693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7C4-4D39-9A45-5762CD5F0222}"/>
                </c:ext>
              </c:extLst>
            </c:dLbl>
            <c:dLbl>
              <c:idx val="3"/>
              <c:layout>
                <c:manualLayout>
                  <c:x val="-2.1130480718437893E-3"/>
                  <c:y val="-2.95475530932595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7C4-4D39-9A45-5762CD5F0222}"/>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'Grafik 1'!$A$2:$A$5</c:f>
              <c:strCache>
                <c:ptCount val="4"/>
                <c:pt idx="0">
                  <c:v>31.12.2022.</c:v>
                </c:pt>
                <c:pt idx="1">
                  <c:v>31.03.2023.</c:v>
                </c:pt>
                <c:pt idx="2">
                  <c:v>30.06.2023.</c:v>
                </c:pt>
                <c:pt idx="3">
                  <c:v>30.09.2023.</c:v>
                </c:pt>
              </c:strCache>
            </c:strRef>
          </c:cat>
          <c:val>
            <c:numRef>
              <c:f>'Grafik 1'!$C$2:$C$5</c:f>
              <c:numCache>
                <c:formatCode>0.00%</c:formatCode>
                <c:ptCount val="4"/>
                <c:pt idx="0">
                  <c:v>0.69247234141680813</c:v>
                </c:pt>
                <c:pt idx="1">
                  <c:v>0.62705718607438632</c:v>
                </c:pt>
                <c:pt idx="2">
                  <c:v>0.61818535884329606</c:v>
                </c:pt>
                <c:pt idx="3">
                  <c:v>0.61249271625550616</c:v>
                </c:pt>
              </c:numCache>
            </c:numRef>
          </c:val>
          <c:smooth val="0"/>
          <c:extLst>
            <c:ext xmlns:c16="http://schemas.microsoft.com/office/drawing/2014/chart" uri="{C3380CC4-5D6E-409C-BE32-E72D297353CC}">
              <c16:uniqueId val="{00000006-B7C4-4D39-9A45-5762CD5F0222}"/>
            </c:ext>
          </c:extLst>
        </c:ser>
        <c:dLbls>
          <c:showLegendKey val="0"/>
          <c:showVal val="0"/>
          <c:showCatName val="0"/>
          <c:showSerName val="0"/>
          <c:showPercent val="0"/>
          <c:showBubbleSize val="0"/>
        </c:dLbls>
        <c:marker val="1"/>
        <c:smooth val="0"/>
        <c:axId val="326207792"/>
        <c:axId val="326207400"/>
      </c:lineChart>
      <c:valAx>
        <c:axId val="326208968"/>
        <c:scaling>
          <c:orientation val="minMax"/>
          <c:max val="4400"/>
          <c:min val="2000"/>
        </c:scaling>
        <c:delete val="0"/>
        <c:axPos val="r"/>
        <c:majorGridlines>
          <c:spPr>
            <a:ln w="9525" cap="flat" cmpd="sng" algn="ctr">
              <a:solidFill>
                <a:schemeClr val="tx2">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326206224"/>
        <c:crosses val="max"/>
        <c:crossBetween val="between"/>
        <c:majorUnit val="300"/>
        <c:minorUnit val="100"/>
      </c:valAx>
      <c:catAx>
        <c:axId val="32620622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326208968"/>
        <c:crosses val="autoZero"/>
        <c:auto val="1"/>
        <c:lblAlgn val="ctr"/>
        <c:lblOffset val="100"/>
        <c:noMultiLvlLbl val="0"/>
      </c:catAx>
      <c:valAx>
        <c:axId val="326207400"/>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326207792"/>
        <c:crosses val="autoZero"/>
        <c:crossBetween val="between"/>
      </c:valAx>
      <c:catAx>
        <c:axId val="326207792"/>
        <c:scaling>
          <c:orientation val="minMax"/>
        </c:scaling>
        <c:delete val="1"/>
        <c:axPos val="t"/>
        <c:numFmt formatCode="General" sourceLinked="1"/>
        <c:majorTickMark val="none"/>
        <c:minorTickMark val="none"/>
        <c:tickLblPos val="nextTo"/>
        <c:crossAx val="326207400"/>
        <c:crosses val="max"/>
        <c:auto val="1"/>
        <c:lblAlgn val="ctr"/>
        <c:lblOffset val="100"/>
        <c:noMultiLvlLbl val="0"/>
      </c:catAx>
      <c:spPr>
        <a:noFill/>
        <a:ln>
          <a:noFill/>
        </a:ln>
        <a:effectLst/>
      </c:spPr>
    </c:plotArea>
    <c:legend>
      <c:legendPos val="b"/>
      <c:layout>
        <c:manualLayout>
          <c:xMode val="edge"/>
          <c:yMode val="edge"/>
          <c:x val="2.1606332488946015E-2"/>
          <c:y val="0.71609438526066604"/>
          <c:w val="0.89762198901048618"/>
          <c:h val="0.1139709742164582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6400581024268527E-2"/>
          <c:y val="0.13522661471439779"/>
          <c:w val="0.42564960629921256"/>
          <c:h val="0.70941601049868763"/>
        </c:manualLayout>
      </c:layout>
      <c:doughnutChart>
        <c:varyColors val="1"/>
        <c:ser>
          <c:idx val="0"/>
          <c:order val="0"/>
          <c:dPt>
            <c:idx val="0"/>
            <c:bubble3D val="0"/>
            <c:spPr>
              <a:solidFill>
                <a:schemeClr val="accent6"/>
              </a:solidFill>
              <a:ln w="19050">
                <a:solidFill>
                  <a:schemeClr val="lt1"/>
                </a:solidFill>
              </a:ln>
              <a:effectLst/>
            </c:spPr>
            <c:extLst>
              <c:ext xmlns:c16="http://schemas.microsoft.com/office/drawing/2014/chart" uri="{C3380CC4-5D6E-409C-BE32-E72D297353CC}">
                <c16:uniqueId val="{00000001-D480-43AB-A6C6-25F70FBE7CC2}"/>
              </c:ext>
            </c:extLst>
          </c:dPt>
          <c:dPt>
            <c:idx val="1"/>
            <c:bubble3D val="0"/>
            <c:spPr>
              <a:solidFill>
                <a:schemeClr val="accent5"/>
              </a:solidFill>
              <a:ln w="19050">
                <a:solidFill>
                  <a:schemeClr val="lt1"/>
                </a:solidFill>
              </a:ln>
              <a:effectLst/>
            </c:spPr>
            <c:extLst>
              <c:ext xmlns:c16="http://schemas.microsoft.com/office/drawing/2014/chart" uri="{C3380CC4-5D6E-409C-BE32-E72D297353CC}">
                <c16:uniqueId val="{00000003-D480-43AB-A6C6-25F70FBE7CC2}"/>
              </c:ext>
            </c:extLst>
          </c:dPt>
          <c:dPt>
            <c:idx val="2"/>
            <c:bubble3D val="0"/>
            <c:spPr>
              <a:solidFill>
                <a:schemeClr val="accent4"/>
              </a:solidFill>
              <a:ln w="19050">
                <a:solidFill>
                  <a:schemeClr val="lt1"/>
                </a:solidFill>
              </a:ln>
              <a:effectLst/>
            </c:spPr>
            <c:extLst>
              <c:ext xmlns:c16="http://schemas.microsoft.com/office/drawing/2014/chart" uri="{C3380CC4-5D6E-409C-BE32-E72D297353CC}">
                <c16:uniqueId val="{00000005-D480-43AB-A6C6-25F70FBE7CC2}"/>
              </c:ext>
            </c:extLst>
          </c:dPt>
          <c:dPt>
            <c:idx val="3"/>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07-D480-43AB-A6C6-25F70FBE7CC2}"/>
              </c:ext>
            </c:extLst>
          </c:dPt>
          <c:dPt>
            <c:idx val="4"/>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09-D480-43AB-A6C6-25F70FBE7CC2}"/>
              </c:ext>
            </c:extLst>
          </c:dPt>
          <c:dLbls>
            <c:dLbl>
              <c:idx val="1"/>
              <c:layout>
                <c:manualLayout>
                  <c:x val="2.9547550228896484E-2"/>
                  <c:y val="-3.4364261168384879E-3"/>
                </c:manualLayout>
              </c:layout>
              <c:showLegendKey val="1"/>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480-43AB-A6C6-25F70FBE7CC2}"/>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'4 grafik'!$F$17:$F$21</c:f>
              <c:strCache>
                <c:ptCount val="5"/>
                <c:pt idx="0">
                  <c:v>Međunarodne finansijske institucije (SB, Pariski klub, EIB, EBRD, KfW, CEB, EU)</c:v>
                </c:pt>
                <c:pt idx="1">
                  <c:v>"Meki" krediti (obaveze prema Vladama drugih zemalja)</c:v>
                </c:pt>
                <c:pt idx="2">
                  <c:v>Krediti za potrebe finansiranja budžeta (poslovne banke)</c:v>
                </c:pt>
                <c:pt idx="3">
                  <c:v>Kredit kod kineske Exim banke za izgradnju autoputa</c:v>
                </c:pt>
                <c:pt idx="4">
                  <c:v>Euroobveznice</c:v>
                </c:pt>
              </c:strCache>
            </c:strRef>
          </c:cat>
          <c:val>
            <c:numRef>
              <c:f>'4 grafik'!$G$17:$G$21</c:f>
              <c:numCache>
                <c:formatCode>#,##0.00</c:formatCode>
                <c:ptCount val="5"/>
                <c:pt idx="0">
                  <c:v>0.15531735497174151</c:v>
                </c:pt>
                <c:pt idx="1">
                  <c:v>7.5634250795161414E-3</c:v>
                </c:pt>
                <c:pt idx="2">
                  <c:v>0.15207270683240531</c:v>
                </c:pt>
                <c:pt idx="3">
                  <c:v>0.19807102050584233</c:v>
                </c:pt>
                <c:pt idx="4">
                  <c:v>0.48697549261049478</c:v>
                </c:pt>
              </c:numCache>
            </c:numRef>
          </c:val>
          <c:extLst>
            <c:ext xmlns:c16="http://schemas.microsoft.com/office/drawing/2014/chart" uri="{C3380CC4-5D6E-409C-BE32-E72D297353CC}">
              <c16:uniqueId val="{0000000A-D480-43AB-A6C6-25F70FBE7CC2}"/>
            </c:ext>
          </c:extLst>
        </c:ser>
        <c:dLbls>
          <c:showLegendKey val="0"/>
          <c:showVal val="0"/>
          <c:showCatName val="0"/>
          <c:showSerName val="0"/>
          <c:showPercent val="0"/>
          <c:showBubbleSize val="0"/>
          <c:showLeaderLines val="1"/>
        </c:dLbls>
        <c:firstSliceAng val="0"/>
        <c:holeSize val="50"/>
      </c:doughnutChart>
      <c:spPr>
        <a:noFill/>
        <a:ln>
          <a:noFill/>
        </a:ln>
        <a:effectLst/>
      </c:spPr>
    </c:plotArea>
    <c:legend>
      <c:legendPos val="r"/>
      <c:layout>
        <c:manualLayout>
          <c:xMode val="edge"/>
          <c:yMode val="edge"/>
          <c:x val="0.5544671475446451"/>
          <c:y val="0.16816705901453041"/>
          <c:w val="0.43075907734090663"/>
          <c:h val="0.66366588197093923"/>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sr-Latn-ME" sz="1000" b="1" i="0" baseline="0">
                <a:effectLst/>
              </a:rPr>
              <a:t>Grafik 3: Valutna struktura državnog duga (30.0</a:t>
            </a:r>
            <a:r>
              <a:rPr lang="en-US" sz="1000" b="1" i="0" baseline="0">
                <a:effectLst/>
              </a:rPr>
              <a:t>9</a:t>
            </a:r>
            <a:r>
              <a:rPr lang="sr-Latn-ME" sz="1000" b="1" i="0" baseline="0">
                <a:effectLst/>
              </a:rPr>
              <a:t>.2023.)</a:t>
            </a:r>
            <a:endParaRPr lang="en-US" sz="1000">
              <a:effectLst/>
            </a:endParaRP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1-F81E-47DE-A832-FD04486DBE75}"/>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3-F81E-47DE-A832-FD04486DBE75}"/>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5-F81E-47DE-A832-FD04486DBE75}"/>
              </c:ext>
            </c:extLst>
          </c:dPt>
          <c:dLbls>
            <c:dLbl>
              <c:idx val="1"/>
              <c:layout>
                <c:manualLayout>
                  <c:x val="-5.9379726182875854E-2"/>
                  <c:y val="4.7934129201591714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81E-47DE-A832-FD04486DBE75}"/>
                </c:ext>
              </c:extLst>
            </c:dLbl>
            <c:dLbl>
              <c:idx val="2"/>
              <c:layout>
                <c:manualLayout>
                  <c:x val="0.12782521103780939"/>
                  <c:y val="2.2965879265091846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81E-47DE-A832-FD04486DBE7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'5-6 grafik'!$E$17:$E$19</c:f>
              <c:strCache>
                <c:ptCount val="3"/>
                <c:pt idx="0">
                  <c:v>EUR</c:v>
                </c:pt>
                <c:pt idx="1">
                  <c:v>USD</c:v>
                </c:pt>
                <c:pt idx="2">
                  <c:v>Ostalo</c:v>
                </c:pt>
              </c:strCache>
            </c:strRef>
          </c:cat>
          <c:val>
            <c:numRef>
              <c:f>'5-6 grafik'!$G$17:$G$19</c:f>
              <c:numCache>
                <c:formatCode>0.00%</c:formatCode>
                <c:ptCount val="3"/>
                <c:pt idx="0">
                  <c:v>0.79919438142345689</c:v>
                </c:pt>
                <c:pt idx="1">
                  <c:v>0.1820293254746001</c:v>
                </c:pt>
                <c:pt idx="2">
                  <c:v>1.8776293101943033E-2</c:v>
                </c:pt>
              </c:numCache>
            </c:numRef>
          </c:val>
          <c:extLst>
            <c:ext xmlns:c16="http://schemas.microsoft.com/office/drawing/2014/chart" uri="{C3380CC4-5D6E-409C-BE32-E72D297353CC}">
              <c16:uniqueId val="{00000006-F81E-47DE-A832-FD04486DBE75}"/>
            </c:ext>
          </c:extLst>
        </c:ser>
        <c:dLbls>
          <c:dLblPos val="in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r-Latn-RS" sz="1000" b="1">
                <a:solidFill>
                  <a:schemeClr val="tx1"/>
                </a:solidFill>
                <a:latin typeface="+mn-lt"/>
              </a:rPr>
              <a:t>Grafik 5 Valutna struktura</a:t>
            </a:r>
            <a:r>
              <a:rPr lang="sr-Latn-RS" sz="1000" b="1" baseline="0">
                <a:solidFill>
                  <a:schemeClr val="tx1"/>
                </a:solidFill>
                <a:latin typeface="+mn-lt"/>
              </a:rPr>
              <a:t> duga 30.09.2019.</a:t>
            </a:r>
            <a:endParaRPr lang="en-GB" sz="1000" b="1">
              <a:solidFill>
                <a:schemeClr val="tx1"/>
              </a:solidFill>
              <a:latin typeface="+mn-l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dLbls>
          <c:dLblPos val="bestFit"/>
          <c:showLegendKey val="0"/>
          <c:showVal val="1"/>
          <c:showCatName val="0"/>
          <c:showSerName val="0"/>
          <c:showPercent val="0"/>
          <c:showBubbleSize val="0"/>
          <c:showLeaderLines val="0"/>
        </c:dLbls>
        <c:firstSliceAng val="0"/>
      </c:pieChart>
      <c:spPr>
        <a:noFill/>
        <a:ln>
          <a:noFill/>
        </a:ln>
        <a:effectLst/>
      </c:spPr>
    </c:plotArea>
    <c:legend>
      <c:legendPos val="r"/>
      <c:layout>
        <c:manualLayout>
          <c:xMode val="edge"/>
          <c:yMode val="edge"/>
          <c:x val="0.79213426278704391"/>
          <c:y val="0.22436711540089752"/>
          <c:w val="0.18675773055249811"/>
          <c:h val="0.6969105071543476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dk1"/>
                </a:solidFill>
                <a:latin typeface="+mn-lt"/>
                <a:ea typeface="+mn-ea"/>
                <a:cs typeface="+mn-cs"/>
              </a:defRPr>
            </a:pPr>
            <a:r>
              <a:rPr lang="en-US" sz="1000" b="1" i="0" baseline="0">
                <a:solidFill>
                  <a:schemeClr val="dk1"/>
                </a:solidFill>
                <a:effectLst/>
                <a:latin typeface="+mn-lt"/>
                <a:ea typeface="+mn-ea"/>
                <a:cs typeface="+mn-cs"/>
              </a:rPr>
              <a:t>GRAFIK </a:t>
            </a:r>
            <a:r>
              <a:rPr lang="sr-Latn-ME" sz="1000" b="1" i="0" baseline="0">
                <a:solidFill>
                  <a:schemeClr val="dk1"/>
                </a:solidFill>
                <a:effectLst/>
                <a:latin typeface="+mn-lt"/>
                <a:ea typeface="+mn-ea"/>
                <a:cs typeface="+mn-cs"/>
              </a:rPr>
              <a:t>4:</a:t>
            </a:r>
            <a:r>
              <a:rPr lang="en-US" sz="1000" b="1" i="0" baseline="0">
                <a:solidFill>
                  <a:schemeClr val="dk1"/>
                </a:solidFill>
                <a:effectLst/>
                <a:latin typeface="+mn-lt"/>
                <a:ea typeface="+mn-ea"/>
                <a:cs typeface="+mn-cs"/>
              </a:rPr>
              <a:t> KAMATNA STRUKTURA DR</a:t>
            </a:r>
            <a:r>
              <a:rPr lang="sr-Latn-ME" sz="1000" b="1" i="0" baseline="0">
                <a:solidFill>
                  <a:schemeClr val="dk1"/>
                </a:solidFill>
                <a:effectLst/>
                <a:latin typeface="+mn-lt"/>
                <a:ea typeface="+mn-ea"/>
                <a:cs typeface="+mn-cs"/>
              </a:rPr>
              <a:t>ŽAVNOG DUGA (30.0</a:t>
            </a:r>
            <a:r>
              <a:rPr lang="en-US" sz="1000" b="1" i="0" baseline="0">
                <a:solidFill>
                  <a:schemeClr val="dk1"/>
                </a:solidFill>
                <a:effectLst/>
                <a:latin typeface="+mn-lt"/>
                <a:ea typeface="+mn-ea"/>
                <a:cs typeface="+mn-cs"/>
              </a:rPr>
              <a:t>9</a:t>
            </a:r>
            <a:r>
              <a:rPr lang="sr-Latn-ME" sz="1000" b="1" i="0" baseline="0">
                <a:solidFill>
                  <a:schemeClr val="dk1"/>
                </a:solidFill>
                <a:effectLst/>
                <a:latin typeface="+mn-lt"/>
                <a:ea typeface="+mn-ea"/>
                <a:cs typeface="+mn-cs"/>
              </a:rPr>
              <a:t>.2023.)</a:t>
            </a:r>
            <a:endParaRPr lang="en-US" sz="1000">
              <a:effectLst/>
            </a:endParaRPr>
          </a:p>
        </c:rich>
      </c:tx>
      <c:overlay val="0"/>
      <c:spPr>
        <a:solidFill>
          <a:schemeClr val="lt1"/>
        </a:solidFill>
        <a:ln w="12700" cap="flat" cmpd="sng" algn="ctr">
          <a:solidFill>
            <a:schemeClr val="accent2"/>
          </a:solidFill>
          <a:prstDash val="solid"/>
          <a:miter lim="800000"/>
        </a:ln>
        <a:effectLst/>
      </c:spPr>
      <c:txPr>
        <a:bodyPr rot="0" spcFirstLastPara="1" vertOverflow="ellipsis" vert="horz" wrap="square" anchor="ctr" anchorCtr="1"/>
        <a:lstStyle/>
        <a:p>
          <a:pPr>
            <a:defRPr sz="1600" b="1" i="0" u="none" strike="noStrike" kern="1200" cap="all" baseline="0">
              <a:solidFill>
                <a:schemeClr val="dk1"/>
              </a:solidFill>
              <a:latin typeface="+mn-lt"/>
              <a:ea typeface="+mn-ea"/>
              <a:cs typeface="+mn-cs"/>
            </a:defRPr>
          </a:pPr>
          <a:endParaRPr lang="en-US"/>
        </a:p>
      </c:txPr>
    </c:title>
    <c:autoTitleDeleted val="0"/>
    <c:plotArea>
      <c:layout/>
      <c:pieChart>
        <c:varyColors val="1"/>
        <c:ser>
          <c:idx val="0"/>
          <c:order val="0"/>
          <c:spPr>
            <a:ln>
              <a:solidFill>
                <a:schemeClr val="bg1"/>
              </a:solidFill>
            </a:ln>
          </c:spPr>
          <c:dPt>
            <c:idx val="0"/>
            <c:bubble3D val="0"/>
            <c:spPr>
              <a:solidFill>
                <a:schemeClr val="accent1"/>
              </a:solidFill>
              <a:ln>
                <a:solidFill>
                  <a:schemeClr val="bg1"/>
                </a:solid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B40F-42EE-9FCA-DDF1C30B0694}"/>
              </c:ext>
            </c:extLst>
          </c:dPt>
          <c:dPt>
            <c:idx val="1"/>
            <c:bubble3D val="0"/>
            <c:spPr>
              <a:solidFill>
                <a:schemeClr val="accent2"/>
              </a:solidFill>
              <a:ln>
                <a:solidFill>
                  <a:schemeClr val="bg1"/>
                </a:solid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B40F-42EE-9FCA-DDF1C30B0694}"/>
              </c:ext>
            </c:extLst>
          </c:dPt>
          <c:dLbls>
            <c:dLbl>
              <c:idx val="0"/>
              <c:tx>
                <c:rich>
                  <a:bodyPr rot="0" spcFirstLastPara="1" vertOverflow="ellipsis" vert="horz" wrap="square" lIns="38100" tIns="19050" rIns="38100" bIns="19050" anchor="ctr" anchorCtr="1">
                    <a:spAutoFit/>
                  </a:bodyPr>
                  <a:lstStyle/>
                  <a:p>
                    <a:pPr>
                      <a:defRPr sz="1000" b="1" i="0" u="none" strike="noStrike" kern="1200" spc="0" baseline="0">
                        <a:solidFill>
                          <a:schemeClr val="tx1">
                            <a:lumMod val="75000"/>
                            <a:lumOff val="25000"/>
                          </a:schemeClr>
                        </a:solidFill>
                        <a:latin typeface="+mn-lt"/>
                        <a:ea typeface="+mn-ea"/>
                        <a:cs typeface="+mn-cs"/>
                      </a:defRPr>
                    </a:pPr>
                    <a:r>
                      <a:rPr lang="en-US" baseline="0">
                        <a:solidFill>
                          <a:schemeClr val="tx1">
                            <a:lumMod val="75000"/>
                            <a:lumOff val="25000"/>
                          </a:schemeClr>
                        </a:solidFill>
                      </a:rPr>
                      <a:t> </a:t>
                    </a:r>
                    <a:fld id="{3C656D55-A81B-4278-A72E-FA9DDFDB8C87}" type="VALUE">
                      <a:rPr lang="en-US" baseline="0">
                        <a:solidFill>
                          <a:schemeClr val="tx1">
                            <a:lumMod val="75000"/>
                            <a:lumOff val="25000"/>
                          </a:schemeClr>
                        </a:solidFill>
                      </a:rPr>
                      <a:pPr>
                        <a:defRPr>
                          <a:solidFill>
                            <a:schemeClr val="tx1">
                              <a:lumMod val="75000"/>
                              <a:lumOff val="25000"/>
                            </a:schemeClr>
                          </a:solidFill>
                        </a:defRPr>
                      </a:pPr>
                      <a:t>[VALUE]</a:t>
                    </a:fld>
                    <a:endParaRPr lang="en-US" baseline="0">
                      <a:solidFill>
                        <a:schemeClr val="tx1">
                          <a:lumMod val="75000"/>
                          <a:lumOff val="25000"/>
                        </a:schemeClr>
                      </a:solidFill>
                    </a:endParaRP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tx1">
                          <a:lumMod val="75000"/>
                          <a:lumOff val="25000"/>
                        </a:schemeClr>
                      </a:solidFill>
                      <a:latin typeface="+mn-lt"/>
                      <a:ea typeface="+mn-ea"/>
                      <a:cs typeface="+mn-cs"/>
                    </a:defRPr>
                  </a:pPr>
                  <a:endParaRPr lang="en-US"/>
                </a:p>
              </c:txPr>
              <c:dLblPos val="bestFit"/>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B40F-42EE-9FCA-DDF1C30B0694}"/>
                </c:ext>
              </c:extLst>
            </c:dLbl>
            <c:dLbl>
              <c:idx val="1"/>
              <c:tx>
                <c:rich>
                  <a:bodyPr rot="0" spcFirstLastPara="1" vertOverflow="ellipsis" vert="horz" wrap="square" lIns="38100" tIns="19050" rIns="38100" bIns="19050" anchor="ctr" anchorCtr="1">
                    <a:spAutoFit/>
                  </a:bodyPr>
                  <a:lstStyle/>
                  <a:p>
                    <a:pPr>
                      <a:defRPr sz="1000" b="1" i="0" u="none" strike="noStrike" kern="1200" spc="0" baseline="0">
                        <a:solidFill>
                          <a:schemeClr val="tx1">
                            <a:lumMod val="75000"/>
                            <a:lumOff val="25000"/>
                          </a:schemeClr>
                        </a:solidFill>
                        <a:latin typeface="+mn-lt"/>
                        <a:ea typeface="+mn-ea"/>
                        <a:cs typeface="+mn-cs"/>
                      </a:defRPr>
                    </a:pPr>
                    <a:r>
                      <a:rPr lang="en-US" baseline="0">
                        <a:solidFill>
                          <a:schemeClr val="tx1">
                            <a:lumMod val="75000"/>
                            <a:lumOff val="25000"/>
                          </a:schemeClr>
                        </a:solidFill>
                      </a:rPr>
                      <a:t> </a:t>
                    </a:r>
                    <a:fld id="{9FEDB414-72E3-4593-9739-FC6209EE4DAE}" type="VALUE">
                      <a:rPr lang="en-US" baseline="0">
                        <a:solidFill>
                          <a:schemeClr val="tx1">
                            <a:lumMod val="75000"/>
                            <a:lumOff val="25000"/>
                          </a:schemeClr>
                        </a:solidFill>
                      </a:rPr>
                      <a:pPr>
                        <a:defRPr>
                          <a:solidFill>
                            <a:schemeClr val="tx1">
                              <a:lumMod val="75000"/>
                              <a:lumOff val="25000"/>
                            </a:schemeClr>
                          </a:solidFill>
                        </a:defRPr>
                      </a:pPr>
                      <a:t>[VALUE]</a:t>
                    </a:fld>
                    <a:endParaRPr lang="en-US" baseline="0">
                      <a:solidFill>
                        <a:schemeClr val="tx1">
                          <a:lumMod val="75000"/>
                          <a:lumOff val="25000"/>
                        </a:schemeClr>
                      </a:solidFill>
                    </a:endParaRP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tx1">
                          <a:lumMod val="75000"/>
                          <a:lumOff val="25000"/>
                        </a:schemeClr>
                      </a:solidFill>
                      <a:latin typeface="+mn-lt"/>
                      <a:ea typeface="+mn-ea"/>
                      <a:cs typeface="+mn-cs"/>
                    </a:defRPr>
                  </a:pPr>
                  <a:endParaRPr lang="en-US"/>
                </a:p>
              </c:txPr>
              <c:dLblPos val="bestFit"/>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B40F-42EE-9FCA-DDF1C30B0694}"/>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tx1">
                        <a:lumMod val="75000"/>
                        <a:lumOff val="25000"/>
                      </a:schemeClr>
                    </a:solidFill>
                    <a:latin typeface="+mn-lt"/>
                    <a:ea typeface="+mn-ea"/>
                    <a:cs typeface="+mn-cs"/>
                  </a:defRPr>
                </a:pPr>
                <a:endParaRPr lang="en-US"/>
              </a:p>
            </c:txPr>
            <c:dLblPos val="bestFit"/>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'5-6 grafik'!$E$20:$E$21</c:f>
              <c:strCache>
                <c:ptCount val="2"/>
                <c:pt idx="0">
                  <c:v>Fiksna kamatna stopa</c:v>
                </c:pt>
                <c:pt idx="1">
                  <c:v>Varijabilna kamatna stopa</c:v>
                </c:pt>
              </c:strCache>
            </c:strRef>
          </c:cat>
          <c:val>
            <c:numRef>
              <c:f>'5-6 grafik'!$F$20:$F$21</c:f>
              <c:numCache>
                <c:formatCode>0.00%</c:formatCode>
                <c:ptCount val="2"/>
                <c:pt idx="0">
                  <c:v>0.77834757301489144</c:v>
                </c:pt>
                <c:pt idx="1">
                  <c:v>0.22165242698510859</c:v>
                </c:pt>
              </c:numCache>
            </c:numRef>
          </c:val>
          <c:extLst>
            <c:ext xmlns:c16="http://schemas.microsoft.com/office/drawing/2014/chart" uri="{C3380CC4-5D6E-409C-BE32-E72D297353CC}">
              <c16:uniqueId val="{00000004-B40F-42EE-9FCA-DDF1C30B0694}"/>
            </c:ext>
          </c:extLst>
        </c:ser>
        <c:dLbls>
          <c:dLblPos val="bestFit"/>
          <c:showLegendKey val="0"/>
          <c:showVal val="0"/>
          <c:showCatName val="1"/>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0.xml><?xml version="1.0" encoding="utf-8"?>
<cs:chartStyle xmlns:cs="http://schemas.microsoft.com/office/drawing/2012/chartStyle" xmlns:a="http://schemas.openxmlformats.org/drawingml/2006/main" id="231">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1.xml><?xml version="1.0" encoding="utf-8"?>
<cs:chartStyle xmlns:cs="http://schemas.microsoft.com/office/drawing/2012/chartStyle" xmlns:a="http://schemas.openxmlformats.org/drawingml/2006/main" id="231">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2.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231">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2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dk1">
            <a:lumMod val="75000"/>
            <a:lumOff val="25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dk1">
            <a:lumMod val="75000"/>
            <a:lumOff val="25000"/>
          </a:schemeClr>
        </a:solidFill>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0.15195</cdr:x>
      <cdr:y>0.75005</cdr:y>
    </cdr:from>
    <cdr:to>
      <cdr:x>0.40519</cdr:x>
      <cdr:y>0.86256</cdr:y>
    </cdr:to>
    <cdr:sp macro="" textlink="">
      <cdr:nvSpPr>
        <cdr:cNvPr id="2" name="Text Box 1"/>
        <cdr:cNvSpPr txBox="1"/>
      </cdr:nvSpPr>
      <cdr:spPr>
        <a:xfrm xmlns:a="http://schemas.openxmlformats.org/drawingml/2006/main">
          <a:off x="374075" y="1425038"/>
          <a:ext cx="623452" cy="21375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sr-Latn-ME" sz="800" i="1">
              <a:solidFill>
                <a:schemeClr val="tx1">
                  <a:lumMod val="50000"/>
                  <a:lumOff val="50000"/>
                </a:schemeClr>
              </a:solidFill>
            </a:rPr>
            <a:t>Izvor:</a:t>
          </a:r>
          <a:r>
            <a:rPr lang="sr-Latn-ME" sz="800" i="1" baseline="0">
              <a:solidFill>
                <a:schemeClr val="tx1">
                  <a:lumMod val="50000"/>
                  <a:lumOff val="50000"/>
                </a:schemeClr>
              </a:solidFill>
            </a:rPr>
            <a:t> MF</a:t>
          </a:r>
          <a:endParaRPr lang="en-US" sz="800" i="1">
            <a:solidFill>
              <a:schemeClr val="tx1">
                <a:lumMod val="50000"/>
                <a:lumOff val="50000"/>
              </a:schemeClr>
            </a:solidFill>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0.74047</cdr:x>
      <cdr:y>0.85633</cdr:y>
    </cdr:from>
    <cdr:to>
      <cdr:x>0.96341</cdr:x>
      <cdr:y>0.94053</cdr:y>
    </cdr:to>
    <cdr:sp macro="" textlink="">
      <cdr:nvSpPr>
        <cdr:cNvPr id="2" name="Text Box 1"/>
        <cdr:cNvSpPr txBox="1"/>
      </cdr:nvSpPr>
      <cdr:spPr>
        <a:xfrm xmlns:a="http://schemas.openxmlformats.org/drawingml/2006/main">
          <a:off x="1907595" y="1721031"/>
          <a:ext cx="574348" cy="16922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sr-Latn-ME" sz="800" i="1">
              <a:solidFill>
                <a:schemeClr val="tx1">
                  <a:lumMod val="65000"/>
                  <a:lumOff val="35000"/>
                </a:schemeClr>
              </a:solidFill>
            </a:rPr>
            <a:t>Izvor:</a:t>
          </a:r>
          <a:r>
            <a:rPr lang="sr-Latn-ME" sz="800" i="1" baseline="0">
              <a:solidFill>
                <a:schemeClr val="tx1">
                  <a:lumMod val="65000"/>
                  <a:lumOff val="35000"/>
                </a:schemeClr>
              </a:solidFill>
            </a:rPr>
            <a:t> MF</a:t>
          </a:r>
          <a:endParaRPr lang="en-US" sz="800" i="1">
            <a:solidFill>
              <a:schemeClr val="tx1">
                <a:lumMod val="65000"/>
                <a:lumOff val="35000"/>
              </a:schemeClr>
            </a:solidFill>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0.74113</cdr:x>
      <cdr:y>0.72543</cdr:y>
    </cdr:from>
    <cdr:to>
      <cdr:x>0.94203</cdr:x>
      <cdr:y>0.81215</cdr:y>
    </cdr:to>
    <cdr:sp macro="" textlink="">
      <cdr:nvSpPr>
        <cdr:cNvPr id="2" name="Text Box 1"/>
        <cdr:cNvSpPr txBox="1"/>
      </cdr:nvSpPr>
      <cdr:spPr>
        <a:xfrm xmlns:a="http://schemas.openxmlformats.org/drawingml/2006/main">
          <a:off x="2118712" y="1415572"/>
          <a:ext cx="574348" cy="169223"/>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sr-Latn-ME" sz="800" i="1">
              <a:solidFill>
                <a:schemeClr val="tx1">
                  <a:lumMod val="65000"/>
                  <a:lumOff val="35000"/>
                </a:schemeClr>
              </a:solidFill>
            </a:rPr>
            <a:t>Izvor:</a:t>
          </a:r>
          <a:r>
            <a:rPr lang="sr-Latn-ME" sz="800" i="1" baseline="0">
              <a:solidFill>
                <a:schemeClr val="tx1">
                  <a:lumMod val="65000"/>
                  <a:lumOff val="35000"/>
                </a:schemeClr>
              </a:solidFill>
            </a:rPr>
            <a:t> MF</a:t>
          </a:r>
          <a:endParaRPr lang="en-US" sz="800" i="1">
            <a:solidFill>
              <a:schemeClr val="tx1">
                <a:lumMod val="65000"/>
                <a:lumOff val="35000"/>
              </a:schemeClr>
            </a:solidFill>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9F835B-97BC-4E91-B5BE-8C2572470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95</Pages>
  <Words>37125</Words>
  <Characters>211613</Characters>
  <Application>Microsoft Office Word</Application>
  <DocSecurity>0</DocSecurity>
  <Lines>1763</Lines>
  <Paragraphs>496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Radojicic</dc:creator>
  <cp:keywords/>
  <dc:description/>
  <cp:lastModifiedBy>User</cp:lastModifiedBy>
  <cp:revision>2</cp:revision>
  <cp:lastPrinted>2023-12-12T19:58:00Z</cp:lastPrinted>
  <dcterms:created xsi:type="dcterms:W3CDTF">2023-12-12T20:00:00Z</dcterms:created>
  <dcterms:modified xsi:type="dcterms:W3CDTF">2023-12-12T20:00:00Z</dcterms:modified>
</cp:coreProperties>
</file>