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6014B2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047461" w:rsidRPr="006014B2" w:rsidRDefault="00A66276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bookmarkStart w:id="0" w:name="_GoBack"/>
      <w:r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Broj: </w:t>
      </w:r>
      <w:r w:rsidR="00EA53A2"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01-076/24-4478</w:t>
      </w:r>
    </w:p>
    <w:p w:rsidR="00A66276" w:rsidRPr="006014B2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Podgorica, </w:t>
      </w:r>
      <w:r w:rsidR="00EA53A2"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18.12.2024. godine</w:t>
      </w:r>
    </w:p>
    <w:p w:rsidR="00F536EC" w:rsidRPr="006014B2" w:rsidRDefault="00046C86" w:rsidP="009A2F73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6756E9" w:rsidRPr="006014B2" w:rsidRDefault="003031BE" w:rsidP="00594579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6014B2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Klub poslanika </w:t>
      </w:r>
      <w:r w:rsidR="00EA53A2" w:rsidRPr="006014B2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Demokrate Crne Gore</w:t>
      </w:r>
    </w:p>
    <w:p w:rsidR="00594579" w:rsidRPr="006014B2" w:rsidRDefault="00047461" w:rsidP="00594579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6014B2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6014B2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6014B2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EA53A2" w:rsidRPr="006014B2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 Boris Bogdanović</w:t>
      </w:r>
    </w:p>
    <w:bookmarkEnd w:id="0"/>
    <w:p w:rsidR="006756E9" w:rsidRPr="006014B2" w:rsidRDefault="006756E9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6014B2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6014B2" w:rsidRDefault="00046C86" w:rsidP="009A2F73">
      <w:pPr>
        <w:spacing w:before="0" w:after="0" w:line="240" w:lineRule="auto"/>
        <w:jc w:val="center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6014B2" w:rsidRDefault="003C17AA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8"/>
          <w:szCs w:val="28"/>
          <w:lang w:val="en-US" w:eastAsia="en-GB"/>
        </w:rPr>
      </w:pP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Postovani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predsjedni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Vlade,</w:t>
      </w: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8"/>
          <w:szCs w:val="28"/>
          <w:lang w:val="en-US" w:eastAsia="en-GB"/>
        </w:rPr>
      </w:pP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  <w:lang w:val="en-US" w:eastAsia="en-GB"/>
        </w:rPr>
      </w:pP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Š</w:t>
      </w:r>
      <w:r w:rsidRPr="006014B2">
        <w:rPr>
          <w:rFonts w:ascii="Arial" w:hAnsi="Arial" w:cs="Arial"/>
          <w:sz w:val="28"/>
          <w:szCs w:val="28"/>
          <w:lang w:val="en-US" w:eastAsia="en-GB"/>
        </w:rPr>
        <w:t>ta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Vlada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konkretno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preduzima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kako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bi se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istrazile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procesuirale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sumnje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o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nezakonitoj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distribuciji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oru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ja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iz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vojnih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magacina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nekoliko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dana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pred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izbomi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dan od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30.08.2020.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godine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uklju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uju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ć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uni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š</w:t>
      </w:r>
      <w:r w:rsidRPr="006014B2">
        <w:rPr>
          <w:rFonts w:ascii="Arial" w:hAnsi="Arial" w:cs="Arial"/>
          <w:sz w:val="28"/>
          <w:szCs w:val="28"/>
          <w:lang w:val="en-US" w:eastAsia="en-GB"/>
        </w:rPr>
        <w:t>tavanje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dokumentacije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falsifikovanje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gasenje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nadzornih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kamera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u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Ministarstvu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odbrane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? Ko je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izdao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naredenje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?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od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oficira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Crne Gore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dijelio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oru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kome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?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naredio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da se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kamere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ugase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>?</w:t>
      </w: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  <w:lang w:val="en-US" w:eastAsia="en-GB"/>
        </w:rPr>
      </w:pP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  <w:lang w:val="en-US" w:eastAsia="en-GB"/>
        </w:rPr>
      </w:pP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Da li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postoji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plan za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uvo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đ</w:t>
      </w:r>
      <w:r w:rsidRPr="006014B2">
        <w:rPr>
          <w:rFonts w:ascii="Arial" w:hAnsi="Arial" w:cs="Arial"/>
          <w:sz w:val="28"/>
          <w:szCs w:val="28"/>
          <w:lang w:val="en-US" w:eastAsia="en-GB"/>
        </w:rPr>
        <w:t>enje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stro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ijih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kontrola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procedura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kako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bi se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sprije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ile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zloupotrebe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vojne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opreme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oru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ja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sto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one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se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desile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prije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izbora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2020.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godine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kada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automatske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puske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mun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icija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zavrsile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u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podrumu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ANB-a,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Obavjestajno-bezbjednosnog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direktorata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ali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kod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bezbjednosno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interesantnih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lica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>?</w:t>
      </w: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  <w:lang w:val="en-US" w:eastAsia="en-GB"/>
        </w:rPr>
      </w:pPr>
    </w:p>
    <w:p w:rsidR="003A1B93" w:rsidRPr="006014B2" w:rsidRDefault="003A1B93" w:rsidP="003A1B9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  <w:lang w:val="en-US" w:eastAsia="en-GB"/>
        </w:rPr>
      </w:pP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Koji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konkretni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koraci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preduzeti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kako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bi se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izbjegle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situacije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poput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"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šć</w:t>
      </w:r>
      <w:r w:rsidRPr="006014B2">
        <w:rPr>
          <w:rFonts w:ascii="Arial" w:hAnsi="Arial" w:cs="Arial"/>
          <w:sz w:val="28"/>
          <w:szCs w:val="28"/>
          <w:lang w:val="en-US" w:eastAsia="en-GB"/>
        </w:rPr>
        <w:t>enja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>"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dokumentacije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iz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Obavjestajno-bezbjednosnog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direktorata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zloupotrebe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slu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benih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resursa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u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</w:t>
      </w:r>
      <w:r w:rsidRPr="006014B2">
        <w:rPr>
          <w:rFonts w:ascii="Arial" w:hAnsi="Arial" w:cs="Arial"/>
          <w:sz w:val="28"/>
          <w:szCs w:val="28"/>
          <w:lang w:val="en-US" w:eastAsia="en-GB"/>
        </w:rPr>
        <w:t>lit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ke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svrhe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>?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Kako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se Vlada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nosi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s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t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iscima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pozivima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sa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najvi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š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dr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avnih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adresa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kojima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se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uvaju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pa</w:t>
      </w:r>
      <w:r w:rsidRPr="006014B2">
        <w:rPr>
          <w:rFonts w:ascii="Arial" w:hAnsi="Arial" w:cs="Arial"/>
          <w:sz w:val="28"/>
          <w:szCs w:val="28"/>
          <w:lang w:val="en-US" w:eastAsia="en-GB"/>
        </w:rPr>
        <w:t>rt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ijski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kadrovi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starog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re</w:t>
      </w:r>
      <w:r w:rsidRPr="006014B2">
        <w:rPr>
          <w:rFonts w:ascii="Arial" w:hAnsi="Arial" w:cs="Arial"/>
          <w:sz w:val="28"/>
          <w:szCs w:val="28"/>
          <w:lang w:val="en-US" w:eastAsia="en-GB"/>
        </w:rPr>
        <w:t>ž</w:t>
      </w:r>
      <w:r w:rsidRPr="006014B2">
        <w:rPr>
          <w:rFonts w:ascii="Arial" w:hAnsi="Arial" w:cs="Arial"/>
          <w:sz w:val="28"/>
          <w:szCs w:val="28"/>
          <w:lang w:val="en-US" w:eastAsia="en-GB"/>
        </w:rPr>
        <w:t>ima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koji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su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koristili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vojne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bezbjednosne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structure </w:t>
      </w:r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njihovi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imovinu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za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politi</w:t>
      </w:r>
      <w:r w:rsidRPr="006014B2">
        <w:rPr>
          <w:rFonts w:ascii="Arial" w:hAnsi="Arial" w:cs="Arial"/>
          <w:sz w:val="28"/>
          <w:szCs w:val="28"/>
          <w:lang w:val="en-US" w:eastAsia="en-GB"/>
        </w:rPr>
        <w:t>č</w:t>
      </w:r>
      <w:r w:rsidRPr="006014B2">
        <w:rPr>
          <w:rFonts w:ascii="Arial" w:hAnsi="Arial" w:cs="Arial"/>
          <w:sz w:val="28"/>
          <w:szCs w:val="28"/>
          <w:lang w:val="en-US" w:eastAsia="en-GB"/>
        </w:rPr>
        <w:t>ke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ciljeve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i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privatne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 xml:space="preserve"> </w:t>
      </w:r>
      <w:proofErr w:type="spellStart"/>
      <w:r w:rsidRPr="006014B2">
        <w:rPr>
          <w:rFonts w:ascii="Arial" w:hAnsi="Arial" w:cs="Arial"/>
          <w:sz w:val="28"/>
          <w:szCs w:val="28"/>
          <w:lang w:val="en-US" w:eastAsia="en-GB"/>
        </w:rPr>
        <w:t>interese</w:t>
      </w:r>
      <w:proofErr w:type="spellEnd"/>
      <w:r w:rsidRPr="006014B2">
        <w:rPr>
          <w:rFonts w:ascii="Arial" w:hAnsi="Arial" w:cs="Arial"/>
          <w:sz w:val="28"/>
          <w:szCs w:val="28"/>
          <w:lang w:val="en-US" w:eastAsia="en-GB"/>
        </w:rPr>
        <w:t>?</w:t>
      </w:r>
    </w:p>
    <w:p w:rsidR="006756E9" w:rsidRPr="006014B2" w:rsidRDefault="006756E9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233D09" w:rsidRPr="006014B2" w:rsidRDefault="00233D09" w:rsidP="009A2F73">
      <w:pPr>
        <w:spacing w:before="0" w:after="0" w:line="240" w:lineRule="auto"/>
        <w:ind w:firstLine="284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6014B2" w:rsidRDefault="00046C86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6014B2" w:rsidRDefault="00233D09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F536EC" w:rsidRPr="006014B2" w:rsidRDefault="00F536EC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594579" w:rsidRPr="006014B2" w:rsidRDefault="00594579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>Uvaženi poslaniče</w:t>
      </w:r>
      <w:r w:rsidRPr="006014B2">
        <w:rPr>
          <w:rFonts w:ascii="Arial" w:hAnsi="Arial" w:cs="Arial"/>
          <w:sz w:val="28"/>
          <w:szCs w:val="28"/>
          <w:lang w:val="sr-Latn-ME"/>
        </w:rPr>
        <w:t xml:space="preserve"> Bogdanoviću</w:t>
      </w:r>
      <w:r w:rsidRPr="006014B2">
        <w:rPr>
          <w:rFonts w:ascii="Arial" w:hAnsi="Arial" w:cs="Arial"/>
          <w:sz w:val="28"/>
          <w:szCs w:val="28"/>
          <w:lang w:val="sr-Latn-ME"/>
        </w:rPr>
        <w:t xml:space="preserve">, </w:t>
      </w: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>odgovor na Vaše pitanje o izdavanju naoružanja i municije iz vojnih magacina uoči parlamentarnih izbora 2020. godine bazira se na preduzetim koracima, identifikovanim nepravilnostima i mjerama za unaprjeđenje sistema.</w:t>
      </w: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>Ministarstvo odbrane, preduzelo je niz mjera kako bi se rasvijetlio ovaj slučaj i osigurala odgovornost. Dana 14. marta 2024. godine, dostavljena je relevantna dokumentacija Vrhovnom državnom tužiocu i Specijalnom državnom tužiocu, dok je 2. avgusta iste godine dopunjena dodatnim materijalima koji ranije nisu bili obrađeni. Ova dokumentacija ukazuje na ozbiljne nepravilnosti u vezi sa izdavanjem naoružanja i municije iz vojnog magacina „Brezovik“ u Nikšiću 28. avgusta 2020. godine. Ministarstvo je u međuvremenu sprovelo internu istragu, prikupljajući 28 izjava od lica povezanih sa ovim događajem, uključujući oficire, podoficire i druge nadležne osobe.</w:t>
      </w: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>Rezultati istrage otkrili su da je značajno naoružanje i municija izdata raznim subjektima, uključujući Agenciju za nacionalnu bezbjednost, Ministarstvo unutrašnjih poslova i Generalštab Vojske Crne Gore. Ukupno je izda</w:t>
      </w:r>
      <w:r w:rsidRPr="006014B2">
        <w:rPr>
          <w:rFonts w:ascii="Arial" w:hAnsi="Arial" w:cs="Arial"/>
          <w:sz w:val="28"/>
          <w:szCs w:val="28"/>
          <w:lang w:val="sr-Latn-ME"/>
        </w:rPr>
        <w:t>t</w:t>
      </w:r>
      <w:r w:rsidRPr="006014B2">
        <w:rPr>
          <w:rFonts w:ascii="Arial" w:hAnsi="Arial" w:cs="Arial"/>
          <w:sz w:val="28"/>
          <w:szCs w:val="28"/>
          <w:lang w:val="sr-Latn-ME"/>
        </w:rPr>
        <w:t>o 100 automatskih pušaka, 15 automata, više od 25.000 metaka različitih kalibara, kao i specijalna oprema poput šok bombi i topovskih udara. Primopredaja je evidentirana u papirima koji su, prema svjedočenjima, uništeni nakon povratka opreme, čime je dodatno otežano praćenje odgovornosti. Takođe, otkriveno je da su nadzorne kamere u određenim momentima bile isključene, što ukazuje na pokušaj prikrivanja nezakonitih radnji.</w:t>
      </w: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>Ministarstvo je utvrdilo i da su u proces primopredaje naoružanja bila uključena bezbjednosno interesantna lica izvan vojnih struktura, što dodatno pogoršava ozbiljnost situacije. Ove činjenice ukazuju na sistemske propuste u kontroli vojne opreme, ali i na zloupotrebu državnih resursa u političke svrhe.</w:t>
      </w: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 xml:space="preserve">Kako bi se spriječile slične zloupotrebe u budućnosti, Ministarstvo odbrane već je započelo niz reformi. Uvedene su strože procedure za izdavanje vojne opreme, koje uključuju višestepene provjere i obavezne saglasnosti više nivoa. Digitalizacija procesa evidencije i praćenja opreme </w:t>
      </w:r>
      <w:r w:rsidRPr="006014B2">
        <w:rPr>
          <w:rFonts w:ascii="Arial" w:hAnsi="Arial" w:cs="Arial"/>
          <w:sz w:val="28"/>
          <w:szCs w:val="28"/>
          <w:lang w:val="sr-Latn-ME"/>
        </w:rPr>
        <w:lastRenderedPageBreak/>
        <w:t>trenutno je u toku, a planirano je i unaprjeđenje zakonskog okvira kako bi se jasno definisale odgovornosti i sankcije. Posebna pažnja posvećuje se edukaciji i obuci vojnih i bezbjednosnih kadrova, s ciljem jačanja profesionalnosti i svijesti o zakonitosti u radu.</w:t>
      </w:r>
    </w:p>
    <w:p w:rsidR="003A1B93" w:rsidRPr="006014B2" w:rsidRDefault="003A1B93" w:rsidP="003A1B93">
      <w:pPr>
        <w:rPr>
          <w:rFonts w:ascii="Arial" w:hAnsi="Arial" w:cs="Arial"/>
          <w:sz w:val="28"/>
          <w:szCs w:val="28"/>
          <w:lang w:val="sr-Latn-ME"/>
        </w:rPr>
      </w:pPr>
      <w:r w:rsidRPr="006014B2">
        <w:rPr>
          <w:rFonts w:ascii="Arial" w:hAnsi="Arial" w:cs="Arial"/>
          <w:sz w:val="28"/>
          <w:szCs w:val="28"/>
          <w:lang w:val="sr-Latn-ME"/>
        </w:rPr>
        <w:t>Vlada Crne Gore ostaje u potpunosti posvećena saradnji sa pravosudnim organima u rasvjetljavanju ovog slučaja. Transparentnost i odgovornost ključni su principi na kojima se zasniva naše djelovanje, s ciljem očuvanja povjerenja građana i jačanja institucija. Ovaj slučaj vidimo kao priliku da unaprijedimo sistem, ojačamo kontrole i pošaljemo jasnu poruku da su zakonitost i integritet osnovni principi u upravljanju državnim resursima.</w:t>
      </w:r>
    </w:p>
    <w:p w:rsidR="00047461" w:rsidRPr="006014B2" w:rsidRDefault="00047461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756E9" w:rsidRPr="006014B2" w:rsidRDefault="006756E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5252AF" w:rsidRPr="006014B2" w:rsidRDefault="005252AF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6014B2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:rsidR="00047461" w:rsidRPr="006014B2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047461" w:rsidRPr="006014B2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047461" w:rsidRPr="006014B2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5252AF" w:rsidRPr="006014B2" w:rsidRDefault="005252AF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6014B2" w:rsidRDefault="00046C8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6014B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F536EC" w:rsidRPr="006014B2" w:rsidRDefault="00046C8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ab/>
      </w:r>
      <w:r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</w:t>
      </w:r>
      <w:r w:rsidR="00594579"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6673E9"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6014B2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r Milojko Spajić</w:t>
      </w:r>
    </w:p>
    <w:p w:rsidR="00F536EC" w:rsidRPr="006014B2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sectPr w:rsidR="00F536EC" w:rsidRPr="006014B2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E20" w:rsidRDefault="00DE2E20">
      <w:pPr>
        <w:spacing w:line="240" w:lineRule="auto"/>
      </w:pPr>
      <w:r>
        <w:separator/>
      </w:r>
    </w:p>
  </w:endnote>
  <w:endnote w:type="continuationSeparator" w:id="0">
    <w:p w:rsidR="00DE2E20" w:rsidRDefault="00DE2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E20" w:rsidRDefault="00DE2E20">
      <w:pPr>
        <w:spacing w:before="0" w:after="0"/>
      </w:pPr>
      <w:r>
        <w:separator/>
      </w:r>
    </w:p>
  </w:footnote>
  <w:footnote w:type="continuationSeparator" w:id="0">
    <w:p w:rsidR="00DE2E20" w:rsidRDefault="00DE2E2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1B93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4B2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2E20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A53A2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F221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25</cp:revision>
  <cp:lastPrinted>2022-06-16T12:02:00Z</cp:lastPrinted>
  <dcterms:created xsi:type="dcterms:W3CDTF">2023-12-27T07:14:00Z</dcterms:created>
  <dcterms:modified xsi:type="dcterms:W3CDTF">2024-12-19T08:01:00Z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