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20440D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</w:rPr>
      </w:pPr>
      <w:r w:rsidRPr="0020440D">
        <w:rPr>
          <w:rFonts w:ascii="Cambria" w:hAnsi="Cambria" w:cs="Cambria"/>
          <w:noProof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CRNA GORA</w:t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MINISTARSTVO FINANSIJA</w:t>
      </w:r>
    </w:p>
    <w:p w:rsidR="0082570B" w:rsidRPr="0020440D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Direktorat</w:t>
      </w:r>
      <w:r w:rsidR="0082570B" w:rsidRPr="0020440D">
        <w:rPr>
          <w:b/>
          <w:bCs/>
          <w:noProof/>
          <w:sz w:val="28"/>
          <w:szCs w:val="28"/>
        </w:rPr>
        <w:t xml:space="preserve"> za ekonomsku politiku i razvoj</w:t>
      </w:r>
    </w:p>
    <w:p w:rsidR="0082570B" w:rsidRPr="0020440D" w:rsidRDefault="0082570B" w:rsidP="00D61692">
      <w:pPr>
        <w:rPr>
          <w:rFonts w:cs="Calibri"/>
          <w:noProof/>
        </w:rPr>
      </w:pPr>
    </w:p>
    <w:p w:rsidR="0082570B" w:rsidRPr="0020440D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</w:rPr>
      </w:pPr>
      <w:r w:rsidRPr="0020440D">
        <w:rPr>
          <w:rFonts w:cs="Calibri"/>
          <w:b/>
          <w:bCs/>
          <w:iCs/>
          <w:noProof/>
          <w:sz w:val="52"/>
          <w:szCs w:val="52"/>
        </w:rPr>
        <w:t>MJESEČNI MAKROEKONOMSKI INDIKATORI</w:t>
      </w:r>
    </w:p>
    <w:p w:rsidR="0082570B" w:rsidRPr="0020440D" w:rsidRDefault="00745D7B" w:rsidP="005D48A0">
      <w:pPr>
        <w:spacing w:line="240" w:lineRule="auto"/>
        <w:ind w:firstLine="720"/>
        <w:jc w:val="center"/>
        <w:outlineLvl w:val="0"/>
        <w:rPr>
          <w:rFonts w:cs="Calibri"/>
          <w:b/>
          <w:bCs/>
          <w:noProof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</w:rPr>
        <w:t>Februar</w:t>
      </w:r>
      <w:r w:rsidR="00C45B95">
        <w:rPr>
          <w:rFonts w:cs="Calibri"/>
          <w:b/>
          <w:bCs/>
          <w:noProof/>
          <w:sz w:val="32"/>
          <w:szCs w:val="32"/>
        </w:rPr>
        <w:t xml:space="preserve"> 2015</w:t>
      </w:r>
      <w:r w:rsidR="0082570B" w:rsidRPr="0020440D">
        <w:rPr>
          <w:rFonts w:cs="Calibri"/>
          <w:b/>
          <w:bCs/>
          <w:noProof/>
          <w:sz w:val="32"/>
          <w:szCs w:val="32"/>
        </w:rPr>
        <w:t>.</w:t>
      </w:r>
    </w:p>
    <w:p w:rsidR="0082570B" w:rsidRPr="0020440D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9F74C6" w:rsidRPr="0020440D" w:rsidRDefault="009F74C6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Pr="0020440D" w:rsidRDefault="00A44C41" w:rsidP="00D20CDA">
      <w:pPr>
        <w:spacing w:after="0" w:line="240" w:lineRule="auto"/>
        <w:rPr>
          <w:rFonts w:cs="Calibri"/>
          <w:bCs/>
          <w:noProof/>
          <w:sz w:val="28"/>
          <w:szCs w:val="28"/>
        </w:rPr>
      </w:pPr>
      <w:r w:rsidRPr="00A44C41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2.1pt;margin-top:5in;width:252.6pt;height:338pt;rotation:-360;z-index:-251658240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548dd4 [1951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625243" w:rsidRDefault="00625243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625243" w:rsidRDefault="00625243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</w:p>
                <w:p w:rsidR="00625243" w:rsidRPr="00625243" w:rsidRDefault="00625243" w:rsidP="00745D7B">
                  <w:pPr>
                    <w:pStyle w:val="NoSpacing"/>
                    <w:numPr>
                      <w:ilvl w:val="0"/>
                      <w:numId w:val="38"/>
                    </w:numPr>
                    <w:spacing w:after="360"/>
                    <w:ind w:left="714" w:hanging="357"/>
                    <w:jc w:val="both"/>
                    <w:rPr>
                      <w:rFonts w:asciiTheme="minorHAnsi" w:hAnsiTheme="minorHAnsi" w:cstheme="minorHAnsi"/>
                      <w:sz w:val="36"/>
                      <w:szCs w:val="24"/>
                      <w:lang w:eastAsia="sr-Latn-CS"/>
                    </w:rPr>
                  </w:pPr>
                  <w:r w:rsidRPr="00625243">
                    <w:rPr>
                      <w:b/>
                    </w:rPr>
                    <w:t>U januaru su porasli indikatori ekonomskih očekivanja za zemlje EU i Eurozone</w:t>
                  </w:r>
                  <w:r>
                    <w:rPr>
                      <w:b/>
                    </w:rPr>
                    <w:t xml:space="preserve"> (Economic Sentiment Indicator)</w:t>
                  </w:r>
                  <w:r w:rsidRPr="00625243">
                    <w:rPr>
                      <w:b/>
                    </w:rPr>
                    <w:t>.</w:t>
                  </w:r>
                </w:p>
                <w:p w:rsidR="00625243" w:rsidRPr="005B2E65" w:rsidRDefault="00625243" w:rsidP="00745D7B">
                  <w:pPr>
                    <w:pStyle w:val="NoSpacing"/>
                    <w:numPr>
                      <w:ilvl w:val="0"/>
                      <w:numId w:val="38"/>
                    </w:numPr>
                    <w:spacing w:after="360"/>
                    <w:ind w:left="714" w:hanging="357"/>
                    <w:jc w:val="both"/>
                    <w:rPr>
                      <w:rFonts w:asciiTheme="minorHAnsi" w:hAnsiTheme="minorHAnsi" w:cstheme="minorHAnsi"/>
                      <w:sz w:val="36"/>
                      <w:szCs w:val="24"/>
                      <w:lang w:eastAsia="sr-Latn-CS"/>
                    </w:rPr>
                  </w:pPr>
                  <w:r>
                    <w:rPr>
                      <w:b/>
                    </w:rPr>
                    <w:t>Turistički promet u januaru bilježi značajan rast dolazaka i noćenja turista.</w:t>
                  </w:r>
                </w:p>
                <w:p w:rsidR="00625243" w:rsidRDefault="00625243" w:rsidP="005B2E65">
                  <w:pPr>
                    <w:pStyle w:val="NoSpacing"/>
                    <w:numPr>
                      <w:ilvl w:val="0"/>
                      <w:numId w:val="38"/>
                    </w:numPr>
                    <w:spacing w:after="360"/>
                    <w:ind w:left="714" w:hanging="357"/>
                    <w:jc w:val="both"/>
                    <w:rPr>
                      <w:b/>
                    </w:rPr>
                  </w:pPr>
                  <w:r w:rsidRPr="005B2E65">
                    <w:rPr>
                      <w:b/>
                    </w:rPr>
                    <w:t>Stop</w:t>
                  </w:r>
                  <w:r>
                    <w:rPr>
                      <w:b/>
                    </w:rPr>
                    <w:t>a nezaposlenosti u januaru 2015</w:t>
                  </w:r>
                  <w:r w:rsidRPr="005B2E65">
                    <w:rPr>
                      <w:b/>
                    </w:rPr>
                    <w:t xml:space="preserve"> iznosila </w:t>
                  </w:r>
                  <w:r>
                    <w:rPr>
                      <w:b/>
                    </w:rPr>
                    <w:t xml:space="preserve">je </w:t>
                  </w:r>
                  <w:r w:rsidRPr="005B2E65">
                    <w:rPr>
                      <w:b/>
                    </w:rPr>
                    <w:t>15,1%</w:t>
                  </w:r>
                  <w:r>
                    <w:rPr>
                      <w:b/>
                    </w:rPr>
                    <w:t>.</w:t>
                  </w:r>
                </w:p>
                <w:p w:rsidR="00625243" w:rsidRDefault="00625243" w:rsidP="005B2E65">
                  <w:pPr>
                    <w:pStyle w:val="NoSpacing"/>
                    <w:numPr>
                      <w:ilvl w:val="0"/>
                      <w:numId w:val="38"/>
                    </w:numPr>
                    <w:spacing w:after="360"/>
                    <w:ind w:left="714" w:hanging="357"/>
                    <w:jc w:val="both"/>
                    <w:rPr>
                      <w:b/>
                      <w:noProof/>
                    </w:rPr>
                  </w:pPr>
                  <w:r w:rsidRPr="00BE4635">
                    <w:rPr>
                      <w:b/>
                      <w:noProof/>
                    </w:rPr>
                    <w:t xml:space="preserve">Izvorni prihodi budžeta Crne Gore </w:t>
                  </w:r>
                  <w:r w:rsidRPr="005B2E65">
                    <w:rPr>
                      <w:b/>
                      <w:noProof/>
                    </w:rPr>
                    <w:t>u januaru 2015</w:t>
                  </w:r>
                  <w:r>
                    <w:rPr>
                      <w:b/>
                      <w:noProof/>
                    </w:rPr>
                    <w:t>,</w:t>
                  </w:r>
                  <w:r w:rsidRPr="005B2E65">
                    <w:rPr>
                      <w:b/>
                      <w:noProof/>
                    </w:rPr>
                    <w:t xml:space="preserve"> ostvareni u iznosu od</w:t>
                  </w:r>
                  <w:r>
                    <w:rPr>
                      <w:b/>
                      <w:noProof/>
                    </w:rPr>
                    <w:t xml:space="preserve"> 71,2 mil.€, </w:t>
                  </w:r>
                  <w:r w:rsidRPr="005B2E65">
                    <w:rPr>
                      <w:b/>
                      <w:noProof/>
                    </w:rPr>
                    <w:t xml:space="preserve">0,5% više </w:t>
                  </w:r>
                  <w:r>
                    <w:rPr>
                      <w:b/>
                      <w:noProof/>
                    </w:rPr>
                    <w:t>u odnosu na prethodnu godinu.</w:t>
                  </w:r>
                </w:p>
                <w:p w:rsidR="00625243" w:rsidRDefault="00625243" w:rsidP="005B2E65">
                  <w:pPr>
                    <w:pStyle w:val="NoSpacing"/>
                    <w:numPr>
                      <w:ilvl w:val="0"/>
                      <w:numId w:val="38"/>
                    </w:numPr>
                    <w:spacing w:after="360"/>
                    <w:ind w:left="714" w:hanging="357"/>
                    <w:jc w:val="both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t>Početkom godine nastavljen  rast ukupnih depozita i kapitala, kao i umjereni pad kreditnih plasmana.</w:t>
                  </w:r>
                </w:p>
                <w:p w:rsidR="00625243" w:rsidRPr="005B2E65" w:rsidRDefault="00625243" w:rsidP="005B2E65">
                  <w:pPr>
                    <w:pStyle w:val="NoSpacing"/>
                    <w:numPr>
                      <w:ilvl w:val="0"/>
                      <w:numId w:val="38"/>
                    </w:numPr>
                    <w:spacing w:after="360"/>
                    <w:ind w:left="714" w:hanging="357"/>
                    <w:jc w:val="both"/>
                    <w:rPr>
                      <w:b/>
                    </w:rPr>
                  </w:pPr>
                </w:p>
                <w:p w:rsidR="00625243" w:rsidRDefault="00625243"/>
              </w:txbxContent>
            </v:textbox>
            <w10:wrap type="tight" anchorx="margin" anchory="margin"/>
          </v:shape>
        </w:pict>
      </w:r>
    </w:p>
    <w:p w:rsidR="0082570B" w:rsidRPr="0020440D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</w:rPr>
      </w:pPr>
    </w:p>
    <w:p w:rsidR="0082570B" w:rsidRPr="0020440D" w:rsidRDefault="0082570B" w:rsidP="00D61692">
      <w:pPr>
        <w:pStyle w:val="NoSpacing"/>
        <w:rPr>
          <w:bCs/>
          <w:iCs/>
          <w:noProof/>
          <w:sz w:val="26"/>
          <w:szCs w:val="26"/>
        </w:rPr>
      </w:pPr>
    </w:p>
    <w:p w:rsidR="0082570B" w:rsidRPr="0020440D" w:rsidRDefault="0085138D" w:rsidP="00694445">
      <w:pPr>
        <w:pStyle w:val="NoSpacing"/>
        <w:rPr>
          <w:bCs/>
          <w:noProof/>
          <w:sz w:val="28"/>
          <w:szCs w:val="20"/>
        </w:rPr>
      </w:pPr>
      <w:r w:rsidRPr="0020440D">
        <w:rPr>
          <w:bCs/>
          <w:noProof/>
          <w:sz w:val="28"/>
          <w:szCs w:val="20"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136525</wp:posOffset>
            </wp:positionV>
            <wp:extent cx="2238375" cy="2644140"/>
            <wp:effectExtent l="19050" t="0" r="9525" b="0"/>
            <wp:wrapSquare wrapText="bothSides"/>
            <wp:docPr id="13" name="Picture 1" descr="C:\Users\radovan.zivkovic\Desktop\push-to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zivkovic\Desktop\push-to-vertic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  <w:r w:rsidRPr="0020440D">
        <w:rPr>
          <w:b/>
          <w:bCs/>
          <w:noProof/>
          <w:color w:val="000000"/>
          <w:sz w:val="16"/>
          <w:szCs w:val="16"/>
        </w:rPr>
        <w:t xml:space="preserve">Autori priloga: </w:t>
      </w:r>
      <w:r w:rsidR="00423EE9" w:rsidRPr="0020440D">
        <w:rPr>
          <w:bCs/>
          <w:noProof/>
          <w:color w:val="000000"/>
          <w:sz w:val="16"/>
          <w:szCs w:val="16"/>
        </w:rPr>
        <w:t>Radovan Živković</w:t>
      </w:r>
      <w:r w:rsidR="002A2CED" w:rsidRPr="0020440D">
        <w:rPr>
          <w:bCs/>
          <w:noProof/>
          <w:color w:val="000000"/>
          <w:sz w:val="16"/>
          <w:szCs w:val="16"/>
        </w:rPr>
        <w:t>, Radojka Martinović</w:t>
      </w:r>
      <w:r w:rsidR="00423EE9" w:rsidRPr="0020440D">
        <w:rPr>
          <w:bCs/>
          <w:noProof/>
          <w:color w:val="000000"/>
          <w:sz w:val="16"/>
          <w:szCs w:val="16"/>
        </w:rPr>
        <w:t xml:space="preserve">, Olja Tomanović, </w:t>
      </w:r>
      <w:r w:rsidR="004B5F63" w:rsidRPr="0020440D">
        <w:rPr>
          <w:bCs/>
          <w:noProof/>
          <w:color w:val="000000"/>
          <w:sz w:val="16"/>
          <w:szCs w:val="16"/>
        </w:rPr>
        <w:t>Marija Novosel</w:t>
      </w:r>
      <w:r w:rsidR="00A423C3" w:rsidRPr="0020440D">
        <w:rPr>
          <w:bCs/>
          <w:noProof/>
          <w:color w:val="000000"/>
          <w:sz w:val="16"/>
          <w:szCs w:val="16"/>
        </w:rPr>
        <w:t>,</w:t>
      </w:r>
      <w:r w:rsidR="002A2CED" w:rsidRPr="0020440D">
        <w:rPr>
          <w:bCs/>
          <w:noProof/>
          <w:color w:val="000000"/>
          <w:sz w:val="16"/>
          <w:szCs w:val="16"/>
        </w:rPr>
        <w:t xml:space="preserve"> ZdenkaDabović</w:t>
      </w:r>
      <w:r w:rsidR="00E2362B" w:rsidRPr="0020440D">
        <w:rPr>
          <w:bCs/>
          <w:noProof/>
          <w:color w:val="000000"/>
          <w:sz w:val="16"/>
          <w:szCs w:val="16"/>
        </w:rPr>
        <w:t>, Milanka Jovanović</w:t>
      </w:r>
      <w:r w:rsidR="00A73F8B" w:rsidRPr="0020440D">
        <w:rPr>
          <w:bCs/>
          <w:noProof/>
          <w:color w:val="000000"/>
          <w:sz w:val="16"/>
          <w:szCs w:val="16"/>
        </w:rPr>
        <w:t>,</w:t>
      </w:r>
      <w:r w:rsidR="002167C4">
        <w:rPr>
          <w:bCs/>
          <w:noProof/>
          <w:color w:val="000000"/>
          <w:sz w:val="16"/>
          <w:szCs w:val="16"/>
        </w:rPr>
        <w:t xml:space="preserve">Miloš Popović, </w:t>
      </w:r>
      <w:r w:rsidR="00A73F8B" w:rsidRPr="0020440D">
        <w:rPr>
          <w:bCs/>
          <w:noProof/>
          <w:color w:val="000000"/>
          <w:sz w:val="16"/>
          <w:szCs w:val="16"/>
        </w:rPr>
        <w:t>Vesna Obradović</w:t>
      </w:r>
      <w:r w:rsidR="00625243">
        <w:rPr>
          <w:bCs/>
          <w:noProof/>
          <w:color w:val="000000"/>
          <w:sz w:val="16"/>
          <w:szCs w:val="16"/>
        </w:rPr>
        <w:t>.</w:t>
      </w:r>
    </w:p>
    <w:tbl>
      <w:tblPr>
        <w:tblStyle w:val="TableGrid"/>
        <w:tblpPr w:leftFromText="141" w:rightFromText="141" w:horzAnchor="margin" w:tblpY="420"/>
        <w:tblW w:w="4985" w:type="pct"/>
        <w:tblBorders>
          <w:top w:val="threeDEmboss" w:sz="12" w:space="0" w:color="auto"/>
          <w:left w:val="none" w:sz="0" w:space="0" w:color="auto"/>
          <w:bottom w:val="threeDEmboss" w:sz="12" w:space="0" w:color="auto"/>
          <w:right w:val="none" w:sz="0" w:space="0" w:color="auto"/>
          <w:insideH w:val="threeDEmboss" w:sz="12" w:space="0" w:color="auto"/>
          <w:insideV w:val="none" w:sz="0" w:space="0" w:color="auto"/>
        </w:tblBorders>
        <w:tblLook w:val="04A0"/>
      </w:tblPr>
      <w:tblGrid>
        <w:gridCol w:w="6985"/>
        <w:gridCol w:w="3913"/>
      </w:tblGrid>
      <w:tr w:rsidR="00C45B95" w:rsidTr="00613445">
        <w:trPr>
          <w:trHeight w:hRule="exact" w:val="4037"/>
        </w:trPr>
        <w:tc>
          <w:tcPr>
            <w:tcW w:w="3236" w:type="pct"/>
          </w:tcPr>
          <w:p w:rsidR="001B7C2A" w:rsidRPr="001B7C2A" w:rsidRDefault="001B7C2A" w:rsidP="00000106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b/>
              </w:rPr>
            </w:pPr>
            <w:r w:rsidRPr="001B7C2A">
              <w:rPr>
                <w:b/>
              </w:rPr>
              <w:t>Međunarodno okruženje</w:t>
            </w:r>
          </w:p>
          <w:p w:rsidR="001B7C2A" w:rsidRPr="00137346" w:rsidRDefault="00A46E75" w:rsidP="00A46E75">
            <w:pPr>
              <w:pBdr>
                <w:top w:val="single" w:sz="4" w:space="1" w:color="auto"/>
              </w:pBdr>
              <w:jc w:val="both"/>
            </w:pPr>
            <w:r w:rsidRPr="002E068D">
              <w:rPr>
                <w:b/>
              </w:rPr>
              <w:t xml:space="preserve">U januaru su </w:t>
            </w:r>
            <w:r w:rsidR="00625243">
              <w:rPr>
                <w:b/>
              </w:rPr>
              <w:t>indikatori ekonomskih očekivanja</w:t>
            </w:r>
            <w:r w:rsidRPr="002E068D">
              <w:rPr>
                <w:b/>
              </w:rPr>
              <w:t xml:space="preserve"> (ESI</w:t>
            </w:r>
            <w:r w:rsidR="001E53D5">
              <w:rPr>
                <w:b/>
              </w:rPr>
              <w:t>-</w:t>
            </w:r>
            <w:r w:rsidRPr="002E068D">
              <w:rPr>
                <w:b/>
              </w:rPr>
              <w:t xml:space="preserve">economic sentiment </w:t>
            </w:r>
            <w:r w:rsidR="00077211">
              <w:rPr>
                <w:b/>
              </w:rPr>
              <w:t>indic</w:t>
            </w:r>
            <w:r w:rsidRPr="002E068D">
              <w:rPr>
                <w:b/>
              </w:rPr>
              <w:t>ator) blago porasli i u Eurozoni i u Evropskoj uniji</w:t>
            </w:r>
            <w:r>
              <w:t xml:space="preserve"> za 0,6 u odnosu na 101,2 i 0,5 u odnosu na 104,1. Svaka vrijednost indikatora iznad 100 označava ekspanziju</w:t>
            </w:r>
            <w:r w:rsidR="00FE337F">
              <w:t xml:space="preserve"> ekonomske aktivnosti</w:t>
            </w:r>
            <w:r>
              <w:t>. Rast ovog kompozitnog ekonomskog indikatora je podstaknut rastom povjerenja potrošača i rastom trgovine koji su poravnal</w:t>
            </w:r>
            <w:r w:rsidR="007F2783">
              <w:t>i negativne indikatore zabilježene</w:t>
            </w:r>
            <w:r>
              <w:t xml:space="preserve"> u sektoru usluga i građevinarstva. Indikatori industrijske proizvodnje su bili stabilni. Rast ESI je neujednačen</w:t>
            </w:r>
            <w:r w:rsidR="0082159B">
              <w:t xml:space="preserve"> po zemljama. Rast indikatora</w:t>
            </w:r>
            <w:r>
              <w:t xml:space="preserve">, među većim ekonomijama, zabilježen </w:t>
            </w:r>
            <w:r w:rsidR="0082159B">
              <w:t>je u Njemačkoj (0,4)</w:t>
            </w:r>
            <w:r>
              <w:t>, Španiji (1,0)  i Italiji (2</w:t>
            </w:r>
            <w:r w:rsidR="009A66BD">
              <w:t xml:space="preserve">,6), a pad u Francuskoj (-0,4) </w:t>
            </w:r>
            <w:r>
              <w:t>i Holandiji (-1,2). U očekivanju otkupa suverenih obveznica</w:t>
            </w:r>
            <w:r w:rsidR="0082159B">
              <w:t>,</w:t>
            </w:r>
            <w:r>
              <w:t xml:space="preserve"> euro je krajem januara pao na 1,15 USD</w:t>
            </w:r>
            <w:r w:rsidR="00613445">
              <w:t xml:space="preserve">, </w:t>
            </w:r>
            <w:r w:rsidR="00613445" w:rsidRPr="0073530B">
              <w:t>a cijene suverenog zaduživanja padaju što može imati pozitivan efekat na najavljeno zaduživanje Crne Gore na tržištu kapitala</w:t>
            </w:r>
            <w:r w:rsidRPr="0073530B">
              <w:t>.</w:t>
            </w:r>
            <w:r>
              <w:t xml:space="preserve">Cijena brent nafte je krajem januara iznosila 55 USD/barel i bila je niža je za 55% g-n-g. </w:t>
            </w:r>
          </w:p>
          <w:p w:rsidR="00C45B95" w:rsidRDefault="00C45B95" w:rsidP="00A90070"/>
          <w:p w:rsidR="00C45B95" w:rsidRDefault="00C45B95" w:rsidP="00A90070"/>
        </w:tc>
        <w:tc>
          <w:tcPr>
            <w:tcW w:w="1764" w:type="pct"/>
            <w:vAlign w:val="center"/>
          </w:tcPr>
          <w:p w:rsidR="00C45B95" w:rsidRDefault="00DB3ED2" w:rsidP="00F07EA0">
            <w:r w:rsidRPr="00DB3ED2">
              <w:rPr>
                <w:noProof/>
              </w:rPr>
              <w:drawing>
                <wp:inline distT="0" distB="0" distL="0" distR="0">
                  <wp:extent cx="2160000" cy="2016000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45B95" w:rsidTr="005B2E65">
        <w:trPr>
          <w:trHeight w:hRule="exact" w:val="4109"/>
        </w:trPr>
        <w:tc>
          <w:tcPr>
            <w:tcW w:w="3236" w:type="pct"/>
          </w:tcPr>
          <w:p w:rsidR="00000106" w:rsidRPr="00000106" w:rsidRDefault="003D49BD" w:rsidP="00E00F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Realni sek</w:t>
            </w:r>
            <w:r w:rsidR="00000106" w:rsidRPr="00000106">
              <w:rPr>
                <w:b/>
              </w:rPr>
              <w:t>tor</w:t>
            </w:r>
          </w:p>
          <w:p w:rsidR="00E00F3A" w:rsidRPr="006800D0" w:rsidRDefault="00E00F3A" w:rsidP="00C55D2F">
            <w:pPr>
              <w:pBdr>
                <w:top w:val="single" w:sz="4" w:space="1" w:color="auto"/>
              </w:pBdr>
              <w:jc w:val="both"/>
            </w:pPr>
            <w:r>
              <w:rPr>
                <w:b/>
              </w:rPr>
              <w:t>Turistički promet u januaru bilježi</w:t>
            </w:r>
            <w:r w:rsidR="00F07EA0">
              <w:rPr>
                <w:b/>
              </w:rPr>
              <w:t xml:space="preserve"> značajan</w:t>
            </w:r>
            <w:r>
              <w:rPr>
                <w:b/>
              </w:rPr>
              <w:t xml:space="preserve"> rast dolazaka i noćenja turista. </w:t>
            </w:r>
            <w:r w:rsidRPr="00613072">
              <w:t>Crnu Goru je u janua</w:t>
            </w:r>
            <w:r w:rsidR="00FE337F">
              <w:t xml:space="preserve">ru posjetilo 19,6 hilj.turista, a </w:t>
            </w:r>
            <w:r w:rsidRPr="00613072">
              <w:t xml:space="preserve"> ostvareno</w:t>
            </w:r>
            <w:r w:rsidR="00FE337F">
              <w:t xml:space="preserve"> je </w:t>
            </w:r>
            <w:r w:rsidRPr="00613072">
              <w:t xml:space="preserve"> 74,6 hilj.noćenja, što je rast od 22,8 i 28,3% g-n-g.</w:t>
            </w:r>
            <w:r>
              <w:t xml:space="preserve"> Industrijska proizvodnja u januaru bilježi pad fizičkog obima od 3,4% g-n-g, prvenstveno kao rezultat pada u sektoru „prerađivačka industrija“ (-13,2%). Najveći uticaj na pad ovog sektora imale su proizvodnja prehrambenih proizvoda (-30,3%), pića (-44,4%), osnovnih farmaceutskih proizvoda i preparata (-56,2%) i osnovnih metala (-13,6%). Sektor „vađenje rude i kamena“ u januaru bilježi blagi pad od 2,9%, dok je u sektoru „snabdijevanje el.energ, gasom i parom“ ostvaren rast proizvodnje od 5,8% g-n-g. Promet u trgovini na malo u januaru, u tekućim cijenama, veći je za 2,9% g-n-g. Građevinska aktivnost u Crnoj Gori u IV kvartalu, bilježi pad vrijednosti izvršenih građevinskih radova od 6,9%, dok je u periodu januar-decembar, vrijednost izvršenih građevinskih radova bila veća za 1,9% g-n-g.</w:t>
            </w:r>
          </w:p>
          <w:p w:rsidR="00C45B95" w:rsidRDefault="00C45B95" w:rsidP="00E00F3A">
            <w:pPr>
              <w:pBdr>
                <w:top w:val="single" w:sz="4" w:space="1" w:color="auto"/>
              </w:pBdr>
              <w:spacing w:line="240" w:lineRule="auto"/>
              <w:jc w:val="both"/>
            </w:pPr>
          </w:p>
        </w:tc>
        <w:tc>
          <w:tcPr>
            <w:tcW w:w="1764" w:type="pct"/>
            <w:vAlign w:val="center"/>
          </w:tcPr>
          <w:p w:rsidR="00000106" w:rsidRDefault="00E00F3A" w:rsidP="00963732">
            <w:pPr>
              <w:spacing w:line="240" w:lineRule="auto"/>
            </w:pPr>
            <w:r w:rsidRPr="00E00F3A">
              <w:rPr>
                <w:noProof/>
              </w:rPr>
              <w:drawing>
                <wp:inline distT="0" distB="0" distL="0" distR="0">
                  <wp:extent cx="2304000" cy="2184400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45B95" w:rsidTr="001E53D5">
        <w:trPr>
          <w:trHeight w:hRule="exact" w:val="3390"/>
        </w:trPr>
        <w:tc>
          <w:tcPr>
            <w:tcW w:w="3236" w:type="pct"/>
          </w:tcPr>
          <w:p w:rsidR="00000106" w:rsidRPr="00000106" w:rsidRDefault="00000106" w:rsidP="00000106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b/>
              </w:rPr>
            </w:pPr>
            <w:r w:rsidRPr="00000106">
              <w:rPr>
                <w:b/>
              </w:rPr>
              <w:t>Inflacija</w:t>
            </w:r>
          </w:p>
          <w:p w:rsidR="00C45B95" w:rsidRDefault="00FF068D" w:rsidP="00C55D2F">
            <w:pPr>
              <w:pBdr>
                <w:top w:val="single" w:sz="4" w:space="1" w:color="auto"/>
              </w:pBdr>
              <w:spacing w:after="0"/>
              <w:jc w:val="both"/>
            </w:pPr>
            <w:r>
              <w:rPr>
                <w:rFonts w:asciiTheme="minorHAnsi" w:hAnsiTheme="minorHAnsi"/>
                <w:b/>
              </w:rPr>
              <w:t xml:space="preserve">Kretanja cijena u januaru 2015. obilježio je blagi rast cijena hrane i oštar pad cijena goriva. </w:t>
            </w:r>
            <w:r w:rsidRPr="0067569C">
              <w:rPr>
                <w:rFonts w:asciiTheme="minorHAnsi" w:hAnsiTheme="minorHAnsi"/>
              </w:rPr>
              <w:t>Godišnja sto</w:t>
            </w:r>
            <w:r>
              <w:rPr>
                <w:rFonts w:asciiTheme="minorHAnsi" w:hAnsiTheme="minorHAnsi"/>
              </w:rPr>
              <w:t>pa inflacije (CPI) iznosila je 0,2</w:t>
            </w:r>
            <w:r w:rsidRPr="0067569C">
              <w:rPr>
                <w:rFonts w:asciiTheme="minorHAnsi" w:hAnsiTheme="minorHAnsi"/>
              </w:rPr>
              <w:t xml:space="preserve">%, </w:t>
            </w:r>
            <w:r>
              <w:rPr>
                <w:rFonts w:asciiTheme="minorHAnsi" w:hAnsiTheme="minorHAnsi"/>
              </w:rPr>
              <w:t>dok je na mjesečnom nivou zablježena deflacija od -0,2%. Najveći uticaj na izmjerenu godišnju stopu inflacije imale</w:t>
            </w:r>
            <w:r w:rsidR="00B17E2D">
              <w:rPr>
                <w:rFonts w:asciiTheme="minorHAnsi" w:hAnsiTheme="minorHAnsi"/>
              </w:rPr>
              <w:t xml:space="preserve"> su</w:t>
            </w:r>
            <w:r>
              <w:rPr>
                <w:rFonts w:asciiTheme="minorHAnsi" w:hAnsiTheme="minorHAnsi"/>
              </w:rPr>
              <w:t xml:space="preserve"> cijene iz oblasti „hrana i bezalkoholna pića“ (0,69 p.p)</w:t>
            </w:r>
            <w:r w:rsidR="00B17E2D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sa rastom od 1,8% i cijene goriva (-0,75 p.p)</w:t>
            </w:r>
            <w:r w:rsidR="00B17E2D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sa padom od 18,5%.Godišnja s</w:t>
            </w:r>
            <w:r w:rsidRPr="000C7AB3">
              <w:rPr>
                <w:rFonts w:asciiTheme="minorHAnsi" w:hAnsiTheme="minorHAnsi"/>
              </w:rPr>
              <w:t>top</w:t>
            </w:r>
            <w:r w:rsidRPr="009F2C1D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  <w:b/>
              </w:rPr>
              <w:t xml:space="preserve"> i</w:t>
            </w:r>
            <w:r w:rsidRPr="002B0095">
              <w:rPr>
                <w:rFonts w:asciiTheme="minorHAnsi" w:hAnsiTheme="minorHAnsi"/>
              </w:rPr>
              <w:t>nflacija</w:t>
            </w:r>
            <w:r>
              <w:rPr>
                <w:rFonts w:asciiTheme="minorHAnsi" w:hAnsiTheme="minorHAnsi"/>
              </w:rPr>
              <w:t xml:space="preserve"> (HICP)</w:t>
            </w:r>
            <w:r w:rsidRPr="002B0095">
              <w:rPr>
                <w:rFonts w:asciiTheme="minorHAnsi" w:hAnsiTheme="minorHAnsi"/>
              </w:rPr>
              <w:t xml:space="preserve"> u </w:t>
            </w:r>
            <w:r>
              <w:rPr>
                <w:rFonts w:asciiTheme="minorHAnsi" w:hAnsiTheme="minorHAnsi"/>
              </w:rPr>
              <w:t xml:space="preserve">januaru je iznosila -0,4%, pri čemu su najveći uticaj u procentnim poenima, dale cijene iz oblasti „prevoz“ (-0,94p.p) i „hrana i bezalkoholna pića“ (0,57 p.p). </w:t>
            </w:r>
            <w:r w:rsidRPr="00CF4446">
              <w:rPr>
                <w:rFonts w:asciiTheme="minorHAnsi" w:hAnsiTheme="minorHAnsi"/>
              </w:rPr>
              <w:t xml:space="preserve">Cijene proizvođača industrijskih proizvoda u </w:t>
            </w:r>
            <w:r>
              <w:rPr>
                <w:rFonts w:asciiTheme="minorHAnsi" w:hAnsiTheme="minorHAnsi"/>
              </w:rPr>
              <w:t xml:space="preserve">januaru 2015. bilježe rast od 0,8 % g-n-g, pri čemu je najveći rast cijena zabilježen u sektoru „vađenje rude i kamena“ (3,9%). </w:t>
            </w:r>
          </w:p>
        </w:tc>
        <w:tc>
          <w:tcPr>
            <w:tcW w:w="1764" w:type="pct"/>
            <w:vAlign w:val="center"/>
          </w:tcPr>
          <w:p w:rsidR="00C45B95" w:rsidRDefault="00FF068D" w:rsidP="00963732">
            <w:r w:rsidRPr="00FF068D">
              <w:rPr>
                <w:noProof/>
              </w:rPr>
              <w:drawing>
                <wp:inline distT="0" distB="0" distL="0" distR="0">
                  <wp:extent cx="2162175" cy="1990725"/>
                  <wp:effectExtent l="0" t="0" r="0" b="0"/>
                  <wp:docPr id="7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45B95" w:rsidTr="001E53D5">
        <w:trPr>
          <w:trHeight w:hRule="exact" w:val="3410"/>
        </w:trPr>
        <w:tc>
          <w:tcPr>
            <w:tcW w:w="3236" w:type="pct"/>
          </w:tcPr>
          <w:p w:rsidR="00000106" w:rsidRPr="00000106" w:rsidRDefault="00000106" w:rsidP="00000106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b/>
              </w:rPr>
            </w:pPr>
            <w:r w:rsidRPr="00000106">
              <w:rPr>
                <w:b/>
              </w:rPr>
              <w:t>Zaposlenost i zarade</w:t>
            </w:r>
          </w:p>
          <w:p w:rsidR="00C45B95" w:rsidRPr="00F07EA0" w:rsidRDefault="00F44671" w:rsidP="00F07EA0">
            <w:pPr>
              <w:pBdr>
                <w:top w:val="single" w:sz="4" w:space="1" w:color="auto"/>
              </w:pBdr>
              <w:jc w:val="both"/>
              <w:rPr>
                <w:szCs w:val="18"/>
              </w:rPr>
            </w:pPr>
            <w:r w:rsidRPr="00F07EA0">
              <w:rPr>
                <w:szCs w:val="18"/>
              </w:rPr>
              <w:t>Broj nezaposlenih u ja</w:t>
            </w:r>
            <w:r w:rsidR="009A66BD">
              <w:rPr>
                <w:szCs w:val="18"/>
              </w:rPr>
              <w:t>nuaru 2015. je iznosio 35.152, i</w:t>
            </w:r>
            <w:r w:rsidRPr="00F07EA0">
              <w:rPr>
                <w:szCs w:val="18"/>
              </w:rPr>
              <w:t xml:space="preserve"> veći je </w:t>
            </w:r>
            <w:r w:rsidR="00882CDA">
              <w:rPr>
                <w:szCs w:val="18"/>
              </w:rPr>
              <w:t>za 1,0% u odnosu na januar 2014</w:t>
            </w:r>
            <w:r w:rsidRPr="00F07EA0">
              <w:rPr>
                <w:szCs w:val="18"/>
              </w:rPr>
              <w:t xml:space="preserve">, </w:t>
            </w:r>
            <w:r w:rsidR="00F07EA0" w:rsidRPr="00F07EA0">
              <w:rPr>
                <w:szCs w:val="18"/>
              </w:rPr>
              <w:t>kao i</w:t>
            </w:r>
            <w:r w:rsidR="00EF7D63">
              <w:rPr>
                <w:szCs w:val="18"/>
              </w:rPr>
              <w:t xml:space="preserve"> u odnosu na prethodni </w:t>
            </w:r>
            <w:r w:rsidR="009A66BD">
              <w:rPr>
                <w:szCs w:val="18"/>
              </w:rPr>
              <w:t>mjesec.</w:t>
            </w:r>
            <w:r w:rsidRPr="00F07EA0">
              <w:rPr>
                <w:szCs w:val="18"/>
              </w:rPr>
              <w:t xml:space="preserve"> Stopa nezaposlenosti je povećana</w:t>
            </w:r>
            <w:r w:rsidR="00FD1B17">
              <w:rPr>
                <w:szCs w:val="18"/>
              </w:rPr>
              <w:t xml:space="preserve"> sa 15,0% u januaru 2014,</w:t>
            </w:r>
            <w:r w:rsidRPr="00F07EA0">
              <w:rPr>
                <w:szCs w:val="18"/>
              </w:rPr>
              <w:t xml:space="preserve"> na 15,1% u januaru 2015. </w:t>
            </w:r>
            <w:r w:rsidR="00F07EA0" w:rsidRPr="00F07EA0">
              <w:rPr>
                <w:szCs w:val="18"/>
              </w:rPr>
              <w:t>Značajno je</w:t>
            </w:r>
            <w:r w:rsidRPr="00F07EA0">
              <w:rPr>
                <w:szCs w:val="18"/>
              </w:rPr>
              <w:t xml:space="preserve"> pove</w:t>
            </w:r>
            <w:r w:rsidR="00F07EA0" w:rsidRPr="00F07EA0">
              <w:rPr>
                <w:szCs w:val="18"/>
              </w:rPr>
              <w:t>ćan</w:t>
            </w:r>
            <w:r w:rsidRPr="00F07EA0">
              <w:rPr>
                <w:szCs w:val="18"/>
              </w:rPr>
              <w:t xml:space="preserve"> broj lica koja prvi put traže zaposlenje</w:t>
            </w:r>
            <w:r w:rsidR="009C5A68">
              <w:rPr>
                <w:szCs w:val="18"/>
              </w:rPr>
              <w:t>,</w:t>
            </w:r>
            <w:r w:rsidR="00F07EA0" w:rsidRPr="00F07EA0">
              <w:rPr>
                <w:szCs w:val="18"/>
              </w:rPr>
              <w:t>i</w:t>
            </w:r>
            <w:r w:rsidRPr="00F07EA0">
              <w:rPr>
                <w:szCs w:val="18"/>
              </w:rPr>
              <w:t xml:space="preserve"> to za 8,0% u januaru 2015. </w:t>
            </w:r>
            <w:r w:rsidR="00F07EA0" w:rsidRPr="00F07EA0">
              <w:rPr>
                <w:szCs w:val="18"/>
              </w:rPr>
              <w:t>g-n-g</w:t>
            </w:r>
            <w:r w:rsidRPr="00F07EA0">
              <w:rPr>
                <w:szCs w:val="18"/>
              </w:rPr>
              <w:t>.</w:t>
            </w:r>
            <w:r w:rsidR="00F07EA0" w:rsidRPr="00F07EA0">
              <w:rPr>
                <w:szCs w:val="18"/>
              </w:rPr>
              <w:t>U januaru je oglašeno 3.735</w:t>
            </w:r>
            <w:r w:rsidRPr="00F07EA0">
              <w:rPr>
                <w:szCs w:val="18"/>
              </w:rPr>
              <w:t xml:space="preserve"> slobodnih radnih mjesta, što je 3,6 puta više </w:t>
            </w:r>
            <w:r w:rsidR="009A66BD">
              <w:rPr>
                <w:szCs w:val="18"/>
              </w:rPr>
              <w:t>g-n-g</w:t>
            </w:r>
            <w:r w:rsidRPr="00F07EA0">
              <w:rPr>
                <w:szCs w:val="18"/>
              </w:rPr>
              <w:t>. Izdato je 2</w:t>
            </w:r>
            <w:r w:rsidR="00F07EA0" w:rsidRPr="00F07EA0">
              <w:rPr>
                <w:szCs w:val="18"/>
              </w:rPr>
              <w:t>.</w:t>
            </w:r>
            <w:r w:rsidRPr="00F07EA0">
              <w:rPr>
                <w:szCs w:val="18"/>
              </w:rPr>
              <w:t>407 radnih dozvo</w:t>
            </w:r>
            <w:r w:rsidR="009A66BD">
              <w:rPr>
                <w:szCs w:val="18"/>
              </w:rPr>
              <w:t>la strancima ili 34,2% više g-n</w:t>
            </w:r>
            <w:r w:rsidRPr="00F07EA0">
              <w:rPr>
                <w:szCs w:val="18"/>
              </w:rPr>
              <w:t xml:space="preserve">-g. Prosječna </w:t>
            </w:r>
            <w:r w:rsidR="00B17E2D">
              <w:rPr>
                <w:szCs w:val="18"/>
              </w:rPr>
              <w:t xml:space="preserve">bruto </w:t>
            </w:r>
            <w:r w:rsidRPr="00F07EA0">
              <w:rPr>
                <w:szCs w:val="18"/>
              </w:rPr>
              <w:t xml:space="preserve">zarada u </w:t>
            </w:r>
            <w:r w:rsidR="009A66BD">
              <w:rPr>
                <w:szCs w:val="18"/>
              </w:rPr>
              <w:t>januaru 2015</w:t>
            </w:r>
            <w:r w:rsidR="009C5A68">
              <w:rPr>
                <w:szCs w:val="18"/>
              </w:rPr>
              <w:t>.</w:t>
            </w:r>
            <w:r w:rsidR="00B17E2D">
              <w:rPr>
                <w:szCs w:val="18"/>
              </w:rPr>
              <w:t xml:space="preserve"> je Iznosila 731€</w:t>
            </w:r>
            <w:r w:rsidR="009A66BD">
              <w:rPr>
                <w:szCs w:val="18"/>
              </w:rPr>
              <w:t xml:space="preserve"> i</w:t>
            </w:r>
            <w:r w:rsidR="00B17E2D">
              <w:rPr>
                <w:szCs w:val="18"/>
              </w:rPr>
              <w:t xml:space="preserve"> u odnosu na januar 2014,</w:t>
            </w:r>
            <w:r w:rsidRPr="00F07EA0">
              <w:rPr>
                <w:szCs w:val="18"/>
              </w:rPr>
              <w:t xml:space="preserve"> je povećana 0,7%, dok je u odnosu na decembar 2014. smanjana 0,4%. Zarada bez porez</w:t>
            </w:r>
            <w:r w:rsidR="009A66BD">
              <w:rPr>
                <w:szCs w:val="18"/>
              </w:rPr>
              <w:t>a i</w:t>
            </w:r>
            <w:r w:rsidRPr="00F07EA0">
              <w:rPr>
                <w:szCs w:val="18"/>
              </w:rPr>
              <w:t xml:space="preserve"> doprinosa u j</w:t>
            </w:r>
            <w:r w:rsidR="009A66BD">
              <w:rPr>
                <w:szCs w:val="18"/>
              </w:rPr>
              <w:t>anuaru 2015. je iznosila 482€, i</w:t>
            </w:r>
            <w:r w:rsidR="00A664C8">
              <w:rPr>
                <w:szCs w:val="18"/>
              </w:rPr>
              <w:t xml:space="preserve"> u odnosu na januar 2014. p</w:t>
            </w:r>
            <w:r w:rsidRPr="00F07EA0">
              <w:rPr>
                <w:szCs w:val="18"/>
              </w:rPr>
              <w:t>ovećana je 0,8%, dok je u odnosu na decembar smanjena za 0,4%. Realna neto zarada je smanjena 0,2% u januaru 2015</w:t>
            </w:r>
            <w:r w:rsidR="009C5A68">
              <w:rPr>
                <w:szCs w:val="18"/>
              </w:rPr>
              <w:t>.</w:t>
            </w:r>
            <w:r w:rsidRPr="00F07EA0">
              <w:rPr>
                <w:szCs w:val="18"/>
              </w:rPr>
              <w:t xml:space="preserve"> u odnosu na januar 2014.</w:t>
            </w:r>
          </w:p>
          <w:p w:rsidR="00C45B95" w:rsidRDefault="00C45B95" w:rsidP="00A90070">
            <w:pPr>
              <w:pStyle w:val="Caption"/>
              <w:keepNext/>
            </w:pPr>
          </w:p>
        </w:tc>
        <w:tc>
          <w:tcPr>
            <w:tcW w:w="1764" w:type="pct"/>
            <w:vAlign w:val="center"/>
          </w:tcPr>
          <w:p w:rsidR="00C45B95" w:rsidRDefault="007B3427" w:rsidP="00A90070">
            <w:pPr>
              <w:jc w:val="center"/>
            </w:pPr>
            <w:r w:rsidRPr="007B3427">
              <w:rPr>
                <w:noProof/>
              </w:rPr>
              <w:drawing>
                <wp:inline distT="0" distB="0" distL="0" distR="0">
                  <wp:extent cx="2052000" cy="2016125"/>
                  <wp:effectExtent l="0" t="0" r="0" b="0"/>
                  <wp:docPr id="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C45B95" w:rsidTr="00801C17">
        <w:trPr>
          <w:trHeight w:hRule="exact" w:val="3746"/>
        </w:trPr>
        <w:tc>
          <w:tcPr>
            <w:tcW w:w="3236" w:type="pct"/>
          </w:tcPr>
          <w:p w:rsidR="00FF2790" w:rsidRDefault="00FF2790" w:rsidP="00000106">
            <w:pPr>
              <w:pStyle w:val="ListParagraph"/>
              <w:numPr>
                <w:ilvl w:val="0"/>
                <w:numId w:val="36"/>
              </w:numPr>
              <w:spacing w:after="0"/>
              <w:ind w:left="0" w:hanging="11"/>
              <w:jc w:val="both"/>
              <w:rPr>
                <w:rFonts w:eastAsia="Times New Roman"/>
                <w:b/>
                <w:noProof/>
                <w:color w:val="000000"/>
              </w:rPr>
            </w:pPr>
            <w:r w:rsidRPr="00ED19D2">
              <w:rPr>
                <w:b/>
              </w:rPr>
              <w:t>Javne finansije</w:t>
            </w:r>
          </w:p>
          <w:p w:rsidR="009F216B" w:rsidRPr="00801C17" w:rsidRDefault="009F216B" w:rsidP="009F216B">
            <w:pPr>
              <w:pStyle w:val="ListParagraph"/>
              <w:pBdr>
                <w:top w:val="single" w:sz="4" w:space="1" w:color="auto"/>
              </w:pBdr>
              <w:spacing w:after="0"/>
              <w:ind w:left="0" w:hanging="11"/>
              <w:jc w:val="both"/>
            </w:pPr>
            <w:r w:rsidRPr="00801C17">
              <w:rPr>
                <w:b/>
              </w:rPr>
              <w:t xml:space="preserve">Izvorni prihodi budžeta Crne Gore </w:t>
            </w:r>
            <w:r w:rsidRPr="00801C17">
              <w:t xml:space="preserve">u januaru 2015. ostvareni su u iznosu od 71,2 mil.€ što je za 0,5% više </w:t>
            </w:r>
            <w:r w:rsidR="00F94BEB" w:rsidRPr="00801C17">
              <w:t>nego u istom mjesecu prethodne godine</w:t>
            </w:r>
            <w:r w:rsidRPr="00801C17">
              <w:t xml:space="preserve">. Porezi i doprinosi na zarade bilježe rast od 10,5%, akcize 15,8% i carine 12,0% u odnosu na </w:t>
            </w:r>
            <w:r w:rsidR="00F94BEB" w:rsidRPr="00801C17">
              <w:t>januar 2014</w:t>
            </w:r>
            <w:r w:rsidRPr="00801C17">
              <w:t xml:space="preserve">. </w:t>
            </w:r>
            <w:r w:rsidRPr="00801C17">
              <w:rPr>
                <w:b/>
              </w:rPr>
              <w:t>Izdaci budžeta</w:t>
            </w:r>
            <w:r w:rsidR="00F94BEB" w:rsidRPr="00801C17">
              <w:t xml:space="preserve"> su </w:t>
            </w:r>
            <w:r w:rsidRPr="00801C17">
              <w:t xml:space="preserve">iznosili su 93,0 mil. € i niži su za 5% </w:t>
            </w:r>
            <w:r w:rsidR="00F94BEB" w:rsidRPr="00801C17">
              <w:t xml:space="preserve">u odnosu na isti mjesec prethodne godine, ali </w:t>
            </w:r>
            <w:r w:rsidRPr="00801C17">
              <w:t xml:space="preserve">i 28,7% u odnosu na plan. </w:t>
            </w:r>
            <w:r w:rsidRPr="009A19E2">
              <w:rPr>
                <w:b/>
              </w:rPr>
              <w:t>Deficit budžeta</w:t>
            </w:r>
            <w:r w:rsidRPr="00801C17">
              <w:t xml:space="preserve"> u januaru 2015. iznosio je 21,8 mil</w:t>
            </w:r>
            <w:r w:rsidR="00801C17" w:rsidRPr="00801C17">
              <w:t>.</w:t>
            </w:r>
            <w:r w:rsidRPr="00801C17">
              <w:t xml:space="preserve"> € </w:t>
            </w:r>
            <w:r w:rsidR="00801C17" w:rsidRPr="00801C17">
              <w:t>i</w:t>
            </w:r>
            <w:r w:rsidRPr="00801C17">
              <w:t xml:space="preserve"> niži je za 19,4% u odnosu na isti mjesec 2014. </w:t>
            </w:r>
            <w:r w:rsidR="00801C17" w:rsidRPr="00801C17">
              <w:t>Uopšteno posmatrano, j</w:t>
            </w:r>
            <w:r w:rsidRPr="00801C17">
              <w:t xml:space="preserve">anuar karakteriše  veći nivo deficita </w:t>
            </w:r>
            <w:r w:rsidR="00801C17" w:rsidRPr="00801C17">
              <w:t xml:space="preserve">u odnosu na ostale mjesece u godini </w:t>
            </w:r>
            <w:r w:rsidRPr="00801C17">
              <w:t xml:space="preserve">zbog </w:t>
            </w:r>
            <w:r w:rsidR="00801C17" w:rsidRPr="00801C17">
              <w:t>ciklične karakteristike budžetskih prihoda</w:t>
            </w:r>
            <w:r w:rsidRPr="00801C17">
              <w:t>, dok</w:t>
            </w:r>
            <w:bookmarkStart w:id="0" w:name="_GoBack"/>
            <w:bookmarkEnd w:id="0"/>
            <w:r w:rsidRPr="00801C17">
              <w:t xml:space="preserve"> rashodi </w:t>
            </w:r>
            <w:r w:rsidR="00801C17" w:rsidRPr="00801C17">
              <w:t>uglavnom bilježe nepromijenjeno mjesečno izvršenje imajući u vidu značajan udio mandatornih rashoda u ukupnim</w:t>
            </w:r>
            <w:r w:rsidRPr="00801C17">
              <w:t>.Državni dug na kraju novembra 2014. iznosio je 1.961,9 mil.€, što predstavlja 57,8% procijenjenog BDP-a, od čega se na spoljni dug odnosi oko 80% ukupnog državnog duga.</w:t>
            </w:r>
          </w:p>
          <w:p w:rsidR="00C45B95" w:rsidRDefault="00C45B95" w:rsidP="00745D7B">
            <w:pPr>
              <w:pStyle w:val="ListParagraph"/>
              <w:pBdr>
                <w:top w:val="single" w:sz="4" w:space="1" w:color="auto"/>
              </w:pBdr>
              <w:spacing w:after="0"/>
              <w:ind w:left="0" w:hanging="11"/>
              <w:jc w:val="both"/>
            </w:pPr>
          </w:p>
        </w:tc>
        <w:tc>
          <w:tcPr>
            <w:tcW w:w="1764" w:type="pct"/>
            <w:vAlign w:val="center"/>
          </w:tcPr>
          <w:p w:rsidR="00C45B95" w:rsidRDefault="00930CF7" w:rsidP="001E53D5">
            <w:r w:rsidRPr="00930CF7">
              <w:rPr>
                <w:noProof/>
              </w:rPr>
              <w:drawing>
                <wp:inline distT="0" distB="0" distL="0" distR="0">
                  <wp:extent cx="2347415" cy="1767385"/>
                  <wp:effectExtent l="0" t="0" r="0" b="0"/>
                  <wp:docPr id="8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C45B95" w:rsidTr="001E53D5">
        <w:trPr>
          <w:trHeight w:hRule="exact" w:val="4953"/>
        </w:trPr>
        <w:tc>
          <w:tcPr>
            <w:tcW w:w="3236" w:type="pct"/>
          </w:tcPr>
          <w:p w:rsidR="006E7A12" w:rsidRPr="006E7A12" w:rsidRDefault="006E7A12" w:rsidP="006E7A1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b/>
                <w:noProof/>
              </w:rPr>
            </w:pPr>
            <w:r w:rsidRPr="006E7A12">
              <w:rPr>
                <w:b/>
                <w:noProof/>
              </w:rPr>
              <w:t>Monetarni sektor</w:t>
            </w:r>
          </w:p>
          <w:p w:rsidR="000B37A3" w:rsidRPr="003C543D" w:rsidRDefault="000B37A3" w:rsidP="00C55D2F">
            <w:pPr>
              <w:pBdr>
                <w:top w:val="single" w:sz="4" w:space="1" w:color="auto"/>
              </w:pBdr>
              <w:spacing w:after="0"/>
              <w:jc w:val="both"/>
              <w:rPr>
                <w:noProof/>
              </w:rPr>
            </w:pPr>
            <w:r>
              <w:rPr>
                <w:b/>
                <w:noProof/>
              </w:rPr>
              <w:t>Početkom godine nastavljen je rast ukupnih depozita i kapitala, kao i umjereni pad kreditnih plasmana.</w:t>
            </w:r>
            <w:r w:rsidRPr="00344093">
              <w:rPr>
                <w:noProof/>
              </w:rPr>
              <w:t>Ukup</w:t>
            </w:r>
            <w:r>
              <w:rPr>
                <w:noProof/>
              </w:rPr>
              <w:t xml:space="preserve">no odobreni </w:t>
            </w:r>
            <w:r w:rsidRPr="00A858D1">
              <w:rPr>
                <w:b/>
                <w:noProof/>
              </w:rPr>
              <w:t>krediti</w:t>
            </w:r>
            <w:r>
              <w:rPr>
                <w:noProof/>
              </w:rPr>
              <w:t xml:space="preserve"> banaka su ostvarili pad od 0,5% u odnosu na prethodni mjesec, odnosno 2,2% na godišnjem nivou. Po osnovu kredita, banke su najviše potraživale od privrede i stanovništva (77,1%).</w:t>
            </w:r>
            <w:r w:rsidRPr="002E6E32">
              <w:rPr>
                <w:b/>
                <w:noProof/>
              </w:rPr>
              <w:t>Nekvalitetni</w:t>
            </w:r>
            <w:r>
              <w:rPr>
                <w:noProof/>
              </w:rPr>
              <w:t xml:space="preserve"> krediti su iznosili 389,7mil.€ i činili su 16,55% ukupnih kredita. U odnosu na prethodni mjesec, nekvalitetni krediti su zabilježili rast od 3,7%, dok na godišnjem nivou bilježe pad od 8,4%.Rastukupnih </w:t>
            </w:r>
            <w:r w:rsidRPr="004512FD">
              <w:rPr>
                <w:b/>
                <w:noProof/>
              </w:rPr>
              <w:t>depozit</w:t>
            </w:r>
            <w:r>
              <w:rPr>
                <w:b/>
                <w:noProof/>
              </w:rPr>
              <w:t xml:space="preserve">a </w:t>
            </w:r>
            <w:r>
              <w:rPr>
                <w:noProof/>
              </w:rPr>
              <w:t>je nastavljen</w:t>
            </w:r>
            <w:r w:rsidRPr="00545DBC">
              <w:rPr>
                <w:noProof/>
              </w:rPr>
              <w:t xml:space="preserve"> u januaru, tako</w:t>
            </w:r>
            <w:r w:rsidR="00CC5A14">
              <w:rPr>
                <w:noProof/>
              </w:rPr>
              <w:t xml:space="preserve">da su na mjesečnom nivou </w:t>
            </w:r>
            <w:r>
              <w:rPr>
                <w:noProof/>
              </w:rPr>
              <w:t>povećani za 0,1% i na godišnjem 10,2%. Na depozite stanovništv</w:t>
            </w:r>
            <w:r w:rsidR="00CC5A14">
              <w:rPr>
                <w:noProof/>
              </w:rPr>
              <w:t>a se odnosilo 1.334,5 mil.€ ili</w:t>
            </w:r>
            <w:r w:rsidR="00B17E2D">
              <w:rPr>
                <w:noProof/>
              </w:rPr>
              <w:t>5</w:t>
            </w:r>
            <w:r>
              <w:rPr>
                <w:noProof/>
              </w:rPr>
              <w:t>7,7%, dok su depoziti privrede sa iznosom od 635,0 mil.</w:t>
            </w:r>
            <w:r w:rsidR="00A0131C">
              <w:rPr>
                <w:noProof/>
              </w:rPr>
              <w:t>€ činili 27,5% ukupnih depozita</w:t>
            </w:r>
            <w:r>
              <w:rPr>
                <w:noProof/>
              </w:rPr>
              <w:t xml:space="preserve">.Krajem januara CBCG je izdala dozvolu za rad “Zapad banci” AD Podgorica i mikrokreditnoj finansijskoj instituciji </w:t>
            </w:r>
            <w:r w:rsidR="0032217B">
              <w:rPr>
                <w:noProof/>
              </w:rPr>
              <w:t>“</w:t>
            </w:r>
            <w:r>
              <w:rPr>
                <w:noProof/>
              </w:rPr>
              <w:t>Kredit+</w:t>
            </w:r>
            <w:r w:rsidR="0032217B">
              <w:rPr>
                <w:noProof/>
              </w:rPr>
              <w:t>”</w:t>
            </w:r>
            <w:r>
              <w:rPr>
                <w:noProof/>
              </w:rPr>
              <w:t xml:space="preserve"> DOO Podgorica. </w:t>
            </w:r>
            <w:r w:rsidRPr="00DB0286">
              <w:rPr>
                <w:b/>
                <w:noProof/>
              </w:rPr>
              <w:t>Nelikvidnost</w:t>
            </w:r>
            <w:r>
              <w:rPr>
                <w:noProof/>
              </w:rPr>
              <w:t xml:space="preserve"> realnog sektora se i dalje pogoršava. Od 66.542 pravnih lica i preduzetnika, u blokadi je bilo 14.263 ili 21,4%, što u poređenju sa prethodnim mjesecom </w:t>
            </w:r>
            <w:r w:rsidR="00967D5B">
              <w:rPr>
                <w:noProof/>
              </w:rPr>
              <w:t>predstavlja povećanje od 0,7%</w:t>
            </w:r>
            <w:r>
              <w:rPr>
                <w:noProof/>
              </w:rPr>
              <w:t>.Ukupan dug po osnovu koga je izvršena blokada računa je iznosio 503,4 mil. €, š</w:t>
            </w:r>
            <w:r w:rsidR="00CC5A14">
              <w:rPr>
                <w:noProof/>
              </w:rPr>
              <w:t xml:space="preserve">to je za 1,5% više u odnosu na </w:t>
            </w:r>
            <w:r>
              <w:rPr>
                <w:noProof/>
              </w:rPr>
              <w:t>decembar prošle godine.</w:t>
            </w:r>
          </w:p>
          <w:p w:rsidR="00C45B95" w:rsidRDefault="00C45B95" w:rsidP="00745D7B">
            <w:pPr>
              <w:pBdr>
                <w:top w:val="single" w:sz="4" w:space="1" w:color="auto"/>
              </w:pBdr>
              <w:spacing w:after="0" w:line="240" w:lineRule="auto"/>
              <w:jc w:val="both"/>
            </w:pPr>
          </w:p>
        </w:tc>
        <w:tc>
          <w:tcPr>
            <w:tcW w:w="1764" w:type="pct"/>
            <w:vAlign w:val="center"/>
          </w:tcPr>
          <w:p w:rsidR="00C45B95" w:rsidRDefault="00AF2879" w:rsidP="001E53D5">
            <w:r w:rsidRPr="00AF2879">
              <w:rPr>
                <w:noProof/>
              </w:rPr>
              <w:drawing>
                <wp:inline distT="0" distB="0" distL="0" distR="0">
                  <wp:extent cx="2276475" cy="1933575"/>
                  <wp:effectExtent l="0" t="0" r="0" b="0"/>
                  <wp:docPr id="11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C45B95" w:rsidTr="001E53D5">
        <w:trPr>
          <w:trHeight w:hRule="exact" w:val="5236"/>
        </w:trPr>
        <w:tc>
          <w:tcPr>
            <w:tcW w:w="3236" w:type="pct"/>
          </w:tcPr>
          <w:p w:rsidR="006E7A12" w:rsidRPr="006E7A12" w:rsidRDefault="006E7A12" w:rsidP="006E7A1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b/>
                <w:noProof/>
                <w:color w:val="000000"/>
              </w:rPr>
            </w:pPr>
            <w:r w:rsidRPr="006E7A12">
              <w:rPr>
                <w:b/>
                <w:noProof/>
                <w:color w:val="000000"/>
              </w:rPr>
              <w:t>Spoljnotrgovinska razmjena</w:t>
            </w:r>
          </w:p>
          <w:p w:rsidR="003B6B3A" w:rsidRPr="00D83706" w:rsidRDefault="003B6B3A" w:rsidP="001E53D5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/>
              </w:rPr>
            </w:pPr>
            <w:r w:rsidRPr="00E8761C">
              <w:rPr>
                <w:rFonts w:asciiTheme="minorHAnsi" w:hAnsiTheme="minorHAnsi" w:cstheme="minorHAnsi"/>
                <w:b/>
                <w:lang w:val="sr-Latn-CS"/>
              </w:rPr>
              <w:t>Eksterni sektor</w:t>
            </w:r>
            <w:r w:rsidR="00461BB0">
              <w:rPr>
                <w:rFonts w:asciiTheme="minorHAnsi" w:hAnsiTheme="minorHAnsi" w:cstheme="minorHAnsi"/>
                <w:b/>
                <w:lang w:val="sr-Latn-CS"/>
              </w:rPr>
              <w:t xml:space="preserve"> na početku godine karakteriše </w:t>
            </w:r>
            <w:r w:rsidRPr="00E8761C">
              <w:rPr>
                <w:rFonts w:asciiTheme="minorHAnsi" w:hAnsiTheme="minorHAnsi" w:cstheme="minorHAnsi"/>
                <w:b/>
                <w:lang w:val="sr-Latn-CS"/>
              </w:rPr>
              <w:t>veći rast izvoza od uvoza roba, što je uticalo na poboljšanje trgovinskog bilansa.</w:t>
            </w:r>
            <w:r w:rsidR="00461BB0">
              <w:rPr>
                <w:rFonts w:asciiTheme="minorHAnsi" w:hAnsiTheme="minorHAnsi" w:cstheme="minorHAnsi"/>
                <w:lang w:val="sr-Latn-CS"/>
              </w:rPr>
              <w:t xml:space="preserve"> Ukupna razmjena </w:t>
            </w:r>
            <w:r w:rsidRPr="00E8761C">
              <w:rPr>
                <w:rFonts w:asciiTheme="minorHAnsi" w:hAnsiTheme="minorHAnsi" w:cstheme="minorHAnsi"/>
                <w:lang w:val="sr-Latn-CS"/>
              </w:rPr>
              <w:t>sa</w:t>
            </w:r>
            <w:r w:rsidR="00461BB0">
              <w:rPr>
                <w:rFonts w:asciiTheme="minorHAnsi" w:hAnsiTheme="minorHAnsi" w:cstheme="minorHAnsi"/>
                <w:lang w:val="sr-Latn-CS"/>
              </w:rPr>
              <w:t xml:space="preserve"> inostranstvom u januaru 2015. </w:t>
            </w:r>
            <w:r w:rsidRPr="00E8761C">
              <w:rPr>
                <w:rFonts w:asciiTheme="minorHAnsi" w:hAnsiTheme="minorHAnsi" w:cstheme="minorHAnsi"/>
                <w:lang w:val="sr-Latn-CS"/>
              </w:rPr>
              <w:t>iznosi 111,8 mil</w:t>
            </w:r>
            <w:r w:rsidR="00461BB0">
              <w:rPr>
                <w:rFonts w:asciiTheme="minorHAnsi" w:hAnsiTheme="minorHAnsi" w:cstheme="minorHAnsi"/>
                <w:lang w:val="sr-Latn-CS"/>
              </w:rPr>
              <w:t xml:space="preserve">.€, što je za 5,8% više g-n-g. </w:t>
            </w:r>
            <w:r w:rsidRPr="00E8761C">
              <w:rPr>
                <w:rFonts w:asciiTheme="minorHAnsi" w:hAnsiTheme="minorHAnsi" w:cstheme="minorHAnsi"/>
                <w:lang w:val="sr-Latn-CS"/>
              </w:rPr>
              <w:t>Spoljnotrgovinski deficit</w:t>
            </w:r>
            <w:r w:rsidR="00461BB0">
              <w:rPr>
                <w:rFonts w:asciiTheme="minorHAnsi" w:hAnsiTheme="minorHAnsi" w:cstheme="minorHAnsi"/>
                <w:lang w:val="sr-Latn-CS"/>
              </w:rPr>
              <w:t xml:space="preserve">  je smanjen za </w:t>
            </w:r>
            <w:r w:rsidR="00B17E2D">
              <w:rPr>
                <w:rFonts w:asciiTheme="minorHAnsi" w:hAnsiTheme="minorHAnsi" w:cstheme="minorHAnsi"/>
                <w:lang w:val="sr-Latn-CS"/>
              </w:rPr>
              <w:t xml:space="preserve">1,0% </w:t>
            </w:r>
            <w:r w:rsidR="00B17E2D" w:rsidRPr="00E8761C">
              <w:rPr>
                <w:rFonts w:asciiTheme="minorHAnsi" w:hAnsiTheme="minorHAnsi" w:cstheme="minorHAnsi"/>
                <w:lang w:val="sr-Latn-CS"/>
              </w:rPr>
              <w:t xml:space="preserve"> usljed bržeg rasta izvoza od uvoza roba </w:t>
            </w:r>
            <w:r w:rsidR="00B17E2D">
              <w:rPr>
                <w:rFonts w:asciiTheme="minorHAnsi" w:hAnsiTheme="minorHAnsi" w:cstheme="minorHAnsi"/>
                <w:lang w:val="sr-Latn-CS"/>
              </w:rPr>
              <w:t>i</w:t>
            </w:r>
            <w:r w:rsidRPr="00E8761C">
              <w:rPr>
                <w:rFonts w:asciiTheme="minorHAnsi" w:hAnsiTheme="minorHAnsi" w:cstheme="minorHAnsi"/>
                <w:lang w:val="sr-Latn-CS"/>
              </w:rPr>
              <w:t xml:space="preserve"> iznosi 59,9 mil.€. Pokrivenost uvoza izvozom povećala se za 3,1 p</w:t>
            </w:r>
            <w:r>
              <w:rPr>
                <w:rFonts w:asciiTheme="minorHAnsi" w:hAnsiTheme="minorHAnsi" w:cstheme="minorHAnsi"/>
                <w:lang w:val="sr-Latn-CS"/>
              </w:rPr>
              <w:t>.p</w:t>
            </w:r>
            <w:r w:rsidR="00461BB0">
              <w:rPr>
                <w:rFonts w:asciiTheme="minorHAnsi" w:hAnsiTheme="minorHAnsi" w:cstheme="minorHAnsi"/>
                <w:lang w:val="sr-Latn-CS"/>
              </w:rPr>
              <w:t xml:space="preserve"> i iznosi </w:t>
            </w:r>
            <w:r w:rsidRPr="00E8761C">
              <w:rPr>
                <w:rFonts w:asciiTheme="minorHAnsi" w:hAnsiTheme="minorHAnsi" w:cstheme="minorHAnsi"/>
                <w:lang w:val="sr-Latn-CS"/>
              </w:rPr>
              <w:t xml:space="preserve">30,2%. </w:t>
            </w:r>
            <w:r w:rsidRPr="007B450A">
              <w:rPr>
                <w:b/>
                <w:lang w:val="pl-PL"/>
              </w:rPr>
              <w:t>I</w:t>
            </w:r>
            <w:r w:rsidRPr="007B450A">
              <w:rPr>
                <w:rFonts w:asciiTheme="minorHAnsi" w:hAnsiTheme="minorHAnsi"/>
                <w:b/>
                <w:lang w:val="pl-PL"/>
              </w:rPr>
              <w:t xml:space="preserve">zvoz </w:t>
            </w:r>
            <w:r w:rsidRPr="00E8761C">
              <w:rPr>
                <w:rFonts w:asciiTheme="minorHAnsi" w:hAnsiTheme="minorHAnsi"/>
                <w:lang w:val="pl-PL"/>
              </w:rPr>
              <w:t>je vrijed</w:t>
            </w:r>
            <w:r>
              <w:rPr>
                <w:rFonts w:asciiTheme="minorHAnsi" w:hAnsiTheme="minorHAnsi"/>
                <w:lang w:val="pl-PL"/>
              </w:rPr>
              <w:t>io</w:t>
            </w:r>
            <w:r w:rsidRPr="00E8761C">
              <w:rPr>
                <w:rFonts w:asciiTheme="minorHAnsi" w:hAnsiTheme="minorHAnsi"/>
                <w:lang w:val="pl-PL"/>
              </w:rPr>
              <w:t xml:space="preserve"> 26,0 mil.€, što je za 15,0% više g-n-g. Povećanje </w:t>
            </w:r>
            <w:r w:rsidR="00461BB0">
              <w:rPr>
                <w:rFonts w:asciiTheme="minorHAnsi" w:hAnsiTheme="minorHAnsi"/>
              </w:rPr>
              <w:t xml:space="preserve">ukupnog izvoza opredijeljeno </w:t>
            </w:r>
            <w:r w:rsidRPr="00E8761C">
              <w:rPr>
                <w:rFonts w:asciiTheme="minorHAnsi" w:hAnsiTheme="minorHAnsi"/>
              </w:rPr>
              <w:t>je rasto</w:t>
            </w:r>
            <w:r w:rsidR="00461BB0">
              <w:rPr>
                <w:rFonts w:asciiTheme="minorHAnsi" w:hAnsiTheme="minorHAnsi"/>
              </w:rPr>
              <w:t xml:space="preserve">m izvoza aluminijuma za 55,0%, </w:t>
            </w:r>
            <w:r>
              <w:rPr>
                <w:rFonts w:asciiTheme="minorHAnsi" w:hAnsiTheme="minorHAnsi"/>
              </w:rPr>
              <w:t>praćen</w:t>
            </w:r>
            <w:r w:rsidRPr="00E8761C">
              <w:rPr>
                <w:rFonts w:asciiTheme="minorHAnsi" w:hAnsiTheme="minorHAnsi"/>
              </w:rPr>
              <w:t xml:space="preserve"> porast</w:t>
            </w:r>
            <w:r>
              <w:rPr>
                <w:rFonts w:asciiTheme="minorHAnsi" w:hAnsiTheme="minorHAnsi"/>
              </w:rPr>
              <w:t>om</w:t>
            </w:r>
            <w:r w:rsidRPr="00E8761C">
              <w:rPr>
                <w:rFonts w:asciiTheme="minorHAnsi" w:hAnsiTheme="minorHAnsi"/>
              </w:rPr>
              <w:t xml:space="preserve"> i</w:t>
            </w:r>
            <w:r w:rsidRPr="00E8761C">
              <w:rPr>
                <w:rFonts w:asciiTheme="minorHAnsi" w:hAnsiTheme="minorHAnsi"/>
                <w:lang w:val="sr-Latn-CS"/>
              </w:rPr>
              <w:t xml:space="preserve">zvoznih </w:t>
            </w:r>
            <w:r w:rsidRPr="00E8761C">
              <w:rPr>
                <w:rFonts w:asciiTheme="minorHAnsi" w:hAnsiTheme="minorHAnsi"/>
              </w:rPr>
              <w:t xml:space="preserve">cijena osnovnih metala za 21,1% (pad eura u odnosu na dolar). </w:t>
            </w:r>
            <w:r w:rsidRPr="00D83706">
              <w:rPr>
                <w:rFonts w:asciiTheme="minorHAnsi" w:hAnsiTheme="minorHAnsi"/>
              </w:rPr>
              <w:t>Glavno izvozno tržište aluminijuma su zemlje EU 28, pojedinačno, izvoz u Italiju vrijedio je 5,5 mil.€, što je 62,9% ukupnog izvoza aluminijuma. Nastavlja se trend pada izvoza električne energije, koji je u odnosu na januar 20</w:t>
            </w:r>
            <w:r>
              <w:rPr>
                <w:rFonts w:asciiTheme="minorHAnsi" w:hAnsiTheme="minorHAnsi"/>
              </w:rPr>
              <w:t>13</w:t>
            </w:r>
            <w:r w:rsidRPr="00D83706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 xml:space="preserve">i 2014. za </w:t>
            </w:r>
            <w:r w:rsidRPr="00D83706">
              <w:rPr>
                <w:rFonts w:asciiTheme="minorHAnsi" w:hAnsiTheme="minorHAnsi"/>
              </w:rPr>
              <w:t xml:space="preserve">49,7% </w:t>
            </w:r>
            <w:r>
              <w:rPr>
                <w:rFonts w:asciiTheme="minorHAnsi" w:hAnsiTheme="minorHAnsi"/>
              </w:rPr>
              <w:t>i 37,0% manji, respektivno.</w:t>
            </w:r>
            <w:r w:rsidRPr="00D83706">
              <w:rPr>
                <w:rFonts w:asciiTheme="minorHAnsi" w:hAnsiTheme="minorHAnsi"/>
                <w:b/>
              </w:rPr>
              <w:t>Uvoz</w:t>
            </w:r>
            <w:r w:rsidRPr="00D83706">
              <w:rPr>
                <w:rFonts w:asciiTheme="minorHAnsi" w:hAnsiTheme="minorHAnsi"/>
              </w:rPr>
              <w:t xml:space="preserve"> je vrijedio 85,9 mil.€, što je za 3,3% više g-n-g. Na strani uvoza najveći udio imaju  kategorije, hrana i žive životinje (25,4%), mašine i transportni uređaji (18,3%) i industrijski proizvodi (16,3%), uz godišnji rast od 20,0%, 6,0% i 11,0%, respektivno. Na</w:t>
            </w:r>
            <w:r w:rsidR="00461BB0">
              <w:rPr>
                <w:rFonts w:asciiTheme="minorHAnsi" w:hAnsiTheme="minorHAnsi"/>
              </w:rPr>
              <w:t>jznačajniji partneri u izvozu</w:t>
            </w:r>
            <w:r w:rsidR="00B760A2">
              <w:rPr>
                <w:rFonts w:asciiTheme="minorHAnsi" w:hAnsiTheme="minorHAnsi"/>
              </w:rPr>
              <w:t>su</w:t>
            </w:r>
            <w:r w:rsidR="00461BB0">
              <w:rPr>
                <w:rFonts w:asciiTheme="minorHAnsi" w:hAnsiTheme="minorHAnsi"/>
              </w:rPr>
              <w:t xml:space="preserve">: </w:t>
            </w:r>
            <w:r w:rsidRPr="00D83706">
              <w:rPr>
                <w:rFonts w:asciiTheme="minorHAnsi" w:hAnsiTheme="minorHAnsi"/>
              </w:rPr>
              <w:t>Italija (7,0 mil.€), Srbija (5,6 mil.€),</w:t>
            </w:r>
            <w:r w:rsidR="00461BB0">
              <w:rPr>
                <w:rFonts w:asciiTheme="minorHAnsi" w:hAnsiTheme="minorHAnsi"/>
              </w:rPr>
              <w:t xml:space="preserve"> i</w:t>
            </w:r>
            <w:r w:rsidRPr="00D83706">
              <w:rPr>
                <w:rFonts w:asciiTheme="minorHAnsi" w:hAnsiTheme="minorHAnsi"/>
              </w:rPr>
              <w:t xml:space="preserve"> Bosna i Hercegovina (4,1 mil.€), a u uvozu: Srbija (22,4 mil.€), Bosna i Hercegovina (7,7 mil.€) i Kina (7,1 mil.€).</w:t>
            </w:r>
          </w:p>
          <w:p w:rsidR="00E8761C" w:rsidRDefault="00E8761C" w:rsidP="00F07EA0">
            <w:pPr>
              <w:jc w:val="both"/>
            </w:pPr>
          </w:p>
        </w:tc>
        <w:tc>
          <w:tcPr>
            <w:tcW w:w="1764" w:type="pct"/>
            <w:vAlign w:val="center"/>
          </w:tcPr>
          <w:p w:rsidR="00C45B95" w:rsidRDefault="00130DCC" w:rsidP="001E53D5">
            <w:r w:rsidRPr="00130DCC">
              <w:rPr>
                <w:noProof/>
              </w:rPr>
              <w:drawing>
                <wp:inline distT="0" distB="0" distL="0" distR="0">
                  <wp:extent cx="2279650" cy="2355850"/>
                  <wp:effectExtent l="0" t="0" r="635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C45B95" w:rsidRDefault="00C45B95" w:rsidP="001E53D5">
      <w:pPr>
        <w:framePr w:w="10770" w:wrap="auto" w:hAnchor="text"/>
        <w:sectPr w:rsidR="00C45B95" w:rsidSect="00A90070">
          <w:pgSz w:w="11906" w:h="16838"/>
          <w:pgMar w:top="567" w:right="624" w:bottom="624" w:left="567" w:header="708" w:footer="708" w:gutter="0"/>
          <w:cols w:space="708"/>
          <w:docGrid w:linePitch="360"/>
        </w:sectPr>
      </w:pPr>
    </w:p>
    <w:p w:rsidR="00C45B95" w:rsidRDefault="00C45B95" w:rsidP="00C45B95">
      <w:pPr>
        <w:spacing w:after="0"/>
        <w:jc w:val="center"/>
        <w:outlineLvl w:val="0"/>
        <w:rPr>
          <w:noProof/>
          <w:sz w:val="17"/>
          <w:szCs w:val="16"/>
        </w:rPr>
      </w:pPr>
      <w:r w:rsidRPr="0020440D">
        <w:rPr>
          <w:noProof/>
          <w:sz w:val="17"/>
          <w:szCs w:val="16"/>
        </w:rPr>
        <w:t xml:space="preserve">Tabela 1: </w:t>
      </w:r>
      <w:r w:rsidRPr="0020440D">
        <w:rPr>
          <w:b/>
          <w:bCs/>
          <w:noProof/>
          <w:sz w:val="17"/>
          <w:szCs w:val="16"/>
        </w:rPr>
        <w:t>MAKROEKONOMSKI INDIKATORI</w:t>
      </w:r>
      <w:r w:rsidRPr="0020440D">
        <w:rPr>
          <w:noProof/>
          <w:sz w:val="17"/>
          <w:szCs w:val="16"/>
        </w:rPr>
        <w:t xml:space="preserve"> –</w:t>
      </w:r>
      <w:r w:rsidR="00745D7B">
        <w:rPr>
          <w:noProof/>
          <w:sz w:val="17"/>
          <w:szCs w:val="16"/>
        </w:rPr>
        <w:t xml:space="preserve"> januar2015</w:t>
      </w:r>
      <w:r w:rsidRPr="0020440D">
        <w:rPr>
          <w:noProof/>
          <w:sz w:val="17"/>
          <w:szCs w:val="16"/>
        </w:rPr>
        <w:t>.</w:t>
      </w:r>
    </w:p>
    <w:p w:rsidR="00C45B95" w:rsidRPr="0020440D" w:rsidRDefault="00C45B95" w:rsidP="00C45B95">
      <w:pPr>
        <w:spacing w:after="0"/>
        <w:outlineLvl w:val="0"/>
        <w:rPr>
          <w:b/>
          <w:i/>
          <w:noProof/>
          <w:sz w:val="16"/>
          <w:szCs w:val="16"/>
        </w:rPr>
      </w:pPr>
      <w:r w:rsidRPr="0020440D">
        <w:rPr>
          <w:b/>
          <w:i/>
          <w:noProof/>
          <w:sz w:val="16"/>
          <w:szCs w:val="16"/>
        </w:rPr>
        <w:t>Izvor: MONSTAT, Centralna Banka, Zavod za zapošljavanje Crne Gore</w:t>
      </w:r>
    </w:p>
    <w:p w:rsidR="00C45B95" w:rsidRPr="0020440D" w:rsidRDefault="00C45B95" w:rsidP="00C45B95">
      <w:pPr>
        <w:spacing w:after="0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Svi indikatori su prikazani kao godišnje stope rasta (stopa promjene indikatora u posmatranom mjesecu u odnosu na isti mjesec prethodne godine u %) ukoliko nije drugačije naznačeno u nazivu</w:t>
      </w:r>
    </w:p>
    <w:p w:rsidR="00C45B95" w:rsidRDefault="00C45B95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M-n-M označava mjesečnu promjenu (stopa promjene indikatora u posmatranom mjesecu u odnosu na prethodni mjesec u %)g-n-g označava godišnju promjenu (stopa promjene indikatora u posmatranom mjesecuili periodu  u odnosu na isti mmjesec ili periodprethodne godine u %)</w:t>
      </w:r>
      <w:r w:rsidR="00BF2D81">
        <w:rPr>
          <w:i/>
          <w:iCs/>
          <w:noProof/>
          <w:sz w:val="12"/>
          <w:szCs w:val="12"/>
        </w:rPr>
        <w:t>.</w:t>
      </w:r>
    </w:p>
    <w:p w:rsidR="00745D7B" w:rsidRDefault="00745D7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745D7B" w:rsidRDefault="00745D7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tbl>
      <w:tblPr>
        <w:tblW w:w="5000" w:type="pct"/>
        <w:tblCellMar>
          <w:left w:w="0" w:type="dxa"/>
          <w:right w:w="57" w:type="dxa"/>
        </w:tblCellMar>
        <w:tblLook w:val="04A0"/>
      </w:tblPr>
      <w:tblGrid>
        <w:gridCol w:w="3198"/>
        <w:gridCol w:w="576"/>
        <w:gridCol w:w="878"/>
        <w:gridCol w:w="886"/>
        <w:gridCol w:w="879"/>
        <w:gridCol w:w="879"/>
        <w:gridCol w:w="886"/>
        <w:gridCol w:w="879"/>
        <w:gridCol w:w="879"/>
        <w:gridCol w:w="886"/>
        <w:gridCol w:w="879"/>
        <w:gridCol w:w="879"/>
        <w:gridCol w:w="886"/>
        <w:gridCol w:w="879"/>
        <w:gridCol w:w="879"/>
        <w:gridCol w:w="993"/>
      </w:tblGrid>
      <w:tr w:rsidR="00355F01" w:rsidRPr="00355F01" w:rsidTr="005253C0">
        <w:trPr>
          <w:divId w:val="762579013"/>
          <w:trHeight w:hRule="exact" w:val="439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2014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2015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M-n-M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jan 2015/jan 2014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7,40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5,70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-20,60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-27,90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-23,40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-26,40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-16,30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-12,70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7,50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8,20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-19,80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-7,00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-3,40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-19,1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-3,4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39,80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20,50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18,40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-44,90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-10,90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-5,00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-24,60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-19,70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-3,20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-18,10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-20,50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-13,20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-32,4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-13,2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5,30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-4,20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-1,30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1,90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4,20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12,80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7,30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28,30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18,1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28,3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-1,90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3,10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3,90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4,30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-20,5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2,9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30,3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3,3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-5,5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-6,9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167.616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168.805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170.177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172.202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174.917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179.774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181.408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178.558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173.942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172.306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172.273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171.158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-100,0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34.804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34.664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34.671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33.906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32.763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31.115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31.163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33.744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34.733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34.687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35.152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14,1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14,5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-100,0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19,5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1.028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1.051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3.077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5.399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4.984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3.616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2.235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2.563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2.434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2.098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3.735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78,0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263,3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734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473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477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484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482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2.407,9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2.415,0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2.405,0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2.386,6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2.383,1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2.376,2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2.402,7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2.453,0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2.443,2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2.424,1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2.426,5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2.367,2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2.355,3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-2,2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Udio kredita u kašnjenju u ukupnim kreditima (u %)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425,6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426,3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393,9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406,1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417,6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402,6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422,4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400,2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398,9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391,8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375,6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Udio nekvalitetnih kredita u ukupnim kreditima (u %)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16,9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17,2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16,1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15,9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2.096,7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2.101,7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2.104,3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2.094,8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2.114,3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2.146,4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2.188,2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2.254,5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2.268,0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2.251,5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2.274,9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2.308,1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2.311,3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10,2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6,4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6,8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10,2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10,2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942,6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951,6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947,7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958,5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959,8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950,4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932,3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911,3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900,9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890,4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898,1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917,9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917,7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-2,6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881,1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882,6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887,1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887,4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890,7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891,5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893,6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892,7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895,4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893,8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897,5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1,9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554,0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549,6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542,8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533,0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551,7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576,4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596,1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639,4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633,5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634,2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647,5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640,7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635,0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14,6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1.235,1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1.236,4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1.239,2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1.247,8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1.245,5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1.244,5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1.270,1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1.288,5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1.300,0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1.299,3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1.305,9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1.331,7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1.334,5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8,0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9,40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9,42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9,42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9,45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9,51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9,54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9,55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9,31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9,57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-0,20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2,41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2,45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2,34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2,19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2,01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1,96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1,93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1,89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-0,06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-0,64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22,6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22,2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24,7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23,2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25,7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28,3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31,7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27,7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35,3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33,8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34,5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28,3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26,0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-8,4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83,1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112,6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145,9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158,4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158,0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171,9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184,3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164,4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154,7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158,4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132,7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159,3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85,9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-46,1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3,3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-60,5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-90,4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-121,2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-135,2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-132,2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-143,6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-152,6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-136,7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-119,3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-124,6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-98,2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-131,0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-59,9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-54,3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-1,0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17,2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29,1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32,6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6,7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29,7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40,4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27,4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27,2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50,8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31,4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26,5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34,8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-100,0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108,8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109,7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107,7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108,0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109,6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112,5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105,6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103,0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94,8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85,9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70,2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58,0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55,0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-5,3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-49,5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1.740,8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1.695,2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1.705,4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1.810,7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1.751,1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1.839,0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1.948,3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2.030,5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1.990,4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1.946,2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2.055,6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1.909,5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1.814,7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-5,0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4,2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0,56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0,59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0,43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0,33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0,32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-0,28</w:t>
            </w:r>
          </w:p>
        </w:tc>
      </w:tr>
      <w:tr w:rsidR="00355F01" w:rsidRPr="00355F01" w:rsidTr="005253C0">
        <w:trPr>
          <w:divId w:val="762579013"/>
          <w:trHeight w:hRule="exact" w:val="21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355F0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355F01" w:rsidRPr="00355F01" w:rsidRDefault="00355F01" w:rsidP="00355F0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355F01">
              <w:rPr>
                <w:rFonts w:cs="Calibri"/>
                <w:sz w:val="14"/>
                <w:szCs w:val="14"/>
                <w:lang w:val="sr-Latn-CS" w:eastAsia="sr-Latn-CS"/>
              </w:rPr>
              <w:t>-1,4</w:t>
            </w:r>
          </w:p>
        </w:tc>
      </w:tr>
    </w:tbl>
    <w:p w:rsidR="00745D7B" w:rsidRDefault="00745D7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745D7B" w:rsidRDefault="00745D7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745D7B" w:rsidRDefault="00745D7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745D7B" w:rsidRDefault="00745D7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355F01" w:rsidRDefault="00355F01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A90070" w:rsidRPr="00355F01" w:rsidRDefault="00355F01" w:rsidP="00355F01">
      <w:pPr>
        <w:spacing w:after="0"/>
        <w:jc w:val="center"/>
        <w:outlineLvl w:val="0"/>
        <w:rPr>
          <w:noProof/>
          <w:sz w:val="17"/>
          <w:szCs w:val="16"/>
        </w:rPr>
      </w:pPr>
      <w:r w:rsidRPr="00355F01">
        <w:rPr>
          <w:noProof/>
          <w:sz w:val="17"/>
          <w:szCs w:val="16"/>
        </w:rPr>
        <w:t>T</w:t>
      </w:r>
      <w:r w:rsidR="00A90070" w:rsidRPr="00355F01">
        <w:rPr>
          <w:noProof/>
          <w:sz w:val="17"/>
          <w:szCs w:val="16"/>
        </w:rPr>
        <w:t xml:space="preserve">abela </w:t>
      </w:r>
      <w:r w:rsidR="00A44C41" w:rsidRPr="00355F01">
        <w:rPr>
          <w:noProof/>
          <w:sz w:val="17"/>
          <w:szCs w:val="16"/>
        </w:rPr>
        <w:fldChar w:fldCharType="begin"/>
      </w:r>
      <w:r w:rsidR="003A12AD" w:rsidRPr="00355F01">
        <w:rPr>
          <w:noProof/>
          <w:sz w:val="17"/>
          <w:szCs w:val="16"/>
        </w:rPr>
        <w:instrText xml:space="preserve"> SEQ Tabela \* ARABIC </w:instrText>
      </w:r>
      <w:r w:rsidR="00A44C41" w:rsidRPr="00355F01">
        <w:rPr>
          <w:noProof/>
          <w:sz w:val="17"/>
          <w:szCs w:val="16"/>
        </w:rPr>
        <w:fldChar w:fldCharType="separate"/>
      </w:r>
      <w:r w:rsidRPr="00355F01">
        <w:rPr>
          <w:noProof/>
          <w:sz w:val="17"/>
          <w:szCs w:val="16"/>
        </w:rPr>
        <w:t>2</w:t>
      </w:r>
      <w:r w:rsidR="00A44C41" w:rsidRPr="00355F01">
        <w:rPr>
          <w:noProof/>
          <w:sz w:val="17"/>
          <w:szCs w:val="16"/>
        </w:rPr>
        <w:fldChar w:fldCharType="end"/>
      </w:r>
      <w:r w:rsidR="006D6A98" w:rsidRPr="00355F01">
        <w:rPr>
          <w:b/>
          <w:noProof/>
          <w:sz w:val="20"/>
          <w:szCs w:val="16"/>
        </w:rPr>
        <w:t>Fiskalni indikatori</w:t>
      </w:r>
      <w:r w:rsidR="006D6A98" w:rsidRPr="00355F01">
        <w:rPr>
          <w:noProof/>
          <w:sz w:val="17"/>
          <w:szCs w:val="16"/>
        </w:rPr>
        <w:t>–</w:t>
      </w:r>
      <w:r w:rsidR="00745D7B" w:rsidRPr="00355F01">
        <w:rPr>
          <w:noProof/>
          <w:sz w:val="17"/>
          <w:szCs w:val="16"/>
        </w:rPr>
        <w:t>januar 2015</w:t>
      </w:r>
      <w:r w:rsidR="006D6A98" w:rsidRPr="00355F01">
        <w:rPr>
          <w:noProof/>
          <w:sz w:val="17"/>
          <w:szCs w:val="16"/>
        </w:rPr>
        <w:t xml:space="preserve">. </w:t>
      </w:r>
    </w:p>
    <w:tbl>
      <w:tblPr>
        <w:tblW w:w="15627" w:type="dxa"/>
        <w:tblInd w:w="85" w:type="dxa"/>
        <w:tblLook w:val="04A0"/>
      </w:tblPr>
      <w:tblGrid>
        <w:gridCol w:w="3300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663"/>
        <w:gridCol w:w="740"/>
        <w:gridCol w:w="820"/>
        <w:gridCol w:w="700"/>
        <w:gridCol w:w="747"/>
      </w:tblGrid>
      <w:tr w:rsidR="006A50FA" w:rsidRPr="006A50FA" w:rsidTr="00355F01">
        <w:trPr>
          <w:trHeight w:val="330"/>
        </w:trPr>
        <w:tc>
          <w:tcPr>
            <w:tcW w:w="330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A50FA">
              <w:rPr>
                <w:b/>
                <w:bCs/>
                <w:sz w:val="16"/>
                <w:szCs w:val="16"/>
              </w:rPr>
              <w:t>BUDŽET CRNE GORE</w:t>
            </w:r>
          </w:p>
        </w:tc>
        <w:tc>
          <w:tcPr>
            <w:tcW w:w="9320" w:type="dxa"/>
            <w:gridSpan w:val="1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2014</w:t>
            </w:r>
          </w:p>
        </w:tc>
        <w:tc>
          <w:tcPr>
            <w:tcW w:w="7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2015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plan 2015</w:t>
            </w:r>
          </w:p>
        </w:tc>
        <w:tc>
          <w:tcPr>
            <w:tcW w:w="144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EEECE1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Analitika-Januar</w:t>
            </w:r>
          </w:p>
        </w:tc>
      </w:tr>
      <w:tr w:rsidR="006A50FA" w:rsidRPr="006A50FA" w:rsidTr="006A50FA">
        <w:trPr>
          <w:trHeight w:val="750"/>
        </w:trPr>
        <w:tc>
          <w:tcPr>
            <w:tcW w:w="330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A50FA">
              <w:rPr>
                <w:sz w:val="14"/>
                <w:szCs w:val="14"/>
              </w:rPr>
              <w:t>I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A50FA">
              <w:rPr>
                <w:sz w:val="14"/>
                <w:szCs w:val="14"/>
              </w:rPr>
              <w:t>II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A50FA">
              <w:rPr>
                <w:sz w:val="14"/>
                <w:szCs w:val="14"/>
              </w:rPr>
              <w:t>III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A50FA">
              <w:rPr>
                <w:sz w:val="14"/>
                <w:szCs w:val="14"/>
              </w:rPr>
              <w:t>IV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A50FA">
              <w:rPr>
                <w:sz w:val="14"/>
                <w:szCs w:val="14"/>
              </w:rPr>
              <w:t>V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A50FA">
              <w:rPr>
                <w:sz w:val="14"/>
                <w:szCs w:val="14"/>
              </w:rPr>
              <w:t>VI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A50FA">
              <w:rPr>
                <w:sz w:val="14"/>
                <w:szCs w:val="14"/>
              </w:rPr>
              <w:t>VII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A50FA">
              <w:rPr>
                <w:sz w:val="14"/>
                <w:szCs w:val="14"/>
              </w:rPr>
              <w:t>VIII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A50FA">
              <w:rPr>
                <w:sz w:val="14"/>
                <w:szCs w:val="14"/>
              </w:rPr>
              <w:t>IX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A50FA">
              <w:rPr>
                <w:sz w:val="14"/>
                <w:szCs w:val="14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A50FA">
              <w:rPr>
                <w:sz w:val="14"/>
                <w:szCs w:val="14"/>
              </w:rPr>
              <w:t>XI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A50FA">
              <w:rPr>
                <w:sz w:val="14"/>
                <w:szCs w:val="14"/>
              </w:rPr>
              <w:t>XII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A50FA">
              <w:rPr>
                <w:sz w:val="14"/>
                <w:szCs w:val="14"/>
              </w:rPr>
              <w:t>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A50FA">
              <w:rPr>
                <w:sz w:val="14"/>
                <w:szCs w:val="14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A50FA">
              <w:rPr>
                <w:sz w:val="14"/>
                <w:szCs w:val="14"/>
              </w:rPr>
              <w:t>jan 2015/ jan 2014 (%)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A50FA">
              <w:rPr>
                <w:sz w:val="14"/>
                <w:szCs w:val="14"/>
              </w:rPr>
              <w:t>jan 2015/ jan 2015plan (%)</w:t>
            </w:r>
          </w:p>
        </w:tc>
      </w:tr>
      <w:tr w:rsidR="006A50FA" w:rsidRPr="006A50FA" w:rsidTr="005253C0">
        <w:trPr>
          <w:trHeight w:val="330"/>
        </w:trPr>
        <w:tc>
          <w:tcPr>
            <w:tcW w:w="3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A50FA">
              <w:rPr>
                <w:b/>
                <w:bCs/>
                <w:sz w:val="16"/>
                <w:szCs w:val="16"/>
              </w:rPr>
              <w:t>IZVORNI PRIHODI, od čega: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70,78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82,13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100,71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109,08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102,08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109,93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120,72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126,56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117,90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158,21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98,50</w:t>
            </w:r>
          </w:p>
        </w:tc>
        <w:tc>
          <w:tcPr>
            <w:tcW w:w="66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155,25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71,16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</w:rPr>
            </w:pPr>
            <w:r w:rsidRPr="006A50FA">
              <w:rPr>
                <w:b/>
                <w:bCs/>
                <w:sz w:val="16"/>
                <w:szCs w:val="16"/>
              </w:rPr>
              <w:t>69,71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74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2,08</w:t>
            </w:r>
          </w:p>
        </w:tc>
      </w:tr>
      <w:tr w:rsidR="006A50FA" w:rsidRPr="006A50FA" w:rsidTr="005253C0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Porezi i doprinosi na  zarade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21,23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34,36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37,91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40,21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45,74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45,71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44,52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45,43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40,40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59,14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43,27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90,80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23,46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21,03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747" w:type="dxa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11,57</w:t>
            </w:r>
          </w:p>
        </w:tc>
      </w:tr>
      <w:tr w:rsidR="006A50FA" w:rsidRPr="006A50FA" w:rsidTr="005253C0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Porez na dobit pravnih lica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0,96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12,11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11,31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2,49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2,38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5,92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2,52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2,05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1,48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0,93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-67,50</w:t>
            </w:r>
          </w:p>
        </w:tc>
        <w:tc>
          <w:tcPr>
            <w:tcW w:w="747" w:type="dxa"/>
            <w:tcBorders>
              <w:top w:val="nil"/>
              <w:left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-46,29</w:t>
            </w:r>
          </w:p>
        </w:tc>
      </w:tr>
      <w:tr w:rsidR="006A50FA" w:rsidRPr="006A50FA" w:rsidTr="005253C0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Porez na dodatu vrijednost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32,17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31,16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34,92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39,01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33,08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37,06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45,61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49,64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49,31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74,54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33,89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37,18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31,20</w:t>
            </w:r>
          </w:p>
        </w:tc>
        <w:tc>
          <w:tcPr>
            <w:tcW w:w="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30,83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-3,02</w:t>
            </w:r>
          </w:p>
        </w:tc>
        <w:tc>
          <w:tcPr>
            <w:tcW w:w="747" w:type="dxa"/>
            <w:tcBorders>
              <w:top w:val="nil"/>
              <w:left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1,21</w:t>
            </w:r>
          </w:p>
        </w:tc>
      </w:tr>
      <w:tr w:rsidR="006A50FA" w:rsidRPr="006A50FA" w:rsidTr="005253C0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Akcize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9,74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8,37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9,53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10,78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12,29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14,55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15,75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19,49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17,28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13,40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12,18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11,28</w:t>
            </w:r>
          </w:p>
        </w:tc>
        <w:tc>
          <w:tcPr>
            <w:tcW w:w="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10,75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15,81</w:t>
            </w:r>
          </w:p>
        </w:tc>
        <w:tc>
          <w:tcPr>
            <w:tcW w:w="747" w:type="dxa"/>
            <w:tcBorders>
              <w:top w:val="nil"/>
              <w:left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4,93</w:t>
            </w:r>
          </w:p>
        </w:tc>
      </w:tr>
      <w:tr w:rsidR="006A50FA" w:rsidRPr="006A50FA" w:rsidTr="005253C0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Porez na medj trgovinu i transak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0,96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1,30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1,83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2,14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2,58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2,35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2,20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1,43</w:t>
            </w:r>
          </w:p>
        </w:tc>
        <w:tc>
          <w:tcPr>
            <w:tcW w:w="6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11,99</w:t>
            </w:r>
          </w:p>
        </w:tc>
        <w:tc>
          <w:tcPr>
            <w:tcW w:w="7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7,43</w:t>
            </w:r>
          </w:p>
        </w:tc>
      </w:tr>
      <w:tr w:rsidR="006A50FA" w:rsidRPr="006A50FA" w:rsidTr="0091298D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A50FA">
              <w:rPr>
                <w:b/>
                <w:bCs/>
                <w:sz w:val="16"/>
                <w:szCs w:val="16"/>
              </w:rPr>
              <w:t>IZDACI BUDŽETA, od čega :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97,86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90,55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117,73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124,04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107,60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115,30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118,22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116,09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122,09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159,65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111,38</w:t>
            </w:r>
          </w:p>
        </w:tc>
        <w:tc>
          <w:tcPr>
            <w:tcW w:w="6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173,92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92,98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</w:rPr>
            </w:pPr>
            <w:r w:rsidRPr="006A50FA">
              <w:rPr>
                <w:b/>
                <w:bCs/>
                <w:sz w:val="16"/>
                <w:szCs w:val="16"/>
              </w:rPr>
              <w:t>130,41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-4,98</w:t>
            </w:r>
          </w:p>
        </w:tc>
        <w:tc>
          <w:tcPr>
            <w:tcW w:w="7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-28,70</w:t>
            </w:r>
          </w:p>
        </w:tc>
      </w:tr>
      <w:tr w:rsidR="006A50FA" w:rsidRPr="006A50FA" w:rsidTr="0091298D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Bruto zarade i doprinosi na teret poslodavca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31,75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31,99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28,95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33,40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33,99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29,16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31,64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33,57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32,19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28,62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66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35,56</w:t>
            </w:r>
          </w:p>
        </w:tc>
        <w:tc>
          <w:tcPr>
            <w:tcW w:w="74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31,31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31,61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-1,37</w:t>
            </w:r>
          </w:p>
        </w:tc>
        <w:tc>
          <w:tcPr>
            <w:tcW w:w="747" w:type="dxa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-0,96</w:t>
            </w:r>
          </w:p>
        </w:tc>
      </w:tr>
      <w:tr w:rsidR="006A50FA" w:rsidRPr="006A50FA" w:rsidTr="0091298D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Rashodi za materijal i usluge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3,12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4,42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6,41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5,25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6,28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5,96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5,94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5,30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8,69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6,36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16,15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2,31</w:t>
            </w:r>
          </w:p>
        </w:tc>
        <w:tc>
          <w:tcPr>
            <w:tcW w:w="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5,91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-26,10</w:t>
            </w:r>
          </w:p>
        </w:tc>
        <w:tc>
          <w:tcPr>
            <w:tcW w:w="747" w:type="dxa"/>
            <w:tcBorders>
              <w:top w:val="nil"/>
              <w:left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-60,95</w:t>
            </w:r>
          </w:p>
        </w:tc>
      </w:tr>
      <w:tr w:rsidR="006A50FA" w:rsidRPr="006A50FA" w:rsidTr="0091298D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Kamate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1,11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4,62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24,66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4,72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5,61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6,41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1,25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5,68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6,31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-3,47</w:t>
            </w:r>
          </w:p>
        </w:tc>
        <w:tc>
          <w:tcPr>
            <w:tcW w:w="747" w:type="dxa"/>
            <w:tcBorders>
              <w:top w:val="nil"/>
              <w:left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-64,66</w:t>
            </w:r>
          </w:p>
        </w:tc>
      </w:tr>
      <w:tr w:rsidR="006A50FA" w:rsidRPr="006A50FA" w:rsidTr="0091298D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Transferi za socijalnu zaštitu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39,56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41,43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41,91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40,42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40,51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40,39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42,65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41,82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39,29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40,46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40,89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42,84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42,07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0,58</w:t>
            </w:r>
          </w:p>
        </w:tc>
        <w:tc>
          <w:tcPr>
            <w:tcW w:w="747" w:type="dxa"/>
            <w:tcBorders>
              <w:top w:val="nil"/>
              <w:left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-5,43</w:t>
            </w:r>
          </w:p>
        </w:tc>
      </w:tr>
      <w:tr w:rsidR="006A50FA" w:rsidRPr="006A50FA" w:rsidTr="0091298D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Transferi instit, pojed i NVO sektoru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4,73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3,67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11,94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8,80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7,96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8,71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7,34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8,85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7,11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13,73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4,71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11,50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11,46</w:t>
            </w:r>
          </w:p>
        </w:tc>
        <w:tc>
          <w:tcPr>
            <w:tcW w:w="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10,69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142,26</w:t>
            </w:r>
          </w:p>
        </w:tc>
        <w:tc>
          <w:tcPr>
            <w:tcW w:w="747" w:type="dxa"/>
            <w:tcBorders>
              <w:top w:val="nil"/>
              <w:left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7,17</w:t>
            </w:r>
          </w:p>
        </w:tc>
      </w:tr>
      <w:tr w:rsidR="006A50FA" w:rsidRPr="006A50FA" w:rsidTr="0091298D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Kapitalni izdaci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6,63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3,85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6,72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6,75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6,63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9,38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5,21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56,13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6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24,72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24,88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-83,62</w:t>
            </w:r>
          </w:p>
        </w:tc>
        <w:tc>
          <w:tcPr>
            <w:tcW w:w="7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-98,90</w:t>
            </w:r>
          </w:p>
        </w:tc>
      </w:tr>
      <w:tr w:rsidR="006A50FA" w:rsidRPr="006A50FA" w:rsidTr="005253C0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A50FA">
              <w:rPr>
                <w:b/>
                <w:bCs/>
                <w:sz w:val="16"/>
                <w:szCs w:val="16"/>
              </w:rPr>
              <w:t>Suficit / Deficit budžeta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-27,08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-8,42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-17,02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-14,96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-5,52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-5,36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10,46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-4,19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-1,44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-12,89</w:t>
            </w:r>
          </w:p>
        </w:tc>
        <w:tc>
          <w:tcPr>
            <w:tcW w:w="6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-18,67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-21,82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</w:rPr>
            </w:pPr>
            <w:r w:rsidRPr="006A50FA">
              <w:rPr>
                <w:b/>
                <w:bCs/>
                <w:sz w:val="16"/>
                <w:szCs w:val="16"/>
              </w:rPr>
              <w:t>-60,70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-19,41</w:t>
            </w:r>
          </w:p>
        </w:tc>
        <w:tc>
          <w:tcPr>
            <w:tcW w:w="7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-64,05</w:t>
            </w:r>
          </w:p>
        </w:tc>
      </w:tr>
      <w:tr w:rsidR="006A50FA" w:rsidRPr="006A50FA" w:rsidTr="005253C0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Primarni bilans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-24,77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-7,31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-12,40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9,70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-0,79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8,91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11,71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13,27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-0,85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-12,33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-12,99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-19,59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-54,39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-20,90</w:t>
            </w:r>
          </w:p>
        </w:tc>
        <w:tc>
          <w:tcPr>
            <w:tcW w:w="747" w:type="dxa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-63,98</w:t>
            </w:r>
          </w:p>
        </w:tc>
      </w:tr>
      <w:tr w:rsidR="006A50FA" w:rsidRPr="006A50FA" w:rsidTr="005253C0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Otplata dugova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7,98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37,33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9,65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51,08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31,42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4,55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14,57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5,47</w:t>
            </w:r>
          </w:p>
        </w:tc>
        <w:tc>
          <w:tcPr>
            <w:tcW w:w="6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31,22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17,04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33,19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468,97</w:t>
            </w:r>
          </w:p>
        </w:tc>
        <w:tc>
          <w:tcPr>
            <w:tcW w:w="7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-48,65</w:t>
            </w:r>
          </w:p>
        </w:tc>
      </w:tr>
      <w:tr w:rsidR="006A50FA" w:rsidRPr="006A50FA" w:rsidTr="005253C0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A50FA">
              <w:rPr>
                <w:b/>
                <w:bCs/>
                <w:sz w:val="16"/>
                <w:szCs w:val="16"/>
              </w:rPr>
              <w:t>Državni dug (stanje duga)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1.950,10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1.950,70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2.006,00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1.990,30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2.180,50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2.022,10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1.985,20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1.982,50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1.969,53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1.964,90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1.961,90</w:t>
            </w:r>
          </w:p>
        </w:tc>
        <w:tc>
          <w:tcPr>
            <w:tcW w:w="6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</w:rPr>
            </w:pPr>
            <w:r w:rsidRPr="006A50FA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6A50FA" w:rsidRPr="006A50FA" w:rsidTr="005253C0">
        <w:trPr>
          <w:trHeight w:val="315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Domaći dug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517,60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513,40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572,60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588,10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583,30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438,30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412,10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406,90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394,93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392,20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389,80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6A50FA" w:rsidRPr="006A50FA" w:rsidTr="005253C0">
        <w:trPr>
          <w:trHeight w:val="315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6A50FA">
            <w:pPr>
              <w:spacing w:after="0" w:line="240" w:lineRule="auto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Inostrani dug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1.432,50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1.437,30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1.433,40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1.402,20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1.597,20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1.583,80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1.573,10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1.575,60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1.574,60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1.572,70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A50FA">
              <w:rPr>
                <w:color w:val="000000"/>
                <w:sz w:val="16"/>
                <w:szCs w:val="16"/>
              </w:rPr>
              <w:t>1.572,10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A50FA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6A50FA" w:rsidRPr="006A50FA" w:rsidRDefault="006A50FA" w:rsidP="005253C0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FA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</w:tbl>
    <w:p w:rsidR="006A50FA" w:rsidRPr="006A50FA" w:rsidRDefault="006A50FA" w:rsidP="006A50FA">
      <w:pPr>
        <w:spacing w:after="0" w:line="240" w:lineRule="auto"/>
        <w:rPr>
          <w:i/>
          <w:iCs/>
          <w:sz w:val="16"/>
          <w:szCs w:val="16"/>
        </w:rPr>
      </w:pPr>
      <w:r w:rsidRPr="006A50FA">
        <w:rPr>
          <w:i/>
          <w:iCs/>
          <w:sz w:val="16"/>
          <w:szCs w:val="16"/>
        </w:rPr>
        <w:t>Izvor: Ministarstvo finansija Crne Gore</w:t>
      </w:r>
    </w:p>
    <w:p w:rsidR="00A90070" w:rsidRDefault="00A90070" w:rsidP="00C45B95"/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sectPr w:rsidR="00C45B95" w:rsidSect="00A90070">
      <w:pgSz w:w="16839" w:h="11907" w:orient="landscape" w:code="9"/>
      <w:pgMar w:top="284" w:right="426" w:bottom="284" w:left="25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B863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CCF" w:rsidRDefault="00727CCF" w:rsidP="00965FCD">
      <w:pPr>
        <w:spacing w:after="0" w:line="240" w:lineRule="auto"/>
      </w:pPr>
      <w:r>
        <w:separator/>
      </w:r>
    </w:p>
  </w:endnote>
  <w:endnote w:type="continuationSeparator" w:id="1">
    <w:p w:rsidR="00727CCF" w:rsidRDefault="00727CCF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CCF" w:rsidRDefault="00727CCF" w:rsidP="00965FCD">
      <w:pPr>
        <w:spacing w:after="0" w:line="240" w:lineRule="auto"/>
      </w:pPr>
      <w:r>
        <w:separator/>
      </w:r>
    </w:p>
  </w:footnote>
  <w:footnote w:type="continuationSeparator" w:id="1">
    <w:p w:rsidR="00727CCF" w:rsidRDefault="00727CCF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A7F5D"/>
    <w:multiLevelType w:val="hybridMultilevel"/>
    <w:tmpl w:val="D5861986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6B83CB2"/>
    <w:multiLevelType w:val="hybridMultilevel"/>
    <w:tmpl w:val="6DF487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455C5"/>
    <w:multiLevelType w:val="hybridMultilevel"/>
    <w:tmpl w:val="A3349FA2"/>
    <w:lvl w:ilvl="0" w:tplc="0D8ACA5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21B54940"/>
    <w:multiLevelType w:val="hybridMultilevel"/>
    <w:tmpl w:val="E408973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0F0C99"/>
    <w:multiLevelType w:val="hybridMultilevel"/>
    <w:tmpl w:val="3C02798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668F7"/>
    <w:multiLevelType w:val="hybridMultilevel"/>
    <w:tmpl w:val="B6A42554"/>
    <w:lvl w:ilvl="0" w:tplc="8524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35C14"/>
    <w:multiLevelType w:val="hybridMultilevel"/>
    <w:tmpl w:val="8EEEE808"/>
    <w:lvl w:ilvl="0" w:tplc="5F662F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F76453A"/>
    <w:multiLevelType w:val="hybridMultilevel"/>
    <w:tmpl w:val="C51085F4"/>
    <w:lvl w:ilvl="0" w:tplc="58DA0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D6A9E"/>
    <w:multiLevelType w:val="hybridMultilevel"/>
    <w:tmpl w:val="7FB84D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499401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1D6498"/>
    <w:multiLevelType w:val="hybridMultilevel"/>
    <w:tmpl w:val="D71CF9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E7D4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1246544"/>
    <w:multiLevelType w:val="hybridMultilevel"/>
    <w:tmpl w:val="3D148D9E"/>
    <w:lvl w:ilvl="0" w:tplc="B564503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34FA9"/>
    <w:multiLevelType w:val="hybridMultilevel"/>
    <w:tmpl w:val="28C6A5DE"/>
    <w:lvl w:ilvl="0" w:tplc="A99EAD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52292"/>
    <w:multiLevelType w:val="hybridMultilevel"/>
    <w:tmpl w:val="C1E0685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7"/>
  </w:num>
  <w:num w:numId="3">
    <w:abstractNumId w:val="35"/>
  </w:num>
  <w:num w:numId="4">
    <w:abstractNumId w:val="24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6"/>
  </w:num>
  <w:num w:numId="8">
    <w:abstractNumId w:val="2"/>
  </w:num>
  <w:num w:numId="9">
    <w:abstractNumId w:val="0"/>
  </w:num>
  <w:num w:numId="10">
    <w:abstractNumId w:val="33"/>
  </w:num>
  <w:num w:numId="11">
    <w:abstractNumId w:val="1"/>
  </w:num>
  <w:num w:numId="12">
    <w:abstractNumId w:val="32"/>
  </w:num>
  <w:num w:numId="13">
    <w:abstractNumId w:val="28"/>
  </w:num>
  <w:num w:numId="14">
    <w:abstractNumId w:val="8"/>
  </w:num>
  <w:num w:numId="15">
    <w:abstractNumId w:val="6"/>
  </w:num>
  <w:num w:numId="16">
    <w:abstractNumId w:val="19"/>
  </w:num>
  <w:num w:numId="17">
    <w:abstractNumId w:val="10"/>
  </w:num>
  <w:num w:numId="18">
    <w:abstractNumId w:val="23"/>
  </w:num>
  <w:num w:numId="19">
    <w:abstractNumId w:val="9"/>
  </w:num>
  <w:num w:numId="20">
    <w:abstractNumId w:val="20"/>
  </w:num>
  <w:num w:numId="21">
    <w:abstractNumId w:val="22"/>
  </w:num>
  <w:num w:numId="22">
    <w:abstractNumId w:val="15"/>
  </w:num>
  <w:num w:numId="23">
    <w:abstractNumId w:val="14"/>
  </w:num>
  <w:num w:numId="24">
    <w:abstractNumId w:val="30"/>
  </w:num>
  <w:num w:numId="25">
    <w:abstractNumId w:val="4"/>
  </w:num>
  <w:num w:numId="26">
    <w:abstractNumId w:val="11"/>
  </w:num>
  <w:num w:numId="27">
    <w:abstractNumId w:val="27"/>
  </w:num>
  <w:num w:numId="28">
    <w:abstractNumId w:val="3"/>
  </w:num>
  <w:num w:numId="29">
    <w:abstractNumId w:val="5"/>
  </w:num>
  <w:num w:numId="30">
    <w:abstractNumId w:val="21"/>
  </w:num>
  <w:num w:numId="31">
    <w:abstractNumId w:val="31"/>
  </w:num>
  <w:num w:numId="32">
    <w:abstractNumId w:val="17"/>
  </w:num>
  <w:num w:numId="33">
    <w:abstractNumId w:val="34"/>
  </w:num>
  <w:num w:numId="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2"/>
  </w:num>
  <w:num w:numId="37">
    <w:abstractNumId w:val="25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D61692"/>
    <w:rsid w:val="000000CB"/>
    <w:rsid w:val="00000106"/>
    <w:rsid w:val="000009E1"/>
    <w:rsid w:val="000010A3"/>
    <w:rsid w:val="00003D78"/>
    <w:rsid w:val="000040B3"/>
    <w:rsid w:val="00004B56"/>
    <w:rsid w:val="00005AD2"/>
    <w:rsid w:val="00005D5A"/>
    <w:rsid w:val="00007424"/>
    <w:rsid w:val="00012F84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16CA"/>
    <w:rsid w:val="000224B4"/>
    <w:rsid w:val="00022789"/>
    <w:rsid w:val="00022F81"/>
    <w:rsid w:val="0002327A"/>
    <w:rsid w:val="00024DC9"/>
    <w:rsid w:val="0002564B"/>
    <w:rsid w:val="00025AC0"/>
    <w:rsid w:val="000263A4"/>
    <w:rsid w:val="00026971"/>
    <w:rsid w:val="00027D5E"/>
    <w:rsid w:val="000300F0"/>
    <w:rsid w:val="000314E5"/>
    <w:rsid w:val="00031722"/>
    <w:rsid w:val="00031FAD"/>
    <w:rsid w:val="00032524"/>
    <w:rsid w:val="00032D34"/>
    <w:rsid w:val="0003370D"/>
    <w:rsid w:val="000341DE"/>
    <w:rsid w:val="00034923"/>
    <w:rsid w:val="0003497A"/>
    <w:rsid w:val="00034D42"/>
    <w:rsid w:val="00034F07"/>
    <w:rsid w:val="0003544A"/>
    <w:rsid w:val="00036822"/>
    <w:rsid w:val="000369E1"/>
    <w:rsid w:val="00037558"/>
    <w:rsid w:val="00037B58"/>
    <w:rsid w:val="0004205C"/>
    <w:rsid w:val="000421A3"/>
    <w:rsid w:val="00042CE6"/>
    <w:rsid w:val="00043DED"/>
    <w:rsid w:val="000449CD"/>
    <w:rsid w:val="00044CB0"/>
    <w:rsid w:val="00045654"/>
    <w:rsid w:val="00045D59"/>
    <w:rsid w:val="00046C9E"/>
    <w:rsid w:val="00050101"/>
    <w:rsid w:val="00050D3F"/>
    <w:rsid w:val="00050EAB"/>
    <w:rsid w:val="000525B8"/>
    <w:rsid w:val="00052732"/>
    <w:rsid w:val="00052BB7"/>
    <w:rsid w:val="00052DC4"/>
    <w:rsid w:val="00054068"/>
    <w:rsid w:val="000547A1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24EE"/>
    <w:rsid w:val="00064395"/>
    <w:rsid w:val="000645F3"/>
    <w:rsid w:val="00065B6F"/>
    <w:rsid w:val="00067726"/>
    <w:rsid w:val="00067FD6"/>
    <w:rsid w:val="00070965"/>
    <w:rsid w:val="000712B9"/>
    <w:rsid w:val="0007229B"/>
    <w:rsid w:val="000734AF"/>
    <w:rsid w:val="00073786"/>
    <w:rsid w:val="0007424D"/>
    <w:rsid w:val="00074378"/>
    <w:rsid w:val="000746C7"/>
    <w:rsid w:val="000747AC"/>
    <w:rsid w:val="00074C3E"/>
    <w:rsid w:val="00074D69"/>
    <w:rsid w:val="0007530C"/>
    <w:rsid w:val="0007555E"/>
    <w:rsid w:val="000771F2"/>
    <w:rsid w:val="00077211"/>
    <w:rsid w:val="00080AEE"/>
    <w:rsid w:val="000812E2"/>
    <w:rsid w:val="0008138F"/>
    <w:rsid w:val="00082D87"/>
    <w:rsid w:val="000831EE"/>
    <w:rsid w:val="00083320"/>
    <w:rsid w:val="00084C03"/>
    <w:rsid w:val="00085B67"/>
    <w:rsid w:val="0008654B"/>
    <w:rsid w:val="00090FDD"/>
    <w:rsid w:val="00091154"/>
    <w:rsid w:val="00091539"/>
    <w:rsid w:val="000915D3"/>
    <w:rsid w:val="000917D8"/>
    <w:rsid w:val="000924C0"/>
    <w:rsid w:val="000925F7"/>
    <w:rsid w:val="00094311"/>
    <w:rsid w:val="000945C9"/>
    <w:rsid w:val="000947A0"/>
    <w:rsid w:val="0009505C"/>
    <w:rsid w:val="0009548F"/>
    <w:rsid w:val="000956EB"/>
    <w:rsid w:val="000963A6"/>
    <w:rsid w:val="000963C2"/>
    <w:rsid w:val="00097527"/>
    <w:rsid w:val="00097E38"/>
    <w:rsid w:val="000A01B0"/>
    <w:rsid w:val="000A0BBC"/>
    <w:rsid w:val="000A1159"/>
    <w:rsid w:val="000A1459"/>
    <w:rsid w:val="000A14DA"/>
    <w:rsid w:val="000A2350"/>
    <w:rsid w:val="000A2E85"/>
    <w:rsid w:val="000A2F52"/>
    <w:rsid w:val="000A33CB"/>
    <w:rsid w:val="000A4226"/>
    <w:rsid w:val="000A42FE"/>
    <w:rsid w:val="000A43CE"/>
    <w:rsid w:val="000A47FF"/>
    <w:rsid w:val="000A4E37"/>
    <w:rsid w:val="000A5E23"/>
    <w:rsid w:val="000A787A"/>
    <w:rsid w:val="000A7FBB"/>
    <w:rsid w:val="000B19D0"/>
    <w:rsid w:val="000B1DD7"/>
    <w:rsid w:val="000B28FC"/>
    <w:rsid w:val="000B2B16"/>
    <w:rsid w:val="000B34E4"/>
    <w:rsid w:val="000B37A3"/>
    <w:rsid w:val="000B40A4"/>
    <w:rsid w:val="000B45AB"/>
    <w:rsid w:val="000B4800"/>
    <w:rsid w:val="000B48EE"/>
    <w:rsid w:val="000B502D"/>
    <w:rsid w:val="000B54A3"/>
    <w:rsid w:val="000B5DD4"/>
    <w:rsid w:val="000B6252"/>
    <w:rsid w:val="000B62D3"/>
    <w:rsid w:val="000B67B1"/>
    <w:rsid w:val="000B69BF"/>
    <w:rsid w:val="000B788B"/>
    <w:rsid w:val="000B7AE2"/>
    <w:rsid w:val="000C06C5"/>
    <w:rsid w:val="000C0B0A"/>
    <w:rsid w:val="000C108E"/>
    <w:rsid w:val="000C1965"/>
    <w:rsid w:val="000C2FAD"/>
    <w:rsid w:val="000C3655"/>
    <w:rsid w:val="000C36DB"/>
    <w:rsid w:val="000C4998"/>
    <w:rsid w:val="000C5764"/>
    <w:rsid w:val="000C5FBB"/>
    <w:rsid w:val="000C65A2"/>
    <w:rsid w:val="000C6818"/>
    <w:rsid w:val="000C7278"/>
    <w:rsid w:val="000C72DD"/>
    <w:rsid w:val="000D0368"/>
    <w:rsid w:val="000D0374"/>
    <w:rsid w:val="000D09EB"/>
    <w:rsid w:val="000D1AA8"/>
    <w:rsid w:val="000D2DFE"/>
    <w:rsid w:val="000D52CF"/>
    <w:rsid w:val="000D588E"/>
    <w:rsid w:val="000D5D48"/>
    <w:rsid w:val="000D5ED7"/>
    <w:rsid w:val="000D6CD4"/>
    <w:rsid w:val="000D6DF1"/>
    <w:rsid w:val="000D765B"/>
    <w:rsid w:val="000D7A66"/>
    <w:rsid w:val="000E13EB"/>
    <w:rsid w:val="000E2251"/>
    <w:rsid w:val="000E2351"/>
    <w:rsid w:val="000E294A"/>
    <w:rsid w:val="000E3987"/>
    <w:rsid w:val="000E40CC"/>
    <w:rsid w:val="000E4DD4"/>
    <w:rsid w:val="000E6096"/>
    <w:rsid w:val="000E77A4"/>
    <w:rsid w:val="000E7A16"/>
    <w:rsid w:val="000E7E9D"/>
    <w:rsid w:val="000F1186"/>
    <w:rsid w:val="000F1AA9"/>
    <w:rsid w:val="000F260E"/>
    <w:rsid w:val="000F4D73"/>
    <w:rsid w:val="000F5B09"/>
    <w:rsid w:val="000F6577"/>
    <w:rsid w:val="000F6C6B"/>
    <w:rsid w:val="000F756E"/>
    <w:rsid w:val="000F7DDF"/>
    <w:rsid w:val="00100371"/>
    <w:rsid w:val="001021CB"/>
    <w:rsid w:val="00102786"/>
    <w:rsid w:val="001030CC"/>
    <w:rsid w:val="0010339D"/>
    <w:rsid w:val="00103CA9"/>
    <w:rsid w:val="0010452C"/>
    <w:rsid w:val="00105AEF"/>
    <w:rsid w:val="00106446"/>
    <w:rsid w:val="0010656B"/>
    <w:rsid w:val="00107128"/>
    <w:rsid w:val="00107647"/>
    <w:rsid w:val="00107A07"/>
    <w:rsid w:val="00111C8A"/>
    <w:rsid w:val="001124C4"/>
    <w:rsid w:val="001124FF"/>
    <w:rsid w:val="00112853"/>
    <w:rsid w:val="00112E23"/>
    <w:rsid w:val="00114109"/>
    <w:rsid w:val="001141E2"/>
    <w:rsid w:val="00114378"/>
    <w:rsid w:val="00115519"/>
    <w:rsid w:val="00115C83"/>
    <w:rsid w:val="00116365"/>
    <w:rsid w:val="001164A1"/>
    <w:rsid w:val="00116A8F"/>
    <w:rsid w:val="00117AB0"/>
    <w:rsid w:val="001209D0"/>
    <w:rsid w:val="00120A3A"/>
    <w:rsid w:val="00123909"/>
    <w:rsid w:val="00123BF5"/>
    <w:rsid w:val="00123CBD"/>
    <w:rsid w:val="00124730"/>
    <w:rsid w:val="001251D5"/>
    <w:rsid w:val="0012708A"/>
    <w:rsid w:val="0012719F"/>
    <w:rsid w:val="001276C7"/>
    <w:rsid w:val="00127B5A"/>
    <w:rsid w:val="00130DCC"/>
    <w:rsid w:val="00131185"/>
    <w:rsid w:val="001321AB"/>
    <w:rsid w:val="001326B7"/>
    <w:rsid w:val="00134816"/>
    <w:rsid w:val="00134A21"/>
    <w:rsid w:val="00134C6C"/>
    <w:rsid w:val="00136C72"/>
    <w:rsid w:val="00136E70"/>
    <w:rsid w:val="00141D67"/>
    <w:rsid w:val="00141FDD"/>
    <w:rsid w:val="00143FCB"/>
    <w:rsid w:val="00144C86"/>
    <w:rsid w:val="00144EE5"/>
    <w:rsid w:val="0014607D"/>
    <w:rsid w:val="00147278"/>
    <w:rsid w:val="00150230"/>
    <w:rsid w:val="00150707"/>
    <w:rsid w:val="00151155"/>
    <w:rsid w:val="00152409"/>
    <w:rsid w:val="00152E4F"/>
    <w:rsid w:val="001530CE"/>
    <w:rsid w:val="0015322D"/>
    <w:rsid w:val="00153490"/>
    <w:rsid w:val="00154145"/>
    <w:rsid w:val="0015515C"/>
    <w:rsid w:val="00156E33"/>
    <w:rsid w:val="001575F1"/>
    <w:rsid w:val="00157601"/>
    <w:rsid w:val="001577A1"/>
    <w:rsid w:val="00160183"/>
    <w:rsid w:val="00160A29"/>
    <w:rsid w:val="001610BD"/>
    <w:rsid w:val="001613FC"/>
    <w:rsid w:val="001627A3"/>
    <w:rsid w:val="00163041"/>
    <w:rsid w:val="00163A7B"/>
    <w:rsid w:val="00163AF0"/>
    <w:rsid w:val="001644C7"/>
    <w:rsid w:val="001646BA"/>
    <w:rsid w:val="00165773"/>
    <w:rsid w:val="00165DE6"/>
    <w:rsid w:val="00167281"/>
    <w:rsid w:val="001672AB"/>
    <w:rsid w:val="001678F1"/>
    <w:rsid w:val="001708D0"/>
    <w:rsid w:val="00170C82"/>
    <w:rsid w:val="00170CCE"/>
    <w:rsid w:val="00172053"/>
    <w:rsid w:val="00172816"/>
    <w:rsid w:val="00172D59"/>
    <w:rsid w:val="00172F78"/>
    <w:rsid w:val="001730BE"/>
    <w:rsid w:val="00174836"/>
    <w:rsid w:val="00174FD6"/>
    <w:rsid w:val="0017540F"/>
    <w:rsid w:val="001754F5"/>
    <w:rsid w:val="0017563A"/>
    <w:rsid w:val="00175718"/>
    <w:rsid w:val="00177AD9"/>
    <w:rsid w:val="00181309"/>
    <w:rsid w:val="001824C2"/>
    <w:rsid w:val="00182872"/>
    <w:rsid w:val="0018289E"/>
    <w:rsid w:val="0018331D"/>
    <w:rsid w:val="00184FDC"/>
    <w:rsid w:val="0018592D"/>
    <w:rsid w:val="0018626E"/>
    <w:rsid w:val="0018666E"/>
    <w:rsid w:val="00186BEF"/>
    <w:rsid w:val="00186F09"/>
    <w:rsid w:val="0018794A"/>
    <w:rsid w:val="00187C66"/>
    <w:rsid w:val="00190285"/>
    <w:rsid w:val="00191F90"/>
    <w:rsid w:val="00192506"/>
    <w:rsid w:val="00192F1E"/>
    <w:rsid w:val="00193080"/>
    <w:rsid w:val="001931C2"/>
    <w:rsid w:val="00193785"/>
    <w:rsid w:val="001942BA"/>
    <w:rsid w:val="001971A8"/>
    <w:rsid w:val="001A0035"/>
    <w:rsid w:val="001A2829"/>
    <w:rsid w:val="001A2F7A"/>
    <w:rsid w:val="001A392F"/>
    <w:rsid w:val="001A594D"/>
    <w:rsid w:val="001A5B99"/>
    <w:rsid w:val="001A65F4"/>
    <w:rsid w:val="001A7319"/>
    <w:rsid w:val="001A783E"/>
    <w:rsid w:val="001B0396"/>
    <w:rsid w:val="001B1D1D"/>
    <w:rsid w:val="001B259F"/>
    <w:rsid w:val="001B25FF"/>
    <w:rsid w:val="001B3267"/>
    <w:rsid w:val="001B3BE3"/>
    <w:rsid w:val="001B4CB9"/>
    <w:rsid w:val="001B4F99"/>
    <w:rsid w:val="001B6D24"/>
    <w:rsid w:val="001B7AD0"/>
    <w:rsid w:val="001B7C2A"/>
    <w:rsid w:val="001B7D00"/>
    <w:rsid w:val="001C0237"/>
    <w:rsid w:val="001C0AB4"/>
    <w:rsid w:val="001C1490"/>
    <w:rsid w:val="001C1928"/>
    <w:rsid w:val="001C1F7E"/>
    <w:rsid w:val="001C2278"/>
    <w:rsid w:val="001C22CB"/>
    <w:rsid w:val="001C23DD"/>
    <w:rsid w:val="001C264C"/>
    <w:rsid w:val="001C2751"/>
    <w:rsid w:val="001C51EC"/>
    <w:rsid w:val="001C5CE9"/>
    <w:rsid w:val="001C6120"/>
    <w:rsid w:val="001C6698"/>
    <w:rsid w:val="001C6750"/>
    <w:rsid w:val="001C6817"/>
    <w:rsid w:val="001C70BA"/>
    <w:rsid w:val="001D0226"/>
    <w:rsid w:val="001D0A32"/>
    <w:rsid w:val="001D21BD"/>
    <w:rsid w:val="001D37FD"/>
    <w:rsid w:val="001D4E81"/>
    <w:rsid w:val="001D7822"/>
    <w:rsid w:val="001E2403"/>
    <w:rsid w:val="001E29C8"/>
    <w:rsid w:val="001E29D1"/>
    <w:rsid w:val="001E2BC7"/>
    <w:rsid w:val="001E33FE"/>
    <w:rsid w:val="001E4EAE"/>
    <w:rsid w:val="001E53D5"/>
    <w:rsid w:val="001E5BE3"/>
    <w:rsid w:val="001E5E69"/>
    <w:rsid w:val="001F1378"/>
    <w:rsid w:val="001F19CC"/>
    <w:rsid w:val="001F27F8"/>
    <w:rsid w:val="001F2B57"/>
    <w:rsid w:val="001F3E69"/>
    <w:rsid w:val="001F4118"/>
    <w:rsid w:val="001F4C02"/>
    <w:rsid w:val="001F69DD"/>
    <w:rsid w:val="001F7445"/>
    <w:rsid w:val="001F7741"/>
    <w:rsid w:val="001F7C33"/>
    <w:rsid w:val="001F7C4B"/>
    <w:rsid w:val="002000E5"/>
    <w:rsid w:val="00200602"/>
    <w:rsid w:val="00200A3F"/>
    <w:rsid w:val="002010F0"/>
    <w:rsid w:val="00201AEB"/>
    <w:rsid w:val="0020246C"/>
    <w:rsid w:val="00203447"/>
    <w:rsid w:val="0020440D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7F9"/>
    <w:rsid w:val="002128D8"/>
    <w:rsid w:val="002129D4"/>
    <w:rsid w:val="00212CDE"/>
    <w:rsid w:val="002135A2"/>
    <w:rsid w:val="002138EC"/>
    <w:rsid w:val="002148F6"/>
    <w:rsid w:val="0021614C"/>
    <w:rsid w:val="002167C4"/>
    <w:rsid w:val="00216C6D"/>
    <w:rsid w:val="00220834"/>
    <w:rsid w:val="00220B59"/>
    <w:rsid w:val="002210E9"/>
    <w:rsid w:val="00222175"/>
    <w:rsid w:val="0022227F"/>
    <w:rsid w:val="00223E45"/>
    <w:rsid w:val="00224AD0"/>
    <w:rsid w:val="00224D43"/>
    <w:rsid w:val="002251C3"/>
    <w:rsid w:val="00225534"/>
    <w:rsid w:val="00225F74"/>
    <w:rsid w:val="002260FD"/>
    <w:rsid w:val="002263B3"/>
    <w:rsid w:val="0022695C"/>
    <w:rsid w:val="0022764C"/>
    <w:rsid w:val="00227682"/>
    <w:rsid w:val="00227D75"/>
    <w:rsid w:val="0023090D"/>
    <w:rsid w:val="00230C34"/>
    <w:rsid w:val="00230DE8"/>
    <w:rsid w:val="00230FA2"/>
    <w:rsid w:val="00231268"/>
    <w:rsid w:val="00232185"/>
    <w:rsid w:val="00232A05"/>
    <w:rsid w:val="00233D4D"/>
    <w:rsid w:val="0023443E"/>
    <w:rsid w:val="00234902"/>
    <w:rsid w:val="00235857"/>
    <w:rsid w:val="0023628C"/>
    <w:rsid w:val="00236B99"/>
    <w:rsid w:val="00237066"/>
    <w:rsid w:val="00237CC5"/>
    <w:rsid w:val="00240136"/>
    <w:rsid w:val="002402CA"/>
    <w:rsid w:val="00240CF4"/>
    <w:rsid w:val="002417C5"/>
    <w:rsid w:val="00242535"/>
    <w:rsid w:val="002427AE"/>
    <w:rsid w:val="00243419"/>
    <w:rsid w:val="00245A6C"/>
    <w:rsid w:val="00245B04"/>
    <w:rsid w:val="00247F1B"/>
    <w:rsid w:val="002503CE"/>
    <w:rsid w:val="0025102C"/>
    <w:rsid w:val="0025137D"/>
    <w:rsid w:val="00252FF6"/>
    <w:rsid w:val="002537BD"/>
    <w:rsid w:val="00253ECF"/>
    <w:rsid w:val="00253F71"/>
    <w:rsid w:val="00256550"/>
    <w:rsid w:val="0025757E"/>
    <w:rsid w:val="00257D9D"/>
    <w:rsid w:val="00257EFB"/>
    <w:rsid w:val="00260066"/>
    <w:rsid w:val="00260465"/>
    <w:rsid w:val="00260688"/>
    <w:rsid w:val="00260976"/>
    <w:rsid w:val="00260EF0"/>
    <w:rsid w:val="002611D1"/>
    <w:rsid w:val="0026475B"/>
    <w:rsid w:val="0026489F"/>
    <w:rsid w:val="00265023"/>
    <w:rsid w:val="002650CF"/>
    <w:rsid w:val="00265406"/>
    <w:rsid w:val="00265A3D"/>
    <w:rsid w:val="002662BE"/>
    <w:rsid w:val="002668AA"/>
    <w:rsid w:val="0026780C"/>
    <w:rsid w:val="002679BB"/>
    <w:rsid w:val="0027004E"/>
    <w:rsid w:val="00270FD9"/>
    <w:rsid w:val="002717A8"/>
    <w:rsid w:val="0027226D"/>
    <w:rsid w:val="002723A7"/>
    <w:rsid w:val="002723D9"/>
    <w:rsid w:val="00273280"/>
    <w:rsid w:val="00273D6D"/>
    <w:rsid w:val="0027442C"/>
    <w:rsid w:val="00274EBC"/>
    <w:rsid w:val="00275609"/>
    <w:rsid w:val="0027672F"/>
    <w:rsid w:val="0027697B"/>
    <w:rsid w:val="0027775D"/>
    <w:rsid w:val="00280105"/>
    <w:rsid w:val="0028233F"/>
    <w:rsid w:val="00282488"/>
    <w:rsid w:val="00282B2B"/>
    <w:rsid w:val="00282DBE"/>
    <w:rsid w:val="00283704"/>
    <w:rsid w:val="00283DB5"/>
    <w:rsid w:val="002843B8"/>
    <w:rsid w:val="00284B2C"/>
    <w:rsid w:val="00285B0F"/>
    <w:rsid w:val="00287019"/>
    <w:rsid w:val="00287A18"/>
    <w:rsid w:val="00290CF1"/>
    <w:rsid w:val="002916F7"/>
    <w:rsid w:val="00292EC3"/>
    <w:rsid w:val="00294586"/>
    <w:rsid w:val="00294DE0"/>
    <w:rsid w:val="00296127"/>
    <w:rsid w:val="00296B08"/>
    <w:rsid w:val="002977E4"/>
    <w:rsid w:val="00297AC4"/>
    <w:rsid w:val="002A046A"/>
    <w:rsid w:val="002A0CAC"/>
    <w:rsid w:val="002A0D49"/>
    <w:rsid w:val="002A10A8"/>
    <w:rsid w:val="002A1639"/>
    <w:rsid w:val="002A1B2B"/>
    <w:rsid w:val="002A1CC2"/>
    <w:rsid w:val="002A1DC4"/>
    <w:rsid w:val="002A235B"/>
    <w:rsid w:val="002A2BD6"/>
    <w:rsid w:val="002A2CED"/>
    <w:rsid w:val="002A4910"/>
    <w:rsid w:val="002A5C73"/>
    <w:rsid w:val="002A68B8"/>
    <w:rsid w:val="002B0705"/>
    <w:rsid w:val="002B0DED"/>
    <w:rsid w:val="002B10AE"/>
    <w:rsid w:val="002B210C"/>
    <w:rsid w:val="002B318C"/>
    <w:rsid w:val="002B3824"/>
    <w:rsid w:val="002B5129"/>
    <w:rsid w:val="002B552A"/>
    <w:rsid w:val="002B74C5"/>
    <w:rsid w:val="002B77D8"/>
    <w:rsid w:val="002B7CC9"/>
    <w:rsid w:val="002C010C"/>
    <w:rsid w:val="002C1A52"/>
    <w:rsid w:val="002C1FBF"/>
    <w:rsid w:val="002C25C6"/>
    <w:rsid w:val="002C2DFD"/>
    <w:rsid w:val="002C3F24"/>
    <w:rsid w:val="002C454A"/>
    <w:rsid w:val="002C4737"/>
    <w:rsid w:val="002C47B8"/>
    <w:rsid w:val="002C4845"/>
    <w:rsid w:val="002C4A81"/>
    <w:rsid w:val="002C6888"/>
    <w:rsid w:val="002C78FB"/>
    <w:rsid w:val="002C7BD3"/>
    <w:rsid w:val="002D0814"/>
    <w:rsid w:val="002D0F81"/>
    <w:rsid w:val="002D170B"/>
    <w:rsid w:val="002D175D"/>
    <w:rsid w:val="002D2E80"/>
    <w:rsid w:val="002D3579"/>
    <w:rsid w:val="002D3B0F"/>
    <w:rsid w:val="002D4073"/>
    <w:rsid w:val="002D447A"/>
    <w:rsid w:val="002D4C71"/>
    <w:rsid w:val="002D4C76"/>
    <w:rsid w:val="002D4CDE"/>
    <w:rsid w:val="002D5187"/>
    <w:rsid w:val="002D5865"/>
    <w:rsid w:val="002D6027"/>
    <w:rsid w:val="002D6F60"/>
    <w:rsid w:val="002D77A7"/>
    <w:rsid w:val="002D7BA6"/>
    <w:rsid w:val="002E068D"/>
    <w:rsid w:val="002E294A"/>
    <w:rsid w:val="002E3693"/>
    <w:rsid w:val="002E4D6D"/>
    <w:rsid w:val="002E6CB0"/>
    <w:rsid w:val="002F03B5"/>
    <w:rsid w:val="002F184C"/>
    <w:rsid w:val="002F19E7"/>
    <w:rsid w:val="002F2166"/>
    <w:rsid w:val="002F323A"/>
    <w:rsid w:val="002F3B70"/>
    <w:rsid w:val="002F47D9"/>
    <w:rsid w:val="002F5002"/>
    <w:rsid w:val="002F567B"/>
    <w:rsid w:val="002F579B"/>
    <w:rsid w:val="002F58BF"/>
    <w:rsid w:val="002F5EEC"/>
    <w:rsid w:val="002F6AB2"/>
    <w:rsid w:val="002F707E"/>
    <w:rsid w:val="002F7C7C"/>
    <w:rsid w:val="002F7DB2"/>
    <w:rsid w:val="003004B8"/>
    <w:rsid w:val="003022A7"/>
    <w:rsid w:val="00303173"/>
    <w:rsid w:val="00303D85"/>
    <w:rsid w:val="00303F02"/>
    <w:rsid w:val="0030680B"/>
    <w:rsid w:val="00307430"/>
    <w:rsid w:val="00307512"/>
    <w:rsid w:val="00307F4D"/>
    <w:rsid w:val="0031098B"/>
    <w:rsid w:val="00311A9D"/>
    <w:rsid w:val="00312994"/>
    <w:rsid w:val="00313CA3"/>
    <w:rsid w:val="00314EC3"/>
    <w:rsid w:val="0031558E"/>
    <w:rsid w:val="00315780"/>
    <w:rsid w:val="00315B94"/>
    <w:rsid w:val="003165E5"/>
    <w:rsid w:val="003201BC"/>
    <w:rsid w:val="00320293"/>
    <w:rsid w:val="003212E4"/>
    <w:rsid w:val="003217C9"/>
    <w:rsid w:val="00321CA6"/>
    <w:rsid w:val="0032217B"/>
    <w:rsid w:val="00322238"/>
    <w:rsid w:val="00322DF3"/>
    <w:rsid w:val="00323E6A"/>
    <w:rsid w:val="00325C96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3E"/>
    <w:rsid w:val="0033276A"/>
    <w:rsid w:val="0033283B"/>
    <w:rsid w:val="00333C49"/>
    <w:rsid w:val="00336033"/>
    <w:rsid w:val="00337362"/>
    <w:rsid w:val="00337648"/>
    <w:rsid w:val="00340752"/>
    <w:rsid w:val="00340909"/>
    <w:rsid w:val="003409C9"/>
    <w:rsid w:val="00341583"/>
    <w:rsid w:val="00341F7C"/>
    <w:rsid w:val="00344581"/>
    <w:rsid w:val="00344DF2"/>
    <w:rsid w:val="003454A9"/>
    <w:rsid w:val="0034655C"/>
    <w:rsid w:val="00346A8A"/>
    <w:rsid w:val="00346FFA"/>
    <w:rsid w:val="00347594"/>
    <w:rsid w:val="00350496"/>
    <w:rsid w:val="00350CFE"/>
    <w:rsid w:val="0035139C"/>
    <w:rsid w:val="003524FD"/>
    <w:rsid w:val="00354DDA"/>
    <w:rsid w:val="00355F01"/>
    <w:rsid w:val="003561B8"/>
    <w:rsid w:val="003568F4"/>
    <w:rsid w:val="00357182"/>
    <w:rsid w:val="00357B8D"/>
    <w:rsid w:val="00357E66"/>
    <w:rsid w:val="00360100"/>
    <w:rsid w:val="00360197"/>
    <w:rsid w:val="00361309"/>
    <w:rsid w:val="00361C27"/>
    <w:rsid w:val="003625F1"/>
    <w:rsid w:val="00362CC0"/>
    <w:rsid w:val="003634DC"/>
    <w:rsid w:val="003638CF"/>
    <w:rsid w:val="00363C84"/>
    <w:rsid w:val="00364D14"/>
    <w:rsid w:val="00365311"/>
    <w:rsid w:val="003655B6"/>
    <w:rsid w:val="00365E46"/>
    <w:rsid w:val="00366100"/>
    <w:rsid w:val="003667BB"/>
    <w:rsid w:val="00366F41"/>
    <w:rsid w:val="00367D77"/>
    <w:rsid w:val="00375E12"/>
    <w:rsid w:val="00376523"/>
    <w:rsid w:val="0037726C"/>
    <w:rsid w:val="00377697"/>
    <w:rsid w:val="00377A53"/>
    <w:rsid w:val="003804E7"/>
    <w:rsid w:val="003809F3"/>
    <w:rsid w:val="0038117E"/>
    <w:rsid w:val="0038135E"/>
    <w:rsid w:val="003813A6"/>
    <w:rsid w:val="00381900"/>
    <w:rsid w:val="00381B03"/>
    <w:rsid w:val="0038259A"/>
    <w:rsid w:val="00382F01"/>
    <w:rsid w:val="00384476"/>
    <w:rsid w:val="00384DC2"/>
    <w:rsid w:val="003873E1"/>
    <w:rsid w:val="00387C29"/>
    <w:rsid w:val="00387DAD"/>
    <w:rsid w:val="0039047F"/>
    <w:rsid w:val="00390732"/>
    <w:rsid w:val="00391CC7"/>
    <w:rsid w:val="0039257B"/>
    <w:rsid w:val="003935B1"/>
    <w:rsid w:val="0039441A"/>
    <w:rsid w:val="00395C18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2AD"/>
    <w:rsid w:val="003A1E5E"/>
    <w:rsid w:val="003A5C77"/>
    <w:rsid w:val="003A5EB6"/>
    <w:rsid w:val="003A6A2F"/>
    <w:rsid w:val="003A6F63"/>
    <w:rsid w:val="003A785D"/>
    <w:rsid w:val="003A7A69"/>
    <w:rsid w:val="003B04DA"/>
    <w:rsid w:val="003B0E7A"/>
    <w:rsid w:val="003B15C8"/>
    <w:rsid w:val="003B17BB"/>
    <w:rsid w:val="003B1992"/>
    <w:rsid w:val="003B1A29"/>
    <w:rsid w:val="003B1C22"/>
    <w:rsid w:val="003B1D25"/>
    <w:rsid w:val="003B2900"/>
    <w:rsid w:val="003B2B30"/>
    <w:rsid w:val="003B2CAA"/>
    <w:rsid w:val="003B30D8"/>
    <w:rsid w:val="003B3299"/>
    <w:rsid w:val="003B436A"/>
    <w:rsid w:val="003B450F"/>
    <w:rsid w:val="003B48D5"/>
    <w:rsid w:val="003B4F8C"/>
    <w:rsid w:val="003B5512"/>
    <w:rsid w:val="003B62EC"/>
    <w:rsid w:val="003B6749"/>
    <w:rsid w:val="003B6844"/>
    <w:rsid w:val="003B6B3A"/>
    <w:rsid w:val="003B75FC"/>
    <w:rsid w:val="003B7F5E"/>
    <w:rsid w:val="003C0B90"/>
    <w:rsid w:val="003C1215"/>
    <w:rsid w:val="003C14C9"/>
    <w:rsid w:val="003C15EF"/>
    <w:rsid w:val="003C1D23"/>
    <w:rsid w:val="003C3A57"/>
    <w:rsid w:val="003C4817"/>
    <w:rsid w:val="003C5E7B"/>
    <w:rsid w:val="003C6A22"/>
    <w:rsid w:val="003C7870"/>
    <w:rsid w:val="003C79AC"/>
    <w:rsid w:val="003D1EDB"/>
    <w:rsid w:val="003D3260"/>
    <w:rsid w:val="003D4359"/>
    <w:rsid w:val="003D4739"/>
    <w:rsid w:val="003D49BD"/>
    <w:rsid w:val="003D4D5D"/>
    <w:rsid w:val="003D56FD"/>
    <w:rsid w:val="003D6440"/>
    <w:rsid w:val="003D75A1"/>
    <w:rsid w:val="003D78F3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5D3F"/>
    <w:rsid w:val="003E60D1"/>
    <w:rsid w:val="003E6360"/>
    <w:rsid w:val="003E719B"/>
    <w:rsid w:val="003E757E"/>
    <w:rsid w:val="003F0052"/>
    <w:rsid w:val="003F0CAE"/>
    <w:rsid w:val="003F0EA8"/>
    <w:rsid w:val="003F250B"/>
    <w:rsid w:val="003F3687"/>
    <w:rsid w:val="003F5183"/>
    <w:rsid w:val="003F56BD"/>
    <w:rsid w:val="003F5A35"/>
    <w:rsid w:val="003F7085"/>
    <w:rsid w:val="0040060E"/>
    <w:rsid w:val="00400C11"/>
    <w:rsid w:val="004010A8"/>
    <w:rsid w:val="00401DED"/>
    <w:rsid w:val="00402680"/>
    <w:rsid w:val="00402C40"/>
    <w:rsid w:val="00404325"/>
    <w:rsid w:val="00404546"/>
    <w:rsid w:val="00406097"/>
    <w:rsid w:val="00406C7B"/>
    <w:rsid w:val="00407182"/>
    <w:rsid w:val="004078E5"/>
    <w:rsid w:val="00407FE4"/>
    <w:rsid w:val="00412F68"/>
    <w:rsid w:val="0041311D"/>
    <w:rsid w:val="00413CAA"/>
    <w:rsid w:val="00413FFD"/>
    <w:rsid w:val="00415784"/>
    <w:rsid w:val="00415806"/>
    <w:rsid w:val="004159BE"/>
    <w:rsid w:val="004168B3"/>
    <w:rsid w:val="0041784C"/>
    <w:rsid w:val="00417DAC"/>
    <w:rsid w:val="00417E13"/>
    <w:rsid w:val="0042010A"/>
    <w:rsid w:val="00420CBC"/>
    <w:rsid w:val="00421432"/>
    <w:rsid w:val="00421732"/>
    <w:rsid w:val="00421CD5"/>
    <w:rsid w:val="00421E9D"/>
    <w:rsid w:val="00422784"/>
    <w:rsid w:val="00423EE9"/>
    <w:rsid w:val="004258FE"/>
    <w:rsid w:val="00425998"/>
    <w:rsid w:val="00425EC2"/>
    <w:rsid w:val="00427187"/>
    <w:rsid w:val="00427696"/>
    <w:rsid w:val="00427FB8"/>
    <w:rsid w:val="004306A4"/>
    <w:rsid w:val="00431253"/>
    <w:rsid w:val="00432066"/>
    <w:rsid w:val="00435D37"/>
    <w:rsid w:val="00436469"/>
    <w:rsid w:val="00436FB4"/>
    <w:rsid w:val="004379FA"/>
    <w:rsid w:val="0044041E"/>
    <w:rsid w:val="00442E20"/>
    <w:rsid w:val="0044465C"/>
    <w:rsid w:val="0044519A"/>
    <w:rsid w:val="004453B9"/>
    <w:rsid w:val="0044550D"/>
    <w:rsid w:val="00445736"/>
    <w:rsid w:val="00446DA9"/>
    <w:rsid w:val="004471B9"/>
    <w:rsid w:val="00447221"/>
    <w:rsid w:val="004509F6"/>
    <w:rsid w:val="0045207A"/>
    <w:rsid w:val="00452E5F"/>
    <w:rsid w:val="00453CE3"/>
    <w:rsid w:val="00454093"/>
    <w:rsid w:val="00454C7D"/>
    <w:rsid w:val="00455227"/>
    <w:rsid w:val="004553F5"/>
    <w:rsid w:val="00455A56"/>
    <w:rsid w:val="00456193"/>
    <w:rsid w:val="00456F4F"/>
    <w:rsid w:val="004574D9"/>
    <w:rsid w:val="0045758B"/>
    <w:rsid w:val="00461324"/>
    <w:rsid w:val="0046148B"/>
    <w:rsid w:val="00461657"/>
    <w:rsid w:val="00461995"/>
    <w:rsid w:val="00461BB0"/>
    <w:rsid w:val="00463225"/>
    <w:rsid w:val="004634E4"/>
    <w:rsid w:val="00463506"/>
    <w:rsid w:val="004639A5"/>
    <w:rsid w:val="004655E7"/>
    <w:rsid w:val="0046659C"/>
    <w:rsid w:val="00466A02"/>
    <w:rsid w:val="00466E96"/>
    <w:rsid w:val="00466F15"/>
    <w:rsid w:val="00467156"/>
    <w:rsid w:val="00467511"/>
    <w:rsid w:val="0047022C"/>
    <w:rsid w:val="00470C83"/>
    <w:rsid w:val="00470C90"/>
    <w:rsid w:val="00471E2A"/>
    <w:rsid w:val="004725CB"/>
    <w:rsid w:val="0047278D"/>
    <w:rsid w:val="00472CF3"/>
    <w:rsid w:val="004732BC"/>
    <w:rsid w:val="00475763"/>
    <w:rsid w:val="00475BE2"/>
    <w:rsid w:val="00480082"/>
    <w:rsid w:val="00483B9D"/>
    <w:rsid w:val="0048470D"/>
    <w:rsid w:val="004848E8"/>
    <w:rsid w:val="00484EA7"/>
    <w:rsid w:val="004864AA"/>
    <w:rsid w:val="004865CE"/>
    <w:rsid w:val="004868F5"/>
    <w:rsid w:val="0048699B"/>
    <w:rsid w:val="00487296"/>
    <w:rsid w:val="0049070F"/>
    <w:rsid w:val="00491368"/>
    <w:rsid w:val="0049250B"/>
    <w:rsid w:val="00492CE5"/>
    <w:rsid w:val="004932C1"/>
    <w:rsid w:val="00493B63"/>
    <w:rsid w:val="00493F77"/>
    <w:rsid w:val="004940E0"/>
    <w:rsid w:val="00496006"/>
    <w:rsid w:val="00496861"/>
    <w:rsid w:val="004A1113"/>
    <w:rsid w:val="004A2665"/>
    <w:rsid w:val="004A3449"/>
    <w:rsid w:val="004A3489"/>
    <w:rsid w:val="004A350C"/>
    <w:rsid w:val="004A382B"/>
    <w:rsid w:val="004A3894"/>
    <w:rsid w:val="004A38D1"/>
    <w:rsid w:val="004A3B47"/>
    <w:rsid w:val="004A55B1"/>
    <w:rsid w:val="004A56BE"/>
    <w:rsid w:val="004A5717"/>
    <w:rsid w:val="004A61E8"/>
    <w:rsid w:val="004A62DA"/>
    <w:rsid w:val="004B1C2A"/>
    <w:rsid w:val="004B1ECF"/>
    <w:rsid w:val="004B378C"/>
    <w:rsid w:val="004B41B2"/>
    <w:rsid w:val="004B50C6"/>
    <w:rsid w:val="004B533B"/>
    <w:rsid w:val="004B5F63"/>
    <w:rsid w:val="004B7800"/>
    <w:rsid w:val="004B7883"/>
    <w:rsid w:val="004B7C4B"/>
    <w:rsid w:val="004C0135"/>
    <w:rsid w:val="004C0176"/>
    <w:rsid w:val="004C0541"/>
    <w:rsid w:val="004C0F79"/>
    <w:rsid w:val="004C16F3"/>
    <w:rsid w:val="004C1D3E"/>
    <w:rsid w:val="004C206D"/>
    <w:rsid w:val="004C2EA5"/>
    <w:rsid w:val="004C373F"/>
    <w:rsid w:val="004C3C31"/>
    <w:rsid w:val="004C659C"/>
    <w:rsid w:val="004D40C6"/>
    <w:rsid w:val="004D49A0"/>
    <w:rsid w:val="004D4E0F"/>
    <w:rsid w:val="004D6472"/>
    <w:rsid w:val="004D7775"/>
    <w:rsid w:val="004E02D3"/>
    <w:rsid w:val="004E0DE7"/>
    <w:rsid w:val="004E12DB"/>
    <w:rsid w:val="004E28B9"/>
    <w:rsid w:val="004E4063"/>
    <w:rsid w:val="004E40DA"/>
    <w:rsid w:val="004E475F"/>
    <w:rsid w:val="004E5F03"/>
    <w:rsid w:val="004E6169"/>
    <w:rsid w:val="004E6C21"/>
    <w:rsid w:val="004E6F45"/>
    <w:rsid w:val="004E7335"/>
    <w:rsid w:val="004E7676"/>
    <w:rsid w:val="004F17AF"/>
    <w:rsid w:val="004F2797"/>
    <w:rsid w:val="004F288B"/>
    <w:rsid w:val="004F31D0"/>
    <w:rsid w:val="004F3817"/>
    <w:rsid w:val="004F4CFC"/>
    <w:rsid w:val="004F50B8"/>
    <w:rsid w:val="004F5DA8"/>
    <w:rsid w:val="004F62C2"/>
    <w:rsid w:val="004F731B"/>
    <w:rsid w:val="004F7808"/>
    <w:rsid w:val="004F7D2D"/>
    <w:rsid w:val="004F7F54"/>
    <w:rsid w:val="004F7F71"/>
    <w:rsid w:val="005025EC"/>
    <w:rsid w:val="005027D6"/>
    <w:rsid w:val="0050365D"/>
    <w:rsid w:val="005065E6"/>
    <w:rsid w:val="005070CF"/>
    <w:rsid w:val="005078B9"/>
    <w:rsid w:val="00507D4D"/>
    <w:rsid w:val="00507FBA"/>
    <w:rsid w:val="00511F1F"/>
    <w:rsid w:val="0051201B"/>
    <w:rsid w:val="0051345D"/>
    <w:rsid w:val="005157FF"/>
    <w:rsid w:val="005161CB"/>
    <w:rsid w:val="00516264"/>
    <w:rsid w:val="00516511"/>
    <w:rsid w:val="00517175"/>
    <w:rsid w:val="00517B19"/>
    <w:rsid w:val="00521DE6"/>
    <w:rsid w:val="005221F4"/>
    <w:rsid w:val="00522282"/>
    <w:rsid w:val="00524587"/>
    <w:rsid w:val="0052511E"/>
    <w:rsid w:val="0052531F"/>
    <w:rsid w:val="005253C0"/>
    <w:rsid w:val="005253D1"/>
    <w:rsid w:val="005264EC"/>
    <w:rsid w:val="00526611"/>
    <w:rsid w:val="00526AFB"/>
    <w:rsid w:val="0053016A"/>
    <w:rsid w:val="005308B0"/>
    <w:rsid w:val="005309A7"/>
    <w:rsid w:val="00530AE6"/>
    <w:rsid w:val="00531684"/>
    <w:rsid w:val="00532B88"/>
    <w:rsid w:val="005331BD"/>
    <w:rsid w:val="0053330B"/>
    <w:rsid w:val="005337B0"/>
    <w:rsid w:val="00533C4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453"/>
    <w:rsid w:val="00541D70"/>
    <w:rsid w:val="005426C0"/>
    <w:rsid w:val="005429A2"/>
    <w:rsid w:val="005436E2"/>
    <w:rsid w:val="00543A1F"/>
    <w:rsid w:val="00543F14"/>
    <w:rsid w:val="00543F2D"/>
    <w:rsid w:val="00545372"/>
    <w:rsid w:val="005468F5"/>
    <w:rsid w:val="00546967"/>
    <w:rsid w:val="00547212"/>
    <w:rsid w:val="005479C8"/>
    <w:rsid w:val="00547B34"/>
    <w:rsid w:val="00547C53"/>
    <w:rsid w:val="005523CF"/>
    <w:rsid w:val="00552402"/>
    <w:rsid w:val="0055364A"/>
    <w:rsid w:val="00553E61"/>
    <w:rsid w:val="0055409D"/>
    <w:rsid w:val="0055411D"/>
    <w:rsid w:val="00554387"/>
    <w:rsid w:val="00555066"/>
    <w:rsid w:val="0055507E"/>
    <w:rsid w:val="00555A5E"/>
    <w:rsid w:val="005562D6"/>
    <w:rsid w:val="005568D7"/>
    <w:rsid w:val="0055713F"/>
    <w:rsid w:val="00557DB0"/>
    <w:rsid w:val="00560113"/>
    <w:rsid w:val="00560529"/>
    <w:rsid w:val="00560667"/>
    <w:rsid w:val="00561992"/>
    <w:rsid w:val="00562086"/>
    <w:rsid w:val="005636A8"/>
    <w:rsid w:val="00564436"/>
    <w:rsid w:val="005644BB"/>
    <w:rsid w:val="0056509E"/>
    <w:rsid w:val="00565662"/>
    <w:rsid w:val="00565D84"/>
    <w:rsid w:val="00566BFA"/>
    <w:rsid w:val="005700F4"/>
    <w:rsid w:val="00570C9B"/>
    <w:rsid w:val="00570EEF"/>
    <w:rsid w:val="005715D6"/>
    <w:rsid w:val="00571A37"/>
    <w:rsid w:val="0057438A"/>
    <w:rsid w:val="00575B7D"/>
    <w:rsid w:val="00575E14"/>
    <w:rsid w:val="00575E37"/>
    <w:rsid w:val="005764FB"/>
    <w:rsid w:val="00580172"/>
    <w:rsid w:val="00580203"/>
    <w:rsid w:val="00580859"/>
    <w:rsid w:val="00581749"/>
    <w:rsid w:val="005818A8"/>
    <w:rsid w:val="00581D4E"/>
    <w:rsid w:val="005829D9"/>
    <w:rsid w:val="00583591"/>
    <w:rsid w:val="005838F0"/>
    <w:rsid w:val="0058458E"/>
    <w:rsid w:val="00584669"/>
    <w:rsid w:val="005852DA"/>
    <w:rsid w:val="005858DC"/>
    <w:rsid w:val="00585B6B"/>
    <w:rsid w:val="00585F7B"/>
    <w:rsid w:val="005874DD"/>
    <w:rsid w:val="0058776D"/>
    <w:rsid w:val="00590ABD"/>
    <w:rsid w:val="00590B7B"/>
    <w:rsid w:val="005916D5"/>
    <w:rsid w:val="00591720"/>
    <w:rsid w:val="00592DF3"/>
    <w:rsid w:val="00593B25"/>
    <w:rsid w:val="00595DA2"/>
    <w:rsid w:val="00596079"/>
    <w:rsid w:val="005966E6"/>
    <w:rsid w:val="005A0061"/>
    <w:rsid w:val="005A054F"/>
    <w:rsid w:val="005A0B3D"/>
    <w:rsid w:val="005A13E6"/>
    <w:rsid w:val="005A17DE"/>
    <w:rsid w:val="005A1C61"/>
    <w:rsid w:val="005A2BD0"/>
    <w:rsid w:val="005A47F5"/>
    <w:rsid w:val="005A4AB8"/>
    <w:rsid w:val="005A5064"/>
    <w:rsid w:val="005A5229"/>
    <w:rsid w:val="005B0DB1"/>
    <w:rsid w:val="005B18F4"/>
    <w:rsid w:val="005B25F8"/>
    <w:rsid w:val="005B2BF5"/>
    <w:rsid w:val="005B2E65"/>
    <w:rsid w:val="005B2F26"/>
    <w:rsid w:val="005B32A9"/>
    <w:rsid w:val="005B5CB7"/>
    <w:rsid w:val="005B5F21"/>
    <w:rsid w:val="005B7040"/>
    <w:rsid w:val="005C19AB"/>
    <w:rsid w:val="005C2D8D"/>
    <w:rsid w:val="005C363C"/>
    <w:rsid w:val="005C3727"/>
    <w:rsid w:val="005C3915"/>
    <w:rsid w:val="005C3D3E"/>
    <w:rsid w:val="005C4CBE"/>
    <w:rsid w:val="005C4DBD"/>
    <w:rsid w:val="005C4E87"/>
    <w:rsid w:val="005C5F38"/>
    <w:rsid w:val="005D07D1"/>
    <w:rsid w:val="005D0E14"/>
    <w:rsid w:val="005D2F3D"/>
    <w:rsid w:val="005D483A"/>
    <w:rsid w:val="005D48A0"/>
    <w:rsid w:val="005D4BC4"/>
    <w:rsid w:val="005D5D14"/>
    <w:rsid w:val="005D5E2D"/>
    <w:rsid w:val="005D6EEB"/>
    <w:rsid w:val="005D751B"/>
    <w:rsid w:val="005D7FE7"/>
    <w:rsid w:val="005E0358"/>
    <w:rsid w:val="005E038B"/>
    <w:rsid w:val="005E150E"/>
    <w:rsid w:val="005E199C"/>
    <w:rsid w:val="005E2852"/>
    <w:rsid w:val="005E2B06"/>
    <w:rsid w:val="005E2EE9"/>
    <w:rsid w:val="005E35C9"/>
    <w:rsid w:val="005E4CD1"/>
    <w:rsid w:val="005E55DD"/>
    <w:rsid w:val="005E5941"/>
    <w:rsid w:val="005E6D35"/>
    <w:rsid w:val="005F060E"/>
    <w:rsid w:val="005F13D5"/>
    <w:rsid w:val="005F38AB"/>
    <w:rsid w:val="005F50EA"/>
    <w:rsid w:val="005F568D"/>
    <w:rsid w:val="005F66B5"/>
    <w:rsid w:val="006006C6"/>
    <w:rsid w:val="0060487F"/>
    <w:rsid w:val="0060509D"/>
    <w:rsid w:val="006050EA"/>
    <w:rsid w:val="00605707"/>
    <w:rsid w:val="0060648E"/>
    <w:rsid w:val="006070E0"/>
    <w:rsid w:val="006071F2"/>
    <w:rsid w:val="00607217"/>
    <w:rsid w:val="00607500"/>
    <w:rsid w:val="00607541"/>
    <w:rsid w:val="0061084D"/>
    <w:rsid w:val="00610DDD"/>
    <w:rsid w:val="006113DD"/>
    <w:rsid w:val="00611BC2"/>
    <w:rsid w:val="006127E9"/>
    <w:rsid w:val="00612A53"/>
    <w:rsid w:val="00612A74"/>
    <w:rsid w:val="00612DDA"/>
    <w:rsid w:val="00612F5E"/>
    <w:rsid w:val="00613445"/>
    <w:rsid w:val="00613676"/>
    <w:rsid w:val="006139C9"/>
    <w:rsid w:val="006142D5"/>
    <w:rsid w:val="006152FB"/>
    <w:rsid w:val="0061569F"/>
    <w:rsid w:val="00616B6E"/>
    <w:rsid w:val="00617CA0"/>
    <w:rsid w:val="00620ACF"/>
    <w:rsid w:val="00620FA4"/>
    <w:rsid w:val="0062188F"/>
    <w:rsid w:val="00621B53"/>
    <w:rsid w:val="0062271A"/>
    <w:rsid w:val="00622F10"/>
    <w:rsid w:val="00622FAC"/>
    <w:rsid w:val="00623BC4"/>
    <w:rsid w:val="00624C12"/>
    <w:rsid w:val="00625243"/>
    <w:rsid w:val="00630010"/>
    <w:rsid w:val="006304FD"/>
    <w:rsid w:val="00632692"/>
    <w:rsid w:val="00634B74"/>
    <w:rsid w:val="006357BA"/>
    <w:rsid w:val="0063610A"/>
    <w:rsid w:val="006364A1"/>
    <w:rsid w:val="00642A13"/>
    <w:rsid w:val="00642F40"/>
    <w:rsid w:val="006435D8"/>
    <w:rsid w:val="0064542D"/>
    <w:rsid w:val="00645ED4"/>
    <w:rsid w:val="00647463"/>
    <w:rsid w:val="00647B12"/>
    <w:rsid w:val="006509EE"/>
    <w:rsid w:val="00650AC3"/>
    <w:rsid w:val="00650FF3"/>
    <w:rsid w:val="00651027"/>
    <w:rsid w:val="0065108A"/>
    <w:rsid w:val="006526F3"/>
    <w:rsid w:val="006534C5"/>
    <w:rsid w:val="0065398C"/>
    <w:rsid w:val="00653CF3"/>
    <w:rsid w:val="0065416C"/>
    <w:rsid w:val="00654A8A"/>
    <w:rsid w:val="0065518C"/>
    <w:rsid w:val="0065597E"/>
    <w:rsid w:val="00655E97"/>
    <w:rsid w:val="0065608E"/>
    <w:rsid w:val="0065775B"/>
    <w:rsid w:val="00657F58"/>
    <w:rsid w:val="00661339"/>
    <w:rsid w:val="00661C7E"/>
    <w:rsid w:val="00661E40"/>
    <w:rsid w:val="00662030"/>
    <w:rsid w:val="00663690"/>
    <w:rsid w:val="00664211"/>
    <w:rsid w:val="00664DEB"/>
    <w:rsid w:val="00665DCB"/>
    <w:rsid w:val="00666EFC"/>
    <w:rsid w:val="0066756D"/>
    <w:rsid w:val="00670373"/>
    <w:rsid w:val="006705D4"/>
    <w:rsid w:val="00670C5E"/>
    <w:rsid w:val="00670C6E"/>
    <w:rsid w:val="00671200"/>
    <w:rsid w:val="00671844"/>
    <w:rsid w:val="00671961"/>
    <w:rsid w:val="006719B2"/>
    <w:rsid w:val="00671C11"/>
    <w:rsid w:val="006723F0"/>
    <w:rsid w:val="00672DCB"/>
    <w:rsid w:val="00673787"/>
    <w:rsid w:val="006751BF"/>
    <w:rsid w:val="006752C1"/>
    <w:rsid w:val="006754D2"/>
    <w:rsid w:val="006756E9"/>
    <w:rsid w:val="006759B4"/>
    <w:rsid w:val="00675DCF"/>
    <w:rsid w:val="006760A4"/>
    <w:rsid w:val="00676256"/>
    <w:rsid w:val="00676A4B"/>
    <w:rsid w:val="00676BD4"/>
    <w:rsid w:val="00676C8B"/>
    <w:rsid w:val="0067730D"/>
    <w:rsid w:val="00677E65"/>
    <w:rsid w:val="006807FE"/>
    <w:rsid w:val="00680A78"/>
    <w:rsid w:val="00681351"/>
    <w:rsid w:val="006817D4"/>
    <w:rsid w:val="00681A9E"/>
    <w:rsid w:val="00682718"/>
    <w:rsid w:val="00684818"/>
    <w:rsid w:val="00684902"/>
    <w:rsid w:val="00685393"/>
    <w:rsid w:val="006900D2"/>
    <w:rsid w:val="00690A2B"/>
    <w:rsid w:val="00690D87"/>
    <w:rsid w:val="00690EA9"/>
    <w:rsid w:val="006910F4"/>
    <w:rsid w:val="00692810"/>
    <w:rsid w:val="0069434B"/>
    <w:rsid w:val="00694445"/>
    <w:rsid w:val="00694991"/>
    <w:rsid w:val="00695141"/>
    <w:rsid w:val="00695A2D"/>
    <w:rsid w:val="00695AC5"/>
    <w:rsid w:val="006966E3"/>
    <w:rsid w:val="00696D67"/>
    <w:rsid w:val="006971AF"/>
    <w:rsid w:val="00697A91"/>
    <w:rsid w:val="006A0B4A"/>
    <w:rsid w:val="006A144B"/>
    <w:rsid w:val="006A174E"/>
    <w:rsid w:val="006A1C8D"/>
    <w:rsid w:val="006A290B"/>
    <w:rsid w:val="006A469E"/>
    <w:rsid w:val="006A478E"/>
    <w:rsid w:val="006A4801"/>
    <w:rsid w:val="006A50FA"/>
    <w:rsid w:val="006A5DE6"/>
    <w:rsid w:val="006A5F7F"/>
    <w:rsid w:val="006A69AD"/>
    <w:rsid w:val="006A6C58"/>
    <w:rsid w:val="006A6FB2"/>
    <w:rsid w:val="006A7052"/>
    <w:rsid w:val="006B159D"/>
    <w:rsid w:val="006B21AB"/>
    <w:rsid w:val="006B22E5"/>
    <w:rsid w:val="006B2866"/>
    <w:rsid w:val="006B325D"/>
    <w:rsid w:val="006B3579"/>
    <w:rsid w:val="006B4656"/>
    <w:rsid w:val="006B4777"/>
    <w:rsid w:val="006B48BD"/>
    <w:rsid w:val="006B5211"/>
    <w:rsid w:val="006B5863"/>
    <w:rsid w:val="006B729D"/>
    <w:rsid w:val="006B7725"/>
    <w:rsid w:val="006C1458"/>
    <w:rsid w:val="006C15C6"/>
    <w:rsid w:val="006C1751"/>
    <w:rsid w:val="006C1C26"/>
    <w:rsid w:val="006C27EC"/>
    <w:rsid w:val="006C28CF"/>
    <w:rsid w:val="006C2906"/>
    <w:rsid w:val="006C2EF6"/>
    <w:rsid w:val="006C3C84"/>
    <w:rsid w:val="006C4D99"/>
    <w:rsid w:val="006C4E28"/>
    <w:rsid w:val="006C5096"/>
    <w:rsid w:val="006C5F17"/>
    <w:rsid w:val="006C6303"/>
    <w:rsid w:val="006C6B7E"/>
    <w:rsid w:val="006C6BF9"/>
    <w:rsid w:val="006C6C06"/>
    <w:rsid w:val="006C6CA3"/>
    <w:rsid w:val="006C7BA4"/>
    <w:rsid w:val="006C7EA3"/>
    <w:rsid w:val="006D1A57"/>
    <w:rsid w:val="006D1BC2"/>
    <w:rsid w:val="006D2608"/>
    <w:rsid w:val="006D2A9C"/>
    <w:rsid w:val="006D2B20"/>
    <w:rsid w:val="006D2D6C"/>
    <w:rsid w:val="006D3720"/>
    <w:rsid w:val="006D3727"/>
    <w:rsid w:val="006D3763"/>
    <w:rsid w:val="006D42F8"/>
    <w:rsid w:val="006D4A5C"/>
    <w:rsid w:val="006D53D7"/>
    <w:rsid w:val="006D5B24"/>
    <w:rsid w:val="006D6988"/>
    <w:rsid w:val="006D6A98"/>
    <w:rsid w:val="006D7398"/>
    <w:rsid w:val="006D74DB"/>
    <w:rsid w:val="006E11AC"/>
    <w:rsid w:val="006E11E0"/>
    <w:rsid w:val="006E2834"/>
    <w:rsid w:val="006E4128"/>
    <w:rsid w:val="006E4746"/>
    <w:rsid w:val="006E4A03"/>
    <w:rsid w:val="006E4B91"/>
    <w:rsid w:val="006E5637"/>
    <w:rsid w:val="006E6751"/>
    <w:rsid w:val="006E7282"/>
    <w:rsid w:val="006E7A12"/>
    <w:rsid w:val="006F0752"/>
    <w:rsid w:val="006F1525"/>
    <w:rsid w:val="006F1AFE"/>
    <w:rsid w:val="006F2861"/>
    <w:rsid w:val="006F4259"/>
    <w:rsid w:val="006F4309"/>
    <w:rsid w:val="006F4C84"/>
    <w:rsid w:val="006F5E1B"/>
    <w:rsid w:val="006F6B2B"/>
    <w:rsid w:val="006F6D5E"/>
    <w:rsid w:val="006F7123"/>
    <w:rsid w:val="006F7C03"/>
    <w:rsid w:val="00701093"/>
    <w:rsid w:val="007027D1"/>
    <w:rsid w:val="00703B0B"/>
    <w:rsid w:val="00703D19"/>
    <w:rsid w:val="00705089"/>
    <w:rsid w:val="007055C9"/>
    <w:rsid w:val="00705D44"/>
    <w:rsid w:val="007067B2"/>
    <w:rsid w:val="00706A33"/>
    <w:rsid w:val="00706CF0"/>
    <w:rsid w:val="00707D50"/>
    <w:rsid w:val="00707E96"/>
    <w:rsid w:val="007107A8"/>
    <w:rsid w:val="00710BC7"/>
    <w:rsid w:val="0071194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57A"/>
    <w:rsid w:val="00717FE8"/>
    <w:rsid w:val="00720A33"/>
    <w:rsid w:val="00721DCD"/>
    <w:rsid w:val="007227E1"/>
    <w:rsid w:val="00722A4C"/>
    <w:rsid w:val="007234B4"/>
    <w:rsid w:val="00725D07"/>
    <w:rsid w:val="00725E16"/>
    <w:rsid w:val="00727967"/>
    <w:rsid w:val="00727BED"/>
    <w:rsid w:val="00727CCF"/>
    <w:rsid w:val="007307C9"/>
    <w:rsid w:val="0073095F"/>
    <w:rsid w:val="007319C8"/>
    <w:rsid w:val="00731BF4"/>
    <w:rsid w:val="007326D7"/>
    <w:rsid w:val="007335DB"/>
    <w:rsid w:val="00733BCB"/>
    <w:rsid w:val="0073431B"/>
    <w:rsid w:val="00734688"/>
    <w:rsid w:val="00734729"/>
    <w:rsid w:val="0073530B"/>
    <w:rsid w:val="00736A98"/>
    <w:rsid w:val="00736C15"/>
    <w:rsid w:val="00736E76"/>
    <w:rsid w:val="0073706D"/>
    <w:rsid w:val="007375FD"/>
    <w:rsid w:val="00737DB4"/>
    <w:rsid w:val="007406F2"/>
    <w:rsid w:val="007409AF"/>
    <w:rsid w:val="00742C04"/>
    <w:rsid w:val="00743684"/>
    <w:rsid w:val="007452A1"/>
    <w:rsid w:val="00745BCE"/>
    <w:rsid w:val="00745D7B"/>
    <w:rsid w:val="00745F91"/>
    <w:rsid w:val="00746132"/>
    <w:rsid w:val="007469F9"/>
    <w:rsid w:val="00746E03"/>
    <w:rsid w:val="00747828"/>
    <w:rsid w:val="00750866"/>
    <w:rsid w:val="00750F18"/>
    <w:rsid w:val="007515DA"/>
    <w:rsid w:val="007534AA"/>
    <w:rsid w:val="00753C0A"/>
    <w:rsid w:val="00753E85"/>
    <w:rsid w:val="00754027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6F80"/>
    <w:rsid w:val="007579F4"/>
    <w:rsid w:val="00757A6C"/>
    <w:rsid w:val="00760D2A"/>
    <w:rsid w:val="0076100C"/>
    <w:rsid w:val="00761287"/>
    <w:rsid w:val="0076182F"/>
    <w:rsid w:val="007618B8"/>
    <w:rsid w:val="00762622"/>
    <w:rsid w:val="007631E2"/>
    <w:rsid w:val="0076365D"/>
    <w:rsid w:val="0076413B"/>
    <w:rsid w:val="00764D09"/>
    <w:rsid w:val="007652FD"/>
    <w:rsid w:val="0076645A"/>
    <w:rsid w:val="007675AF"/>
    <w:rsid w:val="00767AC1"/>
    <w:rsid w:val="00770772"/>
    <w:rsid w:val="00770DAB"/>
    <w:rsid w:val="00771538"/>
    <w:rsid w:val="00771D94"/>
    <w:rsid w:val="007720D7"/>
    <w:rsid w:val="007722BC"/>
    <w:rsid w:val="00772523"/>
    <w:rsid w:val="00772A01"/>
    <w:rsid w:val="00772F45"/>
    <w:rsid w:val="00773C65"/>
    <w:rsid w:val="00775529"/>
    <w:rsid w:val="007759BD"/>
    <w:rsid w:val="00776710"/>
    <w:rsid w:val="00776A67"/>
    <w:rsid w:val="00776DE5"/>
    <w:rsid w:val="00777134"/>
    <w:rsid w:val="00781377"/>
    <w:rsid w:val="00781FAF"/>
    <w:rsid w:val="00783810"/>
    <w:rsid w:val="00783A9F"/>
    <w:rsid w:val="00784166"/>
    <w:rsid w:val="0078476D"/>
    <w:rsid w:val="007847FB"/>
    <w:rsid w:val="00784B89"/>
    <w:rsid w:val="00784BF8"/>
    <w:rsid w:val="00784DAE"/>
    <w:rsid w:val="00784E09"/>
    <w:rsid w:val="00785339"/>
    <w:rsid w:val="00786F50"/>
    <w:rsid w:val="00787851"/>
    <w:rsid w:val="00787A25"/>
    <w:rsid w:val="00787E88"/>
    <w:rsid w:val="0079169B"/>
    <w:rsid w:val="00791DC2"/>
    <w:rsid w:val="00793784"/>
    <w:rsid w:val="00793A27"/>
    <w:rsid w:val="00793F4D"/>
    <w:rsid w:val="007941BB"/>
    <w:rsid w:val="007946DB"/>
    <w:rsid w:val="00794B8C"/>
    <w:rsid w:val="00796ED1"/>
    <w:rsid w:val="007978AC"/>
    <w:rsid w:val="00797B66"/>
    <w:rsid w:val="00797B6A"/>
    <w:rsid w:val="00797BA2"/>
    <w:rsid w:val="007A0816"/>
    <w:rsid w:val="007A1882"/>
    <w:rsid w:val="007A1CFE"/>
    <w:rsid w:val="007A2091"/>
    <w:rsid w:val="007A2838"/>
    <w:rsid w:val="007A299E"/>
    <w:rsid w:val="007A2D7A"/>
    <w:rsid w:val="007A33EE"/>
    <w:rsid w:val="007A3B09"/>
    <w:rsid w:val="007A5A5D"/>
    <w:rsid w:val="007A67CB"/>
    <w:rsid w:val="007A6A82"/>
    <w:rsid w:val="007A73EE"/>
    <w:rsid w:val="007A7E1A"/>
    <w:rsid w:val="007B0888"/>
    <w:rsid w:val="007B0B93"/>
    <w:rsid w:val="007B0DD9"/>
    <w:rsid w:val="007B0E60"/>
    <w:rsid w:val="007B3427"/>
    <w:rsid w:val="007B41C4"/>
    <w:rsid w:val="007B5A1B"/>
    <w:rsid w:val="007B5C2E"/>
    <w:rsid w:val="007B7DBE"/>
    <w:rsid w:val="007B7EED"/>
    <w:rsid w:val="007C0AE4"/>
    <w:rsid w:val="007C1EE8"/>
    <w:rsid w:val="007C2107"/>
    <w:rsid w:val="007C2827"/>
    <w:rsid w:val="007C2B1C"/>
    <w:rsid w:val="007C37A1"/>
    <w:rsid w:val="007C43BE"/>
    <w:rsid w:val="007C49FF"/>
    <w:rsid w:val="007C5F96"/>
    <w:rsid w:val="007C601C"/>
    <w:rsid w:val="007C650B"/>
    <w:rsid w:val="007C7AE8"/>
    <w:rsid w:val="007D0106"/>
    <w:rsid w:val="007D033B"/>
    <w:rsid w:val="007D0956"/>
    <w:rsid w:val="007D2BA5"/>
    <w:rsid w:val="007D39CD"/>
    <w:rsid w:val="007D410B"/>
    <w:rsid w:val="007D48C4"/>
    <w:rsid w:val="007D4C9D"/>
    <w:rsid w:val="007D4EE7"/>
    <w:rsid w:val="007D5AB1"/>
    <w:rsid w:val="007D6AA1"/>
    <w:rsid w:val="007D78E3"/>
    <w:rsid w:val="007E01F2"/>
    <w:rsid w:val="007E0203"/>
    <w:rsid w:val="007E056C"/>
    <w:rsid w:val="007E0761"/>
    <w:rsid w:val="007E081D"/>
    <w:rsid w:val="007E1AB8"/>
    <w:rsid w:val="007E26A8"/>
    <w:rsid w:val="007E293C"/>
    <w:rsid w:val="007E36EB"/>
    <w:rsid w:val="007E380A"/>
    <w:rsid w:val="007E5CC1"/>
    <w:rsid w:val="007E7DDD"/>
    <w:rsid w:val="007F182C"/>
    <w:rsid w:val="007F2376"/>
    <w:rsid w:val="007F2783"/>
    <w:rsid w:val="007F33E9"/>
    <w:rsid w:val="007F388B"/>
    <w:rsid w:val="007F4571"/>
    <w:rsid w:val="007F4D55"/>
    <w:rsid w:val="007F589D"/>
    <w:rsid w:val="007F5FD8"/>
    <w:rsid w:val="007F61AF"/>
    <w:rsid w:val="007F775F"/>
    <w:rsid w:val="007F7F34"/>
    <w:rsid w:val="0080031F"/>
    <w:rsid w:val="00801411"/>
    <w:rsid w:val="00801C17"/>
    <w:rsid w:val="00801DB8"/>
    <w:rsid w:val="0080291E"/>
    <w:rsid w:val="00802B7F"/>
    <w:rsid w:val="00804F0B"/>
    <w:rsid w:val="00805844"/>
    <w:rsid w:val="00805AF2"/>
    <w:rsid w:val="00805F78"/>
    <w:rsid w:val="00806B4B"/>
    <w:rsid w:val="00810837"/>
    <w:rsid w:val="00810CC6"/>
    <w:rsid w:val="00810CDD"/>
    <w:rsid w:val="00811332"/>
    <w:rsid w:val="0081184B"/>
    <w:rsid w:val="00811943"/>
    <w:rsid w:val="00811DF5"/>
    <w:rsid w:val="00812862"/>
    <w:rsid w:val="00812E0B"/>
    <w:rsid w:val="00813346"/>
    <w:rsid w:val="00813F13"/>
    <w:rsid w:val="00814063"/>
    <w:rsid w:val="00814309"/>
    <w:rsid w:val="00815A2F"/>
    <w:rsid w:val="00815E6D"/>
    <w:rsid w:val="00817A6A"/>
    <w:rsid w:val="0082070B"/>
    <w:rsid w:val="0082084A"/>
    <w:rsid w:val="0082159B"/>
    <w:rsid w:val="00822F67"/>
    <w:rsid w:val="008239BC"/>
    <w:rsid w:val="008251C2"/>
    <w:rsid w:val="0082570B"/>
    <w:rsid w:val="008269CE"/>
    <w:rsid w:val="0082721B"/>
    <w:rsid w:val="0083011C"/>
    <w:rsid w:val="008312F3"/>
    <w:rsid w:val="008343BA"/>
    <w:rsid w:val="00834A2C"/>
    <w:rsid w:val="0083553F"/>
    <w:rsid w:val="008355A8"/>
    <w:rsid w:val="00835BC9"/>
    <w:rsid w:val="00836A00"/>
    <w:rsid w:val="00840621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680E"/>
    <w:rsid w:val="00846DA4"/>
    <w:rsid w:val="00847B5B"/>
    <w:rsid w:val="00847C9F"/>
    <w:rsid w:val="00847EBF"/>
    <w:rsid w:val="0085098F"/>
    <w:rsid w:val="0085138D"/>
    <w:rsid w:val="00854098"/>
    <w:rsid w:val="00855ED0"/>
    <w:rsid w:val="00856102"/>
    <w:rsid w:val="0085673A"/>
    <w:rsid w:val="00856B6A"/>
    <w:rsid w:val="00856DE2"/>
    <w:rsid w:val="008573C7"/>
    <w:rsid w:val="00857B59"/>
    <w:rsid w:val="00860BDB"/>
    <w:rsid w:val="00861096"/>
    <w:rsid w:val="008617B7"/>
    <w:rsid w:val="00861D85"/>
    <w:rsid w:val="00861F52"/>
    <w:rsid w:val="00862A4F"/>
    <w:rsid w:val="00863019"/>
    <w:rsid w:val="008632BF"/>
    <w:rsid w:val="00864891"/>
    <w:rsid w:val="00864D7E"/>
    <w:rsid w:val="008654E2"/>
    <w:rsid w:val="008656F4"/>
    <w:rsid w:val="00865ABB"/>
    <w:rsid w:val="00866008"/>
    <w:rsid w:val="00870795"/>
    <w:rsid w:val="00871ED5"/>
    <w:rsid w:val="008722E4"/>
    <w:rsid w:val="00873808"/>
    <w:rsid w:val="00873FD5"/>
    <w:rsid w:val="00874F31"/>
    <w:rsid w:val="0087527E"/>
    <w:rsid w:val="00875C4F"/>
    <w:rsid w:val="00876420"/>
    <w:rsid w:val="008770B1"/>
    <w:rsid w:val="00877642"/>
    <w:rsid w:val="00877FE9"/>
    <w:rsid w:val="00880646"/>
    <w:rsid w:val="00881C0B"/>
    <w:rsid w:val="00881E8E"/>
    <w:rsid w:val="00882650"/>
    <w:rsid w:val="00882703"/>
    <w:rsid w:val="00882CDA"/>
    <w:rsid w:val="00883754"/>
    <w:rsid w:val="008842AB"/>
    <w:rsid w:val="008844C7"/>
    <w:rsid w:val="008855BC"/>
    <w:rsid w:val="00886294"/>
    <w:rsid w:val="00886302"/>
    <w:rsid w:val="00886930"/>
    <w:rsid w:val="00886A95"/>
    <w:rsid w:val="00886F12"/>
    <w:rsid w:val="008902D3"/>
    <w:rsid w:val="00890605"/>
    <w:rsid w:val="00890A93"/>
    <w:rsid w:val="0089194A"/>
    <w:rsid w:val="0089243B"/>
    <w:rsid w:val="00892AFB"/>
    <w:rsid w:val="0089368B"/>
    <w:rsid w:val="00893A0A"/>
    <w:rsid w:val="0089561D"/>
    <w:rsid w:val="0089702D"/>
    <w:rsid w:val="00897403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68EC"/>
    <w:rsid w:val="008A73B0"/>
    <w:rsid w:val="008B24DD"/>
    <w:rsid w:val="008B285E"/>
    <w:rsid w:val="008B2B3C"/>
    <w:rsid w:val="008B4A2E"/>
    <w:rsid w:val="008B58DE"/>
    <w:rsid w:val="008B599F"/>
    <w:rsid w:val="008B6202"/>
    <w:rsid w:val="008B665D"/>
    <w:rsid w:val="008B6D0D"/>
    <w:rsid w:val="008B6F16"/>
    <w:rsid w:val="008C01EB"/>
    <w:rsid w:val="008C15C8"/>
    <w:rsid w:val="008C215C"/>
    <w:rsid w:val="008C2299"/>
    <w:rsid w:val="008C2443"/>
    <w:rsid w:val="008C2CD3"/>
    <w:rsid w:val="008C34B7"/>
    <w:rsid w:val="008C3941"/>
    <w:rsid w:val="008C4151"/>
    <w:rsid w:val="008C5163"/>
    <w:rsid w:val="008C5984"/>
    <w:rsid w:val="008C5E67"/>
    <w:rsid w:val="008C7C7F"/>
    <w:rsid w:val="008D0308"/>
    <w:rsid w:val="008D0998"/>
    <w:rsid w:val="008D1539"/>
    <w:rsid w:val="008D20A3"/>
    <w:rsid w:val="008D27EB"/>
    <w:rsid w:val="008D2C8B"/>
    <w:rsid w:val="008D30AF"/>
    <w:rsid w:val="008D3CDF"/>
    <w:rsid w:val="008D4618"/>
    <w:rsid w:val="008D47EA"/>
    <w:rsid w:val="008D5823"/>
    <w:rsid w:val="008D644F"/>
    <w:rsid w:val="008D6A5D"/>
    <w:rsid w:val="008D6E5C"/>
    <w:rsid w:val="008D6E96"/>
    <w:rsid w:val="008D6F6A"/>
    <w:rsid w:val="008D6F78"/>
    <w:rsid w:val="008D76BE"/>
    <w:rsid w:val="008E0886"/>
    <w:rsid w:val="008E0E90"/>
    <w:rsid w:val="008E10D6"/>
    <w:rsid w:val="008E27E6"/>
    <w:rsid w:val="008E2B58"/>
    <w:rsid w:val="008E33EA"/>
    <w:rsid w:val="008E3805"/>
    <w:rsid w:val="008E3D20"/>
    <w:rsid w:val="008E4582"/>
    <w:rsid w:val="008E462B"/>
    <w:rsid w:val="008E5901"/>
    <w:rsid w:val="008E5EDA"/>
    <w:rsid w:val="008E636B"/>
    <w:rsid w:val="008E6D00"/>
    <w:rsid w:val="008E6EC2"/>
    <w:rsid w:val="008E6F6E"/>
    <w:rsid w:val="008E7183"/>
    <w:rsid w:val="008E77D5"/>
    <w:rsid w:val="008F0415"/>
    <w:rsid w:val="008F0BE5"/>
    <w:rsid w:val="008F195C"/>
    <w:rsid w:val="008F34CB"/>
    <w:rsid w:val="008F3986"/>
    <w:rsid w:val="008F4F59"/>
    <w:rsid w:val="008F56AC"/>
    <w:rsid w:val="008F6653"/>
    <w:rsid w:val="008F6C10"/>
    <w:rsid w:val="008F71E6"/>
    <w:rsid w:val="008F7755"/>
    <w:rsid w:val="00900139"/>
    <w:rsid w:val="009008A2"/>
    <w:rsid w:val="00900B2B"/>
    <w:rsid w:val="00900F62"/>
    <w:rsid w:val="009019D1"/>
    <w:rsid w:val="0090210D"/>
    <w:rsid w:val="0090227C"/>
    <w:rsid w:val="00902289"/>
    <w:rsid w:val="009022BB"/>
    <w:rsid w:val="00902FD4"/>
    <w:rsid w:val="009045B3"/>
    <w:rsid w:val="0090493D"/>
    <w:rsid w:val="00904C72"/>
    <w:rsid w:val="00904D4B"/>
    <w:rsid w:val="00904F52"/>
    <w:rsid w:val="009050F4"/>
    <w:rsid w:val="00905430"/>
    <w:rsid w:val="00905BF5"/>
    <w:rsid w:val="00905F6A"/>
    <w:rsid w:val="00907FE0"/>
    <w:rsid w:val="00910CBD"/>
    <w:rsid w:val="0091144B"/>
    <w:rsid w:val="00912260"/>
    <w:rsid w:val="009126D6"/>
    <w:rsid w:val="0091298D"/>
    <w:rsid w:val="00912ADF"/>
    <w:rsid w:val="00912CF8"/>
    <w:rsid w:val="00914124"/>
    <w:rsid w:val="00915488"/>
    <w:rsid w:val="00915576"/>
    <w:rsid w:val="00915B6A"/>
    <w:rsid w:val="0091631F"/>
    <w:rsid w:val="00916A0F"/>
    <w:rsid w:val="00917A7F"/>
    <w:rsid w:val="00920528"/>
    <w:rsid w:val="00922BF8"/>
    <w:rsid w:val="0092368D"/>
    <w:rsid w:val="0092378E"/>
    <w:rsid w:val="0092403C"/>
    <w:rsid w:val="009241C9"/>
    <w:rsid w:val="00924234"/>
    <w:rsid w:val="0092474C"/>
    <w:rsid w:val="00925116"/>
    <w:rsid w:val="00925448"/>
    <w:rsid w:val="00925536"/>
    <w:rsid w:val="00925FF2"/>
    <w:rsid w:val="009271A2"/>
    <w:rsid w:val="009309A2"/>
    <w:rsid w:val="00930CF7"/>
    <w:rsid w:val="009329C9"/>
    <w:rsid w:val="00933305"/>
    <w:rsid w:val="0093378D"/>
    <w:rsid w:val="0093484E"/>
    <w:rsid w:val="00935A48"/>
    <w:rsid w:val="00937C0F"/>
    <w:rsid w:val="00940467"/>
    <w:rsid w:val="009404CE"/>
    <w:rsid w:val="00940D56"/>
    <w:rsid w:val="00941319"/>
    <w:rsid w:val="00941C71"/>
    <w:rsid w:val="00941E99"/>
    <w:rsid w:val="0094299F"/>
    <w:rsid w:val="00942C49"/>
    <w:rsid w:val="00944E9D"/>
    <w:rsid w:val="009472A1"/>
    <w:rsid w:val="00947A04"/>
    <w:rsid w:val="00947B02"/>
    <w:rsid w:val="00947E4E"/>
    <w:rsid w:val="009508FA"/>
    <w:rsid w:val="009519B0"/>
    <w:rsid w:val="00951A56"/>
    <w:rsid w:val="009543FD"/>
    <w:rsid w:val="009545F5"/>
    <w:rsid w:val="00954BAD"/>
    <w:rsid w:val="009553DE"/>
    <w:rsid w:val="00955421"/>
    <w:rsid w:val="0095549B"/>
    <w:rsid w:val="00956F1D"/>
    <w:rsid w:val="0095708D"/>
    <w:rsid w:val="009570EC"/>
    <w:rsid w:val="009571D8"/>
    <w:rsid w:val="00957325"/>
    <w:rsid w:val="00960DB5"/>
    <w:rsid w:val="009611F6"/>
    <w:rsid w:val="00961D65"/>
    <w:rsid w:val="00961F4C"/>
    <w:rsid w:val="00962311"/>
    <w:rsid w:val="00962341"/>
    <w:rsid w:val="00962426"/>
    <w:rsid w:val="009636C3"/>
    <w:rsid w:val="00963732"/>
    <w:rsid w:val="009637F1"/>
    <w:rsid w:val="009647DB"/>
    <w:rsid w:val="00965B35"/>
    <w:rsid w:val="00965C70"/>
    <w:rsid w:val="00965E55"/>
    <w:rsid w:val="00965FCD"/>
    <w:rsid w:val="009667E4"/>
    <w:rsid w:val="00966C86"/>
    <w:rsid w:val="00966CC3"/>
    <w:rsid w:val="009674E4"/>
    <w:rsid w:val="00967750"/>
    <w:rsid w:val="00967D5B"/>
    <w:rsid w:val="009707F3"/>
    <w:rsid w:val="00970817"/>
    <w:rsid w:val="009729C4"/>
    <w:rsid w:val="00972CD2"/>
    <w:rsid w:val="00972F5D"/>
    <w:rsid w:val="00973022"/>
    <w:rsid w:val="0097377E"/>
    <w:rsid w:val="0097384A"/>
    <w:rsid w:val="00974320"/>
    <w:rsid w:val="00974AD2"/>
    <w:rsid w:val="00974F42"/>
    <w:rsid w:val="00975511"/>
    <w:rsid w:val="00976263"/>
    <w:rsid w:val="00980D4F"/>
    <w:rsid w:val="0098296F"/>
    <w:rsid w:val="00982E62"/>
    <w:rsid w:val="009836D7"/>
    <w:rsid w:val="0098375C"/>
    <w:rsid w:val="00983E2A"/>
    <w:rsid w:val="009842D5"/>
    <w:rsid w:val="00984FFD"/>
    <w:rsid w:val="009851E4"/>
    <w:rsid w:val="0098562F"/>
    <w:rsid w:val="00985BF6"/>
    <w:rsid w:val="00985C9B"/>
    <w:rsid w:val="009860B5"/>
    <w:rsid w:val="009869DC"/>
    <w:rsid w:val="009869F0"/>
    <w:rsid w:val="00991300"/>
    <w:rsid w:val="00991897"/>
    <w:rsid w:val="00992420"/>
    <w:rsid w:val="00992B90"/>
    <w:rsid w:val="00993C8B"/>
    <w:rsid w:val="00993E5A"/>
    <w:rsid w:val="00994161"/>
    <w:rsid w:val="0099417D"/>
    <w:rsid w:val="00994D96"/>
    <w:rsid w:val="009960CD"/>
    <w:rsid w:val="00997454"/>
    <w:rsid w:val="009A0736"/>
    <w:rsid w:val="009A1376"/>
    <w:rsid w:val="009A19E2"/>
    <w:rsid w:val="009A24E1"/>
    <w:rsid w:val="009A2EA5"/>
    <w:rsid w:val="009A4C61"/>
    <w:rsid w:val="009A4CA6"/>
    <w:rsid w:val="009A5015"/>
    <w:rsid w:val="009A5640"/>
    <w:rsid w:val="009A63D0"/>
    <w:rsid w:val="009A66BD"/>
    <w:rsid w:val="009A6AC7"/>
    <w:rsid w:val="009A6D2F"/>
    <w:rsid w:val="009A74A7"/>
    <w:rsid w:val="009A792A"/>
    <w:rsid w:val="009A7E4A"/>
    <w:rsid w:val="009B07AA"/>
    <w:rsid w:val="009B1049"/>
    <w:rsid w:val="009B159E"/>
    <w:rsid w:val="009B1B81"/>
    <w:rsid w:val="009B1C0A"/>
    <w:rsid w:val="009B320B"/>
    <w:rsid w:val="009B37AE"/>
    <w:rsid w:val="009B43DB"/>
    <w:rsid w:val="009B5779"/>
    <w:rsid w:val="009B65AF"/>
    <w:rsid w:val="009B6603"/>
    <w:rsid w:val="009B6985"/>
    <w:rsid w:val="009C0493"/>
    <w:rsid w:val="009C162D"/>
    <w:rsid w:val="009C1D43"/>
    <w:rsid w:val="009C406B"/>
    <w:rsid w:val="009C41DE"/>
    <w:rsid w:val="009C42D7"/>
    <w:rsid w:val="009C4D32"/>
    <w:rsid w:val="009C4EAF"/>
    <w:rsid w:val="009C5011"/>
    <w:rsid w:val="009C5462"/>
    <w:rsid w:val="009C5A68"/>
    <w:rsid w:val="009C62C0"/>
    <w:rsid w:val="009C6D28"/>
    <w:rsid w:val="009C6DF3"/>
    <w:rsid w:val="009C7459"/>
    <w:rsid w:val="009C756D"/>
    <w:rsid w:val="009D04AF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36CD"/>
    <w:rsid w:val="009E3E79"/>
    <w:rsid w:val="009E510B"/>
    <w:rsid w:val="009E51BC"/>
    <w:rsid w:val="009E58AC"/>
    <w:rsid w:val="009E5D48"/>
    <w:rsid w:val="009E6747"/>
    <w:rsid w:val="009E70C1"/>
    <w:rsid w:val="009E7177"/>
    <w:rsid w:val="009F0EB0"/>
    <w:rsid w:val="009F1090"/>
    <w:rsid w:val="009F150B"/>
    <w:rsid w:val="009F17D9"/>
    <w:rsid w:val="009F18E0"/>
    <w:rsid w:val="009F216B"/>
    <w:rsid w:val="009F2C2B"/>
    <w:rsid w:val="009F3035"/>
    <w:rsid w:val="009F3089"/>
    <w:rsid w:val="009F327D"/>
    <w:rsid w:val="009F35DF"/>
    <w:rsid w:val="009F3C6F"/>
    <w:rsid w:val="009F3CF9"/>
    <w:rsid w:val="009F3DA9"/>
    <w:rsid w:val="009F4195"/>
    <w:rsid w:val="009F4E29"/>
    <w:rsid w:val="009F74C6"/>
    <w:rsid w:val="00A00218"/>
    <w:rsid w:val="00A0022E"/>
    <w:rsid w:val="00A0035B"/>
    <w:rsid w:val="00A01261"/>
    <w:rsid w:val="00A0131C"/>
    <w:rsid w:val="00A0226B"/>
    <w:rsid w:val="00A040F6"/>
    <w:rsid w:val="00A04FBF"/>
    <w:rsid w:val="00A060B3"/>
    <w:rsid w:val="00A06C70"/>
    <w:rsid w:val="00A06E10"/>
    <w:rsid w:val="00A07539"/>
    <w:rsid w:val="00A105A7"/>
    <w:rsid w:val="00A10CF5"/>
    <w:rsid w:val="00A119B4"/>
    <w:rsid w:val="00A119F1"/>
    <w:rsid w:val="00A11CDE"/>
    <w:rsid w:val="00A11E17"/>
    <w:rsid w:val="00A145D0"/>
    <w:rsid w:val="00A14996"/>
    <w:rsid w:val="00A16685"/>
    <w:rsid w:val="00A16C9B"/>
    <w:rsid w:val="00A17447"/>
    <w:rsid w:val="00A178C8"/>
    <w:rsid w:val="00A20571"/>
    <w:rsid w:val="00A2097F"/>
    <w:rsid w:val="00A209F6"/>
    <w:rsid w:val="00A20D1B"/>
    <w:rsid w:val="00A223E6"/>
    <w:rsid w:val="00A22776"/>
    <w:rsid w:val="00A22911"/>
    <w:rsid w:val="00A22FCE"/>
    <w:rsid w:val="00A233F2"/>
    <w:rsid w:val="00A23A9A"/>
    <w:rsid w:val="00A23C7E"/>
    <w:rsid w:val="00A2480A"/>
    <w:rsid w:val="00A24849"/>
    <w:rsid w:val="00A2559B"/>
    <w:rsid w:val="00A25D5F"/>
    <w:rsid w:val="00A3033D"/>
    <w:rsid w:val="00A30660"/>
    <w:rsid w:val="00A30E95"/>
    <w:rsid w:val="00A3121D"/>
    <w:rsid w:val="00A319E4"/>
    <w:rsid w:val="00A324F2"/>
    <w:rsid w:val="00A32588"/>
    <w:rsid w:val="00A33860"/>
    <w:rsid w:val="00A34BB6"/>
    <w:rsid w:val="00A34E49"/>
    <w:rsid w:val="00A34E8F"/>
    <w:rsid w:val="00A34E9D"/>
    <w:rsid w:val="00A35125"/>
    <w:rsid w:val="00A3560C"/>
    <w:rsid w:val="00A35630"/>
    <w:rsid w:val="00A358F6"/>
    <w:rsid w:val="00A35C10"/>
    <w:rsid w:val="00A360C2"/>
    <w:rsid w:val="00A36406"/>
    <w:rsid w:val="00A36F39"/>
    <w:rsid w:val="00A37526"/>
    <w:rsid w:val="00A3777A"/>
    <w:rsid w:val="00A40D24"/>
    <w:rsid w:val="00A4133A"/>
    <w:rsid w:val="00A419CE"/>
    <w:rsid w:val="00A423C3"/>
    <w:rsid w:val="00A429F2"/>
    <w:rsid w:val="00A4482B"/>
    <w:rsid w:val="00A44C41"/>
    <w:rsid w:val="00A44F75"/>
    <w:rsid w:val="00A451B1"/>
    <w:rsid w:val="00A451E5"/>
    <w:rsid w:val="00A45934"/>
    <w:rsid w:val="00A459FF"/>
    <w:rsid w:val="00A45F99"/>
    <w:rsid w:val="00A468B1"/>
    <w:rsid w:val="00A4692E"/>
    <w:rsid w:val="00A4692F"/>
    <w:rsid w:val="00A46C9C"/>
    <w:rsid w:val="00A46DEF"/>
    <w:rsid w:val="00A46E75"/>
    <w:rsid w:val="00A478AD"/>
    <w:rsid w:val="00A524E5"/>
    <w:rsid w:val="00A52BC0"/>
    <w:rsid w:val="00A52EA8"/>
    <w:rsid w:val="00A5443B"/>
    <w:rsid w:val="00A55077"/>
    <w:rsid w:val="00A55764"/>
    <w:rsid w:val="00A55823"/>
    <w:rsid w:val="00A559ED"/>
    <w:rsid w:val="00A55A6E"/>
    <w:rsid w:val="00A55AB0"/>
    <w:rsid w:val="00A5642C"/>
    <w:rsid w:val="00A56F16"/>
    <w:rsid w:val="00A57868"/>
    <w:rsid w:val="00A57AE3"/>
    <w:rsid w:val="00A57CDB"/>
    <w:rsid w:val="00A6119A"/>
    <w:rsid w:val="00A6220E"/>
    <w:rsid w:val="00A62711"/>
    <w:rsid w:val="00A63167"/>
    <w:rsid w:val="00A63DB2"/>
    <w:rsid w:val="00A664C8"/>
    <w:rsid w:val="00A66869"/>
    <w:rsid w:val="00A66994"/>
    <w:rsid w:val="00A66BEC"/>
    <w:rsid w:val="00A67103"/>
    <w:rsid w:val="00A67F78"/>
    <w:rsid w:val="00A719D1"/>
    <w:rsid w:val="00A71AEE"/>
    <w:rsid w:val="00A72B22"/>
    <w:rsid w:val="00A73828"/>
    <w:rsid w:val="00A738C7"/>
    <w:rsid w:val="00A73F8B"/>
    <w:rsid w:val="00A74590"/>
    <w:rsid w:val="00A75004"/>
    <w:rsid w:val="00A76BD3"/>
    <w:rsid w:val="00A80523"/>
    <w:rsid w:val="00A8105B"/>
    <w:rsid w:val="00A8196A"/>
    <w:rsid w:val="00A81A72"/>
    <w:rsid w:val="00A81DD8"/>
    <w:rsid w:val="00A82E03"/>
    <w:rsid w:val="00A84EF6"/>
    <w:rsid w:val="00A85320"/>
    <w:rsid w:val="00A85322"/>
    <w:rsid w:val="00A862EE"/>
    <w:rsid w:val="00A86AE2"/>
    <w:rsid w:val="00A87A73"/>
    <w:rsid w:val="00A90070"/>
    <w:rsid w:val="00A90134"/>
    <w:rsid w:val="00A919D2"/>
    <w:rsid w:val="00A91C99"/>
    <w:rsid w:val="00A92A57"/>
    <w:rsid w:val="00A92C88"/>
    <w:rsid w:val="00A93193"/>
    <w:rsid w:val="00A94105"/>
    <w:rsid w:val="00A9414F"/>
    <w:rsid w:val="00A94444"/>
    <w:rsid w:val="00A944B7"/>
    <w:rsid w:val="00A95390"/>
    <w:rsid w:val="00A95F41"/>
    <w:rsid w:val="00A96249"/>
    <w:rsid w:val="00A965E6"/>
    <w:rsid w:val="00A96B95"/>
    <w:rsid w:val="00A975A4"/>
    <w:rsid w:val="00AA1568"/>
    <w:rsid w:val="00AA15ED"/>
    <w:rsid w:val="00AA4229"/>
    <w:rsid w:val="00AA4C9B"/>
    <w:rsid w:val="00AA53FC"/>
    <w:rsid w:val="00AA57C2"/>
    <w:rsid w:val="00AA6286"/>
    <w:rsid w:val="00AA6372"/>
    <w:rsid w:val="00AA728A"/>
    <w:rsid w:val="00AB08DE"/>
    <w:rsid w:val="00AB1AAD"/>
    <w:rsid w:val="00AB356D"/>
    <w:rsid w:val="00AB3700"/>
    <w:rsid w:val="00AB47EB"/>
    <w:rsid w:val="00AB4C24"/>
    <w:rsid w:val="00AB4C79"/>
    <w:rsid w:val="00AB517A"/>
    <w:rsid w:val="00AB7198"/>
    <w:rsid w:val="00AC28E1"/>
    <w:rsid w:val="00AC2EF2"/>
    <w:rsid w:val="00AC32CE"/>
    <w:rsid w:val="00AC33D0"/>
    <w:rsid w:val="00AC41A8"/>
    <w:rsid w:val="00AC4D78"/>
    <w:rsid w:val="00AC4E44"/>
    <w:rsid w:val="00AC5FC3"/>
    <w:rsid w:val="00AC7151"/>
    <w:rsid w:val="00AC717C"/>
    <w:rsid w:val="00AC7CE7"/>
    <w:rsid w:val="00AD02E0"/>
    <w:rsid w:val="00AD0474"/>
    <w:rsid w:val="00AD0892"/>
    <w:rsid w:val="00AD0FC1"/>
    <w:rsid w:val="00AD1B16"/>
    <w:rsid w:val="00AD1CF2"/>
    <w:rsid w:val="00AD2C28"/>
    <w:rsid w:val="00AD308A"/>
    <w:rsid w:val="00AD314C"/>
    <w:rsid w:val="00AD4978"/>
    <w:rsid w:val="00AD5FD2"/>
    <w:rsid w:val="00AD677F"/>
    <w:rsid w:val="00AD69AC"/>
    <w:rsid w:val="00AD6C85"/>
    <w:rsid w:val="00AD6E0C"/>
    <w:rsid w:val="00AD71D3"/>
    <w:rsid w:val="00AD725A"/>
    <w:rsid w:val="00AD7672"/>
    <w:rsid w:val="00AE1A52"/>
    <w:rsid w:val="00AE2ACA"/>
    <w:rsid w:val="00AE2C4C"/>
    <w:rsid w:val="00AE2FC9"/>
    <w:rsid w:val="00AE3B29"/>
    <w:rsid w:val="00AE3EC8"/>
    <w:rsid w:val="00AE46D2"/>
    <w:rsid w:val="00AE745C"/>
    <w:rsid w:val="00AF16EF"/>
    <w:rsid w:val="00AF2879"/>
    <w:rsid w:val="00AF29C0"/>
    <w:rsid w:val="00AF2A35"/>
    <w:rsid w:val="00AF39C0"/>
    <w:rsid w:val="00AF3F13"/>
    <w:rsid w:val="00AF62DF"/>
    <w:rsid w:val="00AF6471"/>
    <w:rsid w:val="00AF71DC"/>
    <w:rsid w:val="00AF7CF3"/>
    <w:rsid w:val="00AF7E83"/>
    <w:rsid w:val="00B012FF"/>
    <w:rsid w:val="00B022B2"/>
    <w:rsid w:val="00B02D66"/>
    <w:rsid w:val="00B03435"/>
    <w:rsid w:val="00B039A4"/>
    <w:rsid w:val="00B0449D"/>
    <w:rsid w:val="00B063C0"/>
    <w:rsid w:val="00B06824"/>
    <w:rsid w:val="00B10371"/>
    <w:rsid w:val="00B12463"/>
    <w:rsid w:val="00B12E31"/>
    <w:rsid w:val="00B12FFF"/>
    <w:rsid w:val="00B13932"/>
    <w:rsid w:val="00B1410C"/>
    <w:rsid w:val="00B144B8"/>
    <w:rsid w:val="00B14CA8"/>
    <w:rsid w:val="00B15B7B"/>
    <w:rsid w:val="00B16A6B"/>
    <w:rsid w:val="00B1724F"/>
    <w:rsid w:val="00B17E2D"/>
    <w:rsid w:val="00B20DEE"/>
    <w:rsid w:val="00B215A7"/>
    <w:rsid w:val="00B21B23"/>
    <w:rsid w:val="00B22227"/>
    <w:rsid w:val="00B2229B"/>
    <w:rsid w:val="00B2262C"/>
    <w:rsid w:val="00B2447D"/>
    <w:rsid w:val="00B2654F"/>
    <w:rsid w:val="00B271CF"/>
    <w:rsid w:val="00B27D61"/>
    <w:rsid w:val="00B30BC0"/>
    <w:rsid w:val="00B3132A"/>
    <w:rsid w:val="00B31F68"/>
    <w:rsid w:val="00B336D1"/>
    <w:rsid w:val="00B351C1"/>
    <w:rsid w:val="00B355D6"/>
    <w:rsid w:val="00B36D48"/>
    <w:rsid w:val="00B40133"/>
    <w:rsid w:val="00B41E7A"/>
    <w:rsid w:val="00B42AAB"/>
    <w:rsid w:val="00B4327B"/>
    <w:rsid w:val="00B434CF"/>
    <w:rsid w:val="00B43B1F"/>
    <w:rsid w:val="00B44688"/>
    <w:rsid w:val="00B45BDC"/>
    <w:rsid w:val="00B46ABF"/>
    <w:rsid w:val="00B47CAB"/>
    <w:rsid w:val="00B50021"/>
    <w:rsid w:val="00B507D3"/>
    <w:rsid w:val="00B50CF4"/>
    <w:rsid w:val="00B5154B"/>
    <w:rsid w:val="00B51806"/>
    <w:rsid w:val="00B52271"/>
    <w:rsid w:val="00B5329A"/>
    <w:rsid w:val="00B53433"/>
    <w:rsid w:val="00B554D3"/>
    <w:rsid w:val="00B5629A"/>
    <w:rsid w:val="00B57358"/>
    <w:rsid w:val="00B57E89"/>
    <w:rsid w:val="00B600D9"/>
    <w:rsid w:val="00B603E6"/>
    <w:rsid w:val="00B62D9E"/>
    <w:rsid w:val="00B6394D"/>
    <w:rsid w:val="00B63FBA"/>
    <w:rsid w:val="00B6519A"/>
    <w:rsid w:val="00B663B8"/>
    <w:rsid w:val="00B669C4"/>
    <w:rsid w:val="00B66E0F"/>
    <w:rsid w:val="00B67014"/>
    <w:rsid w:val="00B71665"/>
    <w:rsid w:val="00B71C0B"/>
    <w:rsid w:val="00B72332"/>
    <w:rsid w:val="00B72446"/>
    <w:rsid w:val="00B73FD4"/>
    <w:rsid w:val="00B74693"/>
    <w:rsid w:val="00B74947"/>
    <w:rsid w:val="00B7591E"/>
    <w:rsid w:val="00B75991"/>
    <w:rsid w:val="00B760A2"/>
    <w:rsid w:val="00B76838"/>
    <w:rsid w:val="00B77D13"/>
    <w:rsid w:val="00B801BF"/>
    <w:rsid w:val="00B810E2"/>
    <w:rsid w:val="00B81BD0"/>
    <w:rsid w:val="00B820AC"/>
    <w:rsid w:val="00B82794"/>
    <w:rsid w:val="00B82B9C"/>
    <w:rsid w:val="00B82F96"/>
    <w:rsid w:val="00B84CCB"/>
    <w:rsid w:val="00B862AF"/>
    <w:rsid w:val="00B86637"/>
    <w:rsid w:val="00B86906"/>
    <w:rsid w:val="00B86E20"/>
    <w:rsid w:val="00B87E79"/>
    <w:rsid w:val="00B90D97"/>
    <w:rsid w:val="00B91241"/>
    <w:rsid w:val="00B91D36"/>
    <w:rsid w:val="00B92746"/>
    <w:rsid w:val="00B92D47"/>
    <w:rsid w:val="00B96894"/>
    <w:rsid w:val="00B969AC"/>
    <w:rsid w:val="00B9719C"/>
    <w:rsid w:val="00BA06C1"/>
    <w:rsid w:val="00BA0B65"/>
    <w:rsid w:val="00BA1E04"/>
    <w:rsid w:val="00BA1F78"/>
    <w:rsid w:val="00BA2E14"/>
    <w:rsid w:val="00BA54D0"/>
    <w:rsid w:val="00BA6C18"/>
    <w:rsid w:val="00BA6F69"/>
    <w:rsid w:val="00BA6FEF"/>
    <w:rsid w:val="00BB058C"/>
    <w:rsid w:val="00BB24C2"/>
    <w:rsid w:val="00BB2CF5"/>
    <w:rsid w:val="00BB30FF"/>
    <w:rsid w:val="00BB360B"/>
    <w:rsid w:val="00BB40F6"/>
    <w:rsid w:val="00BB4C6C"/>
    <w:rsid w:val="00BB573E"/>
    <w:rsid w:val="00BB5FE7"/>
    <w:rsid w:val="00BB60B2"/>
    <w:rsid w:val="00BB68A6"/>
    <w:rsid w:val="00BB6C77"/>
    <w:rsid w:val="00BB7001"/>
    <w:rsid w:val="00BB785F"/>
    <w:rsid w:val="00BB7878"/>
    <w:rsid w:val="00BB7D3F"/>
    <w:rsid w:val="00BB7F73"/>
    <w:rsid w:val="00BC05DD"/>
    <w:rsid w:val="00BC1BBF"/>
    <w:rsid w:val="00BC2E39"/>
    <w:rsid w:val="00BC3FB6"/>
    <w:rsid w:val="00BC4BB9"/>
    <w:rsid w:val="00BC5779"/>
    <w:rsid w:val="00BC6076"/>
    <w:rsid w:val="00BC6DA1"/>
    <w:rsid w:val="00BC6E86"/>
    <w:rsid w:val="00BC73F7"/>
    <w:rsid w:val="00BC76FE"/>
    <w:rsid w:val="00BD0972"/>
    <w:rsid w:val="00BD0C9A"/>
    <w:rsid w:val="00BD0F4E"/>
    <w:rsid w:val="00BD18F0"/>
    <w:rsid w:val="00BD251F"/>
    <w:rsid w:val="00BD2B67"/>
    <w:rsid w:val="00BD30D2"/>
    <w:rsid w:val="00BE1624"/>
    <w:rsid w:val="00BE20AC"/>
    <w:rsid w:val="00BE2ABD"/>
    <w:rsid w:val="00BE2E1E"/>
    <w:rsid w:val="00BE3C50"/>
    <w:rsid w:val="00BE3FF4"/>
    <w:rsid w:val="00BE47BD"/>
    <w:rsid w:val="00BE5B52"/>
    <w:rsid w:val="00BE6311"/>
    <w:rsid w:val="00BE6BEE"/>
    <w:rsid w:val="00BE6E6D"/>
    <w:rsid w:val="00BF0ACC"/>
    <w:rsid w:val="00BF0C5D"/>
    <w:rsid w:val="00BF1440"/>
    <w:rsid w:val="00BF1786"/>
    <w:rsid w:val="00BF1A0B"/>
    <w:rsid w:val="00BF1CB0"/>
    <w:rsid w:val="00BF1F70"/>
    <w:rsid w:val="00BF2B93"/>
    <w:rsid w:val="00BF2D81"/>
    <w:rsid w:val="00BF2DC6"/>
    <w:rsid w:val="00BF301B"/>
    <w:rsid w:val="00BF3436"/>
    <w:rsid w:val="00BF43FA"/>
    <w:rsid w:val="00BF6AAD"/>
    <w:rsid w:val="00BF7150"/>
    <w:rsid w:val="00BF72CE"/>
    <w:rsid w:val="00C00142"/>
    <w:rsid w:val="00C00FED"/>
    <w:rsid w:val="00C0135E"/>
    <w:rsid w:val="00C01F4F"/>
    <w:rsid w:val="00C025D3"/>
    <w:rsid w:val="00C06AB7"/>
    <w:rsid w:val="00C07170"/>
    <w:rsid w:val="00C077DA"/>
    <w:rsid w:val="00C0788A"/>
    <w:rsid w:val="00C07EBB"/>
    <w:rsid w:val="00C11266"/>
    <w:rsid w:val="00C123A0"/>
    <w:rsid w:val="00C12BC9"/>
    <w:rsid w:val="00C131FA"/>
    <w:rsid w:val="00C13F58"/>
    <w:rsid w:val="00C14571"/>
    <w:rsid w:val="00C1491F"/>
    <w:rsid w:val="00C14ED8"/>
    <w:rsid w:val="00C15137"/>
    <w:rsid w:val="00C15748"/>
    <w:rsid w:val="00C157D1"/>
    <w:rsid w:val="00C15E22"/>
    <w:rsid w:val="00C15F7A"/>
    <w:rsid w:val="00C16FE2"/>
    <w:rsid w:val="00C20050"/>
    <w:rsid w:val="00C20226"/>
    <w:rsid w:val="00C20BFE"/>
    <w:rsid w:val="00C20E5A"/>
    <w:rsid w:val="00C22E55"/>
    <w:rsid w:val="00C23729"/>
    <w:rsid w:val="00C237D7"/>
    <w:rsid w:val="00C25367"/>
    <w:rsid w:val="00C2679E"/>
    <w:rsid w:val="00C26844"/>
    <w:rsid w:val="00C2734A"/>
    <w:rsid w:val="00C309B8"/>
    <w:rsid w:val="00C31ABA"/>
    <w:rsid w:val="00C31D0E"/>
    <w:rsid w:val="00C321B7"/>
    <w:rsid w:val="00C32335"/>
    <w:rsid w:val="00C32B54"/>
    <w:rsid w:val="00C32DED"/>
    <w:rsid w:val="00C34184"/>
    <w:rsid w:val="00C34787"/>
    <w:rsid w:val="00C34A4A"/>
    <w:rsid w:val="00C34AC1"/>
    <w:rsid w:val="00C35CAA"/>
    <w:rsid w:val="00C36610"/>
    <w:rsid w:val="00C37756"/>
    <w:rsid w:val="00C37AF3"/>
    <w:rsid w:val="00C37B69"/>
    <w:rsid w:val="00C40651"/>
    <w:rsid w:val="00C40CFD"/>
    <w:rsid w:val="00C411FB"/>
    <w:rsid w:val="00C41B46"/>
    <w:rsid w:val="00C41BAB"/>
    <w:rsid w:val="00C41D78"/>
    <w:rsid w:val="00C41E2D"/>
    <w:rsid w:val="00C41E50"/>
    <w:rsid w:val="00C42122"/>
    <w:rsid w:val="00C427B1"/>
    <w:rsid w:val="00C42838"/>
    <w:rsid w:val="00C43371"/>
    <w:rsid w:val="00C44313"/>
    <w:rsid w:val="00C45B6B"/>
    <w:rsid w:val="00C45B95"/>
    <w:rsid w:val="00C4601D"/>
    <w:rsid w:val="00C46235"/>
    <w:rsid w:val="00C47275"/>
    <w:rsid w:val="00C479E2"/>
    <w:rsid w:val="00C50494"/>
    <w:rsid w:val="00C51BC7"/>
    <w:rsid w:val="00C53291"/>
    <w:rsid w:val="00C535A6"/>
    <w:rsid w:val="00C53A70"/>
    <w:rsid w:val="00C549E0"/>
    <w:rsid w:val="00C55D2F"/>
    <w:rsid w:val="00C565D2"/>
    <w:rsid w:val="00C56A3A"/>
    <w:rsid w:val="00C576EA"/>
    <w:rsid w:val="00C57CD2"/>
    <w:rsid w:val="00C603DE"/>
    <w:rsid w:val="00C6164F"/>
    <w:rsid w:val="00C62171"/>
    <w:rsid w:val="00C6348A"/>
    <w:rsid w:val="00C63916"/>
    <w:rsid w:val="00C63D3F"/>
    <w:rsid w:val="00C63FC1"/>
    <w:rsid w:val="00C6406C"/>
    <w:rsid w:val="00C64636"/>
    <w:rsid w:val="00C646AC"/>
    <w:rsid w:val="00C64C5D"/>
    <w:rsid w:val="00C652CE"/>
    <w:rsid w:val="00C6630B"/>
    <w:rsid w:val="00C663B6"/>
    <w:rsid w:val="00C672D1"/>
    <w:rsid w:val="00C701AF"/>
    <w:rsid w:val="00C7054F"/>
    <w:rsid w:val="00C70D2D"/>
    <w:rsid w:val="00C72651"/>
    <w:rsid w:val="00C72C89"/>
    <w:rsid w:val="00C73B10"/>
    <w:rsid w:val="00C74B05"/>
    <w:rsid w:val="00C75A66"/>
    <w:rsid w:val="00C75F0D"/>
    <w:rsid w:val="00C75F73"/>
    <w:rsid w:val="00C7630E"/>
    <w:rsid w:val="00C77503"/>
    <w:rsid w:val="00C80520"/>
    <w:rsid w:val="00C80EF3"/>
    <w:rsid w:val="00C81007"/>
    <w:rsid w:val="00C810AD"/>
    <w:rsid w:val="00C83BDD"/>
    <w:rsid w:val="00C83E8F"/>
    <w:rsid w:val="00C84A12"/>
    <w:rsid w:val="00C84D6D"/>
    <w:rsid w:val="00C85EA2"/>
    <w:rsid w:val="00C86D66"/>
    <w:rsid w:val="00C87E02"/>
    <w:rsid w:val="00C90367"/>
    <w:rsid w:val="00C907BB"/>
    <w:rsid w:val="00C909BF"/>
    <w:rsid w:val="00C9152B"/>
    <w:rsid w:val="00C91FD4"/>
    <w:rsid w:val="00C9246F"/>
    <w:rsid w:val="00C9290A"/>
    <w:rsid w:val="00C93342"/>
    <w:rsid w:val="00C93695"/>
    <w:rsid w:val="00C93D87"/>
    <w:rsid w:val="00C93DA1"/>
    <w:rsid w:val="00C94C39"/>
    <w:rsid w:val="00C961DD"/>
    <w:rsid w:val="00C9626E"/>
    <w:rsid w:val="00C97975"/>
    <w:rsid w:val="00CA1C2A"/>
    <w:rsid w:val="00CA211C"/>
    <w:rsid w:val="00CA2C46"/>
    <w:rsid w:val="00CA2DC5"/>
    <w:rsid w:val="00CA3070"/>
    <w:rsid w:val="00CA3FDD"/>
    <w:rsid w:val="00CA4127"/>
    <w:rsid w:val="00CA44ED"/>
    <w:rsid w:val="00CA5469"/>
    <w:rsid w:val="00CA621E"/>
    <w:rsid w:val="00CA6A3E"/>
    <w:rsid w:val="00CA6E7C"/>
    <w:rsid w:val="00CA7058"/>
    <w:rsid w:val="00CA7C68"/>
    <w:rsid w:val="00CA7C77"/>
    <w:rsid w:val="00CB0013"/>
    <w:rsid w:val="00CB01AB"/>
    <w:rsid w:val="00CB04AC"/>
    <w:rsid w:val="00CB0D35"/>
    <w:rsid w:val="00CB1B20"/>
    <w:rsid w:val="00CB1EA7"/>
    <w:rsid w:val="00CB25D4"/>
    <w:rsid w:val="00CB2C84"/>
    <w:rsid w:val="00CB311F"/>
    <w:rsid w:val="00CB3B77"/>
    <w:rsid w:val="00CB407D"/>
    <w:rsid w:val="00CB4560"/>
    <w:rsid w:val="00CB47DE"/>
    <w:rsid w:val="00CB776C"/>
    <w:rsid w:val="00CB7966"/>
    <w:rsid w:val="00CB7EB3"/>
    <w:rsid w:val="00CC16C7"/>
    <w:rsid w:val="00CC199B"/>
    <w:rsid w:val="00CC2AAE"/>
    <w:rsid w:val="00CC504A"/>
    <w:rsid w:val="00CC51BF"/>
    <w:rsid w:val="00CC53C4"/>
    <w:rsid w:val="00CC577F"/>
    <w:rsid w:val="00CC5A14"/>
    <w:rsid w:val="00CC67DD"/>
    <w:rsid w:val="00CC6A54"/>
    <w:rsid w:val="00CC6EAC"/>
    <w:rsid w:val="00CC7595"/>
    <w:rsid w:val="00CC7811"/>
    <w:rsid w:val="00CD019B"/>
    <w:rsid w:val="00CD0FEF"/>
    <w:rsid w:val="00CD1303"/>
    <w:rsid w:val="00CD16E6"/>
    <w:rsid w:val="00CD1F78"/>
    <w:rsid w:val="00CD3371"/>
    <w:rsid w:val="00CD4B5D"/>
    <w:rsid w:val="00CD68CA"/>
    <w:rsid w:val="00CD699F"/>
    <w:rsid w:val="00CD707C"/>
    <w:rsid w:val="00CD769F"/>
    <w:rsid w:val="00CE0770"/>
    <w:rsid w:val="00CE0D08"/>
    <w:rsid w:val="00CE1254"/>
    <w:rsid w:val="00CE3C0D"/>
    <w:rsid w:val="00CE518B"/>
    <w:rsid w:val="00CE69B5"/>
    <w:rsid w:val="00CE6CFC"/>
    <w:rsid w:val="00CE7444"/>
    <w:rsid w:val="00CF0291"/>
    <w:rsid w:val="00CF0D75"/>
    <w:rsid w:val="00CF162C"/>
    <w:rsid w:val="00CF1DF9"/>
    <w:rsid w:val="00CF2BBA"/>
    <w:rsid w:val="00CF3173"/>
    <w:rsid w:val="00CF4858"/>
    <w:rsid w:val="00CF4E1E"/>
    <w:rsid w:val="00CF586D"/>
    <w:rsid w:val="00CF5FA3"/>
    <w:rsid w:val="00CF7392"/>
    <w:rsid w:val="00CF76B6"/>
    <w:rsid w:val="00D00156"/>
    <w:rsid w:val="00D004D6"/>
    <w:rsid w:val="00D0057C"/>
    <w:rsid w:val="00D00D24"/>
    <w:rsid w:val="00D0131E"/>
    <w:rsid w:val="00D01C27"/>
    <w:rsid w:val="00D01E6B"/>
    <w:rsid w:val="00D02C61"/>
    <w:rsid w:val="00D0344E"/>
    <w:rsid w:val="00D0409E"/>
    <w:rsid w:val="00D04EE0"/>
    <w:rsid w:val="00D0655B"/>
    <w:rsid w:val="00D06D66"/>
    <w:rsid w:val="00D0711F"/>
    <w:rsid w:val="00D10F1E"/>
    <w:rsid w:val="00D134CD"/>
    <w:rsid w:val="00D14D13"/>
    <w:rsid w:val="00D15C59"/>
    <w:rsid w:val="00D17067"/>
    <w:rsid w:val="00D17EA4"/>
    <w:rsid w:val="00D20419"/>
    <w:rsid w:val="00D20CDA"/>
    <w:rsid w:val="00D21843"/>
    <w:rsid w:val="00D21899"/>
    <w:rsid w:val="00D222E7"/>
    <w:rsid w:val="00D2271A"/>
    <w:rsid w:val="00D253F6"/>
    <w:rsid w:val="00D259D6"/>
    <w:rsid w:val="00D26913"/>
    <w:rsid w:val="00D26B12"/>
    <w:rsid w:val="00D26EB8"/>
    <w:rsid w:val="00D27200"/>
    <w:rsid w:val="00D30045"/>
    <w:rsid w:val="00D31577"/>
    <w:rsid w:val="00D31748"/>
    <w:rsid w:val="00D3212B"/>
    <w:rsid w:val="00D32131"/>
    <w:rsid w:val="00D322B0"/>
    <w:rsid w:val="00D32FC1"/>
    <w:rsid w:val="00D330DB"/>
    <w:rsid w:val="00D333BF"/>
    <w:rsid w:val="00D33EDE"/>
    <w:rsid w:val="00D3402D"/>
    <w:rsid w:val="00D34181"/>
    <w:rsid w:val="00D34827"/>
    <w:rsid w:val="00D35983"/>
    <w:rsid w:val="00D3631D"/>
    <w:rsid w:val="00D36486"/>
    <w:rsid w:val="00D3717C"/>
    <w:rsid w:val="00D4058D"/>
    <w:rsid w:val="00D40A23"/>
    <w:rsid w:val="00D41AE3"/>
    <w:rsid w:val="00D4336D"/>
    <w:rsid w:val="00D44ED9"/>
    <w:rsid w:val="00D45256"/>
    <w:rsid w:val="00D47D6A"/>
    <w:rsid w:val="00D501DA"/>
    <w:rsid w:val="00D506A3"/>
    <w:rsid w:val="00D50FD4"/>
    <w:rsid w:val="00D51C00"/>
    <w:rsid w:val="00D51E0A"/>
    <w:rsid w:val="00D524A2"/>
    <w:rsid w:val="00D526DB"/>
    <w:rsid w:val="00D527AF"/>
    <w:rsid w:val="00D52AB9"/>
    <w:rsid w:val="00D5331F"/>
    <w:rsid w:val="00D5378F"/>
    <w:rsid w:val="00D53E29"/>
    <w:rsid w:val="00D542E5"/>
    <w:rsid w:val="00D55775"/>
    <w:rsid w:val="00D55D3B"/>
    <w:rsid w:val="00D564C8"/>
    <w:rsid w:val="00D5705A"/>
    <w:rsid w:val="00D5714E"/>
    <w:rsid w:val="00D57413"/>
    <w:rsid w:val="00D60D35"/>
    <w:rsid w:val="00D61282"/>
    <w:rsid w:val="00D61692"/>
    <w:rsid w:val="00D61837"/>
    <w:rsid w:val="00D61B63"/>
    <w:rsid w:val="00D61E86"/>
    <w:rsid w:val="00D62029"/>
    <w:rsid w:val="00D6202D"/>
    <w:rsid w:val="00D621B2"/>
    <w:rsid w:val="00D63E78"/>
    <w:rsid w:val="00D64D69"/>
    <w:rsid w:val="00D64F6E"/>
    <w:rsid w:val="00D64FD3"/>
    <w:rsid w:val="00D66F3C"/>
    <w:rsid w:val="00D67D95"/>
    <w:rsid w:val="00D710FD"/>
    <w:rsid w:val="00D71690"/>
    <w:rsid w:val="00D719A0"/>
    <w:rsid w:val="00D733AC"/>
    <w:rsid w:val="00D736AA"/>
    <w:rsid w:val="00D737CD"/>
    <w:rsid w:val="00D73AA8"/>
    <w:rsid w:val="00D75F50"/>
    <w:rsid w:val="00D765A3"/>
    <w:rsid w:val="00D76A94"/>
    <w:rsid w:val="00D7718A"/>
    <w:rsid w:val="00D778E1"/>
    <w:rsid w:val="00D77F3E"/>
    <w:rsid w:val="00D800B5"/>
    <w:rsid w:val="00D803C1"/>
    <w:rsid w:val="00D80FC5"/>
    <w:rsid w:val="00D834E8"/>
    <w:rsid w:val="00D848EE"/>
    <w:rsid w:val="00D85C94"/>
    <w:rsid w:val="00D85F1E"/>
    <w:rsid w:val="00D8651E"/>
    <w:rsid w:val="00D90D26"/>
    <w:rsid w:val="00D91904"/>
    <w:rsid w:val="00D928AF"/>
    <w:rsid w:val="00D92C91"/>
    <w:rsid w:val="00D943CE"/>
    <w:rsid w:val="00D94466"/>
    <w:rsid w:val="00D96335"/>
    <w:rsid w:val="00D965EE"/>
    <w:rsid w:val="00D96B77"/>
    <w:rsid w:val="00D96CD3"/>
    <w:rsid w:val="00D97C9E"/>
    <w:rsid w:val="00DA1A1F"/>
    <w:rsid w:val="00DA2655"/>
    <w:rsid w:val="00DA2F0A"/>
    <w:rsid w:val="00DA35C2"/>
    <w:rsid w:val="00DA372E"/>
    <w:rsid w:val="00DA3BC4"/>
    <w:rsid w:val="00DA40A3"/>
    <w:rsid w:val="00DA6330"/>
    <w:rsid w:val="00DB0D61"/>
    <w:rsid w:val="00DB2EE2"/>
    <w:rsid w:val="00DB3E5E"/>
    <w:rsid w:val="00DB3ED2"/>
    <w:rsid w:val="00DB3FE3"/>
    <w:rsid w:val="00DB4049"/>
    <w:rsid w:val="00DB4A28"/>
    <w:rsid w:val="00DB51B0"/>
    <w:rsid w:val="00DB55E7"/>
    <w:rsid w:val="00DB560E"/>
    <w:rsid w:val="00DB561E"/>
    <w:rsid w:val="00DB67E3"/>
    <w:rsid w:val="00DB6B8F"/>
    <w:rsid w:val="00DB6DB6"/>
    <w:rsid w:val="00DB721D"/>
    <w:rsid w:val="00DB7C5D"/>
    <w:rsid w:val="00DC006E"/>
    <w:rsid w:val="00DC0241"/>
    <w:rsid w:val="00DC04AD"/>
    <w:rsid w:val="00DC1184"/>
    <w:rsid w:val="00DC19DD"/>
    <w:rsid w:val="00DC3690"/>
    <w:rsid w:val="00DC3FF1"/>
    <w:rsid w:val="00DC47F3"/>
    <w:rsid w:val="00DC48C0"/>
    <w:rsid w:val="00DC4AD1"/>
    <w:rsid w:val="00DC4EE0"/>
    <w:rsid w:val="00DC6634"/>
    <w:rsid w:val="00DC718F"/>
    <w:rsid w:val="00DC74BC"/>
    <w:rsid w:val="00DC7E28"/>
    <w:rsid w:val="00DD0300"/>
    <w:rsid w:val="00DD1016"/>
    <w:rsid w:val="00DD1A3B"/>
    <w:rsid w:val="00DD230D"/>
    <w:rsid w:val="00DD2925"/>
    <w:rsid w:val="00DD2C83"/>
    <w:rsid w:val="00DD351E"/>
    <w:rsid w:val="00DD5A8F"/>
    <w:rsid w:val="00DD6AB8"/>
    <w:rsid w:val="00DD6B2D"/>
    <w:rsid w:val="00DD756A"/>
    <w:rsid w:val="00DD75DD"/>
    <w:rsid w:val="00DE0595"/>
    <w:rsid w:val="00DE1A7C"/>
    <w:rsid w:val="00DE2A1F"/>
    <w:rsid w:val="00DE2C31"/>
    <w:rsid w:val="00DE4794"/>
    <w:rsid w:val="00DE47FC"/>
    <w:rsid w:val="00DE495F"/>
    <w:rsid w:val="00DE4B55"/>
    <w:rsid w:val="00DE587D"/>
    <w:rsid w:val="00DE63E8"/>
    <w:rsid w:val="00DE7609"/>
    <w:rsid w:val="00DF1409"/>
    <w:rsid w:val="00DF1C86"/>
    <w:rsid w:val="00DF1ED1"/>
    <w:rsid w:val="00DF228E"/>
    <w:rsid w:val="00DF2695"/>
    <w:rsid w:val="00DF27B1"/>
    <w:rsid w:val="00DF2AA3"/>
    <w:rsid w:val="00DF2C31"/>
    <w:rsid w:val="00DF4F9D"/>
    <w:rsid w:val="00DF5B2A"/>
    <w:rsid w:val="00DF698C"/>
    <w:rsid w:val="00DF6B9D"/>
    <w:rsid w:val="00E00EA3"/>
    <w:rsid w:val="00E00EAA"/>
    <w:rsid w:val="00E00F3A"/>
    <w:rsid w:val="00E01B04"/>
    <w:rsid w:val="00E01F45"/>
    <w:rsid w:val="00E0269D"/>
    <w:rsid w:val="00E0276A"/>
    <w:rsid w:val="00E02E82"/>
    <w:rsid w:val="00E03367"/>
    <w:rsid w:val="00E03F48"/>
    <w:rsid w:val="00E04E50"/>
    <w:rsid w:val="00E0598B"/>
    <w:rsid w:val="00E05C49"/>
    <w:rsid w:val="00E06824"/>
    <w:rsid w:val="00E06855"/>
    <w:rsid w:val="00E0706D"/>
    <w:rsid w:val="00E072B7"/>
    <w:rsid w:val="00E074E4"/>
    <w:rsid w:val="00E07C08"/>
    <w:rsid w:val="00E10677"/>
    <w:rsid w:val="00E1390E"/>
    <w:rsid w:val="00E139E6"/>
    <w:rsid w:val="00E143F2"/>
    <w:rsid w:val="00E146CB"/>
    <w:rsid w:val="00E14901"/>
    <w:rsid w:val="00E157D0"/>
    <w:rsid w:val="00E16763"/>
    <w:rsid w:val="00E20800"/>
    <w:rsid w:val="00E2133B"/>
    <w:rsid w:val="00E21DD8"/>
    <w:rsid w:val="00E22571"/>
    <w:rsid w:val="00E2307A"/>
    <w:rsid w:val="00E2362B"/>
    <w:rsid w:val="00E237D9"/>
    <w:rsid w:val="00E249A9"/>
    <w:rsid w:val="00E25472"/>
    <w:rsid w:val="00E27F19"/>
    <w:rsid w:val="00E30184"/>
    <w:rsid w:val="00E301CE"/>
    <w:rsid w:val="00E3083C"/>
    <w:rsid w:val="00E30F05"/>
    <w:rsid w:val="00E31062"/>
    <w:rsid w:val="00E313FC"/>
    <w:rsid w:val="00E318AD"/>
    <w:rsid w:val="00E32169"/>
    <w:rsid w:val="00E32881"/>
    <w:rsid w:val="00E328B1"/>
    <w:rsid w:val="00E34692"/>
    <w:rsid w:val="00E34A15"/>
    <w:rsid w:val="00E35767"/>
    <w:rsid w:val="00E35972"/>
    <w:rsid w:val="00E35BCC"/>
    <w:rsid w:val="00E36E18"/>
    <w:rsid w:val="00E37149"/>
    <w:rsid w:val="00E37A47"/>
    <w:rsid w:val="00E40915"/>
    <w:rsid w:val="00E41355"/>
    <w:rsid w:val="00E42290"/>
    <w:rsid w:val="00E43D7A"/>
    <w:rsid w:val="00E44BCC"/>
    <w:rsid w:val="00E44FC4"/>
    <w:rsid w:val="00E453FC"/>
    <w:rsid w:val="00E456CD"/>
    <w:rsid w:val="00E461A4"/>
    <w:rsid w:val="00E46823"/>
    <w:rsid w:val="00E4745C"/>
    <w:rsid w:val="00E474C1"/>
    <w:rsid w:val="00E50BCF"/>
    <w:rsid w:val="00E51282"/>
    <w:rsid w:val="00E523EF"/>
    <w:rsid w:val="00E527EE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2908"/>
    <w:rsid w:val="00E63CB1"/>
    <w:rsid w:val="00E64520"/>
    <w:rsid w:val="00E64AA5"/>
    <w:rsid w:val="00E64E93"/>
    <w:rsid w:val="00E65897"/>
    <w:rsid w:val="00E660EE"/>
    <w:rsid w:val="00E671BD"/>
    <w:rsid w:val="00E72541"/>
    <w:rsid w:val="00E72808"/>
    <w:rsid w:val="00E72ABE"/>
    <w:rsid w:val="00E72F93"/>
    <w:rsid w:val="00E734B7"/>
    <w:rsid w:val="00E73E27"/>
    <w:rsid w:val="00E75796"/>
    <w:rsid w:val="00E802C5"/>
    <w:rsid w:val="00E8093F"/>
    <w:rsid w:val="00E81A2E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5E7A"/>
    <w:rsid w:val="00E86C6C"/>
    <w:rsid w:val="00E86FF2"/>
    <w:rsid w:val="00E8761C"/>
    <w:rsid w:val="00E87BA7"/>
    <w:rsid w:val="00E9031B"/>
    <w:rsid w:val="00E9050A"/>
    <w:rsid w:val="00E90903"/>
    <w:rsid w:val="00E90B13"/>
    <w:rsid w:val="00E9108B"/>
    <w:rsid w:val="00E91311"/>
    <w:rsid w:val="00E91ED3"/>
    <w:rsid w:val="00E92380"/>
    <w:rsid w:val="00E95A95"/>
    <w:rsid w:val="00E95F4E"/>
    <w:rsid w:val="00E979C0"/>
    <w:rsid w:val="00EA0BE5"/>
    <w:rsid w:val="00EA1B4B"/>
    <w:rsid w:val="00EA1B59"/>
    <w:rsid w:val="00EA262B"/>
    <w:rsid w:val="00EA2D02"/>
    <w:rsid w:val="00EA2FB5"/>
    <w:rsid w:val="00EA36C4"/>
    <w:rsid w:val="00EA43D5"/>
    <w:rsid w:val="00EA5738"/>
    <w:rsid w:val="00EA5E4B"/>
    <w:rsid w:val="00EA60A7"/>
    <w:rsid w:val="00EB250E"/>
    <w:rsid w:val="00EB2AA8"/>
    <w:rsid w:val="00EB32D7"/>
    <w:rsid w:val="00EB3658"/>
    <w:rsid w:val="00EB39B5"/>
    <w:rsid w:val="00EB39E1"/>
    <w:rsid w:val="00EB405A"/>
    <w:rsid w:val="00EB54F9"/>
    <w:rsid w:val="00EB568C"/>
    <w:rsid w:val="00EB5F0E"/>
    <w:rsid w:val="00EB6068"/>
    <w:rsid w:val="00EB64B9"/>
    <w:rsid w:val="00EB7CD3"/>
    <w:rsid w:val="00EB7CD9"/>
    <w:rsid w:val="00EC0C1D"/>
    <w:rsid w:val="00EC0D33"/>
    <w:rsid w:val="00EC1003"/>
    <w:rsid w:val="00EC128A"/>
    <w:rsid w:val="00EC3691"/>
    <w:rsid w:val="00EC3842"/>
    <w:rsid w:val="00EC3B14"/>
    <w:rsid w:val="00EC4680"/>
    <w:rsid w:val="00EC6854"/>
    <w:rsid w:val="00EC70BD"/>
    <w:rsid w:val="00ED05BC"/>
    <w:rsid w:val="00ED0E4C"/>
    <w:rsid w:val="00ED19D2"/>
    <w:rsid w:val="00ED21BB"/>
    <w:rsid w:val="00ED2422"/>
    <w:rsid w:val="00ED2988"/>
    <w:rsid w:val="00ED301D"/>
    <w:rsid w:val="00ED3980"/>
    <w:rsid w:val="00ED3FE9"/>
    <w:rsid w:val="00ED4AD3"/>
    <w:rsid w:val="00ED4E43"/>
    <w:rsid w:val="00ED63EC"/>
    <w:rsid w:val="00ED66A9"/>
    <w:rsid w:val="00ED69B4"/>
    <w:rsid w:val="00ED7615"/>
    <w:rsid w:val="00EE0167"/>
    <w:rsid w:val="00EE0860"/>
    <w:rsid w:val="00EE096D"/>
    <w:rsid w:val="00EE0F98"/>
    <w:rsid w:val="00EE2019"/>
    <w:rsid w:val="00EE219A"/>
    <w:rsid w:val="00EE2426"/>
    <w:rsid w:val="00EE337A"/>
    <w:rsid w:val="00EE400A"/>
    <w:rsid w:val="00EE4F3A"/>
    <w:rsid w:val="00EE5F9C"/>
    <w:rsid w:val="00EE725A"/>
    <w:rsid w:val="00EE7773"/>
    <w:rsid w:val="00EF0EF4"/>
    <w:rsid w:val="00EF10E3"/>
    <w:rsid w:val="00EF3CD5"/>
    <w:rsid w:val="00EF4511"/>
    <w:rsid w:val="00EF490F"/>
    <w:rsid w:val="00EF5EA4"/>
    <w:rsid w:val="00EF668F"/>
    <w:rsid w:val="00EF6766"/>
    <w:rsid w:val="00EF6D1A"/>
    <w:rsid w:val="00EF737D"/>
    <w:rsid w:val="00EF7D63"/>
    <w:rsid w:val="00F004F6"/>
    <w:rsid w:val="00F00B04"/>
    <w:rsid w:val="00F01200"/>
    <w:rsid w:val="00F01A24"/>
    <w:rsid w:val="00F02C33"/>
    <w:rsid w:val="00F032DD"/>
    <w:rsid w:val="00F03604"/>
    <w:rsid w:val="00F037C2"/>
    <w:rsid w:val="00F03B06"/>
    <w:rsid w:val="00F03CCF"/>
    <w:rsid w:val="00F04386"/>
    <w:rsid w:val="00F048C2"/>
    <w:rsid w:val="00F04AF5"/>
    <w:rsid w:val="00F053FC"/>
    <w:rsid w:val="00F05610"/>
    <w:rsid w:val="00F063AE"/>
    <w:rsid w:val="00F064DC"/>
    <w:rsid w:val="00F076BD"/>
    <w:rsid w:val="00F07EA0"/>
    <w:rsid w:val="00F10750"/>
    <w:rsid w:val="00F10EBC"/>
    <w:rsid w:val="00F1178A"/>
    <w:rsid w:val="00F11F0D"/>
    <w:rsid w:val="00F1270D"/>
    <w:rsid w:val="00F13923"/>
    <w:rsid w:val="00F13EE1"/>
    <w:rsid w:val="00F1493B"/>
    <w:rsid w:val="00F16281"/>
    <w:rsid w:val="00F166B1"/>
    <w:rsid w:val="00F16D4D"/>
    <w:rsid w:val="00F16DB0"/>
    <w:rsid w:val="00F176FB"/>
    <w:rsid w:val="00F17E2E"/>
    <w:rsid w:val="00F20B19"/>
    <w:rsid w:val="00F21847"/>
    <w:rsid w:val="00F21D60"/>
    <w:rsid w:val="00F21F03"/>
    <w:rsid w:val="00F22301"/>
    <w:rsid w:val="00F231BA"/>
    <w:rsid w:val="00F2366D"/>
    <w:rsid w:val="00F24232"/>
    <w:rsid w:val="00F24992"/>
    <w:rsid w:val="00F24A0A"/>
    <w:rsid w:val="00F25012"/>
    <w:rsid w:val="00F2525E"/>
    <w:rsid w:val="00F26EE8"/>
    <w:rsid w:val="00F27924"/>
    <w:rsid w:val="00F27BD8"/>
    <w:rsid w:val="00F3219F"/>
    <w:rsid w:val="00F32946"/>
    <w:rsid w:val="00F32E78"/>
    <w:rsid w:val="00F34299"/>
    <w:rsid w:val="00F351EA"/>
    <w:rsid w:val="00F36375"/>
    <w:rsid w:val="00F37681"/>
    <w:rsid w:val="00F37E59"/>
    <w:rsid w:val="00F37F75"/>
    <w:rsid w:val="00F40003"/>
    <w:rsid w:val="00F409E5"/>
    <w:rsid w:val="00F41321"/>
    <w:rsid w:val="00F4195C"/>
    <w:rsid w:val="00F41ABF"/>
    <w:rsid w:val="00F42E77"/>
    <w:rsid w:val="00F43051"/>
    <w:rsid w:val="00F44108"/>
    <w:rsid w:val="00F44671"/>
    <w:rsid w:val="00F45FFE"/>
    <w:rsid w:val="00F4794F"/>
    <w:rsid w:val="00F500C1"/>
    <w:rsid w:val="00F52077"/>
    <w:rsid w:val="00F52271"/>
    <w:rsid w:val="00F522C9"/>
    <w:rsid w:val="00F52987"/>
    <w:rsid w:val="00F54342"/>
    <w:rsid w:val="00F54BF8"/>
    <w:rsid w:val="00F54EEB"/>
    <w:rsid w:val="00F550CB"/>
    <w:rsid w:val="00F55573"/>
    <w:rsid w:val="00F55921"/>
    <w:rsid w:val="00F5720E"/>
    <w:rsid w:val="00F5737B"/>
    <w:rsid w:val="00F61509"/>
    <w:rsid w:val="00F619FF"/>
    <w:rsid w:val="00F6365F"/>
    <w:rsid w:val="00F63D6B"/>
    <w:rsid w:val="00F65299"/>
    <w:rsid w:val="00F653CD"/>
    <w:rsid w:val="00F658A6"/>
    <w:rsid w:val="00F65D2D"/>
    <w:rsid w:val="00F6620F"/>
    <w:rsid w:val="00F664A5"/>
    <w:rsid w:val="00F6696A"/>
    <w:rsid w:val="00F67252"/>
    <w:rsid w:val="00F67463"/>
    <w:rsid w:val="00F6756A"/>
    <w:rsid w:val="00F70CC9"/>
    <w:rsid w:val="00F72EE3"/>
    <w:rsid w:val="00F737D1"/>
    <w:rsid w:val="00F737F3"/>
    <w:rsid w:val="00F73FC6"/>
    <w:rsid w:val="00F74097"/>
    <w:rsid w:val="00F743B0"/>
    <w:rsid w:val="00F76762"/>
    <w:rsid w:val="00F80192"/>
    <w:rsid w:val="00F8076B"/>
    <w:rsid w:val="00F8107E"/>
    <w:rsid w:val="00F81AF7"/>
    <w:rsid w:val="00F81F17"/>
    <w:rsid w:val="00F8300B"/>
    <w:rsid w:val="00F838C5"/>
    <w:rsid w:val="00F83B3C"/>
    <w:rsid w:val="00F84966"/>
    <w:rsid w:val="00F84CEA"/>
    <w:rsid w:val="00F86085"/>
    <w:rsid w:val="00F8680A"/>
    <w:rsid w:val="00F911BE"/>
    <w:rsid w:val="00F9185B"/>
    <w:rsid w:val="00F91A17"/>
    <w:rsid w:val="00F91DF0"/>
    <w:rsid w:val="00F92862"/>
    <w:rsid w:val="00F92BD8"/>
    <w:rsid w:val="00F92E4D"/>
    <w:rsid w:val="00F92EB4"/>
    <w:rsid w:val="00F92FB6"/>
    <w:rsid w:val="00F93E6F"/>
    <w:rsid w:val="00F943E3"/>
    <w:rsid w:val="00F94653"/>
    <w:rsid w:val="00F94BEB"/>
    <w:rsid w:val="00F967FC"/>
    <w:rsid w:val="00F96C7B"/>
    <w:rsid w:val="00F96E71"/>
    <w:rsid w:val="00FA053C"/>
    <w:rsid w:val="00FA0AE5"/>
    <w:rsid w:val="00FA1BE2"/>
    <w:rsid w:val="00FA2AA4"/>
    <w:rsid w:val="00FA3278"/>
    <w:rsid w:val="00FA3780"/>
    <w:rsid w:val="00FA3E67"/>
    <w:rsid w:val="00FB03D2"/>
    <w:rsid w:val="00FB0828"/>
    <w:rsid w:val="00FB33C7"/>
    <w:rsid w:val="00FB33D1"/>
    <w:rsid w:val="00FB3CC6"/>
    <w:rsid w:val="00FB3D41"/>
    <w:rsid w:val="00FB495F"/>
    <w:rsid w:val="00FB54D1"/>
    <w:rsid w:val="00FB55B2"/>
    <w:rsid w:val="00FB6971"/>
    <w:rsid w:val="00FB6B92"/>
    <w:rsid w:val="00FB73F7"/>
    <w:rsid w:val="00FC02E2"/>
    <w:rsid w:val="00FC1555"/>
    <w:rsid w:val="00FC1EDA"/>
    <w:rsid w:val="00FC2E1D"/>
    <w:rsid w:val="00FC39C8"/>
    <w:rsid w:val="00FC3AFD"/>
    <w:rsid w:val="00FC4259"/>
    <w:rsid w:val="00FC6E75"/>
    <w:rsid w:val="00FD004E"/>
    <w:rsid w:val="00FD0116"/>
    <w:rsid w:val="00FD0297"/>
    <w:rsid w:val="00FD06B2"/>
    <w:rsid w:val="00FD0AB9"/>
    <w:rsid w:val="00FD1B17"/>
    <w:rsid w:val="00FD1DE9"/>
    <w:rsid w:val="00FD2C51"/>
    <w:rsid w:val="00FD2F04"/>
    <w:rsid w:val="00FD40CE"/>
    <w:rsid w:val="00FD41E4"/>
    <w:rsid w:val="00FD4282"/>
    <w:rsid w:val="00FD6D73"/>
    <w:rsid w:val="00FE0243"/>
    <w:rsid w:val="00FE040C"/>
    <w:rsid w:val="00FE097A"/>
    <w:rsid w:val="00FE138A"/>
    <w:rsid w:val="00FE28DC"/>
    <w:rsid w:val="00FE337F"/>
    <w:rsid w:val="00FE3405"/>
    <w:rsid w:val="00FE4291"/>
    <w:rsid w:val="00FE4F9D"/>
    <w:rsid w:val="00FE5A47"/>
    <w:rsid w:val="00FE5CB3"/>
    <w:rsid w:val="00FE6153"/>
    <w:rsid w:val="00FE641C"/>
    <w:rsid w:val="00FE6A48"/>
    <w:rsid w:val="00FE7290"/>
    <w:rsid w:val="00FE76FA"/>
    <w:rsid w:val="00FF0188"/>
    <w:rsid w:val="00FF068D"/>
    <w:rsid w:val="00FF13A2"/>
    <w:rsid w:val="00FF1463"/>
    <w:rsid w:val="00FF1471"/>
    <w:rsid w:val="00FF2790"/>
    <w:rsid w:val="00FF2BA5"/>
    <w:rsid w:val="00FF2D0B"/>
    <w:rsid w:val="00FF390E"/>
    <w:rsid w:val="00FF3DED"/>
    <w:rsid w:val="00FF5BDC"/>
    <w:rsid w:val="00FF5D0A"/>
    <w:rsid w:val="00FF614F"/>
    <w:rsid w:val="00FF6A0C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semiHidden="0" w:unhideWhenUsed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34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5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7">
    <w:name w:val="xl28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8">
    <w:name w:val="xl28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9">
    <w:name w:val="xl28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0">
    <w:name w:val="xl290"/>
    <w:basedOn w:val="Normal"/>
    <w:rsid w:val="00CE3C0D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91">
    <w:name w:val="xl291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2">
    <w:name w:val="xl292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3">
    <w:name w:val="xl293"/>
    <w:basedOn w:val="Normal"/>
    <w:rsid w:val="00CE3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4">
    <w:name w:val="xl294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5">
    <w:name w:val="xl295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96">
    <w:name w:val="xl296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7">
    <w:name w:val="xl29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8">
    <w:name w:val="xl29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9">
    <w:name w:val="xl29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0">
    <w:name w:val="xl300"/>
    <w:basedOn w:val="Normal"/>
    <w:rsid w:val="00CE3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1">
    <w:name w:val="xl301"/>
    <w:basedOn w:val="Normal"/>
    <w:rsid w:val="00CE3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2">
    <w:name w:val="xl30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3">
    <w:name w:val="xl30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4">
    <w:name w:val="xl30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5">
    <w:name w:val="xl30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6">
    <w:name w:val="xl30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7">
    <w:name w:val="xl30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8">
    <w:name w:val="xl30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9">
    <w:name w:val="xl30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0">
    <w:name w:val="xl31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1">
    <w:name w:val="xl31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2">
    <w:name w:val="xl31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3">
    <w:name w:val="xl31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314">
    <w:name w:val="xl31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5">
    <w:name w:val="xl31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6">
    <w:name w:val="xl31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7">
    <w:name w:val="xl31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8">
    <w:name w:val="xl31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9">
    <w:name w:val="xl31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0">
    <w:name w:val="xl32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1">
    <w:name w:val="xl32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2">
    <w:name w:val="xl32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3">
    <w:name w:val="xl323"/>
    <w:basedOn w:val="Normal"/>
    <w:rsid w:val="00052BB7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324">
    <w:name w:val="xl324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5">
    <w:name w:val="xl325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6">
    <w:name w:val="xl32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7">
    <w:name w:val="xl32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8">
    <w:name w:val="xl328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29">
    <w:name w:val="xl32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4"/>
      <w:szCs w:val="14"/>
      <w:lang w:val="sr-Latn-CS" w:eastAsia="sr-Latn-CS"/>
    </w:rPr>
  </w:style>
  <w:style w:type="paragraph" w:customStyle="1" w:styleId="xl330">
    <w:name w:val="xl33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1">
    <w:name w:val="xl331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2">
    <w:name w:val="xl33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3">
    <w:name w:val="xl33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4">
    <w:name w:val="xl33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5">
    <w:name w:val="xl33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6">
    <w:name w:val="xl33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7">
    <w:name w:val="xl33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8">
    <w:name w:val="xl33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9">
    <w:name w:val="xl33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0">
    <w:name w:val="xl340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4"/>
      <w:szCs w:val="14"/>
      <w:lang w:val="sr-Latn-CS" w:eastAsia="sr-Latn-CS"/>
    </w:rPr>
  </w:style>
  <w:style w:type="paragraph" w:customStyle="1" w:styleId="xl341">
    <w:name w:val="xl34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2">
    <w:name w:val="xl34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3">
    <w:name w:val="xl34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4">
    <w:name w:val="xl34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5">
    <w:name w:val="xl34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6">
    <w:name w:val="xl34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7">
    <w:name w:val="xl34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8">
    <w:name w:val="xl34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9">
    <w:name w:val="xl34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0">
    <w:name w:val="xl35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1">
    <w:name w:val="xl35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2">
    <w:name w:val="xl35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3">
    <w:name w:val="xl35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4">
    <w:name w:val="xl35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5">
    <w:name w:val="xl35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6">
    <w:name w:val="xl35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7">
    <w:name w:val="xl35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8">
    <w:name w:val="xl358"/>
    <w:basedOn w:val="Normal"/>
    <w:rsid w:val="00052BB7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59">
    <w:name w:val="xl35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0">
    <w:name w:val="xl36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1">
    <w:name w:val="xl36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2">
    <w:name w:val="xl36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3">
    <w:name w:val="xl363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4">
    <w:name w:val="xl364"/>
    <w:basedOn w:val="Normal"/>
    <w:rsid w:val="00052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5">
    <w:name w:val="xl36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6">
    <w:name w:val="xl36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7">
    <w:name w:val="xl36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8">
    <w:name w:val="xl36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table" w:customStyle="1" w:styleId="LightShading-Accent11">
    <w:name w:val="Light Shading - Accent 11"/>
    <w:basedOn w:val="TableNormal"/>
    <w:uiPriority w:val="60"/>
    <w:rsid w:val="004F73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radovan.zivkovic\Dropbox\Radovan\Svi%20radni%20folderi\Analiza\Analiza%20Jun%202013\Ukupni%20ekonomski%20sentimen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02_MMI\MMI_2015_02\mmi%202015-0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02_MMI\MMI_2015_02\mmi%202015-0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mmi%202015-0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Desktop\MMI\Aluminiju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sr-Latn-CS" sz="1000"/>
              <a:t>Ukupni ekonomski sentiment</a:t>
            </a:r>
          </a:p>
        </c:rich>
      </c:tx>
      <c:layout>
        <c:manualLayout>
          <c:xMode val="edge"/>
          <c:yMode val="edge"/>
          <c:x val="0.23096203703703883"/>
          <c:y val="1.2896825396825583E-3"/>
        </c:manualLayout>
      </c:layout>
      <c:overlay val="1"/>
    </c:title>
    <c:plotArea>
      <c:layout>
        <c:manualLayout>
          <c:layoutTarget val="inner"/>
          <c:xMode val="edge"/>
          <c:yMode val="edge"/>
          <c:x val="0.14519685039370078"/>
          <c:y val="5.1400554097404488E-2"/>
          <c:w val="0.81131733744074552"/>
          <c:h val="0.82699438611840725"/>
        </c:manualLayout>
      </c:layout>
      <c:lineChart>
        <c:grouping val="standard"/>
        <c:ser>
          <c:idx val="0"/>
          <c:order val="0"/>
          <c:tx>
            <c:v>EU</c:v>
          </c:tx>
          <c:marker>
            <c:symbol val="none"/>
          </c:marker>
          <c:cat>
            <c:numRef>
              <c:f>'ESI MONTHLY'!$B$62:$B$362</c:f>
              <c:numCache>
                <c:formatCode>0</c:formatCode>
                <c:ptCount val="301"/>
                <c:pt idx="0">
                  <c:v>1990</c:v>
                </c:pt>
                <c:pt idx="1">
                  <c:v>1990</c:v>
                </c:pt>
                <c:pt idx="2">
                  <c:v>1990</c:v>
                </c:pt>
                <c:pt idx="3">
                  <c:v>1990</c:v>
                </c:pt>
                <c:pt idx="4">
                  <c:v>1990</c:v>
                </c:pt>
                <c:pt idx="5">
                  <c:v>1990</c:v>
                </c:pt>
                <c:pt idx="6">
                  <c:v>1990</c:v>
                </c:pt>
                <c:pt idx="7">
                  <c:v>1990</c:v>
                </c:pt>
                <c:pt idx="8">
                  <c:v>1990</c:v>
                </c:pt>
                <c:pt idx="9">
                  <c:v>1990</c:v>
                </c:pt>
                <c:pt idx="10">
                  <c:v>1990</c:v>
                </c:pt>
                <c:pt idx="11">
                  <c:v>1990</c:v>
                </c:pt>
                <c:pt idx="12">
                  <c:v>1991</c:v>
                </c:pt>
                <c:pt idx="13">
                  <c:v>1991</c:v>
                </c:pt>
                <c:pt idx="14">
                  <c:v>1991</c:v>
                </c:pt>
                <c:pt idx="15">
                  <c:v>1991</c:v>
                </c:pt>
                <c:pt idx="16">
                  <c:v>1991</c:v>
                </c:pt>
                <c:pt idx="17">
                  <c:v>1991</c:v>
                </c:pt>
                <c:pt idx="18">
                  <c:v>1991</c:v>
                </c:pt>
                <c:pt idx="19">
                  <c:v>1991</c:v>
                </c:pt>
                <c:pt idx="20">
                  <c:v>1991</c:v>
                </c:pt>
                <c:pt idx="21">
                  <c:v>1991</c:v>
                </c:pt>
                <c:pt idx="22">
                  <c:v>1991</c:v>
                </c:pt>
                <c:pt idx="23">
                  <c:v>1991</c:v>
                </c:pt>
                <c:pt idx="24">
                  <c:v>1992</c:v>
                </c:pt>
                <c:pt idx="25">
                  <c:v>1992</c:v>
                </c:pt>
                <c:pt idx="26">
                  <c:v>1992</c:v>
                </c:pt>
                <c:pt idx="27">
                  <c:v>1992</c:v>
                </c:pt>
                <c:pt idx="28">
                  <c:v>1992</c:v>
                </c:pt>
                <c:pt idx="29">
                  <c:v>1992</c:v>
                </c:pt>
                <c:pt idx="30">
                  <c:v>1992</c:v>
                </c:pt>
                <c:pt idx="31">
                  <c:v>1992</c:v>
                </c:pt>
                <c:pt idx="32">
                  <c:v>1992</c:v>
                </c:pt>
                <c:pt idx="33">
                  <c:v>1992</c:v>
                </c:pt>
                <c:pt idx="34">
                  <c:v>1992</c:v>
                </c:pt>
                <c:pt idx="35">
                  <c:v>1992</c:v>
                </c:pt>
                <c:pt idx="36">
                  <c:v>1993</c:v>
                </c:pt>
                <c:pt idx="37">
                  <c:v>1993</c:v>
                </c:pt>
                <c:pt idx="38">
                  <c:v>1993</c:v>
                </c:pt>
                <c:pt idx="39">
                  <c:v>1993</c:v>
                </c:pt>
                <c:pt idx="40">
                  <c:v>1993</c:v>
                </c:pt>
                <c:pt idx="41">
                  <c:v>1993</c:v>
                </c:pt>
                <c:pt idx="42">
                  <c:v>1993</c:v>
                </c:pt>
                <c:pt idx="43">
                  <c:v>1993</c:v>
                </c:pt>
                <c:pt idx="44">
                  <c:v>1993</c:v>
                </c:pt>
                <c:pt idx="45">
                  <c:v>1993</c:v>
                </c:pt>
                <c:pt idx="46">
                  <c:v>1993</c:v>
                </c:pt>
                <c:pt idx="47">
                  <c:v>1993</c:v>
                </c:pt>
                <c:pt idx="48">
                  <c:v>1994</c:v>
                </c:pt>
                <c:pt idx="49">
                  <c:v>1994</c:v>
                </c:pt>
                <c:pt idx="50">
                  <c:v>1994</c:v>
                </c:pt>
                <c:pt idx="51">
                  <c:v>1994</c:v>
                </c:pt>
                <c:pt idx="52">
                  <c:v>1994</c:v>
                </c:pt>
                <c:pt idx="53">
                  <c:v>1994</c:v>
                </c:pt>
                <c:pt idx="54">
                  <c:v>1994</c:v>
                </c:pt>
                <c:pt idx="55">
                  <c:v>1994</c:v>
                </c:pt>
                <c:pt idx="56">
                  <c:v>1994</c:v>
                </c:pt>
                <c:pt idx="57">
                  <c:v>1994</c:v>
                </c:pt>
                <c:pt idx="58">
                  <c:v>1994</c:v>
                </c:pt>
                <c:pt idx="59">
                  <c:v>1994</c:v>
                </c:pt>
                <c:pt idx="60">
                  <c:v>1995</c:v>
                </c:pt>
                <c:pt idx="61">
                  <c:v>1995</c:v>
                </c:pt>
                <c:pt idx="62">
                  <c:v>1995</c:v>
                </c:pt>
                <c:pt idx="63">
                  <c:v>1995</c:v>
                </c:pt>
                <c:pt idx="64">
                  <c:v>1995</c:v>
                </c:pt>
                <c:pt idx="65">
                  <c:v>1995</c:v>
                </c:pt>
                <c:pt idx="66">
                  <c:v>1995</c:v>
                </c:pt>
                <c:pt idx="67">
                  <c:v>1995</c:v>
                </c:pt>
                <c:pt idx="68">
                  <c:v>1995</c:v>
                </c:pt>
                <c:pt idx="69">
                  <c:v>1995</c:v>
                </c:pt>
                <c:pt idx="70">
                  <c:v>1995</c:v>
                </c:pt>
                <c:pt idx="71">
                  <c:v>1995</c:v>
                </c:pt>
                <c:pt idx="72">
                  <c:v>1996</c:v>
                </c:pt>
                <c:pt idx="73">
                  <c:v>1996</c:v>
                </c:pt>
                <c:pt idx="74">
                  <c:v>1996</c:v>
                </c:pt>
                <c:pt idx="75">
                  <c:v>1996</c:v>
                </c:pt>
                <c:pt idx="76">
                  <c:v>1996</c:v>
                </c:pt>
                <c:pt idx="77">
                  <c:v>1996</c:v>
                </c:pt>
                <c:pt idx="78">
                  <c:v>1996</c:v>
                </c:pt>
                <c:pt idx="79">
                  <c:v>1996</c:v>
                </c:pt>
                <c:pt idx="80">
                  <c:v>1996</c:v>
                </c:pt>
                <c:pt idx="81">
                  <c:v>1996</c:v>
                </c:pt>
                <c:pt idx="82">
                  <c:v>1996</c:v>
                </c:pt>
                <c:pt idx="83">
                  <c:v>1996</c:v>
                </c:pt>
                <c:pt idx="84">
                  <c:v>1997</c:v>
                </c:pt>
                <c:pt idx="85">
                  <c:v>1997</c:v>
                </c:pt>
                <c:pt idx="86">
                  <c:v>1997</c:v>
                </c:pt>
                <c:pt idx="87">
                  <c:v>1997</c:v>
                </c:pt>
                <c:pt idx="88">
                  <c:v>1997</c:v>
                </c:pt>
                <c:pt idx="89">
                  <c:v>1997</c:v>
                </c:pt>
                <c:pt idx="90">
                  <c:v>1997</c:v>
                </c:pt>
                <c:pt idx="91">
                  <c:v>1997</c:v>
                </c:pt>
                <c:pt idx="92">
                  <c:v>1997</c:v>
                </c:pt>
                <c:pt idx="93">
                  <c:v>1997</c:v>
                </c:pt>
                <c:pt idx="94">
                  <c:v>1997</c:v>
                </c:pt>
                <c:pt idx="95">
                  <c:v>1997</c:v>
                </c:pt>
                <c:pt idx="96">
                  <c:v>1998</c:v>
                </c:pt>
                <c:pt idx="97">
                  <c:v>1998</c:v>
                </c:pt>
                <c:pt idx="98">
                  <c:v>1998</c:v>
                </c:pt>
                <c:pt idx="99">
                  <c:v>1998</c:v>
                </c:pt>
                <c:pt idx="100">
                  <c:v>1998</c:v>
                </c:pt>
                <c:pt idx="101">
                  <c:v>1998</c:v>
                </c:pt>
                <c:pt idx="102">
                  <c:v>1998</c:v>
                </c:pt>
                <c:pt idx="103">
                  <c:v>1998</c:v>
                </c:pt>
                <c:pt idx="104">
                  <c:v>1998</c:v>
                </c:pt>
                <c:pt idx="105">
                  <c:v>1998</c:v>
                </c:pt>
                <c:pt idx="106">
                  <c:v>1998</c:v>
                </c:pt>
                <c:pt idx="107">
                  <c:v>1998</c:v>
                </c:pt>
                <c:pt idx="108">
                  <c:v>1999</c:v>
                </c:pt>
                <c:pt idx="109">
                  <c:v>1999</c:v>
                </c:pt>
                <c:pt idx="110">
                  <c:v>1999</c:v>
                </c:pt>
                <c:pt idx="111">
                  <c:v>1999</c:v>
                </c:pt>
                <c:pt idx="112">
                  <c:v>1999</c:v>
                </c:pt>
                <c:pt idx="113">
                  <c:v>1999</c:v>
                </c:pt>
                <c:pt idx="114">
                  <c:v>1999</c:v>
                </c:pt>
                <c:pt idx="115">
                  <c:v>1999</c:v>
                </c:pt>
                <c:pt idx="116">
                  <c:v>1999</c:v>
                </c:pt>
                <c:pt idx="117">
                  <c:v>1999</c:v>
                </c:pt>
                <c:pt idx="118">
                  <c:v>1999</c:v>
                </c:pt>
                <c:pt idx="119">
                  <c:v>1999</c:v>
                </c:pt>
                <c:pt idx="120">
                  <c:v>2000</c:v>
                </c:pt>
                <c:pt idx="121">
                  <c:v>2000</c:v>
                </c:pt>
                <c:pt idx="122">
                  <c:v>2000</c:v>
                </c:pt>
                <c:pt idx="123">
                  <c:v>2000</c:v>
                </c:pt>
                <c:pt idx="124">
                  <c:v>2000</c:v>
                </c:pt>
                <c:pt idx="125">
                  <c:v>2000</c:v>
                </c:pt>
                <c:pt idx="126">
                  <c:v>2000</c:v>
                </c:pt>
                <c:pt idx="127">
                  <c:v>2000</c:v>
                </c:pt>
                <c:pt idx="128">
                  <c:v>2000</c:v>
                </c:pt>
                <c:pt idx="129">
                  <c:v>2000</c:v>
                </c:pt>
                <c:pt idx="130">
                  <c:v>2000</c:v>
                </c:pt>
                <c:pt idx="131">
                  <c:v>2000</c:v>
                </c:pt>
                <c:pt idx="132">
                  <c:v>2001</c:v>
                </c:pt>
                <c:pt idx="133">
                  <c:v>2001</c:v>
                </c:pt>
                <c:pt idx="134">
                  <c:v>2001</c:v>
                </c:pt>
                <c:pt idx="135">
                  <c:v>2001</c:v>
                </c:pt>
                <c:pt idx="136">
                  <c:v>2001</c:v>
                </c:pt>
                <c:pt idx="137">
                  <c:v>2001</c:v>
                </c:pt>
                <c:pt idx="138">
                  <c:v>2001</c:v>
                </c:pt>
                <c:pt idx="139">
                  <c:v>2001</c:v>
                </c:pt>
                <c:pt idx="140">
                  <c:v>2001</c:v>
                </c:pt>
                <c:pt idx="141">
                  <c:v>2001</c:v>
                </c:pt>
                <c:pt idx="142">
                  <c:v>2001</c:v>
                </c:pt>
                <c:pt idx="143">
                  <c:v>2001</c:v>
                </c:pt>
                <c:pt idx="144">
                  <c:v>2002</c:v>
                </c:pt>
                <c:pt idx="145">
                  <c:v>2002</c:v>
                </c:pt>
                <c:pt idx="146">
                  <c:v>2002</c:v>
                </c:pt>
                <c:pt idx="147">
                  <c:v>2002</c:v>
                </c:pt>
                <c:pt idx="148">
                  <c:v>2002</c:v>
                </c:pt>
                <c:pt idx="149">
                  <c:v>2002</c:v>
                </c:pt>
                <c:pt idx="150">
                  <c:v>2002</c:v>
                </c:pt>
                <c:pt idx="151">
                  <c:v>2002</c:v>
                </c:pt>
                <c:pt idx="152">
                  <c:v>2002</c:v>
                </c:pt>
                <c:pt idx="153">
                  <c:v>2002</c:v>
                </c:pt>
                <c:pt idx="154">
                  <c:v>2002</c:v>
                </c:pt>
                <c:pt idx="155">
                  <c:v>2002</c:v>
                </c:pt>
                <c:pt idx="156">
                  <c:v>2003</c:v>
                </c:pt>
                <c:pt idx="157">
                  <c:v>2003</c:v>
                </c:pt>
                <c:pt idx="158">
                  <c:v>2003</c:v>
                </c:pt>
                <c:pt idx="159">
                  <c:v>2003</c:v>
                </c:pt>
                <c:pt idx="160">
                  <c:v>2003</c:v>
                </c:pt>
                <c:pt idx="161">
                  <c:v>2003</c:v>
                </c:pt>
                <c:pt idx="162">
                  <c:v>2003</c:v>
                </c:pt>
                <c:pt idx="163">
                  <c:v>2003</c:v>
                </c:pt>
                <c:pt idx="164">
                  <c:v>2003</c:v>
                </c:pt>
                <c:pt idx="165">
                  <c:v>2003</c:v>
                </c:pt>
                <c:pt idx="166">
                  <c:v>2003</c:v>
                </c:pt>
                <c:pt idx="167">
                  <c:v>2003</c:v>
                </c:pt>
                <c:pt idx="168">
                  <c:v>2004</c:v>
                </c:pt>
                <c:pt idx="169">
                  <c:v>2004</c:v>
                </c:pt>
                <c:pt idx="170">
                  <c:v>2004</c:v>
                </c:pt>
                <c:pt idx="171">
                  <c:v>2004</c:v>
                </c:pt>
                <c:pt idx="172">
                  <c:v>2004</c:v>
                </c:pt>
                <c:pt idx="173">
                  <c:v>2004</c:v>
                </c:pt>
                <c:pt idx="174">
                  <c:v>2004</c:v>
                </c:pt>
                <c:pt idx="175">
                  <c:v>2004</c:v>
                </c:pt>
                <c:pt idx="176">
                  <c:v>2004</c:v>
                </c:pt>
                <c:pt idx="177">
                  <c:v>2004</c:v>
                </c:pt>
                <c:pt idx="178">
                  <c:v>2004</c:v>
                </c:pt>
                <c:pt idx="179">
                  <c:v>2004</c:v>
                </c:pt>
                <c:pt idx="180">
                  <c:v>2005</c:v>
                </c:pt>
                <c:pt idx="181">
                  <c:v>2005</c:v>
                </c:pt>
                <c:pt idx="182">
                  <c:v>2005</c:v>
                </c:pt>
                <c:pt idx="183">
                  <c:v>2005</c:v>
                </c:pt>
                <c:pt idx="184">
                  <c:v>2005</c:v>
                </c:pt>
                <c:pt idx="185">
                  <c:v>2005</c:v>
                </c:pt>
                <c:pt idx="186">
                  <c:v>2005</c:v>
                </c:pt>
                <c:pt idx="187">
                  <c:v>2005</c:v>
                </c:pt>
                <c:pt idx="188">
                  <c:v>2005</c:v>
                </c:pt>
                <c:pt idx="189">
                  <c:v>2005</c:v>
                </c:pt>
                <c:pt idx="190">
                  <c:v>2005</c:v>
                </c:pt>
                <c:pt idx="191">
                  <c:v>2005</c:v>
                </c:pt>
                <c:pt idx="192">
                  <c:v>2006</c:v>
                </c:pt>
                <c:pt idx="193">
                  <c:v>2006</c:v>
                </c:pt>
                <c:pt idx="194">
                  <c:v>2006</c:v>
                </c:pt>
                <c:pt idx="195">
                  <c:v>2006</c:v>
                </c:pt>
                <c:pt idx="196">
                  <c:v>2006</c:v>
                </c:pt>
                <c:pt idx="197">
                  <c:v>2006</c:v>
                </c:pt>
                <c:pt idx="198">
                  <c:v>2006</c:v>
                </c:pt>
                <c:pt idx="199">
                  <c:v>2006</c:v>
                </c:pt>
                <c:pt idx="200">
                  <c:v>2006</c:v>
                </c:pt>
                <c:pt idx="201">
                  <c:v>2006</c:v>
                </c:pt>
                <c:pt idx="202">
                  <c:v>2006</c:v>
                </c:pt>
                <c:pt idx="203">
                  <c:v>2006</c:v>
                </c:pt>
                <c:pt idx="204">
                  <c:v>2007</c:v>
                </c:pt>
                <c:pt idx="205">
                  <c:v>2007</c:v>
                </c:pt>
                <c:pt idx="206">
                  <c:v>2007</c:v>
                </c:pt>
                <c:pt idx="207">
                  <c:v>2007</c:v>
                </c:pt>
                <c:pt idx="208">
                  <c:v>2007</c:v>
                </c:pt>
                <c:pt idx="209">
                  <c:v>2007</c:v>
                </c:pt>
                <c:pt idx="210">
                  <c:v>2007</c:v>
                </c:pt>
                <c:pt idx="211">
                  <c:v>2007</c:v>
                </c:pt>
                <c:pt idx="212">
                  <c:v>2007</c:v>
                </c:pt>
                <c:pt idx="213">
                  <c:v>2007</c:v>
                </c:pt>
                <c:pt idx="214">
                  <c:v>2007</c:v>
                </c:pt>
                <c:pt idx="215">
                  <c:v>2007</c:v>
                </c:pt>
                <c:pt idx="216">
                  <c:v>2008</c:v>
                </c:pt>
                <c:pt idx="217">
                  <c:v>2008</c:v>
                </c:pt>
                <c:pt idx="218">
                  <c:v>2008</c:v>
                </c:pt>
                <c:pt idx="219">
                  <c:v>2008</c:v>
                </c:pt>
                <c:pt idx="220">
                  <c:v>2008</c:v>
                </c:pt>
                <c:pt idx="221">
                  <c:v>2008</c:v>
                </c:pt>
                <c:pt idx="222">
                  <c:v>2008</c:v>
                </c:pt>
                <c:pt idx="223">
                  <c:v>2008</c:v>
                </c:pt>
                <c:pt idx="224">
                  <c:v>2008</c:v>
                </c:pt>
                <c:pt idx="225">
                  <c:v>2008</c:v>
                </c:pt>
                <c:pt idx="226">
                  <c:v>2008</c:v>
                </c:pt>
                <c:pt idx="227">
                  <c:v>2008</c:v>
                </c:pt>
                <c:pt idx="228">
                  <c:v>2009</c:v>
                </c:pt>
                <c:pt idx="229">
                  <c:v>2009</c:v>
                </c:pt>
                <c:pt idx="230">
                  <c:v>2009</c:v>
                </c:pt>
                <c:pt idx="231">
                  <c:v>2009</c:v>
                </c:pt>
                <c:pt idx="232">
                  <c:v>2009</c:v>
                </c:pt>
                <c:pt idx="233">
                  <c:v>2009</c:v>
                </c:pt>
                <c:pt idx="234">
                  <c:v>2009</c:v>
                </c:pt>
                <c:pt idx="235">
                  <c:v>2009</c:v>
                </c:pt>
                <c:pt idx="236">
                  <c:v>2009</c:v>
                </c:pt>
                <c:pt idx="237">
                  <c:v>2009</c:v>
                </c:pt>
                <c:pt idx="238">
                  <c:v>2009</c:v>
                </c:pt>
                <c:pt idx="239">
                  <c:v>2009</c:v>
                </c:pt>
                <c:pt idx="240">
                  <c:v>2010</c:v>
                </c:pt>
                <c:pt idx="241">
                  <c:v>2010</c:v>
                </c:pt>
                <c:pt idx="242">
                  <c:v>2010</c:v>
                </c:pt>
                <c:pt idx="243">
                  <c:v>2010</c:v>
                </c:pt>
                <c:pt idx="244">
                  <c:v>2010</c:v>
                </c:pt>
                <c:pt idx="245">
                  <c:v>2010</c:v>
                </c:pt>
                <c:pt idx="246">
                  <c:v>2010</c:v>
                </c:pt>
                <c:pt idx="247">
                  <c:v>2010</c:v>
                </c:pt>
                <c:pt idx="248">
                  <c:v>2010</c:v>
                </c:pt>
                <c:pt idx="249">
                  <c:v>2010</c:v>
                </c:pt>
                <c:pt idx="250">
                  <c:v>2010</c:v>
                </c:pt>
                <c:pt idx="251">
                  <c:v>2010</c:v>
                </c:pt>
                <c:pt idx="252">
                  <c:v>2011</c:v>
                </c:pt>
                <c:pt idx="253">
                  <c:v>2011</c:v>
                </c:pt>
                <c:pt idx="254">
                  <c:v>2011</c:v>
                </c:pt>
                <c:pt idx="255">
                  <c:v>2011</c:v>
                </c:pt>
                <c:pt idx="256">
                  <c:v>2011</c:v>
                </c:pt>
                <c:pt idx="257">
                  <c:v>2011</c:v>
                </c:pt>
                <c:pt idx="258">
                  <c:v>2011</c:v>
                </c:pt>
                <c:pt idx="259">
                  <c:v>2011</c:v>
                </c:pt>
                <c:pt idx="260">
                  <c:v>2011</c:v>
                </c:pt>
                <c:pt idx="261">
                  <c:v>2011</c:v>
                </c:pt>
                <c:pt idx="262">
                  <c:v>2011</c:v>
                </c:pt>
                <c:pt idx="263">
                  <c:v>2011</c:v>
                </c:pt>
                <c:pt idx="264">
                  <c:v>2012</c:v>
                </c:pt>
                <c:pt idx="265">
                  <c:v>2012</c:v>
                </c:pt>
                <c:pt idx="266">
                  <c:v>2012</c:v>
                </c:pt>
                <c:pt idx="267">
                  <c:v>2012</c:v>
                </c:pt>
                <c:pt idx="268">
                  <c:v>2012</c:v>
                </c:pt>
                <c:pt idx="269">
                  <c:v>2012</c:v>
                </c:pt>
                <c:pt idx="270">
                  <c:v>2012</c:v>
                </c:pt>
                <c:pt idx="271">
                  <c:v>2012</c:v>
                </c:pt>
                <c:pt idx="272">
                  <c:v>2012</c:v>
                </c:pt>
                <c:pt idx="273">
                  <c:v>2012</c:v>
                </c:pt>
                <c:pt idx="274">
                  <c:v>2012</c:v>
                </c:pt>
                <c:pt idx="275">
                  <c:v>2012</c:v>
                </c:pt>
                <c:pt idx="276">
                  <c:v>2013</c:v>
                </c:pt>
                <c:pt idx="277">
                  <c:v>2013</c:v>
                </c:pt>
                <c:pt idx="278">
                  <c:v>2013</c:v>
                </c:pt>
                <c:pt idx="279">
                  <c:v>2013</c:v>
                </c:pt>
                <c:pt idx="280">
                  <c:v>2013</c:v>
                </c:pt>
                <c:pt idx="281">
                  <c:v>2013</c:v>
                </c:pt>
                <c:pt idx="282">
                  <c:v>2013</c:v>
                </c:pt>
                <c:pt idx="283">
                  <c:v>2013</c:v>
                </c:pt>
                <c:pt idx="284">
                  <c:v>2013</c:v>
                </c:pt>
                <c:pt idx="285">
                  <c:v>2013</c:v>
                </c:pt>
                <c:pt idx="286">
                  <c:v>2013</c:v>
                </c:pt>
                <c:pt idx="287">
                  <c:v>2013</c:v>
                </c:pt>
                <c:pt idx="288">
                  <c:v>2014</c:v>
                </c:pt>
                <c:pt idx="289">
                  <c:v>2014</c:v>
                </c:pt>
                <c:pt idx="290">
                  <c:v>2014</c:v>
                </c:pt>
                <c:pt idx="291">
                  <c:v>2014</c:v>
                </c:pt>
                <c:pt idx="292">
                  <c:v>2014</c:v>
                </c:pt>
                <c:pt idx="293">
                  <c:v>2014</c:v>
                </c:pt>
                <c:pt idx="294">
                  <c:v>2014</c:v>
                </c:pt>
                <c:pt idx="295">
                  <c:v>2014</c:v>
                </c:pt>
                <c:pt idx="296">
                  <c:v>2014</c:v>
                </c:pt>
                <c:pt idx="297">
                  <c:v>2014</c:v>
                </c:pt>
                <c:pt idx="298">
                  <c:v>2014</c:v>
                </c:pt>
                <c:pt idx="299">
                  <c:v>2014</c:v>
                </c:pt>
                <c:pt idx="300">
                  <c:v>2015</c:v>
                </c:pt>
              </c:numCache>
            </c:numRef>
          </c:cat>
          <c:val>
            <c:numRef>
              <c:f>'ESI MONTHLY'!$H$62:$H$362</c:f>
              <c:numCache>
                <c:formatCode>0.0</c:formatCode>
                <c:ptCount val="301"/>
                <c:pt idx="0">
                  <c:v>110.8</c:v>
                </c:pt>
                <c:pt idx="1">
                  <c:v>108.8</c:v>
                </c:pt>
                <c:pt idx="2">
                  <c:v>108.5</c:v>
                </c:pt>
                <c:pt idx="3">
                  <c:v>109.4</c:v>
                </c:pt>
                <c:pt idx="4">
                  <c:v>108.2</c:v>
                </c:pt>
                <c:pt idx="5">
                  <c:v>108.1</c:v>
                </c:pt>
                <c:pt idx="6">
                  <c:v>107.5</c:v>
                </c:pt>
                <c:pt idx="7">
                  <c:v>106.4</c:v>
                </c:pt>
                <c:pt idx="8">
                  <c:v>103.3</c:v>
                </c:pt>
                <c:pt idx="9">
                  <c:v>101.4</c:v>
                </c:pt>
                <c:pt idx="10">
                  <c:v>100.4</c:v>
                </c:pt>
                <c:pt idx="11">
                  <c:v>100.8</c:v>
                </c:pt>
                <c:pt idx="12">
                  <c:v>98.3</c:v>
                </c:pt>
                <c:pt idx="13">
                  <c:v>94.9</c:v>
                </c:pt>
                <c:pt idx="14">
                  <c:v>96.9</c:v>
                </c:pt>
                <c:pt idx="15">
                  <c:v>96.5</c:v>
                </c:pt>
                <c:pt idx="16">
                  <c:v>95.5</c:v>
                </c:pt>
                <c:pt idx="17">
                  <c:v>94.2</c:v>
                </c:pt>
                <c:pt idx="18">
                  <c:v>92.8</c:v>
                </c:pt>
                <c:pt idx="19">
                  <c:v>93.1</c:v>
                </c:pt>
                <c:pt idx="20">
                  <c:v>94.4</c:v>
                </c:pt>
                <c:pt idx="21">
                  <c:v>94.5</c:v>
                </c:pt>
                <c:pt idx="22">
                  <c:v>95.4</c:v>
                </c:pt>
                <c:pt idx="23">
                  <c:v>93.4</c:v>
                </c:pt>
                <c:pt idx="24">
                  <c:v>94.1</c:v>
                </c:pt>
                <c:pt idx="25">
                  <c:v>96.1</c:v>
                </c:pt>
                <c:pt idx="26">
                  <c:v>95</c:v>
                </c:pt>
                <c:pt idx="27">
                  <c:v>94.3</c:v>
                </c:pt>
                <c:pt idx="28">
                  <c:v>95.1</c:v>
                </c:pt>
                <c:pt idx="29">
                  <c:v>93.1</c:v>
                </c:pt>
                <c:pt idx="30">
                  <c:v>89.9</c:v>
                </c:pt>
                <c:pt idx="31">
                  <c:v>87</c:v>
                </c:pt>
                <c:pt idx="32">
                  <c:v>83.9</c:v>
                </c:pt>
                <c:pt idx="33">
                  <c:v>81</c:v>
                </c:pt>
                <c:pt idx="34">
                  <c:v>78</c:v>
                </c:pt>
                <c:pt idx="35">
                  <c:v>77.900000000000006</c:v>
                </c:pt>
                <c:pt idx="36">
                  <c:v>77.8</c:v>
                </c:pt>
                <c:pt idx="37">
                  <c:v>79</c:v>
                </c:pt>
                <c:pt idx="38">
                  <c:v>79</c:v>
                </c:pt>
                <c:pt idx="39">
                  <c:v>79.900000000000006</c:v>
                </c:pt>
                <c:pt idx="40">
                  <c:v>80.8</c:v>
                </c:pt>
                <c:pt idx="41">
                  <c:v>78.099999999999994</c:v>
                </c:pt>
                <c:pt idx="42">
                  <c:v>78.8</c:v>
                </c:pt>
                <c:pt idx="43">
                  <c:v>80.599999999999994</c:v>
                </c:pt>
                <c:pt idx="44">
                  <c:v>82.9</c:v>
                </c:pt>
                <c:pt idx="45">
                  <c:v>83.6</c:v>
                </c:pt>
                <c:pt idx="46">
                  <c:v>84.9</c:v>
                </c:pt>
                <c:pt idx="47">
                  <c:v>86</c:v>
                </c:pt>
                <c:pt idx="48">
                  <c:v>89</c:v>
                </c:pt>
                <c:pt idx="49">
                  <c:v>91.5</c:v>
                </c:pt>
                <c:pt idx="50">
                  <c:v>93.1</c:v>
                </c:pt>
                <c:pt idx="51">
                  <c:v>95.5</c:v>
                </c:pt>
                <c:pt idx="52">
                  <c:v>98.3</c:v>
                </c:pt>
                <c:pt idx="53">
                  <c:v>101.4</c:v>
                </c:pt>
                <c:pt idx="54">
                  <c:v>103.3</c:v>
                </c:pt>
                <c:pt idx="55">
                  <c:v>105.6</c:v>
                </c:pt>
                <c:pt idx="56">
                  <c:v>108</c:v>
                </c:pt>
                <c:pt idx="57">
                  <c:v>109.7</c:v>
                </c:pt>
                <c:pt idx="58">
                  <c:v>109.8</c:v>
                </c:pt>
                <c:pt idx="59">
                  <c:v>109.8</c:v>
                </c:pt>
                <c:pt idx="60">
                  <c:v>110.5</c:v>
                </c:pt>
                <c:pt idx="61">
                  <c:v>110.7</c:v>
                </c:pt>
                <c:pt idx="62">
                  <c:v>109.2</c:v>
                </c:pt>
                <c:pt idx="63">
                  <c:v>107.8</c:v>
                </c:pt>
                <c:pt idx="64">
                  <c:v>107.3</c:v>
                </c:pt>
                <c:pt idx="65">
                  <c:v>106.3</c:v>
                </c:pt>
                <c:pt idx="66">
                  <c:v>105.6</c:v>
                </c:pt>
                <c:pt idx="67">
                  <c:v>103.8</c:v>
                </c:pt>
                <c:pt idx="68">
                  <c:v>102</c:v>
                </c:pt>
                <c:pt idx="69">
                  <c:v>100.6</c:v>
                </c:pt>
                <c:pt idx="70">
                  <c:v>98.7</c:v>
                </c:pt>
                <c:pt idx="71">
                  <c:v>96.5</c:v>
                </c:pt>
                <c:pt idx="72">
                  <c:v>95.9</c:v>
                </c:pt>
                <c:pt idx="73">
                  <c:v>93.9</c:v>
                </c:pt>
                <c:pt idx="74">
                  <c:v>93.1</c:v>
                </c:pt>
                <c:pt idx="75">
                  <c:v>94.5</c:v>
                </c:pt>
                <c:pt idx="76">
                  <c:v>92.9</c:v>
                </c:pt>
                <c:pt idx="77">
                  <c:v>94.5</c:v>
                </c:pt>
                <c:pt idx="78">
                  <c:v>95.5</c:v>
                </c:pt>
                <c:pt idx="79">
                  <c:v>95.8</c:v>
                </c:pt>
                <c:pt idx="80">
                  <c:v>96.6</c:v>
                </c:pt>
                <c:pt idx="81">
                  <c:v>99.9</c:v>
                </c:pt>
                <c:pt idx="82">
                  <c:v>99.5</c:v>
                </c:pt>
                <c:pt idx="83">
                  <c:v>99</c:v>
                </c:pt>
                <c:pt idx="84">
                  <c:v>102.3</c:v>
                </c:pt>
                <c:pt idx="85">
                  <c:v>102.7</c:v>
                </c:pt>
                <c:pt idx="86">
                  <c:v>103.6</c:v>
                </c:pt>
                <c:pt idx="87">
                  <c:v>103.5</c:v>
                </c:pt>
                <c:pt idx="88">
                  <c:v>105.7</c:v>
                </c:pt>
                <c:pt idx="89">
                  <c:v>106</c:v>
                </c:pt>
                <c:pt idx="90">
                  <c:v>108.3</c:v>
                </c:pt>
                <c:pt idx="91">
                  <c:v>108.8</c:v>
                </c:pt>
                <c:pt idx="92">
                  <c:v>110.4</c:v>
                </c:pt>
                <c:pt idx="93">
                  <c:v>110.3</c:v>
                </c:pt>
                <c:pt idx="94">
                  <c:v>111.2</c:v>
                </c:pt>
                <c:pt idx="95">
                  <c:v>112.6</c:v>
                </c:pt>
                <c:pt idx="96">
                  <c:v>111.4</c:v>
                </c:pt>
                <c:pt idx="97">
                  <c:v>111.6</c:v>
                </c:pt>
                <c:pt idx="98">
                  <c:v>112.4</c:v>
                </c:pt>
                <c:pt idx="99">
                  <c:v>112.4</c:v>
                </c:pt>
                <c:pt idx="100">
                  <c:v>112.6</c:v>
                </c:pt>
                <c:pt idx="101">
                  <c:v>113</c:v>
                </c:pt>
                <c:pt idx="102">
                  <c:v>111.7</c:v>
                </c:pt>
                <c:pt idx="103">
                  <c:v>110.2</c:v>
                </c:pt>
                <c:pt idx="104">
                  <c:v>108.4</c:v>
                </c:pt>
                <c:pt idx="105">
                  <c:v>104.7</c:v>
                </c:pt>
                <c:pt idx="106">
                  <c:v>105.2</c:v>
                </c:pt>
                <c:pt idx="107">
                  <c:v>105</c:v>
                </c:pt>
                <c:pt idx="108">
                  <c:v>103.7</c:v>
                </c:pt>
                <c:pt idx="109">
                  <c:v>103.7</c:v>
                </c:pt>
                <c:pt idx="110">
                  <c:v>103.7</c:v>
                </c:pt>
                <c:pt idx="111">
                  <c:v>102.6</c:v>
                </c:pt>
                <c:pt idx="112">
                  <c:v>103.8</c:v>
                </c:pt>
                <c:pt idx="113">
                  <c:v>104.1</c:v>
                </c:pt>
                <c:pt idx="114">
                  <c:v>104.9</c:v>
                </c:pt>
                <c:pt idx="115">
                  <c:v>106</c:v>
                </c:pt>
                <c:pt idx="116">
                  <c:v>108.4</c:v>
                </c:pt>
                <c:pt idx="117">
                  <c:v>110.3</c:v>
                </c:pt>
                <c:pt idx="118">
                  <c:v>111</c:v>
                </c:pt>
                <c:pt idx="119">
                  <c:v>112.5</c:v>
                </c:pt>
                <c:pt idx="120">
                  <c:v>113.9</c:v>
                </c:pt>
                <c:pt idx="121">
                  <c:v>114.9</c:v>
                </c:pt>
                <c:pt idx="122">
                  <c:v>115.5</c:v>
                </c:pt>
                <c:pt idx="123">
                  <c:v>115.8</c:v>
                </c:pt>
                <c:pt idx="124">
                  <c:v>116.7</c:v>
                </c:pt>
                <c:pt idx="125">
                  <c:v>115.4</c:v>
                </c:pt>
                <c:pt idx="126">
                  <c:v>115.2</c:v>
                </c:pt>
                <c:pt idx="127">
                  <c:v>115.8</c:v>
                </c:pt>
                <c:pt idx="128">
                  <c:v>113.5</c:v>
                </c:pt>
                <c:pt idx="129">
                  <c:v>114.9</c:v>
                </c:pt>
                <c:pt idx="130">
                  <c:v>113.1</c:v>
                </c:pt>
                <c:pt idx="131">
                  <c:v>113.2</c:v>
                </c:pt>
                <c:pt idx="132">
                  <c:v>113.8</c:v>
                </c:pt>
                <c:pt idx="133">
                  <c:v>110.8</c:v>
                </c:pt>
                <c:pt idx="134">
                  <c:v>109</c:v>
                </c:pt>
                <c:pt idx="135">
                  <c:v>108.4</c:v>
                </c:pt>
                <c:pt idx="136">
                  <c:v>105.2</c:v>
                </c:pt>
                <c:pt idx="137">
                  <c:v>105.4</c:v>
                </c:pt>
                <c:pt idx="138">
                  <c:v>104.3</c:v>
                </c:pt>
                <c:pt idx="139">
                  <c:v>101.1</c:v>
                </c:pt>
                <c:pt idx="140">
                  <c:v>98.1</c:v>
                </c:pt>
                <c:pt idx="141">
                  <c:v>94</c:v>
                </c:pt>
                <c:pt idx="142">
                  <c:v>91.7</c:v>
                </c:pt>
                <c:pt idx="143">
                  <c:v>92.8</c:v>
                </c:pt>
                <c:pt idx="144">
                  <c:v>95.8</c:v>
                </c:pt>
                <c:pt idx="145">
                  <c:v>96.6</c:v>
                </c:pt>
                <c:pt idx="146">
                  <c:v>98.7</c:v>
                </c:pt>
                <c:pt idx="147">
                  <c:v>100.4</c:v>
                </c:pt>
                <c:pt idx="148">
                  <c:v>100.5</c:v>
                </c:pt>
                <c:pt idx="149">
                  <c:v>99.3</c:v>
                </c:pt>
                <c:pt idx="150">
                  <c:v>98.1</c:v>
                </c:pt>
                <c:pt idx="151">
                  <c:v>96.9</c:v>
                </c:pt>
                <c:pt idx="152">
                  <c:v>97.9</c:v>
                </c:pt>
                <c:pt idx="153">
                  <c:v>96.7</c:v>
                </c:pt>
                <c:pt idx="154">
                  <c:v>96.8</c:v>
                </c:pt>
                <c:pt idx="155">
                  <c:v>93.8</c:v>
                </c:pt>
                <c:pt idx="156">
                  <c:v>94.3</c:v>
                </c:pt>
                <c:pt idx="157">
                  <c:v>94.2</c:v>
                </c:pt>
                <c:pt idx="158">
                  <c:v>91.9</c:v>
                </c:pt>
                <c:pt idx="159">
                  <c:v>93.7</c:v>
                </c:pt>
                <c:pt idx="160">
                  <c:v>93.2</c:v>
                </c:pt>
                <c:pt idx="161">
                  <c:v>93.9</c:v>
                </c:pt>
                <c:pt idx="162">
                  <c:v>94.1</c:v>
                </c:pt>
                <c:pt idx="163">
                  <c:v>97.1</c:v>
                </c:pt>
                <c:pt idx="164">
                  <c:v>97.8</c:v>
                </c:pt>
                <c:pt idx="165">
                  <c:v>98.6</c:v>
                </c:pt>
                <c:pt idx="166">
                  <c:v>101</c:v>
                </c:pt>
                <c:pt idx="167">
                  <c:v>100.5</c:v>
                </c:pt>
                <c:pt idx="168">
                  <c:v>101.5</c:v>
                </c:pt>
                <c:pt idx="169">
                  <c:v>101.9</c:v>
                </c:pt>
                <c:pt idx="170">
                  <c:v>101.7</c:v>
                </c:pt>
                <c:pt idx="171">
                  <c:v>103.7</c:v>
                </c:pt>
                <c:pt idx="172">
                  <c:v>103.7</c:v>
                </c:pt>
                <c:pt idx="173">
                  <c:v>104.5</c:v>
                </c:pt>
                <c:pt idx="174">
                  <c:v>103.7</c:v>
                </c:pt>
                <c:pt idx="175">
                  <c:v>104.3</c:v>
                </c:pt>
                <c:pt idx="176">
                  <c:v>105.1</c:v>
                </c:pt>
                <c:pt idx="177">
                  <c:v>105.4</c:v>
                </c:pt>
                <c:pt idx="178">
                  <c:v>104.6</c:v>
                </c:pt>
                <c:pt idx="179">
                  <c:v>104.2</c:v>
                </c:pt>
                <c:pt idx="180">
                  <c:v>104.1</c:v>
                </c:pt>
                <c:pt idx="181">
                  <c:v>102.3</c:v>
                </c:pt>
                <c:pt idx="182">
                  <c:v>100.8</c:v>
                </c:pt>
                <c:pt idx="183">
                  <c:v>100</c:v>
                </c:pt>
                <c:pt idx="184">
                  <c:v>99.3</c:v>
                </c:pt>
                <c:pt idx="185">
                  <c:v>98.7</c:v>
                </c:pt>
                <c:pt idx="186">
                  <c:v>100.2</c:v>
                </c:pt>
                <c:pt idx="187">
                  <c:v>100</c:v>
                </c:pt>
                <c:pt idx="188">
                  <c:v>101.5</c:v>
                </c:pt>
                <c:pt idx="189">
                  <c:v>102.9</c:v>
                </c:pt>
                <c:pt idx="190">
                  <c:v>102</c:v>
                </c:pt>
                <c:pt idx="191">
                  <c:v>102.6</c:v>
                </c:pt>
                <c:pt idx="192">
                  <c:v>103.4</c:v>
                </c:pt>
                <c:pt idx="193">
                  <c:v>105</c:v>
                </c:pt>
                <c:pt idx="194">
                  <c:v>105.3</c:v>
                </c:pt>
                <c:pt idx="195">
                  <c:v>108.9</c:v>
                </c:pt>
                <c:pt idx="196">
                  <c:v>108.8</c:v>
                </c:pt>
                <c:pt idx="197">
                  <c:v>109.2</c:v>
                </c:pt>
                <c:pt idx="198">
                  <c:v>110.1</c:v>
                </c:pt>
                <c:pt idx="199">
                  <c:v>109.3</c:v>
                </c:pt>
                <c:pt idx="200">
                  <c:v>110.5</c:v>
                </c:pt>
                <c:pt idx="201">
                  <c:v>111</c:v>
                </c:pt>
                <c:pt idx="202">
                  <c:v>111.9</c:v>
                </c:pt>
                <c:pt idx="203">
                  <c:v>112.4</c:v>
                </c:pt>
                <c:pt idx="204">
                  <c:v>111.5</c:v>
                </c:pt>
                <c:pt idx="205">
                  <c:v>112.1</c:v>
                </c:pt>
                <c:pt idx="206">
                  <c:v>113.5</c:v>
                </c:pt>
                <c:pt idx="207">
                  <c:v>113.1</c:v>
                </c:pt>
                <c:pt idx="208">
                  <c:v>114.3</c:v>
                </c:pt>
                <c:pt idx="209">
                  <c:v>114.2</c:v>
                </c:pt>
                <c:pt idx="210">
                  <c:v>112.7</c:v>
                </c:pt>
                <c:pt idx="211">
                  <c:v>112.2</c:v>
                </c:pt>
                <c:pt idx="212">
                  <c:v>110.9</c:v>
                </c:pt>
                <c:pt idx="213">
                  <c:v>109.8</c:v>
                </c:pt>
                <c:pt idx="214">
                  <c:v>108.3</c:v>
                </c:pt>
                <c:pt idx="215">
                  <c:v>107.3</c:v>
                </c:pt>
                <c:pt idx="216">
                  <c:v>106</c:v>
                </c:pt>
                <c:pt idx="217">
                  <c:v>103.4</c:v>
                </c:pt>
                <c:pt idx="218">
                  <c:v>104.6</c:v>
                </c:pt>
                <c:pt idx="219">
                  <c:v>102</c:v>
                </c:pt>
                <c:pt idx="220">
                  <c:v>100.5</c:v>
                </c:pt>
                <c:pt idx="221">
                  <c:v>97.7</c:v>
                </c:pt>
                <c:pt idx="222">
                  <c:v>94.5</c:v>
                </c:pt>
                <c:pt idx="223">
                  <c:v>92.8</c:v>
                </c:pt>
                <c:pt idx="224">
                  <c:v>90.7</c:v>
                </c:pt>
                <c:pt idx="225">
                  <c:v>84.2</c:v>
                </c:pt>
                <c:pt idx="226">
                  <c:v>79.3</c:v>
                </c:pt>
                <c:pt idx="227">
                  <c:v>72.8</c:v>
                </c:pt>
                <c:pt idx="228">
                  <c:v>71.2</c:v>
                </c:pt>
                <c:pt idx="229">
                  <c:v>68.7</c:v>
                </c:pt>
                <c:pt idx="230">
                  <c:v>67.400000000000006</c:v>
                </c:pt>
                <c:pt idx="231">
                  <c:v>70.400000000000006</c:v>
                </c:pt>
                <c:pt idx="232">
                  <c:v>74.099999999999994</c:v>
                </c:pt>
                <c:pt idx="233">
                  <c:v>77.099999999999994</c:v>
                </c:pt>
                <c:pt idx="234">
                  <c:v>79.8</c:v>
                </c:pt>
                <c:pt idx="235">
                  <c:v>84.5</c:v>
                </c:pt>
                <c:pt idx="236">
                  <c:v>86.9</c:v>
                </c:pt>
                <c:pt idx="237">
                  <c:v>89.8</c:v>
                </c:pt>
                <c:pt idx="238">
                  <c:v>91.7</c:v>
                </c:pt>
                <c:pt idx="239">
                  <c:v>94.3</c:v>
                </c:pt>
                <c:pt idx="240">
                  <c:v>96.4</c:v>
                </c:pt>
                <c:pt idx="241">
                  <c:v>97.7</c:v>
                </c:pt>
                <c:pt idx="242">
                  <c:v>99.6</c:v>
                </c:pt>
                <c:pt idx="243">
                  <c:v>101.2</c:v>
                </c:pt>
                <c:pt idx="244">
                  <c:v>99.9</c:v>
                </c:pt>
                <c:pt idx="245">
                  <c:v>100.3</c:v>
                </c:pt>
                <c:pt idx="246">
                  <c:v>102.2</c:v>
                </c:pt>
                <c:pt idx="247">
                  <c:v>103</c:v>
                </c:pt>
                <c:pt idx="248">
                  <c:v>103.8</c:v>
                </c:pt>
                <c:pt idx="249">
                  <c:v>104.3</c:v>
                </c:pt>
                <c:pt idx="250">
                  <c:v>105.5</c:v>
                </c:pt>
                <c:pt idx="251">
                  <c:v>106.5</c:v>
                </c:pt>
                <c:pt idx="252">
                  <c:v>106.1</c:v>
                </c:pt>
                <c:pt idx="253">
                  <c:v>107.7</c:v>
                </c:pt>
                <c:pt idx="254">
                  <c:v>107.7</c:v>
                </c:pt>
                <c:pt idx="255">
                  <c:v>105.5</c:v>
                </c:pt>
                <c:pt idx="256">
                  <c:v>105.6</c:v>
                </c:pt>
                <c:pt idx="257">
                  <c:v>104.6</c:v>
                </c:pt>
                <c:pt idx="258">
                  <c:v>102.6</c:v>
                </c:pt>
                <c:pt idx="259">
                  <c:v>97.9</c:v>
                </c:pt>
                <c:pt idx="260">
                  <c:v>94.4</c:v>
                </c:pt>
                <c:pt idx="261">
                  <c:v>94.3</c:v>
                </c:pt>
                <c:pt idx="262">
                  <c:v>93.4</c:v>
                </c:pt>
                <c:pt idx="263">
                  <c:v>92.4</c:v>
                </c:pt>
                <c:pt idx="264">
                  <c:v>93.5</c:v>
                </c:pt>
                <c:pt idx="265">
                  <c:v>94.8</c:v>
                </c:pt>
                <c:pt idx="266">
                  <c:v>93.9</c:v>
                </c:pt>
                <c:pt idx="267">
                  <c:v>94.2</c:v>
                </c:pt>
                <c:pt idx="268">
                  <c:v>91.5</c:v>
                </c:pt>
                <c:pt idx="269">
                  <c:v>91.5</c:v>
                </c:pt>
                <c:pt idx="270">
                  <c:v>89.9</c:v>
                </c:pt>
                <c:pt idx="271">
                  <c:v>88</c:v>
                </c:pt>
                <c:pt idx="272">
                  <c:v>87</c:v>
                </c:pt>
                <c:pt idx="273">
                  <c:v>87.1</c:v>
                </c:pt>
                <c:pt idx="274">
                  <c:v>89.1</c:v>
                </c:pt>
                <c:pt idx="275">
                  <c:v>89.3</c:v>
                </c:pt>
                <c:pt idx="276">
                  <c:v>90.9</c:v>
                </c:pt>
                <c:pt idx="277">
                  <c:v>91.5</c:v>
                </c:pt>
                <c:pt idx="278">
                  <c:v>91.5</c:v>
                </c:pt>
                <c:pt idx="279">
                  <c:v>89.7</c:v>
                </c:pt>
                <c:pt idx="280">
                  <c:v>90.8</c:v>
                </c:pt>
                <c:pt idx="281">
                  <c:v>92.6</c:v>
                </c:pt>
                <c:pt idx="282">
                  <c:v>95.1</c:v>
                </c:pt>
                <c:pt idx="283">
                  <c:v>98.2</c:v>
                </c:pt>
                <c:pt idx="284">
                  <c:v>100.7</c:v>
                </c:pt>
                <c:pt idx="285">
                  <c:v>101.7</c:v>
                </c:pt>
                <c:pt idx="286">
                  <c:v>102.3</c:v>
                </c:pt>
                <c:pt idx="287">
                  <c:v>103.7</c:v>
                </c:pt>
                <c:pt idx="288">
                  <c:v>104.6</c:v>
                </c:pt>
                <c:pt idx="289">
                  <c:v>104.9</c:v>
                </c:pt>
                <c:pt idx="290">
                  <c:v>105.3</c:v>
                </c:pt>
                <c:pt idx="291">
                  <c:v>106.2</c:v>
                </c:pt>
                <c:pt idx="292">
                  <c:v>106.4</c:v>
                </c:pt>
                <c:pt idx="293">
                  <c:v>106.4</c:v>
                </c:pt>
                <c:pt idx="294">
                  <c:v>105.8</c:v>
                </c:pt>
                <c:pt idx="295">
                  <c:v>104.6</c:v>
                </c:pt>
                <c:pt idx="296">
                  <c:v>103.5</c:v>
                </c:pt>
                <c:pt idx="297">
                  <c:v>104.1</c:v>
                </c:pt>
                <c:pt idx="298">
                  <c:v>104</c:v>
                </c:pt>
                <c:pt idx="299">
                  <c:v>104.1</c:v>
                </c:pt>
                <c:pt idx="300">
                  <c:v>104.7</c:v>
                </c:pt>
              </c:numCache>
            </c:numRef>
          </c:val>
        </c:ser>
        <c:ser>
          <c:idx val="1"/>
          <c:order val="1"/>
          <c:tx>
            <c:v>EA</c:v>
          </c:tx>
          <c:spPr>
            <a:ln w="12700"/>
          </c:spPr>
          <c:marker>
            <c:symbol val="none"/>
          </c:marker>
          <c:dLbls>
            <c:dLbl>
              <c:idx val="36"/>
              <c:layout>
                <c:manualLayout>
                  <c:x val="0.12474336747345709"/>
                  <c:y val="2.6241014271174482E-2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Prosjek</a:t>
                    </a:r>
                    <a:r>
                      <a:rPr lang="en-US" sz="600" baseline="0"/>
                      <a:t> 1990-2014=100</a:t>
                    </a:r>
                    <a:endParaRPr lang="en-US" sz="600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'ESI MONTHLY'!$B$62:$B$343</c:f>
              <c:numCache>
                <c:formatCode>0</c:formatCode>
                <c:ptCount val="282"/>
                <c:pt idx="0">
                  <c:v>1990</c:v>
                </c:pt>
                <c:pt idx="1">
                  <c:v>1990</c:v>
                </c:pt>
                <c:pt idx="2">
                  <c:v>1990</c:v>
                </c:pt>
                <c:pt idx="3">
                  <c:v>1990</c:v>
                </c:pt>
                <c:pt idx="4">
                  <c:v>1990</c:v>
                </c:pt>
                <c:pt idx="5">
                  <c:v>1990</c:v>
                </c:pt>
                <c:pt idx="6">
                  <c:v>1990</c:v>
                </c:pt>
                <c:pt idx="7">
                  <c:v>1990</c:v>
                </c:pt>
                <c:pt idx="8">
                  <c:v>1990</c:v>
                </c:pt>
                <c:pt idx="9">
                  <c:v>1990</c:v>
                </c:pt>
                <c:pt idx="10">
                  <c:v>1990</c:v>
                </c:pt>
                <c:pt idx="11">
                  <c:v>1990</c:v>
                </c:pt>
                <c:pt idx="12">
                  <c:v>1991</c:v>
                </c:pt>
                <c:pt idx="13">
                  <c:v>1991</c:v>
                </c:pt>
                <c:pt idx="14">
                  <c:v>1991</c:v>
                </c:pt>
                <c:pt idx="15">
                  <c:v>1991</c:v>
                </c:pt>
                <c:pt idx="16">
                  <c:v>1991</c:v>
                </c:pt>
                <c:pt idx="17">
                  <c:v>1991</c:v>
                </c:pt>
                <c:pt idx="18">
                  <c:v>1991</c:v>
                </c:pt>
                <c:pt idx="19">
                  <c:v>1991</c:v>
                </c:pt>
                <c:pt idx="20">
                  <c:v>1991</c:v>
                </c:pt>
                <c:pt idx="21">
                  <c:v>1991</c:v>
                </c:pt>
                <c:pt idx="22">
                  <c:v>1991</c:v>
                </c:pt>
                <c:pt idx="23">
                  <c:v>1991</c:v>
                </c:pt>
                <c:pt idx="24">
                  <c:v>1992</c:v>
                </c:pt>
                <c:pt idx="25">
                  <c:v>1992</c:v>
                </c:pt>
                <c:pt idx="26">
                  <c:v>1992</c:v>
                </c:pt>
                <c:pt idx="27">
                  <c:v>1992</c:v>
                </c:pt>
                <c:pt idx="28">
                  <c:v>1992</c:v>
                </c:pt>
                <c:pt idx="29">
                  <c:v>1992</c:v>
                </c:pt>
                <c:pt idx="30">
                  <c:v>1992</c:v>
                </c:pt>
                <c:pt idx="31">
                  <c:v>1992</c:v>
                </c:pt>
                <c:pt idx="32">
                  <c:v>1992</c:v>
                </c:pt>
                <c:pt idx="33">
                  <c:v>1992</c:v>
                </c:pt>
                <c:pt idx="34">
                  <c:v>1992</c:v>
                </c:pt>
                <c:pt idx="35">
                  <c:v>1992</c:v>
                </c:pt>
                <c:pt idx="36">
                  <c:v>1993</c:v>
                </c:pt>
                <c:pt idx="37">
                  <c:v>1993</c:v>
                </c:pt>
                <c:pt idx="38">
                  <c:v>1993</c:v>
                </c:pt>
                <c:pt idx="39">
                  <c:v>1993</c:v>
                </c:pt>
                <c:pt idx="40">
                  <c:v>1993</c:v>
                </c:pt>
                <c:pt idx="41">
                  <c:v>1993</c:v>
                </c:pt>
                <c:pt idx="42">
                  <c:v>1993</c:v>
                </c:pt>
                <c:pt idx="43">
                  <c:v>1993</c:v>
                </c:pt>
                <c:pt idx="44">
                  <c:v>1993</c:v>
                </c:pt>
                <c:pt idx="45">
                  <c:v>1993</c:v>
                </c:pt>
                <c:pt idx="46">
                  <c:v>1993</c:v>
                </c:pt>
                <c:pt idx="47">
                  <c:v>1993</c:v>
                </c:pt>
                <c:pt idx="48">
                  <c:v>1994</c:v>
                </c:pt>
                <c:pt idx="49">
                  <c:v>1994</c:v>
                </c:pt>
                <c:pt idx="50">
                  <c:v>1994</c:v>
                </c:pt>
                <c:pt idx="51">
                  <c:v>1994</c:v>
                </c:pt>
                <c:pt idx="52">
                  <c:v>1994</c:v>
                </c:pt>
                <c:pt idx="53">
                  <c:v>1994</c:v>
                </c:pt>
                <c:pt idx="54">
                  <c:v>1994</c:v>
                </c:pt>
                <c:pt idx="55">
                  <c:v>1994</c:v>
                </c:pt>
                <c:pt idx="56">
                  <c:v>1994</c:v>
                </c:pt>
                <c:pt idx="57">
                  <c:v>1994</c:v>
                </c:pt>
                <c:pt idx="58">
                  <c:v>1994</c:v>
                </c:pt>
                <c:pt idx="59">
                  <c:v>1994</c:v>
                </c:pt>
                <c:pt idx="60">
                  <c:v>1995</c:v>
                </c:pt>
                <c:pt idx="61">
                  <c:v>1995</c:v>
                </c:pt>
                <c:pt idx="62">
                  <c:v>1995</c:v>
                </c:pt>
                <c:pt idx="63">
                  <c:v>1995</c:v>
                </c:pt>
                <c:pt idx="64">
                  <c:v>1995</c:v>
                </c:pt>
                <c:pt idx="65">
                  <c:v>1995</c:v>
                </c:pt>
                <c:pt idx="66">
                  <c:v>1995</c:v>
                </c:pt>
                <c:pt idx="67">
                  <c:v>1995</c:v>
                </c:pt>
                <c:pt idx="68">
                  <c:v>1995</c:v>
                </c:pt>
                <c:pt idx="69">
                  <c:v>1995</c:v>
                </c:pt>
                <c:pt idx="70">
                  <c:v>1995</c:v>
                </c:pt>
                <c:pt idx="71">
                  <c:v>1995</c:v>
                </c:pt>
                <c:pt idx="72">
                  <c:v>1996</c:v>
                </c:pt>
                <c:pt idx="73">
                  <c:v>1996</c:v>
                </c:pt>
                <c:pt idx="74">
                  <c:v>1996</c:v>
                </c:pt>
                <c:pt idx="75">
                  <c:v>1996</c:v>
                </c:pt>
                <c:pt idx="76">
                  <c:v>1996</c:v>
                </c:pt>
                <c:pt idx="77">
                  <c:v>1996</c:v>
                </c:pt>
                <c:pt idx="78">
                  <c:v>1996</c:v>
                </c:pt>
                <c:pt idx="79">
                  <c:v>1996</c:v>
                </c:pt>
                <c:pt idx="80">
                  <c:v>1996</c:v>
                </c:pt>
                <c:pt idx="81">
                  <c:v>1996</c:v>
                </c:pt>
                <c:pt idx="82">
                  <c:v>1996</c:v>
                </c:pt>
                <c:pt idx="83">
                  <c:v>1996</c:v>
                </c:pt>
                <c:pt idx="84">
                  <c:v>1997</c:v>
                </c:pt>
                <c:pt idx="85">
                  <c:v>1997</c:v>
                </c:pt>
                <c:pt idx="86">
                  <c:v>1997</c:v>
                </c:pt>
                <c:pt idx="87">
                  <c:v>1997</c:v>
                </c:pt>
                <c:pt idx="88">
                  <c:v>1997</c:v>
                </c:pt>
                <c:pt idx="89">
                  <c:v>1997</c:v>
                </c:pt>
                <c:pt idx="90">
                  <c:v>1997</c:v>
                </c:pt>
                <c:pt idx="91">
                  <c:v>1997</c:v>
                </c:pt>
                <c:pt idx="92">
                  <c:v>1997</c:v>
                </c:pt>
                <c:pt idx="93">
                  <c:v>1997</c:v>
                </c:pt>
                <c:pt idx="94">
                  <c:v>1997</c:v>
                </c:pt>
                <c:pt idx="95">
                  <c:v>1997</c:v>
                </c:pt>
                <c:pt idx="96">
                  <c:v>1998</c:v>
                </c:pt>
                <c:pt idx="97">
                  <c:v>1998</c:v>
                </c:pt>
                <c:pt idx="98">
                  <c:v>1998</c:v>
                </c:pt>
                <c:pt idx="99">
                  <c:v>1998</c:v>
                </c:pt>
                <c:pt idx="100">
                  <c:v>1998</c:v>
                </c:pt>
                <c:pt idx="101">
                  <c:v>1998</c:v>
                </c:pt>
                <c:pt idx="102">
                  <c:v>1998</c:v>
                </c:pt>
                <c:pt idx="103">
                  <c:v>1998</c:v>
                </c:pt>
                <c:pt idx="104">
                  <c:v>1998</c:v>
                </c:pt>
                <c:pt idx="105">
                  <c:v>1998</c:v>
                </c:pt>
                <c:pt idx="106">
                  <c:v>1998</c:v>
                </c:pt>
                <c:pt idx="107">
                  <c:v>1998</c:v>
                </c:pt>
                <c:pt idx="108">
                  <c:v>1999</c:v>
                </c:pt>
                <c:pt idx="109">
                  <c:v>1999</c:v>
                </c:pt>
                <c:pt idx="110">
                  <c:v>1999</c:v>
                </c:pt>
                <c:pt idx="111">
                  <c:v>1999</c:v>
                </c:pt>
                <c:pt idx="112">
                  <c:v>1999</c:v>
                </c:pt>
                <c:pt idx="113">
                  <c:v>1999</c:v>
                </c:pt>
                <c:pt idx="114">
                  <c:v>1999</c:v>
                </c:pt>
                <c:pt idx="115">
                  <c:v>1999</c:v>
                </c:pt>
                <c:pt idx="116">
                  <c:v>1999</c:v>
                </c:pt>
                <c:pt idx="117">
                  <c:v>1999</c:v>
                </c:pt>
                <c:pt idx="118">
                  <c:v>1999</c:v>
                </c:pt>
                <c:pt idx="119">
                  <c:v>1999</c:v>
                </c:pt>
                <c:pt idx="120">
                  <c:v>2000</c:v>
                </c:pt>
                <c:pt idx="121">
                  <c:v>2000</c:v>
                </c:pt>
                <c:pt idx="122">
                  <c:v>2000</c:v>
                </c:pt>
                <c:pt idx="123">
                  <c:v>2000</c:v>
                </c:pt>
                <c:pt idx="124">
                  <c:v>2000</c:v>
                </c:pt>
                <c:pt idx="125">
                  <c:v>2000</c:v>
                </c:pt>
                <c:pt idx="126">
                  <c:v>2000</c:v>
                </c:pt>
                <c:pt idx="127">
                  <c:v>2000</c:v>
                </c:pt>
                <c:pt idx="128">
                  <c:v>2000</c:v>
                </c:pt>
                <c:pt idx="129">
                  <c:v>2000</c:v>
                </c:pt>
                <c:pt idx="130">
                  <c:v>2000</c:v>
                </c:pt>
                <c:pt idx="131">
                  <c:v>2000</c:v>
                </c:pt>
                <c:pt idx="132">
                  <c:v>2001</c:v>
                </c:pt>
                <c:pt idx="133">
                  <c:v>2001</c:v>
                </c:pt>
                <c:pt idx="134">
                  <c:v>2001</c:v>
                </c:pt>
                <c:pt idx="135">
                  <c:v>2001</c:v>
                </c:pt>
                <c:pt idx="136">
                  <c:v>2001</c:v>
                </c:pt>
                <c:pt idx="137">
                  <c:v>2001</c:v>
                </c:pt>
                <c:pt idx="138">
                  <c:v>2001</c:v>
                </c:pt>
                <c:pt idx="139">
                  <c:v>2001</c:v>
                </c:pt>
                <c:pt idx="140">
                  <c:v>2001</c:v>
                </c:pt>
                <c:pt idx="141">
                  <c:v>2001</c:v>
                </c:pt>
                <c:pt idx="142">
                  <c:v>2001</c:v>
                </c:pt>
                <c:pt idx="143">
                  <c:v>2001</c:v>
                </c:pt>
                <c:pt idx="144">
                  <c:v>2002</c:v>
                </c:pt>
                <c:pt idx="145">
                  <c:v>2002</c:v>
                </c:pt>
                <c:pt idx="146">
                  <c:v>2002</c:v>
                </c:pt>
                <c:pt idx="147">
                  <c:v>2002</c:v>
                </c:pt>
                <c:pt idx="148">
                  <c:v>2002</c:v>
                </c:pt>
                <c:pt idx="149">
                  <c:v>2002</c:v>
                </c:pt>
                <c:pt idx="150">
                  <c:v>2002</c:v>
                </c:pt>
                <c:pt idx="151">
                  <c:v>2002</c:v>
                </c:pt>
                <c:pt idx="152">
                  <c:v>2002</c:v>
                </c:pt>
                <c:pt idx="153">
                  <c:v>2002</c:v>
                </c:pt>
                <c:pt idx="154">
                  <c:v>2002</c:v>
                </c:pt>
                <c:pt idx="155">
                  <c:v>2002</c:v>
                </c:pt>
                <c:pt idx="156">
                  <c:v>2003</c:v>
                </c:pt>
                <c:pt idx="157">
                  <c:v>2003</c:v>
                </c:pt>
                <c:pt idx="158">
                  <c:v>2003</c:v>
                </c:pt>
                <c:pt idx="159">
                  <c:v>2003</c:v>
                </c:pt>
                <c:pt idx="160">
                  <c:v>2003</c:v>
                </c:pt>
                <c:pt idx="161">
                  <c:v>2003</c:v>
                </c:pt>
                <c:pt idx="162">
                  <c:v>2003</c:v>
                </c:pt>
                <c:pt idx="163">
                  <c:v>2003</c:v>
                </c:pt>
                <c:pt idx="164">
                  <c:v>2003</c:v>
                </c:pt>
                <c:pt idx="165">
                  <c:v>2003</c:v>
                </c:pt>
                <c:pt idx="166">
                  <c:v>2003</c:v>
                </c:pt>
                <c:pt idx="167">
                  <c:v>2003</c:v>
                </c:pt>
                <c:pt idx="168">
                  <c:v>2004</c:v>
                </c:pt>
                <c:pt idx="169">
                  <c:v>2004</c:v>
                </c:pt>
                <c:pt idx="170">
                  <c:v>2004</c:v>
                </c:pt>
                <c:pt idx="171">
                  <c:v>2004</c:v>
                </c:pt>
                <c:pt idx="172">
                  <c:v>2004</c:v>
                </c:pt>
                <c:pt idx="173">
                  <c:v>2004</c:v>
                </c:pt>
                <c:pt idx="174">
                  <c:v>2004</c:v>
                </c:pt>
                <c:pt idx="175">
                  <c:v>2004</c:v>
                </c:pt>
                <c:pt idx="176">
                  <c:v>2004</c:v>
                </c:pt>
                <c:pt idx="177">
                  <c:v>2004</c:v>
                </c:pt>
                <c:pt idx="178">
                  <c:v>2004</c:v>
                </c:pt>
                <c:pt idx="179">
                  <c:v>2004</c:v>
                </c:pt>
                <c:pt idx="180">
                  <c:v>2005</c:v>
                </c:pt>
                <c:pt idx="181">
                  <c:v>2005</c:v>
                </c:pt>
                <c:pt idx="182">
                  <c:v>2005</c:v>
                </c:pt>
                <c:pt idx="183">
                  <c:v>2005</c:v>
                </c:pt>
                <c:pt idx="184">
                  <c:v>2005</c:v>
                </c:pt>
                <c:pt idx="185">
                  <c:v>2005</c:v>
                </c:pt>
                <c:pt idx="186">
                  <c:v>2005</c:v>
                </c:pt>
                <c:pt idx="187">
                  <c:v>2005</c:v>
                </c:pt>
                <c:pt idx="188">
                  <c:v>2005</c:v>
                </c:pt>
                <c:pt idx="189">
                  <c:v>2005</c:v>
                </c:pt>
                <c:pt idx="190">
                  <c:v>2005</c:v>
                </c:pt>
                <c:pt idx="191">
                  <c:v>2005</c:v>
                </c:pt>
                <c:pt idx="192">
                  <c:v>2006</c:v>
                </c:pt>
                <c:pt idx="193">
                  <c:v>2006</c:v>
                </c:pt>
                <c:pt idx="194">
                  <c:v>2006</c:v>
                </c:pt>
                <c:pt idx="195">
                  <c:v>2006</c:v>
                </c:pt>
                <c:pt idx="196">
                  <c:v>2006</c:v>
                </c:pt>
                <c:pt idx="197">
                  <c:v>2006</c:v>
                </c:pt>
                <c:pt idx="198">
                  <c:v>2006</c:v>
                </c:pt>
                <c:pt idx="199">
                  <c:v>2006</c:v>
                </c:pt>
                <c:pt idx="200">
                  <c:v>2006</c:v>
                </c:pt>
                <c:pt idx="201">
                  <c:v>2006</c:v>
                </c:pt>
                <c:pt idx="202">
                  <c:v>2006</c:v>
                </c:pt>
                <c:pt idx="203">
                  <c:v>2006</c:v>
                </c:pt>
                <c:pt idx="204">
                  <c:v>2007</c:v>
                </c:pt>
                <c:pt idx="205">
                  <c:v>2007</c:v>
                </c:pt>
                <c:pt idx="206">
                  <c:v>2007</c:v>
                </c:pt>
                <c:pt idx="207">
                  <c:v>2007</c:v>
                </c:pt>
                <c:pt idx="208">
                  <c:v>2007</c:v>
                </c:pt>
                <c:pt idx="209">
                  <c:v>2007</c:v>
                </c:pt>
                <c:pt idx="210">
                  <c:v>2007</c:v>
                </c:pt>
                <c:pt idx="211">
                  <c:v>2007</c:v>
                </c:pt>
                <c:pt idx="212">
                  <c:v>2007</c:v>
                </c:pt>
                <c:pt idx="213">
                  <c:v>2007</c:v>
                </c:pt>
                <c:pt idx="214">
                  <c:v>2007</c:v>
                </c:pt>
                <c:pt idx="215">
                  <c:v>2007</c:v>
                </c:pt>
                <c:pt idx="216">
                  <c:v>2008</c:v>
                </c:pt>
                <c:pt idx="217">
                  <c:v>2008</c:v>
                </c:pt>
                <c:pt idx="218">
                  <c:v>2008</c:v>
                </c:pt>
                <c:pt idx="219">
                  <c:v>2008</c:v>
                </c:pt>
                <c:pt idx="220">
                  <c:v>2008</c:v>
                </c:pt>
                <c:pt idx="221">
                  <c:v>2008</c:v>
                </c:pt>
                <c:pt idx="222">
                  <c:v>2008</c:v>
                </c:pt>
                <c:pt idx="223">
                  <c:v>2008</c:v>
                </c:pt>
                <c:pt idx="224">
                  <c:v>2008</c:v>
                </c:pt>
                <c:pt idx="225">
                  <c:v>2008</c:v>
                </c:pt>
                <c:pt idx="226">
                  <c:v>2008</c:v>
                </c:pt>
                <c:pt idx="227">
                  <c:v>2008</c:v>
                </c:pt>
                <c:pt idx="228">
                  <c:v>2009</c:v>
                </c:pt>
                <c:pt idx="229">
                  <c:v>2009</c:v>
                </c:pt>
                <c:pt idx="230">
                  <c:v>2009</c:v>
                </c:pt>
                <c:pt idx="231">
                  <c:v>2009</c:v>
                </c:pt>
                <c:pt idx="232">
                  <c:v>2009</c:v>
                </c:pt>
                <c:pt idx="233">
                  <c:v>2009</c:v>
                </c:pt>
                <c:pt idx="234">
                  <c:v>2009</c:v>
                </c:pt>
                <c:pt idx="235">
                  <c:v>2009</c:v>
                </c:pt>
                <c:pt idx="236">
                  <c:v>2009</c:v>
                </c:pt>
                <c:pt idx="237">
                  <c:v>2009</c:v>
                </c:pt>
                <c:pt idx="238">
                  <c:v>2009</c:v>
                </c:pt>
                <c:pt idx="239">
                  <c:v>2009</c:v>
                </c:pt>
                <c:pt idx="240">
                  <c:v>2010</c:v>
                </c:pt>
                <c:pt idx="241">
                  <c:v>2010</c:v>
                </c:pt>
                <c:pt idx="242">
                  <c:v>2010</c:v>
                </c:pt>
                <c:pt idx="243">
                  <c:v>2010</c:v>
                </c:pt>
                <c:pt idx="244">
                  <c:v>2010</c:v>
                </c:pt>
                <c:pt idx="245">
                  <c:v>2010</c:v>
                </c:pt>
                <c:pt idx="246">
                  <c:v>2010</c:v>
                </c:pt>
                <c:pt idx="247">
                  <c:v>2010</c:v>
                </c:pt>
                <c:pt idx="248">
                  <c:v>2010</c:v>
                </c:pt>
                <c:pt idx="249">
                  <c:v>2010</c:v>
                </c:pt>
                <c:pt idx="250">
                  <c:v>2010</c:v>
                </c:pt>
                <c:pt idx="251">
                  <c:v>2010</c:v>
                </c:pt>
                <c:pt idx="252">
                  <c:v>2011</c:v>
                </c:pt>
                <c:pt idx="253">
                  <c:v>2011</c:v>
                </c:pt>
                <c:pt idx="254">
                  <c:v>2011</c:v>
                </c:pt>
                <c:pt idx="255">
                  <c:v>2011</c:v>
                </c:pt>
                <c:pt idx="256">
                  <c:v>2011</c:v>
                </c:pt>
                <c:pt idx="257">
                  <c:v>2011</c:v>
                </c:pt>
                <c:pt idx="258">
                  <c:v>2011</c:v>
                </c:pt>
                <c:pt idx="259">
                  <c:v>2011</c:v>
                </c:pt>
                <c:pt idx="260">
                  <c:v>2011</c:v>
                </c:pt>
                <c:pt idx="261">
                  <c:v>2011</c:v>
                </c:pt>
                <c:pt idx="262">
                  <c:v>2011</c:v>
                </c:pt>
                <c:pt idx="263">
                  <c:v>2011</c:v>
                </c:pt>
                <c:pt idx="264">
                  <c:v>2012</c:v>
                </c:pt>
                <c:pt idx="265">
                  <c:v>2012</c:v>
                </c:pt>
                <c:pt idx="266">
                  <c:v>2012</c:v>
                </c:pt>
                <c:pt idx="267">
                  <c:v>2012</c:v>
                </c:pt>
                <c:pt idx="268">
                  <c:v>2012</c:v>
                </c:pt>
                <c:pt idx="269">
                  <c:v>2012</c:v>
                </c:pt>
                <c:pt idx="270">
                  <c:v>2012</c:v>
                </c:pt>
                <c:pt idx="271">
                  <c:v>2012</c:v>
                </c:pt>
                <c:pt idx="272">
                  <c:v>2012</c:v>
                </c:pt>
                <c:pt idx="273">
                  <c:v>2012</c:v>
                </c:pt>
                <c:pt idx="274">
                  <c:v>2012</c:v>
                </c:pt>
                <c:pt idx="275">
                  <c:v>2012</c:v>
                </c:pt>
                <c:pt idx="276">
                  <c:v>2013</c:v>
                </c:pt>
                <c:pt idx="277">
                  <c:v>2013</c:v>
                </c:pt>
                <c:pt idx="278">
                  <c:v>2013</c:v>
                </c:pt>
                <c:pt idx="279">
                  <c:v>2013</c:v>
                </c:pt>
                <c:pt idx="280">
                  <c:v>2013</c:v>
                </c:pt>
                <c:pt idx="281">
                  <c:v>2013</c:v>
                </c:pt>
              </c:numCache>
            </c:numRef>
          </c:cat>
          <c:val>
            <c:numRef>
              <c:f>'ESI MONTHLY'!$O$62:$O$362</c:f>
              <c:numCache>
                <c:formatCode>0.0</c:formatCode>
                <c:ptCount val="301"/>
                <c:pt idx="0">
                  <c:v>113.3</c:v>
                </c:pt>
                <c:pt idx="1">
                  <c:v>111.9</c:v>
                </c:pt>
                <c:pt idx="2">
                  <c:v>112.8</c:v>
                </c:pt>
                <c:pt idx="3">
                  <c:v>112.7</c:v>
                </c:pt>
                <c:pt idx="4">
                  <c:v>111.9</c:v>
                </c:pt>
                <c:pt idx="5">
                  <c:v>111.4</c:v>
                </c:pt>
                <c:pt idx="6">
                  <c:v>111.6</c:v>
                </c:pt>
                <c:pt idx="7">
                  <c:v>110.8</c:v>
                </c:pt>
                <c:pt idx="8">
                  <c:v>108.1</c:v>
                </c:pt>
                <c:pt idx="9">
                  <c:v>106.2</c:v>
                </c:pt>
                <c:pt idx="10">
                  <c:v>105.9</c:v>
                </c:pt>
                <c:pt idx="11">
                  <c:v>105.9</c:v>
                </c:pt>
                <c:pt idx="12">
                  <c:v>104.1</c:v>
                </c:pt>
                <c:pt idx="13">
                  <c:v>101.7</c:v>
                </c:pt>
                <c:pt idx="14">
                  <c:v>102.5</c:v>
                </c:pt>
                <c:pt idx="15">
                  <c:v>101.2</c:v>
                </c:pt>
                <c:pt idx="16">
                  <c:v>101.4</c:v>
                </c:pt>
                <c:pt idx="17">
                  <c:v>99.5</c:v>
                </c:pt>
                <c:pt idx="18">
                  <c:v>97.5</c:v>
                </c:pt>
                <c:pt idx="19">
                  <c:v>97.8</c:v>
                </c:pt>
                <c:pt idx="20">
                  <c:v>97.6</c:v>
                </c:pt>
                <c:pt idx="21">
                  <c:v>96.9</c:v>
                </c:pt>
                <c:pt idx="22">
                  <c:v>97.3</c:v>
                </c:pt>
                <c:pt idx="23">
                  <c:v>96.2</c:v>
                </c:pt>
                <c:pt idx="24">
                  <c:v>96.8</c:v>
                </c:pt>
                <c:pt idx="25">
                  <c:v>98.7</c:v>
                </c:pt>
                <c:pt idx="26">
                  <c:v>96.4</c:v>
                </c:pt>
                <c:pt idx="27">
                  <c:v>95.2</c:v>
                </c:pt>
                <c:pt idx="28">
                  <c:v>95.2</c:v>
                </c:pt>
                <c:pt idx="29">
                  <c:v>93.7</c:v>
                </c:pt>
                <c:pt idx="30">
                  <c:v>91.2</c:v>
                </c:pt>
                <c:pt idx="31">
                  <c:v>89.3</c:v>
                </c:pt>
                <c:pt idx="32">
                  <c:v>86.3</c:v>
                </c:pt>
                <c:pt idx="33">
                  <c:v>82.7</c:v>
                </c:pt>
                <c:pt idx="34">
                  <c:v>79.5</c:v>
                </c:pt>
                <c:pt idx="35">
                  <c:v>78.400000000000006</c:v>
                </c:pt>
                <c:pt idx="36">
                  <c:v>76.8</c:v>
                </c:pt>
                <c:pt idx="37">
                  <c:v>77.900000000000006</c:v>
                </c:pt>
                <c:pt idx="38">
                  <c:v>77.400000000000006</c:v>
                </c:pt>
                <c:pt idx="39">
                  <c:v>78.099999999999994</c:v>
                </c:pt>
                <c:pt idx="40">
                  <c:v>78.8</c:v>
                </c:pt>
                <c:pt idx="41">
                  <c:v>76.5</c:v>
                </c:pt>
                <c:pt idx="42">
                  <c:v>77</c:v>
                </c:pt>
                <c:pt idx="43">
                  <c:v>77.7</c:v>
                </c:pt>
                <c:pt idx="44">
                  <c:v>80.2</c:v>
                </c:pt>
                <c:pt idx="45">
                  <c:v>82</c:v>
                </c:pt>
                <c:pt idx="46">
                  <c:v>83</c:v>
                </c:pt>
                <c:pt idx="47">
                  <c:v>84.2</c:v>
                </c:pt>
                <c:pt idx="48">
                  <c:v>86.8</c:v>
                </c:pt>
                <c:pt idx="49">
                  <c:v>89.4</c:v>
                </c:pt>
                <c:pt idx="50">
                  <c:v>92</c:v>
                </c:pt>
                <c:pt idx="51">
                  <c:v>95.9</c:v>
                </c:pt>
                <c:pt idx="52">
                  <c:v>98.3</c:v>
                </c:pt>
                <c:pt idx="53">
                  <c:v>100.8</c:v>
                </c:pt>
                <c:pt idx="54">
                  <c:v>103</c:v>
                </c:pt>
                <c:pt idx="55">
                  <c:v>104</c:v>
                </c:pt>
                <c:pt idx="56">
                  <c:v>107.6</c:v>
                </c:pt>
                <c:pt idx="57">
                  <c:v>110</c:v>
                </c:pt>
                <c:pt idx="58">
                  <c:v>109.3</c:v>
                </c:pt>
                <c:pt idx="59">
                  <c:v>109.7</c:v>
                </c:pt>
                <c:pt idx="60">
                  <c:v>110.3</c:v>
                </c:pt>
                <c:pt idx="61">
                  <c:v>110.1</c:v>
                </c:pt>
                <c:pt idx="62">
                  <c:v>108.2</c:v>
                </c:pt>
                <c:pt idx="63">
                  <c:v>107.3</c:v>
                </c:pt>
                <c:pt idx="64">
                  <c:v>106.7</c:v>
                </c:pt>
                <c:pt idx="65">
                  <c:v>106.5</c:v>
                </c:pt>
                <c:pt idx="66">
                  <c:v>106.3</c:v>
                </c:pt>
                <c:pt idx="67">
                  <c:v>103.6</c:v>
                </c:pt>
                <c:pt idx="68">
                  <c:v>102.1</c:v>
                </c:pt>
                <c:pt idx="69">
                  <c:v>100.2</c:v>
                </c:pt>
                <c:pt idx="70">
                  <c:v>98.2</c:v>
                </c:pt>
                <c:pt idx="71">
                  <c:v>97</c:v>
                </c:pt>
                <c:pt idx="72">
                  <c:v>97</c:v>
                </c:pt>
                <c:pt idx="73">
                  <c:v>93.8</c:v>
                </c:pt>
                <c:pt idx="74">
                  <c:v>92.9</c:v>
                </c:pt>
                <c:pt idx="75">
                  <c:v>93.7</c:v>
                </c:pt>
                <c:pt idx="76">
                  <c:v>92.4</c:v>
                </c:pt>
                <c:pt idx="77">
                  <c:v>93.5</c:v>
                </c:pt>
                <c:pt idx="78">
                  <c:v>93.7</c:v>
                </c:pt>
                <c:pt idx="79">
                  <c:v>94.3</c:v>
                </c:pt>
                <c:pt idx="80">
                  <c:v>95</c:v>
                </c:pt>
                <c:pt idx="81">
                  <c:v>97.5</c:v>
                </c:pt>
                <c:pt idx="82">
                  <c:v>97.5</c:v>
                </c:pt>
                <c:pt idx="83">
                  <c:v>98.1</c:v>
                </c:pt>
                <c:pt idx="84">
                  <c:v>99.7</c:v>
                </c:pt>
                <c:pt idx="85">
                  <c:v>100.3</c:v>
                </c:pt>
                <c:pt idx="86">
                  <c:v>101.1</c:v>
                </c:pt>
                <c:pt idx="87">
                  <c:v>101.8</c:v>
                </c:pt>
                <c:pt idx="88">
                  <c:v>103.8</c:v>
                </c:pt>
                <c:pt idx="89">
                  <c:v>104.6</c:v>
                </c:pt>
                <c:pt idx="90">
                  <c:v>105.6</c:v>
                </c:pt>
                <c:pt idx="91">
                  <c:v>106.7</c:v>
                </c:pt>
                <c:pt idx="92">
                  <c:v>107.9</c:v>
                </c:pt>
                <c:pt idx="93">
                  <c:v>107.9</c:v>
                </c:pt>
                <c:pt idx="94">
                  <c:v>109.2</c:v>
                </c:pt>
                <c:pt idx="95">
                  <c:v>110.2</c:v>
                </c:pt>
                <c:pt idx="96">
                  <c:v>110.6</c:v>
                </c:pt>
                <c:pt idx="97">
                  <c:v>111.5</c:v>
                </c:pt>
                <c:pt idx="98">
                  <c:v>112.7</c:v>
                </c:pt>
                <c:pt idx="99">
                  <c:v>111.9</c:v>
                </c:pt>
                <c:pt idx="100">
                  <c:v>112.7</c:v>
                </c:pt>
                <c:pt idx="101">
                  <c:v>113.8</c:v>
                </c:pt>
                <c:pt idx="102">
                  <c:v>112.8</c:v>
                </c:pt>
                <c:pt idx="103">
                  <c:v>113.2</c:v>
                </c:pt>
                <c:pt idx="104">
                  <c:v>110.7</c:v>
                </c:pt>
                <c:pt idx="105">
                  <c:v>108.1</c:v>
                </c:pt>
                <c:pt idx="106">
                  <c:v>109</c:v>
                </c:pt>
                <c:pt idx="107">
                  <c:v>107.9</c:v>
                </c:pt>
                <c:pt idx="108">
                  <c:v>105.7</c:v>
                </c:pt>
                <c:pt idx="109">
                  <c:v>105.8</c:v>
                </c:pt>
                <c:pt idx="110">
                  <c:v>105.7</c:v>
                </c:pt>
                <c:pt idx="111">
                  <c:v>104.2</c:v>
                </c:pt>
                <c:pt idx="112">
                  <c:v>105.1</c:v>
                </c:pt>
                <c:pt idx="113">
                  <c:v>105.3</c:v>
                </c:pt>
                <c:pt idx="114">
                  <c:v>105.5</c:v>
                </c:pt>
                <c:pt idx="115">
                  <c:v>106.2</c:v>
                </c:pt>
                <c:pt idx="116">
                  <c:v>107.9</c:v>
                </c:pt>
                <c:pt idx="117">
                  <c:v>110.3</c:v>
                </c:pt>
                <c:pt idx="118">
                  <c:v>111.3</c:v>
                </c:pt>
                <c:pt idx="119">
                  <c:v>112</c:v>
                </c:pt>
                <c:pt idx="120">
                  <c:v>113.5</c:v>
                </c:pt>
                <c:pt idx="121">
                  <c:v>115.5</c:v>
                </c:pt>
                <c:pt idx="122">
                  <c:v>116.5</c:v>
                </c:pt>
                <c:pt idx="123">
                  <c:v>116.9</c:v>
                </c:pt>
                <c:pt idx="124">
                  <c:v>118.2</c:v>
                </c:pt>
                <c:pt idx="125">
                  <c:v>116.3</c:v>
                </c:pt>
                <c:pt idx="126">
                  <c:v>116.9</c:v>
                </c:pt>
                <c:pt idx="127">
                  <c:v>117.4</c:v>
                </c:pt>
                <c:pt idx="128">
                  <c:v>114.7</c:v>
                </c:pt>
                <c:pt idx="129">
                  <c:v>115.5</c:v>
                </c:pt>
                <c:pt idx="130">
                  <c:v>113.1</c:v>
                </c:pt>
                <c:pt idx="131">
                  <c:v>113</c:v>
                </c:pt>
                <c:pt idx="132">
                  <c:v>113.5</c:v>
                </c:pt>
                <c:pt idx="133">
                  <c:v>110.6</c:v>
                </c:pt>
                <c:pt idx="134">
                  <c:v>109</c:v>
                </c:pt>
                <c:pt idx="135">
                  <c:v>108.4</c:v>
                </c:pt>
                <c:pt idx="136">
                  <c:v>105.8</c:v>
                </c:pt>
                <c:pt idx="137">
                  <c:v>105.1</c:v>
                </c:pt>
                <c:pt idx="138">
                  <c:v>103.9</c:v>
                </c:pt>
                <c:pt idx="139">
                  <c:v>100.9</c:v>
                </c:pt>
                <c:pt idx="140">
                  <c:v>98</c:v>
                </c:pt>
                <c:pt idx="141">
                  <c:v>94</c:v>
                </c:pt>
                <c:pt idx="142">
                  <c:v>90.9</c:v>
                </c:pt>
                <c:pt idx="143">
                  <c:v>92.6</c:v>
                </c:pt>
                <c:pt idx="144">
                  <c:v>95.8</c:v>
                </c:pt>
                <c:pt idx="145">
                  <c:v>96.3</c:v>
                </c:pt>
                <c:pt idx="146">
                  <c:v>98.1</c:v>
                </c:pt>
                <c:pt idx="147">
                  <c:v>99.3</c:v>
                </c:pt>
                <c:pt idx="148">
                  <c:v>99.7</c:v>
                </c:pt>
                <c:pt idx="149">
                  <c:v>98.3</c:v>
                </c:pt>
                <c:pt idx="150">
                  <c:v>97</c:v>
                </c:pt>
                <c:pt idx="151">
                  <c:v>94.9</c:v>
                </c:pt>
                <c:pt idx="152">
                  <c:v>97.4</c:v>
                </c:pt>
                <c:pt idx="153">
                  <c:v>95.3</c:v>
                </c:pt>
                <c:pt idx="154">
                  <c:v>94.7</c:v>
                </c:pt>
                <c:pt idx="155">
                  <c:v>92.9</c:v>
                </c:pt>
                <c:pt idx="156">
                  <c:v>94</c:v>
                </c:pt>
                <c:pt idx="157">
                  <c:v>93.5</c:v>
                </c:pt>
                <c:pt idx="158">
                  <c:v>91.1</c:v>
                </c:pt>
                <c:pt idx="159">
                  <c:v>93.6</c:v>
                </c:pt>
                <c:pt idx="160">
                  <c:v>92.8</c:v>
                </c:pt>
                <c:pt idx="161">
                  <c:v>93.5</c:v>
                </c:pt>
                <c:pt idx="162">
                  <c:v>93.8</c:v>
                </c:pt>
                <c:pt idx="163">
                  <c:v>96.2</c:v>
                </c:pt>
                <c:pt idx="164">
                  <c:v>97.4</c:v>
                </c:pt>
                <c:pt idx="165">
                  <c:v>98.4</c:v>
                </c:pt>
                <c:pt idx="166">
                  <c:v>100</c:v>
                </c:pt>
                <c:pt idx="167">
                  <c:v>98.8</c:v>
                </c:pt>
                <c:pt idx="168">
                  <c:v>99.2</c:v>
                </c:pt>
                <c:pt idx="169">
                  <c:v>99.8</c:v>
                </c:pt>
                <c:pt idx="170">
                  <c:v>99.2</c:v>
                </c:pt>
                <c:pt idx="171">
                  <c:v>101.3</c:v>
                </c:pt>
                <c:pt idx="172">
                  <c:v>101</c:v>
                </c:pt>
                <c:pt idx="173">
                  <c:v>101.6</c:v>
                </c:pt>
                <c:pt idx="174">
                  <c:v>101.6</c:v>
                </c:pt>
                <c:pt idx="175">
                  <c:v>101.3</c:v>
                </c:pt>
                <c:pt idx="176">
                  <c:v>102.6</c:v>
                </c:pt>
                <c:pt idx="177">
                  <c:v>103</c:v>
                </c:pt>
                <c:pt idx="178">
                  <c:v>102.5</c:v>
                </c:pt>
                <c:pt idx="179">
                  <c:v>101.6</c:v>
                </c:pt>
                <c:pt idx="180">
                  <c:v>101.7</c:v>
                </c:pt>
                <c:pt idx="181">
                  <c:v>99.4</c:v>
                </c:pt>
                <c:pt idx="182">
                  <c:v>98.7</c:v>
                </c:pt>
                <c:pt idx="183">
                  <c:v>98.7</c:v>
                </c:pt>
                <c:pt idx="184">
                  <c:v>98.2</c:v>
                </c:pt>
                <c:pt idx="185">
                  <c:v>98.6</c:v>
                </c:pt>
                <c:pt idx="186">
                  <c:v>99.2</c:v>
                </c:pt>
                <c:pt idx="187">
                  <c:v>99.8</c:v>
                </c:pt>
                <c:pt idx="188">
                  <c:v>100.6</c:v>
                </c:pt>
                <c:pt idx="189">
                  <c:v>102.4</c:v>
                </c:pt>
                <c:pt idx="190">
                  <c:v>101.9</c:v>
                </c:pt>
                <c:pt idx="191">
                  <c:v>102.8</c:v>
                </c:pt>
                <c:pt idx="192">
                  <c:v>103.6</c:v>
                </c:pt>
                <c:pt idx="193">
                  <c:v>103.9</c:v>
                </c:pt>
                <c:pt idx="194">
                  <c:v>105.1</c:v>
                </c:pt>
                <c:pt idx="195">
                  <c:v>107.2</c:v>
                </c:pt>
                <c:pt idx="196">
                  <c:v>107.9</c:v>
                </c:pt>
                <c:pt idx="197">
                  <c:v>108</c:v>
                </c:pt>
                <c:pt idx="198">
                  <c:v>108.7</c:v>
                </c:pt>
                <c:pt idx="199">
                  <c:v>108.5</c:v>
                </c:pt>
                <c:pt idx="200">
                  <c:v>109.4</c:v>
                </c:pt>
                <c:pt idx="201">
                  <c:v>109.8</c:v>
                </c:pt>
                <c:pt idx="202">
                  <c:v>110.2</c:v>
                </c:pt>
                <c:pt idx="203">
                  <c:v>110.7</c:v>
                </c:pt>
                <c:pt idx="204">
                  <c:v>110.1</c:v>
                </c:pt>
                <c:pt idx="205">
                  <c:v>110.7</c:v>
                </c:pt>
                <c:pt idx="206">
                  <c:v>111.8</c:v>
                </c:pt>
                <c:pt idx="207">
                  <c:v>111.9</c:v>
                </c:pt>
                <c:pt idx="208">
                  <c:v>112.5</c:v>
                </c:pt>
                <c:pt idx="209">
                  <c:v>112.4</c:v>
                </c:pt>
                <c:pt idx="210">
                  <c:v>111.6</c:v>
                </c:pt>
                <c:pt idx="211">
                  <c:v>110.9</c:v>
                </c:pt>
                <c:pt idx="212">
                  <c:v>108.8</c:v>
                </c:pt>
                <c:pt idx="213">
                  <c:v>107.4</c:v>
                </c:pt>
                <c:pt idx="214">
                  <c:v>106.6</c:v>
                </c:pt>
                <c:pt idx="215">
                  <c:v>105.5</c:v>
                </c:pt>
                <c:pt idx="216">
                  <c:v>104.4</c:v>
                </c:pt>
                <c:pt idx="217">
                  <c:v>103.1</c:v>
                </c:pt>
                <c:pt idx="218">
                  <c:v>102.9</c:v>
                </c:pt>
                <c:pt idx="219">
                  <c:v>101.2</c:v>
                </c:pt>
                <c:pt idx="220">
                  <c:v>100.9</c:v>
                </c:pt>
                <c:pt idx="221">
                  <c:v>98</c:v>
                </c:pt>
                <c:pt idx="222">
                  <c:v>95.3</c:v>
                </c:pt>
                <c:pt idx="223">
                  <c:v>93.7</c:v>
                </c:pt>
                <c:pt idx="224">
                  <c:v>91.6</c:v>
                </c:pt>
                <c:pt idx="225">
                  <c:v>85.5</c:v>
                </c:pt>
                <c:pt idx="226">
                  <c:v>80.7</c:v>
                </c:pt>
                <c:pt idx="227">
                  <c:v>74</c:v>
                </c:pt>
                <c:pt idx="228">
                  <c:v>73.599999999999994</c:v>
                </c:pt>
                <c:pt idx="229">
                  <c:v>71.400000000000006</c:v>
                </c:pt>
                <c:pt idx="230">
                  <c:v>70</c:v>
                </c:pt>
                <c:pt idx="231">
                  <c:v>72.3</c:v>
                </c:pt>
                <c:pt idx="232">
                  <c:v>75.099999999999994</c:v>
                </c:pt>
                <c:pt idx="233">
                  <c:v>78.099999999999994</c:v>
                </c:pt>
                <c:pt idx="234">
                  <c:v>80.599999999999994</c:v>
                </c:pt>
                <c:pt idx="235">
                  <c:v>84.5</c:v>
                </c:pt>
                <c:pt idx="236">
                  <c:v>87.1</c:v>
                </c:pt>
                <c:pt idx="237">
                  <c:v>89.5</c:v>
                </c:pt>
                <c:pt idx="238">
                  <c:v>91.7</c:v>
                </c:pt>
                <c:pt idx="239">
                  <c:v>94.1</c:v>
                </c:pt>
                <c:pt idx="240">
                  <c:v>95.6</c:v>
                </c:pt>
                <c:pt idx="241">
                  <c:v>95.8</c:v>
                </c:pt>
                <c:pt idx="242">
                  <c:v>97.9</c:v>
                </c:pt>
                <c:pt idx="243">
                  <c:v>100.3</c:v>
                </c:pt>
                <c:pt idx="244">
                  <c:v>98.3</c:v>
                </c:pt>
                <c:pt idx="245">
                  <c:v>99.2</c:v>
                </c:pt>
                <c:pt idx="246">
                  <c:v>101.3</c:v>
                </c:pt>
                <c:pt idx="247">
                  <c:v>102</c:v>
                </c:pt>
                <c:pt idx="248">
                  <c:v>103.7</c:v>
                </c:pt>
                <c:pt idx="249">
                  <c:v>104.7</c:v>
                </c:pt>
                <c:pt idx="250">
                  <c:v>105.9</c:v>
                </c:pt>
                <c:pt idx="251">
                  <c:v>107.2</c:v>
                </c:pt>
                <c:pt idx="252">
                  <c:v>106.9</c:v>
                </c:pt>
                <c:pt idx="253">
                  <c:v>108.3</c:v>
                </c:pt>
                <c:pt idx="254">
                  <c:v>107.6</c:v>
                </c:pt>
                <c:pt idx="255">
                  <c:v>106.4</c:v>
                </c:pt>
                <c:pt idx="256">
                  <c:v>105.7</c:v>
                </c:pt>
                <c:pt idx="257">
                  <c:v>105.3</c:v>
                </c:pt>
                <c:pt idx="258">
                  <c:v>103.1</c:v>
                </c:pt>
                <c:pt idx="259">
                  <c:v>99</c:v>
                </c:pt>
                <c:pt idx="260">
                  <c:v>95.5</c:v>
                </c:pt>
                <c:pt idx="261">
                  <c:v>95.1</c:v>
                </c:pt>
                <c:pt idx="262">
                  <c:v>94.4</c:v>
                </c:pt>
                <c:pt idx="263">
                  <c:v>93.6</c:v>
                </c:pt>
                <c:pt idx="264">
                  <c:v>94.1</c:v>
                </c:pt>
                <c:pt idx="265">
                  <c:v>95.4</c:v>
                </c:pt>
                <c:pt idx="266">
                  <c:v>95.4</c:v>
                </c:pt>
                <c:pt idx="267">
                  <c:v>93.9</c:v>
                </c:pt>
                <c:pt idx="268">
                  <c:v>91.8</c:v>
                </c:pt>
                <c:pt idx="269">
                  <c:v>91.2</c:v>
                </c:pt>
                <c:pt idx="270">
                  <c:v>88.9</c:v>
                </c:pt>
                <c:pt idx="271">
                  <c:v>87.3</c:v>
                </c:pt>
                <c:pt idx="272">
                  <c:v>86</c:v>
                </c:pt>
                <c:pt idx="273">
                  <c:v>85.4</c:v>
                </c:pt>
                <c:pt idx="274">
                  <c:v>86.9</c:v>
                </c:pt>
                <c:pt idx="275">
                  <c:v>88</c:v>
                </c:pt>
                <c:pt idx="276">
                  <c:v>89.7</c:v>
                </c:pt>
                <c:pt idx="277">
                  <c:v>90.4</c:v>
                </c:pt>
                <c:pt idx="278">
                  <c:v>90.1</c:v>
                </c:pt>
                <c:pt idx="279">
                  <c:v>88.6</c:v>
                </c:pt>
                <c:pt idx="280">
                  <c:v>89.5</c:v>
                </c:pt>
                <c:pt idx="281">
                  <c:v>91.3</c:v>
                </c:pt>
                <c:pt idx="282">
                  <c:v>92.7</c:v>
                </c:pt>
                <c:pt idx="283">
                  <c:v>95.5</c:v>
                </c:pt>
                <c:pt idx="284">
                  <c:v>97.2</c:v>
                </c:pt>
                <c:pt idx="285">
                  <c:v>98</c:v>
                </c:pt>
                <c:pt idx="286">
                  <c:v>98.7</c:v>
                </c:pt>
                <c:pt idx="287">
                  <c:v>100.3</c:v>
                </c:pt>
                <c:pt idx="288">
                  <c:v>100.9</c:v>
                </c:pt>
                <c:pt idx="289">
                  <c:v>101.1</c:v>
                </c:pt>
                <c:pt idx="290">
                  <c:v>102.5</c:v>
                </c:pt>
                <c:pt idx="291">
                  <c:v>102</c:v>
                </c:pt>
                <c:pt idx="292">
                  <c:v>102.6</c:v>
                </c:pt>
                <c:pt idx="293">
                  <c:v>102.1</c:v>
                </c:pt>
                <c:pt idx="294">
                  <c:v>102.1</c:v>
                </c:pt>
                <c:pt idx="295">
                  <c:v>100.5</c:v>
                </c:pt>
                <c:pt idx="296">
                  <c:v>99.9</c:v>
                </c:pt>
                <c:pt idx="297">
                  <c:v>100.7</c:v>
                </c:pt>
                <c:pt idx="298">
                  <c:v>100.7</c:v>
                </c:pt>
                <c:pt idx="299">
                  <c:v>100.6</c:v>
                </c:pt>
                <c:pt idx="300">
                  <c:v>101.4</c:v>
                </c:pt>
              </c:numCache>
            </c:numRef>
          </c:val>
        </c:ser>
        <c:marker val="1"/>
        <c:axId val="105487744"/>
        <c:axId val="105538688"/>
      </c:lineChart>
      <c:catAx>
        <c:axId val="105487744"/>
        <c:scaling>
          <c:orientation val="minMax"/>
        </c:scaling>
        <c:axPos val="b"/>
        <c:numFmt formatCode="0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05538688"/>
        <c:crosses val="autoZero"/>
        <c:lblAlgn val="ctr"/>
        <c:lblOffset val="50"/>
        <c:tickLblSkip val="23"/>
      </c:catAx>
      <c:valAx>
        <c:axId val="105538688"/>
        <c:scaling>
          <c:orientation val="minMax"/>
          <c:max val="120"/>
          <c:min val="7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  <a:prstDash val="sysDot"/>
            </a:ln>
          </c:spPr>
        </c:majorGridlines>
        <c:numFmt formatCode="0.0" sourceLinked="1"/>
        <c:tickLblPos val="nextTo"/>
        <c:spPr>
          <a:ln>
            <a:solidFill>
              <a:schemeClr val="bg1">
                <a:lumMod val="85000"/>
              </a:schemeClr>
            </a:solidFill>
            <a:prstDash val="sysDot"/>
          </a:ln>
        </c:spPr>
        <c:txPr>
          <a:bodyPr/>
          <a:lstStyle/>
          <a:p>
            <a:pPr>
              <a:defRPr lang="sr-Latn-CS" sz="700"/>
            </a:pPr>
            <a:endParaRPr lang="en-US"/>
          </a:p>
        </c:txPr>
        <c:crossAx val="105487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8721527777777989"/>
          <c:y val="0.56109077380952765"/>
          <c:w val="0.48050787037037301"/>
          <c:h val="0.14506795634920641"/>
        </c:manualLayout>
      </c:layout>
      <c:txPr>
        <a:bodyPr/>
        <a:lstStyle/>
        <a:p>
          <a:pPr>
            <a:defRPr lang="sr-Latn-CS" sz="7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x-none" sz="1000"/>
              <a:t>T</a:t>
            </a:r>
            <a:r>
              <a:rPr lang="en-US" sz="1000"/>
              <a:t>urizam</a:t>
            </a:r>
          </a:p>
        </c:rich>
      </c:tx>
      <c:layout>
        <c:manualLayout>
          <c:xMode val="edge"/>
          <c:yMode val="edge"/>
          <c:x val="0.39392857142857768"/>
          <c:y val="1.1199294532627866E-2"/>
        </c:manualLayout>
      </c:layout>
    </c:title>
    <c:plotArea>
      <c:layout>
        <c:manualLayout>
          <c:layoutTarget val="inner"/>
          <c:xMode val="edge"/>
          <c:yMode val="edge"/>
          <c:x val="0.17225440917107776"/>
          <c:y val="0.12434038800705458"/>
          <c:w val="0.74935052910052913"/>
          <c:h val="0.62692945326279914"/>
        </c:manualLayout>
      </c:layout>
      <c:barChart>
        <c:barDir val="col"/>
        <c:grouping val="clustered"/>
        <c:ser>
          <c:idx val="0"/>
          <c:order val="0"/>
          <c:tx>
            <c:strRef>
              <c:f>'Makroekonomski indikatori'!$C$17</c:f>
              <c:strCache>
                <c:ptCount val="1"/>
                <c:pt idx="0">
                  <c:v>Noćenja turista (stopa rasta)</c:v>
                </c:pt>
              </c:strCache>
            </c:strRef>
          </c:tx>
          <c:spPr>
            <a:ln>
              <a:solidFill>
                <a:srgbClr val="F319F8"/>
              </a:solidFill>
            </a:ln>
          </c:spPr>
          <c:cat>
            <c:strRef>
              <c:f>'Makroekonomski indikatori'!$AO$36:$BA$36</c:f>
              <c:strCache>
                <c:ptCount val="13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2015</c:v>
                </c:pt>
              </c:strCache>
            </c:strRef>
          </c:cat>
          <c:val>
            <c:numRef>
              <c:f>'Makroekonomski indikatori'!$AO$17:$BA$17</c:f>
              <c:numCache>
                <c:formatCode>General</c:formatCode>
                <c:ptCount val="13"/>
                <c:pt idx="0" formatCode="0.0">
                  <c:v>2</c:v>
                </c:pt>
                <c:pt idx="1">
                  <c:v>2.7</c:v>
                </c:pt>
                <c:pt idx="2">
                  <c:v>5.3</c:v>
                </c:pt>
                <c:pt idx="3">
                  <c:v>2.1</c:v>
                </c:pt>
                <c:pt idx="4">
                  <c:v>-4.2</c:v>
                </c:pt>
                <c:pt idx="5">
                  <c:v>-1.3</c:v>
                </c:pt>
                <c:pt idx="6">
                  <c:v>0.9</c:v>
                </c:pt>
                <c:pt idx="7">
                  <c:v>2.4</c:v>
                </c:pt>
                <c:pt idx="8">
                  <c:v>1.9000000000000001</c:v>
                </c:pt>
                <c:pt idx="9">
                  <c:v>4.2</c:v>
                </c:pt>
                <c:pt idx="10">
                  <c:v>12.8</c:v>
                </c:pt>
                <c:pt idx="11">
                  <c:v>7.3</c:v>
                </c:pt>
                <c:pt idx="12" formatCode="0.0">
                  <c:v>28.3</c:v>
                </c:pt>
              </c:numCache>
            </c:numRef>
          </c:val>
        </c:ser>
        <c:ser>
          <c:idx val="1"/>
          <c:order val="1"/>
          <c:tx>
            <c:strRef>
              <c:f>'Makroekonomski indikatori'!$C$18</c:f>
              <c:strCache>
                <c:ptCount val="1"/>
                <c:pt idx="0">
                  <c:v>Dolasci turista (stopa rasta)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solidFill>
                <a:srgbClr val="5E31DB"/>
              </a:solidFill>
            </a:ln>
          </c:spPr>
          <c:cat>
            <c:strRef>
              <c:f>'Makroekonomski indikatori'!$AO$36:$BA$36</c:f>
              <c:strCache>
                <c:ptCount val="13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2015</c:v>
                </c:pt>
              </c:strCache>
            </c:strRef>
          </c:cat>
          <c:val>
            <c:numRef>
              <c:f>'Makroekonomski indikatori'!$AO$18:$BA$18</c:f>
              <c:numCache>
                <c:formatCode>General</c:formatCode>
                <c:ptCount val="13"/>
                <c:pt idx="0" formatCode="0.0">
                  <c:v>2.9</c:v>
                </c:pt>
                <c:pt idx="1">
                  <c:v>6.1</c:v>
                </c:pt>
                <c:pt idx="2">
                  <c:v>-4.5</c:v>
                </c:pt>
                <c:pt idx="3">
                  <c:v>11.1</c:v>
                </c:pt>
                <c:pt idx="4">
                  <c:v>2.4</c:v>
                </c:pt>
                <c:pt idx="5">
                  <c:v>-0.8</c:v>
                </c:pt>
                <c:pt idx="6">
                  <c:v>-1.3</c:v>
                </c:pt>
                <c:pt idx="7">
                  <c:v>2.5</c:v>
                </c:pt>
                <c:pt idx="8" formatCode="0.0">
                  <c:v>2</c:v>
                </c:pt>
                <c:pt idx="9">
                  <c:v>4.0999999999999996</c:v>
                </c:pt>
                <c:pt idx="10">
                  <c:v>21.1</c:v>
                </c:pt>
                <c:pt idx="11" formatCode="0.0">
                  <c:v>9</c:v>
                </c:pt>
                <c:pt idx="12" formatCode="0.0">
                  <c:v>22.8</c:v>
                </c:pt>
              </c:numCache>
            </c:numRef>
          </c:val>
        </c:ser>
        <c:gapWidth val="33"/>
        <c:axId val="105821696"/>
        <c:axId val="105823232"/>
      </c:barChart>
      <c:catAx>
        <c:axId val="10582169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05823232"/>
        <c:crosses val="autoZero"/>
        <c:auto val="1"/>
        <c:lblAlgn val="ctr"/>
        <c:lblOffset val="100"/>
      </c:catAx>
      <c:valAx>
        <c:axId val="105823232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05821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0622839506173063"/>
          <c:y val="0.75620815080580961"/>
          <c:w val="0.58754320987653619"/>
          <c:h val="0.21019380035021459"/>
        </c:manualLayout>
      </c:layout>
      <c:txPr>
        <a:bodyPr/>
        <a:lstStyle/>
        <a:p>
          <a:pPr>
            <a:defRPr lang="sr-Latn-CS"/>
          </a:pPr>
          <a:endParaRPr lang="en-US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x-none" sz="1000"/>
              <a:t>I</a:t>
            </a:r>
            <a:r>
              <a:rPr lang="en-US" sz="1000"/>
              <a:t>nflacija</a:t>
            </a:r>
          </a:p>
        </c:rich>
      </c:tx>
      <c:layout>
        <c:manualLayout>
          <c:xMode val="edge"/>
          <c:yMode val="edge"/>
          <c:x val="0.40205925925926062"/>
          <c:y val="5.5994159670438564E-3"/>
        </c:manualLayout>
      </c:layout>
      <c:overlay val="1"/>
    </c:title>
    <c:plotArea>
      <c:layout>
        <c:manualLayout>
          <c:layoutTarget val="inner"/>
          <c:xMode val="edge"/>
          <c:yMode val="edge"/>
          <c:x val="0.17785405643738991"/>
          <c:y val="0.10079365079365199"/>
          <c:w val="0.74935052910052913"/>
          <c:h val="0.64869556354000313"/>
        </c:manualLayout>
      </c:layout>
      <c:lineChart>
        <c:grouping val="standard"/>
        <c:ser>
          <c:idx val="0"/>
          <c:order val="0"/>
          <c:tx>
            <c:v>CPI</c:v>
          </c:tx>
          <c:spPr>
            <a:ln w="38100">
              <a:solidFill>
                <a:srgbClr val="2126E5"/>
              </a:solidFill>
            </a:ln>
          </c:spPr>
          <c:marker>
            <c:symbol val="none"/>
          </c:marker>
          <c:cat>
            <c:strRef>
              <c:f>'Makroekonomski indikatori'!$AO$36:$BA$36</c:f>
              <c:strCache>
                <c:ptCount val="13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2015</c:v>
                </c:pt>
              </c:strCache>
            </c:strRef>
          </c:cat>
          <c:val>
            <c:numRef>
              <c:f>'Makroekonomski indikatori'!$AO$24:$BA$24</c:f>
              <c:numCache>
                <c:formatCode>General</c:formatCode>
                <c:ptCount val="13"/>
                <c:pt idx="0">
                  <c:v>-0.4</c:v>
                </c:pt>
                <c:pt idx="1">
                  <c:v>-0.60000000000000064</c:v>
                </c:pt>
                <c:pt idx="2">
                  <c:v>-0.9</c:v>
                </c:pt>
                <c:pt idx="3">
                  <c:v>-1.4</c:v>
                </c:pt>
                <c:pt idx="4">
                  <c:v>-1.3</c:v>
                </c:pt>
                <c:pt idx="5">
                  <c:v>-0.1</c:v>
                </c:pt>
                <c:pt idx="6">
                  <c:v>-1.2</c:v>
                </c:pt>
                <c:pt idx="7">
                  <c:v>-1.1000000000000001</c:v>
                </c:pt>
                <c:pt idx="8">
                  <c:v>-0.70000000000000062</c:v>
                </c:pt>
                <c:pt idx="9">
                  <c:v>-0.5</c:v>
                </c:pt>
                <c:pt idx="10" formatCode="0.0">
                  <c:v>0</c:v>
                </c:pt>
                <c:pt idx="11">
                  <c:v>-0.30000000000000032</c:v>
                </c:pt>
                <c:pt idx="12">
                  <c:v>0.2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indikatori'!$C$26</c:f>
              <c:strCache>
                <c:ptCount val="1"/>
                <c:pt idx="0">
                  <c:v>hrana </c:v>
                </c:pt>
              </c:strCache>
            </c:strRef>
          </c:tx>
          <c:spPr>
            <a:ln>
              <a:solidFill>
                <a:srgbClr val="EB21E1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indikatori'!$AO$36:$BA$36</c:f>
              <c:strCache>
                <c:ptCount val="13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2015</c:v>
                </c:pt>
              </c:strCache>
            </c:strRef>
          </c:cat>
          <c:val>
            <c:numRef>
              <c:f>'Makroekonomski indikatori'!$AO$26:$BA$26</c:f>
              <c:numCache>
                <c:formatCode>General</c:formatCode>
                <c:ptCount val="13"/>
                <c:pt idx="0">
                  <c:v>-0.9</c:v>
                </c:pt>
                <c:pt idx="1">
                  <c:v>-0.9</c:v>
                </c:pt>
                <c:pt idx="2">
                  <c:v>-1.2</c:v>
                </c:pt>
                <c:pt idx="3">
                  <c:v>-3.4</c:v>
                </c:pt>
                <c:pt idx="4">
                  <c:v>-3.6</c:v>
                </c:pt>
                <c:pt idx="5">
                  <c:v>-1.6</c:v>
                </c:pt>
                <c:pt idx="6">
                  <c:v>-3.2</c:v>
                </c:pt>
                <c:pt idx="7">
                  <c:v>-2.2999999999999998</c:v>
                </c:pt>
                <c:pt idx="8" formatCode="0.0">
                  <c:v>-1</c:v>
                </c:pt>
                <c:pt idx="9">
                  <c:v>-0.2</c:v>
                </c:pt>
                <c:pt idx="10" formatCode="0.0">
                  <c:v>1</c:v>
                </c:pt>
                <c:pt idx="11">
                  <c:v>0.8</c:v>
                </c:pt>
                <c:pt idx="12">
                  <c:v>1.8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'Makroekonomski indikatori'!$C$27</c:f>
              <c:strCache>
                <c:ptCount val="1"/>
                <c:pt idx="0">
                  <c:v>gorivo</c:v>
                </c:pt>
              </c:strCache>
            </c:strRef>
          </c:tx>
          <c:spPr>
            <a:ln>
              <a:solidFill>
                <a:srgbClr val="49F31B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indikatori'!$AO$36:$BA$36</c:f>
              <c:strCache>
                <c:ptCount val="13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2015</c:v>
                </c:pt>
              </c:strCache>
            </c:strRef>
          </c:cat>
          <c:val>
            <c:numRef>
              <c:f>'Makroekonomski indikatori'!$AO$27:$BA$27</c:f>
              <c:numCache>
                <c:formatCode>General</c:formatCode>
                <c:ptCount val="13"/>
                <c:pt idx="0">
                  <c:v>-2.1</c:v>
                </c:pt>
                <c:pt idx="1">
                  <c:v>-3.2</c:v>
                </c:pt>
                <c:pt idx="2">
                  <c:v>-2.7</c:v>
                </c:pt>
                <c:pt idx="3">
                  <c:v>3.4</c:v>
                </c:pt>
                <c:pt idx="4">
                  <c:v>3.4</c:v>
                </c:pt>
                <c:pt idx="5">
                  <c:v>2.9</c:v>
                </c:pt>
                <c:pt idx="6">
                  <c:v>-0.8</c:v>
                </c:pt>
                <c:pt idx="7">
                  <c:v>-1.3</c:v>
                </c:pt>
                <c:pt idx="8" formatCode="0.0">
                  <c:v>-5</c:v>
                </c:pt>
                <c:pt idx="9">
                  <c:v>-5.0999999999999996</c:v>
                </c:pt>
                <c:pt idx="10" formatCode="0.0">
                  <c:v>-5.9</c:v>
                </c:pt>
                <c:pt idx="11">
                  <c:v>-11.1</c:v>
                </c:pt>
                <c:pt idx="12">
                  <c:v>-18.5</c:v>
                </c:pt>
              </c:numCache>
            </c:numRef>
          </c:val>
          <c:smooth val="1"/>
        </c:ser>
        <c:marker val="1"/>
        <c:axId val="106070400"/>
        <c:axId val="106071936"/>
      </c:lineChart>
      <c:catAx>
        <c:axId val="106070400"/>
        <c:scaling>
          <c:orientation val="minMax"/>
        </c:scaling>
        <c:axPos val="b"/>
        <c:numFmt formatCode="General" sourceLinked="0"/>
        <c:tickLblPos val="low"/>
        <c:txPr>
          <a:bodyPr/>
          <a:lstStyle/>
          <a:p>
            <a:pPr>
              <a:defRPr lang="sr-Latn-CS" sz="700"/>
            </a:pPr>
            <a:endParaRPr lang="en-US"/>
          </a:p>
        </c:txPr>
        <c:crossAx val="106071936"/>
        <c:crosses val="autoZero"/>
        <c:auto val="1"/>
        <c:lblAlgn val="ctr"/>
        <c:lblOffset val="100"/>
      </c:catAx>
      <c:valAx>
        <c:axId val="106071936"/>
        <c:scaling>
          <c:orientation val="minMax"/>
        </c:scaling>
        <c:axPos val="l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0607040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05"/>
          <c:y val="0.87250508421546669"/>
          <c:w val="0.9"/>
          <c:h val="0.12749491578453356"/>
        </c:manualLayout>
      </c:layout>
      <c:txPr>
        <a:bodyPr/>
        <a:lstStyle/>
        <a:p>
          <a:pPr>
            <a:defRPr lang="sr-Latn-CS" sz="6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x-none" sz="1000"/>
              <a:t>N</a:t>
            </a:r>
            <a:r>
              <a:rPr lang="en-US" sz="1000"/>
              <a:t>eto zarade</a:t>
            </a:r>
          </a:p>
        </c:rich>
      </c:tx>
    </c:title>
    <c:plotArea>
      <c:layout>
        <c:manualLayout>
          <c:layoutTarget val="inner"/>
          <c:xMode val="edge"/>
          <c:yMode val="edge"/>
          <c:x val="0.14395977611232438"/>
          <c:y val="0.19432888597258677"/>
          <c:w val="0.8030281756949057"/>
          <c:h val="0.60480205599300163"/>
        </c:manualLayout>
      </c:layout>
      <c:barChart>
        <c:barDir val="col"/>
        <c:grouping val="clustered"/>
        <c:ser>
          <c:idx val="0"/>
          <c:order val="0"/>
          <c:tx>
            <c:v>neto zarade</c:v>
          </c:tx>
          <c:cat>
            <c:strRef>
              <c:f>'Makroekonomski indikatori'!$AN$60:$AZ$60</c:f>
              <c:strCache>
                <c:ptCount val="13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2015</c:v>
                </c:pt>
              </c:strCache>
            </c:strRef>
          </c:cat>
          <c:val>
            <c:numRef>
              <c:f>'Makroekonomski indikatori'!$AN$28:$AZ$28</c:f>
              <c:numCache>
                <c:formatCode>#,##0</c:formatCode>
                <c:ptCount val="13"/>
                <c:pt idx="0">
                  <c:v>478</c:v>
                </c:pt>
                <c:pt idx="1">
                  <c:v>480</c:v>
                </c:pt>
                <c:pt idx="2">
                  <c:v>474</c:v>
                </c:pt>
                <c:pt idx="3">
                  <c:v>474</c:v>
                </c:pt>
                <c:pt idx="4">
                  <c:v>478</c:v>
                </c:pt>
                <c:pt idx="5">
                  <c:v>478</c:v>
                </c:pt>
                <c:pt idx="6">
                  <c:v>470</c:v>
                </c:pt>
                <c:pt idx="7">
                  <c:v>473</c:v>
                </c:pt>
                <c:pt idx="8">
                  <c:v>476</c:v>
                </c:pt>
                <c:pt idx="9">
                  <c:v>478</c:v>
                </c:pt>
                <c:pt idx="10">
                  <c:v>477</c:v>
                </c:pt>
                <c:pt idx="11">
                  <c:v>484</c:v>
                </c:pt>
                <c:pt idx="12">
                  <c:v>482</c:v>
                </c:pt>
              </c:numCache>
            </c:numRef>
          </c:val>
        </c:ser>
        <c:gapWidth val="30"/>
        <c:axId val="106186240"/>
        <c:axId val="106187776"/>
      </c:barChart>
      <c:catAx>
        <c:axId val="10618624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06187776"/>
        <c:crosses val="autoZero"/>
        <c:auto val="1"/>
        <c:lblAlgn val="ctr"/>
        <c:lblOffset val="100"/>
      </c:catAx>
      <c:valAx>
        <c:axId val="106187776"/>
        <c:scaling>
          <c:orientation val="minMax"/>
          <c:max val="486"/>
          <c:min val="430"/>
        </c:scaling>
        <c:axPos val="l"/>
        <c:majorGridlines>
          <c:spPr>
            <a:ln>
              <a:solidFill>
                <a:schemeClr val="accent1">
                  <a:lumMod val="20000"/>
                  <a:lumOff val="80000"/>
                </a:schemeClr>
              </a:solidFill>
              <a:prstDash val="sysDot"/>
            </a:ln>
          </c:spPr>
        </c:majorGridlines>
        <c:numFmt formatCode="#,##0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061862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580638401559465"/>
          <c:y val="0.90891685783371567"/>
          <c:w val="0.30862865497076186"/>
          <c:h val="9.1083142166284367E-2"/>
        </c:manualLayout>
      </c:layout>
      <c:txPr>
        <a:bodyPr/>
        <a:lstStyle/>
        <a:p>
          <a:pPr>
            <a:defRPr lang="sr-Latn-CS" sz="7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/>
            </a:pPr>
            <a:r>
              <a:rPr lang="en-US" sz="1000"/>
              <a:t>Budžet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0.12116885389326336"/>
          <c:y val="5.1400554097404488E-2"/>
          <c:w val="0.6354937739463602"/>
          <c:h val="0.61765879629629961"/>
        </c:manualLayout>
      </c:layout>
      <c:barChart>
        <c:barDir val="col"/>
        <c:grouping val="clustered"/>
        <c:ser>
          <c:idx val="2"/>
          <c:order val="2"/>
          <c:tx>
            <c:v>Suficit/Deficit budžeta</c:v>
          </c:tx>
          <c:spPr>
            <a:solidFill>
              <a:schemeClr val="bg2"/>
            </a:solidFill>
            <a:ln>
              <a:solidFill>
                <a:srgbClr val="C00000"/>
              </a:solidFill>
            </a:ln>
          </c:spPr>
          <c:cat>
            <c:strRef>
              <c:f>'Fiskalni indikatori'!$AB$3:$AN$3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'Fiskalni indikatori'!$AB$17:$AN$17</c:f>
              <c:numCache>
                <c:formatCode>0.00,,</c:formatCode>
                <c:ptCount val="13"/>
                <c:pt idx="0">
                  <c:v>-27077261.679999981</c:v>
                </c:pt>
                <c:pt idx="1">
                  <c:v>-8422888.4900000095</c:v>
                </c:pt>
                <c:pt idx="2">
                  <c:v>-17021409.079999968</c:v>
                </c:pt>
                <c:pt idx="3">
                  <c:v>-14958813.710000005</c:v>
                </c:pt>
                <c:pt idx="4">
                  <c:v>-5517055.7200000286</c:v>
                </c:pt>
                <c:pt idx="5">
                  <c:v>-5364283.7200000435</c:v>
                </c:pt>
                <c:pt idx="6">
                  <c:v>2502365.0199999809</c:v>
                </c:pt>
                <c:pt idx="7">
                  <c:v>10463853.719999975</c:v>
                </c:pt>
                <c:pt idx="8">
                  <c:v>-4187715.1499999911</c:v>
                </c:pt>
                <c:pt idx="9">
                  <c:v>-1436809.9499999583</c:v>
                </c:pt>
                <c:pt idx="10">
                  <c:v>-12887782.269999981</c:v>
                </c:pt>
                <c:pt idx="11">
                  <c:v>-18669590.289999932</c:v>
                </c:pt>
                <c:pt idx="12">
                  <c:v>-21820722.730000019</c:v>
                </c:pt>
              </c:numCache>
            </c:numRef>
          </c:val>
        </c:ser>
        <c:axId val="106367232"/>
        <c:axId val="106365696"/>
      </c:barChart>
      <c:lineChart>
        <c:grouping val="standard"/>
        <c:ser>
          <c:idx val="0"/>
          <c:order val="0"/>
          <c:tx>
            <c:v>Prihodi budžeta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'Fiskalni indikatori'!$AB$3:$AN$3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'Fiskalni indikatori'!$AB$4:$AN$4</c:f>
              <c:numCache>
                <c:formatCode>0.00,,</c:formatCode>
                <c:ptCount val="13"/>
                <c:pt idx="0">
                  <c:v>70782033.379999891</c:v>
                </c:pt>
                <c:pt idx="1">
                  <c:v>82127760.799999997</c:v>
                </c:pt>
                <c:pt idx="2">
                  <c:v>100708163.93000002</c:v>
                </c:pt>
                <c:pt idx="3">
                  <c:v>109084385.14999999</c:v>
                </c:pt>
                <c:pt idx="4">
                  <c:v>102078548.78</c:v>
                </c:pt>
                <c:pt idx="5">
                  <c:v>109931818.73999999</c:v>
                </c:pt>
                <c:pt idx="6">
                  <c:v>120720236.03</c:v>
                </c:pt>
                <c:pt idx="7">
                  <c:v>126556297.33</c:v>
                </c:pt>
                <c:pt idx="8">
                  <c:v>117901924.08</c:v>
                </c:pt>
                <c:pt idx="9">
                  <c:v>158210534.23999998</c:v>
                </c:pt>
                <c:pt idx="10">
                  <c:v>98496460.13000001</c:v>
                </c:pt>
                <c:pt idx="11">
                  <c:v>155249038.93000001</c:v>
                </c:pt>
                <c:pt idx="12">
                  <c:v>71160727.089999989</c:v>
                </c:pt>
              </c:numCache>
            </c:numRef>
          </c:val>
          <c:smooth val="1"/>
        </c:ser>
        <c:ser>
          <c:idx val="1"/>
          <c:order val="1"/>
          <c:tx>
            <c:v>Izdaci budžeta</c:v>
          </c:tx>
          <c:spPr>
            <a:ln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strRef>
              <c:f>'Fiskalni indikatori'!$AB$3:$AN$3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'Fiskalni indikatori'!$AB$10:$AN$10</c:f>
              <c:numCache>
                <c:formatCode>0.00,,</c:formatCode>
                <c:ptCount val="13"/>
                <c:pt idx="0">
                  <c:v>97859295.059999973</c:v>
                </c:pt>
                <c:pt idx="1">
                  <c:v>90550649.290000007</c:v>
                </c:pt>
                <c:pt idx="2">
                  <c:v>117729573.00999999</c:v>
                </c:pt>
                <c:pt idx="3">
                  <c:v>124043198.86</c:v>
                </c:pt>
                <c:pt idx="4">
                  <c:v>107595604.50000003</c:v>
                </c:pt>
                <c:pt idx="5">
                  <c:v>115296102.46000005</c:v>
                </c:pt>
                <c:pt idx="6">
                  <c:v>118217871.01000002</c:v>
                </c:pt>
                <c:pt idx="7">
                  <c:v>116092443.61000001</c:v>
                </c:pt>
                <c:pt idx="8">
                  <c:v>122089639.22999999</c:v>
                </c:pt>
                <c:pt idx="9">
                  <c:v>159647344.19</c:v>
                </c:pt>
                <c:pt idx="10">
                  <c:v>111384242.39999999</c:v>
                </c:pt>
                <c:pt idx="11">
                  <c:v>173918629.21999988</c:v>
                </c:pt>
                <c:pt idx="12">
                  <c:v>92981449.820000008</c:v>
                </c:pt>
              </c:numCache>
            </c:numRef>
          </c:val>
          <c:smooth val="1"/>
        </c:ser>
        <c:marker val="1"/>
        <c:axId val="106354176"/>
        <c:axId val="106355712"/>
      </c:lineChart>
      <c:catAx>
        <c:axId val="10635417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106355712"/>
        <c:crosses val="autoZero"/>
        <c:auto val="1"/>
        <c:lblAlgn val="ctr"/>
        <c:lblOffset val="100"/>
        <c:tickLblSkip val="3"/>
      </c:catAx>
      <c:valAx>
        <c:axId val="106355712"/>
        <c:scaling>
          <c:orientation val="minMax"/>
          <c:max val="180000000"/>
          <c:min val="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,,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06354176"/>
        <c:crosses val="autoZero"/>
        <c:crossBetween val="between"/>
        <c:majorUnit val="30000000"/>
      </c:valAx>
      <c:valAx>
        <c:axId val="106365696"/>
        <c:scaling>
          <c:orientation val="minMax"/>
          <c:max val="60000000"/>
          <c:min val="-30000000"/>
        </c:scaling>
        <c:axPos val="r"/>
        <c:numFmt formatCode="0.0,,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06367232"/>
        <c:crosses val="max"/>
        <c:crossBetween val="between"/>
        <c:majorUnit val="20000000"/>
      </c:valAx>
      <c:catAx>
        <c:axId val="106367232"/>
        <c:scaling>
          <c:orientation val="minMax"/>
        </c:scaling>
        <c:delete val="1"/>
        <c:axPos val="b"/>
        <c:numFmt formatCode="General" sourceLinked="1"/>
        <c:tickLblPos val="none"/>
        <c:crossAx val="106365696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"/>
          <c:y val="0.8018777777777778"/>
          <c:w val="0.97443747833408134"/>
          <c:h val="0.18818842592592594"/>
        </c:manualLayout>
      </c:layout>
      <c:txPr>
        <a:bodyPr/>
        <a:lstStyle/>
        <a:p>
          <a:pPr>
            <a:defRPr lang="sr-Latn-CS" sz="8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sr-Latn-CS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r-Latn-RS" sz="1000" baseline="0"/>
              <a:t>K</a:t>
            </a:r>
            <a:r>
              <a:rPr lang="x-none" sz="1000" baseline="0"/>
              <a:t>rediti i depoziti</a:t>
            </a:r>
            <a:r>
              <a:rPr lang="sr-Latn-RS" sz="1000" baseline="0"/>
              <a:t> u </a:t>
            </a:r>
            <a:r>
              <a:rPr lang="sr-Latn-RS" sz="1000"/>
              <a:t>mil.€</a:t>
            </a:r>
            <a:endParaRPr lang="sr-Latn-CS" sz="10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sr-Latn-CS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 sz="1000"/>
          </a:p>
        </c:rich>
      </c:tx>
      <c:layout>
        <c:manualLayout>
          <c:xMode val="edge"/>
          <c:yMode val="edge"/>
          <c:x val="0.15893306589517636"/>
          <c:y val="4.5051009010785084E-3"/>
        </c:manualLayout>
      </c:layout>
      <c:overlay val="1"/>
    </c:title>
    <c:plotArea>
      <c:layout>
        <c:manualLayout>
          <c:layoutTarget val="inner"/>
          <c:xMode val="edge"/>
          <c:yMode val="edge"/>
          <c:x val="0.1782873264671932"/>
          <c:y val="0.13333328333960129"/>
          <c:w val="0.66784963595032176"/>
          <c:h val="0.59731548657087175"/>
        </c:manualLayout>
      </c:layout>
      <c:lineChart>
        <c:grouping val="standard"/>
        <c:ser>
          <c:idx val="1"/>
          <c:order val="1"/>
          <c:tx>
            <c:v>ukupni depoziti</c:v>
          </c:tx>
          <c:marker>
            <c:symbol val="none"/>
          </c:marker>
          <c:cat>
            <c:strRef>
              <c:f>'Database za makro'!$AQ$9:$BC$9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'Database za makro'!$AQ$30:$BC$30</c:f>
              <c:numCache>
                <c:formatCode>#,##0</c:formatCode>
                <c:ptCount val="13"/>
                <c:pt idx="0">
                  <c:v>2096723000</c:v>
                </c:pt>
                <c:pt idx="1">
                  <c:v>2101686000</c:v>
                </c:pt>
                <c:pt idx="2">
                  <c:v>2104273000</c:v>
                </c:pt>
                <c:pt idx="3">
                  <c:v>2094844000</c:v>
                </c:pt>
                <c:pt idx="4">
                  <c:v>2114307000</c:v>
                </c:pt>
                <c:pt idx="5">
                  <c:v>2146447000</c:v>
                </c:pt>
                <c:pt idx="6">
                  <c:v>2188181000</c:v>
                </c:pt>
                <c:pt idx="7">
                  <c:v>2254456000</c:v>
                </c:pt>
                <c:pt idx="8">
                  <c:v>2268037000</c:v>
                </c:pt>
                <c:pt idx="9">
                  <c:v>2251517000</c:v>
                </c:pt>
                <c:pt idx="10">
                  <c:v>2274857000</c:v>
                </c:pt>
                <c:pt idx="11">
                  <c:v>2308115000</c:v>
                </c:pt>
                <c:pt idx="12">
                  <c:v>2311340000</c:v>
                </c:pt>
              </c:numCache>
            </c:numRef>
          </c:val>
        </c:ser>
        <c:marker val="1"/>
        <c:axId val="106446848"/>
        <c:axId val="106448384"/>
      </c:lineChart>
      <c:lineChart>
        <c:grouping val="standard"/>
        <c:ser>
          <c:idx val="0"/>
          <c:order val="0"/>
          <c:tx>
            <c:v>ukupni krediti</c:v>
          </c:tx>
          <c:marker>
            <c:symbol val="none"/>
          </c:marker>
          <c:cat>
            <c:strRef>
              <c:f>'Database za makro'!$AQ$9:$BC$9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'Database za makro'!$AQ$29:$BC$29</c:f>
              <c:numCache>
                <c:formatCode>#,##0</c:formatCode>
                <c:ptCount val="13"/>
                <c:pt idx="0">
                  <c:v>2407862000</c:v>
                </c:pt>
                <c:pt idx="1">
                  <c:v>2415020000</c:v>
                </c:pt>
                <c:pt idx="2">
                  <c:v>2405000000</c:v>
                </c:pt>
                <c:pt idx="3">
                  <c:v>2386574000</c:v>
                </c:pt>
                <c:pt idx="4">
                  <c:v>2383092000</c:v>
                </c:pt>
                <c:pt idx="5">
                  <c:v>2376220000</c:v>
                </c:pt>
                <c:pt idx="6">
                  <c:v>2402656000</c:v>
                </c:pt>
                <c:pt idx="7">
                  <c:v>2453018000</c:v>
                </c:pt>
                <c:pt idx="8">
                  <c:v>2443206000</c:v>
                </c:pt>
                <c:pt idx="9">
                  <c:v>2424057000</c:v>
                </c:pt>
                <c:pt idx="10">
                  <c:v>2426521000</c:v>
                </c:pt>
                <c:pt idx="11">
                  <c:v>2367169000</c:v>
                </c:pt>
                <c:pt idx="12">
                  <c:v>2355294000</c:v>
                </c:pt>
              </c:numCache>
            </c:numRef>
          </c:val>
        </c:ser>
        <c:marker val="1"/>
        <c:axId val="106456576"/>
        <c:axId val="106450304"/>
      </c:lineChart>
      <c:catAx>
        <c:axId val="10644684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06448384"/>
        <c:crosses val="autoZero"/>
        <c:auto val="1"/>
        <c:lblAlgn val="ctr"/>
        <c:lblOffset val="100"/>
      </c:catAx>
      <c:valAx>
        <c:axId val="106448384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06446848"/>
        <c:crosses val="autoZero"/>
        <c:crossBetween val="between"/>
        <c:dispUnits>
          <c:builtInUnit val="millions"/>
          <c:dispUnitsLbl>
            <c:txPr>
              <a:bodyPr/>
              <a:lstStyle/>
              <a:p>
                <a:pPr>
                  <a:defRPr lang="sr-Latn-CS"/>
                </a:pPr>
                <a:endParaRPr lang="en-US"/>
              </a:p>
            </c:txPr>
          </c:dispUnitsLbl>
        </c:dispUnits>
      </c:valAx>
      <c:valAx>
        <c:axId val="106450304"/>
        <c:scaling>
          <c:orientation val="minMax"/>
        </c:scaling>
        <c:axPos val="r"/>
        <c:numFmt formatCode="#,##0" sourceLinked="1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06456576"/>
        <c:crosses val="max"/>
        <c:crossBetween val="between"/>
        <c:dispUnits>
          <c:builtInUnit val="millions"/>
        </c:dispUnits>
      </c:valAx>
      <c:catAx>
        <c:axId val="106456576"/>
        <c:scaling>
          <c:orientation val="minMax"/>
        </c:scaling>
        <c:delete val="1"/>
        <c:axPos val="b"/>
        <c:numFmt formatCode="General" sourceLinked="1"/>
        <c:tickLblPos val="none"/>
        <c:crossAx val="106450304"/>
        <c:crosses val="autoZero"/>
        <c:auto val="1"/>
        <c:lblAlgn val="ctr"/>
        <c:lblOffset val="100"/>
      </c:catAx>
    </c:plotArea>
    <c:legend>
      <c:legendPos val="b"/>
      <c:txPr>
        <a:bodyPr/>
        <a:lstStyle/>
        <a:p>
          <a:pPr>
            <a:defRPr lang="sr-Latn-CS" sz="8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IZVOZ</a:t>
            </a:r>
            <a:r>
              <a:rPr lang="en-US" sz="1000" baseline="0"/>
              <a:t> </a:t>
            </a:r>
            <a:r>
              <a:rPr lang="sr-Latn-CS" sz="1000" baseline="0"/>
              <a:t> </a:t>
            </a:r>
            <a:r>
              <a:rPr lang="en-US" sz="1000" baseline="0"/>
              <a:t>ALUMINIJUMA</a:t>
            </a:r>
            <a:r>
              <a:rPr lang="x-none" sz="1000" baseline="0"/>
              <a:t> mil. eura</a:t>
            </a:r>
            <a:endParaRPr lang="en-US" sz="1000"/>
          </a:p>
        </c:rich>
      </c:tx>
    </c:title>
    <c:plotArea>
      <c:layout>
        <c:manualLayout>
          <c:layoutTarget val="inner"/>
          <c:xMode val="edge"/>
          <c:yMode val="edge"/>
          <c:x val="0.17437349233079971"/>
          <c:y val="0.16045843326188056"/>
          <c:w val="0.80502935687952581"/>
          <c:h val="0.68985589065518227"/>
        </c:manualLayout>
      </c:layout>
      <c:lineChart>
        <c:grouping val="standard"/>
        <c:ser>
          <c:idx val="0"/>
          <c:order val="0"/>
          <c:tx>
            <c:strRef>
              <c:f>Sheet1!$C$5</c:f>
              <c:strCache>
                <c:ptCount val="1"/>
                <c:pt idx="0">
                  <c:v>2014</c:v>
                </c:pt>
              </c:strCache>
            </c:strRef>
          </c:tx>
          <c:marker>
            <c:symbol val="none"/>
          </c:marker>
          <c:cat>
            <c:strRef>
              <c:f>Sheet1!$D$8:$P$8</c:f>
              <c:strCache>
                <c:ptCount val="13"/>
                <c:pt idx="0">
                  <c:v>I             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                   2015</c:v>
                </c:pt>
              </c:strCache>
            </c:strRef>
          </c:cat>
          <c:val>
            <c:numRef>
              <c:f>Sheet1!$D$9:$P$9</c:f>
              <c:numCache>
                <c:formatCode>#,##0.00</c:formatCode>
                <c:ptCount val="13"/>
                <c:pt idx="0">
                  <c:v>5.633</c:v>
                </c:pt>
                <c:pt idx="1">
                  <c:v>5.274</c:v>
                </c:pt>
                <c:pt idx="2">
                  <c:v>6.1029999999999855</c:v>
                </c:pt>
                <c:pt idx="3">
                  <c:v>5.6169999999999956</c:v>
                </c:pt>
                <c:pt idx="4">
                  <c:v>5.64</c:v>
                </c:pt>
                <c:pt idx="5">
                  <c:v>5.3549999999999756</c:v>
                </c:pt>
                <c:pt idx="6">
                  <c:v>5.2930000000000001</c:v>
                </c:pt>
                <c:pt idx="7">
                  <c:v>3.7749999999999999</c:v>
                </c:pt>
                <c:pt idx="8">
                  <c:v>9.5890000000000004</c:v>
                </c:pt>
                <c:pt idx="9">
                  <c:v>3.7909999999999999</c:v>
                </c:pt>
                <c:pt idx="10">
                  <c:v>10.147999999999998</c:v>
                </c:pt>
                <c:pt idx="11">
                  <c:v>5.5659999999999945</c:v>
                </c:pt>
                <c:pt idx="12">
                  <c:v>8.7239999999999984</c:v>
                </c:pt>
              </c:numCache>
            </c:numRef>
          </c:val>
        </c:ser>
        <c:marker val="1"/>
        <c:axId val="106923136"/>
        <c:axId val="106924672"/>
      </c:lineChart>
      <c:catAx>
        <c:axId val="106923136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06924672"/>
        <c:crosses val="autoZero"/>
        <c:auto val="1"/>
        <c:lblAlgn val="ctr"/>
        <c:lblOffset val="100"/>
        <c:tickLblSkip val="2"/>
        <c:tickMarkSkip val="1"/>
      </c:catAx>
      <c:valAx>
        <c:axId val="106924672"/>
        <c:scaling>
          <c:orientation val="minMax"/>
        </c:scaling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numFmt formatCode="#,##0.00" sourceLinked="1"/>
        <c:maj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06923136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0.14671</cdr:x>
      <cdr:y>0.38194</cdr:y>
    </cdr:from>
    <cdr:to>
      <cdr:x>0.97976</cdr:x>
      <cdr:y>0.38426</cdr:y>
    </cdr:to>
    <cdr:sp macro="" textlink="">
      <cdr:nvSpPr>
        <cdr:cNvPr id="3" name="Straight Connector 2"/>
        <cdr:cNvSpPr/>
      </cdr:nvSpPr>
      <cdr:spPr>
        <a:xfrm xmlns:a="http://schemas.openxmlformats.org/drawingml/2006/main">
          <a:off x="552450" y="1047750"/>
          <a:ext cx="3136900" cy="635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sr-Latn-C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010B6-9786-4577-BA42-9D288E9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radovan.zivkovic</cp:lastModifiedBy>
  <cp:revision>3</cp:revision>
  <cp:lastPrinted>2015-01-22T09:17:00Z</cp:lastPrinted>
  <dcterms:created xsi:type="dcterms:W3CDTF">2015-03-12T09:41:00Z</dcterms:created>
  <dcterms:modified xsi:type="dcterms:W3CDTF">2015-03-12T09:44:00Z</dcterms:modified>
</cp:coreProperties>
</file>