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E0E" w:rsidRPr="00135E0E" w:rsidRDefault="00135E0E" w:rsidP="00135E0E">
      <w:pPr>
        <w:rPr>
          <w:rFonts w:eastAsia="Times New Roman"/>
        </w:rPr>
      </w:pPr>
    </w:p>
    <w:p w:rsidR="00135E0E" w:rsidRPr="00135E0E" w:rsidRDefault="007E44AC" w:rsidP="00135E0E">
      <w:pPr>
        <w:rPr>
          <w:rFonts w:eastAsiaTheme="minorEastAsia"/>
        </w:rPr>
      </w:pPr>
      <w:r w:rsidRPr="00135E0E">
        <w:rPr>
          <w:rFonts w:eastAsiaTheme="minorEastAsia"/>
          <w:lang w:val="hr-H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margin-left:196.85pt;margin-top:7.05pt;width:62.35pt;height:70.25pt;z-index:251658240;visibility:visible;mso-wrap-style:square;mso-position-horizontal-relative:text;mso-position-vertical-relative:text">
            <v:imagedata r:id="rId5" o:title=""/>
          </v:shape>
          <o:OLEObject Type="Embed" ProgID="Word.Picture.8" ShapeID="Object 2" DrawAspect="Content" ObjectID="_1662448051" r:id="rId6"/>
        </w:object>
      </w:r>
    </w:p>
    <w:p w:rsidR="00135E0E" w:rsidRPr="00135E0E" w:rsidRDefault="00135E0E" w:rsidP="00135E0E">
      <w:pPr>
        <w:rPr>
          <w:rFonts w:eastAsiaTheme="minorEastAsia"/>
          <w:sz w:val="24"/>
          <w:szCs w:val="24"/>
          <w:lang w:val="hr-HR"/>
        </w:rPr>
      </w:pPr>
    </w:p>
    <w:p w:rsidR="00135E0E" w:rsidRPr="00135E0E" w:rsidRDefault="00135E0E" w:rsidP="00135E0E">
      <w:pPr>
        <w:rPr>
          <w:rFonts w:eastAsiaTheme="minorEastAsia"/>
          <w:lang w:val="en-US"/>
        </w:rPr>
      </w:pPr>
    </w:p>
    <w:p w:rsidR="00135E0E" w:rsidRPr="00135E0E" w:rsidRDefault="00135E0E" w:rsidP="00135E0E">
      <w:pPr>
        <w:spacing w:after="0" w:line="240" w:lineRule="auto"/>
        <w:jc w:val="center"/>
        <w:rPr>
          <w:rFonts w:ascii="Arial" w:eastAsiaTheme="minorEastAsia" w:hAnsi="Arial" w:cs="Arial"/>
          <w:b/>
          <w:lang w:val="en-US"/>
        </w:rPr>
      </w:pPr>
      <w:r w:rsidRPr="00135E0E">
        <w:rPr>
          <w:rFonts w:ascii="Arial" w:eastAsiaTheme="minorEastAsia" w:hAnsi="Arial" w:cs="Arial"/>
          <w:b/>
          <w:lang w:val="en-US"/>
        </w:rPr>
        <w:t xml:space="preserve"> VLADA CRNE GORE</w:t>
      </w:r>
    </w:p>
    <w:p w:rsidR="00135E0E" w:rsidRPr="00135E0E" w:rsidRDefault="00135E0E" w:rsidP="00135E0E">
      <w:pPr>
        <w:spacing w:after="0" w:line="240" w:lineRule="auto"/>
        <w:jc w:val="center"/>
        <w:rPr>
          <w:rFonts w:ascii="Arial" w:eastAsiaTheme="minorEastAsia" w:hAnsi="Arial" w:cs="Arial"/>
          <w:b/>
          <w:lang w:val="en-US"/>
        </w:rPr>
      </w:pPr>
      <w:r w:rsidRPr="00135E0E">
        <w:rPr>
          <w:rFonts w:ascii="Arial" w:eastAsiaTheme="minorEastAsia" w:hAnsi="Arial" w:cs="Arial"/>
          <w:b/>
          <w:lang w:val="en-US"/>
        </w:rPr>
        <w:t xml:space="preserve"> MINISTARSTVO PRAVDE</w:t>
      </w:r>
    </w:p>
    <w:p w:rsidR="00135E0E" w:rsidRPr="00135E0E" w:rsidRDefault="00135E0E" w:rsidP="00135E0E">
      <w:pPr>
        <w:spacing w:after="0" w:line="240" w:lineRule="auto"/>
        <w:jc w:val="center"/>
        <w:rPr>
          <w:rFonts w:ascii="Arial" w:eastAsiaTheme="minorEastAsia" w:hAnsi="Arial" w:cs="Arial"/>
          <w:b/>
          <w:lang w:val="en-US"/>
        </w:rPr>
      </w:pPr>
    </w:p>
    <w:p w:rsidR="00135E0E" w:rsidRPr="00135E0E" w:rsidRDefault="00135E0E" w:rsidP="00135E0E">
      <w:pPr>
        <w:jc w:val="center"/>
        <w:rPr>
          <w:rFonts w:ascii="Arial" w:eastAsia="Calibri" w:hAnsi="Arial" w:cs="Arial"/>
          <w:b/>
          <w:lang w:val="en-US"/>
        </w:rPr>
      </w:pPr>
    </w:p>
    <w:p w:rsidR="00135E0E" w:rsidRPr="00135E0E" w:rsidRDefault="00135E0E" w:rsidP="00135E0E">
      <w:pPr>
        <w:jc w:val="center"/>
        <w:rPr>
          <w:rFonts w:ascii="Arial" w:eastAsia="Times New Roman" w:hAnsi="Arial" w:cs="Arial"/>
          <w:b/>
          <w:lang w:val="en-US"/>
        </w:rPr>
      </w:pPr>
    </w:p>
    <w:p w:rsidR="00135E0E" w:rsidRPr="00135E0E" w:rsidRDefault="00135E0E" w:rsidP="00135E0E">
      <w:pPr>
        <w:jc w:val="center"/>
        <w:rPr>
          <w:rFonts w:ascii="Arial" w:eastAsiaTheme="minorEastAsia" w:hAnsi="Arial" w:cs="Arial"/>
          <w:b/>
          <w:lang w:val="en-US"/>
        </w:rPr>
      </w:pPr>
    </w:p>
    <w:p w:rsidR="00135E0E" w:rsidRPr="00135E0E" w:rsidRDefault="00135E0E" w:rsidP="00135E0E">
      <w:pPr>
        <w:rPr>
          <w:rFonts w:ascii="Arial" w:eastAsiaTheme="minorEastAsia" w:hAnsi="Arial" w:cs="Arial"/>
          <w:b/>
          <w:sz w:val="28"/>
          <w:szCs w:val="28"/>
          <w:lang w:val="en-US"/>
        </w:rPr>
      </w:pPr>
    </w:p>
    <w:p w:rsidR="00135E0E" w:rsidRPr="00135E0E" w:rsidRDefault="00135E0E" w:rsidP="00135E0E">
      <w:pPr>
        <w:jc w:val="center"/>
        <w:rPr>
          <w:rFonts w:ascii="Arial" w:eastAsiaTheme="minorEastAsia" w:hAnsi="Arial" w:cs="Arial"/>
          <w:b/>
          <w:sz w:val="28"/>
          <w:szCs w:val="28"/>
          <w:lang w:val="en-US"/>
        </w:rPr>
      </w:pPr>
    </w:p>
    <w:p w:rsidR="00135E0E" w:rsidRPr="00135E0E" w:rsidRDefault="00135E0E" w:rsidP="007E44AC">
      <w:pPr>
        <w:spacing w:after="0" w:line="240" w:lineRule="auto"/>
        <w:jc w:val="center"/>
        <w:rPr>
          <w:rFonts w:ascii="Arial" w:eastAsiaTheme="minorEastAsia" w:hAnsi="Arial" w:cs="Arial"/>
          <w:b/>
          <w:sz w:val="28"/>
          <w:szCs w:val="28"/>
          <w:lang w:val="en-US"/>
        </w:rPr>
      </w:pPr>
      <w:r w:rsidRPr="00135E0E">
        <w:rPr>
          <w:rFonts w:ascii="Arial" w:eastAsiaTheme="minorEastAsia" w:hAnsi="Arial" w:cs="Arial"/>
          <w:b/>
          <w:sz w:val="28"/>
          <w:szCs w:val="28"/>
          <w:lang w:val="en-US"/>
        </w:rPr>
        <w:t>I Z V J E Š T A J</w:t>
      </w:r>
    </w:p>
    <w:p w:rsidR="00135E0E" w:rsidRPr="00135E0E" w:rsidRDefault="00135E0E" w:rsidP="007E44AC">
      <w:pPr>
        <w:spacing w:after="0" w:line="240" w:lineRule="auto"/>
        <w:jc w:val="center"/>
        <w:rPr>
          <w:rFonts w:ascii="Arial" w:eastAsiaTheme="minorEastAsia" w:hAnsi="Arial" w:cs="Arial"/>
          <w:b/>
          <w:sz w:val="28"/>
          <w:szCs w:val="28"/>
          <w:lang w:val="en-US"/>
        </w:rPr>
      </w:pPr>
      <w:r w:rsidRPr="00135E0E">
        <w:rPr>
          <w:rFonts w:ascii="Arial" w:eastAsiaTheme="minorEastAsia" w:hAnsi="Arial" w:cs="Arial"/>
          <w:b/>
          <w:sz w:val="28"/>
          <w:szCs w:val="28"/>
          <w:lang w:val="en-US"/>
        </w:rPr>
        <w:t xml:space="preserve">O PRIMJENI ZAKONA O MEĐUNARODNOM PRIVATNOM PRAVU </w:t>
      </w:r>
    </w:p>
    <w:p w:rsidR="00135E0E" w:rsidRPr="00135E0E" w:rsidRDefault="00135E0E" w:rsidP="007E44AC">
      <w:pPr>
        <w:spacing w:after="0" w:line="240" w:lineRule="auto"/>
        <w:jc w:val="center"/>
        <w:rPr>
          <w:rFonts w:ascii="Calibri" w:eastAsiaTheme="minorEastAsia" w:hAnsi="Calibri" w:cs="Times New Roman"/>
          <w:sz w:val="28"/>
          <w:szCs w:val="28"/>
          <w:lang w:val="en-US"/>
        </w:rPr>
      </w:pPr>
      <w:r w:rsidRPr="00135E0E">
        <w:rPr>
          <w:rFonts w:ascii="Arial" w:eastAsiaTheme="minorEastAsia" w:hAnsi="Arial" w:cs="Arial"/>
          <w:b/>
          <w:sz w:val="28"/>
          <w:szCs w:val="28"/>
          <w:lang w:val="en-US"/>
        </w:rPr>
        <w:t>(</w:t>
      </w:r>
      <w:proofErr w:type="gramStart"/>
      <w:r w:rsidRPr="00135E0E">
        <w:rPr>
          <w:rFonts w:ascii="Arial" w:eastAsiaTheme="minorEastAsia" w:hAnsi="Arial" w:cs="Arial"/>
          <w:b/>
          <w:sz w:val="28"/>
          <w:szCs w:val="28"/>
          <w:lang w:val="en-US"/>
        </w:rPr>
        <w:t>jul</w:t>
      </w:r>
      <w:proofErr w:type="gramEnd"/>
      <w:r w:rsidRPr="00135E0E">
        <w:rPr>
          <w:rFonts w:ascii="Arial" w:eastAsiaTheme="minorEastAsia" w:hAnsi="Arial" w:cs="Arial"/>
          <w:b/>
          <w:sz w:val="28"/>
          <w:szCs w:val="28"/>
          <w:lang w:val="en-US"/>
        </w:rPr>
        <w:t xml:space="preserve"> 2019 - jul 2020. godine)</w:t>
      </w:r>
    </w:p>
    <w:p w:rsidR="00135E0E" w:rsidRPr="00135E0E" w:rsidRDefault="00135E0E" w:rsidP="00135E0E">
      <w:pPr>
        <w:jc w:val="center"/>
        <w:rPr>
          <w:rFonts w:ascii="Arial" w:eastAsiaTheme="minorEastAsia" w:hAnsi="Arial" w:cs="Arial"/>
          <w:b/>
          <w:sz w:val="24"/>
          <w:szCs w:val="24"/>
          <w:lang w:val="en-US"/>
        </w:rPr>
      </w:pPr>
    </w:p>
    <w:p w:rsidR="00135E0E" w:rsidRPr="00135E0E" w:rsidRDefault="00135E0E" w:rsidP="00135E0E">
      <w:pPr>
        <w:jc w:val="center"/>
        <w:rPr>
          <w:rFonts w:ascii="Arial" w:eastAsiaTheme="minorEastAsia" w:hAnsi="Arial" w:cs="Arial"/>
          <w:b/>
          <w:lang w:val="en-US"/>
        </w:rPr>
      </w:pPr>
    </w:p>
    <w:p w:rsidR="00135E0E" w:rsidRPr="00135E0E" w:rsidRDefault="00135E0E" w:rsidP="00135E0E">
      <w:pPr>
        <w:jc w:val="center"/>
        <w:rPr>
          <w:rFonts w:ascii="Arial" w:eastAsiaTheme="minorEastAsia" w:hAnsi="Arial" w:cs="Arial"/>
          <w:lang w:val="en-US"/>
        </w:rPr>
      </w:pPr>
    </w:p>
    <w:p w:rsidR="00135E0E" w:rsidRPr="00135E0E" w:rsidRDefault="00135E0E" w:rsidP="00135E0E">
      <w:pPr>
        <w:rPr>
          <w:rFonts w:ascii="Arial" w:eastAsiaTheme="minorEastAsia" w:hAnsi="Arial" w:cs="Arial"/>
          <w:lang w:val="en-US"/>
        </w:rPr>
      </w:pPr>
    </w:p>
    <w:p w:rsidR="00135E0E" w:rsidRPr="00135E0E" w:rsidRDefault="00135E0E" w:rsidP="00135E0E">
      <w:pPr>
        <w:jc w:val="center"/>
        <w:rPr>
          <w:rFonts w:ascii="Arial" w:eastAsiaTheme="minorEastAsia" w:hAnsi="Arial" w:cs="Arial"/>
          <w:lang w:val="en-US"/>
        </w:rPr>
      </w:pPr>
    </w:p>
    <w:p w:rsidR="00135E0E" w:rsidRPr="00135E0E" w:rsidRDefault="00135E0E" w:rsidP="00135E0E">
      <w:pPr>
        <w:jc w:val="center"/>
        <w:rPr>
          <w:rFonts w:ascii="Arial" w:eastAsiaTheme="minorEastAsia" w:hAnsi="Arial" w:cs="Arial"/>
          <w:lang w:val="en-US"/>
        </w:rPr>
      </w:pPr>
    </w:p>
    <w:p w:rsidR="00135E0E" w:rsidRPr="00135E0E" w:rsidRDefault="00135E0E" w:rsidP="00135E0E">
      <w:pPr>
        <w:jc w:val="center"/>
        <w:rPr>
          <w:rFonts w:ascii="Arial" w:eastAsiaTheme="minorEastAsia" w:hAnsi="Arial" w:cs="Arial"/>
          <w:lang w:val="en-US"/>
        </w:rPr>
      </w:pPr>
    </w:p>
    <w:p w:rsidR="00135E0E" w:rsidRPr="00135E0E" w:rsidRDefault="00135E0E" w:rsidP="00135E0E">
      <w:pPr>
        <w:jc w:val="center"/>
        <w:rPr>
          <w:rFonts w:ascii="Arial" w:eastAsiaTheme="minorEastAsia" w:hAnsi="Arial" w:cs="Arial"/>
          <w:lang w:val="en-US"/>
        </w:rPr>
      </w:pPr>
    </w:p>
    <w:p w:rsidR="00135E0E" w:rsidRPr="00135E0E" w:rsidRDefault="00135E0E" w:rsidP="00135E0E">
      <w:pPr>
        <w:rPr>
          <w:rFonts w:ascii="Arial" w:eastAsiaTheme="minorEastAsia" w:hAnsi="Arial" w:cs="Arial"/>
          <w:lang w:val="en-US"/>
        </w:rPr>
      </w:pPr>
    </w:p>
    <w:p w:rsidR="00135E0E" w:rsidRPr="00135E0E" w:rsidRDefault="00135E0E" w:rsidP="00135E0E">
      <w:pPr>
        <w:rPr>
          <w:rFonts w:ascii="Arial" w:eastAsiaTheme="minorEastAsia" w:hAnsi="Arial" w:cs="Arial"/>
          <w:lang w:val="en-US"/>
        </w:rPr>
      </w:pPr>
    </w:p>
    <w:p w:rsidR="007E44AC" w:rsidRDefault="007E44AC" w:rsidP="00135E0E">
      <w:pPr>
        <w:jc w:val="center"/>
        <w:rPr>
          <w:rFonts w:ascii="Arial" w:eastAsiaTheme="minorEastAsia" w:hAnsi="Arial" w:cs="Arial"/>
          <w:lang w:val="en-US"/>
        </w:rPr>
      </w:pPr>
    </w:p>
    <w:p w:rsidR="007E44AC" w:rsidRDefault="007E44AC" w:rsidP="00135E0E">
      <w:pPr>
        <w:jc w:val="center"/>
        <w:rPr>
          <w:rFonts w:ascii="Arial" w:eastAsiaTheme="minorEastAsia" w:hAnsi="Arial" w:cs="Arial"/>
          <w:lang w:val="en-US"/>
        </w:rPr>
      </w:pPr>
    </w:p>
    <w:p w:rsidR="007E44AC" w:rsidRDefault="007E44AC" w:rsidP="00135E0E">
      <w:pPr>
        <w:jc w:val="center"/>
        <w:rPr>
          <w:rFonts w:ascii="Arial" w:eastAsiaTheme="minorEastAsia" w:hAnsi="Arial" w:cs="Arial"/>
          <w:lang w:val="en-US"/>
        </w:rPr>
      </w:pPr>
    </w:p>
    <w:p w:rsidR="00135E0E" w:rsidRPr="00135E0E" w:rsidRDefault="00135E0E" w:rsidP="00135E0E">
      <w:pPr>
        <w:jc w:val="center"/>
        <w:rPr>
          <w:rFonts w:ascii="Arial" w:eastAsiaTheme="minorEastAsia" w:hAnsi="Arial" w:cs="Arial"/>
          <w:lang w:val="en-US"/>
        </w:rPr>
      </w:pPr>
      <w:r w:rsidRPr="00135E0E">
        <w:rPr>
          <w:rFonts w:ascii="Arial" w:eastAsiaTheme="minorEastAsia" w:hAnsi="Arial" w:cs="Arial"/>
          <w:lang w:val="en-US"/>
        </w:rPr>
        <w:t xml:space="preserve">Podgorica, septembar 2020. </w:t>
      </w:r>
      <w:proofErr w:type="gramStart"/>
      <w:r w:rsidRPr="00135E0E">
        <w:rPr>
          <w:rFonts w:ascii="Arial" w:eastAsiaTheme="minorEastAsia" w:hAnsi="Arial" w:cs="Arial"/>
          <w:lang w:val="en-US"/>
        </w:rPr>
        <w:t>godine</w:t>
      </w:r>
      <w:proofErr w:type="gramEnd"/>
    </w:p>
    <w:p w:rsidR="00135E0E" w:rsidRPr="00135E0E" w:rsidRDefault="00135E0E" w:rsidP="00135E0E">
      <w:pPr>
        <w:jc w:val="center"/>
        <w:rPr>
          <w:rFonts w:ascii="Arial" w:eastAsiaTheme="minorEastAsia" w:hAnsi="Arial" w:cs="Arial"/>
          <w:lang w:val="en-US"/>
        </w:rPr>
      </w:pPr>
    </w:p>
    <w:p w:rsidR="00135E0E" w:rsidRPr="00135E0E" w:rsidRDefault="00135E0E" w:rsidP="00135E0E">
      <w:pPr>
        <w:ind w:firstLine="708"/>
        <w:rPr>
          <w:rFonts w:ascii="Arial" w:eastAsiaTheme="minorEastAsia" w:hAnsi="Arial" w:cs="Arial"/>
          <w:lang w:val="en-US"/>
        </w:rPr>
      </w:pPr>
    </w:p>
    <w:p w:rsidR="00135E0E" w:rsidRPr="00135E0E" w:rsidRDefault="00135E0E" w:rsidP="00135E0E">
      <w:pPr>
        <w:ind w:firstLine="708"/>
        <w:rPr>
          <w:rFonts w:ascii="Arial" w:eastAsiaTheme="minorEastAsia" w:hAnsi="Arial" w:cs="Arial"/>
          <w:lang w:val="en-US"/>
        </w:rPr>
      </w:pPr>
      <w:r w:rsidRPr="00135E0E">
        <w:rPr>
          <w:rFonts w:ascii="Arial" w:eastAsiaTheme="minorEastAsia" w:hAnsi="Arial" w:cs="Arial"/>
          <w:b/>
          <w:lang w:val="en-US"/>
        </w:rPr>
        <w:t>I Uvod</w:t>
      </w:r>
    </w:p>
    <w:p w:rsidR="00135E0E" w:rsidRPr="00135E0E" w:rsidRDefault="00135E0E" w:rsidP="00135E0E">
      <w:pPr>
        <w:ind w:firstLine="708"/>
        <w:jc w:val="both"/>
        <w:rPr>
          <w:rFonts w:ascii="Arial" w:hAnsi="Arial" w:cs="Arial"/>
          <w:lang w:val="en-US"/>
        </w:rPr>
      </w:pPr>
      <w:r w:rsidRPr="00135E0E">
        <w:rPr>
          <w:rFonts w:ascii="Arial" w:eastAsiaTheme="minorEastAsia" w:hAnsi="Arial" w:cs="Arial"/>
          <w:lang w:val="en-US"/>
        </w:rPr>
        <w:t xml:space="preserve">Crna Gora je 2013. </w:t>
      </w:r>
      <w:proofErr w:type="gramStart"/>
      <w:r w:rsidRPr="00135E0E">
        <w:rPr>
          <w:rFonts w:ascii="Arial" w:eastAsiaTheme="minorEastAsia" w:hAnsi="Arial" w:cs="Arial"/>
          <w:lang w:val="en-US"/>
        </w:rPr>
        <w:t>godine</w:t>
      </w:r>
      <w:proofErr w:type="gramEnd"/>
      <w:r w:rsidRPr="00135E0E">
        <w:rPr>
          <w:rFonts w:ascii="Arial" w:eastAsiaTheme="minorEastAsia" w:hAnsi="Arial" w:cs="Arial"/>
          <w:lang w:val="en-US"/>
        </w:rPr>
        <w:t xml:space="preserve"> kodifikovala svoje međunarodno privatno pravo donošenjem Zakona o međunarodnom privatnom pravu, koji je počeo da se primjenjuje u julu 2014. </w:t>
      </w:r>
      <w:proofErr w:type="gramStart"/>
      <w:r w:rsidRPr="00135E0E">
        <w:rPr>
          <w:rFonts w:ascii="Arial" w:eastAsiaTheme="minorEastAsia" w:hAnsi="Arial" w:cs="Arial"/>
          <w:lang w:val="en-US"/>
        </w:rPr>
        <w:t>godine</w:t>
      </w:r>
      <w:proofErr w:type="gramEnd"/>
      <w:r w:rsidRPr="00135E0E">
        <w:rPr>
          <w:rFonts w:ascii="Arial" w:eastAsiaTheme="minorEastAsia" w:hAnsi="Arial" w:cs="Arial"/>
          <w:lang w:val="en-US"/>
        </w:rPr>
        <w:t xml:space="preserve">. Ovaj zakon </w:t>
      </w:r>
      <w:r w:rsidRPr="00135E0E">
        <w:rPr>
          <w:rFonts w:ascii="Arial" w:hAnsi="Arial" w:cs="Arial"/>
          <w:lang w:val="en-US"/>
        </w:rPr>
        <w:t xml:space="preserve">propisuje pravila o određivanju mjerodavnog prava u privatnopravnim odnosima </w:t>
      </w:r>
      <w:proofErr w:type="gramStart"/>
      <w:r w:rsidRPr="00135E0E">
        <w:rPr>
          <w:rFonts w:ascii="Arial" w:hAnsi="Arial" w:cs="Arial"/>
          <w:lang w:val="en-US"/>
        </w:rPr>
        <w:t>sa</w:t>
      </w:r>
      <w:proofErr w:type="gramEnd"/>
      <w:r w:rsidRPr="00135E0E">
        <w:rPr>
          <w:rFonts w:ascii="Arial" w:hAnsi="Arial" w:cs="Arial"/>
          <w:lang w:val="en-US"/>
        </w:rPr>
        <w:t xml:space="preserve"> međunarodnim elementom (kolizione norme), pravila o nadležnosti sudova i drugih organa za raspravljanje tih odnosa i pravila postupka, kao i pravila za priznavanje i izvršenje stranih sudskih i arbitražnih odluka i odluka drugih organa. </w:t>
      </w:r>
    </w:p>
    <w:p w:rsidR="00135E0E" w:rsidRPr="00135E0E" w:rsidRDefault="00135E0E" w:rsidP="00135E0E">
      <w:pPr>
        <w:ind w:firstLine="708"/>
        <w:jc w:val="both"/>
        <w:rPr>
          <w:rFonts w:ascii="Arial" w:eastAsiaTheme="minorEastAsia" w:hAnsi="Arial" w:cs="Arial"/>
          <w:lang w:val="en-US"/>
        </w:rPr>
      </w:pPr>
      <w:r w:rsidRPr="00135E0E">
        <w:rPr>
          <w:rFonts w:ascii="Arial" w:eastAsiaTheme="minorEastAsia" w:hAnsi="Arial" w:cs="Arial"/>
          <w:lang w:val="en-US"/>
        </w:rPr>
        <w:t xml:space="preserve">Zbog velikog značaja ovog zakona, koji uređuje vrlo kompleksnu oblast, a čije su odredbe u cjelosti </w:t>
      </w:r>
      <w:proofErr w:type="gramStart"/>
      <w:r w:rsidRPr="00135E0E">
        <w:rPr>
          <w:rFonts w:ascii="Arial" w:eastAsiaTheme="minorEastAsia" w:hAnsi="Arial" w:cs="Arial"/>
          <w:lang w:val="en-US"/>
        </w:rPr>
        <w:t>ili</w:t>
      </w:r>
      <w:proofErr w:type="gramEnd"/>
      <w:r w:rsidRPr="00135E0E">
        <w:rPr>
          <w:rFonts w:ascii="Arial" w:eastAsiaTheme="minorEastAsia" w:hAnsi="Arial" w:cs="Arial"/>
          <w:lang w:val="en-US"/>
        </w:rPr>
        <w:t xml:space="preserve"> u pretežnom dijelu usklađene sa pravilima međunarodnog prava koje nastaje u Evropskoj uniji, Ministarstvo pravde, u skladu sa Akcionim planom za pregovaračko poglavlje 24 – pravda, sloboda i bezbjednost – mjera 5.1.7., kontinuirano prati njegovu primjenu kroz sačinjavanje godišnjih izvještaja. U vezi </w:t>
      </w:r>
      <w:proofErr w:type="gramStart"/>
      <w:r w:rsidRPr="00135E0E">
        <w:rPr>
          <w:rFonts w:ascii="Arial" w:eastAsiaTheme="minorEastAsia" w:hAnsi="Arial" w:cs="Arial"/>
          <w:lang w:val="en-US"/>
        </w:rPr>
        <w:t>sa</w:t>
      </w:r>
      <w:proofErr w:type="gramEnd"/>
      <w:r w:rsidRPr="00135E0E">
        <w:rPr>
          <w:rFonts w:ascii="Arial" w:eastAsiaTheme="minorEastAsia" w:hAnsi="Arial" w:cs="Arial"/>
          <w:lang w:val="en-US"/>
        </w:rPr>
        <w:t xml:space="preserve"> tim, Programom rada Ministarstva pravde za III kvartal 2020. </w:t>
      </w:r>
      <w:proofErr w:type="gramStart"/>
      <w:r w:rsidRPr="00135E0E">
        <w:rPr>
          <w:rFonts w:ascii="Arial" w:eastAsiaTheme="minorEastAsia" w:hAnsi="Arial" w:cs="Arial"/>
          <w:lang w:val="en-US"/>
        </w:rPr>
        <w:t>godine</w:t>
      </w:r>
      <w:proofErr w:type="gramEnd"/>
      <w:r w:rsidRPr="00135E0E">
        <w:rPr>
          <w:rFonts w:ascii="Arial" w:eastAsiaTheme="minorEastAsia" w:hAnsi="Arial" w:cs="Arial"/>
          <w:lang w:val="en-US"/>
        </w:rPr>
        <w:t xml:space="preserve"> predviđena je izrada Izvještaja o primjeni Zakona o međunarodnom privatnom pravu za period jul 2019 – jul 2020. </w:t>
      </w:r>
      <w:proofErr w:type="gramStart"/>
      <w:r w:rsidRPr="00135E0E">
        <w:rPr>
          <w:rFonts w:ascii="Arial" w:eastAsiaTheme="minorEastAsia" w:hAnsi="Arial" w:cs="Arial"/>
          <w:lang w:val="en-US"/>
        </w:rPr>
        <w:t>godine</w:t>
      </w:r>
      <w:proofErr w:type="gramEnd"/>
      <w:r w:rsidRPr="00135E0E">
        <w:rPr>
          <w:rFonts w:ascii="Arial" w:eastAsiaTheme="minorEastAsia" w:hAnsi="Arial" w:cs="Arial"/>
          <w:lang w:val="en-US"/>
        </w:rPr>
        <w:t>.</w:t>
      </w:r>
    </w:p>
    <w:p w:rsidR="00135E0E" w:rsidRPr="00135E0E" w:rsidRDefault="00135E0E" w:rsidP="00135E0E">
      <w:pPr>
        <w:ind w:firstLine="708"/>
        <w:jc w:val="both"/>
        <w:rPr>
          <w:rFonts w:ascii="Arial" w:eastAsiaTheme="minorEastAsia" w:hAnsi="Arial" w:cs="Arial"/>
          <w:lang w:val="en-US"/>
        </w:rPr>
      </w:pPr>
      <w:proofErr w:type="gramStart"/>
      <w:r w:rsidRPr="00135E0E">
        <w:rPr>
          <w:rFonts w:ascii="Arial" w:eastAsiaTheme="minorEastAsia" w:hAnsi="Arial" w:cs="Arial"/>
          <w:lang w:val="en-US"/>
        </w:rPr>
        <w:t>Izvještaj sadrži podatke o broju i vrsti predmeta u kojima su u izvještajnom periodu primijenjene odredbe Zakona o međunarodnom privatnom pravu u osnovnim sudovima i Privrednom sudu Crne Gore (u daljem tekstu: Privredni sud), kao i podatke o sudskoj praksi i načelnim pravnim stavovima Vrhovnog suda Crne Gore (u daljem tekstu:</w:t>
      </w:r>
      <w:r w:rsidR="007E44AC">
        <w:rPr>
          <w:rFonts w:ascii="Arial" w:eastAsiaTheme="minorEastAsia" w:hAnsi="Arial" w:cs="Arial"/>
          <w:lang w:val="en-US"/>
        </w:rPr>
        <w:t xml:space="preserve"> Vrhovni sud) koji su zauzeti p</w:t>
      </w:r>
      <w:r w:rsidRPr="00135E0E">
        <w:rPr>
          <w:rFonts w:ascii="Arial" w:eastAsiaTheme="minorEastAsia" w:hAnsi="Arial" w:cs="Arial"/>
          <w:lang w:val="en-US"/>
        </w:rPr>
        <w:t>ovodom primjene odredaba ovog zakona.</w:t>
      </w:r>
      <w:proofErr w:type="gramEnd"/>
      <w:r w:rsidRPr="00135E0E">
        <w:rPr>
          <w:rFonts w:ascii="Arial" w:eastAsiaTheme="minorEastAsia" w:hAnsi="Arial" w:cs="Arial"/>
          <w:lang w:val="en-US"/>
        </w:rPr>
        <w:t xml:space="preserve"> </w:t>
      </w:r>
      <w:proofErr w:type="gramStart"/>
      <w:r w:rsidRPr="00135E0E">
        <w:rPr>
          <w:rFonts w:ascii="Arial" w:eastAsiaTheme="minorEastAsia" w:hAnsi="Arial" w:cs="Arial"/>
          <w:lang w:val="en-US"/>
        </w:rPr>
        <w:t>Izvještaj, pored navedenih, sadrži podatke o broju ostavinskih predmeta u kojima su notari, kao povjerenici suda za sprovođenje ostavinskog postupka</w:t>
      </w:r>
      <w:r w:rsidR="00CD2F8A">
        <w:rPr>
          <w:rFonts w:ascii="Arial" w:eastAsiaTheme="minorEastAsia" w:hAnsi="Arial" w:cs="Arial"/>
          <w:lang w:val="en-US"/>
        </w:rPr>
        <w:t>,</w:t>
      </w:r>
      <w:r w:rsidRPr="00135E0E">
        <w:rPr>
          <w:rFonts w:ascii="Arial" w:eastAsiaTheme="minorEastAsia" w:hAnsi="Arial" w:cs="Arial"/>
          <w:lang w:val="en-US"/>
        </w:rPr>
        <w:t xml:space="preserve"> u izvještajnom periodu primijenili odredbe navedenog zakona, kao i podatke o održanim seminarima i obukama iz oblasti međunarodnog privatnog prava i međunarodne pravosudne saradnje u građanskim stvarima, koje je u izvještajnom periodu organizovao Centar za obuku u sudstvu i državnom tužilaštvu (u daljem tekstu: Centar za obuku).</w:t>
      </w:r>
      <w:proofErr w:type="gramEnd"/>
    </w:p>
    <w:p w:rsidR="00135E0E" w:rsidRPr="00135E0E" w:rsidRDefault="00135E0E" w:rsidP="00135E0E">
      <w:pPr>
        <w:jc w:val="both"/>
        <w:rPr>
          <w:rFonts w:ascii="Arial" w:eastAsiaTheme="minorEastAsia" w:hAnsi="Arial" w:cs="Arial"/>
          <w:lang w:val="en-US"/>
        </w:rPr>
      </w:pPr>
      <w:r w:rsidRPr="00135E0E">
        <w:rPr>
          <w:rFonts w:ascii="Arial" w:eastAsiaTheme="minorEastAsia" w:hAnsi="Arial" w:cs="Arial"/>
          <w:lang w:val="en-US"/>
        </w:rPr>
        <w:tab/>
        <w:t xml:space="preserve">Za potrebe izrade ovog Izvještaja pribavljeni su podaci </w:t>
      </w:r>
      <w:proofErr w:type="gramStart"/>
      <w:r w:rsidRPr="00135E0E">
        <w:rPr>
          <w:rFonts w:ascii="Arial" w:eastAsiaTheme="minorEastAsia" w:hAnsi="Arial" w:cs="Arial"/>
          <w:lang w:val="en-US"/>
        </w:rPr>
        <w:t>od</w:t>
      </w:r>
      <w:proofErr w:type="gramEnd"/>
      <w:r w:rsidRPr="00135E0E">
        <w:rPr>
          <w:rFonts w:ascii="Arial" w:eastAsiaTheme="minorEastAsia" w:hAnsi="Arial" w:cs="Arial"/>
          <w:lang w:val="en-US"/>
        </w:rPr>
        <w:t xml:space="preserve"> Vrhovnog suda, Centra za obuku i Notarske komore Crne Gore (u daljem tekstu: Notarska komora).</w:t>
      </w:r>
    </w:p>
    <w:p w:rsidR="00135E0E" w:rsidRPr="00135E0E" w:rsidRDefault="00135E0E" w:rsidP="00135E0E">
      <w:pPr>
        <w:jc w:val="both"/>
        <w:rPr>
          <w:rFonts w:ascii="Arial" w:eastAsiaTheme="minorEastAsia" w:hAnsi="Arial" w:cs="Arial"/>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r w:rsidRPr="00135E0E">
        <w:rPr>
          <w:rFonts w:ascii="Arial" w:eastAsiaTheme="minorEastAsia" w:hAnsi="Arial" w:cs="Arial"/>
          <w:b/>
          <w:lang w:val="en-US"/>
        </w:rPr>
        <w:t>II Primjena Zakona o međunarodnom privatnom pravu u osnovnim sudovima i Privrednom sudu, po određenim oblastima prava</w:t>
      </w:r>
    </w:p>
    <w:p w:rsidR="00135E0E" w:rsidRPr="00135E0E" w:rsidRDefault="00135E0E" w:rsidP="00135E0E">
      <w:pPr>
        <w:numPr>
          <w:ilvl w:val="0"/>
          <w:numId w:val="1"/>
        </w:numPr>
        <w:suppressAutoHyphens/>
        <w:autoSpaceDN w:val="0"/>
        <w:contextualSpacing/>
        <w:jc w:val="both"/>
        <w:rPr>
          <w:rFonts w:ascii="Arial" w:eastAsia="Calibri" w:hAnsi="Arial" w:cs="Arial"/>
          <w:b/>
          <w:sz w:val="24"/>
          <w:szCs w:val="24"/>
          <w:lang w:val="hr-HR"/>
        </w:rPr>
      </w:pPr>
      <w:r w:rsidRPr="00135E0E">
        <w:rPr>
          <w:rFonts w:ascii="Arial" w:eastAsia="Times New Roman" w:hAnsi="Arial" w:cs="Arial"/>
          <w:b/>
          <w:sz w:val="24"/>
          <w:szCs w:val="24"/>
          <w:lang w:val="hr-HR"/>
        </w:rPr>
        <w:t>Primjena Zakona o međunarodnom privatnom pravu u osnovnim sudovima</w:t>
      </w:r>
    </w:p>
    <w:p w:rsidR="00135E0E" w:rsidRPr="00135E0E" w:rsidRDefault="00135E0E" w:rsidP="00135E0E">
      <w:pPr>
        <w:jc w:val="both"/>
        <w:rPr>
          <w:rFonts w:ascii="Arial" w:eastAsia="Times New Roman" w:hAnsi="Arial" w:cs="Arial"/>
          <w:lang w:val="en-US"/>
        </w:rPr>
      </w:pPr>
      <w:r w:rsidRPr="00135E0E">
        <w:rPr>
          <w:rFonts w:ascii="Arial" w:eastAsiaTheme="minorEastAsia" w:hAnsi="Arial" w:cs="Arial"/>
          <w:lang w:val="en-US"/>
        </w:rPr>
        <w:tab/>
        <w:t xml:space="preserve">Osnovni sudovi su u izvještajnom periodu primijenili odredbe Zakona o međunarodnom privatnom pravu u 443 predmeta. Posmatrano po određenim oblastima prava, 131 predmet odnosi se </w:t>
      </w:r>
      <w:proofErr w:type="gramStart"/>
      <w:r w:rsidRPr="00135E0E">
        <w:rPr>
          <w:rFonts w:ascii="Arial" w:eastAsiaTheme="minorEastAsia" w:hAnsi="Arial" w:cs="Arial"/>
          <w:lang w:val="en-US"/>
        </w:rPr>
        <w:t>na</w:t>
      </w:r>
      <w:proofErr w:type="gramEnd"/>
      <w:r w:rsidRPr="00135E0E">
        <w:rPr>
          <w:rFonts w:ascii="Arial" w:eastAsiaTheme="minorEastAsia" w:hAnsi="Arial" w:cs="Arial"/>
          <w:lang w:val="en-US"/>
        </w:rPr>
        <w:t xml:space="preserve"> oblast porodičnog prava, 88 predmeta na oblast obligacionog prava, 102 predmeta na oblast stvarnog prava i 122 predmeta na oblast nasljednog prava. </w:t>
      </w:r>
    </w:p>
    <w:p w:rsidR="00135E0E" w:rsidRPr="00135E0E" w:rsidRDefault="00135E0E" w:rsidP="00135E0E">
      <w:pPr>
        <w:jc w:val="both"/>
        <w:rPr>
          <w:rFonts w:ascii="Arial" w:eastAsiaTheme="minorEastAsia" w:hAnsi="Arial" w:cs="Arial"/>
          <w:sz w:val="24"/>
          <w:szCs w:val="24"/>
          <w:lang w:val="en-US"/>
        </w:rPr>
      </w:pPr>
      <w:r w:rsidRPr="00135E0E">
        <w:rPr>
          <w:rFonts w:ascii="Arial" w:eastAsiaTheme="minorEastAsia" w:hAnsi="Arial" w:cs="Arial"/>
          <w:lang w:val="en-US"/>
        </w:rPr>
        <w:tab/>
        <w:t xml:space="preserve">Osnovni sud u Žabljaku imao je najveći broj predmeta sa međunarodnim elementom u kojima su u izvještajnom periodu primijenjene odredbe Zakona o međunarodnom privatnom pravu – 124 predmeta, a nakon njega Osnovni sud u Baru sa 66 predmeta, Osnovni sud u Kotoru sa 56 predmeta i Osnovni sud u Podgorici sa 49 predmeta. </w:t>
      </w:r>
      <w:proofErr w:type="gramStart"/>
      <w:r w:rsidRPr="00135E0E">
        <w:rPr>
          <w:rFonts w:ascii="Arial" w:eastAsiaTheme="minorEastAsia" w:hAnsi="Arial" w:cs="Arial"/>
          <w:lang w:val="en-US"/>
        </w:rPr>
        <w:t>Sa</w:t>
      </w:r>
      <w:proofErr w:type="gramEnd"/>
      <w:r w:rsidRPr="00135E0E">
        <w:rPr>
          <w:rFonts w:ascii="Arial" w:eastAsiaTheme="minorEastAsia" w:hAnsi="Arial" w:cs="Arial"/>
          <w:lang w:val="en-US"/>
        </w:rPr>
        <w:t xml:space="preserve"> druge strane, pojedini osnovni sudovi su u veoma malom broju predmeta primijenili odredbe navedenog zakona. </w:t>
      </w:r>
      <w:proofErr w:type="gramStart"/>
      <w:r w:rsidRPr="00135E0E">
        <w:rPr>
          <w:rFonts w:ascii="Arial" w:eastAsiaTheme="minorEastAsia" w:hAnsi="Arial" w:cs="Arial"/>
          <w:lang w:val="en-US"/>
        </w:rPr>
        <w:t>Tako su Osnovni sud u Ulcinju i Osnovni sud u Kola</w:t>
      </w:r>
      <w:r w:rsidRPr="00135E0E">
        <w:rPr>
          <w:rFonts w:ascii="Arial" w:eastAsiaTheme="minorEastAsia" w:hAnsi="Arial" w:cs="Arial"/>
          <w:lang w:val="sr-Latn-ME"/>
        </w:rPr>
        <w:t>šinu</w:t>
      </w:r>
      <w:r w:rsidRPr="00135E0E">
        <w:rPr>
          <w:rFonts w:ascii="Arial" w:eastAsiaTheme="minorEastAsia" w:hAnsi="Arial" w:cs="Arial"/>
          <w:lang w:val="en-US"/>
        </w:rPr>
        <w:t xml:space="preserve"> primijenili odredbe navedenog zakona u po 3 predmeta, Osnovni sud u Nikšiću i Osnovni sud u Herceg Novom u po 5 predmeta, a Osnovni sud u Bijelom Polju u 13 predmeta, dok pojedini osnovni sudovi, i to Osnovni sud u Plavu i Osnovni sud u Cetinju nijesu primjenjivali odredbe navedenog zakona u izvještajnom periodu.</w:t>
      </w:r>
      <w:proofErr w:type="gramEnd"/>
    </w:p>
    <w:p w:rsidR="00135E0E" w:rsidRPr="00135E0E" w:rsidRDefault="00135E0E" w:rsidP="00135E0E">
      <w:pPr>
        <w:jc w:val="both"/>
        <w:rPr>
          <w:rFonts w:ascii="Arial" w:eastAsiaTheme="minorEastAsia" w:hAnsi="Arial" w:cs="Arial"/>
          <w:lang w:val="en-US"/>
        </w:rPr>
      </w:pPr>
      <w:r w:rsidRPr="00135E0E">
        <w:rPr>
          <w:rFonts w:ascii="Arial" w:eastAsiaTheme="minorEastAsia" w:hAnsi="Arial" w:cs="Arial"/>
          <w:lang w:val="en-US"/>
        </w:rPr>
        <w:tab/>
      </w:r>
      <w:proofErr w:type="gramStart"/>
      <w:r w:rsidRPr="00135E0E">
        <w:rPr>
          <w:rFonts w:ascii="Arial" w:eastAsiaTheme="minorEastAsia" w:hAnsi="Arial" w:cs="Arial"/>
          <w:lang w:val="en-US"/>
        </w:rPr>
        <w:t>Posmatrano po oblastima prava, najveći broj predmeta sa međunarodnim elementom u izvještajnom periodu imali su: Osnovni sud u Rožajama 45 predmeta i  Osnovni sud u Beranama 27 predmeta iz oblasti porodičnog prava; Osnovni sud u Podgorici 38 predmeta i Osnovni sud u Kotoru 14 predmeta iz oblasti obligacionog prava; Osnovni sud u Žabljaku 53 predmeta i Osnovni sud u Kotoru 25 predmeta iz oblasti stvarnog prava; te Osnovni sud u Žabljaku 58 predmeta i Osnovni sud u Baru 52 predmeta iz oblasti nasljednog prava.</w:t>
      </w:r>
      <w:proofErr w:type="gramEnd"/>
    </w:p>
    <w:p w:rsidR="00135E0E" w:rsidRPr="00135E0E" w:rsidRDefault="00135E0E" w:rsidP="00135E0E">
      <w:pPr>
        <w:jc w:val="both"/>
        <w:rPr>
          <w:rFonts w:ascii="Arial" w:eastAsia="Times New Roman" w:hAnsi="Arial" w:cs="Arial"/>
          <w:sz w:val="24"/>
          <w:szCs w:val="24"/>
          <w:lang w:val="en-US"/>
        </w:rPr>
      </w:pPr>
      <w:r w:rsidRPr="00135E0E">
        <w:rPr>
          <w:rFonts w:ascii="Arial" w:eastAsiaTheme="minorEastAsia" w:hAnsi="Arial" w:cs="Arial"/>
          <w:lang w:val="en-US"/>
        </w:rPr>
        <w:tab/>
        <w:t>Broj predmeta u kojima su u izvještajnom periodu u osnovnim sudovima primijenjene odredbe Zakona o međunarodnom privatnom pravu – 443 manji je za 52 predmeta ili 10,50% u odnosu na prethodni izvještajni preriod (jul 2018 - jul 2019), u kojem je navedeni broj iznosio 495 predmeta.</w:t>
      </w:r>
    </w:p>
    <w:p w:rsidR="00135E0E" w:rsidRPr="00135E0E" w:rsidRDefault="00135E0E" w:rsidP="00135E0E">
      <w:pPr>
        <w:ind w:firstLine="708"/>
        <w:jc w:val="both"/>
        <w:rPr>
          <w:rFonts w:ascii="Arial" w:eastAsiaTheme="minorEastAsia" w:hAnsi="Arial" w:cs="Arial"/>
          <w:lang w:val="en-US"/>
        </w:rPr>
      </w:pPr>
      <w:r w:rsidRPr="00135E0E">
        <w:rPr>
          <w:rFonts w:ascii="Arial" w:eastAsiaTheme="minorEastAsia" w:hAnsi="Arial" w:cs="Arial"/>
          <w:lang w:val="en-US"/>
        </w:rPr>
        <w:t>Ako izvršimo upoređivanje broja predmeta u kojima su primijenjene odredbe predmetnog zakona</w:t>
      </w:r>
      <w:r w:rsidR="00CD2F8A">
        <w:rPr>
          <w:rFonts w:ascii="Arial" w:eastAsiaTheme="minorEastAsia" w:hAnsi="Arial" w:cs="Arial"/>
          <w:lang w:val="en-US"/>
        </w:rPr>
        <w:t xml:space="preserve"> u izvještajnom i prethodnom periodu,</w:t>
      </w:r>
      <w:r w:rsidRPr="00135E0E">
        <w:rPr>
          <w:rFonts w:ascii="Arial" w:eastAsiaTheme="minorEastAsia" w:hAnsi="Arial" w:cs="Arial"/>
          <w:lang w:val="en-US"/>
        </w:rPr>
        <w:t xml:space="preserve"> po oblastima prava, dolazimo do zaključka da je ukupan broj predmeta iz oblasti porodičnog prava u izvještajnom periodu bio manji za 66 predmeta ili 33,50% u odnosu na prethodni period u kojem je ovaj broj iznosio 197 predmeta. Kada je u pitanju oblast obligacionog prava, ukupan broj predmeta u kojima su primijenjene odredbe predmetnog zakona u izvještajnom periodu veći je za 12 predmeta ili 13,64% u odnosu na prethodni period u kojem je ovaj broj iznosio 76 predmeta. Što se tiče oblasti stvarnog prava, ukupan broj predmeta u kojima su primijenjene odredbe predmetnog zakona veći je u izvještajnom periodu za 29 predmeta ili 40,16% u odnosu na prethodni period u kojem je ovaj broj iznosio 73 predmeta. U konačnom, kada je u pitanju oblast nasljednog prava, broj predmeta u kojima su osnovni sudovi u izvještajnom periodu primijenili odredbe predmetnog zakona manji je u izvještajnom periodu za 27 predmeta ili 18,12% u odnosu na prethodni period u kojem je ovaj broj iznosio 149 predmeta. </w:t>
      </w:r>
    </w:p>
    <w:p w:rsidR="00135E0E" w:rsidRPr="00135E0E" w:rsidRDefault="00135E0E" w:rsidP="00135E0E">
      <w:pPr>
        <w:ind w:firstLine="708"/>
        <w:jc w:val="both"/>
        <w:rPr>
          <w:rFonts w:ascii="Arial" w:eastAsiaTheme="minorEastAsia" w:hAnsi="Arial" w:cs="Arial"/>
          <w:lang w:val="en-US"/>
        </w:rPr>
      </w:pPr>
    </w:p>
    <w:p w:rsidR="00135E0E" w:rsidRPr="00135E0E" w:rsidRDefault="00135E0E" w:rsidP="00135E0E">
      <w:pPr>
        <w:jc w:val="both"/>
        <w:rPr>
          <w:rFonts w:ascii="Arial" w:eastAsiaTheme="minorEastAsia" w:hAnsi="Arial" w:cs="Arial"/>
          <w:color w:val="FF0000"/>
          <w:lang w:val="en-US"/>
        </w:rPr>
      </w:pPr>
      <w:r w:rsidRPr="00135E0E">
        <w:rPr>
          <w:rFonts w:ascii="Arial" w:eastAsiaTheme="minorEastAsia" w:hAnsi="Arial" w:cs="Arial"/>
          <w:lang w:val="en-US"/>
        </w:rPr>
        <w:lastRenderedPageBreak/>
        <w:tab/>
      </w:r>
      <w:proofErr w:type="gramStart"/>
      <w:r w:rsidRPr="00135E0E">
        <w:rPr>
          <w:rFonts w:ascii="Arial" w:eastAsiaTheme="minorEastAsia" w:hAnsi="Arial" w:cs="Arial"/>
          <w:lang w:val="en-US"/>
        </w:rPr>
        <w:t>Kada se uporede podaci o primjeni Zakona o međunarodnom privatnom pravu u izvještajnom periodu sa podacima iz prethodnog perioda pojedinačno po sudovima, zapaža se da je Osnovni sud u Kotoru u izvještajnom periodu primijenio odredbe ovog zakona u 56 predmeta za razliku od prethodnog perioda u kojem nije bilo primjene ovog zakona, da je Osnovni sud u Pljevljima u izvještajnom periodu primijenio odredbe ovog zakona u 20 predmeta, dok u prethodnom periodu, takođe, nije bilo primjene ovog zakona, te da je Osnovni sud u Danilovgradu u izvještajnom periodu primijenio odredbe ovog zakona u 24 predmeta što je za 22 predmeta ili 11 puta više nego u prethodnom periodu u kojem je ovaj broj iznosio 2 predmeta.</w:t>
      </w:r>
      <w:proofErr w:type="gramEnd"/>
      <w:r w:rsidRPr="00135E0E">
        <w:rPr>
          <w:rFonts w:ascii="Arial" w:eastAsiaTheme="minorEastAsia" w:hAnsi="Arial" w:cs="Arial"/>
          <w:lang w:val="en-US"/>
        </w:rPr>
        <w:t xml:space="preserve"> Za razliku </w:t>
      </w:r>
      <w:proofErr w:type="gramStart"/>
      <w:r w:rsidRPr="00135E0E">
        <w:rPr>
          <w:rFonts w:ascii="Arial" w:eastAsiaTheme="minorEastAsia" w:hAnsi="Arial" w:cs="Arial"/>
          <w:lang w:val="en-US"/>
        </w:rPr>
        <w:t>od</w:t>
      </w:r>
      <w:proofErr w:type="gramEnd"/>
      <w:r w:rsidRPr="00135E0E">
        <w:rPr>
          <w:rFonts w:ascii="Arial" w:eastAsiaTheme="minorEastAsia" w:hAnsi="Arial" w:cs="Arial"/>
          <w:lang w:val="en-US"/>
        </w:rPr>
        <w:t xml:space="preserve"> navedenih, pojedini osnovni sudovi u izvještajnom periodu bilježe smanjenje broja predmeta u kojima su primijenili odredbe navedenog zakona. </w:t>
      </w:r>
      <w:proofErr w:type="gramStart"/>
      <w:r w:rsidRPr="00135E0E">
        <w:rPr>
          <w:rFonts w:ascii="Arial" w:eastAsiaTheme="minorEastAsia" w:hAnsi="Arial" w:cs="Arial"/>
          <w:lang w:val="en-US"/>
        </w:rPr>
        <w:t>Tako je Osnovni sud u Podgorici u izvještajnom periodu primijenio odredbe ovog zakona u 49 predmeta, što je za 52 predmeta manje nego u prethodnom periodu u kojem je ovaj broj iznosio 101 predmet, dok je Osnovni sud u Rožajama u izvještajnom periodu primijenio odredbe ovog zakona u 45 predmeta što je za 26 predmeta manje nego u prethodnom periodu u kojem je navedeni zakon primijenjen u 71 predmetu, a Osnovni sud u Bijelom Polju u 13 predmeta što je za 23 predmeta manje u odnosu na prethodni period u kojem je broj ovih predmeta iznosio 36.</w:t>
      </w:r>
      <w:proofErr w:type="gramEnd"/>
      <w:r w:rsidRPr="00135E0E">
        <w:rPr>
          <w:rFonts w:ascii="Arial" w:eastAsiaTheme="minorEastAsia" w:hAnsi="Arial" w:cs="Arial"/>
          <w:lang w:val="en-US"/>
        </w:rPr>
        <w:t xml:space="preserve"> Osnovni sud u Plavu i Osnovni sud u Cetinju u izvještajnom periodu nijesu primjenjivali odredbe Zakona o međunarodnom privatnom pravu.</w:t>
      </w:r>
    </w:p>
    <w:p w:rsidR="00135E0E" w:rsidRPr="00135E0E" w:rsidRDefault="00135E0E" w:rsidP="00135E0E">
      <w:pPr>
        <w:ind w:firstLine="708"/>
        <w:jc w:val="both"/>
        <w:rPr>
          <w:rFonts w:ascii="Arial" w:eastAsiaTheme="minorEastAsia" w:hAnsi="Arial" w:cs="Arial"/>
          <w:lang w:val="en-US"/>
        </w:rPr>
      </w:pPr>
      <w:r w:rsidRPr="00135E0E">
        <w:rPr>
          <w:rFonts w:ascii="Arial" w:eastAsiaTheme="minorEastAsia" w:hAnsi="Arial" w:cs="Arial"/>
          <w:lang w:val="en-US"/>
        </w:rPr>
        <w:t xml:space="preserve">U tabeli koja slijedi prikazan je broj predmeta u kojima su primijenjene odredbe Zakona o međunarodnom privatnom pravu u osnovnim sudovima u periodu </w:t>
      </w:r>
      <w:proofErr w:type="gramStart"/>
      <w:r w:rsidRPr="00135E0E">
        <w:rPr>
          <w:rFonts w:ascii="Arial" w:eastAsiaTheme="minorEastAsia" w:hAnsi="Arial" w:cs="Arial"/>
          <w:lang w:val="en-US"/>
        </w:rPr>
        <w:t>jul</w:t>
      </w:r>
      <w:proofErr w:type="gramEnd"/>
      <w:r w:rsidRPr="00135E0E">
        <w:rPr>
          <w:rFonts w:ascii="Arial" w:eastAsiaTheme="minorEastAsia" w:hAnsi="Arial" w:cs="Arial"/>
          <w:lang w:val="en-US"/>
        </w:rPr>
        <w:t xml:space="preserve"> 2019 – jul 2020. </w:t>
      </w:r>
      <w:proofErr w:type="gramStart"/>
      <w:r w:rsidRPr="00135E0E">
        <w:rPr>
          <w:rFonts w:ascii="Arial" w:eastAsiaTheme="minorEastAsia" w:hAnsi="Arial" w:cs="Arial"/>
          <w:lang w:val="en-US"/>
        </w:rPr>
        <w:t>godine</w:t>
      </w:r>
      <w:proofErr w:type="gramEnd"/>
      <w:r w:rsidRPr="00135E0E">
        <w:rPr>
          <w:rFonts w:ascii="Arial" w:eastAsiaTheme="minorEastAsia" w:hAnsi="Arial" w:cs="Arial"/>
          <w:lang w:val="en-US"/>
        </w:rPr>
        <w:t>, pojedinačno po sudovima i određenim oblastima prava, kao i zbirni podaci.</w:t>
      </w:r>
    </w:p>
    <w:p w:rsidR="00135E0E" w:rsidRPr="00135E0E" w:rsidRDefault="00135E0E" w:rsidP="00135E0E">
      <w:pPr>
        <w:rPr>
          <w:rFonts w:ascii="Arial" w:eastAsia="Calibri" w:hAnsi="Arial" w:cs="Arial"/>
          <w:b/>
          <w:lang w:val="en-US"/>
        </w:rPr>
      </w:pPr>
      <w:r w:rsidRPr="00135E0E">
        <w:rPr>
          <w:rFonts w:ascii="Arial" w:eastAsiaTheme="minorEastAsia" w:hAnsi="Arial" w:cs="Arial"/>
          <w:b/>
          <w:lang w:val="en-US"/>
        </w:rPr>
        <w:t xml:space="preserve">Tabela 1      </w:t>
      </w:r>
    </w:p>
    <w:tbl>
      <w:tblPr>
        <w:tblW w:w="9588" w:type="dxa"/>
        <w:tblLayout w:type="fixed"/>
        <w:tblCellMar>
          <w:left w:w="10" w:type="dxa"/>
          <w:right w:w="10" w:type="dxa"/>
        </w:tblCellMar>
        <w:tblLook w:val="04A0" w:firstRow="1" w:lastRow="0" w:firstColumn="1" w:lastColumn="0" w:noHBand="0" w:noVBand="1"/>
      </w:tblPr>
      <w:tblGrid>
        <w:gridCol w:w="3099"/>
        <w:gridCol w:w="1296"/>
        <w:gridCol w:w="1418"/>
        <w:gridCol w:w="1276"/>
        <w:gridCol w:w="1365"/>
        <w:gridCol w:w="1134"/>
      </w:tblGrid>
      <w:tr w:rsidR="00135E0E" w:rsidRPr="00135E0E" w:rsidTr="008921E6">
        <w:trPr>
          <w:trHeight w:val="1042"/>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imes New Roman"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lang w:val="en-US"/>
              </w:rPr>
            </w:pPr>
            <w:r w:rsidRPr="00135E0E">
              <w:rPr>
                <w:rFonts w:ascii="Arial" w:eastAsiaTheme="minorEastAsia" w:hAnsi="Arial" w:cs="Arial"/>
                <w:b/>
                <w:bCs/>
                <w:lang w:val="en-US"/>
              </w:rPr>
              <w:t>NAZIV SUDA</w:t>
            </w:r>
          </w:p>
          <w:p w:rsidR="00135E0E" w:rsidRPr="00135E0E" w:rsidRDefault="00135E0E" w:rsidP="00135E0E">
            <w:pPr>
              <w:autoSpaceDE w:val="0"/>
              <w:spacing w:line="254" w:lineRule="auto"/>
              <w:jc w:val="center"/>
              <w:rPr>
                <w:rFonts w:ascii="Arial" w:eastAsiaTheme="minorEastAsia" w:hAnsi="Arial" w:cs="Arial"/>
                <w:b/>
                <w:bCs/>
                <w:sz w:val="24"/>
                <w:szCs w:val="24"/>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sz w:val="24"/>
                <w:szCs w:val="24"/>
                <w:lang w:val="en-US"/>
              </w:rPr>
            </w:pPr>
            <w:r w:rsidRPr="00135E0E">
              <w:rPr>
                <w:rFonts w:ascii="Arial" w:eastAsiaTheme="minorEastAsia" w:hAnsi="Arial" w:cs="Arial"/>
                <w:b/>
                <w:bCs/>
                <w:lang w:val="en-US"/>
              </w:rPr>
              <w:t>Porodično</w:t>
            </w:r>
          </w:p>
          <w:p w:rsidR="00135E0E" w:rsidRPr="00135E0E" w:rsidRDefault="00135E0E" w:rsidP="00135E0E">
            <w:pPr>
              <w:autoSpaceDE w:val="0"/>
              <w:spacing w:line="254" w:lineRule="auto"/>
              <w:jc w:val="center"/>
              <w:rPr>
                <w:rFonts w:ascii="Arial" w:eastAsiaTheme="minorEastAsia" w:hAnsi="Arial" w:cs="Arial"/>
                <w:b/>
                <w:bCs/>
                <w:lang w:val="en-US"/>
              </w:rPr>
            </w:pPr>
            <w:r w:rsidRPr="00135E0E">
              <w:rPr>
                <w:rFonts w:ascii="Arial" w:eastAsiaTheme="minorEastAsia" w:hAnsi="Arial" w:cs="Arial"/>
                <w:b/>
                <w:bCs/>
                <w:lang w:val="en-US"/>
              </w:rPr>
              <w:t>pravo</w:t>
            </w:r>
          </w:p>
          <w:p w:rsidR="00135E0E" w:rsidRPr="00135E0E" w:rsidRDefault="00135E0E" w:rsidP="00135E0E">
            <w:pPr>
              <w:autoSpaceDE w:val="0"/>
              <w:spacing w:line="254" w:lineRule="auto"/>
              <w:jc w:val="center"/>
              <w:rPr>
                <w:rFonts w:ascii="Calibri" w:eastAsiaTheme="minorEastAsia" w:hAnsi="Calibri" w:cs="Times New Roman"/>
                <w:lang w:val="en-US"/>
              </w:rPr>
            </w:pPr>
            <w:r w:rsidRPr="00135E0E">
              <w:rPr>
                <w:rFonts w:ascii="Arial" w:eastAsiaTheme="minorEastAsia" w:hAnsi="Arial" w:cs="Arial"/>
                <w:bCs/>
                <w:lang w:val="en-US"/>
              </w:rPr>
              <w:t>(broj predmeta)</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lang w:val="en-US"/>
              </w:rPr>
            </w:pPr>
            <w:r w:rsidRPr="00135E0E">
              <w:rPr>
                <w:rFonts w:ascii="Arial" w:eastAsiaTheme="minorEastAsia" w:hAnsi="Arial" w:cs="Arial"/>
                <w:b/>
                <w:bCs/>
                <w:lang w:val="en-US"/>
              </w:rPr>
              <w:t>Obligaciono pravo</w:t>
            </w:r>
          </w:p>
          <w:p w:rsidR="00135E0E" w:rsidRPr="00135E0E" w:rsidRDefault="00135E0E" w:rsidP="00135E0E">
            <w:pPr>
              <w:autoSpaceDE w:val="0"/>
              <w:spacing w:line="254" w:lineRule="auto"/>
              <w:jc w:val="center"/>
              <w:rPr>
                <w:rFonts w:ascii="Calibri" w:eastAsiaTheme="minorEastAsia" w:hAnsi="Calibri" w:cs="Times New Roman"/>
                <w:lang w:val="en-US"/>
              </w:rPr>
            </w:pPr>
            <w:r w:rsidRPr="00135E0E">
              <w:rPr>
                <w:rFonts w:ascii="Arial" w:eastAsiaTheme="minorEastAsia" w:hAnsi="Arial" w:cs="Arial"/>
                <w:bCs/>
                <w:lang w:val="en-US"/>
              </w:rPr>
              <w:t>(broj predmeta)</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lang w:val="en-US"/>
              </w:rPr>
            </w:pPr>
            <w:r w:rsidRPr="00135E0E">
              <w:rPr>
                <w:rFonts w:ascii="Arial" w:eastAsiaTheme="minorEastAsia" w:hAnsi="Arial" w:cs="Arial"/>
                <w:b/>
                <w:bCs/>
                <w:lang w:val="en-US"/>
              </w:rPr>
              <w:t>Stvarno pravo</w:t>
            </w:r>
          </w:p>
          <w:p w:rsidR="00135E0E" w:rsidRPr="00135E0E" w:rsidRDefault="00135E0E" w:rsidP="00135E0E">
            <w:pPr>
              <w:autoSpaceDE w:val="0"/>
              <w:spacing w:line="254" w:lineRule="auto"/>
              <w:jc w:val="center"/>
              <w:rPr>
                <w:rFonts w:ascii="Calibri" w:eastAsiaTheme="minorEastAsia" w:hAnsi="Calibri" w:cs="Times New Roman"/>
                <w:lang w:val="en-US"/>
              </w:rPr>
            </w:pPr>
            <w:r w:rsidRPr="00135E0E">
              <w:rPr>
                <w:rFonts w:ascii="Arial" w:eastAsiaTheme="minorEastAsia" w:hAnsi="Arial" w:cs="Arial"/>
                <w:bCs/>
                <w:lang w:val="en-US"/>
              </w:rPr>
              <w:t>(broj predmeta)</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lang w:val="en-US"/>
              </w:rPr>
            </w:pPr>
            <w:r w:rsidRPr="00135E0E">
              <w:rPr>
                <w:rFonts w:ascii="Arial" w:eastAsiaTheme="minorEastAsia" w:hAnsi="Arial" w:cs="Arial"/>
                <w:b/>
                <w:bCs/>
                <w:lang w:val="en-US"/>
              </w:rPr>
              <w:t>Nasljedno pravo</w:t>
            </w:r>
          </w:p>
          <w:p w:rsidR="00135E0E" w:rsidRPr="00135E0E" w:rsidRDefault="00135E0E" w:rsidP="00135E0E">
            <w:pPr>
              <w:autoSpaceDE w:val="0"/>
              <w:spacing w:line="254" w:lineRule="auto"/>
              <w:jc w:val="center"/>
              <w:rPr>
                <w:rFonts w:ascii="Calibri" w:eastAsiaTheme="minorEastAsia" w:hAnsi="Calibri" w:cs="Times New Roman"/>
                <w:lang w:val="en-US"/>
              </w:rPr>
            </w:pPr>
            <w:r w:rsidRPr="00135E0E">
              <w:rPr>
                <w:rFonts w:ascii="Arial" w:eastAsiaTheme="minorEastAsia" w:hAnsi="Arial" w:cs="Arial"/>
                <w:bCs/>
                <w:lang w:val="en-US"/>
              </w:rPr>
              <w:t>(broj predmeta)</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lang w:val="en-US"/>
              </w:rPr>
            </w:pPr>
          </w:p>
          <w:p w:rsidR="00135E0E" w:rsidRPr="00135E0E" w:rsidRDefault="00135E0E" w:rsidP="00135E0E">
            <w:pPr>
              <w:autoSpaceDE w:val="0"/>
              <w:spacing w:line="254" w:lineRule="auto"/>
              <w:jc w:val="center"/>
              <w:rPr>
                <w:rFonts w:ascii="Arial" w:eastAsiaTheme="minorEastAsia" w:hAnsi="Arial" w:cs="Arial"/>
                <w:b/>
                <w:bCs/>
                <w:lang w:val="en-US"/>
              </w:rPr>
            </w:pPr>
            <w:r w:rsidRPr="00135E0E">
              <w:rPr>
                <w:rFonts w:ascii="Arial" w:eastAsiaTheme="minorEastAsia" w:hAnsi="Arial" w:cs="Arial"/>
                <w:b/>
                <w:bCs/>
                <w:lang w:val="en-US"/>
              </w:rPr>
              <w:t>UKUPNO</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Osnovni sud u Baru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11</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52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66</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Beranama</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27</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30</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Bijelom Polju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13</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lastRenderedPageBreak/>
              <w:t>Osnovni sud u Danilovgradu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lastRenderedPageBreak/>
              <w:t>5</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lastRenderedPageBreak/>
              <w:t>9</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lastRenderedPageBreak/>
              <w:t>10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lastRenderedPageBreak/>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lastRenderedPageBreak/>
              <w:t>24</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Žabljaku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53</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58</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124</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Kolašinu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Kotoru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8</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14</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25</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56</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Nikšiću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5</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5</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Plavu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Pljevljima</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4</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7</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9</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20</w:t>
            </w:r>
          </w:p>
        </w:tc>
      </w:tr>
      <w:tr w:rsidR="00135E0E" w:rsidRPr="00135E0E" w:rsidTr="008921E6">
        <w:trPr>
          <w:trHeight w:val="6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Podgorici</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8</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38</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49</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Rožajama</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45</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45</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Ulcinju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2</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Herceg Novom</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3</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1</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tabs>
                <w:tab w:val="left" w:pos="210"/>
                <w:tab w:val="center" w:pos="652"/>
              </w:tabs>
              <w:autoSpaceDE w:val="0"/>
              <w:spacing w:line="254" w:lineRule="auto"/>
              <w:jc w:val="center"/>
              <w:rPr>
                <w:rFonts w:ascii="Arial" w:eastAsiaTheme="minorEastAsia" w:hAnsi="Arial" w:cs="Arial"/>
                <w:lang w:val="en-US"/>
              </w:rPr>
            </w:pPr>
          </w:p>
          <w:p w:rsidR="00135E0E" w:rsidRPr="00135E0E" w:rsidRDefault="00135E0E" w:rsidP="00135E0E">
            <w:pPr>
              <w:tabs>
                <w:tab w:val="left" w:pos="210"/>
                <w:tab w:val="center" w:pos="652"/>
              </w:tabs>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5</w:t>
            </w:r>
          </w:p>
        </w:tc>
      </w:tr>
      <w:tr w:rsidR="00135E0E" w:rsidRPr="00135E0E" w:rsidTr="008921E6">
        <w:trPr>
          <w:trHeight w:val="285"/>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sz w:val="24"/>
                <w:szCs w:val="24"/>
                <w:lang w:val="en-US"/>
              </w:rPr>
            </w:pPr>
            <w:r w:rsidRPr="00135E0E">
              <w:rPr>
                <w:rFonts w:ascii="Arial" w:eastAsiaTheme="minorEastAsia" w:hAnsi="Arial" w:cs="Arial"/>
                <w:lang w:val="en-US"/>
              </w:rPr>
              <w:t>Osnovni sud u Cetinju</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rPr>
          <w:trHeight w:val="723"/>
        </w:trPr>
        <w:tc>
          <w:tcPr>
            <w:tcW w:w="30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rPr>
                <w:rFonts w:ascii="Arial" w:eastAsiaTheme="minorEastAsia" w:hAnsi="Arial" w:cs="Arial"/>
                <w:lang w:val="en-US"/>
              </w:rPr>
            </w:pPr>
          </w:p>
          <w:p w:rsidR="00135E0E" w:rsidRPr="00135E0E" w:rsidRDefault="00135E0E" w:rsidP="00135E0E">
            <w:pPr>
              <w:autoSpaceDE w:val="0"/>
              <w:spacing w:line="254" w:lineRule="auto"/>
              <w:jc w:val="center"/>
              <w:rPr>
                <w:rFonts w:ascii="Arial" w:eastAsiaTheme="minorEastAsia" w:hAnsi="Arial" w:cs="Arial"/>
                <w:b/>
                <w:sz w:val="24"/>
                <w:szCs w:val="24"/>
                <w:lang w:val="en-US"/>
              </w:rPr>
            </w:pPr>
            <w:r w:rsidRPr="00135E0E">
              <w:rPr>
                <w:rFonts w:ascii="Arial" w:eastAsiaTheme="minorEastAsia" w:hAnsi="Arial" w:cs="Arial"/>
                <w:b/>
                <w:lang w:val="en-US"/>
              </w:rPr>
              <w:t>UKUPNO</w:t>
            </w:r>
          </w:p>
          <w:p w:rsidR="00135E0E" w:rsidRPr="00135E0E" w:rsidRDefault="00135E0E" w:rsidP="00135E0E">
            <w:pPr>
              <w:autoSpaceDE w:val="0"/>
              <w:spacing w:line="254" w:lineRule="auto"/>
              <w:rPr>
                <w:rFonts w:ascii="Arial" w:eastAsiaTheme="minorEastAsia" w:hAnsi="Arial" w:cs="Arial"/>
                <w:lang w:val="en-US"/>
              </w:rPr>
            </w:pPr>
          </w:p>
        </w:tc>
        <w:tc>
          <w:tcPr>
            <w:tcW w:w="129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lang w:val="en-US"/>
              </w:rPr>
            </w:pPr>
          </w:p>
          <w:p w:rsidR="00135E0E" w:rsidRPr="00135E0E" w:rsidRDefault="00135E0E" w:rsidP="00135E0E">
            <w:pPr>
              <w:autoSpaceDE w:val="0"/>
              <w:spacing w:line="254" w:lineRule="auto"/>
              <w:jc w:val="center"/>
              <w:rPr>
                <w:rFonts w:ascii="Arial" w:eastAsiaTheme="minorEastAsia" w:hAnsi="Arial" w:cs="Arial"/>
                <w:b/>
                <w:lang w:val="en-US"/>
              </w:rPr>
            </w:pPr>
            <w:r w:rsidRPr="00135E0E">
              <w:rPr>
                <w:rFonts w:ascii="Arial" w:eastAsiaTheme="minorEastAsia" w:hAnsi="Arial" w:cs="Arial"/>
                <w:b/>
                <w:lang w:val="en-US"/>
              </w:rPr>
              <w:t>131</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lang w:val="en-US"/>
              </w:rPr>
            </w:pPr>
          </w:p>
          <w:p w:rsidR="00135E0E" w:rsidRPr="00135E0E" w:rsidRDefault="00135E0E" w:rsidP="00135E0E">
            <w:pPr>
              <w:autoSpaceDE w:val="0"/>
              <w:spacing w:line="254" w:lineRule="auto"/>
              <w:jc w:val="center"/>
              <w:rPr>
                <w:rFonts w:ascii="Arial" w:eastAsiaTheme="minorEastAsia" w:hAnsi="Arial" w:cs="Arial"/>
                <w:b/>
                <w:lang w:val="en-US"/>
              </w:rPr>
            </w:pPr>
            <w:r w:rsidRPr="00135E0E">
              <w:rPr>
                <w:rFonts w:ascii="Arial" w:eastAsiaTheme="minorEastAsia" w:hAnsi="Arial" w:cs="Arial"/>
                <w:b/>
                <w:lang w:val="en-US"/>
              </w:rPr>
              <w:t>88</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lang w:val="en-US"/>
              </w:rPr>
            </w:pPr>
          </w:p>
          <w:p w:rsidR="00135E0E" w:rsidRPr="00135E0E" w:rsidRDefault="00135E0E" w:rsidP="00135E0E">
            <w:pPr>
              <w:autoSpaceDE w:val="0"/>
              <w:spacing w:line="254" w:lineRule="auto"/>
              <w:jc w:val="center"/>
              <w:rPr>
                <w:rFonts w:ascii="Arial" w:eastAsiaTheme="minorEastAsia" w:hAnsi="Arial" w:cs="Arial"/>
                <w:b/>
                <w:lang w:val="en-US"/>
              </w:rPr>
            </w:pPr>
            <w:r w:rsidRPr="00135E0E">
              <w:rPr>
                <w:rFonts w:ascii="Arial" w:eastAsiaTheme="minorEastAsia" w:hAnsi="Arial" w:cs="Arial"/>
                <w:b/>
                <w:lang w:val="en-US"/>
              </w:rPr>
              <w:t>102</w:t>
            </w:r>
          </w:p>
        </w:tc>
        <w:tc>
          <w:tcPr>
            <w:tcW w:w="13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lang w:val="en-US"/>
              </w:rPr>
            </w:pPr>
          </w:p>
          <w:p w:rsidR="00135E0E" w:rsidRPr="00135E0E" w:rsidRDefault="00135E0E" w:rsidP="00135E0E">
            <w:pPr>
              <w:autoSpaceDE w:val="0"/>
              <w:spacing w:line="254" w:lineRule="auto"/>
              <w:jc w:val="center"/>
              <w:rPr>
                <w:rFonts w:ascii="Arial" w:eastAsiaTheme="minorEastAsia" w:hAnsi="Arial" w:cs="Arial"/>
                <w:b/>
                <w:lang w:val="en-US"/>
              </w:rPr>
            </w:pPr>
            <w:r w:rsidRPr="00135E0E">
              <w:rPr>
                <w:rFonts w:ascii="Arial" w:eastAsiaTheme="minorEastAsia" w:hAnsi="Arial" w:cs="Arial"/>
                <w:b/>
                <w:lang w:val="en-US"/>
              </w:rPr>
              <w:t>122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35E0E" w:rsidRPr="00135E0E" w:rsidRDefault="00135E0E" w:rsidP="00135E0E">
            <w:pPr>
              <w:autoSpaceDE w:val="0"/>
              <w:spacing w:line="254" w:lineRule="auto"/>
              <w:jc w:val="center"/>
              <w:rPr>
                <w:rFonts w:ascii="Arial" w:eastAsiaTheme="minorEastAsia" w:hAnsi="Arial" w:cs="Arial"/>
                <w:b/>
                <w:lang w:val="en-US"/>
              </w:rPr>
            </w:pPr>
          </w:p>
          <w:p w:rsidR="00135E0E" w:rsidRPr="00135E0E" w:rsidRDefault="00135E0E" w:rsidP="00135E0E">
            <w:pPr>
              <w:autoSpaceDE w:val="0"/>
              <w:spacing w:line="254" w:lineRule="auto"/>
              <w:jc w:val="center"/>
              <w:rPr>
                <w:rFonts w:ascii="Arial" w:eastAsiaTheme="minorEastAsia" w:hAnsi="Arial" w:cs="Arial"/>
                <w:b/>
                <w:lang w:val="en-US"/>
              </w:rPr>
            </w:pPr>
            <w:r w:rsidRPr="00135E0E">
              <w:rPr>
                <w:rFonts w:ascii="Arial" w:eastAsiaTheme="minorEastAsia" w:hAnsi="Arial" w:cs="Arial"/>
                <w:b/>
                <w:lang w:val="en-US"/>
              </w:rPr>
              <w:t>443</w:t>
            </w:r>
          </w:p>
        </w:tc>
      </w:tr>
    </w:tbl>
    <w:p w:rsidR="00135E0E" w:rsidRPr="00135E0E" w:rsidRDefault="00135E0E" w:rsidP="00135E0E">
      <w:pPr>
        <w:suppressAutoHyphens/>
        <w:autoSpaceDN w:val="0"/>
        <w:jc w:val="both"/>
        <w:rPr>
          <w:rFonts w:ascii="Arial" w:eastAsiaTheme="minorEastAsia" w:hAnsi="Arial" w:cs="Arial"/>
          <w:b/>
          <w:lang w:val="en-US"/>
        </w:rPr>
      </w:pPr>
    </w:p>
    <w:p w:rsidR="00135E0E" w:rsidRPr="00135E0E" w:rsidRDefault="00135E0E" w:rsidP="00135E0E">
      <w:pPr>
        <w:suppressAutoHyphens/>
        <w:autoSpaceDN w:val="0"/>
        <w:jc w:val="both"/>
        <w:rPr>
          <w:rFonts w:ascii="Arial" w:eastAsiaTheme="minorEastAsia" w:hAnsi="Arial" w:cs="Arial"/>
          <w:b/>
          <w:lang w:val="en-US"/>
        </w:rPr>
      </w:pPr>
    </w:p>
    <w:p w:rsidR="00135E0E" w:rsidRPr="00135E0E" w:rsidRDefault="00135E0E" w:rsidP="00135E0E">
      <w:pPr>
        <w:numPr>
          <w:ilvl w:val="0"/>
          <w:numId w:val="1"/>
        </w:numPr>
        <w:suppressAutoHyphens/>
        <w:autoSpaceDN w:val="0"/>
        <w:contextualSpacing/>
        <w:jc w:val="both"/>
        <w:rPr>
          <w:rFonts w:ascii="Arial" w:eastAsia="Times New Roman" w:hAnsi="Arial" w:cs="Arial"/>
          <w:b/>
          <w:sz w:val="24"/>
          <w:szCs w:val="24"/>
          <w:lang w:val="hr-HR"/>
        </w:rPr>
      </w:pPr>
      <w:r w:rsidRPr="00135E0E">
        <w:rPr>
          <w:rFonts w:ascii="Arial" w:eastAsia="Times New Roman" w:hAnsi="Arial" w:cs="Arial"/>
          <w:b/>
          <w:sz w:val="24"/>
          <w:szCs w:val="24"/>
          <w:lang w:val="hr-HR"/>
        </w:rPr>
        <w:t xml:space="preserve">Primjena Zakona o međunarodnom privatnom pravu u Privrednom sudu </w:t>
      </w:r>
    </w:p>
    <w:p w:rsidR="00135E0E" w:rsidRPr="00135E0E" w:rsidRDefault="00135E0E" w:rsidP="00135E0E">
      <w:pPr>
        <w:spacing w:after="0" w:line="240" w:lineRule="auto"/>
        <w:ind w:left="1065"/>
        <w:contextualSpacing/>
        <w:jc w:val="both"/>
        <w:rPr>
          <w:rFonts w:ascii="Arial" w:eastAsia="Times New Roman" w:hAnsi="Arial" w:cs="Arial"/>
          <w:b/>
          <w:sz w:val="24"/>
          <w:szCs w:val="24"/>
          <w:lang w:val="hr-HR"/>
        </w:rPr>
      </w:pPr>
    </w:p>
    <w:p w:rsidR="00135E0E" w:rsidRPr="00135E0E" w:rsidRDefault="00135E0E" w:rsidP="00135E0E">
      <w:pPr>
        <w:jc w:val="both"/>
        <w:rPr>
          <w:rFonts w:ascii="Arial" w:eastAsiaTheme="minorEastAsia" w:hAnsi="Arial" w:cs="Arial"/>
          <w:lang w:val="en-US"/>
        </w:rPr>
      </w:pPr>
      <w:r w:rsidRPr="00135E0E">
        <w:rPr>
          <w:rFonts w:ascii="Arial" w:eastAsiaTheme="minorEastAsia" w:hAnsi="Arial" w:cs="Arial"/>
          <w:lang w:val="en-US"/>
        </w:rPr>
        <w:tab/>
        <w:t xml:space="preserve">Privredni sud je u izvještajnom periodu u 45 predmeta primijenio odredbe Zakona o međunarodnom privatnom pravu. Dakle, radi se o istom broju predmeta kao u prethodnom izvještajnom periodu, kao i o istoj oblasti prava – obligaciono pravo u kojoj su </w:t>
      </w:r>
      <w:proofErr w:type="gramStart"/>
      <w:r w:rsidRPr="00135E0E">
        <w:rPr>
          <w:rFonts w:ascii="Arial" w:eastAsiaTheme="minorEastAsia" w:hAnsi="Arial" w:cs="Arial"/>
          <w:lang w:val="en-US"/>
        </w:rPr>
        <w:t>te</w:t>
      </w:r>
      <w:proofErr w:type="gramEnd"/>
      <w:r w:rsidRPr="00135E0E">
        <w:rPr>
          <w:rFonts w:ascii="Arial" w:eastAsiaTheme="minorEastAsia" w:hAnsi="Arial" w:cs="Arial"/>
          <w:lang w:val="en-US"/>
        </w:rPr>
        <w:t xml:space="preserve"> odredbe primijenjene. </w:t>
      </w:r>
    </w:p>
    <w:p w:rsidR="00135E0E" w:rsidRPr="00135E0E" w:rsidRDefault="00135E0E" w:rsidP="00135E0E">
      <w:pPr>
        <w:jc w:val="both"/>
        <w:rPr>
          <w:rFonts w:ascii="Arial" w:eastAsiaTheme="minorEastAsia" w:hAnsi="Arial" w:cs="Arial"/>
          <w:lang w:val="en-US"/>
        </w:rPr>
      </w:pPr>
      <w:r w:rsidRPr="00135E0E">
        <w:rPr>
          <w:rFonts w:ascii="Arial" w:eastAsiaTheme="minorEastAsia" w:hAnsi="Arial" w:cs="Arial"/>
          <w:lang w:val="en-US"/>
        </w:rPr>
        <w:tab/>
      </w:r>
    </w:p>
    <w:p w:rsidR="00135E0E" w:rsidRPr="00135E0E" w:rsidRDefault="00135E0E" w:rsidP="00135E0E">
      <w:pPr>
        <w:ind w:firstLine="708"/>
        <w:jc w:val="both"/>
        <w:rPr>
          <w:rFonts w:ascii="Arial" w:eastAsiaTheme="minorEastAsia" w:hAnsi="Arial" w:cs="Arial"/>
          <w:b/>
          <w:lang w:val="en-US"/>
        </w:rPr>
      </w:pPr>
      <w:r w:rsidRPr="00135E0E">
        <w:rPr>
          <w:rFonts w:ascii="Arial" w:eastAsiaTheme="minorEastAsia" w:hAnsi="Arial" w:cs="Arial"/>
          <w:b/>
          <w:lang w:val="en-US"/>
        </w:rPr>
        <w:t>III Primjena Zakona o međunarodnom privatnom pravu u ostavinskim postupcima koje sprovode notari kao povjerenici suda</w:t>
      </w:r>
    </w:p>
    <w:p w:rsidR="00135E0E" w:rsidRPr="00135E0E" w:rsidRDefault="00135E0E" w:rsidP="00135E0E">
      <w:pPr>
        <w:spacing w:before="240"/>
        <w:ind w:firstLine="567"/>
        <w:jc w:val="both"/>
        <w:rPr>
          <w:rFonts w:ascii="Arial" w:eastAsiaTheme="minorEastAsia" w:hAnsi="Arial" w:cs="Arial"/>
          <w:lang w:val="en-US"/>
        </w:rPr>
      </w:pPr>
      <w:r w:rsidRPr="00135E0E">
        <w:rPr>
          <w:rFonts w:ascii="Arial" w:eastAsiaTheme="minorEastAsia" w:hAnsi="Arial" w:cs="Arial"/>
          <w:lang w:val="en-US"/>
        </w:rPr>
        <w:t xml:space="preserve">Notari su u izvještajnom periodu u 177 predmeta primijenili odredbe Zakona o međunarodnom privatnom pravu. U najvećem broju ostavinskih predmeta odredbe navedenog zakona primijenili su: Milošević Marina, notarka iz Bara - u 28 predmeta, Jovanović Danilo, notar iz Tivta - u 26 predmeta i Ismailaga Ilirijana, notarka iz Ulcinja - u 26 predmeta. </w:t>
      </w:r>
      <w:proofErr w:type="gramStart"/>
      <w:r w:rsidRPr="00135E0E">
        <w:rPr>
          <w:rFonts w:ascii="Arial" w:eastAsiaTheme="minorEastAsia" w:hAnsi="Arial" w:cs="Arial"/>
          <w:lang w:val="en-US"/>
        </w:rPr>
        <w:t>Od</w:t>
      </w:r>
      <w:proofErr w:type="gramEnd"/>
      <w:r w:rsidRPr="00135E0E">
        <w:rPr>
          <w:rFonts w:ascii="Arial" w:eastAsiaTheme="minorEastAsia" w:hAnsi="Arial" w:cs="Arial"/>
          <w:lang w:val="en-US"/>
        </w:rPr>
        <w:t xml:space="preserve"> ukupno 54 notara koji su obavljali notarsku djelatnost u izvještajnom periodu, 38 notara nije primjenjivalo odredbe navedenog zakona ni u jednom ostavinskom predmetu. </w:t>
      </w:r>
    </w:p>
    <w:p w:rsidR="00135E0E" w:rsidRPr="00135E0E" w:rsidRDefault="00135E0E" w:rsidP="00135E0E">
      <w:pPr>
        <w:spacing w:before="240"/>
        <w:ind w:firstLine="567"/>
        <w:jc w:val="both"/>
        <w:rPr>
          <w:rFonts w:ascii="Arial" w:eastAsiaTheme="minorEastAsia" w:hAnsi="Arial" w:cs="Arial"/>
          <w:lang w:val="en-US"/>
        </w:rPr>
      </w:pPr>
      <w:r w:rsidRPr="00135E0E">
        <w:rPr>
          <w:rFonts w:ascii="Arial" w:eastAsiaTheme="minorEastAsia" w:hAnsi="Arial" w:cs="Arial"/>
          <w:lang w:val="en-US"/>
        </w:rPr>
        <w:t>Upoređujući navedene podatke sa podacima iz prethodnog izvještajnog perioda u kojem su notari primijenili odredbe predmetnog zakona u 191 predmetu, može se konstatovati da je u izvještajnom periodu došlo do smanjenja broja ove vrste predmeta za 14 predmeta ili 8</w:t>
      </w:r>
      <w:proofErr w:type="gramStart"/>
      <w:r w:rsidRPr="00135E0E">
        <w:rPr>
          <w:rFonts w:ascii="Arial" w:eastAsiaTheme="minorEastAsia" w:hAnsi="Arial" w:cs="Arial"/>
          <w:lang w:val="en-US"/>
        </w:rPr>
        <w:t>,33</w:t>
      </w:r>
      <w:proofErr w:type="gramEnd"/>
      <w:r w:rsidRPr="00135E0E">
        <w:rPr>
          <w:rFonts w:ascii="Arial" w:eastAsiaTheme="minorEastAsia" w:hAnsi="Arial" w:cs="Arial"/>
          <w:lang w:val="en-US"/>
        </w:rPr>
        <w:t>%.</w:t>
      </w:r>
    </w:p>
    <w:p w:rsidR="00390B0B" w:rsidRDefault="00390B0B" w:rsidP="00135E0E">
      <w:pPr>
        <w:ind w:firstLine="708"/>
        <w:jc w:val="both"/>
        <w:rPr>
          <w:rFonts w:ascii="Arial" w:eastAsiaTheme="minorEastAsia" w:hAnsi="Arial" w:cs="Arial"/>
          <w:lang w:val="en-US"/>
        </w:rPr>
      </w:pPr>
    </w:p>
    <w:p w:rsidR="00390B0B" w:rsidRDefault="00390B0B" w:rsidP="00135E0E">
      <w:pPr>
        <w:ind w:firstLine="708"/>
        <w:jc w:val="both"/>
        <w:rPr>
          <w:rFonts w:ascii="Arial" w:eastAsiaTheme="minorEastAsia" w:hAnsi="Arial" w:cs="Arial"/>
          <w:lang w:val="en-US"/>
        </w:rPr>
      </w:pPr>
    </w:p>
    <w:p w:rsidR="00390B0B" w:rsidRDefault="00390B0B" w:rsidP="00135E0E">
      <w:pPr>
        <w:ind w:firstLine="708"/>
        <w:jc w:val="both"/>
        <w:rPr>
          <w:rFonts w:ascii="Arial" w:eastAsiaTheme="minorEastAsia" w:hAnsi="Arial" w:cs="Arial"/>
          <w:lang w:val="en-US"/>
        </w:rPr>
      </w:pPr>
    </w:p>
    <w:p w:rsidR="00390B0B" w:rsidRDefault="00390B0B" w:rsidP="00135E0E">
      <w:pPr>
        <w:ind w:firstLine="708"/>
        <w:jc w:val="both"/>
        <w:rPr>
          <w:rFonts w:ascii="Arial" w:eastAsiaTheme="minorEastAsia" w:hAnsi="Arial" w:cs="Arial"/>
          <w:lang w:val="en-US"/>
        </w:rPr>
      </w:pPr>
    </w:p>
    <w:p w:rsidR="00135E0E" w:rsidRPr="00135E0E" w:rsidRDefault="00135E0E" w:rsidP="00135E0E">
      <w:pPr>
        <w:ind w:firstLine="708"/>
        <w:jc w:val="both"/>
        <w:rPr>
          <w:rFonts w:ascii="Calibri" w:eastAsia="Calibri" w:hAnsi="Calibri" w:cs="Times New Roman"/>
          <w:lang w:val="en-US"/>
        </w:rPr>
      </w:pPr>
      <w:r w:rsidRPr="00135E0E">
        <w:rPr>
          <w:rFonts w:ascii="Arial" w:eastAsiaTheme="minorEastAsia" w:hAnsi="Arial" w:cs="Arial"/>
          <w:lang w:val="en-US"/>
        </w:rPr>
        <w:lastRenderedPageBreak/>
        <w:t xml:space="preserve">U tabeli koja slijedi prikazan je broj ostavinskih predmeta u kojima su notari, kao povjerenici suda za sprovođenje ostavinskog postupka, primijenili odredbe Zakona o međunarodnom privatnom pravu, u periodu </w:t>
      </w:r>
      <w:proofErr w:type="gramStart"/>
      <w:r w:rsidRPr="00135E0E">
        <w:rPr>
          <w:rFonts w:ascii="Arial" w:eastAsiaTheme="minorEastAsia" w:hAnsi="Arial" w:cs="Arial"/>
          <w:lang w:val="en-US"/>
        </w:rPr>
        <w:t>jul</w:t>
      </w:r>
      <w:proofErr w:type="gramEnd"/>
      <w:r w:rsidRPr="00135E0E">
        <w:rPr>
          <w:rFonts w:ascii="Arial" w:eastAsiaTheme="minorEastAsia" w:hAnsi="Arial" w:cs="Arial"/>
          <w:lang w:val="en-US"/>
        </w:rPr>
        <w:t xml:space="preserve"> 2019 – jul 2020. </w:t>
      </w:r>
      <w:proofErr w:type="gramStart"/>
      <w:r w:rsidRPr="00135E0E">
        <w:rPr>
          <w:rFonts w:ascii="Arial" w:eastAsiaTheme="minorEastAsia" w:hAnsi="Arial" w:cs="Arial"/>
          <w:lang w:val="en-US"/>
        </w:rPr>
        <w:t>godine</w:t>
      </w:r>
      <w:proofErr w:type="gramEnd"/>
      <w:r w:rsidRPr="00135E0E">
        <w:rPr>
          <w:rFonts w:ascii="Arial" w:eastAsiaTheme="minorEastAsia" w:hAnsi="Arial" w:cs="Arial"/>
          <w:lang w:val="en-US"/>
        </w:rPr>
        <w:t>, pojedinačno za svakog notara, kao i zbirni podaci.</w:t>
      </w:r>
    </w:p>
    <w:p w:rsidR="00135E0E" w:rsidRPr="00135E0E" w:rsidRDefault="00135E0E" w:rsidP="00135E0E">
      <w:pPr>
        <w:jc w:val="center"/>
        <w:rPr>
          <w:rFonts w:ascii="Arial" w:eastAsia="Times New Roman" w:hAnsi="Arial" w:cs="Arial"/>
          <w:b/>
          <w:sz w:val="24"/>
          <w:szCs w:val="24"/>
          <w:lang w:val="en-US"/>
        </w:rPr>
      </w:pPr>
    </w:p>
    <w:p w:rsidR="00135E0E" w:rsidRPr="00135E0E" w:rsidRDefault="00135E0E" w:rsidP="00135E0E">
      <w:pPr>
        <w:rPr>
          <w:rFonts w:ascii="Arial" w:eastAsiaTheme="minorEastAsia" w:hAnsi="Arial" w:cs="Arial"/>
          <w:b/>
          <w:lang w:val="en-US"/>
        </w:rPr>
      </w:pPr>
      <w:r w:rsidRPr="00135E0E">
        <w:rPr>
          <w:rFonts w:ascii="Arial" w:eastAsiaTheme="minorEastAsia" w:hAnsi="Arial" w:cs="Arial"/>
          <w:b/>
          <w:lang w:val="en-US"/>
        </w:rPr>
        <w:tab/>
        <w:t>Tabela 2</w:t>
      </w:r>
    </w:p>
    <w:p w:rsidR="00135E0E" w:rsidRPr="00135E0E" w:rsidRDefault="00135E0E" w:rsidP="00135E0E">
      <w:pPr>
        <w:rPr>
          <w:rFonts w:ascii="Arial" w:eastAsiaTheme="minorEastAsia" w:hAnsi="Arial" w:cs="Arial"/>
          <w:b/>
          <w:lang w:val="en-US"/>
        </w:rPr>
      </w:pPr>
    </w:p>
    <w:tbl>
      <w:tblPr>
        <w:tblW w:w="8882" w:type="dxa"/>
        <w:tblInd w:w="360" w:type="dxa"/>
        <w:tblCellMar>
          <w:left w:w="10" w:type="dxa"/>
          <w:right w:w="10" w:type="dxa"/>
        </w:tblCellMar>
        <w:tblLook w:val="04A0" w:firstRow="1" w:lastRow="0" w:firstColumn="1" w:lastColumn="0" w:noHBand="0" w:noVBand="1"/>
      </w:tblPr>
      <w:tblGrid>
        <w:gridCol w:w="5277"/>
        <w:gridCol w:w="3605"/>
      </w:tblGrid>
      <w:tr w:rsidR="00135E0E" w:rsidRPr="00135E0E" w:rsidTr="008921E6">
        <w:trPr>
          <w:trHeight w:val="1691"/>
        </w:trPr>
        <w:tc>
          <w:tcPr>
            <w:tcW w:w="5277" w:type="dxa"/>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rsidR="00135E0E" w:rsidRPr="00135E0E" w:rsidRDefault="00135E0E" w:rsidP="00135E0E">
            <w:pPr>
              <w:spacing w:line="254" w:lineRule="auto"/>
              <w:ind w:left="360"/>
              <w:jc w:val="both"/>
              <w:rPr>
                <w:rFonts w:ascii="Arial" w:eastAsiaTheme="minorEastAsia" w:hAnsi="Arial" w:cs="Arial"/>
                <w:b/>
                <w:lang w:val="en-US"/>
              </w:rPr>
            </w:pPr>
          </w:p>
          <w:p w:rsidR="00135E0E" w:rsidRPr="00135E0E" w:rsidRDefault="00135E0E" w:rsidP="00135E0E">
            <w:pPr>
              <w:spacing w:line="254" w:lineRule="auto"/>
              <w:jc w:val="center"/>
              <w:rPr>
                <w:rFonts w:ascii="Arial" w:eastAsiaTheme="minorEastAsia" w:hAnsi="Arial" w:cs="Arial"/>
                <w:b/>
                <w:lang w:val="en-US"/>
              </w:rPr>
            </w:pPr>
          </w:p>
          <w:p w:rsidR="00135E0E" w:rsidRPr="00135E0E" w:rsidRDefault="00135E0E" w:rsidP="00135E0E">
            <w:pPr>
              <w:spacing w:line="254" w:lineRule="auto"/>
              <w:rPr>
                <w:rFonts w:ascii="Arial" w:eastAsiaTheme="minorEastAsia" w:hAnsi="Arial" w:cs="Arial"/>
                <w:b/>
                <w:sz w:val="28"/>
                <w:szCs w:val="28"/>
                <w:lang w:val="en-US"/>
              </w:rPr>
            </w:pPr>
          </w:p>
          <w:p w:rsidR="00135E0E" w:rsidRPr="00135E0E" w:rsidRDefault="00135E0E" w:rsidP="00135E0E">
            <w:pPr>
              <w:spacing w:line="254" w:lineRule="auto"/>
              <w:jc w:val="center"/>
              <w:rPr>
                <w:rFonts w:ascii="Arial" w:eastAsiaTheme="minorEastAsia" w:hAnsi="Arial" w:cs="Arial"/>
                <w:b/>
                <w:sz w:val="28"/>
                <w:szCs w:val="28"/>
                <w:lang w:val="en-US"/>
              </w:rPr>
            </w:pPr>
            <w:r w:rsidRPr="00135E0E">
              <w:rPr>
                <w:rFonts w:ascii="Arial" w:eastAsiaTheme="minorEastAsia" w:hAnsi="Arial" w:cs="Arial"/>
                <w:b/>
                <w:sz w:val="28"/>
                <w:szCs w:val="28"/>
                <w:lang w:val="en-US"/>
              </w:rPr>
              <w:t>NOTAR</w:t>
            </w:r>
          </w:p>
          <w:p w:rsidR="00135E0E" w:rsidRPr="00135E0E" w:rsidRDefault="00135E0E" w:rsidP="00135E0E">
            <w:pPr>
              <w:spacing w:line="254" w:lineRule="auto"/>
              <w:jc w:val="both"/>
              <w:rPr>
                <w:rFonts w:ascii="Arial" w:eastAsiaTheme="minorEastAsia" w:hAnsi="Arial" w:cs="Arial"/>
                <w:b/>
                <w:sz w:val="24"/>
                <w:szCs w:val="24"/>
                <w:lang w:val="en-US"/>
              </w:rPr>
            </w:pPr>
          </w:p>
        </w:tc>
        <w:tc>
          <w:tcPr>
            <w:tcW w:w="3605" w:type="dxa"/>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rsidR="00135E0E" w:rsidRPr="00135E0E" w:rsidRDefault="00135E0E" w:rsidP="00135E0E">
            <w:pPr>
              <w:spacing w:line="254" w:lineRule="auto"/>
              <w:ind w:left="360"/>
              <w:jc w:val="center"/>
              <w:rPr>
                <w:rFonts w:ascii="Arial" w:eastAsiaTheme="minorEastAsia" w:hAnsi="Arial" w:cs="Arial"/>
                <w:b/>
                <w:lang w:val="en-US"/>
              </w:rPr>
            </w:pPr>
          </w:p>
          <w:p w:rsidR="00135E0E" w:rsidRPr="00135E0E" w:rsidRDefault="00135E0E" w:rsidP="00135E0E">
            <w:pPr>
              <w:spacing w:line="254" w:lineRule="auto"/>
              <w:ind w:left="360"/>
              <w:jc w:val="center"/>
              <w:rPr>
                <w:rFonts w:ascii="Arial" w:eastAsiaTheme="minorEastAsia" w:hAnsi="Arial" w:cs="Arial"/>
                <w:b/>
                <w:lang w:val="en-US"/>
              </w:rPr>
            </w:pPr>
            <w:r w:rsidRPr="00135E0E">
              <w:rPr>
                <w:rFonts w:ascii="Arial" w:eastAsiaTheme="minorEastAsia" w:hAnsi="Arial" w:cs="Arial"/>
                <w:b/>
                <w:lang w:val="en-US"/>
              </w:rPr>
              <w:t>Broj  ostavinskih predmeta u kojima su primijenjene odredbe Zakona o međunarodnom privatnom pravu</w:t>
            </w:r>
          </w:p>
          <w:p w:rsidR="00135E0E" w:rsidRPr="00135E0E" w:rsidRDefault="00135E0E" w:rsidP="00135E0E">
            <w:pPr>
              <w:spacing w:line="254" w:lineRule="auto"/>
              <w:ind w:left="360"/>
              <w:jc w:val="center"/>
              <w:rPr>
                <w:rFonts w:ascii="Arial" w:eastAsiaTheme="minorEastAsia" w:hAnsi="Arial" w:cs="Arial"/>
                <w:b/>
                <w:lang w:val="en-US"/>
              </w:rPr>
            </w:pPr>
          </w:p>
        </w:tc>
      </w:tr>
      <w:tr w:rsidR="00135E0E" w:rsidRPr="00135E0E" w:rsidTr="008921E6">
        <w:tc>
          <w:tcPr>
            <w:tcW w:w="5277" w:type="dxa"/>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Adrović Harun, Berane</w:t>
            </w:r>
          </w:p>
        </w:tc>
        <w:tc>
          <w:tcPr>
            <w:tcW w:w="3605" w:type="dxa"/>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8</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Adžić Jadranka,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6</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Antunović Ljubica, Herceg Novi</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Bjeković Danko, Pljevlja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Bogavac Svetozar, Bijelo Polje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Bogić Mira,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Bošnjak Slavica,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Čepić Tanja,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1</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Čović Biljana, Bijelo Polje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Ćurić Darko,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Đurasović Maja,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Ismailaga Ilirijana, Ulcinj</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26</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Janjušević Nataša, Nikšić</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6</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Jovanović Danilo, Tivat</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26</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Jovanović Rade, Tivat</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Kalabrezi Gzim, Ulcinj</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Kardović Maida, Rožaje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lastRenderedPageBreak/>
              <w:t>Kašćelan Branka, Kotor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15</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Klikovac Lidija,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1</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Klikovac Radmila,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Knežević Dalibor, Budva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Knežević Irena, Cetinje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Knežević Verica, Kotor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1</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Konatar Biljana, Bijelo Polje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Kostić Lela, Nikšić</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Kovačević Irena, Kotor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3</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Kožar Feho, Rožaje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3</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Krivokapić Kuhar Aleksandra, Herceg Novi</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Lekić Pake, Bar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Lekić Šućo,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Magdelinić Miladin, Berane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Marić Tamara, Herceg Novi</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Marković Ljubiša, Nikšić</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Marković Veselinka, Kolašin</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Milošević Marina, Bar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28</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Moštrokol Milica, Kotor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Pavlović Svetlana, Bar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Perović Marinko, Nikšić</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Polović Irena, Budva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13</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Radović Sonja,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Rakočević Nela, Tivat</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21</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Redžepagić Senad, Bar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Sekulić Vuksan, Bijelo Polje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Stijović Igor,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Stojković Anka,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Strugar Dragoljub,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lastRenderedPageBreak/>
              <w:t>Škopelja Zoran, Bar</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Veljić Milonja, Berane</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Vujović Ranka, Danilovgrad</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Vukčević Andrijana,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Vukčević Slavka, Budva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Vukićević Branislav, Podgorica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13</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Vuksanović Branka, Budva</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6</w:t>
            </w:r>
          </w:p>
        </w:tc>
      </w:tr>
      <w:tr w:rsidR="00135E0E" w:rsidRPr="00135E0E" w:rsidTr="008921E6">
        <w:tc>
          <w:tcPr>
            <w:tcW w:w="5277"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Živaljević Milena, Danilovgrad</w:t>
            </w:r>
          </w:p>
        </w:tc>
        <w:tc>
          <w:tcPr>
            <w:tcW w:w="3605" w:type="dxa"/>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hideMark/>
          </w:tcPr>
          <w:p w:rsidR="00135E0E" w:rsidRPr="00135E0E" w:rsidRDefault="00135E0E" w:rsidP="00135E0E">
            <w:pPr>
              <w:spacing w:line="254" w:lineRule="auto"/>
              <w:jc w:val="center"/>
              <w:rPr>
                <w:rFonts w:ascii="Arial" w:eastAsiaTheme="minorEastAsia" w:hAnsi="Arial" w:cs="Arial"/>
                <w:lang w:val="en-US"/>
              </w:rPr>
            </w:pPr>
            <w:r w:rsidRPr="00135E0E">
              <w:rPr>
                <w:rFonts w:ascii="Arial" w:eastAsiaTheme="minorEastAsia" w:hAnsi="Arial" w:cs="Arial"/>
                <w:lang w:val="en-US"/>
              </w:rPr>
              <w:t>0</w:t>
            </w:r>
          </w:p>
        </w:tc>
      </w:tr>
      <w:tr w:rsidR="00135E0E" w:rsidRPr="00135E0E" w:rsidTr="008921E6">
        <w:tc>
          <w:tcPr>
            <w:tcW w:w="5277" w:type="dxa"/>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135E0E" w:rsidRPr="00135E0E" w:rsidRDefault="00135E0E" w:rsidP="00135E0E">
            <w:pPr>
              <w:spacing w:line="254" w:lineRule="auto"/>
              <w:jc w:val="center"/>
              <w:rPr>
                <w:rFonts w:ascii="Arial" w:eastAsiaTheme="minorEastAsia" w:hAnsi="Arial" w:cs="Arial"/>
                <w:b/>
                <w:lang w:val="en-US"/>
              </w:rPr>
            </w:pPr>
          </w:p>
          <w:p w:rsidR="00135E0E" w:rsidRPr="00135E0E" w:rsidRDefault="00135E0E" w:rsidP="00135E0E">
            <w:pPr>
              <w:spacing w:line="254" w:lineRule="auto"/>
              <w:jc w:val="center"/>
              <w:rPr>
                <w:rFonts w:ascii="Arial" w:eastAsiaTheme="minorEastAsia" w:hAnsi="Arial" w:cs="Arial"/>
                <w:b/>
                <w:lang w:val="en-US"/>
              </w:rPr>
            </w:pPr>
            <w:r w:rsidRPr="00135E0E">
              <w:rPr>
                <w:rFonts w:ascii="Arial" w:eastAsiaTheme="minorEastAsia" w:hAnsi="Arial" w:cs="Arial"/>
                <w:b/>
                <w:lang w:val="en-US"/>
              </w:rPr>
              <w:t>UKUPNO:</w:t>
            </w:r>
          </w:p>
          <w:p w:rsidR="00135E0E" w:rsidRPr="00135E0E" w:rsidRDefault="00135E0E" w:rsidP="00135E0E">
            <w:pPr>
              <w:spacing w:line="254" w:lineRule="auto"/>
              <w:jc w:val="center"/>
              <w:rPr>
                <w:rFonts w:ascii="Arial" w:eastAsiaTheme="minorEastAsia" w:hAnsi="Arial" w:cs="Arial"/>
                <w:b/>
                <w:lang w:val="en-US"/>
              </w:rPr>
            </w:pPr>
          </w:p>
        </w:tc>
        <w:tc>
          <w:tcPr>
            <w:tcW w:w="3605" w:type="dxa"/>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135E0E" w:rsidRPr="00135E0E" w:rsidRDefault="00135E0E" w:rsidP="00135E0E">
            <w:pPr>
              <w:spacing w:line="254" w:lineRule="auto"/>
              <w:jc w:val="center"/>
              <w:rPr>
                <w:rFonts w:ascii="Arial" w:eastAsiaTheme="minorEastAsia" w:hAnsi="Arial" w:cs="Arial"/>
                <w:lang w:val="en-US"/>
              </w:rPr>
            </w:pPr>
          </w:p>
          <w:p w:rsidR="00135E0E" w:rsidRPr="00135E0E" w:rsidRDefault="00135E0E" w:rsidP="00135E0E">
            <w:pPr>
              <w:spacing w:line="254" w:lineRule="auto"/>
              <w:jc w:val="center"/>
              <w:rPr>
                <w:rFonts w:ascii="Calibri" w:eastAsiaTheme="minorEastAsia" w:hAnsi="Calibri" w:cs="Times New Roman"/>
                <w:b/>
                <w:lang w:val="en-US"/>
              </w:rPr>
            </w:pPr>
            <w:r w:rsidRPr="00135E0E">
              <w:rPr>
                <w:rFonts w:ascii="Arial" w:eastAsiaTheme="minorEastAsia" w:hAnsi="Arial" w:cs="Arial"/>
                <w:b/>
                <w:lang w:val="en-US"/>
              </w:rPr>
              <w:t>177</w:t>
            </w:r>
          </w:p>
        </w:tc>
      </w:tr>
    </w:tbl>
    <w:p w:rsidR="00135E0E" w:rsidRPr="00135E0E" w:rsidRDefault="00135E0E" w:rsidP="00135E0E">
      <w:pPr>
        <w:jc w:val="both"/>
        <w:rPr>
          <w:rFonts w:ascii="Arial" w:eastAsia="Calibri" w:hAnsi="Arial" w:cs="Arial"/>
          <w:b/>
          <w:lang w:eastAsia="sr-Latn-R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r w:rsidRPr="00135E0E">
        <w:rPr>
          <w:rFonts w:ascii="Arial" w:eastAsiaTheme="minorEastAsia" w:hAnsi="Arial" w:cs="Arial"/>
          <w:b/>
          <w:lang w:val="en-US"/>
        </w:rPr>
        <w:t>IV Načelni pravni stavovi Vrhovnog suda</w:t>
      </w:r>
    </w:p>
    <w:p w:rsidR="00135E0E" w:rsidRPr="00135E0E" w:rsidRDefault="00135E0E" w:rsidP="00135E0E">
      <w:pPr>
        <w:ind w:firstLine="708"/>
        <w:jc w:val="both"/>
        <w:rPr>
          <w:rFonts w:ascii="Arial" w:eastAsiaTheme="minorEastAsia" w:hAnsi="Arial" w:cs="Arial"/>
          <w:lang w:val="sr-Cyrl-CS"/>
        </w:rPr>
      </w:pPr>
      <w:r w:rsidRPr="00135E0E">
        <w:rPr>
          <w:rFonts w:ascii="Arial" w:eastAsiaTheme="minorEastAsia" w:hAnsi="Arial" w:cs="Arial"/>
          <w:lang w:val="sr-Cyrl-CS"/>
        </w:rPr>
        <w:t>Vrhovni sud</w:t>
      </w:r>
      <w:r w:rsidRPr="00135E0E">
        <w:rPr>
          <w:rFonts w:ascii="Arial" w:eastAsiaTheme="minorEastAsia" w:hAnsi="Arial" w:cs="Arial"/>
          <w:lang w:val="sr-Latn-ME"/>
        </w:rPr>
        <w:t xml:space="preserve"> </w:t>
      </w:r>
      <w:r w:rsidRPr="00135E0E">
        <w:rPr>
          <w:rFonts w:ascii="Arial" w:eastAsiaTheme="minorEastAsia" w:hAnsi="Arial" w:cs="Arial"/>
          <w:lang w:val="sr-Cyrl-CS"/>
        </w:rPr>
        <w:t>u izvještajnom periodu nije zauzimao načelne pravne stavove</w:t>
      </w:r>
      <w:r w:rsidRPr="00135E0E">
        <w:rPr>
          <w:rFonts w:ascii="Arial" w:eastAsiaTheme="minorEastAsia" w:hAnsi="Arial" w:cs="Arial"/>
          <w:lang w:val="sr-Latn-ME"/>
        </w:rPr>
        <w:t xml:space="preserve"> povodom primjene</w:t>
      </w:r>
      <w:r w:rsidRPr="00135E0E">
        <w:rPr>
          <w:rFonts w:ascii="Arial" w:eastAsiaTheme="minorEastAsia" w:hAnsi="Arial" w:cs="Arial"/>
          <w:lang w:val="sr-Cyrl-CS"/>
        </w:rPr>
        <w:t xml:space="preserve"> Zakona o međunarodnom privatnom pravu, već je stavove </w:t>
      </w:r>
      <w:r w:rsidRPr="00135E0E">
        <w:rPr>
          <w:rFonts w:ascii="Arial" w:eastAsiaTheme="minorEastAsia" w:hAnsi="Arial" w:cs="Arial"/>
        </w:rPr>
        <w:t xml:space="preserve">u vezi sa </w:t>
      </w:r>
      <w:r w:rsidR="00CF7250">
        <w:rPr>
          <w:rFonts w:ascii="Arial" w:eastAsiaTheme="minorEastAsia" w:hAnsi="Arial" w:cs="Arial"/>
        </w:rPr>
        <w:t>ovim zakonom</w:t>
      </w:r>
      <w:r w:rsidRPr="00135E0E">
        <w:rPr>
          <w:rFonts w:ascii="Arial" w:eastAsiaTheme="minorEastAsia" w:hAnsi="Arial" w:cs="Arial"/>
        </w:rPr>
        <w:t xml:space="preserve"> izrazio</w:t>
      </w:r>
      <w:r w:rsidRPr="00135E0E">
        <w:rPr>
          <w:rFonts w:ascii="Arial" w:eastAsiaTheme="minorEastAsia" w:hAnsi="Arial" w:cs="Arial"/>
          <w:lang w:val="sr-Cyrl-CS"/>
        </w:rPr>
        <w:t xml:space="preserve"> kroz</w:t>
      </w:r>
      <w:r w:rsidRPr="00135E0E">
        <w:rPr>
          <w:rFonts w:ascii="Arial" w:eastAsiaTheme="minorEastAsia" w:hAnsi="Arial" w:cs="Arial"/>
        </w:rPr>
        <w:t xml:space="preserve"> svoje</w:t>
      </w:r>
      <w:r w:rsidRPr="00135E0E">
        <w:rPr>
          <w:rFonts w:ascii="Arial" w:eastAsiaTheme="minorEastAsia" w:hAnsi="Arial" w:cs="Arial"/>
          <w:lang w:val="sr-Cyrl-CS"/>
        </w:rPr>
        <w:t xml:space="preserve"> odluke Rev.br. 676/19 i Rev.br. 1030/19.</w:t>
      </w:r>
    </w:p>
    <w:p w:rsidR="00135E0E" w:rsidRPr="00135E0E" w:rsidRDefault="00135E0E" w:rsidP="00135E0E">
      <w:pPr>
        <w:ind w:firstLine="708"/>
        <w:jc w:val="both"/>
        <w:rPr>
          <w:rFonts w:ascii="Arial" w:eastAsiaTheme="minorEastAsia" w:hAnsi="Arial" w:cs="Arial"/>
          <w:b/>
          <w:lang w:val="hr-HR"/>
        </w:rPr>
      </w:pPr>
    </w:p>
    <w:p w:rsidR="00135E0E" w:rsidRPr="00135E0E" w:rsidRDefault="00135E0E" w:rsidP="00135E0E">
      <w:pPr>
        <w:ind w:firstLine="708"/>
        <w:jc w:val="both"/>
        <w:rPr>
          <w:rFonts w:ascii="Arial" w:eastAsiaTheme="minorEastAsia" w:hAnsi="Arial" w:cs="Arial"/>
          <w:b/>
          <w:lang w:val="en-US"/>
        </w:rPr>
      </w:pPr>
      <w:r w:rsidRPr="00135E0E">
        <w:rPr>
          <w:rFonts w:ascii="Arial" w:eastAsiaTheme="minorEastAsia" w:hAnsi="Arial" w:cs="Arial"/>
          <w:b/>
          <w:lang w:val="en-US"/>
        </w:rPr>
        <w:t xml:space="preserve">V Obuke i seminari koje je organizovao Centar za obuku u periodu </w:t>
      </w:r>
      <w:proofErr w:type="gramStart"/>
      <w:r w:rsidRPr="00135E0E">
        <w:rPr>
          <w:rFonts w:ascii="Arial" w:eastAsiaTheme="minorEastAsia" w:hAnsi="Arial" w:cs="Arial"/>
          <w:b/>
          <w:lang w:val="en-US"/>
        </w:rPr>
        <w:t>jul</w:t>
      </w:r>
      <w:proofErr w:type="gramEnd"/>
      <w:r w:rsidRPr="00135E0E">
        <w:rPr>
          <w:rFonts w:ascii="Arial" w:eastAsiaTheme="minorEastAsia" w:hAnsi="Arial" w:cs="Arial"/>
          <w:b/>
          <w:lang w:val="en-US"/>
        </w:rPr>
        <w:t xml:space="preserve"> 2019 – jul 2020. </w:t>
      </w:r>
      <w:proofErr w:type="gramStart"/>
      <w:r w:rsidRPr="00135E0E">
        <w:rPr>
          <w:rFonts w:ascii="Arial" w:eastAsiaTheme="minorEastAsia" w:hAnsi="Arial" w:cs="Arial"/>
          <w:b/>
          <w:lang w:val="en-US"/>
        </w:rPr>
        <w:t>godine</w:t>
      </w:r>
      <w:proofErr w:type="gramEnd"/>
      <w:r w:rsidRPr="00135E0E">
        <w:rPr>
          <w:rFonts w:ascii="Arial" w:eastAsiaTheme="minorEastAsia" w:hAnsi="Arial" w:cs="Arial"/>
          <w:b/>
          <w:lang w:val="en-US"/>
        </w:rPr>
        <w:t xml:space="preserve"> iz oblasti međunarodnog privatnog prava </w:t>
      </w:r>
    </w:p>
    <w:p w:rsidR="00135E0E" w:rsidRPr="00135E0E" w:rsidRDefault="00135E0E" w:rsidP="00135E0E">
      <w:pPr>
        <w:ind w:firstLine="708"/>
        <w:jc w:val="both"/>
        <w:rPr>
          <w:rFonts w:ascii="Arial" w:eastAsiaTheme="minorEastAsia" w:hAnsi="Arial" w:cs="Arial"/>
          <w:lang w:val="sr-Cyrl-CS"/>
        </w:rPr>
      </w:pPr>
      <w:r w:rsidRPr="00135E0E">
        <w:rPr>
          <w:rFonts w:ascii="Arial" w:eastAsiaTheme="minorEastAsia" w:hAnsi="Arial" w:cs="Arial"/>
          <w:lang w:val="sr-Cyrl-CS"/>
        </w:rPr>
        <w:t xml:space="preserve">Centar za obuku je u izvještajnom periodu organizovao </w:t>
      </w:r>
      <w:r w:rsidRPr="00135E0E">
        <w:rPr>
          <w:rFonts w:ascii="Arial" w:eastAsiaTheme="minorEastAsia" w:hAnsi="Arial" w:cs="Arial"/>
        </w:rPr>
        <w:t>kontinuirane obuke</w:t>
      </w:r>
      <w:r w:rsidRPr="00135E0E">
        <w:rPr>
          <w:rFonts w:ascii="Arial" w:eastAsiaTheme="minorEastAsia" w:hAnsi="Arial" w:cs="Arial"/>
          <w:lang w:val="sr-Cyrl-CS"/>
        </w:rPr>
        <w:t xml:space="preserve"> iz oblasti međunarodnog privatnog prava u građanskim i privrednim stvarima, i to:</w:t>
      </w:r>
    </w:p>
    <w:p w:rsidR="00135E0E" w:rsidRPr="00135E0E" w:rsidRDefault="00135E0E" w:rsidP="00135E0E">
      <w:pPr>
        <w:ind w:firstLine="708"/>
        <w:jc w:val="both"/>
        <w:rPr>
          <w:rFonts w:ascii="Arial" w:eastAsiaTheme="minorEastAsia" w:hAnsi="Arial" w:cs="Arial"/>
          <w:bCs/>
          <w:shd w:val="clear" w:color="auto" w:fill="FFFFFF"/>
          <w:lang w:val="sr-Latn-ME"/>
        </w:rPr>
      </w:pPr>
      <w:r w:rsidRPr="00135E0E">
        <w:rPr>
          <w:rFonts w:ascii="Arial" w:eastAsiaTheme="minorEastAsia" w:hAnsi="Arial" w:cs="Arial"/>
          <w:b/>
          <w:bCs/>
          <w:lang w:val="sr-Cyrl-CS"/>
        </w:rPr>
        <w:t>-</w:t>
      </w:r>
      <w:r w:rsidRPr="00135E0E">
        <w:rPr>
          <w:rFonts w:ascii="Arial" w:eastAsiaTheme="minorEastAsia" w:hAnsi="Arial" w:cs="Arial"/>
          <w:b/>
          <w:bCs/>
          <w:shd w:val="clear" w:color="auto" w:fill="FFFFFF"/>
          <w:lang w:val="sr-Cyrl-CS"/>
        </w:rPr>
        <w:t xml:space="preserve"> 18. oktobra 2019. godine</w:t>
      </w:r>
      <w:r w:rsidRPr="00135E0E">
        <w:rPr>
          <w:rFonts w:ascii="Arial" w:eastAsiaTheme="minorEastAsia" w:hAnsi="Arial" w:cs="Arial"/>
          <w:b/>
          <w:bCs/>
          <w:shd w:val="clear" w:color="auto" w:fill="FFFFFF"/>
          <w:lang w:val="sr-Latn-ME"/>
        </w:rPr>
        <w:t>, Podgorica</w:t>
      </w:r>
      <w:r w:rsidRPr="00135E0E">
        <w:rPr>
          <w:rFonts w:ascii="Arial" w:eastAsiaTheme="minorEastAsia" w:hAnsi="Arial" w:cs="Arial"/>
          <w:b/>
          <w:bCs/>
          <w:shd w:val="clear" w:color="auto" w:fill="FFFFFF"/>
          <w:lang w:val="sr-Cyrl-CS"/>
        </w:rPr>
        <w:t xml:space="preserve"> </w:t>
      </w:r>
      <w:r w:rsidRPr="00135E0E">
        <w:rPr>
          <w:rFonts w:ascii="Arial" w:eastAsiaTheme="minorEastAsia" w:hAnsi="Arial" w:cs="Arial"/>
          <w:bCs/>
          <w:shd w:val="clear" w:color="auto" w:fill="FFFFFF"/>
          <w:lang w:val="sr-Cyrl-CS"/>
        </w:rPr>
        <w:t>–</w:t>
      </w:r>
      <w:r w:rsidRPr="00135E0E">
        <w:rPr>
          <w:rFonts w:ascii="Arial" w:eastAsiaTheme="minorEastAsia" w:hAnsi="Arial" w:cs="Arial"/>
          <w:bCs/>
          <w:shd w:val="clear" w:color="auto" w:fill="FFFFFF"/>
          <w:lang w:val="sr-Latn-ME"/>
        </w:rPr>
        <w:t xml:space="preserve"> organizovan je modul obuke iz Programa za kontinuiranu obuku za sudije i državne tužioce za 2019. godinu na temu: “Arbitraža“. Predavači su bile prof. dr. Maja Kostić Mandić, Pravni fakultet Univerziteta Crne Gore, Nevenka Popović i Lidija Ivanović, sudije Apelacionog suda Crne Gore, koje su govorile na teme: Arbitražni sporazum; Primjena procesnog i mjerodavnog prava; Poništaj arbitražne odluke i Priznanje i izvršenje strane arbitražne odluke. Seminaru je prisustvovalo 13 učesnika, među kojima je bilo 6 sudija i 7 sudskih savjetnika;</w:t>
      </w:r>
    </w:p>
    <w:p w:rsidR="00135E0E" w:rsidRPr="00135E0E" w:rsidRDefault="00135E0E" w:rsidP="00135E0E">
      <w:pPr>
        <w:ind w:firstLine="708"/>
        <w:jc w:val="both"/>
        <w:rPr>
          <w:rFonts w:ascii="Arial" w:eastAsiaTheme="minorEastAsia" w:hAnsi="Arial" w:cs="Arial"/>
          <w:shd w:val="clear" w:color="auto" w:fill="FFFFFF"/>
          <w:lang w:val="sr-Latn-ME"/>
        </w:rPr>
      </w:pPr>
      <w:r w:rsidRPr="00135E0E">
        <w:rPr>
          <w:rFonts w:ascii="Arial" w:eastAsiaTheme="minorEastAsia" w:hAnsi="Arial" w:cs="Arial"/>
          <w:b/>
          <w:shd w:val="clear" w:color="auto" w:fill="FFFFFF"/>
          <w:lang w:val="sr-Cyrl-CS"/>
        </w:rPr>
        <w:t xml:space="preserve">- </w:t>
      </w:r>
      <w:r w:rsidRPr="00135E0E">
        <w:rPr>
          <w:rFonts w:ascii="Arial" w:eastAsiaTheme="minorEastAsia" w:hAnsi="Arial" w:cs="Arial"/>
          <w:b/>
          <w:shd w:val="clear" w:color="auto" w:fill="FFFFFF"/>
          <w:lang w:val="sr-Latn-ME"/>
        </w:rPr>
        <w:t xml:space="preserve"> </w:t>
      </w:r>
      <w:r w:rsidRPr="00135E0E">
        <w:rPr>
          <w:rFonts w:ascii="Arial" w:eastAsiaTheme="minorEastAsia" w:hAnsi="Arial" w:cs="Arial"/>
          <w:b/>
          <w:shd w:val="clear" w:color="auto" w:fill="FFFFFF"/>
          <w:lang w:val="sr-Cyrl-CS"/>
        </w:rPr>
        <w:t>24. i 25. oktobra 2019. godine</w:t>
      </w:r>
      <w:r w:rsidRPr="00135E0E">
        <w:rPr>
          <w:rFonts w:ascii="Arial" w:eastAsiaTheme="minorEastAsia" w:hAnsi="Arial" w:cs="Arial"/>
          <w:b/>
          <w:shd w:val="clear" w:color="auto" w:fill="FFFFFF"/>
          <w:lang w:val="sr-Latn-ME"/>
        </w:rPr>
        <w:t>, Tivat</w:t>
      </w:r>
      <w:r w:rsidRPr="00135E0E">
        <w:rPr>
          <w:rFonts w:ascii="Arial" w:eastAsiaTheme="minorEastAsia" w:hAnsi="Arial" w:cs="Arial"/>
          <w:shd w:val="clear" w:color="auto" w:fill="FFFFFF"/>
          <w:lang w:val="sr-Cyrl-CS"/>
        </w:rPr>
        <w:t xml:space="preserve"> </w:t>
      </w:r>
      <w:r w:rsidRPr="00135E0E">
        <w:rPr>
          <w:rFonts w:ascii="Arial" w:eastAsiaTheme="minorEastAsia" w:hAnsi="Arial" w:cs="Arial"/>
          <w:shd w:val="clear" w:color="auto" w:fill="FFFFFF"/>
          <w:lang w:val="sr-Latn-ME"/>
        </w:rPr>
        <w:t xml:space="preserve">– u okviru projekta Ministarstva vanjskih poslova SAD-a i uz podršku Ambasade SAD u Crnoj Gori, a u okviru Programa razvoja trgovačkog prava (Commercial Law Development Program – CLDP), te Ministarstva trgovine SAD – a, organizovana je radionica na temu: „Izvršenje međunarodnih prodajnih ugovora, Faza I“. Predavači su bili: Bernice Donald, sutkinja Apelacionog suda 6-og okruga; Peter Winship, profesor Pravnog fakulteta Dedman, Južni metodistički univerzitet; Michael Mills, </w:t>
      </w:r>
      <w:r w:rsidRPr="00135E0E">
        <w:rPr>
          <w:rFonts w:ascii="Arial" w:eastAsiaTheme="minorEastAsia" w:hAnsi="Arial" w:cs="Arial"/>
          <w:shd w:val="clear" w:color="auto" w:fill="FFFFFF"/>
          <w:lang w:val="sr-Latn-ME"/>
        </w:rPr>
        <w:lastRenderedPageBreak/>
        <w:t>sudija Sjevernog okruga Misisipija; Nevenka Popović, sutkinja Apelacionog suda Crne Gore i Luka Popović, partner BDK Advokati (AmChaim Member), koji su govorili na sljedeće teme: Izvršenje međunarodnih kupoprodajnih ugovora – pregled i aktuelni izazovi u sudskoj praksi Crne Gore; Uloga sudova u ekonomskom razvoju; Zakonski okvir za izvršenje međunarodnih ugovora o prodaji; Pregled praktičnih razmatranja u odlučivanju u prekograničnim sporovima; Alati za upravljanje predmetima; Uloga sudija; Studija slučaja 1 Sesija: Pitanja vezana za priznavanje izbora zakona, sukob zakona, primjena ugovora, konvencija i principa trgovine; Perspektiva privatnog sektora u odnosu na pitanja vezana za izvršenje ugovora o međunarodnoj prodaji i arbitraži u Crnoj Gori; Primjena međunarodnih ugovora u prekograničnim sporovima (Dio I Arbitraža); Izvršenje arbitražnih odluka; Studija slučaja 2: Izvršenje arbitražnih odluka; Primjena međunarodnih ugovora u prekograničnim sporovima ( Dio II- CISG); Studija slučaja 3: Primjena CISG. Radionici su prisustvovala 22 učesnika, među kojima je bilo 6 sudija i 16 sudskih savjetnika;</w:t>
      </w:r>
    </w:p>
    <w:p w:rsidR="00135E0E" w:rsidRPr="00135E0E" w:rsidRDefault="00135E0E" w:rsidP="00135E0E">
      <w:pPr>
        <w:ind w:firstLine="708"/>
        <w:jc w:val="both"/>
        <w:rPr>
          <w:rFonts w:ascii="Arial" w:eastAsiaTheme="minorEastAsia" w:hAnsi="Arial" w:cs="Arial"/>
          <w:lang w:val="sr-Latn-ME"/>
        </w:rPr>
      </w:pPr>
      <w:r w:rsidRPr="00135E0E">
        <w:rPr>
          <w:rFonts w:ascii="Arial" w:eastAsiaTheme="minorEastAsia" w:hAnsi="Arial" w:cs="Arial"/>
          <w:b/>
          <w:lang w:val="sr-Cyrl-CS"/>
        </w:rPr>
        <w:t>- 13. mart</w:t>
      </w:r>
      <w:r w:rsidRPr="00135E0E">
        <w:rPr>
          <w:rFonts w:ascii="Arial" w:eastAsiaTheme="minorEastAsia" w:hAnsi="Arial" w:cs="Arial"/>
          <w:b/>
        </w:rPr>
        <w:t>a</w:t>
      </w:r>
      <w:r w:rsidRPr="00135E0E">
        <w:rPr>
          <w:rFonts w:ascii="Arial" w:eastAsiaTheme="minorEastAsia" w:hAnsi="Arial" w:cs="Arial"/>
          <w:b/>
          <w:lang w:val="sr-Cyrl-CS"/>
        </w:rPr>
        <w:t xml:space="preserve"> 2020. godine, </w:t>
      </w:r>
      <w:r w:rsidRPr="00135E0E">
        <w:rPr>
          <w:rFonts w:ascii="Arial" w:eastAsiaTheme="minorEastAsia" w:hAnsi="Arial" w:cs="Arial"/>
          <w:b/>
          <w:lang w:val="en-US"/>
        </w:rPr>
        <w:t>Podgorica</w:t>
      </w:r>
      <w:r w:rsidRPr="00135E0E">
        <w:rPr>
          <w:rFonts w:ascii="Arial" w:eastAsiaTheme="minorEastAsia" w:hAnsi="Arial" w:cs="Arial"/>
          <w:lang w:val="sr-Latn-ME"/>
        </w:rPr>
        <w:t xml:space="preserve"> – organizovana je obuka iz Programa za kontinuiranu obuku sudija i državnih tužilaca za 2020. godinu, na temu: „Međunarodno privatno pravo – mjerodavno pravo“. Predavači na obuci bili su: prof. dr. Maja Kostić Mandić, Pravni fakultet Univerziteta Crne Gore; Mirjana Popović, sutkinja Višeg suda u Podgorici i Ibrahim Smailović, generalni direktor Direktorata za građansko zakonodavstvo i nadzor, Ministarstvo pravde Crne Gore. Teme seminara bile su: Mjerodavno pravo za porodične odnose sa osvrtom na pravo EU; Primjeri iz prakse, prof. dr Maja Kostić Mandić; Pravna pitanja iz oblasti porodičnog prava u nacionalnom zakonodavstvu sa aspekta sporova sa međunarodnim elementom; Sporna pitanja u praksi sa konkretnim primjerima – nadležnost nacionalnog suda i mjerodavno pravo, Mirjana Popović, i Primjena Konvencije o građanskopravnim aspektima međunarodne otmice djece iz 1980. godine, Ibrahim Smail</w:t>
      </w:r>
      <w:r w:rsidR="00CF7250">
        <w:rPr>
          <w:rFonts w:ascii="Arial" w:eastAsiaTheme="minorEastAsia" w:hAnsi="Arial" w:cs="Arial"/>
          <w:lang w:val="sr-Latn-ME"/>
        </w:rPr>
        <w:t>ović</w:t>
      </w:r>
      <w:r w:rsidRPr="00135E0E">
        <w:rPr>
          <w:rFonts w:ascii="Arial" w:eastAsiaTheme="minorEastAsia" w:hAnsi="Arial" w:cs="Arial"/>
          <w:lang w:val="sr-Latn-ME"/>
        </w:rPr>
        <w:t>. Seminaru je prisustvovalo 17 učesnika: 14 sudija i 3 sudska savjetnika.</w:t>
      </w:r>
    </w:p>
    <w:p w:rsidR="00135E0E" w:rsidRPr="00135E0E" w:rsidRDefault="00135E0E" w:rsidP="00135E0E">
      <w:pPr>
        <w:ind w:firstLine="708"/>
        <w:jc w:val="both"/>
        <w:rPr>
          <w:rFonts w:ascii="Arial" w:eastAsiaTheme="minorEastAsia" w:hAnsi="Arial" w:cs="Arial"/>
          <w:lang w:val="sr-Cyrl-CS"/>
        </w:rPr>
      </w:pPr>
      <w:r w:rsidRPr="00135E0E">
        <w:rPr>
          <w:rFonts w:ascii="Arial" w:eastAsiaTheme="minorEastAsia" w:hAnsi="Arial" w:cs="Arial"/>
          <w:lang w:val="sr-Cyrl-CS"/>
        </w:rPr>
        <w:t xml:space="preserve">Centar za obuku je u izvještajnom periodu organizovao </w:t>
      </w:r>
      <w:r w:rsidRPr="00135E0E">
        <w:rPr>
          <w:rFonts w:ascii="Arial" w:eastAsiaTheme="minorEastAsia" w:hAnsi="Arial" w:cs="Arial"/>
        </w:rPr>
        <w:t>i inicijalne obuke</w:t>
      </w:r>
      <w:r w:rsidRPr="00135E0E">
        <w:rPr>
          <w:rFonts w:ascii="Arial" w:eastAsiaTheme="minorEastAsia" w:hAnsi="Arial" w:cs="Arial"/>
          <w:lang w:val="sr-Cyrl-CS"/>
        </w:rPr>
        <w:t xml:space="preserve"> iz oblasti međunarodnog privatnog prava u građanskim i privrednim stvarima, i to:</w:t>
      </w:r>
    </w:p>
    <w:p w:rsidR="00135E0E" w:rsidRPr="00135E0E" w:rsidRDefault="00135E0E" w:rsidP="00135E0E">
      <w:pPr>
        <w:ind w:firstLine="708"/>
        <w:jc w:val="both"/>
        <w:rPr>
          <w:rFonts w:ascii="Arial" w:eastAsiaTheme="minorEastAsia" w:hAnsi="Arial" w:cs="Arial"/>
          <w:shd w:val="clear" w:color="auto" w:fill="FFFFFF"/>
          <w:lang w:val="sr-Latn-ME"/>
        </w:rPr>
      </w:pPr>
      <w:r w:rsidRPr="00135E0E">
        <w:rPr>
          <w:rFonts w:ascii="Arial" w:eastAsiaTheme="minorEastAsia" w:hAnsi="Arial" w:cs="Arial"/>
          <w:b/>
          <w:shd w:val="clear" w:color="auto" w:fill="FFFFFF"/>
          <w:lang w:val="sr-Cyrl-CS"/>
        </w:rPr>
        <w:t>- 4. decembra 2019. godine</w:t>
      </w:r>
      <w:r w:rsidRPr="00135E0E">
        <w:rPr>
          <w:rFonts w:ascii="Arial" w:eastAsiaTheme="minorEastAsia" w:hAnsi="Arial" w:cs="Arial"/>
          <w:b/>
          <w:shd w:val="clear" w:color="auto" w:fill="FFFFFF"/>
          <w:lang w:val="sr-Latn-ME"/>
        </w:rPr>
        <w:t>, Podgorica</w:t>
      </w:r>
      <w:r w:rsidRPr="00135E0E">
        <w:rPr>
          <w:rFonts w:ascii="Arial" w:eastAsiaTheme="minorEastAsia" w:hAnsi="Arial" w:cs="Arial"/>
          <w:shd w:val="clear" w:color="auto" w:fill="FFFFFF"/>
          <w:lang w:val="sr-Cyrl-CS"/>
        </w:rPr>
        <w:t xml:space="preserve"> – </w:t>
      </w:r>
      <w:r w:rsidRPr="00135E0E">
        <w:rPr>
          <w:rFonts w:ascii="Arial" w:eastAsiaTheme="minorEastAsia" w:hAnsi="Arial" w:cs="Arial"/>
          <w:shd w:val="clear" w:color="auto" w:fill="FFFFFF"/>
          <w:lang w:val="sr-Latn-ME"/>
        </w:rPr>
        <w:t xml:space="preserve">u okviru realizacije teorijskog dijela Programa inicijalne obuke za kandidate za sudije i državne tužioce održan je prvi dan obuke iz X građanskog modula, </w:t>
      </w:r>
      <w:r w:rsidR="00CF7250">
        <w:rPr>
          <w:rFonts w:ascii="Arial" w:eastAsiaTheme="minorEastAsia" w:hAnsi="Arial" w:cs="Arial"/>
          <w:shd w:val="clear" w:color="auto" w:fill="FFFFFF"/>
          <w:lang w:val="sr-Latn-ME"/>
        </w:rPr>
        <w:t>na teme</w:t>
      </w:r>
      <w:r w:rsidRPr="00135E0E">
        <w:rPr>
          <w:rFonts w:ascii="Arial" w:eastAsiaTheme="minorEastAsia" w:hAnsi="Arial" w:cs="Arial"/>
          <w:shd w:val="clear" w:color="auto" w:fill="FFFFFF"/>
          <w:lang w:val="en-US"/>
        </w:rPr>
        <w:t>: ”Nadle</w:t>
      </w:r>
      <w:r w:rsidRPr="00135E0E">
        <w:rPr>
          <w:rFonts w:ascii="Arial" w:eastAsiaTheme="minorEastAsia" w:hAnsi="Arial" w:cs="Arial"/>
          <w:shd w:val="clear" w:color="auto" w:fill="FFFFFF"/>
          <w:lang w:val="sr-Latn-ME"/>
        </w:rPr>
        <w:t>žnost suda u sporovima sa međunarodnim elementom</w:t>
      </w:r>
      <w:r w:rsidRPr="00135E0E">
        <w:rPr>
          <w:rFonts w:ascii="Arial" w:eastAsiaTheme="minorEastAsia" w:hAnsi="Arial" w:cs="Arial"/>
          <w:shd w:val="clear" w:color="auto" w:fill="FFFFFF"/>
          <w:lang w:val="en-US"/>
        </w:rPr>
        <w:t xml:space="preserve"> i Mjerodavno pravo u sporovima sa me</w:t>
      </w:r>
      <w:r w:rsidRPr="00135E0E">
        <w:rPr>
          <w:rFonts w:ascii="Arial" w:eastAsiaTheme="minorEastAsia" w:hAnsi="Arial" w:cs="Arial"/>
          <w:shd w:val="clear" w:color="auto" w:fill="FFFFFF"/>
          <w:lang w:val="sr-Latn-ME"/>
        </w:rPr>
        <w:t>đunarodnim elementom</w:t>
      </w:r>
      <w:r w:rsidRPr="00135E0E">
        <w:rPr>
          <w:rFonts w:ascii="Arial" w:eastAsiaTheme="minorEastAsia" w:hAnsi="Arial" w:cs="Arial"/>
          <w:shd w:val="clear" w:color="auto" w:fill="FFFFFF"/>
          <w:lang w:val="en-US"/>
        </w:rPr>
        <w:t>”. Predava</w:t>
      </w:r>
      <w:r w:rsidRPr="00135E0E">
        <w:rPr>
          <w:rFonts w:ascii="Arial" w:eastAsiaTheme="minorEastAsia" w:hAnsi="Arial" w:cs="Arial"/>
          <w:shd w:val="clear" w:color="auto" w:fill="FFFFFF"/>
          <w:lang w:val="sr-Latn-ME"/>
        </w:rPr>
        <w:t xml:space="preserve">č </w:t>
      </w:r>
      <w:proofErr w:type="gramStart"/>
      <w:r w:rsidRPr="00135E0E">
        <w:rPr>
          <w:rFonts w:ascii="Arial" w:eastAsiaTheme="minorEastAsia" w:hAnsi="Arial" w:cs="Arial"/>
          <w:shd w:val="clear" w:color="auto" w:fill="FFFFFF"/>
          <w:lang w:val="sr-Latn-ME"/>
        </w:rPr>
        <w:t>na</w:t>
      </w:r>
      <w:proofErr w:type="gramEnd"/>
      <w:r w:rsidRPr="00135E0E">
        <w:rPr>
          <w:rFonts w:ascii="Arial" w:eastAsiaTheme="minorEastAsia" w:hAnsi="Arial" w:cs="Arial"/>
          <w:shd w:val="clear" w:color="auto" w:fill="FFFFFF"/>
          <w:lang w:val="sr-Latn-ME"/>
        </w:rPr>
        <w:t xml:space="preserve"> modulu bila je Marijana Pavićević, sutkinja Apelacionog suda Crne Gore. Modulu je prisustvovalo 7 kandidata/tkinja za sudiju i 1 kandidatkinja za državnog tužioca;</w:t>
      </w:r>
    </w:p>
    <w:p w:rsidR="00135E0E" w:rsidRPr="00135E0E" w:rsidRDefault="00135E0E" w:rsidP="00135E0E">
      <w:pPr>
        <w:ind w:firstLine="708"/>
        <w:jc w:val="both"/>
        <w:rPr>
          <w:rFonts w:ascii="Arial" w:eastAsiaTheme="minorEastAsia" w:hAnsi="Arial" w:cs="Arial"/>
          <w:shd w:val="clear" w:color="auto" w:fill="FFFFFF"/>
          <w:lang w:val="sr-Latn-ME"/>
        </w:rPr>
      </w:pPr>
      <w:r w:rsidRPr="00135E0E">
        <w:rPr>
          <w:rFonts w:ascii="Arial" w:eastAsiaTheme="minorEastAsia" w:hAnsi="Arial" w:cs="Arial"/>
          <w:shd w:val="clear" w:color="auto" w:fill="FFFFFF"/>
          <w:lang w:val="en-US"/>
        </w:rPr>
        <w:t xml:space="preserve">- </w:t>
      </w:r>
      <w:r w:rsidRPr="00135E0E">
        <w:rPr>
          <w:rFonts w:ascii="Arial" w:eastAsiaTheme="minorEastAsia" w:hAnsi="Arial" w:cs="Arial"/>
          <w:b/>
          <w:shd w:val="clear" w:color="auto" w:fill="FFFFFF"/>
          <w:lang w:val="en-US"/>
        </w:rPr>
        <w:t xml:space="preserve">11. </w:t>
      </w:r>
      <w:proofErr w:type="gramStart"/>
      <w:r w:rsidRPr="00135E0E">
        <w:rPr>
          <w:rFonts w:ascii="Arial" w:eastAsiaTheme="minorEastAsia" w:hAnsi="Arial" w:cs="Arial"/>
          <w:b/>
          <w:shd w:val="clear" w:color="auto" w:fill="FFFFFF"/>
          <w:lang w:val="en-US"/>
        </w:rPr>
        <w:t>decembra</w:t>
      </w:r>
      <w:proofErr w:type="gramEnd"/>
      <w:r w:rsidRPr="00135E0E">
        <w:rPr>
          <w:rFonts w:ascii="Arial" w:eastAsiaTheme="minorEastAsia" w:hAnsi="Arial" w:cs="Arial"/>
          <w:b/>
          <w:shd w:val="clear" w:color="auto" w:fill="FFFFFF"/>
          <w:lang w:val="en-US"/>
        </w:rPr>
        <w:t xml:space="preserve"> 2019. godine</w:t>
      </w:r>
      <w:r w:rsidRPr="00135E0E">
        <w:rPr>
          <w:rFonts w:ascii="Arial" w:eastAsiaTheme="minorEastAsia" w:hAnsi="Arial" w:cs="Arial"/>
          <w:shd w:val="clear" w:color="auto" w:fill="FFFFFF"/>
          <w:lang w:val="en-US"/>
        </w:rPr>
        <w:t xml:space="preserve">, </w:t>
      </w:r>
      <w:r w:rsidRPr="00135E0E">
        <w:rPr>
          <w:rFonts w:ascii="Arial" w:eastAsiaTheme="minorEastAsia" w:hAnsi="Arial" w:cs="Arial"/>
          <w:b/>
          <w:shd w:val="clear" w:color="auto" w:fill="FFFFFF"/>
          <w:lang w:val="en-US"/>
        </w:rPr>
        <w:t>Podgorica</w:t>
      </w:r>
      <w:r w:rsidRPr="00135E0E">
        <w:rPr>
          <w:rFonts w:ascii="Arial" w:eastAsiaTheme="minorEastAsia" w:hAnsi="Arial" w:cs="Arial"/>
          <w:shd w:val="clear" w:color="auto" w:fill="FFFFFF"/>
          <w:lang w:val="en-US"/>
        </w:rPr>
        <w:t xml:space="preserve"> - </w:t>
      </w:r>
      <w:r w:rsidRPr="00135E0E">
        <w:rPr>
          <w:rFonts w:ascii="Arial" w:eastAsiaTheme="minorEastAsia" w:hAnsi="Arial" w:cs="Arial"/>
          <w:shd w:val="clear" w:color="auto" w:fill="FFFFFF"/>
          <w:lang w:val="sr-Latn-ME"/>
        </w:rPr>
        <w:t>u okviru realizacije teorijskog dijela Programa inicijalne obuke za kandidate za sudije i državne tužioce održan</w:t>
      </w:r>
      <w:r w:rsidR="007F4DC7">
        <w:rPr>
          <w:rFonts w:ascii="Arial" w:eastAsiaTheme="minorEastAsia" w:hAnsi="Arial" w:cs="Arial"/>
          <w:shd w:val="clear" w:color="auto" w:fill="FFFFFF"/>
          <w:lang w:val="sr-Latn-ME"/>
        </w:rPr>
        <w:t xml:space="preserve"> je</w:t>
      </w:r>
      <w:r w:rsidRPr="00135E0E">
        <w:rPr>
          <w:rFonts w:ascii="Arial" w:eastAsiaTheme="minorEastAsia" w:hAnsi="Arial" w:cs="Arial"/>
          <w:shd w:val="clear" w:color="auto" w:fill="FFFFFF"/>
          <w:lang w:val="sr-Latn-ME"/>
        </w:rPr>
        <w:t xml:space="preserve"> drugi dan obuke iz X građanskog modula, </w:t>
      </w:r>
      <w:r w:rsidR="00CF7250">
        <w:rPr>
          <w:rFonts w:ascii="Arial" w:eastAsiaTheme="minorEastAsia" w:hAnsi="Arial" w:cs="Arial"/>
          <w:shd w:val="clear" w:color="auto" w:fill="FFFFFF"/>
          <w:lang w:val="sr-Latn-ME"/>
        </w:rPr>
        <w:t>na</w:t>
      </w:r>
      <w:r w:rsidRPr="00135E0E">
        <w:rPr>
          <w:rFonts w:ascii="Arial" w:eastAsiaTheme="minorEastAsia" w:hAnsi="Arial" w:cs="Arial"/>
          <w:shd w:val="clear" w:color="auto" w:fill="FFFFFF"/>
          <w:lang w:val="sr-Latn-ME"/>
        </w:rPr>
        <w:t xml:space="preserve"> </w:t>
      </w:r>
      <w:r w:rsidR="00CF7250">
        <w:rPr>
          <w:rFonts w:ascii="Arial" w:eastAsiaTheme="minorEastAsia" w:hAnsi="Arial" w:cs="Arial"/>
          <w:shd w:val="clear" w:color="auto" w:fill="FFFFFF"/>
          <w:lang w:val="sr-Latn-ME"/>
        </w:rPr>
        <w:t>teme</w:t>
      </w:r>
      <w:proofErr w:type="gramStart"/>
      <w:r w:rsidRPr="00135E0E">
        <w:rPr>
          <w:rFonts w:ascii="Arial" w:eastAsiaTheme="minorEastAsia" w:hAnsi="Arial" w:cs="Arial"/>
          <w:shd w:val="clear" w:color="auto" w:fill="FFFFFF"/>
          <w:lang w:val="en-US"/>
        </w:rPr>
        <w:t>: ”</w:t>
      </w:r>
      <w:proofErr w:type="gramEnd"/>
      <w:r w:rsidRPr="00135E0E">
        <w:rPr>
          <w:rFonts w:ascii="Arial" w:eastAsiaTheme="minorEastAsia" w:hAnsi="Arial" w:cs="Arial"/>
          <w:shd w:val="clear" w:color="auto" w:fill="FFFFFF"/>
          <w:lang w:val="en-US"/>
        </w:rPr>
        <w:t>Nadle</w:t>
      </w:r>
      <w:r w:rsidRPr="00135E0E">
        <w:rPr>
          <w:rFonts w:ascii="Arial" w:eastAsiaTheme="minorEastAsia" w:hAnsi="Arial" w:cs="Arial"/>
          <w:shd w:val="clear" w:color="auto" w:fill="FFFFFF"/>
          <w:lang w:val="sr-Latn-ME"/>
        </w:rPr>
        <w:t>žnost suda u sporovima sa međunarodnim elementom</w:t>
      </w:r>
      <w:r w:rsidRPr="00135E0E">
        <w:rPr>
          <w:rFonts w:ascii="Arial" w:eastAsiaTheme="minorEastAsia" w:hAnsi="Arial" w:cs="Arial"/>
          <w:shd w:val="clear" w:color="auto" w:fill="FFFFFF"/>
          <w:lang w:val="en-US"/>
        </w:rPr>
        <w:t xml:space="preserve"> i Mjerodavno pravo u sporovima sa me</w:t>
      </w:r>
      <w:r w:rsidRPr="00135E0E">
        <w:rPr>
          <w:rFonts w:ascii="Arial" w:eastAsiaTheme="minorEastAsia" w:hAnsi="Arial" w:cs="Arial"/>
          <w:shd w:val="clear" w:color="auto" w:fill="FFFFFF"/>
          <w:lang w:val="sr-Latn-ME"/>
        </w:rPr>
        <w:t>đunarodnim elementom</w:t>
      </w:r>
      <w:r w:rsidRPr="00135E0E">
        <w:rPr>
          <w:rFonts w:ascii="Arial" w:eastAsiaTheme="minorEastAsia" w:hAnsi="Arial" w:cs="Arial"/>
          <w:shd w:val="clear" w:color="auto" w:fill="FFFFFF"/>
          <w:lang w:val="en-US"/>
        </w:rPr>
        <w:t>”. Predava</w:t>
      </w:r>
      <w:r w:rsidRPr="00135E0E">
        <w:rPr>
          <w:rFonts w:ascii="Arial" w:eastAsiaTheme="minorEastAsia" w:hAnsi="Arial" w:cs="Arial"/>
          <w:shd w:val="clear" w:color="auto" w:fill="FFFFFF"/>
          <w:lang w:val="sr-Latn-ME"/>
        </w:rPr>
        <w:t xml:space="preserve">č </w:t>
      </w:r>
      <w:proofErr w:type="gramStart"/>
      <w:r w:rsidRPr="00135E0E">
        <w:rPr>
          <w:rFonts w:ascii="Arial" w:eastAsiaTheme="minorEastAsia" w:hAnsi="Arial" w:cs="Arial"/>
          <w:shd w:val="clear" w:color="auto" w:fill="FFFFFF"/>
          <w:lang w:val="sr-Latn-ME"/>
        </w:rPr>
        <w:t>na</w:t>
      </w:r>
      <w:proofErr w:type="gramEnd"/>
      <w:r w:rsidRPr="00135E0E">
        <w:rPr>
          <w:rFonts w:ascii="Arial" w:eastAsiaTheme="minorEastAsia" w:hAnsi="Arial" w:cs="Arial"/>
          <w:shd w:val="clear" w:color="auto" w:fill="FFFFFF"/>
          <w:lang w:val="sr-Latn-ME"/>
        </w:rPr>
        <w:t xml:space="preserve"> modulu bila je Marijana Pavićević, sutkinja Apelacionog suda Crne Gore. Modulu je prisustvovalo 6 kandidata/tkinja za sudiju i 1 kandidatkinja za državnog tužioca.</w:t>
      </w:r>
    </w:p>
    <w:p w:rsidR="00135E0E" w:rsidRPr="00135E0E" w:rsidRDefault="00135E0E" w:rsidP="00135E0E">
      <w:pPr>
        <w:ind w:firstLine="708"/>
        <w:jc w:val="both"/>
        <w:rPr>
          <w:rFonts w:ascii="Arial" w:eastAsiaTheme="minorEastAsia" w:hAnsi="Arial" w:cs="Arial"/>
          <w:shd w:val="clear" w:color="auto" w:fill="FFFFFF"/>
          <w:lang w:val="en-US"/>
        </w:rPr>
      </w:pPr>
    </w:p>
    <w:p w:rsidR="00135E0E" w:rsidRPr="00135E0E" w:rsidRDefault="00135E0E" w:rsidP="00135E0E">
      <w:pPr>
        <w:ind w:firstLine="708"/>
        <w:jc w:val="both"/>
        <w:rPr>
          <w:rFonts w:ascii="Arial" w:eastAsiaTheme="minorEastAsia" w:hAnsi="Arial" w:cs="Arial"/>
          <w:shd w:val="clear" w:color="auto" w:fill="FFFFFF"/>
          <w:lang w:val="en-US"/>
        </w:rPr>
      </w:pPr>
    </w:p>
    <w:p w:rsidR="00135E0E" w:rsidRPr="00135E0E" w:rsidRDefault="00135E0E" w:rsidP="00135E0E">
      <w:pPr>
        <w:jc w:val="both"/>
        <w:rPr>
          <w:rFonts w:ascii="Times New Roman" w:eastAsiaTheme="minorEastAsia" w:hAnsi="Times New Roman" w:cs="Times New Roman"/>
          <w:lang w:val="hr-HR"/>
        </w:rPr>
      </w:pPr>
    </w:p>
    <w:p w:rsidR="00135E0E" w:rsidRPr="00135E0E" w:rsidRDefault="00135E0E" w:rsidP="00135E0E">
      <w:pPr>
        <w:ind w:firstLine="708"/>
        <w:rPr>
          <w:rFonts w:ascii="Arial" w:eastAsiaTheme="minorEastAsia" w:hAnsi="Arial" w:cs="Arial"/>
          <w:b/>
          <w:lang w:val="en-US"/>
        </w:rPr>
      </w:pPr>
      <w:r w:rsidRPr="00135E0E">
        <w:rPr>
          <w:rFonts w:ascii="Arial" w:eastAsiaTheme="minorEastAsia" w:hAnsi="Arial" w:cs="Arial"/>
          <w:b/>
          <w:lang w:val="en-US"/>
        </w:rPr>
        <w:lastRenderedPageBreak/>
        <w:t>VI Ocjena stanja</w:t>
      </w:r>
    </w:p>
    <w:p w:rsidR="00135E0E" w:rsidRPr="00135E0E" w:rsidRDefault="00135E0E" w:rsidP="00135E0E">
      <w:pPr>
        <w:ind w:firstLine="708"/>
        <w:jc w:val="both"/>
        <w:rPr>
          <w:rFonts w:ascii="Arial" w:eastAsiaTheme="minorEastAsia" w:hAnsi="Arial" w:cs="Arial"/>
          <w:lang w:val="en-US"/>
        </w:rPr>
      </w:pPr>
      <w:r w:rsidRPr="00135E0E">
        <w:rPr>
          <w:rFonts w:ascii="Arial" w:eastAsiaTheme="minorEastAsia" w:hAnsi="Arial" w:cs="Arial"/>
          <w:lang w:val="en-US"/>
        </w:rPr>
        <w:t xml:space="preserve">Na osnovu analize pribavljenih podataka može se konstatovati da je Zakon o međunarodnom privatnom pravu u izvještajnom periodu primjenjivan u nešto manjem broju predmeta u odnosu </w:t>
      </w:r>
      <w:proofErr w:type="gramStart"/>
      <w:r w:rsidRPr="00135E0E">
        <w:rPr>
          <w:rFonts w:ascii="Arial" w:eastAsiaTheme="minorEastAsia" w:hAnsi="Arial" w:cs="Arial"/>
          <w:lang w:val="en-US"/>
        </w:rPr>
        <w:t>na</w:t>
      </w:r>
      <w:proofErr w:type="gramEnd"/>
      <w:r w:rsidRPr="00135E0E">
        <w:rPr>
          <w:rFonts w:ascii="Arial" w:eastAsiaTheme="minorEastAsia" w:hAnsi="Arial" w:cs="Arial"/>
          <w:lang w:val="en-US"/>
        </w:rPr>
        <w:t xml:space="preserve"> prethodni izvještajni period i da nije bilo problema u njegovoj primjeni. </w:t>
      </w:r>
    </w:p>
    <w:p w:rsidR="00135E0E" w:rsidRPr="00135E0E" w:rsidRDefault="00135E0E" w:rsidP="00135E0E">
      <w:pPr>
        <w:ind w:firstLine="708"/>
        <w:jc w:val="both"/>
        <w:rPr>
          <w:rFonts w:ascii="Arial" w:eastAsiaTheme="minorEastAsia" w:hAnsi="Arial" w:cs="Arial"/>
          <w:color w:val="FF0000"/>
          <w:lang w:val="en-US"/>
        </w:rPr>
      </w:pPr>
      <w:r w:rsidRPr="00135E0E">
        <w:rPr>
          <w:rFonts w:ascii="Arial" w:eastAsiaTheme="minorEastAsia" w:hAnsi="Arial" w:cs="Arial"/>
          <w:color w:val="000000" w:themeColor="text1"/>
          <w:lang w:val="en-US"/>
        </w:rPr>
        <w:t xml:space="preserve">Naime, osnovni sudovi su u izvještajnom periodu primijenili odredbe </w:t>
      </w:r>
      <w:r w:rsidR="00783419">
        <w:rPr>
          <w:rFonts w:ascii="Arial" w:eastAsiaTheme="minorEastAsia" w:hAnsi="Arial" w:cs="Arial"/>
          <w:color w:val="000000" w:themeColor="text1"/>
          <w:lang w:val="en-US"/>
        </w:rPr>
        <w:t>navedenog</w:t>
      </w:r>
      <w:r w:rsidRPr="00135E0E">
        <w:rPr>
          <w:rFonts w:ascii="Arial" w:eastAsiaTheme="minorEastAsia" w:hAnsi="Arial" w:cs="Arial"/>
          <w:color w:val="000000" w:themeColor="text1"/>
          <w:lang w:val="en-US"/>
        </w:rPr>
        <w:t xml:space="preserve"> zakona u 443 predmeta, što </w:t>
      </w:r>
      <w:r w:rsidRPr="00135E0E">
        <w:rPr>
          <w:rFonts w:ascii="Arial" w:eastAsiaTheme="minorEastAsia" w:hAnsi="Arial" w:cs="Arial"/>
          <w:lang w:val="en-US"/>
        </w:rPr>
        <w:t xml:space="preserve">zajedno sa brojem predmeta u kojima je Privredni sud primijenio odredbe </w:t>
      </w:r>
      <w:r w:rsidR="00783419">
        <w:rPr>
          <w:rFonts w:ascii="Arial" w:eastAsiaTheme="minorEastAsia" w:hAnsi="Arial" w:cs="Arial"/>
          <w:lang w:val="en-US"/>
        </w:rPr>
        <w:t>istog</w:t>
      </w:r>
      <w:r w:rsidRPr="00135E0E">
        <w:rPr>
          <w:rFonts w:ascii="Arial" w:eastAsiaTheme="minorEastAsia" w:hAnsi="Arial" w:cs="Arial"/>
          <w:lang w:val="en-US"/>
        </w:rPr>
        <w:t xml:space="preserve"> zakona - 45, iznosi 488 predmeta. Posmatrano po određenim oblastima prava, 131 predmet odnosi se na oblast porodičnog prava, 88 predmeta na oblast obligacionog prava, što uvećano za 45 predmeta Privrednog suda iznosi 133 predmeta, 102 predmeta na oblast stvarnog prava i 122 predmeta na oblast nasljednog prava. </w:t>
      </w:r>
    </w:p>
    <w:p w:rsidR="00135E0E" w:rsidRPr="00135E0E" w:rsidRDefault="00135E0E" w:rsidP="00135E0E">
      <w:pPr>
        <w:jc w:val="both"/>
        <w:rPr>
          <w:rFonts w:ascii="Arial" w:eastAsiaTheme="minorEastAsia" w:hAnsi="Arial" w:cs="Arial"/>
          <w:sz w:val="24"/>
          <w:szCs w:val="24"/>
          <w:lang w:val="en-US"/>
        </w:rPr>
      </w:pPr>
      <w:r w:rsidRPr="00135E0E">
        <w:rPr>
          <w:rFonts w:ascii="Arial" w:eastAsiaTheme="minorEastAsia" w:hAnsi="Arial" w:cs="Arial"/>
          <w:lang w:val="en-US"/>
        </w:rPr>
        <w:tab/>
        <w:t xml:space="preserve">Osnovni sud u Žabljaku imao je najveći broj predmeta sa međunarodnim elementom u kojima su u izvještajnom periodu primijenjene odredbe predmetnog zakona – 124 predmeta, a nakon njega Osnovni sud u Baru sa 66 predmeta, Osnovni sud u Kotoru sa 56 predmeta i Osnovni sud u Podgorici sa 49 predmeta. </w:t>
      </w:r>
      <w:proofErr w:type="gramStart"/>
      <w:r w:rsidRPr="00135E0E">
        <w:rPr>
          <w:rFonts w:ascii="Arial" w:eastAsiaTheme="minorEastAsia" w:hAnsi="Arial" w:cs="Arial"/>
          <w:lang w:val="en-US"/>
        </w:rPr>
        <w:t>Sa</w:t>
      </w:r>
      <w:proofErr w:type="gramEnd"/>
      <w:r w:rsidRPr="00135E0E">
        <w:rPr>
          <w:rFonts w:ascii="Arial" w:eastAsiaTheme="minorEastAsia" w:hAnsi="Arial" w:cs="Arial"/>
          <w:lang w:val="en-US"/>
        </w:rPr>
        <w:t xml:space="preserve"> druge strane, pojedini osnovni sudovi su u veoma malom broju predmeta primijenili odredbe navedenog zakona. Tako su Osnovni sud u Ulcinju i Osnovni sud u Kola</w:t>
      </w:r>
      <w:r w:rsidRPr="00135E0E">
        <w:rPr>
          <w:rFonts w:ascii="Arial" w:eastAsiaTheme="minorEastAsia" w:hAnsi="Arial" w:cs="Arial"/>
          <w:lang w:val="sr-Latn-ME"/>
        </w:rPr>
        <w:t>šinu</w:t>
      </w:r>
      <w:r w:rsidRPr="00135E0E">
        <w:rPr>
          <w:rFonts w:ascii="Arial" w:eastAsiaTheme="minorEastAsia" w:hAnsi="Arial" w:cs="Arial"/>
          <w:lang w:val="en-US"/>
        </w:rPr>
        <w:t xml:space="preserve"> primijenili odredbe predmetnog zakona u po 3 predmeta, Osnovni sud u Nikšiću i Osnovni sud u Herceg Novom u po 5 predmeta, a Osnovni sud u Bijelom Polju u 13 predmeta, dok Osnovni sud u Plavu i Osnovni sud u Cetinju nijesu primjenjivali odredbe navedenog zakona u izvještajnom periodu.</w:t>
      </w:r>
    </w:p>
    <w:p w:rsidR="00135E0E" w:rsidRPr="00135E0E" w:rsidRDefault="00135E0E" w:rsidP="00135E0E">
      <w:pPr>
        <w:jc w:val="both"/>
        <w:rPr>
          <w:rFonts w:ascii="Arial" w:eastAsiaTheme="minorEastAsia" w:hAnsi="Arial" w:cs="Arial"/>
          <w:lang w:val="en-US"/>
        </w:rPr>
      </w:pPr>
      <w:r w:rsidRPr="00135E0E">
        <w:rPr>
          <w:rFonts w:ascii="Arial" w:eastAsiaTheme="minorEastAsia" w:hAnsi="Arial" w:cs="Arial"/>
          <w:lang w:val="en-US"/>
        </w:rPr>
        <w:tab/>
      </w:r>
      <w:proofErr w:type="gramStart"/>
      <w:r w:rsidRPr="00135E0E">
        <w:rPr>
          <w:rFonts w:ascii="Arial" w:eastAsiaTheme="minorEastAsia" w:hAnsi="Arial" w:cs="Arial"/>
          <w:lang w:val="en-US"/>
        </w:rPr>
        <w:t>Posmatrano po oblastima prava, najveći broj predmeta sa međunarodnim elementom u izvještajnom periodu imali su: Osnovni sud u Rožajama 45 predmeta i Osnovni sud u Beranama 27 predmeta iz oblasti porodičnog prava; Osnovni sud u Podgorici 38 predmeta i Osnovni sud u Kotoru 14 predmeta iz oblasti obligacionog prava; Osnovni sud u Žabljaku 53 predmeta i Osnovni sud u Kotoru 25 predmeta iz oblasti stvarnog prava; te Osnovni sud u Žabljaku 58 predmeta i Osnovni sud u Baru 52 predmeta iz oblasti nasljednog prava.</w:t>
      </w:r>
      <w:proofErr w:type="gramEnd"/>
    </w:p>
    <w:p w:rsidR="00135E0E" w:rsidRPr="00135E0E" w:rsidRDefault="00135E0E" w:rsidP="00135E0E">
      <w:pPr>
        <w:jc w:val="both"/>
        <w:rPr>
          <w:rFonts w:ascii="Arial" w:eastAsiaTheme="minorEastAsia" w:hAnsi="Arial" w:cs="Arial"/>
          <w:lang w:val="en-US"/>
        </w:rPr>
      </w:pPr>
      <w:r w:rsidRPr="00135E0E">
        <w:rPr>
          <w:rFonts w:ascii="Arial" w:eastAsiaTheme="minorEastAsia" w:hAnsi="Arial" w:cs="Arial"/>
          <w:lang w:val="en-US"/>
        </w:rPr>
        <w:tab/>
      </w:r>
      <w:proofErr w:type="gramStart"/>
      <w:r w:rsidRPr="00135E0E">
        <w:rPr>
          <w:rFonts w:ascii="Arial" w:eastAsiaTheme="minorEastAsia" w:hAnsi="Arial" w:cs="Arial"/>
          <w:lang w:val="en-US"/>
        </w:rPr>
        <w:t>Dakle, broj predmeta u kojima su u izvještajnom periodu u osnovnim sudovima primijenjene odredbe Zakona o međunarodnom privatnom pravu, a koji iznosi 443 predmeta, manji je za 52 predmeta ili 10,50% u odnosu na prethodni izvještajni preriod (jul 2018 - jul 2019) u kojem je taj broj iznosio 495 predmeta, dok je broj predmeta u kojima je Privredni sud primijenio odredbe predmetnog zakona ostao na istom nivou kao u prethodnom izvještajnom periodu i iznosi 45 predmeta.</w:t>
      </w:r>
      <w:proofErr w:type="gramEnd"/>
    </w:p>
    <w:p w:rsidR="00135E0E" w:rsidRPr="00135E0E" w:rsidRDefault="00135E0E" w:rsidP="00135E0E">
      <w:pPr>
        <w:spacing w:before="240"/>
        <w:ind w:firstLine="567"/>
        <w:jc w:val="both"/>
        <w:rPr>
          <w:rFonts w:ascii="Arial" w:eastAsiaTheme="minorEastAsia" w:hAnsi="Arial" w:cs="Arial"/>
          <w:lang w:val="en-US"/>
        </w:rPr>
      </w:pPr>
      <w:r w:rsidRPr="00135E0E">
        <w:rPr>
          <w:rFonts w:ascii="Arial" w:eastAsiaTheme="minorEastAsia" w:hAnsi="Arial" w:cs="Arial"/>
          <w:lang w:val="en-US"/>
        </w:rPr>
        <w:tab/>
        <w:t xml:space="preserve">Takođe, u izvještajnom periodu došlo je do smanjenja broja ostavinskih predmeta u kojima su notari, kao povjerenici suda, primijenili odredbe predmetnog zakona, jer su njegove odredbe primijenjene u 177 predmeta, za razliku </w:t>
      </w:r>
      <w:proofErr w:type="gramStart"/>
      <w:r w:rsidRPr="00135E0E">
        <w:rPr>
          <w:rFonts w:ascii="Arial" w:eastAsiaTheme="minorEastAsia" w:hAnsi="Arial" w:cs="Arial"/>
          <w:lang w:val="en-US"/>
        </w:rPr>
        <w:t>od</w:t>
      </w:r>
      <w:proofErr w:type="gramEnd"/>
      <w:r w:rsidRPr="00135E0E">
        <w:rPr>
          <w:rFonts w:ascii="Arial" w:eastAsiaTheme="minorEastAsia" w:hAnsi="Arial" w:cs="Arial"/>
          <w:lang w:val="en-US"/>
        </w:rPr>
        <w:t xml:space="preserve"> prethodnog izvještajnog perioda u </w:t>
      </w:r>
      <w:r w:rsidR="005F1C9E">
        <w:rPr>
          <w:rFonts w:ascii="Arial" w:eastAsiaTheme="minorEastAsia" w:hAnsi="Arial" w:cs="Arial"/>
          <w:lang w:val="en-US"/>
        </w:rPr>
        <w:t>kojem</w:t>
      </w:r>
      <w:r w:rsidRPr="00135E0E">
        <w:rPr>
          <w:rFonts w:ascii="Arial" w:eastAsiaTheme="minorEastAsia" w:hAnsi="Arial" w:cs="Arial"/>
          <w:lang w:val="en-US"/>
        </w:rPr>
        <w:t xml:space="preserve"> </w:t>
      </w:r>
      <w:r w:rsidR="005F1C9E">
        <w:rPr>
          <w:rFonts w:ascii="Arial" w:eastAsiaTheme="minorEastAsia" w:hAnsi="Arial" w:cs="Arial"/>
          <w:lang w:val="en-US"/>
        </w:rPr>
        <w:t>su odredbe ovog zakona primijenjene u 191 predmetu.</w:t>
      </w:r>
    </w:p>
    <w:p w:rsidR="00135E0E" w:rsidRPr="00135E0E" w:rsidRDefault="00135E0E" w:rsidP="00135E0E">
      <w:pPr>
        <w:spacing w:before="240"/>
        <w:ind w:firstLine="567"/>
        <w:jc w:val="both"/>
        <w:rPr>
          <w:rFonts w:ascii="Arial" w:eastAsiaTheme="minorEastAsia" w:hAnsi="Arial" w:cs="Arial"/>
          <w:lang w:val="sr-Latn-ME"/>
        </w:rPr>
      </w:pPr>
      <w:proofErr w:type="gramStart"/>
      <w:r w:rsidRPr="00135E0E">
        <w:rPr>
          <w:rFonts w:ascii="Arial" w:eastAsiaTheme="minorEastAsia" w:hAnsi="Arial" w:cs="Arial"/>
          <w:lang w:val="en-US"/>
        </w:rPr>
        <w:t>Od</w:t>
      </w:r>
      <w:proofErr w:type="gramEnd"/>
      <w:r w:rsidRPr="00135E0E">
        <w:rPr>
          <w:rFonts w:ascii="Arial" w:eastAsiaTheme="minorEastAsia" w:hAnsi="Arial" w:cs="Arial"/>
          <w:lang w:val="en-US"/>
        </w:rPr>
        <w:t xml:space="preserve"> </w:t>
      </w:r>
      <w:r w:rsidR="005F1C9E">
        <w:rPr>
          <w:rFonts w:ascii="Arial" w:eastAsiaTheme="minorEastAsia" w:hAnsi="Arial" w:cs="Arial"/>
          <w:lang w:val="en-US"/>
        </w:rPr>
        <w:t>izuzetne</w:t>
      </w:r>
      <w:r w:rsidRPr="00135E0E">
        <w:rPr>
          <w:rFonts w:ascii="Arial" w:eastAsiaTheme="minorEastAsia" w:hAnsi="Arial" w:cs="Arial"/>
          <w:lang w:val="en-US"/>
        </w:rPr>
        <w:t xml:space="preserve"> va</w:t>
      </w:r>
      <w:r w:rsidRPr="00135E0E">
        <w:rPr>
          <w:rFonts w:ascii="Arial" w:eastAsiaTheme="minorEastAsia" w:hAnsi="Arial" w:cs="Arial"/>
          <w:lang w:val="sr-Latn-ME"/>
        </w:rPr>
        <w:t>žnosti za pouzdanu evidenciju predmeta sa elementom inostranosti u kojima se primjenjuju odredbe Zakona o međunarodnom privatnom pravu biće novi informacioni sistem pravosuđa, koji je u pripremi, a koji će sadržati sve relevantne podatke o ovoj vrsti predmeta.</w:t>
      </w:r>
    </w:p>
    <w:p w:rsidR="00135E0E" w:rsidRPr="00135E0E" w:rsidRDefault="00135E0E" w:rsidP="00135E0E">
      <w:pPr>
        <w:jc w:val="both"/>
        <w:rPr>
          <w:rFonts w:ascii="Arial" w:eastAsiaTheme="minorEastAsia" w:hAnsi="Arial" w:cs="Arial"/>
          <w:color w:val="000000" w:themeColor="text1"/>
          <w:lang w:val="en-US"/>
        </w:rPr>
      </w:pPr>
      <w:r w:rsidRPr="00135E0E">
        <w:rPr>
          <w:rFonts w:ascii="Arial" w:eastAsia="Times New Roman" w:hAnsi="Arial" w:cs="Arial"/>
          <w:color w:val="000000" w:themeColor="text1"/>
          <w:lang w:val="en-US"/>
        </w:rPr>
        <w:tab/>
        <w:t xml:space="preserve">Za pravilno tumačenje i primjenu Zakona o međunarodnom privatnom pravu posebno je značajna uloga Vrhovnog suda koji je, iako u izvještajnom periodu nije </w:t>
      </w:r>
      <w:r w:rsidRPr="00135E0E">
        <w:rPr>
          <w:rFonts w:ascii="Arial" w:eastAsiaTheme="minorEastAsia" w:hAnsi="Arial" w:cs="Arial"/>
          <w:color w:val="000000" w:themeColor="text1"/>
          <w:lang w:val="en-US"/>
        </w:rPr>
        <w:t xml:space="preserve">zauzimao načelne </w:t>
      </w:r>
      <w:r w:rsidRPr="00135E0E">
        <w:rPr>
          <w:rFonts w:ascii="Arial" w:eastAsiaTheme="minorEastAsia" w:hAnsi="Arial" w:cs="Arial"/>
          <w:color w:val="000000" w:themeColor="text1"/>
          <w:lang w:val="en-US"/>
        </w:rPr>
        <w:lastRenderedPageBreak/>
        <w:t xml:space="preserve">pravne stavove u pogledu </w:t>
      </w:r>
      <w:r w:rsidR="005F1C9E">
        <w:rPr>
          <w:rFonts w:ascii="Arial" w:eastAsiaTheme="minorEastAsia" w:hAnsi="Arial" w:cs="Arial"/>
          <w:color w:val="000000" w:themeColor="text1"/>
          <w:lang w:val="en-US"/>
        </w:rPr>
        <w:t xml:space="preserve">njegove </w:t>
      </w:r>
      <w:r w:rsidRPr="00135E0E">
        <w:rPr>
          <w:rFonts w:ascii="Arial" w:eastAsiaTheme="minorEastAsia" w:hAnsi="Arial" w:cs="Arial"/>
          <w:color w:val="000000" w:themeColor="text1"/>
          <w:lang w:val="en-US"/>
        </w:rPr>
        <w:t>primjene, kroz svoje odluke</w:t>
      </w:r>
      <w:r w:rsidRPr="00135E0E">
        <w:rPr>
          <w:rFonts w:ascii="Arial" w:eastAsiaTheme="minorEastAsia" w:hAnsi="Arial" w:cs="Arial"/>
          <w:color w:val="000000" w:themeColor="text1"/>
          <w:lang w:val="sr-Cyrl-CS"/>
        </w:rPr>
        <w:t xml:space="preserve"> Rev.br. 676/19 i Rev.br. 1030/19</w:t>
      </w:r>
      <w:r w:rsidRPr="00135E0E">
        <w:rPr>
          <w:rFonts w:ascii="Arial" w:eastAsiaTheme="minorEastAsia" w:hAnsi="Arial" w:cs="Arial"/>
          <w:color w:val="000000" w:themeColor="text1"/>
          <w:lang w:val="en-US"/>
        </w:rPr>
        <w:t xml:space="preserve"> izrazio pravne stavove u pogledu njegovog tumačenja</w:t>
      </w:r>
      <w:r w:rsidR="005F1C9E">
        <w:rPr>
          <w:rFonts w:ascii="Arial" w:eastAsiaTheme="minorEastAsia" w:hAnsi="Arial" w:cs="Arial"/>
          <w:color w:val="000000" w:themeColor="text1"/>
          <w:lang w:val="en-US"/>
        </w:rPr>
        <w:t xml:space="preserve"> u konkretnim slučajevima</w:t>
      </w:r>
      <w:r w:rsidRPr="00135E0E">
        <w:rPr>
          <w:rFonts w:ascii="Arial" w:eastAsiaTheme="minorEastAsia" w:hAnsi="Arial" w:cs="Arial"/>
          <w:color w:val="000000" w:themeColor="text1"/>
          <w:lang w:val="en-US"/>
        </w:rPr>
        <w:t>.</w:t>
      </w:r>
    </w:p>
    <w:p w:rsidR="00135E0E" w:rsidRPr="00135E0E" w:rsidRDefault="00135E0E" w:rsidP="00135E0E">
      <w:pPr>
        <w:jc w:val="both"/>
        <w:rPr>
          <w:rFonts w:ascii="Arial" w:eastAsiaTheme="minorEastAsia" w:hAnsi="Arial" w:cs="Arial"/>
          <w:color w:val="000000" w:themeColor="text1"/>
          <w:lang w:val="en-US"/>
        </w:rPr>
      </w:pPr>
      <w:r w:rsidRPr="00135E0E">
        <w:rPr>
          <w:rFonts w:ascii="Arial" w:eastAsiaTheme="minorEastAsia" w:hAnsi="Arial" w:cs="Arial"/>
          <w:color w:val="000000" w:themeColor="text1"/>
          <w:lang w:val="en-US"/>
        </w:rPr>
        <w:tab/>
        <w:t xml:space="preserve">Za uspješnu primjenu predmetnog zakona posebno su važne aktivnosti Centra za obuku, koji je u izvještajnom periodu nastavio </w:t>
      </w:r>
      <w:proofErr w:type="gramStart"/>
      <w:r w:rsidRPr="00135E0E">
        <w:rPr>
          <w:rFonts w:ascii="Arial" w:eastAsiaTheme="minorEastAsia" w:hAnsi="Arial" w:cs="Arial"/>
          <w:color w:val="000000" w:themeColor="text1"/>
          <w:lang w:val="en-US"/>
        </w:rPr>
        <w:t>sa</w:t>
      </w:r>
      <w:proofErr w:type="gramEnd"/>
      <w:r w:rsidRPr="00135E0E">
        <w:rPr>
          <w:rFonts w:ascii="Arial" w:eastAsiaTheme="minorEastAsia" w:hAnsi="Arial" w:cs="Arial"/>
          <w:color w:val="000000" w:themeColor="text1"/>
          <w:lang w:val="en-US"/>
        </w:rPr>
        <w:t xml:space="preserve"> organizovanjem kontinuiranih i inicijalnih obuka iz oblasti međunarodnog privatnog prava u građanskim stvarima za sudije i tužioce, kandidate za sudije i tužioce i sudske savjetnike. Značaj ovih obuka je izuzetno veliki, jer predmetni zakon uređuje vrlo složenu materiju, za čije je pravilno razumijevanje</w:t>
      </w:r>
      <w:r w:rsidR="00244C33">
        <w:rPr>
          <w:rFonts w:ascii="Arial" w:eastAsiaTheme="minorEastAsia" w:hAnsi="Arial" w:cs="Arial"/>
          <w:color w:val="000000" w:themeColor="text1"/>
          <w:lang w:val="en-US"/>
        </w:rPr>
        <w:t xml:space="preserve">, kada su u pitanju pojedine, norme </w:t>
      </w:r>
      <w:r w:rsidRPr="00135E0E">
        <w:rPr>
          <w:rFonts w:ascii="Arial" w:eastAsiaTheme="minorEastAsia" w:hAnsi="Arial" w:cs="Arial"/>
          <w:color w:val="000000" w:themeColor="text1"/>
          <w:lang w:val="en-US"/>
        </w:rPr>
        <w:t xml:space="preserve">neophodno pojašnjenje eksperata </w:t>
      </w:r>
      <w:proofErr w:type="gramStart"/>
      <w:r w:rsidRPr="00135E0E">
        <w:rPr>
          <w:rFonts w:ascii="Arial" w:eastAsiaTheme="minorEastAsia" w:hAnsi="Arial" w:cs="Arial"/>
          <w:color w:val="000000" w:themeColor="text1"/>
          <w:lang w:val="en-US"/>
        </w:rPr>
        <w:t>sa</w:t>
      </w:r>
      <w:proofErr w:type="gramEnd"/>
      <w:r w:rsidRPr="00135E0E">
        <w:rPr>
          <w:rFonts w:ascii="Arial" w:eastAsiaTheme="minorEastAsia" w:hAnsi="Arial" w:cs="Arial"/>
          <w:color w:val="000000" w:themeColor="text1"/>
          <w:lang w:val="en-US"/>
        </w:rPr>
        <w:t xml:space="preserve"> odgovarajućim stručnim znanjem. </w:t>
      </w:r>
    </w:p>
    <w:p w:rsidR="00135E0E" w:rsidRPr="00135E0E" w:rsidRDefault="00135E0E" w:rsidP="00135E0E">
      <w:pPr>
        <w:ind w:firstLine="708"/>
        <w:jc w:val="both"/>
        <w:rPr>
          <w:rFonts w:ascii="Arial" w:eastAsiaTheme="minorEastAsia" w:hAnsi="Arial" w:cs="Arial"/>
          <w:u w:val="single"/>
          <w:lang w:val="en-US"/>
        </w:rPr>
      </w:pPr>
      <w:r w:rsidRPr="00135E0E">
        <w:rPr>
          <w:rFonts w:ascii="Arial" w:eastAsiaTheme="minorEastAsia" w:hAnsi="Arial" w:cs="Arial"/>
          <w:color w:val="000000" w:themeColor="text1"/>
          <w:lang w:val="en-US"/>
        </w:rPr>
        <w:t xml:space="preserve">Ministarstvo pravde je u izvještajnom periodu u sardnji </w:t>
      </w:r>
      <w:proofErr w:type="gramStart"/>
      <w:r w:rsidRPr="00135E0E">
        <w:rPr>
          <w:rFonts w:ascii="Arial" w:eastAsiaTheme="minorEastAsia" w:hAnsi="Arial" w:cs="Arial"/>
          <w:color w:val="000000" w:themeColor="text1"/>
          <w:lang w:val="en-US"/>
        </w:rPr>
        <w:t>sa</w:t>
      </w:r>
      <w:proofErr w:type="gramEnd"/>
      <w:r w:rsidRPr="00135E0E">
        <w:rPr>
          <w:rFonts w:ascii="Arial" w:eastAsiaTheme="minorEastAsia" w:hAnsi="Arial" w:cs="Arial"/>
          <w:color w:val="000000" w:themeColor="text1"/>
          <w:lang w:val="en-US"/>
        </w:rPr>
        <w:t xml:space="preserve"> EUROL-om, Centrom za obuku i Policijskom akademijom nastavilo sa realizacijom projekta unapređenja kapaciteta crnogorskog pravosuđa za oblast međunarodne pravosudne saradnje. S </w:t>
      </w:r>
      <w:proofErr w:type="gramStart"/>
      <w:r w:rsidRPr="00135E0E">
        <w:rPr>
          <w:rFonts w:ascii="Arial" w:eastAsiaTheme="minorEastAsia" w:hAnsi="Arial" w:cs="Arial"/>
          <w:color w:val="000000" w:themeColor="text1"/>
          <w:lang w:val="en-US"/>
        </w:rPr>
        <w:t>tim</w:t>
      </w:r>
      <w:proofErr w:type="gramEnd"/>
      <w:r w:rsidRPr="00135E0E">
        <w:rPr>
          <w:rFonts w:ascii="Arial" w:eastAsiaTheme="minorEastAsia" w:hAnsi="Arial" w:cs="Arial"/>
          <w:color w:val="000000" w:themeColor="text1"/>
          <w:lang w:val="en-US"/>
        </w:rPr>
        <w:t xml:space="preserve"> u vezi, u izvještajnom periodu bila su planirana dva seminara.</w:t>
      </w:r>
      <w:r w:rsidRPr="00135E0E">
        <w:rPr>
          <w:rFonts w:ascii="Calibri" w:eastAsiaTheme="minorEastAsia" w:hAnsi="Calibri"/>
          <w:color w:val="1F497D"/>
          <w:lang w:val="sr-Latn-ME"/>
        </w:rPr>
        <w:t xml:space="preserve"> </w:t>
      </w:r>
      <w:r w:rsidRPr="00135E0E">
        <w:rPr>
          <w:rFonts w:ascii="Arial" w:eastAsiaTheme="minorEastAsia" w:hAnsi="Arial" w:cs="Arial"/>
          <w:lang w:val="sr-Latn-ME"/>
        </w:rPr>
        <w:t xml:space="preserve">Jedan je održan u januaru </w:t>
      </w:r>
      <w:r w:rsidR="00244C33">
        <w:rPr>
          <w:rFonts w:ascii="Arial" w:eastAsiaTheme="minorEastAsia" w:hAnsi="Arial" w:cs="Arial"/>
          <w:lang w:val="sr-Latn-ME"/>
        </w:rPr>
        <w:t xml:space="preserve">2020. godine </w:t>
      </w:r>
      <w:r w:rsidRPr="00135E0E">
        <w:rPr>
          <w:rFonts w:ascii="Arial" w:eastAsiaTheme="minorEastAsia" w:hAnsi="Arial" w:cs="Arial"/>
          <w:lang w:val="sr-Latn-ME"/>
        </w:rPr>
        <w:t>u saradnji sa Centrom</w:t>
      </w:r>
      <w:r w:rsidR="00244C33">
        <w:rPr>
          <w:rFonts w:ascii="Arial" w:eastAsiaTheme="minorEastAsia" w:hAnsi="Arial" w:cs="Arial"/>
          <w:lang w:val="sr-Latn-ME"/>
        </w:rPr>
        <w:t xml:space="preserve"> za obuku. Tema ovog seminara bila je </w:t>
      </w:r>
      <w:r w:rsidRPr="00135E0E">
        <w:rPr>
          <w:rFonts w:ascii="Arial" w:eastAsiaTheme="minorEastAsia" w:hAnsi="Arial" w:cs="Arial"/>
          <w:lang w:val="sr-Latn-ME"/>
        </w:rPr>
        <w:t>Instan</w:t>
      </w:r>
      <w:r w:rsidR="00244C33">
        <w:rPr>
          <w:rFonts w:ascii="Arial" w:eastAsiaTheme="minorEastAsia" w:hAnsi="Arial" w:cs="Arial"/>
          <w:lang w:val="sr-Latn-ME"/>
        </w:rPr>
        <w:t>bulska konvencija</w:t>
      </w:r>
      <w:r w:rsidRPr="00135E0E">
        <w:rPr>
          <w:rFonts w:ascii="Arial" w:eastAsiaTheme="minorEastAsia" w:hAnsi="Arial" w:cs="Arial"/>
          <w:lang w:val="sr-Latn-ME"/>
        </w:rPr>
        <w:t>. Drugi seminar</w:t>
      </w:r>
      <w:r w:rsidR="00244C33">
        <w:rPr>
          <w:rFonts w:ascii="Arial" w:eastAsiaTheme="minorEastAsia" w:hAnsi="Arial" w:cs="Arial"/>
          <w:lang w:val="sr-Latn-ME"/>
        </w:rPr>
        <w:t>,</w:t>
      </w:r>
      <w:r w:rsidRPr="00135E0E">
        <w:rPr>
          <w:rFonts w:ascii="Arial" w:eastAsiaTheme="minorEastAsia" w:hAnsi="Arial" w:cs="Arial"/>
          <w:lang w:val="sr-Latn-ME"/>
        </w:rPr>
        <w:t xml:space="preserve"> koji se odnosio na metodologiju pisanja zamolnica u međunarodnoj pravosudnoj saradnji</w:t>
      </w:r>
      <w:r w:rsidR="00244C33">
        <w:rPr>
          <w:rFonts w:ascii="Arial" w:eastAsiaTheme="minorEastAsia" w:hAnsi="Arial" w:cs="Arial"/>
          <w:lang w:val="sr-Latn-ME"/>
        </w:rPr>
        <w:t>,</w:t>
      </w:r>
      <w:r w:rsidRPr="00135E0E">
        <w:rPr>
          <w:rFonts w:ascii="Arial" w:eastAsiaTheme="minorEastAsia" w:hAnsi="Arial" w:cs="Arial"/>
          <w:lang w:val="sr-Latn-ME"/>
        </w:rPr>
        <w:t xml:space="preserve"> nije održan zbog opasnosti od širenja virusa Covid-19.</w:t>
      </w:r>
      <w:r w:rsidRPr="00135E0E">
        <w:rPr>
          <w:rFonts w:ascii="Arial" w:eastAsiaTheme="minorEastAsia" w:hAnsi="Arial" w:cs="Arial"/>
          <w:lang w:val="en-US"/>
        </w:rPr>
        <w:t xml:space="preserve"> </w:t>
      </w:r>
    </w:p>
    <w:p w:rsidR="00135E0E" w:rsidRPr="00135E0E" w:rsidRDefault="00135E0E" w:rsidP="00135E0E">
      <w:pPr>
        <w:ind w:firstLine="708"/>
        <w:jc w:val="both"/>
        <w:rPr>
          <w:rFonts w:ascii="Arial" w:eastAsiaTheme="minorEastAsia" w:hAnsi="Arial" w:cs="Arial"/>
          <w:color w:val="000000" w:themeColor="text1"/>
          <w:u w:val="single"/>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Pr="00135E0E" w:rsidRDefault="00135E0E" w:rsidP="00135E0E">
      <w:pPr>
        <w:ind w:firstLine="708"/>
        <w:jc w:val="both"/>
        <w:rPr>
          <w:rFonts w:ascii="Arial" w:eastAsiaTheme="minorEastAsia" w:hAnsi="Arial" w:cs="Arial"/>
          <w:b/>
          <w:lang w:val="en-US"/>
        </w:rPr>
      </w:pPr>
    </w:p>
    <w:p w:rsidR="00135E0E" w:rsidRDefault="00135E0E" w:rsidP="00135E0E">
      <w:pPr>
        <w:ind w:firstLine="708"/>
        <w:jc w:val="both"/>
        <w:rPr>
          <w:rFonts w:ascii="Arial" w:eastAsiaTheme="minorEastAsia" w:hAnsi="Arial" w:cs="Arial"/>
          <w:b/>
          <w:lang w:val="en-US"/>
        </w:rPr>
      </w:pPr>
    </w:p>
    <w:p w:rsidR="00244C33" w:rsidRDefault="00244C33" w:rsidP="00135E0E">
      <w:pPr>
        <w:ind w:firstLine="708"/>
        <w:jc w:val="both"/>
        <w:rPr>
          <w:rFonts w:ascii="Arial" w:eastAsiaTheme="minorEastAsia" w:hAnsi="Arial" w:cs="Arial"/>
          <w:b/>
          <w:lang w:val="en-US"/>
        </w:rPr>
      </w:pPr>
    </w:p>
    <w:p w:rsidR="00244C33" w:rsidRDefault="00244C33" w:rsidP="00135E0E">
      <w:pPr>
        <w:ind w:firstLine="708"/>
        <w:jc w:val="both"/>
        <w:rPr>
          <w:rFonts w:ascii="Arial" w:eastAsiaTheme="minorEastAsia" w:hAnsi="Arial" w:cs="Arial"/>
          <w:b/>
          <w:lang w:val="en-US"/>
        </w:rPr>
      </w:pPr>
    </w:p>
    <w:p w:rsidR="00244C33" w:rsidRDefault="00244C33" w:rsidP="00135E0E">
      <w:pPr>
        <w:ind w:firstLine="708"/>
        <w:jc w:val="both"/>
        <w:rPr>
          <w:rFonts w:ascii="Arial" w:eastAsiaTheme="minorEastAsia" w:hAnsi="Arial" w:cs="Arial"/>
          <w:b/>
          <w:lang w:val="en-US"/>
        </w:rPr>
      </w:pPr>
    </w:p>
    <w:p w:rsidR="00244C33" w:rsidRDefault="00244C33" w:rsidP="00135E0E">
      <w:pPr>
        <w:ind w:firstLine="708"/>
        <w:jc w:val="both"/>
        <w:rPr>
          <w:rFonts w:ascii="Arial" w:eastAsiaTheme="minorEastAsia" w:hAnsi="Arial" w:cs="Arial"/>
          <w:b/>
          <w:lang w:val="en-US"/>
        </w:rPr>
      </w:pPr>
    </w:p>
    <w:p w:rsidR="00244C33" w:rsidRPr="00135E0E" w:rsidRDefault="00244C33" w:rsidP="00135E0E">
      <w:pPr>
        <w:ind w:firstLine="708"/>
        <w:jc w:val="both"/>
        <w:rPr>
          <w:rFonts w:ascii="Arial" w:eastAsiaTheme="minorEastAsia" w:hAnsi="Arial" w:cs="Arial"/>
          <w:b/>
          <w:lang w:val="en-US"/>
        </w:rPr>
      </w:pPr>
    </w:p>
    <w:p w:rsidR="00135E0E" w:rsidRPr="00135E0E" w:rsidRDefault="00135E0E" w:rsidP="00135E0E">
      <w:pPr>
        <w:jc w:val="both"/>
        <w:rPr>
          <w:rFonts w:ascii="Arial" w:eastAsiaTheme="minorEastAsia" w:hAnsi="Arial" w:cs="Arial"/>
          <w:b/>
          <w:lang w:val="en-US"/>
        </w:rPr>
      </w:pPr>
    </w:p>
    <w:p w:rsidR="002F2EA0" w:rsidRDefault="002F2EA0" w:rsidP="002F2EA0">
      <w:pPr>
        <w:ind w:firstLine="708"/>
        <w:jc w:val="both"/>
        <w:rPr>
          <w:rFonts w:ascii="Arial" w:eastAsiaTheme="minorEastAsia" w:hAnsi="Arial" w:cs="Arial"/>
          <w:b/>
          <w:lang w:val="en-US"/>
        </w:rPr>
      </w:pPr>
    </w:p>
    <w:p w:rsidR="00135E0E" w:rsidRPr="00135E0E" w:rsidRDefault="00135E0E" w:rsidP="002F2EA0">
      <w:pPr>
        <w:ind w:firstLine="708"/>
        <w:jc w:val="both"/>
        <w:rPr>
          <w:rFonts w:ascii="Arial" w:eastAsiaTheme="minorEastAsia" w:hAnsi="Arial" w:cs="Arial"/>
          <w:b/>
          <w:lang w:val="en-US"/>
        </w:rPr>
      </w:pPr>
      <w:r w:rsidRPr="00135E0E">
        <w:rPr>
          <w:rFonts w:ascii="Arial" w:eastAsiaTheme="minorEastAsia" w:hAnsi="Arial" w:cs="Arial"/>
          <w:b/>
          <w:lang w:val="en-US"/>
        </w:rPr>
        <w:lastRenderedPageBreak/>
        <w:t xml:space="preserve">VII Realizacija preporuka iz prethodnog perioda </w:t>
      </w:r>
    </w:p>
    <w:p w:rsidR="00135E0E" w:rsidRPr="00135E0E" w:rsidRDefault="00135E0E" w:rsidP="00135E0E">
      <w:pPr>
        <w:ind w:firstLine="708"/>
        <w:jc w:val="both"/>
        <w:rPr>
          <w:rFonts w:ascii="Arial" w:eastAsiaTheme="minorEastAsia" w:hAnsi="Arial" w:cs="Arial"/>
          <w:b/>
          <w:color w:val="000000" w:themeColor="text1"/>
          <w:lang w:val="en-US"/>
        </w:rPr>
      </w:pPr>
      <w:r w:rsidRPr="00135E0E">
        <w:rPr>
          <w:rFonts w:ascii="Arial" w:eastAsiaTheme="minorEastAsia" w:hAnsi="Arial" w:cs="Arial"/>
          <w:color w:val="000000" w:themeColor="text1"/>
          <w:lang w:val="en-US"/>
        </w:rPr>
        <w:t xml:space="preserve">Ministarstvo pravde je u izvještajnom periodu, a u cilju realizacije preporuka iz prethodnog </w:t>
      </w:r>
      <w:r w:rsidR="002F2EA0">
        <w:rPr>
          <w:rFonts w:ascii="Arial" w:eastAsiaTheme="minorEastAsia" w:hAnsi="Arial" w:cs="Arial"/>
          <w:color w:val="000000" w:themeColor="text1"/>
          <w:lang w:val="en-US"/>
        </w:rPr>
        <w:t>perioda</w:t>
      </w:r>
      <w:r w:rsidRPr="00135E0E">
        <w:rPr>
          <w:rFonts w:ascii="Arial" w:eastAsiaTheme="minorEastAsia" w:hAnsi="Arial" w:cs="Arial"/>
          <w:color w:val="000000" w:themeColor="text1"/>
          <w:lang w:val="en-US"/>
        </w:rPr>
        <w:t xml:space="preserve">, nastavilo </w:t>
      </w:r>
      <w:proofErr w:type="gramStart"/>
      <w:r w:rsidRPr="00135E0E">
        <w:rPr>
          <w:rFonts w:ascii="Arial" w:eastAsiaTheme="minorEastAsia" w:hAnsi="Arial" w:cs="Arial"/>
          <w:color w:val="000000" w:themeColor="text1"/>
          <w:lang w:val="en-US"/>
        </w:rPr>
        <w:t>sa</w:t>
      </w:r>
      <w:proofErr w:type="gramEnd"/>
      <w:r w:rsidRPr="00135E0E">
        <w:rPr>
          <w:rFonts w:ascii="Arial" w:eastAsiaTheme="minorEastAsia" w:hAnsi="Arial" w:cs="Arial"/>
          <w:color w:val="000000" w:themeColor="text1"/>
          <w:lang w:val="en-US"/>
        </w:rPr>
        <w:t xml:space="preserve"> kontinuiranim praćenjem primjene Zakona o međunarodnom privatnom pravu, kako kroz komunikaciju sa subjektima koji ga primjenjuju i organizuju obuke iz oblasti koju </w:t>
      </w:r>
      <w:r w:rsidR="002F2EA0">
        <w:rPr>
          <w:rFonts w:ascii="Arial" w:eastAsiaTheme="minorEastAsia" w:hAnsi="Arial" w:cs="Arial"/>
          <w:color w:val="000000" w:themeColor="text1"/>
          <w:lang w:val="en-US"/>
        </w:rPr>
        <w:t xml:space="preserve">isti </w:t>
      </w:r>
      <w:r w:rsidRPr="00135E0E">
        <w:rPr>
          <w:rFonts w:ascii="Arial" w:eastAsiaTheme="minorEastAsia" w:hAnsi="Arial" w:cs="Arial"/>
          <w:color w:val="000000" w:themeColor="text1"/>
          <w:lang w:val="en-US"/>
        </w:rPr>
        <w:t xml:space="preserve">uređuje, tako i kroz izradu predmetnog Izvještaja i praćenje relevantne pravne tekovine Evropske unije za oblast međunarodnog privatnog prava. S </w:t>
      </w:r>
      <w:proofErr w:type="gramStart"/>
      <w:r w:rsidRPr="00135E0E">
        <w:rPr>
          <w:rFonts w:ascii="Arial" w:eastAsiaTheme="minorEastAsia" w:hAnsi="Arial" w:cs="Arial"/>
          <w:color w:val="000000" w:themeColor="text1"/>
          <w:lang w:val="en-US"/>
        </w:rPr>
        <w:t>tim</w:t>
      </w:r>
      <w:proofErr w:type="gramEnd"/>
      <w:r w:rsidRPr="00135E0E">
        <w:rPr>
          <w:rFonts w:ascii="Arial" w:eastAsiaTheme="minorEastAsia" w:hAnsi="Arial" w:cs="Arial"/>
          <w:color w:val="000000" w:themeColor="text1"/>
          <w:lang w:val="en-US"/>
        </w:rPr>
        <w:t xml:space="preserve"> u vezi, Ministarstvo pravde je početkom 2020. </w:t>
      </w:r>
      <w:proofErr w:type="gramStart"/>
      <w:r w:rsidRPr="00135E0E">
        <w:rPr>
          <w:rFonts w:ascii="Arial" w:eastAsiaTheme="minorEastAsia" w:hAnsi="Arial" w:cs="Arial"/>
          <w:color w:val="000000" w:themeColor="text1"/>
          <w:lang w:val="en-US"/>
        </w:rPr>
        <w:t>godine</w:t>
      </w:r>
      <w:proofErr w:type="gramEnd"/>
      <w:r w:rsidRPr="00135E0E">
        <w:rPr>
          <w:rFonts w:ascii="Arial" w:eastAsiaTheme="minorEastAsia" w:hAnsi="Arial" w:cs="Arial"/>
          <w:color w:val="000000" w:themeColor="text1"/>
          <w:lang w:val="en-US"/>
        </w:rPr>
        <w:t xml:space="preserve"> pristupilo izradi Analize</w:t>
      </w:r>
      <w:r w:rsidR="002F2EA0">
        <w:rPr>
          <w:rFonts w:ascii="Arial" w:eastAsiaTheme="minorEastAsia" w:hAnsi="Arial" w:cs="Arial"/>
          <w:color w:val="000000" w:themeColor="text1"/>
          <w:lang w:val="en-US"/>
        </w:rPr>
        <w:t xml:space="preserve"> usklađenosti</w:t>
      </w:r>
      <w:r w:rsidRPr="00135E0E">
        <w:rPr>
          <w:rFonts w:ascii="Arial" w:eastAsiaTheme="minorEastAsia" w:hAnsi="Arial" w:cs="Arial"/>
          <w:color w:val="000000" w:themeColor="text1"/>
          <w:lang w:val="en-US"/>
        </w:rPr>
        <w:t xml:space="preserve"> parničnog i izvršnog zakonodavstva </w:t>
      </w:r>
      <w:r w:rsidR="002F2EA0">
        <w:rPr>
          <w:rFonts w:ascii="Arial" w:eastAsiaTheme="minorEastAsia" w:hAnsi="Arial" w:cs="Arial"/>
          <w:color w:val="000000" w:themeColor="text1"/>
          <w:lang w:val="en-US"/>
        </w:rPr>
        <w:t xml:space="preserve">Crne Gore </w:t>
      </w:r>
      <w:r w:rsidRPr="00135E0E">
        <w:rPr>
          <w:rFonts w:ascii="Arial" w:eastAsiaTheme="minorEastAsia" w:hAnsi="Arial" w:cs="Arial"/>
          <w:color w:val="000000" w:themeColor="text1"/>
          <w:lang w:val="en-US"/>
        </w:rPr>
        <w:t xml:space="preserve">sa pravnom tekovinom Evrospke unije. Za ovu aktivnost </w:t>
      </w:r>
      <w:r w:rsidR="002F2EA0">
        <w:rPr>
          <w:rFonts w:ascii="Arial" w:eastAsiaTheme="minorEastAsia" w:hAnsi="Arial" w:cs="Arial"/>
          <w:color w:val="000000" w:themeColor="text1"/>
          <w:lang w:val="en-US"/>
        </w:rPr>
        <w:t>Ministarstvo pravde je dobilo ekspertsku podršku</w:t>
      </w:r>
      <w:r w:rsidRPr="00135E0E">
        <w:rPr>
          <w:rFonts w:ascii="Arial" w:eastAsiaTheme="minorEastAsia" w:hAnsi="Arial" w:cs="Arial"/>
          <w:color w:val="000000" w:themeColor="text1"/>
          <w:lang w:val="en-US"/>
        </w:rPr>
        <w:t xml:space="preserve"> TAIEX-a. Izrada navedene Analize je u završnoj fazi. </w:t>
      </w:r>
    </w:p>
    <w:p w:rsidR="002F2EA0" w:rsidRDefault="00135E0E" w:rsidP="00135E0E">
      <w:pPr>
        <w:ind w:firstLine="708"/>
        <w:jc w:val="both"/>
        <w:rPr>
          <w:rFonts w:ascii="Arial" w:eastAsiaTheme="minorEastAsia" w:hAnsi="Arial" w:cs="Arial"/>
          <w:color w:val="000000" w:themeColor="text1"/>
          <w:lang w:val="en-US"/>
        </w:rPr>
      </w:pPr>
      <w:r w:rsidRPr="00135E0E">
        <w:rPr>
          <w:rFonts w:ascii="Arial" w:eastAsiaTheme="minorEastAsia" w:hAnsi="Arial" w:cs="Arial"/>
          <w:color w:val="000000" w:themeColor="text1"/>
          <w:lang w:val="en-US"/>
        </w:rPr>
        <w:t xml:space="preserve">Centar za obuku je u izvještajnom periodu nastavio </w:t>
      </w:r>
      <w:proofErr w:type="gramStart"/>
      <w:r w:rsidRPr="00135E0E">
        <w:rPr>
          <w:rFonts w:ascii="Arial" w:eastAsiaTheme="minorEastAsia" w:hAnsi="Arial" w:cs="Arial"/>
          <w:color w:val="000000" w:themeColor="text1"/>
          <w:lang w:val="en-US"/>
        </w:rPr>
        <w:t>sa</w:t>
      </w:r>
      <w:proofErr w:type="gramEnd"/>
      <w:r w:rsidRPr="00135E0E">
        <w:rPr>
          <w:rFonts w:ascii="Arial" w:eastAsiaTheme="minorEastAsia" w:hAnsi="Arial" w:cs="Arial"/>
          <w:color w:val="000000" w:themeColor="text1"/>
          <w:lang w:val="en-US"/>
        </w:rPr>
        <w:t xml:space="preserve"> kontinuiranim i inicijalnim obukama sudija i državnih tužilaca, kandidata za sudije i državne tužioce, kao i sudskih savjetnika iz oblasti međunarodnog privatnog prava, što je, takođe, bila jedna od preporuka iz prethodnog Izvještaja.</w:t>
      </w:r>
    </w:p>
    <w:p w:rsidR="00135E0E" w:rsidRPr="00135E0E" w:rsidRDefault="00135E0E" w:rsidP="00135E0E">
      <w:pPr>
        <w:ind w:firstLine="708"/>
        <w:jc w:val="both"/>
        <w:rPr>
          <w:rFonts w:ascii="Arial" w:eastAsiaTheme="minorEastAsia" w:hAnsi="Arial" w:cs="Arial"/>
          <w:color w:val="000000" w:themeColor="text1"/>
          <w:lang w:val="en-US"/>
        </w:rPr>
      </w:pPr>
      <w:r w:rsidRPr="00135E0E">
        <w:rPr>
          <w:rFonts w:ascii="Arial" w:eastAsiaTheme="minorEastAsia" w:hAnsi="Arial" w:cs="Arial"/>
          <w:color w:val="000000" w:themeColor="text1"/>
          <w:lang w:val="en-US"/>
        </w:rPr>
        <w:t xml:space="preserve"> Dakle, može se konstatovati da su sve preporuke iz prethodnog </w:t>
      </w:r>
      <w:r w:rsidR="002F2EA0">
        <w:rPr>
          <w:rFonts w:ascii="Arial" w:eastAsiaTheme="minorEastAsia" w:hAnsi="Arial" w:cs="Arial"/>
          <w:color w:val="000000" w:themeColor="text1"/>
          <w:lang w:val="en-US"/>
        </w:rPr>
        <w:t>perioda</w:t>
      </w:r>
      <w:r w:rsidRPr="00135E0E">
        <w:rPr>
          <w:rFonts w:ascii="Arial" w:eastAsiaTheme="minorEastAsia" w:hAnsi="Arial" w:cs="Arial"/>
          <w:color w:val="000000" w:themeColor="text1"/>
          <w:lang w:val="en-US"/>
        </w:rPr>
        <w:t xml:space="preserve"> uspješno </w:t>
      </w:r>
      <w:proofErr w:type="gramStart"/>
      <w:r w:rsidRPr="00135E0E">
        <w:rPr>
          <w:rFonts w:ascii="Arial" w:eastAsiaTheme="minorEastAsia" w:hAnsi="Arial" w:cs="Arial"/>
          <w:color w:val="000000" w:themeColor="text1"/>
          <w:lang w:val="en-US"/>
        </w:rPr>
        <w:t>realizovane</w:t>
      </w:r>
      <w:proofErr w:type="gramEnd"/>
      <w:r w:rsidRPr="00135E0E">
        <w:rPr>
          <w:rFonts w:ascii="Arial" w:eastAsiaTheme="minorEastAsia" w:hAnsi="Arial" w:cs="Arial"/>
          <w:color w:val="000000" w:themeColor="text1"/>
          <w:lang w:val="en-US"/>
        </w:rPr>
        <w:t>.</w:t>
      </w:r>
    </w:p>
    <w:p w:rsidR="00135E0E" w:rsidRPr="00135E0E" w:rsidRDefault="00135E0E" w:rsidP="00135E0E">
      <w:pPr>
        <w:ind w:firstLine="708"/>
        <w:jc w:val="both"/>
        <w:rPr>
          <w:rFonts w:ascii="Arial" w:eastAsiaTheme="minorEastAsia" w:hAnsi="Arial" w:cs="Arial"/>
          <w:color w:val="000000" w:themeColor="text1"/>
          <w:lang w:val="en-US"/>
        </w:rPr>
      </w:pPr>
    </w:p>
    <w:p w:rsidR="00135E0E" w:rsidRPr="00135E0E" w:rsidRDefault="00135E0E" w:rsidP="00135E0E">
      <w:pPr>
        <w:ind w:firstLine="708"/>
        <w:jc w:val="both"/>
        <w:rPr>
          <w:rFonts w:ascii="Arial" w:eastAsiaTheme="minorEastAsia" w:hAnsi="Arial" w:cs="Arial"/>
          <w:b/>
          <w:lang w:val="en-US"/>
        </w:rPr>
      </w:pPr>
      <w:r w:rsidRPr="00135E0E">
        <w:rPr>
          <w:rFonts w:ascii="Arial" w:eastAsiaTheme="minorEastAsia" w:hAnsi="Arial" w:cs="Arial"/>
          <w:b/>
          <w:lang w:val="en-US"/>
        </w:rPr>
        <w:t>VIII Preporuke za naredni period</w:t>
      </w:r>
    </w:p>
    <w:p w:rsidR="00135E0E" w:rsidRPr="00135E0E" w:rsidRDefault="00135E0E" w:rsidP="00135E0E">
      <w:pPr>
        <w:ind w:firstLine="708"/>
        <w:jc w:val="both"/>
        <w:rPr>
          <w:rFonts w:ascii="Arial" w:eastAsia="Times New Roman" w:hAnsi="Arial" w:cs="Arial"/>
          <w:color w:val="000000" w:themeColor="text1"/>
          <w:sz w:val="24"/>
          <w:szCs w:val="24"/>
          <w:lang w:val="en-US"/>
        </w:rPr>
      </w:pPr>
      <w:r w:rsidRPr="00135E0E">
        <w:rPr>
          <w:rFonts w:ascii="Arial" w:eastAsiaTheme="minorEastAsia" w:hAnsi="Arial" w:cs="Arial"/>
          <w:color w:val="000000" w:themeColor="text1"/>
          <w:lang w:val="en-US"/>
        </w:rPr>
        <w:t xml:space="preserve">Polazeći </w:t>
      </w:r>
      <w:proofErr w:type="gramStart"/>
      <w:r w:rsidRPr="00135E0E">
        <w:rPr>
          <w:rFonts w:ascii="Arial" w:eastAsiaTheme="minorEastAsia" w:hAnsi="Arial" w:cs="Arial"/>
          <w:color w:val="000000" w:themeColor="text1"/>
          <w:lang w:val="en-US"/>
        </w:rPr>
        <w:t>od</w:t>
      </w:r>
      <w:proofErr w:type="gramEnd"/>
      <w:r w:rsidRPr="00135E0E">
        <w:rPr>
          <w:rFonts w:ascii="Arial" w:eastAsiaTheme="minorEastAsia" w:hAnsi="Arial" w:cs="Arial"/>
          <w:color w:val="000000" w:themeColor="text1"/>
          <w:lang w:val="en-US"/>
        </w:rPr>
        <w:t xml:space="preserve"> nesumnjivog značaja Zakona o međunarodnom privatnom pravu i, s tim u vezi, potrebe njegovog pravilnog tumačenja i </w:t>
      </w:r>
      <w:r w:rsidR="002F2EA0">
        <w:rPr>
          <w:rFonts w:ascii="Arial" w:eastAsiaTheme="minorEastAsia" w:hAnsi="Arial" w:cs="Arial"/>
          <w:color w:val="000000" w:themeColor="text1"/>
          <w:lang w:val="en-US"/>
        </w:rPr>
        <w:t xml:space="preserve">praćenja </w:t>
      </w:r>
      <w:r w:rsidRPr="00135E0E">
        <w:rPr>
          <w:rFonts w:ascii="Arial" w:eastAsiaTheme="minorEastAsia" w:hAnsi="Arial" w:cs="Arial"/>
          <w:color w:val="000000" w:themeColor="text1"/>
          <w:lang w:val="en-US"/>
        </w:rPr>
        <w:t>primjene, u narednom periodu potrebno je:</w:t>
      </w:r>
    </w:p>
    <w:p w:rsidR="00135E0E" w:rsidRPr="00135E0E" w:rsidRDefault="00135E0E" w:rsidP="00135E0E">
      <w:pPr>
        <w:numPr>
          <w:ilvl w:val="0"/>
          <w:numId w:val="2"/>
        </w:numPr>
        <w:suppressAutoHyphens/>
        <w:autoSpaceDN w:val="0"/>
        <w:jc w:val="both"/>
        <w:rPr>
          <w:rFonts w:ascii="Arial" w:eastAsiaTheme="minorEastAsia" w:hAnsi="Arial" w:cs="Arial"/>
          <w:color w:val="000000" w:themeColor="text1"/>
          <w:lang w:val="en-US"/>
        </w:rPr>
      </w:pPr>
      <w:r w:rsidRPr="00135E0E">
        <w:rPr>
          <w:rFonts w:ascii="Arial" w:eastAsiaTheme="minorEastAsia" w:hAnsi="Arial" w:cs="Arial"/>
          <w:color w:val="000000" w:themeColor="text1"/>
          <w:lang w:val="en-US"/>
        </w:rPr>
        <w:t>Nastaviti sa praćenjem primjene Zakona o međunarodnom privatnom pravu kroz izradu godišnjih izvještaja o njegovoj primjeni;</w:t>
      </w:r>
    </w:p>
    <w:p w:rsidR="00135E0E" w:rsidRPr="00135E0E" w:rsidRDefault="00135E0E" w:rsidP="00135E0E">
      <w:pPr>
        <w:numPr>
          <w:ilvl w:val="0"/>
          <w:numId w:val="2"/>
        </w:numPr>
        <w:suppressAutoHyphens/>
        <w:autoSpaceDN w:val="0"/>
        <w:spacing w:line="240" w:lineRule="auto"/>
        <w:jc w:val="both"/>
        <w:rPr>
          <w:rFonts w:ascii="Arial" w:eastAsiaTheme="minorEastAsia" w:hAnsi="Arial" w:cs="Arial"/>
          <w:color w:val="000000" w:themeColor="text1"/>
          <w:lang w:val="en-US"/>
        </w:rPr>
      </w:pPr>
      <w:r w:rsidRPr="00135E0E">
        <w:rPr>
          <w:rFonts w:ascii="Arial" w:eastAsiaTheme="minorEastAsia" w:hAnsi="Arial" w:cs="Arial"/>
          <w:color w:val="000000" w:themeColor="text1"/>
          <w:lang w:val="en-US"/>
        </w:rPr>
        <w:t>Nastaviti sa kontinuiranim organizovanjem seminara i obuka iz oblasti međunarodnog privatnog prava;</w:t>
      </w:r>
    </w:p>
    <w:p w:rsidR="00135E0E" w:rsidRPr="00135E0E" w:rsidRDefault="00135E0E" w:rsidP="00135E0E">
      <w:pPr>
        <w:numPr>
          <w:ilvl w:val="0"/>
          <w:numId w:val="2"/>
        </w:numPr>
        <w:suppressAutoHyphens/>
        <w:autoSpaceDN w:val="0"/>
        <w:spacing w:line="240" w:lineRule="auto"/>
        <w:jc w:val="both"/>
        <w:rPr>
          <w:rFonts w:ascii="Arial" w:eastAsiaTheme="minorEastAsia" w:hAnsi="Arial" w:cs="Arial"/>
          <w:color w:val="000000" w:themeColor="text1"/>
          <w:lang w:val="en-US"/>
        </w:rPr>
      </w:pPr>
      <w:r w:rsidRPr="00135E0E">
        <w:rPr>
          <w:rFonts w:ascii="Arial" w:eastAsiaTheme="minorEastAsia" w:hAnsi="Arial" w:cs="Arial"/>
          <w:color w:val="000000" w:themeColor="text1"/>
          <w:lang w:val="en-US"/>
        </w:rPr>
        <w:t xml:space="preserve">Pratiti promjene relevantne pravne tekovine Evropske unije za oblast međunarodnog privatnog prava i, s </w:t>
      </w:r>
      <w:proofErr w:type="gramStart"/>
      <w:r w:rsidRPr="00135E0E">
        <w:rPr>
          <w:rFonts w:ascii="Arial" w:eastAsiaTheme="minorEastAsia" w:hAnsi="Arial" w:cs="Arial"/>
          <w:color w:val="000000" w:themeColor="text1"/>
          <w:lang w:val="en-US"/>
        </w:rPr>
        <w:t>tim</w:t>
      </w:r>
      <w:proofErr w:type="gramEnd"/>
      <w:r w:rsidRPr="00135E0E">
        <w:rPr>
          <w:rFonts w:ascii="Arial" w:eastAsiaTheme="minorEastAsia" w:hAnsi="Arial" w:cs="Arial"/>
          <w:color w:val="000000" w:themeColor="text1"/>
          <w:lang w:val="en-US"/>
        </w:rPr>
        <w:t xml:space="preserve"> u vezi, preduzimati odgovarajuće aktivnosti u pravcu usaglašavanja domaćeg zakonodavstva sa tim promjenama.</w:t>
      </w:r>
    </w:p>
    <w:p w:rsidR="00135E0E" w:rsidRPr="00135E0E" w:rsidRDefault="009B3C96" w:rsidP="00135E0E">
      <w:pPr>
        <w:ind w:firstLine="720"/>
        <w:jc w:val="both"/>
        <w:rPr>
          <w:rFonts w:ascii="Arial" w:eastAsia="Arial Unicode MS" w:hAnsi="Arial" w:cs="Arial"/>
          <w:bCs/>
          <w:lang w:val="en-US"/>
        </w:rPr>
      </w:pPr>
      <w:r>
        <w:rPr>
          <w:rFonts w:ascii="Arial" w:eastAsia="Arial Unicode MS" w:hAnsi="Arial" w:cs="Arial"/>
          <w:bCs/>
          <w:lang w:val="en-US"/>
        </w:rPr>
        <w:t>…</w:t>
      </w:r>
    </w:p>
    <w:p w:rsidR="00135E0E" w:rsidRPr="00135E0E" w:rsidRDefault="00135E0E" w:rsidP="00135E0E">
      <w:pPr>
        <w:rPr>
          <w:rFonts w:ascii="Arial" w:eastAsia="Calibri" w:hAnsi="Arial" w:cs="Arial"/>
          <w:lang w:val="en-US"/>
        </w:rPr>
      </w:pPr>
    </w:p>
    <w:p w:rsidR="00135E0E" w:rsidRPr="00135E0E" w:rsidRDefault="00135E0E" w:rsidP="00135E0E">
      <w:pPr>
        <w:rPr>
          <w:rFonts w:ascii="Arial" w:eastAsia="Times New Roman" w:hAnsi="Arial" w:cs="Arial"/>
          <w:lang w:val="en-US"/>
        </w:rPr>
      </w:pPr>
    </w:p>
    <w:p w:rsidR="00135E0E" w:rsidRPr="00135E0E" w:rsidRDefault="00135E0E" w:rsidP="00135E0E">
      <w:pPr>
        <w:rPr>
          <w:rFonts w:ascii="Arial" w:eastAsiaTheme="minorEastAsia" w:hAnsi="Arial" w:cs="Arial"/>
          <w:lang w:val="en-US"/>
        </w:rPr>
      </w:pPr>
    </w:p>
    <w:p w:rsidR="00135E0E" w:rsidRPr="00135E0E" w:rsidRDefault="00135E0E" w:rsidP="00135E0E">
      <w:pPr>
        <w:rPr>
          <w:rFonts w:ascii="Calibri" w:eastAsiaTheme="minorEastAsia" w:hAnsi="Calibri" w:cs="Times New Roman"/>
          <w:lang w:val="en-US"/>
        </w:rPr>
      </w:pPr>
    </w:p>
    <w:p w:rsidR="00135E0E" w:rsidRPr="00135E0E" w:rsidRDefault="00135E0E" w:rsidP="00135E0E">
      <w:pPr>
        <w:rPr>
          <w:rFonts w:ascii="Times New Roman" w:eastAsiaTheme="minorEastAsia" w:hAnsi="Times New Roman"/>
          <w:sz w:val="24"/>
          <w:szCs w:val="24"/>
          <w:lang w:val="en-US"/>
        </w:rPr>
      </w:pPr>
    </w:p>
    <w:p w:rsidR="00135E0E" w:rsidRPr="00135E0E" w:rsidRDefault="00135E0E" w:rsidP="00135E0E">
      <w:pPr>
        <w:rPr>
          <w:rFonts w:eastAsiaTheme="minorEastAsia"/>
          <w:lang w:val="en-US"/>
        </w:rPr>
      </w:pPr>
    </w:p>
    <w:p w:rsidR="00B9505F" w:rsidRPr="009B4F1C" w:rsidRDefault="00B9505F" w:rsidP="009B4F1C">
      <w:pPr>
        <w:autoSpaceDE w:val="0"/>
        <w:autoSpaceDN w:val="0"/>
        <w:adjustRightInd w:val="0"/>
        <w:spacing w:after="0" w:line="240" w:lineRule="auto"/>
        <w:jc w:val="both"/>
        <w:rPr>
          <w:rFonts w:ascii="Arial" w:hAnsi="Arial" w:cs="Arial"/>
          <w:sz w:val="24"/>
          <w:szCs w:val="24"/>
        </w:rPr>
      </w:pPr>
      <w:bookmarkStart w:id="0" w:name="_GoBack"/>
      <w:bookmarkEnd w:id="0"/>
    </w:p>
    <w:sectPr w:rsidR="00B9505F" w:rsidRPr="009B4F1C">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757411"/>
      <w:docPartObj>
        <w:docPartGallery w:val="Page Numbers (Bottom of Page)"/>
        <w:docPartUnique/>
      </w:docPartObj>
    </w:sdtPr>
    <w:sdtEndPr>
      <w:rPr>
        <w:noProof/>
      </w:rPr>
    </w:sdtEndPr>
    <w:sdtContent>
      <w:p w:rsidR="00694B88" w:rsidRDefault="0093327A">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694B88" w:rsidRDefault="0093327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B7C9D"/>
    <w:multiLevelType w:val="multilevel"/>
    <w:tmpl w:val="E63AC6A2"/>
    <w:lvl w:ilvl="0">
      <w:numFmt w:val="bullet"/>
      <w:lvlText w:val="-"/>
      <w:lvlJc w:val="left"/>
      <w:pPr>
        <w:ind w:left="720" w:hanging="360"/>
      </w:pPr>
      <w:rPr>
        <w:rFonts w:ascii="Calibri" w:eastAsia="Times New Roman"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EEA25CD"/>
    <w:multiLevelType w:val="hybridMultilevel"/>
    <w:tmpl w:val="B2E223EA"/>
    <w:lvl w:ilvl="0" w:tplc="71A8B030">
      <w:start w:val="1"/>
      <w:numFmt w:val="lowerLetter"/>
      <w:lvlText w:val="%1)"/>
      <w:lvlJc w:val="left"/>
      <w:pPr>
        <w:ind w:left="1065" w:hanging="360"/>
      </w:pPr>
    </w:lvl>
    <w:lvl w:ilvl="1" w:tplc="241A0019">
      <w:start w:val="1"/>
      <w:numFmt w:val="lowerLetter"/>
      <w:lvlText w:val="%2."/>
      <w:lvlJc w:val="left"/>
      <w:pPr>
        <w:ind w:left="1785" w:hanging="360"/>
      </w:pPr>
    </w:lvl>
    <w:lvl w:ilvl="2" w:tplc="241A001B">
      <w:start w:val="1"/>
      <w:numFmt w:val="lowerRoman"/>
      <w:lvlText w:val="%3."/>
      <w:lvlJc w:val="right"/>
      <w:pPr>
        <w:ind w:left="2505" w:hanging="180"/>
      </w:pPr>
    </w:lvl>
    <w:lvl w:ilvl="3" w:tplc="241A000F">
      <w:start w:val="1"/>
      <w:numFmt w:val="decimal"/>
      <w:lvlText w:val="%4."/>
      <w:lvlJc w:val="left"/>
      <w:pPr>
        <w:ind w:left="3225" w:hanging="360"/>
      </w:pPr>
    </w:lvl>
    <w:lvl w:ilvl="4" w:tplc="241A0019">
      <w:start w:val="1"/>
      <w:numFmt w:val="lowerLetter"/>
      <w:lvlText w:val="%5."/>
      <w:lvlJc w:val="left"/>
      <w:pPr>
        <w:ind w:left="3945" w:hanging="360"/>
      </w:pPr>
    </w:lvl>
    <w:lvl w:ilvl="5" w:tplc="241A001B">
      <w:start w:val="1"/>
      <w:numFmt w:val="lowerRoman"/>
      <w:lvlText w:val="%6."/>
      <w:lvlJc w:val="right"/>
      <w:pPr>
        <w:ind w:left="4665" w:hanging="180"/>
      </w:pPr>
    </w:lvl>
    <w:lvl w:ilvl="6" w:tplc="241A000F">
      <w:start w:val="1"/>
      <w:numFmt w:val="decimal"/>
      <w:lvlText w:val="%7."/>
      <w:lvlJc w:val="left"/>
      <w:pPr>
        <w:ind w:left="5385" w:hanging="360"/>
      </w:pPr>
    </w:lvl>
    <w:lvl w:ilvl="7" w:tplc="241A0019">
      <w:start w:val="1"/>
      <w:numFmt w:val="lowerLetter"/>
      <w:lvlText w:val="%8."/>
      <w:lvlJc w:val="left"/>
      <w:pPr>
        <w:ind w:left="6105" w:hanging="360"/>
      </w:pPr>
    </w:lvl>
    <w:lvl w:ilvl="8" w:tplc="241A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14"/>
    <w:rsid w:val="00135E0E"/>
    <w:rsid w:val="00136992"/>
    <w:rsid w:val="001541CC"/>
    <w:rsid w:val="00206A68"/>
    <w:rsid w:val="00244C33"/>
    <w:rsid w:val="002F0FA3"/>
    <w:rsid w:val="002F2EA0"/>
    <w:rsid w:val="00390B0B"/>
    <w:rsid w:val="00414214"/>
    <w:rsid w:val="004947DB"/>
    <w:rsid w:val="004D00CB"/>
    <w:rsid w:val="005F1C9E"/>
    <w:rsid w:val="00783419"/>
    <w:rsid w:val="007E44AC"/>
    <w:rsid w:val="007F4DC7"/>
    <w:rsid w:val="0093327A"/>
    <w:rsid w:val="009B3C96"/>
    <w:rsid w:val="009B4F1C"/>
    <w:rsid w:val="00B9505F"/>
    <w:rsid w:val="00BA259A"/>
    <w:rsid w:val="00BC075C"/>
    <w:rsid w:val="00CD2F8A"/>
    <w:rsid w:val="00CF7250"/>
    <w:rsid w:val="00D65CA7"/>
    <w:rsid w:val="00DE77E6"/>
    <w:rsid w:val="00E648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9BF970"/>
  <w15:chartTrackingRefBased/>
  <w15:docId w15:val="{DD2814E9-D53A-4BF6-9A15-BE5C117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9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35E0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3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1526">
      <w:bodyDiv w:val="1"/>
      <w:marLeft w:val="0"/>
      <w:marRight w:val="0"/>
      <w:marTop w:val="0"/>
      <w:marBottom w:val="0"/>
      <w:divBdr>
        <w:top w:val="none" w:sz="0" w:space="0" w:color="auto"/>
        <w:left w:val="none" w:sz="0" w:space="0" w:color="auto"/>
        <w:bottom w:val="none" w:sz="0" w:space="0" w:color="auto"/>
        <w:right w:val="none" w:sz="0" w:space="0" w:color="auto"/>
      </w:divBdr>
    </w:div>
    <w:div w:id="80119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Smailovic</dc:creator>
  <cp:keywords/>
  <dc:description/>
  <cp:lastModifiedBy>Ibrahim Smailovic</cp:lastModifiedBy>
  <cp:revision>13</cp:revision>
  <dcterms:created xsi:type="dcterms:W3CDTF">2020-09-24T07:25:00Z</dcterms:created>
  <dcterms:modified xsi:type="dcterms:W3CDTF">2020-09-24T08:21:00Z</dcterms:modified>
</cp:coreProperties>
</file>