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B499" w14:textId="77777777" w:rsidR="00DC10AD" w:rsidRPr="003E6974" w:rsidRDefault="00DC10AD" w:rsidP="00DC10AD">
      <w:pPr>
        <w:pStyle w:val="Header"/>
        <w:jc w:val="center"/>
        <w:rPr>
          <w:sz w:val="24"/>
          <w:szCs w:val="24"/>
        </w:rPr>
      </w:pPr>
      <w:r w:rsidRPr="003E6974">
        <w:rPr>
          <w:rFonts w:eastAsia="Times New Roman" w:cstheme="minorHAnsi"/>
          <w:noProof/>
          <w:sz w:val="24"/>
          <w:szCs w:val="24"/>
          <w:lang w:val="en-GB" w:eastAsia="en-GB"/>
        </w:rPr>
        <w:drawing>
          <wp:inline distT="0" distB="0" distL="0" distR="0" wp14:anchorId="0D11D489" wp14:editId="00133A3B">
            <wp:extent cx="819150" cy="866775"/>
            <wp:effectExtent l="0" t="0" r="0" b="9525"/>
            <wp:docPr id="8" name="Picture 8"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5339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14:paraId="7A4A1191" w14:textId="77777777" w:rsidR="00DC10AD" w:rsidRPr="00555C8E" w:rsidRDefault="00DC10AD" w:rsidP="00DC10AD">
      <w:pPr>
        <w:pStyle w:val="Header"/>
        <w:jc w:val="center"/>
        <w:rPr>
          <w:rFonts w:ascii="Garamond" w:hAnsi="Garamond"/>
          <w:b/>
          <w:sz w:val="26"/>
          <w:szCs w:val="26"/>
        </w:rPr>
      </w:pPr>
      <w:r w:rsidRPr="00555C8E">
        <w:rPr>
          <w:rFonts w:ascii="Garamond" w:hAnsi="Garamond"/>
          <w:b/>
          <w:sz w:val="26"/>
          <w:szCs w:val="26"/>
        </w:rPr>
        <w:t>Crna Gora</w:t>
      </w:r>
    </w:p>
    <w:p w14:paraId="0690EC87" w14:textId="05F86724" w:rsidR="00DC10AD" w:rsidRPr="00555C8E" w:rsidRDefault="00DC10AD" w:rsidP="00DC10AD">
      <w:pPr>
        <w:pStyle w:val="Header"/>
        <w:jc w:val="center"/>
        <w:rPr>
          <w:rFonts w:ascii="Garamond" w:hAnsi="Garamond"/>
          <w:b/>
          <w:sz w:val="26"/>
          <w:szCs w:val="26"/>
        </w:rPr>
      </w:pPr>
      <w:r w:rsidRPr="00555C8E">
        <w:rPr>
          <w:rFonts w:ascii="Garamond" w:hAnsi="Garamond"/>
          <w:b/>
          <w:sz w:val="26"/>
          <w:szCs w:val="26"/>
        </w:rPr>
        <w:t>Ministarstvo finansija</w:t>
      </w:r>
      <w:r w:rsidR="00800F54" w:rsidRPr="00555C8E">
        <w:rPr>
          <w:rFonts w:ascii="Garamond" w:hAnsi="Garamond"/>
          <w:b/>
          <w:sz w:val="26"/>
          <w:szCs w:val="26"/>
        </w:rPr>
        <w:t xml:space="preserve"> </w:t>
      </w:r>
    </w:p>
    <w:p w14:paraId="00CEAC79"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3BB3EA1"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15E6176"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6CCDA8F8"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28D82406"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06EAC809" w14:textId="77777777" w:rsidR="00DC10AD" w:rsidRPr="003E6974" w:rsidRDefault="00DC10AD" w:rsidP="00DC10AD">
      <w:pP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7808AA2D" w14:textId="77777777" w:rsidR="00835BB0" w:rsidRPr="003E6974" w:rsidRDefault="00835BB0" w:rsidP="00A528AA">
      <w:pPr>
        <w:pStyle w:val="Foote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7F75874A" w14:textId="77777777" w:rsidR="003E6974" w:rsidRDefault="003E6974"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5AD42754" w14:textId="77777777" w:rsidR="003E6974" w:rsidRDefault="003E6974"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17F5AEB0" w14:textId="3E641889" w:rsidR="00DC10AD" w:rsidRPr="003E6974" w:rsidRDefault="00A528AA"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r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IZVJEŠTAJ O PRELIMINARNIM NIVOIMA BUDŽETSKOG GOTOVINSKOG DEFICITA, JAVN</w:t>
      </w:r>
      <w:r w:rsidR="00AB0E43"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OG DUGA I NETO ZADUŽENJA ZA 202</w:t>
      </w:r>
      <w:r w:rsidR="00944889">
        <w:rPr>
          <w:rFonts w:ascii="Garamond" w:hAnsi="Garamond"/>
          <w:sz w:val="28"/>
          <w:szCs w:val="28"/>
          <w14:textOutline w14:w="9525" w14:cap="rnd" w14:cmpd="sng" w14:algn="ctr">
            <w14:solidFill>
              <w14:schemeClr w14:val="accent1">
                <w14:lumMod w14:val="75000"/>
              </w14:schemeClr>
            </w14:solidFill>
            <w14:prstDash w14:val="solid"/>
            <w14:bevel/>
          </w14:textOutline>
        </w:rPr>
        <w:t>4</w:t>
      </w:r>
      <w:r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 GODINU</w:t>
      </w:r>
    </w:p>
    <w:p w14:paraId="473B625D" w14:textId="77777777" w:rsidR="00DC10AD" w:rsidRPr="003E6974" w:rsidRDefault="00DC10AD" w:rsidP="00DC10AD">
      <w:pPr>
        <w:pStyle w:val="Foo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4C396E1D"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24230B1"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052CE31"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3BD0A1E"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639CBFB"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02534709"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4FD8D87E"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4CF64AC4" w14:textId="77777777" w:rsidR="00DC10AD" w:rsidRPr="003E6974" w:rsidRDefault="00DC10AD" w:rsidP="00DC10AD">
      <w:pPr>
        <w:pStyle w:val="Footer"/>
        <w:rPr>
          <w:rFonts w:ascii="Garamond" w:hAnsi="Garamond"/>
          <w:b/>
          <w:sz w:val="24"/>
          <w:szCs w:val="24"/>
        </w:rPr>
      </w:pPr>
    </w:p>
    <w:p w14:paraId="1F9F2EC0" w14:textId="77777777" w:rsidR="00DC10AD" w:rsidRPr="003E6974" w:rsidRDefault="00DC10AD" w:rsidP="00DC10AD">
      <w:pPr>
        <w:pStyle w:val="Footer"/>
        <w:rPr>
          <w:rFonts w:ascii="Garamond" w:hAnsi="Garamond"/>
          <w:b/>
          <w:sz w:val="24"/>
          <w:szCs w:val="24"/>
        </w:rPr>
      </w:pPr>
    </w:p>
    <w:p w14:paraId="38D144A8" w14:textId="77777777" w:rsidR="00DC10AD" w:rsidRPr="003E6974" w:rsidRDefault="00DC10AD" w:rsidP="00DC10AD">
      <w:pPr>
        <w:pStyle w:val="Footer"/>
        <w:rPr>
          <w:rFonts w:ascii="Garamond" w:hAnsi="Garamond"/>
          <w:b/>
          <w:sz w:val="24"/>
          <w:szCs w:val="24"/>
        </w:rPr>
      </w:pPr>
    </w:p>
    <w:p w14:paraId="4F43B0C1" w14:textId="77777777" w:rsidR="00DC10AD" w:rsidRPr="003E6974" w:rsidRDefault="00DC10AD" w:rsidP="00DC10AD">
      <w:pPr>
        <w:pStyle w:val="Footer"/>
        <w:rPr>
          <w:rFonts w:ascii="Garamond" w:hAnsi="Garamond"/>
          <w:b/>
          <w:sz w:val="24"/>
          <w:szCs w:val="24"/>
        </w:rPr>
      </w:pPr>
    </w:p>
    <w:p w14:paraId="72E0C024" w14:textId="77777777" w:rsidR="00DC10AD" w:rsidRPr="003E6974" w:rsidRDefault="00DC10AD" w:rsidP="00DC10AD">
      <w:pPr>
        <w:pStyle w:val="Footer"/>
        <w:rPr>
          <w:rFonts w:ascii="Garamond" w:hAnsi="Garamond"/>
          <w:b/>
          <w:sz w:val="24"/>
          <w:szCs w:val="24"/>
        </w:rPr>
      </w:pPr>
    </w:p>
    <w:p w14:paraId="333811BA" w14:textId="77777777" w:rsidR="00DC10AD" w:rsidRPr="003E6974" w:rsidRDefault="00DC10AD" w:rsidP="00DC10AD">
      <w:pPr>
        <w:pStyle w:val="Footer"/>
        <w:rPr>
          <w:rFonts w:ascii="Garamond" w:hAnsi="Garamond"/>
          <w:b/>
          <w:sz w:val="24"/>
          <w:szCs w:val="24"/>
        </w:rPr>
      </w:pPr>
    </w:p>
    <w:p w14:paraId="090CCEBC" w14:textId="77777777" w:rsidR="00DC10AD" w:rsidRPr="003E6974" w:rsidRDefault="00DC10AD" w:rsidP="00DC10AD">
      <w:pPr>
        <w:pStyle w:val="Footer"/>
        <w:rPr>
          <w:rFonts w:ascii="Garamond" w:hAnsi="Garamond"/>
          <w:b/>
          <w:sz w:val="24"/>
          <w:szCs w:val="24"/>
        </w:rPr>
      </w:pPr>
    </w:p>
    <w:p w14:paraId="4B63C4AF" w14:textId="77777777" w:rsidR="00DC10AD" w:rsidRPr="003E6974" w:rsidRDefault="00DC10AD" w:rsidP="00DC10AD">
      <w:pPr>
        <w:pStyle w:val="Footer"/>
        <w:rPr>
          <w:rFonts w:ascii="Garamond" w:hAnsi="Garamond"/>
          <w:b/>
          <w:sz w:val="24"/>
          <w:szCs w:val="24"/>
        </w:rPr>
      </w:pPr>
    </w:p>
    <w:p w14:paraId="4D7D44DD" w14:textId="77777777" w:rsidR="00DC10AD" w:rsidRPr="003E6974" w:rsidRDefault="00DC10AD" w:rsidP="00DC10AD">
      <w:pPr>
        <w:pStyle w:val="Footer"/>
        <w:rPr>
          <w:rFonts w:ascii="Garamond" w:hAnsi="Garamond"/>
          <w:b/>
          <w:sz w:val="24"/>
          <w:szCs w:val="24"/>
        </w:rPr>
      </w:pPr>
    </w:p>
    <w:p w14:paraId="59C7C393" w14:textId="77777777" w:rsidR="00DC10AD" w:rsidRPr="003E6974" w:rsidRDefault="00DC10AD" w:rsidP="00DC10AD">
      <w:pPr>
        <w:pStyle w:val="Footer"/>
        <w:suppressAutoHyphens/>
        <w:jc w:val="center"/>
        <w:rPr>
          <w:rFonts w:ascii="Garamond" w:hAnsi="Garamond"/>
          <w:b/>
          <w:sz w:val="24"/>
          <w:szCs w:val="24"/>
        </w:rPr>
      </w:pPr>
    </w:p>
    <w:p w14:paraId="5FA6D0D1" w14:textId="77777777" w:rsidR="00DC10AD" w:rsidRPr="003E6974" w:rsidRDefault="00DC10AD" w:rsidP="00DC10AD">
      <w:pPr>
        <w:pStyle w:val="Footer"/>
        <w:suppressAutoHyphens/>
        <w:jc w:val="center"/>
        <w:rPr>
          <w:rFonts w:ascii="Garamond" w:hAnsi="Garamond"/>
          <w:b/>
          <w:sz w:val="24"/>
          <w:szCs w:val="24"/>
        </w:rPr>
      </w:pPr>
    </w:p>
    <w:p w14:paraId="1DA5C9C7" w14:textId="77777777" w:rsidR="00DC10AD" w:rsidRPr="003E6974" w:rsidRDefault="00DC10AD" w:rsidP="00DC10AD">
      <w:pPr>
        <w:pStyle w:val="Footer"/>
        <w:suppressAutoHyphens/>
        <w:jc w:val="center"/>
        <w:rPr>
          <w:rFonts w:ascii="Garamond" w:hAnsi="Garamond"/>
          <w:b/>
          <w:sz w:val="24"/>
          <w:szCs w:val="24"/>
        </w:rPr>
      </w:pPr>
    </w:p>
    <w:p w14:paraId="7C3AA7B0" w14:textId="77777777" w:rsidR="00DC10AD" w:rsidRPr="003E6974" w:rsidRDefault="00DC10AD" w:rsidP="00DC10AD">
      <w:pPr>
        <w:pStyle w:val="Footer"/>
        <w:suppressAutoHyphens/>
        <w:jc w:val="center"/>
        <w:rPr>
          <w:rFonts w:ascii="Garamond" w:hAnsi="Garamond"/>
          <w:b/>
          <w:sz w:val="24"/>
          <w:szCs w:val="24"/>
        </w:rPr>
      </w:pPr>
    </w:p>
    <w:p w14:paraId="71400751" w14:textId="77777777" w:rsidR="00DC10AD" w:rsidRPr="003E6974" w:rsidRDefault="00DC10AD" w:rsidP="00DC10AD">
      <w:pPr>
        <w:pStyle w:val="Footer"/>
        <w:suppressAutoHyphens/>
        <w:jc w:val="center"/>
        <w:rPr>
          <w:rFonts w:ascii="Garamond" w:hAnsi="Garamond"/>
          <w:b/>
          <w:sz w:val="24"/>
          <w:szCs w:val="24"/>
        </w:rPr>
      </w:pPr>
    </w:p>
    <w:p w14:paraId="40659C59" w14:textId="77777777" w:rsidR="00DC10AD" w:rsidRPr="003E6974" w:rsidRDefault="00DC10AD" w:rsidP="00DC10AD">
      <w:pPr>
        <w:pStyle w:val="Footer"/>
        <w:suppressAutoHyphens/>
        <w:jc w:val="center"/>
        <w:rPr>
          <w:rFonts w:ascii="Garamond" w:hAnsi="Garamond"/>
          <w:b/>
          <w:sz w:val="24"/>
          <w:szCs w:val="24"/>
        </w:rPr>
      </w:pPr>
    </w:p>
    <w:p w14:paraId="152BC7CB" w14:textId="77777777" w:rsidR="003E6974" w:rsidRDefault="003E6974" w:rsidP="00DC10AD">
      <w:pPr>
        <w:pStyle w:val="Footer"/>
        <w:suppressAutoHyphens/>
        <w:jc w:val="center"/>
        <w:rPr>
          <w:rFonts w:ascii="Garamond" w:hAnsi="Garamond"/>
          <w:b/>
          <w:sz w:val="24"/>
          <w:szCs w:val="24"/>
        </w:rPr>
      </w:pPr>
    </w:p>
    <w:p w14:paraId="4B9C78D5" w14:textId="77777777" w:rsidR="003E6974" w:rsidRDefault="003E6974" w:rsidP="00DC10AD">
      <w:pPr>
        <w:pStyle w:val="Footer"/>
        <w:suppressAutoHyphens/>
        <w:jc w:val="center"/>
        <w:rPr>
          <w:rFonts w:ascii="Garamond" w:hAnsi="Garamond"/>
          <w:b/>
          <w:sz w:val="24"/>
          <w:szCs w:val="24"/>
        </w:rPr>
      </w:pPr>
    </w:p>
    <w:p w14:paraId="4CD46529" w14:textId="77777777" w:rsidR="003E6974" w:rsidRDefault="003E6974" w:rsidP="00DC10AD">
      <w:pPr>
        <w:pStyle w:val="Footer"/>
        <w:suppressAutoHyphens/>
        <w:jc w:val="center"/>
        <w:rPr>
          <w:rFonts w:ascii="Garamond" w:hAnsi="Garamond"/>
          <w:b/>
          <w:sz w:val="24"/>
          <w:szCs w:val="24"/>
        </w:rPr>
      </w:pPr>
    </w:p>
    <w:p w14:paraId="0B39B150" w14:textId="33109D55" w:rsidR="00DC10AD" w:rsidRPr="003E6974" w:rsidRDefault="00ED2433" w:rsidP="00DC10AD">
      <w:pPr>
        <w:pStyle w:val="Footer"/>
        <w:suppressAutoHyphens/>
        <w:jc w:val="center"/>
        <w:rPr>
          <w:rFonts w:ascii="Garamond" w:hAnsi="Garamond"/>
          <w:b/>
          <w:sz w:val="24"/>
          <w:szCs w:val="24"/>
        </w:rPr>
      </w:pPr>
      <w:r w:rsidRPr="003E6974">
        <w:rPr>
          <w:rFonts w:ascii="Garamond" w:hAnsi="Garamond"/>
          <w:b/>
          <w:sz w:val="24"/>
          <w:szCs w:val="24"/>
        </w:rPr>
        <w:t>Mart</w:t>
      </w:r>
      <w:r w:rsidR="00AC21CD" w:rsidRPr="003E6974">
        <w:rPr>
          <w:rFonts w:ascii="Garamond" w:hAnsi="Garamond"/>
          <w:b/>
          <w:sz w:val="24"/>
          <w:szCs w:val="24"/>
        </w:rPr>
        <w:t>, 202</w:t>
      </w:r>
      <w:r w:rsidR="00944889">
        <w:rPr>
          <w:rFonts w:ascii="Garamond" w:hAnsi="Garamond"/>
          <w:b/>
          <w:sz w:val="24"/>
          <w:szCs w:val="24"/>
        </w:rPr>
        <w:t>5</w:t>
      </w:r>
      <w:r w:rsidR="00DC10AD" w:rsidRPr="003E6974">
        <w:rPr>
          <w:rFonts w:ascii="Garamond" w:hAnsi="Garamond"/>
          <w:b/>
          <w:sz w:val="24"/>
          <w:szCs w:val="24"/>
        </w:rPr>
        <w:t>. godine</w:t>
      </w:r>
    </w:p>
    <w:p w14:paraId="3F53EE41" w14:textId="174AA38F" w:rsidR="00ED2433" w:rsidRDefault="00D104B7" w:rsidP="00D104B7">
      <w:pPr>
        <w:pStyle w:val="Footer"/>
        <w:suppressAutoHyphens/>
        <w:jc w:val="both"/>
        <w:rPr>
          <w:rFonts w:ascii="Garamond" w:hAnsi="Garamond"/>
          <w:b/>
          <w:sz w:val="24"/>
          <w:szCs w:val="24"/>
        </w:rPr>
      </w:pPr>
      <w:r w:rsidRPr="003E6974">
        <w:rPr>
          <w:rFonts w:ascii="Garamond" w:hAnsi="Garamond"/>
          <w:b/>
          <w:sz w:val="24"/>
          <w:szCs w:val="24"/>
        </w:rPr>
        <w:lastRenderedPageBreak/>
        <w:t>Shodno članu 25 Zakona o budžetu i fiskalnoj odgovornosti, Ministarstvo finansija</w:t>
      </w:r>
      <w:r w:rsidR="00CC434E" w:rsidRPr="003E6974">
        <w:rPr>
          <w:rFonts w:ascii="Garamond" w:hAnsi="Garamond"/>
          <w:b/>
          <w:sz w:val="24"/>
          <w:szCs w:val="24"/>
        </w:rPr>
        <w:t xml:space="preserve"> </w:t>
      </w:r>
      <w:r w:rsidR="0019796A">
        <w:rPr>
          <w:rFonts w:ascii="Garamond" w:hAnsi="Garamond"/>
          <w:b/>
          <w:sz w:val="24"/>
          <w:szCs w:val="24"/>
        </w:rPr>
        <w:t>priprema i objavljuje I</w:t>
      </w:r>
      <w:r w:rsidRPr="003E6974">
        <w:rPr>
          <w:rFonts w:ascii="Garamond" w:hAnsi="Garamond"/>
          <w:b/>
          <w:sz w:val="24"/>
          <w:szCs w:val="24"/>
        </w:rPr>
        <w:t>zvještaj o preliminarnim nivoima budžetskog gotovinskog suficita, odnosno deficita, javnog duga i neto zaduženja iz člana 20 stav 2 ovog zakona u roku od 90 dana, od isteka fiskalne godine na svojoj internet stranici.</w:t>
      </w:r>
    </w:p>
    <w:p w14:paraId="257153B5" w14:textId="77777777" w:rsidR="00A54C57" w:rsidRDefault="00A54C57" w:rsidP="00D104B7">
      <w:pPr>
        <w:pStyle w:val="Footer"/>
        <w:suppressAutoHyphens/>
        <w:jc w:val="both"/>
        <w:rPr>
          <w:rFonts w:ascii="Garamond" w:hAnsi="Garamond"/>
          <w:b/>
          <w:sz w:val="24"/>
          <w:szCs w:val="24"/>
        </w:rPr>
      </w:pPr>
    </w:p>
    <w:p w14:paraId="261EDEAB" w14:textId="0D8208E4" w:rsidR="0066351C" w:rsidRDefault="00C47843" w:rsidP="00D104B7">
      <w:pPr>
        <w:pStyle w:val="Footer"/>
        <w:suppressAutoHyphens/>
        <w:jc w:val="both"/>
        <w:rPr>
          <w:rFonts w:ascii="Garamond" w:hAnsi="Garamond"/>
          <w:b/>
          <w:sz w:val="24"/>
          <w:szCs w:val="24"/>
        </w:rPr>
      </w:pPr>
      <w:r w:rsidRPr="00C47843">
        <w:rPr>
          <w:rFonts w:ascii="Garamond" w:hAnsi="Garamond"/>
          <w:b/>
          <w:sz w:val="24"/>
          <w:szCs w:val="24"/>
        </w:rPr>
        <w:t>Izvještaj o preliminarnim nivoima budžetskog gotovinskog suficita, odnosno deficita, javnog duga i neto zaduženja</w:t>
      </w:r>
      <w:r>
        <w:rPr>
          <w:rFonts w:ascii="Garamond" w:hAnsi="Garamond"/>
          <w:b/>
          <w:sz w:val="24"/>
          <w:szCs w:val="24"/>
        </w:rPr>
        <w:t xml:space="preserve"> je u skl</w:t>
      </w:r>
      <w:r w:rsidR="00F64509">
        <w:rPr>
          <w:rFonts w:ascii="Garamond" w:hAnsi="Garamond"/>
          <w:b/>
          <w:sz w:val="24"/>
          <w:szCs w:val="24"/>
        </w:rPr>
        <w:t xml:space="preserve">adu sa </w:t>
      </w:r>
      <w:r w:rsidR="0072206F">
        <w:rPr>
          <w:rFonts w:ascii="Garamond" w:hAnsi="Garamond"/>
          <w:b/>
          <w:sz w:val="24"/>
          <w:szCs w:val="24"/>
        </w:rPr>
        <w:t xml:space="preserve">preliminarnim podacima </w:t>
      </w:r>
      <w:r w:rsidR="00F64509">
        <w:rPr>
          <w:rFonts w:ascii="Garamond" w:hAnsi="Garamond"/>
          <w:b/>
          <w:sz w:val="24"/>
          <w:szCs w:val="24"/>
        </w:rPr>
        <w:t>objavljen</w:t>
      </w:r>
      <w:r w:rsidR="0072206F">
        <w:rPr>
          <w:rFonts w:ascii="Garamond" w:hAnsi="Garamond"/>
          <w:b/>
          <w:sz w:val="24"/>
          <w:szCs w:val="24"/>
        </w:rPr>
        <w:t xml:space="preserve">im u sklopu </w:t>
      </w:r>
      <w:r w:rsidR="00A54C57">
        <w:rPr>
          <w:rFonts w:ascii="Garamond" w:hAnsi="Garamond"/>
          <w:b/>
          <w:sz w:val="24"/>
          <w:szCs w:val="24"/>
        </w:rPr>
        <w:t>Analiz</w:t>
      </w:r>
      <w:r w:rsidR="0072206F">
        <w:rPr>
          <w:rFonts w:ascii="Garamond" w:hAnsi="Garamond"/>
          <w:b/>
          <w:sz w:val="24"/>
          <w:szCs w:val="24"/>
        </w:rPr>
        <w:t>e</w:t>
      </w:r>
      <w:r w:rsidR="00A54C57">
        <w:rPr>
          <w:rFonts w:ascii="Garamond" w:hAnsi="Garamond"/>
          <w:b/>
          <w:sz w:val="24"/>
          <w:szCs w:val="24"/>
        </w:rPr>
        <w:t xml:space="preserve"> konsolidovane javne potrošnje za IV kvartal 2024. godine uz dodatak </w:t>
      </w:r>
      <w:r w:rsidR="00753487">
        <w:rPr>
          <w:rFonts w:ascii="Garamond" w:hAnsi="Garamond"/>
          <w:b/>
          <w:sz w:val="24"/>
          <w:szCs w:val="24"/>
        </w:rPr>
        <w:t xml:space="preserve">izvještaja o javnom dugu </w:t>
      </w:r>
      <w:r w:rsidR="00A54C57">
        <w:rPr>
          <w:rFonts w:ascii="Garamond" w:hAnsi="Garamond"/>
          <w:b/>
          <w:sz w:val="24"/>
          <w:szCs w:val="24"/>
        </w:rPr>
        <w:t>i ažuriranja u dijelu preliminarnog</w:t>
      </w:r>
      <w:r w:rsidR="00A54C57" w:rsidRPr="00A54C57">
        <w:rPr>
          <w:rFonts w:ascii="Garamond" w:hAnsi="Garamond"/>
          <w:b/>
          <w:sz w:val="24"/>
          <w:szCs w:val="24"/>
        </w:rPr>
        <w:t xml:space="preserve"> obračun</w:t>
      </w:r>
      <w:r w:rsidR="00753487">
        <w:rPr>
          <w:rFonts w:ascii="Garamond" w:hAnsi="Garamond"/>
          <w:b/>
          <w:sz w:val="24"/>
          <w:szCs w:val="24"/>
        </w:rPr>
        <w:t>a</w:t>
      </w:r>
      <w:r w:rsidR="00A54C57" w:rsidRPr="00A54C57">
        <w:rPr>
          <w:rFonts w:ascii="Garamond" w:hAnsi="Garamond"/>
          <w:b/>
          <w:sz w:val="24"/>
          <w:szCs w:val="24"/>
        </w:rPr>
        <w:t xml:space="preserve"> kvartalnog BDP-a za četvrti kvartal 2024. godine objavljen</w:t>
      </w:r>
      <w:r w:rsidR="00A54C57">
        <w:rPr>
          <w:rFonts w:ascii="Garamond" w:hAnsi="Garamond"/>
          <w:b/>
          <w:sz w:val="24"/>
          <w:szCs w:val="24"/>
        </w:rPr>
        <w:t>og</w:t>
      </w:r>
      <w:r w:rsidR="00A54C57" w:rsidRPr="00A54C57">
        <w:rPr>
          <w:rFonts w:ascii="Garamond" w:hAnsi="Garamond"/>
          <w:b/>
          <w:sz w:val="24"/>
          <w:szCs w:val="24"/>
        </w:rPr>
        <w:t xml:space="preserve">  na internet stranici Uprave za statistiku 07.03.2025. godine</w:t>
      </w:r>
      <w:r w:rsidR="0072206F">
        <w:rPr>
          <w:rFonts w:ascii="Garamond" w:hAnsi="Garamond"/>
          <w:b/>
          <w:sz w:val="24"/>
          <w:szCs w:val="24"/>
        </w:rPr>
        <w:t>.</w:t>
      </w:r>
    </w:p>
    <w:p w14:paraId="509BCFAB" w14:textId="047ABFD9" w:rsidR="008215A5" w:rsidRDefault="008215A5" w:rsidP="00D104B7">
      <w:pPr>
        <w:pStyle w:val="Footer"/>
        <w:suppressAutoHyphens/>
        <w:jc w:val="both"/>
        <w:rPr>
          <w:rFonts w:ascii="Garamond" w:hAnsi="Garamond"/>
          <w:b/>
          <w:sz w:val="28"/>
          <w:szCs w:val="24"/>
        </w:rPr>
      </w:pPr>
    </w:p>
    <w:p w14:paraId="3BF6D70F" w14:textId="2F317D99" w:rsidR="00EB4D07" w:rsidRDefault="008215A5" w:rsidP="00D104B7">
      <w:pPr>
        <w:pStyle w:val="Footer"/>
        <w:suppressAutoHyphens/>
        <w:jc w:val="both"/>
        <w:rPr>
          <w:rFonts w:ascii="Garamond" w:hAnsi="Garamond"/>
          <w:b/>
          <w:sz w:val="24"/>
          <w:szCs w:val="24"/>
        </w:rPr>
      </w:pPr>
      <w:r w:rsidRPr="00EB4D07">
        <w:rPr>
          <w:rFonts w:ascii="Garamond" w:hAnsi="Garamond"/>
          <w:b/>
          <w:sz w:val="24"/>
          <w:szCs w:val="24"/>
        </w:rPr>
        <w:t>Podaci su preliminarni</w:t>
      </w:r>
      <w:r w:rsidR="00D7178F">
        <w:rPr>
          <w:rFonts w:ascii="Garamond" w:hAnsi="Garamond"/>
          <w:b/>
          <w:sz w:val="24"/>
          <w:szCs w:val="24"/>
        </w:rPr>
        <w:t>,</w:t>
      </w:r>
      <w:r w:rsidRPr="00EB4D07">
        <w:rPr>
          <w:rFonts w:ascii="Garamond" w:hAnsi="Garamond"/>
          <w:b/>
          <w:sz w:val="24"/>
          <w:szCs w:val="24"/>
        </w:rPr>
        <w:t xml:space="preserve"> </w:t>
      </w:r>
      <w:r w:rsidR="00D7178F" w:rsidRPr="00D7178F">
        <w:rPr>
          <w:rFonts w:ascii="Garamond" w:hAnsi="Garamond"/>
          <w:b/>
          <w:sz w:val="24"/>
          <w:szCs w:val="24"/>
        </w:rPr>
        <w:t>dok će konačni podaci za 2024. godinu biti sastavni dio Zakona o završnom računu budžeta Crne Gore za 2024. godinu.</w:t>
      </w:r>
    </w:p>
    <w:p w14:paraId="18AC1C58" w14:textId="77777777" w:rsidR="00D7178F" w:rsidRPr="00EB4D07" w:rsidRDefault="00D7178F" w:rsidP="00D104B7">
      <w:pPr>
        <w:pStyle w:val="Footer"/>
        <w:suppressAutoHyphens/>
        <w:jc w:val="both"/>
        <w:rPr>
          <w:rFonts w:ascii="Garamond" w:hAnsi="Garamond"/>
          <w:b/>
          <w:sz w:val="24"/>
          <w:szCs w:val="24"/>
        </w:rPr>
      </w:pPr>
    </w:p>
    <w:p w14:paraId="67ECC42A" w14:textId="77777777" w:rsidR="00090721" w:rsidRPr="001B1CA6" w:rsidRDefault="00090721" w:rsidP="0066351C">
      <w:pPr>
        <w:numPr>
          <w:ilvl w:val="1"/>
          <w:numId w:val="0"/>
        </w:numPr>
        <w:spacing w:before="120" w:after="240" w:line="240" w:lineRule="auto"/>
        <w:jc w:val="both"/>
        <w:rPr>
          <w:rFonts w:ascii="Garamond" w:eastAsia="Times New Roman" w:hAnsi="Garamond" w:cs="Times New Roman"/>
          <w:iCs/>
          <w:color w:val="548DD4"/>
          <w:spacing w:val="15"/>
          <w:sz w:val="24"/>
          <w:szCs w:val="24"/>
        </w:rPr>
      </w:pPr>
      <w:r w:rsidRPr="001B1CA6">
        <w:rPr>
          <w:rFonts w:ascii="Garamond" w:eastAsia="Times New Roman" w:hAnsi="Garamond" w:cs="Times New Roman"/>
          <w:iCs/>
          <w:color w:val="548DD4"/>
          <w:spacing w:val="15"/>
          <w:sz w:val="24"/>
          <w:szCs w:val="24"/>
        </w:rPr>
        <w:t>JAVNE FINANSIJE</w:t>
      </w:r>
    </w:p>
    <w:p w14:paraId="6DEDED3C" w14:textId="6F51D7C4" w:rsidR="00BF056B" w:rsidRDefault="00BF056B" w:rsidP="00BF056B">
      <w:pPr>
        <w:jc w:val="both"/>
        <w:rPr>
          <w:rFonts w:ascii="Garamond" w:hAnsi="Garamond"/>
          <w:sz w:val="24"/>
          <w:szCs w:val="24"/>
        </w:rPr>
      </w:pPr>
      <w:r w:rsidRPr="00F16719">
        <w:rPr>
          <w:rFonts w:ascii="Garamond" w:hAnsi="Garamond"/>
          <w:b/>
          <w:sz w:val="24"/>
          <w:szCs w:val="24"/>
        </w:rPr>
        <w:t>Javni prihodi</w:t>
      </w:r>
      <w:r w:rsidRPr="00F16719">
        <w:rPr>
          <w:rFonts w:ascii="Garamond" w:hAnsi="Garamond"/>
          <w:sz w:val="24"/>
          <w:szCs w:val="24"/>
        </w:rPr>
        <w:t> u 202</w:t>
      </w:r>
      <w:r>
        <w:rPr>
          <w:rFonts w:ascii="Garamond" w:hAnsi="Garamond"/>
          <w:sz w:val="24"/>
          <w:szCs w:val="24"/>
        </w:rPr>
        <w:t>4</w:t>
      </w:r>
      <w:r w:rsidRPr="00F16719">
        <w:rPr>
          <w:rFonts w:ascii="Garamond" w:hAnsi="Garamond"/>
          <w:sz w:val="24"/>
          <w:szCs w:val="24"/>
        </w:rPr>
        <w:t>. godin</w:t>
      </w:r>
      <w:r>
        <w:rPr>
          <w:rFonts w:ascii="Garamond" w:hAnsi="Garamond"/>
          <w:sz w:val="24"/>
          <w:szCs w:val="24"/>
        </w:rPr>
        <w:t>i</w:t>
      </w:r>
      <w:r w:rsidRPr="00F16719">
        <w:rPr>
          <w:rFonts w:ascii="Garamond" w:hAnsi="Garamond"/>
          <w:sz w:val="24"/>
          <w:szCs w:val="24"/>
        </w:rPr>
        <w:t xml:space="preserve"> iznosili su </w:t>
      </w:r>
      <w:r>
        <w:rPr>
          <w:rFonts w:ascii="Garamond" w:hAnsi="Garamond"/>
          <w:sz w:val="24"/>
          <w:szCs w:val="24"/>
        </w:rPr>
        <w:t xml:space="preserve"> 3.188,7 </w:t>
      </w:r>
      <w:r w:rsidRPr="00F16719">
        <w:rPr>
          <w:rFonts w:ascii="Garamond" w:hAnsi="Garamond"/>
          <w:sz w:val="24"/>
          <w:szCs w:val="24"/>
        </w:rPr>
        <w:t xml:space="preserve">mil. € ili </w:t>
      </w:r>
      <w:r>
        <w:rPr>
          <w:rFonts w:ascii="Garamond" w:hAnsi="Garamond"/>
          <w:sz w:val="24"/>
          <w:szCs w:val="24"/>
        </w:rPr>
        <w:t>42,7</w:t>
      </w:r>
      <w:r w:rsidRPr="00F16719">
        <w:rPr>
          <w:rFonts w:ascii="Garamond" w:hAnsi="Garamond"/>
          <w:sz w:val="24"/>
          <w:szCs w:val="24"/>
        </w:rPr>
        <w:t xml:space="preserve">% </w:t>
      </w:r>
      <w:r>
        <w:rPr>
          <w:rFonts w:ascii="Garamond" w:hAnsi="Garamond"/>
          <w:sz w:val="24"/>
          <w:szCs w:val="24"/>
        </w:rPr>
        <w:t>preliminarnog</w:t>
      </w:r>
      <w:r w:rsidRPr="00F16719">
        <w:rPr>
          <w:rFonts w:ascii="Garamond" w:hAnsi="Garamond"/>
          <w:sz w:val="24"/>
          <w:szCs w:val="24"/>
        </w:rPr>
        <w:t xml:space="preserve"> BDP-</w:t>
      </w:r>
      <w:r w:rsidRPr="0002466D">
        <w:rPr>
          <w:rFonts w:ascii="Garamond" w:hAnsi="Garamond"/>
          <w:sz w:val="24"/>
          <w:szCs w:val="24"/>
        </w:rPr>
        <w:t>a (7.459,2 mil</w:t>
      </w:r>
      <w:r w:rsidRPr="00F16719">
        <w:rPr>
          <w:rFonts w:ascii="Garamond" w:hAnsi="Garamond"/>
          <w:sz w:val="24"/>
          <w:szCs w:val="24"/>
        </w:rPr>
        <w:t>. €)</w:t>
      </w:r>
      <w:r>
        <w:rPr>
          <w:rStyle w:val="FootnoteReference"/>
          <w:rFonts w:ascii="Garamond" w:hAnsi="Garamond"/>
          <w:sz w:val="24"/>
          <w:szCs w:val="24"/>
        </w:rPr>
        <w:footnoteReference w:id="1"/>
      </w:r>
      <w:r w:rsidRPr="00F16719">
        <w:rPr>
          <w:rFonts w:ascii="Garamond" w:hAnsi="Garamond"/>
          <w:sz w:val="24"/>
          <w:szCs w:val="24"/>
        </w:rPr>
        <w:t xml:space="preserve"> i u odnosu na planirane veći su za </w:t>
      </w:r>
      <w:r>
        <w:rPr>
          <w:rFonts w:ascii="Garamond" w:hAnsi="Garamond"/>
          <w:sz w:val="24"/>
          <w:szCs w:val="24"/>
        </w:rPr>
        <w:t xml:space="preserve">26,5 </w:t>
      </w:r>
      <w:r w:rsidRPr="00F16719">
        <w:rPr>
          <w:rFonts w:ascii="Garamond" w:hAnsi="Garamond"/>
          <w:sz w:val="24"/>
          <w:szCs w:val="24"/>
        </w:rPr>
        <w:t>mil. € ili</w:t>
      </w:r>
      <w:r>
        <w:rPr>
          <w:rFonts w:ascii="Garamond" w:hAnsi="Garamond"/>
          <w:sz w:val="24"/>
          <w:szCs w:val="24"/>
        </w:rPr>
        <w:t xml:space="preserve"> 0,8</w:t>
      </w:r>
      <w:r w:rsidRPr="00F16719">
        <w:rPr>
          <w:rFonts w:ascii="Garamond" w:hAnsi="Garamond"/>
          <w:sz w:val="24"/>
          <w:szCs w:val="24"/>
        </w:rPr>
        <w:t>%. U odnosu na isti period 202</w:t>
      </w:r>
      <w:r>
        <w:rPr>
          <w:rFonts w:ascii="Garamond" w:hAnsi="Garamond"/>
          <w:sz w:val="24"/>
          <w:szCs w:val="24"/>
        </w:rPr>
        <w:t>3</w:t>
      </w:r>
      <w:r w:rsidRPr="00F16719">
        <w:rPr>
          <w:rFonts w:ascii="Garamond" w:hAnsi="Garamond"/>
          <w:sz w:val="24"/>
          <w:szCs w:val="24"/>
        </w:rPr>
        <w:t xml:space="preserve">. godine, javni prihodi su veći za </w:t>
      </w:r>
      <w:r>
        <w:rPr>
          <w:rFonts w:ascii="Garamond" w:hAnsi="Garamond"/>
          <w:sz w:val="24"/>
          <w:szCs w:val="24"/>
        </w:rPr>
        <w:t xml:space="preserve">247,3 </w:t>
      </w:r>
      <w:r w:rsidRPr="00F16719">
        <w:rPr>
          <w:rFonts w:ascii="Garamond" w:hAnsi="Garamond"/>
          <w:sz w:val="24"/>
          <w:szCs w:val="24"/>
        </w:rPr>
        <w:t xml:space="preserve">mil. € ili </w:t>
      </w:r>
      <w:r>
        <w:rPr>
          <w:rFonts w:ascii="Garamond" w:hAnsi="Garamond"/>
          <w:sz w:val="24"/>
          <w:szCs w:val="24"/>
        </w:rPr>
        <w:t>8,4</w:t>
      </w:r>
      <w:r w:rsidRPr="00F16719">
        <w:rPr>
          <w:rFonts w:ascii="Garamond" w:hAnsi="Garamond"/>
          <w:sz w:val="24"/>
          <w:szCs w:val="24"/>
        </w:rPr>
        <w:t>%.</w:t>
      </w:r>
    </w:p>
    <w:p w14:paraId="7BB80638" w14:textId="73FD3C5C" w:rsidR="00F85E20" w:rsidRPr="00454728" w:rsidRDefault="00F85E20" w:rsidP="00F85E20">
      <w:pPr>
        <w:jc w:val="both"/>
        <w:rPr>
          <w:rFonts w:ascii="Garamond" w:hAnsi="Garamond"/>
          <w:sz w:val="24"/>
          <w:szCs w:val="24"/>
        </w:rPr>
      </w:pPr>
      <w:r w:rsidRPr="00454728">
        <w:rPr>
          <w:rFonts w:ascii="Garamond" w:hAnsi="Garamond"/>
          <w:b/>
          <w:sz w:val="24"/>
          <w:szCs w:val="24"/>
        </w:rPr>
        <w:t>Javna potrošnja</w:t>
      </w:r>
      <w:r w:rsidRPr="00454728">
        <w:rPr>
          <w:rFonts w:ascii="Garamond" w:hAnsi="Garamond"/>
          <w:sz w:val="24"/>
          <w:szCs w:val="24"/>
        </w:rPr>
        <w:t> u 2024. godin</w:t>
      </w:r>
      <w:r>
        <w:rPr>
          <w:rFonts w:ascii="Garamond" w:hAnsi="Garamond"/>
          <w:sz w:val="24"/>
          <w:szCs w:val="24"/>
        </w:rPr>
        <w:t>i</w:t>
      </w:r>
      <w:r w:rsidRPr="00454728">
        <w:rPr>
          <w:rFonts w:ascii="Garamond" w:hAnsi="Garamond"/>
          <w:sz w:val="24"/>
          <w:szCs w:val="24"/>
        </w:rPr>
        <w:t xml:space="preserve"> iznosila je 3.423,4 mil. € ili 4</w:t>
      </w:r>
      <w:r>
        <w:rPr>
          <w:rFonts w:ascii="Garamond" w:hAnsi="Garamond"/>
          <w:sz w:val="24"/>
          <w:szCs w:val="24"/>
        </w:rPr>
        <w:t>5</w:t>
      </w:r>
      <w:r w:rsidRPr="00454728">
        <w:rPr>
          <w:rFonts w:ascii="Garamond" w:hAnsi="Garamond"/>
          <w:sz w:val="24"/>
          <w:szCs w:val="24"/>
        </w:rPr>
        <w:t>,</w:t>
      </w:r>
      <w:r>
        <w:rPr>
          <w:rFonts w:ascii="Garamond" w:hAnsi="Garamond"/>
          <w:sz w:val="24"/>
          <w:szCs w:val="24"/>
        </w:rPr>
        <w:t>9</w:t>
      </w:r>
      <w:r w:rsidRPr="00454728">
        <w:rPr>
          <w:rFonts w:ascii="Garamond" w:hAnsi="Garamond"/>
          <w:sz w:val="24"/>
          <w:szCs w:val="24"/>
        </w:rPr>
        <w:t>% BDP-a i veća je za 23,7 mil. € ili 0,7% u odnosu na planiranu, dok je u odnosu na prethodnu godinu veća za 523,9 mil. € ili 18,1%.</w:t>
      </w:r>
    </w:p>
    <w:p w14:paraId="31CF608E" w14:textId="5BF8D50B" w:rsidR="00F85E20" w:rsidRPr="00F16719" w:rsidRDefault="00F85E20" w:rsidP="00BF056B">
      <w:pPr>
        <w:jc w:val="both"/>
        <w:rPr>
          <w:rFonts w:ascii="Garamond" w:hAnsi="Garamond"/>
          <w:sz w:val="24"/>
          <w:szCs w:val="24"/>
        </w:rPr>
      </w:pPr>
      <w:r w:rsidRPr="00454728">
        <w:rPr>
          <w:rFonts w:ascii="Garamond" w:eastAsia="Times New Roman" w:hAnsi="Garamond" w:cs="Arial"/>
          <w:b/>
          <w:bCs/>
          <w:sz w:val="24"/>
          <w:szCs w:val="24"/>
          <w:lang w:eastAsia="sr-Latn-RS"/>
        </w:rPr>
        <w:t>Polazeći od kretanja prihoda i rashoda, u 2024. godin</w:t>
      </w:r>
      <w:r w:rsidR="00535662">
        <w:rPr>
          <w:rFonts w:ascii="Garamond" w:eastAsia="Times New Roman" w:hAnsi="Garamond" w:cs="Arial"/>
          <w:b/>
          <w:bCs/>
          <w:sz w:val="24"/>
          <w:szCs w:val="24"/>
          <w:lang w:eastAsia="sr-Latn-RS"/>
        </w:rPr>
        <w:t>i</w:t>
      </w:r>
      <w:r w:rsidRPr="00454728">
        <w:rPr>
          <w:rFonts w:ascii="Garamond" w:eastAsia="Times New Roman" w:hAnsi="Garamond" w:cs="Arial"/>
          <w:b/>
          <w:bCs/>
          <w:sz w:val="24"/>
          <w:szCs w:val="24"/>
          <w:lang w:eastAsia="sr-Latn-RS"/>
        </w:rPr>
        <w:t>, ostvaren je deficit javnih finansija</w:t>
      </w:r>
      <w:r w:rsidRPr="00454728">
        <w:rPr>
          <w:rFonts w:ascii="Garamond" w:eastAsia="Times New Roman" w:hAnsi="Garamond" w:cs="Arial"/>
          <w:sz w:val="24"/>
          <w:szCs w:val="24"/>
          <w:lang w:eastAsia="sr-Latn-RS"/>
        </w:rPr>
        <w:t xml:space="preserve"> u iznosu od 234,</w:t>
      </w:r>
      <w:r>
        <w:rPr>
          <w:rFonts w:ascii="Garamond" w:eastAsia="Times New Roman" w:hAnsi="Garamond" w:cs="Arial"/>
          <w:sz w:val="24"/>
          <w:szCs w:val="24"/>
          <w:lang w:eastAsia="sr-Latn-RS"/>
        </w:rPr>
        <w:t>7</w:t>
      </w:r>
      <w:r w:rsidRPr="00454728">
        <w:rPr>
          <w:rFonts w:ascii="Garamond" w:eastAsia="Times New Roman" w:hAnsi="Garamond" w:cs="Arial"/>
          <w:sz w:val="24"/>
          <w:szCs w:val="24"/>
          <w:lang w:eastAsia="sr-Latn-RS"/>
        </w:rPr>
        <w:t xml:space="preserve"> mil. € ili 3,</w:t>
      </w:r>
      <w:r>
        <w:rPr>
          <w:rFonts w:ascii="Garamond" w:eastAsia="Times New Roman" w:hAnsi="Garamond" w:cs="Arial"/>
          <w:sz w:val="24"/>
          <w:szCs w:val="24"/>
          <w:lang w:eastAsia="sr-Latn-RS"/>
        </w:rPr>
        <w:t>1</w:t>
      </w:r>
      <w:r w:rsidRPr="00454728">
        <w:rPr>
          <w:rFonts w:ascii="Garamond" w:eastAsia="Times New Roman" w:hAnsi="Garamond" w:cs="Arial"/>
          <w:sz w:val="24"/>
          <w:szCs w:val="24"/>
          <w:lang w:eastAsia="sr-Latn-RS"/>
        </w:rPr>
        <w:t>% BDP-a.</w:t>
      </w:r>
    </w:p>
    <w:p w14:paraId="5BC1B60C" w14:textId="77777777" w:rsidR="00090721" w:rsidRPr="0066351C" w:rsidRDefault="00090721" w:rsidP="0066351C">
      <w:pPr>
        <w:numPr>
          <w:ilvl w:val="1"/>
          <w:numId w:val="0"/>
        </w:numPr>
        <w:spacing w:before="240" w:after="120"/>
        <w:jc w:val="both"/>
        <w:rPr>
          <w:rFonts w:ascii="Garamond" w:hAnsi="Garamond"/>
          <w:color w:val="548DD4"/>
          <w:spacing w:val="15"/>
          <w:sz w:val="24"/>
          <w:shd w:val="clear" w:color="auto" w:fill="FFFFFF"/>
        </w:rPr>
      </w:pPr>
      <w:r w:rsidRPr="0066351C">
        <w:rPr>
          <w:rFonts w:ascii="Garamond" w:hAnsi="Garamond"/>
          <w:color w:val="548DD4"/>
          <w:spacing w:val="15"/>
          <w:sz w:val="24"/>
          <w:shd w:val="clear" w:color="auto" w:fill="FFFFFF"/>
        </w:rPr>
        <w:t>BUDŽET CRNE GORE</w:t>
      </w:r>
    </w:p>
    <w:p w14:paraId="516C848C" w14:textId="77777777" w:rsidR="0072206F" w:rsidRDefault="0072206F" w:rsidP="0072206F">
      <w:pPr>
        <w:jc w:val="both"/>
        <w:rPr>
          <w:rFonts w:ascii="Garamond" w:eastAsia="Calibri" w:hAnsi="Garamond" w:cs="Times New Roman"/>
          <w:sz w:val="24"/>
          <w:szCs w:val="24"/>
        </w:rPr>
      </w:pPr>
      <w:r w:rsidRPr="003D3D23">
        <w:rPr>
          <w:rFonts w:ascii="Garamond" w:eastAsia="Calibri" w:hAnsi="Garamond" w:cs="Times New Roman"/>
          <w:sz w:val="24"/>
          <w:szCs w:val="24"/>
        </w:rPr>
        <w:t>Tokom 202</w:t>
      </w:r>
      <w:r>
        <w:rPr>
          <w:rFonts w:ascii="Garamond" w:eastAsia="Calibri" w:hAnsi="Garamond" w:cs="Times New Roman"/>
          <w:sz w:val="24"/>
          <w:szCs w:val="24"/>
        </w:rPr>
        <w:t>4</w:t>
      </w:r>
      <w:r w:rsidRPr="003D3D23">
        <w:rPr>
          <w:rFonts w:ascii="Garamond" w:eastAsia="Calibri" w:hAnsi="Garamond" w:cs="Times New Roman"/>
          <w:sz w:val="24"/>
          <w:szCs w:val="24"/>
        </w:rPr>
        <w:t xml:space="preserve">. godine zabilježen je </w:t>
      </w:r>
      <w:r>
        <w:rPr>
          <w:rFonts w:ascii="Garamond" w:eastAsia="Calibri" w:hAnsi="Garamond" w:cs="Times New Roman"/>
          <w:sz w:val="24"/>
          <w:szCs w:val="24"/>
        </w:rPr>
        <w:t>kontinuirani</w:t>
      </w:r>
      <w:r w:rsidRPr="003D3D23">
        <w:rPr>
          <w:rFonts w:ascii="Garamond" w:eastAsia="Calibri" w:hAnsi="Garamond" w:cs="Times New Roman"/>
          <w:sz w:val="24"/>
          <w:szCs w:val="24"/>
        </w:rPr>
        <w:t xml:space="preserve"> rast budžetskih prihoda. </w:t>
      </w:r>
      <w:r>
        <w:rPr>
          <w:rFonts w:ascii="Garamond" w:eastAsia="Calibri" w:hAnsi="Garamond" w:cs="Times New Roman"/>
          <w:sz w:val="24"/>
          <w:szCs w:val="24"/>
        </w:rPr>
        <w:t>R</w:t>
      </w:r>
      <w:r w:rsidRPr="004D0F8E">
        <w:rPr>
          <w:rFonts w:ascii="Garamond" w:eastAsia="Calibri" w:hAnsi="Garamond" w:cs="Times New Roman"/>
          <w:sz w:val="24"/>
          <w:szCs w:val="24"/>
        </w:rPr>
        <w:t>ast prihoda budžeta u najvećoj mjeri je odraz rasta ekonomske aktivnosti u zemlji, kao i rasta životnog standarda stanovništva, a dominantno usljed rasta raspoloživog dohotka.</w:t>
      </w:r>
    </w:p>
    <w:p w14:paraId="4B25CDB8" w14:textId="77777777" w:rsidR="0072206F" w:rsidRPr="00F46820" w:rsidRDefault="0072206F" w:rsidP="0072206F">
      <w:pPr>
        <w:shd w:val="clear" w:color="auto" w:fill="FFFFFF"/>
        <w:spacing w:after="0" w:line="240" w:lineRule="auto"/>
        <w:jc w:val="both"/>
        <w:rPr>
          <w:rFonts w:ascii="Garamond" w:hAnsi="Garamond" w:cstheme="minorHAnsi"/>
          <w:sz w:val="24"/>
          <w:szCs w:val="24"/>
        </w:rPr>
      </w:pPr>
      <w:r>
        <w:rPr>
          <w:rFonts w:ascii="Garamond" w:hAnsi="Garamond" w:cstheme="minorHAnsi"/>
          <w:b/>
          <w:sz w:val="24"/>
          <w:szCs w:val="24"/>
        </w:rPr>
        <w:t>Prema preliminarnim podacima, p</w:t>
      </w:r>
      <w:r w:rsidRPr="003B73C9">
        <w:rPr>
          <w:rFonts w:ascii="Garamond" w:hAnsi="Garamond" w:cstheme="minorHAnsi"/>
          <w:b/>
          <w:sz w:val="24"/>
          <w:szCs w:val="24"/>
        </w:rPr>
        <w:t>rihodi budžeta</w:t>
      </w:r>
      <w:r>
        <w:rPr>
          <w:rStyle w:val="FootnoteReference"/>
          <w:rFonts w:ascii="Garamond" w:hAnsi="Garamond" w:cstheme="minorHAnsi"/>
          <w:sz w:val="24"/>
          <w:szCs w:val="24"/>
        </w:rPr>
        <w:footnoteReference w:id="2"/>
      </w:r>
      <w:r>
        <w:rPr>
          <w:rFonts w:ascii="Garamond" w:hAnsi="Garamond" w:cstheme="minorHAnsi"/>
          <w:sz w:val="24"/>
          <w:szCs w:val="24"/>
        </w:rPr>
        <w:t xml:space="preserve"> </w:t>
      </w:r>
      <w:r w:rsidRPr="003B73C9">
        <w:rPr>
          <w:rFonts w:ascii="Garamond" w:hAnsi="Garamond" w:cstheme="minorHAnsi"/>
          <w:sz w:val="24"/>
          <w:szCs w:val="24"/>
        </w:rPr>
        <w:t>u 202</w:t>
      </w:r>
      <w:r>
        <w:rPr>
          <w:rFonts w:ascii="Garamond" w:hAnsi="Garamond" w:cstheme="minorHAnsi"/>
          <w:sz w:val="24"/>
          <w:szCs w:val="24"/>
        </w:rPr>
        <w:t>4</w:t>
      </w:r>
      <w:r w:rsidRPr="003B73C9">
        <w:rPr>
          <w:rFonts w:ascii="Garamond" w:hAnsi="Garamond" w:cstheme="minorHAnsi"/>
          <w:sz w:val="24"/>
          <w:szCs w:val="24"/>
        </w:rPr>
        <w:t>. godin</w:t>
      </w:r>
      <w:r>
        <w:rPr>
          <w:rFonts w:ascii="Garamond" w:hAnsi="Garamond" w:cstheme="minorHAnsi"/>
          <w:sz w:val="24"/>
          <w:szCs w:val="24"/>
        </w:rPr>
        <w:t>i</w:t>
      </w:r>
      <w:r w:rsidRPr="003B73C9">
        <w:rPr>
          <w:rFonts w:ascii="Garamond" w:hAnsi="Garamond" w:cstheme="minorHAnsi"/>
          <w:sz w:val="24"/>
          <w:szCs w:val="24"/>
        </w:rPr>
        <w:t xml:space="preserve"> </w:t>
      </w:r>
      <w:r w:rsidRPr="004D40FC">
        <w:rPr>
          <w:rFonts w:ascii="Garamond" w:eastAsia="Calibri" w:hAnsi="Garamond" w:cs="Times New Roman"/>
          <w:sz w:val="24"/>
          <w:szCs w:val="24"/>
        </w:rPr>
        <w:t xml:space="preserve">iznosili su </w:t>
      </w:r>
      <w:r w:rsidRPr="00F46820">
        <w:rPr>
          <w:rFonts w:ascii="Garamond" w:hAnsi="Garamond" w:cstheme="minorHAnsi"/>
          <w:sz w:val="24"/>
          <w:szCs w:val="24"/>
        </w:rPr>
        <w:t>2.755,</w:t>
      </w:r>
      <w:r>
        <w:rPr>
          <w:rFonts w:ascii="Garamond" w:hAnsi="Garamond" w:cstheme="minorHAnsi"/>
          <w:sz w:val="24"/>
          <w:szCs w:val="24"/>
        </w:rPr>
        <w:t>1</w:t>
      </w:r>
      <w:r w:rsidRPr="00F46820">
        <w:rPr>
          <w:rFonts w:ascii="Garamond" w:hAnsi="Garamond" w:cstheme="minorHAnsi"/>
          <w:sz w:val="24"/>
          <w:szCs w:val="24"/>
        </w:rPr>
        <w:t xml:space="preserve"> mil. €,  odnosno 3</w:t>
      </w:r>
      <w:r>
        <w:rPr>
          <w:rFonts w:ascii="Garamond" w:hAnsi="Garamond" w:cstheme="minorHAnsi"/>
          <w:sz w:val="24"/>
          <w:szCs w:val="24"/>
        </w:rPr>
        <w:t>6,9</w:t>
      </w:r>
      <w:r w:rsidRPr="00F46820">
        <w:rPr>
          <w:rFonts w:ascii="Garamond" w:hAnsi="Garamond" w:cstheme="minorHAnsi"/>
          <w:sz w:val="24"/>
          <w:szCs w:val="24"/>
        </w:rPr>
        <w:t>% procijenjenog BDP-</w:t>
      </w:r>
      <w:r w:rsidRPr="003D17B8">
        <w:rPr>
          <w:rFonts w:ascii="Garamond" w:hAnsi="Garamond" w:cstheme="minorHAnsi"/>
          <w:sz w:val="24"/>
          <w:szCs w:val="24"/>
        </w:rPr>
        <w:t>a (7.459,2 mil. €), što</w:t>
      </w:r>
      <w:r w:rsidRPr="00F46820">
        <w:rPr>
          <w:rFonts w:ascii="Garamond" w:hAnsi="Garamond" w:cstheme="minorHAnsi"/>
          <w:sz w:val="24"/>
          <w:szCs w:val="24"/>
        </w:rPr>
        <w:t xml:space="preserve"> je u odnosu na prethodnu godinu veće za čak 1</w:t>
      </w:r>
      <w:r>
        <w:rPr>
          <w:rFonts w:ascii="Garamond" w:hAnsi="Garamond" w:cstheme="minorHAnsi"/>
          <w:sz w:val="24"/>
          <w:szCs w:val="24"/>
        </w:rPr>
        <w:t xml:space="preserve">88,6 </w:t>
      </w:r>
      <w:r w:rsidRPr="00F46820">
        <w:rPr>
          <w:rFonts w:ascii="Garamond" w:hAnsi="Garamond" w:cstheme="minorHAnsi"/>
          <w:sz w:val="24"/>
          <w:szCs w:val="24"/>
        </w:rPr>
        <w:t>mil. € ili 7,</w:t>
      </w:r>
      <w:r>
        <w:rPr>
          <w:rFonts w:ascii="Garamond" w:hAnsi="Garamond" w:cstheme="minorHAnsi"/>
          <w:sz w:val="24"/>
          <w:szCs w:val="24"/>
        </w:rPr>
        <w:t>3</w:t>
      </w:r>
      <w:r w:rsidRPr="00F46820">
        <w:rPr>
          <w:rFonts w:ascii="Garamond" w:hAnsi="Garamond" w:cstheme="minorHAnsi"/>
          <w:sz w:val="24"/>
          <w:szCs w:val="24"/>
        </w:rPr>
        <w:t>%. U poređenju sa planom po rebalansu prihodi budžeta su manji za 1</w:t>
      </w:r>
      <w:r>
        <w:rPr>
          <w:rFonts w:ascii="Garamond" w:hAnsi="Garamond" w:cstheme="minorHAnsi"/>
          <w:sz w:val="24"/>
          <w:szCs w:val="24"/>
        </w:rPr>
        <w:t>7,6</w:t>
      </w:r>
      <w:r w:rsidRPr="00F46820">
        <w:rPr>
          <w:rFonts w:ascii="Garamond" w:hAnsi="Garamond" w:cstheme="minorHAnsi"/>
          <w:sz w:val="24"/>
          <w:szCs w:val="24"/>
        </w:rPr>
        <w:t xml:space="preserve"> mil. € ili 0,6%. </w:t>
      </w:r>
    </w:p>
    <w:p w14:paraId="0451E40A" w14:textId="77777777" w:rsidR="0072206F" w:rsidRPr="00F46820" w:rsidRDefault="0072206F" w:rsidP="0072206F">
      <w:pPr>
        <w:shd w:val="clear" w:color="auto" w:fill="FFFFFF"/>
        <w:spacing w:after="0" w:line="240" w:lineRule="auto"/>
        <w:jc w:val="both"/>
        <w:rPr>
          <w:rFonts w:ascii="Garamond" w:hAnsi="Garamond" w:cstheme="minorHAnsi"/>
          <w:sz w:val="24"/>
          <w:szCs w:val="24"/>
        </w:rPr>
      </w:pPr>
    </w:p>
    <w:p w14:paraId="54A5FF17" w14:textId="77777777" w:rsidR="0072206F" w:rsidRPr="00DA3227" w:rsidRDefault="0072206F" w:rsidP="0072206F">
      <w:pPr>
        <w:shd w:val="clear" w:color="auto" w:fill="FFFFFF"/>
        <w:spacing w:after="0" w:line="240" w:lineRule="auto"/>
        <w:jc w:val="both"/>
        <w:rPr>
          <w:rFonts w:ascii="Garamond" w:hAnsi="Garamond" w:cstheme="minorHAnsi"/>
          <w:sz w:val="24"/>
          <w:szCs w:val="24"/>
        </w:rPr>
      </w:pPr>
      <w:r w:rsidRPr="00DA3227">
        <w:rPr>
          <w:rFonts w:ascii="Garamond" w:hAnsi="Garamond" w:cstheme="minorHAnsi"/>
          <w:sz w:val="24"/>
          <w:szCs w:val="24"/>
        </w:rPr>
        <w:t>Izuzimajući prihode jednokratnog karaktera, prihodi budžeta u 2024. godini u odnosu na 2023. godinu veći su za 33</w:t>
      </w:r>
      <w:r>
        <w:rPr>
          <w:rFonts w:ascii="Garamond" w:hAnsi="Garamond" w:cstheme="minorHAnsi"/>
          <w:sz w:val="24"/>
          <w:szCs w:val="24"/>
        </w:rPr>
        <w:t>3,8</w:t>
      </w:r>
      <w:r w:rsidRPr="00DA3227">
        <w:rPr>
          <w:rFonts w:ascii="Garamond" w:hAnsi="Garamond" w:cstheme="minorHAnsi"/>
          <w:sz w:val="24"/>
          <w:szCs w:val="24"/>
        </w:rPr>
        <w:t xml:space="preserve"> mil. € ili 14%.</w:t>
      </w:r>
    </w:p>
    <w:p w14:paraId="7F37FCAE" w14:textId="77777777" w:rsidR="0072206F" w:rsidRDefault="0072206F" w:rsidP="0072206F">
      <w:pPr>
        <w:spacing w:before="100" w:beforeAutospacing="1" w:after="100" w:afterAutospacing="1"/>
        <w:jc w:val="both"/>
        <w:rPr>
          <w:rFonts w:ascii="Garamond" w:eastAsia="Calibri" w:hAnsi="Garamond" w:cs="Times New Roman"/>
          <w:sz w:val="24"/>
          <w:szCs w:val="24"/>
        </w:rPr>
      </w:pPr>
      <w:r>
        <w:rPr>
          <w:noProof/>
        </w:rPr>
        <w:lastRenderedPageBreak/>
        <w:drawing>
          <wp:inline distT="0" distB="0" distL="0" distR="0" wp14:anchorId="3EAED900" wp14:editId="54C7AE17">
            <wp:extent cx="5743575" cy="2742565"/>
            <wp:effectExtent l="0" t="0" r="0" b="635"/>
            <wp:docPr id="1" name="Chart 1">
              <a:extLst xmlns:a="http://schemas.openxmlformats.org/drawingml/2006/main">
                <a:ext uri="{FF2B5EF4-FFF2-40B4-BE49-F238E27FC236}">
                  <a16:creationId xmlns:a16="http://schemas.microsoft.com/office/drawing/2014/main" id="{8D1B277C-DEA9-48E2-89B0-7465E2512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E58B8F" w14:textId="77777777" w:rsidR="0072206F" w:rsidRPr="005570DF" w:rsidRDefault="0072206F" w:rsidP="0072206F">
      <w:pPr>
        <w:spacing w:before="100" w:beforeAutospacing="1" w:after="100" w:afterAutospacing="1"/>
        <w:jc w:val="both"/>
        <w:rPr>
          <w:rFonts w:ascii="Garamond" w:eastAsia="Calibri" w:hAnsi="Garamond" w:cs="Times New Roman"/>
          <w:b/>
          <w:sz w:val="24"/>
          <w:szCs w:val="24"/>
        </w:rPr>
      </w:pPr>
      <w:r w:rsidRPr="005570DF">
        <w:rPr>
          <w:rFonts w:ascii="Garamond" w:eastAsia="Calibri" w:hAnsi="Garamond" w:cs="Times New Roman"/>
          <w:b/>
          <w:sz w:val="24"/>
          <w:szCs w:val="24"/>
        </w:rPr>
        <w:t>Najznačajnija pozitivna odstupanja zabilježena su kod</w:t>
      </w:r>
      <w:r>
        <w:rPr>
          <w:rFonts w:ascii="Garamond" w:eastAsia="Calibri" w:hAnsi="Garamond" w:cs="Times New Roman"/>
          <w:b/>
          <w:sz w:val="24"/>
          <w:szCs w:val="24"/>
        </w:rPr>
        <w:t xml:space="preserve"> svih glavnih kategorija prihoda budžeta</w:t>
      </w:r>
      <w:r w:rsidRPr="005570DF">
        <w:rPr>
          <w:rFonts w:ascii="Garamond" w:hAnsi="Garamond" w:cstheme="minorHAnsi"/>
          <w:b/>
          <w:sz w:val="24"/>
          <w:szCs w:val="24"/>
        </w:rPr>
        <w:t>: poreza na dobit pravnih lica, poreza na dohodak fizičkih lica, poreza na dodatu vrijednosti, akciza, i slično.</w:t>
      </w:r>
    </w:p>
    <w:p w14:paraId="7E27B999" w14:textId="77777777" w:rsidR="0072206F" w:rsidRPr="005570DF" w:rsidRDefault="0072206F" w:rsidP="0072206F">
      <w:pPr>
        <w:jc w:val="both"/>
        <w:rPr>
          <w:rFonts w:ascii="Garamond" w:hAnsi="Garamond" w:cstheme="minorHAnsi"/>
          <w:color w:val="000000"/>
          <w:sz w:val="24"/>
          <w:szCs w:val="24"/>
        </w:rPr>
      </w:pPr>
      <w:r w:rsidRPr="005570DF">
        <w:rPr>
          <w:rFonts w:ascii="Garamond" w:eastAsia="Calibri" w:hAnsi="Garamond" w:cs="Times New Roman"/>
          <w:b/>
          <w:sz w:val="24"/>
          <w:szCs w:val="24"/>
        </w:rPr>
        <w:t>Prihodi po osnovu poreza na dobit</w:t>
      </w:r>
      <w:r w:rsidRPr="005570DF">
        <w:rPr>
          <w:rFonts w:ascii="Garamond" w:eastAsia="Calibri" w:hAnsi="Garamond" w:cs="Times New Roman"/>
          <w:sz w:val="24"/>
          <w:szCs w:val="24"/>
        </w:rPr>
        <w:t>, naplaćeni su u iznosu o</w:t>
      </w:r>
      <w:r w:rsidRPr="005570DF">
        <w:rPr>
          <w:rFonts w:ascii="Garamond" w:hAnsi="Garamond" w:cstheme="minorHAnsi"/>
          <w:color w:val="000000"/>
          <w:sz w:val="24"/>
          <w:szCs w:val="24"/>
        </w:rPr>
        <w:t>d 214,0 mil. €, što je za čak 62,7 mil. € ili 41,4% veće u odnosu na 2023. godinu</w:t>
      </w:r>
      <w:r w:rsidRPr="005570DF">
        <w:rPr>
          <w:rFonts w:ascii="Garamond" w:hAnsi="Garamond" w:cstheme="minorHAnsi"/>
          <w:b/>
          <w:color w:val="000000"/>
          <w:sz w:val="24"/>
          <w:szCs w:val="24"/>
        </w:rPr>
        <w:t xml:space="preserve"> </w:t>
      </w:r>
      <w:r w:rsidRPr="005570DF">
        <w:rPr>
          <w:rFonts w:ascii="Garamond" w:hAnsi="Garamond" w:cstheme="minorHAnsi"/>
          <w:color w:val="000000"/>
          <w:sz w:val="24"/>
          <w:szCs w:val="24"/>
        </w:rPr>
        <w:t>i 8,3 mil. € ili 4% veće u odnosu na plan po rebalansu.</w:t>
      </w:r>
    </w:p>
    <w:p w14:paraId="55081BD1" w14:textId="77777777" w:rsidR="0072206F" w:rsidRPr="00BD048A" w:rsidRDefault="0072206F" w:rsidP="0072206F">
      <w:pPr>
        <w:shd w:val="clear" w:color="auto" w:fill="FFFFFF"/>
        <w:jc w:val="both"/>
        <w:rPr>
          <w:rFonts w:ascii="Garamond" w:hAnsi="Garamond" w:cstheme="minorHAnsi"/>
          <w:color w:val="000000"/>
          <w:sz w:val="24"/>
          <w:szCs w:val="24"/>
        </w:rPr>
      </w:pPr>
      <w:r w:rsidRPr="00AE1EA9">
        <w:rPr>
          <w:rFonts w:ascii="Garamond" w:hAnsi="Garamond" w:cstheme="minorHAnsi"/>
          <w:b/>
          <w:color w:val="000000"/>
          <w:sz w:val="24"/>
          <w:szCs w:val="24"/>
        </w:rPr>
        <w:t>Porez na dohodak fizičkih lica</w:t>
      </w:r>
      <w:r w:rsidRPr="00BD048A">
        <w:rPr>
          <w:rFonts w:ascii="Garamond" w:hAnsi="Garamond" w:cstheme="minorHAnsi"/>
          <w:color w:val="000000"/>
          <w:sz w:val="24"/>
          <w:szCs w:val="24"/>
        </w:rPr>
        <w:t xml:space="preserve"> ostvaren je u iznosu od 88,2 mil. €, što predstavlja značajan rast od 21,7 mil. € ili 32,7% u odnosu na 2023. godinu i 1,5 mil. € ili 1,8% u odnosu na plan po rebalansu.</w:t>
      </w:r>
    </w:p>
    <w:p w14:paraId="331FF6DF" w14:textId="77777777" w:rsidR="0072206F" w:rsidRPr="00BD048A" w:rsidRDefault="0072206F" w:rsidP="0072206F">
      <w:pPr>
        <w:jc w:val="both"/>
        <w:rPr>
          <w:rFonts w:ascii="Garamond" w:hAnsi="Garamond" w:cstheme="minorHAnsi"/>
          <w:sz w:val="24"/>
          <w:szCs w:val="24"/>
        </w:rPr>
      </w:pPr>
      <w:r w:rsidRPr="00AE1EA9">
        <w:rPr>
          <w:rFonts w:ascii="Garamond" w:hAnsi="Garamond" w:cstheme="minorHAnsi"/>
          <w:b/>
          <w:color w:val="000000"/>
          <w:sz w:val="24"/>
          <w:szCs w:val="24"/>
        </w:rPr>
        <w:t>Doprinosi</w:t>
      </w:r>
      <w:r w:rsidRPr="00BD048A">
        <w:rPr>
          <w:rFonts w:ascii="Garamond" w:hAnsi="Garamond" w:cstheme="minorHAnsi"/>
          <w:color w:val="000000"/>
          <w:sz w:val="24"/>
          <w:szCs w:val="24"/>
        </w:rPr>
        <w:t xml:space="preserve"> su ostvareni u iznosu od 584,7 mil. € što je za 9,0 mil. € ili 1,6% veće u odnosu na 2023. godinu i neznatno manje u odnosu na plan po rebalansu, i to za 0,7 mil. €, ili 0,1%. </w:t>
      </w:r>
      <w:r w:rsidRPr="00BD048A">
        <w:rPr>
          <w:rFonts w:ascii="Garamond" w:hAnsi="Garamond" w:cstheme="minorHAnsi"/>
          <w:sz w:val="24"/>
          <w:szCs w:val="24"/>
        </w:rPr>
        <w:t>Prema preliminarnim podacima, na nivou godine realizacija prihoda budžeta po osnovu doprinosa za penzijsko invalidsko osiguranje (PIO) manja je u odnosu na rebalansom planirane za 7,0 mil. €, pri čemu je</w:t>
      </w:r>
      <w:r w:rsidRPr="00BD048A">
        <w:rPr>
          <w:rFonts w:ascii="Garamond" w:hAnsi="Garamond" w:cstheme="minorHAnsi"/>
          <w:color w:val="000000"/>
          <w:sz w:val="24"/>
          <w:szCs w:val="24"/>
        </w:rPr>
        <w:t xml:space="preserve"> realizacija prihoda budžeta po ovom osnovu u pojedinim mjesecima predstavljala samo dinamiku odstupanja u smislu vremena naplate, što pokazuju i preliminarni podaci o naplati doprinosa za PIO u januaru 2025. godine.</w:t>
      </w:r>
    </w:p>
    <w:p w14:paraId="6C4E8999" w14:textId="77777777" w:rsidR="0072206F" w:rsidRPr="00BD048A" w:rsidRDefault="0072206F" w:rsidP="0072206F">
      <w:pPr>
        <w:shd w:val="clear" w:color="auto" w:fill="FFFFFF"/>
        <w:jc w:val="both"/>
        <w:rPr>
          <w:rFonts w:ascii="Garamond" w:hAnsi="Garamond" w:cstheme="minorHAnsi"/>
          <w:sz w:val="24"/>
          <w:szCs w:val="24"/>
        </w:rPr>
      </w:pPr>
      <w:r w:rsidRPr="00AE1EA9">
        <w:rPr>
          <w:rFonts w:ascii="Garamond" w:hAnsi="Garamond" w:cstheme="minorHAnsi"/>
          <w:b/>
          <w:color w:val="000000"/>
          <w:sz w:val="24"/>
          <w:szCs w:val="24"/>
        </w:rPr>
        <w:t>Porez na dodatu vrijednost</w:t>
      </w:r>
      <w:r w:rsidRPr="00BD048A">
        <w:rPr>
          <w:rFonts w:ascii="Garamond" w:hAnsi="Garamond" w:cstheme="minorHAnsi"/>
          <w:color w:val="000000"/>
          <w:sz w:val="24"/>
          <w:szCs w:val="24"/>
        </w:rPr>
        <w:t xml:space="preserve"> u 2024. godini ostvaren je u iznosu od 1.222,6 mil. €, što je za čak 163,3 mil. € ili 15,4% veće u odnosu na 2023. godinu i 23,0 mil. € ili 1,9% veće u odnosu na plan po rebalansu.</w:t>
      </w:r>
      <w:r>
        <w:rPr>
          <w:rFonts w:ascii="Garamond" w:hAnsi="Garamond" w:cstheme="minorHAnsi"/>
          <w:color w:val="000000"/>
          <w:sz w:val="24"/>
          <w:szCs w:val="24"/>
        </w:rPr>
        <w:t xml:space="preserve"> O</w:t>
      </w:r>
      <w:r w:rsidRPr="00BD048A">
        <w:rPr>
          <w:rFonts w:ascii="Garamond" w:hAnsi="Garamond" w:cstheme="minorHAnsi"/>
          <w:color w:val="000000"/>
          <w:sz w:val="24"/>
          <w:szCs w:val="24"/>
        </w:rPr>
        <w:t xml:space="preserve">stvarenje prihoda od </w:t>
      </w:r>
      <w:r>
        <w:rPr>
          <w:rFonts w:ascii="Garamond" w:hAnsi="Garamond" w:cstheme="minorHAnsi"/>
          <w:color w:val="000000"/>
          <w:sz w:val="24"/>
          <w:szCs w:val="24"/>
        </w:rPr>
        <w:t>poreza na dodatu vrijednost u značajnoj mjeri opredijelili su d</w:t>
      </w:r>
      <w:r w:rsidRPr="00BD048A">
        <w:rPr>
          <w:rFonts w:ascii="Garamond" w:hAnsi="Garamond" w:cstheme="minorHAnsi"/>
          <w:color w:val="000000"/>
          <w:sz w:val="24"/>
          <w:szCs w:val="24"/>
        </w:rPr>
        <w:t>inamič</w:t>
      </w:r>
      <w:r>
        <w:rPr>
          <w:rFonts w:ascii="Garamond" w:hAnsi="Garamond" w:cstheme="minorHAnsi"/>
          <w:color w:val="000000"/>
          <w:sz w:val="24"/>
          <w:szCs w:val="24"/>
        </w:rPr>
        <w:t>an</w:t>
      </w:r>
      <w:r w:rsidRPr="00BD048A">
        <w:rPr>
          <w:rFonts w:ascii="Garamond" w:hAnsi="Garamond" w:cstheme="minorHAnsi"/>
          <w:color w:val="000000"/>
          <w:sz w:val="24"/>
          <w:szCs w:val="24"/>
        </w:rPr>
        <w:t xml:space="preserve"> ekonomski rast i smanjenj</w:t>
      </w:r>
      <w:r>
        <w:rPr>
          <w:rFonts w:ascii="Garamond" w:hAnsi="Garamond" w:cstheme="minorHAnsi"/>
          <w:color w:val="000000"/>
          <w:sz w:val="24"/>
          <w:szCs w:val="24"/>
        </w:rPr>
        <w:t>e</w:t>
      </w:r>
      <w:r w:rsidRPr="00BD048A">
        <w:rPr>
          <w:rFonts w:ascii="Garamond" w:hAnsi="Garamond" w:cstheme="minorHAnsi"/>
          <w:color w:val="000000"/>
          <w:sz w:val="24"/>
          <w:szCs w:val="24"/>
        </w:rPr>
        <w:t xml:space="preserve"> sive ekonomije na tržištu</w:t>
      </w:r>
      <w:r>
        <w:rPr>
          <w:rFonts w:ascii="Garamond" w:hAnsi="Garamond" w:cstheme="minorHAnsi"/>
          <w:color w:val="000000"/>
          <w:sz w:val="24"/>
          <w:szCs w:val="24"/>
        </w:rPr>
        <w:t>.</w:t>
      </w:r>
    </w:p>
    <w:p w14:paraId="1C01A274" w14:textId="77777777" w:rsidR="0072206F" w:rsidRPr="00BD048A" w:rsidRDefault="0072206F" w:rsidP="0072206F">
      <w:pPr>
        <w:shd w:val="clear" w:color="auto" w:fill="FFFFFF"/>
        <w:jc w:val="both"/>
        <w:rPr>
          <w:rFonts w:ascii="Garamond" w:hAnsi="Garamond" w:cstheme="minorHAnsi"/>
          <w:sz w:val="24"/>
          <w:szCs w:val="24"/>
        </w:rPr>
      </w:pPr>
      <w:r w:rsidRPr="00AE1EA9">
        <w:rPr>
          <w:rFonts w:ascii="Garamond" w:hAnsi="Garamond" w:cstheme="minorHAnsi"/>
          <w:b/>
          <w:sz w:val="24"/>
          <w:szCs w:val="24"/>
        </w:rPr>
        <w:t>Prihodi budžeta od akciza</w:t>
      </w:r>
      <w:r w:rsidRPr="00BD048A">
        <w:rPr>
          <w:rFonts w:ascii="Garamond" w:hAnsi="Garamond" w:cstheme="minorHAnsi"/>
          <w:sz w:val="24"/>
          <w:szCs w:val="24"/>
        </w:rPr>
        <w:t xml:space="preserve"> iznosili su 368,6 mil. €, što predstavlja rast od 45,5 mil. € ili 14,1% u odnosu na 2023. godinu i 2,8 mil. € ili 0,8% u odnosu na rebalansom planirane. Najveći doprinos rastu akciza u 2024. godini zabilježen je, kao i obično, kod:</w:t>
      </w:r>
    </w:p>
    <w:p w14:paraId="05C1F6F7" w14:textId="77777777" w:rsidR="0072206F" w:rsidRPr="00BD048A" w:rsidRDefault="0072206F" w:rsidP="0072206F">
      <w:pPr>
        <w:jc w:val="both"/>
        <w:rPr>
          <w:rFonts w:ascii="Garamond" w:hAnsi="Garamond" w:cstheme="minorHAnsi"/>
          <w:sz w:val="24"/>
          <w:szCs w:val="24"/>
        </w:rPr>
      </w:pPr>
      <w:r w:rsidRPr="00BD048A">
        <w:rPr>
          <w:rFonts w:ascii="Garamond" w:hAnsi="Garamond" w:cstheme="minorHAnsi"/>
          <w:sz w:val="24"/>
          <w:szCs w:val="24"/>
        </w:rPr>
        <w:t>- akcize na mineralna ulja i njihove derivate, i to u iznosu od 198,4 mil. €, što je za 19,3 mil. € ili 10,8% veće u odnosu na isti period prethodne godine;</w:t>
      </w:r>
    </w:p>
    <w:p w14:paraId="7D2C0565" w14:textId="77777777" w:rsidR="0072206F" w:rsidRPr="00BD048A" w:rsidRDefault="0072206F" w:rsidP="0072206F">
      <w:pPr>
        <w:jc w:val="both"/>
        <w:rPr>
          <w:rFonts w:ascii="Garamond" w:hAnsi="Garamond" w:cstheme="minorHAnsi"/>
          <w:sz w:val="24"/>
          <w:szCs w:val="24"/>
        </w:rPr>
      </w:pPr>
      <w:r w:rsidRPr="00BD048A">
        <w:rPr>
          <w:rFonts w:ascii="Garamond" w:hAnsi="Garamond" w:cstheme="minorHAnsi"/>
          <w:sz w:val="24"/>
          <w:szCs w:val="24"/>
        </w:rPr>
        <w:t>- akcize na duvan i duvanske proizvode, i to u iznosu od 119,2 mil. €, što je za 18,9 mil. € ili 18,9% veće u odnosu na isti period prethodne godine.</w:t>
      </w:r>
    </w:p>
    <w:p w14:paraId="1CD7DF37" w14:textId="77777777" w:rsidR="0072206F" w:rsidRPr="00BD048A" w:rsidRDefault="0072206F" w:rsidP="0072206F">
      <w:pPr>
        <w:jc w:val="both"/>
        <w:rPr>
          <w:rFonts w:ascii="Garamond" w:hAnsi="Garamond" w:cstheme="minorHAnsi"/>
          <w:sz w:val="24"/>
          <w:szCs w:val="24"/>
        </w:rPr>
      </w:pPr>
      <w:r w:rsidRPr="00BD048A">
        <w:rPr>
          <w:rFonts w:ascii="Garamond" w:hAnsi="Garamond" w:cstheme="minorHAnsi"/>
          <w:sz w:val="24"/>
          <w:szCs w:val="24"/>
        </w:rPr>
        <w:t xml:space="preserve">Neophodno je napomenuti da su prihodi budžeta po osnovu </w:t>
      </w:r>
      <w:r w:rsidRPr="00AE1EA9">
        <w:rPr>
          <w:rFonts w:ascii="Garamond" w:hAnsi="Garamond" w:cstheme="minorHAnsi"/>
          <w:b/>
          <w:sz w:val="24"/>
          <w:szCs w:val="24"/>
        </w:rPr>
        <w:t>akcize na duvan i duvanske proizvode</w:t>
      </w:r>
      <w:r w:rsidRPr="00BD048A">
        <w:rPr>
          <w:rFonts w:ascii="Garamond" w:hAnsi="Garamond" w:cstheme="minorHAnsi"/>
          <w:sz w:val="24"/>
          <w:szCs w:val="24"/>
        </w:rPr>
        <w:t xml:space="preserve"> premašili cjelokupnu prošlogodišnju naplatu već u oktobru mjesecu. Naime, u 2024. </w:t>
      </w:r>
      <w:r w:rsidRPr="00BD048A">
        <w:rPr>
          <w:rFonts w:ascii="Garamond" w:hAnsi="Garamond" w:cstheme="minorHAnsi"/>
          <w:sz w:val="24"/>
          <w:szCs w:val="24"/>
        </w:rPr>
        <w:lastRenderedPageBreak/>
        <w:t xml:space="preserve">godini  evidentiran je rast prometa cigareta od 8,3% ili za oko 93,8 tone u poređenju sa prethodnom godinom, dok je kod bezdimnih duvanskih proizvoda zabilježen rast prometa bezdimnih duvanskih proizvoda za oko 23,6% ili za 1.536.412 paklice bezdimnih duvanskih proizvoda. Navedeno je rezultat suzbijanja nepravilnosti i sive ekonomije na tržištu duvana. </w:t>
      </w:r>
    </w:p>
    <w:p w14:paraId="209B0DA2" w14:textId="77777777" w:rsidR="0072206F" w:rsidRPr="00AE1EA9" w:rsidRDefault="0072206F" w:rsidP="0072206F">
      <w:pPr>
        <w:spacing w:after="0" w:line="256" w:lineRule="auto"/>
        <w:jc w:val="both"/>
        <w:rPr>
          <w:rFonts w:ascii="Garamond" w:eastAsia="Calibri" w:hAnsi="Garamond" w:cs="Calibri"/>
          <w:sz w:val="24"/>
          <w:szCs w:val="24"/>
        </w:rPr>
      </w:pPr>
      <w:r w:rsidRPr="00AE1EA9">
        <w:rPr>
          <w:rFonts w:ascii="Garamond" w:eastAsia="Calibri" w:hAnsi="Garamond" w:cs="Calibri"/>
          <w:sz w:val="24"/>
          <w:szCs w:val="24"/>
        </w:rPr>
        <w:t>Sa druge strane, </w:t>
      </w:r>
      <w:r w:rsidRPr="00AE1EA9">
        <w:rPr>
          <w:rFonts w:ascii="Garamond" w:eastAsia="Calibri" w:hAnsi="Garamond" w:cs="Calibri"/>
          <w:b/>
          <w:bCs/>
          <w:sz w:val="24"/>
          <w:szCs w:val="24"/>
        </w:rPr>
        <w:t>ostali prihodi </w:t>
      </w:r>
      <w:r w:rsidRPr="00AE1EA9">
        <w:rPr>
          <w:rFonts w:ascii="Garamond" w:eastAsia="Calibri" w:hAnsi="Garamond" w:cs="Calibri"/>
          <w:sz w:val="24"/>
          <w:szCs w:val="24"/>
        </w:rPr>
        <w:t>realizovani su u iznosu od 9</w:t>
      </w:r>
      <w:r>
        <w:rPr>
          <w:rFonts w:ascii="Garamond" w:eastAsia="Calibri" w:hAnsi="Garamond" w:cs="Calibri"/>
          <w:sz w:val="24"/>
          <w:szCs w:val="24"/>
        </w:rPr>
        <w:t>1,5</w:t>
      </w:r>
      <w:r w:rsidRPr="00AE1EA9">
        <w:rPr>
          <w:rFonts w:ascii="Garamond" w:eastAsia="Calibri" w:hAnsi="Garamond" w:cs="Calibri"/>
          <w:sz w:val="24"/>
          <w:szCs w:val="24"/>
        </w:rPr>
        <w:t xml:space="preserve"> mil. €, što je u odnosu na prethodnu godinu manje za </w:t>
      </w:r>
      <w:r>
        <w:rPr>
          <w:rFonts w:ascii="Garamond" w:eastAsia="Calibri" w:hAnsi="Garamond" w:cs="Calibri"/>
          <w:sz w:val="24"/>
          <w:szCs w:val="24"/>
        </w:rPr>
        <w:t>90,2</w:t>
      </w:r>
      <w:r w:rsidRPr="00AE1EA9">
        <w:rPr>
          <w:rFonts w:ascii="Garamond" w:eastAsia="Calibri" w:hAnsi="Garamond" w:cs="Calibri"/>
          <w:sz w:val="24"/>
          <w:szCs w:val="24"/>
        </w:rPr>
        <w:t xml:space="preserve"> mil. ili 4</w:t>
      </w:r>
      <w:r>
        <w:rPr>
          <w:rFonts w:ascii="Garamond" w:eastAsia="Calibri" w:hAnsi="Garamond" w:cs="Calibri"/>
          <w:sz w:val="24"/>
          <w:szCs w:val="24"/>
        </w:rPr>
        <w:t>9,6</w:t>
      </w:r>
      <w:r w:rsidRPr="00AE1EA9">
        <w:rPr>
          <w:rFonts w:ascii="Garamond" w:eastAsia="Calibri" w:hAnsi="Garamond" w:cs="Calibri"/>
          <w:sz w:val="24"/>
          <w:szCs w:val="24"/>
        </w:rPr>
        <w:t>%. Takođe, u posmatranom periodu, </w:t>
      </w:r>
      <w:r w:rsidRPr="00AE1EA9">
        <w:rPr>
          <w:rFonts w:ascii="Garamond" w:eastAsia="Calibri" w:hAnsi="Garamond" w:cs="Calibri"/>
          <w:b/>
          <w:bCs/>
          <w:sz w:val="24"/>
          <w:szCs w:val="24"/>
        </w:rPr>
        <w:t>ostali prihodi</w:t>
      </w:r>
      <w:r w:rsidRPr="00AE1EA9">
        <w:rPr>
          <w:rFonts w:ascii="Garamond" w:eastAsia="Calibri" w:hAnsi="Garamond" w:cs="Calibri"/>
          <w:sz w:val="24"/>
          <w:szCs w:val="24"/>
        </w:rPr>
        <w:t xml:space="preserve"> manji su u odnosu na rebalansom planirane za </w:t>
      </w:r>
      <w:r>
        <w:rPr>
          <w:rFonts w:ascii="Garamond" w:eastAsia="Calibri" w:hAnsi="Garamond" w:cs="Calibri"/>
          <w:sz w:val="24"/>
          <w:szCs w:val="24"/>
        </w:rPr>
        <w:t>30,4</w:t>
      </w:r>
      <w:r w:rsidRPr="00AE1EA9">
        <w:rPr>
          <w:rFonts w:ascii="Garamond" w:eastAsia="Calibri" w:hAnsi="Garamond" w:cs="Calibri"/>
          <w:sz w:val="24"/>
          <w:szCs w:val="24"/>
        </w:rPr>
        <w:t xml:space="preserve"> mil. € ili 2</w:t>
      </w:r>
      <w:r>
        <w:rPr>
          <w:rFonts w:ascii="Garamond" w:eastAsia="Calibri" w:hAnsi="Garamond" w:cs="Calibri"/>
          <w:sz w:val="24"/>
          <w:szCs w:val="24"/>
        </w:rPr>
        <w:t>4,9</w:t>
      </w:r>
      <w:r w:rsidRPr="00AE1EA9">
        <w:rPr>
          <w:rFonts w:ascii="Garamond" w:eastAsia="Calibri" w:hAnsi="Garamond" w:cs="Calibri"/>
          <w:sz w:val="24"/>
          <w:szCs w:val="24"/>
        </w:rPr>
        <w:t>% dominantno usljed nižeg ostvarenja kategorije prihoda od kapitala. Ovdje je važno napomenuti da se EPCG obratila dopisom Ministarstvu finansija molbom za saglasnost da se zahtjev za isplatu dividende razmotri tokom 2026. godine zbog izazovnog perioda koji slijedi zbog zastoja Termoelektrane radi rekonstrukcije u trajanju od 8 mjeseci, iako je 2023. godina završena pozitivnim rezultatom. Manja realizacija kategorije ostalih prihoda budžeta u odnosu na prethodnu godinu, rezultat je značajnog iznosa jednokratnih prihoda u 2023. godini.</w:t>
      </w:r>
      <w:r>
        <w:rPr>
          <w:rFonts w:ascii="Garamond" w:eastAsia="Calibri" w:hAnsi="Garamond" w:cs="Calibri"/>
          <w:sz w:val="24"/>
          <w:szCs w:val="24"/>
        </w:rPr>
        <w:t xml:space="preserve"> </w:t>
      </w:r>
    </w:p>
    <w:p w14:paraId="7766D2B8" w14:textId="77777777" w:rsidR="0072206F" w:rsidRPr="00AE1EA9" w:rsidRDefault="0072206F" w:rsidP="0072206F">
      <w:pPr>
        <w:jc w:val="both"/>
        <w:rPr>
          <w:rFonts w:ascii="Garamond" w:hAnsi="Garamond" w:cstheme="minorHAnsi"/>
          <w:sz w:val="24"/>
          <w:szCs w:val="24"/>
        </w:rPr>
      </w:pPr>
    </w:p>
    <w:p w14:paraId="3394242B" w14:textId="6F5BF484" w:rsidR="00B44946" w:rsidRDefault="00B44946" w:rsidP="00B44946">
      <w:pPr>
        <w:jc w:val="both"/>
        <w:rPr>
          <w:rFonts w:ascii="Garamond" w:hAnsi="Garamond"/>
          <w:color w:val="000000" w:themeColor="text1"/>
          <w:sz w:val="24"/>
        </w:rPr>
      </w:pPr>
      <w:r>
        <w:rPr>
          <w:rFonts w:ascii="Garamond" w:hAnsi="Garamond"/>
          <w:b/>
          <w:bCs/>
          <w:color w:val="000000" w:themeColor="text1"/>
          <w:sz w:val="24"/>
        </w:rPr>
        <w:t>Prema preliminarnim podacima, i</w:t>
      </w:r>
      <w:r w:rsidRPr="004124DB">
        <w:rPr>
          <w:rFonts w:ascii="Garamond" w:hAnsi="Garamond"/>
          <w:b/>
          <w:bCs/>
          <w:color w:val="000000" w:themeColor="text1"/>
          <w:sz w:val="24"/>
        </w:rPr>
        <w:t>zdaci budžeta</w:t>
      </w:r>
      <w:r w:rsidRPr="004124DB">
        <w:rPr>
          <w:rFonts w:ascii="Garamond" w:hAnsi="Garamond"/>
          <w:color w:val="000000" w:themeColor="text1"/>
          <w:sz w:val="24"/>
        </w:rPr>
        <w:t xml:space="preserve"> </w:t>
      </w:r>
      <w:r>
        <w:rPr>
          <w:rFonts w:ascii="Garamond" w:hAnsi="Garamond"/>
          <w:color w:val="000000" w:themeColor="text1"/>
          <w:sz w:val="24"/>
        </w:rPr>
        <w:t>u 2024. godini</w:t>
      </w:r>
      <w:r w:rsidRPr="004124DB">
        <w:rPr>
          <w:rFonts w:ascii="Garamond" w:hAnsi="Garamond"/>
          <w:color w:val="000000" w:themeColor="text1"/>
          <w:sz w:val="24"/>
        </w:rPr>
        <w:t xml:space="preserve"> </w:t>
      </w:r>
      <w:r w:rsidRPr="00D041AB">
        <w:rPr>
          <w:rFonts w:ascii="Garamond" w:hAnsi="Garamond"/>
          <w:color w:val="000000" w:themeColor="text1"/>
          <w:sz w:val="24"/>
        </w:rPr>
        <w:t>iznosili su 2.986,0 mil. € ili 4</w:t>
      </w:r>
      <w:r w:rsidR="00BF5F3F">
        <w:rPr>
          <w:rFonts w:ascii="Garamond" w:hAnsi="Garamond"/>
          <w:color w:val="000000" w:themeColor="text1"/>
          <w:sz w:val="24"/>
        </w:rPr>
        <w:t>0</w:t>
      </w:r>
      <w:r w:rsidRPr="00D041AB">
        <w:rPr>
          <w:rFonts w:ascii="Garamond" w:hAnsi="Garamond"/>
          <w:color w:val="000000" w:themeColor="text1"/>
          <w:sz w:val="24"/>
        </w:rPr>
        <w:t xml:space="preserve">,0% procijenjenog BDP-a. U odnosu na isti period prethodne godine, izdaci su veći 430,5 mil. €, ili 16,8% i najveće odstupanje je kod izdvajanja za isplatu prava iz oblasti penzijskog i invalidskog osiguranja dominantno zbog povećanja minimalne penzije, transfera institucijama i značajnije kod institucija javnog zdravlja, kao i rasta izdvajanja za bruto zarade (usvajanje granskih kolektivnih ugovora kojima su povećane zarade zaposlenih u javnom sektoru u 2023. godini). U odnosu na plan ove godine, izdaci su manji za 22,1 mil. € ili 0,7%, i odraz su dinamike pristizanja obaveza u ovom periodu. </w:t>
      </w:r>
    </w:p>
    <w:p w14:paraId="553C441C" w14:textId="77777777" w:rsidR="00B44946" w:rsidRDefault="00B44946" w:rsidP="00B44946">
      <w:pPr>
        <w:jc w:val="both"/>
        <w:rPr>
          <w:rFonts w:ascii="Garamond" w:hAnsi="Garamond"/>
          <w:color w:val="000000" w:themeColor="text1"/>
          <w:sz w:val="24"/>
        </w:rPr>
      </w:pPr>
      <w:r>
        <w:rPr>
          <w:rFonts w:ascii="Garamond" w:hAnsi="Garamond"/>
          <w:noProof/>
          <w:color w:val="000000" w:themeColor="text1"/>
          <w:sz w:val="24"/>
        </w:rPr>
        <w:drawing>
          <wp:inline distT="0" distB="0" distL="0" distR="0" wp14:anchorId="1A89F755" wp14:editId="39E23D30">
            <wp:extent cx="5601127" cy="409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7879" cy="4122624"/>
                    </a:xfrm>
                    <a:prstGeom prst="rect">
                      <a:avLst/>
                    </a:prstGeom>
                    <a:noFill/>
                  </pic:spPr>
                </pic:pic>
              </a:graphicData>
            </a:graphic>
          </wp:inline>
        </w:drawing>
      </w:r>
    </w:p>
    <w:p w14:paraId="040DD2BF" w14:textId="77777777" w:rsidR="00B44946" w:rsidRPr="00D041AB" w:rsidRDefault="00B44946" w:rsidP="00B44946">
      <w:pPr>
        <w:jc w:val="both"/>
        <w:rPr>
          <w:rFonts w:ascii="Garamond" w:hAnsi="Garamond"/>
          <w:color w:val="000000" w:themeColor="text1"/>
          <w:sz w:val="24"/>
        </w:rPr>
      </w:pPr>
      <w:r w:rsidRPr="00D041AB">
        <w:rPr>
          <w:rFonts w:ascii="Garamond" w:hAnsi="Garamond"/>
          <w:b/>
          <w:color w:val="000000" w:themeColor="text1"/>
          <w:sz w:val="24"/>
        </w:rPr>
        <w:lastRenderedPageBreak/>
        <w:t xml:space="preserve">Tekući izdaci u tekućem budžetu </w:t>
      </w:r>
      <w:r w:rsidRPr="00D041AB">
        <w:rPr>
          <w:rFonts w:ascii="Garamond" w:hAnsi="Garamond"/>
          <w:color w:val="000000" w:themeColor="text1"/>
          <w:sz w:val="24"/>
        </w:rPr>
        <w:t>u posmatranom periodu ostvareni su u iznosu od 1.149,75 mil. €, što predstavlja 96,7% plana, i veće ostvarenje je dominantno zabilježeno kod kamata na poziciji Kamate nerezidentima, kao i subvencija za proizvodnju i pružanje usluga dominantno kod Ministarstva poljoprivrede, šumarstva i vodoprivrede, dok je manje ostvarenje zabilježeno dominantno kod rashoda za materijal i ostalih izdataka.</w:t>
      </w:r>
    </w:p>
    <w:p w14:paraId="215AA46F" w14:textId="77777777" w:rsidR="00B44946" w:rsidRDefault="00B44946" w:rsidP="00B44946">
      <w:pPr>
        <w:jc w:val="both"/>
        <w:rPr>
          <w:rFonts w:ascii="Garamond" w:hAnsi="Garamond"/>
          <w:color w:val="000000" w:themeColor="text1"/>
          <w:sz w:val="24"/>
        </w:rPr>
      </w:pPr>
      <w:r w:rsidRPr="00D041AB">
        <w:rPr>
          <w:rFonts w:ascii="Garamond" w:hAnsi="Garamond"/>
          <w:b/>
          <w:color w:val="000000" w:themeColor="text1"/>
          <w:sz w:val="24"/>
        </w:rPr>
        <w:t xml:space="preserve">Transferi za socijalnu zaštitu </w:t>
      </w:r>
      <w:r w:rsidRPr="00D041AB">
        <w:rPr>
          <w:rFonts w:ascii="Garamond" w:hAnsi="Garamond"/>
          <w:color w:val="000000" w:themeColor="text1"/>
          <w:sz w:val="24"/>
        </w:rPr>
        <w:t xml:space="preserve">ostareni su u iznosu od 1.008,23 mil. € što predstavlja ostvarenje 100,1% plana i u odnosu na isti period prethodne godine veći su za 183,34 mil. € ili 22,2%. Veće ostvarenje zabilježeno je dominantno na poziciji sredstva za tehnološke viškove kod Fonda rada. </w:t>
      </w:r>
      <w:r w:rsidRPr="00D041AB">
        <w:rPr>
          <w:rFonts w:ascii="Garamond" w:hAnsi="Garamond"/>
          <w:b/>
          <w:color w:val="000000" w:themeColor="text1"/>
          <w:sz w:val="24"/>
        </w:rPr>
        <w:t xml:space="preserve">Transferi institucijama, pojedincima, nevladinom i javnom sektoru </w:t>
      </w:r>
      <w:r w:rsidRPr="00D041AB">
        <w:rPr>
          <w:rFonts w:ascii="Garamond" w:hAnsi="Garamond"/>
          <w:color w:val="000000" w:themeColor="text1"/>
          <w:sz w:val="24"/>
        </w:rPr>
        <w:t>iznosili su 429,41 mil. € i veći su od plana za 9,58 mil. € ili 2,3%. Najznačajnije odstupanje je dominantno ostalih transfera na poziciji transfera opštinama kod Ministarstva finansija.</w:t>
      </w:r>
    </w:p>
    <w:p w14:paraId="2D62EEE6" w14:textId="77777777" w:rsidR="00B44946" w:rsidRPr="00D041AB" w:rsidRDefault="00B44946" w:rsidP="00B44946">
      <w:pPr>
        <w:jc w:val="both"/>
        <w:rPr>
          <w:rFonts w:ascii="Garamond" w:hAnsi="Garamond"/>
          <w:color w:val="000000" w:themeColor="text1"/>
          <w:sz w:val="24"/>
          <w:highlight w:val="yellow"/>
        </w:rPr>
      </w:pPr>
    </w:p>
    <w:p w14:paraId="4773A65A" w14:textId="77777777" w:rsidR="00B44946" w:rsidRDefault="00B44946" w:rsidP="00B44946">
      <w:pPr>
        <w:jc w:val="both"/>
        <w:rPr>
          <w:rFonts w:ascii="Garamond" w:hAnsi="Garamond"/>
          <w:color w:val="000000" w:themeColor="text1"/>
          <w:sz w:val="24"/>
        </w:rPr>
      </w:pPr>
      <w:r>
        <w:rPr>
          <w:rFonts w:ascii="Garamond" w:hAnsi="Garamond"/>
          <w:noProof/>
          <w:color w:val="000000" w:themeColor="text1"/>
          <w:sz w:val="24"/>
        </w:rPr>
        <w:drawing>
          <wp:inline distT="0" distB="0" distL="0" distR="0" wp14:anchorId="375234F4" wp14:editId="67C6384C">
            <wp:extent cx="5715000" cy="254782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658" cy="2556591"/>
                    </a:xfrm>
                    <a:prstGeom prst="rect">
                      <a:avLst/>
                    </a:prstGeom>
                    <a:noFill/>
                  </pic:spPr>
                </pic:pic>
              </a:graphicData>
            </a:graphic>
          </wp:inline>
        </w:drawing>
      </w:r>
    </w:p>
    <w:p w14:paraId="3AC19866" w14:textId="77777777" w:rsidR="00B44946" w:rsidRPr="00DE6DBE" w:rsidRDefault="00B44946" w:rsidP="00B44946">
      <w:pPr>
        <w:jc w:val="both"/>
        <w:rPr>
          <w:rFonts w:ascii="Garamond" w:hAnsi="Garamond"/>
          <w:color w:val="000000" w:themeColor="text1"/>
          <w:sz w:val="24"/>
        </w:rPr>
      </w:pPr>
    </w:p>
    <w:p w14:paraId="30004265" w14:textId="77777777" w:rsidR="00B44946" w:rsidRPr="00D041AB" w:rsidRDefault="00B44946" w:rsidP="00B44946">
      <w:pPr>
        <w:rPr>
          <w:rFonts w:ascii="Garamond" w:hAnsi="Garamond"/>
          <w:color w:val="000000" w:themeColor="text1"/>
          <w:sz w:val="24"/>
        </w:rPr>
      </w:pPr>
      <w:r w:rsidRPr="00D041AB">
        <w:rPr>
          <w:rFonts w:ascii="Garamond" w:hAnsi="Garamond"/>
          <w:b/>
          <w:color w:val="000000" w:themeColor="text1"/>
          <w:sz w:val="24"/>
        </w:rPr>
        <w:t xml:space="preserve">Kapitalni budžet, </w:t>
      </w:r>
      <w:r w:rsidRPr="00D041AB">
        <w:rPr>
          <w:rFonts w:ascii="Garamond" w:hAnsi="Garamond"/>
          <w:color w:val="000000" w:themeColor="text1"/>
          <w:sz w:val="24"/>
        </w:rPr>
        <w:t>koji uključuje budžetske pozicije kapitalnih izdataka, kao i pojedine pozicije u okviru rashoda za usluge i druge pozicije, realizovan je u iznosu od 251,17 mil. €, što predstavlja 106,0% plana kapitalnog budžeta za ovaj period. U odnosu na isti period prethodne godine, njegovo ostvarenje je veće za 62,15 mil. € ili 32,9%.</w:t>
      </w:r>
    </w:p>
    <w:p w14:paraId="14FFDF28" w14:textId="532B337C" w:rsidR="00B44946" w:rsidRDefault="00B44946" w:rsidP="00B44946">
      <w:pPr>
        <w:jc w:val="both"/>
        <w:rPr>
          <w:rFonts w:ascii="Garamond" w:hAnsi="Garamond"/>
          <w:color w:val="000000" w:themeColor="text1"/>
          <w:sz w:val="24"/>
        </w:rPr>
      </w:pPr>
      <w:r w:rsidRPr="00C1609C">
        <w:rPr>
          <w:rFonts w:ascii="Garamond" w:hAnsi="Garamond"/>
          <w:color w:val="000000" w:themeColor="text1"/>
          <w:sz w:val="24"/>
        </w:rPr>
        <w:t>Uzimajući u obzir ostvarene prihode i rashode, u posmatranom periodu ostvaren je deficit budžeta u iznosu od 230,9 mil. €, odnosno na nivou od 3,</w:t>
      </w:r>
      <w:r w:rsidR="00913FE3">
        <w:rPr>
          <w:rFonts w:ascii="Garamond" w:hAnsi="Garamond"/>
          <w:color w:val="000000" w:themeColor="text1"/>
          <w:sz w:val="24"/>
        </w:rPr>
        <w:t>1</w:t>
      </w:r>
      <w:r w:rsidRPr="00C1609C">
        <w:rPr>
          <w:rFonts w:ascii="Garamond" w:hAnsi="Garamond"/>
          <w:color w:val="000000" w:themeColor="text1"/>
          <w:sz w:val="24"/>
        </w:rPr>
        <w:t xml:space="preserve">% procijenjenog BDP-a, što je za 4.5 mil € niže ostvarenje od planiranog. Takođe, u istom periodu ostvaren je suficit tekuće potrošnje u iznosu od 49,9 mil. €, što je u poređenju sa planom, koji predviđa ostvarenje suficita tekuće potrošnje od 34,3 mil. €, za 15,5 mil. € veći od plana. Ostvarenje suficita tekuće potrošnje predstavlja ispunjavanje kriterijuma fiskalne odgovornosti, odnosno tzv. zlatnog fiskalnog pravila koje definiše da nivo tekućih izdataka i transfera treba da bude niži od tekućih prihoda i donacija, odnosno da se država zadužila isključivo samo za potrebe finansiranja kapitalnih projekata i otplate duga. </w:t>
      </w:r>
    </w:p>
    <w:p w14:paraId="3720B96E" w14:textId="77777777" w:rsidR="00B44946" w:rsidRPr="00DE6DBE" w:rsidRDefault="00B44946" w:rsidP="00B44946">
      <w:pPr>
        <w:jc w:val="both"/>
        <w:rPr>
          <w:rFonts w:ascii="Garamond" w:hAnsi="Garamond"/>
          <w:color w:val="000000" w:themeColor="text1"/>
          <w:sz w:val="24"/>
        </w:rPr>
      </w:pPr>
    </w:p>
    <w:p w14:paraId="7D7677C4" w14:textId="77777777" w:rsidR="00B44946" w:rsidRPr="005E3E34" w:rsidRDefault="00B44946" w:rsidP="00B44946">
      <w:pPr>
        <w:numPr>
          <w:ilvl w:val="1"/>
          <w:numId w:val="0"/>
        </w:numPr>
        <w:jc w:val="both"/>
        <w:rPr>
          <w:rFonts w:ascii="Garamond" w:hAnsi="Garamond"/>
          <w:color w:val="548DD4"/>
          <w:spacing w:val="15"/>
          <w:shd w:val="clear" w:color="auto" w:fill="FFFFFF"/>
        </w:rPr>
      </w:pPr>
      <w:r w:rsidRPr="005E3E34">
        <w:rPr>
          <w:rFonts w:ascii="Garamond" w:hAnsi="Garamond"/>
          <w:color w:val="548DD4"/>
          <w:spacing w:val="15"/>
          <w:shd w:val="clear" w:color="auto" w:fill="FFFFFF"/>
        </w:rPr>
        <w:t>LOKALNA SAMOUPRAVA</w:t>
      </w:r>
    </w:p>
    <w:p w14:paraId="44DD8CFE" w14:textId="2019B648" w:rsidR="00B44946" w:rsidRPr="00FB3131" w:rsidRDefault="00B44946" w:rsidP="00B44946">
      <w:pPr>
        <w:jc w:val="both"/>
        <w:rPr>
          <w:rFonts w:ascii="Garamond" w:hAnsi="Garamond" w:cstheme="minorHAnsi"/>
          <w:sz w:val="24"/>
          <w:szCs w:val="24"/>
          <w:lang w:val="sr-Latn-RS"/>
        </w:rPr>
      </w:pPr>
      <w:r>
        <w:rPr>
          <w:rFonts w:ascii="Garamond" w:hAnsi="Garamond" w:cstheme="minorHAnsi"/>
          <w:sz w:val="24"/>
          <w:szCs w:val="24"/>
          <w:lang w:val="sr-Latn-RS"/>
        </w:rPr>
        <w:t xml:space="preserve">Prema preliminarnim podacima, </w:t>
      </w:r>
      <w:r w:rsidRPr="00FB3131">
        <w:rPr>
          <w:rFonts w:ascii="Garamond" w:hAnsi="Garamond" w:cstheme="minorHAnsi"/>
          <w:sz w:val="24"/>
          <w:szCs w:val="24"/>
          <w:lang w:val="sr-Latn-RS"/>
        </w:rPr>
        <w:t>izvorni prihodi budžeta jedinica lokalne samouprave u periodu januar - decembar 2024. godine iznosili su 433,</w:t>
      </w:r>
      <w:r>
        <w:rPr>
          <w:rFonts w:ascii="Garamond" w:hAnsi="Garamond" w:cstheme="minorHAnsi"/>
          <w:sz w:val="24"/>
          <w:szCs w:val="24"/>
          <w:lang w:val="sr-Latn-RS"/>
        </w:rPr>
        <w:t>6</w:t>
      </w:r>
      <w:r w:rsidRPr="00FB3131">
        <w:rPr>
          <w:rFonts w:ascii="Garamond" w:hAnsi="Garamond" w:cstheme="minorHAnsi"/>
          <w:sz w:val="24"/>
          <w:szCs w:val="24"/>
          <w:lang w:val="sr-Latn-RS"/>
        </w:rPr>
        <w:t xml:space="preserve"> mil. € ili </w:t>
      </w:r>
      <w:r w:rsidR="00853CC4">
        <w:rPr>
          <w:rFonts w:ascii="Garamond" w:hAnsi="Garamond" w:cstheme="minorHAnsi"/>
          <w:sz w:val="24"/>
          <w:szCs w:val="24"/>
          <w:lang w:val="sr-Latn-RS"/>
        </w:rPr>
        <w:t>5,8</w:t>
      </w:r>
      <w:r w:rsidRPr="00FB3131">
        <w:rPr>
          <w:rFonts w:ascii="Garamond" w:hAnsi="Garamond" w:cstheme="minorHAnsi"/>
          <w:sz w:val="24"/>
          <w:szCs w:val="24"/>
          <w:lang w:val="sr-Latn-RS"/>
        </w:rPr>
        <w:t xml:space="preserve">% BDP-a i odnosu na ostvarene u </w:t>
      </w:r>
      <w:r w:rsidRPr="00FB3131">
        <w:rPr>
          <w:rFonts w:ascii="Garamond" w:hAnsi="Garamond" w:cstheme="minorHAnsi"/>
          <w:sz w:val="24"/>
          <w:szCs w:val="24"/>
          <w:lang w:val="sr-Latn-RS"/>
        </w:rPr>
        <w:lastRenderedPageBreak/>
        <w:t>istom periodu 2023. veći su za 58,</w:t>
      </w:r>
      <w:r>
        <w:rPr>
          <w:rFonts w:ascii="Garamond" w:hAnsi="Garamond" w:cstheme="minorHAnsi"/>
          <w:sz w:val="24"/>
          <w:szCs w:val="24"/>
          <w:lang w:val="sr-Latn-RS"/>
        </w:rPr>
        <w:t>7</w:t>
      </w:r>
      <w:r w:rsidRPr="00FB3131">
        <w:rPr>
          <w:rFonts w:ascii="Garamond" w:hAnsi="Garamond" w:cstheme="minorHAnsi"/>
          <w:sz w:val="24"/>
          <w:szCs w:val="24"/>
          <w:lang w:val="sr-Latn-RS"/>
        </w:rPr>
        <w:t xml:space="preserve"> mil. € ili 15,7%, dok su u odnosu na planirane veći za 44</w:t>
      </w:r>
      <w:r>
        <w:rPr>
          <w:rFonts w:ascii="Garamond" w:hAnsi="Garamond" w:cstheme="minorHAnsi"/>
          <w:sz w:val="24"/>
          <w:szCs w:val="24"/>
          <w:lang w:val="sr-Latn-RS"/>
        </w:rPr>
        <w:t>,1</w:t>
      </w:r>
      <w:r w:rsidRPr="00FB3131">
        <w:rPr>
          <w:rFonts w:ascii="Garamond" w:hAnsi="Garamond" w:cstheme="minorHAnsi"/>
          <w:sz w:val="24"/>
          <w:szCs w:val="24"/>
          <w:lang w:val="sr-Latn-RS"/>
        </w:rPr>
        <w:t xml:space="preserve"> mil. € ili 11,3%. Prihodi od poreza iznosili su 251,3 mil.€ ili 3,</w:t>
      </w:r>
      <w:r w:rsidR="00EC0C17">
        <w:rPr>
          <w:rFonts w:ascii="Garamond" w:hAnsi="Garamond" w:cstheme="minorHAnsi"/>
          <w:sz w:val="24"/>
          <w:szCs w:val="24"/>
          <w:lang w:val="sr-Latn-RS"/>
        </w:rPr>
        <w:t>4</w:t>
      </w:r>
      <w:r w:rsidRPr="00FB3131">
        <w:rPr>
          <w:rFonts w:ascii="Garamond" w:hAnsi="Garamond" w:cstheme="minorHAnsi"/>
          <w:sz w:val="24"/>
          <w:szCs w:val="24"/>
          <w:lang w:val="sr-Latn-RS"/>
        </w:rPr>
        <w:t xml:space="preserve">% BDP-a, a u odnosu na uporedni period veći su za 27,8 mil. €. </w:t>
      </w:r>
    </w:p>
    <w:p w14:paraId="0276D09B" w14:textId="367DB258" w:rsidR="00B44946" w:rsidRPr="00FB3131" w:rsidRDefault="00B44946" w:rsidP="00B44946">
      <w:pPr>
        <w:jc w:val="both"/>
        <w:rPr>
          <w:rFonts w:ascii="Garamond" w:hAnsi="Garamond" w:cstheme="minorHAnsi"/>
          <w:sz w:val="24"/>
          <w:szCs w:val="24"/>
          <w:lang w:val="sr-Latn-RS"/>
        </w:rPr>
      </w:pPr>
      <w:r w:rsidRPr="00FB3131">
        <w:rPr>
          <w:rFonts w:ascii="Garamond" w:hAnsi="Garamond" w:cstheme="minorHAnsi"/>
          <w:b/>
          <w:sz w:val="24"/>
          <w:szCs w:val="24"/>
          <w:lang w:val="sr-Latn-RS"/>
        </w:rPr>
        <w:t>Izdaci budžeta lokalne samouprave</w:t>
      </w:r>
      <w:r w:rsidRPr="00FB3131">
        <w:rPr>
          <w:rFonts w:ascii="Garamond" w:hAnsi="Garamond" w:cstheme="minorHAnsi"/>
          <w:sz w:val="24"/>
          <w:szCs w:val="24"/>
          <w:lang w:val="sr-Latn-RS"/>
        </w:rPr>
        <w:t xml:space="preserve"> u periodu januar - decembar 2024. godine iznosili su 437,4 mil. €, što je za 45,9 mil. € ili 11,7% više u odnosu na planirane dok su u odnosu na uporedni period 2023. godine izdaci veći za 93,5 mil. € ili 27,2%. Kapitalni izdaci, kao pojedinačno najveća rashodna stavka, iznosili su 145,4 mil. € ili </w:t>
      </w:r>
      <w:r w:rsidR="007B0C04">
        <w:rPr>
          <w:rFonts w:ascii="Garamond" w:hAnsi="Garamond" w:cstheme="minorHAnsi"/>
          <w:sz w:val="24"/>
          <w:szCs w:val="24"/>
          <w:lang w:val="sr-Latn-RS"/>
        </w:rPr>
        <w:t>1</w:t>
      </w:r>
      <w:r w:rsidRPr="00FB3131">
        <w:rPr>
          <w:rFonts w:ascii="Garamond" w:hAnsi="Garamond" w:cstheme="minorHAnsi"/>
          <w:sz w:val="24"/>
          <w:szCs w:val="24"/>
          <w:lang w:val="sr-Latn-RS"/>
        </w:rPr>
        <w:t>,</w:t>
      </w:r>
      <w:r w:rsidR="007B0C04">
        <w:rPr>
          <w:rFonts w:ascii="Garamond" w:hAnsi="Garamond" w:cstheme="minorHAnsi"/>
          <w:sz w:val="24"/>
          <w:szCs w:val="24"/>
          <w:lang w:val="sr-Latn-RS"/>
        </w:rPr>
        <w:t>9</w:t>
      </w:r>
      <w:r w:rsidRPr="00FB3131">
        <w:rPr>
          <w:rFonts w:ascii="Garamond" w:hAnsi="Garamond" w:cstheme="minorHAnsi"/>
          <w:sz w:val="24"/>
          <w:szCs w:val="24"/>
          <w:lang w:val="sr-Latn-RS"/>
        </w:rPr>
        <w:t xml:space="preserve">% BDP-a. U odnosu na izvršenje od prethodne godine, kapitalni izdaci su bili veći za 47,1 mil. €. </w:t>
      </w:r>
    </w:p>
    <w:p w14:paraId="232D861A" w14:textId="77777777" w:rsidR="00B44946" w:rsidRPr="00FB3131" w:rsidRDefault="00B44946" w:rsidP="00B44946">
      <w:pPr>
        <w:jc w:val="both"/>
        <w:rPr>
          <w:rFonts w:ascii="Garamond" w:hAnsi="Garamond" w:cstheme="minorHAnsi"/>
          <w:sz w:val="24"/>
          <w:szCs w:val="24"/>
          <w:lang w:val="sr-Latn-RS"/>
        </w:rPr>
      </w:pPr>
      <w:r w:rsidRPr="00FB3131">
        <w:rPr>
          <w:rFonts w:ascii="Garamond" w:hAnsi="Garamond" w:cstheme="minorHAnsi"/>
          <w:sz w:val="24"/>
          <w:szCs w:val="24"/>
          <w:lang w:val="sr-Latn-RS"/>
        </w:rPr>
        <w:t xml:space="preserve">U četrvrtom kvartalu 2024. godine zabilježen </w:t>
      </w:r>
      <w:r w:rsidRPr="00FB3131">
        <w:rPr>
          <w:rFonts w:ascii="Garamond" w:hAnsi="Garamond" w:cstheme="minorHAnsi"/>
          <w:b/>
          <w:sz w:val="24"/>
          <w:szCs w:val="24"/>
          <w:lang w:val="sr-Latn-RS"/>
        </w:rPr>
        <w:t>je deficit lokalne samouprave</w:t>
      </w:r>
      <w:r w:rsidRPr="00FB3131">
        <w:rPr>
          <w:rFonts w:ascii="Garamond" w:hAnsi="Garamond" w:cstheme="minorHAnsi"/>
          <w:sz w:val="24"/>
          <w:szCs w:val="24"/>
          <w:lang w:val="sr-Latn-RS"/>
        </w:rPr>
        <w:t xml:space="preserve"> u iznosu od 3,</w:t>
      </w:r>
      <w:r>
        <w:rPr>
          <w:rFonts w:ascii="Garamond" w:hAnsi="Garamond" w:cstheme="minorHAnsi"/>
          <w:sz w:val="24"/>
          <w:szCs w:val="24"/>
          <w:lang w:val="sr-Latn-RS"/>
        </w:rPr>
        <w:t>8</w:t>
      </w:r>
      <w:r w:rsidRPr="00FB3131">
        <w:rPr>
          <w:rFonts w:ascii="Garamond" w:hAnsi="Garamond" w:cstheme="minorHAnsi"/>
          <w:sz w:val="24"/>
          <w:szCs w:val="24"/>
          <w:lang w:val="sr-Latn-RS"/>
        </w:rPr>
        <w:t xml:space="preserve"> mil. €.</w:t>
      </w:r>
    </w:p>
    <w:p w14:paraId="630EDA4E" w14:textId="1CE10A67" w:rsidR="00AE1EA9" w:rsidRPr="009D18F1" w:rsidRDefault="00B44946" w:rsidP="00F46820">
      <w:pPr>
        <w:jc w:val="both"/>
        <w:rPr>
          <w:rFonts w:ascii="Garamond" w:hAnsi="Garamond" w:cstheme="minorHAnsi"/>
          <w:sz w:val="24"/>
          <w:szCs w:val="24"/>
          <w:lang w:val="sr-Latn-RS"/>
        </w:rPr>
      </w:pPr>
      <w:r w:rsidRPr="00FB3131">
        <w:rPr>
          <w:rFonts w:ascii="Garamond" w:hAnsi="Garamond" w:cstheme="minorHAnsi"/>
          <w:sz w:val="24"/>
          <w:szCs w:val="24"/>
          <w:lang w:val="sr-Latn-RS"/>
        </w:rPr>
        <w:t>U posmatranom periodu došlo je do povećanja depozita lokalnih samouprava od 1</w:t>
      </w:r>
      <w:r>
        <w:rPr>
          <w:rFonts w:ascii="Garamond" w:hAnsi="Garamond" w:cstheme="minorHAnsi"/>
          <w:sz w:val="24"/>
          <w:szCs w:val="24"/>
          <w:lang w:val="sr-Latn-RS"/>
        </w:rPr>
        <w:t>3</w:t>
      </w:r>
      <w:r w:rsidRPr="00FB3131">
        <w:rPr>
          <w:rFonts w:ascii="Garamond" w:hAnsi="Garamond" w:cstheme="minorHAnsi"/>
          <w:sz w:val="24"/>
          <w:szCs w:val="24"/>
          <w:lang w:val="sr-Latn-RS"/>
        </w:rPr>
        <w:t>,</w:t>
      </w:r>
      <w:r>
        <w:rPr>
          <w:rFonts w:ascii="Garamond" w:hAnsi="Garamond" w:cstheme="minorHAnsi"/>
          <w:sz w:val="24"/>
          <w:szCs w:val="24"/>
          <w:lang w:val="sr-Latn-RS"/>
        </w:rPr>
        <w:t>9</w:t>
      </w:r>
      <w:r w:rsidRPr="00FB3131">
        <w:rPr>
          <w:rFonts w:ascii="Garamond" w:hAnsi="Garamond" w:cstheme="minorHAnsi"/>
          <w:sz w:val="24"/>
          <w:szCs w:val="24"/>
          <w:lang w:val="sr-Latn-RS"/>
        </w:rPr>
        <w:t xml:space="preserve"> mil. € ili </w:t>
      </w:r>
      <w:r w:rsidRPr="009D3811">
        <w:rPr>
          <w:rFonts w:ascii="Garamond" w:hAnsi="Garamond" w:cstheme="minorHAnsi"/>
          <w:sz w:val="24"/>
          <w:szCs w:val="24"/>
          <w:lang w:val="sr-Latn-RS"/>
        </w:rPr>
        <w:t>0,2% BDP-a.</w:t>
      </w:r>
    </w:p>
    <w:p w14:paraId="7615CDEA" w14:textId="2051BCDC" w:rsidR="00782801" w:rsidRPr="00782801" w:rsidRDefault="005A3172" w:rsidP="00782801">
      <w:pPr>
        <w:numPr>
          <w:ilvl w:val="1"/>
          <w:numId w:val="0"/>
        </w:numPr>
        <w:spacing w:before="240" w:after="120"/>
        <w:jc w:val="both"/>
        <w:rPr>
          <w:rFonts w:ascii="Garamond" w:hAnsi="Garamond"/>
          <w:color w:val="548DD4"/>
          <w:spacing w:val="15"/>
          <w:sz w:val="24"/>
          <w:shd w:val="clear" w:color="auto" w:fill="FFFFFF"/>
        </w:rPr>
      </w:pPr>
      <w:r w:rsidRPr="00782801">
        <w:rPr>
          <w:rFonts w:ascii="Garamond" w:hAnsi="Garamond"/>
          <w:color w:val="548DD4"/>
          <w:spacing w:val="15"/>
          <w:sz w:val="24"/>
          <w:shd w:val="clear" w:color="auto" w:fill="FFFFFF"/>
        </w:rPr>
        <w:t>JAVNI DUG U 2024. GODINI</w:t>
      </w:r>
    </w:p>
    <w:p w14:paraId="3D8991A1" w14:textId="77777777" w:rsidR="00782801" w:rsidRPr="002003A5" w:rsidRDefault="00782801" w:rsidP="00782801">
      <w:pPr>
        <w:pStyle w:val="Footer"/>
        <w:suppressAutoHyphens/>
        <w:jc w:val="both"/>
        <w:rPr>
          <w:rFonts w:ascii="Garamond" w:hAnsi="Garamond"/>
          <w:b/>
          <w:sz w:val="24"/>
          <w:szCs w:val="24"/>
        </w:rPr>
      </w:pPr>
    </w:p>
    <w:p w14:paraId="61A49EA2" w14:textId="77777777" w:rsidR="00782801" w:rsidRPr="00782801" w:rsidRDefault="00782801" w:rsidP="00782801">
      <w:pPr>
        <w:jc w:val="both"/>
        <w:rPr>
          <w:rFonts w:ascii="Garamond" w:hAnsi="Garamond"/>
          <w:color w:val="000000" w:themeColor="text1"/>
          <w:sz w:val="24"/>
        </w:rPr>
      </w:pPr>
      <w:r w:rsidRPr="00782801">
        <w:rPr>
          <w:rFonts w:ascii="Garamond" w:hAnsi="Garamond"/>
          <w:color w:val="000000" w:themeColor="text1"/>
          <w:sz w:val="24"/>
        </w:rPr>
        <w:t xml:space="preserve">Ukupan javni dug Crne Gore, na dan 31.12.2024. godine, iznosi 4.573,83 miliona eura, odnosno 61,32% BDP-a . </w:t>
      </w:r>
    </w:p>
    <w:p w14:paraId="0366A231" w14:textId="77777777" w:rsidR="00782801" w:rsidRPr="00782801" w:rsidRDefault="00782801" w:rsidP="00782801">
      <w:pPr>
        <w:jc w:val="both"/>
        <w:rPr>
          <w:rFonts w:ascii="Garamond" w:hAnsi="Garamond"/>
          <w:color w:val="000000" w:themeColor="text1"/>
          <w:sz w:val="24"/>
        </w:rPr>
      </w:pPr>
      <w:r w:rsidRPr="00782801">
        <w:rPr>
          <w:rFonts w:ascii="Garamond" w:hAnsi="Garamond"/>
          <w:color w:val="000000" w:themeColor="text1"/>
          <w:sz w:val="24"/>
        </w:rPr>
        <w:t xml:space="preserve">Uzimajući u obzir depozite Ministarstva finansija (uključujući i 38.477 unci zlata ), a koji su, na kraju 2024. godine, iznosili 385,36 miliona eura, neto javni dug Crne Gore, na dan 31.12.2024. godine, iznosi 4.188,48 miliona eura, odnosno 56,15% BDP-a. </w:t>
      </w:r>
    </w:p>
    <w:p w14:paraId="1368F683" w14:textId="77777777" w:rsidR="00782801" w:rsidRPr="00782801" w:rsidRDefault="00782801" w:rsidP="00782801">
      <w:pPr>
        <w:jc w:val="both"/>
        <w:rPr>
          <w:rFonts w:ascii="Garamond" w:hAnsi="Garamond"/>
          <w:color w:val="000000" w:themeColor="text1"/>
          <w:sz w:val="24"/>
        </w:rPr>
      </w:pPr>
      <w:r w:rsidRPr="00782801">
        <w:rPr>
          <w:rFonts w:ascii="Garamond" w:hAnsi="Garamond"/>
          <w:color w:val="000000" w:themeColor="text1"/>
          <w:sz w:val="24"/>
        </w:rPr>
        <w:t>Javni dug sastoji se od duga centralnog nivoa države tj. državnog duga i duga lokalnih samouprava.</w:t>
      </w:r>
    </w:p>
    <w:p w14:paraId="3CC5C8B8" w14:textId="77777777" w:rsidR="00782801" w:rsidRPr="00782801" w:rsidRDefault="00782801" w:rsidP="00782801">
      <w:pPr>
        <w:pStyle w:val="Footer"/>
        <w:suppressAutoHyphens/>
        <w:jc w:val="both"/>
        <w:rPr>
          <w:rFonts w:ascii="Garamond" w:hAnsi="Garamond"/>
          <w:color w:val="000000" w:themeColor="text1"/>
          <w:sz w:val="24"/>
        </w:rPr>
      </w:pPr>
      <w:r w:rsidRPr="00782801">
        <w:rPr>
          <w:rFonts w:ascii="Garamond" w:hAnsi="Garamond"/>
          <w:color w:val="000000" w:themeColor="text1"/>
          <w:sz w:val="24"/>
        </w:rPr>
        <w:t>Ukupan državni dug (bez depozita), na 31.12.2024. godine, iznosio je 4.514,77 miliona eura, ili 60,53% BDP-a. Ukupan državni dug uključujući depozite, na kraju 2024. godine, iznosio je 4.129,42 miliona eura ili 55,36% BDP-a.</w:t>
      </w:r>
    </w:p>
    <w:p w14:paraId="0AB21F7A" w14:textId="77777777" w:rsidR="00782801" w:rsidRPr="00782801" w:rsidRDefault="00782801" w:rsidP="00782801">
      <w:pPr>
        <w:pStyle w:val="Footer"/>
        <w:suppressAutoHyphens/>
        <w:jc w:val="both"/>
        <w:rPr>
          <w:rFonts w:ascii="Garamond" w:hAnsi="Garamond"/>
          <w:color w:val="000000" w:themeColor="text1"/>
          <w:sz w:val="24"/>
        </w:rPr>
      </w:pPr>
    </w:p>
    <w:p w14:paraId="6E6E3C9F" w14:textId="77777777" w:rsidR="00782801" w:rsidRPr="001210A9" w:rsidRDefault="00782801" w:rsidP="00782801">
      <w:pPr>
        <w:jc w:val="both"/>
        <w:rPr>
          <w:rFonts w:ascii="Cambria" w:eastAsia="Cambria" w:hAnsi="Cambria"/>
          <w:lang w:val="sr-Latn-RS"/>
        </w:rPr>
      </w:pPr>
      <w:r w:rsidRPr="001210A9">
        <w:rPr>
          <w:rFonts w:ascii="Cambria" w:hAnsi="Cambria"/>
          <w:b/>
          <w:sz w:val="20"/>
          <w:szCs w:val="20"/>
        </w:rPr>
        <w:t>Grafik 1: Kretanje državnog duga                                       Grafik 2:</w:t>
      </w:r>
      <w:r w:rsidRPr="001210A9">
        <w:rPr>
          <w:rFonts w:ascii="Cambria" w:eastAsia="Cambria" w:hAnsi="Cambria"/>
          <w:b/>
          <w:bCs/>
          <w:smallCaps/>
          <w:lang w:val="en-GB"/>
        </w:rPr>
        <w:t xml:space="preserve"> </w:t>
      </w:r>
      <w:r w:rsidRPr="001210A9">
        <w:rPr>
          <w:rFonts w:ascii="Cambria" w:hAnsi="Cambria"/>
          <w:b/>
          <w:sz w:val="20"/>
          <w:szCs w:val="20"/>
        </w:rPr>
        <w:t>Kretanje</w:t>
      </w:r>
      <w:r w:rsidRPr="001210A9">
        <w:rPr>
          <w:rFonts w:ascii="Cambria" w:eastAsia="Cambria" w:hAnsi="Cambria"/>
          <w:b/>
          <w:bCs/>
          <w:smallCaps/>
          <w:lang w:val="en-GB"/>
        </w:rPr>
        <w:t xml:space="preserve"> </w:t>
      </w:r>
      <w:r w:rsidRPr="001210A9">
        <w:rPr>
          <w:rFonts w:ascii="Cambria" w:hAnsi="Cambria"/>
          <w:b/>
          <w:sz w:val="20"/>
          <w:szCs w:val="20"/>
        </w:rPr>
        <w:t>javnog duga</w:t>
      </w:r>
    </w:p>
    <w:p w14:paraId="4CDFFD0F" w14:textId="6E75005D" w:rsidR="00782801" w:rsidRPr="00782801" w:rsidRDefault="00782801" w:rsidP="00782801">
      <w:pPr>
        <w:rPr>
          <w:rFonts w:ascii="Cambria" w:eastAsia="Cambria" w:hAnsi="Cambria"/>
          <w:sz w:val="20"/>
          <w:szCs w:val="20"/>
          <w:lang w:val="en-GB"/>
        </w:rPr>
      </w:pPr>
      <w:r>
        <w:rPr>
          <w:noProof/>
        </w:rPr>
        <w:drawing>
          <wp:inline distT="0" distB="0" distL="0" distR="0" wp14:anchorId="0B3F9131" wp14:editId="20B1B907">
            <wp:extent cx="2800350" cy="2143125"/>
            <wp:effectExtent l="0" t="0" r="0" b="0"/>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Cambria" w:eastAsia="Cambria" w:hAnsi="Cambria"/>
          <w:sz w:val="20"/>
          <w:szCs w:val="20"/>
          <w:lang w:val="en-GB"/>
        </w:rPr>
        <w:t xml:space="preserve">  </w:t>
      </w:r>
      <w:r>
        <w:rPr>
          <w:noProof/>
        </w:rPr>
        <w:drawing>
          <wp:inline distT="0" distB="0" distL="0" distR="0" wp14:anchorId="5D1417AC" wp14:editId="66DD06AC">
            <wp:extent cx="2733675" cy="2162175"/>
            <wp:effectExtent l="0" t="0" r="0" b="0"/>
            <wp:docPr id="10" name="Chart 1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F77FA">
        <w:rPr>
          <w:rFonts w:ascii="Garamond" w:hAnsi="Garamond"/>
          <w:sz w:val="24"/>
          <w:szCs w:val="24"/>
          <w:highlight w:val="yellow"/>
        </w:rPr>
        <w:t xml:space="preserve">     </w:t>
      </w:r>
    </w:p>
    <w:p w14:paraId="47FBF447" w14:textId="77777777" w:rsidR="00782801" w:rsidRPr="005F77FA" w:rsidRDefault="00782801" w:rsidP="00782801">
      <w:pPr>
        <w:pStyle w:val="Footer"/>
        <w:suppressAutoHyphens/>
        <w:jc w:val="both"/>
        <w:rPr>
          <w:rFonts w:ascii="Garamond" w:hAnsi="Garamond"/>
          <w:sz w:val="24"/>
          <w:szCs w:val="24"/>
          <w:highlight w:val="yellow"/>
        </w:rPr>
      </w:pPr>
    </w:p>
    <w:p w14:paraId="27D71ABE" w14:textId="77777777" w:rsidR="00782801" w:rsidRPr="002003A5" w:rsidRDefault="00782801" w:rsidP="00782801">
      <w:pPr>
        <w:spacing w:after="0" w:line="240" w:lineRule="auto"/>
        <w:jc w:val="right"/>
        <w:rPr>
          <w:rFonts w:ascii="Cambria" w:eastAsia="Times New Roman" w:hAnsi="Cambria" w:cs="Times New Roman"/>
          <w:b/>
          <w:color w:val="000000"/>
          <w:sz w:val="20"/>
        </w:rPr>
      </w:pPr>
      <w:r w:rsidRPr="002003A5">
        <w:rPr>
          <w:rFonts w:ascii="Cambria" w:eastAsia="Times New Roman" w:hAnsi="Cambria" w:cs="Times New Roman"/>
          <w:b/>
          <w:color w:val="000000"/>
          <w:sz w:val="20"/>
        </w:rPr>
        <w:t xml:space="preserve">Grafik : Odnos spoljnjeg i domaćeg duga </w:t>
      </w:r>
    </w:p>
    <w:p w14:paraId="0229A16D" w14:textId="77777777" w:rsidR="00782801" w:rsidRPr="002003A5" w:rsidRDefault="00782801" w:rsidP="00782801">
      <w:pPr>
        <w:spacing w:after="0" w:line="240" w:lineRule="auto"/>
        <w:jc w:val="right"/>
        <w:rPr>
          <w:rFonts w:ascii="Cambria" w:eastAsia="Times New Roman" w:hAnsi="Cambria" w:cs="Times New Roman"/>
          <w:b/>
          <w:color w:val="000000"/>
          <w:sz w:val="20"/>
        </w:rPr>
      </w:pPr>
      <w:r w:rsidRPr="002003A5">
        <w:rPr>
          <w:rFonts w:ascii="Cambria" w:eastAsia="Times New Roman" w:hAnsi="Cambria" w:cs="Times New Roman"/>
          <w:b/>
          <w:color w:val="000000"/>
          <w:sz w:val="20"/>
        </w:rPr>
        <w:t xml:space="preserve">    </w:t>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r>
      <w:r w:rsidRPr="002003A5">
        <w:rPr>
          <w:rFonts w:ascii="Cambria" w:eastAsia="Times New Roman" w:hAnsi="Cambria" w:cs="Times New Roman"/>
          <w:b/>
          <w:color w:val="000000"/>
          <w:sz w:val="20"/>
        </w:rPr>
        <w:tab/>
        <w:t xml:space="preserve">       na 31.12.2024. godine                                                             </w:t>
      </w:r>
      <w:bookmarkStart w:id="0" w:name="_Toc41286675"/>
    </w:p>
    <w:bookmarkEnd w:id="0"/>
    <w:p w14:paraId="12228122" w14:textId="77777777" w:rsidR="00782801" w:rsidRDefault="00782801" w:rsidP="00782801">
      <w:pPr>
        <w:pStyle w:val="Footer"/>
        <w:suppressAutoHyphens/>
        <w:jc w:val="both"/>
        <w:rPr>
          <w:rFonts w:ascii="Garamond" w:hAnsi="Garamond"/>
          <w:sz w:val="24"/>
          <w:szCs w:val="24"/>
        </w:rPr>
      </w:pPr>
      <w:r>
        <w:rPr>
          <w:noProof/>
        </w:rPr>
        <w:lastRenderedPageBreak/>
        <w:drawing>
          <wp:anchor distT="0" distB="0" distL="114300" distR="114300" simplePos="0" relativeHeight="251659264" behindDoc="0" locked="0" layoutInCell="1" allowOverlap="1" wp14:anchorId="4855ED45" wp14:editId="237C426A">
            <wp:simplePos x="0" y="0"/>
            <wp:positionH relativeFrom="margin">
              <wp:align>right</wp:align>
            </wp:positionH>
            <wp:positionV relativeFrom="paragraph">
              <wp:posOffset>12065</wp:posOffset>
            </wp:positionV>
            <wp:extent cx="2428875" cy="2124075"/>
            <wp:effectExtent l="0" t="0" r="0" b="0"/>
            <wp:wrapSquare wrapText="bothSides"/>
            <wp:docPr id="7" name="Chart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0C0A11D" w14:textId="77777777" w:rsidR="00782801" w:rsidRPr="002003A5" w:rsidRDefault="00782801" w:rsidP="00782801">
      <w:pPr>
        <w:pStyle w:val="Footer"/>
        <w:suppressAutoHyphens/>
        <w:jc w:val="both"/>
        <w:rPr>
          <w:rFonts w:ascii="Garamond" w:hAnsi="Garamond"/>
          <w:sz w:val="24"/>
          <w:szCs w:val="24"/>
        </w:rPr>
      </w:pPr>
      <w:r w:rsidRPr="002003A5">
        <w:rPr>
          <w:rFonts w:ascii="Garamond" w:hAnsi="Garamond"/>
          <w:sz w:val="24"/>
          <w:szCs w:val="24"/>
        </w:rPr>
        <w:t xml:space="preserve">U strukturi državnog duga, dominantno je zastupljen dug prema ino kreditorima, koji je iznosio 4.183.48 mil. €, odnosno 56,08% BDP-a, i čini </w:t>
      </w:r>
      <w:r w:rsidRPr="002003A5">
        <w:rPr>
          <w:rFonts w:ascii="Garamond" w:hAnsi="Garamond" w:cs="Calibri"/>
          <w:b/>
          <w:bCs/>
        </w:rPr>
        <w:t xml:space="preserve">92.66% </w:t>
      </w:r>
      <w:r w:rsidRPr="002003A5">
        <w:rPr>
          <w:rFonts w:ascii="Garamond" w:hAnsi="Garamond"/>
          <w:sz w:val="24"/>
          <w:szCs w:val="24"/>
        </w:rPr>
        <w:t>ukupnog  državnog duga, dok je unutrašnji dug iznosio 331,30  mil. €, odnosno 4,44% BDP-a, što predstavlja 7,3% ukupnog državnog duga.</w:t>
      </w:r>
    </w:p>
    <w:p w14:paraId="08F1A304" w14:textId="77777777" w:rsidR="00782801" w:rsidRPr="002003A5" w:rsidRDefault="00782801" w:rsidP="00782801">
      <w:pPr>
        <w:pStyle w:val="Footer"/>
        <w:suppressAutoHyphens/>
        <w:jc w:val="both"/>
        <w:rPr>
          <w:rFonts w:ascii="Garamond" w:hAnsi="Garamond"/>
          <w:sz w:val="24"/>
          <w:szCs w:val="24"/>
        </w:rPr>
      </w:pPr>
    </w:p>
    <w:p w14:paraId="39077CE3" w14:textId="77777777" w:rsidR="00782801" w:rsidRPr="002003A5" w:rsidRDefault="00782801" w:rsidP="00782801">
      <w:pPr>
        <w:pStyle w:val="Footer"/>
        <w:suppressAutoHyphens/>
        <w:jc w:val="both"/>
        <w:rPr>
          <w:rFonts w:ascii="Garamond" w:hAnsi="Garamond"/>
          <w:sz w:val="24"/>
          <w:szCs w:val="24"/>
        </w:rPr>
      </w:pPr>
      <w:r w:rsidRPr="002003A5">
        <w:rPr>
          <w:rFonts w:ascii="Garamond" w:hAnsi="Garamond"/>
          <w:sz w:val="24"/>
          <w:szCs w:val="24"/>
        </w:rPr>
        <w:t>U stanje državnog duga uključen je i dio duga lokalne  samouprave, u iznosu od 34,21 mil. €, po osnovu ugovora za koje je Ministarstvo finansija zaključilo sa međunarodnim kreditorima i dalje proslijedilo opštinama u obliku transfernih zajmova.</w:t>
      </w:r>
    </w:p>
    <w:p w14:paraId="6F4EDF49" w14:textId="77777777" w:rsidR="00782801" w:rsidRPr="005F77FA" w:rsidRDefault="00782801" w:rsidP="00782801">
      <w:pPr>
        <w:pStyle w:val="Footer"/>
        <w:suppressAutoHyphens/>
        <w:jc w:val="both"/>
        <w:rPr>
          <w:rFonts w:ascii="Garamond" w:hAnsi="Garamond"/>
          <w:sz w:val="24"/>
          <w:szCs w:val="24"/>
          <w:highlight w:val="yellow"/>
        </w:rPr>
      </w:pPr>
    </w:p>
    <w:p w14:paraId="3FD8F705" w14:textId="77777777" w:rsidR="00782801" w:rsidRDefault="00782801" w:rsidP="00782801">
      <w:pPr>
        <w:pStyle w:val="Footer"/>
        <w:suppressAutoHyphens/>
        <w:rPr>
          <w:rFonts w:ascii="Garamond" w:hAnsi="Garamond"/>
          <w:sz w:val="24"/>
          <w:szCs w:val="24"/>
        </w:rPr>
      </w:pPr>
      <w:r w:rsidRPr="002003A5">
        <w:rPr>
          <w:rFonts w:ascii="Garamond" w:hAnsi="Garamond"/>
          <w:sz w:val="24"/>
          <w:szCs w:val="24"/>
        </w:rPr>
        <w:t>U odnosu na kraj 2023. godine, došlo je do povećanja državnog duga u ukupnom iznosu od 454,87 miliona eura, što je rezultat razlike između povećanja spoljnjeg duga za 666,19 miliona eura, i smanjenja domaćeg duga za 211,32 miliona eura.</w:t>
      </w:r>
    </w:p>
    <w:p w14:paraId="01894C45" w14:textId="77777777" w:rsidR="00782801" w:rsidRPr="003E6974" w:rsidRDefault="00782801" w:rsidP="00782801">
      <w:pPr>
        <w:pStyle w:val="Footer"/>
        <w:suppressAutoHyphens/>
        <w:jc w:val="both"/>
        <w:rPr>
          <w:rFonts w:ascii="Garamond" w:hAnsi="Garamond"/>
          <w:sz w:val="24"/>
          <w:szCs w:val="24"/>
        </w:rPr>
      </w:pPr>
    </w:p>
    <w:p w14:paraId="34BC3245" w14:textId="32E15E2A" w:rsidR="00BB4CEC" w:rsidRDefault="00BB4CEC" w:rsidP="00F46820">
      <w:pPr>
        <w:jc w:val="both"/>
        <w:rPr>
          <w:rFonts w:ascii="Garamond" w:hAnsi="Garamond" w:cstheme="minorHAnsi"/>
          <w:sz w:val="24"/>
          <w:szCs w:val="24"/>
        </w:rPr>
      </w:pPr>
    </w:p>
    <w:p w14:paraId="0AE65255" w14:textId="50A7495D" w:rsidR="00BB4CEC" w:rsidRPr="00AE1EA9" w:rsidRDefault="00BB4CEC" w:rsidP="00BB4CEC">
      <w:pPr>
        <w:jc w:val="both"/>
        <w:rPr>
          <w:rFonts w:ascii="Garamond" w:hAnsi="Garamond" w:cstheme="minorHAnsi"/>
          <w:sz w:val="24"/>
          <w:szCs w:val="24"/>
        </w:rPr>
      </w:pPr>
      <w:bookmarkStart w:id="1" w:name="_GoBack"/>
      <w:bookmarkEnd w:id="1"/>
    </w:p>
    <w:sectPr w:rsidR="00BB4CEC" w:rsidRPr="00AE1EA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066" w16cex:dateUtc="2021-02-15T1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09E0" w14:textId="77777777" w:rsidR="007B5E46" w:rsidRDefault="007B5E46" w:rsidP="009D4601">
      <w:pPr>
        <w:spacing w:after="0" w:line="240" w:lineRule="auto"/>
      </w:pPr>
      <w:r>
        <w:separator/>
      </w:r>
    </w:p>
  </w:endnote>
  <w:endnote w:type="continuationSeparator" w:id="0">
    <w:p w14:paraId="1F060C12" w14:textId="77777777" w:rsidR="007B5E46" w:rsidRDefault="007B5E46" w:rsidP="009D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A70A" w14:textId="77777777" w:rsidR="007B5E46" w:rsidRDefault="007B5E46" w:rsidP="009D4601">
      <w:pPr>
        <w:spacing w:after="0" w:line="240" w:lineRule="auto"/>
      </w:pPr>
      <w:r>
        <w:separator/>
      </w:r>
    </w:p>
  </w:footnote>
  <w:footnote w:type="continuationSeparator" w:id="0">
    <w:p w14:paraId="01D30A76" w14:textId="77777777" w:rsidR="007B5E46" w:rsidRDefault="007B5E46" w:rsidP="009D4601">
      <w:pPr>
        <w:spacing w:after="0" w:line="240" w:lineRule="auto"/>
      </w:pPr>
      <w:r>
        <w:continuationSeparator/>
      </w:r>
    </w:p>
  </w:footnote>
  <w:footnote w:id="1">
    <w:p w14:paraId="5BB31832" w14:textId="77777777" w:rsidR="00BF056B" w:rsidRDefault="00BF056B" w:rsidP="00BF056B">
      <w:pPr>
        <w:pStyle w:val="FootnoteText"/>
      </w:pPr>
      <w:r>
        <w:rPr>
          <w:rStyle w:val="FootnoteReference"/>
        </w:rPr>
        <w:footnoteRef/>
      </w:r>
      <w:r w:rsidRPr="00A92463">
        <w:rPr>
          <w:rFonts w:ascii="Garamond" w:hAnsi="Garamond"/>
        </w:rPr>
        <w:t xml:space="preserve"> Preliminarni obračun kvartalnog BDP-a za četvrti kvartal 202</w:t>
      </w:r>
      <w:r>
        <w:rPr>
          <w:rFonts w:ascii="Garamond" w:hAnsi="Garamond"/>
        </w:rPr>
        <w:t>4</w:t>
      </w:r>
      <w:r w:rsidRPr="00A92463">
        <w:rPr>
          <w:rFonts w:ascii="Garamond" w:hAnsi="Garamond"/>
        </w:rPr>
        <w:t>. godine ob</w:t>
      </w:r>
      <w:r>
        <w:rPr>
          <w:rFonts w:ascii="Garamond" w:hAnsi="Garamond"/>
        </w:rPr>
        <w:t>j</w:t>
      </w:r>
      <w:r w:rsidRPr="00A92463">
        <w:rPr>
          <w:rFonts w:ascii="Garamond" w:hAnsi="Garamond"/>
        </w:rPr>
        <w:t>avljen</w:t>
      </w:r>
      <w:r>
        <w:rPr>
          <w:rFonts w:ascii="Garamond" w:hAnsi="Garamond"/>
        </w:rPr>
        <w:t xml:space="preserve"> je</w:t>
      </w:r>
      <w:r w:rsidRPr="00A92463">
        <w:rPr>
          <w:rFonts w:ascii="Garamond" w:hAnsi="Garamond"/>
        </w:rPr>
        <w:t xml:space="preserve"> na internet stranici Uprave za statistiku </w:t>
      </w:r>
      <w:r>
        <w:rPr>
          <w:rFonts w:ascii="Garamond" w:hAnsi="Garamond"/>
        </w:rPr>
        <w:t>07</w:t>
      </w:r>
      <w:r w:rsidRPr="00A92463">
        <w:rPr>
          <w:rFonts w:ascii="Garamond" w:hAnsi="Garamond"/>
        </w:rPr>
        <w:t>.03.202</w:t>
      </w:r>
      <w:r>
        <w:rPr>
          <w:rFonts w:ascii="Garamond" w:hAnsi="Garamond"/>
        </w:rPr>
        <w:t>5</w:t>
      </w:r>
      <w:r w:rsidRPr="00A92463">
        <w:rPr>
          <w:rFonts w:ascii="Garamond" w:hAnsi="Garamond"/>
        </w:rPr>
        <w:t>. godine</w:t>
      </w:r>
    </w:p>
  </w:footnote>
  <w:footnote w:id="2">
    <w:p w14:paraId="0B6E8113" w14:textId="77777777" w:rsidR="0072206F" w:rsidRPr="000148BA" w:rsidRDefault="0072206F" w:rsidP="0072206F">
      <w:pPr>
        <w:pStyle w:val="FootnoteText"/>
        <w:rPr>
          <w:rFonts w:ascii="Garamond" w:hAnsi="Garamond"/>
        </w:rPr>
      </w:pPr>
      <w:r w:rsidRPr="000148BA">
        <w:rPr>
          <w:rStyle w:val="FootnoteReference"/>
          <w:rFonts w:ascii="Garamond" w:hAnsi="Garamond"/>
        </w:rPr>
        <w:footnoteRef/>
      </w:r>
      <w:r w:rsidRPr="000148BA">
        <w:rPr>
          <w:rFonts w:ascii="Garamond" w:hAnsi="Garamond"/>
        </w:rPr>
        <w:t xml:space="preserve"> Podaci će biti konačni nakon usvajanja Zakona o završnom računu budžeta Crne Gore za 202</w:t>
      </w:r>
      <w:r>
        <w:rPr>
          <w:rFonts w:ascii="Garamond" w:hAnsi="Garamond"/>
        </w:rPr>
        <w:t>4</w:t>
      </w:r>
      <w:r w:rsidRPr="000148BA">
        <w:rPr>
          <w:rFonts w:ascii="Garamond" w:hAnsi="Garamond"/>
        </w:rPr>
        <w:t>. godinu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A3E13"/>
    <w:multiLevelType w:val="hybridMultilevel"/>
    <w:tmpl w:val="50205D0A"/>
    <w:lvl w:ilvl="0" w:tplc="7D98BA8E">
      <w:numFmt w:val="bullet"/>
      <w:lvlText w:val="-"/>
      <w:lvlJc w:val="left"/>
      <w:pPr>
        <w:ind w:left="720" w:hanging="360"/>
      </w:pPr>
      <w:rPr>
        <w:rFonts w:ascii="Garamond" w:eastAsiaTheme="minorHAnsi" w:hAnsi="Garamond"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C7"/>
    <w:rsid w:val="00001999"/>
    <w:rsid w:val="00005D36"/>
    <w:rsid w:val="000063A8"/>
    <w:rsid w:val="000074D7"/>
    <w:rsid w:val="00007DB9"/>
    <w:rsid w:val="00010CE2"/>
    <w:rsid w:val="000171F7"/>
    <w:rsid w:val="00017B87"/>
    <w:rsid w:val="0002025C"/>
    <w:rsid w:val="00022F86"/>
    <w:rsid w:val="0002466D"/>
    <w:rsid w:val="00034611"/>
    <w:rsid w:val="000353F1"/>
    <w:rsid w:val="00037238"/>
    <w:rsid w:val="00041116"/>
    <w:rsid w:val="00043279"/>
    <w:rsid w:val="000443B2"/>
    <w:rsid w:val="00047BF5"/>
    <w:rsid w:val="0005016F"/>
    <w:rsid w:val="000501C9"/>
    <w:rsid w:val="00051E94"/>
    <w:rsid w:val="00052525"/>
    <w:rsid w:val="00054CED"/>
    <w:rsid w:val="00056671"/>
    <w:rsid w:val="00056988"/>
    <w:rsid w:val="00060B94"/>
    <w:rsid w:val="00064179"/>
    <w:rsid w:val="0006455C"/>
    <w:rsid w:val="000651F4"/>
    <w:rsid w:val="00071016"/>
    <w:rsid w:val="00074483"/>
    <w:rsid w:val="00080CAB"/>
    <w:rsid w:val="00081CC3"/>
    <w:rsid w:val="00082F6C"/>
    <w:rsid w:val="00083959"/>
    <w:rsid w:val="0008737F"/>
    <w:rsid w:val="00090721"/>
    <w:rsid w:val="0009129B"/>
    <w:rsid w:val="000A0E81"/>
    <w:rsid w:val="000A212A"/>
    <w:rsid w:val="000B092C"/>
    <w:rsid w:val="000B26F4"/>
    <w:rsid w:val="000B366D"/>
    <w:rsid w:val="000B5A7D"/>
    <w:rsid w:val="000C203F"/>
    <w:rsid w:val="000C7BC4"/>
    <w:rsid w:val="000D02B0"/>
    <w:rsid w:val="000D05F9"/>
    <w:rsid w:val="000D253E"/>
    <w:rsid w:val="000D27F3"/>
    <w:rsid w:val="000D29FB"/>
    <w:rsid w:val="000D6583"/>
    <w:rsid w:val="000D6B3D"/>
    <w:rsid w:val="000E5F6A"/>
    <w:rsid w:val="000F17E9"/>
    <w:rsid w:val="000F2621"/>
    <w:rsid w:val="000F4609"/>
    <w:rsid w:val="000F6011"/>
    <w:rsid w:val="000F7A47"/>
    <w:rsid w:val="001020A6"/>
    <w:rsid w:val="001109BB"/>
    <w:rsid w:val="00111A0F"/>
    <w:rsid w:val="00112D0E"/>
    <w:rsid w:val="00126322"/>
    <w:rsid w:val="00132034"/>
    <w:rsid w:val="001321BB"/>
    <w:rsid w:val="001325F1"/>
    <w:rsid w:val="00133167"/>
    <w:rsid w:val="0013587E"/>
    <w:rsid w:val="001358EF"/>
    <w:rsid w:val="001421B2"/>
    <w:rsid w:val="0014798E"/>
    <w:rsid w:val="00147F59"/>
    <w:rsid w:val="001511BA"/>
    <w:rsid w:val="00152005"/>
    <w:rsid w:val="00153E8F"/>
    <w:rsid w:val="00157BCE"/>
    <w:rsid w:val="00162121"/>
    <w:rsid w:val="00162C3F"/>
    <w:rsid w:val="001638EA"/>
    <w:rsid w:val="00164E6D"/>
    <w:rsid w:val="00170760"/>
    <w:rsid w:val="00175484"/>
    <w:rsid w:val="00177592"/>
    <w:rsid w:val="00184E48"/>
    <w:rsid w:val="0018700E"/>
    <w:rsid w:val="00187EC0"/>
    <w:rsid w:val="0019596A"/>
    <w:rsid w:val="00196191"/>
    <w:rsid w:val="0019796A"/>
    <w:rsid w:val="00197BA8"/>
    <w:rsid w:val="001A0301"/>
    <w:rsid w:val="001A2304"/>
    <w:rsid w:val="001A5B3F"/>
    <w:rsid w:val="001B0664"/>
    <w:rsid w:val="001B5492"/>
    <w:rsid w:val="001C12ED"/>
    <w:rsid w:val="001C23C1"/>
    <w:rsid w:val="001D258B"/>
    <w:rsid w:val="001D3F35"/>
    <w:rsid w:val="001D64ED"/>
    <w:rsid w:val="001D6984"/>
    <w:rsid w:val="001D6F34"/>
    <w:rsid w:val="001D785F"/>
    <w:rsid w:val="001E2337"/>
    <w:rsid w:val="001E2C15"/>
    <w:rsid w:val="001E5765"/>
    <w:rsid w:val="001E57F6"/>
    <w:rsid w:val="001E742A"/>
    <w:rsid w:val="001E7E59"/>
    <w:rsid w:val="001F12C2"/>
    <w:rsid w:val="001F27EE"/>
    <w:rsid w:val="001F3D96"/>
    <w:rsid w:val="001F43C2"/>
    <w:rsid w:val="002011D4"/>
    <w:rsid w:val="00207A44"/>
    <w:rsid w:val="00212FB5"/>
    <w:rsid w:val="00215787"/>
    <w:rsid w:val="00221465"/>
    <w:rsid w:val="00227434"/>
    <w:rsid w:val="002329E4"/>
    <w:rsid w:val="0023527C"/>
    <w:rsid w:val="002419C7"/>
    <w:rsid w:val="00241AC3"/>
    <w:rsid w:val="002516E5"/>
    <w:rsid w:val="00257C18"/>
    <w:rsid w:val="00261680"/>
    <w:rsid w:val="002624B5"/>
    <w:rsid w:val="00262E17"/>
    <w:rsid w:val="00266D70"/>
    <w:rsid w:val="00274588"/>
    <w:rsid w:val="0028143D"/>
    <w:rsid w:val="002818BD"/>
    <w:rsid w:val="00284477"/>
    <w:rsid w:val="00284AC8"/>
    <w:rsid w:val="00285555"/>
    <w:rsid w:val="002872ED"/>
    <w:rsid w:val="00291EA9"/>
    <w:rsid w:val="00293C86"/>
    <w:rsid w:val="002941A0"/>
    <w:rsid w:val="002971C1"/>
    <w:rsid w:val="002A1882"/>
    <w:rsid w:val="002A37B6"/>
    <w:rsid w:val="002A4AC8"/>
    <w:rsid w:val="002A4D7B"/>
    <w:rsid w:val="002B1BCF"/>
    <w:rsid w:val="002B23C6"/>
    <w:rsid w:val="002B3681"/>
    <w:rsid w:val="002B4224"/>
    <w:rsid w:val="002B6301"/>
    <w:rsid w:val="002C1009"/>
    <w:rsid w:val="002C1960"/>
    <w:rsid w:val="002C414E"/>
    <w:rsid w:val="002D1671"/>
    <w:rsid w:val="002D5E90"/>
    <w:rsid w:val="002D677C"/>
    <w:rsid w:val="002D6EA8"/>
    <w:rsid w:val="002E1E69"/>
    <w:rsid w:val="002E678A"/>
    <w:rsid w:val="002E7A78"/>
    <w:rsid w:val="002F044E"/>
    <w:rsid w:val="002F148D"/>
    <w:rsid w:val="002F29D6"/>
    <w:rsid w:val="002F31DF"/>
    <w:rsid w:val="002F478C"/>
    <w:rsid w:val="002F73DC"/>
    <w:rsid w:val="002F7866"/>
    <w:rsid w:val="002F7EBE"/>
    <w:rsid w:val="00301BCD"/>
    <w:rsid w:val="0030254C"/>
    <w:rsid w:val="003039FE"/>
    <w:rsid w:val="00305A1D"/>
    <w:rsid w:val="00313D79"/>
    <w:rsid w:val="003154F1"/>
    <w:rsid w:val="00320435"/>
    <w:rsid w:val="00332FE1"/>
    <w:rsid w:val="0033473B"/>
    <w:rsid w:val="00335DD6"/>
    <w:rsid w:val="00336B21"/>
    <w:rsid w:val="003427CF"/>
    <w:rsid w:val="00354B23"/>
    <w:rsid w:val="0036020A"/>
    <w:rsid w:val="0036104E"/>
    <w:rsid w:val="003625AD"/>
    <w:rsid w:val="00364853"/>
    <w:rsid w:val="0037061E"/>
    <w:rsid w:val="003709BB"/>
    <w:rsid w:val="003727FA"/>
    <w:rsid w:val="00381EEC"/>
    <w:rsid w:val="00382C9F"/>
    <w:rsid w:val="003878DD"/>
    <w:rsid w:val="003903BD"/>
    <w:rsid w:val="0039084B"/>
    <w:rsid w:val="0039206C"/>
    <w:rsid w:val="00395619"/>
    <w:rsid w:val="0039591F"/>
    <w:rsid w:val="00397C40"/>
    <w:rsid w:val="003A0C91"/>
    <w:rsid w:val="003A1A73"/>
    <w:rsid w:val="003A2E12"/>
    <w:rsid w:val="003A303F"/>
    <w:rsid w:val="003A4339"/>
    <w:rsid w:val="003A7675"/>
    <w:rsid w:val="003B432B"/>
    <w:rsid w:val="003B5284"/>
    <w:rsid w:val="003B6F6D"/>
    <w:rsid w:val="003B7FF1"/>
    <w:rsid w:val="003C0DC8"/>
    <w:rsid w:val="003C2AD1"/>
    <w:rsid w:val="003C402A"/>
    <w:rsid w:val="003C4F7B"/>
    <w:rsid w:val="003C7D73"/>
    <w:rsid w:val="003D0441"/>
    <w:rsid w:val="003D17B8"/>
    <w:rsid w:val="003D274D"/>
    <w:rsid w:val="003D3937"/>
    <w:rsid w:val="003D3D23"/>
    <w:rsid w:val="003D3D94"/>
    <w:rsid w:val="003D5F1F"/>
    <w:rsid w:val="003D6E25"/>
    <w:rsid w:val="003E1B0F"/>
    <w:rsid w:val="003E209A"/>
    <w:rsid w:val="003E6974"/>
    <w:rsid w:val="003F5AAF"/>
    <w:rsid w:val="003F7829"/>
    <w:rsid w:val="00401070"/>
    <w:rsid w:val="004071D9"/>
    <w:rsid w:val="00410065"/>
    <w:rsid w:val="0041095A"/>
    <w:rsid w:val="00414405"/>
    <w:rsid w:val="004167EA"/>
    <w:rsid w:val="0042055A"/>
    <w:rsid w:val="00422E10"/>
    <w:rsid w:val="00423CD3"/>
    <w:rsid w:val="0042557D"/>
    <w:rsid w:val="00425A3F"/>
    <w:rsid w:val="00433531"/>
    <w:rsid w:val="00436C06"/>
    <w:rsid w:val="00441D18"/>
    <w:rsid w:val="00441DCD"/>
    <w:rsid w:val="00443082"/>
    <w:rsid w:val="0044358A"/>
    <w:rsid w:val="00444B3D"/>
    <w:rsid w:val="00453A21"/>
    <w:rsid w:val="00454F0D"/>
    <w:rsid w:val="00457629"/>
    <w:rsid w:val="00465725"/>
    <w:rsid w:val="00470D7F"/>
    <w:rsid w:val="00473324"/>
    <w:rsid w:val="00473387"/>
    <w:rsid w:val="004752BC"/>
    <w:rsid w:val="0048100D"/>
    <w:rsid w:val="00481335"/>
    <w:rsid w:val="00481641"/>
    <w:rsid w:val="004867A0"/>
    <w:rsid w:val="00490E91"/>
    <w:rsid w:val="00491596"/>
    <w:rsid w:val="00493929"/>
    <w:rsid w:val="004952BF"/>
    <w:rsid w:val="004A0430"/>
    <w:rsid w:val="004A04F9"/>
    <w:rsid w:val="004A3B0C"/>
    <w:rsid w:val="004B0889"/>
    <w:rsid w:val="004B0CFE"/>
    <w:rsid w:val="004B2312"/>
    <w:rsid w:val="004B2A3E"/>
    <w:rsid w:val="004C09F8"/>
    <w:rsid w:val="004C0EE9"/>
    <w:rsid w:val="004C33B9"/>
    <w:rsid w:val="004C42E0"/>
    <w:rsid w:val="004C443A"/>
    <w:rsid w:val="004C5D7A"/>
    <w:rsid w:val="004C791B"/>
    <w:rsid w:val="004D0F8E"/>
    <w:rsid w:val="004D21F0"/>
    <w:rsid w:val="004D7F4F"/>
    <w:rsid w:val="004E4420"/>
    <w:rsid w:val="004E531E"/>
    <w:rsid w:val="004F083D"/>
    <w:rsid w:val="004F719C"/>
    <w:rsid w:val="00501DA6"/>
    <w:rsid w:val="00503A56"/>
    <w:rsid w:val="00506B6B"/>
    <w:rsid w:val="00506CBA"/>
    <w:rsid w:val="00507C64"/>
    <w:rsid w:val="00512C51"/>
    <w:rsid w:val="00514A22"/>
    <w:rsid w:val="00514C05"/>
    <w:rsid w:val="005153A4"/>
    <w:rsid w:val="00515D97"/>
    <w:rsid w:val="00523064"/>
    <w:rsid w:val="005257C9"/>
    <w:rsid w:val="00527A5D"/>
    <w:rsid w:val="0053153F"/>
    <w:rsid w:val="005332F8"/>
    <w:rsid w:val="00535662"/>
    <w:rsid w:val="00535B9F"/>
    <w:rsid w:val="00547997"/>
    <w:rsid w:val="0055248F"/>
    <w:rsid w:val="005543AF"/>
    <w:rsid w:val="00555C8E"/>
    <w:rsid w:val="005570DF"/>
    <w:rsid w:val="005640B2"/>
    <w:rsid w:val="00565230"/>
    <w:rsid w:val="00566DA0"/>
    <w:rsid w:val="00567898"/>
    <w:rsid w:val="00571345"/>
    <w:rsid w:val="00575B78"/>
    <w:rsid w:val="00580CEC"/>
    <w:rsid w:val="005813BD"/>
    <w:rsid w:val="00581723"/>
    <w:rsid w:val="00581F4F"/>
    <w:rsid w:val="0058275E"/>
    <w:rsid w:val="00583E20"/>
    <w:rsid w:val="00585804"/>
    <w:rsid w:val="0058786E"/>
    <w:rsid w:val="005937C6"/>
    <w:rsid w:val="005974D2"/>
    <w:rsid w:val="00597C48"/>
    <w:rsid w:val="005A14AC"/>
    <w:rsid w:val="005A3172"/>
    <w:rsid w:val="005C480A"/>
    <w:rsid w:val="005C61F1"/>
    <w:rsid w:val="005D279C"/>
    <w:rsid w:val="005D45B9"/>
    <w:rsid w:val="005E0346"/>
    <w:rsid w:val="005E2048"/>
    <w:rsid w:val="005E2552"/>
    <w:rsid w:val="005E2CC7"/>
    <w:rsid w:val="005F01DE"/>
    <w:rsid w:val="005F515F"/>
    <w:rsid w:val="005F5E81"/>
    <w:rsid w:val="005F77D3"/>
    <w:rsid w:val="00607253"/>
    <w:rsid w:val="00607E9D"/>
    <w:rsid w:val="00612480"/>
    <w:rsid w:val="00617866"/>
    <w:rsid w:val="00621EA2"/>
    <w:rsid w:val="00624FBD"/>
    <w:rsid w:val="006276E2"/>
    <w:rsid w:val="00631259"/>
    <w:rsid w:val="00633723"/>
    <w:rsid w:val="006341AF"/>
    <w:rsid w:val="0063617B"/>
    <w:rsid w:val="00637E2D"/>
    <w:rsid w:val="00640165"/>
    <w:rsid w:val="0064042E"/>
    <w:rsid w:val="00653095"/>
    <w:rsid w:val="00656903"/>
    <w:rsid w:val="0066351C"/>
    <w:rsid w:val="006639F2"/>
    <w:rsid w:val="00666234"/>
    <w:rsid w:val="006805F6"/>
    <w:rsid w:val="006839DD"/>
    <w:rsid w:val="00683BA6"/>
    <w:rsid w:val="0068466F"/>
    <w:rsid w:val="0068481C"/>
    <w:rsid w:val="00685D47"/>
    <w:rsid w:val="00695610"/>
    <w:rsid w:val="00696616"/>
    <w:rsid w:val="006A3D5C"/>
    <w:rsid w:val="006A53DE"/>
    <w:rsid w:val="006A6CDA"/>
    <w:rsid w:val="006C0718"/>
    <w:rsid w:val="006C129A"/>
    <w:rsid w:val="006C2138"/>
    <w:rsid w:val="006C46F7"/>
    <w:rsid w:val="006D51E6"/>
    <w:rsid w:val="006D6D67"/>
    <w:rsid w:val="006F06B8"/>
    <w:rsid w:val="00701AC0"/>
    <w:rsid w:val="00707183"/>
    <w:rsid w:val="0071385B"/>
    <w:rsid w:val="00715A59"/>
    <w:rsid w:val="00720407"/>
    <w:rsid w:val="0072206F"/>
    <w:rsid w:val="00725634"/>
    <w:rsid w:val="007261E0"/>
    <w:rsid w:val="0072749D"/>
    <w:rsid w:val="00730D70"/>
    <w:rsid w:val="00740CE2"/>
    <w:rsid w:val="00746EEE"/>
    <w:rsid w:val="00751D37"/>
    <w:rsid w:val="0075204A"/>
    <w:rsid w:val="0075226F"/>
    <w:rsid w:val="00753487"/>
    <w:rsid w:val="007535DC"/>
    <w:rsid w:val="007538BD"/>
    <w:rsid w:val="00753C6F"/>
    <w:rsid w:val="00754599"/>
    <w:rsid w:val="00760C6A"/>
    <w:rsid w:val="00765854"/>
    <w:rsid w:val="007728D0"/>
    <w:rsid w:val="00772D9E"/>
    <w:rsid w:val="00781824"/>
    <w:rsid w:val="00782801"/>
    <w:rsid w:val="007841E8"/>
    <w:rsid w:val="00790E34"/>
    <w:rsid w:val="00793671"/>
    <w:rsid w:val="00794220"/>
    <w:rsid w:val="007967C1"/>
    <w:rsid w:val="00797AB5"/>
    <w:rsid w:val="007A5877"/>
    <w:rsid w:val="007A64D9"/>
    <w:rsid w:val="007B049A"/>
    <w:rsid w:val="007B0C04"/>
    <w:rsid w:val="007B5E46"/>
    <w:rsid w:val="007C0938"/>
    <w:rsid w:val="007D41C9"/>
    <w:rsid w:val="007D56F8"/>
    <w:rsid w:val="007D58DB"/>
    <w:rsid w:val="007D5961"/>
    <w:rsid w:val="007D6209"/>
    <w:rsid w:val="007D6E89"/>
    <w:rsid w:val="007E1883"/>
    <w:rsid w:val="007E3618"/>
    <w:rsid w:val="007E4413"/>
    <w:rsid w:val="007E7CBA"/>
    <w:rsid w:val="007F4B9D"/>
    <w:rsid w:val="00800347"/>
    <w:rsid w:val="00800F54"/>
    <w:rsid w:val="00804915"/>
    <w:rsid w:val="00804C50"/>
    <w:rsid w:val="00810A53"/>
    <w:rsid w:val="00811FE4"/>
    <w:rsid w:val="00812264"/>
    <w:rsid w:val="00813063"/>
    <w:rsid w:val="00816700"/>
    <w:rsid w:val="0082099A"/>
    <w:rsid w:val="00820D76"/>
    <w:rsid w:val="008215A5"/>
    <w:rsid w:val="008221B7"/>
    <w:rsid w:val="00824877"/>
    <w:rsid w:val="00825742"/>
    <w:rsid w:val="00830D51"/>
    <w:rsid w:val="00835BB0"/>
    <w:rsid w:val="00836FAD"/>
    <w:rsid w:val="00837BE0"/>
    <w:rsid w:val="00841DC0"/>
    <w:rsid w:val="00845F62"/>
    <w:rsid w:val="0084674E"/>
    <w:rsid w:val="00846770"/>
    <w:rsid w:val="00847551"/>
    <w:rsid w:val="00850518"/>
    <w:rsid w:val="00853CC4"/>
    <w:rsid w:val="00854F84"/>
    <w:rsid w:val="0085539B"/>
    <w:rsid w:val="008569A8"/>
    <w:rsid w:val="0086065C"/>
    <w:rsid w:val="00861789"/>
    <w:rsid w:val="00861A8D"/>
    <w:rsid w:val="00865AC0"/>
    <w:rsid w:val="00866F7F"/>
    <w:rsid w:val="00870158"/>
    <w:rsid w:val="008718AA"/>
    <w:rsid w:val="00871A21"/>
    <w:rsid w:val="0087342D"/>
    <w:rsid w:val="00876CD8"/>
    <w:rsid w:val="00880F01"/>
    <w:rsid w:val="0088543E"/>
    <w:rsid w:val="0088551A"/>
    <w:rsid w:val="008902AE"/>
    <w:rsid w:val="008921A4"/>
    <w:rsid w:val="00893B55"/>
    <w:rsid w:val="00894CBA"/>
    <w:rsid w:val="00895784"/>
    <w:rsid w:val="0089708C"/>
    <w:rsid w:val="008A265B"/>
    <w:rsid w:val="008A5D01"/>
    <w:rsid w:val="008A647B"/>
    <w:rsid w:val="008B2995"/>
    <w:rsid w:val="008B4376"/>
    <w:rsid w:val="008B5D58"/>
    <w:rsid w:val="008C0C95"/>
    <w:rsid w:val="008C136D"/>
    <w:rsid w:val="008C1550"/>
    <w:rsid w:val="008C6E8E"/>
    <w:rsid w:val="008D1104"/>
    <w:rsid w:val="008D1962"/>
    <w:rsid w:val="008E3A43"/>
    <w:rsid w:val="008E4A63"/>
    <w:rsid w:val="008E51FD"/>
    <w:rsid w:val="008E5B9A"/>
    <w:rsid w:val="008E7CCF"/>
    <w:rsid w:val="008F17DD"/>
    <w:rsid w:val="008F2749"/>
    <w:rsid w:val="008F2C56"/>
    <w:rsid w:val="008F4724"/>
    <w:rsid w:val="008F7C59"/>
    <w:rsid w:val="00902B29"/>
    <w:rsid w:val="0090305A"/>
    <w:rsid w:val="00906880"/>
    <w:rsid w:val="00906DA9"/>
    <w:rsid w:val="00907DD4"/>
    <w:rsid w:val="00907E77"/>
    <w:rsid w:val="00910109"/>
    <w:rsid w:val="00910ED8"/>
    <w:rsid w:val="00911CF4"/>
    <w:rsid w:val="00913910"/>
    <w:rsid w:val="00913AC7"/>
    <w:rsid w:val="00913FE3"/>
    <w:rsid w:val="0091467A"/>
    <w:rsid w:val="00915B04"/>
    <w:rsid w:val="00915CCA"/>
    <w:rsid w:val="009164A5"/>
    <w:rsid w:val="00916C57"/>
    <w:rsid w:val="0091798B"/>
    <w:rsid w:val="009209EA"/>
    <w:rsid w:val="00921A70"/>
    <w:rsid w:val="0092251E"/>
    <w:rsid w:val="00922E37"/>
    <w:rsid w:val="00926475"/>
    <w:rsid w:val="0092733C"/>
    <w:rsid w:val="00932A38"/>
    <w:rsid w:val="00933992"/>
    <w:rsid w:val="009343B2"/>
    <w:rsid w:val="009363B3"/>
    <w:rsid w:val="009402F8"/>
    <w:rsid w:val="00942BF2"/>
    <w:rsid w:val="009436A8"/>
    <w:rsid w:val="00943A0F"/>
    <w:rsid w:val="00944310"/>
    <w:rsid w:val="0094446C"/>
    <w:rsid w:val="009444B3"/>
    <w:rsid w:val="00944889"/>
    <w:rsid w:val="009504E9"/>
    <w:rsid w:val="00951DF6"/>
    <w:rsid w:val="00957CF9"/>
    <w:rsid w:val="0096195C"/>
    <w:rsid w:val="00961B41"/>
    <w:rsid w:val="009623C0"/>
    <w:rsid w:val="00962DDD"/>
    <w:rsid w:val="00967C34"/>
    <w:rsid w:val="00970EF4"/>
    <w:rsid w:val="00971A1A"/>
    <w:rsid w:val="00973979"/>
    <w:rsid w:val="00975405"/>
    <w:rsid w:val="0097652A"/>
    <w:rsid w:val="00976A89"/>
    <w:rsid w:val="00982C17"/>
    <w:rsid w:val="00983DAE"/>
    <w:rsid w:val="0098460A"/>
    <w:rsid w:val="0099295A"/>
    <w:rsid w:val="00993629"/>
    <w:rsid w:val="00996298"/>
    <w:rsid w:val="009A0AEB"/>
    <w:rsid w:val="009A172B"/>
    <w:rsid w:val="009A60A2"/>
    <w:rsid w:val="009A7A42"/>
    <w:rsid w:val="009B270E"/>
    <w:rsid w:val="009B6D37"/>
    <w:rsid w:val="009B7941"/>
    <w:rsid w:val="009C2641"/>
    <w:rsid w:val="009C2B8F"/>
    <w:rsid w:val="009C315A"/>
    <w:rsid w:val="009C4538"/>
    <w:rsid w:val="009C4A87"/>
    <w:rsid w:val="009C4BA5"/>
    <w:rsid w:val="009C768D"/>
    <w:rsid w:val="009D01EA"/>
    <w:rsid w:val="009D17B1"/>
    <w:rsid w:val="009D18F1"/>
    <w:rsid w:val="009D29CF"/>
    <w:rsid w:val="009D3811"/>
    <w:rsid w:val="009D4601"/>
    <w:rsid w:val="009D68F0"/>
    <w:rsid w:val="009E0299"/>
    <w:rsid w:val="009E06B1"/>
    <w:rsid w:val="009E27B6"/>
    <w:rsid w:val="009E406A"/>
    <w:rsid w:val="009E54F8"/>
    <w:rsid w:val="009F0132"/>
    <w:rsid w:val="009F1181"/>
    <w:rsid w:val="009F2001"/>
    <w:rsid w:val="009F29CC"/>
    <w:rsid w:val="009F2A82"/>
    <w:rsid w:val="00A005E0"/>
    <w:rsid w:val="00A04296"/>
    <w:rsid w:val="00A13182"/>
    <w:rsid w:val="00A1563F"/>
    <w:rsid w:val="00A161E8"/>
    <w:rsid w:val="00A17747"/>
    <w:rsid w:val="00A25F75"/>
    <w:rsid w:val="00A30193"/>
    <w:rsid w:val="00A3240E"/>
    <w:rsid w:val="00A32558"/>
    <w:rsid w:val="00A327CE"/>
    <w:rsid w:val="00A353C8"/>
    <w:rsid w:val="00A35D90"/>
    <w:rsid w:val="00A3627B"/>
    <w:rsid w:val="00A37C8D"/>
    <w:rsid w:val="00A421C6"/>
    <w:rsid w:val="00A433C0"/>
    <w:rsid w:val="00A45067"/>
    <w:rsid w:val="00A5057F"/>
    <w:rsid w:val="00A528AA"/>
    <w:rsid w:val="00A5347C"/>
    <w:rsid w:val="00A54C57"/>
    <w:rsid w:val="00A647AB"/>
    <w:rsid w:val="00A71BAE"/>
    <w:rsid w:val="00A72A8D"/>
    <w:rsid w:val="00A753BA"/>
    <w:rsid w:val="00A770E6"/>
    <w:rsid w:val="00A77588"/>
    <w:rsid w:val="00A803F3"/>
    <w:rsid w:val="00A807CE"/>
    <w:rsid w:val="00A81339"/>
    <w:rsid w:val="00A90F55"/>
    <w:rsid w:val="00A914D1"/>
    <w:rsid w:val="00A9258B"/>
    <w:rsid w:val="00A94D69"/>
    <w:rsid w:val="00AA03E4"/>
    <w:rsid w:val="00AA1E9F"/>
    <w:rsid w:val="00AA42EA"/>
    <w:rsid w:val="00AA7FEC"/>
    <w:rsid w:val="00AB0E43"/>
    <w:rsid w:val="00AB2F27"/>
    <w:rsid w:val="00AB613F"/>
    <w:rsid w:val="00AB7468"/>
    <w:rsid w:val="00AC21CD"/>
    <w:rsid w:val="00AC25B5"/>
    <w:rsid w:val="00AC6E08"/>
    <w:rsid w:val="00AC7B3D"/>
    <w:rsid w:val="00AC7D78"/>
    <w:rsid w:val="00AD181D"/>
    <w:rsid w:val="00AD3854"/>
    <w:rsid w:val="00AD489D"/>
    <w:rsid w:val="00AD5A5D"/>
    <w:rsid w:val="00AE1EA9"/>
    <w:rsid w:val="00AE2AB4"/>
    <w:rsid w:val="00AE3D17"/>
    <w:rsid w:val="00AE54BD"/>
    <w:rsid w:val="00AE6B73"/>
    <w:rsid w:val="00AE7102"/>
    <w:rsid w:val="00AF227D"/>
    <w:rsid w:val="00B018D2"/>
    <w:rsid w:val="00B0381E"/>
    <w:rsid w:val="00B0536F"/>
    <w:rsid w:val="00B06EF6"/>
    <w:rsid w:val="00B1051C"/>
    <w:rsid w:val="00B12A28"/>
    <w:rsid w:val="00B13DB1"/>
    <w:rsid w:val="00B1671F"/>
    <w:rsid w:val="00B24188"/>
    <w:rsid w:val="00B24664"/>
    <w:rsid w:val="00B33B02"/>
    <w:rsid w:val="00B36E56"/>
    <w:rsid w:val="00B37050"/>
    <w:rsid w:val="00B373FD"/>
    <w:rsid w:val="00B4179D"/>
    <w:rsid w:val="00B41D66"/>
    <w:rsid w:val="00B42635"/>
    <w:rsid w:val="00B43206"/>
    <w:rsid w:val="00B44237"/>
    <w:rsid w:val="00B44946"/>
    <w:rsid w:val="00B45391"/>
    <w:rsid w:val="00B45FCB"/>
    <w:rsid w:val="00B47B1A"/>
    <w:rsid w:val="00B51444"/>
    <w:rsid w:val="00B51CB5"/>
    <w:rsid w:val="00B530B8"/>
    <w:rsid w:val="00B5499C"/>
    <w:rsid w:val="00B55278"/>
    <w:rsid w:val="00B60C0C"/>
    <w:rsid w:val="00B61221"/>
    <w:rsid w:val="00B61DE7"/>
    <w:rsid w:val="00B64FB5"/>
    <w:rsid w:val="00B66657"/>
    <w:rsid w:val="00B67881"/>
    <w:rsid w:val="00B72A1C"/>
    <w:rsid w:val="00B7388E"/>
    <w:rsid w:val="00B749CD"/>
    <w:rsid w:val="00B753B5"/>
    <w:rsid w:val="00B75B01"/>
    <w:rsid w:val="00B76775"/>
    <w:rsid w:val="00B83178"/>
    <w:rsid w:val="00B858C6"/>
    <w:rsid w:val="00B91FF7"/>
    <w:rsid w:val="00B94359"/>
    <w:rsid w:val="00B97500"/>
    <w:rsid w:val="00B97DDE"/>
    <w:rsid w:val="00BA1CDA"/>
    <w:rsid w:val="00BB0430"/>
    <w:rsid w:val="00BB1A73"/>
    <w:rsid w:val="00BB4CEC"/>
    <w:rsid w:val="00BB5A5B"/>
    <w:rsid w:val="00BC05F0"/>
    <w:rsid w:val="00BC0A6C"/>
    <w:rsid w:val="00BC1A51"/>
    <w:rsid w:val="00BC36DF"/>
    <w:rsid w:val="00BC4D51"/>
    <w:rsid w:val="00BC7B63"/>
    <w:rsid w:val="00BC7E69"/>
    <w:rsid w:val="00BD048A"/>
    <w:rsid w:val="00BD5AF3"/>
    <w:rsid w:val="00BD7AB5"/>
    <w:rsid w:val="00BE3268"/>
    <w:rsid w:val="00BE6245"/>
    <w:rsid w:val="00BF056B"/>
    <w:rsid w:val="00BF300F"/>
    <w:rsid w:val="00BF455E"/>
    <w:rsid w:val="00BF5F3F"/>
    <w:rsid w:val="00C02F08"/>
    <w:rsid w:val="00C10911"/>
    <w:rsid w:val="00C1221B"/>
    <w:rsid w:val="00C12940"/>
    <w:rsid w:val="00C1329F"/>
    <w:rsid w:val="00C15B05"/>
    <w:rsid w:val="00C169E7"/>
    <w:rsid w:val="00C16EAF"/>
    <w:rsid w:val="00C17BBA"/>
    <w:rsid w:val="00C25516"/>
    <w:rsid w:val="00C26600"/>
    <w:rsid w:val="00C26BC5"/>
    <w:rsid w:val="00C27793"/>
    <w:rsid w:val="00C30609"/>
    <w:rsid w:val="00C339AE"/>
    <w:rsid w:val="00C33E73"/>
    <w:rsid w:val="00C340A9"/>
    <w:rsid w:val="00C35B3E"/>
    <w:rsid w:val="00C36531"/>
    <w:rsid w:val="00C41D0D"/>
    <w:rsid w:val="00C4459A"/>
    <w:rsid w:val="00C44922"/>
    <w:rsid w:val="00C45741"/>
    <w:rsid w:val="00C4773A"/>
    <w:rsid w:val="00C47843"/>
    <w:rsid w:val="00C53D5B"/>
    <w:rsid w:val="00C5486A"/>
    <w:rsid w:val="00C57535"/>
    <w:rsid w:val="00C61204"/>
    <w:rsid w:val="00C70D02"/>
    <w:rsid w:val="00C72255"/>
    <w:rsid w:val="00C736E2"/>
    <w:rsid w:val="00C73779"/>
    <w:rsid w:val="00C762A5"/>
    <w:rsid w:val="00C7749B"/>
    <w:rsid w:val="00C81567"/>
    <w:rsid w:val="00C829B2"/>
    <w:rsid w:val="00C85AB2"/>
    <w:rsid w:val="00C8724E"/>
    <w:rsid w:val="00C87EA8"/>
    <w:rsid w:val="00C92068"/>
    <w:rsid w:val="00CA1A2E"/>
    <w:rsid w:val="00CB0DE8"/>
    <w:rsid w:val="00CB1212"/>
    <w:rsid w:val="00CB2A8E"/>
    <w:rsid w:val="00CB41E4"/>
    <w:rsid w:val="00CB61EA"/>
    <w:rsid w:val="00CB6204"/>
    <w:rsid w:val="00CB71B7"/>
    <w:rsid w:val="00CB786B"/>
    <w:rsid w:val="00CC3E1D"/>
    <w:rsid w:val="00CC4041"/>
    <w:rsid w:val="00CC434E"/>
    <w:rsid w:val="00CC6066"/>
    <w:rsid w:val="00CC702E"/>
    <w:rsid w:val="00CD10D9"/>
    <w:rsid w:val="00CD3BE9"/>
    <w:rsid w:val="00CD532A"/>
    <w:rsid w:val="00CD6CDC"/>
    <w:rsid w:val="00CE3755"/>
    <w:rsid w:val="00CE437C"/>
    <w:rsid w:val="00CE454F"/>
    <w:rsid w:val="00CE49A3"/>
    <w:rsid w:val="00CE76CF"/>
    <w:rsid w:val="00CF00C4"/>
    <w:rsid w:val="00CF552F"/>
    <w:rsid w:val="00CF595B"/>
    <w:rsid w:val="00CF74C3"/>
    <w:rsid w:val="00D0033C"/>
    <w:rsid w:val="00D03641"/>
    <w:rsid w:val="00D05605"/>
    <w:rsid w:val="00D0691F"/>
    <w:rsid w:val="00D104B7"/>
    <w:rsid w:val="00D14F54"/>
    <w:rsid w:val="00D15444"/>
    <w:rsid w:val="00D2176F"/>
    <w:rsid w:val="00D233A3"/>
    <w:rsid w:val="00D24402"/>
    <w:rsid w:val="00D26A6C"/>
    <w:rsid w:val="00D26C62"/>
    <w:rsid w:val="00D30399"/>
    <w:rsid w:val="00D30B07"/>
    <w:rsid w:val="00D32993"/>
    <w:rsid w:val="00D33B9A"/>
    <w:rsid w:val="00D343CA"/>
    <w:rsid w:val="00D41EA3"/>
    <w:rsid w:val="00D42D42"/>
    <w:rsid w:val="00D45CDB"/>
    <w:rsid w:val="00D46037"/>
    <w:rsid w:val="00D50388"/>
    <w:rsid w:val="00D51634"/>
    <w:rsid w:val="00D550BE"/>
    <w:rsid w:val="00D63E57"/>
    <w:rsid w:val="00D70034"/>
    <w:rsid w:val="00D71503"/>
    <w:rsid w:val="00D7178F"/>
    <w:rsid w:val="00D71F20"/>
    <w:rsid w:val="00D732DC"/>
    <w:rsid w:val="00D76403"/>
    <w:rsid w:val="00D8199C"/>
    <w:rsid w:val="00D81FD8"/>
    <w:rsid w:val="00D8240A"/>
    <w:rsid w:val="00D85461"/>
    <w:rsid w:val="00D8636B"/>
    <w:rsid w:val="00D8660E"/>
    <w:rsid w:val="00D93FF5"/>
    <w:rsid w:val="00D945F6"/>
    <w:rsid w:val="00D95D1C"/>
    <w:rsid w:val="00D96574"/>
    <w:rsid w:val="00DA2D59"/>
    <w:rsid w:val="00DA3227"/>
    <w:rsid w:val="00DA6222"/>
    <w:rsid w:val="00DA7BEF"/>
    <w:rsid w:val="00DB10F1"/>
    <w:rsid w:val="00DB113B"/>
    <w:rsid w:val="00DB1A4F"/>
    <w:rsid w:val="00DB1B75"/>
    <w:rsid w:val="00DB2250"/>
    <w:rsid w:val="00DC10AD"/>
    <w:rsid w:val="00DC3094"/>
    <w:rsid w:val="00DC59F8"/>
    <w:rsid w:val="00DC5D7F"/>
    <w:rsid w:val="00DD1C83"/>
    <w:rsid w:val="00DD426D"/>
    <w:rsid w:val="00DD7574"/>
    <w:rsid w:val="00DE1796"/>
    <w:rsid w:val="00DE6197"/>
    <w:rsid w:val="00DE6B95"/>
    <w:rsid w:val="00DE6CB6"/>
    <w:rsid w:val="00DF71EF"/>
    <w:rsid w:val="00DF7238"/>
    <w:rsid w:val="00DF7CE1"/>
    <w:rsid w:val="00E01112"/>
    <w:rsid w:val="00E06882"/>
    <w:rsid w:val="00E06925"/>
    <w:rsid w:val="00E10CBA"/>
    <w:rsid w:val="00E128D2"/>
    <w:rsid w:val="00E140BA"/>
    <w:rsid w:val="00E179D8"/>
    <w:rsid w:val="00E23602"/>
    <w:rsid w:val="00E2598D"/>
    <w:rsid w:val="00E26444"/>
    <w:rsid w:val="00E27342"/>
    <w:rsid w:val="00E278F5"/>
    <w:rsid w:val="00E27F81"/>
    <w:rsid w:val="00E362BB"/>
    <w:rsid w:val="00E36BC9"/>
    <w:rsid w:val="00E40FE2"/>
    <w:rsid w:val="00E437AA"/>
    <w:rsid w:val="00E51EC9"/>
    <w:rsid w:val="00E5253E"/>
    <w:rsid w:val="00E526F5"/>
    <w:rsid w:val="00E5637C"/>
    <w:rsid w:val="00E56D19"/>
    <w:rsid w:val="00E61725"/>
    <w:rsid w:val="00E64DBC"/>
    <w:rsid w:val="00E666D6"/>
    <w:rsid w:val="00E71676"/>
    <w:rsid w:val="00E71734"/>
    <w:rsid w:val="00E74D2B"/>
    <w:rsid w:val="00E75B51"/>
    <w:rsid w:val="00E84D4D"/>
    <w:rsid w:val="00E95006"/>
    <w:rsid w:val="00EA1575"/>
    <w:rsid w:val="00EA5D8E"/>
    <w:rsid w:val="00EB4D07"/>
    <w:rsid w:val="00EC0C17"/>
    <w:rsid w:val="00EC1FAA"/>
    <w:rsid w:val="00EC3566"/>
    <w:rsid w:val="00EC385D"/>
    <w:rsid w:val="00EC5D80"/>
    <w:rsid w:val="00ED0631"/>
    <w:rsid w:val="00ED14FF"/>
    <w:rsid w:val="00ED2433"/>
    <w:rsid w:val="00ED3366"/>
    <w:rsid w:val="00ED412A"/>
    <w:rsid w:val="00ED5190"/>
    <w:rsid w:val="00EE02A8"/>
    <w:rsid w:val="00EE79E6"/>
    <w:rsid w:val="00EF14AB"/>
    <w:rsid w:val="00EF6679"/>
    <w:rsid w:val="00EF67FB"/>
    <w:rsid w:val="00EF6FB7"/>
    <w:rsid w:val="00EF7549"/>
    <w:rsid w:val="00EF7CE7"/>
    <w:rsid w:val="00F00B3F"/>
    <w:rsid w:val="00F022AF"/>
    <w:rsid w:val="00F024C1"/>
    <w:rsid w:val="00F033E9"/>
    <w:rsid w:val="00F0371F"/>
    <w:rsid w:val="00F03DC9"/>
    <w:rsid w:val="00F06977"/>
    <w:rsid w:val="00F105D8"/>
    <w:rsid w:val="00F1173E"/>
    <w:rsid w:val="00F13E1D"/>
    <w:rsid w:val="00F14CE2"/>
    <w:rsid w:val="00F20123"/>
    <w:rsid w:val="00F21D2B"/>
    <w:rsid w:val="00F24E67"/>
    <w:rsid w:val="00F35D89"/>
    <w:rsid w:val="00F41AAB"/>
    <w:rsid w:val="00F42385"/>
    <w:rsid w:val="00F445AC"/>
    <w:rsid w:val="00F46820"/>
    <w:rsid w:val="00F469C0"/>
    <w:rsid w:val="00F46ACE"/>
    <w:rsid w:val="00F4757D"/>
    <w:rsid w:val="00F533E2"/>
    <w:rsid w:val="00F53D10"/>
    <w:rsid w:val="00F553BF"/>
    <w:rsid w:val="00F64322"/>
    <w:rsid w:val="00F64509"/>
    <w:rsid w:val="00F670C9"/>
    <w:rsid w:val="00F714D3"/>
    <w:rsid w:val="00F72DC5"/>
    <w:rsid w:val="00F7390E"/>
    <w:rsid w:val="00F76F21"/>
    <w:rsid w:val="00F77A93"/>
    <w:rsid w:val="00F77D11"/>
    <w:rsid w:val="00F80B14"/>
    <w:rsid w:val="00F81D9B"/>
    <w:rsid w:val="00F82114"/>
    <w:rsid w:val="00F83329"/>
    <w:rsid w:val="00F85E20"/>
    <w:rsid w:val="00F936D3"/>
    <w:rsid w:val="00F97A11"/>
    <w:rsid w:val="00FA1365"/>
    <w:rsid w:val="00FA1E06"/>
    <w:rsid w:val="00FA2693"/>
    <w:rsid w:val="00FA3522"/>
    <w:rsid w:val="00FA36DF"/>
    <w:rsid w:val="00FB0B9E"/>
    <w:rsid w:val="00FB3958"/>
    <w:rsid w:val="00FB4290"/>
    <w:rsid w:val="00FB5825"/>
    <w:rsid w:val="00FB6424"/>
    <w:rsid w:val="00FB65DF"/>
    <w:rsid w:val="00FB7339"/>
    <w:rsid w:val="00FC0232"/>
    <w:rsid w:val="00FC6B2A"/>
    <w:rsid w:val="00FD14ED"/>
    <w:rsid w:val="00FD2987"/>
    <w:rsid w:val="00FD7AB3"/>
    <w:rsid w:val="00FE07E9"/>
    <w:rsid w:val="00FE1631"/>
    <w:rsid w:val="00FE1A84"/>
    <w:rsid w:val="00FE2D4A"/>
    <w:rsid w:val="00FE2FF2"/>
    <w:rsid w:val="00FE6249"/>
    <w:rsid w:val="00FF1FB6"/>
    <w:rsid w:val="00FF32D3"/>
    <w:rsid w:val="00FF4C4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90DE6"/>
  <w15:chartTrackingRefBased/>
  <w15:docId w15:val="{EFA8986E-EAC3-4E08-93B9-4F3831D4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0AD"/>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0AD"/>
    <w:rPr>
      <w:lang w:val="sr-Latn-ME"/>
    </w:rPr>
  </w:style>
  <w:style w:type="paragraph" w:styleId="Footer">
    <w:name w:val="footer"/>
    <w:basedOn w:val="Normal"/>
    <w:link w:val="FooterChar"/>
    <w:uiPriority w:val="99"/>
    <w:unhideWhenUsed/>
    <w:rsid w:val="00DC1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0AD"/>
    <w:rPr>
      <w:lang w:val="sr-Latn-ME"/>
    </w:rPr>
  </w:style>
  <w:style w:type="character" w:styleId="Emphasis">
    <w:name w:val="Emphasis"/>
    <w:basedOn w:val="DefaultParagraphFont"/>
    <w:uiPriority w:val="20"/>
    <w:qFormat/>
    <w:rsid w:val="00D2176F"/>
    <w:rPr>
      <w:i/>
      <w:iCs/>
    </w:rPr>
  </w:style>
  <w:style w:type="paragraph" w:styleId="ListParagraph">
    <w:name w:val="List Paragraph"/>
    <w:basedOn w:val="Normal"/>
    <w:uiPriority w:val="34"/>
    <w:qFormat/>
    <w:rsid w:val="00F77A93"/>
    <w:pPr>
      <w:ind w:left="720"/>
      <w:contextualSpacing/>
    </w:pPr>
  </w:style>
  <w:style w:type="character" w:styleId="PlaceholderText">
    <w:name w:val="Placeholder Text"/>
    <w:basedOn w:val="DefaultParagraphFont"/>
    <w:uiPriority w:val="99"/>
    <w:semiHidden/>
    <w:rsid w:val="00B72A1C"/>
    <w:rPr>
      <w:color w:val="808080"/>
    </w:rPr>
  </w:style>
  <w:style w:type="paragraph" w:styleId="BalloonText">
    <w:name w:val="Balloon Text"/>
    <w:basedOn w:val="Normal"/>
    <w:link w:val="BalloonTextChar"/>
    <w:uiPriority w:val="99"/>
    <w:semiHidden/>
    <w:unhideWhenUsed/>
    <w:rsid w:val="000F2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21"/>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7D41C9"/>
    <w:rPr>
      <w:sz w:val="16"/>
      <w:szCs w:val="16"/>
    </w:rPr>
  </w:style>
  <w:style w:type="paragraph" w:styleId="CommentText">
    <w:name w:val="annotation text"/>
    <w:basedOn w:val="Normal"/>
    <w:link w:val="CommentTextChar"/>
    <w:uiPriority w:val="99"/>
    <w:semiHidden/>
    <w:unhideWhenUsed/>
    <w:rsid w:val="007D41C9"/>
    <w:pPr>
      <w:spacing w:line="240" w:lineRule="auto"/>
    </w:pPr>
    <w:rPr>
      <w:sz w:val="20"/>
      <w:szCs w:val="20"/>
    </w:rPr>
  </w:style>
  <w:style w:type="character" w:customStyle="1" w:styleId="CommentTextChar">
    <w:name w:val="Comment Text Char"/>
    <w:basedOn w:val="DefaultParagraphFont"/>
    <w:link w:val="CommentText"/>
    <w:uiPriority w:val="99"/>
    <w:semiHidden/>
    <w:rsid w:val="007D41C9"/>
    <w:rPr>
      <w:sz w:val="20"/>
      <w:szCs w:val="20"/>
      <w:lang w:val="sr-Latn-ME"/>
    </w:rPr>
  </w:style>
  <w:style w:type="paragraph" w:styleId="CommentSubject">
    <w:name w:val="annotation subject"/>
    <w:basedOn w:val="CommentText"/>
    <w:next w:val="CommentText"/>
    <w:link w:val="CommentSubjectChar"/>
    <w:uiPriority w:val="99"/>
    <w:semiHidden/>
    <w:unhideWhenUsed/>
    <w:rsid w:val="007D41C9"/>
    <w:rPr>
      <w:b/>
      <w:bCs/>
    </w:rPr>
  </w:style>
  <w:style w:type="character" w:customStyle="1" w:styleId="CommentSubjectChar">
    <w:name w:val="Comment Subject Char"/>
    <w:basedOn w:val="CommentTextChar"/>
    <w:link w:val="CommentSubject"/>
    <w:uiPriority w:val="99"/>
    <w:semiHidden/>
    <w:rsid w:val="007D41C9"/>
    <w:rPr>
      <w:b/>
      <w:bCs/>
      <w:sz w:val="20"/>
      <w:szCs w:val="20"/>
      <w:lang w:val="sr-Latn-ME"/>
    </w:rPr>
  </w:style>
  <w:style w:type="paragraph" w:styleId="FootnoteText">
    <w:name w:val="footnote text"/>
    <w:basedOn w:val="Normal"/>
    <w:link w:val="FootnoteTextChar"/>
    <w:uiPriority w:val="99"/>
    <w:semiHidden/>
    <w:unhideWhenUsed/>
    <w:rsid w:val="009D4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601"/>
    <w:rPr>
      <w:sz w:val="20"/>
      <w:szCs w:val="20"/>
      <w:lang w:val="sr-Latn-ME"/>
    </w:rPr>
  </w:style>
  <w:style w:type="character" w:styleId="FootnoteReference">
    <w:name w:val="footnote reference"/>
    <w:basedOn w:val="DefaultParagraphFont"/>
    <w:uiPriority w:val="99"/>
    <w:semiHidden/>
    <w:unhideWhenUsed/>
    <w:rsid w:val="009D4601"/>
    <w:rPr>
      <w:vertAlign w:val="superscript"/>
    </w:rPr>
  </w:style>
  <w:style w:type="paragraph" w:styleId="Caption">
    <w:name w:val="caption"/>
    <w:basedOn w:val="Normal"/>
    <w:next w:val="Normal"/>
    <w:uiPriority w:val="35"/>
    <w:unhideWhenUsed/>
    <w:qFormat/>
    <w:rsid w:val="00AD3854"/>
    <w:pPr>
      <w:spacing w:after="200" w:line="240" w:lineRule="auto"/>
    </w:pPr>
    <w:rPr>
      <w:i/>
      <w:iCs/>
      <w:color w:val="44546A" w:themeColor="text2"/>
      <w:sz w:val="18"/>
      <w:szCs w:val="18"/>
    </w:rPr>
  </w:style>
  <w:style w:type="paragraph" w:styleId="TOC3">
    <w:name w:val="toc 3"/>
    <w:basedOn w:val="Normal"/>
    <w:uiPriority w:val="1"/>
    <w:qFormat/>
    <w:rsid w:val="000C7BC4"/>
    <w:pPr>
      <w:widowControl w:val="0"/>
      <w:autoSpaceDE w:val="0"/>
      <w:autoSpaceDN w:val="0"/>
      <w:spacing w:before="121" w:after="0" w:line="240" w:lineRule="auto"/>
      <w:ind w:left="1577" w:hanging="661"/>
    </w:pPr>
    <w:rPr>
      <w:rFonts w:ascii="Cambria" w:eastAsia="Cambria" w:hAnsi="Cambria" w:cs="Cambria"/>
      <w:b/>
      <w:bCs/>
      <w:lang w:val="hr-HR"/>
    </w:rPr>
  </w:style>
  <w:style w:type="paragraph" w:styleId="BodyText">
    <w:name w:val="Body Text"/>
    <w:basedOn w:val="Normal"/>
    <w:link w:val="BodyTextChar"/>
    <w:uiPriority w:val="1"/>
    <w:qFormat/>
    <w:rsid w:val="000C7BC4"/>
    <w:pPr>
      <w:widowControl w:val="0"/>
      <w:autoSpaceDE w:val="0"/>
      <w:autoSpaceDN w:val="0"/>
      <w:spacing w:after="0" w:line="240" w:lineRule="auto"/>
    </w:pPr>
    <w:rPr>
      <w:rFonts w:ascii="Cambria" w:eastAsia="Cambria" w:hAnsi="Cambria" w:cs="Cambria"/>
      <w:lang w:val="hr-HR"/>
    </w:rPr>
  </w:style>
  <w:style w:type="character" w:customStyle="1" w:styleId="BodyTextChar">
    <w:name w:val="Body Text Char"/>
    <w:basedOn w:val="DefaultParagraphFont"/>
    <w:link w:val="BodyText"/>
    <w:uiPriority w:val="1"/>
    <w:rsid w:val="000C7BC4"/>
    <w:rPr>
      <w:rFonts w:ascii="Cambria" w:eastAsia="Cambria" w:hAnsi="Cambria" w:cs="Cambria"/>
      <w:lang w:val="hr-HR"/>
    </w:rPr>
  </w:style>
  <w:style w:type="character" w:styleId="Hyperlink">
    <w:name w:val="Hyperlink"/>
    <w:basedOn w:val="DefaultParagraphFont"/>
    <w:uiPriority w:val="99"/>
    <w:unhideWhenUsed/>
    <w:rsid w:val="000C7BC4"/>
    <w:rPr>
      <w:color w:val="0000FF"/>
      <w:u w:val="single"/>
    </w:rPr>
  </w:style>
  <w:style w:type="character" w:styleId="UnresolvedMention">
    <w:name w:val="Unresolved Mention"/>
    <w:basedOn w:val="DefaultParagraphFont"/>
    <w:uiPriority w:val="99"/>
    <w:semiHidden/>
    <w:unhideWhenUsed/>
    <w:rsid w:val="000C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8447">
      <w:bodyDiv w:val="1"/>
      <w:marLeft w:val="0"/>
      <w:marRight w:val="0"/>
      <w:marTop w:val="0"/>
      <w:marBottom w:val="0"/>
      <w:divBdr>
        <w:top w:val="none" w:sz="0" w:space="0" w:color="auto"/>
        <w:left w:val="none" w:sz="0" w:space="0" w:color="auto"/>
        <w:bottom w:val="none" w:sz="0" w:space="0" w:color="auto"/>
        <w:right w:val="none" w:sz="0" w:space="0" w:color="auto"/>
      </w:divBdr>
    </w:div>
    <w:div w:id="558171982">
      <w:bodyDiv w:val="1"/>
      <w:marLeft w:val="0"/>
      <w:marRight w:val="0"/>
      <w:marTop w:val="0"/>
      <w:marBottom w:val="0"/>
      <w:divBdr>
        <w:top w:val="none" w:sz="0" w:space="0" w:color="auto"/>
        <w:left w:val="none" w:sz="0" w:space="0" w:color="auto"/>
        <w:bottom w:val="none" w:sz="0" w:space="0" w:color="auto"/>
        <w:right w:val="none" w:sz="0" w:space="0" w:color="auto"/>
      </w:divBdr>
    </w:div>
    <w:div w:id="608699930">
      <w:bodyDiv w:val="1"/>
      <w:marLeft w:val="0"/>
      <w:marRight w:val="0"/>
      <w:marTop w:val="0"/>
      <w:marBottom w:val="0"/>
      <w:divBdr>
        <w:top w:val="none" w:sz="0" w:space="0" w:color="auto"/>
        <w:left w:val="none" w:sz="0" w:space="0" w:color="auto"/>
        <w:bottom w:val="none" w:sz="0" w:space="0" w:color="auto"/>
        <w:right w:val="none" w:sz="0" w:space="0" w:color="auto"/>
      </w:divBdr>
    </w:div>
    <w:div w:id="901251381">
      <w:bodyDiv w:val="1"/>
      <w:marLeft w:val="0"/>
      <w:marRight w:val="0"/>
      <w:marTop w:val="0"/>
      <w:marBottom w:val="0"/>
      <w:divBdr>
        <w:top w:val="none" w:sz="0" w:space="0" w:color="auto"/>
        <w:left w:val="none" w:sz="0" w:space="0" w:color="auto"/>
        <w:bottom w:val="none" w:sz="0" w:space="0" w:color="auto"/>
        <w:right w:val="none" w:sz="0" w:space="0" w:color="auto"/>
      </w:divBdr>
    </w:div>
    <w:div w:id="1129980335">
      <w:bodyDiv w:val="1"/>
      <w:marLeft w:val="0"/>
      <w:marRight w:val="0"/>
      <w:marTop w:val="0"/>
      <w:marBottom w:val="0"/>
      <w:divBdr>
        <w:top w:val="none" w:sz="0" w:space="0" w:color="auto"/>
        <w:left w:val="none" w:sz="0" w:space="0" w:color="auto"/>
        <w:bottom w:val="none" w:sz="0" w:space="0" w:color="auto"/>
        <w:right w:val="none" w:sz="0" w:space="0" w:color="auto"/>
      </w:divBdr>
    </w:div>
    <w:div w:id="1605310239">
      <w:bodyDiv w:val="1"/>
      <w:marLeft w:val="0"/>
      <w:marRight w:val="0"/>
      <w:marTop w:val="0"/>
      <w:marBottom w:val="0"/>
      <w:divBdr>
        <w:top w:val="none" w:sz="0" w:space="0" w:color="auto"/>
        <w:left w:val="none" w:sz="0" w:space="0" w:color="auto"/>
        <w:bottom w:val="none" w:sz="0" w:space="0" w:color="auto"/>
        <w:right w:val="none" w:sz="0" w:space="0" w:color="auto"/>
      </w:divBdr>
    </w:div>
    <w:div w:id="18768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tjana.jaukovic\Desktop\Izvjestaj%20o%20preliminarnim%20nivoima%20deficita%20i%20duga%20za%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200" baseline="0"/>
              <a:t>Kretanje glavnih kategorija prihoda budžeta</a:t>
            </a:r>
          </a:p>
          <a:p>
            <a:pPr>
              <a:defRPr/>
            </a:pPr>
            <a:r>
              <a:rPr lang="sr-Latn-ME" sz="1200" baseline="0"/>
              <a:t> (mil.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'Centralna država-ek klas'!$C$4:$C$5</c:f>
              <c:strCache>
                <c:ptCount val="2"/>
                <c:pt idx="0">
                  <c:v>2024</c:v>
                </c:pt>
              </c:strCache>
            </c:strRef>
          </c:tx>
          <c:spPr>
            <a:solidFill>
              <a:schemeClr val="accent1"/>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klas'!$C$6:$C$15</c:f>
              <c:numCache>
                <c:formatCode>0.0,,</c:formatCode>
                <c:ptCount val="5"/>
                <c:pt idx="0">
                  <c:v>88155346.220000014</c:v>
                </c:pt>
                <c:pt idx="1">
                  <c:v>213967876.99999997</c:v>
                </c:pt>
                <c:pt idx="2">
                  <c:v>1222596931.1700001</c:v>
                </c:pt>
                <c:pt idx="3">
                  <c:v>368589654.71000004</c:v>
                </c:pt>
                <c:pt idx="4">
                  <c:v>584706543.50999999</c:v>
                </c:pt>
              </c:numCache>
            </c:numRef>
          </c:val>
          <c:extLst>
            <c:ext xmlns:c16="http://schemas.microsoft.com/office/drawing/2014/chart" uri="{C3380CC4-5D6E-409C-BE32-E72D297353CC}">
              <c16:uniqueId val="{00000000-E2B1-4FA1-BC60-FEA0401377C9}"/>
            </c:ext>
          </c:extLst>
        </c:ser>
        <c:ser>
          <c:idx val="1"/>
          <c:order val="1"/>
          <c:tx>
            <c:strRef>
              <c:f>'Centralna država-ek klas'!$D$4:$D$5</c:f>
              <c:strCache>
                <c:ptCount val="2"/>
                <c:pt idx="0">
                  <c:v>2024</c:v>
                </c:pt>
              </c:strCache>
            </c:strRef>
          </c:tx>
          <c:spPr>
            <a:solidFill>
              <a:schemeClr val="accent2"/>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klas'!$D$6:$D$15</c:f>
            </c:numRef>
          </c:val>
          <c:extLst>
            <c:ext xmlns:c16="http://schemas.microsoft.com/office/drawing/2014/chart" uri="{C3380CC4-5D6E-409C-BE32-E72D297353CC}">
              <c16:uniqueId val="{00000001-E2B1-4FA1-BC60-FEA0401377C9}"/>
            </c:ext>
          </c:extLst>
        </c:ser>
        <c:ser>
          <c:idx val="2"/>
          <c:order val="2"/>
          <c:tx>
            <c:strRef>
              <c:f>'Centralna država-ek klas'!$E$4:$E$5</c:f>
              <c:strCache>
                <c:ptCount val="2"/>
                <c:pt idx="0">
                  <c:v>Plan 2024</c:v>
                </c:pt>
              </c:strCache>
            </c:strRef>
          </c:tx>
          <c:spPr>
            <a:solidFill>
              <a:schemeClr val="accent3"/>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klas'!$E$6:$E$15</c:f>
              <c:numCache>
                <c:formatCode>0.0,,</c:formatCode>
                <c:ptCount val="5"/>
                <c:pt idx="0">
                  <c:v>86618274.290376037</c:v>
                </c:pt>
                <c:pt idx="1">
                  <c:v>205651056.08000001</c:v>
                </c:pt>
                <c:pt idx="2">
                  <c:v>1199632448.2900002</c:v>
                </c:pt>
                <c:pt idx="3">
                  <c:v>365800000.00000006</c:v>
                </c:pt>
                <c:pt idx="4">
                  <c:v>585399047.94999993</c:v>
                </c:pt>
              </c:numCache>
            </c:numRef>
          </c:val>
          <c:extLst>
            <c:ext xmlns:c16="http://schemas.microsoft.com/office/drawing/2014/chart" uri="{C3380CC4-5D6E-409C-BE32-E72D297353CC}">
              <c16:uniqueId val="{00000002-E2B1-4FA1-BC60-FEA0401377C9}"/>
            </c:ext>
          </c:extLst>
        </c:ser>
        <c:ser>
          <c:idx val="3"/>
          <c:order val="3"/>
          <c:tx>
            <c:strRef>
              <c:f>'Centralna država-ek klas'!$F$4:$F$5</c:f>
              <c:strCache>
                <c:ptCount val="2"/>
                <c:pt idx="0">
                  <c:v>Plan 2024</c:v>
                </c:pt>
              </c:strCache>
            </c:strRef>
          </c:tx>
          <c:spPr>
            <a:solidFill>
              <a:schemeClr val="accent4"/>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klas'!$F$6:$F$15</c:f>
            </c:numRef>
          </c:val>
          <c:extLst>
            <c:ext xmlns:c16="http://schemas.microsoft.com/office/drawing/2014/chart" uri="{C3380CC4-5D6E-409C-BE32-E72D297353CC}">
              <c16:uniqueId val="{00000003-E2B1-4FA1-BC60-FEA0401377C9}"/>
            </c:ext>
          </c:extLst>
        </c:ser>
        <c:ser>
          <c:idx val="4"/>
          <c:order val="4"/>
          <c:tx>
            <c:strRef>
              <c:f>'Centralna država-ek klas'!$G$4:$G$5</c:f>
              <c:strCache>
                <c:ptCount val="2"/>
                <c:pt idx="0">
                  <c:v>Odstupanje/Deviations</c:v>
                </c:pt>
              </c:strCache>
            </c:strRef>
          </c:tx>
          <c:spPr>
            <a:solidFill>
              <a:schemeClr val="accent5"/>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klas'!$G$6:$G$15</c:f>
            </c:numRef>
          </c:val>
          <c:extLst>
            <c:ext xmlns:c16="http://schemas.microsoft.com/office/drawing/2014/chart" uri="{C3380CC4-5D6E-409C-BE32-E72D297353CC}">
              <c16:uniqueId val="{00000004-E2B1-4FA1-BC60-FEA0401377C9}"/>
            </c:ext>
          </c:extLst>
        </c:ser>
        <c:ser>
          <c:idx val="5"/>
          <c:order val="5"/>
          <c:tx>
            <c:strRef>
              <c:f>'Centralna država-ek klas'!$H$4:$H$5</c:f>
              <c:strCache>
                <c:ptCount val="2"/>
                <c:pt idx="0">
                  <c:v>Odstupanje/Deviations</c:v>
                </c:pt>
              </c:strCache>
            </c:strRef>
          </c:tx>
          <c:spPr>
            <a:solidFill>
              <a:schemeClr val="accent6"/>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klas'!$H$6:$H$15</c:f>
            </c:numRef>
          </c:val>
          <c:extLst>
            <c:ext xmlns:c16="http://schemas.microsoft.com/office/drawing/2014/chart" uri="{C3380CC4-5D6E-409C-BE32-E72D297353CC}">
              <c16:uniqueId val="{00000005-E2B1-4FA1-BC60-FEA0401377C9}"/>
            </c:ext>
          </c:extLst>
        </c:ser>
        <c:ser>
          <c:idx val="6"/>
          <c:order val="6"/>
          <c:tx>
            <c:strRef>
              <c:f>'Centralna država-ek klas'!$I$4:$I$5</c:f>
              <c:strCache>
                <c:ptCount val="2"/>
                <c:pt idx="0">
                  <c:v>2023</c:v>
                </c:pt>
              </c:strCache>
            </c:strRef>
          </c:tx>
          <c:spPr>
            <a:solidFill>
              <a:schemeClr val="accent1">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klas'!$I$6:$I$15</c:f>
              <c:numCache>
                <c:formatCode>0.0,,</c:formatCode>
                <c:ptCount val="5"/>
                <c:pt idx="0">
                  <c:v>66411591</c:v>
                </c:pt>
                <c:pt idx="1">
                  <c:v>151284476.47</c:v>
                </c:pt>
                <c:pt idx="2">
                  <c:v>1059267077.4700001</c:v>
                </c:pt>
                <c:pt idx="3">
                  <c:v>323121644.95999998</c:v>
                </c:pt>
                <c:pt idx="4">
                  <c:v>575730590.25</c:v>
                </c:pt>
              </c:numCache>
            </c:numRef>
          </c:val>
          <c:extLst>
            <c:ext xmlns:c16="http://schemas.microsoft.com/office/drawing/2014/chart" uri="{C3380CC4-5D6E-409C-BE32-E72D297353CC}">
              <c16:uniqueId val="{00000006-E2B1-4FA1-BC60-FEA0401377C9}"/>
            </c:ext>
          </c:extLst>
        </c:ser>
        <c:ser>
          <c:idx val="7"/>
          <c:order val="7"/>
          <c:tx>
            <c:strRef>
              <c:f>'Centralna država-ek klas'!$J$4:$J$5</c:f>
              <c:strCache>
                <c:ptCount val="2"/>
                <c:pt idx="0">
                  <c:v>2023</c:v>
                </c:pt>
                <c:pt idx="1">
                  <c:v>% BDP</c:v>
                </c:pt>
              </c:strCache>
            </c:strRef>
          </c:tx>
          <c:spPr>
            <a:solidFill>
              <a:schemeClr val="accent2">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klas'!$J$6:$J$15</c:f>
            </c:numRef>
          </c:val>
          <c:extLst>
            <c:ext xmlns:c16="http://schemas.microsoft.com/office/drawing/2014/chart" uri="{C3380CC4-5D6E-409C-BE32-E72D297353CC}">
              <c16:uniqueId val="{00000007-E2B1-4FA1-BC60-FEA0401377C9}"/>
            </c:ext>
          </c:extLst>
        </c:ser>
        <c:dLbls>
          <c:showLegendKey val="0"/>
          <c:showVal val="0"/>
          <c:showCatName val="0"/>
          <c:showSerName val="0"/>
          <c:showPercent val="0"/>
          <c:showBubbleSize val="0"/>
        </c:dLbls>
        <c:gapWidth val="219"/>
        <c:overlap val="-27"/>
        <c:axId val="619775600"/>
        <c:axId val="849719488"/>
      </c:barChart>
      <c:catAx>
        <c:axId val="61977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719488"/>
        <c:crosses val="autoZero"/>
        <c:auto val="1"/>
        <c:lblAlgn val="ctr"/>
        <c:lblOffset val="100"/>
        <c:noMultiLvlLbl val="0"/>
      </c:catAx>
      <c:valAx>
        <c:axId val="8497194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77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4163040801247933E-2"/>
          <c:y val="2.7818061964403409E-2"/>
          <c:w val="0.79197110253673808"/>
          <c:h val="0.66446934739617713"/>
        </c:manualLayout>
      </c:layout>
      <c:barChart>
        <c:barDir val="col"/>
        <c:grouping val="clustered"/>
        <c:varyColors val="0"/>
        <c:ser>
          <c:idx val="1"/>
          <c:order val="1"/>
          <c:tx>
            <c:strRef>
              <c:f>Sheet1!$A$44</c:f>
              <c:strCache>
                <c:ptCount val="1"/>
                <c:pt idx="0">
                  <c:v>Bruto državni dug kao % BDP-a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Sheet1!$B$44:$C$44</c:f>
              <c:numCache>
                <c:formatCode>0.00%</c:formatCode>
                <c:ptCount val="2"/>
                <c:pt idx="0">
                  <c:v>0.59293659231910645</c:v>
                </c:pt>
                <c:pt idx="1">
                  <c:v>0.60526168061185937</c:v>
                </c:pt>
              </c:numCache>
            </c:numRef>
          </c:val>
          <c:extLst>
            <c:ext xmlns:c16="http://schemas.microsoft.com/office/drawing/2014/chart" uri="{C3380CC4-5D6E-409C-BE32-E72D297353CC}">
              <c16:uniqueId val="{00000000-8CD0-448F-919D-BB305BC9909A}"/>
            </c:ext>
          </c:extLst>
        </c:ser>
        <c:ser>
          <c:idx val="2"/>
          <c:order val="2"/>
          <c:tx>
            <c:strRef>
              <c:f>Sheet1!$A$48</c:f>
              <c:strCache>
                <c:ptCount val="1"/>
                <c:pt idx="0">
                  <c:v>Neto državni dug kao % BDP-a</c:v>
                </c:pt>
              </c:strCache>
            </c:strRef>
          </c:tx>
          <c:spPr>
            <a:solidFill>
              <a:schemeClr val="accent1">
                <a:tint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Sheet1!$B$48:$C$48</c:f>
              <c:numCache>
                <c:formatCode>0.00%</c:formatCode>
                <c:ptCount val="2"/>
                <c:pt idx="0">
                  <c:v>0.57067759875684965</c:v>
                </c:pt>
                <c:pt idx="1">
                  <c:v>0.55359960875706504</c:v>
                </c:pt>
              </c:numCache>
            </c:numRef>
          </c:val>
          <c:extLst>
            <c:ext xmlns:c16="http://schemas.microsoft.com/office/drawing/2014/chart" uri="{C3380CC4-5D6E-409C-BE32-E72D297353CC}">
              <c16:uniqueId val="{00000001-8CD0-448F-919D-BB305BC9909A}"/>
            </c:ext>
          </c:extLst>
        </c:ser>
        <c:dLbls>
          <c:dLblPos val="inEnd"/>
          <c:showLegendKey val="0"/>
          <c:showVal val="1"/>
          <c:showCatName val="0"/>
          <c:showSerName val="0"/>
          <c:showPercent val="0"/>
          <c:showBubbleSize val="0"/>
        </c:dLbls>
        <c:gapWidth val="65"/>
        <c:axId val="133843200"/>
        <c:axId val="133844992"/>
        <c:extLst>
          <c:ext xmlns:c15="http://schemas.microsoft.com/office/drawing/2012/chart" uri="{02D57815-91ED-43cb-92C2-25804820EDAC}">
            <c15:filteredBarSeries>
              <c15:ser>
                <c:idx val="0"/>
                <c:order val="0"/>
                <c:tx>
                  <c:strRef>
                    <c:extLst>
                      <c:ext uri="{02D57815-91ED-43cb-92C2-25804820EDAC}">
                        <c15:formulaRef>
                          <c15:sqref>Sheet1!$A$41</c15:sqref>
                        </c15:formulaRef>
                      </c:ext>
                    </c:extLst>
                    <c:strCache>
                      <c:ptCount val="1"/>
                      <c:pt idx="0">
                        <c:v>0,0%</c:v>
                      </c:pt>
                    </c:strCache>
                  </c:strRef>
                </c:tx>
                <c:spPr>
                  <a:solidFill>
                    <a:schemeClr val="accent1">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Sheet1!$B$41:$C$41</c15:sqref>
                        </c15:formulaRef>
                      </c:ext>
                    </c:extLst>
                    <c:numCache>
                      <c:formatCode>General</c:formatCode>
                      <c:ptCount val="2"/>
                      <c:pt idx="0">
                        <c:v>2023</c:v>
                      </c:pt>
                      <c:pt idx="1">
                        <c:v>2024</c:v>
                      </c:pt>
                    </c:numCache>
                  </c:numRef>
                </c:cat>
                <c:val>
                  <c:numRef>
                    <c:extLst>
                      <c:ext uri="{02D57815-91ED-43cb-92C2-25804820EDAC}">
                        <c15:formulaRef>
                          <c15:sqref>Sheet1!$B$41:$C$41</c15:sqref>
                        </c15:formulaRef>
                      </c:ext>
                    </c:extLst>
                    <c:numCache>
                      <c:formatCode>General</c:formatCode>
                      <c:ptCount val="2"/>
                      <c:pt idx="0">
                        <c:v>2023</c:v>
                      </c:pt>
                      <c:pt idx="1">
                        <c:v>2024</c:v>
                      </c:pt>
                    </c:numCache>
                  </c:numRef>
                </c:val>
                <c:extLst>
                  <c:ext xmlns:c16="http://schemas.microsoft.com/office/drawing/2014/chart" uri="{C3380CC4-5D6E-409C-BE32-E72D297353CC}">
                    <c16:uniqueId val="{00000002-8CD0-448F-919D-BB305BC9909A}"/>
                  </c:ext>
                </c:extLst>
              </c15:ser>
            </c15:filteredBarSeries>
          </c:ext>
        </c:extLst>
      </c:barChart>
      <c:catAx>
        <c:axId val="1338432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844992"/>
        <c:crosses val="autoZero"/>
        <c:auto val="1"/>
        <c:lblAlgn val="ctr"/>
        <c:lblOffset val="100"/>
        <c:noMultiLvlLbl val="0"/>
      </c:catAx>
      <c:valAx>
        <c:axId val="133844992"/>
        <c:scaling>
          <c:orientation val="minMax"/>
          <c:max val="0.65000000000000013"/>
          <c:min val="0.5"/>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0"/>
        <c:majorTickMark val="none"/>
        <c:minorTickMark val="none"/>
        <c:tickLblPos val="nextTo"/>
        <c:crossAx val="133843200"/>
        <c:crosses val="autoZero"/>
        <c:crossBetween val="between"/>
        <c:majorUnit val="5.000000000000001E-2"/>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820009263547939"/>
          <c:y val="5.3921568627450983E-2"/>
          <c:w val="0.77006879042080523"/>
          <c:h val="0.65557522123893808"/>
        </c:manualLayout>
      </c:layout>
      <c:barChart>
        <c:barDir val="col"/>
        <c:grouping val="clustered"/>
        <c:varyColors val="0"/>
        <c:ser>
          <c:idx val="1"/>
          <c:order val="1"/>
          <c:tx>
            <c:strRef>
              <c:f>Sheet1!$A$45</c:f>
              <c:strCache>
                <c:ptCount val="1"/>
                <c:pt idx="0">
                  <c:v>Bruto javni dug kao % BDP-a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Sheet1!$B$45:$C$45</c:f>
              <c:numCache>
                <c:formatCode>0.00%</c:formatCode>
                <c:ptCount val="2"/>
                <c:pt idx="0">
                  <c:v>0.60270712357896461</c:v>
                </c:pt>
                <c:pt idx="1">
                  <c:v>0.61317936380082971</c:v>
                </c:pt>
              </c:numCache>
            </c:numRef>
          </c:val>
          <c:extLst>
            <c:ext xmlns:c16="http://schemas.microsoft.com/office/drawing/2014/chart" uri="{C3380CC4-5D6E-409C-BE32-E72D297353CC}">
              <c16:uniqueId val="{00000000-2DEC-4A2B-B280-F0EADD81C873}"/>
            </c:ext>
          </c:extLst>
        </c:ser>
        <c:ser>
          <c:idx val="2"/>
          <c:order val="2"/>
          <c:tx>
            <c:strRef>
              <c:f>Sheet1!$A$49</c:f>
              <c:strCache>
                <c:ptCount val="1"/>
                <c:pt idx="0">
                  <c:v>Neto javni dug kao % BDP-a</c:v>
                </c:pt>
              </c:strCache>
            </c:strRef>
          </c:tx>
          <c:spPr>
            <a:solidFill>
              <a:schemeClr val="accent1">
                <a:tint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Sheet1!$B$49:$C$49</c:f>
              <c:numCache>
                <c:formatCode>0.00%</c:formatCode>
                <c:ptCount val="2"/>
                <c:pt idx="0">
                  <c:v>0.58044813001670781</c:v>
                </c:pt>
                <c:pt idx="1">
                  <c:v>0.5615172919460355</c:v>
                </c:pt>
              </c:numCache>
            </c:numRef>
          </c:val>
          <c:extLst>
            <c:ext xmlns:c16="http://schemas.microsoft.com/office/drawing/2014/chart" uri="{C3380CC4-5D6E-409C-BE32-E72D297353CC}">
              <c16:uniqueId val="{00000001-2DEC-4A2B-B280-F0EADD81C873}"/>
            </c:ext>
          </c:extLst>
        </c:ser>
        <c:dLbls>
          <c:dLblPos val="inEnd"/>
          <c:showLegendKey val="0"/>
          <c:showVal val="1"/>
          <c:showCatName val="0"/>
          <c:showSerName val="0"/>
          <c:showPercent val="0"/>
          <c:showBubbleSize val="0"/>
        </c:dLbls>
        <c:gapWidth val="65"/>
        <c:axId val="133919104"/>
        <c:axId val="133920640"/>
        <c:extLst>
          <c:ext xmlns:c15="http://schemas.microsoft.com/office/drawing/2012/chart" uri="{02D57815-91ED-43cb-92C2-25804820EDAC}">
            <c15:filteredBarSeries>
              <c15:ser>
                <c:idx val="0"/>
                <c:order val="0"/>
                <c:tx>
                  <c:strRef>
                    <c:extLst>
                      <c:ext uri="{02D57815-91ED-43cb-92C2-25804820EDAC}">
                        <c15:formulaRef>
                          <c15:sqref>Sheet1!$A$41</c15:sqref>
                        </c15:formulaRef>
                      </c:ext>
                    </c:extLst>
                    <c:strCache>
                      <c:ptCount val="1"/>
                      <c:pt idx="0">
                        <c:v>0,0%</c:v>
                      </c:pt>
                    </c:strCache>
                  </c:strRef>
                </c:tx>
                <c:spPr>
                  <a:solidFill>
                    <a:schemeClr val="accent1">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Sheet1!$B$41:$C$41</c15:sqref>
                        </c15:formulaRef>
                      </c:ext>
                    </c:extLst>
                    <c:numCache>
                      <c:formatCode>General</c:formatCode>
                      <c:ptCount val="2"/>
                      <c:pt idx="0">
                        <c:v>2023</c:v>
                      </c:pt>
                      <c:pt idx="1">
                        <c:v>2024</c:v>
                      </c:pt>
                    </c:numCache>
                  </c:numRef>
                </c:cat>
                <c:val>
                  <c:numRef>
                    <c:extLst>
                      <c:ext uri="{02D57815-91ED-43cb-92C2-25804820EDAC}">
                        <c15:formulaRef>
                          <c15:sqref>Sheet1!$B$41:$C$41</c15:sqref>
                        </c15:formulaRef>
                      </c:ext>
                    </c:extLst>
                    <c:numCache>
                      <c:formatCode>General</c:formatCode>
                      <c:ptCount val="2"/>
                      <c:pt idx="0">
                        <c:v>2023</c:v>
                      </c:pt>
                      <c:pt idx="1">
                        <c:v>2024</c:v>
                      </c:pt>
                    </c:numCache>
                  </c:numRef>
                </c:val>
                <c:extLst>
                  <c:ext xmlns:c16="http://schemas.microsoft.com/office/drawing/2014/chart" uri="{C3380CC4-5D6E-409C-BE32-E72D297353CC}">
                    <c16:uniqueId val="{00000002-2DEC-4A2B-B280-F0EADD81C873}"/>
                  </c:ext>
                </c:extLst>
              </c15:ser>
            </c15:filteredBarSeries>
          </c:ext>
        </c:extLst>
      </c:barChart>
      <c:catAx>
        <c:axId val="133919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20640"/>
        <c:crosses val="autoZero"/>
        <c:auto val="1"/>
        <c:lblAlgn val="ctr"/>
        <c:lblOffset val="100"/>
        <c:noMultiLvlLbl val="0"/>
      </c:catAx>
      <c:valAx>
        <c:axId val="133920640"/>
        <c:scaling>
          <c:orientation val="minMax"/>
          <c:max val="0.70000000000000007"/>
          <c:min val="0.30000000000000004"/>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0"/>
        <c:majorTickMark val="none"/>
        <c:minorTickMark val="none"/>
        <c:tickLblPos val="nextTo"/>
        <c:crossAx val="133919104"/>
        <c:crosses val="autoZero"/>
        <c:crossBetween val="between"/>
        <c:majorUnit val="0.2"/>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34378055684217"/>
          <c:y val="0.13229335122347374"/>
          <c:w val="0.64274818588852867"/>
          <c:h val="0.75988183091463346"/>
        </c:manualLayout>
      </c:layout>
      <c:pie3DChart>
        <c:varyColors val="1"/>
        <c:ser>
          <c:idx val="0"/>
          <c:order val="0"/>
          <c:dPt>
            <c:idx val="0"/>
            <c:bubble3D val="0"/>
            <c:spPr>
              <a:gradFill rotWithShape="1">
                <a:gsLst>
                  <a:gs pos="0">
                    <a:schemeClr val="accent1">
                      <a:shade val="76000"/>
                      <a:lumMod val="110000"/>
                      <a:satMod val="105000"/>
                      <a:tint val="67000"/>
                    </a:schemeClr>
                  </a:gs>
                  <a:gs pos="50000">
                    <a:schemeClr val="accent1">
                      <a:shade val="76000"/>
                      <a:lumMod val="105000"/>
                      <a:satMod val="103000"/>
                      <a:tint val="73000"/>
                    </a:schemeClr>
                  </a:gs>
                  <a:gs pos="100000">
                    <a:schemeClr val="accent1">
                      <a:shade val="76000"/>
                      <a:lumMod val="105000"/>
                      <a:satMod val="109000"/>
                      <a:tint val="81000"/>
                    </a:schemeClr>
                  </a:gs>
                </a:gsLst>
                <a:lin ang="5400000" scaled="0"/>
              </a:gradFill>
              <a:ln>
                <a:noFill/>
              </a:ln>
              <a:effectLst/>
              <a:sp3d/>
            </c:spPr>
            <c:extLst>
              <c:ext xmlns:c16="http://schemas.microsoft.com/office/drawing/2014/chart" uri="{C3380CC4-5D6E-409C-BE32-E72D297353CC}">
                <c16:uniqueId val="{00000001-ADF3-44B0-A0E1-FA9FF067594D}"/>
              </c:ext>
            </c:extLst>
          </c:dPt>
          <c:dPt>
            <c:idx val="1"/>
            <c:bubble3D val="0"/>
            <c:spPr>
              <a:gradFill rotWithShape="1">
                <a:gsLst>
                  <a:gs pos="0">
                    <a:schemeClr val="accent1">
                      <a:tint val="77000"/>
                      <a:lumMod val="110000"/>
                      <a:satMod val="105000"/>
                      <a:tint val="67000"/>
                    </a:schemeClr>
                  </a:gs>
                  <a:gs pos="50000">
                    <a:schemeClr val="accent1">
                      <a:tint val="77000"/>
                      <a:lumMod val="105000"/>
                      <a:satMod val="103000"/>
                      <a:tint val="73000"/>
                    </a:schemeClr>
                  </a:gs>
                  <a:gs pos="100000">
                    <a:schemeClr val="accent1">
                      <a:tint val="77000"/>
                      <a:lumMod val="105000"/>
                      <a:satMod val="109000"/>
                      <a:tint val="81000"/>
                    </a:schemeClr>
                  </a:gs>
                </a:gsLst>
                <a:lin ang="5400000" scaled="0"/>
              </a:gradFill>
              <a:ln>
                <a:noFill/>
              </a:ln>
              <a:effectLst/>
              <a:sp3d/>
            </c:spPr>
            <c:extLst>
              <c:ext xmlns:c16="http://schemas.microsoft.com/office/drawing/2014/chart" uri="{C3380CC4-5D6E-409C-BE32-E72D297353CC}">
                <c16:uniqueId val="{00000003-ADF3-44B0-A0E1-FA9FF067594D}"/>
              </c:ext>
            </c:extLst>
          </c:dPt>
          <c:dLbls>
            <c:dLbl>
              <c:idx val="0"/>
              <c:layout>
                <c:manualLayout>
                  <c:x val="0.20930232558139536"/>
                  <c:y val="-0.120370370370370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F3-44B0-A0E1-FA9FF06759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'Valutna i kamatna struktura dug'!$C$26:$C$27</c:f>
              <c:strCache>
                <c:ptCount val="2"/>
                <c:pt idx="0">
                  <c:v>ino dug</c:v>
                </c:pt>
                <c:pt idx="1">
                  <c:v>domaći dug</c:v>
                </c:pt>
              </c:strCache>
            </c:strRef>
          </c:cat>
          <c:val>
            <c:numRef>
              <c:f>'Valutna i kamatna struktura dug'!$D$26:$D$27</c:f>
              <c:numCache>
                <c:formatCode>0.0%</c:formatCode>
                <c:ptCount val="2"/>
                <c:pt idx="0" formatCode="0.00%">
                  <c:v>0.92661982089522699</c:v>
                </c:pt>
                <c:pt idx="1">
                  <c:v>7.3380179104772944E-2</c:v>
                </c:pt>
              </c:numCache>
            </c:numRef>
          </c:val>
          <c:extLst>
            <c:ext xmlns:c16="http://schemas.microsoft.com/office/drawing/2014/chart" uri="{C3380CC4-5D6E-409C-BE32-E72D297353CC}">
              <c16:uniqueId val="{00000004-ADF3-44B0-A0E1-FA9FF067594D}"/>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CC8F-6FF4-4097-9EB3-A5BEE4D6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Bulatovic</dc:creator>
  <cp:keywords/>
  <dc:description/>
  <cp:lastModifiedBy>001_MIF</cp:lastModifiedBy>
  <cp:revision>26</cp:revision>
  <cp:lastPrinted>2024-03-29T12:38:00Z</cp:lastPrinted>
  <dcterms:created xsi:type="dcterms:W3CDTF">2025-03-26T09:33:00Z</dcterms:created>
  <dcterms:modified xsi:type="dcterms:W3CDTF">2025-03-31T18:32:00Z</dcterms:modified>
</cp:coreProperties>
</file>